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EC0224" w:rsidRDefault="00792912" w14:paraId="4CB0DAD4" w14:textId="77777777">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357C8A" w:rsidRDefault="00357C8A" w14:paraId="37C7DF18" w14:textId="77777777">
      <w:pPr>
        <w:jc w:val="center"/>
        <w:rPr>
          <w:rFonts w:eastAsia="Calibri"/>
        </w:rPr>
      </w:pPr>
    </w:p>
    <w:p w:rsidR="00357C8A" w:rsidP="00357C8A" w:rsidRDefault="006B447D" w14:paraId="09C65AAA" w14:textId="77777777">
      <w:pPr>
        <w:jc w:val="center"/>
        <w:rPr>
          <w:rFonts w:eastAsia="Calibri"/>
        </w:rPr>
      </w:pPr>
      <w:r>
        <w:rPr>
          <w:rFonts w:eastAsia="Calibri"/>
        </w:rPr>
        <w:t>Good Laboratory Practice (GLP) for Non-Clinical Laboratory Studies</w:t>
      </w:r>
    </w:p>
    <w:p w:rsidR="003B38FD" w:rsidP="00357C8A" w:rsidRDefault="003B38FD" w14:paraId="1990CF0D" w14:textId="77777777">
      <w:pPr>
        <w:jc w:val="center"/>
        <w:rPr>
          <w:rFonts w:eastAsia="Calibri"/>
        </w:rPr>
      </w:pPr>
    </w:p>
    <w:p w:rsidR="00357C8A" w:rsidP="00357C8A" w:rsidRDefault="00977AEC" w14:paraId="6363EE67" w14:textId="77777777">
      <w:pPr>
        <w:jc w:val="center"/>
        <w:rPr>
          <w:rFonts w:eastAsia="Calibri"/>
        </w:rPr>
      </w:pPr>
      <w:r w:rsidRPr="002955BD">
        <w:t xml:space="preserve"> </w:t>
      </w:r>
      <w:r w:rsidRPr="00357C8A" w:rsidR="00357C8A">
        <w:rPr>
          <w:rFonts w:eastAsia="Calibri"/>
        </w:rPr>
        <w:t>OMB Control No. 0910-</w:t>
      </w:r>
      <w:r w:rsidR="006B447D">
        <w:rPr>
          <w:rFonts w:eastAsia="Calibri"/>
        </w:rPr>
        <w:t>0119</w:t>
      </w:r>
    </w:p>
    <w:p w:rsidR="00357C8A" w:rsidP="00357C8A" w:rsidRDefault="00357C8A" w14:paraId="0BBDC69A" w14:textId="77777777">
      <w:pPr>
        <w:jc w:val="center"/>
        <w:rPr>
          <w:rFonts w:eastAsia="Calibri"/>
        </w:rPr>
      </w:pPr>
    </w:p>
    <w:p w:rsidR="00357C8A" w:rsidP="00792912" w:rsidRDefault="00357C8A" w14:paraId="0A78CBFA" w14:textId="77777777">
      <w:pPr>
        <w:rPr>
          <w:rFonts w:eastAsia="Calibri"/>
        </w:rPr>
      </w:pPr>
      <w:r w:rsidRPr="00357C8A">
        <w:rPr>
          <w:rFonts w:eastAsia="Calibri"/>
        </w:rPr>
        <w:t>SUPPORTING STATEMENT</w:t>
      </w:r>
      <w:r w:rsidR="00792912">
        <w:rPr>
          <w:rFonts w:eastAsia="Calibri"/>
        </w:rPr>
        <w:t xml:space="preserve"> – </w:t>
      </w:r>
      <w:r w:rsidRPr="00792912" w:rsidR="00792912">
        <w:rPr>
          <w:rFonts w:eastAsia="Calibri"/>
          <w:b/>
        </w:rPr>
        <w:t>Part A:  Justification</w:t>
      </w:r>
    </w:p>
    <w:p w:rsidRPr="00357C8A" w:rsidR="000D79CC" w:rsidP="000D79CC" w:rsidRDefault="000D79CC" w14:paraId="5735FAFA" w14:textId="77777777">
      <w:pPr>
        <w:rPr>
          <w:rFonts w:eastAsia="Calibri"/>
        </w:rPr>
      </w:pPr>
    </w:p>
    <w:p w:rsidRPr="00357C8A" w:rsidR="00357C8A" w:rsidP="006705EA" w:rsidRDefault="00357C8A" w14:paraId="4CEA3BC3"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FF1A90" w:rsidR="006B447D" w:rsidP="00C85311" w:rsidRDefault="00FD2B67" w14:paraId="510373BE" w14:textId="27013426">
      <w:pPr>
        <w:spacing w:before="100" w:beforeAutospacing="1" w:after="100" w:afterAutospacing="1"/>
        <w:ind w:left="360"/>
      </w:pPr>
      <w:r>
        <w:t xml:space="preserve">This information collection </w:t>
      </w:r>
      <w:r w:rsidR="0020270D">
        <w:t xml:space="preserve">helps to </w:t>
      </w:r>
      <w:r>
        <w:t>support</w:t>
      </w:r>
      <w:r w:rsidR="0020270D">
        <w:t xml:space="preserve"> implementation of</w:t>
      </w:r>
      <w:r>
        <w:t xml:space="preserve"> s</w:t>
      </w:r>
      <w:r w:rsidRPr="00FF1A90" w:rsidR="006B447D">
        <w:t>ections 409, 505, 512, and 515 of the Federal Food, Drug, and Cosmetic Act (21 U.S.C. 348, 355, 360(b), 360(e)) and related statutes</w:t>
      </w:r>
      <w:r>
        <w:t>.</w:t>
      </w:r>
      <w:r w:rsidR="0020270D">
        <w:t xml:space="preserve">  R</w:t>
      </w:r>
      <w:r>
        <w:t>egulations found in 21 CFR part 58</w:t>
      </w:r>
      <w:r w:rsidR="00C378A1">
        <w:t xml:space="preserve">, </w:t>
      </w:r>
      <w:r w:rsidR="00676153">
        <w:t>“</w:t>
      </w:r>
      <w:r w:rsidRPr="00676153" w:rsidR="00C72E0B">
        <w:rPr>
          <w:i/>
        </w:rPr>
        <w:t xml:space="preserve">Good Laboratory Practice for Nonclinical </w:t>
      </w:r>
      <w:r w:rsidRPr="00676153" w:rsidR="007F25E0">
        <w:rPr>
          <w:i/>
        </w:rPr>
        <w:t xml:space="preserve">Laboratory </w:t>
      </w:r>
      <w:r w:rsidRPr="00676153" w:rsidR="00C72E0B">
        <w:rPr>
          <w:i/>
        </w:rPr>
        <w:t>Studies</w:t>
      </w:r>
      <w:r w:rsidR="00676153">
        <w:t>”</w:t>
      </w:r>
      <w:r w:rsidR="007F25E0">
        <w:t xml:space="preserve"> (GLP),</w:t>
      </w:r>
      <w:r w:rsidR="00C72E0B">
        <w:t xml:space="preserve"> </w:t>
      </w:r>
      <w:r w:rsidR="0020270D">
        <w:t xml:space="preserve">set forth </w:t>
      </w:r>
      <w:r w:rsidRPr="0020270D" w:rsidR="0020270D">
        <w:t>good laboratory practice</w:t>
      </w:r>
      <w:r w:rsidR="00386FEC">
        <w:t xml:space="preserve"> requirements</w:t>
      </w:r>
      <w:r w:rsidRPr="0020270D" w:rsidR="0020270D">
        <w:t xml:space="preserve"> for conducting nonclinical laboratory studies that support or are intended to support applications for research or marketing permits </w:t>
      </w:r>
      <w:r w:rsidR="0020270D">
        <w:t xml:space="preserve">for </w:t>
      </w:r>
      <w:r w:rsidRPr="0020270D" w:rsidR="0020270D">
        <w:t>food additives, human drugs and biological products, animal drugs, medical devices</w:t>
      </w:r>
      <w:r w:rsidR="00C17062">
        <w:t>, and</w:t>
      </w:r>
      <w:r w:rsidR="00520EEB">
        <w:t xml:space="preserve"> specified</w:t>
      </w:r>
      <w:r w:rsidR="00C17062">
        <w:t xml:space="preserve"> </w:t>
      </w:r>
      <w:r w:rsidRPr="0020270D" w:rsidR="0020270D">
        <w:t>products regulated by the Food and Drug Administration</w:t>
      </w:r>
      <w:r w:rsidR="0020270D">
        <w:t xml:space="preserve"> (FDA).  The </w:t>
      </w:r>
      <w:r w:rsidRPr="00FF1A90" w:rsidR="006B447D">
        <w:t>applications</w:t>
      </w:r>
      <w:r w:rsidR="0020270D">
        <w:t xml:space="preserve"> must include</w:t>
      </w:r>
      <w:r w:rsidRPr="00FF1A90" w:rsidR="006B447D">
        <w:t xml:space="preserve">, among other important items, full reports of all studies </w:t>
      </w:r>
      <w:r w:rsidR="0020270D">
        <w:t xml:space="preserve">conducted </w:t>
      </w:r>
      <w:r w:rsidRPr="00FF1A90" w:rsidR="006B447D">
        <w:t>to demonstrate product safety in man and/or other animals</w:t>
      </w:r>
      <w:r w:rsidR="00C17062">
        <w:t xml:space="preserve">, as well as </w:t>
      </w:r>
      <w:r w:rsidRPr="00FF1A90" w:rsidR="006B447D">
        <w:t xml:space="preserve">to ensure adequate quality control </w:t>
      </w:r>
      <w:r w:rsidR="00C17062">
        <w:t xml:space="preserve">for </w:t>
      </w:r>
      <w:r w:rsidRPr="00FF1A90" w:rsidR="006B447D">
        <w:t>these studies</w:t>
      </w:r>
      <w:r w:rsidR="0020270D">
        <w:t xml:space="preserve">.  </w:t>
      </w:r>
      <w:r w:rsidRPr="00FF1A90" w:rsidR="006B447D">
        <w:t>The regulations specify minimum standards for the proper conduct of safety testing and contain sections on facilities, personnel, equipment, standard operating procedures (SOPs), test and control articles, quality assurance, protocol and conduct of a safety study, records and reports, and laboratory disqualification.</w:t>
      </w:r>
    </w:p>
    <w:p w:rsidRPr="00FF1A90" w:rsidR="006B447D" w:rsidP="00C85311" w:rsidRDefault="006B447D" w14:paraId="0C7C19F1" w14:textId="03128E27">
      <w:pPr>
        <w:spacing w:before="100" w:beforeAutospacing="1" w:after="100" w:afterAutospacing="1"/>
        <w:ind w:left="360"/>
      </w:pPr>
      <w:r w:rsidRPr="00FF1A90">
        <w:t xml:space="preserve">Part 58 </w:t>
      </w:r>
      <w:r w:rsidR="00C17062">
        <w:t xml:space="preserve">regulations also </w:t>
      </w:r>
      <w:r w:rsidRPr="00FF1A90">
        <w:t xml:space="preserve">require </w:t>
      </w:r>
      <w:r w:rsidR="00452670">
        <w:t xml:space="preserve">that </w:t>
      </w:r>
      <w:r w:rsidRPr="00FF1A90">
        <w:t>testing facilities engaged in conducting toxicological studies retain</w:t>
      </w:r>
      <w:r w:rsidR="00C17062">
        <w:t>,</w:t>
      </w:r>
      <w:r w:rsidRPr="00FF1A90">
        <w:t xml:space="preserve"> and make available to regulatory officials, records regarding compliance with GLP</w:t>
      </w:r>
      <w:r w:rsidR="00466DA7">
        <w:t xml:space="preserve"> regulations</w:t>
      </w:r>
      <w:r w:rsidRPr="00FF1A90">
        <w:t>.  Records are maintained on file at each testing facility and examined there periodically by FDA inspectors.  The GLP regulations require that, for each nonclinical laboratory study, a final report be prepared that documents the results of quality assurance unit inspections, test and control article characterization, testing of mixtures of test and control articles with carriers, and an overall interpretation of nonclinical laboratory studies.  The GLP regulations also require written records pertaining to:  (1) personnel job descriptions and summaries of training and experience; (2) master schedules, protocols and amendments thereto, inspection reports, and SOPs; (3) equipment inspection, maintenance, calibration, and testing records; (4) documentation of feed and water analyses, and animal treatments; (5) test article accountability records; and (6) study documentation and raw data.</w:t>
      </w:r>
    </w:p>
    <w:p w:rsidRPr="00C17062" w:rsidR="00423272" w:rsidP="00C17062" w:rsidRDefault="00423272" w14:paraId="0FFBE4D5" w14:textId="77777777">
      <w:pPr>
        <w:spacing w:before="100" w:beforeAutospacing="1" w:after="100" w:afterAutospacing="1"/>
        <w:ind w:left="360"/>
      </w:pPr>
      <w:r w:rsidRPr="005C71CA">
        <w:rPr>
          <w:rFonts w:eastAsia="Calibri"/>
        </w:rPr>
        <w:t xml:space="preserve">We therefore request </w:t>
      </w:r>
      <w:r w:rsidR="00C17062">
        <w:rPr>
          <w:rFonts w:eastAsia="Calibri"/>
        </w:rPr>
        <w:t xml:space="preserve">extension of </w:t>
      </w:r>
      <w:r w:rsidRPr="005C71CA">
        <w:rPr>
          <w:rFonts w:eastAsia="Calibri"/>
        </w:rPr>
        <w:t xml:space="preserve">OMB approval </w:t>
      </w:r>
      <w:r w:rsidR="00C17062">
        <w:rPr>
          <w:rFonts w:eastAsia="Calibri"/>
        </w:rPr>
        <w:t>for the information collection provisions in 21 CFR part 58 of agency regulations.</w:t>
      </w:r>
    </w:p>
    <w:p w:rsidRPr="00357C8A" w:rsidR="00357C8A" w:rsidP="006705EA" w:rsidRDefault="00357C8A" w14:paraId="4D866E49"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5A278C" w:rsidP="00C17062" w:rsidRDefault="00C17062" w14:paraId="3941B51F" w14:textId="7C1D8474">
      <w:pPr>
        <w:spacing w:before="100" w:beforeAutospacing="1" w:after="100" w:afterAutospacing="1"/>
        <w:ind w:left="360"/>
      </w:pPr>
      <w:r>
        <w:t xml:space="preserve">We use the information to ensure that </w:t>
      </w:r>
      <w:r w:rsidRPr="006B447D" w:rsidR="006B447D">
        <w:t>nonclinical laboratory studies</w:t>
      </w:r>
      <w:r>
        <w:t xml:space="preserve"> conform to</w:t>
      </w:r>
      <w:r w:rsidRPr="006B447D" w:rsidR="006B447D">
        <w:t xml:space="preserve"> </w:t>
      </w:r>
      <w:r>
        <w:t xml:space="preserve">specific </w:t>
      </w:r>
      <w:r w:rsidRPr="006B447D" w:rsidR="006B447D">
        <w:t xml:space="preserve">quality and integrity </w:t>
      </w:r>
      <w:r>
        <w:t>standards as established by agency regulations.  Respondents to the collection of information are sponsors of nonclinical laboratory studies</w:t>
      </w:r>
      <w:r w:rsidRPr="00C17062">
        <w:t xml:space="preserve"> that support or are intended to support applications for research or marketing permits for products regulated by </w:t>
      </w:r>
      <w:r>
        <w:t>FDA.</w:t>
      </w:r>
    </w:p>
    <w:p w:rsidRPr="00C85311" w:rsidR="001801E3" w:rsidP="00C17062" w:rsidRDefault="001801E3" w14:paraId="136F561F" w14:textId="77777777">
      <w:pPr>
        <w:spacing w:before="100" w:beforeAutospacing="1" w:after="100" w:afterAutospacing="1"/>
        <w:ind w:left="360"/>
      </w:pPr>
    </w:p>
    <w:p w:rsidRPr="00357C8A" w:rsidR="00357C8A" w:rsidP="006705EA" w:rsidRDefault="00357C8A" w14:paraId="28CE2E7F" w14:textId="77777777">
      <w:pPr>
        <w:numPr>
          <w:ilvl w:val="0"/>
          <w:numId w:val="6"/>
        </w:numPr>
        <w:spacing w:after="200" w:line="276" w:lineRule="auto"/>
        <w:rPr>
          <w:rFonts w:eastAsia="Calibri"/>
          <w:u w:val="single"/>
        </w:rPr>
      </w:pPr>
      <w:r w:rsidRPr="00357C8A">
        <w:rPr>
          <w:rFonts w:eastAsia="Calibri"/>
          <w:u w:val="single"/>
        </w:rPr>
        <w:lastRenderedPageBreak/>
        <w:t>Use of Improved Information Technology and Burden Reduction</w:t>
      </w:r>
    </w:p>
    <w:p w:rsidR="00C85311" w:rsidP="00C85311" w:rsidRDefault="00C85311" w14:paraId="08DA7583" w14:textId="7A06BB99">
      <w:pPr>
        <w:spacing w:before="100" w:beforeAutospacing="1" w:after="100" w:afterAutospacing="1"/>
        <w:ind w:left="360"/>
      </w:pPr>
      <w:r w:rsidRPr="00BB141A">
        <w:t>The regulation</w:t>
      </w:r>
      <w:r w:rsidR="003F4B77">
        <w:t>s do</w:t>
      </w:r>
      <w:r w:rsidRPr="00BB141A">
        <w:t xml:space="preserve"> not specifically prescribe the use of automated, electronic, mechanical, or other technological techniques or other forms of information technology as necessary for use by firms</w:t>
      </w:r>
      <w:r w:rsidR="003F4B77">
        <w:t>, however we anticipate this is usual and customary business practice as</w:t>
      </w:r>
      <w:r w:rsidR="000E6898">
        <w:t xml:space="preserve"> submissions to FDA are required electronically unless a waiver to the requirement is granted</w:t>
      </w:r>
      <w:r w:rsidRPr="00BB141A">
        <w:t>.  Companies We estimate ninety</w:t>
      </w:r>
      <w:r>
        <w:t>-five</w:t>
      </w:r>
      <w:r w:rsidRPr="00BB141A">
        <w:t xml:space="preserve"> percent (9</w:t>
      </w:r>
      <w:r>
        <w:t>5</w:t>
      </w:r>
      <w:r w:rsidRPr="00BB141A">
        <w:t xml:space="preserve">%) of respondents </w:t>
      </w:r>
      <w:r w:rsidR="00391706">
        <w:t>utilize electronic means to satisfy the required recordkeeping.</w:t>
      </w:r>
    </w:p>
    <w:p w:rsidRPr="00357C8A" w:rsidR="00357C8A" w:rsidP="006705EA" w:rsidRDefault="00357C8A" w14:paraId="3FDADEFB"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0C1260" w:rsidR="00357C8A" w:rsidP="00C85311" w:rsidRDefault="0053380B" w14:paraId="4AA92C75" w14:textId="77777777">
      <w:pPr>
        <w:spacing w:after="200"/>
        <w:ind w:firstLine="360"/>
      </w:pPr>
      <w:r w:rsidRPr="005C71CA">
        <w:t>We are unaware of duplicative information collection</w:t>
      </w:r>
      <w:r w:rsidR="00C85311">
        <w:t>.</w:t>
      </w:r>
    </w:p>
    <w:p w:rsidRPr="00357C8A" w:rsidR="00357C8A" w:rsidP="006705EA" w:rsidRDefault="00357C8A" w14:paraId="571B6636"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2A3435" w:rsidRDefault="00C85311" w14:paraId="512CFA10" w14:textId="08AB37CE">
      <w:pPr>
        <w:spacing w:after="200"/>
        <w:ind w:firstLine="360"/>
        <w:rPr>
          <w:rFonts w:eastAsia="Calibri"/>
        </w:rPr>
      </w:pPr>
      <w:r>
        <w:rPr>
          <w:rFonts w:eastAsia="Calibri"/>
        </w:rPr>
        <w:t xml:space="preserve">The information collection </w:t>
      </w:r>
      <w:r w:rsidR="00391706">
        <w:rPr>
          <w:rFonts w:eastAsia="Calibri"/>
        </w:rPr>
        <w:t>poses no undue burden on small entities.</w:t>
      </w:r>
      <w:r>
        <w:rPr>
          <w:rFonts w:eastAsia="Calibri"/>
        </w:rPr>
        <w:t xml:space="preserve"> </w:t>
      </w:r>
    </w:p>
    <w:p w:rsidR="002A3435" w:rsidP="002A3435" w:rsidRDefault="00357C8A" w14:paraId="4582067D"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2A3435" w:rsidR="002A3435" w:rsidP="002A3435" w:rsidRDefault="002A3435" w14:paraId="283FB89C" w14:textId="5D822C45">
      <w:pPr>
        <w:spacing w:after="200"/>
        <w:ind w:left="360"/>
        <w:rPr>
          <w:rFonts w:eastAsia="Calibri"/>
          <w:u w:val="single"/>
        </w:rPr>
      </w:pPr>
      <w:r>
        <w:t xml:space="preserve">The information collection schedule is consistent with </w:t>
      </w:r>
      <w:r w:rsidR="00CE696B">
        <w:t xml:space="preserve">statutory and </w:t>
      </w:r>
      <w:r>
        <w:t xml:space="preserve">regulatory requirements </w:t>
      </w:r>
      <w:r w:rsidR="002C7717">
        <w:t xml:space="preserve">and includes </w:t>
      </w:r>
      <w:r>
        <w:t>reporting only on an occasional basis.</w:t>
      </w:r>
      <w:r w:rsidR="00CE696B">
        <w:t xml:space="preserve">  </w:t>
      </w:r>
      <w:r>
        <w:t>We believe this imposes minimal burden on respondents while at the same time preserv</w:t>
      </w:r>
      <w:r w:rsidR="00B04923">
        <w:t>es</w:t>
      </w:r>
      <w:r>
        <w:t xml:space="preserve"> data quality of information </w:t>
      </w:r>
      <w:r w:rsidR="00CE696B">
        <w:t>maintained in accordance</w:t>
      </w:r>
      <w:r w:rsidR="002C7717">
        <w:t xml:space="preserve"> with </w:t>
      </w:r>
      <w:r w:rsidR="00B04923">
        <w:t xml:space="preserve">the applicable </w:t>
      </w:r>
      <w:r w:rsidR="002C7717">
        <w:t>public health regulatory requirements.</w:t>
      </w:r>
    </w:p>
    <w:p w:rsidRPr="00357C8A" w:rsidR="00357C8A" w:rsidP="006705EA" w:rsidRDefault="00357C8A" w14:paraId="2F9A124A"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A3435" w:rsidRDefault="00FB101B" w14:paraId="44BC5DA6" w14:textId="28AD07FC">
      <w:pPr>
        <w:spacing w:after="200"/>
        <w:ind w:left="360"/>
        <w:rPr>
          <w:rFonts w:eastAsia="Calibri"/>
        </w:rPr>
      </w:pPr>
      <w:r>
        <w:t xml:space="preserve">Upon review of </w:t>
      </w:r>
      <w:r w:rsidRPr="0034568A" w:rsidR="002A3435">
        <w:t>5 CFR §1320.</w:t>
      </w:r>
      <w:r w:rsidR="002A3435">
        <w:t>5</w:t>
      </w:r>
      <w:r w:rsidR="00ED5601">
        <w:t xml:space="preserve">, we note a </w:t>
      </w:r>
      <w:r w:rsidRPr="0034568A" w:rsidR="002A3435">
        <w:t xml:space="preserve">5-year retention of records </w:t>
      </w:r>
      <w:r w:rsidR="001A4598">
        <w:t xml:space="preserve">applicable to </w:t>
      </w:r>
      <w:r w:rsidRPr="0034568A" w:rsidR="002A3435">
        <w:t xml:space="preserve">toxicology studies.  This extended retention period is necessary because </w:t>
      </w:r>
      <w:r w:rsidR="001A4598">
        <w:t xml:space="preserve">testing can cover this same </w:t>
      </w:r>
      <w:r w:rsidRPr="0034568A" w:rsidR="002A3435">
        <w:t xml:space="preserve">5-year </w:t>
      </w:r>
      <w:r w:rsidR="001A4598">
        <w:t>period and entail</w:t>
      </w:r>
      <w:r w:rsidR="00431460">
        <w:t xml:space="preserve"> a </w:t>
      </w:r>
      <w:r w:rsidRPr="0034568A" w:rsidR="002A3435">
        <w:t>process</w:t>
      </w:r>
      <w:r w:rsidR="00431460">
        <w:t xml:space="preserve"> spanning that period</w:t>
      </w:r>
      <w:r w:rsidRPr="0034568A" w:rsidR="002A3435">
        <w:t>.  These records must be available to FDA inspectors so they can be examined during on-site visits to verify the quality and integrity of the data</w:t>
      </w:r>
      <w:r w:rsidR="00431460">
        <w:t xml:space="preserve"> throughout the entire course of study</w:t>
      </w:r>
      <w:r w:rsidRPr="0034568A" w:rsidR="002A3435">
        <w:t>.</w:t>
      </w:r>
    </w:p>
    <w:p w:rsidRPr="00357C8A" w:rsidR="00357C8A" w:rsidP="006705EA" w:rsidRDefault="00357C8A" w14:paraId="09618F10"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357C8A" w:rsidR="00792947" w:rsidP="00940333" w:rsidRDefault="00B8451A" w14:paraId="408D9A8A" w14:textId="097D0245">
      <w:pPr>
        <w:spacing w:after="200"/>
        <w:ind w:left="360"/>
        <w:rPr>
          <w:rFonts w:eastAsia="Calibri"/>
        </w:rPr>
      </w:pPr>
      <w:r>
        <w:rPr>
          <w:rFonts w:eastAsia="Calibri"/>
        </w:rPr>
        <w:t xml:space="preserve">FDA </w:t>
      </w:r>
      <w:r w:rsidR="00792947">
        <w:rPr>
          <w:rFonts w:eastAsia="Calibri"/>
        </w:rPr>
        <w:t xml:space="preserve">published a 60-day notice for public comment in the </w:t>
      </w:r>
      <w:r w:rsidRPr="009009E7" w:rsidR="00792947">
        <w:rPr>
          <w:rFonts w:eastAsia="Calibri"/>
          <w:i/>
        </w:rPr>
        <w:t>Federal Register</w:t>
      </w:r>
      <w:r w:rsidR="00792947">
        <w:rPr>
          <w:rFonts w:eastAsia="Calibri"/>
        </w:rPr>
        <w:t xml:space="preserve"> of </w:t>
      </w:r>
      <w:r w:rsidR="002A3435">
        <w:rPr>
          <w:rFonts w:eastAsia="Calibri"/>
        </w:rPr>
        <w:t>July 24, 2020</w:t>
      </w:r>
      <w:r w:rsidR="009009E7">
        <w:rPr>
          <w:rFonts w:eastAsia="Calibri"/>
        </w:rPr>
        <w:t xml:space="preserve"> (</w:t>
      </w:r>
      <w:r w:rsidR="002A3435">
        <w:rPr>
          <w:rFonts w:eastAsia="Calibri"/>
        </w:rPr>
        <w:t>85</w:t>
      </w:r>
      <w:r w:rsidR="009009E7">
        <w:rPr>
          <w:rFonts w:eastAsia="Calibri"/>
        </w:rPr>
        <w:t xml:space="preserve"> FR </w:t>
      </w:r>
      <w:r w:rsidR="002A3435">
        <w:rPr>
          <w:rFonts w:eastAsia="Calibri"/>
        </w:rPr>
        <w:t>44900</w:t>
      </w:r>
      <w:r w:rsidR="009009E7">
        <w:rPr>
          <w:rFonts w:eastAsia="Calibri"/>
        </w:rPr>
        <w:t>)</w:t>
      </w:r>
      <w:r w:rsidR="002A3435">
        <w:rPr>
          <w:rFonts w:eastAsia="Calibri"/>
        </w:rPr>
        <w:t xml:space="preserve">.  </w:t>
      </w:r>
      <w:r w:rsidR="00E25810">
        <w:rPr>
          <w:rFonts w:eastAsia="Calibri"/>
        </w:rPr>
        <w:t>One comment was received. The commenter suggested that FDA could</w:t>
      </w:r>
      <w:r w:rsidR="00431460">
        <w:rPr>
          <w:rFonts w:eastAsia="Calibri"/>
        </w:rPr>
        <w:t>, “</w:t>
      </w:r>
      <w:r w:rsidR="00431460">
        <w:rPr>
          <w:rFonts w:eastAsia="Calibri"/>
          <w:i/>
        </w:rPr>
        <w:t>[e]</w:t>
      </w:r>
      <w:r w:rsidRPr="00431460" w:rsidR="00E25810">
        <w:rPr>
          <w:i/>
          <w:iCs/>
        </w:rPr>
        <w:t>stablish an automated collection management system through the use of an AI and/or data analytics software.</w:t>
      </w:r>
      <w:r w:rsidRPr="00431460" w:rsidR="00E25810">
        <w:rPr>
          <w:rFonts w:eastAsia="Calibri"/>
          <w:i/>
        </w:rPr>
        <w:t xml:space="preserve">  This will increase efficiency and reduce the burden of information collection</w:t>
      </w:r>
      <w:r w:rsidR="00431460">
        <w:rPr>
          <w:rFonts w:eastAsia="Calibri"/>
          <w:i/>
        </w:rPr>
        <w:t>.”</w:t>
      </w:r>
      <w:r w:rsidR="005F034A">
        <w:rPr>
          <w:rFonts w:eastAsia="Calibri"/>
        </w:rPr>
        <w:t xml:space="preserve">  </w:t>
      </w:r>
      <w:r w:rsidR="00862843">
        <w:rPr>
          <w:rFonts w:eastAsia="Calibri"/>
        </w:rPr>
        <w:t>We appreciate th</w:t>
      </w:r>
      <w:r w:rsidR="005F034A">
        <w:rPr>
          <w:rFonts w:eastAsia="Calibri"/>
        </w:rPr>
        <w:t>is</w:t>
      </w:r>
      <w:r w:rsidR="00862843">
        <w:rPr>
          <w:rFonts w:eastAsia="Calibri"/>
        </w:rPr>
        <w:t xml:space="preserve"> comment</w:t>
      </w:r>
      <w:r w:rsidR="005F034A">
        <w:rPr>
          <w:rFonts w:eastAsia="Calibri"/>
        </w:rPr>
        <w:t xml:space="preserve">.  While we currently have an </w:t>
      </w:r>
      <w:r w:rsidR="00862843">
        <w:rPr>
          <w:rFonts w:eastAsia="Calibri"/>
        </w:rPr>
        <w:t>automated platform in place for th</w:t>
      </w:r>
      <w:r w:rsidR="005F034A">
        <w:rPr>
          <w:rFonts w:eastAsia="Calibri"/>
        </w:rPr>
        <w:t xml:space="preserve">e </w:t>
      </w:r>
      <w:r w:rsidR="00862843">
        <w:rPr>
          <w:rFonts w:eastAsia="Calibri"/>
        </w:rPr>
        <w:t>information collection</w:t>
      </w:r>
      <w:r w:rsidR="005F034A">
        <w:rPr>
          <w:rFonts w:eastAsia="Calibri"/>
        </w:rPr>
        <w:t xml:space="preserve">, we continually </w:t>
      </w:r>
      <w:r>
        <w:rPr>
          <w:rFonts w:eastAsia="Calibri"/>
        </w:rPr>
        <w:t>consider new efficiencies as our limited resources permit</w:t>
      </w:r>
      <w:r w:rsidR="00862843">
        <w:rPr>
          <w:rFonts w:eastAsia="Calibri"/>
        </w:rPr>
        <w:t>.</w:t>
      </w:r>
      <w:r w:rsidR="00E25810">
        <w:rPr>
          <w:rFonts w:eastAsia="Calibri"/>
        </w:rPr>
        <w:t xml:space="preserve">  </w:t>
      </w:r>
    </w:p>
    <w:p w:rsidRPr="00357C8A" w:rsidR="00357C8A" w:rsidP="006705EA" w:rsidRDefault="00357C8A" w14:paraId="136E8391"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2A3435" w:rsidR="00357C8A" w:rsidP="002A3435" w:rsidRDefault="00792947" w14:paraId="11BA0694" w14:textId="77777777">
      <w:pPr>
        <w:spacing w:after="200"/>
        <w:ind w:firstLine="360"/>
        <w:rPr>
          <w:rFonts w:eastAsia="Calibri"/>
          <w:i/>
        </w:rPr>
      </w:pPr>
      <w:r w:rsidRPr="002074FE">
        <w:rPr>
          <w:rFonts w:eastAsia="Calibri"/>
        </w:rPr>
        <w:t>There are no incentives, payments or gifts associated with this information collection.</w:t>
      </w:r>
    </w:p>
    <w:p w:rsidR="00825C6F" w:rsidRDefault="00825C6F" w14:paraId="306B5C75" w14:textId="77777777">
      <w:pPr>
        <w:rPr>
          <w:rFonts w:eastAsia="Calibri"/>
          <w:u w:val="single"/>
        </w:rPr>
      </w:pPr>
      <w:r>
        <w:rPr>
          <w:rFonts w:eastAsia="Calibri"/>
          <w:u w:val="single"/>
        </w:rPr>
        <w:br w:type="page"/>
      </w:r>
    </w:p>
    <w:p w:rsidRPr="00357C8A" w:rsidR="00357C8A" w:rsidP="006705EA" w:rsidRDefault="00357C8A" w14:paraId="289B1862" w14:textId="3CA566F3">
      <w:pPr>
        <w:numPr>
          <w:ilvl w:val="0"/>
          <w:numId w:val="6"/>
        </w:numPr>
        <w:spacing w:after="200" w:line="276" w:lineRule="auto"/>
        <w:rPr>
          <w:rFonts w:eastAsia="Calibri"/>
        </w:rPr>
      </w:pPr>
      <w:r w:rsidRPr="00357C8A">
        <w:rPr>
          <w:rFonts w:eastAsia="Calibri"/>
          <w:u w:val="single"/>
        </w:rPr>
        <w:t>Assurance of Confidentiality Provided to Respondents</w:t>
      </w:r>
    </w:p>
    <w:p w:rsidRPr="002955BD" w:rsidR="00EC0224" w:rsidP="00C67823" w:rsidRDefault="00EC0224" w14:paraId="4F95308C" w14:textId="23B4DF77">
      <w:pPr>
        <w:ind w:left="360"/>
      </w:pPr>
      <w:r w:rsidRPr="00C33858">
        <w:t xml:space="preserve">In preparing this </w:t>
      </w:r>
      <w:r w:rsidR="00C67823">
        <w:t>s</w:t>
      </w:r>
      <w:r w:rsidRPr="00C33858">
        <w:t xml:space="preserve">upporting </w:t>
      </w:r>
      <w:r w:rsidR="00C67823">
        <w:t>s</w:t>
      </w:r>
      <w:r w:rsidRPr="00C33858">
        <w:t xml:space="preserve">tatement, </w:t>
      </w:r>
      <w:r>
        <w:t xml:space="preserve">we </w:t>
      </w:r>
      <w:r w:rsidRPr="00C33858">
        <w:t xml:space="preserve">consulted </w:t>
      </w:r>
      <w:r>
        <w:t xml:space="preserve">our </w:t>
      </w:r>
      <w:r w:rsidRPr="00C33858">
        <w:t xml:space="preserve">Privacy Office to ensure appropriate </w:t>
      </w:r>
      <w:r>
        <w:t xml:space="preserve">identification and </w:t>
      </w:r>
      <w:r w:rsidRPr="00C33858">
        <w:t>handling of information collected.</w:t>
      </w:r>
      <w:r w:rsidR="00C67823">
        <w:t xml:space="preserve">  </w:t>
      </w:r>
      <w:r w:rsidRPr="002955BD">
        <w:t>This ICR collects personally identifiable information (PII)</w:t>
      </w:r>
      <w:r w:rsidR="00375FB3">
        <w:t xml:space="preserve"> pertaining to </w:t>
      </w:r>
      <w:r w:rsidRPr="002955BD">
        <w:t xml:space="preserve">subject individuals’ professional capacity and the FDA-related </w:t>
      </w:r>
      <w:r w:rsidRPr="002955BD">
        <w:lastRenderedPageBreak/>
        <w:t>work they perform for their employer (e.g., point of contact at a regulated entity).  The PII collected is</w:t>
      </w:r>
      <w:r w:rsidR="001B221E">
        <w:t xml:space="preserve"> the</w:t>
      </w:r>
      <w:r w:rsidRPr="002955BD">
        <w:t xml:space="preserve"> name of study director, scientists or professionals, and supervisory personnel</w:t>
      </w:r>
      <w:r w:rsidR="001B221E">
        <w:t>, which is included in the final study report</w:t>
      </w:r>
      <w:r w:rsidRPr="002955BD">
        <w:t>.</w:t>
      </w:r>
      <w:r w:rsidR="00236B51">
        <w:t xml:space="preserve">  </w:t>
      </w:r>
      <w:r w:rsidRPr="002955BD">
        <w:t>The</w:t>
      </w:r>
      <w:r w:rsidRPr="002955BD">
        <w:rPr>
          <w:color w:val="4472C4"/>
        </w:rPr>
        <w:t xml:space="preserve"> </w:t>
      </w:r>
      <w:r w:rsidRPr="002955BD">
        <w:t xml:space="preserve">GLP regulations require that, </w:t>
      </w:r>
      <w:r w:rsidR="001B221E">
        <w:t xml:space="preserve">among other things, </w:t>
      </w:r>
      <w:r w:rsidRPr="002955BD">
        <w:t xml:space="preserve">for each nonclinical laboratory study, a final report be prepared that documents the </w:t>
      </w:r>
      <w:r w:rsidR="001B221E">
        <w:t>dates</w:t>
      </w:r>
      <w:r w:rsidRPr="002955BD" w:rsidR="001B221E">
        <w:t xml:space="preserve"> </w:t>
      </w:r>
      <w:r w:rsidRPr="002955BD">
        <w:t>of quality assurance unit inspections, test and control article characterization, , and an overall interpretation of nonclinical laboratory s</w:t>
      </w:r>
      <w:r>
        <w:t>tudies.</w:t>
      </w:r>
      <w:r w:rsidR="00236B51">
        <w:t xml:space="preserve">  We have </w:t>
      </w:r>
      <w:r w:rsidRPr="002955BD">
        <w:t>minimized the PII collected to protect the privacy of the individuals.</w:t>
      </w:r>
    </w:p>
    <w:p w:rsidRPr="002955BD" w:rsidR="00EC0224" w:rsidP="00EC0224" w:rsidRDefault="00EC0224" w14:paraId="29745556" w14:textId="77777777"/>
    <w:p w:rsidR="002A3435" w:rsidP="00AF1D15" w:rsidRDefault="00EC0224" w14:paraId="1A737826" w14:textId="23D3124C">
      <w:pPr>
        <w:ind w:left="360"/>
      </w:pPr>
      <w:r w:rsidRPr="002955BD">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Pr="0034568A" w:rsidR="001801E3" w:rsidP="00AF1D15" w:rsidRDefault="001801E3" w14:paraId="7371BAB5" w14:textId="77777777">
      <w:pPr>
        <w:ind w:left="360"/>
      </w:pPr>
    </w:p>
    <w:p w:rsidRPr="001075D3" w:rsidR="001075D3" w:rsidP="001075D3" w:rsidRDefault="001075D3" w14:paraId="5AD4F82F" w14:textId="77777777">
      <w:pPr>
        <w:ind w:left="720"/>
      </w:pPr>
    </w:p>
    <w:p w:rsidRPr="00357C8A" w:rsidR="00357C8A" w:rsidP="006705EA" w:rsidRDefault="00357C8A" w14:paraId="37420DA0" w14:textId="77777777">
      <w:pPr>
        <w:numPr>
          <w:ilvl w:val="0"/>
          <w:numId w:val="6"/>
        </w:numPr>
        <w:spacing w:after="200" w:line="276" w:lineRule="auto"/>
        <w:rPr>
          <w:rFonts w:eastAsia="Calibri"/>
        </w:rPr>
      </w:pPr>
      <w:r w:rsidRPr="00357C8A">
        <w:rPr>
          <w:rFonts w:eastAsia="Calibri"/>
          <w:u w:val="single"/>
        </w:rPr>
        <w:t>Justification for Sensitive Questions</w:t>
      </w:r>
    </w:p>
    <w:p w:rsidRPr="002A3435" w:rsidR="001801E3" w:rsidP="002A3435" w:rsidRDefault="00357C8A" w14:paraId="4D74BBC1" w14:textId="69B20A43">
      <w:pPr>
        <w:spacing w:after="200"/>
        <w:ind w:firstLine="360"/>
        <w:rPr>
          <w:rFonts w:eastAsia="Calibri"/>
        </w:rPr>
      </w:pPr>
      <w:r w:rsidRPr="002A3435">
        <w:rPr>
          <w:rFonts w:eastAsia="Calibri"/>
        </w:rPr>
        <w:t>The collection of information does not involve sensitive questions.</w:t>
      </w:r>
    </w:p>
    <w:p w:rsidRPr="00357C8A" w:rsidR="00357C8A" w:rsidP="006705EA" w:rsidRDefault="00357C8A" w14:paraId="44492038"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D87308" w:rsidP="0022425B" w:rsidRDefault="00D87308" w14:paraId="20F06BA9" w14:textId="0FE4CE2D">
      <w:pPr>
        <w:spacing w:after="200"/>
        <w:ind w:left="360"/>
        <w:rPr>
          <w:rFonts w:eastAsia="Calibri"/>
        </w:rPr>
      </w:pPr>
      <w:r>
        <w:rPr>
          <w:rFonts w:eastAsia="Calibri"/>
          <w:i/>
        </w:rPr>
        <w:tab/>
      </w:r>
      <w:r w:rsidRPr="00AF1D15" w:rsidR="00357C8A">
        <w:rPr>
          <w:rFonts w:eastAsia="Calibri"/>
          <w:i/>
        </w:rPr>
        <w:t>12a</w:t>
      </w:r>
      <w:bookmarkStart w:name="_GoBack" w:id="0"/>
      <w:bookmarkEnd w:id="0"/>
      <w:r w:rsidRPr="00AF1D15" w:rsidR="00357C8A">
        <w:rPr>
          <w:rFonts w:eastAsia="Calibri"/>
          <w:i/>
        </w:rPr>
        <w:t>.  Annualized Hour Burden Estimate</w:t>
      </w:r>
    </w:p>
    <w:p w:rsidRPr="00D87308" w:rsidR="00D87308" w:rsidP="0022425B" w:rsidRDefault="00D87308" w14:paraId="57C64E1E" w14:textId="180280AB">
      <w:pPr>
        <w:spacing w:after="200"/>
        <w:ind w:left="360"/>
        <w:rPr>
          <w:rFonts w:eastAsia="Calibri"/>
        </w:rPr>
      </w:pPr>
      <w:r>
        <w:rPr>
          <w:rFonts w:eastAsia="Calibri"/>
        </w:rPr>
        <w:tab/>
      </w:r>
      <w:r w:rsidRPr="00D87308">
        <w:rPr>
          <w:rFonts w:eastAsia="Calibri"/>
        </w:rPr>
        <w:t>The annual burden for the information collection requirements in these regulations is estimated at 1,304,157 burden hours (517,849 plus 786,308 equals 1,304,157).  The hours per response estimates are based on our experience with similar programs and information received from industry.</w:t>
      </w:r>
    </w:p>
    <w:p w:rsidRPr="003B3116" w:rsidR="003B3116" w:rsidP="003B3116" w:rsidRDefault="003B3116" w14:paraId="5D4F39C6" w14:textId="77777777">
      <w:pPr>
        <w:contextualSpacing/>
        <w:jc w:val="center"/>
        <w:rPr>
          <w:sz w:val="20"/>
          <w:szCs w:val="20"/>
        </w:rPr>
      </w:pPr>
      <w:r w:rsidRPr="003B3116">
        <w:rPr>
          <w:sz w:val="20"/>
          <w:szCs w:val="20"/>
        </w:rPr>
        <w:t>Table 1 – Estimated Annual Reporting Burden</w:t>
      </w:r>
      <w:r w:rsidRPr="003B3116">
        <w:rPr>
          <w:sz w:val="20"/>
          <w:szCs w:val="20"/>
          <w:vertAlign w:val="superscript"/>
        </w:rPr>
        <w:t>1</w:t>
      </w:r>
    </w:p>
    <w:tbl>
      <w:tblPr>
        <w:tblW w:w="4909" w:type="pct"/>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1"/>
        <w:gridCol w:w="1485"/>
        <w:gridCol w:w="1483"/>
        <w:gridCol w:w="1114"/>
        <w:gridCol w:w="1297"/>
        <w:gridCol w:w="1164"/>
      </w:tblGrid>
      <w:tr w:rsidR="001801E3" w:rsidTr="00825C6F" w14:paraId="3F199B33" w14:textId="77777777">
        <w:trPr>
          <w:cantSplit/>
          <w:trHeight w:val="20"/>
        </w:trPr>
        <w:tc>
          <w:tcPr>
            <w:tcW w:w="1594" w:type="pct"/>
            <w:shd w:val="clear" w:color="auto" w:fill="auto"/>
          </w:tcPr>
          <w:p w:rsidRPr="003B3116" w:rsidR="003B3116" w:rsidP="003B3116" w:rsidRDefault="003B3116" w14:paraId="43683D8B" w14:textId="77777777">
            <w:pPr>
              <w:jc w:val="center"/>
              <w:rPr>
                <w:sz w:val="20"/>
                <w:szCs w:val="20"/>
              </w:rPr>
            </w:pPr>
            <w:r w:rsidRPr="003B3116">
              <w:rPr>
                <w:sz w:val="20"/>
                <w:szCs w:val="20"/>
              </w:rPr>
              <w:t>21 CFR Part</w:t>
            </w:r>
          </w:p>
        </w:tc>
        <w:tc>
          <w:tcPr>
            <w:tcW w:w="773" w:type="pct"/>
            <w:shd w:val="clear" w:color="auto" w:fill="auto"/>
          </w:tcPr>
          <w:p w:rsidRPr="003B3116" w:rsidR="003B3116" w:rsidP="003B3116" w:rsidRDefault="003B3116" w14:paraId="110DC475" w14:textId="77777777">
            <w:pPr>
              <w:jc w:val="center"/>
              <w:rPr>
                <w:sz w:val="20"/>
                <w:szCs w:val="20"/>
              </w:rPr>
            </w:pPr>
            <w:r w:rsidRPr="003B3116">
              <w:rPr>
                <w:sz w:val="20"/>
                <w:szCs w:val="20"/>
              </w:rPr>
              <w:t>No. of Respondents</w:t>
            </w:r>
          </w:p>
        </w:tc>
        <w:tc>
          <w:tcPr>
            <w:tcW w:w="772" w:type="pct"/>
            <w:shd w:val="clear" w:color="auto" w:fill="auto"/>
          </w:tcPr>
          <w:p w:rsidRPr="003B3116" w:rsidR="003B3116" w:rsidP="003B3116" w:rsidRDefault="003B3116" w14:paraId="58367081" w14:textId="77777777">
            <w:pPr>
              <w:jc w:val="center"/>
              <w:rPr>
                <w:sz w:val="20"/>
                <w:szCs w:val="20"/>
              </w:rPr>
            </w:pPr>
            <w:r w:rsidRPr="003B3116">
              <w:rPr>
                <w:sz w:val="20"/>
                <w:szCs w:val="20"/>
              </w:rPr>
              <w:t>No. of Responses per Respondent</w:t>
            </w:r>
          </w:p>
        </w:tc>
        <w:tc>
          <w:tcPr>
            <w:tcW w:w="580" w:type="pct"/>
            <w:shd w:val="clear" w:color="auto" w:fill="auto"/>
          </w:tcPr>
          <w:p w:rsidRPr="003B3116" w:rsidR="003B3116" w:rsidP="003B3116" w:rsidRDefault="003B3116" w14:paraId="3B86E0F3" w14:textId="77777777">
            <w:pPr>
              <w:jc w:val="center"/>
              <w:rPr>
                <w:sz w:val="20"/>
                <w:szCs w:val="20"/>
              </w:rPr>
            </w:pPr>
            <w:r w:rsidRPr="003B3116">
              <w:rPr>
                <w:sz w:val="20"/>
                <w:szCs w:val="20"/>
              </w:rPr>
              <w:t>Total Annual Responses</w:t>
            </w:r>
          </w:p>
        </w:tc>
        <w:tc>
          <w:tcPr>
            <w:tcW w:w="675" w:type="pct"/>
            <w:shd w:val="clear" w:color="auto" w:fill="auto"/>
          </w:tcPr>
          <w:p w:rsidRPr="003B3116" w:rsidR="003B3116" w:rsidP="003B3116" w:rsidRDefault="003B3116" w14:paraId="4070AD2F" w14:textId="77777777">
            <w:pPr>
              <w:jc w:val="center"/>
              <w:rPr>
                <w:sz w:val="20"/>
                <w:szCs w:val="20"/>
              </w:rPr>
            </w:pPr>
            <w:r w:rsidRPr="003B3116">
              <w:rPr>
                <w:sz w:val="20"/>
                <w:szCs w:val="20"/>
              </w:rPr>
              <w:t>Average Burden per Response</w:t>
            </w:r>
          </w:p>
        </w:tc>
        <w:tc>
          <w:tcPr>
            <w:tcW w:w="606" w:type="pct"/>
            <w:shd w:val="clear" w:color="auto" w:fill="auto"/>
          </w:tcPr>
          <w:p w:rsidRPr="003B3116" w:rsidR="003B3116" w:rsidP="003B3116" w:rsidRDefault="003B3116" w14:paraId="3DB0B4EC" w14:textId="77777777">
            <w:pPr>
              <w:jc w:val="center"/>
              <w:rPr>
                <w:sz w:val="20"/>
                <w:szCs w:val="20"/>
              </w:rPr>
            </w:pPr>
            <w:r w:rsidRPr="003B3116">
              <w:rPr>
                <w:sz w:val="20"/>
                <w:szCs w:val="20"/>
              </w:rPr>
              <w:t>Total Hours</w:t>
            </w:r>
          </w:p>
        </w:tc>
      </w:tr>
      <w:tr w:rsidR="001801E3" w:rsidTr="00825C6F" w14:paraId="4B3DECD9" w14:textId="77777777">
        <w:trPr>
          <w:cantSplit/>
          <w:trHeight w:val="20"/>
        </w:trPr>
        <w:tc>
          <w:tcPr>
            <w:tcW w:w="1594" w:type="pct"/>
            <w:shd w:val="clear" w:color="auto" w:fill="auto"/>
          </w:tcPr>
          <w:p w:rsidRPr="003B3116" w:rsidR="003B3116" w:rsidP="003B3116" w:rsidRDefault="003B3116" w14:paraId="5463C8B8" w14:textId="77777777">
            <w:pPr>
              <w:rPr>
                <w:sz w:val="20"/>
                <w:szCs w:val="20"/>
              </w:rPr>
            </w:pPr>
            <w:r w:rsidRPr="003B3116">
              <w:rPr>
                <w:sz w:val="20"/>
                <w:szCs w:val="20"/>
              </w:rPr>
              <w:t>58.35(b)(7); Quality assurance unit</w:t>
            </w:r>
          </w:p>
        </w:tc>
        <w:tc>
          <w:tcPr>
            <w:tcW w:w="773" w:type="pct"/>
            <w:shd w:val="clear" w:color="auto" w:fill="auto"/>
          </w:tcPr>
          <w:p w:rsidRPr="003B3116" w:rsidR="003B3116" w:rsidP="003B3116" w:rsidRDefault="003B3116" w14:paraId="131828D7" w14:textId="77777777">
            <w:pPr>
              <w:jc w:val="right"/>
              <w:rPr>
                <w:sz w:val="20"/>
                <w:szCs w:val="20"/>
              </w:rPr>
            </w:pPr>
            <w:r w:rsidRPr="003B3116">
              <w:rPr>
                <w:sz w:val="20"/>
                <w:szCs w:val="20"/>
              </w:rPr>
              <w:t>300</w:t>
            </w:r>
          </w:p>
        </w:tc>
        <w:tc>
          <w:tcPr>
            <w:tcW w:w="772" w:type="pct"/>
            <w:shd w:val="clear" w:color="auto" w:fill="auto"/>
          </w:tcPr>
          <w:p w:rsidRPr="003B3116" w:rsidR="003B3116" w:rsidP="003B3116" w:rsidRDefault="003B3116" w14:paraId="20E38C76" w14:textId="77777777">
            <w:pPr>
              <w:jc w:val="right"/>
              <w:rPr>
                <w:sz w:val="20"/>
                <w:szCs w:val="20"/>
              </w:rPr>
            </w:pPr>
            <w:r w:rsidRPr="003B3116">
              <w:rPr>
                <w:sz w:val="20"/>
                <w:szCs w:val="20"/>
              </w:rPr>
              <w:t>60.25</w:t>
            </w:r>
          </w:p>
        </w:tc>
        <w:tc>
          <w:tcPr>
            <w:tcW w:w="580" w:type="pct"/>
            <w:shd w:val="clear" w:color="auto" w:fill="auto"/>
          </w:tcPr>
          <w:p w:rsidRPr="003B3116" w:rsidR="003B3116" w:rsidP="003B3116" w:rsidRDefault="003B3116" w14:paraId="549041DD" w14:textId="77777777">
            <w:pPr>
              <w:jc w:val="right"/>
              <w:rPr>
                <w:sz w:val="20"/>
                <w:szCs w:val="20"/>
              </w:rPr>
            </w:pPr>
            <w:r w:rsidRPr="003B3116">
              <w:rPr>
                <w:sz w:val="20"/>
                <w:szCs w:val="20"/>
              </w:rPr>
              <w:t>18,075</w:t>
            </w:r>
          </w:p>
        </w:tc>
        <w:tc>
          <w:tcPr>
            <w:tcW w:w="675" w:type="pct"/>
            <w:shd w:val="clear" w:color="auto" w:fill="auto"/>
          </w:tcPr>
          <w:p w:rsidRPr="003B3116" w:rsidR="003B3116" w:rsidP="003B3116" w:rsidRDefault="003B3116" w14:paraId="3D3BA190" w14:textId="77777777">
            <w:pPr>
              <w:jc w:val="right"/>
              <w:rPr>
                <w:sz w:val="20"/>
                <w:szCs w:val="20"/>
              </w:rPr>
            </w:pPr>
            <w:r w:rsidRPr="003B3116">
              <w:rPr>
                <w:sz w:val="20"/>
                <w:szCs w:val="20"/>
              </w:rPr>
              <w:t>1</w:t>
            </w:r>
          </w:p>
        </w:tc>
        <w:tc>
          <w:tcPr>
            <w:tcW w:w="606" w:type="pct"/>
            <w:shd w:val="clear" w:color="auto" w:fill="auto"/>
          </w:tcPr>
          <w:p w:rsidRPr="003B3116" w:rsidR="003B3116" w:rsidP="003B3116" w:rsidRDefault="003B3116" w14:paraId="33B1E8D4" w14:textId="77777777">
            <w:pPr>
              <w:jc w:val="right"/>
              <w:rPr>
                <w:sz w:val="20"/>
                <w:szCs w:val="20"/>
              </w:rPr>
            </w:pPr>
            <w:r w:rsidRPr="003B3116">
              <w:rPr>
                <w:sz w:val="20"/>
                <w:szCs w:val="20"/>
              </w:rPr>
              <w:t>18,075</w:t>
            </w:r>
          </w:p>
        </w:tc>
      </w:tr>
      <w:tr w:rsidR="001801E3" w:rsidTr="00825C6F" w14:paraId="15A7BC39" w14:textId="77777777">
        <w:trPr>
          <w:cantSplit/>
          <w:trHeight w:val="20"/>
        </w:trPr>
        <w:tc>
          <w:tcPr>
            <w:tcW w:w="1594" w:type="pct"/>
            <w:shd w:val="clear" w:color="auto" w:fill="auto"/>
          </w:tcPr>
          <w:p w:rsidRPr="003B3116" w:rsidR="003B3116" w:rsidP="003B3116" w:rsidRDefault="003B3116" w14:paraId="21B426E3" w14:textId="77777777">
            <w:pPr>
              <w:rPr>
                <w:sz w:val="20"/>
                <w:szCs w:val="20"/>
              </w:rPr>
            </w:pPr>
            <w:r w:rsidRPr="003B3116">
              <w:rPr>
                <w:sz w:val="20"/>
                <w:szCs w:val="20"/>
              </w:rPr>
              <w:t>58.185; Reporting of nonclinical laboratory study results</w:t>
            </w:r>
          </w:p>
        </w:tc>
        <w:tc>
          <w:tcPr>
            <w:tcW w:w="773" w:type="pct"/>
            <w:shd w:val="clear" w:color="auto" w:fill="auto"/>
          </w:tcPr>
          <w:p w:rsidRPr="003B3116" w:rsidR="003B3116" w:rsidP="003B3116" w:rsidRDefault="003B3116" w14:paraId="17449514" w14:textId="77777777">
            <w:pPr>
              <w:jc w:val="right"/>
              <w:rPr>
                <w:sz w:val="20"/>
                <w:szCs w:val="20"/>
              </w:rPr>
            </w:pPr>
            <w:r w:rsidRPr="003B3116">
              <w:rPr>
                <w:sz w:val="20"/>
                <w:szCs w:val="20"/>
              </w:rPr>
              <w:t>300</w:t>
            </w:r>
          </w:p>
        </w:tc>
        <w:tc>
          <w:tcPr>
            <w:tcW w:w="772" w:type="pct"/>
            <w:shd w:val="clear" w:color="auto" w:fill="auto"/>
          </w:tcPr>
          <w:p w:rsidRPr="003B3116" w:rsidR="003B3116" w:rsidP="003B3116" w:rsidRDefault="003B3116" w14:paraId="3D17E619" w14:textId="77777777">
            <w:pPr>
              <w:jc w:val="right"/>
              <w:rPr>
                <w:sz w:val="20"/>
                <w:szCs w:val="20"/>
              </w:rPr>
            </w:pPr>
            <w:r w:rsidRPr="003B3116">
              <w:rPr>
                <w:sz w:val="20"/>
                <w:szCs w:val="20"/>
              </w:rPr>
              <w:t>60.25</w:t>
            </w:r>
          </w:p>
        </w:tc>
        <w:tc>
          <w:tcPr>
            <w:tcW w:w="580" w:type="pct"/>
            <w:shd w:val="clear" w:color="auto" w:fill="auto"/>
          </w:tcPr>
          <w:p w:rsidRPr="003B3116" w:rsidR="003B3116" w:rsidP="003B3116" w:rsidRDefault="003B3116" w14:paraId="58E33202" w14:textId="77777777">
            <w:pPr>
              <w:jc w:val="right"/>
              <w:rPr>
                <w:sz w:val="20"/>
                <w:szCs w:val="20"/>
              </w:rPr>
            </w:pPr>
            <w:r w:rsidRPr="003B3116">
              <w:rPr>
                <w:sz w:val="20"/>
                <w:szCs w:val="20"/>
              </w:rPr>
              <w:t>18,075</w:t>
            </w:r>
          </w:p>
        </w:tc>
        <w:tc>
          <w:tcPr>
            <w:tcW w:w="675" w:type="pct"/>
            <w:shd w:val="clear" w:color="auto" w:fill="auto"/>
          </w:tcPr>
          <w:p w:rsidRPr="003B3116" w:rsidR="003B3116" w:rsidP="003B3116" w:rsidRDefault="003B3116" w14:paraId="1F026A45" w14:textId="77777777">
            <w:pPr>
              <w:jc w:val="right"/>
              <w:rPr>
                <w:sz w:val="20"/>
                <w:szCs w:val="20"/>
              </w:rPr>
            </w:pPr>
            <w:r w:rsidRPr="003B3116">
              <w:rPr>
                <w:sz w:val="20"/>
                <w:szCs w:val="20"/>
              </w:rPr>
              <w:t>27.65</w:t>
            </w:r>
          </w:p>
        </w:tc>
        <w:tc>
          <w:tcPr>
            <w:tcW w:w="606" w:type="pct"/>
            <w:shd w:val="clear" w:color="auto" w:fill="auto"/>
          </w:tcPr>
          <w:p w:rsidRPr="003B3116" w:rsidR="003B3116" w:rsidP="003B3116" w:rsidRDefault="003B3116" w14:paraId="3AB38FFD" w14:textId="77777777">
            <w:pPr>
              <w:jc w:val="right"/>
              <w:rPr>
                <w:sz w:val="20"/>
                <w:szCs w:val="20"/>
              </w:rPr>
            </w:pPr>
            <w:r w:rsidRPr="003B3116">
              <w:rPr>
                <w:sz w:val="20"/>
                <w:szCs w:val="20"/>
              </w:rPr>
              <w:t>499,774</w:t>
            </w:r>
          </w:p>
        </w:tc>
      </w:tr>
      <w:tr w:rsidR="001801E3" w:rsidTr="00825C6F" w14:paraId="698FBA8A" w14:textId="77777777">
        <w:trPr>
          <w:cantSplit/>
          <w:trHeight w:val="20"/>
        </w:trPr>
        <w:tc>
          <w:tcPr>
            <w:tcW w:w="1594" w:type="pct"/>
            <w:shd w:val="clear" w:color="auto" w:fill="auto"/>
          </w:tcPr>
          <w:p w:rsidRPr="003B3116" w:rsidR="003B3116" w:rsidP="003B3116" w:rsidRDefault="003B3116" w14:paraId="5EEC8BFB" w14:textId="77777777">
            <w:pPr>
              <w:rPr>
                <w:sz w:val="20"/>
                <w:szCs w:val="20"/>
              </w:rPr>
            </w:pPr>
            <w:r w:rsidRPr="003B3116">
              <w:rPr>
                <w:sz w:val="20"/>
                <w:szCs w:val="20"/>
              </w:rPr>
              <w:t>Total</w:t>
            </w:r>
          </w:p>
        </w:tc>
        <w:tc>
          <w:tcPr>
            <w:tcW w:w="773" w:type="pct"/>
            <w:shd w:val="clear" w:color="auto" w:fill="auto"/>
          </w:tcPr>
          <w:p w:rsidRPr="003B3116" w:rsidR="003B3116" w:rsidP="003B3116" w:rsidRDefault="003B3116" w14:paraId="33C2FBA5" w14:textId="77777777">
            <w:pPr>
              <w:jc w:val="right"/>
              <w:rPr>
                <w:sz w:val="20"/>
                <w:szCs w:val="20"/>
              </w:rPr>
            </w:pPr>
          </w:p>
        </w:tc>
        <w:tc>
          <w:tcPr>
            <w:tcW w:w="772" w:type="pct"/>
            <w:shd w:val="clear" w:color="auto" w:fill="auto"/>
          </w:tcPr>
          <w:p w:rsidRPr="003B3116" w:rsidR="003B3116" w:rsidP="003B3116" w:rsidRDefault="003B3116" w14:paraId="5A3CAC27" w14:textId="77777777">
            <w:pPr>
              <w:jc w:val="right"/>
              <w:rPr>
                <w:sz w:val="20"/>
                <w:szCs w:val="20"/>
              </w:rPr>
            </w:pPr>
          </w:p>
        </w:tc>
        <w:tc>
          <w:tcPr>
            <w:tcW w:w="580" w:type="pct"/>
            <w:shd w:val="clear" w:color="auto" w:fill="auto"/>
          </w:tcPr>
          <w:p w:rsidRPr="003B3116" w:rsidR="003B3116" w:rsidP="003B3116" w:rsidRDefault="003B3116" w14:paraId="64A52B62" w14:textId="77777777">
            <w:pPr>
              <w:jc w:val="right"/>
              <w:rPr>
                <w:sz w:val="20"/>
                <w:szCs w:val="20"/>
              </w:rPr>
            </w:pPr>
          </w:p>
        </w:tc>
        <w:tc>
          <w:tcPr>
            <w:tcW w:w="675" w:type="pct"/>
            <w:shd w:val="clear" w:color="auto" w:fill="auto"/>
          </w:tcPr>
          <w:p w:rsidRPr="003B3116" w:rsidR="003B3116" w:rsidP="003B3116" w:rsidRDefault="003B3116" w14:paraId="2F7E38ED" w14:textId="77777777">
            <w:pPr>
              <w:jc w:val="right"/>
              <w:rPr>
                <w:sz w:val="20"/>
                <w:szCs w:val="20"/>
              </w:rPr>
            </w:pPr>
          </w:p>
        </w:tc>
        <w:tc>
          <w:tcPr>
            <w:tcW w:w="606" w:type="pct"/>
            <w:shd w:val="clear" w:color="auto" w:fill="auto"/>
          </w:tcPr>
          <w:p w:rsidRPr="003B3116" w:rsidR="003B3116" w:rsidP="003B3116" w:rsidRDefault="003B3116" w14:paraId="185AAC46" w14:textId="77777777">
            <w:pPr>
              <w:jc w:val="right"/>
              <w:rPr>
                <w:sz w:val="20"/>
                <w:szCs w:val="20"/>
              </w:rPr>
            </w:pPr>
            <w:r w:rsidRPr="003B3116">
              <w:rPr>
                <w:sz w:val="20"/>
                <w:szCs w:val="20"/>
              </w:rPr>
              <w:t>517,849</w:t>
            </w:r>
          </w:p>
        </w:tc>
      </w:tr>
    </w:tbl>
    <w:p w:rsidRPr="00AF1D15" w:rsidR="003B3116" w:rsidP="00825C6F" w:rsidRDefault="003B3116" w14:paraId="3971DF22" w14:textId="1282E7D7">
      <w:pPr>
        <w:ind w:left="270"/>
        <w:rPr>
          <w:sz w:val="20"/>
          <w:szCs w:val="20"/>
        </w:rPr>
      </w:pPr>
      <w:r w:rsidRPr="003B3116">
        <w:rPr>
          <w:sz w:val="20"/>
          <w:szCs w:val="20"/>
          <w:vertAlign w:val="superscript"/>
        </w:rPr>
        <w:t>1</w:t>
      </w:r>
      <w:r w:rsidRPr="003B3116">
        <w:rPr>
          <w:sz w:val="20"/>
          <w:szCs w:val="20"/>
        </w:rPr>
        <w:t xml:space="preserve"> There are no capital costs or operating and maintenance costs associated with this collection of information.</w:t>
      </w:r>
    </w:p>
    <w:p w:rsidR="003B3116" w:rsidP="005A278C" w:rsidRDefault="003B3116" w14:paraId="6089E109" w14:textId="77777777">
      <w:pPr>
        <w:contextualSpacing/>
        <w:rPr>
          <w:sz w:val="20"/>
          <w:szCs w:val="20"/>
        </w:rPr>
      </w:pPr>
    </w:p>
    <w:p w:rsidR="00825C6F" w:rsidRDefault="00825C6F" w14:paraId="0819628A" w14:textId="77777777">
      <w:pPr>
        <w:rPr>
          <w:sz w:val="20"/>
          <w:szCs w:val="20"/>
        </w:rPr>
      </w:pPr>
      <w:r>
        <w:rPr>
          <w:sz w:val="20"/>
          <w:szCs w:val="20"/>
        </w:rPr>
        <w:br w:type="page"/>
      </w:r>
    </w:p>
    <w:p w:rsidRPr="003B3116" w:rsidR="003B3116" w:rsidP="00AF1D15" w:rsidRDefault="003B3116" w14:paraId="248AED43" w14:textId="75A64E5E">
      <w:pPr>
        <w:keepLines/>
        <w:widowControl w:val="0"/>
        <w:contextualSpacing/>
        <w:jc w:val="center"/>
        <w:rPr>
          <w:sz w:val="20"/>
          <w:szCs w:val="20"/>
        </w:rPr>
      </w:pPr>
      <w:r w:rsidRPr="003B3116">
        <w:rPr>
          <w:sz w:val="20"/>
          <w:szCs w:val="20"/>
        </w:rPr>
        <w:t>Table 2 – Estimated Annual Recordkeeping Burden</w:t>
      </w:r>
      <w:r w:rsidRPr="003B3116">
        <w:rPr>
          <w:sz w:val="20"/>
          <w:szCs w:val="20"/>
          <w:vertAlign w:val="superscript"/>
        </w:rPr>
        <w:t>1</w:t>
      </w:r>
    </w:p>
    <w:tbl>
      <w:tblPr>
        <w:tblW w:w="4909" w:type="pct"/>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77"/>
        <w:gridCol w:w="1577"/>
        <w:gridCol w:w="1577"/>
        <w:gridCol w:w="1022"/>
        <w:gridCol w:w="1483"/>
        <w:gridCol w:w="1068"/>
      </w:tblGrid>
      <w:tr w:rsidR="003B3116" w:rsidTr="00825C6F" w14:paraId="1B0317DA" w14:textId="77777777">
        <w:trPr>
          <w:trHeight w:val="710"/>
          <w:tblHeader/>
        </w:trPr>
        <w:tc>
          <w:tcPr>
            <w:tcW w:w="1498" w:type="pct"/>
            <w:shd w:val="clear" w:color="auto" w:fill="auto"/>
          </w:tcPr>
          <w:p w:rsidRPr="003B3116" w:rsidR="003B3116" w:rsidP="00AF1D15" w:rsidRDefault="003B3116" w14:paraId="00BCF8C3" w14:textId="77777777">
            <w:pPr>
              <w:keepNext/>
              <w:keepLines/>
              <w:widowControl w:val="0"/>
              <w:jc w:val="center"/>
              <w:rPr>
                <w:sz w:val="20"/>
                <w:szCs w:val="20"/>
              </w:rPr>
            </w:pPr>
            <w:r w:rsidRPr="003B3116">
              <w:rPr>
                <w:sz w:val="20"/>
                <w:szCs w:val="20"/>
              </w:rPr>
              <w:lastRenderedPageBreak/>
              <w:t xml:space="preserve">21 CFR Part </w:t>
            </w:r>
          </w:p>
        </w:tc>
        <w:tc>
          <w:tcPr>
            <w:tcW w:w="821" w:type="pct"/>
            <w:shd w:val="clear" w:color="auto" w:fill="auto"/>
          </w:tcPr>
          <w:p w:rsidRPr="003B3116" w:rsidR="003B3116" w:rsidP="00AF1D15" w:rsidRDefault="003B3116" w14:paraId="6CA00703" w14:textId="77777777">
            <w:pPr>
              <w:keepNext/>
              <w:keepLines/>
              <w:widowControl w:val="0"/>
              <w:jc w:val="center"/>
              <w:rPr>
                <w:sz w:val="20"/>
                <w:szCs w:val="20"/>
              </w:rPr>
            </w:pPr>
            <w:r w:rsidRPr="003B3116">
              <w:rPr>
                <w:sz w:val="20"/>
                <w:szCs w:val="20"/>
              </w:rPr>
              <w:t>No. of Recordkeepers</w:t>
            </w:r>
          </w:p>
        </w:tc>
        <w:tc>
          <w:tcPr>
            <w:tcW w:w="821" w:type="pct"/>
            <w:shd w:val="clear" w:color="auto" w:fill="auto"/>
          </w:tcPr>
          <w:p w:rsidRPr="003B3116" w:rsidR="003B3116" w:rsidP="00AF1D15" w:rsidRDefault="003B3116" w14:paraId="5239E471" w14:textId="77777777">
            <w:pPr>
              <w:keepNext/>
              <w:keepLines/>
              <w:widowControl w:val="0"/>
              <w:jc w:val="center"/>
              <w:rPr>
                <w:sz w:val="20"/>
                <w:szCs w:val="20"/>
              </w:rPr>
            </w:pPr>
            <w:r w:rsidRPr="003B3116">
              <w:rPr>
                <w:bCs/>
                <w:sz w:val="20"/>
                <w:szCs w:val="20"/>
              </w:rPr>
              <w:t>No. of Records per Recordkeeper</w:t>
            </w:r>
          </w:p>
        </w:tc>
        <w:tc>
          <w:tcPr>
            <w:tcW w:w="532" w:type="pct"/>
            <w:shd w:val="clear" w:color="auto" w:fill="auto"/>
          </w:tcPr>
          <w:p w:rsidRPr="003B3116" w:rsidR="003B3116" w:rsidP="00AF1D15" w:rsidRDefault="003B3116" w14:paraId="11FDAD14" w14:textId="77777777">
            <w:pPr>
              <w:keepNext/>
              <w:keepLines/>
              <w:widowControl w:val="0"/>
              <w:jc w:val="center"/>
              <w:rPr>
                <w:sz w:val="20"/>
                <w:szCs w:val="20"/>
              </w:rPr>
            </w:pPr>
            <w:r w:rsidRPr="003B3116">
              <w:rPr>
                <w:sz w:val="20"/>
                <w:szCs w:val="20"/>
              </w:rPr>
              <w:t>Total Annual Records</w:t>
            </w:r>
          </w:p>
        </w:tc>
        <w:tc>
          <w:tcPr>
            <w:tcW w:w="772" w:type="pct"/>
            <w:shd w:val="clear" w:color="auto" w:fill="auto"/>
          </w:tcPr>
          <w:p w:rsidRPr="003B3116" w:rsidR="003B3116" w:rsidP="00AF1D15" w:rsidRDefault="003B3116" w14:paraId="4BE58C91" w14:textId="77777777">
            <w:pPr>
              <w:keepNext/>
              <w:keepLines/>
              <w:widowControl w:val="0"/>
              <w:jc w:val="center"/>
              <w:rPr>
                <w:sz w:val="20"/>
                <w:szCs w:val="20"/>
              </w:rPr>
            </w:pPr>
            <w:r w:rsidRPr="003B3116">
              <w:rPr>
                <w:bCs/>
                <w:sz w:val="20"/>
                <w:szCs w:val="20"/>
              </w:rPr>
              <w:t xml:space="preserve">Average Burden per Recordkeeping </w:t>
            </w:r>
          </w:p>
        </w:tc>
        <w:tc>
          <w:tcPr>
            <w:tcW w:w="556" w:type="pct"/>
            <w:shd w:val="clear" w:color="auto" w:fill="auto"/>
          </w:tcPr>
          <w:p w:rsidRPr="003B3116" w:rsidR="003B3116" w:rsidP="00AF1D15" w:rsidRDefault="003B3116" w14:paraId="404E6846" w14:textId="77777777">
            <w:pPr>
              <w:keepNext/>
              <w:keepLines/>
              <w:widowControl w:val="0"/>
              <w:jc w:val="center"/>
              <w:rPr>
                <w:sz w:val="20"/>
                <w:szCs w:val="20"/>
              </w:rPr>
            </w:pPr>
            <w:r w:rsidRPr="003B3116">
              <w:rPr>
                <w:sz w:val="20"/>
                <w:szCs w:val="20"/>
              </w:rPr>
              <w:t>Total Hours</w:t>
            </w:r>
          </w:p>
        </w:tc>
      </w:tr>
      <w:tr w:rsidR="003B3116" w:rsidTr="00825C6F" w14:paraId="304829D4" w14:textId="77777777">
        <w:trPr>
          <w:trHeight w:val="521"/>
        </w:trPr>
        <w:tc>
          <w:tcPr>
            <w:tcW w:w="1498" w:type="pct"/>
            <w:shd w:val="clear" w:color="auto" w:fill="auto"/>
          </w:tcPr>
          <w:p w:rsidRPr="003B3116" w:rsidR="003B3116" w:rsidP="003B3116" w:rsidRDefault="003B3116" w14:paraId="60B6D88A" w14:textId="77777777">
            <w:pPr>
              <w:keepNext/>
              <w:rPr>
                <w:sz w:val="20"/>
                <w:szCs w:val="20"/>
              </w:rPr>
            </w:pPr>
            <w:r w:rsidRPr="003B3116">
              <w:rPr>
                <w:sz w:val="20"/>
                <w:szCs w:val="20"/>
              </w:rPr>
              <w:t>58.29(b); Personnel</w:t>
            </w:r>
          </w:p>
        </w:tc>
        <w:tc>
          <w:tcPr>
            <w:tcW w:w="821" w:type="pct"/>
            <w:shd w:val="clear" w:color="auto" w:fill="auto"/>
          </w:tcPr>
          <w:p w:rsidRPr="003B3116" w:rsidR="003B3116" w:rsidP="003B3116" w:rsidRDefault="003B3116" w14:paraId="619E17DF" w14:textId="77777777">
            <w:pPr>
              <w:keepNext/>
              <w:jc w:val="right"/>
              <w:rPr>
                <w:sz w:val="20"/>
                <w:szCs w:val="20"/>
              </w:rPr>
            </w:pPr>
            <w:r w:rsidRPr="003B3116">
              <w:rPr>
                <w:sz w:val="20"/>
                <w:szCs w:val="20"/>
              </w:rPr>
              <w:t>300</w:t>
            </w:r>
          </w:p>
        </w:tc>
        <w:tc>
          <w:tcPr>
            <w:tcW w:w="821" w:type="pct"/>
            <w:shd w:val="clear" w:color="auto" w:fill="auto"/>
          </w:tcPr>
          <w:p w:rsidRPr="003B3116" w:rsidR="003B3116" w:rsidP="003B3116" w:rsidRDefault="003B3116" w14:paraId="0906BBE1" w14:textId="77777777">
            <w:pPr>
              <w:keepNext/>
              <w:jc w:val="right"/>
              <w:rPr>
                <w:sz w:val="20"/>
                <w:szCs w:val="20"/>
              </w:rPr>
            </w:pPr>
            <w:r w:rsidRPr="003B3116">
              <w:rPr>
                <w:sz w:val="20"/>
                <w:szCs w:val="20"/>
              </w:rPr>
              <w:t>20</w:t>
            </w:r>
          </w:p>
        </w:tc>
        <w:tc>
          <w:tcPr>
            <w:tcW w:w="532" w:type="pct"/>
            <w:shd w:val="clear" w:color="auto" w:fill="auto"/>
          </w:tcPr>
          <w:p w:rsidRPr="003B3116" w:rsidR="003B3116" w:rsidP="003B3116" w:rsidRDefault="003B3116" w14:paraId="62624F7F" w14:textId="77777777">
            <w:pPr>
              <w:keepNext/>
              <w:jc w:val="right"/>
              <w:rPr>
                <w:sz w:val="20"/>
                <w:szCs w:val="20"/>
              </w:rPr>
            </w:pPr>
            <w:r w:rsidRPr="003B3116">
              <w:rPr>
                <w:sz w:val="20"/>
                <w:szCs w:val="20"/>
              </w:rPr>
              <w:t>6,000</w:t>
            </w:r>
          </w:p>
        </w:tc>
        <w:tc>
          <w:tcPr>
            <w:tcW w:w="772" w:type="pct"/>
            <w:shd w:val="clear" w:color="auto" w:fill="auto"/>
          </w:tcPr>
          <w:p w:rsidR="00AF1D15" w:rsidP="003B3116" w:rsidRDefault="003B3116" w14:paraId="209AECB6" w14:textId="77777777">
            <w:pPr>
              <w:keepNext/>
              <w:jc w:val="right"/>
              <w:rPr>
                <w:sz w:val="20"/>
                <w:szCs w:val="20"/>
              </w:rPr>
            </w:pPr>
            <w:r w:rsidRPr="003B3116">
              <w:rPr>
                <w:sz w:val="20"/>
                <w:szCs w:val="20"/>
              </w:rPr>
              <w:t xml:space="preserve">.21 </w:t>
            </w:r>
          </w:p>
          <w:p w:rsidRPr="003B3116" w:rsidR="003B3116" w:rsidP="003B3116" w:rsidRDefault="003B3116" w14:paraId="7090B425" w14:textId="7C27DECA">
            <w:pPr>
              <w:keepNext/>
              <w:jc w:val="right"/>
              <w:rPr>
                <w:sz w:val="20"/>
                <w:szCs w:val="20"/>
              </w:rPr>
            </w:pPr>
            <w:r w:rsidRPr="003B3116">
              <w:rPr>
                <w:sz w:val="20"/>
                <w:szCs w:val="20"/>
              </w:rPr>
              <w:t>(13 mi</w:t>
            </w:r>
            <w:r w:rsidR="00AF1D15">
              <w:rPr>
                <w:sz w:val="20"/>
                <w:szCs w:val="20"/>
              </w:rPr>
              <w:t>ns.</w:t>
            </w:r>
            <w:r w:rsidRPr="003B3116">
              <w:rPr>
                <w:sz w:val="20"/>
                <w:szCs w:val="20"/>
              </w:rPr>
              <w:t>)</w:t>
            </w:r>
          </w:p>
        </w:tc>
        <w:tc>
          <w:tcPr>
            <w:tcW w:w="556" w:type="pct"/>
            <w:shd w:val="clear" w:color="auto" w:fill="auto"/>
          </w:tcPr>
          <w:p w:rsidRPr="003B3116" w:rsidR="003B3116" w:rsidP="003B3116" w:rsidRDefault="003B3116" w14:paraId="7A5BD6B0" w14:textId="77777777">
            <w:pPr>
              <w:keepNext/>
              <w:jc w:val="right"/>
              <w:rPr>
                <w:sz w:val="20"/>
                <w:szCs w:val="20"/>
              </w:rPr>
            </w:pPr>
            <w:r w:rsidRPr="003B3116">
              <w:rPr>
                <w:sz w:val="20"/>
                <w:szCs w:val="20"/>
              </w:rPr>
              <w:t>1,260</w:t>
            </w:r>
          </w:p>
        </w:tc>
      </w:tr>
      <w:tr w:rsidR="003B3116" w:rsidTr="00825C6F" w14:paraId="1FC9E285" w14:textId="77777777">
        <w:trPr>
          <w:trHeight w:val="530"/>
        </w:trPr>
        <w:tc>
          <w:tcPr>
            <w:tcW w:w="1498" w:type="pct"/>
            <w:shd w:val="clear" w:color="auto" w:fill="auto"/>
          </w:tcPr>
          <w:p w:rsidRPr="003B3116" w:rsidR="003B3116" w:rsidP="003B3116" w:rsidRDefault="003B3116" w14:paraId="5B7988A6" w14:textId="77777777">
            <w:pPr>
              <w:keepNext/>
              <w:rPr>
                <w:sz w:val="20"/>
                <w:szCs w:val="20"/>
              </w:rPr>
            </w:pPr>
            <w:r w:rsidRPr="003B3116">
              <w:rPr>
                <w:sz w:val="20"/>
                <w:szCs w:val="20"/>
              </w:rPr>
              <w:t>58.35(b)(1)-(6), and (c); Quality assurance unit</w:t>
            </w:r>
          </w:p>
        </w:tc>
        <w:tc>
          <w:tcPr>
            <w:tcW w:w="821" w:type="pct"/>
            <w:shd w:val="clear" w:color="auto" w:fill="auto"/>
          </w:tcPr>
          <w:p w:rsidRPr="003B3116" w:rsidR="003B3116" w:rsidP="003B3116" w:rsidRDefault="003B3116" w14:paraId="607C31F4" w14:textId="77777777">
            <w:pPr>
              <w:keepNext/>
              <w:jc w:val="right"/>
              <w:rPr>
                <w:sz w:val="20"/>
                <w:szCs w:val="20"/>
              </w:rPr>
            </w:pPr>
            <w:r w:rsidRPr="003B3116">
              <w:rPr>
                <w:sz w:val="20"/>
                <w:szCs w:val="20"/>
              </w:rPr>
              <w:t>300</w:t>
            </w:r>
          </w:p>
        </w:tc>
        <w:tc>
          <w:tcPr>
            <w:tcW w:w="821" w:type="pct"/>
            <w:shd w:val="clear" w:color="auto" w:fill="auto"/>
          </w:tcPr>
          <w:p w:rsidRPr="003B3116" w:rsidR="003B3116" w:rsidP="003B3116" w:rsidRDefault="003B3116" w14:paraId="17953BD4" w14:textId="77777777">
            <w:pPr>
              <w:keepNext/>
              <w:jc w:val="right"/>
              <w:rPr>
                <w:sz w:val="20"/>
                <w:szCs w:val="20"/>
              </w:rPr>
            </w:pPr>
            <w:r w:rsidRPr="003B3116">
              <w:rPr>
                <w:sz w:val="20"/>
                <w:szCs w:val="20"/>
              </w:rPr>
              <w:t>270.76</w:t>
            </w:r>
          </w:p>
        </w:tc>
        <w:tc>
          <w:tcPr>
            <w:tcW w:w="532" w:type="pct"/>
            <w:shd w:val="clear" w:color="auto" w:fill="auto"/>
          </w:tcPr>
          <w:p w:rsidRPr="003B3116" w:rsidR="003B3116" w:rsidP="003B3116" w:rsidRDefault="003B3116" w14:paraId="5324F3DB" w14:textId="77777777">
            <w:pPr>
              <w:keepNext/>
              <w:jc w:val="right"/>
              <w:rPr>
                <w:sz w:val="20"/>
                <w:szCs w:val="20"/>
              </w:rPr>
            </w:pPr>
            <w:r w:rsidRPr="003B3116">
              <w:rPr>
                <w:sz w:val="20"/>
                <w:szCs w:val="20"/>
              </w:rPr>
              <w:t>81,228</w:t>
            </w:r>
          </w:p>
        </w:tc>
        <w:tc>
          <w:tcPr>
            <w:tcW w:w="772" w:type="pct"/>
            <w:shd w:val="clear" w:color="auto" w:fill="auto"/>
          </w:tcPr>
          <w:p w:rsidRPr="003B3116" w:rsidR="003B3116" w:rsidP="003B3116" w:rsidRDefault="003B3116" w14:paraId="4BABE91B" w14:textId="77777777">
            <w:pPr>
              <w:jc w:val="right"/>
              <w:rPr>
                <w:sz w:val="20"/>
                <w:szCs w:val="20"/>
              </w:rPr>
            </w:pPr>
            <w:r w:rsidRPr="003B3116">
              <w:rPr>
                <w:sz w:val="20"/>
                <w:szCs w:val="20"/>
              </w:rPr>
              <w:t>3.36</w:t>
            </w:r>
          </w:p>
        </w:tc>
        <w:tc>
          <w:tcPr>
            <w:tcW w:w="556" w:type="pct"/>
            <w:shd w:val="clear" w:color="auto" w:fill="auto"/>
          </w:tcPr>
          <w:p w:rsidRPr="003B3116" w:rsidR="003B3116" w:rsidP="003B3116" w:rsidRDefault="003B3116" w14:paraId="1D1A94C4" w14:textId="77777777">
            <w:pPr>
              <w:keepNext/>
              <w:jc w:val="right"/>
              <w:rPr>
                <w:sz w:val="20"/>
                <w:szCs w:val="20"/>
              </w:rPr>
            </w:pPr>
            <w:r w:rsidRPr="003B3116">
              <w:rPr>
                <w:sz w:val="20"/>
                <w:szCs w:val="20"/>
              </w:rPr>
              <w:t>272,926</w:t>
            </w:r>
          </w:p>
        </w:tc>
      </w:tr>
      <w:tr w:rsidR="003B3116" w:rsidTr="00825C6F" w14:paraId="4E03D5EF" w14:textId="77777777">
        <w:trPr>
          <w:trHeight w:val="530"/>
        </w:trPr>
        <w:tc>
          <w:tcPr>
            <w:tcW w:w="1498" w:type="pct"/>
            <w:shd w:val="clear" w:color="auto" w:fill="auto"/>
          </w:tcPr>
          <w:p w:rsidRPr="003B3116" w:rsidR="003B3116" w:rsidP="003B3116" w:rsidRDefault="003B3116" w14:paraId="1F03CE74" w14:textId="77777777">
            <w:pPr>
              <w:keepNext/>
              <w:rPr>
                <w:sz w:val="20"/>
                <w:szCs w:val="20"/>
              </w:rPr>
            </w:pPr>
            <w:r w:rsidRPr="003B3116">
              <w:rPr>
                <w:sz w:val="20"/>
                <w:szCs w:val="20"/>
              </w:rPr>
              <w:t>58.63(b) and (c); Maintenance and calibration of equipment</w:t>
            </w:r>
          </w:p>
        </w:tc>
        <w:tc>
          <w:tcPr>
            <w:tcW w:w="821" w:type="pct"/>
            <w:shd w:val="clear" w:color="auto" w:fill="auto"/>
          </w:tcPr>
          <w:p w:rsidRPr="003B3116" w:rsidR="003B3116" w:rsidP="003B3116" w:rsidRDefault="003B3116" w14:paraId="7013EC37" w14:textId="77777777">
            <w:pPr>
              <w:keepNext/>
              <w:jc w:val="right"/>
              <w:rPr>
                <w:sz w:val="20"/>
                <w:szCs w:val="20"/>
              </w:rPr>
            </w:pPr>
            <w:r w:rsidRPr="003B3116">
              <w:rPr>
                <w:sz w:val="20"/>
                <w:szCs w:val="20"/>
              </w:rPr>
              <w:t>300</w:t>
            </w:r>
          </w:p>
        </w:tc>
        <w:tc>
          <w:tcPr>
            <w:tcW w:w="821" w:type="pct"/>
            <w:shd w:val="clear" w:color="auto" w:fill="auto"/>
          </w:tcPr>
          <w:p w:rsidRPr="003B3116" w:rsidR="003B3116" w:rsidP="003B3116" w:rsidRDefault="003B3116" w14:paraId="4759DD09" w14:textId="77777777">
            <w:pPr>
              <w:keepNext/>
              <w:jc w:val="right"/>
              <w:rPr>
                <w:sz w:val="20"/>
                <w:szCs w:val="20"/>
              </w:rPr>
            </w:pPr>
            <w:r w:rsidRPr="003B3116">
              <w:rPr>
                <w:sz w:val="20"/>
                <w:szCs w:val="20"/>
              </w:rPr>
              <w:t>60</w:t>
            </w:r>
          </w:p>
        </w:tc>
        <w:tc>
          <w:tcPr>
            <w:tcW w:w="532" w:type="pct"/>
            <w:shd w:val="clear" w:color="auto" w:fill="auto"/>
          </w:tcPr>
          <w:p w:rsidRPr="003B3116" w:rsidR="003B3116" w:rsidP="003B3116" w:rsidRDefault="003B3116" w14:paraId="5D818134" w14:textId="77777777">
            <w:pPr>
              <w:keepNext/>
              <w:jc w:val="right"/>
              <w:rPr>
                <w:sz w:val="20"/>
                <w:szCs w:val="20"/>
              </w:rPr>
            </w:pPr>
            <w:r w:rsidRPr="003B3116">
              <w:rPr>
                <w:sz w:val="20"/>
                <w:szCs w:val="20"/>
              </w:rPr>
              <w:t>18,000</w:t>
            </w:r>
          </w:p>
        </w:tc>
        <w:tc>
          <w:tcPr>
            <w:tcW w:w="772" w:type="pct"/>
            <w:shd w:val="clear" w:color="auto" w:fill="auto"/>
          </w:tcPr>
          <w:p w:rsidR="00AF1D15" w:rsidP="003B3116" w:rsidRDefault="003B3116" w14:paraId="09CB3768" w14:textId="77777777">
            <w:pPr>
              <w:jc w:val="right"/>
              <w:rPr>
                <w:sz w:val="20"/>
                <w:szCs w:val="20"/>
              </w:rPr>
            </w:pPr>
            <w:r w:rsidRPr="003B3116">
              <w:rPr>
                <w:sz w:val="20"/>
                <w:szCs w:val="20"/>
              </w:rPr>
              <w:t xml:space="preserve">.09 </w:t>
            </w:r>
          </w:p>
          <w:p w:rsidRPr="003B3116" w:rsidR="003B3116" w:rsidP="003B3116" w:rsidRDefault="003B3116" w14:paraId="4C46870D" w14:textId="54C0F6DC">
            <w:pPr>
              <w:jc w:val="right"/>
              <w:rPr>
                <w:sz w:val="20"/>
                <w:szCs w:val="20"/>
              </w:rPr>
            </w:pPr>
            <w:r w:rsidRPr="003B3116">
              <w:rPr>
                <w:sz w:val="20"/>
                <w:szCs w:val="20"/>
              </w:rPr>
              <w:t>(5 mi</w:t>
            </w:r>
            <w:r w:rsidR="00AF1D15">
              <w:rPr>
                <w:sz w:val="20"/>
                <w:szCs w:val="20"/>
              </w:rPr>
              <w:t>ns.</w:t>
            </w:r>
            <w:r w:rsidRPr="003B3116">
              <w:rPr>
                <w:sz w:val="20"/>
                <w:szCs w:val="20"/>
              </w:rPr>
              <w:t>)</w:t>
            </w:r>
          </w:p>
        </w:tc>
        <w:tc>
          <w:tcPr>
            <w:tcW w:w="556" w:type="pct"/>
            <w:shd w:val="clear" w:color="auto" w:fill="auto"/>
          </w:tcPr>
          <w:p w:rsidRPr="003B3116" w:rsidR="003B3116" w:rsidP="003B3116" w:rsidRDefault="003B3116" w14:paraId="48B7CB6C" w14:textId="77777777">
            <w:pPr>
              <w:keepNext/>
              <w:jc w:val="right"/>
              <w:rPr>
                <w:sz w:val="20"/>
                <w:szCs w:val="20"/>
              </w:rPr>
            </w:pPr>
            <w:r w:rsidRPr="003B3116">
              <w:rPr>
                <w:sz w:val="20"/>
                <w:szCs w:val="20"/>
              </w:rPr>
              <w:t>1,620</w:t>
            </w:r>
          </w:p>
        </w:tc>
      </w:tr>
      <w:tr w:rsidR="003B3116" w:rsidTr="00825C6F" w14:paraId="3DD44AAF" w14:textId="77777777">
        <w:trPr>
          <w:trHeight w:val="359"/>
        </w:trPr>
        <w:tc>
          <w:tcPr>
            <w:tcW w:w="1498" w:type="pct"/>
            <w:shd w:val="clear" w:color="auto" w:fill="auto"/>
          </w:tcPr>
          <w:p w:rsidRPr="003B3116" w:rsidR="003B3116" w:rsidP="003B3116" w:rsidRDefault="003B3116" w14:paraId="04331AA7" w14:textId="77777777">
            <w:pPr>
              <w:keepNext/>
              <w:rPr>
                <w:sz w:val="20"/>
                <w:szCs w:val="20"/>
              </w:rPr>
            </w:pPr>
            <w:r w:rsidRPr="003B3116">
              <w:rPr>
                <w:sz w:val="20"/>
                <w:szCs w:val="20"/>
              </w:rPr>
              <w:t>58.81(a)-(c); SOPs</w:t>
            </w:r>
          </w:p>
        </w:tc>
        <w:tc>
          <w:tcPr>
            <w:tcW w:w="821" w:type="pct"/>
            <w:shd w:val="clear" w:color="auto" w:fill="auto"/>
          </w:tcPr>
          <w:p w:rsidRPr="003B3116" w:rsidR="003B3116" w:rsidP="003B3116" w:rsidRDefault="003B3116" w14:paraId="37923091" w14:textId="77777777">
            <w:pPr>
              <w:keepNext/>
              <w:jc w:val="right"/>
              <w:rPr>
                <w:sz w:val="20"/>
                <w:szCs w:val="20"/>
              </w:rPr>
            </w:pPr>
            <w:r w:rsidRPr="003B3116">
              <w:rPr>
                <w:sz w:val="20"/>
                <w:szCs w:val="20"/>
              </w:rPr>
              <w:t>300</w:t>
            </w:r>
          </w:p>
        </w:tc>
        <w:tc>
          <w:tcPr>
            <w:tcW w:w="821" w:type="pct"/>
            <w:shd w:val="clear" w:color="auto" w:fill="auto"/>
          </w:tcPr>
          <w:p w:rsidRPr="003B3116" w:rsidR="003B3116" w:rsidP="003B3116" w:rsidRDefault="003B3116" w14:paraId="7E5DF17B" w14:textId="77777777">
            <w:pPr>
              <w:keepNext/>
              <w:jc w:val="right"/>
              <w:rPr>
                <w:sz w:val="20"/>
                <w:szCs w:val="20"/>
              </w:rPr>
            </w:pPr>
            <w:r w:rsidRPr="003B3116">
              <w:rPr>
                <w:sz w:val="20"/>
                <w:szCs w:val="20"/>
              </w:rPr>
              <w:t>301.80</w:t>
            </w:r>
          </w:p>
        </w:tc>
        <w:tc>
          <w:tcPr>
            <w:tcW w:w="532" w:type="pct"/>
            <w:shd w:val="clear" w:color="auto" w:fill="auto"/>
          </w:tcPr>
          <w:p w:rsidRPr="003B3116" w:rsidR="003B3116" w:rsidP="003B3116" w:rsidRDefault="003B3116" w14:paraId="7505EE79" w14:textId="77777777">
            <w:pPr>
              <w:keepNext/>
              <w:jc w:val="right"/>
              <w:rPr>
                <w:sz w:val="20"/>
                <w:szCs w:val="20"/>
              </w:rPr>
            </w:pPr>
            <w:r w:rsidRPr="003B3116">
              <w:rPr>
                <w:sz w:val="20"/>
                <w:szCs w:val="20"/>
              </w:rPr>
              <w:t>90,540</w:t>
            </w:r>
          </w:p>
        </w:tc>
        <w:tc>
          <w:tcPr>
            <w:tcW w:w="772" w:type="pct"/>
            <w:shd w:val="clear" w:color="auto" w:fill="auto"/>
          </w:tcPr>
          <w:p w:rsidR="00AF1D15" w:rsidP="003B3116" w:rsidRDefault="003B3116" w14:paraId="60172BA2" w14:textId="77777777">
            <w:pPr>
              <w:jc w:val="right"/>
              <w:rPr>
                <w:sz w:val="20"/>
                <w:szCs w:val="20"/>
              </w:rPr>
            </w:pPr>
            <w:r w:rsidRPr="003B3116">
              <w:rPr>
                <w:sz w:val="20"/>
                <w:szCs w:val="20"/>
              </w:rPr>
              <w:t xml:space="preserve">.14 </w:t>
            </w:r>
          </w:p>
          <w:p w:rsidRPr="003B3116" w:rsidR="003B3116" w:rsidP="003B3116" w:rsidRDefault="003B3116" w14:paraId="7F9A7C48" w14:textId="760CB20A">
            <w:pPr>
              <w:jc w:val="right"/>
              <w:rPr>
                <w:sz w:val="20"/>
                <w:szCs w:val="20"/>
              </w:rPr>
            </w:pPr>
            <w:r w:rsidRPr="003B3116">
              <w:rPr>
                <w:sz w:val="20"/>
                <w:szCs w:val="20"/>
              </w:rPr>
              <w:t xml:space="preserve">(8 </w:t>
            </w:r>
            <w:r w:rsidR="00AF1D15">
              <w:rPr>
                <w:sz w:val="20"/>
                <w:szCs w:val="20"/>
              </w:rPr>
              <w:t>min</w:t>
            </w:r>
            <w:r w:rsidRPr="003B3116">
              <w:rPr>
                <w:sz w:val="20"/>
                <w:szCs w:val="20"/>
              </w:rPr>
              <w:t>s</w:t>
            </w:r>
            <w:r w:rsidR="00AF1D15">
              <w:rPr>
                <w:sz w:val="20"/>
                <w:szCs w:val="20"/>
              </w:rPr>
              <w:t>.</w:t>
            </w:r>
            <w:r w:rsidRPr="003B3116">
              <w:rPr>
                <w:sz w:val="20"/>
                <w:szCs w:val="20"/>
              </w:rPr>
              <w:t>)</w:t>
            </w:r>
          </w:p>
        </w:tc>
        <w:tc>
          <w:tcPr>
            <w:tcW w:w="556" w:type="pct"/>
            <w:shd w:val="clear" w:color="auto" w:fill="auto"/>
          </w:tcPr>
          <w:p w:rsidRPr="003B3116" w:rsidR="003B3116" w:rsidP="003B3116" w:rsidRDefault="003B3116" w14:paraId="649EDEC0" w14:textId="77777777">
            <w:pPr>
              <w:keepNext/>
              <w:jc w:val="right"/>
              <w:rPr>
                <w:sz w:val="20"/>
                <w:szCs w:val="20"/>
              </w:rPr>
            </w:pPr>
            <w:r w:rsidRPr="003B3116">
              <w:rPr>
                <w:sz w:val="20"/>
                <w:szCs w:val="20"/>
              </w:rPr>
              <w:t>12,676</w:t>
            </w:r>
          </w:p>
        </w:tc>
      </w:tr>
      <w:tr w:rsidR="003B3116" w:rsidTr="00825C6F" w14:paraId="58832A4E" w14:textId="77777777">
        <w:trPr>
          <w:trHeight w:val="440"/>
        </w:trPr>
        <w:tc>
          <w:tcPr>
            <w:tcW w:w="1498" w:type="pct"/>
            <w:shd w:val="clear" w:color="auto" w:fill="auto"/>
          </w:tcPr>
          <w:p w:rsidRPr="003B3116" w:rsidR="003B3116" w:rsidP="003B3116" w:rsidRDefault="003B3116" w14:paraId="1441FABC" w14:textId="77777777">
            <w:pPr>
              <w:keepNext/>
              <w:rPr>
                <w:sz w:val="20"/>
                <w:szCs w:val="20"/>
              </w:rPr>
            </w:pPr>
            <w:r w:rsidRPr="003B3116">
              <w:rPr>
                <w:sz w:val="20"/>
                <w:szCs w:val="20"/>
              </w:rPr>
              <w:t>58.90(c) and (g); Animal care</w:t>
            </w:r>
          </w:p>
        </w:tc>
        <w:tc>
          <w:tcPr>
            <w:tcW w:w="821" w:type="pct"/>
            <w:shd w:val="clear" w:color="auto" w:fill="auto"/>
          </w:tcPr>
          <w:p w:rsidRPr="003B3116" w:rsidR="003B3116" w:rsidP="003B3116" w:rsidRDefault="003B3116" w14:paraId="423CCBFF" w14:textId="77777777">
            <w:pPr>
              <w:keepNext/>
              <w:jc w:val="right"/>
              <w:rPr>
                <w:sz w:val="20"/>
                <w:szCs w:val="20"/>
              </w:rPr>
            </w:pPr>
            <w:r w:rsidRPr="003B3116">
              <w:rPr>
                <w:sz w:val="20"/>
                <w:szCs w:val="20"/>
              </w:rPr>
              <w:t>300</w:t>
            </w:r>
          </w:p>
        </w:tc>
        <w:tc>
          <w:tcPr>
            <w:tcW w:w="821" w:type="pct"/>
            <w:shd w:val="clear" w:color="auto" w:fill="auto"/>
          </w:tcPr>
          <w:p w:rsidRPr="003B3116" w:rsidR="003B3116" w:rsidP="003B3116" w:rsidRDefault="003B3116" w14:paraId="316ADD57" w14:textId="77777777">
            <w:pPr>
              <w:keepNext/>
              <w:jc w:val="right"/>
              <w:rPr>
                <w:sz w:val="20"/>
                <w:szCs w:val="20"/>
              </w:rPr>
            </w:pPr>
            <w:r w:rsidRPr="003B3116">
              <w:rPr>
                <w:sz w:val="20"/>
                <w:szCs w:val="20"/>
              </w:rPr>
              <w:t>62.70</w:t>
            </w:r>
          </w:p>
        </w:tc>
        <w:tc>
          <w:tcPr>
            <w:tcW w:w="532" w:type="pct"/>
            <w:shd w:val="clear" w:color="auto" w:fill="auto"/>
          </w:tcPr>
          <w:p w:rsidRPr="003B3116" w:rsidR="003B3116" w:rsidP="003B3116" w:rsidRDefault="003B3116" w14:paraId="6BBA1511" w14:textId="77777777">
            <w:pPr>
              <w:keepNext/>
              <w:jc w:val="right"/>
              <w:rPr>
                <w:sz w:val="20"/>
                <w:szCs w:val="20"/>
              </w:rPr>
            </w:pPr>
            <w:r w:rsidRPr="003B3116">
              <w:rPr>
                <w:sz w:val="20"/>
                <w:szCs w:val="20"/>
              </w:rPr>
              <w:t>18,810</w:t>
            </w:r>
          </w:p>
        </w:tc>
        <w:tc>
          <w:tcPr>
            <w:tcW w:w="772" w:type="pct"/>
            <w:shd w:val="clear" w:color="auto" w:fill="auto"/>
          </w:tcPr>
          <w:p w:rsidR="00AF1D15" w:rsidP="003B3116" w:rsidRDefault="003B3116" w14:paraId="1D2E3125" w14:textId="77777777">
            <w:pPr>
              <w:jc w:val="right"/>
              <w:rPr>
                <w:sz w:val="20"/>
                <w:szCs w:val="20"/>
              </w:rPr>
            </w:pPr>
            <w:r w:rsidRPr="003B3116">
              <w:rPr>
                <w:sz w:val="20"/>
                <w:szCs w:val="20"/>
              </w:rPr>
              <w:t xml:space="preserve">.13 </w:t>
            </w:r>
          </w:p>
          <w:p w:rsidRPr="003B3116" w:rsidR="003B3116" w:rsidP="003B3116" w:rsidRDefault="003B3116" w14:paraId="5CC70B6F" w14:textId="5E37EA3D">
            <w:pPr>
              <w:jc w:val="right"/>
              <w:rPr>
                <w:sz w:val="20"/>
                <w:szCs w:val="20"/>
              </w:rPr>
            </w:pPr>
            <w:r w:rsidRPr="003B3116">
              <w:rPr>
                <w:sz w:val="20"/>
                <w:szCs w:val="20"/>
              </w:rPr>
              <w:t>(8 mi</w:t>
            </w:r>
            <w:r w:rsidR="00AF1D15">
              <w:rPr>
                <w:sz w:val="20"/>
                <w:szCs w:val="20"/>
              </w:rPr>
              <w:t>ns.</w:t>
            </w:r>
            <w:r w:rsidRPr="003B3116">
              <w:rPr>
                <w:sz w:val="20"/>
                <w:szCs w:val="20"/>
              </w:rPr>
              <w:t>)</w:t>
            </w:r>
          </w:p>
        </w:tc>
        <w:tc>
          <w:tcPr>
            <w:tcW w:w="556" w:type="pct"/>
            <w:shd w:val="clear" w:color="auto" w:fill="auto"/>
          </w:tcPr>
          <w:p w:rsidRPr="003B3116" w:rsidR="003B3116" w:rsidP="003B3116" w:rsidRDefault="003B3116" w14:paraId="5B0E8EA5" w14:textId="77777777">
            <w:pPr>
              <w:keepNext/>
              <w:jc w:val="right"/>
              <w:rPr>
                <w:sz w:val="20"/>
                <w:szCs w:val="20"/>
              </w:rPr>
            </w:pPr>
            <w:r w:rsidRPr="003B3116">
              <w:rPr>
                <w:sz w:val="20"/>
                <w:szCs w:val="20"/>
              </w:rPr>
              <w:t>2,445</w:t>
            </w:r>
          </w:p>
        </w:tc>
      </w:tr>
      <w:tr w:rsidR="003B3116" w:rsidTr="00825C6F" w14:paraId="6C91E10E" w14:textId="77777777">
        <w:trPr>
          <w:trHeight w:val="620"/>
        </w:trPr>
        <w:tc>
          <w:tcPr>
            <w:tcW w:w="1498" w:type="pct"/>
            <w:shd w:val="clear" w:color="auto" w:fill="auto"/>
          </w:tcPr>
          <w:p w:rsidRPr="003B3116" w:rsidR="003B3116" w:rsidP="003B3116" w:rsidRDefault="003B3116" w14:paraId="3AFACE6C" w14:textId="77777777">
            <w:pPr>
              <w:keepNext/>
              <w:rPr>
                <w:sz w:val="20"/>
                <w:szCs w:val="20"/>
              </w:rPr>
            </w:pPr>
            <w:r w:rsidRPr="003B3116">
              <w:rPr>
                <w:sz w:val="20"/>
                <w:szCs w:val="20"/>
              </w:rPr>
              <w:t>58.105(a) and (b); Test and control article characterization</w:t>
            </w:r>
          </w:p>
        </w:tc>
        <w:tc>
          <w:tcPr>
            <w:tcW w:w="821" w:type="pct"/>
            <w:shd w:val="clear" w:color="auto" w:fill="auto"/>
          </w:tcPr>
          <w:p w:rsidRPr="003B3116" w:rsidR="003B3116" w:rsidP="003B3116" w:rsidRDefault="003B3116" w14:paraId="42CDE824" w14:textId="77777777">
            <w:pPr>
              <w:keepNext/>
              <w:jc w:val="right"/>
              <w:rPr>
                <w:sz w:val="20"/>
                <w:szCs w:val="20"/>
              </w:rPr>
            </w:pPr>
            <w:r w:rsidRPr="003B3116">
              <w:rPr>
                <w:sz w:val="20"/>
                <w:szCs w:val="20"/>
              </w:rPr>
              <w:t>300</w:t>
            </w:r>
          </w:p>
        </w:tc>
        <w:tc>
          <w:tcPr>
            <w:tcW w:w="821" w:type="pct"/>
            <w:shd w:val="clear" w:color="auto" w:fill="auto"/>
          </w:tcPr>
          <w:p w:rsidRPr="003B3116" w:rsidR="003B3116" w:rsidP="003B3116" w:rsidRDefault="003B3116" w14:paraId="704F7DEC" w14:textId="77777777">
            <w:pPr>
              <w:keepNext/>
              <w:jc w:val="right"/>
              <w:rPr>
                <w:sz w:val="20"/>
                <w:szCs w:val="20"/>
              </w:rPr>
            </w:pPr>
            <w:r w:rsidRPr="003B3116">
              <w:rPr>
                <w:sz w:val="20"/>
                <w:szCs w:val="20"/>
              </w:rPr>
              <w:t>5</w:t>
            </w:r>
          </w:p>
        </w:tc>
        <w:tc>
          <w:tcPr>
            <w:tcW w:w="532" w:type="pct"/>
            <w:shd w:val="clear" w:color="auto" w:fill="auto"/>
          </w:tcPr>
          <w:p w:rsidRPr="003B3116" w:rsidR="003B3116" w:rsidP="003B3116" w:rsidRDefault="003B3116" w14:paraId="349EC690" w14:textId="77777777">
            <w:pPr>
              <w:keepNext/>
              <w:jc w:val="right"/>
              <w:rPr>
                <w:sz w:val="20"/>
                <w:szCs w:val="20"/>
              </w:rPr>
            </w:pPr>
            <w:r w:rsidRPr="003B3116">
              <w:rPr>
                <w:sz w:val="20"/>
                <w:szCs w:val="20"/>
              </w:rPr>
              <w:t>1,500</w:t>
            </w:r>
          </w:p>
        </w:tc>
        <w:tc>
          <w:tcPr>
            <w:tcW w:w="772" w:type="pct"/>
            <w:shd w:val="clear" w:color="auto" w:fill="auto"/>
          </w:tcPr>
          <w:p w:rsidRPr="003B3116" w:rsidR="003B3116" w:rsidP="003B3116" w:rsidRDefault="003B3116" w14:paraId="4A3457A8" w14:textId="77777777">
            <w:pPr>
              <w:jc w:val="right"/>
              <w:rPr>
                <w:sz w:val="20"/>
                <w:szCs w:val="20"/>
              </w:rPr>
            </w:pPr>
            <w:r w:rsidRPr="003B3116">
              <w:rPr>
                <w:sz w:val="20"/>
                <w:szCs w:val="20"/>
              </w:rPr>
              <w:t>11.8</w:t>
            </w:r>
          </w:p>
        </w:tc>
        <w:tc>
          <w:tcPr>
            <w:tcW w:w="556" w:type="pct"/>
            <w:shd w:val="clear" w:color="auto" w:fill="auto"/>
          </w:tcPr>
          <w:p w:rsidRPr="003B3116" w:rsidR="003B3116" w:rsidP="003B3116" w:rsidRDefault="003B3116" w14:paraId="55139D99" w14:textId="77777777">
            <w:pPr>
              <w:keepNext/>
              <w:jc w:val="right"/>
              <w:rPr>
                <w:sz w:val="20"/>
                <w:szCs w:val="20"/>
              </w:rPr>
            </w:pPr>
            <w:r w:rsidRPr="003B3116">
              <w:rPr>
                <w:sz w:val="20"/>
                <w:szCs w:val="20"/>
              </w:rPr>
              <w:t>17,700</w:t>
            </w:r>
          </w:p>
        </w:tc>
      </w:tr>
      <w:tr w:rsidR="003B3116" w:rsidTr="00825C6F" w14:paraId="61682F99" w14:textId="77777777">
        <w:trPr>
          <w:trHeight w:val="521"/>
        </w:trPr>
        <w:tc>
          <w:tcPr>
            <w:tcW w:w="1498" w:type="pct"/>
            <w:shd w:val="clear" w:color="auto" w:fill="auto"/>
          </w:tcPr>
          <w:p w:rsidRPr="003B3116" w:rsidR="003B3116" w:rsidP="003B3116" w:rsidRDefault="003B3116" w14:paraId="3373B432" w14:textId="77777777">
            <w:pPr>
              <w:keepNext/>
              <w:rPr>
                <w:sz w:val="20"/>
                <w:szCs w:val="20"/>
              </w:rPr>
            </w:pPr>
            <w:r w:rsidRPr="003B3116">
              <w:rPr>
                <w:sz w:val="20"/>
                <w:szCs w:val="20"/>
              </w:rPr>
              <w:t>58.107(d); Test and control article handling</w:t>
            </w:r>
          </w:p>
        </w:tc>
        <w:tc>
          <w:tcPr>
            <w:tcW w:w="821" w:type="pct"/>
            <w:shd w:val="clear" w:color="auto" w:fill="auto"/>
          </w:tcPr>
          <w:p w:rsidRPr="003B3116" w:rsidR="003B3116" w:rsidP="003B3116" w:rsidRDefault="003B3116" w14:paraId="78D4C165" w14:textId="77777777">
            <w:pPr>
              <w:keepNext/>
              <w:jc w:val="right"/>
              <w:rPr>
                <w:sz w:val="20"/>
                <w:szCs w:val="20"/>
              </w:rPr>
            </w:pPr>
            <w:r w:rsidRPr="003B3116">
              <w:rPr>
                <w:sz w:val="20"/>
                <w:szCs w:val="20"/>
              </w:rPr>
              <w:t>300</w:t>
            </w:r>
          </w:p>
        </w:tc>
        <w:tc>
          <w:tcPr>
            <w:tcW w:w="821" w:type="pct"/>
            <w:shd w:val="clear" w:color="auto" w:fill="auto"/>
          </w:tcPr>
          <w:p w:rsidRPr="003B3116" w:rsidR="003B3116" w:rsidP="003B3116" w:rsidRDefault="003B3116" w14:paraId="150C3ABA" w14:textId="77777777">
            <w:pPr>
              <w:keepNext/>
              <w:jc w:val="right"/>
              <w:rPr>
                <w:sz w:val="20"/>
                <w:szCs w:val="20"/>
              </w:rPr>
            </w:pPr>
            <w:r w:rsidRPr="003B3116">
              <w:rPr>
                <w:sz w:val="20"/>
                <w:szCs w:val="20"/>
              </w:rPr>
              <w:t>1</w:t>
            </w:r>
          </w:p>
        </w:tc>
        <w:tc>
          <w:tcPr>
            <w:tcW w:w="532" w:type="pct"/>
            <w:shd w:val="clear" w:color="auto" w:fill="auto"/>
          </w:tcPr>
          <w:p w:rsidRPr="003B3116" w:rsidR="003B3116" w:rsidP="003B3116" w:rsidRDefault="003B3116" w14:paraId="1135AEF1" w14:textId="77777777">
            <w:pPr>
              <w:keepNext/>
              <w:jc w:val="right"/>
              <w:rPr>
                <w:sz w:val="20"/>
                <w:szCs w:val="20"/>
              </w:rPr>
            </w:pPr>
            <w:r w:rsidRPr="003B3116">
              <w:rPr>
                <w:sz w:val="20"/>
                <w:szCs w:val="20"/>
              </w:rPr>
              <w:t>300</w:t>
            </w:r>
          </w:p>
        </w:tc>
        <w:tc>
          <w:tcPr>
            <w:tcW w:w="772" w:type="pct"/>
            <w:shd w:val="clear" w:color="auto" w:fill="auto"/>
          </w:tcPr>
          <w:p w:rsidRPr="003B3116" w:rsidR="003B3116" w:rsidP="003B3116" w:rsidRDefault="003B3116" w14:paraId="5384FDF6" w14:textId="77777777">
            <w:pPr>
              <w:jc w:val="right"/>
              <w:rPr>
                <w:sz w:val="20"/>
                <w:szCs w:val="20"/>
              </w:rPr>
            </w:pPr>
            <w:r w:rsidRPr="003B3116">
              <w:rPr>
                <w:sz w:val="20"/>
                <w:szCs w:val="20"/>
              </w:rPr>
              <w:t>4.25</w:t>
            </w:r>
          </w:p>
        </w:tc>
        <w:tc>
          <w:tcPr>
            <w:tcW w:w="556" w:type="pct"/>
            <w:shd w:val="clear" w:color="auto" w:fill="auto"/>
          </w:tcPr>
          <w:p w:rsidRPr="003B3116" w:rsidR="003B3116" w:rsidP="003B3116" w:rsidRDefault="003B3116" w14:paraId="300F98DD" w14:textId="77777777">
            <w:pPr>
              <w:keepNext/>
              <w:jc w:val="right"/>
              <w:rPr>
                <w:sz w:val="20"/>
                <w:szCs w:val="20"/>
              </w:rPr>
            </w:pPr>
            <w:r w:rsidRPr="003B3116">
              <w:rPr>
                <w:sz w:val="20"/>
                <w:szCs w:val="20"/>
              </w:rPr>
              <w:t>1,275</w:t>
            </w:r>
          </w:p>
        </w:tc>
      </w:tr>
      <w:tr w:rsidR="003B3116" w:rsidTr="00825C6F" w14:paraId="2E2CD42E" w14:textId="77777777">
        <w:trPr>
          <w:trHeight w:val="539"/>
        </w:trPr>
        <w:tc>
          <w:tcPr>
            <w:tcW w:w="1498" w:type="pct"/>
            <w:shd w:val="clear" w:color="auto" w:fill="auto"/>
          </w:tcPr>
          <w:p w:rsidRPr="003B3116" w:rsidR="003B3116" w:rsidP="003B3116" w:rsidRDefault="003B3116" w14:paraId="74F6EE33" w14:textId="77777777">
            <w:pPr>
              <w:keepNext/>
              <w:rPr>
                <w:sz w:val="20"/>
                <w:szCs w:val="20"/>
              </w:rPr>
            </w:pPr>
            <w:r w:rsidRPr="003B3116">
              <w:rPr>
                <w:sz w:val="20"/>
                <w:szCs w:val="20"/>
              </w:rPr>
              <w:t>58.113(a); Mixtures of articles with carriers</w:t>
            </w:r>
          </w:p>
        </w:tc>
        <w:tc>
          <w:tcPr>
            <w:tcW w:w="821" w:type="pct"/>
            <w:shd w:val="clear" w:color="auto" w:fill="auto"/>
          </w:tcPr>
          <w:p w:rsidRPr="003B3116" w:rsidR="003B3116" w:rsidP="003B3116" w:rsidRDefault="003B3116" w14:paraId="401D10C4" w14:textId="77777777">
            <w:pPr>
              <w:keepNext/>
              <w:jc w:val="right"/>
              <w:rPr>
                <w:sz w:val="20"/>
                <w:szCs w:val="20"/>
              </w:rPr>
            </w:pPr>
            <w:r w:rsidRPr="003B3116">
              <w:rPr>
                <w:sz w:val="20"/>
                <w:szCs w:val="20"/>
              </w:rPr>
              <w:t>300</w:t>
            </w:r>
          </w:p>
        </w:tc>
        <w:tc>
          <w:tcPr>
            <w:tcW w:w="821" w:type="pct"/>
            <w:shd w:val="clear" w:color="auto" w:fill="auto"/>
          </w:tcPr>
          <w:p w:rsidRPr="003B3116" w:rsidR="003B3116" w:rsidP="003B3116" w:rsidRDefault="003B3116" w14:paraId="3618FAF5" w14:textId="77777777">
            <w:pPr>
              <w:keepNext/>
              <w:jc w:val="right"/>
              <w:rPr>
                <w:sz w:val="20"/>
                <w:szCs w:val="20"/>
              </w:rPr>
            </w:pPr>
            <w:r w:rsidRPr="003B3116">
              <w:rPr>
                <w:sz w:val="20"/>
                <w:szCs w:val="20"/>
              </w:rPr>
              <w:t>15.33</w:t>
            </w:r>
          </w:p>
        </w:tc>
        <w:tc>
          <w:tcPr>
            <w:tcW w:w="532" w:type="pct"/>
            <w:shd w:val="clear" w:color="auto" w:fill="auto"/>
          </w:tcPr>
          <w:p w:rsidRPr="003B3116" w:rsidR="003B3116" w:rsidP="003B3116" w:rsidRDefault="003B3116" w14:paraId="776054FA" w14:textId="77777777">
            <w:pPr>
              <w:keepNext/>
              <w:jc w:val="right"/>
              <w:rPr>
                <w:sz w:val="20"/>
                <w:szCs w:val="20"/>
              </w:rPr>
            </w:pPr>
            <w:r w:rsidRPr="003B3116">
              <w:rPr>
                <w:sz w:val="20"/>
                <w:szCs w:val="20"/>
              </w:rPr>
              <w:t>4,599</w:t>
            </w:r>
          </w:p>
        </w:tc>
        <w:tc>
          <w:tcPr>
            <w:tcW w:w="772" w:type="pct"/>
            <w:shd w:val="clear" w:color="auto" w:fill="auto"/>
          </w:tcPr>
          <w:p w:rsidRPr="003B3116" w:rsidR="003B3116" w:rsidP="003B3116" w:rsidRDefault="003B3116" w14:paraId="45A90211" w14:textId="77777777">
            <w:pPr>
              <w:jc w:val="right"/>
              <w:rPr>
                <w:sz w:val="20"/>
                <w:szCs w:val="20"/>
              </w:rPr>
            </w:pPr>
            <w:r w:rsidRPr="003B3116">
              <w:rPr>
                <w:sz w:val="20"/>
                <w:szCs w:val="20"/>
              </w:rPr>
              <w:t>6.8</w:t>
            </w:r>
          </w:p>
        </w:tc>
        <w:tc>
          <w:tcPr>
            <w:tcW w:w="556" w:type="pct"/>
            <w:shd w:val="clear" w:color="auto" w:fill="auto"/>
          </w:tcPr>
          <w:p w:rsidRPr="003B3116" w:rsidR="003B3116" w:rsidP="003B3116" w:rsidRDefault="003B3116" w14:paraId="7FC11AC4" w14:textId="77777777">
            <w:pPr>
              <w:keepNext/>
              <w:jc w:val="right"/>
              <w:rPr>
                <w:sz w:val="20"/>
                <w:szCs w:val="20"/>
              </w:rPr>
            </w:pPr>
            <w:r w:rsidRPr="003B3116">
              <w:rPr>
                <w:sz w:val="20"/>
                <w:szCs w:val="20"/>
              </w:rPr>
              <w:t>31,273</w:t>
            </w:r>
          </w:p>
        </w:tc>
      </w:tr>
      <w:tr w:rsidR="003B3116" w:rsidTr="00825C6F" w14:paraId="2D8350F7" w14:textId="77777777">
        <w:trPr>
          <w:trHeight w:val="350"/>
        </w:trPr>
        <w:tc>
          <w:tcPr>
            <w:tcW w:w="1498" w:type="pct"/>
            <w:shd w:val="clear" w:color="auto" w:fill="auto"/>
          </w:tcPr>
          <w:p w:rsidRPr="003B3116" w:rsidR="003B3116" w:rsidP="003B3116" w:rsidRDefault="003B3116" w14:paraId="08D4AFAC" w14:textId="77777777">
            <w:pPr>
              <w:keepNext/>
              <w:rPr>
                <w:sz w:val="20"/>
                <w:szCs w:val="20"/>
              </w:rPr>
            </w:pPr>
            <w:r w:rsidRPr="003B3116">
              <w:rPr>
                <w:sz w:val="20"/>
                <w:szCs w:val="20"/>
              </w:rPr>
              <w:t>58.120; Protocol</w:t>
            </w:r>
          </w:p>
        </w:tc>
        <w:tc>
          <w:tcPr>
            <w:tcW w:w="821" w:type="pct"/>
            <w:shd w:val="clear" w:color="auto" w:fill="auto"/>
          </w:tcPr>
          <w:p w:rsidRPr="003B3116" w:rsidR="003B3116" w:rsidP="003B3116" w:rsidRDefault="003B3116" w14:paraId="62640D7C" w14:textId="77777777">
            <w:pPr>
              <w:keepNext/>
              <w:jc w:val="right"/>
              <w:rPr>
                <w:sz w:val="20"/>
                <w:szCs w:val="20"/>
              </w:rPr>
            </w:pPr>
            <w:r w:rsidRPr="003B3116">
              <w:rPr>
                <w:sz w:val="20"/>
                <w:szCs w:val="20"/>
              </w:rPr>
              <w:t>300</w:t>
            </w:r>
          </w:p>
        </w:tc>
        <w:tc>
          <w:tcPr>
            <w:tcW w:w="821" w:type="pct"/>
            <w:shd w:val="clear" w:color="auto" w:fill="auto"/>
          </w:tcPr>
          <w:p w:rsidRPr="003B3116" w:rsidR="003B3116" w:rsidP="003B3116" w:rsidRDefault="003B3116" w14:paraId="33662A23" w14:textId="77777777">
            <w:pPr>
              <w:keepNext/>
              <w:jc w:val="right"/>
              <w:rPr>
                <w:sz w:val="20"/>
                <w:szCs w:val="20"/>
              </w:rPr>
            </w:pPr>
            <w:r w:rsidRPr="003B3116">
              <w:rPr>
                <w:sz w:val="20"/>
                <w:szCs w:val="20"/>
              </w:rPr>
              <w:t>15.38</w:t>
            </w:r>
          </w:p>
        </w:tc>
        <w:tc>
          <w:tcPr>
            <w:tcW w:w="532" w:type="pct"/>
            <w:shd w:val="clear" w:color="auto" w:fill="auto"/>
          </w:tcPr>
          <w:p w:rsidRPr="003B3116" w:rsidR="003B3116" w:rsidP="003B3116" w:rsidRDefault="003B3116" w14:paraId="716B3D41" w14:textId="77777777">
            <w:pPr>
              <w:keepNext/>
              <w:jc w:val="right"/>
              <w:rPr>
                <w:sz w:val="20"/>
                <w:szCs w:val="20"/>
              </w:rPr>
            </w:pPr>
            <w:r w:rsidRPr="003B3116">
              <w:rPr>
                <w:sz w:val="20"/>
                <w:szCs w:val="20"/>
              </w:rPr>
              <w:t>4,614</w:t>
            </w:r>
          </w:p>
        </w:tc>
        <w:tc>
          <w:tcPr>
            <w:tcW w:w="772" w:type="pct"/>
            <w:shd w:val="clear" w:color="auto" w:fill="auto"/>
          </w:tcPr>
          <w:p w:rsidRPr="003B3116" w:rsidR="003B3116" w:rsidP="003B3116" w:rsidRDefault="003B3116" w14:paraId="3A19DDD3" w14:textId="77777777">
            <w:pPr>
              <w:jc w:val="right"/>
              <w:rPr>
                <w:sz w:val="20"/>
                <w:szCs w:val="20"/>
              </w:rPr>
            </w:pPr>
            <w:r w:rsidRPr="003B3116">
              <w:rPr>
                <w:sz w:val="20"/>
                <w:szCs w:val="20"/>
              </w:rPr>
              <w:t>32.7</w:t>
            </w:r>
          </w:p>
        </w:tc>
        <w:tc>
          <w:tcPr>
            <w:tcW w:w="556" w:type="pct"/>
            <w:shd w:val="clear" w:color="auto" w:fill="auto"/>
          </w:tcPr>
          <w:p w:rsidRPr="003B3116" w:rsidR="003B3116" w:rsidP="003B3116" w:rsidRDefault="003B3116" w14:paraId="0D5FC132" w14:textId="77777777">
            <w:pPr>
              <w:keepNext/>
              <w:jc w:val="right"/>
              <w:rPr>
                <w:sz w:val="20"/>
                <w:szCs w:val="20"/>
              </w:rPr>
            </w:pPr>
            <w:r w:rsidRPr="003B3116">
              <w:rPr>
                <w:sz w:val="20"/>
                <w:szCs w:val="20"/>
              </w:rPr>
              <w:t>150,878</w:t>
            </w:r>
          </w:p>
        </w:tc>
      </w:tr>
      <w:tr w:rsidR="003B3116" w:rsidTr="00825C6F" w14:paraId="47E30D58" w14:textId="77777777">
        <w:trPr>
          <w:trHeight w:val="323"/>
        </w:trPr>
        <w:tc>
          <w:tcPr>
            <w:tcW w:w="1498" w:type="pct"/>
            <w:shd w:val="clear" w:color="auto" w:fill="auto"/>
          </w:tcPr>
          <w:p w:rsidRPr="003B3116" w:rsidR="003B3116" w:rsidP="003B3116" w:rsidRDefault="003B3116" w14:paraId="21C5D73E" w14:textId="77777777">
            <w:pPr>
              <w:keepNext/>
              <w:rPr>
                <w:sz w:val="20"/>
                <w:szCs w:val="20"/>
              </w:rPr>
            </w:pPr>
            <w:r w:rsidRPr="003B3116">
              <w:rPr>
                <w:sz w:val="20"/>
                <w:szCs w:val="20"/>
              </w:rPr>
              <w:t>58.195; Retention of records</w:t>
            </w:r>
          </w:p>
        </w:tc>
        <w:tc>
          <w:tcPr>
            <w:tcW w:w="821" w:type="pct"/>
            <w:shd w:val="clear" w:color="auto" w:fill="auto"/>
          </w:tcPr>
          <w:p w:rsidRPr="003B3116" w:rsidR="003B3116" w:rsidP="003B3116" w:rsidRDefault="003B3116" w14:paraId="3DDF3240" w14:textId="77777777">
            <w:pPr>
              <w:keepNext/>
              <w:jc w:val="right"/>
              <w:rPr>
                <w:sz w:val="20"/>
                <w:szCs w:val="20"/>
              </w:rPr>
            </w:pPr>
            <w:r w:rsidRPr="003B3116">
              <w:rPr>
                <w:sz w:val="20"/>
                <w:szCs w:val="20"/>
              </w:rPr>
              <w:t>300</w:t>
            </w:r>
          </w:p>
        </w:tc>
        <w:tc>
          <w:tcPr>
            <w:tcW w:w="821" w:type="pct"/>
            <w:shd w:val="clear" w:color="auto" w:fill="auto"/>
          </w:tcPr>
          <w:p w:rsidRPr="003B3116" w:rsidR="003B3116" w:rsidP="003B3116" w:rsidRDefault="003B3116" w14:paraId="36979B17" w14:textId="77777777">
            <w:pPr>
              <w:keepNext/>
              <w:jc w:val="right"/>
              <w:rPr>
                <w:sz w:val="20"/>
                <w:szCs w:val="20"/>
              </w:rPr>
            </w:pPr>
            <w:r w:rsidRPr="003B3116">
              <w:rPr>
                <w:sz w:val="20"/>
                <w:szCs w:val="20"/>
              </w:rPr>
              <w:t>251.50</w:t>
            </w:r>
          </w:p>
        </w:tc>
        <w:tc>
          <w:tcPr>
            <w:tcW w:w="532" w:type="pct"/>
            <w:shd w:val="clear" w:color="auto" w:fill="auto"/>
          </w:tcPr>
          <w:p w:rsidRPr="003B3116" w:rsidR="003B3116" w:rsidP="003B3116" w:rsidRDefault="003B3116" w14:paraId="71259306" w14:textId="77777777">
            <w:pPr>
              <w:keepNext/>
              <w:jc w:val="right"/>
              <w:rPr>
                <w:sz w:val="20"/>
                <w:szCs w:val="20"/>
              </w:rPr>
            </w:pPr>
            <w:r w:rsidRPr="003B3116">
              <w:rPr>
                <w:sz w:val="20"/>
                <w:szCs w:val="20"/>
              </w:rPr>
              <w:t>75,450</w:t>
            </w:r>
          </w:p>
        </w:tc>
        <w:tc>
          <w:tcPr>
            <w:tcW w:w="772" w:type="pct"/>
            <w:shd w:val="clear" w:color="auto" w:fill="auto"/>
          </w:tcPr>
          <w:p w:rsidRPr="003B3116" w:rsidR="003B3116" w:rsidP="003B3116" w:rsidRDefault="003B3116" w14:paraId="49864CEF" w14:textId="77777777">
            <w:pPr>
              <w:jc w:val="right"/>
              <w:rPr>
                <w:sz w:val="20"/>
                <w:szCs w:val="20"/>
              </w:rPr>
            </w:pPr>
            <w:r w:rsidRPr="003B3116">
              <w:rPr>
                <w:sz w:val="20"/>
                <w:szCs w:val="20"/>
              </w:rPr>
              <w:t>3.9</w:t>
            </w:r>
          </w:p>
        </w:tc>
        <w:tc>
          <w:tcPr>
            <w:tcW w:w="556" w:type="pct"/>
            <w:shd w:val="clear" w:color="auto" w:fill="auto"/>
          </w:tcPr>
          <w:p w:rsidRPr="003B3116" w:rsidR="003B3116" w:rsidP="003B3116" w:rsidRDefault="003B3116" w14:paraId="40423B20" w14:textId="77777777">
            <w:pPr>
              <w:keepNext/>
              <w:jc w:val="right"/>
              <w:rPr>
                <w:sz w:val="20"/>
                <w:szCs w:val="20"/>
              </w:rPr>
            </w:pPr>
            <w:r w:rsidRPr="003B3116">
              <w:rPr>
                <w:sz w:val="20"/>
                <w:szCs w:val="20"/>
              </w:rPr>
              <w:t>294,255</w:t>
            </w:r>
          </w:p>
        </w:tc>
      </w:tr>
      <w:tr w:rsidR="003B3116" w:rsidTr="00825C6F" w14:paraId="4FD21736" w14:textId="77777777">
        <w:trPr>
          <w:trHeight w:val="341"/>
        </w:trPr>
        <w:tc>
          <w:tcPr>
            <w:tcW w:w="1498" w:type="pct"/>
            <w:shd w:val="clear" w:color="auto" w:fill="auto"/>
          </w:tcPr>
          <w:p w:rsidRPr="003B3116" w:rsidR="003B3116" w:rsidP="003B3116" w:rsidRDefault="003B3116" w14:paraId="6C83D730" w14:textId="77777777">
            <w:pPr>
              <w:keepNext/>
              <w:rPr>
                <w:sz w:val="20"/>
                <w:szCs w:val="20"/>
              </w:rPr>
            </w:pPr>
            <w:r w:rsidRPr="003B3116">
              <w:rPr>
                <w:sz w:val="20"/>
                <w:szCs w:val="20"/>
              </w:rPr>
              <w:t>Total</w:t>
            </w:r>
          </w:p>
        </w:tc>
        <w:tc>
          <w:tcPr>
            <w:tcW w:w="821" w:type="pct"/>
            <w:shd w:val="clear" w:color="auto" w:fill="auto"/>
          </w:tcPr>
          <w:p w:rsidRPr="003B3116" w:rsidR="003B3116" w:rsidP="003B3116" w:rsidRDefault="003B3116" w14:paraId="18E32DB2" w14:textId="77777777">
            <w:pPr>
              <w:keepNext/>
              <w:jc w:val="right"/>
              <w:rPr>
                <w:sz w:val="20"/>
                <w:szCs w:val="20"/>
              </w:rPr>
            </w:pPr>
          </w:p>
        </w:tc>
        <w:tc>
          <w:tcPr>
            <w:tcW w:w="821" w:type="pct"/>
            <w:shd w:val="clear" w:color="auto" w:fill="auto"/>
          </w:tcPr>
          <w:p w:rsidRPr="003B3116" w:rsidR="003B3116" w:rsidP="003B3116" w:rsidRDefault="003B3116" w14:paraId="5E5CD6CF" w14:textId="77777777">
            <w:pPr>
              <w:keepNext/>
              <w:jc w:val="right"/>
              <w:rPr>
                <w:sz w:val="20"/>
                <w:szCs w:val="20"/>
              </w:rPr>
            </w:pPr>
          </w:p>
        </w:tc>
        <w:tc>
          <w:tcPr>
            <w:tcW w:w="532" w:type="pct"/>
            <w:shd w:val="clear" w:color="auto" w:fill="auto"/>
          </w:tcPr>
          <w:p w:rsidRPr="003B3116" w:rsidR="003B3116" w:rsidP="003B3116" w:rsidRDefault="003B3116" w14:paraId="2AA9B88A" w14:textId="77777777">
            <w:pPr>
              <w:keepNext/>
              <w:jc w:val="right"/>
              <w:rPr>
                <w:sz w:val="20"/>
                <w:szCs w:val="20"/>
              </w:rPr>
            </w:pPr>
          </w:p>
        </w:tc>
        <w:tc>
          <w:tcPr>
            <w:tcW w:w="772" w:type="pct"/>
            <w:shd w:val="clear" w:color="auto" w:fill="auto"/>
          </w:tcPr>
          <w:p w:rsidRPr="003B3116" w:rsidR="003B3116" w:rsidP="003B3116" w:rsidRDefault="003B3116" w14:paraId="4C194AD7" w14:textId="77777777">
            <w:pPr>
              <w:jc w:val="right"/>
              <w:rPr>
                <w:sz w:val="20"/>
                <w:szCs w:val="20"/>
              </w:rPr>
            </w:pPr>
          </w:p>
        </w:tc>
        <w:tc>
          <w:tcPr>
            <w:tcW w:w="556" w:type="pct"/>
            <w:shd w:val="clear" w:color="auto" w:fill="auto"/>
          </w:tcPr>
          <w:p w:rsidRPr="003B3116" w:rsidR="003B3116" w:rsidP="003B3116" w:rsidRDefault="003B3116" w14:paraId="0159099A" w14:textId="77777777">
            <w:pPr>
              <w:keepNext/>
              <w:jc w:val="right"/>
              <w:rPr>
                <w:sz w:val="20"/>
                <w:szCs w:val="20"/>
              </w:rPr>
            </w:pPr>
            <w:r w:rsidRPr="003B3116">
              <w:rPr>
                <w:sz w:val="20"/>
                <w:szCs w:val="20"/>
              </w:rPr>
              <w:t>786,308</w:t>
            </w:r>
          </w:p>
        </w:tc>
      </w:tr>
    </w:tbl>
    <w:p w:rsidRPr="003B3116" w:rsidR="003B3116" w:rsidP="00825C6F" w:rsidRDefault="003B3116" w14:paraId="49D14A49" w14:textId="77777777">
      <w:pPr>
        <w:ind w:left="270"/>
        <w:rPr>
          <w:sz w:val="20"/>
          <w:szCs w:val="20"/>
        </w:rPr>
      </w:pPr>
      <w:r w:rsidRPr="003B3116">
        <w:rPr>
          <w:sz w:val="20"/>
          <w:szCs w:val="20"/>
          <w:vertAlign w:val="superscript"/>
        </w:rPr>
        <w:t>1</w:t>
      </w:r>
      <w:r w:rsidRPr="003B3116">
        <w:rPr>
          <w:sz w:val="20"/>
          <w:szCs w:val="20"/>
        </w:rPr>
        <w:t xml:space="preserve"> There are no capital costs or operating and maintenance costs associated with this collection of information.</w:t>
      </w:r>
    </w:p>
    <w:p w:rsidR="003B3116" w:rsidP="003B3116" w:rsidRDefault="003B3116" w14:paraId="7D1BA563" w14:textId="77777777"/>
    <w:p w:rsidRPr="00825C6F" w:rsidR="00357C8A" w:rsidP="003B3116" w:rsidRDefault="00825C6F" w14:paraId="53DE555A" w14:textId="2D7C29FD">
      <w:pPr>
        <w:spacing w:after="200"/>
        <w:ind w:left="360"/>
        <w:rPr>
          <w:rFonts w:eastAsia="Calibri"/>
          <w:i/>
        </w:rPr>
      </w:pPr>
      <w:r>
        <w:rPr>
          <w:rFonts w:eastAsia="Calibri"/>
          <w:i/>
        </w:rPr>
        <w:tab/>
      </w:r>
      <w:r w:rsidRPr="00825C6F" w:rsidR="00357C8A">
        <w:rPr>
          <w:rFonts w:eastAsia="Calibri"/>
          <w:i/>
        </w:rPr>
        <w:t>12b.  Annualized Cost Burden Estimate</w:t>
      </w:r>
    </w:p>
    <w:p w:rsidRPr="00357C8A" w:rsidR="00357C8A" w:rsidP="00825C6F" w:rsidRDefault="005D5CCD" w14:paraId="137D366A" w14:textId="5FD304AD">
      <w:pPr>
        <w:ind w:left="360"/>
        <w:rPr>
          <w:rFonts w:eastAsia="Calibri"/>
        </w:rPr>
      </w:pPr>
      <w:r>
        <w:rPr>
          <w:rFonts w:eastAsia="Calibri"/>
        </w:rPr>
        <w:tab/>
      </w:r>
      <w:r w:rsidR="0031058A">
        <w:rPr>
          <w:rFonts w:eastAsia="Calibri"/>
        </w:rPr>
        <w:t xml:space="preserve">The annual hourly burden for the information collection requirements </w:t>
      </w:r>
      <w:r w:rsidR="009E6C0B">
        <w:rPr>
          <w:rFonts w:eastAsia="Calibri"/>
        </w:rPr>
        <w:t>in these regulations is estimated at 1,304,157 burden hours.  The cost to the respondents is estimated by assuming a cost of $51.57 per hour for 1,304,157 burden hours for a total cost of $67,255,376.49.</w:t>
      </w:r>
    </w:p>
    <w:p w:rsidRPr="00357C8A" w:rsidR="00357C8A" w:rsidP="00357C8A" w:rsidRDefault="00357C8A" w14:paraId="459D3662" w14:textId="77777777">
      <w:pPr>
        <w:ind w:left="720"/>
        <w:rPr>
          <w:rFonts w:eastAsia="Calibri"/>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53"/>
        <w:gridCol w:w="1890"/>
        <w:gridCol w:w="1944"/>
        <w:gridCol w:w="2443"/>
      </w:tblGrid>
      <w:tr w:rsidR="00A707CC" w:rsidTr="00D87308" w14:paraId="2022824F" w14:textId="77777777">
        <w:tc>
          <w:tcPr>
            <w:tcW w:w="3353" w:type="dxa"/>
            <w:shd w:val="clear" w:color="auto" w:fill="auto"/>
          </w:tcPr>
          <w:p w:rsidRPr="0031058A" w:rsidR="00A707CC" w:rsidP="00312622" w:rsidRDefault="00A707CC" w14:paraId="3B3C1815" w14:textId="77777777">
            <w:pPr>
              <w:jc w:val="center"/>
              <w:rPr>
                <w:sz w:val="20"/>
                <w:szCs w:val="20"/>
              </w:rPr>
            </w:pPr>
            <w:r w:rsidRPr="0031058A">
              <w:rPr>
                <w:sz w:val="20"/>
                <w:szCs w:val="20"/>
              </w:rPr>
              <w:t>Type of Respondent</w:t>
            </w:r>
          </w:p>
        </w:tc>
        <w:tc>
          <w:tcPr>
            <w:tcW w:w="1890" w:type="dxa"/>
            <w:shd w:val="clear" w:color="auto" w:fill="auto"/>
          </w:tcPr>
          <w:p w:rsidRPr="0031058A" w:rsidR="00A707CC" w:rsidP="00312622" w:rsidRDefault="00A707CC" w14:paraId="0B74A63D" w14:textId="77777777">
            <w:pPr>
              <w:jc w:val="center"/>
              <w:rPr>
                <w:sz w:val="20"/>
                <w:szCs w:val="20"/>
              </w:rPr>
            </w:pPr>
            <w:r w:rsidRPr="0031058A">
              <w:rPr>
                <w:sz w:val="20"/>
                <w:szCs w:val="20"/>
              </w:rPr>
              <w:t>Total Burden Hours</w:t>
            </w:r>
          </w:p>
        </w:tc>
        <w:tc>
          <w:tcPr>
            <w:tcW w:w="1944" w:type="dxa"/>
            <w:shd w:val="clear" w:color="auto" w:fill="auto"/>
          </w:tcPr>
          <w:p w:rsidRPr="0031058A" w:rsidR="00A707CC" w:rsidP="00312622" w:rsidRDefault="00A707CC" w14:paraId="151A2603" w14:textId="77777777">
            <w:pPr>
              <w:jc w:val="center"/>
              <w:rPr>
                <w:sz w:val="20"/>
                <w:szCs w:val="20"/>
              </w:rPr>
            </w:pPr>
            <w:r w:rsidRPr="0031058A">
              <w:rPr>
                <w:sz w:val="20"/>
                <w:szCs w:val="20"/>
              </w:rPr>
              <w:t>Hourly Wage Rate</w:t>
            </w:r>
          </w:p>
        </w:tc>
        <w:tc>
          <w:tcPr>
            <w:tcW w:w="2443" w:type="dxa"/>
            <w:shd w:val="clear" w:color="auto" w:fill="auto"/>
          </w:tcPr>
          <w:p w:rsidRPr="0031058A" w:rsidR="00A707CC" w:rsidP="00312622" w:rsidRDefault="00A707CC" w14:paraId="27310F3E" w14:textId="77777777">
            <w:pPr>
              <w:jc w:val="center"/>
              <w:rPr>
                <w:sz w:val="20"/>
                <w:szCs w:val="20"/>
              </w:rPr>
            </w:pPr>
            <w:r w:rsidRPr="0031058A">
              <w:rPr>
                <w:sz w:val="20"/>
                <w:szCs w:val="20"/>
              </w:rPr>
              <w:t>Total Respondent Costs</w:t>
            </w:r>
          </w:p>
        </w:tc>
      </w:tr>
      <w:tr w:rsidR="00A707CC" w:rsidTr="00D87308" w14:paraId="0A80F18C" w14:textId="77777777">
        <w:tc>
          <w:tcPr>
            <w:tcW w:w="3353" w:type="dxa"/>
            <w:shd w:val="clear" w:color="auto" w:fill="auto"/>
          </w:tcPr>
          <w:p w:rsidRPr="0031058A" w:rsidR="00A707CC" w:rsidP="00312622" w:rsidRDefault="0031058A" w14:paraId="66EDE0CC" w14:textId="77777777">
            <w:pPr>
              <w:rPr>
                <w:sz w:val="20"/>
                <w:szCs w:val="20"/>
              </w:rPr>
            </w:pPr>
            <w:r>
              <w:rPr>
                <w:sz w:val="20"/>
                <w:szCs w:val="20"/>
              </w:rPr>
              <w:t>Industry Compliance Officer</w:t>
            </w:r>
          </w:p>
        </w:tc>
        <w:tc>
          <w:tcPr>
            <w:tcW w:w="1890" w:type="dxa"/>
            <w:shd w:val="clear" w:color="auto" w:fill="auto"/>
          </w:tcPr>
          <w:p w:rsidRPr="0031058A" w:rsidR="00A707CC" w:rsidP="0031058A" w:rsidRDefault="0031058A" w14:paraId="4ED5D29E" w14:textId="77777777">
            <w:pPr>
              <w:jc w:val="right"/>
              <w:rPr>
                <w:sz w:val="20"/>
                <w:szCs w:val="20"/>
              </w:rPr>
            </w:pPr>
            <w:r>
              <w:rPr>
                <w:sz w:val="20"/>
                <w:szCs w:val="20"/>
              </w:rPr>
              <w:t>1,304,157</w:t>
            </w:r>
          </w:p>
        </w:tc>
        <w:tc>
          <w:tcPr>
            <w:tcW w:w="1944" w:type="dxa"/>
            <w:shd w:val="clear" w:color="auto" w:fill="auto"/>
          </w:tcPr>
          <w:p w:rsidRPr="0031058A" w:rsidR="00A707CC" w:rsidP="0031058A" w:rsidRDefault="009E6C0B" w14:paraId="7BFDCF70" w14:textId="77777777">
            <w:pPr>
              <w:jc w:val="right"/>
              <w:rPr>
                <w:sz w:val="20"/>
                <w:szCs w:val="20"/>
              </w:rPr>
            </w:pPr>
            <w:r>
              <w:rPr>
                <w:sz w:val="20"/>
                <w:szCs w:val="20"/>
              </w:rPr>
              <w:t>$</w:t>
            </w:r>
            <w:r w:rsidR="0031058A">
              <w:rPr>
                <w:sz w:val="20"/>
                <w:szCs w:val="20"/>
              </w:rPr>
              <w:t>51.57</w:t>
            </w:r>
          </w:p>
        </w:tc>
        <w:tc>
          <w:tcPr>
            <w:tcW w:w="2443" w:type="dxa"/>
            <w:shd w:val="clear" w:color="auto" w:fill="auto"/>
          </w:tcPr>
          <w:p w:rsidRPr="0031058A" w:rsidR="00A707CC" w:rsidP="0031058A" w:rsidRDefault="0031058A" w14:paraId="530BE5EF" w14:textId="77777777">
            <w:pPr>
              <w:jc w:val="right"/>
              <w:rPr>
                <w:sz w:val="20"/>
                <w:szCs w:val="20"/>
              </w:rPr>
            </w:pPr>
            <w:r>
              <w:rPr>
                <w:sz w:val="20"/>
                <w:szCs w:val="20"/>
              </w:rPr>
              <w:t>$67,255,376.49</w:t>
            </w:r>
          </w:p>
        </w:tc>
      </w:tr>
    </w:tbl>
    <w:p w:rsidRPr="00C77970" w:rsidR="0031058A" w:rsidP="00ED2C99" w:rsidRDefault="0031058A" w14:paraId="0FBF34AB" w14:textId="77777777">
      <w:pPr>
        <w:pStyle w:val="BodyText2"/>
        <w:ind w:left="90"/>
        <w:rPr>
          <w:sz w:val="18"/>
          <w:szCs w:val="18"/>
        </w:rPr>
      </w:pPr>
      <w:r w:rsidRPr="00CF0A2B">
        <w:rPr>
          <w:sz w:val="18"/>
          <w:szCs w:val="18"/>
          <w:vertAlign w:val="superscript"/>
        </w:rPr>
        <w:t>1</w:t>
      </w:r>
      <w:r w:rsidRPr="00CF0A2B">
        <w:t xml:space="preserve"> </w:t>
      </w:r>
      <w:r w:rsidRPr="00CF0A2B">
        <w:rPr>
          <w:sz w:val="18"/>
          <w:szCs w:val="18"/>
        </w:rPr>
        <w:t>May 201</w:t>
      </w:r>
      <w:r>
        <w:rPr>
          <w:sz w:val="18"/>
          <w:szCs w:val="18"/>
        </w:rPr>
        <w:t>9</w:t>
      </w:r>
      <w:r w:rsidRPr="00CF0A2B">
        <w:rPr>
          <w:sz w:val="18"/>
          <w:szCs w:val="18"/>
        </w:rPr>
        <w:t xml:space="preserve"> National Industry-Specific Occupational Employment and Wage Estimates, Bureau of Labor Statistics and including 30% for benefits</w:t>
      </w:r>
      <w:r>
        <w:rPr>
          <w:sz w:val="18"/>
          <w:szCs w:val="18"/>
        </w:rPr>
        <w:t xml:space="preserve"> (</w:t>
      </w:r>
      <w:hyperlink w:history="1" r:id="rId7">
        <w:r w:rsidRPr="0031058A">
          <w:rPr>
            <w:rStyle w:val="Hyperlink"/>
            <w:sz w:val="18"/>
            <w:szCs w:val="18"/>
          </w:rPr>
          <w:t>https://www.bls.gov/oes/current/naics4_325400.htm</w:t>
        </w:r>
      </w:hyperlink>
      <w:r>
        <w:rPr>
          <w:sz w:val="18"/>
          <w:szCs w:val="18"/>
        </w:rPr>
        <w:t>).</w:t>
      </w:r>
    </w:p>
    <w:p w:rsidRPr="00357C8A" w:rsidR="00357C8A" w:rsidP="00357C8A" w:rsidRDefault="00357C8A" w14:paraId="35544F6D" w14:textId="77777777">
      <w:pPr>
        <w:rPr>
          <w:rFonts w:eastAsia="Calibri"/>
        </w:rPr>
      </w:pPr>
    </w:p>
    <w:p w:rsidRPr="00357C8A" w:rsidR="00357C8A" w:rsidP="006705EA" w:rsidRDefault="00357C8A" w14:paraId="7E77D120"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C666AA" w:rsidRDefault="00C666AA" w14:paraId="559EB23C" w14:textId="77777777">
      <w:pPr>
        <w:spacing w:after="200" w:line="276" w:lineRule="auto"/>
        <w:ind w:left="360"/>
        <w:rPr>
          <w:rFonts w:eastAsia="Calibri"/>
          <w:u w:val="single"/>
        </w:rPr>
      </w:pPr>
      <w:r>
        <w:rPr>
          <w:rFonts w:eastAsia="Calibri"/>
        </w:rPr>
        <w:t>There are no capital, start-up, operating or maintenance costs associated with this information collection.</w:t>
      </w:r>
    </w:p>
    <w:p w:rsidRPr="00357C8A" w:rsidR="00357C8A" w:rsidP="006705EA" w:rsidRDefault="00357C8A" w14:paraId="44287A25"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C666AA" w:rsidRDefault="00B64691" w14:paraId="5FE2A8D1" w14:textId="0679722B">
      <w:pPr>
        <w:spacing w:after="200"/>
        <w:ind w:left="360"/>
        <w:rPr>
          <w:rFonts w:eastAsia="Calibri"/>
        </w:rPr>
      </w:pPr>
      <w:r>
        <w:rPr>
          <w:rFonts w:eastAsia="Calibri"/>
        </w:rPr>
        <w:lastRenderedPageBreak/>
        <w:t xml:space="preserve">Costs to </w:t>
      </w:r>
      <w:r w:rsidRPr="00C666AA" w:rsidR="00C666AA">
        <w:rPr>
          <w:rFonts w:eastAsia="Calibri"/>
        </w:rPr>
        <w:t xml:space="preserve">the Federal Government </w:t>
      </w:r>
      <w:r>
        <w:rPr>
          <w:rFonts w:eastAsia="Calibri"/>
        </w:rPr>
        <w:t>are absorbed through existing resource allocations</w:t>
      </w:r>
      <w:r w:rsidR="001801E3">
        <w:rPr>
          <w:rFonts w:eastAsia="Calibri"/>
        </w:rPr>
        <w:t>.</w:t>
      </w:r>
    </w:p>
    <w:p w:rsidR="00357C8A" w:rsidP="006705EA" w:rsidRDefault="00357C8A" w14:paraId="15734FCA" w14:textId="0CEFE161">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357C8A" w:rsidR="00357C8A" w:rsidP="000955F3" w:rsidRDefault="00ED2C99" w14:paraId="03C8C783" w14:textId="67463F1B">
      <w:pPr>
        <w:spacing w:after="200"/>
        <w:ind w:firstLine="360"/>
        <w:rPr>
          <w:rFonts w:eastAsia="Calibri"/>
        </w:rPr>
      </w:pPr>
      <w:r>
        <w:rPr>
          <w:rFonts w:eastAsia="Calibri"/>
        </w:rPr>
        <w:t>Upon review of the information collection, we have made no adjustments.</w:t>
      </w:r>
    </w:p>
    <w:p w:rsidRPr="00357C8A" w:rsidR="00357C8A" w:rsidP="006705EA" w:rsidRDefault="00357C8A" w14:paraId="489A98DF"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P="000955F3" w:rsidRDefault="00357C8A" w14:paraId="6DE78A43" w14:textId="77777777">
      <w:pPr>
        <w:pStyle w:val="Default"/>
        <w:ind w:firstLine="360"/>
        <w:rPr>
          <w:rFonts w:eastAsia="Calibri"/>
        </w:rPr>
      </w:pPr>
      <w:r w:rsidRPr="005C71CA">
        <w:rPr>
          <w:rFonts w:eastAsia="Calibri"/>
        </w:rPr>
        <w:t>This information collected will not be published or tabulated.</w:t>
      </w:r>
    </w:p>
    <w:p w:rsidRPr="00C666AA" w:rsidR="000955F3" w:rsidP="000955F3" w:rsidRDefault="000955F3" w14:paraId="66B011B7" w14:textId="77777777">
      <w:pPr>
        <w:pStyle w:val="Default"/>
        <w:ind w:firstLine="360"/>
      </w:pPr>
    </w:p>
    <w:p w:rsidRPr="00357C8A" w:rsidR="00357C8A" w:rsidP="006705EA" w:rsidRDefault="00357C8A" w14:paraId="0BA4908C"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ED2C99" w:rsidP="00ED2C99" w:rsidRDefault="00ED2C99" w14:paraId="7BF18D51" w14:textId="2E25C54C">
      <w:pPr>
        <w:spacing w:after="200"/>
        <w:ind w:left="360"/>
        <w:rPr>
          <w:rFonts w:eastAsia="Calibri"/>
        </w:rPr>
      </w:pPr>
      <w:r>
        <w:rPr>
          <w:rFonts w:eastAsia="Calibri"/>
        </w:rPr>
        <w:t>Display of OMB Expiration Date is appropriate.</w:t>
      </w:r>
    </w:p>
    <w:p w:rsidRPr="00F22DB7" w:rsidR="00357C8A" w:rsidP="00F22DB7" w:rsidRDefault="00F22DB7" w14:paraId="0689F39E" w14:textId="08EA72FC">
      <w:pPr>
        <w:spacing w:after="200"/>
        <w:rPr>
          <w:rFonts w:eastAsia="Calibri"/>
        </w:rPr>
      </w:pPr>
      <w:r>
        <w:rPr>
          <w:rFonts w:eastAsia="Calibri"/>
        </w:rPr>
        <w:t xml:space="preserve">18. </w:t>
      </w:r>
      <w:r w:rsidRPr="00357C8A" w:rsidR="00357C8A">
        <w:rPr>
          <w:rFonts w:eastAsia="Calibri"/>
          <w:u w:val="single"/>
        </w:rPr>
        <w:t>Exceptions to Certification for Paperwork Reduction Act Submissions</w:t>
      </w:r>
    </w:p>
    <w:p w:rsidRPr="00C20690" w:rsidR="00544138" w:rsidP="000955F3" w:rsidRDefault="007E59A8" w14:paraId="7553BB47" w14:textId="77777777">
      <w:pPr>
        <w:spacing w:after="200"/>
        <w:ind w:firstLine="360"/>
        <w:rPr>
          <w:rFonts w:eastAsia="Calibri"/>
        </w:rPr>
      </w:pPr>
      <w:r w:rsidRPr="007E59A8">
        <w:rPr>
          <w:rFonts w:eastAsia="Calibri"/>
        </w:rPr>
        <w:t>There are no exceptions to the certification</w:t>
      </w:r>
      <w:r w:rsidR="000955F3">
        <w:rPr>
          <w:rFonts w:eastAsia="Calibri"/>
        </w:rPr>
        <w:t>.</w:t>
      </w:r>
    </w:p>
    <w:sectPr w:rsidRPr="00C20690" w:rsidR="00544138" w:rsidSect="001801E3">
      <w:footerReference w:type="even" r:id="rId8"/>
      <w:footerReference w:type="default" r:id="rId9"/>
      <w:pgSz w:w="12240" w:h="15840" w:code="1"/>
      <w:pgMar w:top="1440" w:right="1296"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C1A3C" w14:textId="77777777" w:rsidR="000F11B4" w:rsidRDefault="000F11B4">
      <w:r>
        <w:separator/>
      </w:r>
    </w:p>
  </w:endnote>
  <w:endnote w:type="continuationSeparator" w:id="0">
    <w:p w14:paraId="12108C3A" w14:textId="77777777" w:rsidR="000F11B4" w:rsidRDefault="000F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913D" w14:textId="77777777" w:rsidR="00C666AA" w:rsidRDefault="00C666A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0BDDBA" w14:textId="77777777" w:rsidR="00C666AA" w:rsidRDefault="00C66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FABE0" w14:textId="4653894F" w:rsidR="00C666AA" w:rsidRDefault="00C666AA">
    <w:pPr>
      <w:pStyle w:val="Footer"/>
    </w:pPr>
  </w:p>
  <w:p w14:paraId="650A86D6" w14:textId="77777777" w:rsidR="00825C6F" w:rsidRDefault="00825C6F" w:rsidP="00825C6F">
    <w:pPr>
      <w:pStyle w:val="Footer"/>
      <w:framePr w:wrap="around" w:vAnchor="text" w:hAnchor="page" w:x="6109" w:y="25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DC779D0" w14:textId="77777777" w:rsidR="00825C6F" w:rsidRDefault="00825C6F">
    <w:pPr>
      <w:pStyle w:val="Footer"/>
    </w:pPr>
  </w:p>
  <w:p w14:paraId="5DCAC0CE" w14:textId="77777777" w:rsidR="00825C6F" w:rsidRDefault="00825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4E73B" w14:textId="77777777" w:rsidR="000F11B4" w:rsidRDefault="000F11B4">
      <w:r>
        <w:separator/>
      </w:r>
    </w:p>
  </w:footnote>
  <w:footnote w:type="continuationSeparator" w:id="0">
    <w:p w14:paraId="6DFD7BAC" w14:textId="77777777" w:rsidR="000F11B4" w:rsidRDefault="000F1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2B93"/>
    <w:rsid w:val="00043C7F"/>
    <w:rsid w:val="000467A8"/>
    <w:rsid w:val="0006570F"/>
    <w:rsid w:val="00075DE8"/>
    <w:rsid w:val="000865F1"/>
    <w:rsid w:val="00087439"/>
    <w:rsid w:val="000955F3"/>
    <w:rsid w:val="000A516D"/>
    <w:rsid w:val="000B17A1"/>
    <w:rsid w:val="000C1260"/>
    <w:rsid w:val="000C560C"/>
    <w:rsid w:val="000D080B"/>
    <w:rsid w:val="000D48FD"/>
    <w:rsid w:val="000D79CC"/>
    <w:rsid w:val="000E1C64"/>
    <w:rsid w:val="000E6898"/>
    <w:rsid w:val="000F11B4"/>
    <w:rsid w:val="000F7119"/>
    <w:rsid w:val="00100739"/>
    <w:rsid w:val="0010493E"/>
    <w:rsid w:val="001075D3"/>
    <w:rsid w:val="00107885"/>
    <w:rsid w:val="00114FC4"/>
    <w:rsid w:val="0012329C"/>
    <w:rsid w:val="00134FA7"/>
    <w:rsid w:val="00137950"/>
    <w:rsid w:val="001410D7"/>
    <w:rsid w:val="00152F29"/>
    <w:rsid w:val="001608AE"/>
    <w:rsid w:val="00174D54"/>
    <w:rsid w:val="0017702C"/>
    <w:rsid w:val="001801E3"/>
    <w:rsid w:val="00185270"/>
    <w:rsid w:val="001A08BC"/>
    <w:rsid w:val="001A3B5A"/>
    <w:rsid w:val="001A4598"/>
    <w:rsid w:val="001B221E"/>
    <w:rsid w:val="001B7CE9"/>
    <w:rsid w:val="001D495A"/>
    <w:rsid w:val="001E244C"/>
    <w:rsid w:val="001F1437"/>
    <w:rsid w:val="0020270D"/>
    <w:rsid w:val="00206799"/>
    <w:rsid w:val="002074FE"/>
    <w:rsid w:val="0022425B"/>
    <w:rsid w:val="002259EF"/>
    <w:rsid w:val="00236B51"/>
    <w:rsid w:val="00242ED1"/>
    <w:rsid w:val="002444BB"/>
    <w:rsid w:val="00254069"/>
    <w:rsid w:val="00270748"/>
    <w:rsid w:val="002734E5"/>
    <w:rsid w:val="002746DB"/>
    <w:rsid w:val="00280CAF"/>
    <w:rsid w:val="00282E1C"/>
    <w:rsid w:val="00282F09"/>
    <w:rsid w:val="00291810"/>
    <w:rsid w:val="00294D62"/>
    <w:rsid w:val="00297532"/>
    <w:rsid w:val="00297FFD"/>
    <w:rsid w:val="002A1210"/>
    <w:rsid w:val="002A3435"/>
    <w:rsid w:val="002A47D2"/>
    <w:rsid w:val="002A7FB5"/>
    <w:rsid w:val="002B2074"/>
    <w:rsid w:val="002C7717"/>
    <w:rsid w:val="002D14D8"/>
    <w:rsid w:val="002D4799"/>
    <w:rsid w:val="002E3FA4"/>
    <w:rsid w:val="002E53A5"/>
    <w:rsid w:val="002E64B8"/>
    <w:rsid w:val="002E6834"/>
    <w:rsid w:val="0031058A"/>
    <w:rsid w:val="003113FF"/>
    <w:rsid w:val="00312622"/>
    <w:rsid w:val="0032277F"/>
    <w:rsid w:val="00336B69"/>
    <w:rsid w:val="0034302B"/>
    <w:rsid w:val="00350523"/>
    <w:rsid w:val="0035189D"/>
    <w:rsid w:val="00355945"/>
    <w:rsid w:val="00355B62"/>
    <w:rsid w:val="00357C8A"/>
    <w:rsid w:val="00365B10"/>
    <w:rsid w:val="003740BC"/>
    <w:rsid w:val="0037456B"/>
    <w:rsid w:val="00375FB3"/>
    <w:rsid w:val="003801A3"/>
    <w:rsid w:val="00383D90"/>
    <w:rsid w:val="00386FEC"/>
    <w:rsid w:val="003870AE"/>
    <w:rsid w:val="00391706"/>
    <w:rsid w:val="003A1A27"/>
    <w:rsid w:val="003A50CC"/>
    <w:rsid w:val="003B3116"/>
    <w:rsid w:val="003B38FD"/>
    <w:rsid w:val="003B42B3"/>
    <w:rsid w:val="003B6384"/>
    <w:rsid w:val="003C0FE2"/>
    <w:rsid w:val="003C4EBB"/>
    <w:rsid w:val="003D1531"/>
    <w:rsid w:val="003E4EC6"/>
    <w:rsid w:val="003E527E"/>
    <w:rsid w:val="003E553E"/>
    <w:rsid w:val="003E7078"/>
    <w:rsid w:val="003F3DF5"/>
    <w:rsid w:val="003F4B77"/>
    <w:rsid w:val="003F73B8"/>
    <w:rsid w:val="0040297E"/>
    <w:rsid w:val="00411D11"/>
    <w:rsid w:val="00414494"/>
    <w:rsid w:val="00415E23"/>
    <w:rsid w:val="0041670D"/>
    <w:rsid w:val="00423272"/>
    <w:rsid w:val="00424061"/>
    <w:rsid w:val="00431460"/>
    <w:rsid w:val="00442A3C"/>
    <w:rsid w:val="00443969"/>
    <w:rsid w:val="00447D74"/>
    <w:rsid w:val="00450A74"/>
    <w:rsid w:val="00452670"/>
    <w:rsid w:val="004546BF"/>
    <w:rsid w:val="00465350"/>
    <w:rsid w:val="00466DA7"/>
    <w:rsid w:val="00476B91"/>
    <w:rsid w:val="004830EC"/>
    <w:rsid w:val="004846BF"/>
    <w:rsid w:val="00494912"/>
    <w:rsid w:val="004A5323"/>
    <w:rsid w:val="004A5A99"/>
    <w:rsid w:val="004C6979"/>
    <w:rsid w:val="004D13A2"/>
    <w:rsid w:val="004D3E7A"/>
    <w:rsid w:val="004F594B"/>
    <w:rsid w:val="004F61E1"/>
    <w:rsid w:val="00520EEB"/>
    <w:rsid w:val="0053380B"/>
    <w:rsid w:val="00543194"/>
    <w:rsid w:val="00544138"/>
    <w:rsid w:val="00554E34"/>
    <w:rsid w:val="00584583"/>
    <w:rsid w:val="00590E90"/>
    <w:rsid w:val="00590EEB"/>
    <w:rsid w:val="005A278C"/>
    <w:rsid w:val="005A4099"/>
    <w:rsid w:val="005C38B2"/>
    <w:rsid w:val="005C42B7"/>
    <w:rsid w:val="005C5029"/>
    <w:rsid w:val="005C55C2"/>
    <w:rsid w:val="005C71CA"/>
    <w:rsid w:val="005C745C"/>
    <w:rsid w:val="005D4DF5"/>
    <w:rsid w:val="005D5CCD"/>
    <w:rsid w:val="005E42BA"/>
    <w:rsid w:val="005F034A"/>
    <w:rsid w:val="00611D6B"/>
    <w:rsid w:val="0062097A"/>
    <w:rsid w:val="00620F19"/>
    <w:rsid w:val="00625CFD"/>
    <w:rsid w:val="006326EC"/>
    <w:rsid w:val="00663A42"/>
    <w:rsid w:val="006641C7"/>
    <w:rsid w:val="006665AF"/>
    <w:rsid w:val="006705EA"/>
    <w:rsid w:val="00670BE2"/>
    <w:rsid w:val="00676153"/>
    <w:rsid w:val="006916D9"/>
    <w:rsid w:val="006A0E05"/>
    <w:rsid w:val="006A26C6"/>
    <w:rsid w:val="006A465A"/>
    <w:rsid w:val="006A7D5D"/>
    <w:rsid w:val="006B447D"/>
    <w:rsid w:val="006D0C12"/>
    <w:rsid w:val="006D5D57"/>
    <w:rsid w:val="006E2538"/>
    <w:rsid w:val="006E302F"/>
    <w:rsid w:val="006F2154"/>
    <w:rsid w:val="006F4D6D"/>
    <w:rsid w:val="00705086"/>
    <w:rsid w:val="00722001"/>
    <w:rsid w:val="00742256"/>
    <w:rsid w:val="00751E66"/>
    <w:rsid w:val="00754497"/>
    <w:rsid w:val="00787C39"/>
    <w:rsid w:val="00792912"/>
    <w:rsid w:val="00792947"/>
    <w:rsid w:val="00795DF3"/>
    <w:rsid w:val="007A373C"/>
    <w:rsid w:val="007B225C"/>
    <w:rsid w:val="007B58E0"/>
    <w:rsid w:val="007C75B1"/>
    <w:rsid w:val="007D3DFC"/>
    <w:rsid w:val="007E2F07"/>
    <w:rsid w:val="007E59A8"/>
    <w:rsid w:val="007F25E0"/>
    <w:rsid w:val="0080776D"/>
    <w:rsid w:val="00810145"/>
    <w:rsid w:val="008108FA"/>
    <w:rsid w:val="00810FF1"/>
    <w:rsid w:val="00822336"/>
    <w:rsid w:val="00823DFA"/>
    <w:rsid w:val="00825C6F"/>
    <w:rsid w:val="00842DB7"/>
    <w:rsid w:val="00843752"/>
    <w:rsid w:val="0084479F"/>
    <w:rsid w:val="0085725E"/>
    <w:rsid w:val="00862843"/>
    <w:rsid w:val="00873D4F"/>
    <w:rsid w:val="0087509F"/>
    <w:rsid w:val="00885B09"/>
    <w:rsid w:val="00892400"/>
    <w:rsid w:val="008A209D"/>
    <w:rsid w:val="008A22BB"/>
    <w:rsid w:val="008B035D"/>
    <w:rsid w:val="008B0E29"/>
    <w:rsid w:val="008B0EFA"/>
    <w:rsid w:val="008B30AB"/>
    <w:rsid w:val="008C3BB8"/>
    <w:rsid w:val="008C4B65"/>
    <w:rsid w:val="008E5F55"/>
    <w:rsid w:val="009009E7"/>
    <w:rsid w:val="00905DEF"/>
    <w:rsid w:val="00906056"/>
    <w:rsid w:val="009122AE"/>
    <w:rsid w:val="00913B43"/>
    <w:rsid w:val="00930203"/>
    <w:rsid w:val="009311D2"/>
    <w:rsid w:val="009311E6"/>
    <w:rsid w:val="00931275"/>
    <w:rsid w:val="00936AC7"/>
    <w:rsid w:val="00940333"/>
    <w:rsid w:val="00953B64"/>
    <w:rsid w:val="009646A7"/>
    <w:rsid w:val="00970A88"/>
    <w:rsid w:val="00977AEC"/>
    <w:rsid w:val="009818A1"/>
    <w:rsid w:val="009A1674"/>
    <w:rsid w:val="009B0081"/>
    <w:rsid w:val="009B38BE"/>
    <w:rsid w:val="009B4DF2"/>
    <w:rsid w:val="009C385B"/>
    <w:rsid w:val="009C684F"/>
    <w:rsid w:val="009D074C"/>
    <w:rsid w:val="009D6E73"/>
    <w:rsid w:val="009E6C0B"/>
    <w:rsid w:val="009F1F1D"/>
    <w:rsid w:val="009F2B4F"/>
    <w:rsid w:val="009F3C63"/>
    <w:rsid w:val="009F66B5"/>
    <w:rsid w:val="00A02F10"/>
    <w:rsid w:val="00A1060C"/>
    <w:rsid w:val="00A16221"/>
    <w:rsid w:val="00A20A7D"/>
    <w:rsid w:val="00A35D42"/>
    <w:rsid w:val="00A46CCF"/>
    <w:rsid w:val="00A506DE"/>
    <w:rsid w:val="00A53451"/>
    <w:rsid w:val="00A633D5"/>
    <w:rsid w:val="00A70426"/>
    <w:rsid w:val="00A707CC"/>
    <w:rsid w:val="00A71410"/>
    <w:rsid w:val="00A75A74"/>
    <w:rsid w:val="00A91E9A"/>
    <w:rsid w:val="00A93ED9"/>
    <w:rsid w:val="00A96221"/>
    <w:rsid w:val="00AC2DBB"/>
    <w:rsid w:val="00AC6A99"/>
    <w:rsid w:val="00AD6048"/>
    <w:rsid w:val="00AF1D15"/>
    <w:rsid w:val="00B04923"/>
    <w:rsid w:val="00B055EF"/>
    <w:rsid w:val="00B06B5B"/>
    <w:rsid w:val="00B23769"/>
    <w:rsid w:val="00B41789"/>
    <w:rsid w:val="00B440BE"/>
    <w:rsid w:val="00B6228B"/>
    <w:rsid w:val="00B64691"/>
    <w:rsid w:val="00B81808"/>
    <w:rsid w:val="00B8451A"/>
    <w:rsid w:val="00B86DFA"/>
    <w:rsid w:val="00B9282E"/>
    <w:rsid w:val="00B936D0"/>
    <w:rsid w:val="00BB15FB"/>
    <w:rsid w:val="00BD3D5B"/>
    <w:rsid w:val="00BE3600"/>
    <w:rsid w:val="00C01F6F"/>
    <w:rsid w:val="00C041EA"/>
    <w:rsid w:val="00C13BBD"/>
    <w:rsid w:val="00C149AB"/>
    <w:rsid w:val="00C16929"/>
    <w:rsid w:val="00C17062"/>
    <w:rsid w:val="00C20690"/>
    <w:rsid w:val="00C36020"/>
    <w:rsid w:val="00C378A1"/>
    <w:rsid w:val="00C40694"/>
    <w:rsid w:val="00C479BF"/>
    <w:rsid w:val="00C5124B"/>
    <w:rsid w:val="00C62AC9"/>
    <w:rsid w:val="00C666AA"/>
    <w:rsid w:val="00C67823"/>
    <w:rsid w:val="00C70542"/>
    <w:rsid w:val="00C72E0B"/>
    <w:rsid w:val="00C75CBF"/>
    <w:rsid w:val="00C85311"/>
    <w:rsid w:val="00CC2894"/>
    <w:rsid w:val="00CD77C3"/>
    <w:rsid w:val="00CE112C"/>
    <w:rsid w:val="00CE696B"/>
    <w:rsid w:val="00CF55D4"/>
    <w:rsid w:val="00D160D1"/>
    <w:rsid w:val="00D608DA"/>
    <w:rsid w:val="00D730BF"/>
    <w:rsid w:val="00D852F4"/>
    <w:rsid w:val="00D87308"/>
    <w:rsid w:val="00D97D0F"/>
    <w:rsid w:val="00DB1110"/>
    <w:rsid w:val="00DB3730"/>
    <w:rsid w:val="00DC371B"/>
    <w:rsid w:val="00DC3788"/>
    <w:rsid w:val="00DC76C7"/>
    <w:rsid w:val="00DD09F5"/>
    <w:rsid w:val="00DD0E02"/>
    <w:rsid w:val="00DD4201"/>
    <w:rsid w:val="00DD5E9F"/>
    <w:rsid w:val="00DE5711"/>
    <w:rsid w:val="00DE744B"/>
    <w:rsid w:val="00E00EA0"/>
    <w:rsid w:val="00E021CB"/>
    <w:rsid w:val="00E138F1"/>
    <w:rsid w:val="00E2309D"/>
    <w:rsid w:val="00E25810"/>
    <w:rsid w:val="00E26758"/>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7538"/>
    <w:rsid w:val="00EC0224"/>
    <w:rsid w:val="00EC1868"/>
    <w:rsid w:val="00ED2C99"/>
    <w:rsid w:val="00ED5601"/>
    <w:rsid w:val="00EE6468"/>
    <w:rsid w:val="00F1299B"/>
    <w:rsid w:val="00F207A4"/>
    <w:rsid w:val="00F22DB7"/>
    <w:rsid w:val="00F25173"/>
    <w:rsid w:val="00F355AC"/>
    <w:rsid w:val="00F40CF7"/>
    <w:rsid w:val="00F44194"/>
    <w:rsid w:val="00F71A5A"/>
    <w:rsid w:val="00F73A1A"/>
    <w:rsid w:val="00F769E0"/>
    <w:rsid w:val="00FA4A46"/>
    <w:rsid w:val="00FA75FE"/>
    <w:rsid w:val="00FB101B"/>
    <w:rsid w:val="00FB1032"/>
    <w:rsid w:val="00FB39BC"/>
    <w:rsid w:val="00FB6A53"/>
    <w:rsid w:val="00FC11CA"/>
    <w:rsid w:val="00FC6BDE"/>
    <w:rsid w:val="00FD2B67"/>
    <w:rsid w:val="00FE171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5EFE61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6B447D"/>
    <w:rPr>
      <w:sz w:val="16"/>
      <w:szCs w:val="16"/>
    </w:rPr>
  </w:style>
  <w:style w:type="paragraph" w:styleId="CommentText">
    <w:name w:val="annotation text"/>
    <w:basedOn w:val="Normal"/>
    <w:link w:val="CommentTextChar"/>
    <w:rsid w:val="006B447D"/>
    <w:rPr>
      <w:sz w:val="20"/>
      <w:szCs w:val="20"/>
    </w:rPr>
  </w:style>
  <w:style w:type="character" w:customStyle="1" w:styleId="CommentTextChar">
    <w:name w:val="Comment Text Char"/>
    <w:basedOn w:val="DefaultParagraphFont"/>
    <w:link w:val="CommentText"/>
    <w:rsid w:val="006B447D"/>
  </w:style>
  <w:style w:type="paragraph" w:styleId="NoSpacing">
    <w:name w:val="No Spacing"/>
    <w:uiPriority w:val="1"/>
    <w:qFormat/>
    <w:rsid w:val="006B447D"/>
    <w:rPr>
      <w:rFonts w:ascii="Calibri" w:eastAsia="Calibri" w:hAnsi="Calibri"/>
      <w:sz w:val="22"/>
      <w:szCs w:val="22"/>
    </w:rPr>
  </w:style>
  <w:style w:type="character" w:customStyle="1" w:styleId="BodyText2Char">
    <w:name w:val="Body Text 2 Char"/>
    <w:link w:val="BodyText2"/>
    <w:rsid w:val="0031058A"/>
    <w:rPr>
      <w:sz w:val="24"/>
    </w:rPr>
  </w:style>
  <w:style w:type="paragraph" w:styleId="CommentSubject">
    <w:name w:val="annotation subject"/>
    <w:basedOn w:val="CommentText"/>
    <w:next w:val="CommentText"/>
    <w:link w:val="CommentSubjectChar"/>
    <w:rsid w:val="001B221E"/>
    <w:rPr>
      <w:b/>
      <w:bCs/>
    </w:rPr>
  </w:style>
  <w:style w:type="character" w:customStyle="1" w:styleId="CommentSubjectChar">
    <w:name w:val="Comment Subject Char"/>
    <w:link w:val="CommentSubject"/>
    <w:rsid w:val="001B22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naics4_3254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1481</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10400</CharactersWithSpaces>
  <SharedDoc>false</SharedDoc>
  <HLinks>
    <vt:vector size="6" baseType="variant">
      <vt:variant>
        <vt:i4>1835049</vt:i4>
      </vt:variant>
      <vt:variant>
        <vt:i4>0</vt:i4>
      </vt:variant>
      <vt:variant>
        <vt:i4>0</vt:i4>
      </vt:variant>
      <vt:variant>
        <vt:i4>5</vt:i4>
      </vt:variant>
      <vt:variant>
        <vt:lpwstr>https://www.bls.gov/oes/current/naics4_325400.htm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2021-01-11T16:13:00Z</dcterms:created>
  <dcterms:modified xsi:type="dcterms:W3CDTF">2021-01-11T16:13:00Z</dcterms:modified>
</cp:coreProperties>
</file>