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C8A" w:rsidP="00357C8A" w:rsidRDefault="00A07C61" w14:paraId="22EF416D" w14:textId="77777777">
      <w:pPr>
        <w:jc w:val="center"/>
        <w:rPr>
          <w:rFonts w:eastAsia="Calibri"/>
        </w:rPr>
      </w:pPr>
      <w:r w:rsidRPr="00357C8A">
        <w:rPr>
          <w:rFonts w:eastAsia="Calibri"/>
        </w:rPr>
        <w:t>UNITED STATES FOOD</w:t>
      </w:r>
      <w:r>
        <w:rPr>
          <w:rFonts w:eastAsia="Calibri"/>
        </w:rPr>
        <w:t xml:space="preserve"> &amp;</w:t>
      </w:r>
      <w:r w:rsidRPr="00357C8A">
        <w:rPr>
          <w:rFonts w:eastAsia="Calibri"/>
        </w:rPr>
        <w:t xml:space="preserve"> DRUG ADMINISTRATION</w:t>
      </w:r>
    </w:p>
    <w:p w:rsidR="00357C8A" w:rsidP="00357C8A" w:rsidRDefault="00357C8A" w14:paraId="4FADC05F" w14:textId="77777777">
      <w:pPr>
        <w:jc w:val="center"/>
        <w:rPr>
          <w:rFonts w:eastAsia="Calibri"/>
        </w:rPr>
      </w:pPr>
    </w:p>
    <w:p w:rsidR="00A07C61" w:rsidP="00FD2ACD" w:rsidRDefault="00FD2ACD" w14:paraId="57B9EB2E" w14:textId="77777777">
      <w:pPr>
        <w:jc w:val="center"/>
        <w:rPr>
          <w:rFonts w:eastAsia="Calibri"/>
        </w:rPr>
      </w:pPr>
      <w:r w:rsidRPr="00FD2ACD">
        <w:rPr>
          <w:rFonts w:eastAsia="Calibri"/>
        </w:rPr>
        <w:t>Recordkeeping and Reporting Requirements for Human Food</w:t>
      </w:r>
    </w:p>
    <w:p w:rsidR="00A07C61" w:rsidP="00FD2ACD" w:rsidRDefault="00FD2ACD" w14:paraId="1280286B" w14:textId="77777777">
      <w:pPr>
        <w:jc w:val="center"/>
        <w:rPr>
          <w:rFonts w:eastAsia="Calibri"/>
        </w:rPr>
      </w:pPr>
      <w:r w:rsidRPr="00FD2ACD">
        <w:rPr>
          <w:rFonts w:eastAsia="Calibri"/>
        </w:rPr>
        <w:t xml:space="preserve"> and Cosmetics Manufactured</w:t>
      </w:r>
      <w:r w:rsidR="00A07C61">
        <w:rPr>
          <w:rFonts w:eastAsia="Calibri"/>
        </w:rPr>
        <w:t xml:space="preserve"> </w:t>
      </w:r>
      <w:r w:rsidRPr="00FD2ACD">
        <w:rPr>
          <w:rFonts w:eastAsia="Calibri"/>
        </w:rPr>
        <w:t xml:space="preserve">From, Processed With, </w:t>
      </w:r>
    </w:p>
    <w:p w:rsidR="00357C8A" w:rsidP="00FD2ACD" w:rsidRDefault="00FD2ACD" w14:paraId="599B4924" w14:textId="77777777">
      <w:pPr>
        <w:jc w:val="center"/>
        <w:rPr>
          <w:rFonts w:eastAsia="Calibri"/>
        </w:rPr>
      </w:pPr>
      <w:r w:rsidRPr="00FD2ACD">
        <w:rPr>
          <w:rFonts w:eastAsia="Calibri"/>
        </w:rPr>
        <w:t>or Otherwise Containing, Material from Cattle</w:t>
      </w:r>
    </w:p>
    <w:p w:rsidR="00FD2ACD" w:rsidP="00FD2ACD" w:rsidRDefault="00FD2ACD" w14:paraId="3551D3BA" w14:textId="77777777">
      <w:pPr>
        <w:jc w:val="center"/>
        <w:rPr>
          <w:rFonts w:eastAsia="Calibri"/>
        </w:rPr>
      </w:pPr>
    </w:p>
    <w:p w:rsidRPr="00A07C61" w:rsidR="00357C8A" w:rsidP="00357C8A" w:rsidRDefault="00357C8A" w14:paraId="1F3464C2" w14:textId="77777777">
      <w:pPr>
        <w:jc w:val="center"/>
        <w:rPr>
          <w:rFonts w:eastAsia="Calibri"/>
          <w:u w:val="single"/>
        </w:rPr>
      </w:pPr>
      <w:r w:rsidRPr="00A07C61">
        <w:rPr>
          <w:rFonts w:eastAsia="Calibri"/>
          <w:u w:val="single"/>
        </w:rPr>
        <w:t>OMB Control No. 0910-</w:t>
      </w:r>
      <w:r w:rsidRPr="00A07C61" w:rsidR="00FD2ACD">
        <w:rPr>
          <w:rFonts w:eastAsia="Calibri"/>
          <w:u w:val="single"/>
        </w:rPr>
        <w:t>0623</w:t>
      </w:r>
    </w:p>
    <w:p w:rsidR="00357C8A" w:rsidP="00357C8A" w:rsidRDefault="00357C8A" w14:paraId="380A2651" w14:textId="77777777">
      <w:pPr>
        <w:jc w:val="center"/>
        <w:rPr>
          <w:rFonts w:eastAsia="Calibri"/>
        </w:rPr>
      </w:pPr>
    </w:p>
    <w:p w:rsidR="00A07C61" w:rsidP="00A07C61" w:rsidRDefault="00A07C61" w14:paraId="786CC1F8" w14:textId="77777777">
      <w:pPr>
        <w:rPr>
          <w:rFonts w:eastAsia="Calibri"/>
        </w:rPr>
      </w:pPr>
    </w:p>
    <w:p w:rsidR="00357C8A" w:rsidP="00A07C61" w:rsidRDefault="00357C8A" w14:paraId="7F5A5168" w14:textId="77777777">
      <w:pPr>
        <w:rPr>
          <w:rFonts w:eastAsia="Calibri"/>
        </w:rPr>
      </w:pPr>
      <w:r w:rsidRPr="00357C8A">
        <w:rPr>
          <w:rFonts w:eastAsia="Calibri"/>
        </w:rPr>
        <w:t>SUPPORTING STATEMENT</w:t>
      </w:r>
      <w:r w:rsidR="00A07C61">
        <w:rPr>
          <w:rFonts w:eastAsia="Calibri"/>
        </w:rPr>
        <w:t xml:space="preserve"> – </w:t>
      </w:r>
      <w:r w:rsidRPr="00A07C61" w:rsidR="00A07C61">
        <w:rPr>
          <w:rFonts w:eastAsia="Calibri"/>
          <w:b/>
        </w:rPr>
        <w:t>Part A:  Justification</w:t>
      </w:r>
    </w:p>
    <w:p w:rsidRPr="00357C8A" w:rsidR="000D79CC" w:rsidP="000D79CC" w:rsidRDefault="000D79CC" w14:paraId="46F20EF9" w14:textId="77777777">
      <w:pPr>
        <w:rPr>
          <w:rFonts w:eastAsia="Calibri"/>
        </w:rPr>
      </w:pPr>
    </w:p>
    <w:p w:rsidRPr="00357C8A" w:rsidR="00357C8A" w:rsidP="006705EA" w:rsidRDefault="00357C8A" w14:paraId="4F353A9A"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Pr="00FD2ACD" w:rsidR="00FD2ACD" w:rsidP="00FD2ACD" w:rsidRDefault="00423272" w14:paraId="4815FF1C" w14:textId="77777777">
      <w:pPr>
        <w:rPr>
          <w:rFonts w:eastAsia="Calibri"/>
        </w:rPr>
      </w:pPr>
      <w:r w:rsidRPr="005C71CA">
        <w:rPr>
          <w:rFonts w:eastAsia="Calibri"/>
        </w:rPr>
        <w:t>This information collection supports Food and Drug Administration (FDA, us</w:t>
      </w:r>
      <w:r w:rsidR="00591CAE">
        <w:rPr>
          <w:rFonts w:eastAsia="Calibri"/>
        </w:rPr>
        <w:t>,</w:t>
      </w:r>
      <w:r w:rsidRPr="005C71CA">
        <w:rPr>
          <w:rFonts w:eastAsia="Calibri"/>
        </w:rPr>
        <w:t xml:space="preserve"> or we) </w:t>
      </w:r>
      <w:r w:rsidRPr="00FD2ACD" w:rsidR="00FD2ACD">
        <w:rPr>
          <w:rFonts w:eastAsia="Calibri"/>
        </w:rPr>
        <w:t xml:space="preserve">regulations in §§ 189.5 and 700.27 (21 CFR 189.5 and 700.27) </w:t>
      </w:r>
      <w:r w:rsidR="00FD2ACD">
        <w:rPr>
          <w:rFonts w:eastAsia="Calibri"/>
        </w:rPr>
        <w:t xml:space="preserve">which </w:t>
      </w:r>
      <w:r w:rsidRPr="00FD2ACD" w:rsidR="00FD2ACD">
        <w:rPr>
          <w:rFonts w:eastAsia="Calibri"/>
        </w:rPr>
        <w:t xml:space="preserve">set forth bovine spongiform encephalopathy (BSE)-related restrictions applicable to FDA-regulated human food and cosmetics. </w:t>
      </w:r>
      <w:r w:rsidR="00FD2ACD">
        <w:rPr>
          <w:rFonts w:eastAsia="Calibri"/>
        </w:rPr>
        <w:t xml:space="preserve"> </w:t>
      </w:r>
      <w:r w:rsidRPr="00FD2ACD" w:rsidR="00FD2ACD">
        <w:rPr>
          <w:rFonts w:eastAsia="Calibri"/>
        </w:rPr>
        <w:t>The regulations designate certain materials from cattle as “prohibited cattle materials,” including specified risk materials (SRMs), the small intestine of cattle not otherwise excluded from being a prohibited cattle material, material from non</w:t>
      </w:r>
      <w:r w:rsidR="00A07C61">
        <w:rPr>
          <w:rFonts w:eastAsia="Calibri"/>
        </w:rPr>
        <w:t>-</w:t>
      </w:r>
      <w:r w:rsidRPr="00FD2ACD" w:rsidR="00FD2ACD">
        <w:rPr>
          <w:rFonts w:eastAsia="Calibri"/>
        </w:rPr>
        <w:t xml:space="preserve">ambulatory disabled cattle, and mechanically separated (MS) beef. </w:t>
      </w:r>
      <w:r w:rsidR="00FD2ACD">
        <w:rPr>
          <w:rFonts w:eastAsia="Calibri"/>
        </w:rPr>
        <w:t xml:space="preserve"> </w:t>
      </w:r>
      <w:r w:rsidRPr="00FD2ACD" w:rsidR="00FD2ACD">
        <w:rPr>
          <w:rFonts w:eastAsia="Calibri"/>
        </w:rPr>
        <w:t xml:space="preserve">Sections 189.5(c) and 700.27(c) set forth the requirements for recordkeeping and records access for FDA-regulated human food, including dietary supplements, and cosmetics manufactured from, processed with, or otherwise containing material derived from cattle. </w:t>
      </w:r>
      <w:r w:rsidR="00FD2ACD">
        <w:rPr>
          <w:rFonts w:eastAsia="Calibri"/>
        </w:rPr>
        <w:t xml:space="preserve"> </w:t>
      </w:r>
      <w:r w:rsidR="00A23F00">
        <w:rPr>
          <w:rFonts w:eastAsia="Calibri"/>
        </w:rPr>
        <w:t>We</w:t>
      </w:r>
      <w:r w:rsidRPr="00FD2ACD" w:rsidR="00A23F00">
        <w:rPr>
          <w:rFonts w:eastAsia="Calibri"/>
        </w:rPr>
        <w:t xml:space="preserve"> </w:t>
      </w:r>
      <w:r w:rsidRPr="00FD2ACD" w:rsidR="00FD2ACD">
        <w:rPr>
          <w:rFonts w:eastAsia="Calibri"/>
        </w:rPr>
        <w:t>issued these recordkeeping regulations under the adulteration provisions in sections 402(a)(2)(C), (a)(3), (a)(4), (a)(5), 601(c), and 701(a) of the Federal Food,</w:t>
      </w:r>
      <w:r w:rsidR="00FD2ACD">
        <w:rPr>
          <w:rFonts w:eastAsia="Calibri"/>
        </w:rPr>
        <w:t xml:space="preserve"> </w:t>
      </w:r>
      <w:r w:rsidRPr="00FD2ACD" w:rsidR="00FD2ACD">
        <w:rPr>
          <w:rFonts w:eastAsia="Calibri"/>
        </w:rPr>
        <w:t xml:space="preserve">Drug, and Cosmetic Act (the FD&amp;C Act) (21 U.S.C. 342(a)(2)(C), (a)(3), (a)(4), (a)(5), 361(c), and 371(a)). </w:t>
      </w:r>
      <w:r w:rsidR="00FD2ACD">
        <w:rPr>
          <w:rFonts w:eastAsia="Calibri"/>
        </w:rPr>
        <w:t xml:space="preserve"> </w:t>
      </w:r>
      <w:r w:rsidRPr="00FD2ACD" w:rsidR="00FD2ACD">
        <w:rPr>
          <w:rFonts w:eastAsia="Calibri"/>
        </w:rPr>
        <w:t xml:space="preserve">Under section 701(a) of the FD&amp;C Act, FDA is authorized to issue regulations for the FD&amp;C Act’s efficient enforcement. </w:t>
      </w:r>
      <w:r w:rsidR="00FD2ACD">
        <w:rPr>
          <w:rFonts w:eastAsia="Calibri"/>
        </w:rPr>
        <w:t xml:space="preserve"> </w:t>
      </w:r>
      <w:r w:rsidRPr="00FD2ACD" w:rsidR="00FD2ACD">
        <w:rPr>
          <w:rFonts w:eastAsia="Calibri"/>
        </w:rPr>
        <w:t xml:space="preserve">Regarding records concerning imported human food and cosmetics, </w:t>
      </w:r>
      <w:r w:rsidR="00F96235">
        <w:rPr>
          <w:rFonts w:eastAsia="Calibri"/>
        </w:rPr>
        <w:t>we</w:t>
      </w:r>
      <w:r w:rsidRPr="00FD2ACD" w:rsidR="00A23F00">
        <w:rPr>
          <w:rFonts w:eastAsia="Calibri"/>
        </w:rPr>
        <w:t xml:space="preserve"> </w:t>
      </w:r>
      <w:r w:rsidRPr="00FD2ACD" w:rsidR="00FD2ACD">
        <w:rPr>
          <w:rFonts w:eastAsia="Calibri"/>
        </w:rPr>
        <w:t xml:space="preserve">relied on </w:t>
      </w:r>
      <w:r w:rsidR="00A23F00">
        <w:rPr>
          <w:rFonts w:eastAsia="Calibri"/>
        </w:rPr>
        <w:t>our</w:t>
      </w:r>
      <w:r w:rsidRPr="00FD2ACD" w:rsidR="00A23F00">
        <w:rPr>
          <w:rFonts w:eastAsia="Calibri"/>
        </w:rPr>
        <w:t xml:space="preserve"> </w:t>
      </w:r>
      <w:r w:rsidRPr="00FD2ACD" w:rsidR="00FD2ACD">
        <w:rPr>
          <w:rFonts w:eastAsia="Calibri"/>
        </w:rPr>
        <w:t>authority under sections 701(b) and 801(a) of the FD&amp;C Act (21</w:t>
      </w:r>
      <w:r w:rsidR="00FD2ACD">
        <w:rPr>
          <w:rFonts w:eastAsia="Calibri"/>
        </w:rPr>
        <w:t xml:space="preserve"> </w:t>
      </w:r>
      <w:r w:rsidRPr="00FD2ACD" w:rsidR="00FD2ACD">
        <w:rPr>
          <w:rFonts w:eastAsia="Calibri"/>
        </w:rPr>
        <w:t xml:space="preserve">U.S.C. 371(b) and 381(a)). </w:t>
      </w:r>
      <w:r w:rsidR="00FD2ACD">
        <w:rPr>
          <w:rFonts w:eastAsia="Calibri"/>
        </w:rPr>
        <w:t xml:space="preserve"> </w:t>
      </w:r>
      <w:r w:rsidRPr="00FD2ACD" w:rsidR="00FD2ACD">
        <w:rPr>
          <w:rFonts w:eastAsia="Calibri"/>
        </w:rPr>
        <w:t xml:space="preserve">Section 801(a) of the FD&amp;C Act provides requirements with regard to imported human food and cosmetics and provides for refusal of admission of human food and cosmetics that appear to be adulterated into the United States. </w:t>
      </w:r>
      <w:r w:rsidR="00FD2ACD">
        <w:rPr>
          <w:rFonts w:eastAsia="Calibri"/>
        </w:rPr>
        <w:t xml:space="preserve"> </w:t>
      </w:r>
      <w:r w:rsidRPr="00FD2ACD" w:rsidR="00FD2ACD">
        <w:rPr>
          <w:rFonts w:eastAsia="Calibri"/>
        </w:rPr>
        <w:t>Section 701(b) of the FD&amp;C Act authorizes the Secretaries of Treasury and Health and Human Services to jointly prescribe regulations for the efficient enforcement of section 801 of the FD&amp;C Act.</w:t>
      </w:r>
    </w:p>
    <w:p w:rsidRPr="00FD2ACD" w:rsidR="00FD2ACD" w:rsidP="00FD2ACD" w:rsidRDefault="00FD2ACD" w14:paraId="0EE8B4DC" w14:textId="77777777">
      <w:pPr>
        <w:rPr>
          <w:rFonts w:eastAsia="Calibri"/>
        </w:rPr>
      </w:pPr>
    </w:p>
    <w:p w:rsidRPr="00FD2ACD" w:rsidR="00FD2ACD" w:rsidP="00FD2ACD" w:rsidRDefault="00FD2ACD" w14:paraId="106F0DAD" w14:textId="77777777">
      <w:pPr>
        <w:rPr>
          <w:rFonts w:eastAsia="Calibri"/>
        </w:rPr>
      </w:pPr>
      <w:r w:rsidRPr="00FD2ACD">
        <w:rPr>
          <w:rFonts w:eastAsia="Calibri"/>
        </w:rPr>
        <w:t>These requirements are necessary because once materials are separated from an animal it may not be possible, without records, to know the following: (1) Whether cattle material may contain SRMs (SRMs include brain, skull, eyes, trigeminal ganglia, spinal cord, vertebral column (excluding the vertebrae of the tail, the transverse processes of the thoracic and lumbar vertebrae and the wings of the sacrum), and dorsal root ganglia from animals less than 30 months old and tonsils and distal ileum of the small intestine from all animals of all ages); (2) whether the source animal for cattle material was inspected and passed; (3) whether the source animal for cattle material was non</w:t>
      </w:r>
      <w:r w:rsidR="00A07C61">
        <w:rPr>
          <w:rFonts w:eastAsia="Calibri"/>
        </w:rPr>
        <w:t>-</w:t>
      </w:r>
      <w:r w:rsidRPr="00FD2ACD">
        <w:rPr>
          <w:rFonts w:eastAsia="Calibri"/>
        </w:rPr>
        <w:t>ambulatory disabled or MS beef; and (4) whether tallow in human food or cosmetics contain less than 0.15 percent insoluble impurities.</w:t>
      </w:r>
    </w:p>
    <w:p w:rsidRPr="00FD2ACD" w:rsidR="00FD2ACD" w:rsidP="00FD2ACD" w:rsidRDefault="00FD2ACD" w14:paraId="0F6C70B4" w14:textId="77777777">
      <w:pPr>
        <w:rPr>
          <w:rFonts w:eastAsia="Calibri"/>
        </w:rPr>
      </w:pPr>
    </w:p>
    <w:p w:rsidR="00357C8A" w:rsidP="00F5283C" w:rsidRDefault="00423272" w14:paraId="4E2C6E79" w14:textId="77777777">
      <w:pPr>
        <w:rPr>
          <w:rFonts w:eastAsia="Calibri"/>
        </w:rPr>
      </w:pPr>
      <w:r w:rsidRPr="005C71CA">
        <w:rPr>
          <w:rFonts w:eastAsia="Calibri"/>
        </w:rPr>
        <w:t xml:space="preserve">We therefore request extension of OMB approval of </w:t>
      </w:r>
      <w:r w:rsidR="00F5283C">
        <w:rPr>
          <w:rFonts w:eastAsia="Calibri"/>
        </w:rPr>
        <w:t xml:space="preserve">the </w:t>
      </w:r>
      <w:r w:rsidRPr="005C71CA">
        <w:rPr>
          <w:rFonts w:eastAsia="Calibri"/>
        </w:rPr>
        <w:t xml:space="preserve">provisions found in 21 CFR </w:t>
      </w:r>
      <w:r w:rsidR="0073010A">
        <w:rPr>
          <w:rFonts w:eastAsia="Calibri"/>
        </w:rPr>
        <w:t>p</w:t>
      </w:r>
      <w:r w:rsidRPr="005C71CA">
        <w:rPr>
          <w:rFonts w:eastAsia="Calibri"/>
        </w:rPr>
        <w:t>arts</w:t>
      </w:r>
      <w:r w:rsidR="00F5283C">
        <w:rPr>
          <w:rFonts w:eastAsia="Calibri"/>
        </w:rPr>
        <w:t xml:space="preserve"> </w:t>
      </w:r>
      <w:r w:rsidRPr="00395E7E" w:rsidR="00395E7E">
        <w:rPr>
          <w:rFonts w:eastAsia="Calibri"/>
        </w:rPr>
        <w:t>189</w:t>
      </w:r>
      <w:r w:rsidR="00F5283C">
        <w:rPr>
          <w:rFonts w:eastAsia="Calibri"/>
        </w:rPr>
        <w:t xml:space="preserve"> and </w:t>
      </w:r>
      <w:r w:rsidRPr="00395E7E" w:rsidR="00395E7E">
        <w:rPr>
          <w:rFonts w:eastAsia="Calibri"/>
        </w:rPr>
        <w:t>700</w:t>
      </w:r>
      <w:r w:rsidRPr="005C71CA">
        <w:rPr>
          <w:rFonts w:eastAsia="Calibri"/>
        </w:rPr>
        <w:t xml:space="preserve"> as discussed in this supporting statement.</w:t>
      </w:r>
    </w:p>
    <w:p w:rsidRPr="003825AC" w:rsidR="006221BA" w:rsidP="00F5283C" w:rsidRDefault="006221BA" w14:paraId="199703EE" w14:textId="77777777">
      <w:pPr>
        <w:rPr>
          <w:rFonts w:eastAsia="Calibri"/>
          <w:color w:val="000000"/>
        </w:rPr>
      </w:pPr>
    </w:p>
    <w:p w:rsidRPr="003825AC" w:rsidR="00F5283C" w:rsidP="00F5283C" w:rsidRDefault="00F5283C" w14:paraId="517E917C" w14:textId="77777777">
      <w:pPr>
        <w:rPr>
          <w:rFonts w:eastAsia="Calibri"/>
          <w:color w:val="000000"/>
        </w:rPr>
      </w:pPr>
    </w:p>
    <w:p w:rsidRPr="00357C8A" w:rsidR="00357C8A" w:rsidP="006705EA" w:rsidRDefault="00357C8A" w14:paraId="7FA01B95"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Pr="00F5283C" w:rsidR="00F5283C" w:rsidP="00F5283C" w:rsidRDefault="00A23F00" w14:paraId="3C4F25A8" w14:textId="77777777">
      <w:pPr>
        <w:spacing w:after="200"/>
        <w:rPr>
          <w:rFonts w:eastAsia="Calibri"/>
        </w:rPr>
      </w:pPr>
      <w:r>
        <w:rPr>
          <w:rFonts w:eastAsia="Calibri"/>
        </w:rPr>
        <w:t>Our</w:t>
      </w:r>
      <w:r w:rsidRPr="00F5283C">
        <w:rPr>
          <w:rFonts w:eastAsia="Calibri"/>
        </w:rPr>
        <w:t xml:space="preserve"> </w:t>
      </w:r>
      <w:r w:rsidRPr="00F5283C" w:rsidR="00F5283C">
        <w:rPr>
          <w:rFonts w:eastAsia="Calibri"/>
        </w:rPr>
        <w:t xml:space="preserve">regulations in §§ 189.5(c) and 700.27(c) require manufacturers and processors of human food and cosmetics manufactured from, processed with, or otherwise containing material from cattle establish and maintain records sufficient to demonstrate that the human food or cosmetics are not manufactured from, processed with, or otherwise containing prohibited cattle materials. </w:t>
      </w:r>
      <w:r w:rsidR="00F5283C">
        <w:rPr>
          <w:rFonts w:eastAsia="Calibri"/>
        </w:rPr>
        <w:t xml:space="preserve"> </w:t>
      </w:r>
      <w:r w:rsidRPr="00F5283C" w:rsidR="00F5283C">
        <w:rPr>
          <w:rFonts w:eastAsia="Calibri"/>
        </w:rPr>
        <w:t xml:space="preserve">These records must be retained for 2 years at the manufacturing or processing establishment or at a reasonably accessible location. </w:t>
      </w:r>
      <w:r w:rsidR="00F5283C">
        <w:rPr>
          <w:rFonts w:eastAsia="Calibri"/>
        </w:rPr>
        <w:t xml:space="preserve"> </w:t>
      </w:r>
      <w:r w:rsidRPr="00F5283C" w:rsidR="00F5283C">
        <w:rPr>
          <w:rFonts w:eastAsia="Calibri"/>
        </w:rPr>
        <w:t xml:space="preserve">Maintenance of electronic records is acceptable, and electronic records are considered to be reasonably accessible if they are accessible from an onsite location. </w:t>
      </w:r>
      <w:r w:rsidR="00F5283C">
        <w:rPr>
          <w:rFonts w:eastAsia="Calibri"/>
        </w:rPr>
        <w:t xml:space="preserve"> </w:t>
      </w:r>
      <w:r w:rsidRPr="00F5283C" w:rsidR="00F5283C">
        <w:rPr>
          <w:rFonts w:eastAsia="Calibri"/>
        </w:rPr>
        <w:t xml:space="preserve">Records required by these sections and existing records relevant to compliance with these sections must be available to </w:t>
      </w:r>
      <w:r>
        <w:rPr>
          <w:rFonts w:eastAsia="Calibri"/>
        </w:rPr>
        <w:t>us</w:t>
      </w:r>
      <w:r w:rsidRPr="00F5283C">
        <w:rPr>
          <w:rFonts w:eastAsia="Calibri"/>
        </w:rPr>
        <w:t xml:space="preserve"> </w:t>
      </w:r>
      <w:r w:rsidRPr="00F5283C" w:rsidR="00F5283C">
        <w:rPr>
          <w:rFonts w:eastAsia="Calibri"/>
        </w:rPr>
        <w:t xml:space="preserve">for inspection and copying. </w:t>
      </w:r>
      <w:r w:rsidR="00F5283C">
        <w:rPr>
          <w:rFonts w:eastAsia="Calibri"/>
        </w:rPr>
        <w:t xml:space="preserve"> </w:t>
      </w:r>
      <w:r w:rsidRPr="00F5283C" w:rsidR="00F5283C">
        <w:rPr>
          <w:rFonts w:eastAsia="Calibri"/>
        </w:rPr>
        <w:t>Existing records may be used if they contain all of the required information and are retained for the required time period.</w:t>
      </w:r>
    </w:p>
    <w:p w:rsidRPr="00F5283C" w:rsidR="00F5283C" w:rsidP="00F5283C" w:rsidRDefault="00F5283C" w14:paraId="436461B1" w14:textId="77777777">
      <w:pPr>
        <w:spacing w:after="200"/>
        <w:rPr>
          <w:rFonts w:eastAsia="Calibri"/>
        </w:rPr>
      </w:pPr>
      <w:r w:rsidRPr="00F5283C">
        <w:rPr>
          <w:rFonts w:eastAsia="Calibri"/>
        </w:rPr>
        <w:t xml:space="preserve">Because </w:t>
      </w:r>
      <w:r w:rsidR="00A23F00">
        <w:rPr>
          <w:rFonts w:eastAsia="Calibri"/>
        </w:rPr>
        <w:t>we</w:t>
      </w:r>
      <w:r w:rsidRPr="00F5283C" w:rsidR="00A23F00">
        <w:rPr>
          <w:rFonts w:eastAsia="Calibri"/>
        </w:rPr>
        <w:t xml:space="preserve"> </w:t>
      </w:r>
      <w:r w:rsidRPr="00F5283C">
        <w:rPr>
          <w:rFonts w:eastAsia="Calibri"/>
        </w:rPr>
        <w:t>do not easily have access to records maintained at foreign establishments, FDA regulations in §§ 189.5(c)(6) and 700.27(c)(6), respectively, require that when filing for entry with U.S. Customs and Border Protection</w:t>
      </w:r>
      <w:r w:rsidR="00766F8F">
        <w:rPr>
          <w:rFonts w:eastAsia="Calibri"/>
        </w:rPr>
        <w:t xml:space="preserve"> (CBP)</w:t>
      </w:r>
      <w:r w:rsidRPr="00F5283C">
        <w:rPr>
          <w:rFonts w:eastAsia="Calibri"/>
        </w:rPr>
        <w:t>, the importer of record of human food or cosmetics manufactured from, processed with, or otherwise containing cattle material must affirm that the human food or cosmetics were manufactured from, processed with, or otherwise containing cattle material and must affirm that the human food or cosmetics were manufactured in accordance with the applicable requirements of §§ 189.5 or 700.27.</w:t>
      </w:r>
      <w:r>
        <w:rPr>
          <w:rFonts w:eastAsia="Calibri"/>
        </w:rPr>
        <w:t xml:space="preserve"> </w:t>
      </w:r>
      <w:r w:rsidRPr="00F5283C">
        <w:rPr>
          <w:rFonts w:eastAsia="Calibri"/>
        </w:rPr>
        <w:t xml:space="preserve"> In addition, if human food or cosmetics were manufactured from, processed with, or otherwise containing cattle material, the importer of record must provide within 5 business days records sufficient to demonstrate that the human food or cosmetics were not manufactured from, processed with, or otherwise containing prohibited cattle material, if requested.</w:t>
      </w:r>
    </w:p>
    <w:p w:rsidRPr="00F5283C" w:rsidR="00F5283C" w:rsidP="00F5283C" w:rsidRDefault="00F5283C" w14:paraId="7D049DF6" w14:textId="77777777">
      <w:pPr>
        <w:spacing w:after="200"/>
        <w:rPr>
          <w:rFonts w:eastAsia="Calibri"/>
        </w:rPr>
      </w:pPr>
      <w:r w:rsidRPr="00F5283C">
        <w:rPr>
          <w:rFonts w:eastAsia="Calibri"/>
        </w:rPr>
        <w:t xml:space="preserve">As noted above, §§ 189.5(e) and 700.27(e) provide that a country seeking to be so designated must send a written request to the Director, Center for Food Safety and Applied Nutrition (CFSAN). </w:t>
      </w:r>
      <w:r>
        <w:rPr>
          <w:rFonts w:eastAsia="Calibri"/>
        </w:rPr>
        <w:t xml:space="preserve"> </w:t>
      </w:r>
      <w:r w:rsidRPr="00F5283C">
        <w:rPr>
          <w:rFonts w:eastAsia="Calibri"/>
        </w:rPr>
        <w:t>The information the country is required to submit includes information about a country’s BSE case history, risk factors, measures to prevent the introduction and transmission of BSE, and other information relevant to determining whether specified risk materials, the small intestine of cattle not otherwise excluded from being a prohibited cattle material, material from non</w:t>
      </w:r>
      <w:r w:rsidR="00A07C61">
        <w:rPr>
          <w:rFonts w:eastAsia="Calibri"/>
        </w:rPr>
        <w:t>-</w:t>
      </w:r>
      <w:r w:rsidRPr="00F5283C">
        <w:rPr>
          <w:rFonts w:eastAsia="Calibri"/>
        </w:rPr>
        <w:t xml:space="preserve">ambulatory disabled cattle, or MS (Beef) from the country seeking designation should be considered prohibited cattle materials. </w:t>
      </w:r>
      <w:r>
        <w:rPr>
          <w:rFonts w:eastAsia="Calibri"/>
        </w:rPr>
        <w:t xml:space="preserve"> </w:t>
      </w:r>
      <w:r w:rsidR="00A23F00">
        <w:rPr>
          <w:rFonts w:eastAsia="Calibri"/>
        </w:rPr>
        <w:t>We</w:t>
      </w:r>
      <w:r w:rsidRPr="00F5283C" w:rsidR="00A23F00">
        <w:rPr>
          <w:rFonts w:eastAsia="Calibri"/>
        </w:rPr>
        <w:t xml:space="preserve"> </w:t>
      </w:r>
      <w:r w:rsidRPr="00F5283C">
        <w:rPr>
          <w:rFonts w:eastAsia="Calibri"/>
        </w:rPr>
        <w:t>use the information to determine whether to grant a request for designation, and whether to impose conditions if a request is granted.</w:t>
      </w:r>
    </w:p>
    <w:p w:rsidRPr="00F5283C" w:rsidR="00F5283C" w:rsidP="00F5283C" w:rsidRDefault="00F5283C" w14:paraId="352CDE54" w14:textId="77777777">
      <w:pPr>
        <w:spacing w:after="200"/>
        <w:rPr>
          <w:rFonts w:eastAsia="Calibri"/>
        </w:rPr>
      </w:pPr>
      <w:r w:rsidRPr="00F5283C">
        <w:rPr>
          <w:rFonts w:eastAsia="Calibri"/>
        </w:rPr>
        <w:t>As noted above, §§ 189.5 and 700.27 further state that countries that have been designated under</w:t>
      </w:r>
      <w:r>
        <w:rPr>
          <w:rFonts w:eastAsia="Calibri"/>
        </w:rPr>
        <w:t xml:space="preserve"> </w:t>
      </w:r>
      <w:r w:rsidRPr="00F5283C">
        <w:rPr>
          <w:rFonts w:eastAsia="Calibri"/>
        </w:rPr>
        <w:t xml:space="preserve">§§ 189.5(e) and 700.27(e) will be subject to future review by </w:t>
      </w:r>
      <w:r w:rsidR="00A23F00">
        <w:rPr>
          <w:rFonts w:eastAsia="Calibri"/>
        </w:rPr>
        <w:t>us</w:t>
      </w:r>
      <w:r w:rsidRPr="00F5283C" w:rsidR="00A23F00">
        <w:rPr>
          <w:rFonts w:eastAsia="Calibri"/>
        </w:rPr>
        <w:t xml:space="preserve"> </w:t>
      </w:r>
      <w:r w:rsidRPr="00F5283C">
        <w:rPr>
          <w:rFonts w:eastAsia="Calibri"/>
        </w:rPr>
        <w:t xml:space="preserve">to determine whether designation remains appropriate. </w:t>
      </w:r>
      <w:r>
        <w:rPr>
          <w:rFonts w:eastAsia="Calibri"/>
        </w:rPr>
        <w:t xml:space="preserve"> </w:t>
      </w:r>
      <w:r w:rsidRPr="00F5283C">
        <w:rPr>
          <w:rFonts w:eastAsia="Calibri"/>
        </w:rPr>
        <w:t xml:space="preserve">As part of this process, </w:t>
      </w:r>
      <w:r w:rsidR="00A23F00">
        <w:rPr>
          <w:rFonts w:eastAsia="Calibri"/>
        </w:rPr>
        <w:t>we</w:t>
      </w:r>
      <w:r w:rsidRPr="00F5283C" w:rsidR="00A23F00">
        <w:rPr>
          <w:rFonts w:eastAsia="Calibri"/>
        </w:rPr>
        <w:t xml:space="preserve"> </w:t>
      </w:r>
      <w:r w:rsidRPr="00F5283C">
        <w:rPr>
          <w:rFonts w:eastAsia="Calibri"/>
        </w:rPr>
        <w:t xml:space="preserve">may ask designated countries to confirm that their BSE situation and the information submitted by them in support of their original application remain unchanged. </w:t>
      </w:r>
      <w:r>
        <w:rPr>
          <w:rFonts w:eastAsia="Calibri"/>
        </w:rPr>
        <w:t xml:space="preserve"> </w:t>
      </w:r>
      <w:r w:rsidR="00A23F00">
        <w:rPr>
          <w:rFonts w:eastAsia="Calibri"/>
        </w:rPr>
        <w:t>We</w:t>
      </w:r>
      <w:r w:rsidRPr="00F5283C" w:rsidR="00A23F00">
        <w:rPr>
          <w:rFonts w:eastAsia="Calibri"/>
        </w:rPr>
        <w:t xml:space="preserve"> </w:t>
      </w:r>
      <w:r w:rsidRPr="00F5283C">
        <w:rPr>
          <w:rFonts w:eastAsia="Calibri"/>
        </w:rPr>
        <w:t xml:space="preserve">may revoke a country’s designation if </w:t>
      </w:r>
      <w:r w:rsidR="00A23F00">
        <w:rPr>
          <w:rFonts w:eastAsia="Calibri"/>
        </w:rPr>
        <w:t>we</w:t>
      </w:r>
      <w:r w:rsidRPr="00F5283C" w:rsidR="00A23F00">
        <w:rPr>
          <w:rFonts w:eastAsia="Calibri"/>
        </w:rPr>
        <w:t xml:space="preserve"> </w:t>
      </w:r>
      <w:r w:rsidRPr="00F5283C">
        <w:rPr>
          <w:rFonts w:eastAsia="Calibri"/>
        </w:rPr>
        <w:t xml:space="preserve">determine that it is no longer appropriate. </w:t>
      </w:r>
      <w:r>
        <w:rPr>
          <w:rFonts w:eastAsia="Calibri"/>
        </w:rPr>
        <w:t xml:space="preserve"> </w:t>
      </w:r>
      <w:r w:rsidRPr="00F5283C">
        <w:rPr>
          <w:rFonts w:eastAsia="Calibri"/>
        </w:rPr>
        <w:t xml:space="preserve">Therefore, designated countries may respond to periodic requests by </w:t>
      </w:r>
      <w:r w:rsidR="00A23F00">
        <w:rPr>
          <w:rFonts w:eastAsia="Calibri"/>
        </w:rPr>
        <w:t>us</w:t>
      </w:r>
      <w:r w:rsidRPr="00F5283C" w:rsidR="00A23F00">
        <w:rPr>
          <w:rFonts w:eastAsia="Calibri"/>
        </w:rPr>
        <w:t xml:space="preserve"> </w:t>
      </w:r>
      <w:r w:rsidRPr="00F5283C">
        <w:rPr>
          <w:rFonts w:eastAsia="Calibri"/>
        </w:rPr>
        <w:t>by submitting information to confirm that their designation remains appropriate.</w:t>
      </w:r>
      <w:r w:rsidR="00204B08">
        <w:rPr>
          <w:rFonts w:eastAsia="Calibri"/>
        </w:rPr>
        <w:t xml:space="preserve"> </w:t>
      </w:r>
      <w:r w:rsidRPr="00F5283C">
        <w:rPr>
          <w:rFonts w:eastAsia="Calibri"/>
        </w:rPr>
        <w:t xml:space="preserve"> </w:t>
      </w:r>
      <w:r w:rsidR="00A23F00">
        <w:rPr>
          <w:rFonts w:eastAsia="Calibri"/>
        </w:rPr>
        <w:t>We</w:t>
      </w:r>
      <w:r w:rsidRPr="00F5283C" w:rsidR="00A23F00">
        <w:rPr>
          <w:rFonts w:eastAsia="Calibri"/>
        </w:rPr>
        <w:t xml:space="preserve"> </w:t>
      </w:r>
      <w:r w:rsidRPr="00F5283C">
        <w:rPr>
          <w:rFonts w:eastAsia="Calibri"/>
        </w:rPr>
        <w:t>use the information to ensure that their designation remains appropriate.</w:t>
      </w:r>
    </w:p>
    <w:p w:rsidRPr="00A07C61" w:rsidR="006221BA" w:rsidP="0022425B" w:rsidRDefault="00A07C61" w14:paraId="155A0F04" w14:textId="77777777">
      <w:pPr>
        <w:spacing w:after="200"/>
        <w:rPr>
          <w:rFonts w:eastAsia="Calibri"/>
        </w:rPr>
      </w:pPr>
      <w:r>
        <w:rPr>
          <w:rFonts w:eastAsia="Calibri"/>
        </w:rPr>
        <w:br w:type="page"/>
      </w:r>
      <w:bookmarkStart w:name="_GoBack" w:id="0"/>
      <w:bookmarkEnd w:id="0"/>
      <w:r w:rsidRPr="00204B08" w:rsidR="00F5283C">
        <w:rPr>
          <w:rFonts w:eastAsia="Calibri"/>
          <w:i/>
        </w:rPr>
        <w:lastRenderedPageBreak/>
        <w:t>Description of Respondents</w:t>
      </w:r>
      <w:r w:rsidRPr="00F5283C" w:rsidR="00F5283C">
        <w:rPr>
          <w:rFonts w:eastAsia="Calibri"/>
        </w:rPr>
        <w:t xml:space="preserve">: </w:t>
      </w:r>
      <w:r w:rsidR="00C848E9">
        <w:rPr>
          <w:rFonts w:eastAsia="Calibri"/>
        </w:rPr>
        <w:t xml:space="preserve"> </w:t>
      </w:r>
      <w:r w:rsidRPr="00F5283C" w:rsidR="00F5283C">
        <w:rPr>
          <w:rFonts w:eastAsia="Calibri"/>
        </w:rPr>
        <w:t>Respondents to this information collection include manufacturers, processors, and importers of FDA-regulated human food, including dietary supplements, and cosmetics manufactured from, processed with, or otherwise containing material derived from cattle, as well as, with regard to §§ 189.5(e) and 700.27(e), foreign governments seeking designation under those regulations.</w:t>
      </w:r>
    </w:p>
    <w:p w:rsidRPr="00357C8A" w:rsidR="00357C8A" w:rsidP="006705EA" w:rsidRDefault="00357C8A" w14:paraId="3AFEBF68"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Pr="003825AC" w:rsidR="00357C8A" w:rsidP="0022425B" w:rsidRDefault="00204B08" w14:paraId="5A01C009" w14:textId="77777777">
      <w:pPr>
        <w:spacing w:after="200"/>
        <w:rPr>
          <w:rFonts w:eastAsia="Calibri"/>
          <w:color w:val="000000"/>
        </w:rPr>
      </w:pPr>
      <w:r w:rsidRPr="00204B08">
        <w:rPr>
          <w:rFonts w:eastAsia="Calibri"/>
        </w:rPr>
        <w:t xml:space="preserve">Sections 189.5(c) and 700.27(c) do not specifically prescribe the use of automated, electronic, mechanical, or other technological techniques or other forms of information technology as necessary for use by firms. </w:t>
      </w:r>
      <w:r>
        <w:rPr>
          <w:rFonts w:eastAsia="Calibri"/>
        </w:rPr>
        <w:t xml:space="preserve"> </w:t>
      </w:r>
      <w:r w:rsidRPr="00204B08">
        <w:rPr>
          <w:rFonts w:eastAsia="Calibri"/>
        </w:rPr>
        <w:t xml:space="preserve">Companies are free to use whatever forms of information technology may best assist them in their recordkeeping. </w:t>
      </w:r>
      <w:r>
        <w:rPr>
          <w:rFonts w:eastAsia="Calibri"/>
        </w:rPr>
        <w:t xml:space="preserve"> </w:t>
      </w:r>
      <w:r w:rsidRPr="00204B08">
        <w:rPr>
          <w:rFonts w:eastAsia="Calibri"/>
        </w:rPr>
        <w:t xml:space="preserve">Records on bovine materials and ingredients subject to the regulations may be kept in paper or electronic form, as long as they are easily accessible by </w:t>
      </w:r>
      <w:r w:rsidR="00A23F00">
        <w:rPr>
          <w:rFonts w:eastAsia="Calibri"/>
        </w:rPr>
        <w:t>us</w:t>
      </w:r>
      <w:r w:rsidRPr="00204B08" w:rsidR="00A23F00">
        <w:rPr>
          <w:rFonts w:eastAsia="Calibri"/>
        </w:rPr>
        <w:t xml:space="preserve"> </w:t>
      </w:r>
      <w:r w:rsidRPr="00204B08">
        <w:rPr>
          <w:rFonts w:eastAsia="Calibri"/>
        </w:rPr>
        <w:t xml:space="preserve">should the need arise. </w:t>
      </w:r>
      <w:r>
        <w:rPr>
          <w:rFonts w:eastAsia="Calibri"/>
        </w:rPr>
        <w:t xml:space="preserve"> </w:t>
      </w:r>
      <w:r w:rsidRPr="00204B08">
        <w:rPr>
          <w:rFonts w:eastAsia="Calibri"/>
        </w:rPr>
        <w:t>As noted above, maintenance of electronic records is acceptable and electronic records are considered to be reasonably accessible if they are accessible from an</w:t>
      </w:r>
      <w:r>
        <w:rPr>
          <w:rFonts w:eastAsia="Calibri"/>
        </w:rPr>
        <w:t xml:space="preserve"> </w:t>
      </w:r>
      <w:r w:rsidRPr="00204B08">
        <w:rPr>
          <w:rFonts w:eastAsia="Calibri"/>
        </w:rPr>
        <w:t xml:space="preserve">onsite location. </w:t>
      </w:r>
      <w:r>
        <w:rPr>
          <w:rFonts w:eastAsia="Calibri"/>
        </w:rPr>
        <w:t xml:space="preserve"> </w:t>
      </w:r>
      <w:r w:rsidRPr="00204B08">
        <w:rPr>
          <w:rFonts w:eastAsia="Calibri"/>
        </w:rPr>
        <w:t xml:space="preserve">For §§ 189.5(e) and 700.27(e), </w:t>
      </w:r>
      <w:r w:rsidR="00A23F00">
        <w:rPr>
          <w:rFonts w:eastAsia="Calibri"/>
        </w:rPr>
        <w:t>we</w:t>
      </w:r>
      <w:r w:rsidRPr="00204B08" w:rsidR="00A23F00">
        <w:rPr>
          <w:rFonts w:eastAsia="Calibri"/>
        </w:rPr>
        <w:t xml:space="preserve"> </w:t>
      </w:r>
      <w:r w:rsidRPr="00204B08">
        <w:rPr>
          <w:rFonts w:eastAsia="Calibri"/>
        </w:rPr>
        <w:t>receive entries made to CBP’s ACE system electronically.</w:t>
      </w:r>
    </w:p>
    <w:p w:rsidRPr="00357C8A" w:rsidR="00357C8A" w:rsidP="006705EA" w:rsidRDefault="00357C8A" w14:paraId="10310F82"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Pr="003825AC" w:rsidR="000C1260" w:rsidP="0053380B" w:rsidRDefault="00204B08" w14:paraId="452CB9D4" w14:textId="77777777">
      <w:pPr>
        <w:spacing w:after="200"/>
        <w:rPr>
          <w:rFonts w:eastAsia="Calibri"/>
          <w:color w:val="000000"/>
        </w:rPr>
      </w:pPr>
      <w:r w:rsidRPr="00204B08">
        <w:t xml:space="preserve">We are unaware of duplicative reporting or recordkeeping requirements. </w:t>
      </w:r>
      <w:r>
        <w:t xml:space="preserve"> </w:t>
      </w:r>
      <w:r w:rsidRPr="00204B08">
        <w:t xml:space="preserve">FDA and the U.S. Department of Agriculture (USDA) agencies, the Animal and Plant Health Inspection Service (APHIS) and the Food Safety and Inspection Service (FSIS), have different regulatory responsibilities with respect to preventing BSE and ensuring food safety. </w:t>
      </w:r>
      <w:r>
        <w:t xml:space="preserve"> </w:t>
      </w:r>
      <w:r w:rsidR="00A23F00">
        <w:t>We</w:t>
      </w:r>
      <w:r w:rsidRPr="00204B08" w:rsidR="00A23F00">
        <w:t xml:space="preserve"> </w:t>
      </w:r>
      <w:r w:rsidRPr="00204B08">
        <w:t xml:space="preserve">consult with APHIS and FSIS as part of </w:t>
      </w:r>
      <w:r w:rsidR="00766F8F">
        <w:t>our</w:t>
      </w:r>
      <w:r w:rsidRPr="00204B08" w:rsidR="00766F8F">
        <w:t xml:space="preserve"> </w:t>
      </w:r>
      <w:r w:rsidRPr="00204B08">
        <w:t xml:space="preserve">evaluation process. </w:t>
      </w:r>
      <w:r>
        <w:t xml:space="preserve"> </w:t>
      </w:r>
      <w:r w:rsidRPr="00204B08">
        <w:t xml:space="preserve">Further, </w:t>
      </w:r>
      <w:r w:rsidR="00766F8F">
        <w:t>we</w:t>
      </w:r>
      <w:r w:rsidRPr="00204B08" w:rsidR="00766F8F">
        <w:t xml:space="preserve"> </w:t>
      </w:r>
      <w:r w:rsidRPr="00204B08">
        <w:t xml:space="preserve">take into consideration available risk assessments of other competent authorities in conducting </w:t>
      </w:r>
      <w:r w:rsidR="00766F8F">
        <w:t>our</w:t>
      </w:r>
      <w:r w:rsidRPr="00204B08" w:rsidR="00766F8F">
        <w:t xml:space="preserve"> </w:t>
      </w:r>
      <w:r w:rsidRPr="00204B08">
        <w:t xml:space="preserve">evaluation. </w:t>
      </w:r>
      <w:r>
        <w:t xml:space="preserve"> </w:t>
      </w:r>
      <w:r w:rsidRPr="00204B08">
        <w:t xml:space="preserve">Though it is not required, a previous BSE evaluation by USDA, or by another country or another competent authority, will be helpful to </w:t>
      </w:r>
      <w:r w:rsidR="00A23F00">
        <w:t>us</w:t>
      </w:r>
      <w:r w:rsidRPr="00204B08">
        <w:t xml:space="preserve"> in </w:t>
      </w:r>
      <w:r w:rsidR="00A23F00">
        <w:t>our</w:t>
      </w:r>
      <w:r w:rsidRPr="00204B08">
        <w:t xml:space="preserve"> review and may decrease the time needed for </w:t>
      </w:r>
      <w:r w:rsidR="00A23F00">
        <w:t>us</w:t>
      </w:r>
      <w:r w:rsidRPr="00204B08">
        <w:t xml:space="preserve"> to make a determination.</w:t>
      </w:r>
    </w:p>
    <w:p w:rsidRPr="00357C8A" w:rsidR="00357C8A" w:rsidP="006705EA" w:rsidRDefault="00357C8A" w14:paraId="5FE1DE6B"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Pr="00357C8A" w:rsidR="00357C8A" w:rsidP="00357C8A" w:rsidRDefault="00204B08" w14:paraId="771E97FE" w14:textId="77777777">
      <w:pPr>
        <w:spacing w:after="200"/>
        <w:rPr>
          <w:rFonts w:eastAsia="Calibri"/>
        </w:rPr>
      </w:pPr>
      <w:r w:rsidRPr="00204B08">
        <w:rPr>
          <w:rFonts w:eastAsia="Calibri"/>
        </w:rPr>
        <w:t xml:space="preserve">For §§ 189.5(c) and 700.27(c), </w:t>
      </w:r>
      <w:r w:rsidR="00A23F00">
        <w:rPr>
          <w:rFonts w:eastAsia="Calibri"/>
        </w:rPr>
        <w:t>we</w:t>
      </w:r>
      <w:r w:rsidRPr="00204B08" w:rsidR="00A23F00">
        <w:rPr>
          <w:rFonts w:eastAsia="Calibri"/>
        </w:rPr>
        <w:t xml:space="preserve"> </w:t>
      </w:r>
      <w:r w:rsidRPr="00204B08">
        <w:rPr>
          <w:rFonts w:eastAsia="Calibri"/>
        </w:rPr>
        <w:t xml:space="preserve">estimate that approximately ten percent (10%) of the respondents are small businesses.  The regulations do not significantly impact small businesses as the records </w:t>
      </w:r>
      <w:r w:rsidR="00A23F00">
        <w:rPr>
          <w:rFonts w:eastAsia="Calibri"/>
        </w:rPr>
        <w:t>we</w:t>
      </w:r>
      <w:r w:rsidRPr="00204B08">
        <w:rPr>
          <w:rFonts w:eastAsia="Calibri"/>
        </w:rPr>
        <w:t xml:space="preserve"> suggest that manufacturers and processors keep are typically already kept by businesses for tax and other purposes. </w:t>
      </w:r>
      <w:r>
        <w:rPr>
          <w:rFonts w:eastAsia="Calibri"/>
        </w:rPr>
        <w:t xml:space="preserve"> </w:t>
      </w:r>
      <w:r w:rsidRPr="00204B08">
        <w:rPr>
          <w:rFonts w:eastAsia="Calibri"/>
        </w:rPr>
        <w:t xml:space="preserve">The same information is requested from large and small firms and is the minimal amount needed. </w:t>
      </w:r>
      <w:r>
        <w:rPr>
          <w:rFonts w:eastAsia="Calibri"/>
        </w:rPr>
        <w:t xml:space="preserve"> </w:t>
      </w:r>
      <w:r w:rsidRPr="00204B08">
        <w:rPr>
          <w:rFonts w:eastAsia="Calibri"/>
        </w:rPr>
        <w:t xml:space="preserve">There is no special burden placed on small businesses by these information collection provisions. </w:t>
      </w:r>
      <w:r>
        <w:rPr>
          <w:rFonts w:eastAsia="Calibri"/>
        </w:rPr>
        <w:t xml:space="preserve"> </w:t>
      </w:r>
      <w:r w:rsidRPr="00204B08">
        <w:rPr>
          <w:rFonts w:eastAsia="Calibri"/>
        </w:rPr>
        <w:t>The reporting and recordkeeping provisions are applicable to all businesses including small businesses.</w:t>
      </w:r>
      <w:r>
        <w:rPr>
          <w:rFonts w:eastAsia="Calibri"/>
        </w:rPr>
        <w:t xml:space="preserve"> </w:t>
      </w:r>
      <w:r w:rsidRPr="00204B08">
        <w:rPr>
          <w:rFonts w:eastAsia="Calibri"/>
        </w:rPr>
        <w:t xml:space="preserve"> However, </w:t>
      </w:r>
      <w:r w:rsidR="00A23F00">
        <w:rPr>
          <w:rFonts w:eastAsia="Calibri"/>
        </w:rPr>
        <w:t>we</w:t>
      </w:r>
      <w:r w:rsidRPr="00204B08">
        <w:rPr>
          <w:rFonts w:eastAsia="Calibri"/>
        </w:rPr>
        <w:t xml:space="preserve"> aid small businesses in dealing with the requirements of the FD&amp;C Act through the agency’s Regional Small Business Representatives and through the scientific and administrative staffs within the agency. </w:t>
      </w:r>
      <w:r w:rsidR="00A23F00">
        <w:rPr>
          <w:rFonts w:eastAsia="Calibri"/>
        </w:rPr>
        <w:t xml:space="preserve"> </w:t>
      </w:r>
      <w:r w:rsidRPr="00204B08">
        <w:rPr>
          <w:rFonts w:eastAsia="Calibri"/>
        </w:rPr>
        <w:t>For §§ 189.5(e) and 700.27(e), none of the respondents are small businesses; they are foreign governments.</w:t>
      </w:r>
    </w:p>
    <w:p w:rsidRPr="00357C8A" w:rsidR="00357C8A" w:rsidP="006705EA" w:rsidRDefault="00357C8A" w14:paraId="6BB9E567"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Pr="00204B08" w:rsidR="00204B08" w:rsidP="00204B08" w:rsidRDefault="00A23F00" w14:paraId="55A2A39E" w14:textId="77777777">
      <w:pPr>
        <w:spacing w:after="200"/>
        <w:rPr>
          <w:rFonts w:eastAsia="Calibri"/>
        </w:rPr>
      </w:pPr>
      <w:r>
        <w:rPr>
          <w:rFonts w:eastAsia="Calibri"/>
        </w:rPr>
        <w:t>We</w:t>
      </w:r>
      <w:r w:rsidRPr="00204B08" w:rsidR="00204B08">
        <w:rPr>
          <w:rFonts w:eastAsia="Calibri"/>
        </w:rPr>
        <w:t xml:space="preserve"> require that records on each shipment of bovine ingredients used in food, dietary supplement, and cosmetic production be kept for two years. </w:t>
      </w:r>
      <w:r w:rsidR="00204B08">
        <w:rPr>
          <w:rFonts w:eastAsia="Calibri"/>
        </w:rPr>
        <w:t xml:space="preserve"> </w:t>
      </w:r>
      <w:r w:rsidRPr="00204B08" w:rsidR="00204B08">
        <w:rPr>
          <w:rFonts w:eastAsia="Calibri"/>
        </w:rPr>
        <w:t xml:space="preserve">Information is necessary on each shipment of </w:t>
      </w:r>
      <w:r w:rsidRPr="00204B08" w:rsidR="00204B08">
        <w:rPr>
          <w:rFonts w:eastAsia="Calibri"/>
        </w:rPr>
        <w:lastRenderedPageBreak/>
        <w:t xml:space="preserve">bovine materials to verify that source animals were under 30 months of age, were ambulatory, and passed USDA inspection. </w:t>
      </w:r>
      <w:r w:rsidR="00204B08">
        <w:rPr>
          <w:rFonts w:eastAsia="Calibri"/>
        </w:rPr>
        <w:t xml:space="preserve"> </w:t>
      </w:r>
      <w:r w:rsidRPr="00204B08" w:rsidR="00204B08">
        <w:rPr>
          <w:rFonts w:eastAsia="Calibri"/>
        </w:rPr>
        <w:t>There is no apparent way to minimize the burden of collecting this information on each shipment.</w:t>
      </w:r>
    </w:p>
    <w:p w:rsidRPr="00204B08" w:rsidR="00204B08" w:rsidP="00204B08" w:rsidRDefault="00204B08" w14:paraId="5B6BC056" w14:textId="77777777">
      <w:pPr>
        <w:spacing w:after="200"/>
        <w:rPr>
          <w:rFonts w:eastAsia="Calibri"/>
        </w:rPr>
      </w:pPr>
      <w:r w:rsidRPr="00204B08">
        <w:rPr>
          <w:rFonts w:eastAsia="Calibri"/>
        </w:rPr>
        <w:t xml:space="preserve">Frequency of recordkeeping varies for different processors.  </w:t>
      </w:r>
      <w:r w:rsidR="00A23F00">
        <w:rPr>
          <w:rFonts w:eastAsia="Calibri"/>
        </w:rPr>
        <w:t>We</w:t>
      </w:r>
      <w:r w:rsidRPr="00204B08">
        <w:rPr>
          <w:rFonts w:eastAsia="Calibri"/>
        </w:rPr>
        <w:t xml:space="preserve"> do not “collect” these records as a routine matter.</w:t>
      </w:r>
      <w:r>
        <w:rPr>
          <w:rFonts w:eastAsia="Calibri"/>
        </w:rPr>
        <w:t xml:space="preserve"> </w:t>
      </w:r>
      <w:r w:rsidRPr="00204B08">
        <w:rPr>
          <w:rFonts w:eastAsia="Calibri"/>
        </w:rPr>
        <w:t xml:space="preserve"> Records are maintained on file at each processing facility and will be examined there periodically by FDA.</w:t>
      </w:r>
    </w:p>
    <w:p w:rsidRPr="00204B08" w:rsidR="00204B08" w:rsidP="00204B08" w:rsidRDefault="00204B08" w14:paraId="4FBE7836" w14:textId="77777777">
      <w:pPr>
        <w:spacing w:after="200"/>
        <w:rPr>
          <w:rFonts w:eastAsia="Calibri"/>
        </w:rPr>
      </w:pPr>
      <w:r w:rsidRPr="00204B08">
        <w:rPr>
          <w:rFonts w:eastAsia="Calibri"/>
        </w:rPr>
        <w:t xml:space="preserve">Delayed or less frequent recordkeeping or reporting would lessen the effectiveness of the regulations to prevent use of prohibited cattle materials in human food and cosmetics. </w:t>
      </w:r>
      <w:r>
        <w:rPr>
          <w:rFonts w:eastAsia="Calibri"/>
        </w:rPr>
        <w:t xml:space="preserve"> </w:t>
      </w:r>
      <w:r w:rsidRPr="00204B08">
        <w:rPr>
          <w:rFonts w:eastAsia="Calibri"/>
        </w:rPr>
        <w:t xml:space="preserve">There is currently no validated ante-mortem test to reliably detect the presence of the BSE agent or the presence of prohibited cattle material in human food and cosmetics. </w:t>
      </w:r>
      <w:r>
        <w:rPr>
          <w:rFonts w:eastAsia="Calibri"/>
        </w:rPr>
        <w:t xml:space="preserve"> </w:t>
      </w:r>
      <w:r w:rsidRPr="00204B08">
        <w:rPr>
          <w:rFonts w:eastAsia="Calibri"/>
        </w:rPr>
        <w:t>Once cattle material such as brain or spinal cord is separated from the source animal, it may not be possible to determine the</w:t>
      </w:r>
      <w:r>
        <w:rPr>
          <w:rFonts w:eastAsia="Calibri"/>
        </w:rPr>
        <w:t xml:space="preserve"> </w:t>
      </w:r>
      <w:r w:rsidRPr="00204B08">
        <w:rPr>
          <w:rFonts w:eastAsia="Calibri"/>
        </w:rPr>
        <w:t xml:space="preserve">age of the animal from which the material came without records and, therefore, whether the material is specified risk material. </w:t>
      </w:r>
      <w:r>
        <w:rPr>
          <w:rFonts w:eastAsia="Calibri"/>
        </w:rPr>
        <w:t xml:space="preserve"> </w:t>
      </w:r>
      <w:r w:rsidRPr="00204B08">
        <w:rPr>
          <w:rFonts w:eastAsia="Calibri"/>
        </w:rPr>
        <w:t xml:space="preserve">In addition, without records, it may not be possible to determine whether a product contains material from cattle that were not inspected and passed for human consumption. </w:t>
      </w:r>
      <w:r>
        <w:rPr>
          <w:rFonts w:eastAsia="Calibri"/>
        </w:rPr>
        <w:t xml:space="preserve"> </w:t>
      </w:r>
      <w:r w:rsidRPr="00204B08">
        <w:rPr>
          <w:rFonts w:eastAsia="Calibri"/>
        </w:rPr>
        <w:t>Also, a product might contain MS beef without its presence being evident from the appearance of the product.</w:t>
      </w:r>
    </w:p>
    <w:p w:rsidRPr="00204B08" w:rsidR="00204B08" w:rsidP="00204B08" w:rsidRDefault="00204B08" w14:paraId="591688B5" w14:textId="77777777">
      <w:pPr>
        <w:spacing w:after="200"/>
        <w:rPr>
          <w:rFonts w:eastAsia="Calibri"/>
        </w:rPr>
      </w:pPr>
      <w:r w:rsidRPr="00204B08">
        <w:rPr>
          <w:rFonts w:eastAsia="Calibri"/>
        </w:rPr>
        <w:t xml:space="preserve">Because there is currently no way to test reliably for the presence of the BSE agent or for the presence of prohibited cattle materials, manufacturers and processors of human food and cosmetics must depend on records from their suppliers of cattle materials to ensure that their source material does not contain prohibited cattle materials. </w:t>
      </w:r>
      <w:r>
        <w:rPr>
          <w:rFonts w:eastAsia="Calibri"/>
        </w:rPr>
        <w:t xml:space="preserve"> </w:t>
      </w:r>
      <w:r w:rsidRPr="00204B08">
        <w:rPr>
          <w:rFonts w:eastAsia="Calibri"/>
        </w:rPr>
        <w:t xml:space="preserve">Without records documenting the absence of prohibited cattle materials in source materials, manufacturers and processors of human food and cosmetics cannot know whether they are adulterating their products by including prohibited cattle materials. </w:t>
      </w:r>
      <w:r>
        <w:rPr>
          <w:rFonts w:eastAsia="Calibri"/>
        </w:rPr>
        <w:t xml:space="preserve"> </w:t>
      </w:r>
      <w:r w:rsidRPr="00204B08">
        <w:rPr>
          <w:rFonts w:eastAsia="Calibri"/>
        </w:rPr>
        <w:t xml:space="preserve">Therefore, a failure of manufacturers and processors to establish and maintain such records results in human food and cosmetics being prepared under insanitary conditions whereby they may have been rendered injurious to health. </w:t>
      </w:r>
      <w:r>
        <w:rPr>
          <w:rFonts w:eastAsia="Calibri"/>
        </w:rPr>
        <w:t xml:space="preserve"> </w:t>
      </w:r>
      <w:r w:rsidRPr="00204B08">
        <w:rPr>
          <w:rFonts w:eastAsia="Calibri"/>
        </w:rPr>
        <w:t xml:space="preserve">Furthermore, without adequate records, </w:t>
      </w:r>
      <w:r w:rsidR="00A23F00">
        <w:rPr>
          <w:rFonts w:eastAsia="Calibri"/>
        </w:rPr>
        <w:t>we</w:t>
      </w:r>
      <w:r w:rsidRPr="00204B08">
        <w:rPr>
          <w:rFonts w:eastAsia="Calibri"/>
        </w:rPr>
        <w:t xml:space="preserve"> cannot know whether manufacturers and processors of human food have complied with the prohibitions against use of prohibited cattle materials. </w:t>
      </w:r>
      <w:r>
        <w:rPr>
          <w:rFonts w:eastAsia="Calibri"/>
        </w:rPr>
        <w:t xml:space="preserve"> </w:t>
      </w:r>
      <w:r w:rsidRPr="00204B08">
        <w:rPr>
          <w:rFonts w:eastAsia="Calibri"/>
        </w:rPr>
        <w:t xml:space="preserve">Therefore, the recordkeeping requirements are necessary for the efficient enforcement of the </w:t>
      </w:r>
      <w:r w:rsidR="002A5ADE">
        <w:rPr>
          <w:rFonts w:eastAsia="Calibri"/>
        </w:rPr>
        <w:t>regulations</w:t>
      </w:r>
      <w:r w:rsidRPr="00204B08">
        <w:rPr>
          <w:rFonts w:eastAsia="Calibri"/>
        </w:rPr>
        <w:t xml:space="preserve">. </w:t>
      </w:r>
      <w:r>
        <w:rPr>
          <w:rFonts w:eastAsia="Calibri"/>
        </w:rPr>
        <w:t xml:space="preserve"> </w:t>
      </w:r>
      <w:r w:rsidRPr="00204B08">
        <w:rPr>
          <w:rFonts w:eastAsia="Calibri"/>
        </w:rPr>
        <w:t>Failure to comply with the recordkeeping requirements would render the affected human food and cosmetics adulterated under sections 402(a)(4) and 601(a) of the FD&amp;C Act, respectively.</w:t>
      </w:r>
    </w:p>
    <w:p w:rsidRPr="003825AC" w:rsidR="00357C8A" w:rsidP="00357C8A" w:rsidRDefault="00204B08" w14:paraId="50876078" w14:textId="77777777">
      <w:pPr>
        <w:spacing w:after="200"/>
        <w:rPr>
          <w:rFonts w:eastAsia="Calibri"/>
          <w:color w:val="000000"/>
        </w:rPr>
      </w:pPr>
      <w:r w:rsidRPr="00204B08">
        <w:rPr>
          <w:rFonts w:eastAsia="Calibri"/>
        </w:rPr>
        <w:t xml:space="preserve">Data collection occurs occasionally for §§ 189.5(e) and 700.27(e). </w:t>
      </w:r>
      <w:r>
        <w:rPr>
          <w:rFonts w:eastAsia="Calibri"/>
        </w:rPr>
        <w:t xml:space="preserve"> </w:t>
      </w:r>
      <w:r w:rsidRPr="00204B08">
        <w:rPr>
          <w:rFonts w:eastAsia="Calibri"/>
        </w:rPr>
        <w:t xml:space="preserve">Only those countries seeking the designation provided for in §§ 189.5(e) and 700.27(e) will submit information to </w:t>
      </w:r>
      <w:r w:rsidR="00A23F00">
        <w:rPr>
          <w:rFonts w:eastAsia="Calibri"/>
        </w:rPr>
        <w:t>us</w:t>
      </w:r>
      <w:r w:rsidRPr="00204B08">
        <w:rPr>
          <w:rFonts w:eastAsia="Calibri"/>
        </w:rPr>
        <w:t xml:space="preserve">. </w:t>
      </w:r>
      <w:r>
        <w:rPr>
          <w:rFonts w:eastAsia="Calibri"/>
        </w:rPr>
        <w:t xml:space="preserve"> </w:t>
      </w:r>
      <w:r w:rsidRPr="00204B08">
        <w:rPr>
          <w:rFonts w:eastAsia="Calibri"/>
        </w:rPr>
        <w:t>If the collection is not conducted, the designation will not be available to interested countries.</w:t>
      </w:r>
    </w:p>
    <w:p w:rsidRPr="00357C8A" w:rsidR="00357C8A" w:rsidP="006705EA" w:rsidRDefault="00357C8A" w14:paraId="748CB7D4"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Pr="00357C8A" w:rsidR="00357C8A" w:rsidP="0022425B" w:rsidRDefault="00583AC8" w14:paraId="557530DB" w14:textId="77777777">
      <w:pPr>
        <w:spacing w:after="200"/>
        <w:rPr>
          <w:rFonts w:eastAsia="Calibri"/>
        </w:rPr>
      </w:pPr>
      <w:r w:rsidRPr="00583AC8">
        <w:rPr>
          <w:rFonts w:eastAsia="Calibri"/>
        </w:rPr>
        <w:t>There are no special circumstances associated with this collection of information.</w:t>
      </w:r>
    </w:p>
    <w:p w:rsidRPr="00357C8A" w:rsidR="00357C8A" w:rsidP="006705EA" w:rsidRDefault="00357C8A" w14:paraId="0BE030AE"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Pr="00A56BE1" w:rsidR="00A56BE1" w:rsidP="00A56BE1" w:rsidRDefault="00A56BE1" w14:paraId="32B84500" w14:textId="77777777">
      <w:pPr>
        <w:spacing w:after="200"/>
        <w:rPr>
          <w:rFonts w:eastAsia="Calibri"/>
        </w:rPr>
      </w:pPr>
      <w:r w:rsidRPr="00A56BE1">
        <w:rPr>
          <w:rFonts w:eastAsia="Calibri"/>
        </w:rPr>
        <w:t xml:space="preserve">In the </w:t>
      </w:r>
      <w:r w:rsidRPr="001E1FDE">
        <w:rPr>
          <w:rFonts w:eastAsia="Calibri"/>
          <w:i/>
        </w:rPr>
        <w:t>Federal Register</w:t>
      </w:r>
      <w:r w:rsidRPr="00A56BE1">
        <w:rPr>
          <w:rFonts w:eastAsia="Calibri"/>
        </w:rPr>
        <w:t xml:space="preserve"> of August 14, 2020 (85 FR 49657), </w:t>
      </w:r>
      <w:r w:rsidR="00A23F00">
        <w:rPr>
          <w:rFonts w:eastAsia="Calibri"/>
        </w:rPr>
        <w:t>we</w:t>
      </w:r>
      <w:r w:rsidRPr="00A56BE1">
        <w:rPr>
          <w:rFonts w:eastAsia="Calibri"/>
        </w:rPr>
        <w:t xml:space="preserve"> published a 60-day notice requesting public comment on the proposed collection of information.  We received three comments.  One comment questioned the adequacy of </w:t>
      </w:r>
      <w:r w:rsidR="00A23F00">
        <w:rPr>
          <w:rFonts w:eastAsia="Calibri"/>
        </w:rPr>
        <w:t>our</w:t>
      </w:r>
      <w:r w:rsidRPr="00A56BE1">
        <w:rPr>
          <w:rFonts w:eastAsia="Calibri"/>
        </w:rPr>
        <w:t xml:space="preserve"> recordkeeping requirement of </w:t>
      </w:r>
      <w:r w:rsidRPr="00A56BE1">
        <w:rPr>
          <w:rFonts w:eastAsia="Calibri"/>
        </w:rPr>
        <w:lastRenderedPageBreak/>
        <w:t>maintaining records for two years.  Two comments were not responsive to the four collection of information topics solicited and therefore will not be discussed in this document.</w:t>
      </w:r>
    </w:p>
    <w:p w:rsidRPr="00F96235" w:rsidR="00357C8A" w:rsidP="00A56BE1" w:rsidRDefault="00A56BE1" w14:paraId="623BD6E8" w14:textId="77777777">
      <w:pPr>
        <w:spacing w:after="200"/>
        <w:rPr>
          <w:rFonts w:eastAsia="Calibri"/>
        </w:rPr>
      </w:pPr>
      <w:r w:rsidRPr="00A56BE1">
        <w:rPr>
          <w:rFonts w:eastAsia="Calibri"/>
        </w:rPr>
        <w:t xml:space="preserve">With regard to the comment addressing the maintenance of records for a two year period, we require under §§ 189.5 and 700.27 manufacturers and processors of human food and cosmetics manufactured from, processed with, or otherwise containing material from cattle establish and maintain records sufficient to demonstrate that the human food or cosmetics are not manufactured from, processed with, or otherwise contain prohibited cattle materials.  These records must be retained for 2 years at the manufacturing or processing establishment or at a reasonably accessible location.  Two years is adequate time for </w:t>
      </w:r>
      <w:r w:rsidR="00B56682">
        <w:rPr>
          <w:rFonts w:eastAsia="Calibri"/>
        </w:rPr>
        <w:t>us</w:t>
      </w:r>
      <w:r w:rsidRPr="00A56BE1">
        <w:rPr>
          <w:rFonts w:eastAsia="Calibri"/>
        </w:rPr>
        <w:t xml:space="preserve"> to periodically examine these records to ensure the human food and cosmetic complies with the prohibitions against use of prohibited cattle materials.  Maintaining these records beyond 2 years will not make the human food or cosmetic any safer and will unnecessarily increase the burden on recordkeepers.</w:t>
      </w:r>
    </w:p>
    <w:p w:rsidRPr="00357C8A" w:rsidR="00357C8A" w:rsidP="006705EA" w:rsidRDefault="00357C8A" w14:paraId="2CB06E2E"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Pr="003825AC" w:rsidR="00357C8A" w:rsidP="00357C8A" w:rsidRDefault="00792947" w14:paraId="077FA3C5" w14:textId="77777777">
      <w:pPr>
        <w:spacing w:after="200"/>
        <w:rPr>
          <w:rFonts w:eastAsia="Calibri"/>
          <w:color w:val="000000"/>
        </w:rPr>
      </w:pPr>
      <w:r w:rsidRPr="002074FE">
        <w:rPr>
          <w:rFonts w:eastAsia="Calibri"/>
        </w:rPr>
        <w:t>There are no incentives, payments</w:t>
      </w:r>
      <w:r w:rsidR="00BE5BC2">
        <w:rPr>
          <w:rFonts w:eastAsia="Calibri"/>
        </w:rPr>
        <w:t>,</w:t>
      </w:r>
      <w:r w:rsidRPr="002074FE">
        <w:rPr>
          <w:rFonts w:eastAsia="Calibri"/>
        </w:rPr>
        <w:t xml:space="preserve"> or gifts associated with this information collection.</w:t>
      </w:r>
    </w:p>
    <w:p w:rsidRPr="00357C8A" w:rsidR="00357C8A" w:rsidP="006705EA" w:rsidRDefault="00357C8A" w14:paraId="46BA73DD"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B615BC" w:rsidP="00083609" w:rsidRDefault="00B615BC" w14:paraId="79FBC112" w14:textId="77777777">
      <w:pPr>
        <w:rPr>
          <w:rFonts w:eastAsia="Calibri"/>
        </w:rPr>
      </w:pPr>
      <w:r w:rsidRPr="00B615BC">
        <w:rPr>
          <w:rFonts w:eastAsia="Calibri"/>
        </w:rPr>
        <w:t xml:space="preserve">Company records may be consulted during </w:t>
      </w:r>
      <w:r>
        <w:rPr>
          <w:rFonts w:eastAsia="Calibri"/>
        </w:rPr>
        <w:t>FDA</w:t>
      </w:r>
      <w:r w:rsidRPr="00B615BC">
        <w:rPr>
          <w:rFonts w:eastAsia="Calibri"/>
        </w:rPr>
        <w:t xml:space="preserve"> plant inspections.  Records that the agency may copy or take possession of will be treated as records that are exempt from release under the provisions of the Freedom of Information Act (FOIA) to the maximum extent permitted by that statute and </w:t>
      </w:r>
      <w:r>
        <w:rPr>
          <w:rFonts w:eastAsia="Calibri"/>
        </w:rPr>
        <w:t>FDA</w:t>
      </w:r>
      <w:r w:rsidRPr="00B615BC">
        <w:rPr>
          <w:rFonts w:eastAsia="Calibri"/>
        </w:rPr>
        <w:t xml:space="preserve"> regulations.  Confidential commercial information is protected from disclosure under FOIA under sections 552(a) and (b) (5 U.S.C. 552(a) and (b)), and by part 20 of the agency’s regulations (21 CFR part 20).  To the extent 21 CFR 20.64 applies, we will honor the confidentiality of any data in investigation records compiled for law enforcement purposes.</w:t>
      </w:r>
    </w:p>
    <w:p w:rsidR="00B615BC" w:rsidP="00083609" w:rsidRDefault="00B615BC" w14:paraId="4A2ABCEF" w14:textId="77777777">
      <w:pPr>
        <w:rPr>
          <w:rFonts w:eastAsia="Calibri"/>
        </w:rPr>
      </w:pPr>
    </w:p>
    <w:p w:rsidRPr="001E1FDE" w:rsidR="00B615BC" w:rsidP="00083609" w:rsidRDefault="00B615BC" w14:paraId="649EFE27" w14:textId="77777777">
      <w:pPr>
        <w:rPr>
          <w:rFonts w:eastAsia="Calibri"/>
          <w:i/>
        </w:rPr>
      </w:pPr>
      <w:r w:rsidRPr="001E1FDE">
        <w:rPr>
          <w:rFonts w:eastAsia="Calibri"/>
          <w:i/>
        </w:rPr>
        <w:t>Privacy Act</w:t>
      </w:r>
    </w:p>
    <w:p w:rsidR="00B615BC" w:rsidP="00083609" w:rsidRDefault="00B615BC" w14:paraId="42891C7F" w14:textId="77777777">
      <w:pPr>
        <w:rPr>
          <w:rFonts w:eastAsia="Calibri"/>
        </w:rPr>
      </w:pPr>
    </w:p>
    <w:p w:rsidR="00083609" w:rsidP="00083609" w:rsidRDefault="00083609" w14:paraId="2117176B" w14:textId="77777777">
      <w:pPr>
        <w:rPr>
          <w:rFonts w:eastAsia="Calibri"/>
        </w:rPr>
      </w:pPr>
      <w:r w:rsidRPr="00083609">
        <w:rPr>
          <w:rFonts w:eastAsia="Calibri"/>
        </w:rPr>
        <w:t xml:space="preserve">This ICR does not collect personally identifiable information (PII) or information of a personal nature. </w:t>
      </w:r>
      <w:r w:rsidR="007F70CD">
        <w:rPr>
          <w:rFonts w:eastAsia="Calibri"/>
        </w:rPr>
        <w:t xml:space="preserve"> </w:t>
      </w:r>
      <w:r w:rsidRPr="00083609">
        <w:rPr>
          <w:rFonts w:eastAsia="Calibri"/>
        </w:rPr>
        <w:t xml:space="preserve">The information collected is for business contact purposes only and includes business name, business address, business telephone numbers. </w:t>
      </w:r>
      <w:r w:rsidR="007F70CD">
        <w:rPr>
          <w:rFonts w:eastAsia="Calibri"/>
        </w:rPr>
        <w:t xml:space="preserve"> </w:t>
      </w:r>
      <w:r w:rsidRPr="00083609">
        <w:rPr>
          <w:rFonts w:eastAsia="Calibri"/>
        </w:rPr>
        <w:t xml:space="preserve">The business contact information is maintained and stored at </w:t>
      </w:r>
      <w:r w:rsidR="00422A06">
        <w:rPr>
          <w:rFonts w:eastAsia="Calibri"/>
        </w:rPr>
        <w:t>a</w:t>
      </w:r>
      <w:r w:rsidRPr="00083609" w:rsidR="00422A06">
        <w:rPr>
          <w:rFonts w:eastAsia="Calibri"/>
        </w:rPr>
        <w:t xml:space="preserve"> </w:t>
      </w:r>
      <w:r w:rsidRPr="00083609">
        <w:rPr>
          <w:rFonts w:eastAsia="Calibri"/>
        </w:rPr>
        <w:t>vendor facility.</w:t>
      </w:r>
    </w:p>
    <w:p w:rsidRPr="00083609" w:rsidR="00083609" w:rsidP="00083609" w:rsidRDefault="00083609" w14:paraId="0DEA3133" w14:textId="77777777">
      <w:pPr>
        <w:rPr>
          <w:rFonts w:eastAsia="Calibri"/>
        </w:rPr>
      </w:pPr>
    </w:p>
    <w:p w:rsidRPr="00083609" w:rsidR="00083609" w:rsidP="00083609" w:rsidRDefault="00B56682" w14:paraId="6C6E3662" w14:textId="77777777">
      <w:pPr>
        <w:rPr>
          <w:rFonts w:eastAsia="Calibri"/>
        </w:rPr>
      </w:pPr>
      <w:r>
        <w:rPr>
          <w:rFonts w:eastAsia="Calibri"/>
        </w:rPr>
        <w:t>We</w:t>
      </w:r>
      <w:r w:rsidRPr="00083609" w:rsidR="00083609">
        <w:rPr>
          <w:rFonts w:eastAsia="Calibri"/>
        </w:rPr>
        <w:t xml:space="preserve"> further determined that the business information collected and stored at </w:t>
      </w:r>
      <w:r w:rsidR="00422A06">
        <w:rPr>
          <w:rFonts w:eastAsia="Calibri"/>
        </w:rPr>
        <w:t>a</w:t>
      </w:r>
      <w:r w:rsidRPr="00083609" w:rsidR="00422A06">
        <w:rPr>
          <w:rFonts w:eastAsia="Calibri"/>
        </w:rPr>
        <w:t xml:space="preserve"> </w:t>
      </w:r>
      <w:r w:rsidRPr="00083609" w:rsidR="00083609">
        <w:rPr>
          <w:rFonts w:eastAsia="Calibri"/>
        </w:rPr>
        <w:t>vendor facility is not subject to the Privacy Act of 1974</w:t>
      </w:r>
      <w:r w:rsidR="00422A06">
        <w:rPr>
          <w:rFonts w:eastAsia="Calibri"/>
        </w:rPr>
        <w:t>,</w:t>
      </w:r>
      <w:r w:rsidRPr="00083609" w:rsidR="00083609">
        <w:rPr>
          <w:rFonts w:eastAsia="Calibri"/>
        </w:rPr>
        <w:t xml:space="preserve"> and the particular notice and other requirements of the Act do not apply. </w:t>
      </w:r>
      <w:r w:rsidR="007F70CD">
        <w:rPr>
          <w:rFonts w:eastAsia="Calibri"/>
        </w:rPr>
        <w:t xml:space="preserve"> </w:t>
      </w:r>
      <w:r w:rsidRPr="00083609" w:rsidR="00083609">
        <w:rPr>
          <w:rFonts w:eastAsia="Calibri"/>
        </w:rPr>
        <w:t xml:space="preserve">Specifically, </w:t>
      </w:r>
      <w:r>
        <w:rPr>
          <w:rFonts w:eastAsia="Calibri"/>
        </w:rPr>
        <w:t>we</w:t>
      </w:r>
      <w:r w:rsidRPr="00083609" w:rsidR="00083609">
        <w:rPr>
          <w:rFonts w:eastAsia="Calibri"/>
        </w:rPr>
        <w:t xml:space="preserve"> (including vendors or service providers acting on behalf of </w:t>
      </w:r>
      <w:r w:rsidR="00422A06">
        <w:rPr>
          <w:rFonts w:eastAsia="Calibri"/>
        </w:rPr>
        <w:t>FDA</w:t>
      </w:r>
      <w:r w:rsidRPr="00083609" w:rsidR="00083609">
        <w:rPr>
          <w:rFonts w:eastAsia="Calibri"/>
        </w:rPr>
        <w:t>) do not use name or any other personal identifier to retrieve records from the information collected</w:t>
      </w:r>
      <w:r w:rsidR="00422A06">
        <w:rPr>
          <w:rFonts w:eastAsia="Calibri"/>
        </w:rPr>
        <w:t>.</w:t>
      </w:r>
    </w:p>
    <w:p w:rsidRPr="00083609" w:rsidR="00083609" w:rsidP="00083609" w:rsidRDefault="00083609" w14:paraId="5B294B08" w14:textId="77777777">
      <w:pPr>
        <w:rPr>
          <w:rFonts w:eastAsia="Calibri"/>
        </w:rPr>
      </w:pPr>
    </w:p>
    <w:p w:rsidR="00083609" w:rsidP="0022425B" w:rsidRDefault="00083609" w14:paraId="5A304E71" w14:textId="77777777">
      <w:pPr>
        <w:rPr>
          <w:rFonts w:eastAsia="Calibri"/>
        </w:rPr>
      </w:pPr>
      <w:r w:rsidRPr="00083609">
        <w:rPr>
          <w:rFonts w:eastAsia="Calibri"/>
        </w:rPr>
        <w:t xml:space="preserve">In preparing this </w:t>
      </w:r>
      <w:r w:rsidR="00B615BC">
        <w:rPr>
          <w:rFonts w:eastAsia="Calibri"/>
        </w:rPr>
        <w:t>s</w:t>
      </w:r>
      <w:r w:rsidRPr="00083609">
        <w:rPr>
          <w:rFonts w:eastAsia="Calibri"/>
        </w:rPr>
        <w:t xml:space="preserve">upporting </w:t>
      </w:r>
      <w:r w:rsidR="00B615BC">
        <w:rPr>
          <w:rFonts w:eastAsia="Calibri"/>
        </w:rPr>
        <w:t>s</w:t>
      </w:r>
      <w:r w:rsidRPr="00083609">
        <w:rPr>
          <w:rFonts w:eastAsia="Calibri"/>
        </w:rPr>
        <w:t xml:space="preserve">tatement, </w:t>
      </w:r>
      <w:r w:rsidR="00B56682">
        <w:rPr>
          <w:rFonts w:eastAsia="Calibri"/>
        </w:rPr>
        <w:t>our</w:t>
      </w:r>
      <w:r w:rsidRPr="00083609">
        <w:rPr>
          <w:rFonts w:eastAsia="Calibri"/>
        </w:rPr>
        <w:t xml:space="preserve"> staff consulted with the FDA Privacy Office to ensure appropriate handling of information collected. </w:t>
      </w:r>
    </w:p>
    <w:p w:rsidRPr="001075D3" w:rsidR="001075D3" w:rsidP="001075D3" w:rsidRDefault="001075D3" w14:paraId="0A3E2B68" w14:textId="77777777">
      <w:pPr>
        <w:ind w:left="720"/>
      </w:pPr>
    </w:p>
    <w:p w:rsidRPr="00357C8A" w:rsidR="00357C8A" w:rsidP="006705EA" w:rsidRDefault="00357C8A" w14:paraId="0E13ECE8" w14:textId="77777777">
      <w:pPr>
        <w:numPr>
          <w:ilvl w:val="0"/>
          <w:numId w:val="6"/>
        </w:numPr>
        <w:spacing w:after="200" w:line="276" w:lineRule="auto"/>
        <w:rPr>
          <w:rFonts w:eastAsia="Calibri"/>
        </w:rPr>
      </w:pPr>
      <w:r w:rsidRPr="00357C8A">
        <w:rPr>
          <w:rFonts w:eastAsia="Calibri"/>
          <w:u w:val="single"/>
        </w:rPr>
        <w:t>Justification for Sensitive Questions</w:t>
      </w:r>
    </w:p>
    <w:p w:rsidRPr="003825AC" w:rsidR="00357C8A" w:rsidP="0022425B" w:rsidRDefault="00583AC8" w14:paraId="2D7435A2" w14:textId="77777777">
      <w:pPr>
        <w:spacing w:after="200"/>
        <w:rPr>
          <w:rFonts w:eastAsia="Calibri"/>
          <w:color w:val="000000"/>
        </w:rPr>
      </w:pPr>
      <w:r w:rsidRPr="00583AC8">
        <w:rPr>
          <w:rFonts w:eastAsia="Calibri"/>
        </w:rPr>
        <w:t>This information collection does not involve questions that are of a personally sensitive nature.</w:t>
      </w:r>
    </w:p>
    <w:p w:rsidRPr="00357C8A" w:rsidR="00357C8A" w:rsidP="006705EA" w:rsidRDefault="00A07C61" w14:paraId="5E3A47EA" w14:textId="77777777">
      <w:pPr>
        <w:numPr>
          <w:ilvl w:val="0"/>
          <w:numId w:val="6"/>
        </w:numPr>
        <w:spacing w:after="200" w:line="276" w:lineRule="auto"/>
        <w:rPr>
          <w:rFonts w:eastAsia="Calibri"/>
          <w:u w:val="single"/>
        </w:rPr>
      </w:pPr>
      <w:r>
        <w:rPr>
          <w:rFonts w:eastAsia="Calibri"/>
        </w:rPr>
        <w:br w:type="page"/>
      </w:r>
      <w:r w:rsidRPr="00357C8A" w:rsidR="00357C8A">
        <w:rPr>
          <w:rFonts w:eastAsia="Calibri"/>
          <w:u w:val="single"/>
        </w:rPr>
        <w:lastRenderedPageBreak/>
        <w:t>Estimates of Annualized Burden Hours and Cost</w:t>
      </w:r>
    </w:p>
    <w:p w:rsidRPr="00A07C61" w:rsidR="00487D4B" w:rsidP="00A07C61" w:rsidRDefault="00357C8A" w14:paraId="7CE5C175" w14:textId="77777777">
      <w:pPr>
        <w:spacing w:after="200"/>
        <w:ind w:left="360"/>
        <w:rPr>
          <w:rFonts w:eastAsia="Calibri"/>
          <w:i/>
        </w:rPr>
      </w:pPr>
      <w:r w:rsidRPr="00A07C61">
        <w:rPr>
          <w:rFonts w:eastAsia="Calibri"/>
          <w:i/>
        </w:rPr>
        <w:t>12a.  Annualized Hour Burden Estimate</w:t>
      </w:r>
    </w:p>
    <w:p w:rsidRPr="00487D4B" w:rsidR="00487D4B" w:rsidP="00487D4B" w:rsidRDefault="00487D4B" w14:paraId="153BA376" w14:textId="77777777">
      <w:pPr>
        <w:widowControl w:val="0"/>
        <w:autoSpaceDE w:val="0"/>
        <w:autoSpaceDN w:val="0"/>
        <w:spacing w:after="4"/>
        <w:ind w:left="2964"/>
        <w:rPr>
          <w:sz w:val="13"/>
          <w:szCs w:val="22"/>
        </w:rPr>
      </w:pPr>
      <w:r w:rsidRPr="00487D4B">
        <w:rPr>
          <w:sz w:val="20"/>
          <w:szCs w:val="22"/>
        </w:rPr>
        <w:t>Table 1.--Estimated Annual Reporting Burden</w:t>
      </w:r>
      <w:r w:rsidRPr="001E1FDE" w:rsidR="00F82913">
        <w:rPr>
          <w:sz w:val="20"/>
          <w:szCs w:val="22"/>
          <w:vertAlign w:val="superscript"/>
        </w:rPr>
        <w:t>1</w:t>
      </w:r>
    </w:p>
    <w:tbl>
      <w:tblPr>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00"/>
        <w:gridCol w:w="1530"/>
        <w:gridCol w:w="1620"/>
        <w:gridCol w:w="1260"/>
        <w:gridCol w:w="1530"/>
        <w:gridCol w:w="900"/>
      </w:tblGrid>
      <w:tr w:rsidRPr="00487D4B" w:rsidR="00487D4B" w:rsidTr="003825AC" w14:paraId="1A199596" w14:textId="77777777">
        <w:trPr>
          <w:trHeight w:val="689"/>
        </w:trPr>
        <w:tc>
          <w:tcPr>
            <w:tcW w:w="2700" w:type="dxa"/>
          </w:tcPr>
          <w:p w:rsidRPr="00487D4B" w:rsidR="00487D4B" w:rsidP="001E1FDE" w:rsidRDefault="00487D4B" w14:paraId="2BFAA662" w14:textId="77777777">
            <w:pPr>
              <w:widowControl w:val="0"/>
              <w:autoSpaceDE w:val="0"/>
              <w:autoSpaceDN w:val="0"/>
              <w:spacing w:line="227" w:lineRule="exact"/>
              <w:ind w:left="710" w:hanging="550"/>
              <w:rPr>
                <w:sz w:val="20"/>
                <w:szCs w:val="22"/>
              </w:rPr>
            </w:pPr>
            <w:r w:rsidRPr="00487D4B">
              <w:rPr>
                <w:sz w:val="20"/>
                <w:szCs w:val="22"/>
              </w:rPr>
              <w:t xml:space="preserve">21 CFR </w:t>
            </w:r>
            <w:r w:rsidR="00DE7E0F">
              <w:rPr>
                <w:sz w:val="20"/>
                <w:szCs w:val="22"/>
              </w:rPr>
              <w:t>s</w:t>
            </w:r>
            <w:r w:rsidRPr="00487D4B">
              <w:rPr>
                <w:sz w:val="20"/>
                <w:szCs w:val="22"/>
              </w:rPr>
              <w:t>ection</w:t>
            </w:r>
            <w:r w:rsidR="00F96235">
              <w:rPr>
                <w:sz w:val="20"/>
                <w:szCs w:val="22"/>
              </w:rPr>
              <w:t>; activity</w:t>
            </w:r>
          </w:p>
        </w:tc>
        <w:tc>
          <w:tcPr>
            <w:tcW w:w="1530" w:type="dxa"/>
          </w:tcPr>
          <w:p w:rsidRPr="00487D4B" w:rsidR="00487D4B" w:rsidP="00487D4B" w:rsidRDefault="00487D4B" w14:paraId="49CDC023" w14:textId="77777777">
            <w:pPr>
              <w:widowControl w:val="0"/>
              <w:autoSpaceDE w:val="0"/>
              <w:autoSpaceDN w:val="0"/>
              <w:ind w:left="252" w:right="225" w:firstLine="256"/>
              <w:rPr>
                <w:sz w:val="20"/>
                <w:szCs w:val="22"/>
              </w:rPr>
            </w:pPr>
            <w:r w:rsidRPr="00487D4B">
              <w:rPr>
                <w:sz w:val="20"/>
                <w:szCs w:val="22"/>
              </w:rPr>
              <w:t>No. of Respondents</w:t>
            </w:r>
          </w:p>
        </w:tc>
        <w:tc>
          <w:tcPr>
            <w:tcW w:w="1620" w:type="dxa"/>
          </w:tcPr>
          <w:p w:rsidRPr="00487D4B" w:rsidR="00487D4B" w:rsidP="00487D4B" w:rsidRDefault="00487D4B" w14:paraId="7550E3F1" w14:textId="77777777">
            <w:pPr>
              <w:widowControl w:val="0"/>
              <w:autoSpaceDE w:val="0"/>
              <w:autoSpaceDN w:val="0"/>
              <w:ind w:left="233" w:right="222" w:hanging="1"/>
              <w:jc w:val="center"/>
              <w:rPr>
                <w:sz w:val="20"/>
                <w:szCs w:val="22"/>
              </w:rPr>
            </w:pPr>
            <w:r w:rsidRPr="00487D4B">
              <w:rPr>
                <w:sz w:val="20"/>
                <w:szCs w:val="22"/>
              </w:rPr>
              <w:t>No. of Responses</w:t>
            </w:r>
            <w:r w:rsidRPr="00487D4B">
              <w:rPr>
                <w:spacing w:val="4"/>
                <w:sz w:val="20"/>
                <w:szCs w:val="22"/>
              </w:rPr>
              <w:t xml:space="preserve"> </w:t>
            </w:r>
            <w:r w:rsidRPr="00487D4B">
              <w:rPr>
                <w:spacing w:val="-8"/>
                <w:sz w:val="20"/>
                <w:szCs w:val="22"/>
              </w:rPr>
              <w:t>per</w:t>
            </w:r>
          </w:p>
          <w:p w:rsidRPr="00487D4B" w:rsidR="00487D4B" w:rsidP="00487D4B" w:rsidRDefault="00487D4B" w14:paraId="3B457D9A" w14:textId="77777777">
            <w:pPr>
              <w:widowControl w:val="0"/>
              <w:autoSpaceDE w:val="0"/>
              <w:autoSpaceDN w:val="0"/>
              <w:spacing w:line="212" w:lineRule="exact"/>
              <w:ind w:left="317" w:right="307"/>
              <w:jc w:val="center"/>
              <w:rPr>
                <w:sz w:val="20"/>
                <w:szCs w:val="22"/>
              </w:rPr>
            </w:pPr>
            <w:r w:rsidRPr="00487D4B">
              <w:rPr>
                <w:sz w:val="20"/>
                <w:szCs w:val="22"/>
              </w:rPr>
              <w:t>Respondent</w:t>
            </w:r>
          </w:p>
        </w:tc>
        <w:tc>
          <w:tcPr>
            <w:tcW w:w="1260" w:type="dxa"/>
          </w:tcPr>
          <w:p w:rsidRPr="00487D4B" w:rsidR="00487D4B" w:rsidP="00487D4B" w:rsidRDefault="00487D4B" w14:paraId="73F049E5" w14:textId="77777777">
            <w:pPr>
              <w:widowControl w:val="0"/>
              <w:autoSpaceDE w:val="0"/>
              <w:autoSpaceDN w:val="0"/>
              <w:ind w:left="334" w:right="324" w:firstLine="1"/>
              <w:jc w:val="center"/>
              <w:rPr>
                <w:sz w:val="20"/>
                <w:szCs w:val="22"/>
              </w:rPr>
            </w:pPr>
            <w:r w:rsidRPr="00487D4B">
              <w:rPr>
                <w:sz w:val="20"/>
                <w:szCs w:val="22"/>
              </w:rPr>
              <w:t>Total Annual</w:t>
            </w:r>
          </w:p>
          <w:p w:rsidRPr="00487D4B" w:rsidR="00487D4B" w:rsidP="00487D4B" w:rsidRDefault="00487D4B" w14:paraId="644FC4EF" w14:textId="77777777">
            <w:pPr>
              <w:widowControl w:val="0"/>
              <w:autoSpaceDE w:val="0"/>
              <w:autoSpaceDN w:val="0"/>
              <w:spacing w:line="212" w:lineRule="exact"/>
              <w:ind w:left="187" w:right="177"/>
              <w:jc w:val="center"/>
              <w:rPr>
                <w:sz w:val="20"/>
                <w:szCs w:val="22"/>
              </w:rPr>
            </w:pPr>
            <w:r w:rsidRPr="00487D4B">
              <w:rPr>
                <w:sz w:val="20"/>
                <w:szCs w:val="22"/>
              </w:rPr>
              <w:t>Responses</w:t>
            </w:r>
          </w:p>
        </w:tc>
        <w:tc>
          <w:tcPr>
            <w:tcW w:w="1530" w:type="dxa"/>
          </w:tcPr>
          <w:p w:rsidRPr="00487D4B" w:rsidR="00487D4B" w:rsidP="00487D4B" w:rsidRDefault="00487D4B" w14:paraId="6342F0A5" w14:textId="77777777">
            <w:pPr>
              <w:widowControl w:val="0"/>
              <w:autoSpaceDE w:val="0"/>
              <w:autoSpaceDN w:val="0"/>
              <w:ind w:left="316" w:right="225" w:firstLine="109"/>
              <w:rPr>
                <w:sz w:val="20"/>
                <w:szCs w:val="22"/>
              </w:rPr>
            </w:pPr>
            <w:r w:rsidRPr="00487D4B">
              <w:rPr>
                <w:sz w:val="20"/>
                <w:szCs w:val="22"/>
              </w:rPr>
              <w:t>Average Burden</w:t>
            </w:r>
            <w:r w:rsidRPr="00487D4B">
              <w:rPr>
                <w:spacing w:val="-2"/>
                <w:sz w:val="20"/>
                <w:szCs w:val="22"/>
              </w:rPr>
              <w:t xml:space="preserve"> </w:t>
            </w:r>
            <w:r w:rsidRPr="00487D4B">
              <w:rPr>
                <w:spacing w:val="-6"/>
                <w:sz w:val="20"/>
                <w:szCs w:val="22"/>
              </w:rPr>
              <w:t>per</w:t>
            </w:r>
          </w:p>
          <w:p w:rsidRPr="00487D4B" w:rsidR="00487D4B" w:rsidP="00487D4B" w:rsidRDefault="00487D4B" w14:paraId="1A16D265" w14:textId="77777777">
            <w:pPr>
              <w:widowControl w:val="0"/>
              <w:autoSpaceDE w:val="0"/>
              <w:autoSpaceDN w:val="0"/>
              <w:spacing w:line="212" w:lineRule="exact"/>
              <w:ind w:left="381"/>
              <w:rPr>
                <w:sz w:val="20"/>
                <w:szCs w:val="22"/>
              </w:rPr>
            </w:pPr>
            <w:r w:rsidRPr="00487D4B">
              <w:rPr>
                <w:sz w:val="20"/>
                <w:szCs w:val="22"/>
              </w:rPr>
              <w:t>Response</w:t>
            </w:r>
          </w:p>
        </w:tc>
        <w:tc>
          <w:tcPr>
            <w:tcW w:w="900" w:type="dxa"/>
          </w:tcPr>
          <w:p w:rsidRPr="00487D4B" w:rsidR="00487D4B" w:rsidP="00487D4B" w:rsidRDefault="00487D4B" w14:paraId="7892281B" w14:textId="77777777">
            <w:pPr>
              <w:widowControl w:val="0"/>
              <w:autoSpaceDE w:val="0"/>
              <w:autoSpaceDN w:val="0"/>
              <w:ind w:left="204" w:right="177" w:firstLine="33"/>
              <w:rPr>
                <w:sz w:val="20"/>
                <w:szCs w:val="22"/>
              </w:rPr>
            </w:pPr>
            <w:r w:rsidRPr="00487D4B">
              <w:rPr>
                <w:sz w:val="20"/>
                <w:szCs w:val="22"/>
              </w:rPr>
              <w:t>Total Hours</w:t>
            </w:r>
          </w:p>
        </w:tc>
      </w:tr>
      <w:tr w:rsidRPr="00487D4B" w:rsidR="00487D4B" w:rsidTr="003825AC" w14:paraId="3EAD3C11" w14:textId="77777777">
        <w:trPr>
          <w:trHeight w:val="460"/>
        </w:trPr>
        <w:tc>
          <w:tcPr>
            <w:tcW w:w="2700" w:type="dxa"/>
          </w:tcPr>
          <w:p w:rsidRPr="00487D4B" w:rsidR="00487D4B" w:rsidP="00487D4B" w:rsidRDefault="00487D4B" w14:paraId="628C660B" w14:textId="77777777">
            <w:pPr>
              <w:widowControl w:val="0"/>
              <w:autoSpaceDE w:val="0"/>
              <w:autoSpaceDN w:val="0"/>
              <w:spacing w:line="228" w:lineRule="exact"/>
              <w:ind w:left="107"/>
              <w:rPr>
                <w:sz w:val="20"/>
                <w:szCs w:val="22"/>
              </w:rPr>
            </w:pPr>
            <w:r w:rsidRPr="00487D4B">
              <w:rPr>
                <w:sz w:val="20"/>
                <w:szCs w:val="22"/>
              </w:rPr>
              <w:t>189.5(c)(6) and 700.27(c)(6)</w:t>
            </w:r>
            <w:r w:rsidR="00F96235">
              <w:rPr>
                <w:sz w:val="20"/>
                <w:szCs w:val="22"/>
              </w:rPr>
              <w:t>; affirmation of compliance</w:t>
            </w:r>
          </w:p>
        </w:tc>
        <w:tc>
          <w:tcPr>
            <w:tcW w:w="1530" w:type="dxa"/>
          </w:tcPr>
          <w:p w:rsidRPr="00487D4B" w:rsidR="00487D4B" w:rsidP="00487D4B" w:rsidRDefault="00487D4B" w14:paraId="3F33A9EF" w14:textId="77777777">
            <w:pPr>
              <w:widowControl w:val="0"/>
              <w:autoSpaceDE w:val="0"/>
              <w:autoSpaceDN w:val="0"/>
              <w:spacing w:line="228" w:lineRule="exact"/>
              <w:ind w:right="95"/>
              <w:jc w:val="right"/>
              <w:rPr>
                <w:sz w:val="20"/>
                <w:szCs w:val="22"/>
              </w:rPr>
            </w:pPr>
            <w:r w:rsidRPr="00487D4B">
              <w:rPr>
                <w:sz w:val="20"/>
                <w:szCs w:val="22"/>
              </w:rPr>
              <w:t>54,825</w:t>
            </w:r>
          </w:p>
        </w:tc>
        <w:tc>
          <w:tcPr>
            <w:tcW w:w="1620" w:type="dxa"/>
          </w:tcPr>
          <w:p w:rsidRPr="00487D4B" w:rsidR="00487D4B" w:rsidP="00487D4B" w:rsidRDefault="00487D4B" w14:paraId="3C0B0BEB" w14:textId="77777777">
            <w:pPr>
              <w:widowControl w:val="0"/>
              <w:autoSpaceDE w:val="0"/>
              <w:autoSpaceDN w:val="0"/>
              <w:spacing w:line="228" w:lineRule="exact"/>
              <w:ind w:right="95"/>
              <w:jc w:val="right"/>
              <w:rPr>
                <w:sz w:val="20"/>
                <w:szCs w:val="22"/>
              </w:rPr>
            </w:pPr>
            <w:r w:rsidRPr="00487D4B">
              <w:rPr>
                <w:sz w:val="20"/>
                <w:szCs w:val="22"/>
              </w:rPr>
              <w:t>1</w:t>
            </w:r>
          </w:p>
        </w:tc>
        <w:tc>
          <w:tcPr>
            <w:tcW w:w="1260" w:type="dxa"/>
          </w:tcPr>
          <w:p w:rsidRPr="00487D4B" w:rsidR="00487D4B" w:rsidP="00487D4B" w:rsidRDefault="00487D4B" w14:paraId="0ED504E6" w14:textId="77777777">
            <w:pPr>
              <w:widowControl w:val="0"/>
              <w:autoSpaceDE w:val="0"/>
              <w:autoSpaceDN w:val="0"/>
              <w:spacing w:line="228" w:lineRule="exact"/>
              <w:ind w:right="96"/>
              <w:jc w:val="right"/>
              <w:rPr>
                <w:sz w:val="20"/>
                <w:szCs w:val="22"/>
              </w:rPr>
            </w:pPr>
            <w:r w:rsidRPr="00487D4B">
              <w:rPr>
                <w:sz w:val="20"/>
                <w:szCs w:val="22"/>
              </w:rPr>
              <w:t>54,825</w:t>
            </w:r>
          </w:p>
        </w:tc>
        <w:tc>
          <w:tcPr>
            <w:tcW w:w="1530" w:type="dxa"/>
          </w:tcPr>
          <w:p w:rsidRPr="00487D4B" w:rsidR="00487D4B" w:rsidP="00487D4B" w:rsidRDefault="00487D4B" w14:paraId="1D29ACD2" w14:textId="77777777">
            <w:pPr>
              <w:widowControl w:val="0"/>
              <w:autoSpaceDE w:val="0"/>
              <w:autoSpaceDN w:val="0"/>
              <w:spacing w:line="227" w:lineRule="exact"/>
              <w:ind w:right="96"/>
              <w:jc w:val="right"/>
              <w:rPr>
                <w:sz w:val="20"/>
                <w:szCs w:val="22"/>
              </w:rPr>
            </w:pPr>
            <w:r>
              <w:rPr>
                <w:spacing w:val="-1"/>
                <w:sz w:val="20"/>
                <w:szCs w:val="22"/>
              </w:rPr>
              <w:t>0</w:t>
            </w:r>
            <w:r w:rsidRPr="00487D4B">
              <w:rPr>
                <w:spacing w:val="-1"/>
                <w:sz w:val="20"/>
                <w:szCs w:val="22"/>
              </w:rPr>
              <w:t>.033</w:t>
            </w:r>
          </w:p>
          <w:p w:rsidRPr="00487D4B" w:rsidR="00487D4B" w:rsidP="00487D4B" w:rsidRDefault="00487D4B" w14:paraId="62D7AFC8" w14:textId="77777777">
            <w:pPr>
              <w:widowControl w:val="0"/>
              <w:autoSpaceDE w:val="0"/>
              <w:autoSpaceDN w:val="0"/>
              <w:spacing w:line="213" w:lineRule="exact"/>
              <w:ind w:right="95"/>
              <w:jc w:val="right"/>
              <w:rPr>
                <w:sz w:val="20"/>
                <w:szCs w:val="22"/>
              </w:rPr>
            </w:pPr>
            <w:r w:rsidRPr="00487D4B">
              <w:rPr>
                <w:sz w:val="20"/>
                <w:szCs w:val="22"/>
              </w:rPr>
              <w:t>(2</w:t>
            </w:r>
            <w:r w:rsidRPr="00487D4B">
              <w:rPr>
                <w:spacing w:val="-4"/>
                <w:sz w:val="20"/>
                <w:szCs w:val="22"/>
              </w:rPr>
              <w:t xml:space="preserve"> </w:t>
            </w:r>
            <w:r w:rsidRPr="00487D4B">
              <w:rPr>
                <w:sz w:val="20"/>
                <w:szCs w:val="22"/>
              </w:rPr>
              <w:t>minutes)</w:t>
            </w:r>
          </w:p>
        </w:tc>
        <w:tc>
          <w:tcPr>
            <w:tcW w:w="900" w:type="dxa"/>
          </w:tcPr>
          <w:p w:rsidRPr="00487D4B" w:rsidR="00487D4B" w:rsidP="00487D4B" w:rsidRDefault="00487D4B" w14:paraId="077F6E0A" w14:textId="77777777">
            <w:pPr>
              <w:widowControl w:val="0"/>
              <w:autoSpaceDE w:val="0"/>
              <w:autoSpaceDN w:val="0"/>
              <w:spacing w:line="228" w:lineRule="exact"/>
              <w:ind w:right="95"/>
              <w:jc w:val="right"/>
              <w:rPr>
                <w:sz w:val="20"/>
                <w:szCs w:val="22"/>
              </w:rPr>
            </w:pPr>
            <w:r w:rsidRPr="00487D4B">
              <w:rPr>
                <w:sz w:val="20"/>
                <w:szCs w:val="22"/>
              </w:rPr>
              <w:t>1,809</w:t>
            </w:r>
          </w:p>
        </w:tc>
      </w:tr>
      <w:tr w:rsidRPr="00487D4B" w:rsidR="00487D4B" w:rsidTr="003825AC" w14:paraId="362C59E3" w14:textId="77777777">
        <w:trPr>
          <w:trHeight w:val="460"/>
        </w:trPr>
        <w:tc>
          <w:tcPr>
            <w:tcW w:w="2700" w:type="dxa"/>
          </w:tcPr>
          <w:p w:rsidR="00DE7E0F" w:rsidP="00487D4B" w:rsidRDefault="00487D4B" w14:paraId="16E62821" w14:textId="77777777">
            <w:pPr>
              <w:widowControl w:val="0"/>
              <w:autoSpaceDE w:val="0"/>
              <w:autoSpaceDN w:val="0"/>
              <w:spacing w:line="227" w:lineRule="exact"/>
              <w:ind w:left="107"/>
              <w:rPr>
                <w:sz w:val="20"/>
                <w:szCs w:val="22"/>
              </w:rPr>
            </w:pPr>
            <w:r w:rsidRPr="00487D4B">
              <w:rPr>
                <w:sz w:val="20"/>
                <w:szCs w:val="22"/>
              </w:rPr>
              <w:t>§§ 189.5 and 700.27</w:t>
            </w:r>
            <w:r w:rsidR="00422A06">
              <w:rPr>
                <w:sz w:val="20"/>
                <w:szCs w:val="22"/>
              </w:rPr>
              <w:t>;</w:t>
            </w:r>
            <w:r w:rsidRPr="00487D4B">
              <w:rPr>
                <w:sz w:val="20"/>
                <w:szCs w:val="22"/>
              </w:rPr>
              <w:t xml:space="preserve"> </w:t>
            </w:r>
          </w:p>
          <w:p w:rsidRPr="00487D4B" w:rsidR="00487D4B" w:rsidP="001E1FDE" w:rsidRDefault="00DE7E0F" w14:paraId="169E2633" w14:textId="77777777">
            <w:pPr>
              <w:widowControl w:val="0"/>
              <w:autoSpaceDE w:val="0"/>
              <w:autoSpaceDN w:val="0"/>
              <w:spacing w:line="227" w:lineRule="exact"/>
              <w:ind w:left="107"/>
              <w:rPr>
                <w:sz w:val="20"/>
                <w:szCs w:val="22"/>
              </w:rPr>
            </w:pPr>
            <w:r>
              <w:rPr>
                <w:sz w:val="20"/>
                <w:szCs w:val="22"/>
              </w:rPr>
              <w:t>r</w:t>
            </w:r>
            <w:r w:rsidRPr="00487D4B" w:rsidR="00487D4B">
              <w:rPr>
                <w:sz w:val="20"/>
                <w:szCs w:val="22"/>
              </w:rPr>
              <w:t>equest</w:t>
            </w:r>
            <w:r>
              <w:rPr>
                <w:sz w:val="20"/>
                <w:szCs w:val="22"/>
              </w:rPr>
              <w:t xml:space="preserve"> </w:t>
            </w:r>
            <w:r w:rsidRPr="00487D4B" w:rsidR="00487D4B">
              <w:rPr>
                <w:sz w:val="20"/>
                <w:szCs w:val="22"/>
              </w:rPr>
              <w:t>for designation</w:t>
            </w:r>
          </w:p>
        </w:tc>
        <w:tc>
          <w:tcPr>
            <w:tcW w:w="1530" w:type="dxa"/>
          </w:tcPr>
          <w:p w:rsidRPr="00487D4B" w:rsidR="00487D4B" w:rsidP="00487D4B" w:rsidRDefault="00487D4B" w14:paraId="4C2C2C72" w14:textId="77777777">
            <w:pPr>
              <w:widowControl w:val="0"/>
              <w:autoSpaceDE w:val="0"/>
              <w:autoSpaceDN w:val="0"/>
              <w:spacing w:line="227" w:lineRule="exact"/>
              <w:ind w:right="95"/>
              <w:jc w:val="right"/>
              <w:rPr>
                <w:sz w:val="20"/>
                <w:szCs w:val="22"/>
              </w:rPr>
            </w:pPr>
            <w:r w:rsidRPr="00487D4B">
              <w:rPr>
                <w:sz w:val="20"/>
                <w:szCs w:val="22"/>
              </w:rPr>
              <w:t>1</w:t>
            </w:r>
          </w:p>
        </w:tc>
        <w:tc>
          <w:tcPr>
            <w:tcW w:w="1620" w:type="dxa"/>
          </w:tcPr>
          <w:p w:rsidRPr="00487D4B" w:rsidR="00487D4B" w:rsidP="00487D4B" w:rsidRDefault="00487D4B" w14:paraId="55B1FAE9" w14:textId="77777777">
            <w:pPr>
              <w:widowControl w:val="0"/>
              <w:autoSpaceDE w:val="0"/>
              <w:autoSpaceDN w:val="0"/>
              <w:spacing w:line="227" w:lineRule="exact"/>
              <w:ind w:right="95"/>
              <w:jc w:val="right"/>
              <w:rPr>
                <w:sz w:val="20"/>
                <w:szCs w:val="22"/>
              </w:rPr>
            </w:pPr>
            <w:r w:rsidRPr="00487D4B">
              <w:rPr>
                <w:sz w:val="20"/>
                <w:szCs w:val="22"/>
              </w:rPr>
              <w:t>1</w:t>
            </w:r>
          </w:p>
        </w:tc>
        <w:tc>
          <w:tcPr>
            <w:tcW w:w="1260" w:type="dxa"/>
          </w:tcPr>
          <w:p w:rsidRPr="00487D4B" w:rsidR="00487D4B" w:rsidP="00487D4B" w:rsidRDefault="00487D4B" w14:paraId="27F3B342" w14:textId="77777777">
            <w:pPr>
              <w:widowControl w:val="0"/>
              <w:autoSpaceDE w:val="0"/>
              <w:autoSpaceDN w:val="0"/>
              <w:spacing w:line="227" w:lineRule="exact"/>
              <w:ind w:right="95"/>
              <w:jc w:val="right"/>
              <w:rPr>
                <w:sz w:val="20"/>
                <w:szCs w:val="22"/>
              </w:rPr>
            </w:pPr>
            <w:r w:rsidRPr="00487D4B">
              <w:rPr>
                <w:sz w:val="20"/>
                <w:szCs w:val="22"/>
              </w:rPr>
              <w:t>1</w:t>
            </w:r>
          </w:p>
        </w:tc>
        <w:tc>
          <w:tcPr>
            <w:tcW w:w="1530" w:type="dxa"/>
          </w:tcPr>
          <w:p w:rsidRPr="00487D4B" w:rsidR="00487D4B" w:rsidP="00487D4B" w:rsidRDefault="00487D4B" w14:paraId="4B30B30F" w14:textId="77777777">
            <w:pPr>
              <w:widowControl w:val="0"/>
              <w:autoSpaceDE w:val="0"/>
              <w:autoSpaceDN w:val="0"/>
              <w:spacing w:line="227" w:lineRule="exact"/>
              <w:ind w:right="95"/>
              <w:jc w:val="right"/>
              <w:rPr>
                <w:sz w:val="20"/>
                <w:szCs w:val="22"/>
              </w:rPr>
            </w:pPr>
            <w:r w:rsidRPr="00487D4B">
              <w:rPr>
                <w:sz w:val="20"/>
                <w:szCs w:val="22"/>
              </w:rPr>
              <w:t>80</w:t>
            </w:r>
          </w:p>
        </w:tc>
        <w:tc>
          <w:tcPr>
            <w:tcW w:w="900" w:type="dxa"/>
          </w:tcPr>
          <w:p w:rsidRPr="00487D4B" w:rsidR="00487D4B" w:rsidP="00487D4B" w:rsidRDefault="00487D4B" w14:paraId="26521640" w14:textId="77777777">
            <w:pPr>
              <w:widowControl w:val="0"/>
              <w:autoSpaceDE w:val="0"/>
              <w:autoSpaceDN w:val="0"/>
              <w:spacing w:line="227" w:lineRule="exact"/>
              <w:ind w:right="95"/>
              <w:jc w:val="right"/>
              <w:rPr>
                <w:sz w:val="20"/>
                <w:szCs w:val="22"/>
              </w:rPr>
            </w:pPr>
            <w:r w:rsidRPr="00487D4B">
              <w:rPr>
                <w:sz w:val="20"/>
                <w:szCs w:val="22"/>
              </w:rPr>
              <w:t>80</w:t>
            </w:r>
          </w:p>
        </w:tc>
      </w:tr>
      <w:tr w:rsidRPr="00487D4B" w:rsidR="00487D4B" w:rsidTr="003825AC" w14:paraId="654E4ADD" w14:textId="77777777">
        <w:trPr>
          <w:trHeight w:val="689"/>
        </w:trPr>
        <w:tc>
          <w:tcPr>
            <w:tcW w:w="2700" w:type="dxa"/>
          </w:tcPr>
          <w:p w:rsidRPr="00487D4B" w:rsidR="00487D4B" w:rsidP="00487D4B" w:rsidRDefault="00487D4B" w14:paraId="5E811BA0" w14:textId="77777777">
            <w:pPr>
              <w:widowControl w:val="0"/>
              <w:autoSpaceDE w:val="0"/>
              <w:autoSpaceDN w:val="0"/>
              <w:spacing w:line="227" w:lineRule="exact"/>
              <w:ind w:left="107"/>
              <w:rPr>
                <w:sz w:val="20"/>
                <w:szCs w:val="22"/>
              </w:rPr>
            </w:pPr>
            <w:r w:rsidRPr="00487D4B">
              <w:rPr>
                <w:sz w:val="20"/>
                <w:szCs w:val="22"/>
              </w:rPr>
              <w:t>§§ 189.5(e) and 700.27(e)</w:t>
            </w:r>
            <w:r w:rsidR="00422A06">
              <w:rPr>
                <w:sz w:val="20"/>
                <w:szCs w:val="22"/>
              </w:rPr>
              <w:t>;</w:t>
            </w:r>
          </w:p>
          <w:p w:rsidRPr="00487D4B" w:rsidR="00487D4B" w:rsidP="00487D4B" w:rsidRDefault="00487D4B" w14:paraId="1A0DB1E1" w14:textId="77777777">
            <w:pPr>
              <w:widowControl w:val="0"/>
              <w:autoSpaceDE w:val="0"/>
              <w:autoSpaceDN w:val="0"/>
              <w:spacing w:before="3" w:line="230" w:lineRule="exact"/>
              <w:ind w:left="107" w:right="152"/>
              <w:rPr>
                <w:sz w:val="20"/>
                <w:szCs w:val="22"/>
              </w:rPr>
            </w:pPr>
            <w:r w:rsidRPr="00487D4B">
              <w:rPr>
                <w:sz w:val="20"/>
                <w:szCs w:val="22"/>
              </w:rPr>
              <w:t>response to request for review by FDA</w:t>
            </w:r>
          </w:p>
        </w:tc>
        <w:tc>
          <w:tcPr>
            <w:tcW w:w="1530" w:type="dxa"/>
          </w:tcPr>
          <w:p w:rsidRPr="00487D4B" w:rsidR="00487D4B" w:rsidP="00487D4B" w:rsidRDefault="00487D4B" w14:paraId="1A6DB5AB" w14:textId="77777777">
            <w:pPr>
              <w:widowControl w:val="0"/>
              <w:autoSpaceDE w:val="0"/>
              <w:autoSpaceDN w:val="0"/>
              <w:spacing w:line="227" w:lineRule="exact"/>
              <w:ind w:right="95"/>
              <w:jc w:val="right"/>
              <w:rPr>
                <w:sz w:val="20"/>
                <w:szCs w:val="22"/>
              </w:rPr>
            </w:pPr>
            <w:r w:rsidRPr="00487D4B">
              <w:rPr>
                <w:sz w:val="20"/>
                <w:szCs w:val="22"/>
              </w:rPr>
              <w:t>1</w:t>
            </w:r>
          </w:p>
        </w:tc>
        <w:tc>
          <w:tcPr>
            <w:tcW w:w="1620" w:type="dxa"/>
          </w:tcPr>
          <w:p w:rsidRPr="00487D4B" w:rsidR="00487D4B" w:rsidP="00487D4B" w:rsidRDefault="00487D4B" w14:paraId="7DDF2C0C" w14:textId="77777777">
            <w:pPr>
              <w:widowControl w:val="0"/>
              <w:autoSpaceDE w:val="0"/>
              <w:autoSpaceDN w:val="0"/>
              <w:spacing w:line="227" w:lineRule="exact"/>
              <w:ind w:right="95"/>
              <w:jc w:val="right"/>
              <w:rPr>
                <w:sz w:val="20"/>
                <w:szCs w:val="22"/>
              </w:rPr>
            </w:pPr>
            <w:r w:rsidRPr="00487D4B">
              <w:rPr>
                <w:sz w:val="20"/>
                <w:szCs w:val="22"/>
              </w:rPr>
              <w:t>1</w:t>
            </w:r>
          </w:p>
        </w:tc>
        <w:tc>
          <w:tcPr>
            <w:tcW w:w="1260" w:type="dxa"/>
          </w:tcPr>
          <w:p w:rsidRPr="00487D4B" w:rsidR="00487D4B" w:rsidP="00487D4B" w:rsidRDefault="00487D4B" w14:paraId="75A9BAC6" w14:textId="77777777">
            <w:pPr>
              <w:widowControl w:val="0"/>
              <w:autoSpaceDE w:val="0"/>
              <w:autoSpaceDN w:val="0"/>
              <w:spacing w:line="227" w:lineRule="exact"/>
              <w:ind w:right="95"/>
              <w:jc w:val="right"/>
              <w:rPr>
                <w:sz w:val="20"/>
                <w:szCs w:val="22"/>
              </w:rPr>
            </w:pPr>
            <w:r w:rsidRPr="00487D4B">
              <w:rPr>
                <w:sz w:val="20"/>
                <w:szCs w:val="22"/>
              </w:rPr>
              <w:t>1</w:t>
            </w:r>
          </w:p>
        </w:tc>
        <w:tc>
          <w:tcPr>
            <w:tcW w:w="1530" w:type="dxa"/>
          </w:tcPr>
          <w:p w:rsidRPr="00487D4B" w:rsidR="00487D4B" w:rsidP="00487D4B" w:rsidRDefault="00487D4B" w14:paraId="0B6F25DC" w14:textId="77777777">
            <w:pPr>
              <w:widowControl w:val="0"/>
              <w:autoSpaceDE w:val="0"/>
              <w:autoSpaceDN w:val="0"/>
              <w:spacing w:line="227" w:lineRule="exact"/>
              <w:ind w:right="95"/>
              <w:jc w:val="right"/>
              <w:rPr>
                <w:sz w:val="20"/>
                <w:szCs w:val="22"/>
              </w:rPr>
            </w:pPr>
            <w:r w:rsidRPr="00487D4B">
              <w:rPr>
                <w:sz w:val="20"/>
                <w:szCs w:val="22"/>
              </w:rPr>
              <w:t>26</w:t>
            </w:r>
          </w:p>
        </w:tc>
        <w:tc>
          <w:tcPr>
            <w:tcW w:w="900" w:type="dxa"/>
          </w:tcPr>
          <w:p w:rsidRPr="00487D4B" w:rsidR="00487D4B" w:rsidP="00487D4B" w:rsidRDefault="00487D4B" w14:paraId="420C1A00" w14:textId="77777777">
            <w:pPr>
              <w:widowControl w:val="0"/>
              <w:autoSpaceDE w:val="0"/>
              <w:autoSpaceDN w:val="0"/>
              <w:spacing w:line="227" w:lineRule="exact"/>
              <w:ind w:right="95"/>
              <w:jc w:val="right"/>
              <w:rPr>
                <w:sz w:val="20"/>
                <w:szCs w:val="22"/>
              </w:rPr>
            </w:pPr>
            <w:r w:rsidRPr="00487D4B">
              <w:rPr>
                <w:sz w:val="20"/>
                <w:szCs w:val="22"/>
              </w:rPr>
              <w:t>26</w:t>
            </w:r>
          </w:p>
        </w:tc>
      </w:tr>
      <w:tr w:rsidRPr="00487D4B" w:rsidR="00487D4B" w:rsidTr="003825AC" w14:paraId="67499C29" w14:textId="77777777">
        <w:trPr>
          <w:trHeight w:val="230"/>
        </w:trPr>
        <w:tc>
          <w:tcPr>
            <w:tcW w:w="8640" w:type="dxa"/>
            <w:gridSpan w:val="5"/>
          </w:tcPr>
          <w:p w:rsidRPr="00487D4B" w:rsidR="00487D4B" w:rsidP="00487D4B" w:rsidRDefault="00487D4B" w14:paraId="079AEA76" w14:textId="77777777">
            <w:pPr>
              <w:widowControl w:val="0"/>
              <w:autoSpaceDE w:val="0"/>
              <w:autoSpaceDN w:val="0"/>
              <w:spacing w:line="210" w:lineRule="exact"/>
              <w:ind w:left="107"/>
              <w:rPr>
                <w:sz w:val="20"/>
                <w:szCs w:val="22"/>
              </w:rPr>
            </w:pPr>
            <w:r w:rsidRPr="00487D4B">
              <w:rPr>
                <w:sz w:val="20"/>
                <w:szCs w:val="22"/>
              </w:rPr>
              <w:t>Total</w:t>
            </w:r>
          </w:p>
        </w:tc>
        <w:tc>
          <w:tcPr>
            <w:tcW w:w="900" w:type="dxa"/>
          </w:tcPr>
          <w:p w:rsidRPr="00487D4B" w:rsidR="00487D4B" w:rsidP="00487D4B" w:rsidRDefault="00487D4B" w14:paraId="5D21731A" w14:textId="77777777">
            <w:pPr>
              <w:widowControl w:val="0"/>
              <w:autoSpaceDE w:val="0"/>
              <w:autoSpaceDN w:val="0"/>
              <w:spacing w:line="210" w:lineRule="exact"/>
              <w:ind w:right="95"/>
              <w:jc w:val="right"/>
              <w:rPr>
                <w:sz w:val="20"/>
                <w:szCs w:val="22"/>
              </w:rPr>
            </w:pPr>
            <w:r w:rsidRPr="00487D4B">
              <w:rPr>
                <w:sz w:val="20"/>
                <w:szCs w:val="22"/>
              </w:rPr>
              <w:t>1,915</w:t>
            </w:r>
          </w:p>
        </w:tc>
      </w:tr>
    </w:tbl>
    <w:p w:rsidRPr="001E1FDE" w:rsidR="00487D4B" w:rsidP="00487D4B" w:rsidRDefault="00487D4B" w14:paraId="0DF8CA6E" w14:textId="77777777">
      <w:pPr>
        <w:widowControl w:val="0"/>
        <w:autoSpaceDE w:val="0"/>
        <w:autoSpaceDN w:val="0"/>
        <w:spacing w:before="8"/>
        <w:rPr>
          <w:sz w:val="20"/>
          <w:szCs w:val="20"/>
        </w:rPr>
      </w:pPr>
      <w:r w:rsidRPr="001E1FDE">
        <w:rPr>
          <w:sz w:val="20"/>
          <w:szCs w:val="20"/>
          <w:vertAlign w:val="superscript"/>
        </w:rPr>
        <w:t>1</w:t>
      </w:r>
      <w:r w:rsidRPr="001E1FDE">
        <w:rPr>
          <w:sz w:val="20"/>
          <w:szCs w:val="20"/>
        </w:rPr>
        <w:t xml:space="preserve"> There are no capital costs or operating and maintenance costs associated with this collection of information.</w:t>
      </w:r>
    </w:p>
    <w:p w:rsidR="00487D4B" w:rsidP="00487D4B" w:rsidRDefault="00487D4B" w14:paraId="1C7AA944" w14:textId="77777777">
      <w:pPr>
        <w:widowControl w:val="0"/>
        <w:autoSpaceDE w:val="0"/>
        <w:autoSpaceDN w:val="0"/>
        <w:ind w:left="200" w:right="363"/>
        <w:rPr>
          <w:szCs w:val="22"/>
        </w:rPr>
      </w:pPr>
    </w:p>
    <w:p w:rsidRPr="00487D4B" w:rsidR="00487D4B" w:rsidP="001E1FDE" w:rsidRDefault="00487D4B" w14:paraId="28BC5E3C" w14:textId="77777777">
      <w:pPr>
        <w:widowControl w:val="0"/>
        <w:autoSpaceDE w:val="0"/>
        <w:autoSpaceDN w:val="0"/>
        <w:ind w:left="360"/>
        <w:rPr>
          <w:i/>
          <w:szCs w:val="22"/>
        </w:rPr>
      </w:pPr>
      <w:r w:rsidRPr="00487D4B">
        <w:rPr>
          <w:i/>
          <w:szCs w:val="22"/>
        </w:rPr>
        <w:t>Reporting</w:t>
      </w:r>
    </w:p>
    <w:p w:rsidRPr="00487D4B" w:rsidR="00487D4B" w:rsidP="00266077" w:rsidRDefault="00487D4B" w14:paraId="5D77F70A" w14:textId="77777777">
      <w:pPr>
        <w:widowControl w:val="0"/>
        <w:autoSpaceDE w:val="0"/>
        <w:autoSpaceDN w:val="0"/>
        <w:spacing w:before="10"/>
        <w:ind w:left="360"/>
        <w:rPr>
          <w:i/>
          <w:sz w:val="23"/>
        </w:rPr>
      </w:pPr>
    </w:p>
    <w:p w:rsidRPr="00487D4B" w:rsidR="00487D4B" w:rsidP="00266077" w:rsidRDefault="00B56682" w14:paraId="5E4D3344" w14:textId="77777777">
      <w:pPr>
        <w:widowControl w:val="0"/>
        <w:autoSpaceDE w:val="0"/>
        <w:autoSpaceDN w:val="0"/>
        <w:spacing w:before="1"/>
        <w:ind w:left="360" w:right="268"/>
      </w:pPr>
      <w:r>
        <w:t>Our</w:t>
      </w:r>
      <w:r w:rsidRPr="00487D4B" w:rsidR="00487D4B">
        <w:t xml:space="preserve"> regulations in §§ 189.5(c)(6) and 700.27(c)(6) impose a reporting burden on importers of human food and cosmetics manufactured from, processed with, or otherwise containing cattle material. </w:t>
      </w:r>
      <w:r w:rsidR="00487D4B">
        <w:t xml:space="preserve"> </w:t>
      </w:r>
      <w:r w:rsidRPr="00487D4B" w:rsidR="00487D4B">
        <w:t xml:space="preserve">Importers of these products must affirm that the human food or cosmetics are not manufactured from, processed with, or otherwise contain prohibited cattle materials and must affirm that the human food or cosmetics were manufactured in accordance with the applicable requirements of §§ 189.5 or 700.27. </w:t>
      </w:r>
      <w:r w:rsidR="00487D4B">
        <w:t xml:space="preserve"> </w:t>
      </w:r>
      <w:r w:rsidRPr="00487D4B" w:rsidR="00487D4B">
        <w:t xml:space="preserve">The affirmation is made by the importer of record at CBP entry. </w:t>
      </w:r>
      <w:r w:rsidR="00487D4B">
        <w:t xml:space="preserve"> </w:t>
      </w:r>
      <w:r w:rsidRPr="00487D4B" w:rsidR="00487D4B">
        <w:t>Affirmation by importers is expected to take approximately 2 minutes per entry line.</w:t>
      </w:r>
    </w:p>
    <w:p w:rsidR="00487D4B" w:rsidP="00266077" w:rsidRDefault="00487D4B" w14:paraId="52B4A27A" w14:textId="77777777">
      <w:pPr>
        <w:widowControl w:val="0"/>
        <w:autoSpaceDE w:val="0"/>
        <w:autoSpaceDN w:val="0"/>
        <w:ind w:left="360"/>
        <w:rPr>
          <w:sz w:val="22"/>
          <w:szCs w:val="22"/>
        </w:rPr>
      </w:pPr>
    </w:p>
    <w:p w:rsidRPr="00487D4B" w:rsidR="00487D4B" w:rsidP="001E1FDE" w:rsidRDefault="00487D4B" w14:paraId="76C9F5F0" w14:textId="77777777">
      <w:pPr>
        <w:widowControl w:val="0"/>
        <w:autoSpaceDE w:val="0"/>
        <w:autoSpaceDN w:val="0"/>
        <w:ind w:left="360" w:right="230"/>
      </w:pPr>
      <w:r w:rsidRPr="00487D4B">
        <w:t xml:space="preserve">Table 1 shows 54,825 lines of human food and cosmetics likely to contain cattle materials are imported annually. </w:t>
      </w:r>
      <w:r>
        <w:t xml:space="preserve"> </w:t>
      </w:r>
      <w:r w:rsidRPr="00487D4B">
        <w:t xml:space="preserve">The reporting burden of affirming whether import entry lines contain cattle-derived materials is estimated to take 1,809 hours annually (54,825 lines </w:t>
      </w:r>
      <w:r w:rsidRPr="003E2ED0" w:rsidR="003E2ED0">
        <w:t>×</w:t>
      </w:r>
      <w:r w:rsidRPr="00487D4B">
        <w:t xml:space="preserve"> 2 minutes</w:t>
      </w:r>
      <w:r w:rsidR="003E2ED0">
        <w:t>/</w:t>
      </w:r>
      <w:r w:rsidRPr="00487D4B">
        <w:t>line).</w:t>
      </w:r>
    </w:p>
    <w:p w:rsidRPr="00487D4B" w:rsidR="00487D4B" w:rsidP="00266077" w:rsidRDefault="00487D4B" w14:paraId="3CECED4D" w14:textId="77777777">
      <w:pPr>
        <w:widowControl w:val="0"/>
        <w:autoSpaceDE w:val="0"/>
        <w:autoSpaceDN w:val="0"/>
        <w:ind w:left="360"/>
      </w:pPr>
    </w:p>
    <w:p w:rsidRPr="00487D4B" w:rsidR="00487D4B" w:rsidP="006C1B71" w:rsidRDefault="00B56682" w14:paraId="68587937" w14:textId="77777777">
      <w:pPr>
        <w:widowControl w:val="0"/>
        <w:autoSpaceDE w:val="0"/>
        <w:autoSpaceDN w:val="0"/>
        <w:spacing w:before="1"/>
        <w:ind w:left="360" w:right="206"/>
      </w:pPr>
      <w:r>
        <w:t>Our</w:t>
      </w:r>
      <w:r w:rsidRPr="00487D4B" w:rsidR="00487D4B">
        <w:t xml:space="preserve"> estimate of the reporting burden for designation under §§ 189.5 and 700.27 is based on </w:t>
      </w:r>
      <w:r w:rsidR="00B6483D">
        <w:t>our</w:t>
      </w:r>
      <w:r w:rsidRPr="00487D4B" w:rsidR="00B6483D">
        <w:t xml:space="preserve"> </w:t>
      </w:r>
      <w:r w:rsidRPr="00487D4B" w:rsidR="00487D4B">
        <w:t xml:space="preserve">experience and the average number of requests for designation received in the past 3 years.  In the last 3 years, </w:t>
      </w:r>
      <w:r>
        <w:t>we have</w:t>
      </w:r>
      <w:r w:rsidRPr="00487D4B" w:rsidR="00487D4B">
        <w:t xml:space="preserve"> not received any requests for designation. </w:t>
      </w:r>
      <w:r w:rsidR="00487D4B">
        <w:t xml:space="preserve"> </w:t>
      </w:r>
      <w:r w:rsidRPr="00487D4B" w:rsidR="00487D4B">
        <w:t xml:space="preserve">Thus, </w:t>
      </w:r>
      <w:r>
        <w:t xml:space="preserve">we </w:t>
      </w:r>
      <w:r w:rsidRPr="00487D4B" w:rsidR="00487D4B">
        <w:t xml:space="preserve">estimate that one or fewer will be received annually in the future.  </w:t>
      </w:r>
      <w:r>
        <w:t>We</w:t>
      </w:r>
      <w:r w:rsidRPr="00487D4B" w:rsidR="00487D4B">
        <w:t xml:space="preserve"> estimate that preparing the information required by §§ 189.5 and 700.27 and submitting it to </w:t>
      </w:r>
      <w:r>
        <w:t>us</w:t>
      </w:r>
      <w:r w:rsidRPr="00487D4B" w:rsidR="00487D4B">
        <w:t xml:space="preserve"> in the form of a written request to the CFSAN Director will require a burden of approximately 80 hours per</w:t>
      </w:r>
      <w:r w:rsidRPr="00487D4B" w:rsidR="00487D4B">
        <w:rPr>
          <w:spacing w:val="-10"/>
        </w:rPr>
        <w:t xml:space="preserve"> </w:t>
      </w:r>
      <w:r w:rsidRPr="00487D4B" w:rsidR="00487D4B">
        <w:t>request.</w:t>
      </w:r>
      <w:r w:rsidR="00487D4B">
        <w:t xml:space="preserve">  </w:t>
      </w:r>
      <w:r w:rsidRPr="00487D4B" w:rsidR="00487D4B">
        <w:t>Thus, the burden for new requests for designation is estimated to be 80 hours annually, as shown in Table 1, row 2.</w:t>
      </w:r>
    </w:p>
    <w:p w:rsidRPr="00487D4B" w:rsidR="00487D4B" w:rsidP="006C1B71" w:rsidRDefault="00487D4B" w14:paraId="252F0F72" w14:textId="77777777">
      <w:pPr>
        <w:widowControl w:val="0"/>
        <w:autoSpaceDE w:val="0"/>
        <w:autoSpaceDN w:val="0"/>
        <w:ind w:left="360"/>
      </w:pPr>
    </w:p>
    <w:p w:rsidRPr="00487D4B" w:rsidR="00487D4B" w:rsidP="006C1B71" w:rsidRDefault="00487D4B" w14:paraId="19704170" w14:textId="77777777">
      <w:pPr>
        <w:widowControl w:val="0"/>
        <w:autoSpaceDE w:val="0"/>
        <w:autoSpaceDN w:val="0"/>
        <w:ind w:left="360" w:right="320"/>
      </w:pPr>
      <w:r w:rsidRPr="00487D4B">
        <w:t xml:space="preserve">Under §§ 189.5(e) and 700.27(e), designated countries are subject to future review by </w:t>
      </w:r>
      <w:r w:rsidR="00F82913">
        <w:t>FDA</w:t>
      </w:r>
      <w:r w:rsidRPr="00487D4B" w:rsidR="00F82913">
        <w:t xml:space="preserve"> </w:t>
      </w:r>
      <w:r w:rsidRPr="00487D4B">
        <w:t xml:space="preserve">and may respond to </w:t>
      </w:r>
      <w:r w:rsidR="00B56682">
        <w:t xml:space="preserve">our </w:t>
      </w:r>
      <w:r w:rsidRPr="00487D4B">
        <w:t>periodic requests by submitting information to confirm their designations remain appropriate.</w:t>
      </w:r>
      <w:r>
        <w:t xml:space="preserve"> </w:t>
      </w:r>
      <w:r w:rsidRPr="00487D4B">
        <w:t xml:space="preserve"> In the last 3 years, </w:t>
      </w:r>
      <w:r w:rsidR="00B56682">
        <w:t>we have</w:t>
      </w:r>
      <w:r w:rsidRPr="00487D4B">
        <w:t xml:space="preserve"> not requested any reviews. </w:t>
      </w:r>
      <w:r>
        <w:t xml:space="preserve"> </w:t>
      </w:r>
      <w:r w:rsidRPr="00487D4B">
        <w:t xml:space="preserve">Thus, </w:t>
      </w:r>
      <w:r w:rsidR="00B56682">
        <w:t>we</w:t>
      </w:r>
      <w:r w:rsidRPr="00487D4B">
        <w:t xml:space="preserve"> estimate that one or fewer will occur annually in the future. </w:t>
      </w:r>
      <w:r>
        <w:t xml:space="preserve"> </w:t>
      </w:r>
      <w:r w:rsidR="00B56682">
        <w:t>We</w:t>
      </w:r>
      <w:r w:rsidRPr="00487D4B">
        <w:t xml:space="preserve"> estimate that the designated country undergoing a review in the future will need one-third of the time it took preparing its request for designation to respond to </w:t>
      </w:r>
      <w:r w:rsidR="00B56682">
        <w:t>our</w:t>
      </w:r>
      <w:r w:rsidRPr="00487D4B">
        <w:t xml:space="preserve"> request for review, or 26 hours (80 </w:t>
      </w:r>
      <w:r w:rsidRPr="00487D4B">
        <w:lastRenderedPageBreak/>
        <w:t xml:space="preserve">hours </w:t>
      </w:r>
      <w:bookmarkStart w:name="_Hlk56696914" w:id="1"/>
      <w:r w:rsidRPr="00487D4B">
        <w:t>×</w:t>
      </w:r>
      <w:bookmarkEnd w:id="1"/>
      <w:r w:rsidRPr="00487D4B">
        <w:t xml:space="preserve"> 0.33</w:t>
      </w:r>
      <w:r w:rsidR="00B6483D">
        <w:t xml:space="preserve"> </w:t>
      </w:r>
      <w:r w:rsidRPr="00487D4B">
        <w:t>=</w:t>
      </w:r>
      <w:r>
        <w:t xml:space="preserve"> </w:t>
      </w:r>
      <w:r w:rsidRPr="00487D4B">
        <w:t xml:space="preserve">26.4 hours, rounded to 26). </w:t>
      </w:r>
      <w:r>
        <w:t xml:space="preserve"> </w:t>
      </w:r>
      <w:r w:rsidRPr="00487D4B">
        <w:t xml:space="preserve">The annual burden for reviews is estimated to be 26 hours, as shown in Table 1, row 3. </w:t>
      </w:r>
      <w:r>
        <w:t xml:space="preserve"> </w:t>
      </w:r>
      <w:r w:rsidRPr="00487D4B">
        <w:t>The total reporting burden for this information collection is estimated to be 1,915 hours annually.</w:t>
      </w:r>
    </w:p>
    <w:p w:rsidRPr="00487D4B" w:rsidR="00487D4B" w:rsidP="001E1FDE" w:rsidRDefault="00487D4B" w14:paraId="028B21EF" w14:textId="77777777">
      <w:pPr>
        <w:widowControl w:val="0"/>
        <w:autoSpaceDE w:val="0"/>
        <w:autoSpaceDN w:val="0"/>
        <w:ind w:left="360"/>
        <w:rPr>
          <w:sz w:val="23"/>
        </w:rPr>
      </w:pPr>
    </w:p>
    <w:p w:rsidRPr="00487D4B" w:rsidR="00487D4B" w:rsidP="00487D4B" w:rsidRDefault="00487D4B" w14:paraId="2EA182CD" w14:textId="77777777">
      <w:pPr>
        <w:widowControl w:val="0"/>
        <w:autoSpaceDE w:val="0"/>
        <w:autoSpaceDN w:val="0"/>
        <w:spacing w:after="3"/>
        <w:ind w:left="2759"/>
        <w:rPr>
          <w:sz w:val="13"/>
          <w:szCs w:val="22"/>
        </w:rPr>
      </w:pPr>
      <w:r w:rsidRPr="00487D4B">
        <w:rPr>
          <w:sz w:val="20"/>
          <w:szCs w:val="22"/>
        </w:rPr>
        <w:t>Table 2.--Estimated Annual Recordkeeping Burden</w:t>
      </w:r>
      <w:r w:rsidRPr="001E1FDE" w:rsidR="00F82913">
        <w:rPr>
          <w:sz w:val="20"/>
          <w:szCs w:val="22"/>
          <w:vertAlign w:val="superscript"/>
        </w:rPr>
        <w:t>1</w:t>
      </w:r>
    </w:p>
    <w:tbl>
      <w:tblPr>
        <w:tblW w:w="0" w:type="auto"/>
        <w:tblInd w:w="2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73"/>
        <w:gridCol w:w="1620"/>
        <w:gridCol w:w="1800"/>
        <w:gridCol w:w="1440"/>
        <w:gridCol w:w="1440"/>
        <w:gridCol w:w="898"/>
      </w:tblGrid>
      <w:tr w:rsidRPr="00487D4B" w:rsidR="00487D4B" w:rsidTr="00A07C61" w14:paraId="2F752A55" w14:textId="77777777">
        <w:trPr>
          <w:trHeight w:val="755"/>
        </w:trPr>
        <w:tc>
          <w:tcPr>
            <w:tcW w:w="1573" w:type="dxa"/>
          </w:tcPr>
          <w:p w:rsidRPr="00487D4B" w:rsidR="00487D4B" w:rsidP="00487D4B" w:rsidRDefault="00F96235" w14:paraId="0523B610" w14:textId="77777777">
            <w:pPr>
              <w:widowControl w:val="0"/>
              <w:autoSpaceDE w:val="0"/>
              <w:autoSpaceDN w:val="0"/>
              <w:ind w:left="213" w:right="201"/>
              <w:jc w:val="center"/>
              <w:rPr>
                <w:sz w:val="20"/>
                <w:szCs w:val="22"/>
              </w:rPr>
            </w:pPr>
            <w:r>
              <w:rPr>
                <w:sz w:val="20"/>
                <w:szCs w:val="22"/>
              </w:rPr>
              <w:t>Type of Respondent</w:t>
            </w:r>
          </w:p>
        </w:tc>
        <w:tc>
          <w:tcPr>
            <w:tcW w:w="1620" w:type="dxa"/>
          </w:tcPr>
          <w:p w:rsidRPr="00487D4B" w:rsidR="00487D4B" w:rsidP="00487D4B" w:rsidRDefault="00487D4B" w14:paraId="460C4826" w14:textId="77777777">
            <w:pPr>
              <w:widowControl w:val="0"/>
              <w:autoSpaceDE w:val="0"/>
              <w:autoSpaceDN w:val="0"/>
              <w:ind w:left="215" w:right="186" w:firstLine="337"/>
              <w:rPr>
                <w:sz w:val="20"/>
                <w:szCs w:val="22"/>
              </w:rPr>
            </w:pPr>
            <w:r w:rsidRPr="00487D4B">
              <w:rPr>
                <w:sz w:val="20"/>
                <w:szCs w:val="22"/>
              </w:rPr>
              <w:t>No. of Recordkeepers</w:t>
            </w:r>
          </w:p>
        </w:tc>
        <w:tc>
          <w:tcPr>
            <w:tcW w:w="1800" w:type="dxa"/>
          </w:tcPr>
          <w:p w:rsidRPr="00487D4B" w:rsidR="00487D4B" w:rsidP="00487D4B" w:rsidRDefault="00487D4B" w14:paraId="6038A674" w14:textId="77777777">
            <w:pPr>
              <w:widowControl w:val="0"/>
              <w:autoSpaceDE w:val="0"/>
              <w:autoSpaceDN w:val="0"/>
              <w:ind w:left="191" w:right="163" w:firstLine="150"/>
              <w:rPr>
                <w:sz w:val="20"/>
                <w:szCs w:val="22"/>
              </w:rPr>
            </w:pPr>
            <w:r w:rsidRPr="00487D4B">
              <w:rPr>
                <w:sz w:val="20"/>
                <w:szCs w:val="22"/>
              </w:rPr>
              <w:t>No. of Records per Recordkeeper</w:t>
            </w:r>
          </w:p>
        </w:tc>
        <w:tc>
          <w:tcPr>
            <w:tcW w:w="1440" w:type="dxa"/>
          </w:tcPr>
          <w:p w:rsidRPr="00487D4B" w:rsidR="00487D4B" w:rsidP="00487D4B" w:rsidRDefault="00487D4B" w14:paraId="7856A95F" w14:textId="77777777">
            <w:pPr>
              <w:widowControl w:val="0"/>
              <w:autoSpaceDE w:val="0"/>
              <w:autoSpaceDN w:val="0"/>
              <w:ind w:left="391" w:right="161" w:hanging="203"/>
              <w:rPr>
                <w:sz w:val="20"/>
                <w:szCs w:val="22"/>
              </w:rPr>
            </w:pPr>
            <w:r w:rsidRPr="00487D4B">
              <w:rPr>
                <w:sz w:val="20"/>
                <w:szCs w:val="22"/>
              </w:rPr>
              <w:t>Total Annual Records</w:t>
            </w:r>
          </w:p>
        </w:tc>
        <w:tc>
          <w:tcPr>
            <w:tcW w:w="1440" w:type="dxa"/>
          </w:tcPr>
          <w:p w:rsidRPr="00487D4B" w:rsidR="00487D4B" w:rsidP="00487D4B" w:rsidRDefault="00487D4B" w14:paraId="2FAC9DAB" w14:textId="77777777">
            <w:pPr>
              <w:widowControl w:val="0"/>
              <w:autoSpaceDE w:val="0"/>
              <w:autoSpaceDN w:val="0"/>
              <w:ind w:left="164" w:right="154"/>
              <w:jc w:val="center"/>
              <w:rPr>
                <w:sz w:val="20"/>
                <w:szCs w:val="22"/>
              </w:rPr>
            </w:pPr>
            <w:r w:rsidRPr="00487D4B">
              <w:rPr>
                <w:sz w:val="20"/>
                <w:szCs w:val="22"/>
              </w:rPr>
              <w:t>Average Burden per Recordkeeper</w:t>
            </w:r>
          </w:p>
        </w:tc>
        <w:tc>
          <w:tcPr>
            <w:tcW w:w="898" w:type="dxa"/>
          </w:tcPr>
          <w:p w:rsidRPr="00487D4B" w:rsidR="00487D4B" w:rsidP="001E1FDE" w:rsidRDefault="00487D4B" w14:paraId="0C298237" w14:textId="77777777">
            <w:pPr>
              <w:widowControl w:val="0"/>
              <w:autoSpaceDE w:val="0"/>
              <w:autoSpaceDN w:val="0"/>
              <w:ind w:left="203" w:right="133" w:firstLine="109"/>
              <w:jc w:val="center"/>
              <w:rPr>
                <w:sz w:val="20"/>
                <w:szCs w:val="22"/>
              </w:rPr>
            </w:pPr>
            <w:r w:rsidRPr="00487D4B">
              <w:rPr>
                <w:sz w:val="20"/>
                <w:szCs w:val="22"/>
              </w:rPr>
              <w:t>Total Hours</w:t>
            </w:r>
          </w:p>
        </w:tc>
      </w:tr>
      <w:tr w:rsidRPr="00487D4B" w:rsidR="00487D4B" w:rsidTr="00A07C61" w14:paraId="550809AC" w14:textId="77777777">
        <w:trPr>
          <w:trHeight w:val="459"/>
        </w:trPr>
        <w:tc>
          <w:tcPr>
            <w:tcW w:w="1573" w:type="dxa"/>
          </w:tcPr>
          <w:p w:rsidRPr="00487D4B" w:rsidR="00487D4B" w:rsidP="00487D4B" w:rsidRDefault="00487D4B" w14:paraId="3CE5DB1E" w14:textId="77777777">
            <w:pPr>
              <w:widowControl w:val="0"/>
              <w:autoSpaceDE w:val="0"/>
              <w:autoSpaceDN w:val="0"/>
              <w:spacing w:line="227" w:lineRule="exact"/>
              <w:ind w:left="107"/>
              <w:rPr>
                <w:sz w:val="20"/>
                <w:szCs w:val="22"/>
              </w:rPr>
            </w:pPr>
            <w:r w:rsidRPr="00487D4B">
              <w:rPr>
                <w:sz w:val="20"/>
                <w:szCs w:val="22"/>
              </w:rPr>
              <w:t>Domestic</w:t>
            </w:r>
          </w:p>
          <w:p w:rsidRPr="00487D4B" w:rsidR="00487D4B" w:rsidP="00487D4B" w:rsidRDefault="00487D4B" w14:paraId="5913D860" w14:textId="77777777">
            <w:pPr>
              <w:widowControl w:val="0"/>
              <w:autoSpaceDE w:val="0"/>
              <w:autoSpaceDN w:val="0"/>
              <w:spacing w:line="212" w:lineRule="exact"/>
              <w:ind w:left="107"/>
              <w:rPr>
                <w:sz w:val="20"/>
                <w:szCs w:val="22"/>
              </w:rPr>
            </w:pPr>
            <w:r w:rsidRPr="00487D4B">
              <w:rPr>
                <w:sz w:val="20"/>
                <w:szCs w:val="22"/>
              </w:rPr>
              <w:t>Facilities</w:t>
            </w:r>
          </w:p>
        </w:tc>
        <w:tc>
          <w:tcPr>
            <w:tcW w:w="1620" w:type="dxa"/>
          </w:tcPr>
          <w:p w:rsidRPr="00487D4B" w:rsidR="00487D4B" w:rsidP="00487D4B" w:rsidRDefault="00487D4B" w14:paraId="6960C9D7" w14:textId="77777777">
            <w:pPr>
              <w:widowControl w:val="0"/>
              <w:autoSpaceDE w:val="0"/>
              <w:autoSpaceDN w:val="0"/>
              <w:spacing w:line="227" w:lineRule="exact"/>
              <w:ind w:right="96"/>
              <w:jc w:val="right"/>
              <w:rPr>
                <w:sz w:val="20"/>
                <w:szCs w:val="22"/>
              </w:rPr>
            </w:pPr>
            <w:r w:rsidRPr="00487D4B">
              <w:rPr>
                <w:sz w:val="20"/>
                <w:szCs w:val="22"/>
              </w:rPr>
              <w:t>697</w:t>
            </w:r>
          </w:p>
        </w:tc>
        <w:tc>
          <w:tcPr>
            <w:tcW w:w="1800" w:type="dxa"/>
          </w:tcPr>
          <w:p w:rsidRPr="00487D4B" w:rsidR="00487D4B" w:rsidP="00487D4B" w:rsidRDefault="00487D4B" w14:paraId="412C3DAF" w14:textId="77777777">
            <w:pPr>
              <w:widowControl w:val="0"/>
              <w:autoSpaceDE w:val="0"/>
              <w:autoSpaceDN w:val="0"/>
              <w:spacing w:line="227" w:lineRule="exact"/>
              <w:ind w:right="95"/>
              <w:jc w:val="right"/>
              <w:rPr>
                <w:sz w:val="20"/>
                <w:szCs w:val="22"/>
              </w:rPr>
            </w:pPr>
            <w:r w:rsidRPr="00487D4B">
              <w:rPr>
                <w:sz w:val="20"/>
                <w:szCs w:val="22"/>
              </w:rPr>
              <w:t>52</w:t>
            </w:r>
          </w:p>
        </w:tc>
        <w:tc>
          <w:tcPr>
            <w:tcW w:w="1440" w:type="dxa"/>
          </w:tcPr>
          <w:p w:rsidRPr="00487D4B" w:rsidR="00487D4B" w:rsidP="00487D4B" w:rsidRDefault="00487D4B" w14:paraId="594730B9" w14:textId="77777777">
            <w:pPr>
              <w:widowControl w:val="0"/>
              <w:autoSpaceDE w:val="0"/>
              <w:autoSpaceDN w:val="0"/>
              <w:spacing w:line="227" w:lineRule="exact"/>
              <w:ind w:right="96"/>
              <w:jc w:val="right"/>
              <w:rPr>
                <w:sz w:val="20"/>
                <w:szCs w:val="22"/>
              </w:rPr>
            </w:pPr>
            <w:r w:rsidRPr="00487D4B">
              <w:rPr>
                <w:sz w:val="20"/>
                <w:szCs w:val="22"/>
              </w:rPr>
              <w:t>36,244</w:t>
            </w:r>
          </w:p>
        </w:tc>
        <w:tc>
          <w:tcPr>
            <w:tcW w:w="1440" w:type="dxa"/>
          </w:tcPr>
          <w:p w:rsidRPr="00487D4B" w:rsidR="00487D4B" w:rsidP="00487D4B" w:rsidRDefault="00487D4B" w14:paraId="1B25145B" w14:textId="77777777">
            <w:pPr>
              <w:widowControl w:val="0"/>
              <w:autoSpaceDE w:val="0"/>
              <w:autoSpaceDN w:val="0"/>
              <w:spacing w:line="227" w:lineRule="exact"/>
              <w:ind w:right="96"/>
              <w:jc w:val="right"/>
              <w:rPr>
                <w:sz w:val="20"/>
                <w:szCs w:val="22"/>
              </w:rPr>
            </w:pPr>
            <w:r w:rsidRPr="00487D4B">
              <w:rPr>
                <w:spacing w:val="-1"/>
                <w:sz w:val="20"/>
                <w:szCs w:val="22"/>
              </w:rPr>
              <w:t>0.25</w:t>
            </w:r>
          </w:p>
          <w:p w:rsidRPr="00487D4B" w:rsidR="00487D4B" w:rsidP="00487D4B" w:rsidRDefault="00487D4B" w14:paraId="788AB727" w14:textId="77777777">
            <w:pPr>
              <w:widowControl w:val="0"/>
              <w:autoSpaceDE w:val="0"/>
              <w:autoSpaceDN w:val="0"/>
              <w:spacing w:line="212" w:lineRule="exact"/>
              <w:ind w:right="94"/>
              <w:jc w:val="right"/>
              <w:rPr>
                <w:sz w:val="20"/>
                <w:szCs w:val="22"/>
              </w:rPr>
            </w:pPr>
            <w:r w:rsidRPr="00487D4B">
              <w:rPr>
                <w:sz w:val="20"/>
                <w:szCs w:val="22"/>
              </w:rPr>
              <w:t>(15</w:t>
            </w:r>
            <w:r w:rsidRPr="00487D4B">
              <w:rPr>
                <w:spacing w:val="-5"/>
                <w:sz w:val="20"/>
                <w:szCs w:val="22"/>
              </w:rPr>
              <w:t xml:space="preserve"> </w:t>
            </w:r>
            <w:r w:rsidRPr="00487D4B">
              <w:rPr>
                <w:sz w:val="20"/>
                <w:szCs w:val="22"/>
              </w:rPr>
              <w:t>minutes)</w:t>
            </w:r>
          </w:p>
        </w:tc>
        <w:tc>
          <w:tcPr>
            <w:tcW w:w="898" w:type="dxa"/>
          </w:tcPr>
          <w:p w:rsidRPr="00487D4B" w:rsidR="00487D4B" w:rsidP="00487D4B" w:rsidRDefault="00487D4B" w14:paraId="7CA15A09" w14:textId="77777777">
            <w:pPr>
              <w:widowControl w:val="0"/>
              <w:autoSpaceDE w:val="0"/>
              <w:autoSpaceDN w:val="0"/>
              <w:spacing w:line="227" w:lineRule="exact"/>
              <w:ind w:right="96"/>
              <w:jc w:val="right"/>
              <w:rPr>
                <w:sz w:val="20"/>
                <w:szCs w:val="22"/>
              </w:rPr>
            </w:pPr>
            <w:r w:rsidRPr="00487D4B">
              <w:rPr>
                <w:sz w:val="20"/>
                <w:szCs w:val="22"/>
              </w:rPr>
              <w:t>9,061</w:t>
            </w:r>
          </w:p>
        </w:tc>
      </w:tr>
      <w:tr w:rsidRPr="00487D4B" w:rsidR="00487D4B" w:rsidTr="00A07C61" w14:paraId="5833354C" w14:textId="77777777">
        <w:trPr>
          <w:trHeight w:val="460"/>
        </w:trPr>
        <w:tc>
          <w:tcPr>
            <w:tcW w:w="1573" w:type="dxa"/>
          </w:tcPr>
          <w:p w:rsidRPr="00487D4B" w:rsidR="00487D4B" w:rsidP="00487D4B" w:rsidRDefault="00487D4B" w14:paraId="3067F5CF" w14:textId="77777777">
            <w:pPr>
              <w:widowControl w:val="0"/>
              <w:autoSpaceDE w:val="0"/>
              <w:autoSpaceDN w:val="0"/>
              <w:spacing w:line="228" w:lineRule="exact"/>
              <w:ind w:left="107"/>
              <w:rPr>
                <w:sz w:val="20"/>
                <w:szCs w:val="22"/>
              </w:rPr>
            </w:pPr>
            <w:r w:rsidRPr="00487D4B">
              <w:rPr>
                <w:sz w:val="20"/>
                <w:szCs w:val="22"/>
              </w:rPr>
              <w:t>Foreign Facilities</w:t>
            </w:r>
          </w:p>
        </w:tc>
        <w:tc>
          <w:tcPr>
            <w:tcW w:w="1620" w:type="dxa"/>
          </w:tcPr>
          <w:p w:rsidRPr="00487D4B" w:rsidR="00487D4B" w:rsidP="00487D4B" w:rsidRDefault="00487D4B" w14:paraId="1F4DD660" w14:textId="77777777">
            <w:pPr>
              <w:widowControl w:val="0"/>
              <w:autoSpaceDE w:val="0"/>
              <w:autoSpaceDN w:val="0"/>
              <w:spacing w:line="228" w:lineRule="exact"/>
              <w:ind w:right="96"/>
              <w:jc w:val="right"/>
              <w:rPr>
                <w:sz w:val="20"/>
                <w:szCs w:val="22"/>
              </w:rPr>
            </w:pPr>
            <w:r w:rsidRPr="00487D4B">
              <w:rPr>
                <w:sz w:val="20"/>
                <w:szCs w:val="22"/>
              </w:rPr>
              <w:t>916</w:t>
            </w:r>
          </w:p>
        </w:tc>
        <w:tc>
          <w:tcPr>
            <w:tcW w:w="1800" w:type="dxa"/>
          </w:tcPr>
          <w:p w:rsidRPr="00487D4B" w:rsidR="00487D4B" w:rsidP="00487D4B" w:rsidRDefault="00487D4B" w14:paraId="0825E1FE" w14:textId="77777777">
            <w:pPr>
              <w:widowControl w:val="0"/>
              <w:autoSpaceDE w:val="0"/>
              <w:autoSpaceDN w:val="0"/>
              <w:spacing w:line="228" w:lineRule="exact"/>
              <w:ind w:right="96"/>
              <w:jc w:val="right"/>
              <w:rPr>
                <w:sz w:val="20"/>
                <w:szCs w:val="22"/>
              </w:rPr>
            </w:pPr>
            <w:r w:rsidRPr="00487D4B">
              <w:rPr>
                <w:sz w:val="20"/>
                <w:szCs w:val="22"/>
              </w:rPr>
              <w:t>52</w:t>
            </w:r>
          </w:p>
        </w:tc>
        <w:tc>
          <w:tcPr>
            <w:tcW w:w="1440" w:type="dxa"/>
          </w:tcPr>
          <w:p w:rsidRPr="00487D4B" w:rsidR="00487D4B" w:rsidP="00487D4B" w:rsidRDefault="00487D4B" w14:paraId="305B7AD5" w14:textId="77777777">
            <w:pPr>
              <w:widowControl w:val="0"/>
              <w:autoSpaceDE w:val="0"/>
              <w:autoSpaceDN w:val="0"/>
              <w:spacing w:line="228" w:lineRule="exact"/>
              <w:ind w:right="96"/>
              <w:jc w:val="right"/>
              <w:rPr>
                <w:sz w:val="20"/>
                <w:szCs w:val="22"/>
              </w:rPr>
            </w:pPr>
            <w:r w:rsidRPr="00487D4B">
              <w:rPr>
                <w:sz w:val="20"/>
                <w:szCs w:val="22"/>
              </w:rPr>
              <w:t>47,632</w:t>
            </w:r>
          </w:p>
        </w:tc>
        <w:tc>
          <w:tcPr>
            <w:tcW w:w="1440" w:type="dxa"/>
          </w:tcPr>
          <w:p w:rsidRPr="00487D4B" w:rsidR="00487D4B" w:rsidP="00487D4B" w:rsidRDefault="00487D4B" w14:paraId="408401A4" w14:textId="77777777">
            <w:pPr>
              <w:widowControl w:val="0"/>
              <w:autoSpaceDE w:val="0"/>
              <w:autoSpaceDN w:val="0"/>
              <w:spacing w:line="227" w:lineRule="exact"/>
              <w:ind w:right="96"/>
              <w:jc w:val="right"/>
              <w:rPr>
                <w:sz w:val="20"/>
                <w:szCs w:val="22"/>
              </w:rPr>
            </w:pPr>
            <w:r w:rsidRPr="00487D4B">
              <w:rPr>
                <w:spacing w:val="-1"/>
                <w:sz w:val="20"/>
                <w:szCs w:val="22"/>
              </w:rPr>
              <w:t>0.25</w:t>
            </w:r>
          </w:p>
          <w:p w:rsidRPr="00487D4B" w:rsidR="00487D4B" w:rsidP="00487D4B" w:rsidRDefault="00487D4B" w14:paraId="233FB643" w14:textId="77777777">
            <w:pPr>
              <w:widowControl w:val="0"/>
              <w:autoSpaceDE w:val="0"/>
              <w:autoSpaceDN w:val="0"/>
              <w:spacing w:line="213" w:lineRule="exact"/>
              <w:ind w:right="94"/>
              <w:jc w:val="right"/>
              <w:rPr>
                <w:sz w:val="20"/>
                <w:szCs w:val="22"/>
              </w:rPr>
            </w:pPr>
            <w:r w:rsidRPr="00487D4B">
              <w:rPr>
                <w:sz w:val="20"/>
                <w:szCs w:val="22"/>
              </w:rPr>
              <w:t>(15</w:t>
            </w:r>
            <w:r w:rsidRPr="00487D4B">
              <w:rPr>
                <w:spacing w:val="-5"/>
                <w:sz w:val="20"/>
                <w:szCs w:val="22"/>
              </w:rPr>
              <w:t xml:space="preserve"> </w:t>
            </w:r>
            <w:r w:rsidRPr="00487D4B">
              <w:rPr>
                <w:sz w:val="20"/>
                <w:szCs w:val="22"/>
              </w:rPr>
              <w:t>minutes)</w:t>
            </w:r>
          </w:p>
        </w:tc>
        <w:tc>
          <w:tcPr>
            <w:tcW w:w="898" w:type="dxa"/>
          </w:tcPr>
          <w:p w:rsidRPr="00487D4B" w:rsidR="00487D4B" w:rsidP="00487D4B" w:rsidRDefault="00487D4B" w14:paraId="5E3FFF54" w14:textId="77777777">
            <w:pPr>
              <w:widowControl w:val="0"/>
              <w:autoSpaceDE w:val="0"/>
              <w:autoSpaceDN w:val="0"/>
              <w:spacing w:line="228" w:lineRule="exact"/>
              <w:ind w:right="96"/>
              <w:jc w:val="right"/>
              <w:rPr>
                <w:sz w:val="20"/>
                <w:szCs w:val="22"/>
              </w:rPr>
            </w:pPr>
            <w:r w:rsidRPr="00487D4B">
              <w:rPr>
                <w:sz w:val="20"/>
                <w:szCs w:val="22"/>
              </w:rPr>
              <w:t>11,908</w:t>
            </w:r>
          </w:p>
        </w:tc>
      </w:tr>
      <w:tr w:rsidRPr="00487D4B" w:rsidR="00487D4B" w:rsidTr="00A07C61" w14:paraId="6C56D709" w14:textId="77777777">
        <w:trPr>
          <w:trHeight w:val="300"/>
        </w:trPr>
        <w:tc>
          <w:tcPr>
            <w:tcW w:w="1573" w:type="dxa"/>
          </w:tcPr>
          <w:p w:rsidRPr="00487D4B" w:rsidR="00487D4B" w:rsidP="00487D4B" w:rsidRDefault="00487D4B" w14:paraId="3F908125" w14:textId="77777777">
            <w:pPr>
              <w:widowControl w:val="0"/>
              <w:autoSpaceDE w:val="0"/>
              <w:autoSpaceDN w:val="0"/>
              <w:spacing w:line="227" w:lineRule="exact"/>
              <w:ind w:left="107"/>
              <w:rPr>
                <w:sz w:val="20"/>
                <w:szCs w:val="22"/>
              </w:rPr>
            </w:pPr>
            <w:r w:rsidRPr="00487D4B">
              <w:rPr>
                <w:sz w:val="20"/>
                <w:szCs w:val="22"/>
              </w:rPr>
              <w:t>Total</w:t>
            </w:r>
          </w:p>
        </w:tc>
        <w:tc>
          <w:tcPr>
            <w:tcW w:w="1620" w:type="dxa"/>
          </w:tcPr>
          <w:p w:rsidRPr="00487D4B" w:rsidR="00487D4B" w:rsidP="00487D4B" w:rsidRDefault="00487D4B" w14:paraId="25B74ECC" w14:textId="77777777">
            <w:pPr>
              <w:widowControl w:val="0"/>
              <w:autoSpaceDE w:val="0"/>
              <w:autoSpaceDN w:val="0"/>
              <w:rPr>
                <w:sz w:val="22"/>
                <w:szCs w:val="22"/>
              </w:rPr>
            </w:pPr>
          </w:p>
        </w:tc>
        <w:tc>
          <w:tcPr>
            <w:tcW w:w="1800" w:type="dxa"/>
          </w:tcPr>
          <w:p w:rsidRPr="00487D4B" w:rsidR="00487D4B" w:rsidP="00487D4B" w:rsidRDefault="00487D4B" w14:paraId="0456A03C" w14:textId="77777777">
            <w:pPr>
              <w:widowControl w:val="0"/>
              <w:autoSpaceDE w:val="0"/>
              <w:autoSpaceDN w:val="0"/>
              <w:rPr>
                <w:sz w:val="22"/>
                <w:szCs w:val="22"/>
              </w:rPr>
            </w:pPr>
          </w:p>
        </w:tc>
        <w:tc>
          <w:tcPr>
            <w:tcW w:w="1440" w:type="dxa"/>
          </w:tcPr>
          <w:p w:rsidRPr="00487D4B" w:rsidR="00487D4B" w:rsidP="00487D4B" w:rsidRDefault="00487D4B" w14:paraId="0A4DD326" w14:textId="77777777">
            <w:pPr>
              <w:widowControl w:val="0"/>
              <w:autoSpaceDE w:val="0"/>
              <w:autoSpaceDN w:val="0"/>
              <w:rPr>
                <w:sz w:val="22"/>
                <w:szCs w:val="22"/>
              </w:rPr>
            </w:pPr>
          </w:p>
        </w:tc>
        <w:tc>
          <w:tcPr>
            <w:tcW w:w="1440" w:type="dxa"/>
          </w:tcPr>
          <w:p w:rsidRPr="00487D4B" w:rsidR="00487D4B" w:rsidP="00487D4B" w:rsidRDefault="00487D4B" w14:paraId="66AA18DE" w14:textId="77777777">
            <w:pPr>
              <w:widowControl w:val="0"/>
              <w:autoSpaceDE w:val="0"/>
              <w:autoSpaceDN w:val="0"/>
              <w:rPr>
                <w:sz w:val="22"/>
                <w:szCs w:val="22"/>
              </w:rPr>
            </w:pPr>
          </w:p>
        </w:tc>
        <w:tc>
          <w:tcPr>
            <w:tcW w:w="898" w:type="dxa"/>
          </w:tcPr>
          <w:p w:rsidRPr="00487D4B" w:rsidR="00487D4B" w:rsidP="00487D4B" w:rsidRDefault="00487D4B" w14:paraId="2688E21A" w14:textId="77777777">
            <w:pPr>
              <w:widowControl w:val="0"/>
              <w:autoSpaceDE w:val="0"/>
              <w:autoSpaceDN w:val="0"/>
              <w:spacing w:line="227" w:lineRule="exact"/>
              <w:ind w:right="95"/>
              <w:jc w:val="right"/>
              <w:rPr>
                <w:sz w:val="20"/>
                <w:szCs w:val="22"/>
              </w:rPr>
            </w:pPr>
            <w:r w:rsidRPr="00487D4B">
              <w:rPr>
                <w:sz w:val="20"/>
                <w:szCs w:val="22"/>
              </w:rPr>
              <w:t>20,969</w:t>
            </w:r>
          </w:p>
        </w:tc>
      </w:tr>
    </w:tbl>
    <w:p w:rsidRPr="00487D4B" w:rsidR="00487D4B" w:rsidP="00A07C61" w:rsidRDefault="00F82913" w14:paraId="5A845B12" w14:textId="77777777">
      <w:pPr>
        <w:widowControl w:val="0"/>
        <w:autoSpaceDE w:val="0"/>
        <w:autoSpaceDN w:val="0"/>
        <w:ind w:left="360"/>
        <w:rPr>
          <w:sz w:val="20"/>
          <w:szCs w:val="22"/>
        </w:rPr>
      </w:pPr>
      <w:r w:rsidRPr="001E1FDE">
        <w:rPr>
          <w:sz w:val="20"/>
          <w:szCs w:val="22"/>
          <w:vertAlign w:val="superscript"/>
        </w:rPr>
        <w:t>1</w:t>
      </w:r>
      <w:r>
        <w:rPr>
          <w:sz w:val="20"/>
          <w:szCs w:val="22"/>
          <w:vertAlign w:val="superscript"/>
        </w:rPr>
        <w:t xml:space="preserve"> </w:t>
      </w:r>
      <w:r>
        <w:rPr>
          <w:sz w:val="20"/>
          <w:szCs w:val="22"/>
        </w:rPr>
        <w:t>T</w:t>
      </w:r>
      <w:r w:rsidRPr="00487D4B" w:rsidR="00487D4B">
        <w:rPr>
          <w:sz w:val="20"/>
          <w:szCs w:val="22"/>
        </w:rPr>
        <w:t>here are no capital or operating and maintenance costs associated with this collection of information.</w:t>
      </w:r>
    </w:p>
    <w:p w:rsidRPr="00487D4B" w:rsidR="00487D4B" w:rsidP="006C1B71" w:rsidRDefault="00487D4B" w14:paraId="22A6A379" w14:textId="77777777">
      <w:pPr>
        <w:widowControl w:val="0"/>
        <w:autoSpaceDE w:val="0"/>
        <w:autoSpaceDN w:val="0"/>
        <w:spacing w:before="5"/>
        <w:ind w:left="360"/>
        <w:rPr>
          <w:sz w:val="20"/>
        </w:rPr>
      </w:pPr>
    </w:p>
    <w:p w:rsidRPr="00487D4B" w:rsidR="00487D4B" w:rsidP="006C1B71" w:rsidRDefault="00487D4B" w14:paraId="6DDA1BF1" w14:textId="77777777">
      <w:pPr>
        <w:widowControl w:val="0"/>
        <w:autoSpaceDE w:val="0"/>
        <w:autoSpaceDN w:val="0"/>
        <w:ind w:left="360"/>
        <w:rPr>
          <w:i/>
          <w:szCs w:val="22"/>
        </w:rPr>
      </w:pPr>
      <w:r w:rsidRPr="00487D4B">
        <w:rPr>
          <w:i/>
          <w:szCs w:val="22"/>
        </w:rPr>
        <w:t>Recordkeeping</w:t>
      </w:r>
    </w:p>
    <w:p w:rsidRPr="00487D4B" w:rsidR="00487D4B" w:rsidP="006C1B71" w:rsidRDefault="00487D4B" w14:paraId="636ED539" w14:textId="77777777">
      <w:pPr>
        <w:widowControl w:val="0"/>
        <w:autoSpaceDE w:val="0"/>
        <w:autoSpaceDN w:val="0"/>
        <w:spacing w:before="10"/>
        <w:ind w:left="360"/>
        <w:rPr>
          <w:i/>
          <w:sz w:val="23"/>
        </w:rPr>
      </w:pPr>
    </w:p>
    <w:p w:rsidRPr="00487D4B" w:rsidR="00487D4B" w:rsidP="006C1B71" w:rsidRDefault="00B56682" w14:paraId="2DF6E278" w14:textId="77777777">
      <w:pPr>
        <w:widowControl w:val="0"/>
        <w:autoSpaceDE w:val="0"/>
        <w:autoSpaceDN w:val="0"/>
        <w:spacing w:before="1"/>
        <w:ind w:left="360" w:right="304"/>
      </w:pPr>
      <w:r>
        <w:t>We</w:t>
      </w:r>
      <w:r w:rsidRPr="00487D4B" w:rsidR="00487D4B">
        <w:t xml:space="preserve"> estimate that there are 697 domestic facility relationships and 916 foreign facility relationships consisting of the following facilities: An input supplier of cattle-derived materials that requires records (the upstream facility) and a purchaser of cattle-derived materials requiring documentation (this may be a human food or cosmetics manufacturer or processor). </w:t>
      </w:r>
      <w:r w:rsidR="00487D4B">
        <w:t xml:space="preserve"> </w:t>
      </w:r>
      <w:r w:rsidRPr="00487D4B" w:rsidR="00487D4B">
        <w:t xml:space="preserve">The recordkeeping burden of </w:t>
      </w:r>
      <w:r w:rsidR="00B0566B">
        <w:t>FDA’s</w:t>
      </w:r>
      <w:r w:rsidRPr="00487D4B" w:rsidR="00B0566B">
        <w:t xml:space="preserve"> </w:t>
      </w:r>
      <w:r w:rsidRPr="00487D4B" w:rsidR="00487D4B">
        <w:t>regulations in §§ 189.5(c) and 700.27(c) is the burden of sending, verifying, and storing documents regarding shipments of cattle material that is to be used in human food and cosmetics.</w:t>
      </w:r>
    </w:p>
    <w:p w:rsidRPr="00487D4B" w:rsidR="00487D4B" w:rsidP="006C1B71" w:rsidRDefault="00487D4B" w14:paraId="735AEB9C" w14:textId="77777777">
      <w:pPr>
        <w:widowControl w:val="0"/>
        <w:autoSpaceDE w:val="0"/>
        <w:autoSpaceDN w:val="0"/>
        <w:spacing w:before="10"/>
        <w:ind w:left="360"/>
        <w:rPr>
          <w:sz w:val="23"/>
        </w:rPr>
      </w:pPr>
    </w:p>
    <w:p w:rsidR="00487D4B" w:rsidP="006C1B71" w:rsidRDefault="00487D4B" w14:paraId="020DAD99" w14:textId="77777777">
      <w:pPr>
        <w:widowControl w:val="0"/>
        <w:autoSpaceDE w:val="0"/>
        <w:autoSpaceDN w:val="0"/>
        <w:ind w:left="360" w:right="263"/>
      </w:pPr>
      <w:r w:rsidRPr="00487D4B">
        <w:t xml:space="preserve">In this estimate of the recordkeeping burden, </w:t>
      </w:r>
      <w:r w:rsidR="00B56682">
        <w:t>we</w:t>
      </w:r>
      <w:r w:rsidRPr="00487D4B">
        <w:t xml:space="preserve"> treat these recordkeeping activities as shared activities between the upstream and downstream facilities. </w:t>
      </w:r>
      <w:r>
        <w:t xml:space="preserve"> </w:t>
      </w:r>
      <w:r w:rsidRPr="00487D4B">
        <w:t>It is in the best interests of both</w:t>
      </w:r>
      <w:r>
        <w:t xml:space="preserve"> </w:t>
      </w:r>
      <w:r w:rsidRPr="00487D4B">
        <w:t xml:space="preserve">facilities in the relationship to share the burden necessary to comply with the regulations; therefore, </w:t>
      </w:r>
      <w:r w:rsidR="00B56682">
        <w:t>we</w:t>
      </w:r>
      <w:r w:rsidRPr="00487D4B">
        <w:t xml:space="preserve"> estimate the time burden of developing these records as a joint task between the two facilities. </w:t>
      </w:r>
      <w:r w:rsidR="00266077">
        <w:t xml:space="preserve"> </w:t>
      </w:r>
      <w:r w:rsidRPr="00487D4B">
        <w:t xml:space="preserve">Thus, </w:t>
      </w:r>
      <w:r w:rsidR="00C03108">
        <w:t>we</w:t>
      </w:r>
      <w:r w:rsidRPr="00487D4B" w:rsidR="00C03108">
        <w:t xml:space="preserve"> </w:t>
      </w:r>
      <w:r w:rsidRPr="00487D4B">
        <w:t xml:space="preserve">estimate that this recordkeeping burden will be about 15 minutes per week, or 13 hours per year, and </w:t>
      </w:r>
      <w:r w:rsidR="00C03108">
        <w:t>we</w:t>
      </w:r>
      <w:r w:rsidRPr="00487D4B">
        <w:t xml:space="preserve"> assume that the recordkeeping burden will be shared between 2 entities (i.e., the ingredient supplier and the manufacturer of finished products).</w:t>
      </w:r>
    </w:p>
    <w:p w:rsidRPr="00487D4B" w:rsidR="00266077" w:rsidP="006C1B71" w:rsidRDefault="00266077" w14:paraId="61C965AD" w14:textId="77777777">
      <w:pPr>
        <w:widowControl w:val="0"/>
        <w:autoSpaceDE w:val="0"/>
        <w:autoSpaceDN w:val="0"/>
        <w:ind w:left="360" w:right="263"/>
      </w:pPr>
    </w:p>
    <w:p w:rsidR="00487D4B" w:rsidP="00266077" w:rsidRDefault="00487D4B" w14:paraId="064E864E" w14:textId="77777777">
      <w:pPr>
        <w:widowControl w:val="0"/>
        <w:autoSpaceDE w:val="0"/>
        <w:autoSpaceDN w:val="0"/>
        <w:spacing w:before="1"/>
        <w:ind w:left="360" w:right="457"/>
      </w:pPr>
      <w:r w:rsidRPr="00487D4B">
        <w:t xml:space="preserve">Therefore, the total recordkeeping burden for domestic facilities is estimated to be 9,061 hours (13 hours </w:t>
      </w:r>
      <w:r w:rsidRPr="003E2ED0" w:rsidR="003E2ED0">
        <w:t>×</w:t>
      </w:r>
      <w:r w:rsidRPr="00487D4B">
        <w:t xml:space="preserve"> 697), and the total recordkeeping burden for foreign facilities is estimated to be 11,908 hours (13 hours </w:t>
      </w:r>
      <w:r w:rsidRPr="003E2ED0" w:rsidR="003E2ED0">
        <w:t>×</w:t>
      </w:r>
      <w:r w:rsidRPr="00487D4B">
        <w:t xml:space="preserve"> 916), as shown in Table 2.</w:t>
      </w:r>
    </w:p>
    <w:p w:rsidRPr="00487D4B" w:rsidR="00266077" w:rsidP="006C1B71" w:rsidRDefault="00266077" w14:paraId="0D830A66" w14:textId="77777777">
      <w:pPr>
        <w:widowControl w:val="0"/>
        <w:autoSpaceDE w:val="0"/>
        <w:autoSpaceDN w:val="0"/>
        <w:spacing w:before="1"/>
        <w:ind w:left="360" w:right="457"/>
      </w:pPr>
    </w:p>
    <w:p w:rsidRPr="00A07C61" w:rsidR="00357C8A" w:rsidP="00DC371B" w:rsidRDefault="00357C8A" w14:paraId="77329709" w14:textId="77777777">
      <w:pPr>
        <w:spacing w:after="200"/>
        <w:ind w:left="360"/>
        <w:rPr>
          <w:rFonts w:eastAsia="Calibri"/>
          <w:i/>
        </w:rPr>
      </w:pPr>
      <w:r w:rsidRPr="00A07C61">
        <w:rPr>
          <w:rFonts w:eastAsia="Calibri"/>
          <w:i/>
        </w:rPr>
        <w:t xml:space="preserve">12b.  </w:t>
      </w:r>
      <w:bookmarkStart w:name="_Hlk56699101" w:id="2"/>
      <w:r w:rsidRPr="00A07C61">
        <w:rPr>
          <w:rFonts w:eastAsia="Calibri"/>
          <w:i/>
        </w:rPr>
        <w:t xml:space="preserve">Annualized Cost Burden </w:t>
      </w:r>
      <w:bookmarkEnd w:id="2"/>
      <w:r w:rsidRPr="00A07C61">
        <w:rPr>
          <w:rFonts w:eastAsia="Calibri"/>
          <w:i/>
        </w:rPr>
        <w:t>Estimate</w:t>
      </w:r>
    </w:p>
    <w:p w:rsidR="00925F34" w:rsidP="001E1FDE" w:rsidRDefault="00C03108" w14:paraId="6AD92602" w14:textId="77777777">
      <w:pPr>
        <w:pStyle w:val="BodyText"/>
        <w:tabs>
          <w:tab w:val="left" w:pos="3183"/>
          <w:tab w:val="left" w:pos="3520"/>
        </w:tabs>
        <w:spacing w:before="90" w:after="0"/>
        <w:ind w:left="360" w:right="317"/>
      </w:pPr>
      <w:r>
        <w:t>We</w:t>
      </w:r>
      <w:r w:rsidR="009C5CF9">
        <w:t xml:space="preserve"> estimate the </w:t>
      </w:r>
      <w:r w:rsidR="00410016">
        <w:t xml:space="preserve">burden </w:t>
      </w:r>
      <w:r w:rsidR="009C5CF9">
        <w:t>hour costs to respondents choosing to submit a request for designation to</w:t>
      </w:r>
      <w:r w:rsidR="009C5CF9">
        <w:rPr>
          <w:spacing w:val="-40"/>
        </w:rPr>
        <w:t xml:space="preserve"> </w:t>
      </w:r>
      <w:r w:rsidR="009C5CF9">
        <w:t>be</w:t>
      </w:r>
      <w:r w:rsidR="009C5CF9">
        <w:rPr>
          <w:spacing w:val="-5"/>
        </w:rPr>
        <w:t xml:space="preserve"> </w:t>
      </w:r>
      <w:r w:rsidR="009C5CF9">
        <w:t>$</w:t>
      </w:r>
      <w:r w:rsidRPr="00CB6D0D" w:rsidR="00CB6D0D">
        <w:t>9,300.80</w:t>
      </w:r>
      <w:r w:rsidR="009C5CF9">
        <w:t>.</w:t>
      </w:r>
      <w:r w:rsidR="00364828">
        <w:t xml:space="preserve">  </w:t>
      </w:r>
      <w:r>
        <w:t>We</w:t>
      </w:r>
      <w:r w:rsidR="009C5CF9">
        <w:t xml:space="preserve"> estimate that the average hourly wage for the employee preparing</w:t>
      </w:r>
      <w:r w:rsidR="009C5CF9">
        <w:rPr>
          <w:spacing w:val="-7"/>
        </w:rPr>
        <w:t xml:space="preserve"> </w:t>
      </w:r>
      <w:r w:rsidR="009C5CF9">
        <w:t>and</w:t>
      </w:r>
      <w:r w:rsidR="009C5CF9">
        <w:rPr>
          <w:spacing w:val="21"/>
        </w:rPr>
        <w:t xml:space="preserve"> </w:t>
      </w:r>
      <w:r w:rsidR="009C5CF9">
        <w:t>submitting</w:t>
      </w:r>
      <w:r w:rsidR="009C5CF9">
        <w:rPr>
          <w:spacing w:val="-7"/>
        </w:rPr>
        <w:t xml:space="preserve"> </w:t>
      </w:r>
      <w:r w:rsidR="009C5CF9">
        <w:t>the</w:t>
      </w:r>
      <w:r w:rsidR="009C5CF9">
        <w:rPr>
          <w:spacing w:val="-6"/>
        </w:rPr>
        <w:t xml:space="preserve"> </w:t>
      </w:r>
      <w:r w:rsidR="009C5CF9">
        <w:t>request</w:t>
      </w:r>
      <w:r w:rsidR="009C5CF9">
        <w:rPr>
          <w:spacing w:val="-7"/>
        </w:rPr>
        <w:t xml:space="preserve"> </w:t>
      </w:r>
      <w:r w:rsidR="009C5CF9">
        <w:t>for</w:t>
      </w:r>
      <w:r w:rsidR="009C5CF9">
        <w:rPr>
          <w:spacing w:val="-6"/>
        </w:rPr>
        <w:t xml:space="preserve"> </w:t>
      </w:r>
      <w:r w:rsidR="009C5CF9">
        <w:t>designation</w:t>
      </w:r>
      <w:r w:rsidR="009C5CF9">
        <w:rPr>
          <w:spacing w:val="-6"/>
        </w:rPr>
        <w:t xml:space="preserve"> </w:t>
      </w:r>
      <w:r w:rsidR="009C5CF9">
        <w:t>would</w:t>
      </w:r>
      <w:r w:rsidR="009C5CF9">
        <w:rPr>
          <w:spacing w:val="-7"/>
        </w:rPr>
        <w:t xml:space="preserve"> </w:t>
      </w:r>
      <w:r w:rsidR="009C5CF9">
        <w:t>be</w:t>
      </w:r>
      <w:r w:rsidR="009C5CF9">
        <w:rPr>
          <w:spacing w:val="-6"/>
        </w:rPr>
        <w:t xml:space="preserve"> </w:t>
      </w:r>
      <w:r w:rsidR="009C5CF9">
        <w:t>equivalent</w:t>
      </w:r>
      <w:r w:rsidR="009C5CF9">
        <w:rPr>
          <w:spacing w:val="-6"/>
        </w:rPr>
        <w:t xml:space="preserve"> </w:t>
      </w:r>
      <w:r w:rsidR="009C5CF9">
        <w:t>to</w:t>
      </w:r>
      <w:r w:rsidR="009C5CF9">
        <w:rPr>
          <w:spacing w:val="-6"/>
        </w:rPr>
        <w:t xml:space="preserve"> </w:t>
      </w:r>
      <w:r w:rsidR="009C5CF9">
        <w:t>a</w:t>
      </w:r>
      <w:r w:rsidR="009C5CF9">
        <w:rPr>
          <w:spacing w:val="-6"/>
        </w:rPr>
        <w:t xml:space="preserve"> </w:t>
      </w:r>
      <w:r w:rsidR="009C5CF9">
        <w:t>GS-14/Step-1</w:t>
      </w:r>
      <w:r w:rsidR="009C5CF9">
        <w:rPr>
          <w:spacing w:val="-7"/>
        </w:rPr>
        <w:t xml:space="preserve"> </w:t>
      </w:r>
      <w:r w:rsidR="009C5CF9">
        <w:t xml:space="preserve">rate for the Washington-Baltimore locality pay area for the year </w:t>
      </w:r>
      <w:r w:rsidR="00E57E10">
        <w:t>2020</w:t>
      </w:r>
      <w:r w:rsidR="009C5CF9">
        <w:t>, approximately $</w:t>
      </w:r>
      <w:r w:rsidR="00E57E10">
        <w:t>58.13</w:t>
      </w:r>
      <w:r w:rsidR="009C5CF9">
        <w:t xml:space="preserve">/hour. </w:t>
      </w:r>
      <w:r w:rsidR="00364828">
        <w:t xml:space="preserve"> </w:t>
      </w:r>
      <w:r w:rsidR="009C5CF9">
        <w:t xml:space="preserve">Doubling this wage to account for overhead costs, </w:t>
      </w:r>
      <w:r>
        <w:t>we</w:t>
      </w:r>
      <w:r w:rsidR="009C5CF9">
        <w:t xml:space="preserve"> estimate the average hourly cost to respondents to</w:t>
      </w:r>
      <w:r w:rsidR="009C5CF9">
        <w:rPr>
          <w:spacing w:val="-4"/>
        </w:rPr>
        <w:t xml:space="preserve"> </w:t>
      </w:r>
      <w:r w:rsidR="009C5CF9">
        <w:t>be</w:t>
      </w:r>
      <w:r w:rsidR="009C5CF9">
        <w:rPr>
          <w:spacing w:val="-2"/>
        </w:rPr>
        <w:t xml:space="preserve"> </w:t>
      </w:r>
      <w:r w:rsidR="009C5CF9">
        <w:t>$</w:t>
      </w:r>
      <w:r w:rsidR="00E57E10">
        <w:t>116.26</w:t>
      </w:r>
      <w:r w:rsidR="009C5CF9">
        <w:t>/hour.</w:t>
      </w:r>
      <w:r w:rsidR="00364828">
        <w:t xml:space="preserve">  </w:t>
      </w:r>
      <w:r w:rsidR="009C5CF9">
        <w:t>Thus, the overall estimated cost incurred by the respondents is $</w:t>
      </w:r>
      <w:bookmarkStart w:name="_Hlk56697751" w:id="3"/>
      <w:r w:rsidR="00E57E10">
        <w:t>9,300.80</w:t>
      </w:r>
      <w:bookmarkEnd w:id="3"/>
      <w:r w:rsidR="009C5CF9">
        <w:t xml:space="preserve"> (80 burden hours </w:t>
      </w:r>
      <w:r w:rsidRPr="003E2ED0" w:rsidR="003E2ED0">
        <w:t>×</w:t>
      </w:r>
      <w:r w:rsidR="009C5CF9">
        <w:t xml:space="preserve"> $</w:t>
      </w:r>
      <w:r w:rsidR="00E57E10">
        <w:t>116.26</w:t>
      </w:r>
      <w:r w:rsidR="009C5CF9">
        <w:t>/hr).</w:t>
      </w:r>
    </w:p>
    <w:p w:rsidR="00925F34" w:rsidP="001E1FDE" w:rsidRDefault="00925F34" w14:paraId="279410BE" w14:textId="77777777">
      <w:pPr>
        <w:pStyle w:val="BodyText"/>
        <w:tabs>
          <w:tab w:val="left" w:pos="3183"/>
          <w:tab w:val="left" w:pos="3520"/>
        </w:tabs>
        <w:spacing w:after="0"/>
        <w:ind w:left="360" w:right="317"/>
      </w:pPr>
    </w:p>
    <w:p w:rsidR="009C5CF9" w:rsidP="00925F34" w:rsidRDefault="00C03108" w14:paraId="7652FFCB" w14:textId="77777777">
      <w:pPr>
        <w:pStyle w:val="BodyText"/>
        <w:tabs>
          <w:tab w:val="left" w:pos="3183"/>
          <w:tab w:val="left" w:pos="3520"/>
        </w:tabs>
        <w:spacing w:after="0"/>
        <w:ind w:left="360" w:right="317"/>
      </w:pPr>
      <w:r>
        <w:lastRenderedPageBreak/>
        <w:t>We</w:t>
      </w:r>
      <w:r w:rsidR="009C5CF9">
        <w:rPr>
          <w:spacing w:val="-9"/>
        </w:rPr>
        <w:t xml:space="preserve"> </w:t>
      </w:r>
      <w:r w:rsidR="009C5CF9">
        <w:t>estimate</w:t>
      </w:r>
      <w:r w:rsidR="009C5CF9">
        <w:rPr>
          <w:spacing w:val="-8"/>
        </w:rPr>
        <w:t xml:space="preserve"> </w:t>
      </w:r>
      <w:r w:rsidR="009C5CF9">
        <w:t>the</w:t>
      </w:r>
      <w:r w:rsidR="009C5CF9">
        <w:rPr>
          <w:spacing w:val="-8"/>
        </w:rPr>
        <w:t xml:space="preserve"> </w:t>
      </w:r>
      <w:r w:rsidR="00410016">
        <w:t xml:space="preserve">burden </w:t>
      </w:r>
      <w:r w:rsidR="009C5CF9">
        <w:t>hour</w:t>
      </w:r>
      <w:r w:rsidR="009C5CF9">
        <w:rPr>
          <w:spacing w:val="-9"/>
        </w:rPr>
        <w:t xml:space="preserve"> </w:t>
      </w:r>
      <w:r w:rsidR="009C5CF9">
        <w:t>costs</w:t>
      </w:r>
      <w:r w:rsidR="009C5CF9">
        <w:rPr>
          <w:spacing w:val="-8"/>
        </w:rPr>
        <w:t xml:space="preserve"> </w:t>
      </w:r>
      <w:r w:rsidR="009C5CF9">
        <w:t>to</w:t>
      </w:r>
      <w:r w:rsidR="009C5CF9">
        <w:rPr>
          <w:spacing w:val="-8"/>
        </w:rPr>
        <w:t xml:space="preserve"> </w:t>
      </w:r>
      <w:r w:rsidR="009C5CF9">
        <w:t>countries</w:t>
      </w:r>
      <w:r w:rsidR="009C5CF9">
        <w:rPr>
          <w:spacing w:val="-6"/>
        </w:rPr>
        <w:t xml:space="preserve"> </w:t>
      </w:r>
      <w:r w:rsidR="009C5CF9">
        <w:t>that</w:t>
      </w:r>
      <w:r w:rsidR="009C5CF9">
        <w:rPr>
          <w:spacing w:val="-8"/>
        </w:rPr>
        <w:t xml:space="preserve"> </w:t>
      </w:r>
      <w:r w:rsidR="009C5CF9">
        <w:t>respond</w:t>
      </w:r>
      <w:r w:rsidR="009C5CF9">
        <w:rPr>
          <w:spacing w:val="-8"/>
        </w:rPr>
        <w:t xml:space="preserve"> </w:t>
      </w:r>
      <w:r w:rsidR="009C5CF9">
        <w:t>to</w:t>
      </w:r>
      <w:r w:rsidR="009C5CF9">
        <w:rPr>
          <w:spacing w:val="-9"/>
        </w:rPr>
        <w:t xml:space="preserve"> </w:t>
      </w:r>
      <w:r w:rsidR="009C5CF9">
        <w:t>requests</w:t>
      </w:r>
      <w:r w:rsidR="009C5CF9">
        <w:rPr>
          <w:spacing w:val="-8"/>
        </w:rPr>
        <w:t xml:space="preserve"> </w:t>
      </w:r>
      <w:r w:rsidR="009C5CF9">
        <w:t>for</w:t>
      </w:r>
      <w:r w:rsidR="009C5CF9">
        <w:rPr>
          <w:spacing w:val="-8"/>
        </w:rPr>
        <w:t xml:space="preserve"> </w:t>
      </w:r>
      <w:r w:rsidR="009C5CF9">
        <w:t>review</w:t>
      </w:r>
      <w:r w:rsidR="009C5CF9">
        <w:rPr>
          <w:spacing w:val="-8"/>
        </w:rPr>
        <w:t xml:space="preserve"> </w:t>
      </w:r>
      <w:r w:rsidR="009C5CF9">
        <w:t>by</w:t>
      </w:r>
      <w:r w:rsidR="009C5CF9">
        <w:rPr>
          <w:spacing w:val="-9"/>
        </w:rPr>
        <w:t xml:space="preserve"> </w:t>
      </w:r>
      <w:r>
        <w:rPr>
          <w:spacing w:val="-9"/>
        </w:rPr>
        <w:t>us</w:t>
      </w:r>
      <w:r w:rsidR="009C5CF9">
        <w:rPr>
          <w:spacing w:val="-8"/>
        </w:rPr>
        <w:t xml:space="preserve"> </w:t>
      </w:r>
      <w:r w:rsidR="009C5CF9">
        <w:t>to be</w:t>
      </w:r>
      <w:r w:rsidR="009C5CF9">
        <w:rPr>
          <w:spacing w:val="-4"/>
        </w:rPr>
        <w:t xml:space="preserve"> </w:t>
      </w:r>
      <w:r w:rsidR="009C5CF9">
        <w:t>$</w:t>
      </w:r>
      <w:r w:rsidR="00ED34EE">
        <w:t>3,022.76</w:t>
      </w:r>
      <w:r w:rsidR="009C5CF9">
        <w:t>.</w:t>
      </w:r>
      <w:r w:rsidR="00364828">
        <w:t xml:space="preserve">  </w:t>
      </w:r>
      <w:r>
        <w:t>We</w:t>
      </w:r>
      <w:r w:rsidR="009C5CF9">
        <w:t xml:space="preserve"> estimate that the average hourly wage for the employee preparing the response</w:t>
      </w:r>
      <w:r w:rsidR="009C5CF9">
        <w:rPr>
          <w:spacing w:val="-7"/>
        </w:rPr>
        <w:t xml:space="preserve"> </w:t>
      </w:r>
      <w:r w:rsidR="009C5CF9">
        <w:t>would</w:t>
      </w:r>
      <w:r w:rsidR="009C5CF9">
        <w:rPr>
          <w:spacing w:val="-6"/>
        </w:rPr>
        <w:t xml:space="preserve"> </w:t>
      </w:r>
      <w:r w:rsidR="009C5CF9">
        <w:t>be</w:t>
      </w:r>
      <w:r w:rsidR="009C5CF9">
        <w:rPr>
          <w:spacing w:val="-6"/>
        </w:rPr>
        <w:t xml:space="preserve"> </w:t>
      </w:r>
      <w:r w:rsidR="009C5CF9">
        <w:t>equivalent</w:t>
      </w:r>
      <w:r w:rsidR="009C5CF9">
        <w:rPr>
          <w:spacing w:val="-6"/>
        </w:rPr>
        <w:t xml:space="preserve"> </w:t>
      </w:r>
      <w:r w:rsidR="009C5CF9">
        <w:t>to</w:t>
      </w:r>
      <w:r w:rsidR="009C5CF9">
        <w:rPr>
          <w:spacing w:val="-5"/>
        </w:rPr>
        <w:t xml:space="preserve"> </w:t>
      </w:r>
      <w:r w:rsidR="009C5CF9">
        <w:t>a</w:t>
      </w:r>
      <w:r w:rsidR="009C5CF9">
        <w:rPr>
          <w:spacing w:val="-5"/>
        </w:rPr>
        <w:t xml:space="preserve"> </w:t>
      </w:r>
      <w:r w:rsidR="009C5CF9">
        <w:t>GS-14/Step-1</w:t>
      </w:r>
      <w:r w:rsidR="009C5CF9">
        <w:rPr>
          <w:spacing w:val="-6"/>
        </w:rPr>
        <w:t xml:space="preserve"> </w:t>
      </w:r>
      <w:r w:rsidR="009C5CF9">
        <w:t>rate</w:t>
      </w:r>
      <w:r w:rsidR="009C5CF9">
        <w:rPr>
          <w:spacing w:val="-5"/>
        </w:rPr>
        <w:t xml:space="preserve"> </w:t>
      </w:r>
      <w:r w:rsidR="009C5CF9">
        <w:t>for</w:t>
      </w:r>
      <w:r w:rsidR="009C5CF9">
        <w:rPr>
          <w:spacing w:val="-5"/>
        </w:rPr>
        <w:t xml:space="preserve"> </w:t>
      </w:r>
      <w:r w:rsidR="009C5CF9">
        <w:t>the</w:t>
      </w:r>
      <w:r w:rsidR="009C5CF9">
        <w:rPr>
          <w:spacing w:val="-9"/>
        </w:rPr>
        <w:t xml:space="preserve"> </w:t>
      </w:r>
      <w:r w:rsidR="009C5CF9">
        <w:t>Washington-Baltimore</w:t>
      </w:r>
      <w:r w:rsidR="009C5CF9">
        <w:rPr>
          <w:spacing w:val="-5"/>
        </w:rPr>
        <w:t xml:space="preserve"> </w:t>
      </w:r>
      <w:r w:rsidR="009C5CF9">
        <w:t>locality</w:t>
      </w:r>
      <w:r w:rsidR="009C5CF9">
        <w:rPr>
          <w:spacing w:val="-5"/>
        </w:rPr>
        <w:t xml:space="preserve"> </w:t>
      </w:r>
      <w:r w:rsidR="009C5CF9">
        <w:t xml:space="preserve">pay area for the year </w:t>
      </w:r>
      <w:r w:rsidR="00E57E10">
        <w:t>2020</w:t>
      </w:r>
      <w:r w:rsidR="009C5CF9">
        <w:t>,</w:t>
      </w:r>
      <w:r w:rsidR="009C5CF9">
        <w:rPr>
          <w:spacing w:val="-35"/>
        </w:rPr>
        <w:t xml:space="preserve"> </w:t>
      </w:r>
      <w:r w:rsidR="009C5CF9">
        <w:t>approximately</w:t>
      </w:r>
      <w:r w:rsidR="009C5CF9">
        <w:rPr>
          <w:spacing w:val="-7"/>
        </w:rPr>
        <w:t xml:space="preserve"> </w:t>
      </w:r>
      <w:r w:rsidR="009C5CF9">
        <w:t>$</w:t>
      </w:r>
      <w:r w:rsidR="00E57E10">
        <w:t>58.13</w:t>
      </w:r>
      <w:r w:rsidR="009C5CF9">
        <w:t>/hour.</w:t>
      </w:r>
      <w:r w:rsidR="00364828">
        <w:t xml:space="preserve">  </w:t>
      </w:r>
      <w:r w:rsidR="009C5CF9">
        <w:t xml:space="preserve">Doubling this wage to account for overhead costs, </w:t>
      </w:r>
      <w:r w:rsidR="00F96235">
        <w:t>we</w:t>
      </w:r>
      <w:r w:rsidR="009C5CF9">
        <w:t xml:space="preserve"> estimate the average hourly cost to respondents to be</w:t>
      </w:r>
      <w:r w:rsidR="009C5CF9">
        <w:rPr>
          <w:spacing w:val="-13"/>
        </w:rPr>
        <w:t xml:space="preserve"> </w:t>
      </w:r>
      <w:r w:rsidR="009C5CF9">
        <w:t>$</w:t>
      </w:r>
      <w:r w:rsidR="00ED34EE">
        <w:t>116.26</w:t>
      </w:r>
      <w:r w:rsidR="009C5CF9">
        <w:t>/hour.</w:t>
      </w:r>
      <w:r w:rsidR="00410016">
        <w:t xml:space="preserve"> </w:t>
      </w:r>
    </w:p>
    <w:p w:rsidR="009C5CF9" w:rsidP="00925F34" w:rsidRDefault="009C5CF9" w14:paraId="692C067B" w14:textId="77777777">
      <w:pPr>
        <w:pStyle w:val="BodyText"/>
        <w:spacing w:after="0"/>
        <w:ind w:left="360"/>
      </w:pPr>
      <w:r>
        <w:t>Thus, the overall estimated cost incurred by the respondents is $</w:t>
      </w:r>
      <w:r w:rsidR="00ED34EE">
        <w:t>3,022.76</w:t>
      </w:r>
      <w:r>
        <w:t xml:space="preserve"> (26 burden hours </w:t>
      </w:r>
      <w:r w:rsidRPr="003E2ED0" w:rsidR="003E2ED0">
        <w:t>×</w:t>
      </w:r>
      <w:r>
        <w:t xml:space="preserve"> $</w:t>
      </w:r>
      <w:r w:rsidR="00ED34EE">
        <w:t>116.26</w:t>
      </w:r>
      <w:r>
        <w:t>/hr).</w:t>
      </w:r>
    </w:p>
    <w:p w:rsidR="00410016" w:rsidP="001E1FDE" w:rsidRDefault="00410016" w14:paraId="590180B6" w14:textId="77777777">
      <w:pPr>
        <w:pStyle w:val="BodyText"/>
        <w:spacing w:after="0"/>
        <w:ind w:left="360"/>
      </w:pPr>
    </w:p>
    <w:p w:rsidR="009C5CF9" w:rsidP="0010729A" w:rsidRDefault="00C03108" w14:paraId="29B3B2C4" w14:textId="77777777">
      <w:pPr>
        <w:pStyle w:val="BodyText"/>
        <w:spacing w:after="0"/>
        <w:ind w:left="360"/>
      </w:pPr>
      <w:r>
        <w:t>We</w:t>
      </w:r>
      <w:r w:rsidR="009C5CF9">
        <w:t xml:space="preserve"> estimate the recordkeeping and reporting </w:t>
      </w:r>
      <w:r w:rsidR="00410016">
        <w:t xml:space="preserve">burden </w:t>
      </w:r>
      <w:r w:rsidR="009C5CF9">
        <w:t>hour costs to be approximately $</w:t>
      </w:r>
      <w:r w:rsidR="00AF0FB4">
        <w:t>2,648,170.28</w:t>
      </w:r>
      <w:r w:rsidR="009C5CF9">
        <w:t xml:space="preserve"> (Table 1, row 1 and</w:t>
      </w:r>
      <w:r w:rsidR="009C5CF9">
        <w:rPr>
          <w:spacing w:val="-28"/>
        </w:rPr>
        <w:t xml:space="preserve"> </w:t>
      </w:r>
      <w:r w:rsidR="009C5CF9">
        <w:t>Table</w:t>
      </w:r>
      <w:r w:rsidR="009C5CF9">
        <w:rPr>
          <w:spacing w:val="-4"/>
        </w:rPr>
        <w:t xml:space="preserve"> </w:t>
      </w:r>
      <w:r w:rsidR="009C5CF9">
        <w:t>2).  This estimate is based upon an employee making</w:t>
      </w:r>
      <w:r w:rsidR="009C5CF9">
        <w:rPr>
          <w:spacing w:val="-41"/>
        </w:rPr>
        <w:t xml:space="preserve"> </w:t>
      </w:r>
      <w:r w:rsidR="009C5CF9">
        <w:t xml:space="preserve">a salary equivalent to a GS-14/Step 1 rate for the Washington-Baltimore locality pay area for the year </w:t>
      </w:r>
      <w:r w:rsidR="00410016">
        <w:t>2020</w:t>
      </w:r>
      <w:r w:rsidR="009C5CF9">
        <w:t>, approximately $</w:t>
      </w:r>
      <w:r w:rsidR="00763428">
        <w:t>58.13</w:t>
      </w:r>
      <w:r w:rsidR="009C5CF9">
        <w:t xml:space="preserve">/hour. </w:t>
      </w:r>
      <w:r w:rsidR="00364828">
        <w:t xml:space="preserve"> </w:t>
      </w:r>
      <w:r w:rsidR="009C5CF9">
        <w:t xml:space="preserve">Doubling this wage to account for overhead costs, </w:t>
      </w:r>
      <w:r w:rsidR="00F96235">
        <w:t>we</w:t>
      </w:r>
      <w:r w:rsidR="009C5CF9">
        <w:rPr>
          <w:spacing w:val="-2"/>
        </w:rPr>
        <w:t xml:space="preserve"> </w:t>
      </w:r>
      <w:r w:rsidR="009C5CF9">
        <w:t>estimate the average hourly cost to respondents to be $</w:t>
      </w:r>
      <w:r w:rsidR="00763428">
        <w:t>116.26</w:t>
      </w:r>
      <w:r w:rsidR="009C5CF9">
        <w:t xml:space="preserve">/hour. </w:t>
      </w:r>
      <w:r w:rsidR="00364828">
        <w:t xml:space="preserve"> </w:t>
      </w:r>
      <w:r w:rsidR="009C5CF9">
        <w:t>Thus, the overall estimated cost incurred by the respondents is $</w:t>
      </w:r>
      <w:r w:rsidR="00AF0FB4">
        <w:t>2,648,170.28</w:t>
      </w:r>
      <w:r w:rsidR="009C5CF9">
        <w:t xml:space="preserve"> (22,778 burden hours </w:t>
      </w:r>
      <w:r w:rsidRPr="003E2ED0" w:rsidR="003E2ED0">
        <w:t>×</w:t>
      </w:r>
      <w:r w:rsidR="009C5CF9">
        <w:t xml:space="preserve"> $</w:t>
      </w:r>
      <w:r w:rsidR="00763428">
        <w:t>116.26</w:t>
      </w:r>
      <w:r w:rsidR="009C5CF9">
        <w:t>/hour).</w:t>
      </w:r>
    </w:p>
    <w:p w:rsidR="0010729A" w:rsidP="001E1FDE" w:rsidRDefault="0010729A" w14:paraId="6DDDCB36" w14:textId="77777777">
      <w:pPr>
        <w:pStyle w:val="BodyText"/>
        <w:spacing w:after="0"/>
        <w:ind w:left="360"/>
      </w:pPr>
    </w:p>
    <w:p w:rsidRPr="001E1FDE" w:rsidR="009C5CF9" w:rsidP="001E1FDE" w:rsidRDefault="0010729A" w14:paraId="70C9D7CA" w14:textId="77777777">
      <w:pPr>
        <w:pStyle w:val="BodyText"/>
        <w:spacing w:after="0"/>
        <w:ind w:left="360"/>
        <w:jc w:val="center"/>
        <w:rPr>
          <w:sz w:val="20"/>
          <w:szCs w:val="20"/>
        </w:rPr>
      </w:pPr>
      <w:r w:rsidRPr="001E1FDE">
        <w:rPr>
          <w:sz w:val="20"/>
          <w:szCs w:val="20"/>
        </w:rPr>
        <w:t>Table 3.--Estimated Annualized Cost Burden</w:t>
      </w:r>
    </w:p>
    <w:tbl>
      <w:tblPr>
        <w:tblW w:w="0" w:type="auto"/>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857"/>
        <w:gridCol w:w="1980"/>
        <w:gridCol w:w="1980"/>
        <w:gridCol w:w="2340"/>
      </w:tblGrid>
      <w:tr w:rsidRPr="001E1FDE" w:rsidR="009C5CF9" w:rsidTr="003825AC" w14:paraId="7F0A7A04" w14:textId="77777777">
        <w:trPr>
          <w:trHeight w:val="551"/>
        </w:trPr>
        <w:tc>
          <w:tcPr>
            <w:tcW w:w="2857" w:type="dxa"/>
          </w:tcPr>
          <w:p w:rsidRPr="001E1FDE" w:rsidR="009C5CF9" w:rsidP="003825AC" w:rsidRDefault="009C5CF9" w14:paraId="0A686649" w14:textId="77777777">
            <w:pPr>
              <w:pStyle w:val="TableParagraph"/>
              <w:spacing w:line="273" w:lineRule="exact"/>
              <w:ind w:left="107"/>
              <w:jc w:val="left"/>
              <w:rPr>
                <w:sz w:val="20"/>
                <w:szCs w:val="20"/>
              </w:rPr>
            </w:pPr>
            <w:r w:rsidRPr="001E1FDE">
              <w:rPr>
                <w:sz w:val="20"/>
                <w:szCs w:val="20"/>
              </w:rPr>
              <w:t>Activity</w:t>
            </w:r>
          </w:p>
        </w:tc>
        <w:tc>
          <w:tcPr>
            <w:tcW w:w="1980" w:type="dxa"/>
          </w:tcPr>
          <w:p w:rsidRPr="001E1FDE" w:rsidR="009C5CF9" w:rsidP="003825AC" w:rsidRDefault="009C5CF9" w14:paraId="6228A269" w14:textId="77777777">
            <w:pPr>
              <w:pStyle w:val="TableParagraph"/>
              <w:spacing w:line="273" w:lineRule="exact"/>
              <w:ind w:left="108"/>
              <w:jc w:val="left"/>
              <w:rPr>
                <w:sz w:val="20"/>
                <w:szCs w:val="20"/>
              </w:rPr>
            </w:pPr>
            <w:r w:rsidRPr="001E1FDE">
              <w:rPr>
                <w:sz w:val="20"/>
                <w:szCs w:val="20"/>
              </w:rPr>
              <w:t>Total Burden</w:t>
            </w:r>
          </w:p>
          <w:p w:rsidRPr="001E1FDE" w:rsidR="009C5CF9" w:rsidP="003825AC" w:rsidRDefault="009C5CF9" w14:paraId="4BEB7035" w14:textId="77777777">
            <w:pPr>
              <w:pStyle w:val="TableParagraph"/>
              <w:spacing w:line="259" w:lineRule="exact"/>
              <w:ind w:left="107"/>
              <w:jc w:val="left"/>
              <w:rPr>
                <w:sz w:val="20"/>
                <w:szCs w:val="20"/>
              </w:rPr>
            </w:pPr>
            <w:r w:rsidRPr="001E1FDE">
              <w:rPr>
                <w:sz w:val="20"/>
                <w:szCs w:val="20"/>
              </w:rPr>
              <w:t>Hours</w:t>
            </w:r>
          </w:p>
        </w:tc>
        <w:tc>
          <w:tcPr>
            <w:tcW w:w="1980" w:type="dxa"/>
          </w:tcPr>
          <w:p w:rsidRPr="001E1FDE" w:rsidR="009C5CF9" w:rsidP="003825AC" w:rsidRDefault="009C5CF9" w14:paraId="223C87D5" w14:textId="77777777">
            <w:pPr>
              <w:pStyle w:val="TableParagraph"/>
              <w:spacing w:line="273" w:lineRule="exact"/>
              <w:ind w:left="107"/>
              <w:jc w:val="left"/>
              <w:rPr>
                <w:sz w:val="20"/>
                <w:szCs w:val="20"/>
              </w:rPr>
            </w:pPr>
            <w:r w:rsidRPr="001E1FDE">
              <w:rPr>
                <w:sz w:val="20"/>
                <w:szCs w:val="20"/>
              </w:rPr>
              <w:t>Hourly Wage</w:t>
            </w:r>
          </w:p>
          <w:p w:rsidRPr="001E1FDE" w:rsidR="009C5CF9" w:rsidP="003825AC" w:rsidRDefault="009C5CF9" w14:paraId="0733C369" w14:textId="77777777">
            <w:pPr>
              <w:pStyle w:val="TableParagraph"/>
              <w:spacing w:line="259" w:lineRule="exact"/>
              <w:ind w:left="107"/>
              <w:jc w:val="left"/>
              <w:rPr>
                <w:sz w:val="20"/>
                <w:szCs w:val="20"/>
              </w:rPr>
            </w:pPr>
            <w:r w:rsidRPr="001E1FDE">
              <w:rPr>
                <w:sz w:val="20"/>
                <w:szCs w:val="20"/>
              </w:rPr>
              <w:t>Rate</w:t>
            </w:r>
          </w:p>
        </w:tc>
        <w:tc>
          <w:tcPr>
            <w:tcW w:w="2340" w:type="dxa"/>
          </w:tcPr>
          <w:p w:rsidRPr="001E1FDE" w:rsidR="009C5CF9" w:rsidP="003825AC" w:rsidRDefault="009C5CF9" w14:paraId="67DC3C21" w14:textId="77777777">
            <w:pPr>
              <w:pStyle w:val="TableParagraph"/>
              <w:spacing w:line="273" w:lineRule="exact"/>
              <w:ind w:left="107"/>
              <w:jc w:val="left"/>
              <w:rPr>
                <w:sz w:val="20"/>
                <w:szCs w:val="20"/>
              </w:rPr>
            </w:pPr>
            <w:r w:rsidRPr="001E1FDE">
              <w:rPr>
                <w:sz w:val="20"/>
                <w:szCs w:val="20"/>
              </w:rPr>
              <w:t>Total Respondent</w:t>
            </w:r>
          </w:p>
          <w:p w:rsidRPr="001E1FDE" w:rsidR="009C5CF9" w:rsidP="003825AC" w:rsidRDefault="009C5CF9" w14:paraId="06FBA58B" w14:textId="77777777">
            <w:pPr>
              <w:pStyle w:val="TableParagraph"/>
              <w:spacing w:line="259" w:lineRule="exact"/>
              <w:ind w:left="107"/>
              <w:jc w:val="left"/>
              <w:rPr>
                <w:sz w:val="20"/>
                <w:szCs w:val="20"/>
              </w:rPr>
            </w:pPr>
            <w:r w:rsidRPr="001E1FDE">
              <w:rPr>
                <w:sz w:val="20"/>
                <w:szCs w:val="20"/>
              </w:rPr>
              <w:t>Costs</w:t>
            </w:r>
          </w:p>
        </w:tc>
      </w:tr>
      <w:tr w:rsidRPr="001E1FDE" w:rsidR="009C5CF9" w:rsidTr="003825AC" w14:paraId="732F7E81" w14:textId="77777777">
        <w:trPr>
          <w:trHeight w:val="551"/>
        </w:trPr>
        <w:tc>
          <w:tcPr>
            <w:tcW w:w="2857" w:type="dxa"/>
          </w:tcPr>
          <w:p w:rsidRPr="001E1FDE" w:rsidR="009C5CF9" w:rsidP="003825AC" w:rsidRDefault="009C5CF9" w14:paraId="4FF7F851" w14:textId="77777777">
            <w:pPr>
              <w:pStyle w:val="TableParagraph"/>
              <w:spacing w:line="273" w:lineRule="exact"/>
              <w:ind w:left="107"/>
              <w:jc w:val="left"/>
              <w:rPr>
                <w:sz w:val="20"/>
                <w:szCs w:val="20"/>
              </w:rPr>
            </w:pPr>
            <w:r w:rsidRPr="001E1FDE">
              <w:rPr>
                <w:sz w:val="20"/>
                <w:szCs w:val="20"/>
              </w:rPr>
              <w:t>Submitting a request for</w:t>
            </w:r>
          </w:p>
          <w:p w:rsidRPr="001E1FDE" w:rsidR="009C5CF9" w:rsidP="003825AC" w:rsidRDefault="00C03108" w14:paraId="76FE27D8" w14:textId="77777777">
            <w:pPr>
              <w:pStyle w:val="TableParagraph"/>
              <w:spacing w:line="259" w:lineRule="exact"/>
              <w:ind w:left="107"/>
              <w:jc w:val="left"/>
              <w:rPr>
                <w:sz w:val="20"/>
                <w:szCs w:val="20"/>
              </w:rPr>
            </w:pPr>
            <w:r w:rsidRPr="001E1FDE">
              <w:rPr>
                <w:sz w:val="20"/>
                <w:szCs w:val="20"/>
              </w:rPr>
              <w:t>D</w:t>
            </w:r>
            <w:r w:rsidRPr="001E1FDE" w:rsidR="009C5CF9">
              <w:rPr>
                <w:sz w:val="20"/>
                <w:szCs w:val="20"/>
              </w:rPr>
              <w:t>esignation</w:t>
            </w:r>
          </w:p>
        </w:tc>
        <w:tc>
          <w:tcPr>
            <w:tcW w:w="1980" w:type="dxa"/>
          </w:tcPr>
          <w:p w:rsidRPr="001E1FDE" w:rsidR="009C5CF9" w:rsidP="003825AC" w:rsidRDefault="009C5CF9" w14:paraId="0F4B834E" w14:textId="77777777">
            <w:pPr>
              <w:pStyle w:val="TableParagraph"/>
              <w:spacing w:line="273" w:lineRule="exact"/>
              <w:ind w:right="97"/>
              <w:rPr>
                <w:sz w:val="20"/>
                <w:szCs w:val="20"/>
              </w:rPr>
            </w:pPr>
            <w:r w:rsidRPr="001E1FDE">
              <w:rPr>
                <w:sz w:val="20"/>
                <w:szCs w:val="20"/>
              </w:rPr>
              <w:t>80</w:t>
            </w:r>
          </w:p>
        </w:tc>
        <w:tc>
          <w:tcPr>
            <w:tcW w:w="1980" w:type="dxa"/>
          </w:tcPr>
          <w:p w:rsidRPr="001E1FDE" w:rsidR="009C5CF9" w:rsidP="003825AC" w:rsidRDefault="009C5CF9" w14:paraId="5EF9084C" w14:textId="77777777">
            <w:pPr>
              <w:pStyle w:val="TableParagraph"/>
              <w:spacing w:line="273" w:lineRule="exact"/>
              <w:ind w:right="97"/>
              <w:rPr>
                <w:sz w:val="20"/>
                <w:szCs w:val="20"/>
              </w:rPr>
            </w:pPr>
            <w:r w:rsidRPr="001E1FDE">
              <w:rPr>
                <w:sz w:val="20"/>
                <w:szCs w:val="20"/>
              </w:rPr>
              <w:t>$</w:t>
            </w:r>
            <w:r w:rsidRPr="001E1FDE" w:rsidR="00763428">
              <w:rPr>
                <w:sz w:val="20"/>
                <w:szCs w:val="20"/>
              </w:rPr>
              <w:t>116.26</w:t>
            </w:r>
          </w:p>
        </w:tc>
        <w:tc>
          <w:tcPr>
            <w:tcW w:w="2340" w:type="dxa"/>
          </w:tcPr>
          <w:p w:rsidRPr="001E1FDE" w:rsidR="009C5CF9" w:rsidP="003825AC" w:rsidRDefault="009C5CF9" w14:paraId="12C037F5" w14:textId="77777777">
            <w:pPr>
              <w:pStyle w:val="TableParagraph"/>
              <w:spacing w:line="273" w:lineRule="exact"/>
              <w:ind w:right="97"/>
              <w:rPr>
                <w:sz w:val="20"/>
                <w:szCs w:val="20"/>
              </w:rPr>
            </w:pPr>
            <w:r w:rsidRPr="001E1FDE">
              <w:rPr>
                <w:sz w:val="20"/>
                <w:szCs w:val="20"/>
              </w:rPr>
              <w:t>$</w:t>
            </w:r>
            <w:r w:rsidRPr="001E1FDE" w:rsidR="00AF0FB4">
              <w:rPr>
                <w:sz w:val="20"/>
                <w:szCs w:val="20"/>
              </w:rPr>
              <w:t>9,300.80</w:t>
            </w:r>
          </w:p>
        </w:tc>
      </w:tr>
      <w:tr w:rsidRPr="001E1FDE" w:rsidR="009C5CF9" w:rsidTr="003825AC" w14:paraId="7AD3AF16" w14:textId="77777777">
        <w:trPr>
          <w:trHeight w:val="552"/>
        </w:trPr>
        <w:tc>
          <w:tcPr>
            <w:tcW w:w="2857" w:type="dxa"/>
          </w:tcPr>
          <w:p w:rsidRPr="001E1FDE" w:rsidR="009C5CF9" w:rsidP="001E1FDE" w:rsidRDefault="009C5CF9" w14:paraId="0015062A" w14:textId="77777777">
            <w:pPr>
              <w:pStyle w:val="TableParagraph"/>
              <w:spacing w:line="276" w:lineRule="exact"/>
              <w:ind w:left="101" w:right="792"/>
              <w:jc w:val="left"/>
              <w:rPr>
                <w:sz w:val="20"/>
                <w:szCs w:val="20"/>
              </w:rPr>
            </w:pPr>
            <w:r w:rsidRPr="001E1FDE">
              <w:rPr>
                <w:sz w:val="20"/>
                <w:szCs w:val="20"/>
              </w:rPr>
              <w:t>Responding to FDA requests for review</w:t>
            </w:r>
          </w:p>
        </w:tc>
        <w:tc>
          <w:tcPr>
            <w:tcW w:w="1980" w:type="dxa"/>
          </w:tcPr>
          <w:p w:rsidRPr="001E1FDE" w:rsidR="009C5CF9" w:rsidP="003825AC" w:rsidRDefault="009C5CF9" w14:paraId="419A30EE" w14:textId="77777777">
            <w:pPr>
              <w:pStyle w:val="TableParagraph"/>
              <w:spacing w:line="274" w:lineRule="exact"/>
              <w:ind w:right="97"/>
              <w:rPr>
                <w:sz w:val="20"/>
                <w:szCs w:val="20"/>
              </w:rPr>
            </w:pPr>
            <w:r w:rsidRPr="001E1FDE">
              <w:rPr>
                <w:sz w:val="20"/>
                <w:szCs w:val="20"/>
              </w:rPr>
              <w:t>26</w:t>
            </w:r>
          </w:p>
        </w:tc>
        <w:tc>
          <w:tcPr>
            <w:tcW w:w="1980" w:type="dxa"/>
          </w:tcPr>
          <w:p w:rsidRPr="001E1FDE" w:rsidR="009C5CF9" w:rsidP="003825AC" w:rsidRDefault="009C5CF9" w14:paraId="5353F2BA" w14:textId="77777777">
            <w:pPr>
              <w:pStyle w:val="TableParagraph"/>
              <w:spacing w:line="274" w:lineRule="exact"/>
              <w:ind w:right="97"/>
              <w:rPr>
                <w:sz w:val="20"/>
                <w:szCs w:val="20"/>
              </w:rPr>
            </w:pPr>
            <w:r w:rsidRPr="001E1FDE">
              <w:rPr>
                <w:sz w:val="20"/>
                <w:szCs w:val="20"/>
              </w:rPr>
              <w:t>$</w:t>
            </w:r>
            <w:r w:rsidRPr="001E1FDE" w:rsidR="00763428">
              <w:rPr>
                <w:sz w:val="20"/>
                <w:szCs w:val="20"/>
              </w:rPr>
              <w:t>116.26</w:t>
            </w:r>
          </w:p>
        </w:tc>
        <w:tc>
          <w:tcPr>
            <w:tcW w:w="2340" w:type="dxa"/>
          </w:tcPr>
          <w:p w:rsidRPr="001E1FDE" w:rsidR="009C5CF9" w:rsidP="003825AC" w:rsidRDefault="009C5CF9" w14:paraId="5693AFFF" w14:textId="77777777">
            <w:pPr>
              <w:pStyle w:val="TableParagraph"/>
              <w:spacing w:line="274" w:lineRule="exact"/>
              <w:ind w:right="97"/>
              <w:rPr>
                <w:sz w:val="20"/>
                <w:szCs w:val="20"/>
              </w:rPr>
            </w:pPr>
            <w:r w:rsidRPr="001E1FDE">
              <w:rPr>
                <w:sz w:val="20"/>
                <w:szCs w:val="20"/>
              </w:rPr>
              <w:t>$</w:t>
            </w:r>
            <w:r w:rsidRPr="001E1FDE" w:rsidR="00AF0FB4">
              <w:rPr>
                <w:sz w:val="20"/>
                <w:szCs w:val="20"/>
              </w:rPr>
              <w:t>3,022.76</w:t>
            </w:r>
          </w:p>
        </w:tc>
      </w:tr>
      <w:tr w:rsidRPr="001E1FDE" w:rsidR="009C5CF9" w:rsidTr="003825AC" w14:paraId="6F7AB7A6" w14:textId="77777777">
        <w:trPr>
          <w:trHeight w:val="827"/>
        </w:trPr>
        <w:tc>
          <w:tcPr>
            <w:tcW w:w="2857" w:type="dxa"/>
          </w:tcPr>
          <w:p w:rsidRPr="001E1FDE" w:rsidR="009C5CF9" w:rsidP="001E1FDE" w:rsidRDefault="009C5CF9" w14:paraId="25F0DCF3" w14:textId="77777777">
            <w:pPr>
              <w:pStyle w:val="TableParagraph"/>
              <w:spacing w:line="240" w:lineRule="auto"/>
              <w:ind w:left="101" w:right="173"/>
              <w:jc w:val="left"/>
              <w:rPr>
                <w:sz w:val="20"/>
                <w:szCs w:val="20"/>
              </w:rPr>
            </w:pPr>
            <w:r w:rsidRPr="001E1FDE">
              <w:rPr>
                <w:sz w:val="20"/>
                <w:szCs w:val="20"/>
              </w:rPr>
              <w:t>Recordkeeping and reporting costs from Table</w:t>
            </w:r>
            <w:r w:rsidR="0010729A">
              <w:rPr>
                <w:sz w:val="20"/>
                <w:szCs w:val="20"/>
              </w:rPr>
              <w:t xml:space="preserve"> </w:t>
            </w:r>
            <w:r w:rsidRPr="001E1FDE">
              <w:rPr>
                <w:sz w:val="20"/>
                <w:szCs w:val="20"/>
              </w:rPr>
              <w:t>1, row 1 and Table 2</w:t>
            </w:r>
          </w:p>
        </w:tc>
        <w:tc>
          <w:tcPr>
            <w:tcW w:w="1980" w:type="dxa"/>
          </w:tcPr>
          <w:p w:rsidRPr="001E1FDE" w:rsidR="009C5CF9" w:rsidP="003825AC" w:rsidRDefault="009C5CF9" w14:paraId="245916CB" w14:textId="77777777">
            <w:pPr>
              <w:pStyle w:val="TableParagraph"/>
              <w:spacing w:line="272" w:lineRule="exact"/>
              <w:ind w:right="97"/>
              <w:rPr>
                <w:sz w:val="20"/>
                <w:szCs w:val="20"/>
              </w:rPr>
            </w:pPr>
            <w:r w:rsidRPr="001E1FDE">
              <w:rPr>
                <w:sz w:val="20"/>
                <w:szCs w:val="20"/>
              </w:rPr>
              <w:t>22,778</w:t>
            </w:r>
          </w:p>
        </w:tc>
        <w:tc>
          <w:tcPr>
            <w:tcW w:w="1980" w:type="dxa"/>
          </w:tcPr>
          <w:p w:rsidRPr="001E1FDE" w:rsidR="009C5CF9" w:rsidP="003825AC" w:rsidRDefault="009C5CF9" w14:paraId="08CC2C49" w14:textId="77777777">
            <w:pPr>
              <w:pStyle w:val="TableParagraph"/>
              <w:spacing w:line="272" w:lineRule="exact"/>
              <w:ind w:right="97"/>
              <w:rPr>
                <w:sz w:val="20"/>
                <w:szCs w:val="20"/>
              </w:rPr>
            </w:pPr>
            <w:r w:rsidRPr="001E1FDE">
              <w:rPr>
                <w:sz w:val="20"/>
                <w:szCs w:val="20"/>
              </w:rPr>
              <w:t>$</w:t>
            </w:r>
            <w:r w:rsidRPr="001E1FDE" w:rsidR="00763428">
              <w:rPr>
                <w:sz w:val="20"/>
                <w:szCs w:val="20"/>
              </w:rPr>
              <w:t>116.26</w:t>
            </w:r>
          </w:p>
        </w:tc>
        <w:tc>
          <w:tcPr>
            <w:tcW w:w="2340" w:type="dxa"/>
          </w:tcPr>
          <w:p w:rsidRPr="001E1FDE" w:rsidR="009C5CF9" w:rsidP="003825AC" w:rsidRDefault="009C5CF9" w14:paraId="1BCBAB63" w14:textId="77777777">
            <w:pPr>
              <w:pStyle w:val="TableParagraph"/>
              <w:spacing w:line="272" w:lineRule="exact"/>
              <w:ind w:right="97"/>
              <w:rPr>
                <w:sz w:val="20"/>
                <w:szCs w:val="20"/>
              </w:rPr>
            </w:pPr>
            <w:r w:rsidRPr="001E1FDE">
              <w:rPr>
                <w:sz w:val="20"/>
                <w:szCs w:val="20"/>
              </w:rPr>
              <w:t>$</w:t>
            </w:r>
            <w:r w:rsidRPr="001E1FDE" w:rsidR="00AF0FB4">
              <w:rPr>
                <w:sz w:val="20"/>
                <w:szCs w:val="20"/>
              </w:rPr>
              <w:t>2,648,170.28</w:t>
            </w:r>
          </w:p>
        </w:tc>
      </w:tr>
      <w:tr w:rsidRPr="001E1FDE" w:rsidR="009C5CF9" w:rsidTr="003825AC" w14:paraId="15D446D8" w14:textId="77777777">
        <w:trPr>
          <w:trHeight w:val="276"/>
        </w:trPr>
        <w:tc>
          <w:tcPr>
            <w:tcW w:w="6817" w:type="dxa"/>
            <w:gridSpan w:val="3"/>
          </w:tcPr>
          <w:p w:rsidRPr="001E1FDE" w:rsidR="009C5CF9" w:rsidP="003825AC" w:rsidRDefault="009C5CF9" w14:paraId="51E44E78" w14:textId="77777777">
            <w:pPr>
              <w:pStyle w:val="TableParagraph"/>
              <w:spacing w:line="257" w:lineRule="exact"/>
              <w:ind w:left="107"/>
              <w:jc w:val="left"/>
              <w:rPr>
                <w:sz w:val="20"/>
                <w:szCs w:val="20"/>
              </w:rPr>
            </w:pPr>
            <w:r w:rsidRPr="001E1FDE">
              <w:rPr>
                <w:sz w:val="20"/>
                <w:szCs w:val="20"/>
              </w:rPr>
              <w:t>Total</w:t>
            </w:r>
          </w:p>
        </w:tc>
        <w:tc>
          <w:tcPr>
            <w:tcW w:w="2340" w:type="dxa"/>
          </w:tcPr>
          <w:p w:rsidRPr="001E1FDE" w:rsidR="009C5CF9" w:rsidP="003825AC" w:rsidRDefault="009C5CF9" w14:paraId="3EA3327A" w14:textId="77777777">
            <w:pPr>
              <w:pStyle w:val="TableParagraph"/>
              <w:spacing w:line="257" w:lineRule="exact"/>
              <w:ind w:right="96"/>
              <w:rPr>
                <w:sz w:val="20"/>
                <w:szCs w:val="20"/>
              </w:rPr>
            </w:pPr>
            <w:r w:rsidRPr="001E1FDE">
              <w:rPr>
                <w:sz w:val="20"/>
                <w:szCs w:val="20"/>
              </w:rPr>
              <w:t>$</w:t>
            </w:r>
            <w:r w:rsidRPr="001E1FDE" w:rsidR="00AF0FB4">
              <w:rPr>
                <w:sz w:val="20"/>
                <w:szCs w:val="20"/>
              </w:rPr>
              <w:t>2,660</w:t>
            </w:r>
            <w:r w:rsidR="0010729A">
              <w:rPr>
                <w:sz w:val="20"/>
                <w:szCs w:val="20"/>
              </w:rPr>
              <w:t>,</w:t>
            </w:r>
            <w:r w:rsidRPr="001E1FDE" w:rsidR="00AF0FB4">
              <w:rPr>
                <w:sz w:val="20"/>
                <w:szCs w:val="20"/>
              </w:rPr>
              <w:t>493.84</w:t>
            </w:r>
          </w:p>
        </w:tc>
      </w:tr>
    </w:tbl>
    <w:p w:rsidRPr="009C5CF9" w:rsidR="009C5CF9" w:rsidP="001E1FDE" w:rsidRDefault="009C5CF9" w14:paraId="0BAE7BC1" w14:textId="77777777">
      <w:pPr>
        <w:spacing w:line="276" w:lineRule="auto"/>
        <w:rPr>
          <w:rFonts w:eastAsia="Calibri"/>
        </w:rPr>
      </w:pPr>
    </w:p>
    <w:p w:rsidRPr="00357C8A" w:rsidR="00357C8A" w:rsidP="006705EA" w:rsidRDefault="00357C8A" w14:paraId="3FCE3FD4"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22425B" w:rsidRDefault="00211588" w14:paraId="66738201" w14:textId="77777777">
      <w:pPr>
        <w:spacing w:after="200" w:line="276" w:lineRule="auto"/>
        <w:rPr>
          <w:rFonts w:eastAsia="Calibri"/>
          <w:u w:val="single"/>
        </w:rPr>
      </w:pPr>
      <w:r w:rsidRPr="00211588">
        <w:rPr>
          <w:rFonts w:eastAsia="Calibri"/>
        </w:rPr>
        <w:t>There are no capital, start-up, operating, or maintenance costs associated with this collection.</w:t>
      </w:r>
    </w:p>
    <w:p w:rsidRPr="00357C8A" w:rsidR="00357C8A" w:rsidP="006705EA" w:rsidRDefault="00357C8A" w14:paraId="784F3FF8"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Pr="00357C8A" w:rsidR="00357C8A" w:rsidP="00357C8A" w:rsidRDefault="00364828" w14:paraId="1356049C" w14:textId="77777777">
      <w:pPr>
        <w:spacing w:after="200"/>
        <w:rPr>
          <w:rFonts w:eastAsia="Calibri"/>
        </w:rPr>
      </w:pPr>
      <w:r w:rsidRPr="00364828">
        <w:rPr>
          <w:rFonts w:eastAsia="Calibri"/>
        </w:rPr>
        <w:t xml:space="preserve">It takes </w:t>
      </w:r>
      <w:r w:rsidR="00C03108">
        <w:rPr>
          <w:rFonts w:eastAsia="Calibri"/>
        </w:rPr>
        <w:t>us</w:t>
      </w:r>
      <w:r w:rsidRPr="00364828">
        <w:rPr>
          <w:rFonts w:eastAsia="Calibri"/>
        </w:rPr>
        <w:t xml:space="preserve"> approximately 80 hours to review a request for designation. </w:t>
      </w:r>
      <w:r w:rsidR="001A2653">
        <w:rPr>
          <w:rFonts w:eastAsia="Calibri"/>
        </w:rPr>
        <w:t xml:space="preserve"> </w:t>
      </w:r>
      <w:r w:rsidR="00C03108">
        <w:rPr>
          <w:rFonts w:eastAsia="Calibri"/>
        </w:rPr>
        <w:t>We</w:t>
      </w:r>
      <w:r w:rsidRPr="00364828">
        <w:rPr>
          <w:rFonts w:eastAsia="Calibri"/>
        </w:rPr>
        <w:t xml:space="preserve"> estimate the hourly cost for review and evaluation is $</w:t>
      </w:r>
      <w:r w:rsidR="00AF0FB4">
        <w:rPr>
          <w:rFonts w:eastAsia="Calibri"/>
        </w:rPr>
        <w:t>58.13</w:t>
      </w:r>
      <w:r w:rsidRPr="00364828">
        <w:rPr>
          <w:rFonts w:eastAsia="Calibri"/>
        </w:rPr>
        <w:t xml:space="preserve">/hour, the GS-14/Step-1 rate for the Washington- Baltimore locality pay area for the year </w:t>
      </w:r>
      <w:r w:rsidR="00AF0FB4">
        <w:rPr>
          <w:rFonts w:eastAsia="Calibri"/>
        </w:rPr>
        <w:t>2020</w:t>
      </w:r>
      <w:r w:rsidRPr="00364828">
        <w:rPr>
          <w:rFonts w:eastAsia="Calibri"/>
        </w:rPr>
        <w:t xml:space="preserve">. </w:t>
      </w:r>
      <w:r>
        <w:rPr>
          <w:rFonts w:eastAsia="Calibri"/>
        </w:rPr>
        <w:t xml:space="preserve"> </w:t>
      </w:r>
      <w:r w:rsidRPr="00364828">
        <w:rPr>
          <w:rFonts w:eastAsia="Calibri"/>
        </w:rPr>
        <w:t>Doubling this wage to account for overhead costs, we calculate the hourly cost is $</w:t>
      </w:r>
      <w:r w:rsidR="00AF0FB4">
        <w:rPr>
          <w:rFonts w:eastAsia="Calibri"/>
        </w:rPr>
        <w:t>116.26</w:t>
      </w:r>
      <w:r w:rsidRPr="00364828">
        <w:rPr>
          <w:rFonts w:eastAsia="Calibri"/>
        </w:rPr>
        <w:t xml:space="preserve">/hour. </w:t>
      </w:r>
      <w:r>
        <w:rPr>
          <w:rFonts w:eastAsia="Calibri"/>
        </w:rPr>
        <w:t xml:space="preserve"> </w:t>
      </w:r>
      <w:r w:rsidRPr="00364828">
        <w:rPr>
          <w:rFonts w:eastAsia="Calibri"/>
        </w:rPr>
        <w:t>Thus, the cost to the Federal government is estimated to be $</w:t>
      </w:r>
      <w:r w:rsidR="00AF0FB4">
        <w:rPr>
          <w:rFonts w:eastAsia="Calibri"/>
        </w:rPr>
        <w:t>9,300.80</w:t>
      </w:r>
      <w:r w:rsidRPr="00364828">
        <w:rPr>
          <w:rFonts w:eastAsia="Calibri"/>
        </w:rPr>
        <w:t xml:space="preserve"> per review (80 hours x $</w:t>
      </w:r>
      <w:r w:rsidR="00AF0FB4">
        <w:rPr>
          <w:rFonts w:eastAsia="Calibri"/>
        </w:rPr>
        <w:t>116.26</w:t>
      </w:r>
      <w:r w:rsidRPr="00364828">
        <w:rPr>
          <w:rFonts w:eastAsia="Calibri"/>
        </w:rPr>
        <w:t>/hour = $</w:t>
      </w:r>
      <w:r w:rsidR="00AF0FB4">
        <w:rPr>
          <w:rFonts w:eastAsia="Calibri"/>
        </w:rPr>
        <w:t>9,300.80</w:t>
      </w:r>
      <w:r w:rsidRPr="00364828">
        <w:rPr>
          <w:rFonts w:eastAsia="Calibri"/>
        </w:rPr>
        <w:t xml:space="preserve">). </w:t>
      </w:r>
      <w:r>
        <w:rPr>
          <w:rFonts w:eastAsia="Calibri"/>
        </w:rPr>
        <w:t xml:space="preserve"> </w:t>
      </w:r>
      <w:r w:rsidRPr="00364828">
        <w:rPr>
          <w:rFonts w:eastAsia="Calibri"/>
        </w:rPr>
        <w:t>Estimating one request for designation will be submitted to us annually, the total annualized cost for reviewing a request for designation is $</w:t>
      </w:r>
      <w:r w:rsidR="00955E7D">
        <w:rPr>
          <w:rFonts w:eastAsia="Calibri"/>
        </w:rPr>
        <w:t>9,300.80</w:t>
      </w:r>
      <w:r w:rsidRPr="00364828">
        <w:rPr>
          <w:rFonts w:eastAsia="Calibri"/>
        </w:rPr>
        <w:t>.</w:t>
      </w:r>
    </w:p>
    <w:p w:rsidR="00357C8A" w:rsidP="006705EA" w:rsidRDefault="00A07C61" w14:paraId="65FB7D5B" w14:textId="77777777">
      <w:pPr>
        <w:numPr>
          <w:ilvl w:val="0"/>
          <w:numId w:val="6"/>
        </w:numPr>
        <w:spacing w:after="200" w:line="276" w:lineRule="auto"/>
        <w:rPr>
          <w:rFonts w:eastAsia="Calibri"/>
          <w:u w:val="single"/>
        </w:rPr>
      </w:pPr>
      <w:r>
        <w:rPr>
          <w:rFonts w:eastAsia="Calibri"/>
        </w:rPr>
        <w:br w:type="page"/>
      </w:r>
      <w:r w:rsidRPr="00357C8A" w:rsidR="00357C8A">
        <w:rPr>
          <w:rFonts w:eastAsia="Calibri"/>
          <w:u w:val="single"/>
        </w:rPr>
        <w:lastRenderedPageBreak/>
        <w:t>Explanation for Program Changes or Adjustments</w:t>
      </w:r>
    </w:p>
    <w:p w:rsidRPr="003825AC" w:rsidR="00357C8A" w:rsidP="00357C8A" w:rsidRDefault="00CB6691" w14:paraId="7C04FE19" w14:textId="77777777">
      <w:pPr>
        <w:spacing w:after="200"/>
        <w:rPr>
          <w:rFonts w:eastAsia="Calibri"/>
          <w:color w:val="000000"/>
        </w:rPr>
      </w:pPr>
      <w:r w:rsidRPr="00CB6691">
        <w:rPr>
          <w:rFonts w:eastAsia="Calibri"/>
        </w:rPr>
        <w:t>Based on a review of the information collection since our last request for OMB approval, we have made no adjustments to our burden estimate.</w:t>
      </w:r>
    </w:p>
    <w:p w:rsidRPr="00357C8A" w:rsidR="00357C8A" w:rsidP="006705EA" w:rsidRDefault="00357C8A" w14:paraId="6694F074"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Pr="003825AC" w:rsidR="00357C8A" w:rsidP="00357C8A" w:rsidRDefault="00E57E10" w14:paraId="7AD97737" w14:textId="77777777">
      <w:pPr>
        <w:spacing w:after="200"/>
        <w:rPr>
          <w:rFonts w:eastAsia="Calibri"/>
          <w:color w:val="000000"/>
        </w:rPr>
      </w:pPr>
      <w:r w:rsidRPr="00E57E10">
        <w:rPr>
          <w:rFonts w:eastAsia="Calibri"/>
        </w:rPr>
        <w:t>We are not publishing any information received as a result of this information collection.</w:t>
      </w:r>
    </w:p>
    <w:p w:rsidRPr="00357C8A" w:rsidR="00357C8A" w:rsidP="006705EA" w:rsidRDefault="00357C8A" w14:paraId="03BF7A76"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Pr="003825AC" w:rsidR="00357C8A" w:rsidP="00357C8A" w:rsidRDefault="00E57E10" w14:paraId="63C9AF8C" w14:textId="77777777">
      <w:pPr>
        <w:spacing w:after="200"/>
        <w:rPr>
          <w:rFonts w:eastAsia="Calibri"/>
          <w:color w:val="000000"/>
        </w:rPr>
      </w:pPr>
      <w:r w:rsidRPr="00E57E10">
        <w:rPr>
          <w:rFonts w:eastAsia="Calibri"/>
        </w:rPr>
        <w:t>We are not seeking approval to not display the expiration date for OMB approval of the information collection.</w:t>
      </w:r>
    </w:p>
    <w:p w:rsidRPr="00357C8A" w:rsidR="00357C8A" w:rsidP="006705EA" w:rsidRDefault="00357C8A" w14:paraId="4B606DEB"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Pr="00C20690" w:rsidR="00544138" w:rsidP="00C20690" w:rsidRDefault="00E57E10" w14:paraId="4D65A4F7" w14:textId="77777777">
      <w:pPr>
        <w:spacing w:after="200"/>
        <w:rPr>
          <w:rFonts w:eastAsia="Calibri"/>
        </w:rPr>
      </w:pPr>
      <w:r w:rsidRPr="00E57E10">
        <w:rPr>
          <w:rFonts w:eastAsia="Calibri"/>
        </w:rPr>
        <w:t>There are no exceptions to the certification.</w:t>
      </w:r>
    </w:p>
    <w:sectPr w:rsidRPr="00C20690" w:rsidR="00544138" w:rsidSect="00A07C61">
      <w:footerReference w:type="even" r:id="rId10"/>
      <w:footerReference w:type="default" r:id="rId11"/>
      <w:pgSz w:w="12240" w:h="15840" w:code="1"/>
      <w:pgMar w:top="1440" w:right="1440" w:bottom="14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6A1F9" w14:textId="77777777" w:rsidR="00E13073" w:rsidRDefault="00E13073">
      <w:r>
        <w:separator/>
      </w:r>
    </w:p>
  </w:endnote>
  <w:endnote w:type="continuationSeparator" w:id="0">
    <w:p w14:paraId="016B5446" w14:textId="77777777" w:rsidR="00E13073" w:rsidRDefault="00E13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2095E"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BE1152"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10C90"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4DEBCC06"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BA106" w14:textId="77777777" w:rsidR="00E13073" w:rsidRDefault="00E13073">
      <w:r>
        <w:separator/>
      </w:r>
    </w:p>
  </w:footnote>
  <w:footnote w:type="continuationSeparator" w:id="0">
    <w:p w14:paraId="35EB87BD" w14:textId="77777777" w:rsidR="00E13073" w:rsidRDefault="00E13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lvlOverride w:ilvl="0"/>
    <w:lvlOverride w:ilvl="1"/>
    <w:lvlOverride w:ilvl="2"/>
    <w:lvlOverride w:ilvl="3"/>
    <w:lvlOverride w:ilvl="4"/>
    <w:lvlOverride w:ilvl="5"/>
    <w:lvlOverride w:ilvl="6"/>
    <w:lvlOverride w:ilvl="7"/>
    <w:lvlOverride w:ilvl="8"/>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7538"/>
    <w:rsid w:val="00031A2C"/>
    <w:rsid w:val="00042B93"/>
    <w:rsid w:val="00043C7F"/>
    <w:rsid w:val="000467A8"/>
    <w:rsid w:val="0006570F"/>
    <w:rsid w:val="00075DE8"/>
    <w:rsid w:val="00083609"/>
    <w:rsid w:val="00087439"/>
    <w:rsid w:val="000C1260"/>
    <w:rsid w:val="000C560C"/>
    <w:rsid w:val="000D076A"/>
    <w:rsid w:val="000D080B"/>
    <w:rsid w:val="000D48FD"/>
    <w:rsid w:val="000D79CC"/>
    <w:rsid w:val="000E1C64"/>
    <w:rsid w:val="000F7119"/>
    <w:rsid w:val="00100739"/>
    <w:rsid w:val="0010493E"/>
    <w:rsid w:val="0010729A"/>
    <w:rsid w:val="001075D3"/>
    <w:rsid w:val="00107885"/>
    <w:rsid w:val="00114FC4"/>
    <w:rsid w:val="0012329C"/>
    <w:rsid w:val="00134FA7"/>
    <w:rsid w:val="00137950"/>
    <w:rsid w:val="00152F29"/>
    <w:rsid w:val="00174D54"/>
    <w:rsid w:val="0017702C"/>
    <w:rsid w:val="0018142B"/>
    <w:rsid w:val="00185270"/>
    <w:rsid w:val="001A2653"/>
    <w:rsid w:val="001A3B5A"/>
    <w:rsid w:val="001B7CE9"/>
    <w:rsid w:val="001D495A"/>
    <w:rsid w:val="001E1FDE"/>
    <w:rsid w:val="001E244C"/>
    <w:rsid w:val="001F1437"/>
    <w:rsid w:val="00204B08"/>
    <w:rsid w:val="00206799"/>
    <w:rsid w:val="002074FE"/>
    <w:rsid w:val="00211588"/>
    <w:rsid w:val="0022425B"/>
    <w:rsid w:val="002259EF"/>
    <w:rsid w:val="00242ED1"/>
    <w:rsid w:val="002444BB"/>
    <w:rsid w:val="00254069"/>
    <w:rsid w:val="00266077"/>
    <w:rsid w:val="00270748"/>
    <w:rsid w:val="002734E5"/>
    <w:rsid w:val="002746DB"/>
    <w:rsid w:val="00280CAF"/>
    <w:rsid w:val="00282F09"/>
    <w:rsid w:val="00291810"/>
    <w:rsid w:val="00294D62"/>
    <w:rsid w:val="00297532"/>
    <w:rsid w:val="00297FFD"/>
    <w:rsid w:val="002A1210"/>
    <w:rsid w:val="002A1E5A"/>
    <w:rsid w:val="002A47D2"/>
    <w:rsid w:val="002A5ADE"/>
    <w:rsid w:val="002A7FB5"/>
    <w:rsid w:val="002B2074"/>
    <w:rsid w:val="002D14D8"/>
    <w:rsid w:val="002D4799"/>
    <w:rsid w:val="002E3FA4"/>
    <w:rsid w:val="002E53A5"/>
    <w:rsid w:val="002E64B8"/>
    <w:rsid w:val="002E6834"/>
    <w:rsid w:val="003074A1"/>
    <w:rsid w:val="003113FF"/>
    <w:rsid w:val="00312622"/>
    <w:rsid w:val="0032060F"/>
    <w:rsid w:val="0032277F"/>
    <w:rsid w:val="00336B69"/>
    <w:rsid w:val="0034302B"/>
    <w:rsid w:val="00350523"/>
    <w:rsid w:val="0035189D"/>
    <w:rsid w:val="00355B62"/>
    <w:rsid w:val="00357C8A"/>
    <w:rsid w:val="00364828"/>
    <w:rsid w:val="003740BC"/>
    <w:rsid w:val="0037456B"/>
    <w:rsid w:val="003801A3"/>
    <w:rsid w:val="003825AC"/>
    <w:rsid w:val="00383D90"/>
    <w:rsid w:val="003870AE"/>
    <w:rsid w:val="00395E7E"/>
    <w:rsid w:val="003A1A27"/>
    <w:rsid w:val="003A50CC"/>
    <w:rsid w:val="003B42B3"/>
    <w:rsid w:val="003B6384"/>
    <w:rsid w:val="003C0FE2"/>
    <w:rsid w:val="003C4EBB"/>
    <w:rsid w:val="003D1531"/>
    <w:rsid w:val="003E2ED0"/>
    <w:rsid w:val="003E4EC6"/>
    <w:rsid w:val="003E527E"/>
    <w:rsid w:val="003E553E"/>
    <w:rsid w:val="003E7078"/>
    <w:rsid w:val="003F3DF5"/>
    <w:rsid w:val="003F6EE3"/>
    <w:rsid w:val="003F73B8"/>
    <w:rsid w:val="0040297E"/>
    <w:rsid w:val="00410016"/>
    <w:rsid w:val="00411D11"/>
    <w:rsid w:val="00414494"/>
    <w:rsid w:val="00415E23"/>
    <w:rsid w:val="0041670D"/>
    <w:rsid w:val="00422A06"/>
    <w:rsid w:val="00423272"/>
    <w:rsid w:val="00424061"/>
    <w:rsid w:val="00442A3C"/>
    <w:rsid w:val="00443969"/>
    <w:rsid w:val="00447D74"/>
    <w:rsid w:val="00450A74"/>
    <w:rsid w:val="004546BF"/>
    <w:rsid w:val="00463BC7"/>
    <w:rsid w:val="00465350"/>
    <w:rsid w:val="00476B91"/>
    <w:rsid w:val="004846BF"/>
    <w:rsid w:val="00487D4B"/>
    <w:rsid w:val="00494912"/>
    <w:rsid w:val="004A5323"/>
    <w:rsid w:val="004A5A99"/>
    <w:rsid w:val="004C6979"/>
    <w:rsid w:val="004D13A2"/>
    <w:rsid w:val="004D3E7A"/>
    <w:rsid w:val="004F594B"/>
    <w:rsid w:val="004F61E1"/>
    <w:rsid w:val="004F7EDD"/>
    <w:rsid w:val="0053380B"/>
    <w:rsid w:val="00543194"/>
    <w:rsid w:val="00544138"/>
    <w:rsid w:val="00554E34"/>
    <w:rsid w:val="00583AC8"/>
    <w:rsid w:val="00584583"/>
    <w:rsid w:val="00590E90"/>
    <w:rsid w:val="00590EEB"/>
    <w:rsid w:val="00591CAE"/>
    <w:rsid w:val="005A4099"/>
    <w:rsid w:val="005C38B2"/>
    <w:rsid w:val="005C5029"/>
    <w:rsid w:val="005C55C2"/>
    <w:rsid w:val="005C71CA"/>
    <w:rsid w:val="005C745C"/>
    <w:rsid w:val="005D4DF5"/>
    <w:rsid w:val="005E42BA"/>
    <w:rsid w:val="006042E6"/>
    <w:rsid w:val="00611D6B"/>
    <w:rsid w:val="006221BA"/>
    <w:rsid w:val="006326EC"/>
    <w:rsid w:val="00663A42"/>
    <w:rsid w:val="006641C7"/>
    <w:rsid w:val="006705EA"/>
    <w:rsid w:val="00670BE2"/>
    <w:rsid w:val="006916D9"/>
    <w:rsid w:val="006A0E05"/>
    <w:rsid w:val="006A26C6"/>
    <w:rsid w:val="006A465A"/>
    <w:rsid w:val="006A7283"/>
    <w:rsid w:val="006A7D5D"/>
    <w:rsid w:val="006C1B71"/>
    <w:rsid w:val="006D0604"/>
    <w:rsid w:val="006D0C12"/>
    <w:rsid w:val="006D5D57"/>
    <w:rsid w:val="006E2538"/>
    <w:rsid w:val="006E302F"/>
    <w:rsid w:val="006F4D6D"/>
    <w:rsid w:val="00705086"/>
    <w:rsid w:val="00722001"/>
    <w:rsid w:val="0073010A"/>
    <w:rsid w:val="00751E66"/>
    <w:rsid w:val="00754497"/>
    <w:rsid w:val="00763428"/>
    <w:rsid w:val="00766F8F"/>
    <w:rsid w:val="00787C39"/>
    <w:rsid w:val="00792947"/>
    <w:rsid w:val="00795DF3"/>
    <w:rsid w:val="007A373C"/>
    <w:rsid w:val="007B225C"/>
    <w:rsid w:val="007C75B1"/>
    <w:rsid w:val="007D3DFC"/>
    <w:rsid w:val="007E2F07"/>
    <w:rsid w:val="007E59A8"/>
    <w:rsid w:val="007F70CD"/>
    <w:rsid w:val="0080776D"/>
    <w:rsid w:val="00810145"/>
    <w:rsid w:val="008108FA"/>
    <w:rsid w:val="00810FF1"/>
    <w:rsid w:val="00822336"/>
    <w:rsid w:val="00823DFA"/>
    <w:rsid w:val="00842DB7"/>
    <w:rsid w:val="00843752"/>
    <w:rsid w:val="0084479F"/>
    <w:rsid w:val="0085725E"/>
    <w:rsid w:val="00861377"/>
    <w:rsid w:val="00873D4F"/>
    <w:rsid w:val="0087509F"/>
    <w:rsid w:val="00885B09"/>
    <w:rsid w:val="00892400"/>
    <w:rsid w:val="00894067"/>
    <w:rsid w:val="008A209D"/>
    <w:rsid w:val="008A22BB"/>
    <w:rsid w:val="008B035D"/>
    <w:rsid w:val="008B0E29"/>
    <w:rsid w:val="008B0EFA"/>
    <w:rsid w:val="008B30AB"/>
    <w:rsid w:val="008C3BB8"/>
    <w:rsid w:val="008C4B65"/>
    <w:rsid w:val="008E5F55"/>
    <w:rsid w:val="009009E7"/>
    <w:rsid w:val="00905DEF"/>
    <w:rsid w:val="00906056"/>
    <w:rsid w:val="009122AE"/>
    <w:rsid w:val="00913B43"/>
    <w:rsid w:val="00925F34"/>
    <w:rsid w:val="00930203"/>
    <w:rsid w:val="009311D2"/>
    <w:rsid w:val="009311E6"/>
    <w:rsid w:val="00931275"/>
    <w:rsid w:val="00936AC7"/>
    <w:rsid w:val="00953B64"/>
    <w:rsid w:val="00955E7D"/>
    <w:rsid w:val="009646A7"/>
    <w:rsid w:val="00970A88"/>
    <w:rsid w:val="009818A1"/>
    <w:rsid w:val="009A1674"/>
    <w:rsid w:val="009B38BE"/>
    <w:rsid w:val="009B4DF2"/>
    <w:rsid w:val="009C5CF9"/>
    <w:rsid w:val="009C684F"/>
    <w:rsid w:val="009D074C"/>
    <w:rsid w:val="009D6E73"/>
    <w:rsid w:val="009F1F1D"/>
    <w:rsid w:val="009F2B4F"/>
    <w:rsid w:val="009F3C63"/>
    <w:rsid w:val="009F66B5"/>
    <w:rsid w:val="00A02F10"/>
    <w:rsid w:val="00A07C61"/>
    <w:rsid w:val="00A16221"/>
    <w:rsid w:val="00A20A7D"/>
    <w:rsid w:val="00A23F00"/>
    <w:rsid w:val="00A35D42"/>
    <w:rsid w:val="00A46CCF"/>
    <w:rsid w:val="00A506DE"/>
    <w:rsid w:val="00A53451"/>
    <w:rsid w:val="00A56BE1"/>
    <w:rsid w:val="00A70426"/>
    <w:rsid w:val="00A707CC"/>
    <w:rsid w:val="00A71410"/>
    <w:rsid w:val="00A91E9A"/>
    <w:rsid w:val="00A93ED9"/>
    <w:rsid w:val="00A96221"/>
    <w:rsid w:val="00AA0569"/>
    <w:rsid w:val="00AC2DBB"/>
    <w:rsid w:val="00AC6A99"/>
    <w:rsid w:val="00AD6048"/>
    <w:rsid w:val="00AF0FB4"/>
    <w:rsid w:val="00B055EF"/>
    <w:rsid w:val="00B0566B"/>
    <w:rsid w:val="00B06B5B"/>
    <w:rsid w:val="00B23769"/>
    <w:rsid w:val="00B41789"/>
    <w:rsid w:val="00B56682"/>
    <w:rsid w:val="00B615BC"/>
    <w:rsid w:val="00B6483D"/>
    <w:rsid w:val="00B81808"/>
    <w:rsid w:val="00B86DFA"/>
    <w:rsid w:val="00B936D0"/>
    <w:rsid w:val="00BA7F68"/>
    <w:rsid w:val="00BB15FB"/>
    <w:rsid w:val="00BD3D5B"/>
    <w:rsid w:val="00BE3600"/>
    <w:rsid w:val="00BE5BC2"/>
    <w:rsid w:val="00C01F6F"/>
    <w:rsid w:val="00C03108"/>
    <w:rsid w:val="00C041EA"/>
    <w:rsid w:val="00C13BBD"/>
    <w:rsid w:val="00C149AB"/>
    <w:rsid w:val="00C16929"/>
    <w:rsid w:val="00C20690"/>
    <w:rsid w:val="00C36020"/>
    <w:rsid w:val="00C40694"/>
    <w:rsid w:val="00C46C92"/>
    <w:rsid w:val="00C479BF"/>
    <w:rsid w:val="00C5124B"/>
    <w:rsid w:val="00C70542"/>
    <w:rsid w:val="00C75CBF"/>
    <w:rsid w:val="00C848E9"/>
    <w:rsid w:val="00CB6691"/>
    <w:rsid w:val="00CB6D0D"/>
    <w:rsid w:val="00CC2894"/>
    <w:rsid w:val="00CD77C3"/>
    <w:rsid w:val="00CE112C"/>
    <w:rsid w:val="00CF55D4"/>
    <w:rsid w:val="00D569AC"/>
    <w:rsid w:val="00D608DA"/>
    <w:rsid w:val="00D730BF"/>
    <w:rsid w:val="00D852F4"/>
    <w:rsid w:val="00DB1110"/>
    <w:rsid w:val="00DB3730"/>
    <w:rsid w:val="00DC371B"/>
    <w:rsid w:val="00DC3788"/>
    <w:rsid w:val="00DC76C7"/>
    <w:rsid w:val="00DD09F5"/>
    <w:rsid w:val="00DD0E02"/>
    <w:rsid w:val="00DD4201"/>
    <w:rsid w:val="00DD5E9F"/>
    <w:rsid w:val="00DE5711"/>
    <w:rsid w:val="00DE7E0F"/>
    <w:rsid w:val="00E00EA0"/>
    <w:rsid w:val="00E021CB"/>
    <w:rsid w:val="00E13073"/>
    <w:rsid w:val="00E138F1"/>
    <w:rsid w:val="00E2309D"/>
    <w:rsid w:val="00E26758"/>
    <w:rsid w:val="00E4357B"/>
    <w:rsid w:val="00E443A7"/>
    <w:rsid w:val="00E4442B"/>
    <w:rsid w:val="00E45904"/>
    <w:rsid w:val="00E57E10"/>
    <w:rsid w:val="00E63DE5"/>
    <w:rsid w:val="00E647AF"/>
    <w:rsid w:val="00E647C7"/>
    <w:rsid w:val="00E65A37"/>
    <w:rsid w:val="00E65EF7"/>
    <w:rsid w:val="00E77B48"/>
    <w:rsid w:val="00E857FB"/>
    <w:rsid w:val="00E91799"/>
    <w:rsid w:val="00E97DF8"/>
    <w:rsid w:val="00EA21FE"/>
    <w:rsid w:val="00EA34E3"/>
    <w:rsid w:val="00EB7538"/>
    <w:rsid w:val="00EC1868"/>
    <w:rsid w:val="00EC4178"/>
    <w:rsid w:val="00ED34EE"/>
    <w:rsid w:val="00EE6468"/>
    <w:rsid w:val="00F1299B"/>
    <w:rsid w:val="00F207A4"/>
    <w:rsid w:val="00F25173"/>
    <w:rsid w:val="00F355AC"/>
    <w:rsid w:val="00F40CF7"/>
    <w:rsid w:val="00F44194"/>
    <w:rsid w:val="00F5283C"/>
    <w:rsid w:val="00F71A5A"/>
    <w:rsid w:val="00F73A1A"/>
    <w:rsid w:val="00F769E0"/>
    <w:rsid w:val="00F82913"/>
    <w:rsid w:val="00F96235"/>
    <w:rsid w:val="00FA4A46"/>
    <w:rsid w:val="00FA75FE"/>
    <w:rsid w:val="00FB1032"/>
    <w:rsid w:val="00FB39BC"/>
    <w:rsid w:val="00FB6A53"/>
    <w:rsid w:val="00FC11CA"/>
    <w:rsid w:val="00FC6BDE"/>
    <w:rsid w:val="00FD2ACD"/>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68BBD"/>
  <w15:chartTrackingRefBased/>
  <w15:docId w15:val="{725544B6-7BB9-4EC0-A753-7638B116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BodyText">
    <w:name w:val="Body Text"/>
    <w:basedOn w:val="Normal"/>
    <w:link w:val="BodyTextChar"/>
    <w:rsid w:val="00487D4B"/>
    <w:pPr>
      <w:spacing w:after="120"/>
    </w:pPr>
  </w:style>
  <w:style w:type="character" w:customStyle="1" w:styleId="BodyTextChar">
    <w:name w:val="Body Text Char"/>
    <w:link w:val="BodyText"/>
    <w:rsid w:val="00487D4B"/>
    <w:rPr>
      <w:sz w:val="24"/>
      <w:szCs w:val="24"/>
    </w:rPr>
  </w:style>
  <w:style w:type="paragraph" w:customStyle="1" w:styleId="TableParagraph">
    <w:name w:val="Table Paragraph"/>
    <w:basedOn w:val="Normal"/>
    <w:uiPriority w:val="1"/>
    <w:qFormat/>
    <w:rsid w:val="009C5CF9"/>
    <w:pPr>
      <w:widowControl w:val="0"/>
      <w:autoSpaceDE w:val="0"/>
      <w:autoSpaceDN w:val="0"/>
      <w:spacing w:line="227" w:lineRule="exact"/>
      <w:jc w:val="right"/>
    </w:pPr>
    <w:rPr>
      <w:sz w:val="22"/>
      <w:szCs w:val="22"/>
    </w:rPr>
  </w:style>
  <w:style w:type="character" w:styleId="CommentReference">
    <w:name w:val="annotation reference"/>
    <w:rsid w:val="002A5ADE"/>
    <w:rPr>
      <w:sz w:val="16"/>
      <w:szCs w:val="16"/>
    </w:rPr>
  </w:style>
  <w:style w:type="paragraph" w:styleId="CommentText">
    <w:name w:val="annotation text"/>
    <w:basedOn w:val="Normal"/>
    <w:link w:val="CommentTextChar"/>
    <w:rsid w:val="002A5ADE"/>
    <w:rPr>
      <w:sz w:val="20"/>
      <w:szCs w:val="20"/>
    </w:rPr>
  </w:style>
  <w:style w:type="character" w:customStyle="1" w:styleId="CommentTextChar">
    <w:name w:val="Comment Text Char"/>
    <w:basedOn w:val="DefaultParagraphFont"/>
    <w:link w:val="CommentText"/>
    <w:rsid w:val="002A5ADE"/>
  </w:style>
  <w:style w:type="paragraph" w:styleId="CommentSubject">
    <w:name w:val="annotation subject"/>
    <w:basedOn w:val="CommentText"/>
    <w:next w:val="CommentText"/>
    <w:link w:val="CommentSubjectChar"/>
    <w:rsid w:val="002A5ADE"/>
    <w:rPr>
      <w:b/>
      <w:bCs/>
    </w:rPr>
  </w:style>
  <w:style w:type="character" w:customStyle="1" w:styleId="CommentSubjectChar">
    <w:name w:val="Comment Subject Char"/>
    <w:link w:val="CommentSubject"/>
    <w:rsid w:val="002A5A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0" ma:contentTypeDescription="Create a new document." ma:contentTypeScope="" ma:versionID="2d8172902937bd671e1f175e0a7072dc">
  <xsd:schema xmlns:xsd="http://www.w3.org/2001/XMLSchema" xmlns:xs="http://www.w3.org/2001/XMLSchema" xmlns:p="http://schemas.microsoft.com/office/2006/metadata/properties" xmlns:ns3="978cbee1-b604-4d95-9f89-3d25ff6383a8" targetNamespace="http://schemas.microsoft.com/office/2006/metadata/properties" ma:root="true" ma:fieldsID="2198e51545d67ad5d0324c0da15ff561" ns3:_="">
    <xsd:import namespace="978cbee1-b604-4d95-9f89-3d25ff6383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028674-9DF0-4013-BA41-903D1EAA0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790179-CA9D-4C65-A6D3-377B88FDAFFF}">
  <ds:schemaRefs>
    <ds:schemaRef ds:uri="http://schemas.microsoft.com/sharepoint/v3/contenttype/forms"/>
  </ds:schemaRefs>
</ds:datastoreItem>
</file>

<file path=customXml/itemProps3.xml><?xml version="1.0" encoding="utf-8"?>
<ds:datastoreItem xmlns:ds="http://schemas.openxmlformats.org/officeDocument/2006/customXml" ds:itemID="{71BDDE03-D0B9-4E91-81FC-ADBA097786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3706</Words>
  <Characters>21125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24782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Bean, Domini</cp:lastModifiedBy>
  <cp:revision>3</cp:revision>
  <cp:lastPrinted>2019-07-03T16:25:00Z</cp:lastPrinted>
  <dcterms:created xsi:type="dcterms:W3CDTF">2021-01-11T17:10:00Z</dcterms:created>
  <dcterms:modified xsi:type="dcterms:W3CDTF">2021-01-11T17:34:00Z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ies>
</file>