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AC2" w:rsidP="001B1AC2" w:rsidRDefault="001B1AC2" w14:paraId="43CD9A0A" w14:textId="77777777">
      <w:pPr>
        <w:jc w:val="center"/>
        <w:rPr>
          <w:rFonts w:ascii="Times New Roman" w:hAnsi="Times New Roman" w:cs="Times New Roman"/>
          <w:sz w:val="24"/>
          <w:szCs w:val="24"/>
        </w:rPr>
      </w:pPr>
    </w:p>
    <w:p w:rsidR="001B1AC2" w:rsidP="001B1AC2" w:rsidRDefault="001B1AC2" w14:paraId="419B3C69" w14:textId="77777777">
      <w:pPr>
        <w:jc w:val="center"/>
        <w:rPr>
          <w:rFonts w:ascii="Times New Roman" w:hAnsi="Times New Roman" w:cs="Times New Roman"/>
          <w:sz w:val="24"/>
          <w:szCs w:val="24"/>
        </w:rPr>
      </w:pPr>
    </w:p>
    <w:p w:rsidR="001B1AC2" w:rsidP="001B1AC2" w:rsidRDefault="001B1AC2" w14:paraId="7B696C9F" w14:textId="77777777">
      <w:pPr>
        <w:jc w:val="center"/>
        <w:rPr>
          <w:rFonts w:ascii="Times New Roman" w:hAnsi="Times New Roman" w:cs="Times New Roman"/>
          <w:sz w:val="24"/>
          <w:szCs w:val="24"/>
        </w:rPr>
      </w:pPr>
    </w:p>
    <w:p w:rsidR="001B1AC2" w:rsidP="001B1AC2" w:rsidRDefault="001B1AC2" w14:paraId="1678FFDB" w14:textId="77777777">
      <w:pPr>
        <w:jc w:val="center"/>
        <w:rPr>
          <w:rFonts w:ascii="Times New Roman" w:hAnsi="Times New Roman" w:cs="Times New Roman"/>
          <w:sz w:val="24"/>
          <w:szCs w:val="24"/>
        </w:rPr>
      </w:pPr>
    </w:p>
    <w:p w:rsidR="001B1AC2" w:rsidP="001B1AC2" w:rsidRDefault="001B1AC2" w14:paraId="3AFC4435" w14:textId="77777777">
      <w:pPr>
        <w:jc w:val="center"/>
        <w:rPr>
          <w:rFonts w:ascii="Times New Roman" w:hAnsi="Times New Roman" w:cs="Times New Roman"/>
          <w:sz w:val="24"/>
          <w:szCs w:val="24"/>
        </w:rPr>
      </w:pPr>
    </w:p>
    <w:p w:rsidR="001B1AC2" w:rsidP="001B1AC2" w:rsidRDefault="001B1AC2" w14:paraId="7AD18250" w14:textId="77777777">
      <w:pPr>
        <w:jc w:val="center"/>
        <w:rPr>
          <w:rFonts w:ascii="Times New Roman" w:hAnsi="Times New Roman" w:cs="Times New Roman"/>
          <w:sz w:val="24"/>
          <w:szCs w:val="24"/>
        </w:rPr>
      </w:pPr>
    </w:p>
    <w:p w:rsidR="001B1AC2" w:rsidP="001B1AC2" w:rsidRDefault="001B1AC2" w14:paraId="528127D4" w14:textId="77777777">
      <w:pPr>
        <w:jc w:val="center"/>
        <w:rPr>
          <w:rFonts w:ascii="Times New Roman" w:hAnsi="Times New Roman" w:cs="Times New Roman"/>
          <w:sz w:val="24"/>
          <w:szCs w:val="24"/>
        </w:rPr>
      </w:pPr>
    </w:p>
    <w:p w:rsidR="001B1AC2" w:rsidP="001B1AC2" w:rsidRDefault="001B1AC2" w14:paraId="3FE1D817" w14:textId="77777777">
      <w:pPr>
        <w:jc w:val="center"/>
        <w:rPr>
          <w:rFonts w:ascii="Times New Roman" w:hAnsi="Times New Roman" w:cs="Times New Roman"/>
          <w:sz w:val="24"/>
          <w:szCs w:val="24"/>
        </w:rPr>
      </w:pPr>
    </w:p>
    <w:p w:rsidR="001B1AC2" w:rsidP="001B1AC2" w:rsidRDefault="001B1AC2" w14:paraId="562BCFA8" w14:textId="77777777">
      <w:pPr>
        <w:jc w:val="center"/>
        <w:rPr>
          <w:rFonts w:ascii="Times New Roman" w:hAnsi="Times New Roman" w:cs="Times New Roman"/>
          <w:sz w:val="24"/>
          <w:szCs w:val="24"/>
        </w:rPr>
      </w:pPr>
    </w:p>
    <w:p w:rsidR="001B1AC2" w:rsidP="001B1AC2" w:rsidRDefault="001B1AC2" w14:paraId="69CA500C" w14:textId="77777777">
      <w:pPr>
        <w:jc w:val="center"/>
        <w:rPr>
          <w:rFonts w:ascii="Times New Roman" w:hAnsi="Times New Roman" w:cs="Times New Roman"/>
          <w:sz w:val="24"/>
          <w:szCs w:val="24"/>
        </w:rPr>
      </w:pPr>
    </w:p>
    <w:p w:rsidR="001B1AC2" w:rsidP="001B1AC2" w:rsidRDefault="001B1AC2" w14:paraId="116DCB68" w14:textId="77777777">
      <w:pPr>
        <w:jc w:val="center"/>
        <w:rPr>
          <w:rFonts w:ascii="Times New Roman" w:hAnsi="Times New Roman" w:cs="Times New Roman"/>
          <w:sz w:val="24"/>
          <w:szCs w:val="24"/>
        </w:rPr>
      </w:pPr>
    </w:p>
    <w:p w:rsidR="001B1AC2" w:rsidP="001B1AC2" w:rsidRDefault="001B1AC2" w14:paraId="3C210F9A" w14:textId="77777777">
      <w:pPr>
        <w:jc w:val="center"/>
        <w:rPr>
          <w:rFonts w:ascii="Times New Roman" w:hAnsi="Times New Roman" w:cs="Times New Roman"/>
          <w:sz w:val="24"/>
          <w:szCs w:val="24"/>
        </w:rPr>
      </w:pPr>
    </w:p>
    <w:p w:rsidR="001B1AC2" w:rsidP="001B1AC2" w:rsidRDefault="001B1AC2" w14:paraId="5B6050F9" w14:textId="77777777">
      <w:pPr>
        <w:jc w:val="center"/>
        <w:rPr>
          <w:rFonts w:ascii="Times New Roman" w:hAnsi="Times New Roman" w:cs="Times New Roman"/>
          <w:sz w:val="24"/>
          <w:szCs w:val="24"/>
        </w:rPr>
      </w:pPr>
    </w:p>
    <w:p w:rsidR="001B1AC2" w:rsidP="001B1AC2" w:rsidRDefault="001B1AC2" w14:paraId="190F4BFB" w14:textId="77777777">
      <w:pPr>
        <w:jc w:val="center"/>
        <w:rPr>
          <w:rFonts w:ascii="Times New Roman" w:hAnsi="Times New Roman" w:cs="Times New Roman"/>
          <w:sz w:val="24"/>
          <w:szCs w:val="24"/>
        </w:rPr>
      </w:pPr>
    </w:p>
    <w:p w:rsidR="001B1AC2" w:rsidP="001B1AC2" w:rsidRDefault="001B1AC2" w14:paraId="7AE2A8C2" w14:textId="77777777">
      <w:pPr>
        <w:jc w:val="center"/>
        <w:rPr>
          <w:rFonts w:ascii="Times New Roman" w:hAnsi="Times New Roman" w:cs="Times New Roman"/>
          <w:sz w:val="24"/>
          <w:szCs w:val="24"/>
        </w:rPr>
      </w:pPr>
    </w:p>
    <w:p w:rsidR="001B1AC2" w:rsidP="001B1AC2" w:rsidRDefault="001B1AC2" w14:paraId="64710CBE" w14:textId="77777777">
      <w:pPr>
        <w:jc w:val="center"/>
        <w:rPr>
          <w:rFonts w:ascii="Times New Roman" w:hAnsi="Times New Roman" w:cs="Times New Roman"/>
          <w:sz w:val="24"/>
          <w:szCs w:val="24"/>
        </w:rPr>
      </w:pPr>
      <w:r>
        <w:rPr>
          <w:rFonts w:ascii="Times New Roman" w:hAnsi="Times New Roman" w:cs="Times New Roman"/>
          <w:sz w:val="24"/>
          <w:szCs w:val="24"/>
        </w:rPr>
        <w:t xml:space="preserve">INFORMATION COLLECTIONS TO ADVANCE STATE, TRIBAL, LOCAL AND </w:t>
      </w:r>
    </w:p>
    <w:p w:rsidR="001B1AC2" w:rsidP="001B1AC2" w:rsidRDefault="001B1AC2" w14:paraId="6002AF03" w14:textId="2F9952E2">
      <w:pPr>
        <w:jc w:val="center"/>
        <w:rPr>
          <w:rFonts w:ascii="Times New Roman" w:hAnsi="Times New Roman" w:cs="Times New Roman"/>
          <w:sz w:val="24"/>
          <w:szCs w:val="24"/>
        </w:rPr>
      </w:pPr>
      <w:r>
        <w:rPr>
          <w:rFonts w:ascii="Times New Roman" w:hAnsi="Times New Roman" w:cs="Times New Roman"/>
          <w:sz w:val="24"/>
          <w:szCs w:val="24"/>
        </w:rPr>
        <w:t xml:space="preserve">TERRITORIAL (STLT) GOVERNMENTAL AGENCY </w:t>
      </w:r>
      <w:r w:rsidR="00F0405F">
        <w:rPr>
          <w:rFonts w:ascii="Times New Roman" w:hAnsi="Times New Roman" w:cs="Times New Roman"/>
          <w:sz w:val="24"/>
          <w:szCs w:val="24"/>
        </w:rPr>
        <w:t xml:space="preserve">AND </w:t>
      </w:r>
      <w:r>
        <w:rPr>
          <w:rFonts w:ascii="Times New Roman" w:hAnsi="Times New Roman" w:cs="Times New Roman"/>
          <w:sz w:val="24"/>
          <w:szCs w:val="24"/>
        </w:rPr>
        <w:t xml:space="preserve">SYSTEM PERFORMANCE, </w:t>
      </w:r>
    </w:p>
    <w:p w:rsidRPr="001B1AC2" w:rsidR="001B1AC2" w:rsidP="001B1AC2" w:rsidRDefault="001B1AC2" w14:paraId="6200E5B2" w14:textId="77777777">
      <w:pPr>
        <w:jc w:val="center"/>
        <w:rPr>
          <w:rFonts w:ascii="Times New Roman" w:hAnsi="Times New Roman" w:cs="Times New Roman"/>
          <w:sz w:val="24"/>
          <w:szCs w:val="24"/>
        </w:rPr>
      </w:pPr>
      <w:r>
        <w:rPr>
          <w:rFonts w:ascii="Times New Roman" w:hAnsi="Times New Roman" w:cs="Times New Roman"/>
          <w:sz w:val="24"/>
          <w:szCs w:val="24"/>
        </w:rPr>
        <w:t>CAPACITY, AND PROGRAM DELIVERY</w:t>
      </w:r>
    </w:p>
    <w:p w:rsidRPr="001B1AC2" w:rsidR="001B1AC2" w:rsidP="001B1AC2" w:rsidRDefault="001B1AC2" w14:paraId="5778D52C" w14:textId="77777777">
      <w:pPr>
        <w:jc w:val="center"/>
        <w:rPr>
          <w:rFonts w:ascii="Times New Roman" w:hAnsi="Times New Roman" w:cs="Times New Roman"/>
          <w:sz w:val="24"/>
          <w:szCs w:val="24"/>
        </w:rPr>
      </w:pPr>
    </w:p>
    <w:p w:rsidR="001B1AC2" w:rsidP="001B1AC2" w:rsidRDefault="001B1AC2" w14:paraId="5196EE52" w14:textId="77777777">
      <w:pPr>
        <w:jc w:val="center"/>
        <w:rPr>
          <w:rFonts w:ascii="Times New Roman" w:hAnsi="Times New Roman" w:cs="Times New Roman"/>
          <w:sz w:val="24"/>
          <w:szCs w:val="24"/>
        </w:rPr>
      </w:pPr>
    </w:p>
    <w:p w:rsidR="001B1AC2" w:rsidP="001B1AC2" w:rsidRDefault="001B1AC2" w14:paraId="2641AADD" w14:textId="77777777">
      <w:pPr>
        <w:jc w:val="center"/>
        <w:rPr>
          <w:rFonts w:ascii="Times New Roman" w:hAnsi="Times New Roman" w:cs="Times New Roman"/>
          <w:sz w:val="24"/>
          <w:szCs w:val="24"/>
        </w:rPr>
      </w:pPr>
    </w:p>
    <w:p w:rsidRPr="001B1AC2" w:rsidR="001B1AC2" w:rsidP="001B1AC2" w:rsidRDefault="001B1AC2" w14:paraId="4044A96A" w14:textId="77777777">
      <w:pPr>
        <w:jc w:val="center"/>
        <w:rPr>
          <w:rFonts w:ascii="Times New Roman" w:hAnsi="Times New Roman" w:cs="Times New Roman"/>
          <w:sz w:val="24"/>
          <w:szCs w:val="24"/>
        </w:rPr>
      </w:pPr>
      <w:r w:rsidRPr="001B1AC2">
        <w:rPr>
          <w:rFonts w:ascii="Times New Roman" w:hAnsi="Times New Roman" w:cs="Times New Roman"/>
          <w:sz w:val="24"/>
          <w:szCs w:val="24"/>
        </w:rPr>
        <w:t>CENTERS FOR DISEASE CONTROL AND PREVENTION (CDC)</w:t>
      </w:r>
    </w:p>
    <w:p w:rsidRPr="001B1AC2" w:rsidR="001B1AC2" w:rsidP="001B1AC2" w:rsidRDefault="001B1AC2" w14:paraId="25242C23" w14:textId="77777777">
      <w:pPr>
        <w:jc w:val="center"/>
        <w:rPr>
          <w:rFonts w:ascii="Times New Roman" w:hAnsi="Times New Roman" w:cs="Times New Roman"/>
          <w:sz w:val="24"/>
          <w:szCs w:val="24"/>
        </w:rPr>
      </w:pPr>
    </w:p>
    <w:p w:rsidRPr="001B1AC2" w:rsidR="001B1AC2" w:rsidP="001B1AC2" w:rsidRDefault="001B1AC2" w14:paraId="77BE1261" w14:textId="77777777">
      <w:pPr>
        <w:jc w:val="center"/>
        <w:rPr>
          <w:rFonts w:ascii="Times New Roman" w:hAnsi="Times New Roman" w:cs="Times New Roman"/>
          <w:sz w:val="24"/>
          <w:szCs w:val="24"/>
        </w:rPr>
      </w:pPr>
      <w:r w:rsidRPr="001B1AC2">
        <w:rPr>
          <w:rFonts w:ascii="Times New Roman" w:hAnsi="Times New Roman" w:cs="Times New Roman"/>
          <w:sz w:val="24"/>
          <w:szCs w:val="24"/>
        </w:rPr>
        <w:t>SUPPORTING STATEMENT A</w:t>
      </w:r>
    </w:p>
    <w:p w:rsidRPr="001B1AC2" w:rsidR="001B1AC2" w:rsidP="001B1AC2" w:rsidRDefault="001B1AC2" w14:paraId="51D40102" w14:textId="77777777">
      <w:pPr>
        <w:jc w:val="center"/>
        <w:rPr>
          <w:rFonts w:ascii="Times New Roman" w:hAnsi="Times New Roman" w:cs="Times New Roman"/>
          <w:sz w:val="24"/>
          <w:szCs w:val="24"/>
        </w:rPr>
      </w:pPr>
    </w:p>
    <w:p w:rsidRPr="001B1AC2" w:rsidR="001B1AC2" w:rsidP="001B1AC2" w:rsidRDefault="001B1AC2" w14:paraId="4D37879C" w14:textId="77777777">
      <w:pPr>
        <w:jc w:val="center"/>
        <w:rPr>
          <w:rFonts w:ascii="Times New Roman" w:hAnsi="Times New Roman" w:cs="Times New Roman"/>
          <w:sz w:val="24"/>
          <w:szCs w:val="24"/>
        </w:rPr>
      </w:pPr>
    </w:p>
    <w:p w:rsidRPr="001B1AC2" w:rsidR="001B1AC2" w:rsidP="001B1AC2" w:rsidRDefault="001B1AC2" w14:paraId="665A5C5D" w14:textId="77777777">
      <w:pPr>
        <w:jc w:val="center"/>
        <w:rPr>
          <w:rFonts w:ascii="Times New Roman" w:hAnsi="Times New Roman" w:cs="Times New Roman"/>
          <w:sz w:val="24"/>
          <w:szCs w:val="24"/>
        </w:rPr>
      </w:pPr>
    </w:p>
    <w:p w:rsidRPr="001B1AC2" w:rsidR="001B1AC2" w:rsidP="001B1AC2" w:rsidRDefault="001B1AC2" w14:paraId="33963CD2" w14:textId="77777777">
      <w:pPr>
        <w:jc w:val="center"/>
        <w:rPr>
          <w:rFonts w:ascii="Times New Roman" w:hAnsi="Times New Roman" w:cs="Times New Roman"/>
          <w:sz w:val="24"/>
          <w:szCs w:val="24"/>
        </w:rPr>
      </w:pPr>
    </w:p>
    <w:p w:rsidRPr="001B1AC2" w:rsidR="001B1AC2" w:rsidP="001B1AC2" w:rsidRDefault="001B1AC2" w14:paraId="25A80062" w14:textId="77777777">
      <w:pPr>
        <w:jc w:val="center"/>
        <w:rPr>
          <w:rFonts w:ascii="Times New Roman" w:hAnsi="Times New Roman" w:cs="Times New Roman"/>
          <w:sz w:val="24"/>
          <w:szCs w:val="24"/>
        </w:rPr>
      </w:pPr>
    </w:p>
    <w:p w:rsidRPr="001B1AC2" w:rsidR="001B1AC2" w:rsidP="001B1AC2" w:rsidRDefault="001B1AC2" w14:paraId="39237D01" w14:textId="77777777">
      <w:pPr>
        <w:jc w:val="center"/>
        <w:rPr>
          <w:rFonts w:ascii="Times New Roman" w:hAnsi="Times New Roman" w:cs="Times New Roman"/>
          <w:sz w:val="24"/>
          <w:szCs w:val="24"/>
        </w:rPr>
      </w:pPr>
    </w:p>
    <w:p w:rsidRPr="001B1AC2" w:rsidR="001B1AC2" w:rsidP="001B1AC2" w:rsidRDefault="001B1AC2" w14:paraId="217F5B31" w14:textId="77777777">
      <w:pPr>
        <w:jc w:val="center"/>
        <w:rPr>
          <w:rFonts w:ascii="Times New Roman" w:hAnsi="Times New Roman" w:cs="Times New Roman"/>
          <w:sz w:val="24"/>
          <w:szCs w:val="24"/>
        </w:rPr>
      </w:pPr>
    </w:p>
    <w:p w:rsidRPr="00BF2634" w:rsidR="001B1AC2" w:rsidP="001B1AC2" w:rsidRDefault="00A030DA" w14:paraId="2DDA39BF" w14:textId="35C445D7">
      <w:pPr>
        <w:jc w:val="center"/>
        <w:rPr>
          <w:rFonts w:ascii="Times New Roman" w:hAnsi="Times New Roman" w:cs="Times New Roman"/>
          <w:sz w:val="24"/>
          <w:szCs w:val="24"/>
        </w:rPr>
      </w:pPr>
      <w:r>
        <w:rPr>
          <w:rFonts w:ascii="Times New Roman" w:hAnsi="Times New Roman" w:cs="Times New Roman"/>
          <w:sz w:val="24"/>
          <w:szCs w:val="24"/>
        </w:rPr>
        <w:t>10/19/2020</w:t>
      </w:r>
    </w:p>
    <w:p w:rsidRPr="001B1AC2" w:rsidR="001B1AC2" w:rsidP="001B1AC2" w:rsidRDefault="001B1AC2" w14:paraId="27E63126" w14:textId="77777777">
      <w:pPr>
        <w:jc w:val="center"/>
        <w:rPr>
          <w:rFonts w:ascii="Times New Roman" w:hAnsi="Times New Roman" w:cs="Times New Roman"/>
          <w:sz w:val="24"/>
          <w:szCs w:val="24"/>
        </w:rPr>
      </w:pPr>
    </w:p>
    <w:p w:rsidRPr="001B1AC2" w:rsidR="001B1AC2" w:rsidP="001B1AC2" w:rsidRDefault="001B1AC2" w14:paraId="44F853B3" w14:textId="77777777">
      <w:pPr>
        <w:jc w:val="center"/>
        <w:rPr>
          <w:rFonts w:ascii="Times New Roman" w:hAnsi="Times New Roman" w:cs="Times New Roman"/>
          <w:sz w:val="24"/>
          <w:szCs w:val="24"/>
        </w:rPr>
      </w:pPr>
    </w:p>
    <w:p w:rsidRPr="001B1AC2" w:rsidR="001B1AC2" w:rsidP="001B1AC2" w:rsidRDefault="001B1AC2" w14:paraId="05AFCC27" w14:textId="77777777">
      <w:pPr>
        <w:jc w:val="center"/>
        <w:rPr>
          <w:rFonts w:ascii="Times New Roman" w:hAnsi="Times New Roman" w:cs="Times New Roman"/>
          <w:sz w:val="24"/>
          <w:szCs w:val="24"/>
        </w:rPr>
      </w:pPr>
    </w:p>
    <w:p w:rsidRPr="001B1AC2" w:rsidR="001B1AC2" w:rsidP="001B1AC2" w:rsidRDefault="001B1AC2" w14:paraId="4437AAA4" w14:textId="77777777">
      <w:pPr>
        <w:jc w:val="center"/>
        <w:rPr>
          <w:rFonts w:ascii="Times New Roman" w:hAnsi="Times New Roman" w:cs="Times New Roman"/>
          <w:sz w:val="24"/>
          <w:szCs w:val="24"/>
        </w:rPr>
      </w:pPr>
    </w:p>
    <w:p w:rsidRPr="001B1AC2" w:rsidR="001B1AC2" w:rsidP="001B1AC2" w:rsidRDefault="001B1AC2" w14:paraId="269A3171" w14:textId="77777777">
      <w:pPr>
        <w:jc w:val="center"/>
        <w:rPr>
          <w:rFonts w:ascii="Times New Roman" w:hAnsi="Times New Roman" w:cs="Times New Roman"/>
          <w:sz w:val="24"/>
          <w:szCs w:val="24"/>
        </w:rPr>
      </w:pPr>
    </w:p>
    <w:p w:rsidRPr="001B1AC2" w:rsidR="001B1AC2" w:rsidP="001B1AC2" w:rsidRDefault="001B1AC2" w14:paraId="04678A0E" w14:textId="77777777">
      <w:pPr>
        <w:jc w:val="center"/>
        <w:rPr>
          <w:rFonts w:ascii="Times New Roman" w:hAnsi="Times New Roman" w:cs="Times New Roman"/>
          <w:sz w:val="24"/>
          <w:szCs w:val="24"/>
        </w:rPr>
      </w:pPr>
    </w:p>
    <w:p w:rsidRPr="001B1AC2" w:rsidR="001B1AC2" w:rsidP="001B1AC2" w:rsidRDefault="001B1AC2" w14:paraId="1327F1F0" w14:textId="77777777">
      <w:pPr>
        <w:jc w:val="center"/>
        <w:rPr>
          <w:rFonts w:ascii="Times New Roman" w:hAnsi="Times New Roman" w:cs="Times New Roman"/>
          <w:sz w:val="24"/>
          <w:szCs w:val="24"/>
        </w:rPr>
      </w:pPr>
    </w:p>
    <w:p w:rsidRPr="001B1AC2" w:rsidR="001B1AC2" w:rsidP="001B1AC2" w:rsidRDefault="001B1AC2" w14:paraId="7E793629" w14:textId="77777777">
      <w:pPr>
        <w:rPr>
          <w:rFonts w:ascii="Times New Roman" w:hAnsi="Times New Roman" w:cs="Times New Roman"/>
          <w:sz w:val="24"/>
          <w:szCs w:val="24"/>
        </w:rPr>
      </w:pPr>
      <w:r w:rsidRPr="001B1AC2">
        <w:rPr>
          <w:rFonts w:ascii="Times New Roman" w:hAnsi="Times New Roman" w:cs="Times New Roman"/>
          <w:sz w:val="24"/>
          <w:szCs w:val="24"/>
        </w:rPr>
        <w:t>Program Official/Project Officer</w:t>
      </w:r>
    </w:p>
    <w:p w:rsidRPr="001B1AC2" w:rsidR="001B1AC2" w:rsidP="001B1AC2" w:rsidRDefault="001B1AC2" w14:paraId="0B1FC905" w14:textId="77777777">
      <w:pPr>
        <w:rPr>
          <w:rFonts w:ascii="Times New Roman" w:hAnsi="Times New Roman" w:cs="Times New Roman"/>
          <w:sz w:val="24"/>
          <w:szCs w:val="24"/>
        </w:rPr>
      </w:pPr>
      <w:r>
        <w:rPr>
          <w:rFonts w:ascii="Times New Roman" w:hAnsi="Times New Roman" w:cs="Times New Roman"/>
          <w:sz w:val="24"/>
          <w:szCs w:val="24"/>
        </w:rPr>
        <w:t>Corinne Wigington, MPH</w:t>
      </w:r>
    </w:p>
    <w:p w:rsidRPr="001B1AC2" w:rsidR="00BA247A" w:rsidP="001B1AC2" w:rsidRDefault="00BA247A" w14:paraId="1A205ABE" w14:textId="2AC5FEE1">
      <w:pPr>
        <w:rPr>
          <w:rFonts w:ascii="Times New Roman" w:hAnsi="Times New Roman" w:cs="Times New Roman"/>
          <w:sz w:val="24"/>
          <w:szCs w:val="24"/>
        </w:rPr>
      </w:pPr>
      <w:r>
        <w:rPr>
          <w:rFonts w:ascii="Times New Roman" w:hAnsi="Times New Roman" w:cs="Times New Roman"/>
          <w:sz w:val="24"/>
          <w:szCs w:val="24"/>
        </w:rPr>
        <w:t>Health Scientist</w:t>
      </w:r>
      <w:r w:rsidR="00445AB2">
        <w:rPr>
          <w:rFonts w:ascii="Times New Roman" w:hAnsi="Times New Roman" w:cs="Times New Roman"/>
          <w:sz w:val="24"/>
          <w:szCs w:val="24"/>
        </w:rPr>
        <w:t xml:space="preserve">, </w:t>
      </w:r>
      <w:r>
        <w:rPr>
          <w:rFonts w:ascii="Times New Roman" w:hAnsi="Times New Roman" w:cs="Times New Roman"/>
          <w:sz w:val="24"/>
          <w:szCs w:val="24"/>
        </w:rPr>
        <w:t>Science Unit</w:t>
      </w:r>
    </w:p>
    <w:p w:rsidRPr="001B1AC2" w:rsidR="001B1AC2" w:rsidP="001B1AC2" w:rsidRDefault="00BA247A" w14:paraId="19359D9C" w14:textId="6CA14536">
      <w:pPr>
        <w:rPr>
          <w:rFonts w:ascii="Times New Roman" w:hAnsi="Times New Roman" w:cs="Times New Roman"/>
          <w:sz w:val="24"/>
          <w:szCs w:val="24"/>
        </w:rPr>
      </w:pPr>
      <w:r>
        <w:rPr>
          <w:rFonts w:ascii="Times New Roman" w:hAnsi="Times New Roman" w:cs="Times New Roman"/>
          <w:sz w:val="24"/>
          <w:szCs w:val="24"/>
        </w:rPr>
        <w:t>Center</w:t>
      </w:r>
      <w:r w:rsidRPr="001B1AC2" w:rsidR="001B1AC2">
        <w:rPr>
          <w:rFonts w:ascii="Times New Roman" w:hAnsi="Times New Roman" w:cs="Times New Roman"/>
          <w:sz w:val="24"/>
          <w:szCs w:val="24"/>
        </w:rPr>
        <w:t xml:space="preserve"> for State, Tribal, Local, and Territorial Support</w:t>
      </w:r>
    </w:p>
    <w:p w:rsidRPr="001B1AC2" w:rsidR="001B1AC2" w:rsidP="001B1AC2" w:rsidRDefault="001B1AC2" w14:paraId="38EC26E4" w14:textId="77777777">
      <w:pPr>
        <w:rPr>
          <w:rFonts w:ascii="Times New Roman" w:hAnsi="Times New Roman" w:cs="Times New Roman"/>
          <w:sz w:val="24"/>
          <w:szCs w:val="24"/>
        </w:rPr>
      </w:pPr>
      <w:r w:rsidRPr="001B1AC2">
        <w:rPr>
          <w:rFonts w:ascii="Times New Roman" w:hAnsi="Times New Roman" w:cs="Times New Roman"/>
          <w:sz w:val="24"/>
          <w:szCs w:val="24"/>
        </w:rPr>
        <w:t>Centers for Disease Control &amp; Prevention</w:t>
      </w:r>
    </w:p>
    <w:p w:rsidRPr="001B1AC2" w:rsidR="001B1AC2" w:rsidP="001B1AC2" w:rsidRDefault="001B1AC2" w14:paraId="569CBBAA" w14:textId="77777777">
      <w:pPr>
        <w:rPr>
          <w:rFonts w:ascii="Times New Roman" w:hAnsi="Times New Roman" w:cs="Times New Roman"/>
          <w:sz w:val="24"/>
          <w:szCs w:val="24"/>
        </w:rPr>
      </w:pPr>
      <w:r w:rsidRPr="001B1AC2">
        <w:rPr>
          <w:rFonts w:ascii="Times New Roman" w:hAnsi="Times New Roman" w:cs="Times New Roman"/>
          <w:sz w:val="24"/>
          <w:szCs w:val="24"/>
        </w:rPr>
        <w:t>1825 Century Center, MS-70</w:t>
      </w:r>
    </w:p>
    <w:p w:rsidRPr="001B1AC2" w:rsidR="001B1AC2" w:rsidP="001B1AC2" w:rsidRDefault="001B1AC2" w14:paraId="55D8437F" w14:textId="77777777">
      <w:pPr>
        <w:rPr>
          <w:rFonts w:ascii="Times New Roman" w:hAnsi="Times New Roman" w:cs="Times New Roman"/>
          <w:sz w:val="24"/>
          <w:szCs w:val="24"/>
        </w:rPr>
      </w:pPr>
      <w:r w:rsidRPr="001B1AC2">
        <w:rPr>
          <w:rFonts w:ascii="Times New Roman" w:hAnsi="Times New Roman" w:cs="Times New Roman"/>
          <w:sz w:val="24"/>
          <w:szCs w:val="24"/>
        </w:rPr>
        <w:t>Atlanta, Georgia  30345</w:t>
      </w:r>
    </w:p>
    <w:p w:rsidRPr="001B1AC2" w:rsidR="001B1AC2" w:rsidP="001B1AC2" w:rsidRDefault="001B1AC2" w14:paraId="64A237B3" w14:textId="77777777">
      <w:pPr>
        <w:rPr>
          <w:rFonts w:ascii="Times New Roman" w:hAnsi="Times New Roman" w:cs="Times New Roman"/>
          <w:sz w:val="24"/>
          <w:szCs w:val="24"/>
        </w:rPr>
      </w:pPr>
      <w:r w:rsidRPr="001B1AC2">
        <w:rPr>
          <w:rFonts w:ascii="Times New Roman" w:hAnsi="Times New Roman" w:cs="Times New Roman"/>
          <w:sz w:val="24"/>
          <w:szCs w:val="24"/>
        </w:rPr>
        <w:t>Office - 404-498-0</w:t>
      </w:r>
      <w:r>
        <w:rPr>
          <w:rFonts w:ascii="Times New Roman" w:hAnsi="Times New Roman" w:cs="Times New Roman"/>
          <w:sz w:val="24"/>
          <w:szCs w:val="24"/>
        </w:rPr>
        <w:t>223</w:t>
      </w:r>
    </w:p>
    <w:p w:rsidR="007F730F" w:rsidRDefault="001B1AC2" w14:paraId="79AE572A" w14:textId="77777777">
      <w:pPr>
        <w:rPr>
          <w:rFonts w:ascii="Times New Roman" w:hAnsi="Times New Roman" w:cs="Times New Roman"/>
          <w:sz w:val="24"/>
          <w:szCs w:val="24"/>
        </w:rPr>
      </w:pPr>
      <w:r w:rsidRPr="001B1AC2">
        <w:rPr>
          <w:rFonts w:ascii="Times New Roman" w:hAnsi="Times New Roman" w:cs="Times New Roman"/>
          <w:sz w:val="24"/>
          <w:szCs w:val="24"/>
        </w:rPr>
        <w:t>Fax - 404-498-6882</w:t>
      </w:r>
    </w:p>
    <w:p w:rsidR="00445AB2" w:rsidRDefault="00445AB2" w14:paraId="27C2039F" w14:textId="77777777">
      <w:pPr>
        <w:rPr>
          <w:rFonts w:ascii="Times New Roman" w:hAnsi="Times New Roman" w:cs="Times New Roman"/>
          <w:b/>
          <w:sz w:val="24"/>
          <w:szCs w:val="24"/>
        </w:rPr>
      </w:pPr>
    </w:p>
    <w:p w:rsidR="00652DE4" w:rsidRDefault="00652DE4" w14:paraId="70F07C5F" w14:textId="08CFD243">
      <w:pP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652DE4" w:rsidRDefault="00652DE4" w14:paraId="3AF94A29" w14:textId="77777777">
      <w:pPr>
        <w:rPr>
          <w:rFonts w:ascii="Times New Roman" w:hAnsi="Times New Roman" w:cs="Times New Roman"/>
          <w:b/>
          <w:sz w:val="24"/>
          <w:szCs w:val="24"/>
        </w:rPr>
      </w:pPr>
    </w:p>
    <w:tbl>
      <w:tblPr>
        <w:tblStyle w:val="TableGrid"/>
        <w:tblW w:w="9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25"/>
        <w:gridCol w:w="990"/>
      </w:tblGrid>
      <w:tr w:rsidR="00DE59EF" w:rsidTr="0000417F" w14:paraId="53C434EC" w14:textId="77777777">
        <w:tc>
          <w:tcPr>
            <w:tcW w:w="8725" w:type="dxa"/>
          </w:tcPr>
          <w:p w:rsidRPr="00652DE4" w:rsidR="00DE59EF" w:rsidP="00DE59EF" w:rsidRDefault="00DE59EF" w14:paraId="55B01692"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Circumstances Making the Collection of Information Necessary</w:t>
            </w:r>
          </w:p>
        </w:tc>
        <w:tc>
          <w:tcPr>
            <w:tcW w:w="990" w:type="dxa"/>
            <w:vAlign w:val="center"/>
          </w:tcPr>
          <w:p w:rsidRPr="006A7ABD" w:rsidR="00DE59EF" w:rsidP="0000417F" w:rsidRDefault="00DE59EF" w14:paraId="5F5ED2A7" w14:textId="77777777">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r>
      <w:tr w:rsidR="00DE59EF" w:rsidTr="0000417F" w14:paraId="25CD2C53" w14:textId="77777777">
        <w:tc>
          <w:tcPr>
            <w:tcW w:w="8725" w:type="dxa"/>
          </w:tcPr>
          <w:p w:rsidRPr="00652DE4" w:rsidR="00DE59EF" w:rsidP="00DE59EF" w:rsidRDefault="00DE59EF" w14:paraId="292F1CEC"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Purpose and Use of the Information Collection</w:t>
            </w:r>
          </w:p>
        </w:tc>
        <w:tc>
          <w:tcPr>
            <w:tcW w:w="990" w:type="dxa"/>
            <w:vAlign w:val="center"/>
          </w:tcPr>
          <w:p w:rsidR="00DE59EF" w:rsidP="0000417F" w:rsidRDefault="00DE59EF" w14:paraId="0F7565C0"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6</w:t>
            </w:r>
          </w:p>
        </w:tc>
      </w:tr>
      <w:tr w:rsidR="00DE59EF" w:rsidTr="0000417F" w14:paraId="3E532469" w14:textId="77777777">
        <w:tc>
          <w:tcPr>
            <w:tcW w:w="8725" w:type="dxa"/>
          </w:tcPr>
          <w:p w:rsidRPr="00652DE4" w:rsidR="00DE59EF" w:rsidP="00DE59EF" w:rsidRDefault="00DE59EF" w14:paraId="4B2A411F"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Use of Improved Information Technology and Burden Reduction</w:t>
            </w:r>
          </w:p>
        </w:tc>
        <w:tc>
          <w:tcPr>
            <w:tcW w:w="990" w:type="dxa"/>
            <w:vAlign w:val="center"/>
          </w:tcPr>
          <w:p w:rsidR="00DE59EF" w:rsidP="0000417F" w:rsidRDefault="00DE59EF" w14:paraId="2F111B5A"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rsidTr="0000417F" w14:paraId="2D924C3C" w14:textId="77777777">
        <w:tc>
          <w:tcPr>
            <w:tcW w:w="8725" w:type="dxa"/>
          </w:tcPr>
          <w:p w:rsidRPr="00652DE4" w:rsidR="00DE59EF" w:rsidP="00DE59EF" w:rsidRDefault="00DE59EF" w14:paraId="16A8AC62"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Efforts to Identify Duplication and Use of Similar Information</w:t>
            </w:r>
          </w:p>
        </w:tc>
        <w:tc>
          <w:tcPr>
            <w:tcW w:w="990" w:type="dxa"/>
            <w:vAlign w:val="center"/>
          </w:tcPr>
          <w:p w:rsidR="00DE59EF" w:rsidP="0000417F" w:rsidRDefault="00DE59EF" w14:paraId="5FE9F614"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rsidTr="0000417F" w14:paraId="4666C04F" w14:textId="77777777">
        <w:tc>
          <w:tcPr>
            <w:tcW w:w="8725" w:type="dxa"/>
          </w:tcPr>
          <w:p w:rsidRPr="00652DE4" w:rsidR="00DE59EF" w:rsidP="00DE59EF" w:rsidRDefault="00DE59EF" w14:paraId="60837402"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Impact on small Businesses or Other Small Entities</w:t>
            </w:r>
          </w:p>
        </w:tc>
        <w:tc>
          <w:tcPr>
            <w:tcW w:w="990" w:type="dxa"/>
            <w:vAlign w:val="center"/>
          </w:tcPr>
          <w:p w:rsidR="00DE59EF" w:rsidP="0000417F" w:rsidRDefault="00DE59EF" w14:paraId="2E06653E"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rsidTr="0000417F" w14:paraId="25C30571" w14:textId="77777777">
        <w:tc>
          <w:tcPr>
            <w:tcW w:w="8725" w:type="dxa"/>
          </w:tcPr>
          <w:p w:rsidRPr="00652DE4" w:rsidR="00DE59EF" w:rsidP="00DE59EF" w:rsidRDefault="00DE59EF" w14:paraId="6EEC66CC"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Consequences of Collecting the Information Less Frequently</w:t>
            </w:r>
          </w:p>
        </w:tc>
        <w:tc>
          <w:tcPr>
            <w:tcW w:w="990" w:type="dxa"/>
            <w:vAlign w:val="center"/>
          </w:tcPr>
          <w:p w:rsidR="00DE59EF" w:rsidP="0000417F" w:rsidRDefault="00DE59EF" w14:paraId="7E30809D"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rsidTr="0000417F" w14:paraId="6309ECD0" w14:textId="77777777">
        <w:tc>
          <w:tcPr>
            <w:tcW w:w="8725" w:type="dxa"/>
          </w:tcPr>
          <w:p w:rsidRPr="00652DE4" w:rsidR="00DE59EF" w:rsidP="00DE59EF" w:rsidRDefault="00DE59EF" w14:paraId="45B48403"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Special Circumstances Relating to the Guidelines of 5 CFR 1320.5</w:t>
            </w:r>
          </w:p>
        </w:tc>
        <w:tc>
          <w:tcPr>
            <w:tcW w:w="990" w:type="dxa"/>
            <w:vAlign w:val="center"/>
          </w:tcPr>
          <w:p w:rsidRPr="00892BAF" w:rsidR="00DE59EF" w:rsidP="0000417F" w:rsidRDefault="00DE59EF" w14:paraId="39393744" w14:textId="77777777">
            <w:pPr>
              <w:spacing w:before="120" w:after="120"/>
              <w:jc w:val="center"/>
              <w:rPr>
                <w:rFonts w:ascii="Times New Roman" w:hAnsi="Times New Roman" w:cs="Times New Roman"/>
                <w:sz w:val="24"/>
                <w:szCs w:val="24"/>
              </w:rPr>
            </w:pPr>
            <w:r w:rsidRPr="00892BAF">
              <w:rPr>
                <w:rFonts w:ascii="Times New Roman" w:hAnsi="Times New Roman" w:cs="Times New Roman"/>
                <w:sz w:val="24"/>
                <w:szCs w:val="24"/>
              </w:rPr>
              <w:t>9</w:t>
            </w:r>
          </w:p>
        </w:tc>
      </w:tr>
      <w:tr w:rsidR="00DE59EF" w:rsidTr="0000417F" w14:paraId="6EE58C66" w14:textId="77777777">
        <w:tc>
          <w:tcPr>
            <w:tcW w:w="8725" w:type="dxa"/>
          </w:tcPr>
          <w:p w:rsidRPr="00652DE4" w:rsidR="00DE59EF" w:rsidP="00DE59EF" w:rsidRDefault="00DE59EF" w14:paraId="0ECEE1D9"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Comments in Response to the Federal Register Notice and Efforts</w:t>
            </w:r>
            <w:r>
              <w:rPr>
                <w:rFonts w:ascii="Times New Roman" w:hAnsi="Times New Roman" w:cs="Times New Roman"/>
                <w:sz w:val="24"/>
                <w:szCs w:val="24"/>
              </w:rPr>
              <w:t xml:space="preserve"> </w:t>
            </w:r>
            <w:r w:rsidRPr="00652DE4">
              <w:rPr>
                <w:rFonts w:ascii="Times New Roman" w:hAnsi="Times New Roman" w:cs="Times New Roman"/>
                <w:sz w:val="24"/>
                <w:szCs w:val="24"/>
              </w:rPr>
              <w:t>to Consult Outside the Agency</w:t>
            </w:r>
          </w:p>
        </w:tc>
        <w:tc>
          <w:tcPr>
            <w:tcW w:w="990" w:type="dxa"/>
            <w:vAlign w:val="center"/>
          </w:tcPr>
          <w:p w:rsidR="00DE59EF" w:rsidP="0000417F" w:rsidRDefault="00DE59EF" w14:paraId="31BB0618"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rsidTr="0000417F" w14:paraId="78C8AFCB" w14:textId="77777777">
        <w:tc>
          <w:tcPr>
            <w:tcW w:w="8725" w:type="dxa"/>
          </w:tcPr>
          <w:p w:rsidRPr="00652DE4" w:rsidR="00DE59EF" w:rsidP="00DE59EF" w:rsidRDefault="00DE59EF" w14:paraId="77482268"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Explanation of Any Payment or Gift to Respondents</w:t>
            </w:r>
          </w:p>
        </w:tc>
        <w:tc>
          <w:tcPr>
            <w:tcW w:w="990" w:type="dxa"/>
            <w:vAlign w:val="center"/>
          </w:tcPr>
          <w:p w:rsidR="00DE59EF" w:rsidP="0000417F" w:rsidRDefault="00DE59EF" w14:paraId="255CEBA4"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rsidTr="0000417F" w14:paraId="261E243C" w14:textId="77777777">
        <w:tc>
          <w:tcPr>
            <w:tcW w:w="8725" w:type="dxa"/>
          </w:tcPr>
          <w:p w:rsidRPr="00652DE4" w:rsidR="00DE59EF" w:rsidP="00DE59EF" w:rsidRDefault="00DE59EF" w14:paraId="460CE7F2"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Assurance of Security Provided to Respondents</w:t>
            </w:r>
          </w:p>
        </w:tc>
        <w:tc>
          <w:tcPr>
            <w:tcW w:w="990" w:type="dxa"/>
            <w:vAlign w:val="center"/>
          </w:tcPr>
          <w:p w:rsidR="00DE59EF" w:rsidP="0000417F" w:rsidRDefault="00DE59EF" w14:paraId="782B09A6"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rsidTr="0000417F" w14:paraId="48B307A0" w14:textId="77777777">
        <w:tc>
          <w:tcPr>
            <w:tcW w:w="8725" w:type="dxa"/>
          </w:tcPr>
          <w:p w:rsidRPr="00652DE4" w:rsidR="00DE59EF" w:rsidP="00DE59EF" w:rsidRDefault="00DE59EF" w14:paraId="6D60E03F"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Justification for Sensitive Questions</w:t>
            </w:r>
          </w:p>
        </w:tc>
        <w:tc>
          <w:tcPr>
            <w:tcW w:w="990" w:type="dxa"/>
            <w:vAlign w:val="center"/>
          </w:tcPr>
          <w:p w:rsidR="00DE59EF" w:rsidP="0000417F" w:rsidRDefault="00DE59EF" w14:paraId="3887B18C"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rsidTr="0000417F" w14:paraId="62CCB588" w14:textId="77777777">
        <w:tc>
          <w:tcPr>
            <w:tcW w:w="8725" w:type="dxa"/>
          </w:tcPr>
          <w:p w:rsidRPr="00652DE4" w:rsidR="00DE59EF" w:rsidP="00DE59EF" w:rsidRDefault="00DE59EF" w14:paraId="17384EB5"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 xml:space="preserve">Estimates of Annualized Burden Hours </w:t>
            </w:r>
          </w:p>
        </w:tc>
        <w:tc>
          <w:tcPr>
            <w:tcW w:w="990" w:type="dxa"/>
            <w:vAlign w:val="center"/>
          </w:tcPr>
          <w:p w:rsidR="00DE59EF" w:rsidP="0000417F" w:rsidRDefault="00DE59EF" w14:paraId="66303777"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rsidTr="0000417F" w14:paraId="267C8CFA" w14:textId="77777777">
        <w:tc>
          <w:tcPr>
            <w:tcW w:w="8725" w:type="dxa"/>
          </w:tcPr>
          <w:p w:rsidRPr="00652DE4" w:rsidR="00DE59EF" w:rsidP="00DE59EF" w:rsidRDefault="00DE59EF" w14:paraId="625D126C"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Pr>
                <w:rFonts w:ascii="Times New Roman" w:hAnsi="Times New Roman" w:cs="Times New Roman"/>
                <w:sz w:val="24"/>
                <w:szCs w:val="24"/>
              </w:rPr>
              <w:t xml:space="preserve">Estimate of Other Total Annual Cost Burden </w:t>
            </w:r>
            <w:r w:rsidRPr="00652DE4">
              <w:rPr>
                <w:rFonts w:ascii="Times New Roman" w:hAnsi="Times New Roman" w:cs="Times New Roman"/>
                <w:sz w:val="24"/>
                <w:szCs w:val="24"/>
              </w:rPr>
              <w:t>to Respondents and Record Keepers</w:t>
            </w:r>
          </w:p>
        </w:tc>
        <w:tc>
          <w:tcPr>
            <w:tcW w:w="990" w:type="dxa"/>
            <w:vAlign w:val="center"/>
          </w:tcPr>
          <w:p w:rsidR="00DE59EF" w:rsidP="0000417F" w:rsidRDefault="00DE59EF" w14:paraId="2798A848"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10</w:t>
            </w:r>
          </w:p>
        </w:tc>
      </w:tr>
      <w:tr w:rsidR="00DE59EF" w:rsidTr="0000417F" w14:paraId="5EBF1BA2" w14:textId="77777777">
        <w:tc>
          <w:tcPr>
            <w:tcW w:w="8725" w:type="dxa"/>
          </w:tcPr>
          <w:p w:rsidRPr="00652DE4" w:rsidR="00DE59EF" w:rsidP="00DE59EF" w:rsidRDefault="00DE59EF" w14:paraId="13391CDA"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Annualized Cost to the Federal Government</w:t>
            </w:r>
          </w:p>
        </w:tc>
        <w:tc>
          <w:tcPr>
            <w:tcW w:w="990" w:type="dxa"/>
            <w:vAlign w:val="center"/>
          </w:tcPr>
          <w:p w:rsidR="00DE59EF" w:rsidP="0000417F" w:rsidRDefault="00DE59EF" w14:paraId="11149C5B"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10</w:t>
            </w:r>
          </w:p>
        </w:tc>
      </w:tr>
      <w:tr w:rsidR="00DE59EF" w:rsidTr="0000417F" w14:paraId="3DAB4434" w14:textId="77777777">
        <w:tc>
          <w:tcPr>
            <w:tcW w:w="8725" w:type="dxa"/>
          </w:tcPr>
          <w:p w:rsidRPr="00652DE4" w:rsidR="00DE59EF" w:rsidP="00DE59EF" w:rsidRDefault="00DE59EF" w14:paraId="6494081E"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Explanation for Program Changes or Adjustments</w:t>
            </w:r>
          </w:p>
        </w:tc>
        <w:tc>
          <w:tcPr>
            <w:tcW w:w="990" w:type="dxa"/>
            <w:vAlign w:val="center"/>
          </w:tcPr>
          <w:p w:rsidR="00DE59EF" w:rsidP="0000417F" w:rsidRDefault="00DE59EF" w14:paraId="1E0840D1"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rsidTr="0000417F" w14:paraId="2BDE0B72" w14:textId="77777777">
        <w:tc>
          <w:tcPr>
            <w:tcW w:w="8725" w:type="dxa"/>
          </w:tcPr>
          <w:p w:rsidRPr="00652DE4" w:rsidR="00DE59EF" w:rsidP="00DE59EF" w:rsidRDefault="00DE59EF" w14:paraId="6E645428"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Plans for Tabulation and Publication and Project Time Schedule</w:t>
            </w:r>
          </w:p>
        </w:tc>
        <w:tc>
          <w:tcPr>
            <w:tcW w:w="990" w:type="dxa"/>
            <w:vAlign w:val="center"/>
          </w:tcPr>
          <w:p w:rsidR="00DE59EF" w:rsidP="0000417F" w:rsidRDefault="00DE59EF" w14:paraId="19FD777F"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rsidTr="0000417F" w14:paraId="4E73CD09" w14:textId="77777777">
        <w:tc>
          <w:tcPr>
            <w:tcW w:w="8725" w:type="dxa"/>
          </w:tcPr>
          <w:p w:rsidRPr="00652DE4" w:rsidR="00DE59EF" w:rsidP="00DE59EF" w:rsidRDefault="00DE59EF" w14:paraId="0069D2C2"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Reason(s) Display of OMB Expiration Date is Inappropriate</w:t>
            </w:r>
          </w:p>
        </w:tc>
        <w:tc>
          <w:tcPr>
            <w:tcW w:w="990" w:type="dxa"/>
            <w:vAlign w:val="center"/>
          </w:tcPr>
          <w:p w:rsidR="00DE59EF" w:rsidP="0000417F" w:rsidRDefault="00DE59EF" w14:paraId="76C714BF"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rsidTr="0000417F" w14:paraId="65C8C386" w14:textId="77777777">
        <w:tc>
          <w:tcPr>
            <w:tcW w:w="8725" w:type="dxa"/>
          </w:tcPr>
          <w:p w:rsidRPr="00652DE4" w:rsidR="00DE59EF" w:rsidP="00DE59EF" w:rsidRDefault="00DE59EF" w14:paraId="4B8DBED7"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Exceptions to Certification for Paperwork Reduction Act Submissions</w:t>
            </w:r>
          </w:p>
        </w:tc>
        <w:tc>
          <w:tcPr>
            <w:tcW w:w="990" w:type="dxa"/>
            <w:vAlign w:val="center"/>
          </w:tcPr>
          <w:p w:rsidR="00DE59EF" w:rsidP="0000417F" w:rsidRDefault="00DE59EF" w14:paraId="17DF1F84" w14:textId="4F1E2562">
            <w:pPr>
              <w:spacing w:before="120" w:after="120"/>
              <w:jc w:val="center"/>
              <w:rPr>
                <w:rFonts w:ascii="Times New Roman" w:hAnsi="Times New Roman" w:cs="Times New Roman"/>
                <w:b/>
                <w:sz w:val="24"/>
                <w:szCs w:val="24"/>
              </w:rPr>
            </w:pPr>
            <w:r>
              <w:rPr>
                <w:rFonts w:ascii="Times New Roman" w:hAnsi="Times New Roman" w:cs="Times New Roman"/>
                <w:sz w:val="24"/>
                <w:szCs w:val="24"/>
              </w:rPr>
              <w:t>1</w:t>
            </w:r>
            <w:r w:rsidR="006A75D1">
              <w:rPr>
                <w:rFonts w:ascii="Times New Roman" w:hAnsi="Times New Roman" w:cs="Times New Roman"/>
                <w:sz w:val="24"/>
                <w:szCs w:val="24"/>
              </w:rPr>
              <w:t>1</w:t>
            </w:r>
          </w:p>
        </w:tc>
      </w:tr>
      <w:tr w:rsidR="00DE59EF" w:rsidTr="0000417F" w14:paraId="24CE318A" w14:textId="77777777">
        <w:tc>
          <w:tcPr>
            <w:tcW w:w="8725" w:type="dxa"/>
          </w:tcPr>
          <w:p w:rsidRPr="006A7ABD" w:rsidR="00DE59EF" w:rsidP="0000417F" w:rsidRDefault="00DE59EF" w14:paraId="6201CAD6" w14:textId="77777777">
            <w:pPr>
              <w:tabs>
                <w:tab w:val="left" w:pos="517"/>
              </w:tabs>
              <w:spacing w:before="120" w:after="120"/>
              <w:ind w:left="517"/>
              <w:rPr>
                <w:rFonts w:ascii="Times New Roman" w:hAnsi="Times New Roman" w:cs="Times New Roman"/>
                <w:sz w:val="24"/>
                <w:szCs w:val="24"/>
              </w:rPr>
            </w:pPr>
            <w:r>
              <w:rPr>
                <w:rFonts w:ascii="Times New Roman" w:hAnsi="Times New Roman" w:cs="Times New Roman"/>
                <w:sz w:val="24"/>
                <w:szCs w:val="24"/>
              </w:rPr>
              <w:t>List of Attachments</w:t>
            </w:r>
          </w:p>
        </w:tc>
        <w:tc>
          <w:tcPr>
            <w:tcW w:w="990" w:type="dxa"/>
            <w:vAlign w:val="center"/>
          </w:tcPr>
          <w:p w:rsidR="00DE59EF" w:rsidP="0000417F" w:rsidRDefault="00DE59EF" w14:paraId="79CF67CE"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12</w:t>
            </w:r>
          </w:p>
        </w:tc>
      </w:tr>
      <w:tr w:rsidR="006A75D1" w:rsidTr="0000417F" w14:paraId="40C52CE8" w14:textId="77777777">
        <w:tc>
          <w:tcPr>
            <w:tcW w:w="8725" w:type="dxa"/>
          </w:tcPr>
          <w:p w:rsidR="006A75D1" w:rsidP="0000417F" w:rsidRDefault="006A75D1" w14:paraId="6D931026" w14:textId="662D66CA">
            <w:pPr>
              <w:tabs>
                <w:tab w:val="left" w:pos="517"/>
              </w:tabs>
              <w:spacing w:before="120" w:after="120"/>
              <w:ind w:left="517"/>
              <w:rPr>
                <w:rFonts w:ascii="Times New Roman" w:hAnsi="Times New Roman" w:cs="Times New Roman"/>
                <w:sz w:val="24"/>
                <w:szCs w:val="24"/>
              </w:rPr>
            </w:pPr>
            <w:r>
              <w:rPr>
                <w:rFonts w:ascii="Times New Roman" w:hAnsi="Times New Roman" w:cs="Times New Roman"/>
                <w:sz w:val="24"/>
                <w:szCs w:val="24"/>
              </w:rPr>
              <w:t>References</w:t>
            </w:r>
          </w:p>
        </w:tc>
        <w:tc>
          <w:tcPr>
            <w:tcW w:w="990" w:type="dxa"/>
            <w:vAlign w:val="center"/>
          </w:tcPr>
          <w:p w:rsidR="006A75D1" w:rsidP="0000417F" w:rsidRDefault="006A75D1" w14:paraId="3DDF762B" w14:textId="3DF85F89">
            <w:pPr>
              <w:spacing w:before="120" w:after="120"/>
              <w:jc w:val="center"/>
              <w:rPr>
                <w:rFonts w:ascii="Times New Roman" w:hAnsi="Times New Roman" w:cs="Times New Roman"/>
                <w:sz w:val="24"/>
                <w:szCs w:val="24"/>
              </w:rPr>
            </w:pPr>
            <w:r>
              <w:rPr>
                <w:rFonts w:ascii="Times New Roman" w:hAnsi="Times New Roman" w:cs="Times New Roman"/>
                <w:sz w:val="24"/>
                <w:szCs w:val="24"/>
              </w:rPr>
              <w:t>12</w:t>
            </w:r>
          </w:p>
        </w:tc>
      </w:tr>
    </w:tbl>
    <w:p w:rsidR="00652DE4" w:rsidRDefault="00652DE4" w14:paraId="49459826" w14:textId="54E04664">
      <w:pPr>
        <w:rPr>
          <w:rFonts w:ascii="Times New Roman" w:hAnsi="Times New Roman" w:cs="Times New Roman"/>
          <w:b/>
          <w:sz w:val="24"/>
          <w:szCs w:val="24"/>
        </w:rPr>
      </w:pPr>
      <w:r>
        <w:rPr>
          <w:rFonts w:ascii="Times New Roman" w:hAnsi="Times New Roman" w:cs="Times New Roman"/>
          <w:b/>
          <w:sz w:val="24"/>
          <w:szCs w:val="24"/>
        </w:rPr>
        <w:br w:type="page"/>
      </w:r>
    </w:p>
    <w:p w:rsidR="003A38D4" w:rsidP="007159F4" w:rsidRDefault="003A38D4" w14:paraId="37B45FA7" w14:textId="4D0C7C96">
      <w:pPr>
        <w:rPr>
          <w:rFonts w:ascii="Times New Roman" w:hAnsi="Times New Roman" w:cs="Times New Roman"/>
          <w:b/>
          <w:sz w:val="24"/>
          <w:szCs w:val="24"/>
        </w:rPr>
      </w:pPr>
      <w:bookmarkStart w:name="_Toc413847747" w:id="0"/>
      <w:bookmarkStart w:name="_Toc427752812" w:id="1"/>
      <w:r w:rsidRPr="003A38D4">
        <w:rPr>
          <w:rFonts w:ascii="Calibri" w:hAnsi="Calibri" w:eastAsia="Calibri" w:cs="Times New Roman"/>
          <w:b/>
          <w:noProof/>
        </w:rPr>
        <w:lastRenderedPageBreak/>
        <mc:AlternateContent>
          <mc:Choice Requires="wps">
            <w:drawing>
              <wp:inline distT="0" distB="0" distL="0" distR="0" wp14:anchorId="7314765B" wp14:editId="0B9BD78D">
                <wp:extent cx="6162675" cy="45529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552950"/>
                        </a:xfrm>
                        <a:prstGeom prst="rect">
                          <a:avLst/>
                        </a:prstGeom>
                        <a:solidFill>
                          <a:srgbClr val="FFFFFF"/>
                        </a:solidFill>
                        <a:ln w="9525">
                          <a:solidFill>
                            <a:srgbClr val="000000"/>
                          </a:solidFill>
                          <a:miter lim="800000"/>
                          <a:headEnd/>
                          <a:tailEnd/>
                        </a:ln>
                      </wps:spPr>
                      <wps:txbx>
                        <w:txbxContent>
                          <w:p w:rsidRPr="00841B2A" w:rsidR="003A38D4" w:rsidP="00841B2A" w:rsidRDefault="003A38D4" w14:paraId="721D8787" w14:textId="469E43F4">
                            <w:pPr>
                              <w:pStyle w:val="ListParagraph"/>
                              <w:numPr>
                                <w:ilvl w:val="0"/>
                                <w:numId w:val="20"/>
                              </w:numPr>
                              <w:rPr>
                                <w:rFonts w:ascii="Times New Roman" w:hAnsi="Times New Roman" w:cs="Times New Roman"/>
                                <w:sz w:val="24"/>
                                <w:szCs w:val="24"/>
                              </w:rPr>
                            </w:pPr>
                            <w:r w:rsidRPr="00841B2A">
                              <w:rPr>
                                <w:rFonts w:ascii="Times New Roman" w:hAnsi="Times New Roman" w:cs="Times New Roman"/>
                                <w:b/>
                                <w:sz w:val="24"/>
                                <w:szCs w:val="24"/>
                              </w:rPr>
                              <w:t>Goal:</w:t>
                            </w:r>
                            <w:r w:rsidRPr="00841B2A">
                              <w:rPr>
                                <w:rFonts w:ascii="Times New Roman" w:hAnsi="Times New Roman" w:cs="Times New Roman"/>
                                <w:sz w:val="24"/>
                                <w:szCs w:val="24"/>
                              </w:rPr>
                              <w:t xml:space="preserve"> </w:t>
                            </w:r>
                            <w:r w:rsidR="001502A5">
                              <w:rPr>
                                <w:rFonts w:ascii="Times New Roman" w:hAnsi="Times New Roman" w:cs="Times New Roman"/>
                                <w:sz w:val="24"/>
                                <w:szCs w:val="24"/>
                              </w:rPr>
                              <w:t>This is a</w:t>
                            </w:r>
                            <w:r w:rsidR="0032646B">
                              <w:rPr>
                                <w:rFonts w:ascii="Times New Roman" w:hAnsi="Times New Roman" w:cs="Times New Roman"/>
                                <w:sz w:val="24"/>
                                <w:szCs w:val="24"/>
                              </w:rPr>
                              <w:t xml:space="preserve"> three year</w:t>
                            </w:r>
                            <w:r w:rsidR="001502A5">
                              <w:rPr>
                                <w:rFonts w:ascii="Times New Roman" w:hAnsi="Times New Roman" w:cs="Times New Roman"/>
                                <w:sz w:val="24"/>
                                <w:szCs w:val="24"/>
                              </w:rPr>
                              <w:t xml:space="preserve"> extension request for an approved generic ICR. </w:t>
                            </w:r>
                            <w:r w:rsidRPr="00841B2A">
                              <w:rPr>
                                <w:rFonts w:ascii="Times New Roman" w:hAnsi="Times New Roman" w:cs="Times New Roman"/>
                                <w:sz w:val="24"/>
                                <w:szCs w:val="24"/>
                              </w:rPr>
                              <w:t>The purpose of this generic clearance is to advance state, tribal, local, and territorial (STLT) governmental agency system performance, capacity and program delivery.</w:t>
                            </w:r>
                          </w:p>
                          <w:p w:rsidRPr="003A38D4" w:rsidR="003A38D4" w:rsidP="00841B2A" w:rsidRDefault="003A38D4" w14:paraId="11E5DA32" w14:textId="77777777">
                            <w:pPr>
                              <w:pStyle w:val="ListParagraph"/>
                              <w:ind w:left="360"/>
                              <w:rPr>
                                <w:rFonts w:ascii="Times New Roman" w:hAnsi="Times New Roman" w:cs="Times New Roman"/>
                                <w:sz w:val="24"/>
                                <w:szCs w:val="24"/>
                              </w:rPr>
                            </w:pPr>
                          </w:p>
                          <w:p w:rsidRPr="00841B2A" w:rsidR="00841B2A" w:rsidP="00841B2A" w:rsidRDefault="003A38D4" w14:paraId="309269EA" w14:textId="0C84E6EC">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Intended use of the resulting data: </w:t>
                            </w:r>
                            <w:r w:rsidRPr="003A38D4">
                              <w:rPr>
                                <w:rFonts w:ascii="Times New Roman" w:hAnsi="Times New Roman" w:cs="Times New Roman"/>
                                <w:sz w:val="24"/>
                                <w:szCs w:val="24"/>
                              </w:rPr>
                              <w:t>Information will be used to assess situational awareness of current public health emergencies; make decisions that affect planning, response and recovery activit</w:t>
                            </w:r>
                            <w:r w:rsidR="00841B2A">
                              <w:rPr>
                                <w:rFonts w:ascii="Times New Roman" w:hAnsi="Times New Roman" w:cs="Times New Roman"/>
                                <w:sz w:val="24"/>
                                <w:szCs w:val="24"/>
                              </w:rPr>
                              <w:t xml:space="preserve">ies of subsequent emergencies; </w:t>
                            </w:r>
                            <w:r w:rsidRPr="003A38D4">
                              <w:rPr>
                                <w:rFonts w:ascii="Times New Roman" w:hAnsi="Times New Roman" w:cs="Times New Roman"/>
                                <w:sz w:val="24"/>
                                <w:szCs w:val="24"/>
                              </w:rPr>
                              <w:t>fill CDC gaps in knowledge of programs and/or STLT governments that will strengthen surveillance, epidemiology, and laboratory science; improve CDC’s support and technical assistance to states and communities.</w:t>
                            </w:r>
                          </w:p>
                          <w:p w:rsidRPr="00841B2A" w:rsidR="00841B2A" w:rsidP="00841B2A" w:rsidRDefault="00841B2A" w14:paraId="0E12555B" w14:textId="77777777">
                            <w:pPr>
                              <w:pStyle w:val="ListParagraph"/>
                              <w:ind w:left="360"/>
                              <w:rPr>
                                <w:rFonts w:ascii="Times New Roman" w:hAnsi="Times New Roman" w:cs="Times New Roman"/>
                                <w:sz w:val="24"/>
                                <w:szCs w:val="24"/>
                              </w:rPr>
                            </w:pPr>
                          </w:p>
                          <w:p w:rsidR="00841B2A" w:rsidP="00841B2A" w:rsidRDefault="003A38D4" w14:paraId="619BA607" w14:textId="2EE87D8C">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Methods to be used to collect: </w:t>
                            </w:r>
                            <w:r w:rsidRPr="0010712C">
                              <w:rPr>
                                <w:rFonts w:ascii="Times New Roman" w:hAnsi="Times New Roman" w:cs="Times New Roman"/>
                                <w:sz w:val="24"/>
                                <w:szCs w:val="24"/>
                              </w:rPr>
                              <w:t>CDC will conduct</w:t>
                            </w:r>
                            <w:r>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w:t>
                            </w:r>
                            <w:r w:rsidR="00841B2A">
                              <w:rPr>
                                <w:rFonts w:ascii="Times New Roman" w:hAnsi="Times New Roman" w:cs="Times New Roman"/>
                                <w:sz w:val="24"/>
                                <w:szCs w:val="24"/>
                              </w:rPr>
                              <w:t xml:space="preserve">utilizing standard modes of administration including online, telephone, in-person data collections. </w:t>
                            </w:r>
                          </w:p>
                          <w:p w:rsidRPr="003A38D4" w:rsidR="003A38D4" w:rsidP="00841B2A" w:rsidRDefault="003A38D4" w14:paraId="46E135E8" w14:textId="77777777">
                            <w:pPr>
                              <w:pStyle w:val="ListParagraph"/>
                              <w:ind w:left="360"/>
                              <w:rPr>
                                <w:rFonts w:ascii="Times New Roman" w:hAnsi="Times New Roman" w:cs="Times New Roman"/>
                                <w:sz w:val="24"/>
                                <w:szCs w:val="24"/>
                              </w:rPr>
                            </w:pPr>
                          </w:p>
                          <w:p w:rsidR="003A38D4" w:rsidP="00841B2A" w:rsidRDefault="003A38D4" w14:paraId="03833167" w14:textId="10D712F6">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The subpopulation to be studied:</w:t>
                            </w:r>
                            <w:r w:rsidRPr="003A38D4">
                              <w:rPr>
                                <w:rFonts w:ascii="Times New Roman" w:hAnsi="Times New Roman" w:cs="Times New Roman"/>
                                <w:sz w:val="24"/>
                                <w:szCs w:val="24"/>
                              </w:rPr>
                              <w:t xml:space="preserve"> </w:t>
                            </w:r>
                            <w:r w:rsidRPr="000A4C35">
                              <w:rPr>
                                <w:rFonts w:ascii="Times New Roman" w:hAnsi="Times New Roman" w:cs="Times New Roman"/>
                                <w:sz w:val="24"/>
                                <w:szCs w:val="24"/>
                              </w:rPr>
                              <w:t xml:space="preserve">The respondent universe is comprised of STLT governmental staff and delegates acting on behalf of a STLT </w:t>
                            </w:r>
                            <w:r w:rsidR="00BF2634">
                              <w:rPr>
                                <w:rFonts w:ascii="Times New Roman" w:hAnsi="Times New Roman" w:cs="Times New Roman"/>
                                <w:sz w:val="24"/>
                                <w:szCs w:val="24"/>
                              </w:rPr>
                              <w:t xml:space="preserve">agency </w:t>
                            </w:r>
                            <w:r w:rsidRPr="0092444D">
                              <w:rPr>
                                <w:rFonts w:ascii="Times New Roman" w:hAnsi="Times New Roman" w:cs="Times New Roman"/>
                                <w:sz w:val="24"/>
                                <w:szCs w:val="24"/>
                              </w:rPr>
                              <w:t>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p>
                          <w:p w:rsidRPr="00841B2A" w:rsidR="00841B2A" w:rsidP="00841B2A" w:rsidRDefault="00841B2A" w14:paraId="70614F36" w14:textId="77777777">
                            <w:pPr>
                              <w:rPr>
                                <w:rFonts w:ascii="Times New Roman" w:hAnsi="Times New Roman" w:cs="Times New Roman"/>
                                <w:sz w:val="24"/>
                                <w:szCs w:val="24"/>
                              </w:rPr>
                            </w:pPr>
                          </w:p>
                          <w:p w:rsidRPr="00841B2A" w:rsidR="003A38D4" w:rsidP="00841B2A" w:rsidRDefault="003A38D4" w14:paraId="31E26916" w14:textId="1AEC2B70">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How data will be analyzed:</w:t>
                            </w:r>
                            <w:r w:rsidRPr="003A38D4">
                              <w:rPr>
                                <w:rFonts w:ascii="Times New Roman" w:hAnsi="Times New Roman" w:cs="Times New Roman"/>
                                <w:sz w:val="24"/>
                                <w:szCs w:val="24"/>
                              </w:rPr>
                              <w:t xml:space="preserve"> </w:t>
                            </w:r>
                            <w:r>
                              <w:rPr>
                                <w:rFonts w:ascii="Times New Roman" w:hAnsi="Times New Roman" w:cs="Times New Roman"/>
                                <w:sz w:val="24"/>
                                <w:szCs w:val="24"/>
                              </w:rPr>
                              <w:t xml:space="preserve">Analysis will include </w:t>
                            </w:r>
                            <w:r w:rsidRPr="003A38D4">
                              <w:rPr>
                                <w:rFonts w:ascii="Times New Roman" w:hAnsi="Times New Roman" w:cs="Times New Roman"/>
                                <w:sz w:val="24"/>
                                <w:szCs w:val="24"/>
                              </w:rPr>
                              <w:t>descriptive and inferential statistics.  Linking collected data to existing data sources by non-personal identifiers (state, county, city names, etc.) may be used to increase the overall utilit</w:t>
                            </w:r>
                            <w:r w:rsidR="00841B2A">
                              <w:rPr>
                                <w:rFonts w:ascii="Times New Roman" w:hAnsi="Times New Roman" w:cs="Times New Roman"/>
                                <w:sz w:val="24"/>
                                <w:szCs w:val="24"/>
                              </w:rPr>
                              <w:t xml:space="preserve">y of a proposed data collection. </w:t>
                            </w:r>
                            <w:r w:rsidRPr="00841B2A">
                              <w:rPr>
                                <w:rFonts w:ascii="Times New Roman" w:hAnsi="Times New Roman" w:cs="Times New Roman"/>
                                <w:sz w:val="24"/>
                                <w:szCs w:val="24"/>
                              </w:rPr>
                              <w:t xml:space="preserve">All data analysis will be conducted under the advice of </w:t>
                            </w:r>
                            <w:r w:rsidR="00841B2A">
                              <w:rPr>
                                <w:rFonts w:ascii="Times New Roman" w:hAnsi="Times New Roman" w:cs="Times New Roman"/>
                                <w:sz w:val="24"/>
                                <w:szCs w:val="24"/>
                              </w:rPr>
                              <w:t>a CDC statistician/data analyst.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314765B">
                <v:stroke joinstyle="miter"/>
                <v:path gradientshapeok="t" o:connecttype="rect"/>
              </v:shapetype>
              <v:shape id="Text Box 2" style="width:485.25pt;height:358.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">
                <v:textbox>
                  <w:txbxContent>
                    <w:p w:rsidRPr="00841B2A" w:rsidR="003A38D4" w:rsidP="00841B2A" w:rsidRDefault="003A38D4" w14:paraId="721D8787" w14:textId="469E43F4">
                      <w:pPr>
                        <w:pStyle w:val="ListParagraph"/>
                        <w:numPr>
                          <w:ilvl w:val="0"/>
                          <w:numId w:val="20"/>
                        </w:numPr>
                        <w:rPr>
                          <w:rFonts w:ascii="Times New Roman" w:hAnsi="Times New Roman" w:cs="Times New Roman"/>
                          <w:sz w:val="24"/>
                          <w:szCs w:val="24"/>
                        </w:rPr>
                      </w:pPr>
                      <w:r w:rsidRPr="00841B2A">
                        <w:rPr>
                          <w:rFonts w:ascii="Times New Roman" w:hAnsi="Times New Roman" w:cs="Times New Roman"/>
                          <w:b/>
                          <w:sz w:val="24"/>
                          <w:szCs w:val="24"/>
                        </w:rPr>
                        <w:t>Goal:</w:t>
                      </w:r>
                      <w:r w:rsidRPr="00841B2A">
                        <w:rPr>
                          <w:rFonts w:ascii="Times New Roman" w:hAnsi="Times New Roman" w:cs="Times New Roman"/>
                          <w:sz w:val="24"/>
                          <w:szCs w:val="24"/>
                        </w:rPr>
                        <w:t xml:space="preserve"> </w:t>
                      </w:r>
                      <w:r w:rsidR="001502A5">
                        <w:rPr>
                          <w:rFonts w:ascii="Times New Roman" w:hAnsi="Times New Roman" w:cs="Times New Roman"/>
                          <w:sz w:val="24"/>
                          <w:szCs w:val="24"/>
                        </w:rPr>
                        <w:t>This is a</w:t>
                      </w:r>
                      <w:r w:rsidR="0032646B">
                        <w:rPr>
                          <w:rFonts w:ascii="Times New Roman" w:hAnsi="Times New Roman" w:cs="Times New Roman"/>
                          <w:sz w:val="24"/>
                          <w:szCs w:val="24"/>
                        </w:rPr>
                        <w:t xml:space="preserve"> three year</w:t>
                      </w:r>
                      <w:r w:rsidR="001502A5">
                        <w:rPr>
                          <w:rFonts w:ascii="Times New Roman" w:hAnsi="Times New Roman" w:cs="Times New Roman"/>
                          <w:sz w:val="24"/>
                          <w:szCs w:val="24"/>
                        </w:rPr>
                        <w:t xml:space="preserve"> extension request for an approved generic ICR. </w:t>
                      </w:r>
                      <w:r w:rsidRPr="00841B2A">
                        <w:rPr>
                          <w:rFonts w:ascii="Times New Roman" w:hAnsi="Times New Roman" w:cs="Times New Roman"/>
                          <w:sz w:val="24"/>
                          <w:szCs w:val="24"/>
                        </w:rPr>
                        <w:t>The purpose of this generic clearance is to advance state, tribal, local, and territorial (STLT) governmental agency system performance, capacity and program delivery.</w:t>
                      </w:r>
                    </w:p>
                    <w:p w:rsidRPr="003A38D4" w:rsidR="003A38D4" w:rsidP="00841B2A" w:rsidRDefault="003A38D4" w14:paraId="11E5DA32" w14:textId="77777777">
                      <w:pPr>
                        <w:pStyle w:val="ListParagraph"/>
                        <w:ind w:left="360"/>
                        <w:rPr>
                          <w:rFonts w:ascii="Times New Roman" w:hAnsi="Times New Roman" w:cs="Times New Roman"/>
                          <w:sz w:val="24"/>
                          <w:szCs w:val="24"/>
                        </w:rPr>
                      </w:pPr>
                    </w:p>
                    <w:p w:rsidRPr="00841B2A" w:rsidR="00841B2A" w:rsidP="00841B2A" w:rsidRDefault="003A38D4" w14:paraId="309269EA" w14:textId="0C84E6EC">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Intended use of the resulting data: </w:t>
                      </w:r>
                      <w:r w:rsidRPr="003A38D4">
                        <w:rPr>
                          <w:rFonts w:ascii="Times New Roman" w:hAnsi="Times New Roman" w:cs="Times New Roman"/>
                          <w:sz w:val="24"/>
                          <w:szCs w:val="24"/>
                        </w:rPr>
                        <w:t>Information will be used to assess situational awareness of current public health emergencies; make decisions that affect planning, response and recovery activit</w:t>
                      </w:r>
                      <w:r w:rsidR="00841B2A">
                        <w:rPr>
                          <w:rFonts w:ascii="Times New Roman" w:hAnsi="Times New Roman" w:cs="Times New Roman"/>
                          <w:sz w:val="24"/>
                          <w:szCs w:val="24"/>
                        </w:rPr>
                        <w:t xml:space="preserve">ies of subsequent emergencies; </w:t>
                      </w:r>
                      <w:r w:rsidRPr="003A38D4">
                        <w:rPr>
                          <w:rFonts w:ascii="Times New Roman" w:hAnsi="Times New Roman" w:cs="Times New Roman"/>
                          <w:sz w:val="24"/>
                          <w:szCs w:val="24"/>
                        </w:rPr>
                        <w:t>fill CDC gaps in knowledge of programs and/or STLT governments that will strengthen surveillance, epidemiology, and laboratory science; improve CDC’s support and technical assistance to states and communities.</w:t>
                      </w:r>
                    </w:p>
                    <w:p w:rsidRPr="00841B2A" w:rsidR="00841B2A" w:rsidP="00841B2A" w:rsidRDefault="00841B2A" w14:paraId="0E12555B" w14:textId="77777777">
                      <w:pPr>
                        <w:pStyle w:val="ListParagraph"/>
                        <w:ind w:left="360"/>
                        <w:rPr>
                          <w:rFonts w:ascii="Times New Roman" w:hAnsi="Times New Roman" w:cs="Times New Roman"/>
                          <w:sz w:val="24"/>
                          <w:szCs w:val="24"/>
                        </w:rPr>
                      </w:pPr>
                    </w:p>
                    <w:p w:rsidR="00841B2A" w:rsidP="00841B2A" w:rsidRDefault="003A38D4" w14:paraId="619BA607" w14:textId="2EE87D8C">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Methods to be used to collect: </w:t>
                      </w:r>
                      <w:r w:rsidRPr="0010712C">
                        <w:rPr>
                          <w:rFonts w:ascii="Times New Roman" w:hAnsi="Times New Roman" w:cs="Times New Roman"/>
                          <w:sz w:val="24"/>
                          <w:szCs w:val="24"/>
                        </w:rPr>
                        <w:t>CDC will conduct</w:t>
                      </w:r>
                      <w:r>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w:t>
                      </w:r>
                      <w:r w:rsidR="00841B2A">
                        <w:rPr>
                          <w:rFonts w:ascii="Times New Roman" w:hAnsi="Times New Roman" w:cs="Times New Roman"/>
                          <w:sz w:val="24"/>
                          <w:szCs w:val="24"/>
                        </w:rPr>
                        <w:t xml:space="preserve">utilizing standard modes of administration including online, telephone, in-person data collections. </w:t>
                      </w:r>
                    </w:p>
                    <w:p w:rsidRPr="003A38D4" w:rsidR="003A38D4" w:rsidP="00841B2A" w:rsidRDefault="003A38D4" w14:paraId="46E135E8" w14:textId="77777777">
                      <w:pPr>
                        <w:pStyle w:val="ListParagraph"/>
                        <w:ind w:left="360"/>
                        <w:rPr>
                          <w:rFonts w:ascii="Times New Roman" w:hAnsi="Times New Roman" w:cs="Times New Roman"/>
                          <w:sz w:val="24"/>
                          <w:szCs w:val="24"/>
                        </w:rPr>
                      </w:pPr>
                    </w:p>
                    <w:p w:rsidR="003A38D4" w:rsidP="00841B2A" w:rsidRDefault="003A38D4" w14:paraId="03833167" w14:textId="10D712F6">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The subpopulation to be studied:</w:t>
                      </w:r>
                      <w:r w:rsidRPr="003A38D4">
                        <w:rPr>
                          <w:rFonts w:ascii="Times New Roman" w:hAnsi="Times New Roman" w:cs="Times New Roman"/>
                          <w:sz w:val="24"/>
                          <w:szCs w:val="24"/>
                        </w:rPr>
                        <w:t xml:space="preserve"> </w:t>
                      </w:r>
                      <w:r w:rsidRPr="000A4C35">
                        <w:rPr>
                          <w:rFonts w:ascii="Times New Roman" w:hAnsi="Times New Roman" w:cs="Times New Roman"/>
                          <w:sz w:val="24"/>
                          <w:szCs w:val="24"/>
                        </w:rPr>
                        <w:t xml:space="preserve">The respondent universe is comprised of STLT governmental staff and delegates acting on behalf of a STLT </w:t>
                      </w:r>
                      <w:r w:rsidR="00BF2634">
                        <w:rPr>
                          <w:rFonts w:ascii="Times New Roman" w:hAnsi="Times New Roman" w:cs="Times New Roman"/>
                          <w:sz w:val="24"/>
                          <w:szCs w:val="24"/>
                        </w:rPr>
                        <w:t xml:space="preserve">agency </w:t>
                      </w:r>
                      <w:r w:rsidRPr="0092444D">
                        <w:rPr>
                          <w:rFonts w:ascii="Times New Roman" w:hAnsi="Times New Roman" w:cs="Times New Roman"/>
                          <w:sz w:val="24"/>
                          <w:szCs w:val="24"/>
                        </w:rPr>
                        <w:t>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p>
                    <w:p w:rsidRPr="00841B2A" w:rsidR="00841B2A" w:rsidP="00841B2A" w:rsidRDefault="00841B2A" w14:paraId="70614F36" w14:textId="77777777">
                      <w:pPr>
                        <w:rPr>
                          <w:rFonts w:ascii="Times New Roman" w:hAnsi="Times New Roman" w:cs="Times New Roman"/>
                          <w:sz w:val="24"/>
                          <w:szCs w:val="24"/>
                        </w:rPr>
                      </w:pPr>
                    </w:p>
                    <w:p w:rsidRPr="00841B2A" w:rsidR="003A38D4" w:rsidP="00841B2A" w:rsidRDefault="003A38D4" w14:paraId="31E26916" w14:textId="1AEC2B70">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How data will be analyzed:</w:t>
                      </w:r>
                      <w:r w:rsidRPr="003A38D4">
                        <w:rPr>
                          <w:rFonts w:ascii="Times New Roman" w:hAnsi="Times New Roman" w:cs="Times New Roman"/>
                          <w:sz w:val="24"/>
                          <w:szCs w:val="24"/>
                        </w:rPr>
                        <w:t xml:space="preserve"> </w:t>
                      </w:r>
                      <w:r>
                        <w:rPr>
                          <w:rFonts w:ascii="Times New Roman" w:hAnsi="Times New Roman" w:cs="Times New Roman"/>
                          <w:sz w:val="24"/>
                          <w:szCs w:val="24"/>
                        </w:rPr>
                        <w:t xml:space="preserve">Analysis will include </w:t>
                      </w:r>
                      <w:r w:rsidRPr="003A38D4">
                        <w:rPr>
                          <w:rFonts w:ascii="Times New Roman" w:hAnsi="Times New Roman" w:cs="Times New Roman"/>
                          <w:sz w:val="24"/>
                          <w:szCs w:val="24"/>
                        </w:rPr>
                        <w:t>descriptive and inferential statistics.  Linking collected data to existing data sources by non-personal identifiers (state, county, city names, etc.) may be used to increase the overall utilit</w:t>
                      </w:r>
                      <w:r w:rsidR="00841B2A">
                        <w:rPr>
                          <w:rFonts w:ascii="Times New Roman" w:hAnsi="Times New Roman" w:cs="Times New Roman"/>
                          <w:sz w:val="24"/>
                          <w:szCs w:val="24"/>
                        </w:rPr>
                        <w:t xml:space="preserve">y of a proposed data collection. </w:t>
                      </w:r>
                      <w:r w:rsidRPr="00841B2A">
                        <w:rPr>
                          <w:rFonts w:ascii="Times New Roman" w:hAnsi="Times New Roman" w:cs="Times New Roman"/>
                          <w:sz w:val="24"/>
                          <w:szCs w:val="24"/>
                        </w:rPr>
                        <w:t xml:space="preserve">All data analysis will be conducted under the advice of </w:t>
                      </w:r>
                      <w:r w:rsidR="00841B2A">
                        <w:rPr>
                          <w:rFonts w:ascii="Times New Roman" w:hAnsi="Times New Roman" w:cs="Times New Roman"/>
                          <w:sz w:val="24"/>
                          <w:szCs w:val="24"/>
                        </w:rPr>
                        <w:t>a CDC statistician/data analyst.</w:t>
                      </w:r>
                    </w:p>
                  </w:txbxContent>
                </v:textbox>
                <w10:anchorlock/>
              </v:shape>
            </w:pict>
          </mc:Fallback>
        </mc:AlternateContent>
      </w:r>
      <w:bookmarkEnd w:id="0"/>
      <w:bookmarkEnd w:id="1"/>
    </w:p>
    <w:p w:rsidR="003A38D4" w:rsidP="007159F4" w:rsidRDefault="003A38D4" w14:paraId="1DC65FB0" w14:textId="77777777">
      <w:pPr>
        <w:rPr>
          <w:rFonts w:ascii="Times New Roman" w:hAnsi="Times New Roman" w:cs="Times New Roman"/>
          <w:b/>
          <w:sz w:val="24"/>
          <w:szCs w:val="24"/>
        </w:rPr>
      </w:pPr>
    </w:p>
    <w:p w:rsidR="003A38D4" w:rsidP="007159F4" w:rsidRDefault="003A38D4" w14:paraId="642D24C3" w14:textId="77777777">
      <w:pPr>
        <w:rPr>
          <w:rFonts w:ascii="Times New Roman" w:hAnsi="Times New Roman" w:cs="Times New Roman"/>
          <w:b/>
          <w:sz w:val="24"/>
          <w:szCs w:val="24"/>
        </w:rPr>
      </w:pPr>
    </w:p>
    <w:p w:rsidR="007159F4" w:rsidP="007159F4" w:rsidRDefault="007159F4" w14:paraId="7FD85508" w14:textId="33C936BC">
      <w:pPr>
        <w:rPr>
          <w:rFonts w:ascii="Times New Roman" w:hAnsi="Times New Roman" w:cs="Times New Roman"/>
          <w:b/>
          <w:sz w:val="24"/>
          <w:szCs w:val="24"/>
        </w:rPr>
      </w:pPr>
      <w:r w:rsidRPr="007159F4">
        <w:rPr>
          <w:rFonts w:ascii="Times New Roman" w:hAnsi="Times New Roman" w:cs="Times New Roman"/>
          <w:b/>
          <w:sz w:val="24"/>
          <w:szCs w:val="24"/>
        </w:rPr>
        <w:t>Part A.  JUSTIFICATION</w:t>
      </w:r>
    </w:p>
    <w:p w:rsidRPr="007159F4" w:rsidR="007159F4" w:rsidP="007159F4" w:rsidRDefault="007159F4" w14:paraId="29431B87" w14:textId="77777777">
      <w:pPr>
        <w:rPr>
          <w:rFonts w:ascii="Times New Roman" w:hAnsi="Times New Roman" w:cs="Times New Roman"/>
          <w:b/>
          <w:sz w:val="24"/>
          <w:szCs w:val="24"/>
        </w:rPr>
      </w:pPr>
    </w:p>
    <w:p w:rsidRPr="008C29FB" w:rsidR="008C29FB" w:rsidP="008C29FB" w:rsidRDefault="008C29FB" w14:paraId="0E83DB32" w14:textId="77777777">
      <w:pPr>
        <w:pStyle w:val="ListParagraph"/>
        <w:numPr>
          <w:ilvl w:val="0"/>
          <w:numId w:val="4"/>
        </w:numPr>
        <w:rPr>
          <w:rFonts w:ascii="Times New Roman" w:hAnsi="Times New Roman" w:cs="Times New Roman"/>
          <w:b/>
          <w:sz w:val="24"/>
          <w:szCs w:val="24"/>
        </w:rPr>
      </w:pPr>
      <w:r w:rsidRPr="008C29FB">
        <w:rPr>
          <w:rFonts w:ascii="Times New Roman" w:hAnsi="Times New Roman" w:cs="Times New Roman"/>
          <w:b/>
          <w:sz w:val="24"/>
          <w:szCs w:val="24"/>
        </w:rPr>
        <w:t>Circumstances Making the Collection of Information Necessary Background</w:t>
      </w:r>
    </w:p>
    <w:p w:rsidRPr="008C29FB" w:rsidR="008C29FB" w:rsidRDefault="008C29FB" w14:paraId="737CB5C6" w14:textId="77777777">
      <w:pPr>
        <w:rPr>
          <w:rFonts w:ascii="Times New Roman" w:hAnsi="Times New Roman" w:cs="Times New Roman"/>
          <w:sz w:val="24"/>
          <w:szCs w:val="24"/>
        </w:rPr>
      </w:pPr>
    </w:p>
    <w:p w:rsidR="000635E1" w:rsidP="00593CB5" w:rsidRDefault="008C29FB" w14:paraId="12565801" w14:textId="6ED13C16">
      <w:pPr>
        <w:rPr>
          <w:rFonts w:ascii="Times New Roman" w:hAnsi="Times New Roman" w:cs="Times New Roman"/>
          <w:sz w:val="24"/>
          <w:szCs w:val="24"/>
        </w:rPr>
      </w:pPr>
      <w:r w:rsidRPr="008C29FB">
        <w:rPr>
          <w:rFonts w:ascii="Times New Roman" w:hAnsi="Times New Roman" w:cs="Times New Roman"/>
          <w:sz w:val="24"/>
          <w:szCs w:val="24"/>
        </w:rPr>
        <w:t>The Centers for Disease Control and Prevention (CDC) is requesting approval for</w:t>
      </w:r>
      <w:r w:rsidR="00426ABD">
        <w:rPr>
          <w:rFonts w:ascii="Times New Roman" w:hAnsi="Times New Roman" w:cs="Times New Roman"/>
          <w:sz w:val="24"/>
          <w:szCs w:val="24"/>
        </w:rPr>
        <w:t xml:space="preserve"> an extension to</w:t>
      </w:r>
      <w:r>
        <w:rPr>
          <w:rFonts w:ascii="Times New Roman" w:hAnsi="Times New Roman" w:cs="Times New Roman"/>
          <w:sz w:val="24"/>
          <w:szCs w:val="24"/>
        </w:rPr>
        <w:t xml:space="preserve"> this “generic” clearance </w:t>
      </w:r>
      <w:r w:rsidRPr="008C29FB">
        <w:rPr>
          <w:rFonts w:ascii="Times New Roman" w:hAnsi="Times New Roman" w:cs="Times New Roman"/>
          <w:sz w:val="24"/>
          <w:szCs w:val="24"/>
        </w:rPr>
        <w:t xml:space="preserve">under the authority of Section 301 of the Public Health Service Act (42 USC Sec. 301 [241]) (Attachment A). </w:t>
      </w:r>
      <w:r w:rsidRPr="000635E1" w:rsidR="000635E1">
        <w:rPr>
          <w:rFonts w:ascii="Times New Roman" w:hAnsi="Times New Roman" w:cs="Times New Roman"/>
          <w:sz w:val="24"/>
          <w:szCs w:val="24"/>
        </w:rPr>
        <w:t>The purpose of this generic clearance is to advance state, tribal, local, and territorial (STLT) governmental agency system performance, capacity and program delivery.</w:t>
      </w:r>
    </w:p>
    <w:p w:rsidR="008C29FB" w:rsidP="00593CB5" w:rsidRDefault="00AB7343" w14:paraId="157AE792" w14:textId="25790C2D">
      <w:pPr>
        <w:rPr>
          <w:rFonts w:ascii="Times New Roman" w:hAnsi="Times New Roman" w:cs="Times New Roman"/>
          <w:sz w:val="24"/>
          <w:szCs w:val="24"/>
        </w:rPr>
      </w:pPr>
      <w:r>
        <w:rPr>
          <w:rFonts w:ascii="Times New Roman" w:hAnsi="Times New Roman" w:cs="Times New Roman"/>
          <w:sz w:val="24"/>
          <w:szCs w:val="24"/>
        </w:rPr>
        <w:t xml:space="preserve">The </w:t>
      </w:r>
      <w:r w:rsidRPr="008C29FB">
        <w:rPr>
          <w:rFonts w:ascii="Times New Roman" w:hAnsi="Times New Roman" w:cs="Times New Roman"/>
          <w:sz w:val="24"/>
          <w:szCs w:val="24"/>
        </w:rPr>
        <w:t xml:space="preserve">0920-0879 was first approved in 2011, has </w:t>
      </w:r>
      <w:r w:rsidR="003B3CE0">
        <w:rPr>
          <w:rFonts w:ascii="Times New Roman" w:hAnsi="Times New Roman" w:cs="Times New Roman"/>
          <w:sz w:val="24"/>
          <w:szCs w:val="24"/>
        </w:rPr>
        <w:t xml:space="preserve">been </w:t>
      </w:r>
      <w:r w:rsidR="0032646B">
        <w:rPr>
          <w:rFonts w:ascii="Times New Roman" w:hAnsi="Times New Roman" w:cs="Times New Roman"/>
          <w:sz w:val="24"/>
          <w:szCs w:val="24"/>
        </w:rPr>
        <w:t>extended</w:t>
      </w:r>
      <w:r w:rsidR="003B3CE0">
        <w:rPr>
          <w:rFonts w:ascii="Times New Roman" w:hAnsi="Times New Roman" w:cs="Times New Roman"/>
          <w:sz w:val="24"/>
          <w:szCs w:val="24"/>
        </w:rPr>
        <w:t xml:space="preserve"> three times</w:t>
      </w:r>
      <w:r w:rsidR="00233BDB">
        <w:rPr>
          <w:rFonts w:ascii="Times New Roman" w:hAnsi="Times New Roman" w:cs="Times New Roman"/>
          <w:sz w:val="24"/>
          <w:szCs w:val="24"/>
        </w:rPr>
        <w:t xml:space="preserve">. </w:t>
      </w:r>
      <w:r w:rsidRPr="008C29FB">
        <w:rPr>
          <w:rFonts w:ascii="Times New Roman" w:hAnsi="Times New Roman" w:cs="Times New Roman"/>
          <w:sz w:val="24"/>
          <w:szCs w:val="24"/>
        </w:rPr>
        <w:t xml:space="preserve">The </w:t>
      </w:r>
      <w:r w:rsidR="002549E0">
        <w:rPr>
          <w:rFonts w:ascii="Times New Roman" w:hAnsi="Times New Roman" w:cs="Times New Roman"/>
          <w:sz w:val="24"/>
          <w:szCs w:val="24"/>
        </w:rPr>
        <w:t xml:space="preserve">most current </w:t>
      </w:r>
      <w:r>
        <w:rPr>
          <w:rFonts w:ascii="Times New Roman" w:hAnsi="Times New Roman" w:cs="Times New Roman"/>
          <w:sz w:val="24"/>
          <w:szCs w:val="24"/>
        </w:rPr>
        <w:t xml:space="preserve">version </w:t>
      </w:r>
      <w:r w:rsidRPr="008C29FB">
        <w:rPr>
          <w:rFonts w:ascii="Times New Roman" w:hAnsi="Times New Roman" w:cs="Times New Roman"/>
          <w:sz w:val="24"/>
          <w:szCs w:val="24"/>
        </w:rPr>
        <w:t>was approved</w:t>
      </w:r>
      <w:r w:rsidR="0032646B">
        <w:rPr>
          <w:rFonts w:ascii="Times New Roman" w:hAnsi="Times New Roman" w:cs="Times New Roman"/>
          <w:sz w:val="24"/>
          <w:szCs w:val="24"/>
        </w:rPr>
        <w:t xml:space="preserve"> on</w:t>
      </w:r>
      <w:r w:rsidRPr="008C29FB">
        <w:rPr>
          <w:rFonts w:ascii="Times New Roman" w:hAnsi="Times New Roman" w:cs="Times New Roman"/>
          <w:sz w:val="24"/>
          <w:szCs w:val="24"/>
        </w:rPr>
        <w:t xml:space="preserve"> </w:t>
      </w:r>
      <w:r w:rsidR="003B3CE0">
        <w:rPr>
          <w:rFonts w:ascii="Times New Roman" w:hAnsi="Times New Roman" w:cs="Times New Roman"/>
          <w:sz w:val="24"/>
          <w:szCs w:val="24"/>
        </w:rPr>
        <w:t>01/17/2018</w:t>
      </w:r>
      <w:r w:rsidRPr="008C29FB">
        <w:rPr>
          <w:rFonts w:ascii="Times New Roman" w:hAnsi="Times New Roman" w:cs="Times New Roman"/>
          <w:sz w:val="24"/>
          <w:szCs w:val="24"/>
        </w:rPr>
        <w:t xml:space="preserve"> and will expire on </w:t>
      </w:r>
      <w:r w:rsidR="003B3CE0">
        <w:rPr>
          <w:rFonts w:ascii="Times New Roman" w:hAnsi="Times New Roman" w:cs="Times New Roman"/>
          <w:sz w:val="24"/>
          <w:szCs w:val="24"/>
        </w:rPr>
        <w:t>01/31/2021</w:t>
      </w:r>
      <w:r w:rsidRPr="008C29FB">
        <w:rPr>
          <w:rFonts w:ascii="Times New Roman" w:hAnsi="Times New Roman" w:cs="Times New Roman"/>
          <w:sz w:val="24"/>
          <w:szCs w:val="24"/>
        </w:rPr>
        <w:t xml:space="preserve">. </w:t>
      </w:r>
      <w:r>
        <w:rPr>
          <w:rFonts w:ascii="Times New Roman" w:hAnsi="Times New Roman" w:cs="Times New Roman"/>
          <w:sz w:val="24"/>
          <w:szCs w:val="24"/>
        </w:rPr>
        <w:t xml:space="preserve">All </w:t>
      </w:r>
      <w:r w:rsidRPr="008C29FB">
        <w:rPr>
          <w:rFonts w:ascii="Times New Roman" w:hAnsi="Times New Roman" w:cs="Times New Roman"/>
          <w:sz w:val="24"/>
          <w:szCs w:val="24"/>
        </w:rPr>
        <w:t xml:space="preserve">elements within this </w:t>
      </w:r>
      <w:r w:rsidR="003B3CE0">
        <w:rPr>
          <w:rFonts w:ascii="Times New Roman" w:hAnsi="Times New Roman" w:cs="Times New Roman"/>
          <w:sz w:val="24"/>
          <w:szCs w:val="24"/>
        </w:rPr>
        <w:t>extension request r</w:t>
      </w:r>
      <w:r w:rsidRPr="008C29FB">
        <w:rPr>
          <w:rFonts w:ascii="Times New Roman" w:hAnsi="Times New Roman" w:cs="Times New Roman"/>
          <w:sz w:val="24"/>
          <w:szCs w:val="24"/>
        </w:rPr>
        <w:t xml:space="preserve">emain the same as the </w:t>
      </w:r>
      <w:r>
        <w:rPr>
          <w:rFonts w:ascii="Times New Roman" w:hAnsi="Times New Roman" w:cs="Times New Roman"/>
          <w:sz w:val="24"/>
          <w:szCs w:val="24"/>
        </w:rPr>
        <w:t>currently</w:t>
      </w:r>
      <w:r w:rsidRPr="008C29FB">
        <w:rPr>
          <w:rFonts w:ascii="Times New Roman" w:hAnsi="Times New Roman" w:cs="Times New Roman"/>
          <w:sz w:val="24"/>
          <w:szCs w:val="24"/>
        </w:rPr>
        <w:t xml:space="preserve"> approved generic clearance</w:t>
      </w:r>
      <w:r>
        <w:rPr>
          <w:rFonts w:ascii="Times New Roman" w:hAnsi="Times New Roman" w:cs="Times New Roman"/>
          <w:sz w:val="24"/>
          <w:szCs w:val="24"/>
        </w:rPr>
        <w:t>.</w:t>
      </w:r>
      <w:r w:rsidRPr="008C29FB" w:rsidR="008C29FB">
        <w:rPr>
          <w:rFonts w:ascii="Times New Roman" w:hAnsi="Times New Roman" w:cs="Times New Roman"/>
          <w:sz w:val="24"/>
          <w:szCs w:val="24"/>
        </w:rPr>
        <w:t xml:space="preserve"> </w:t>
      </w:r>
    </w:p>
    <w:p w:rsidR="008C29FB" w:rsidP="00593CB5" w:rsidRDefault="008C29FB" w14:paraId="27129146" w14:textId="77777777">
      <w:pPr>
        <w:rPr>
          <w:rFonts w:ascii="Times New Roman" w:hAnsi="Times New Roman" w:cs="Times New Roman"/>
          <w:sz w:val="24"/>
          <w:szCs w:val="24"/>
        </w:rPr>
      </w:pPr>
    </w:p>
    <w:p w:rsidRPr="00AB7343" w:rsidR="00AB7343" w:rsidP="00593CB5" w:rsidRDefault="00AB7343" w14:paraId="01C9EBE6" w14:textId="77777777">
      <w:pPr>
        <w:rPr>
          <w:rFonts w:ascii="Times New Roman" w:hAnsi="Times New Roman" w:cs="Times New Roman"/>
          <w:b/>
          <w:i/>
          <w:sz w:val="24"/>
          <w:szCs w:val="24"/>
        </w:rPr>
      </w:pPr>
      <w:r w:rsidRPr="00AB7343">
        <w:rPr>
          <w:rFonts w:ascii="Times New Roman" w:hAnsi="Times New Roman" w:cs="Times New Roman"/>
          <w:b/>
          <w:i/>
          <w:sz w:val="24"/>
          <w:szCs w:val="24"/>
        </w:rPr>
        <w:t>Background</w:t>
      </w:r>
    </w:p>
    <w:p w:rsidRPr="00AB7343" w:rsidR="00AB7343" w:rsidP="00AB7343" w:rsidRDefault="00AB7343" w14:paraId="3A6B87B5" w14:textId="77777777">
      <w:pPr>
        <w:rPr>
          <w:rFonts w:ascii="Times New Roman" w:hAnsi="Times New Roman" w:cs="Times New Roman"/>
          <w:sz w:val="24"/>
          <w:szCs w:val="24"/>
        </w:rPr>
      </w:pPr>
      <w:r w:rsidRPr="0092444D">
        <w:rPr>
          <w:rFonts w:ascii="Times New Roman" w:hAnsi="Times New Roman" w:cs="Times New Roman"/>
          <w:sz w:val="24"/>
          <w:szCs w:val="24"/>
        </w:rPr>
        <w:t>CDC’s mission is to create the expertise, information, and tools that people and communities need to protect their health – through health promotion, prevention of disease, injury and disability, and preparedness for new health threats. CDC seeks to accomplish its mission by collaborating with partners throughout the nation</w:t>
      </w:r>
      <w:r w:rsidRPr="0092444D" w:rsidR="002549E0">
        <w:rPr>
          <w:rFonts w:ascii="Times New Roman" w:hAnsi="Times New Roman" w:cs="Times New Roman"/>
          <w:sz w:val="24"/>
          <w:szCs w:val="24"/>
        </w:rPr>
        <w:t xml:space="preserve"> and the world to</w:t>
      </w:r>
      <w:r w:rsidRPr="0092444D">
        <w:rPr>
          <w:rFonts w:ascii="Times New Roman" w:hAnsi="Times New Roman" w:cs="Times New Roman"/>
          <w:sz w:val="24"/>
          <w:szCs w:val="24"/>
        </w:rPr>
        <w:t xml:space="preserve"> monitor health</w:t>
      </w:r>
      <w:r w:rsidRPr="00AB7343">
        <w:rPr>
          <w:rFonts w:ascii="Times New Roman" w:hAnsi="Times New Roman" w:cs="Times New Roman"/>
          <w:sz w:val="24"/>
          <w:szCs w:val="24"/>
        </w:rPr>
        <w:t>, detect and investigate health problems, conduct research to enhance prevention, develop and advocate sound public health policies, implement prevention strategies, promote healthy behaviors, foster safe and healthful environments, and provide leadership and training.</w:t>
      </w:r>
    </w:p>
    <w:p w:rsidRPr="00AB7343" w:rsidR="00AB7343" w:rsidP="00AB7343" w:rsidRDefault="00AB7343" w14:paraId="4A420A97" w14:textId="77777777">
      <w:pPr>
        <w:rPr>
          <w:rFonts w:ascii="Times New Roman" w:hAnsi="Times New Roman" w:cs="Times New Roman"/>
          <w:sz w:val="24"/>
          <w:szCs w:val="24"/>
        </w:rPr>
      </w:pPr>
    </w:p>
    <w:p w:rsidR="00A8301D" w:rsidP="00233BDB" w:rsidRDefault="00AB7343" w14:paraId="629D198C" w14:textId="77777777">
      <w:pPr>
        <w:rPr>
          <w:rFonts w:ascii="Times New Roman" w:hAnsi="Times New Roman" w:cs="Times New Roman"/>
          <w:sz w:val="24"/>
          <w:szCs w:val="24"/>
        </w:rPr>
      </w:pPr>
      <w:r w:rsidRPr="00AB7343">
        <w:rPr>
          <w:rFonts w:ascii="Times New Roman" w:hAnsi="Times New Roman" w:cs="Times New Roman"/>
          <w:sz w:val="24"/>
          <w:szCs w:val="24"/>
        </w:rPr>
        <w:t>CDC priorities include addressing the leading causes of disease, injury, and disability in the United States, including a focus on tobacco control; improving nutrition, physical activity, and food safety; reducing healthcare-associated infections; preventing motor vehicle injuries; preventing teen p</w:t>
      </w:r>
      <w:r w:rsidR="00233BDB">
        <w:rPr>
          <w:rFonts w:ascii="Times New Roman" w:hAnsi="Times New Roman" w:cs="Times New Roman"/>
          <w:sz w:val="24"/>
          <w:szCs w:val="24"/>
        </w:rPr>
        <w:t xml:space="preserve">regnancy; and preventing HIV. </w:t>
      </w:r>
      <w:r w:rsidRPr="00AB7343">
        <w:rPr>
          <w:rFonts w:ascii="Times New Roman" w:hAnsi="Times New Roman" w:cs="Times New Roman"/>
          <w:sz w:val="24"/>
          <w:szCs w:val="24"/>
        </w:rPr>
        <w:t xml:space="preserve">Approaches to improvements include </w:t>
      </w:r>
      <w:r w:rsidR="00233BDB">
        <w:rPr>
          <w:rFonts w:ascii="Times New Roman" w:hAnsi="Times New Roman" w:cs="Times New Roman"/>
          <w:sz w:val="24"/>
          <w:szCs w:val="24"/>
        </w:rPr>
        <w:t xml:space="preserve">— </w:t>
      </w:r>
      <w:r w:rsidRPr="00AB7343">
        <w:rPr>
          <w:rFonts w:ascii="Times New Roman" w:hAnsi="Times New Roman" w:cs="Times New Roman"/>
          <w:sz w:val="24"/>
          <w:szCs w:val="24"/>
        </w:rPr>
        <w:t xml:space="preserve">strengthening surveillance, epidemiology, and laboratory science; health promotion and disease prevention across the lifespan; better supporting efforts in states </w:t>
      </w:r>
      <w:r w:rsidRPr="0092444D">
        <w:rPr>
          <w:rFonts w:ascii="Times New Roman" w:hAnsi="Times New Roman" w:cs="Times New Roman"/>
          <w:sz w:val="24"/>
          <w:szCs w:val="24"/>
        </w:rPr>
        <w:t xml:space="preserve">and communities; and to pursuing policies that have an impact on the population’s health.  </w:t>
      </w:r>
      <w:r w:rsidRPr="0092444D" w:rsidR="00233BDB">
        <w:rPr>
          <w:rFonts w:ascii="Times New Roman" w:hAnsi="Times New Roman" w:cs="Times New Roman"/>
          <w:sz w:val="24"/>
          <w:szCs w:val="24"/>
        </w:rPr>
        <w:t>As such, CDC’s relationship with state, local, tribal and territorial (STLT) governmental staff and their delegates is key to its health promotion</w:t>
      </w:r>
      <w:r w:rsidRPr="0092444D" w:rsidR="00636922">
        <w:rPr>
          <w:rFonts w:ascii="Times New Roman" w:hAnsi="Times New Roman" w:cs="Times New Roman"/>
          <w:sz w:val="24"/>
          <w:szCs w:val="24"/>
        </w:rPr>
        <w:t xml:space="preserve">, </w:t>
      </w:r>
      <w:r w:rsidRPr="0092444D" w:rsidR="00233BDB">
        <w:rPr>
          <w:rFonts w:ascii="Times New Roman" w:hAnsi="Times New Roman" w:cs="Times New Roman"/>
          <w:sz w:val="24"/>
          <w:szCs w:val="24"/>
        </w:rPr>
        <w:t>disease prevention</w:t>
      </w:r>
      <w:r w:rsidRPr="0092444D" w:rsidR="00636922">
        <w:rPr>
          <w:rFonts w:ascii="Times New Roman" w:hAnsi="Times New Roman" w:cs="Times New Roman"/>
          <w:sz w:val="24"/>
          <w:szCs w:val="24"/>
        </w:rPr>
        <w:t xml:space="preserve">, and emergency preparedness </w:t>
      </w:r>
      <w:r w:rsidRPr="0092444D" w:rsidR="00233BDB">
        <w:rPr>
          <w:rFonts w:ascii="Times New Roman" w:hAnsi="Times New Roman" w:cs="Times New Roman"/>
          <w:sz w:val="24"/>
          <w:szCs w:val="24"/>
        </w:rPr>
        <w:t>responsibilities.</w:t>
      </w:r>
      <w:r w:rsidRPr="00AB7343" w:rsidR="00233BDB">
        <w:rPr>
          <w:rFonts w:ascii="Times New Roman" w:hAnsi="Times New Roman" w:cs="Times New Roman"/>
          <w:sz w:val="24"/>
          <w:szCs w:val="24"/>
        </w:rPr>
        <w:t xml:space="preserve"> </w:t>
      </w:r>
    </w:p>
    <w:p w:rsidR="00A8301D" w:rsidP="00233BDB" w:rsidRDefault="00A8301D" w14:paraId="3FE9EFC5" w14:textId="77777777">
      <w:pPr>
        <w:rPr>
          <w:rFonts w:ascii="Times New Roman" w:hAnsi="Times New Roman" w:cs="Times New Roman"/>
          <w:sz w:val="24"/>
          <w:szCs w:val="24"/>
        </w:rPr>
      </w:pPr>
    </w:p>
    <w:p w:rsidRPr="00BA247A" w:rsidR="00101073" w:rsidP="00233BDB" w:rsidRDefault="00101073" w14:paraId="0CA01F3A" w14:textId="77777777">
      <w:pPr>
        <w:rPr>
          <w:rFonts w:ascii="Times New Roman" w:hAnsi="Times New Roman" w:cs="Times New Roman"/>
          <w:sz w:val="24"/>
          <w:szCs w:val="24"/>
        </w:rPr>
      </w:pPr>
      <w:r>
        <w:rPr>
          <w:rFonts w:ascii="Times New Roman" w:hAnsi="Times New Roman" w:cs="Times New Roman"/>
          <w:sz w:val="24"/>
          <w:szCs w:val="24"/>
        </w:rPr>
        <w:t xml:space="preserve">National </w:t>
      </w:r>
      <w:r w:rsidRPr="001502A5">
        <w:rPr>
          <w:rFonts w:ascii="Times New Roman" w:hAnsi="Times New Roman" w:cs="Times New Roman"/>
          <w:sz w:val="24"/>
          <w:szCs w:val="24"/>
        </w:rPr>
        <w:t xml:space="preserve">initiatives support the need for this generic ICR, both in content and with </w:t>
      </w:r>
      <w:r w:rsidRPr="001502A5" w:rsidR="00A8301D">
        <w:rPr>
          <w:rFonts w:ascii="Times New Roman" w:hAnsi="Times New Roman" w:cs="Times New Roman"/>
          <w:sz w:val="24"/>
          <w:szCs w:val="24"/>
        </w:rPr>
        <w:t>respect to</w:t>
      </w:r>
      <w:r w:rsidRPr="001502A5">
        <w:rPr>
          <w:rFonts w:ascii="Times New Roman" w:hAnsi="Times New Roman" w:cs="Times New Roman"/>
          <w:sz w:val="24"/>
          <w:szCs w:val="24"/>
        </w:rPr>
        <w:t xml:space="preserve"> </w:t>
      </w:r>
      <w:r w:rsidRPr="001502A5" w:rsidR="00A8301D">
        <w:rPr>
          <w:rFonts w:ascii="Times New Roman" w:hAnsi="Times New Roman" w:cs="Times New Roman"/>
          <w:sz w:val="24"/>
          <w:szCs w:val="24"/>
        </w:rPr>
        <w:t xml:space="preserve">increasing </w:t>
      </w:r>
      <w:r w:rsidRPr="00BA247A">
        <w:rPr>
          <w:rFonts w:ascii="Times New Roman" w:hAnsi="Times New Roman" w:cs="Times New Roman"/>
          <w:sz w:val="24"/>
          <w:szCs w:val="24"/>
        </w:rPr>
        <w:t>access and use of data</w:t>
      </w:r>
      <w:r w:rsidRPr="00BA247A" w:rsidR="00A8301D">
        <w:rPr>
          <w:rFonts w:ascii="Times New Roman" w:hAnsi="Times New Roman" w:cs="Times New Roman"/>
          <w:sz w:val="24"/>
          <w:szCs w:val="24"/>
        </w:rPr>
        <w:t>, as evidenced by the following</w:t>
      </w:r>
      <w:r w:rsidRPr="00BA247A">
        <w:rPr>
          <w:rFonts w:ascii="Times New Roman" w:hAnsi="Times New Roman" w:cs="Times New Roman"/>
          <w:sz w:val="24"/>
          <w:szCs w:val="24"/>
        </w:rPr>
        <w:t xml:space="preserve">: </w:t>
      </w:r>
    </w:p>
    <w:p w:rsidRPr="00BA247A" w:rsidR="00101073" w:rsidP="00101073" w:rsidRDefault="00101073" w14:paraId="75DAB28F" w14:textId="77777777">
      <w:pPr>
        <w:pStyle w:val="ListParagraph"/>
        <w:rPr>
          <w:rFonts w:ascii="Times New Roman" w:hAnsi="Times New Roman" w:cs="Times New Roman"/>
          <w:sz w:val="24"/>
          <w:szCs w:val="24"/>
        </w:rPr>
      </w:pPr>
    </w:p>
    <w:p w:rsidRPr="00BA247A" w:rsidR="00101073" w:rsidP="00101073" w:rsidRDefault="00233BDB" w14:paraId="62010485" w14:textId="333E352A">
      <w:pPr>
        <w:pStyle w:val="ListParagraph"/>
        <w:numPr>
          <w:ilvl w:val="0"/>
          <w:numId w:val="17"/>
        </w:numPr>
        <w:rPr>
          <w:rFonts w:ascii="Times New Roman" w:hAnsi="Times New Roman" w:cs="Times New Roman"/>
          <w:sz w:val="24"/>
          <w:szCs w:val="24"/>
        </w:rPr>
      </w:pPr>
      <w:r w:rsidRPr="001502A5">
        <w:rPr>
          <w:rFonts w:ascii="Times New Roman" w:hAnsi="Times New Roman" w:cs="Times New Roman"/>
          <w:sz w:val="24"/>
          <w:szCs w:val="24"/>
        </w:rPr>
        <w:t>National Prevention Strategy</w:t>
      </w:r>
      <w:r w:rsidRPr="001502A5" w:rsidR="00101073">
        <w:rPr>
          <w:rFonts w:ascii="Times New Roman" w:hAnsi="Times New Roman" w:cs="Times New Roman"/>
          <w:sz w:val="24"/>
          <w:szCs w:val="24"/>
        </w:rPr>
        <w:t xml:space="preserve"> (NPS): the purpose of the NPS</w:t>
      </w:r>
      <w:r w:rsidRPr="001502A5">
        <w:rPr>
          <w:rFonts w:ascii="Times New Roman" w:hAnsi="Times New Roman" w:cs="Times New Roman"/>
          <w:sz w:val="24"/>
          <w:szCs w:val="24"/>
        </w:rPr>
        <w:t xml:space="preserve"> is to increase the number of Americans who are healthy at every stage of life.  This goal is achieved by: 1) strengthening state, tribal, local, and territorial public health departments to provide essential services; 2) enhancing cross-sector collaborati</w:t>
      </w:r>
      <w:r w:rsidRPr="00BA247A">
        <w:rPr>
          <w:rFonts w:ascii="Times New Roman" w:hAnsi="Times New Roman" w:cs="Times New Roman"/>
          <w:sz w:val="24"/>
          <w:szCs w:val="24"/>
        </w:rPr>
        <w:t>on in community planning and design to promote health and safety; 3) supporting integration of prevention and public health skills into health care professional training.</w:t>
      </w:r>
      <w:r w:rsidRPr="00BA247A" w:rsidR="00346808">
        <w:rPr>
          <w:rFonts w:ascii="Times New Roman" w:hAnsi="Times New Roman" w:cs="Times New Roman"/>
          <w:sz w:val="24"/>
          <w:szCs w:val="24"/>
        </w:rPr>
        <w:t xml:space="preserve"> (1)</w:t>
      </w:r>
    </w:p>
    <w:p w:rsidRPr="00BA247A" w:rsidR="00101073" w:rsidP="00101073" w:rsidRDefault="00101073" w14:paraId="5C1743CC" w14:textId="77777777">
      <w:pPr>
        <w:rPr>
          <w:rFonts w:ascii="Times New Roman" w:hAnsi="Times New Roman" w:cs="Times New Roman"/>
          <w:sz w:val="24"/>
          <w:szCs w:val="24"/>
        </w:rPr>
      </w:pPr>
    </w:p>
    <w:p w:rsidRPr="001502A5" w:rsidR="00AB7343" w:rsidP="00AB7343" w:rsidRDefault="00AB7343" w14:paraId="0390CF04" w14:textId="748A614C">
      <w:pPr>
        <w:pStyle w:val="ListParagraph"/>
        <w:numPr>
          <w:ilvl w:val="0"/>
          <w:numId w:val="17"/>
        </w:numPr>
        <w:rPr>
          <w:rFonts w:ascii="Times New Roman" w:hAnsi="Times New Roman" w:cs="Times New Roman"/>
          <w:sz w:val="24"/>
          <w:szCs w:val="24"/>
        </w:rPr>
      </w:pPr>
      <w:r w:rsidRPr="001502A5">
        <w:rPr>
          <w:rFonts w:ascii="Times New Roman" w:hAnsi="Times New Roman" w:cs="Times New Roman"/>
          <w:sz w:val="24"/>
          <w:szCs w:val="24"/>
        </w:rPr>
        <w:t>The Institute of Medicine (IOM) report, ‘Primary Care and Public Health: Exploring Integratio</w:t>
      </w:r>
      <w:r w:rsidRPr="001502A5" w:rsidR="00662697">
        <w:rPr>
          <w:rFonts w:ascii="Times New Roman" w:hAnsi="Times New Roman" w:cs="Times New Roman"/>
          <w:sz w:val="24"/>
          <w:szCs w:val="24"/>
        </w:rPr>
        <w:t>n to Improve Population Health,</w:t>
      </w:r>
      <w:r w:rsidRPr="001502A5">
        <w:rPr>
          <w:rFonts w:ascii="Times New Roman" w:hAnsi="Times New Roman" w:cs="Times New Roman"/>
          <w:sz w:val="24"/>
          <w:szCs w:val="24"/>
        </w:rPr>
        <w:t xml:space="preserve"> emphasizes the overlap between public health and primary care roles and functions. This overlap or integration of public health and primary care is characterized as a continuum that spans mutual awareness, cooperation, collaboration, and partnership.</w:t>
      </w:r>
      <w:r w:rsidRPr="001502A5" w:rsidR="00346808">
        <w:rPr>
          <w:rFonts w:ascii="Times New Roman" w:hAnsi="Times New Roman" w:cs="Times New Roman"/>
          <w:sz w:val="24"/>
          <w:szCs w:val="24"/>
        </w:rPr>
        <w:t xml:space="preserve"> (2)</w:t>
      </w:r>
    </w:p>
    <w:p w:rsidRPr="00BA247A" w:rsidR="00101073" w:rsidP="00101073" w:rsidRDefault="00101073" w14:paraId="65628120" w14:textId="77777777">
      <w:pPr>
        <w:pStyle w:val="ListParagraph"/>
        <w:rPr>
          <w:rFonts w:ascii="Times New Roman" w:hAnsi="Times New Roman" w:cs="Times New Roman"/>
          <w:sz w:val="24"/>
          <w:szCs w:val="24"/>
        </w:rPr>
      </w:pPr>
    </w:p>
    <w:p w:rsidRPr="00101073" w:rsidR="00101073" w:rsidP="00101073" w:rsidRDefault="00101073" w14:paraId="0F009D11" w14:textId="505F9425">
      <w:pPr>
        <w:pStyle w:val="ListParagraph"/>
        <w:numPr>
          <w:ilvl w:val="0"/>
          <w:numId w:val="17"/>
        </w:numPr>
        <w:rPr>
          <w:rFonts w:ascii="Times New Roman" w:hAnsi="Times New Roman" w:cs="Times New Roman"/>
          <w:sz w:val="24"/>
          <w:szCs w:val="24"/>
        </w:rPr>
      </w:pPr>
      <w:r w:rsidRPr="00BA247A">
        <w:rPr>
          <w:rFonts w:ascii="Times New Roman" w:hAnsi="Times New Roman" w:cs="Times New Roman"/>
          <w:sz w:val="24"/>
          <w:szCs w:val="24"/>
        </w:rPr>
        <w:t>HHS Strategic Plan</w:t>
      </w:r>
      <w:r w:rsidRPr="001502A5">
        <w:rPr>
          <w:rFonts w:ascii="Times New Roman" w:hAnsi="Times New Roman" w:cs="Times New Roman"/>
          <w:sz w:val="24"/>
          <w:szCs w:val="24"/>
        </w:rPr>
        <w:t>: One of f</w:t>
      </w:r>
      <w:r w:rsidRPr="001502A5" w:rsidR="00346808">
        <w:rPr>
          <w:rFonts w:ascii="Times New Roman" w:hAnsi="Times New Roman" w:cs="Times New Roman"/>
          <w:sz w:val="24"/>
          <w:szCs w:val="24"/>
        </w:rPr>
        <w:t>ive</w:t>
      </w:r>
      <w:r w:rsidRPr="001502A5">
        <w:rPr>
          <w:rFonts w:ascii="Times New Roman" w:hAnsi="Times New Roman" w:cs="Times New Roman"/>
          <w:sz w:val="24"/>
          <w:szCs w:val="24"/>
        </w:rPr>
        <w:t xml:space="preserve"> main strategic goals of the HHS Strategic Plan describes the need to ensure efficiency</w:t>
      </w:r>
      <w:r>
        <w:rPr>
          <w:rFonts w:ascii="Times New Roman" w:hAnsi="Times New Roman" w:cs="Times New Roman"/>
          <w:sz w:val="24"/>
          <w:szCs w:val="24"/>
        </w:rPr>
        <w:t>, transparency accountability and effectiveness</w:t>
      </w:r>
      <w:r w:rsidR="00A8301D">
        <w:rPr>
          <w:rFonts w:ascii="Times New Roman" w:hAnsi="Times New Roman" w:cs="Times New Roman"/>
          <w:sz w:val="24"/>
          <w:szCs w:val="24"/>
        </w:rPr>
        <w:t xml:space="preserve">. A component of this goal emphases the need to </w:t>
      </w:r>
      <w:r>
        <w:rPr>
          <w:rFonts w:ascii="Times New Roman" w:hAnsi="Times New Roman" w:cs="Times New Roman"/>
          <w:sz w:val="24"/>
          <w:szCs w:val="24"/>
        </w:rPr>
        <w:t>enhanc</w:t>
      </w:r>
      <w:r w:rsidR="00A8301D">
        <w:rPr>
          <w:rFonts w:ascii="Times New Roman" w:hAnsi="Times New Roman" w:cs="Times New Roman"/>
          <w:sz w:val="24"/>
          <w:szCs w:val="24"/>
        </w:rPr>
        <w:t>e</w:t>
      </w:r>
      <w:r>
        <w:rPr>
          <w:rFonts w:ascii="Times New Roman" w:hAnsi="Times New Roman" w:cs="Times New Roman"/>
          <w:sz w:val="24"/>
          <w:szCs w:val="24"/>
        </w:rPr>
        <w:t xml:space="preserve"> access to and use of data to improve HHS programs and support improvements of the health and well-being of the American people. </w:t>
      </w:r>
      <w:r w:rsidR="00346808">
        <w:rPr>
          <w:rFonts w:ascii="Times New Roman" w:hAnsi="Times New Roman" w:cs="Times New Roman"/>
          <w:sz w:val="24"/>
          <w:szCs w:val="24"/>
        </w:rPr>
        <w:t>(3)</w:t>
      </w:r>
    </w:p>
    <w:p w:rsidRPr="00AB7343" w:rsidR="00AB7343" w:rsidP="00AB7343" w:rsidRDefault="00AB7343" w14:paraId="259652FE" w14:textId="77777777">
      <w:pPr>
        <w:rPr>
          <w:rFonts w:ascii="Times New Roman" w:hAnsi="Times New Roman" w:cs="Times New Roman"/>
          <w:sz w:val="24"/>
          <w:szCs w:val="24"/>
        </w:rPr>
      </w:pPr>
    </w:p>
    <w:p w:rsidRPr="00AB7343" w:rsidR="00AB7343" w:rsidP="00AB7343" w:rsidRDefault="007215E5" w14:paraId="12FAAE7F" w14:textId="7DC3266E">
      <w:pPr>
        <w:rPr>
          <w:rFonts w:ascii="Times New Roman" w:hAnsi="Times New Roman" w:cs="Times New Roman"/>
          <w:sz w:val="24"/>
          <w:szCs w:val="24"/>
        </w:rPr>
      </w:pPr>
      <w:r>
        <w:rPr>
          <w:rFonts w:ascii="Times New Roman" w:hAnsi="Times New Roman" w:cs="Times New Roman"/>
          <w:sz w:val="24"/>
          <w:szCs w:val="24"/>
        </w:rPr>
        <w:t xml:space="preserve">This application is for a </w:t>
      </w:r>
      <w:r w:rsidRPr="00AB7343" w:rsidR="00AB7343">
        <w:rPr>
          <w:rFonts w:ascii="Times New Roman" w:hAnsi="Times New Roman" w:cs="Times New Roman"/>
          <w:sz w:val="24"/>
          <w:szCs w:val="24"/>
        </w:rPr>
        <w:t xml:space="preserve">framework under which individual data collections could then be expeditiously approved. This framework characterizes the population from whom the data is to be collected and the methods that would be used to collect the data, as well as the topics about which CDC usually collects such data.  Individual information collection requests will be submitted to OMB and will include the actual data collection instruments and </w:t>
      </w:r>
      <w:r w:rsidR="004E64E3">
        <w:rPr>
          <w:rFonts w:ascii="Times New Roman" w:hAnsi="Times New Roman" w:cs="Times New Roman"/>
          <w:sz w:val="24"/>
          <w:szCs w:val="24"/>
        </w:rPr>
        <w:t xml:space="preserve">will </w:t>
      </w:r>
      <w:r w:rsidRPr="00AB7343" w:rsidR="00AB7343">
        <w:rPr>
          <w:rFonts w:ascii="Times New Roman" w:hAnsi="Times New Roman" w:cs="Times New Roman"/>
          <w:sz w:val="24"/>
          <w:szCs w:val="24"/>
        </w:rPr>
        <w:t>describ</w:t>
      </w:r>
      <w:r w:rsidR="004E64E3">
        <w:rPr>
          <w:rFonts w:ascii="Times New Roman" w:hAnsi="Times New Roman" w:cs="Times New Roman"/>
          <w:sz w:val="24"/>
          <w:szCs w:val="24"/>
        </w:rPr>
        <w:t>e</w:t>
      </w:r>
      <w:r w:rsidRPr="00AB7343" w:rsidR="00AB7343">
        <w:rPr>
          <w:rFonts w:ascii="Times New Roman" w:hAnsi="Times New Roman" w:cs="Times New Roman"/>
          <w:sz w:val="24"/>
          <w:szCs w:val="24"/>
        </w:rPr>
        <w:t xml:space="preserve"> the specific data collection goal, design, and sampling and analysis plans.</w:t>
      </w:r>
    </w:p>
    <w:p w:rsidRPr="00AB7343" w:rsidR="00AB7343" w:rsidP="00AB7343" w:rsidRDefault="00AB7343" w14:paraId="3604F7E8" w14:textId="77777777">
      <w:pPr>
        <w:rPr>
          <w:rFonts w:ascii="Times New Roman" w:hAnsi="Times New Roman" w:cs="Times New Roman"/>
          <w:sz w:val="24"/>
          <w:szCs w:val="24"/>
        </w:rPr>
      </w:pPr>
    </w:p>
    <w:p w:rsidRPr="00AB7343" w:rsidR="00AB7343" w:rsidP="00AB7343" w:rsidRDefault="00AB7343" w14:paraId="77A75AD7" w14:textId="77777777">
      <w:pPr>
        <w:rPr>
          <w:rFonts w:ascii="Times New Roman" w:hAnsi="Times New Roman" w:cs="Times New Roman"/>
          <w:sz w:val="24"/>
          <w:szCs w:val="24"/>
        </w:rPr>
      </w:pPr>
      <w:r w:rsidRPr="00AB7343">
        <w:rPr>
          <w:rFonts w:ascii="Times New Roman" w:hAnsi="Times New Roman" w:cs="Times New Roman"/>
          <w:sz w:val="24"/>
          <w:szCs w:val="24"/>
        </w:rPr>
        <w:t>Circumstances instigating a collection will vary for each data collection</w:t>
      </w:r>
      <w:r w:rsidR="002549E0">
        <w:rPr>
          <w:rFonts w:ascii="Times New Roman" w:hAnsi="Times New Roman" w:cs="Times New Roman"/>
          <w:sz w:val="24"/>
          <w:szCs w:val="24"/>
        </w:rPr>
        <w:t xml:space="preserve">. </w:t>
      </w:r>
      <w:r w:rsidRPr="00AB7343">
        <w:rPr>
          <w:rFonts w:ascii="Times New Roman" w:hAnsi="Times New Roman" w:cs="Times New Roman"/>
          <w:sz w:val="24"/>
          <w:szCs w:val="24"/>
        </w:rPr>
        <w:t>Examples of type of data collections include (but</w:t>
      </w:r>
      <w:r w:rsidR="007215E5">
        <w:rPr>
          <w:rFonts w:ascii="Times New Roman" w:hAnsi="Times New Roman" w:cs="Times New Roman"/>
          <w:sz w:val="24"/>
          <w:szCs w:val="24"/>
        </w:rPr>
        <w:t xml:space="preserve"> are</w:t>
      </w:r>
      <w:r w:rsidRPr="00AB7343">
        <w:rPr>
          <w:rFonts w:ascii="Times New Roman" w:hAnsi="Times New Roman" w:cs="Times New Roman"/>
          <w:sz w:val="24"/>
          <w:szCs w:val="24"/>
        </w:rPr>
        <w:t xml:space="preserve"> not limited to):</w:t>
      </w:r>
    </w:p>
    <w:p w:rsidRPr="00233BDB" w:rsidR="00AB7343" w:rsidP="00233BDB" w:rsidRDefault="00AB7343" w14:paraId="6A54E8F5"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assessing STLT and delegate </w:t>
      </w:r>
      <w:r w:rsidR="002549E0">
        <w:rPr>
          <w:rFonts w:ascii="Times New Roman" w:hAnsi="Times New Roman" w:cs="Times New Roman"/>
          <w:sz w:val="24"/>
          <w:szCs w:val="24"/>
        </w:rPr>
        <w:t>resource and program capacities</w:t>
      </w:r>
      <w:r w:rsidRPr="00233BDB">
        <w:rPr>
          <w:rFonts w:ascii="Times New Roman" w:hAnsi="Times New Roman" w:cs="Times New Roman"/>
          <w:sz w:val="24"/>
          <w:szCs w:val="24"/>
        </w:rPr>
        <w:t xml:space="preserve"> </w:t>
      </w:r>
    </w:p>
    <w:p w:rsidRPr="00233BDB" w:rsidR="00AB7343" w:rsidP="00233BDB" w:rsidRDefault="00AB7343" w14:paraId="5679ECC6"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identifyi</w:t>
      </w:r>
      <w:r w:rsidR="002549E0">
        <w:rPr>
          <w:rFonts w:ascii="Times New Roman" w:hAnsi="Times New Roman" w:cs="Times New Roman"/>
          <w:sz w:val="24"/>
          <w:szCs w:val="24"/>
        </w:rPr>
        <w:t>ng  technical assistance needs</w:t>
      </w:r>
    </w:p>
    <w:p w:rsidRPr="00233BDB" w:rsidR="00AB7343" w:rsidP="00233BDB" w:rsidRDefault="00AB7343" w14:paraId="1E7D45BE"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assessing workforce development and training needs</w:t>
      </w:r>
    </w:p>
    <w:p w:rsidRPr="00233BDB" w:rsidR="00AB7343" w:rsidP="00233BDB" w:rsidRDefault="00AB7343" w14:paraId="46E94D62"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identifying resource needs and constraints within STLT programs</w:t>
      </w:r>
    </w:p>
    <w:p w:rsidRPr="00233BDB" w:rsidR="00AB7343" w:rsidP="00233BDB" w:rsidRDefault="00AB7343" w14:paraId="7F4A8DC0"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assessing and developing communication tools to meet STLT needs</w:t>
      </w:r>
    </w:p>
    <w:p w:rsidRPr="00233BDB" w:rsidR="00AB7343" w:rsidP="00233BDB" w:rsidRDefault="00AB7343" w14:paraId="6A2D0731"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informing quality improvement activities within CDC programs </w:t>
      </w:r>
    </w:p>
    <w:p w:rsidRPr="00233BDB" w:rsidR="00AB7343" w:rsidP="00233BDB" w:rsidRDefault="00AB7343" w14:paraId="5C79DA29"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identifying strengths and barriers in STLT and CDC programs </w:t>
      </w:r>
    </w:p>
    <w:p w:rsidRPr="00233BDB" w:rsidR="00AB7343" w:rsidP="00233BDB" w:rsidRDefault="00AB7343" w14:paraId="49B33E4C"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tailoring CDC products and services to STLT needs</w:t>
      </w:r>
    </w:p>
    <w:p w:rsidRPr="00233BDB" w:rsidR="00AB7343" w:rsidP="00233BDB" w:rsidRDefault="00AB7343" w14:paraId="7C69B68F"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lastRenderedPageBreak/>
        <w:t xml:space="preserve">quick assessment of program impact </w:t>
      </w:r>
    </w:p>
    <w:p w:rsidRPr="00233BDB" w:rsidR="00AB7343" w:rsidP="00233BDB" w:rsidRDefault="00AB7343" w14:paraId="7E8D7AB1"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prioritizing CDC program activities</w:t>
      </w:r>
    </w:p>
    <w:p w:rsidR="00233BDB" w:rsidP="00AB7343" w:rsidRDefault="00AB7343" w14:paraId="14A8C420"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preparing and evaluating of Health and Human Services (HHS) requests and CDC funding opportunity announcements</w:t>
      </w:r>
    </w:p>
    <w:p w:rsidR="00233BDB" w:rsidP="00AB7343" w:rsidRDefault="00AB7343" w14:paraId="2978C1CA"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developing of policies and laws </w:t>
      </w:r>
    </w:p>
    <w:p w:rsidRPr="00233BDB" w:rsidR="00AB7343" w:rsidP="00AB7343" w:rsidRDefault="00AB7343" w14:paraId="18AF24C6"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issues of impact, data gaps and linking new or existing datasets, need for current, time sensitive information, and information relevant to specific priorities of HHS and CDC will provide the basis for initiation of a collection and many more.</w:t>
      </w:r>
    </w:p>
    <w:p w:rsidRPr="00AB7343" w:rsidR="00AB7343" w:rsidP="00AB7343" w:rsidRDefault="00AB7343" w14:paraId="122270DC" w14:textId="77777777">
      <w:pPr>
        <w:rPr>
          <w:rFonts w:ascii="Times New Roman" w:hAnsi="Times New Roman" w:cs="Times New Roman"/>
          <w:sz w:val="24"/>
          <w:szCs w:val="24"/>
        </w:rPr>
      </w:pPr>
    </w:p>
    <w:p w:rsidRPr="00AB7343" w:rsidR="00AB7343" w:rsidP="00AB7343" w:rsidRDefault="00AB7343" w14:paraId="4E5072DA" w14:textId="42A645BE">
      <w:pPr>
        <w:rPr>
          <w:rFonts w:ascii="Times New Roman" w:hAnsi="Times New Roman" w:cs="Times New Roman"/>
          <w:sz w:val="24"/>
          <w:szCs w:val="24"/>
        </w:rPr>
      </w:pPr>
      <w:r w:rsidRPr="00AB7343">
        <w:rPr>
          <w:rFonts w:ascii="Times New Roman" w:hAnsi="Times New Roman" w:cs="Times New Roman"/>
          <w:sz w:val="24"/>
          <w:szCs w:val="24"/>
        </w:rPr>
        <w:t>Proposed data collections will conduct an extensive search for existing data col</w:t>
      </w:r>
      <w:r w:rsidR="00233BDB">
        <w:rPr>
          <w:rFonts w:ascii="Times New Roman" w:hAnsi="Times New Roman" w:cs="Times New Roman"/>
          <w:sz w:val="24"/>
          <w:szCs w:val="24"/>
        </w:rPr>
        <w:t>lected by CDC or its partners</w:t>
      </w:r>
      <w:r w:rsidR="00DF7CA7">
        <w:rPr>
          <w:rFonts w:ascii="Times New Roman" w:hAnsi="Times New Roman" w:cs="Times New Roman"/>
          <w:sz w:val="24"/>
          <w:szCs w:val="24"/>
        </w:rPr>
        <w:t xml:space="preserve"> to ensure there is no duplication of effort.</w:t>
      </w:r>
      <w:r w:rsidR="00233BDB">
        <w:rPr>
          <w:rFonts w:ascii="Times New Roman" w:hAnsi="Times New Roman" w:cs="Times New Roman"/>
          <w:sz w:val="24"/>
          <w:szCs w:val="24"/>
        </w:rPr>
        <w:t xml:space="preserve"> </w:t>
      </w:r>
      <w:r w:rsidRPr="00AB7343">
        <w:rPr>
          <w:rFonts w:ascii="Times New Roman" w:hAnsi="Times New Roman" w:cs="Times New Roman"/>
          <w:sz w:val="24"/>
          <w:szCs w:val="24"/>
        </w:rPr>
        <w:t>It is important to note that CDC efforts under this generic clearance will not be duplicative of information collections already conducted by ASTHO, NACCHO and other public health organizations. The resulting burden is an upper-bound estimate and will be adjusted as appropriate as CDC uses the collection.</w:t>
      </w:r>
    </w:p>
    <w:p w:rsidRPr="00AB7343" w:rsidR="00AB7343" w:rsidP="00AB7343" w:rsidRDefault="00AB7343" w14:paraId="7F52E13E" w14:textId="77777777">
      <w:pPr>
        <w:rPr>
          <w:rFonts w:ascii="Times New Roman" w:hAnsi="Times New Roman" w:cs="Times New Roman"/>
          <w:sz w:val="24"/>
          <w:szCs w:val="24"/>
        </w:rPr>
      </w:pPr>
    </w:p>
    <w:p w:rsidRPr="007F730F" w:rsidR="00593CB5" w:rsidRDefault="00593CB5" w14:paraId="299815BD" w14:textId="29985668">
      <w:pPr>
        <w:rPr>
          <w:rFonts w:ascii="Times New Roman" w:hAnsi="Times New Roman" w:cs="Times New Roman"/>
          <w:b/>
          <w:i/>
          <w:sz w:val="24"/>
          <w:szCs w:val="24"/>
        </w:rPr>
      </w:pPr>
      <w:r w:rsidRPr="007F730F">
        <w:rPr>
          <w:rFonts w:ascii="Times New Roman" w:hAnsi="Times New Roman" w:cs="Times New Roman"/>
          <w:b/>
          <w:i/>
          <w:sz w:val="24"/>
          <w:szCs w:val="24"/>
        </w:rPr>
        <w:t>Value of 0920-0879</w:t>
      </w:r>
      <w:r w:rsidRPr="007F730F" w:rsidR="008C29FB">
        <w:rPr>
          <w:rFonts w:ascii="Times New Roman" w:hAnsi="Times New Roman" w:cs="Times New Roman"/>
          <w:b/>
          <w:i/>
          <w:sz w:val="24"/>
          <w:szCs w:val="24"/>
        </w:rPr>
        <w:t xml:space="preserve"> </w:t>
      </w:r>
      <w:r w:rsidRPr="007F730F" w:rsidR="00233BDB">
        <w:rPr>
          <w:rFonts w:ascii="Times New Roman" w:hAnsi="Times New Roman" w:cs="Times New Roman"/>
          <w:b/>
          <w:i/>
          <w:sz w:val="24"/>
          <w:szCs w:val="24"/>
        </w:rPr>
        <w:t xml:space="preserve">Generic </w:t>
      </w:r>
      <w:r w:rsidRPr="007F730F" w:rsidR="002A1586">
        <w:rPr>
          <w:rFonts w:ascii="Times New Roman" w:hAnsi="Times New Roman" w:cs="Times New Roman"/>
          <w:b/>
          <w:i/>
          <w:sz w:val="24"/>
          <w:szCs w:val="24"/>
        </w:rPr>
        <w:t>Information Collection Request</w:t>
      </w:r>
    </w:p>
    <w:p w:rsidRPr="007F730F" w:rsidR="00530497" w:rsidP="00666D39" w:rsidRDefault="00666D39" w14:paraId="4A86C435" w14:textId="2127A1C0">
      <w:pPr>
        <w:rPr>
          <w:rFonts w:ascii="Times New Roman" w:hAnsi="Times New Roman" w:cs="Times New Roman"/>
          <w:sz w:val="24"/>
          <w:szCs w:val="24"/>
        </w:rPr>
      </w:pPr>
      <w:r w:rsidRPr="007F730F">
        <w:rPr>
          <w:rFonts w:ascii="Times New Roman" w:hAnsi="Times New Roman" w:cs="Times New Roman"/>
          <w:sz w:val="24"/>
          <w:szCs w:val="24"/>
        </w:rPr>
        <w:t xml:space="preserve">The 0920-0879 generic </w:t>
      </w:r>
      <w:r w:rsidRPr="007F730F" w:rsidR="002A1586">
        <w:rPr>
          <w:rFonts w:ascii="Times New Roman" w:hAnsi="Times New Roman" w:cs="Times New Roman"/>
          <w:sz w:val="24"/>
          <w:szCs w:val="24"/>
        </w:rPr>
        <w:t>information collection request</w:t>
      </w:r>
      <w:r w:rsidRPr="007F730F">
        <w:rPr>
          <w:rFonts w:ascii="Times New Roman" w:hAnsi="Times New Roman" w:cs="Times New Roman"/>
          <w:sz w:val="24"/>
          <w:szCs w:val="24"/>
        </w:rPr>
        <w:t xml:space="preserve"> is a valuable </w:t>
      </w:r>
      <w:r w:rsidRPr="007F730F" w:rsidR="00530497">
        <w:rPr>
          <w:rFonts w:ascii="Times New Roman" w:hAnsi="Times New Roman" w:cs="Times New Roman"/>
          <w:sz w:val="24"/>
          <w:szCs w:val="24"/>
        </w:rPr>
        <w:t xml:space="preserve">mechanism to the Agency. It </w:t>
      </w:r>
      <w:r w:rsidRPr="007F730F">
        <w:rPr>
          <w:rFonts w:ascii="Times New Roman" w:hAnsi="Times New Roman" w:cs="Times New Roman"/>
          <w:sz w:val="24"/>
          <w:szCs w:val="24"/>
        </w:rPr>
        <w:t xml:space="preserve">provides an umbrella approval mechanism under which individual data collections that use similar methods and are for a similar purpose can be approved. </w:t>
      </w:r>
      <w:r w:rsidRPr="007F730F" w:rsidR="00530497">
        <w:rPr>
          <w:rFonts w:ascii="Times New Roman" w:hAnsi="Times New Roman" w:cs="Times New Roman"/>
          <w:sz w:val="24"/>
          <w:szCs w:val="24"/>
        </w:rPr>
        <w:t>The value of 0920-0879</w:t>
      </w:r>
      <w:r w:rsidRPr="007F730F" w:rsidR="00F15713">
        <w:rPr>
          <w:rFonts w:ascii="Times New Roman" w:hAnsi="Times New Roman" w:cs="Times New Roman"/>
          <w:sz w:val="24"/>
          <w:szCs w:val="24"/>
        </w:rPr>
        <w:t xml:space="preserve"> </w:t>
      </w:r>
      <w:r w:rsidRPr="007F730F" w:rsidR="00530497">
        <w:rPr>
          <w:rFonts w:ascii="Times New Roman" w:hAnsi="Times New Roman" w:cs="Times New Roman"/>
          <w:sz w:val="24"/>
          <w:szCs w:val="24"/>
        </w:rPr>
        <w:t>can be seen in the following results</w:t>
      </w:r>
      <w:r w:rsidRPr="007F730F" w:rsidR="00F15713">
        <w:rPr>
          <w:rFonts w:ascii="Times New Roman" w:hAnsi="Times New Roman" w:cs="Times New Roman"/>
          <w:sz w:val="24"/>
          <w:szCs w:val="24"/>
        </w:rPr>
        <w:t>*</w:t>
      </w:r>
      <w:r w:rsidRPr="007F730F" w:rsidR="00530497">
        <w:rPr>
          <w:rFonts w:ascii="Times New Roman" w:hAnsi="Times New Roman" w:cs="Times New Roman"/>
          <w:sz w:val="24"/>
          <w:szCs w:val="24"/>
        </w:rPr>
        <w:t xml:space="preserve">: </w:t>
      </w:r>
    </w:p>
    <w:p w:rsidRPr="007F730F" w:rsidR="00530497" w:rsidP="00530497" w:rsidRDefault="00530497" w14:paraId="2F220936" w14:textId="6406E48B">
      <w:pPr>
        <w:pStyle w:val="ListParagraph"/>
        <w:numPr>
          <w:ilvl w:val="0"/>
          <w:numId w:val="9"/>
        </w:numPr>
        <w:spacing w:before="120" w:after="120"/>
        <w:contextualSpacing w:val="0"/>
        <w:rPr>
          <w:rFonts w:ascii="Times New Roman" w:hAnsi="Times New Roman" w:cs="Times New Roman"/>
          <w:sz w:val="24"/>
          <w:szCs w:val="24"/>
        </w:rPr>
      </w:pPr>
      <w:r w:rsidRPr="007F730F">
        <w:rPr>
          <w:rFonts w:ascii="Times New Roman" w:hAnsi="Times New Roman" w:cs="Times New Roman"/>
          <w:sz w:val="24"/>
          <w:szCs w:val="24"/>
        </w:rPr>
        <w:t xml:space="preserve">0920-0879 facilitated the approval </w:t>
      </w:r>
      <w:r w:rsidRPr="007F730F">
        <w:rPr>
          <w:rFonts w:ascii="Times New Roman" w:hAnsi="Times New Roman" w:cs="Times New Roman"/>
          <w:color w:val="000000" w:themeColor="text1"/>
          <w:sz w:val="24"/>
          <w:szCs w:val="24"/>
        </w:rPr>
        <w:t xml:space="preserve">of </w:t>
      </w:r>
      <w:r w:rsidRPr="007F730F" w:rsidR="00EE5B64">
        <w:rPr>
          <w:rFonts w:ascii="Times New Roman" w:hAnsi="Times New Roman" w:cs="Times New Roman"/>
          <w:color w:val="000000" w:themeColor="text1"/>
          <w:sz w:val="24"/>
          <w:szCs w:val="24"/>
        </w:rPr>
        <w:t>2</w:t>
      </w:r>
      <w:r w:rsidR="007F730F">
        <w:rPr>
          <w:rFonts w:ascii="Times New Roman" w:hAnsi="Times New Roman" w:cs="Times New Roman"/>
          <w:color w:val="000000" w:themeColor="text1"/>
          <w:sz w:val="24"/>
          <w:szCs w:val="24"/>
        </w:rPr>
        <w:t>3</w:t>
      </w:r>
      <w:r w:rsidRPr="007F730F" w:rsidR="00BF2634">
        <w:rPr>
          <w:rFonts w:ascii="Times New Roman" w:hAnsi="Times New Roman" w:cs="Times New Roman"/>
          <w:color w:val="000000" w:themeColor="text1"/>
          <w:sz w:val="24"/>
          <w:szCs w:val="24"/>
        </w:rPr>
        <w:t xml:space="preserve"> </w:t>
      </w:r>
      <w:r w:rsidRPr="007F730F">
        <w:rPr>
          <w:rFonts w:ascii="Times New Roman" w:hAnsi="Times New Roman" w:cs="Times New Roman"/>
          <w:color w:val="000000" w:themeColor="text1"/>
          <w:sz w:val="24"/>
          <w:szCs w:val="24"/>
        </w:rPr>
        <w:t>genICs</w:t>
      </w:r>
      <w:r w:rsidRPr="007F730F" w:rsidR="000A3A09">
        <w:rPr>
          <w:rFonts w:ascii="Times New Roman" w:hAnsi="Times New Roman" w:cs="Times New Roman"/>
          <w:color w:val="000000" w:themeColor="text1"/>
          <w:sz w:val="24"/>
          <w:szCs w:val="24"/>
        </w:rPr>
        <w:t xml:space="preserve"> within the current approval period to date</w:t>
      </w:r>
      <w:r w:rsidRPr="007F730F" w:rsidR="00A046DB">
        <w:rPr>
          <w:rFonts w:ascii="Times New Roman" w:hAnsi="Times New Roman" w:cs="Times New Roman"/>
          <w:color w:val="000000" w:themeColor="text1"/>
          <w:sz w:val="24"/>
          <w:szCs w:val="24"/>
        </w:rPr>
        <w:t xml:space="preserve"> (see Attachment </w:t>
      </w:r>
      <w:r w:rsidRPr="007F730F" w:rsidR="00914BCE">
        <w:rPr>
          <w:rFonts w:ascii="Times New Roman" w:hAnsi="Times New Roman" w:cs="Times New Roman"/>
          <w:color w:val="000000" w:themeColor="text1"/>
          <w:sz w:val="24"/>
          <w:szCs w:val="24"/>
        </w:rPr>
        <w:t>B</w:t>
      </w:r>
      <w:r w:rsidRPr="007F730F" w:rsidR="00A046DB">
        <w:rPr>
          <w:rFonts w:ascii="Times New Roman" w:hAnsi="Times New Roman" w:cs="Times New Roman"/>
          <w:color w:val="000000" w:themeColor="text1"/>
          <w:sz w:val="24"/>
          <w:szCs w:val="24"/>
        </w:rPr>
        <w:t>)</w:t>
      </w:r>
      <w:r w:rsidRPr="007F730F">
        <w:rPr>
          <w:rFonts w:ascii="Times New Roman" w:hAnsi="Times New Roman" w:cs="Times New Roman"/>
          <w:color w:val="000000" w:themeColor="text1"/>
          <w:sz w:val="24"/>
          <w:szCs w:val="24"/>
        </w:rPr>
        <w:t>.</w:t>
      </w:r>
    </w:p>
    <w:p w:rsidRPr="007F730F" w:rsidR="00530497" w:rsidP="00530497" w:rsidRDefault="00530497" w14:paraId="62E465F5" w14:textId="49BCB72B">
      <w:pPr>
        <w:pStyle w:val="ListParagraph"/>
        <w:numPr>
          <w:ilvl w:val="0"/>
          <w:numId w:val="9"/>
        </w:numPr>
        <w:spacing w:before="120" w:after="120"/>
        <w:contextualSpacing w:val="0"/>
        <w:rPr>
          <w:rFonts w:ascii="Times New Roman" w:hAnsi="Times New Roman" w:cs="Times New Roman"/>
          <w:sz w:val="24"/>
          <w:szCs w:val="24"/>
        </w:rPr>
      </w:pPr>
      <w:r w:rsidRPr="007F730F">
        <w:rPr>
          <w:rFonts w:ascii="Times New Roman" w:hAnsi="Times New Roman" w:cs="Times New Roman"/>
          <w:sz w:val="24"/>
          <w:szCs w:val="24"/>
        </w:rPr>
        <w:t xml:space="preserve">On average, OMB approval was granted to 0920-0879 information collections within </w:t>
      </w:r>
      <w:r w:rsidRPr="007F730F" w:rsidR="00603946">
        <w:rPr>
          <w:rFonts w:ascii="Times New Roman" w:hAnsi="Times New Roman" w:cs="Times New Roman"/>
          <w:sz w:val="24"/>
          <w:szCs w:val="24"/>
        </w:rPr>
        <w:t>1</w:t>
      </w:r>
      <w:r w:rsidRPr="007F730F" w:rsidR="00EE5B64">
        <w:rPr>
          <w:rFonts w:ascii="Times New Roman" w:hAnsi="Times New Roman" w:cs="Times New Roman"/>
          <w:sz w:val="24"/>
          <w:szCs w:val="24"/>
        </w:rPr>
        <w:t>3</w:t>
      </w:r>
      <w:r w:rsidRPr="007F730F">
        <w:rPr>
          <w:rFonts w:ascii="Times New Roman" w:hAnsi="Times New Roman" w:cs="Times New Roman"/>
          <w:sz w:val="24"/>
          <w:szCs w:val="24"/>
        </w:rPr>
        <w:t xml:space="preserve"> days of submission.</w:t>
      </w:r>
      <w:r w:rsidRPr="007F730F">
        <w:rPr>
          <w:rFonts w:ascii="Times New Roman" w:hAnsi="Times New Roman" w:cs="Times New Roman"/>
          <w:color w:val="FF0000"/>
          <w:sz w:val="24"/>
          <w:szCs w:val="24"/>
        </w:rPr>
        <w:t xml:space="preserve">  </w:t>
      </w:r>
    </w:p>
    <w:p w:rsidRPr="007F730F" w:rsidR="00530497" w:rsidP="00530497" w:rsidRDefault="00530497" w14:paraId="6F284271" w14:textId="337A1B61">
      <w:pPr>
        <w:pStyle w:val="ListParagraph"/>
        <w:numPr>
          <w:ilvl w:val="0"/>
          <w:numId w:val="9"/>
        </w:numPr>
        <w:spacing w:before="120" w:after="120"/>
        <w:contextualSpacing w:val="0"/>
        <w:rPr>
          <w:rFonts w:ascii="Times New Roman" w:hAnsi="Times New Roman" w:cs="Times New Roman"/>
          <w:sz w:val="24"/>
          <w:szCs w:val="24"/>
        </w:rPr>
      </w:pPr>
      <w:bookmarkStart w:name="_Hlk35954115" w:id="2"/>
      <w:r w:rsidRPr="007F730F">
        <w:rPr>
          <w:rFonts w:ascii="Times New Roman" w:hAnsi="Times New Roman" w:cs="Times New Roman"/>
          <w:sz w:val="24"/>
          <w:szCs w:val="24"/>
        </w:rPr>
        <w:t xml:space="preserve">100% of CDC programs </w:t>
      </w:r>
      <w:r w:rsidRPr="007F730F" w:rsidR="002549E0">
        <w:rPr>
          <w:rFonts w:ascii="Times New Roman" w:hAnsi="Times New Roman" w:cs="Times New Roman"/>
          <w:sz w:val="24"/>
          <w:szCs w:val="24"/>
        </w:rPr>
        <w:t xml:space="preserve">using </w:t>
      </w:r>
      <w:r w:rsidRPr="007F730F">
        <w:rPr>
          <w:rFonts w:ascii="Times New Roman" w:hAnsi="Times New Roman" w:cs="Times New Roman"/>
          <w:sz w:val="24"/>
          <w:szCs w:val="24"/>
        </w:rPr>
        <w:t>0920-0879 report that they w</w:t>
      </w:r>
      <w:r w:rsidRPr="007F730F" w:rsidR="00603946">
        <w:rPr>
          <w:rFonts w:ascii="Times New Roman" w:hAnsi="Times New Roman" w:cs="Times New Roman"/>
          <w:sz w:val="24"/>
          <w:szCs w:val="24"/>
        </w:rPr>
        <w:t xml:space="preserve">ould use it again in the future. </w:t>
      </w:r>
      <w:r w:rsidRPr="007F730F" w:rsidR="006612FC">
        <w:rPr>
          <w:rFonts w:ascii="Times New Roman" w:hAnsi="Times New Roman" w:cs="Times New Roman"/>
          <w:sz w:val="24"/>
          <w:szCs w:val="24"/>
        </w:rPr>
        <w:t xml:space="preserve">CDC programs benefit from a generic clearance mechanism that allows for timely approval of </w:t>
      </w:r>
      <w:r w:rsidRPr="007F730F" w:rsidR="007A7ABD">
        <w:rPr>
          <w:rFonts w:ascii="Times New Roman" w:hAnsi="Times New Roman" w:cs="Times New Roman"/>
          <w:sz w:val="24"/>
          <w:szCs w:val="24"/>
        </w:rPr>
        <w:t>information</w:t>
      </w:r>
      <w:r w:rsidRPr="007F730F" w:rsidR="006612FC">
        <w:rPr>
          <w:rFonts w:ascii="Times New Roman" w:hAnsi="Times New Roman" w:cs="Times New Roman"/>
          <w:sz w:val="24"/>
          <w:szCs w:val="24"/>
        </w:rPr>
        <w:t xml:space="preserve"> collections, however does not impose restrictions on modes of data collection (e.g., online assessment, focus groups), use of statistical methods for sampling or analysis, or publishing of results.  </w:t>
      </w:r>
    </w:p>
    <w:bookmarkEnd w:id="2"/>
    <w:p w:rsidRPr="00F15713" w:rsidR="00F15713" w:rsidP="00F15713" w:rsidRDefault="00F15713" w14:paraId="13D5FBFC" w14:textId="167E2C69">
      <w:pPr>
        <w:ind w:firstLine="360"/>
        <w:rPr>
          <w:rFonts w:ascii="Times New Roman" w:hAnsi="Times New Roman" w:cs="Times New Roman"/>
          <w:i/>
          <w:sz w:val="18"/>
          <w:szCs w:val="18"/>
        </w:rPr>
      </w:pPr>
      <w:r w:rsidRPr="007F730F">
        <w:rPr>
          <w:rFonts w:ascii="Times New Roman" w:hAnsi="Times New Roman" w:cs="Times New Roman"/>
          <w:i/>
          <w:sz w:val="18"/>
          <w:szCs w:val="18"/>
        </w:rPr>
        <w:t>* Results reflective of current 0920-0879 approval from 3/</w:t>
      </w:r>
      <w:r w:rsidRPr="007F730F" w:rsidR="00DC697E">
        <w:rPr>
          <w:rFonts w:ascii="Times New Roman" w:hAnsi="Times New Roman" w:cs="Times New Roman"/>
          <w:i/>
          <w:sz w:val="18"/>
          <w:szCs w:val="18"/>
        </w:rPr>
        <w:t>31</w:t>
      </w:r>
      <w:r w:rsidRPr="007F730F" w:rsidR="006779B8">
        <w:rPr>
          <w:rFonts w:ascii="Times New Roman" w:hAnsi="Times New Roman" w:cs="Times New Roman"/>
          <w:i/>
          <w:sz w:val="18"/>
          <w:szCs w:val="18"/>
        </w:rPr>
        <w:t>/</w:t>
      </w:r>
      <w:r w:rsidRPr="007F730F">
        <w:rPr>
          <w:rFonts w:ascii="Times New Roman" w:hAnsi="Times New Roman" w:cs="Times New Roman"/>
          <w:i/>
          <w:sz w:val="18"/>
          <w:szCs w:val="18"/>
        </w:rPr>
        <w:t>20</w:t>
      </w:r>
      <w:r w:rsidRPr="007F730F" w:rsidR="00EE5B64">
        <w:rPr>
          <w:rFonts w:ascii="Times New Roman" w:hAnsi="Times New Roman" w:cs="Times New Roman"/>
          <w:i/>
          <w:sz w:val="18"/>
          <w:szCs w:val="18"/>
        </w:rPr>
        <w:t>18</w:t>
      </w:r>
      <w:r w:rsidRPr="007F730F">
        <w:rPr>
          <w:rFonts w:ascii="Times New Roman" w:hAnsi="Times New Roman" w:cs="Times New Roman"/>
          <w:i/>
          <w:sz w:val="18"/>
          <w:szCs w:val="18"/>
        </w:rPr>
        <w:t xml:space="preserve"> t</w:t>
      </w:r>
      <w:r w:rsidRPr="007F730F" w:rsidR="00DA52FE">
        <w:rPr>
          <w:rFonts w:ascii="Times New Roman" w:hAnsi="Times New Roman" w:cs="Times New Roman"/>
          <w:i/>
          <w:sz w:val="18"/>
          <w:szCs w:val="18"/>
        </w:rPr>
        <w:t>hrough</w:t>
      </w:r>
      <w:r w:rsidRPr="007F730F">
        <w:rPr>
          <w:rFonts w:ascii="Times New Roman" w:hAnsi="Times New Roman" w:cs="Times New Roman"/>
          <w:i/>
          <w:sz w:val="18"/>
          <w:szCs w:val="18"/>
        </w:rPr>
        <w:t xml:space="preserve"> </w:t>
      </w:r>
      <w:r w:rsidR="007F730F">
        <w:rPr>
          <w:rFonts w:ascii="Times New Roman" w:hAnsi="Times New Roman" w:cs="Times New Roman"/>
          <w:i/>
          <w:sz w:val="18"/>
          <w:szCs w:val="18"/>
        </w:rPr>
        <w:t>05/01</w:t>
      </w:r>
      <w:r w:rsidRPr="007F730F" w:rsidR="00EE5B64">
        <w:rPr>
          <w:rFonts w:ascii="Times New Roman" w:hAnsi="Times New Roman" w:cs="Times New Roman"/>
          <w:i/>
          <w:sz w:val="18"/>
          <w:szCs w:val="18"/>
        </w:rPr>
        <w:t>/2020.</w:t>
      </w:r>
      <w:r w:rsidRPr="00F15713">
        <w:rPr>
          <w:rFonts w:ascii="Times New Roman" w:hAnsi="Times New Roman" w:cs="Times New Roman"/>
          <w:i/>
          <w:sz w:val="18"/>
          <w:szCs w:val="18"/>
        </w:rPr>
        <w:t xml:space="preserve"> </w:t>
      </w:r>
    </w:p>
    <w:p w:rsidR="00F15713" w:rsidP="000A4C35" w:rsidRDefault="00F15713" w14:paraId="353D7A3A" w14:textId="1302DE32">
      <w:pPr>
        <w:rPr>
          <w:rFonts w:ascii="Times New Roman" w:hAnsi="Times New Roman" w:cs="Times New Roman"/>
          <w:sz w:val="24"/>
          <w:szCs w:val="24"/>
        </w:rPr>
      </w:pPr>
    </w:p>
    <w:p w:rsidRPr="000A3A09" w:rsidR="00EE5B64" w:rsidP="000A3A09" w:rsidRDefault="00EE5B64" w14:paraId="1F9F4C77" w14:textId="131F4935">
      <w:pPr>
        <w:spacing w:before="120" w:after="120"/>
        <w:rPr>
          <w:rFonts w:ascii="Times New Roman" w:hAnsi="Times New Roman" w:cs="Times New Roman"/>
          <w:sz w:val="24"/>
          <w:szCs w:val="24"/>
        </w:rPr>
      </w:pPr>
      <w:r w:rsidRPr="000A3A09">
        <w:rPr>
          <w:rFonts w:ascii="Times New Roman" w:hAnsi="Times New Roman" w:cs="Times New Roman"/>
          <w:sz w:val="24"/>
          <w:szCs w:val="24"/>
        </w:rPr>
        <w:t xml:space="preserve">Information was collected from </w:t>
      </w:r>
      <w:r>
        <w:rPr>
          <w:rFonts w:ascii="Times New Roman" w:hAnsi="Times New Roman" w:cs="Times New Roman"/>
          <w:sz w:val="24"/>
          <w:szCs w:val="24"/>
        </w:rPr>
        <w:t xml:space="preserve">state, tribal, local and territorial governmental </w:t>
      </w:r>
      <w:r w:rsidR="00DA52FE">
        <w:rPr>
          <w:rFonts w:ascii="Times New Roman" w:hAnsi="Times New Roman" w:cs="Times New Roman"/>
          <w:sz w:val="24"/>
          <w:szCs w:val="24"/>
        </w:rPr>
        <w:t xml:space="preserve">entities or delegates </w:t>
      </w:r>
      <w:r w:rsidRPr="000A3A09">
        <w:rPr>
          <w:rFonts w:ascii="Times New Roman" w:hAnsi="Times New Roman" w:cs="Times New Roman"/>
          <w:sz w:val="24"/>
          <w:szCs w:val="24"/>
        </w:rPr>
        <w:t>with a task(s) to improve the public’s health. Examples of delegates have included non-profit organizations, academic institutions, and private organizations that represent or act on behalf of STLT governmental entities to fulfil essential public health work.</w:t>
      </w:r>
    </w:p>
    <w:p w:rsidR="00EE5B64" w:rsidP="000A4C35" w:rsidRDefault="00EE5B64" w14:paraId="7012E31A" w14:textId="77777777">
      <w:pPr>
        <w:rPr>
          <w:rFonts w:ascii="Times New Roman" w:hAnsi="Times New Roman" w:cs="Times New Roman"/>
          <w:sz w:val="24"/>
          <w:szCs w:val="24"/>
        </w:rPr>
      </w:pPr>
    </w:p>
    <w:p w:rsidR="007A7ABD" w:rsidP="000A4C35" w:rsidRDefault="007A7ABD" w14:paraId="1F6806BF" w14:textId="7643DB81">
      <w:pPr>
        <w:rPr>
          <w:rFonts w:ascii="Times New Roman" w:hAnsi="Times New Roman" w:cs="Times New Roman"/>
          <w:sz w:val="24"/>
          <w:szCs w:val="24"/>
        </w:rPr>
      </w:pPr>
      <w:r w:rsidRPr="00033538">
        <w:rPr>
          <w:rFonts w:ascii="Times New Roman" w:hAnsi="Times New Roman" w:cs="Times New Roman"/>
          <w:sz w:val="24"/>
          <w:szCs w:val="24"/>
        </w:rPr>
        <w:t xml:space="preserve">As mentioned previously, the purpose of 0920-0879 is to advance </w:t>
      </w:r>
      <w:r w:rsidRPr="00033538" w:rsidR="000A4C35">
        <w:rPr>
          <w:rFonts w:ascii="Times New Roman" w:hAnsi="Times New Roman" w:cs="Times New Roman"/>
          <w:sz w:val="24"/>
          <w:szCs w:val="24"/>
        </w:rPr>
        <w:t xml:space="preserve">state, tribal, local, and territorial (STLT) governmental agency </w:t>
      </w:r>
      <w:r w:rsidRPr="00033538" w:rsidR="002A1586">
        <w:rPr>
          <w:rFonts w:ascii="Times New Roman" w:hAnsi="Times New Roman" w:cs="Times New Roman"/>
          <w:sz w:val="24"/>
          <w:szCs w:val="24"/>
        </w:rPr>
        <w:t xml:space="preserve">and </w:t>
      </w:r>
      <w:r w:rsidRPr="00033538" w:rsidR="000A4C35">
        <w:rPr>
          <w:rFonts w:ascii="Times New Roman" w:hAnsi="Times New Roman" w:cs="Times New Roman"/>
          <w:sz w:val="24"/>
          <w:szCs w:val="24"/>
        </w:rPr>
        <w:t>system performance, capacity and program delivery.</w:t>
      </w:r>
      <w:r w:rsidRPr="00033538">
        <w:rPr>
          <w:rFonts w:ascii="Times New Roman" w:hAnsi="Times New Roman" w:cs="Times New Roman"/>
          <w:sz w:val="24"/>
          <w:szCs w:val="24"/>
        </w:rPr>
        <w:t xml:space="preserve"> The success of 0920-0879 </w:t>
      </w:r>
      <w:r w:rsidRPr="00392BB8">
        <w:rPr>
          <w:rFonts w:ascii="Times New Roman" w:hAnsi="Times New Roman" w:cs="Times New Roman"/>
          <w:sz w:val="24"/>
          <w:szCs w:val="24"/>
        </w:rPr>
        <w:t xml:space="preserve">can be seen in the following examples of approved information collections:  </w:t>
      </w:r>
    </w:p>
    <w:p w:rsidRPr="000A3A09" w:rsidR="00386077" w:rsidP="000A4C35" w:rsidRDefault="00386077" w14:paraId="2448C7D2" w14:textId="77777777">
      <w:pPr>
        <w:rPr>
          <w:rFonts w:ascii="Times New Roman" w:hAnsi="Times New Roman" w:cs="Times New Roman"/>
          <w:sz w:val="24"/>
          <w:szCs w:val="24"/>
        </w:rPr>
      </w:pPr>
    </w:p>
    <w:p w:rsidRPr="00392BB8" w:rsidR="00392BB8" w:rsidP="00392BB8" w:rsidRDefault="007A7ABD" w14:paraId="71BF4275" w14:textId="79DCAE6E">
      <w:pPr>
        <w:pStyle w:val="ListParagraph"/>
        <w:numPr>
          <w:ilvl w:val="0"/>
          <w:numId w:val="7"/>
        </w:numPr>
        <w:rPr>
          <w:rFonts w:ascii="Times New Roman" w:hAnsi="Times New Roman" w:cs="Times New Roman"/>
          <w:sz w:val="24"/>
          <w:szCs w:val="24"/>
        </w:rPr>
      </w:pPr>
      <w:r w:rsidRPr="00392BB8">
        <w:rPr>
          <w:rFonts w:ascii="Times New Roman" w:hAnsi="Times New Roman" w:cs="Times New Roman"/>
          <w:b/>
          <w:sz w:val="24"/>
          <w:szCs w:val="24"/>
        </w:rPr>
        <w:t xml:space="preserve">Performance: </w:t>
      </w:r>
      <w:r w:rsidRPr="00392BB8">
        <w:rPr>
          <w:rFonts w:ascii="Times New Roman" w:hAnsi="Times New Roman" w:cs="Times New Roman"/>
          <w:sz w:val="24"/>
          <w:szCs w:val="24"/>
        </w:rPr>
        <w:t xml:space="preserve">the genIC </w:t>
      </w:r>
      <w:r w:rsidRPr="00392BB8" w:rsidR="00392BB8">
        <w:rPr>
          <w:rFonts w:ascii="Times New Roman" w:hAnsi="Times New Roman" w:cs="Times New Roman"/>
          <w:sz w:val="24"/>
          <w:szCs w:val="24"/>
        </w:rPr>
        <w:t>“</w:t>
      </w:r>
      <w:r w:rsidRPr="000A3A09" w:rsidR="00392BB8">
        <w:rPr>
          <w:rFonts w:ascii="Times New Roman" w:hAnsi="Times New Roman" w:cs="Times New Roman"/>
          <w:i/>
          <w:iCs/>
          <w:sz w:val="24"/>
          <w:szCs w:val="24"/>
        </w:rPr>
        <w:t>State Oral Health and Chronic Disease Programs Integration Assessment</w:t>
      </w:r>
      <w:r w:rsidRPr="00392BB8" w:rsidR="00392BB8">
        <w:rPr>
          <w:rFonts w:ascii="Times New Roman" w:hAnsi="Times New Roman" w:cs="Times New Roman"/>
          <w:sz w:val="24"/>
          <w:szCs w:val="24"/>
        </w:rPr>
        <w:t>” (approved 11/16/18), aimed to learn about the successes and challenges to implementing oral health and chronic disease projects. Results were used to inform resource development to support future state oral health and chronic disease program activities and improve technical assistance provided to states by DOH</w:t>
      </w:r>
      <w:r w:rsidR="00392BB8">
        <w:rPr>
          <w:rFonts w:ascii="Times New Roman" w:hAnsi="Times New Roman" w:cs="Times New Roman"/>
          <w:sz w:val="24"/>
          <w:szCs w:val="24"/>
        </w:rPr>
        <w:t xml:space="preserve">, thereby increasing states’ performance in these areas. </w:t>
      </w:r>
    </w:p>
    <w:p w:rsidRPr="000A3A09" w:rsidR="00392BB8" w:rsidP="000A3A09" w:rsidRDefault="00392BB8" w14:paraId="50956223" w14:textId="143A2082">
      <w:pPr>
        <w:pStyle w:val="ListParagraph"/>
        <w:spacing w:before="120" w:after="120"/>
        <w:contextualSpacing w:val="0"/>
        <w:rPr>
          <w:rFonts w:ascii="Times New Roman" w:hAnsi="Times New Roman" w:cs="Times New Roman"/>
          <w:b/>
          <w:sz w:val="24"/>
          <w:szCs w:val="24"/>
        </w:rPr>
      </w:pPr>
    </w:p>
    <w:p w:rsidRPr="000A3A09" w:rsidR="00392BB8" w:rsidP="007A7ABD" w:rsidRDefault="007A7ABD" w14:paraId="20D9EBD3" w14:textId="556F2D86">
      <w:pPr>
        <w:pStyle w:val="ListParagraph"/>
        <w:numPr>
          <w:ilvl w:val="0"/>
          <w:numId w:val="7"/>
        </w:numPr>
        <w:spacing w:before="120" w:after="120"/>
        <w:contextualSpacing w:val="0"/>
        <w:rPr>
          <w:rFonts w:ascii="Times New Roman" w:hAnsi="Times New Roman" w:cs="Times New Roman"/>
          <w:b/>
          <w:sz w:val="24"/>
          <w:szCs w:val="24"/>
        </w:rPr>
      </w:pPr>
      <w:r w:rsidRPr="00BA247A">
        <w:rPr>
          <w:rFonts w:ascii="Times New Roman" w:hAnsi="Times New Roman" w:cs="Times New Roman"/>
          <w:b/>
          <w:sz w:val="24"/>
          <w:szCs w:val="24"/>
        </w:rPr>
        <w:t xml:space="preserve">Capacity: </w:t>
      </w:r>
      <w:r w:rsidRPr="00BA247A">
        <w:rPr>
          <w:rFonts w:ascii="Times New Roman" w:hAnsi="Times New Roman" w:cs="Times New Roman"/>
          <w:sz w:val="24"/>
          <w:szCs w:val="24"/>
        </w:rPr>
        <w:t>the ge</w:t>
      </w:r>
      <w:r w:rsidRPr="00033538">
        <w:rPr>
          <w:rFonts w:ascii="Times New Roman" w:hAnsi="Times New Roman" w:cs="Times New Roman"/>
          <w:sz w:val="24"/>
          <w:szCs w:val="24"/>
        </w:rPr>
        <w:t xml:space="preserve">nIC </w:t>
      </w:r>
      <w:r w:rsidR="00392BB8">
        <w:rPr>
          <w:rFonts w:ascii="Times New Roman" w:hAnsi="Times New Roman" w:cs="Times New Roman"/>
          <w:sz w:val="24"/>
          <w:szCs w:val="24"/>
        </w:rPr>
        <w:t>“</w:t>
      </w:r>
      <w:r w:rsidRPr="000A3A09" w:rsidR="00392BB8">
        <w:rPr>
          <w:rFonts w:ascii="Times New Roman" w:hAnsi="Times New Roman" w:cs="Times New Roman"/>
          <w:i/>
          <w:iCs/>
          <w:sz w:val="24"/>
          <w:szCs w:val="24"/>
        </w:rPr>
        <w:t>Qualitative Assessment of CDC-funded Local Health Departments’ Violence Prevention Efforts</w:t>
      </w:r>
      <w:r w:rsidR="00392BB8">
        <w:rPr>
          <w:rFonts w:ascii="Times New Roman" w:hAnsi="Times New Roman" w:cs="Times New Roman"/>
          <w:sz w:val="24"/>
          <w:szCs w:val="24"/>
        </w:rPr>
        <w:t xml:space="preserve">” (approved 7/12/2018) aimed to </w:t>
      </w:r>
      <w:r w:rsidRPr="00392BB8" w:rsidR="00392BB8">
        <w:rPr>
          <w:rFonts w:ascii="Times New Roman" w:hAnsi="Times New Roman" w:cs="Times New Roman"/>
          <w:sz w:val="24"/>
          <w:szCs w:val="24"/>
        </w:rPr>
        <w:t>gather information and lessons learned about how local health department (LHD) receiving CDC 1605 Program funding (Preventing Teen Dating and Youth Violence by Addressing Shared Risk and Protective Factors) are implementing strategies to prevent community-wide violence, with specific focus on preventing teen dating violence (TDV) and youth violence (YV).</w:t>
      </w:r>
      <w:r w:rsidR="00392BB8">
        <w:rPr>
          <w:rFonts w:ascii="Times New Roman" w:hAnsi="Times New Roman" w:cs="Times New Roman"/>
          <w:sz w:val="24"/>
          <w:szCs w:val="24"/>
        </w:rPr>
        <w:t xml:space="preserve"> The findings from this data collection were used to </w:t>
      </w:r>
      <w:r w:rsidRPr="00392BB8" w:rsidR="00392BB8">
        <w:rPr>
          <w:rFonts w:ascii="Times New Roman" w:hAnsi="Times New Roman" w:cs="Times New Roman"/>
          <w:sz w:val="24"/>
          <w:szCs w:val="24"/>
        </w:rPr>
        <w:t>identify facilitators and barriers, best practices, and areas for improvement for implementing TDV and YV prevention efforts</w:t>
      </w:r>
      <w:r w:rsidR="00392BB8">
        <w:rPr>
          <w:rFonts w:ascii="Times New Roman" w:hAnsi="Times New Roman" w:cs="Times New Roman"/>
          <w:sz w:val="24"/>
          <w:szCs w:val="24"/>
        </w:rPr>
        <w:t xml:space="preserve">, helping to increase capacity in these areas. </w:t>
      </w:r>
      <w:r w:rsidRPr="00392BB8" w:rsidR="00392BB8">
        <w:rPr>
          <w:rFonts w:ascii="Times New Roman" w:hAnsi="Times New Roman" w:cs="Times New Roman"/>
          <w:sz w:val="24"/>
          <w:szCs w:val="24"/>
        </w:rPr>
        <w:t xml:space="preserve"> </w:t>
      </w:r>
    </w:p>
    <w:p w:rsidRPr="000A3A09" w:rsidR="00DA52FE" w:rsidP="000A3A09" w:rsidRDefault="007A7ABD" w14:paraId="0D19ED3A" w14:textId="46AA273F">
      <w:pPr>
        <w:pStyle w:val="ListParagraph"/>
        <w:numPr>
          <w:ilvl w:val="0"/>
          <w:numId w:val="7"/>
        </w:numPr>
        <w:spacing w:before="120"/>
        <w:contextualSpacing w:val="0"/>
        <w:rPr>
          <w:rFonts w:ascii="Times New Roman" w:hAnsi="Times New Roman" w:cs="Times New Roman"/>
          <w:b/>
          <w:sz w:val="24"/>
          <w:szCs w:val="24"/>
        </w:rPr>
      </w:pPr>
      <w:r w:rsidRPr="001502A5">
        <w:rPr>
          <w:rFonts w:ascii="Times New Roman" w:hAnsi="Times New Roman" w:cs="Times New Roman"/>
          <w:b/>
          <w:sz w:val="24"/>
          <w:szCs w:val="24"/>
        </w:rPr>
        <w:t xml:space="preserve">Program Delivery: </w:t>
      </w:r>
      <w:r w:rsidRPr="001502A5">
        <w:rPr>
          <w:rFonts w:ascii="Times New Roman" w:hAnsi="Times New Roman" w:cs="Times New Roman"/>
          <w:sz w:val="24"/>
          <w:szCs w:val="24"/>
        </w:rPr>
        <w:t xml:space="preserve">the genIC </w:t>
      </w:r>
      <w:r w:rsidRPr="000A3A09" w:rsidR="00DA52FE">
        <w:rPr>
          <w:rFonts w:ascii="Times New Roman" w:hAnsi="Times New Roman" w:cs="Times New Roman"/>
          <w:i/>
          <w:iCs/>
          <w:sz w:val="24"/>
          <w:szCs w:val="24"/>
        </w:rPr>
        <w:t>“Pre-Hospital Stroke Systems of Care:  Emergency Medical Service System (EMSS) Implementation Assessment”</w:t>
      </w:r>
      <w:r w:rsidRPr="001502A5" w:rsidR="00DA52FE">
        <w:rPr>
          <w:rFonts w:ascii="Times New Roman" w:hAnsi="Times New Roman" w:cs="Times New Roman"/>
          <w:sz w:val="24"/>
          <w:szCs w:val="24"/>
        </w:rPr>
        <w:t xml:space="preserve"> (approved 7/9/19) aimed to identify effective strategies and potential challenges associated with the implementation of emergency medical service system (EMSS) based activities to enhance stroke systems of care</w:t>
      </w:r>
      <w:r w:rsidRPr="00BA247A" w:rsidR="00DA52FE">
        <w:rPr>
          <w:rFonts w:ascii="Times New Roman" w:hAnsi="Times New Roman" w:cs="Times New Roman"/>
          <w:sz w:val="24"/>
          <w:szCs w:val="24"/>
        </w:rPr>
        <w:t>. This information was used to inform CDC about issues related to implementation of EMSS based activities to enhance stroke systems of care and to examine these issues to develop technical assistance material for state health departments and EMSS coordinators.</w:t>
      </w:r>
    </w:p>
    <w:p w:rsidRPr="00033538" w:rsidR="00F05202" w:rsidP="007A7ABD" w:rsidRDefault="00F05202" w14:paraId="7AB2B641" w14:textId="77777777">
      <w:pPr>
        <w:rPr>
          <w:rFonts w:ascii="Times New Roman" w:hAnsi="Times New Roman" w:cs="Times New Roman"/>
          <w:sz w:val="24"/>
          <w:szCs w:val="24"/>
        </w:rPr>
      </w:pPr>
    </w:p>
    <w:p w:rsidRPr="007A7ABD" w:rsidR="007A7ABD" w:rsidP="007A7ABD" w:rsidRDefault="007A7ABD" w14:paraId="3506D479" w14:textId="77777777">
      <w:pPr>
        <w:rPr>
          <w:rFonts w:ascii="Times New Roman" w:hAnsi="Times New Roman" w:cs="Times New Roman"/>
          <w:sz w:val="24"/>
          <w:szCs w:val="24"/>
        </w:rPr>
      </w:pPr>
      <w:r w:rsidRPr="00033538">
        <w:rPr>
          <w:rFonts w:ascii="Times New Roman" w:hAnsi="Times New Roman" w:cs="Times New Roman"/>
          <w:sz w:val="24"/>
          <w:szCs w:val="24"/>
        </w:rPr>
        <w:t>Principal investigators across CDC have utilized the 0920-0879 generic clearance to collect information on a variety of topical areas including environmental health, infectious disease, public health preparedness and response, chronic disease, and injury and violence prevention</w:t>
      </w:r>
      <w:r w:rsidRPr="00033538" w:rsidR="00BB1C89">
        <w:rPr>
          <w:rFonts w:ascii="Times New Roman" w:hAnsi="Times New Roman" w:cs="Times New Roman"/>
          <w:sz w:val="24"/>
          <w:szCs w:val="24"/>
        </w:rPr>
        <w:t>, among others.</w:t>
      </w:r>
      <w:r w:rsidR="00BB1C89">
        <w:rPr>
          <w:rFonts w:ascii="Times New Roman" w:hAnsi="Times New Roman" w:cs="Times New Roman"/>
          <w:sz w:val="24"/>
          <w:szCs w:val="24"/>
        </w:rPr>
        <w:t xml:space="preserve"> </w:t>
      </w:r>
    </w:p>
    <w:p w:rsidRPr="0010712C" w:rsidR="00BB1C89" w:rsidP="0010712C" w:rsidRDefault="00BB1C89" w14:paraId="6211FF58" w14:textId="77777777">
      <w:pPr>
        <w:rPr>
          <w:rFonts w:ascii="Times New Roman" w:hAnsi="Times New Roman" w:cs="Times New Roman"/>
          <w:sz w:val="24"/>
          <w:szCs w:val="24"/>
        </w:rPr>
      </w:pPr>
    </w:p>
    <w:p w:rsidRPr="00BB1C89" w:rsidR="0010712C" w:rsidP="00BB1C89" w:rsidRDefault="0010712C" w14:paraId="677DC78E" w14:textId="77777777">
      <w:pPr>
        <w:pStyle w:val="ListParagraph"/>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Purpose and Use of the Information Collection</w:t>
      </w:r>
    </w:p>
    <w:p w:rsidRPr="0010712C" w:rsidR="0010712C" w:rsidP="0010712C" w:rsidRDefault="0010712C" w14:paraId="5F5D84B3" w14:textId="77777777">
      <w:pPr>
        <w:rPr>
          <w:rFonts w:ascii="Times New Roman" w:hAnsi="Times New Roman" w:cs="Times New Roman"/>
          <w:sz w:val="24"/>
          <w:szCs w:val="24"/>
        </w:rPr>
      </w:pPr>
    </w:p>
    <w:p w:rsidRPr="009C0B72" w:rsidR="0010712C" w:rsidP="0010712C" w:rsidRDefault="00BB1C89" w14:paraId="21B8B95F" w14:textId="38F10ABA">
      <w:pPr>
        <w:rPr>
          <w:rFonts w:ascii="Times New Roman" w:hAnsi="Times New Roman" w:cs="Times New Roman"/>
          <w:i/>
          <w:sz w:val="24"/>
          <w:szCs w:val="24"/>
        </w:rPr>
      </w:pPr>
      <w:r w:rsidRPr="000A4C35">
        <w:rPr>
          <w:rFonts w:ascii="Times New Roman" w:hAnsi="Times New Roman" w:cs="Times New Roman"/>
          <w:sz w:val="24"/>
          <w:szCs w:val="24"/>
        </w:rPr>
        <w:t>The r</w:t>
      </w:r>
      <w:r w:rsidRPr="000A4C35" w:rsidR="0010712C">
        <w:rPr>
          <w:rFonts w:ascii="Times New Roman" w:hAnsi="Times New Roman" w:cs="Times New Roman"/>
          <w:sz w:val="24"/>
          <w:szCs w:val="24"/>
        </w:rPr>
        <w:t>espondent universe is compri</w:t>
      </w:r>
      <w:r w:rsidRPr="000A4C35">
        <w:rPr>
          <w:rFonts w:ascii="Times New Roman" w:hAnsi="Times New Roman" w:cs="Times New Roman"/>
          <w:sz w:val="24"/>
          <w:szCs w:val="24"/>
        </w:rPr>
        <w:t xml:space="preserve">sed of STLT governmental staff and </w:t>
      </w:r>
      <w:r w:rsidRPr="000A4C35" w:rsidR="0010712C">
        <w:rPr>
          <w:rFonts w:ascii="Times New Roman" w:hAnsi="Times New Roman" w:cs="Times New Roman"/>
          <w:sz w:val="24"/>
          <w:szCs w:val="24"/>
        </w:rPr>
        <w:t>delegate</w:t>
      </w:r>
      <w:r w:rsidRPr="000A4C35">
        <w:rPr>
          <w:rFonts w:ascii="Times New Roman" w:hAnsi="Times New Roman" w:cs="Times New Roman"/>
          <w:sz w:val="24"/>
          <w:szCs w:val="24"/>
        </w:rPr>
        <w:t>s</w:t>
      </w:r>
      <w:r w:rsidRPr="000A4C35" w:rsidR="0010712C">
        <w:rPr>
          <w:rFonts w:ascii="Times New Roman" w:hAnsi="Times New Roman" w:cs="Times New Roman"/>
          <w:sz w:val="24"/>
          <w:szCs w:val="24"/>
        </w:rPr>
        <w:t xml:space="preserve"> acting on behalf of a STLT </w:t>
      </w:r>
      <w:r w:rsidRPr="0092444D" w:rsidR="0010712C">
        <w:rPr>
          <w:rFonts w:ascii="Times New Roman" w:hAnsi="Times New Roman" w:cs="Times New Roman"/>
          <w:sz w:val="24"/>
          <w:szCs w:val="24"/>
        </w:rPr>
        <w:t>agency involved</w:t>
      </w:r>
      <w:r w:rsidRPr="000A4C35" w:rsidR="0010712C">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r w:rsidRPr="000A4C35" w:rsidR="007215E5">
        <w:rPr>
          <w:rFonts w:ascii="Times New Roman" w:hAnsi="Times New Roman" w:cs="Times New Roman"/>
          <w:sz w:val="24"/>
          <w:szCs w:val="24"/>
        </w:rPr>
        <w:t xml:space="preserve"> </w:t>
      </w:r>
    </w:p>
    <w:p w:rsidRPr="0010712C" w:rsidR="0010712C" w:rsidP="0010712C" w:rsidRDefault="0010712C" w14:paraId="46AC2C08" w14:textId="77777777">
      <w:pPr>
        <w:rPr>
          <w:rFonts w:ascii="Times New Roman" w:hAnsi="Times New Roman" w:cs="Times New Roman"/>
          <w:sz w:val="24"/>
          <w:szCs w:val="24"/>
        </w:rPr>
      </w:pPr>
    </w:p>
    <w:p w:rsidRPr="0010712C" w:rsidR="0010712C" w:rsidP="0010712C" w:rsidRDefault="0010712C" w14:paraId="5622036D" w14:textId="0E0413BC">
      <w:pPr>
        <w:rPr>
          <w:rFonts w:ascii="Times New Roman" w:hAnsi="Times New Roman" w:cs="Times New Roman"/>
          <w:sz w:val="24"/>
          <w:szCs w:val="24"/>
        </w:rPr>
      </w:pPr>
      <w:r w:rsidRPr="0010712C">
        <w:rPr>
          <w:rFonts w:ascii="Times New Roman" w:hAnsi="Times New Roman" w:cs="Times New Roman"/>
          <w:sz w:val="24"/>
          <w:szCs w:val="24"/>
        </w:rPr>
        <w:t>The scope of data collection is limited to responsibilities and duties of governmental staff or delegate</w:t>
      </w:r>
      <w:r w:rsidR="00DB0CFE">
        <w:rPr>
          <w:rFonts w:ascii="Times New Roman" w:hAnsi="Times New Roman" w:cs="Times New Roman"/>
          <w:sz w:val="24"/>
          <w:szCs w:val="24"/>
        </w:rPr>
        <w:t>s</w:t>
      </w:r>
      <w:r w:rsidRPr="0010712C">
        <w:rPr>
          <w:rFonts w:ascii="Times New Roman" w:hAnsi="Times New Roman" w:cs="Times New Roman"/>
          <w:sz w:val="24"/>
          <w:szCs w:val="24"/>
        </w:rPr>
        <w:t xml:space="preserve"> acting in their official capacity in delivering essential public health services. Thus individual data collections that require institutional review board review are not covered. OMB will decline individual data collection requests if it includes respondents that are governmental staff or delegates with official tasks other than public health.  The collection will include the following categories of STLT governmental officials: 1) State, Tribal, Local, and Territorial governmental staff or delegate; and 2) Local/County/Municipal/City government staff or delegate. </w:t>
      </w:r>
    </w:p>
    <w:p w:rsidRPr="0010712C" w:rsidR="0010712C" w:rsidP="0010712C" w:rsidRDefault="0010712C" w14:paraId="71EA423D" w14:textId="77777777">
      <w:pPr>
        <w:rPr>
          <w:rFonts w:ascii="Times New Roman" w:hAnsi="Times New Roman" w:cs="Times New Roman"/>
          <w:sz w:val="24"/>
          <w:szCs w:val="24"/>
        </w:rPr>
      </w:pPr>
    </w:p>
    <w:p w:rsidRPr="0010712C" w:rsidR="0010712C" w:rsidP="0010712C" w:rsidRDefault="0010712C" w14:paraId="42FC0F9A" w14:textId="77777777">
      <w:pPr>
        <w:rPr>
          <w:rFonts w:ascii="Times New Roman" w:hAnsi="Times New Roman" w:cs="Times New Roman"/>
          <w:sz w:val="24"/>
          <w:szCs w:val="24"/>
        </w:rPr>
      </w:pPr>
      <w:r w:rsidRPr="0010712C">
        <w:rPr>
          <w:rFonts w:ascii="Times New Roman" w:hAnsi="Times New Roman" w:cs="Times New Roman"/>
          <w:sz w:val="24"/>
          <w:szCs w:val="24"/>
        </w:rPr>
        <w:t>State, territorial and tribal government agency staffs or delegates are in a unique position to provide CDC with the following informa</w:t>
      </w:r>
      <w:r w:rsidR="00E4418B">
        <w:rPr>
          <w:rFonts w:ascii="Times New Roman" w:hAnsi="Times New Roman" w:cs="Times New Roman"/>
          <w:sz w:val="24"/>
          <w:szCs w:val="24"/>
        </w:rPr>
        <w:t xml:space="preserve">tion for a given jurisdiction: </w:t>
      </w:r>
      <w:r w:rsidRPr="0010712C">
        <w:rPr>
          <w:rFonts w:ascii="Times New Roman" w:hAnsi="Times New Roman" w:cs="Times New Roman"/>
          <w:sz w:val="24"/>
          <w:szCs w:val="24"/>
        </w:rPr>
        <w:t xml:space="preserve">public health threats, status of public health infrastructure, workforce and financing at state, territorial and tribal levels. For that reason CDC will collect data from that category if, for example, the assessment of the magnitude of a particular public health problem is needed (surveillance), or when assessment of the jurisdiction’s capacity to respond to a particular health problem (assessment and performance management) is warranted, etc.  </w:t>
      </w:r>
    </w:p>
    <w:p w:rsidRPr="0010712C" w:rsidR="0010712C" w:rsidP="0010712C" w:rsidRDefault="0010712C" w14:paraId="5AEF6115" w14:textId="77777777">
      <w:pPr>
        <w:rPr>
          <w:rFonts w:ascii="Times New Roman" w:hAnsi="Times New Roman" w:cs="Times New Roman"/>
          <w:sz w:val="24"/>
          <w:szCs w:val="24"/>
        </w:rPr>
      </w:pPr>
    </w:p>
    <w:p w:rsidRPr="0010712C" w:rsidR="0010712C" w:rsidP="0010712C" w:rsidRDefault="0010712C" w14:paraId="2C6C502D" w14:textId="77777777">
      <w:pPr>
        <w:rPr>
          <w:rFonts w:ascii="Times New Roman" w:hAnsi="Times New Roman" w:cs="Times New Roman"/>
          <w:sz w:val="24"/>
          <w:szCs w:val="24"/>
        </w:rPr>
      </w:pPr>
      <w:r w:rsidRPr="0010712C">
        <w:rPr>
          <w:rFonts w:ascii="Times New Roman" w:hAnsi="Times New Roman" w:cs="Times New Roman"/>
          <w:sz w:val="24"/>
          <w:szCs w:val="24"/>
        </w:rPr>
        <w:t xml:space="preserve">County and municipal/city governmental staffs or delegates are at the forefront of public health service delivery and emergency response. Examples of data collections for that category may include, but not be </w:t>
      </w:r>
      <w:r w:rsidRPr="0010712C">
        <w:rPr>
          <w:rFonts w:ascii="Times New Roman" w:hAnsi="Times New Roman" w:cs="Times New Roman"/>
          <w:sz w:val="24"/>
          <w:szCs w:val="24"/>
        </w:rPr>
        <w:lastRenderedPageBreak/>
        <w:t xml:space="preserve">limited to assessment of their performance in provision of public health services, progress they are making in accreditation process, new policy development initiatives, etc.  </w:t>
      </w:r>
    </w:p>
    <w:p w:rsidRPr="0010712C" w:rsidR="0010712C" w:rsidP="0010712C" w:rsidRDefault="0010712C" w14:paraId="524C9741" w14:textId="77777777">
      <w:pPr>
        <w:rPr>
          <w:rFonts w:ascii="Times New Roman" w:hAnsi="Times New Roman" w:cs="Times New Roman"/>
          <w:sz w:val="24"/>
          <w:szCs w:val="24"/>
        </w:rPr>
      </w:pPr>
    </w:p>
    <w:p w:rsidRPr="0010712C" w:rsidR="0010712C" w:rsidP="0010712C" w:rsidRDefault="0010712C" w14:paraId="5F536856" w14:textId="385D825D">
      <w:pPr>
        <w:rPr>
          <w:rFonts w:ascii="Times New Roman" w:hAnsi="Times New Roman" w:cs="Times New Roman"/>
          <w:sz w:val="24"/>
          <w:szCs w:val="24"/>
        </w:rPr>
      </w:pPr>
      <w:r w:rsidRPr="0010712C">
        <w:rPr>
          <w:rFonts w:ascii="Times New Roman" w:hAnsi="Times New Roman" w:cs="Times New Roman"/>
          <w:sz w:val="24"/>
          <w:szCs w:val="24"/>
        </w:rPr>
        <w:t>CDC will conduct</w:t>
      </w:r>
      <w:r w:rsidR="00A65259">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related to essential public health services, using standard modes of administration (e.g., phone, web, e-mail, and in person).  Information will be used to assess situational awareness of current public health emergencies; make decisions that affect planning, response and recovery activities of subsequent emergencies; fill CDC gaps in knowledge of programs and/or STLT governments that will strengthen surveillance, epidemiology, and laboratory science; improve CDC’s support and technical assistance to states and communities.</w:t>
      </w:r>
    </w:p>
    <w:p w:rsidRPr="0010712C" w:rsidR="0010712C" w:rsidP="0010712C" w:rsidRDefault="0010712C" w14:paraId="1DD68F46" w14:textId="77777777">
      <w:pPr>
        <w:rPr>
          <w:rFonts w:ascii="Times New Roman" w:hAnsi="Times New Roman" w:cs="Times New Roman"/>
          <w:sz w:val="24"/>
          <w:szCs w:val="24"/>
        </w:rPr>
      </w:pPr>
    </w:p>
    <w:p w:rsidRPr="0010712C" w:rsidR="0010712C" w:rsidP="0010712C" w:rsidRDefault="0010712C" w14:paraId="4B4336B6" w14:textId="7DA12F66">
      <w:pPr>
        <w:rPr>
          <w:rFonts w:ascii="Times New Roman" w:hAnsi="Times New Roman" w:cs="Times New Roman"/>
          <w:sz w:val="24"/>
          <w:szCs w:val="24"/>
        </w:rPr>
      </w:pPr>
      <w:r w:rsidRPr="0010712C">
        <w:rPr>
          <w:rFonts w:ascii="Times New Roman" w:hAnsi="Times New Roman" w:cs="Times New Roman"/>
          <w:sz w:val="24"/>
          <w:szCs w:val="24"/>
        </w:rPr>
        <w:t xml:space="preserve">In general, we expect that these collections will be solicited from governmental staff or delegate, in a category (e.g., all epidemiologists, food safety program manager, laboratory technicians or delegate, or to the subset of professional staff) for which a particular health problem </w:t>
      </w:r>
      <w:r w:rsidR="00DB0CFE">
        <w:rPr>
          <w:rFonts w:ascii="Times New Roman" w:hAnsi="Times New Roman" w:cs="Times New Roman"/>
          <w:sz w:val="24"/>
          <w:szCs w:val="24"/>
        </w:rPr>
        <w:t>i</w:t>
      </w:r>
      <w:r w:rsidRPr="0010712C">
        <w:rPr>
          <w:rFonts w:ascii="Times New Roman" w:hAnsi="Times New Roman" w:cs="Times New Roman"/>
          <w:sz w:val="24"/>
          <w:szCs w:val="24"/>
        </w:rPr>
        <w:t xml:space="preserve">s thought to be relevant.  This collection of information will employ statistical methods for analysis as described in section B.  </w:t>
      </w:r>
    </w:p>
    <w:p w:rsidRPr="0010712C" w:rsidR="0010712C" w:rsidP="0010712C" w:rsidRDefault="0010712C" w14:paraId="6C96CC7D" w14:textId="77777777">
      <w:pPr>
        <w:rPr>
          <w:rFonts w:ascii="Times New Roman" w:hAnsi="Times New Roman" w:cs="Times New Roman"/>
          <w:sz w:val="24"/>
          <w:szCs w:val="24"/>
        </w:rPr>
      </w:pPr>
    </w:p>
    <w:p w:rsidRPr="0010712C" w:rsidR="0010712C" w:rsidP="0010712C" w:rsidRDefault="0010712C" w14:paraId="702FD895" w14:textId="5C6E368C">
      <w:pPr>
        <w:rPr>
          <w:rFonts w:ascii="Times New Roman" w:hAnsi="Times New Roman" w:cs="Times New Roman"/>
          <w:sz w:val="24"/>
          <w:szCs w:val="24"/>
        </w:rPr>
      </w:pPr>
      <w:r w:rsidRPr="0010712C">
        <w:rPr>
          <w:rFonts w:ascii="Times New Roman" w:hAnsi="Times New Roman" w:cs="Times New Roman"/>
          <w:sz w:val="24"/>
          <w:szCs w:val="24"/>
        </w:rPr>
        <w:t xml:space="preserve">Data collections will gather information on administration, quality, quantity, improvement, inputs, activities, outputs, and outcomes related to delivery of essential public health services. Questions will be formulated around one or more of the three themes of the ten essential public health services listed below. </w:t>
      </w:r>
    </w:p>
    <w:p w:rsidRPr="0010712C" w:rsidR="0010712C" w:rsidP="0010712C" w:rsidRDefault="0010712C" w14:paraId="7694D206" w14:textId="77777777">
      <w:pPr>
        <w:rPr>
          <w:rFonts w:ascii="Times New Roman" w:hAnsi="Times New Roman" w:cs="Times New Roman"/>
          <w:sz w:val="24"/>
          <w:szCs w:val="24"/>
        </w:rPr>
      </w:pPr>
    </w:p>
    <w:p w:rsidRPr="00BB1C89" w:rsidR="0010712C" w:rsidP="0010712C" w:rsidRDefault="0010712C" w14:paraId="464A20CC" w14:textId="77777777">
      <w:pPr>
        <w:rPr>
          <w:rFonts w:ascii="Times New Roman" w:hAnsi="Times New Roman" w:cs="Times New Roman"/>
          <w:b/>
          <w:sz w:val="24"/>
          <w:szCs w:val="24"/>
        </w:rPr>
      </w:pPr>
      <w:r w:rsidRPr="00BB1C89">
        <w:rPr>
          <w:rFonts w:ascii="Times New Roman" w:hAnsi="Times New Roman" w:cs="Times New Roman"/>
          <w:b/>
          <w:sz w:val="24"/>
          <w:szCs w:val="24"/>
        </w:rPr>
        <w:t xml:space="preserve">Assessment </w:t>
      </w:r>
    </w:p>
    <w:p w:rsidRPr="00BB1C89" w:rsidR="0010712C" w:rsidP="00BB1C89" w:rsidRDefault="0010712C" w14:paraId="24D90C40" w14:textId="77777777">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Monitoring health status to identify community health problems</w:t>
      </w:r>
    </w:p>
    <w:p w:rsidRPr="00BB1C89" w:rsidR="0010712C" w:rsidP="00BB1C89" w:rsidRDefault="0010712C" w14:paraId="35B7BA6F" w14:textId="77777777">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Diagnosing and  investigating  health problems and health hazards in the community</w:t>
      </w:r>
    </w:p>
    <w:p w:rsidRPr="00BB1C89" w:rsidR="0010712C" w:rsidP="00BB1C89" w:rsidRDefault="0010712C" w14:paraId="6477FD3A" w14:textId="77777777">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Evaluating effectiveness, accessibility, and quality of personal and population-based health services</w:t>
      </w:r>
    </w:p>
    <w:p w:rsidRPr="00BB1C89" w:rsidR="0010712C" w:rsidP="0010712C" w:rsidRDefault="0010712C" w14:paraId="6A3A9028" w14:textId="77777777">
      <w:pPr>
        <w:rPr>
          <w:rFonts w:ascii="Times New Roman" w:hAnsi="Times New Roman" w:cs="Times New Roman"/>
          <w:b/>
          <w:sz w:val="24"/>
          <w:szCs w:val="24"/>
        </w:rPr>
      </w:pPr>
      <w:r w:rsidRPr="00BB1C89">
        <w:rPr>
          <w:rFonts w:ascii="Times New Roman" w:hAnsi="Times New Roman" w:cs="Times New Roman"/>
          <w:b/>
          <w:sz w:val="24"/>
          <w:szCs w:val="24"/>
        </w:rPr>
        <w:t xml:space="preserve">Policy Development </w:t>
      </w:r>
    </w:p>
    <w:p w:rsidRPr="0010712C" w:rsidR="0010712C" w:rsidP="00BB1C89" w:rsidRDefault="0010712C" w14:paraId="63B9328F"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Development of policies and plans that support individual and community health efforts</w:t>
      </w:r>
    </w:p>
    <w:p w:rsidRPr="0010712C" w:rsidR="0010712C" w:rsidP="00BB1C89" w:rsidRDefault="0010712C" w14:paraId="52D58498"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Enforcement of laws and regulations that protect health and ensure safety.</w:t>
      </w:r>
    </w:p>
    <w:p w:rsidRPr="0010712C" w:rsidR="0010712C" w:rsidP="00BB1C89" w:rsidRDefault="0010712C" w14:paraId="644CA398"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Research for new insights and innovative solutions to health problems</w:t>
      </w:r>
    </w:p>
    <w:p w:rsidR="00BB1C89" w:rsidP="0010712C" w:rsidRDefault="00BB1C89" w14:paraId="6B2CD908" w14:textId="77777777">
      <w:pPr>
        <w:rPr>
          <w:rFonts w:ascii="Times New Roman" w:hAnsi="Times New Roman" w:cs="Times New Roman"/>
          <w:b/>
          <w:sz w:val="24"/>
          <w:szCs w:val="24"/>
        </w:rPr>
      </w:pPr>
      <w:r>
        <w:rPr>
          <w:rFonts w:ascii="Times New Roman" w:hAnsi="Times New Roman" w:cs="Times New Roman"/>
          <w:b/>
          <w:sz w:val="24"/>
          <w:szCs w:val="24"/>
        </w:rPr>
        <w:t xml:space="preserve">Assurance </w:t>
      </w:r>
    </w:p>
    <w:p w:rsidRPr="00BB1C89" w:rsidR="0010712C" w:rsidP="00BB1C89" w:rsidRDefault="0010712C" w14:paraId="328EE771"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Linking people to needed personal health services and assure the provision of health care when otherwise unavailable</w:t>
      </w:r>
    </w:p>
    <w:p w:rsidRPr="0010712C" w:rsidR="0010712C" w:rsidP="00BB1C89" w:rsidRDefault="0010712C" w14:paraId="2F51A44E"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Assuring a competent public health and personal health care workforce</w:t>
      </w:r>
    </w:p>
    <w:p w:rsidRPr="0010712C" w:rsidR="0010712C" w:rsidP="00BB1C89" w:rsidRDefault="0010712C" w14:paraId="6A191E66"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Informing, educating, and empowering  people about health issues</w:t>
      </w:r>
    </w:p>
    <w:p w:rsidRPr="0010712C" w:rsidR="0010712C" w:rsidP="00BB1C89" w:rsidRDefault="0010712C" w14:paraId="60B015A1"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Mobilizing community partnerships to identify and solve health problems</w:t>
      </w:r>
    </w:p>
    <w:p w:rsidR="00BB1C89" w:rsidP="0010712C" w:rsidRDefault="00BB1C89" w14:paraId="5E3AB4E0" w14:textId="77777777">
      <w:pPr>
        <w:rPr>
          <w:rFonts w:ascii="Times New Roman" w:hAnsi="Times New Roman" w:cs="Times New Roman"/>
          <w:sz w:val="24"/>
          <w:szCs w:val="24"/>
        </w:rPr>
      </w:pPr>
    </w:p>
    <w:p w:rsidRPr="0010712C" w:rsidR="00FA2449" w:rsidP="00FA2449" w:rsidRDefault="0010712C" w14:paraId="4B9880AE" w14:textId="60BBAEB3">
      <w:pPr>
        <w:rPr>
          <w:rFonts w:ascii="Times New Roman" w:hAnsi="Times New Roman" w:cs="Times New Roman"/>
          <w:sz w:val="24"/>
          <w:szCs w:val="24"/>
        </w:rPr>
      </w:pPr>
      <w:bookmarkStart w:name="_Hlk37237035" w:id="3"/>
      <w:r w:rsidRPr="0010712C">
        <w:rPr>
          <w:rFonts w:ascii="Times New Roman" w:hAnsi="Times New Roman" w:cs="Times New Roman"/>
          <w:sz w:val="24"/>
          <w:szCs w:val="24"/>
        </w:rPr>
        <w:t xml:space="preserve">In general, CDC does not expect these collections to yield data that can be generalized, but will produce needed information regarding important health topics that affect state and local public health issues.  CDC expects to use these findings to understand better the range of experiences among state, local, tribal, and territorial governmental  staff or delegate, and as one of many inputs into decision making and/or program management or assessment. </w:t>
      </w:r>
    </w:p>
    <w:bookmarkEnd w:id="3"/>
    <w:p w:rsidRPr="0010712C" w:rsidR="0010712C" w:rsidP="0010712C" w:rsidRDefault="0010712C" w14:paraId="0D39EB17" w14:textId="24722653">
      <w:pPr>
        <w:rPr>
          <w:rFonts w:ascii="Times New Roman" w:hAnsi="Times New Roman" w:cs="Times New Roman"/>
          <w:sz w:val="24"/>
          <w:szCs w:val="24"/>
        </w:rPr>
      </w:pPr>
    </w:p>
    <w:p w:rsidR="00BB1C89" w:rsidP="0010712C" w:rsidRDefault="00BB1C89" w14:paraId="01FC928C" w14:textId="77777777">
      <w:pPr>
        <w:rPr>
          <w:rFonts w:ascii="Times New Roman" w:hAnsi="Times New Roman" w:cs="Times New Roman"/>
          <w:sz w:val="24"/>
          <w:szCs w:val="24"/>
        </w:rPr>
      </w:pPr>
    </w:p>
    <w:p w:rsidR="00530497" w:rsidP="0010712C" w:rsidRDefault="0010712C" w14:paraId="518EB962" w14:textId="77777777">
      <w:pPr>
        <w:rPr>
          <w:rFonts w:ascii="Times New Roman" w:hAnsi="Times New Roman" w:cs="Times New Roman"/>
          <w:sz w:val="24"/>
          <w:szCs w:val="24"/>
        </w:rPr>
      </w:pPr>
      <w:r w:rsidRPr="0010712C">
        <w:rPr>
          <w:rFonts w:ascii="Times New Roman" w:hAnsi="Times New Roman" w:cs="Times New Roman"/>
          <w:sz w:val="24"/>
          <w:szCs w:val="24"/>
        </w:rPr>
        <w:t xml:space="preserve">CDC will submit the specific information collections to OMB for review as individual Information Collections (ICs) under this general Generic clearance framework. Individual submissions will include the purpose of the collection, description of sample, target respondent, questions to </w:t>
      </w:r>
      <w:r w:rsidR="00E4418B">
        <w:rPr>
          <w:rFonts w:ascii="Times New Roman" w:hAnsi="Times New Roman" w:cs="Times New Roman"/>
          <w:sz w:val="24"/>
          <w:szCs w:val="24"/>
        </w:rPr>
        <w:t xml:space="preserve">be asked, and response burden. </w:t>
      </w:r>
      <w:r w:rsidRPr="0010712C">
        <w:rPr>
          <w:rFonts w:ascii="Times New Roman" w:hAnsi="Times New Roman" w:cs="Times New Roman"/>
          <w:sz w:val="24"/>
          <w:szCs w:val="24"/>
        </w:rPr>
        <w:t>OMB will review and approve an individual IC in an expedited manner. However, if the specific information collection falls outside the scope of the generic clearance or is otherwise inconsistent with the terms of the generic clearance, OMB will return the proposed information collection to the agency for additional consideration or require that the full PRA process be followed, including public notice and comment, for the review and approval of that information collection.</w:t>
      </w:r>
    </w:p>
    <w:p w:rsidR="00E4418B" w:rsidP="0010712C" w:rsidRDefault="00E4418B" w14:paraId="6B6ACB1A" w14:textId="77777777">
      <w:pPr>
        <w:rPr>
          <w:rFonts w:ascii="Times New Roman" w:hAnsi="Times New Roman" w:cs="Times New Roman"/>
          <w:sz w:val="24"/>
          <w:szCs w:val="24"/>
        </w:rPr>
      </w:pPr>
    </w:p>
    <w:p w:rsidRPr="00BB1C89" w:rsidR="00BB1C89" w:rsidP="00BB1C89" w:rsidRDefault="00BB1C89" w14:paraId="167AE091" w14:textId="77777777">
      <w:pPr>
        <w:pStyle w:val="ListParagraph"/>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Use of Improved Information Technology and Burden Reduction</w:t>
      </w:r>
    </w:p>
    <w:p w:rsidRPr="00BB1C89" w:rsidR="00BB1C89" w:rsidP="00BB1C89" w:rsidRDefault="00BB1C89" w14:paraId="0305EA54" w14:textId="2316BF2B">
      <w:pPr>
        <w:rPr>
          <w:rFonts w:ascii="Times New Roman" w:hAnsi="Times New Roman" w:cs="Times New Roman"/>
          <w:sz w:val="24"/>
          <w:szCs w:val="24"/>
        </w:rPr>
      </w:pPr>
      <w:r w:rsidRPr="00BB1C89">
        <w:rPr>
          <w:rFonts w:ascii="Times New Roman" w:hAnsi="Times New Roman" w:cs="Times New Roman"/>
          <w:sz w:val="24"/>
          <w:szCs w:val="24"/>
        </w:rPr>
        <w:t xml:space="preserve">Data collections will be conducted using the most current modes of data collection, including web-based instruments, focus groups, phone or in-person interviews or other modes applied to specific national assessments.  Though these technologies will be used by many of the individual projects in this data collection, the nature of many of these proposed activities typically requires direct interaction between respondents and project staff, especially in the case of qualitative interviewing and cognitive testing. Also, in cases when respondents do not have access to electronic means of communication, a paper-based data collection will be implemented on a limited basis. </w:t>
      </w:r>
    </w:p>
    <w:p w:rsidRPr="00BB1C89" w:rsidR="00212A22" w:rsidP="00BB1C89" w:rsidRDefault="00212A22" w14:paraId="14FB4F37" w14:textId="77777777">
      <w:pPr>
        <w:rPr>
          <w:rFonts w:ascii="Times New Roman" w:hAnsi="Times New Roman" w:cs="Times New Roman"/>
          <w:sz w:val="24"/>
          <w:szCs w:val="24"/>
        </w:rPr>
      </w:pPr>
    </w:p>
    <w:p w:rsidRPr="00BB1C89" w:rsidR="00BB1C89" w:rsidP="00BB1C89" w:rsidRDefault="00BB1C89" w14:paraId="081ABB64" w14:textId="77777777">
      <w:pPr>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 xml:space="preserve">Efforts to Identify Duplication and Use of Similar Information </w:t>
      </w:r>
    </w:p>
    <w:p w:rsidR="00BB1C89" w:rsidP="00BB1C89" w:rsidRDefault="00BB1C89" w14:paraId="04939D9C" w14:textId="77777777">
      <w:pPr>
        <w:rPr>
          <w:rFonts w:ascii="Times New Roman" w:hAnsi="Times New Roman" w:cs="Times New Roman"/>
          <w:sz w:val="24"/>
          <w:szCs w:val="24"/>
        </w:rPr>
      </w:pPr>
      <w:r w:rsidRPr="00BB1C89">
        <w:rPr>
          <w:rFonts w:ascii="Times New Roman" w:hAnsi="Times New Roman" w:cs="Times New Roman"/>
          <w:sz w:val="24"/>
          <w:szCs w:val="24"/>
        </w:rPr>
        <w:t xml:space="preserve">CDC recognizes and understands the fact that many collection requests are made to governmental health agencies, their delegates and thus intends to use this generic clearance judiciously to ensure only the most relevant collections are undertaken and that they are not duplicative of other efforts. CDC will require the program to determine whether or not the information already exists. </w:t>
      </w:r>
    </w:p>
    <w:p w:rsidRPr="00BB1C89" w:rsidR="00BB1C89" w:rsidP="00BB1C89" w:rsidRDefault="00BB1C89" w14:paraId="2E121894" w14:textId="77777777">
      <w:pPr>
        <w:rPr>
          <w:rFonts w:ascii="Times New Roman" w:hAnsi="Times New Roman" w:cs="Times New Roman"/>
          <w:sz w:val="24"/>
          <w:szCs w:val="24"/>
        </w:rPr>
      </w:pPr>
    </w:p>
    <w:p w:rsidRPr="00BB1C89" w:rsidR="00BB1C89" w:rsidP="00BB1C89" w:rsidRDefault="00BB1C89" w14:paraId="0745B45F" w14:textId="77777777">
      <w:pPr>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Impact on Small Businesses or Other Small Entities</w:t>
      </w:r>
    </w:p>
    <w:p w:rsidRPr="00BB1C89" w:rsidR="00BB1C89" w:rsidP="00BB1C89" w:rsidRDefault="00BB1C89" w14:paraId="18254262" w14:textId="77777777">
      <w:pPr>
        <w:rPr>
          <w:rFonts w:ascii="Times New Roman" w:hAnsi="Times New Roman" w:cs="Times New Roman"/>
          <w:sz w:val="24"/>
          <w:szCs w:val="24"/>
        </w:rPr>
      </w:pPr>
      <w:r w:rsidRPr="00BB1C89">
        <w:rPr>
          <w:rFonts w:ascii="Times New Roman" w:hAnsi="Times New Roman" w:cs="Times New Roman"/>
          <w:sz w:val="24"/>
          <w:szCs w:val="24"/>
        </w:rPr>
        <w:t>No small businesses will be involved in this data collection</w:t>
      </w:r>
    </w:p>
    <w:p w:rsidR="007A7ABD" w:rsidP="00666D39" w:rsidRDefault="007A7ABD" w14:paraId="687060F9" w14:textId="77777777">
      <w:pPr>
        <w:rPr>
          <w:rFonts w:ascii="Times New Roman" w:hAnsi="Times New Roman" w:cs="Times New Roman"/>
          <w:sz w:val="24"/>
          <w:szCs w:val="24"/>
        </w:rPr>
      </w:pPr>
    </w:p>
    <w:p w:rsidRPr="00205378" w:rsidR="00205378" w:rsidP="00205378" w:rsidRDefault="00205378" w14:paraId="3A451337"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Consequences of Collecting the Information Less Frequently</w:t>
      </w:r>
    </w:p>
    <w:p w:rsidRPr="00205378" w:rsidR="00205378" w:rsidP="00205378" w:rsidRDefault="00205378" w14:paraId="06FEE7E5" w14:textId="77777777">
      <w:pPr>
        <w:rPr>
          <w:rFonts w:ascii="Times New Roman" w:hAnsi="Times New Roman" w:cs="Times New Roman"/>
          <w:sz w:val="24"/>
          <w:szCs w:val="24"/>
        </w:rPr>
      </w:pPr>
      <w:r w:rsidRPr="00205378">
        <w:rPr>
          <w:rFonts w:ascii="Times New Roman" w:hAnsi="Times New Roman" w:cs="Times New Roman"/>
          <w:bCs/>
          <w:sz w:val="24"/>
          <w:szCs w:val="24"/>
        </w:rPr>
        <w:t xml:space="preserve">The purpose of CDC’s request for this generic clearance is to ensure collection of data that is not otherwise available in </w:t>
      </w:r>
      <w:r w:rsidRPr="00205378">
        <w:rPr>
          <w:rFonts w:ascii="Times New Roman" w:hAnsi="Times New Roman" w:cs="Times New Roman"/>
          <w:sz w:val="24"/>
          <w:szCs w:val="24"/>
        </w:rPr>
        <w:t xml:space="preserve">current, time sensitive or relevant formats to specific or emergent priorities of HHS and CDC.  Specifically, without this data there would be: </w:t>
      </w:r>
    </w:p>
    <w:p w:rsidRPr="00205378" w:rsidR="00205378" w:rsidP="00205378" w:rsidRDefault="00205378" w14:paraId="7C12F788"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No timely feedback regarding effectiveness of CDC’s support and technical assistance to governmental public health agencies. </w:t>
      </w:r>
    </w:p>
    <w:p w:rsidRPr="00205378" w:rsidR="00205378" w:rsidP="00205378" w:rsidRDefault="00205378" w14:paraId="7EAF1736"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Less effective interventions and data-driven decisions that need to be often made between CDC and state, tribal, local, and territorial governmental health agencies in an expedited manner during emergencies and disease outbreaks.  </w:t>
      </w:r>
    </w:p>
    <w:p w:rsidRPr="00205378" w:rsidR="00205378" w:rsidP="00205378" w:rsidRDefault="00205378" w14:paraId="1E1A67BC"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Persistent gaps in other extant information collections, because of limited timing, content, or respondent focus, i.e. CDC will not be able to complement data collection activities of other entities</w:t>
      </w:r>
    </w:p>
    <w:p w:rsidRPr="00205378" w:rsidR="00205378" w:rsidP="00205378" w:rsidRDefault="00205378" w14:paraId="760A472C"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Limitations to effective and timely assessment of capacities of governmental agencies to fulfill their public health mission.</w:t>
      </w:r>
    </w:p>
    <w:p w:rsidR="007A7ABD" w:rsidP="00205378" w:rsidRDefault="007A7ABD" w14:paraId="035965D0" w14:textId="77777777">
      <w:pPr>
        <w:rPr>
          <w:rFonts w:ascii="Times New Roman" w:hAnsi="Times New Roman" w:cs="Times New Roman"/>
          <w:sz w:val="24"/>
          <w:szCs w:val="24"/>
        </w:rPr>
      </w:pPr>
    </w:p>
    <w:p w:rsidRPr="00297C97" w:rsidR="00205378" w:rsidP="00205378" w:rsidRDefault="00205378" w14:paraId="17A395BC" w14:textId="77777777">
      <w:pPr>
        <w:pStyle w:val="CM89"/>
        <w:ind w:left="51" w:right="97"/>
        <w:rPr>
          <w:rFonts w:ascii="Times New Roman" w:hAnsi="Times New Roman" w:cs="Times New Roman"/>
        </w:rPr>
      </w:pPr>
      <w:r w:rsidRPr="00297C97">
        <w:rPr>
          <w:rFonts w:ascii="Times New Roman" w:hAnsi="Times New Roman" w:cs="Times New Roman"/>
        </w:rPr>
        <w:t xml:space="preserve">Existing data collections efforts </w:t>
      </w:r>
      <w:r w:rsidRPr="00423A12">
        <w:rPr>
          <w:rFonts w:ascii="Times New Roman" w:hAnsi="Times New Roman" w:cs="Times New Roman"/>
        </w:rPr>
        <w:t>h</w:t>
      </w:r>
      <w:r w:rsidRPr="00297C97">
        <w:rPr>
          <w:rFonts w:ascii="Times New Roman" w:hAnsi="Times New Roman" w:cs="Times New Roman"/>
        </w:rPr>
        <w:t>ave several limitations that necessitate need for this generic clearance request. For example:</w:t>
      </w:r>
    </w:p>
    <w:p w:rsidRPr="00205378" w:rsidR="00205378" w:rsidP="00205378" w:rsidRDefault="00205378" w14:paraId="79B41779"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Public health infrastructure data collections by CDC partners organizations (NACCHO) are conducted only every 2 years and thus have limited utility for CDC from the point of view of program monitoring and assessment, which usually require more frequent data collection.</w:t>
      </w:r>
    </w:p>
    <w:p w:rsidRPr="00205378" w:rsidR="00205378" w:rsidP="00205378" w:rsidRDefault="00205378" w14:paraId="0CF5766B"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lastRenderedPageBreak/>
        <w:t xml:space="preserve">None of the existing data collections include collection of data that is needed to evaluate many CDC programs </w:t>
      </w:r>
      <w:r w:rsidR="00A65259">
        <w:rPr>
          <w:rFonts w:ascii="Times New Roman" w:hAnsi="Times New Roman" w:cs="Times New Roman"/>
          <w:sz w:val="24"/>
          <w:szCs w:val="24"/>
        </w:rPr>
        <w:t xml:space="preserve">and their </w:t>
      </w:r>
      <w:r w:rsidRPr="00205378">
        <w:rPr>
          <w:rFonts w:ascii="Times New Roman" w:hAnsi="Times New Roman" w:cs="Times New Roman"/>
          <w:sz w:val="24"/>
          <w:szCs w:val="24"/>
        </w:rPr>
        <w:t>unique needs.</w:t>
      </w:r>
    </w:p>
    <w:p w:rsidRPr="00205378" w:rsidR="00205378" w:rsidP="00205378" w:rsidRDefault="00205378" w14:paraId="3FCCAB48"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Data needed to assure accountability of CDC investments in public health infrastructure through cooperative agreement mechanisms is not routinely collected.</w:t>
      </w:r>
    </w:p>
    <w:p w:rsidRPr="00205378" w:rsidR="00205378" w:rsidP="00205378" w:rsidRDefault="00205378" w14:paraId="29D3BCC7"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Data needed to accommodate requests from HHS and Congress may not be available in currently run data collections of state and local government staff or delegates delivering essential public health services.</w:t>
      </w:r>
    </w:p>
    <w:p w:rsidRPr="00205378" w:rsidR="00205378" w:rsidP="00205378" w:rsidRDefault="00205378" w14:paraId="3AFDED0B" w14:textId="77777777">
      <w:pPr>
        <w:ind w:left="360"/>
        <w:rPr>
          <w:rFonts w:ascii="Times New Roman" w:hAnsi="Times New Roman" w:cs="Times New Roman"/>
          <w:sz w:val="24"/>
          <w:szCs w:val="24"/>
        </w:rPr>
      </w:pPr>
    </w:p>
    <w:p w:rsidRPr="00205378" w:rsidR="00205378" w:rsidP="00205378" w:rsidRDefault="00205378" w14:paraId="3A7B952A" w14:textId="77777777">
      <w:pPr>
        <w:pStyle w:val="CM89"/>
        <w:ind w:left="51" w:right="97"/>
        <w:rPr>
          <w:rFonts w:ascii="Times New Roman" w:hAnsi="Times New Roman" w:cs="Times New Roman"/>
        </w:rPr>
      </w:pPr>
      <w:r w:rsidRPr="00205378">
        <w:rPr>
          <w:rFonts w:ascii="Times New Roman" w:hAnsi="Times New Roman" w:cs="Times New Roman"/>
        </w:rPr>
        <w:t>There are no legal obstacles to reduce the burden.</w:t>
      </w:r>
    </w:p>
    <w:p w:rsidR="007A7ABD" w:rsidP="00666D39" w:rsidRDefault="007A7ABD" w14:paraId="321641C1" w14:textId="77777777">
      <w:pPr>
        <w:rPr>
          <w:rFonts w:ascii="Times New Roman" w:hAnsi="Times New Roman" w:cs="Times New Roman"/>
          <w:sz w:val="24"/>
          <w:szCs w:val="24"/>
        </w:rPr>
      </w:pPr>
    </w:p>
    <w:p w:rsidR="00E4418B" w:rsidP="00666D39" w:rsidRDefault="00E4418B" w14:paraId="1AE54642" w14:textId="77777777">
      <w:pPr>
        <w:rPr>
          <w:rFonts w:ascii="Times New Roman" w:hAnsi="Times New Roman" w:cs="Times New Roman"/>
          <w:sz w:val="24"/>
          <w:szCs w:val="24"/>
        </w:rPr>
      </w:pPr>
    </w:p>
    <w:p w:rsidRPr="00205378" w:rsidR="00205378" w:rsidP="00205378" w:rsidRDefault="00205378" w14:paraId="68C50DD8"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Special Circumstances Relating to the Guidelines of 5 CFR 1320.5</w:t>
      </w:r>
    </w:p>
    <w:p w:rsidRPr="00205378" w:rsidR="00205378" w:rsidP="00205378" w:rsidRDefault="00205378" w14:paraId="6AB0F653" w14:textId="77777777">
      <w:pPr>
        <w:rPr>
          <w:rFonts w:ascii="Times New Roman" w:hAnsi="Times New Roman" w:cs="Times New Roman"/>
          <w:sz w:val="24"/>
          <w:szCs w:val="24"/>
        </w:rPr>
      </w:pPr>
      <w:r w:rsidRPr="00205378">
        <w:rPr>
          <w:rFonts w:ascii="Times New Roman" w:hAnsi="Times New Roman" w:cs="Times New Roman"/>
          <w:sz w:val="24"/>
          <w:szCs w:val="24"/>
        </w:rPr>
        <w:t>There are no special circumstances with this i</w:t>
      </w:r>
      <w:r>
        <w:rPr>
          <w:rFonts w:ascii="Times New Roman" w:hAnsi="Times New Roman" w:cs="Times New Roman"/>
          <w:sz w:val="24"/>
          <w:szCs w:val="24"/>
        </w:rPr>
        <w:t xml:space="preserve">nformation collection package. </w:t>
      </w:r>
      <w:r w:rsidRPr="00205378">
        <w:rPr>
          <w:rFonts w:ascii="Times New Roman" w:hAnsi="Times New Roman" w:cs="Times New Roman"/>
          <w:sz w:val="24"/>
          <w:szCs w:val="24"/>
        </w:rPr>
        <w:t>This request fully complies with the guidelines of 5 CFR 1320.5.</w:t>
      </w:r>
    </w:p>
    <w:p w:rsidRPr="00205378" w:rsidR="00205378" w:rsidP="00205378" w:rsidRDefault="00205378" w14:paraId="21E6CCB5" w14:textId="77777777">
      <w:pPr>
        <w:rPr>
          <w:rFonts w:ascii="Times New Roman" w:hAnsi="Times New Roman" w:cs="Times New Roman"/>
          <w:sz w:val="24"/>
          <w:szCs w:val="24"/>
        </w:rPr>
      </w:pPr>
    </w:p>
    <w:p w:rsidR="00205378" w:rsidP="00205378" w:rsidRDefault="00205378" w14:paraId="2E480D94"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 xml:space="preserve">Comments in Response to the Federal Register Notice and Efforts to Consult Outside the Agency </w:t>
      </w:r>
    </w:p>
    <w:p w:rsidR="000B44C3" w:rsidP="008549C4" w:rsidRDefault="000B44C3" w14:paraId="406A06AF" w14:textId="77777777">
      <w:pPr>
        <w:rPr>
          <w:rFonts w:ascii="Times New Roman" w:hAnsi="Times New Roman" w:cs="Times New Roman"/>
          <w:sz w:val="24"/>
          <w:szCs w:val="24"/>
        </w:rPr>
      </w:pPr>
      <w:r w:rsidRPr="000B44C3">
        <w:rPr>
          <w:rFonts w:ascii="Times New Roman" w:hAnsi="Times New Roman" w:cs="Times New Roman"/>
          <w:sz w:val="24"/>
          <w:szCs w:val="24"/>
        </w:rPr>
        <w:t xml:space="preserve">A 60-day Federal Register Notice was published in the Federal Register on 05/21/2020, Vol. 85, No. 99, pp 30962 (see Attachment C).  0 comments were received. </w:t>
      </w:r>
    </w:p>
    <w:p w:rsidR="000B44C3" w:rsidP="008549C4" w:rsidRDefault="000B44C3" w14:paraId="1A4B9FFB" w14:textId="77777777">
      <w:pPr>
        <w:rPr>
          <w:rFonts w:ascii="Times New Roman" w:hAnsi="Times New Roman" w:cs="Times New Roman"/>
          <w:sz w:val="24"/>
          <w:szCs w:val="24"/>
        </w:rPr>
      </w:pPr>
    </w:p>
    <w:p w:rsidRPr="00705927" w:rsidR="00205378" w:rsidP="008549C4" w:rsidRDefault="000B44C3" w14:paraId="1D3DA7BB" w14:textId="13274B97">
      <w:pPr>
        <w:rPr>
          <w:rFonts w:ascii="Times New Roman" w:hAnsi="Times New Roman" w:cs="Times New Roman"/>
          <w:sz w:val="24"/>
          <w:szCs w:val="24"/>
        </w:rPr>
      </w:pPr>
      <w:r>
        <w:rPr>
          <w:rFonts w:ascii="Times New Roman" w:hAnsi="Times New Roman" w:cs="Times New Roman"/>
          <w:sz w:val="24"/>
          <w:szCs w:val="24"/>
        </w:rPr>
        <w:t>No consults were made outside the Agency.</w:t>
      </w:r>
      <w:bookmarkStart w:name="_GoBack" w:id="4"/>
      <w:bookmarkEnd w:id="4"/>
      <w:r w:rsidRPr="00705927" w:rsidR="0026660F">
        <w:rPr>
          <w:rFonts w:ascii="Times New Roman" w:hAnsi="Times New Roman" w:cs="Times New Roman"/>
          <w:sz w:val="24"/>
          <w:szCs w:val="24"/>
        </w:rPr>
        <w:t xml:space="preserve">  </w:t>
      </w:r>
    </w:p>
    <w:p w:rsidRPr="00205378" w:rsidR="00205378" w:rsidP="00205378" w:rsidRDefault="00205378" w14:paraId="615876EA" w14:textId="77777777">
      <w:pPr>
        <w:rPr>
          <w:rFonts w:ascii="Times New Roman" w:hAnsi="Times New Roman" w:cs="Times New Roman"/>
          <w:sz w:val="24"/>
          <w:szCs w:val="24"/>
        </w:rPr>
      </w:pPr>
    </w:p>
    <w:p w:rsidRPr="00205378" w:rsidR="00205378" w:rsidP="00205378" w:rsidRDefault="00205378" w14:paraId="19D6E1E0"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Explanation of Any Payment or Gift to Respondents</w:t>
      </w:r>
    </w:p>
    <w:p w:rsidRPr="00205378" w:rsidR="00205378" w:rsidP="008549C4" w:rsidRDefault="00205378" w14:paraId="63A4134F" w14:textId="77777777">
      <w:pPr>
        <w:rPr>
          <w:rFonts w:ascii="Times New Roman" w:hAnsi="Times New Roman" w:cs="Times New Roman"/>
          <w:sz w:val="24"/>
          <w:szCs w:val="24"/>
        </w:rPr>
      </w:pPr>
      <w:r w:rsidRPr="00205378">
        <w:rPr>
          <w:rFonts w:ascii="Times New Roman" w:hAnsi="Times New Roman" w:cs="Times New Roman"/>
          <w:sz w:val="24"/>
          <w:szCs w:val="24"/>
        </w:rPr>
        <w:t>CDC will not provide payments or gifts to respondents.</w:t>
      </w:r>
    </w:p>
    <w:p w:rsidRPr="00205378" w:rsidR="00205378" w:rsidP="00205378" w:rsidRDefault="00205378" w14:paraId="28859BBC" w14:textId="77777777">
      <w:pPr>
        <w:rPr>
          <w:rFonts w:ascii="Times New Roman" w:hAnsi="Times New Roman" w:cs="Times New Roman"/>
          <w:sz w:val="24"/>
          <w:szCs w:val="24"/>
        </w:rPr>
      </w:pPr>
    </w:p>
    <w:p w:rsidRPr="00205378" w:rsidR="00205378" w:rsidP="00205378" w:rsidRDefault="00205378" w14:paraId="28B45390"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Assurance of Confidentiality Provided to Respondents</w:t>
      </w:r>
    </w:p>
    <w:p w:rsidRPr="00205378" w:rsidR="00205378" w:rsidP="008549C4" w:rsidRDefault="00205378" w14:paraId="28F6941B" w14:textId="77777777">
      <w:pPr>
        <w:rPr>
          <w:rFonts w:ascii="Times New Roman" w:hAnsi="Times New Roman" w:cs="Times New Roman"/>
          <w:sz w:val="24"/>
          <w:szCs w:val="24"/>
        </w:rPr>
      </w:pPr>
      <w:r w:rsidRPr="00205378">
        <w:rPr>
          <w:rFonts w:ascii="Times New Roman" w:hAnsi="Times New Roman" w:cs="Times New Roman"/>
          <w:sz w:val="24"/>
          <w:szCs w:val="24"/>
        </w:rPr>
        <w:t>The Privacy Act does not apply to this data collection.  State, tribal, local, and territorial government agency staffs or delegates w</w:t>
      </w:r>
      <w:r w:rsidRPr="00A65259">
        <w:rPr>
          <w:rFonts w:ascii="Times New Roman" w:hAnsi="Times New Roman" w:cs="Times New Roman"/>
          <w:sz w:val="24"/>
          <w:szCs w:val="24"/>
        </w:rPr>
        <w:t>ill be speak</w:t>
      </w:r>
      <w:r w:rsidR="00E4418B">
        <w:rPr>
          <w:rFonts w:ascii="Times New Roman" w:hAnsi="Times New Roman" w:cs="Times New Roman"/>
          <w:sz w:val="24"/>
          <w:szCs w:val="24"/>
        </w:rPr>
        <w:t xml:space="preserve">ing from their official roles. </w:t>
      </w:r>
      <w:r w:rsidRPr="00A65259">
        <w:rPr>
          <w:rFonts w:ascii="Times New Roman" w:hAnsi="Times New Roman" w:cs="Times New Roman"/>
          <w:sz w:val="24"/>
          <w:szCs w:val="24"/>
        </w:rPr>
        <w:t xml:space="preserve">If asked to provide any identifiable information, it will relate to their official duties (e.g., title, professional email address). All identifiable information will be securely stored. All results will be reported in the aggregate with all identifiable information removed. </w:t>
      </w:r>
      <w:r w:rsidRPr="00205378">
        <w:rPr>
          <w:rFonts w:ascii="Times New Roman" w:hAnsi="Times New Roman" w:cs="Times New Roman"/>
          <w:sz w:val="24"/>
          <w:szCs w:val="24"/>
        </w:rPr>
        <w:t>This data collection is not research involving human subjects.</w:t>
      </w:r>
    </w:p>
    <w:p w:rsidRPr="00205378" w:rsidR="00205378" w:rsidP="00205378" w:rsidRDefault="00205378" w14:paraId="169C8CA7" w14:textId="77777777">
      <w:pPr>
        <w:rPr>
          <w:rFonts w:ascii="Times New Roman" w:hAnsi="Times New Roman" w:cs="Times New Roman"/>
          <w:sz w:val="24"/>
          <w:szCs w:val="24"/>
        </w:rPr>
      </w:pPr>
    </w:p>
    <w:p w:rsidRPr="00205378" w:rsidR="00205378" w:rsidP="00205378" w:rsidRDefault="00205378" w14:paraId="0ECCA907"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Justification for Sensitive Questions</w:t>
      </w:r>
    </w:p>
    <w:p w:rsidRPr="00205378" w:rsidR="00205378" w:rsidP="008549C4" w:rsidRDefault="00205378" w14:paraId="5C7D3A86" w14:textId="77777777">
      <w:pPr>
        <w:rPr>
          <w:rFonts w:ascii="Times New Roman" w:hAnsi="Times New Roman" w:cs="Times New Roman"/>
          <w:sz w:val="24"/>
          <w:szCs w:val="24"/>
        </w:rPr>
      </w:pPr>
      <w:r w:rsidRPr="00205378">
        <w:rPr>
          <w:rFonts w:ascii="Times New Roman" w:hAnsi="Times New Roman" w:cs="Times New Roman"/>
          <w:sz w:val="24"/>
          <w:szCs w:val="24"/>
        </w:rPr>
        <w:t>No sensitive information will be collected.</w:t>
      </w:r>
    </w:p>
    <w:p w:rsidR="00205378" w:rsidP="00666D39" w:rsidRDefault="00205378" w14:paraId="4B3AFD5F" w14:textId="77777777">
      <w:pPr>
        <w:rPr>
          <w:rFonts w:ascii="Times New Roman" w:hAnsi="Times New Roman" w:cs="Times New Roman"/>
          <w:sz w:val="24"/>
          <w:szCs w:val="24"/>
        </w:rPr>
      </w:pPr>
    </w:p>
    <w:p w:rsidRPr="00205378" w:rsidR="00205378" w:rsidP="00205378" w:rsidRDefault="00205378" w14:paraId="3117056C" w14:textId="4D6DF0D5">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 xml:space="preserve">Estimates of Annualized Burden Hours </w:t>
      </w:r>
      <w:r w:rsidR="00F15713">
        <w:rPr>
          <w:rFonts w:ascii="Times New Roman" w:hAnsi="Times New Roman" w:cs="Times New Roman"/>
          <w:b/>
          <w:sz w:val="24"/>
          <w:szCs w:val="24"/>
        </w:rPr>
        <w:t>and Costs</w:t>
      </w:r>
    </w:p>
    <w:p w:rsidRPr="00205378" w:rsidR="00205378" w:rsidP="008549C4" w:rsidRDefault="00205378" w14:paraId="5B37C6E4" w14:textId="52F834BE">
      <w:pPr>
        <w:rPr>
          <w:rFonts w:ascii="Times New Roman" w:hAnsi="Times New Roman" w:cs="Times New Roman"/>
          <w:sz w:val="24"/>
          <w:szCs w:val="24"/>
        </w:rPr>
      </w:pPr>
      <w:r w:rsidRPr="00205378">
        <w:rPr>
          <w:rFonts w:ascii="Times New Roman" w:hAnsi="Times New Roman" w:cs="Times New Roman"/>
          <w:sz w:val="24"/>
          <w:szCs w:val="24"/>
        </w:rPr>
        <w:t>The burden is calculated based on the assumption of querying at most 100% of all available state, territorial (</w:t>
      </w:r>
      <w:r w:rsidRPr="009C0B72">
        <w:rPr>
          <w:rFonts w:ascii="Times New Roman" w:hAnsi="Times New Roman" w:cs="Times New Roman"/>
          <w:sz w:val="24"/>
          <w:szCs w:val="24"/>
        </w:rPr>
        <w:t>800) and county (3,000) health officials/employees and a representative sample of at most 100 municipal/city employees. An estimate of 800 is made based on 50 states, 8 territories</w:t>
      </w:r>
      <w:r w:rsidRPr="0064317B">
        <w:rPr>
          <w:rFonts w:ascii="Times New Roman" w:hAnsi="Times New Roman" w:cs="Times New Roman"/>
          <w:sz w:val="24"/>
          <w:szCs w:val="24"/>
        </w:rPr>
        <w:t xml:space="preserve">, </w:t>
      </w:r>
      <w:r w:rsidRPr="0064317B" w:rsidR="0016523D">
        <w:rPr>
          <w:rFonts w:ascii="Times New Roman" w:hAnsi="Times New Roman" w:cs="Times New Roman"/>
          <w:sz w:val="24"/>
          <w:szCs w:val="24"/>
        </w:rPr>
        <w:t>574</w:t>
      </w:r>
      <w:r w:rsidRPr="009C0B72" w:rsidR="0016523D">
        <w:rPr>
          <w:rFonts w:ascii="Times New Roman" w:hAnsi="Times New Roman" w:cs="Times New Roman"/>
          <w:sz w:val="24"/>
          <w:szCs w:val="24"/>
        </w:rPr>
        <w:t xml:space="preserve"> </w:t>
      </w:r>
      <w:r w:rsidRPr="009C0B72" w:rsidR="00DB0CFE">
        <w:rPr>
          <w:rFonts w:ascii="Times New Roman" w:hAnsi="Times New Roman" w:cs="Times New Roman"/>
          <w:sz w:val="24"/>
          <w:szCs w:val="24"/>
        </w:rPr>
        <w:t>federally recognized</w:t>
      </w:r>
      <w:r w:rsidRPr="009C0B72">
        <w:rPr>
          <w:rFonts w:ascii="Times New Roman" w:hAnsi="Times New Roman" w:cs="Times New Roman"/>
          <w:sz w:val="24"/>
          <w:szCs w:val="24"/>
        </w:rPr>
        <w:t xml:space="preserve"> tribes, and additional room for various positions in health department (chronic disease, lab, infectious, etc.). CDC estimates that it will conduct up to 40 queries with State, territorial or tribal health officials/employees. This includes all</w:t>
      </w:r>
      <w:r w:rsidRPr="00205378">
        <w:rPr>
          <w:rFonts w:ascii="Times New Roman" w:hAnsi="Times New Roman" w:cs="Times New Roman"/>
          <w:sz w:val="24"/>
          <w:szCs w:val="24"/>
        </w:rPr>
        <w:t xml:space="preserve"> state, local, gov’t staff, the state programs, and the delegates.</w:t>
      </w:r>
      <w:r w:rsidR="003E0305">
        <w:rPr>
          <w:rFonts w:ascii="Times New Roman" w:hAnsi="Times New Roman" w:cs="Times New Roman"/>
          <w:sz w:val="24"/>
          <w:szCs w:val="24"/>
        </w:rPr>
        <w:t xml:space="preserve"> </w:t>
      </w:r>
      <w:r w:rsidRPr="00205378">
        <w:rPr>
          <w:rFonts w:ascii="Times New Roman" w:hAnsi="Times New Roman" w:cs="Times New Roman"/>
          <w:sz w:val="24"/>
          <w:szCs w:val="24"/>
        </w:rPr>
        <w:t>These are upper limit parameters assumed for the purpose of calculation of the total burden. The actual number of respondents in a data collection and number of queries per respondent will vary depending on the purpose of each individual generic collection request. The universe of respondents is described in section B.1 The total annualized burden hours of 54,000 is based on the following estimates. Please note, these estimates are for one year.</w:t>
      </w:r>
    </w:p>
    <w:p w:rsidR="00205378" w:rsidP="00205378" w:rsidRDefault="00205378" w14:paraId="7D71E8C7" w14:textId="0A19BF43">
      <w:pPr>
        <w:rPr>
          <w:rFonts w:ascii="Times New Roman" w:hAnsi="Times New Roman" w:cs="Times New Roman"/>
          <w:sz w:val="24"/>
          <w:szCs w:val="24"/>
        </w:rPr>
      </w:pPr>
    </w:p>
    <w:p w:rsidR="00F15713" w:rsidP="00F15713" w:rsidRDefault="00F15713" w14:paraId="5F051085" w14:textId="44E4D3C7">
      <w:pPr>
        <w:rPr>
          <w:rFonts w:ascii="Times New Roman" w:hAnsi="Times New Roman" w:cs="Times New Roman"/>
          <w:sz w:val="24"/>
          <w:szCs w:val="24"/>
        </w:rPr>
      </w:pPr>
      <w:r w:rsidRPr="003E0305">
        <w:rPr>
          <w:rFonts w:ascii="Times New Roman" w:hAnsi="Times New Roman" w:cs="Times New Roman"/>
          <w:sz w:val="24"/>
          <w:szCs w:val="24"/>
        </w:rPr>
        <w:lastRenderedPageBreak/>
        <w:t xml:space="preserve">An average hourly salary of approximately </w:t>
      </w:r>
      <w:r w:rsidRPr="00212A22">
        <w:rPr>
          <w:rFonts w:ascii="Times New Roman" w:hAnsi="Times New Roman" w:cs="Times New Roman"/>
          <w:sz w:val="24"/>
          <w:szCs w:val="24"/>
        </w:rPr>
        <w:t xml:space="preserve">$23.23 </w:t>
      </w:r>
      <w:r w:rsidRPr="003E0305">
        <w:rPr>
          <w:rFonts w:ascii="Times New Roman" w:hAnsi="Times New Roman" w:cs="Times New Roman"/>
          <w:sz w:val="24"/>
          <w:szCs w:val="24"/>
        </w:rPr>
        <w:t xml:space="preserve">is assumed for all respondents, based on </w:t>
      </w:r>
      <w:r w:rsidRPr="0016523D">
        <w:rPr>
          <w:rFonts w:ascii="Times New Roman" w:hAnsi="Times New Roman" w:cs="Times New Roman"/>
          <w:sz w:val="24"/>
          <w:szCs w:val="24"/>
        </w:rPr>
        <w:t>the Bureau of Labor Statistics’ National Occupational Employment and Wage Estimates.</w:t>
      </w:r>
      <w:r w:rsidRPr="0016523D">
        <w:rPr>
          <w:rStyle w:val="FootnoteReference"/>
          <w:rFonts w:ascii="Times New Roman" w:hAnsi="Times New Roman" w:cs="Times New Roman"/>
          <w:sz w:val="24"/>
          <w:szCs w:val="24"/>
        </w:rPr>
        <w:footnoteReference w:id="1"/>
      </w:r>
      <w:r w:rsidRPr="0016523D">
        <w:rPr>
          <w:rFonts w:ascii="Times New Roman" w:hAnsi="Times New Roman" w:cs="Times New Roman"/>
          <w:sz w:val="24"/>
          <w:szCs w:val="24"/>
        </w:rPr>
        <w:t xml:space="preserve"> Because of the scope of this generic clearance and the variety of the types of participants, the average salary was utilized rather</w:t>
      </w:r>
      <w:r w:rsidRPr="003E0305">
        <w:rPr>
          <w:rFonts w:ascii="Times New Roman" w:hAnsi="Times New Roman" w:cs="Times New Roman"/>
          <w:sz w:val="24"/>
          <w:szCs w:val="24"/>
        </w:rPr>
        <w:t xml:space="preserve"> than attempting to estimate salaries for groups of audiences. With a maximum annual respondent burden of 54,000 hours, the overall annual cost of respondents’ time for the proposed collection is estimated to be a </w:t>
      </w:r>
      <w:r w:rsidRPr="00212A22">
        <w:rPr>
          <w:rFonts w:ascii="Times New Roman" w:hAnsi="Times New Roman" w:cs="Times New Roman"/>
          <w:sz w:val="24"/>
          <w:szCs w:val="24"/>
        </w:rPr>
        <w:t xml:space="preserve">maximum $1,254,420 (54,000 hrs x $23.23). </w:t>
      </w:r>
    </w:p>
    <w:p w:rsidR="0092444D" w:rsidP="003E0305" w:rsidRDefault="0092444D" w14:paraId="287D6446" w14:textId="77777777">
      <w:pPr>
        <w:jc w:val="center"/>
        <w:rPr>
          <w:rFonts w:ascii="Times New Roman" w:hAnsi="Times New Roman" w:cs="Times New Roman"/>
          <w:sz w:val="24"/>
          <w:szCs w:val="24"/>
        </w:rPr>
      </w:pPr>
    </w:p>
    <w:p w:rsidR="00205378" w:rsidP="00DB0CFE" w:rsidRDefault="00205378" w14:paraId="15FC2211" w14:textId="0B63084A">
      <w:pPr>
        <w:rPr>
          <w:rFonts w:ascii="Times New Roman" w:hAnsi="Times New Roman" w:cs="Times New Roman"/>
          <w:sz w:val="24"/>
          <w:szCs w:val="24"/>
        </w:rPr>
      </w:pPr>
      <w:r w:rsidRPr="00205378">
        <w:rPr>
          <w:rFonts w:ascii="Times New Roman" w:hAnsi="Times New Roman" w:cs="Times New Roman"/>
          <w:sz w:val="24"/>
          <w:szCs w:val="24"/>
        </w:rPr>
        <w:t>Table A-12:  Estimated Annualized Burden Costs to Respondents</w:t>
      </w:r>
    </w:p>
    <w:p w:rsidRPr="00205378" w:rsidR="003E0305" w:rsidP="003E0305" w:rsidRDefault="003E0305" w14:paraId="04B39EC0" w14:textId="77777777">
      <w:pPr>
        <w:jc w:val="center"/>
        <w:rPr>
          <w:rFonts w:ascii="Times New Roman" w:hAnsi="Times New Roman" w:cs="Times New Roman"/>
          <w:sz w:val="24"/>
          <w:szCs w:val="24"/>
          <w:u w:val="single"/>
        </w:rPr>
      </w:pPr>
    </w:p>
    <w:tbl>
      <w:tblPr>
        <w:tblW w:w="9985"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27"/>
        <w:gridCol w:w="1449"/>
        <w:gridCol w:w="1466"/>
        <w:gridCol w:w="1397"/>
        <w:gridCol w:w="1187"/>
        <w:gridCol w:w="1009"/>
        <w:gridCol w:w="1350"/>
      </w:tblGrid>
      <w:tr w:rsidRPr="00205378" w:rsidR="006D422F" w:rsidTr="006D422F" w14:paraId="2AC71443" w14:textId="0A0C295F">
        <w:tc>
          <w:tcPr>
            <w:tcW w:w="2229" w:type="dxa"/>
          </w:tcPr>
          <w:p w:rsidRPr="00205378" w:rsidR="006D422F" w:rsidP="00205378" w:rsidRDefault="006D422F" w14:paraId="79DDE48B" w14:textId="77777777">
            <w:pPr>
              <w:rPr>
                <w:rFonts w:ascii="Times New Roman" w:hAnsi="Times New Roman" w:cs="Times New Roman"/>
                <w:sz w:val="24"/>
                <w:szCs w:val="24"/>
              </w:rPr>
            </w:pPr>
            <w:r w:rsidRPr="00205378">
              <w:rPr>
                <w:rFonts w:ascii="Times New Roman" w:hAnsi="Times New Roman" w:cs="Times New Roman"/>
                <w:sz w:val="24"/>
                <w:szCs w:val="24"/>
              </w:rPr>
              <w:t>Type of Respondent</w:t>
            </w:r>
          </w:p>
        </w:tc>
        <w:tc>
          <w:tcPr>
            <w:tcW w:w="1454" w:type="dxa"/>
          </w:tcPr>
          <w:p w:rsidRPr="00205378" w:rsidR="006D422F" w:rsidP="00205378" w:rsidRDefault="006D422F" w14:paraId="50959C8F" w14:textId="77777777">
            <w:pPr>
              <w:rPr>
                <w:rFonts w:ascii="Times New Roman" w:hAnsi="Times New Roman" w:cs="Times New Roman"/>
                <w:sz w:val="24"/>
                <w:szCs w:val="24"/>
              </w:rPr>
            </w:pPr>
            <w:r w:rsidRPr="00205378">
              <w:rPr>
                <w:rFonts w:ascii="Times New Roman" w:hAnsi="Times New Roman" w:cs="Times New Roman"/>
                <w:sz w:val="24"/>
                <w:szCs w:val="24"/>
              </w:rPr>
              <w:t>No. of Respondents</w:t>
            </w:r>
          </w:p>
        </w:tc>
        <w:tc>
          <w:tcPr>
            <w:tcW w:w="1574" w:type="dxa"/>
          </w:tcPr>
          <w:p w:rsidRPr="00205378" w:rsidR="006D422F" w:rsidP="00205378" w:rsidRDefault="006D422F" w14:paraId="16A401BA" w14:textId="77777777">
            <w:pPr>
              <w:rPr>
                <w:rFonts w:ascii="Times New Roman" w:hAnsi="Times New Roman" w:cs="Times New Roman"/>
                <w:sz w:val="24"/>
                <w:szCs w:val="24"/>
              </w:rPr>
            </w:pPr>
            <w:r w:rsidRPr="00346808">
              <w:rPr>
                <w:rFonts w:ascii="Times New Roman" w:hAnsi="Times New Roman" w:cs="Times New Roman"/>
                <w:sz w:val="24"/>
                <w:szCs w:val="24"/>
              </w:rPr>
              <w:t>No. of Data collections per Respondent Type</w:t>
            </w:r>
          </w:p>
        </w:tc>
        <w:tc>
          <w:tcPr>
            <w:tcW w:w="1441" w:type="dxa"/>
          </w:tcPr>
          <w:p w:rsidRPr="00205378" w:rsidR="006D422F" w:rsidP="00205378" w:rsidRDefault="006D422F" w14:paraId="2CE30600" w14:textId="77777777">
            <w:pPr>
              <w:rPr>
                <w:rFonts w:ascii="Times New Roman" w:hAnsi="Times New Roman" w:cs="Times New Roman"/>
                <w:sz w:val="24"/>
                <w:szCs w:val="24"/>
              </w:rPr>
            </w:pPr>
            <w:r w:rsidRPr="00205378">
              <w:rPr>
                <w:rFonts w:ascii="Times New Roman" w:hAnsi="Times New Roman" w:cs="Times New Roman"/>
                <w:sz w:val="24"/>
                <w:szCs w:val="24"/>
              </w:rPr>
              <w:t>Average Burden per Respondent (in Hours)</w:t>
            </w:r>
          </w:p>
        </w:tc>
        <w:tc>
          <w:tcPr>
            <w:tcW w:w="1347" w:type="dxa"/>
          </w:tcPr>
          <w:p w:rsidRPr="00205378" w:rsidR="006D422F" w:rsidP="00205378" w:rsidRDefault="006D422F" w14:paraId="1C6A0824" w14:textId="77777777">
            <w:pPr>
              <w:rPr>
                <w:rFonts w:ascii="Times New Roman" w:hAnsi="Times New Roman" w:cs="Times New Roman"/>
                <w:sz w:val="24"/>
                <w:szCs w:val="24"/>
              </w:rPr>
            </w:pPr>
            <w:r w:rsidRPr="00205378">
              <w:rPr>
                <w:rFonts w:ascii="Times New Roman" w:hAnsi="Times New Roman" w:cs="Times New Roman"/>
                <w:sz w:val="24"/>
                <w:szCs w:val="24"/>
              </w:rPr>
              <w:t>Total Burden Hours (annual)</w:t>
            </w:r>
          </w:p>
        </w:tc>
        <w:tc>
          <w:tcPr>
            <w:tcW w:w="1115" w:type="dxa"/>
          </w:tcPr>
          <w:p w:rsidRPr="00205378" w:rsidR="006D422F" w:rsidP="00205378" w:rsidRDefault="006D422F" w14:paraId="1057A61E" w14:textId="65290D9D">
            <w:pPr>
              <w:rPr>
                <w:rFonts w:ascii="Times New Roman" w:hAnsi="Times New Roman" w:cs="Times New Roman"/>
                <w:sz w:val="24"/>
                <w:szCs w:val="24"/>
              </w:rPr>
            </w:pPr>
            <w:r>
              <w:rPr>
                <w:rFonts w:ascii="Times New Roman" w:hAnsi="Times New Roman" w:cs="Times New Roman"/>
                <w:sz w:val="24"/>
                <w:szCs w:val="24"/>
              </w:rPr>
              <w:t>Hourly Wage Rate</w:t>
            </w:r>
          </w:p>
        </w:tc>
        <w:tc>
          <w:tcPr>
            <w:tcW w:w="825" w:type="dxa"/>
          </w:tcPr>
          <w:p w:rsidR="006D422F" w:rsidP="00205378" w:rsidRDefault="006D422F" w14:paraId="0F9BDFB5" w14:textId="16420453">
            <w:pPr>
              <w:rPr>
                <w:rFonts w:ascii="Times New Roman" w:hAnsi="Times New Roman" w:cs="Times New Roman"/>
                <w:sz w:val="24"/>
                <w:szCs w:val="24"/>
              </w:rPr>
            </w:pPr>
            <w:r>
              <w:rPr>
                <w:rFonts w:ascii="Times New Roman" w:hAnsi="Times New Roman" w:cs="Times New Roman"/>
                <w:sz w:val="24"/>
                <w:szCs w:val="24"/>
              </w:rPr>
              <w:t>Total Respondent Costs</w:t>
            </w:r>
          </w:p>
        </w:tc>
      </w:tr>
      <w:tr w:rsidRPr="00205378" w:rsidR="006D422F" w:rsidTr="006D422F" w14:paraId="6DCCDEBC" w14:textId="69E1CD16">
        <w:tc>
          <w:tcPr>
            <w:tcW w:w="2229" w:type="dxa"/>
          </w:tcPr>
          <w:p w:rsidRPr="00205378" w:rsidR="006D422F" w:rsidP="00205378" w:rsidRDefault="006D422F" w14:paraId="3261173F" w14:textId="77777777">
            <w:pPr>
              <w:rPr>
                <w:rFonts w:ascii="Times New Roman" w:hAnsi="Times New Roman" w:cs="Times New Roman"/>
                <w:sz w:val="24"/>
                <w:szCs w:val="24"/>
              </w:rPr>
            </w:pPr>
            <w:r w:rsidRPr="00205378">
              <w:rPr>
                <w:rFonts w:ascii="Times New Roman" w:hAnsi="Times New Roman" w:cs="Times New Roman"/>
                <w:sz w:val="24"/>
                <w:szCs w:val="24"/>
              </w:rPr>
              <w:t>State, Territorial, or Tribal government staff or delegate</w:t>
            </w:r>
          </w:p>
        </w:tc>
        <w:tc>
          <w:tcPr>
            <w:tcW w:w="1454" w:type="dxa"/>
          </w:tcPr>
          <w:p w:rsidRPr="00205378" w:rsidR="006D422F" w:rsidP="00205378" w:rsidRDefault="006D422F" w14:paraId="51C59B9C" w14:textId="77777777">
            <w:pPr>
              <w:rPr>
                <w:rFonts w:ascii="Times New Roman" w:hAnsi="Times New Roman" w:cs="Times New Roman"/>
                <w:sz w:val="24"/>
                <w:szCs w:val="24"/>
              </w:rPr>
            </w:pPr>
            <w:r w:rsidRPr="00205378">
              <w:rPr>
                <w:rFonts w:ascii="Times New Roman" w:hAnsi="Times New Roman" w:cs="Times New Roman"/>
                <w:sz w:val="24"/>
                <w:szCs w:val="24"/>
              </w:rPr>
              <w:t>800</w:t>
            </w:r>
          </w:p>
        </w:tc>
        <w:tc>
          <w:tcPr>
            <w:tcW w:w="1574" w:type="dxa"/>
          </w:tcPr>
          <w:p w:rsidRPr="00205378" w:rsidR="006D422F" w:rsidP="00205378" w:rsidRDefault="006D422F" w14:paraId="24EF93B4" w14:textId="77777777">
            <w:pPr>
              <w:rPr>
                <w:rFonts w:ascii="Times New Roman" w:hAnsi="Times New Roman" w:cs="Times New Roman"/>
                <w:sz w:val="24"/>
                <w:szCs w:val="24"/>
              </w:rPr>
            </w:pPr>
            <w:r w:rsidRPr="00205378">
              <w:rPr>
                <w:rFonts w:ascii="Times New Roman" w:hAnsi="Times New Roman" w:cs="Times New Roman"/>
                <w:sz w:val="24"/>
                <w:szCs w:val="24"/>
              </w:rPr>
              <w:t>30</w:t>
            </w:r>
          </w:p>
        </w:tc>
        <w:tc>
          <w:tcPr>
            <w:tcW w:w="1441" w:type="dxa"/>
          </w:tcPr>
          <w:p w:rsidRPr="00205378" w:rsidR="006D422F" w:rsidP="00205378" w:rsidRDefault="006D422F" w14:paraId="160226AD" w14:textId="77777777">
            <w:pPr>
              <w:rPr>
                <w:rFonts w:ascii="Times New Roman" w:hAnsi="Times New Roman" w:cs="Times New Roman"/>
                <w:sz w:val="24"/>
                <w:szCs w:val="24"/>
              </w:rPr>
            </w:pPr>
            <w:r w:rsidRPr="00205378">
              <w:rPr>
                <w:rFonts w:ascii="Times New Roman" w:hAnsi="Times New Roman" w:cs="Times New Roman"/>
                <w:sz w:val="24"/>
                <w:szCs w:val="24"/>
              </w:rPr>
              <w:t>1</w:t>
            </w:r>
          </w:p>
        </w:tc>
        <w:tc>
          <w:tcPr>
            <w:tcW w:w="1347" w:type="dxa"/>
          </w:tcPr>
          <w:p w:rsidRPr="00205378" w:rsidR="006D422F" w:rsidP="00205378" w:rsidRDefault="006D422F" w14:paraId="6B927CDB" w14:textId="77777777">
            <w:pPr>
              <w:rPr>
                <w:rFonts w:ascii="Times New Roman" w:hAnsi="Times New Roman" w:cs="Times New Roman"/>
                <w:sz w:val="24"/>
                <w:szCs w:val="24"/>
              </w:rPr>
            </w:pPr>
            <w:r w:rsidRPr="00205378">
              <w:rPr>
                <w:rFonts w:ascii="Times New Roman" w:hAnsi="Times New Roman" w:cs="Times New Roman"/>
                <w:sz w:val="24"/>
                <w:szCs w:val="24"/>
              </w:rPr>
              <w:t>24,000</w:t>
            </w:r>
          </w:p>
        </w:tc>
        <w:tc>
          <w:tcPr>
            <w:tcW w:w="1115" w:type="dxa"/>
          </w:tcPr>
          <w:p w:rsidRPr="00205378" w:rsidR="006D422F" w:rsidP="00205378" w:rsidRDefault="006D422F" w14:paraId="614B3E60" w14:textId="002CEB55">
            <w:pPr>
              <w:rPr>
                <w:rFonts w:ascii="Times New Roman" w:hAnsi="Times New Roman" w:cs="Times New Roman"/>
                <w:sz w:val="24"/>
                <w:szCs w:val="24"/>
              </w:rPr>
            </w:pPr>
            <w:r w:rsidRPr="00212A22">
              <w:rPr>
                <w:rFonts w:ascii="Times New Roman" w:hAnsi="Times New Roman" w:cs="Times New Roman"/>
                <w:sz w:val="24"/>
                <w:szCs w:val="24"/>
              </w:rPr>
              <w:t>$23.23</w:t>
            </w:r>
          </w:p>
        </w:tc>
        <w:tc>
          <w:tcPr>
            <w:tcW w:w="825" w:type="dxa"/>
          </w:tcPr>
          <w:p w:rsidRPr="00205378" w:rsidR="006D422F" w:rsidP="00205378" w:rsidRDefault="006D422F" w14:paraId="1685B6E3" w14:textId="4FDD4F18">
            <w:pPr>
              <w:rPr>
                <w:rFonts w:ascii="Times New Roman" w:hAnsi="Times New Roman" w:cs="Times New Roman"/>
                <w:sz w:val="24"/>
                <w:szCs w:val="24"/>
              </w:rPr>
            </w:pPr>
            <w:r>
              <w:rPr>
                <w:rFonts w:ascii="Times New Roman" w:hAnsi="Times New Roman" w:cs="Times New Roman"/>
                <w:sz w:val="24"/>
                <w:szCs w:val="24"/>
              </w:rPr>
              <w:t>557, 520</w:t>
            </w:r>
          </w:p>
        </w:tc>
      </w:tr>
      <w:tr w:rsidRPr="00205378" w:rsidR="006D422F" w:rsidTr="006D422F" w14:paraId="3A00B9AB" w14:textId="22C5D98A">
        <w:tc>
          <w:tcPr>
            <w:tcW w:w="2229" w:type="dxa"/>
          </w:tcPr>
          <w:p w:rsidRPr="00205378" w:rsidR="006D422F" w:rsidP="00205378" w:rsidRDefault="006D422F" w14:paraId="6789B1D4" w14:textId="77777777">
            <w:pPr>
              <w:rPr>
                <w:rFonts w:ascii="Times New Roman" w:hAnsi="Times New Roman" w:cs="Times New Roman"/>
                <w:sz w:val="24"/>
                <w:szCs w:val="24"/>
              </w:rPr>
            </w:pPr>
            <w:r w:rsidRPr="00205378">
              <w:rPr>
                <w:rFonts w:ascii="Times New Roman" w:hAnsi="Times New Roman" w:cs="Times New Roman"/>
                <w:sz w:val="24"/>
                <w:szCs w:val="24"/>
              </w:rPr>
              <w:t>Local/County/City government staff or delegate</w:t>
            </w:r>
          </w:p>
        </w:tc>
        <w:tc>
          <w:tcPr>
            <w:tcW w:w="1454" w:type="dxa"/>
          </w:tcPr>
          <w:p w:rsidRPr="00205378" w:rsidR="006D422F" w:rsidP="00205378" w:rsidRDefault="006D422F" w14:paraId="287802A2" w14:textId="77777777">
            <w:pPr>
              <w:rPr>
                <w:rFonts w:ascii="Times New Roman" w:hAnsi="Times New Roman" w:cs="Times New Roman"/>
                <w:sz w:val="24"/>
                <w:szCs w:val="24"/>
              </w:rPr>
            </w:pPr>
            <w:r w:rsidRPr="00205378">
              <w:rPr>
                <w:rFonts w:ascii="Times New Roman" w:hAnsi="Times New Roman" w:cs="Times New Roman"/>
                <w:sz w:val="24"/>
                <w:szCs w:val="24"/>
              </w:rPr>
              <w:t>3,000</w:t>
            </w:r>
          </w:p>
        </w:tc>
        <w:tc>
          <w:tcPr>
            <w:tcW w:w="1574" w:type="dxa"/>
          </w:tcPr>
          <w:p w:rsidRPr="00205378" w:rsidR="006D422F" w:rsidP="00205378" w:rsidRDefault="006D422F" w14:paraId="1F09DAEB" w14:textId="77777777">
            <w:pPr>
              <w:rPr>
                <w:rFonts w:ascii="Times New Roman" w:hAnsi="Times New Roman" w:cs="Times New Roman"/>
                <w:sz w:val="24"/>
                <w:szCs w:val="24"/>
              </w:rPr>
            </w:pPr>
            <w:r w:rsidRPr="00205378">
              <w:rPr>
                <w:rFonts w:ascii="Times New Roman" w:hAnsi="Times New Roman" w:cs="Times New Roman"/>
                <w:sz w:val="24"/>
                <w:szCs w:val="24"/>
              </w:rPr>
              <w:t>10</w:t>
            </w:r>
          </w:p>
        </w:tc>
        <w:tc>
          <w:tcPr>
            <w:tcW w:w="1441" w:type="dxa"/>
          </w:tcPr>
          <w:p w:rsidRPr="00205378" w:rsidR="006D422F" w:rsidP="00205378" w:rsidRDefault="006D422F" w14:paraId="58202995" w14:textId="77777777">
            <w:pPr>
              <w:rPr>
                <w:rFonts w:ascii="Times New Roman" w:hAnsi="Times New Roman" w:cs="Times New Roman"/>
                <w:sz w:val="24"/>
                <w:szCs w:val="24"/>
              </w:rPr>
            </w:pPr>
            <w:r w:rsidRPr="00205378">
              <w:rPr>
                <w:rFonts w:ascii="Times New Roman" w:hAnsi="Times New Roman" w:cs="Times New Roman"/>
                <w:sz w:val="24"/>
                <w:szCs w:val="24"/>
              </w:rPr>
              <w:t>1</w:t>
            </w:r>
          </w:p>
        </w:tc>
        <w:tc>
          <w:tcPr>
            <w:tcW w:w="1347" w:type="dxa"/>
          </w:tcPr>
          <w:p w:rsidRPr="00205378" w:rsidR="006D422F" w:rsidP="00205378" w:rsidRDefault="006D422F" w14:paraId="64E82C84" w14:textId="77777777">
            <w:pPr>
              <w:rPr>
                <w:rFonts w:ascii="Times New Roman" w:hAnsi="Times New Roman" w:cs="Times New Roman"/>
                <w:sz w:val="24"/>
                <w:szCs w:val="24"/>
              </w:rPr>
            </w:pPr>
            <w:r w:rsidRPr="00205378">
              <w:rPr>
                <w:rFonts w:ascii="Times New Roman" w:hAnsi="Times New Roman" w:cs="Times New Roman"/>
                <w:sz w:val="24"/>
                <w:szCs w:val="24"/>
              </w:rPr>
              <w:t>30,000</w:t>
            </w:r>
          </w:p>
        </w:tc>
        <w:tc>
          <w:tcPr>
            <w:tcW w:w="1115" w:type="dxa"/>
          </w:tcPr>
          <w:p w:rsidRPr="00205378" w:rsidR="006D422F" w:rsidP="00205378" w:rsidRDefault="006D422F" w14:paraId="32AEEE11" w14:textId="3ED6DD05">
            <w:pPr>
              <w:rPr>
                <w:rFonts w:ascii="Times New Roman" w:hAnsi="Times New Roman" w:cs="Times New Roman"/>
                <w:sz w:val="24"/>
                <w:szCs w:val="24"/>
              </w:rPr>
            </w:pPr>
            <w:r w:rsidRPr="00212A22">
              <w:rPr>
                <w:rFonts w:ascii="Times New Roman" w:hAnsi="Times New Roman" w:cs="Times New Roman"/>
                <w:sz w:val="24"/>
                <w:szCs w:val="24"/>
              </w:rPr>
              <w:t>$23.23</w:t>
            </w:r>
          </w:p>
        </w:tc>
        <w:tc>
          <w:tcPr>
            <w:tcW w:w="825" w:type="dxa"/>
          </w:tcPr>
          <w:p w:rsidRPr="00205378" w:rsidR="006D422F" w:rsidP="00205378" w:rsidRDefault="006D422F" w14:paraId="1B374A04" w14:textId="530571FE">
            <w:pPr>
              <w:rPr>
                <w:rFonts w:ascii="Times New Roman" w:hAnsi="Times New Roman" w:cs="Times New Roman"/>
                <w:sz w:val="24"/>
                <w:szCs w:val="24"/>
              </w:rPr>
            </w:pPr>
            <w:r>
              <w:rPr>
                <w:rFonts w:ascii="Times New Roman" w:hAnsi="Times New Roman" w:cs="Times New Roman"/>
                <w:sz w:val="24"/>
                <w:szCs w:val="24"/>
              </w:rPr>
              <w:t>696,900</w:t>
            </w:r>
          </w:p>
        </w:tc>
      </w:tr>
      <w:tr w:rsidRPr="00205378" w:rsidR="006D422F" w:rsidTr="006D422F" w14:paraId="6EB59A87" w14:textId="331F4ED9">
        <w:tc>
          <w:tcPr>
            <w:tcW w:w="2229" w:type="dxa"/>
          </w:tcPr>
          <w:p w:rsidRPr="00205378" w:rsidR="006D422F" w:rsidP="00205378" w:rsidRDefault="006D422F" w14:paraId="48DF964F" w14:textId="77777777">
            <w:pPr>
              <w:rPr>
                <w:rFonts w:ascii="Times New Roman" w:hAnsi="Times New Roman" w:cs="Times New Roman"/>
                <w:sz w:val="24"/>
                <w:szCs w:val="24"/>
              </w:rPr>
            </w:pPr>
            <w:r w:rsidRPr="00205378">
              <w:rPr>
                <w:rFonts w:ascii="Times New Roman" w:hAnsi="Times New Roman" w:cs="Times New Roman"/>
                <w:sz w:val="24"/>
                <w:szCs w:val="24"/>
              </w:rPr>
              <w:t>Total</w:t>
            </w:r>
          </w:p>
        </w:tc>
        <w:tc>
          <w:tcPr>
            <w:tcW w:w="1454" w:type="dxa"/>
          </w:tcPr>
          <w:p w:rsidRPr="00205378" w:rsidR="006D422F" w:rsidP="00205378" w:rsidRDefault="006D422F" w14:paraId="44962F96" w14:textId="77777777">
            <w:pPr>
              <w:rPr>
                <w:rFonts w:ascii="Times New Roman" w:hAnsi="Times New Roman" w:cs="Times New Roman"/>
                <w:sz w:val="24"/>
                <w:szCs w:val="24"/>
              </w:rPr>
            </w:pPr>
          </w:p>
        </w:tc>
        <w:tc>
          <w:tcPr>
            <w:tcW w:w="1574" w:type="dxa"/>
          </w:tcPr>
          <w:p w:rsidRPr="00205378" w:rsidR="006D422F" w:rsidP="00205378" w:rsidRDefault="006D422F" w14:paraId="50AC73FE" w14:textId="77777777">
            <w:pPr>
              <w:rPr>
                <w:rFonts w:ascii="Times New Roman" w:hAnsi="Times New Roman" w:cs="Times New Roman"/>
                <w:sz w:val="24"/>
                <w:szCs w:val="24"/>
              </w:rPr>
            </w:pPr>
            <w:r w:rsidRPr="00205378">
              <w:rPr>
                <w:rFonts w:ascii="Times New Roman" w:hAnsi="Times New Roman" w:cs="Times New Roman"/>
                <w:sz w:val="24"/>
                <w:szCs w:val="24"/>
              </w:rPr>
              <w:t>40</w:t>
            </w:r>
          </w:p>
        </w:tc>
        <w:tc>
          <w:tcPr>
            <w:tcW w:w="1441" w:type="dxa"/>
          </w:tcPr>
          <w:p w:rsidRPr="00205378" w:rsidR="006D422F" w:rsidP="00205378" w:rsidRDefault="006D422F" w14:paraId="02EAC3B3" w14:textId="77777777">
            <w:pPr>
              <w:rPr>
                <w:rFonts w:ascii="Times New Roman" w:hAnsi="Times New Roman" w:cs="Times New Roman"/>
                <w:sz w:val="24"/>
                <w:szCs w:val="24"/>
              </w:rPr>
            </w:pPr>
          </w:p>
        </w:tc>
        <w:tc>
          <w:tcPr>
            <w:tcW w:w="1347" w:type="dxa"/>
          </w:tcPr>
          <w:p w:rsidRPr="00205378" w:rsidR="006D422F" w:rsidP="00205378" w:rsidRDefault="006D422F" w14:paraId="03625723" w14:textId="77777777">
            <w:pPr>
              <w:rPr>
                <w:rFonts w:ascii="Times New Roman" w:hAnsi="Times New Roman" w:cs="Times New Roman"/>
                <w:sz w:val="24"/>
                <w:szCs w:val="24"/>
              </w:rPr>
            </w:pPr>
            <w:r w:rsidRPr="00205378">
              <w:rPr>
                <w:rFonts w:ascii="Times New Roman" w:hAnsi="Times New Roman" w:cs="Times New Roman"/>
                <w:sz w:val="24"/>
                <w:szCs w:val="24"/>
              </w:rPr>
              <w:t>54,000</w:t>
            </w:r>
          </w:p>
        </w:tc>
        <w:tc>
          <w:tcPr>
            <w:tcW w:w="1115" w:type="dxa"/>
          </w:tcPr>
          <w:p w:rsidRPr="00205378" w:rsidR="006D422F" w:rsidP="00205378" w:rsidRDefault="006D422F" w14:paraId="399970FE" w14:textId="77777777">
            <w:pPr>
              <w:rPr>
                <w:rFonts w:ascii="Times New Roman" w:hAnsi="Times New Roman" w:cs="Times New Roman"/>
                <w:sz w:val="24"/>
                <w:szCs w:val="24"/>
              </w:rPr>
            </w:pPr>
          </w:p>
        </w:tc>
        <w:tc>
          <w:tcPr>
            <w:tcW w:w="825" w:type="dxa"/>
          </w:tcPr>
          <w:p w:rsidRPr="00205378" w:rsidR="006D422F" w:rsidP="00205378" w:rsidRDefault="006D422F" w14:paraId="5320BB0A" w14:textId="0C563888">
            <w:pPr>
              <w:rPr>
                <w:rFonts w:ascii="Times New Roman" w:hAnsi="Times New Roman" w:cs="Times New Roman"/>
                <w:sz w:val="24"/>
                <w:szCs w:val="24"/>
              </w:rPr>
            </w:pPr>
            <w:r>
              <w:rPr>
                <w:rFonts w:ascii="Times New Roman" w:hAnsi="Times New Roman" w:cs="Times New Roman"/>
                <w:sz w:val="24"/>
                <w:szCs w:val="24"/>
              </w:rPr>
              <w:t>1,254,420</w:t>
            </w:r>
          </w:p>
        </w:tc>
      </w:tr>
    </w:tbl>
    <w:p w:rsidRPr="00205378" w:rsidR="00205378" w:rsidP="00205378" w:rsidRDefault="00205378" w14:paraId="47F62272" w14:textId="77777777">
      <w:pPr>
        <w:rPr>
          <w:rFonts w:ascii="Times New Roman" w:hAnsi="Times New Roman" w:cs="Times New Roman"/>
          <w:sz w:val="24"/>
          <w:szCs w:val="24"/>
          <w:u w:val="single"/>
        </w:rPr>
      </w:pPr>
    </w:p>
    <w:p w:rsidR="006D422F" w:rsidP="00666D39" w:rsidRDefault="006D422F" w14:paraId="096CB799" w14:textId="77777777">
      <w:pPr>
        <w:rPr>
          <w:rFonts w:ascii="Times New Roman" w:hAnsi="Times New Roman" w:cs="Times New Roman"/>
          <w:sz w:val="24"/>
          <w:szCs w:val="24"/>
        </w:rPr>
      </w:pPr>
    </w:p>
    <w:p w:rsidRPr="003E0305" w:rsidR="003E0305" w:rsidP="003E0305" w:rsidRDefault="003E0305" w14:paraId="7D2404C3" w14:textId="77777777">
      <w:pPr>
        <w:numPr>
          <w:ilvl w:val="0"/>
          <w:numId w:val="4"/>
        </w:numPr>
        <w:rPr>
          <w:rFonts w:ascii="Times New Roman" w:hAnsi="Times New Roman" w:cs="Times New Roman"/>
          <w:b/>
          <w:sz w:val="24"/>
          <w:szCs w:val="24"/>
        </w:rPr>
      </w:pPr>
      <w:r w:rsidRPr="003E0305">
        <w:rPr>
          <w:rFonts w:ascii="Times New Roman" w:hAnsi="Times New Roman" w:cs="Times New Roman"/>
          <w:b/>
          <w:sz w:val="24"/>
          <w:szCs w:val="24"/>
        </w:rPr>
        <w:t>Estimate of  Other Total Annual Cost Burden to Respondents or Record Keepers</w:t>
      </w:r>
    </w:p>
    <w:p w:rsidRPr="003E0305" w:rsidR="003E0305" w:rsidP="006D422F" w:rsidRDefault="006D422F" w14:paraId="12A60A48" w14:textId="1681018A">
      <w:pPr>
        <w:rPr>
          <w:rFonts w:ascii="Times New Roman" w:hAnsi="Times New Roman" w:cs="Times New Roman"/>
          <w:sz w:val="24"/>
          <w:szCs w:val="24"/>
        </w:rPr>
      </w:pPr>
      <w:r w:rsidRPr="006D422F">
        <w:rPr>
          <w:rFonts w:ascii="Times New Roman" w:hAnsi="Times New Roman" w:cs="Times New Roman"/>
          <w:sz w:val="24"/>
          <w:szCs w:val="24"/>
        </w:rPr>
        <w:t>There will be no direct costs to the respondents other than their time to participate in each information collection.</w:t>
      </w:r>
    </w:p>
    <w:p w:rsidR="007A7ABD" w:rsidP="00666D39" w:rsidRDefault="007A7ABD" w14:paraId="50CDB1CF" w14:textId="77777777">
      <w:pPr>
        <w:rPr>
          <w:rFonts w:ascii="Times New Roman" w:hAnsi="Times New Roman" w:cs="Times New Roman"/>
          <w:sz w:val="24"/>
          <w:szCs w:val="24"/>
        </w:rPr>
      </w:pPr>
    </w:p>
    <w:p w:rsidRPr="003E0305" w:rsidR="003E0305" w:rsidP="003E0305" w:rsidRDefault="003E0305" w14:paraId="7E2B3AA5" w14:textId="77777777">
      <w:pPr>
        <w:numPr>
          <w:ilvl w:val="0"/>
          <w:numId w:val="4"/>
        </w:numPr>
        <w:rPr>
          <w:rFonts w:ascii="Times New Roman" w:hAnsi="Times New Roman" w:cs="Times New Roman"/>
          <w:b/>
          <w:sz w:val="24"/>
          <w:szCs w:val="24"/>
        </w:rPr>
      </w:pPr>
      <w:r w:rsidRPr="003E0305">
        <w:rPr>
          <w:rFonts w:ascii="Times New Roman" w:hAnsi="Times New Roman" w:cs="Times New Roman"/>
          <w:b/>
          <w:sz w:val="24"/>
          <w:szCs w:val="24"/>
        </w:rPr>
        <w:t>Annualized Cost to the</w:t>
      </w:r>
      <w:r w:rsidRPr="00487248">
        <w:rPr>
          <w:rFonts w:ascii="Times New Roman" w:hAnsi="Times New Roman" w:cs="Times New Roman"/>
          <w:b/>
          <w:sz w:val="24"/>
          <w:szCs w:val="24"/>
        </w:rPr>
        <w:t xml:space="preserve"> </w:t>
      </w:r>
      <w:r w:rsidRPr="003E0305">
        <w:rPr>
          <w:rFonts w:ascii="Times New Roman" w:hAnsi="Times New Roman" w:cs="Times New Roman"/>
          <w:b/>
          <w:sz w:val="24"/>
          <w:szCs w:val="24"/>
        </w:rPr>
        <w:t>Government</w:t>
      </w:r>
    </w:p>
    <w:p w:rsidR="006D64E2" w:rsidP="008549C4" w:rsidRDefault="003E0305" w14:paraId="0704B1E1" w14:textId="44A810C8">
      <w:pPr>
        <w:rPr>
          <w:rFonts w:ascii="Times New Roman" w:hAnsi="Times New Roman" w:cs="Times New Roman"/>
          <w:sz w:val="24"/>
          <w:szCs w:val="24"/>
        </w:rPr>
      </w:pPr>
      <w:r w:rsidRPr="003E0305">
        <w:rPr>
          <w:rFonts w:ascii="Times New Roman" w:hAnsi="Times New Roman" w:cs="Times New Roman"/>
          <w:sz w:val="24"/>
          <w:szCs w:val="24"/>
        </w:rPr>
        <w:t xml:space="preserve">There are no equipment or overhead costs. The only cost to the federal government </w:t>
      </w:r>
      <w:r w:rsidR="00487248">
        <w:rPr>
          <w:rFonts w:ascii="Times New Roman" w:hAnsi="Times New Roman" w:cs="Times New Roman"/>
          <w:sz w:val="24"/>
          <w:szCs w:val="24"/>
        </w:rPr>
        <w:t>is</w:t>
      </w:r>
      <w:r w:rsidRPr="003E0305">
        <w:rPr>
          <w:rFonts w:ascii="Times New Roman" w:hAnsi="Times New Roman" w:cs="Times New Roman"/>
          <w:sz w:val="24"/>
          <w:szCs w:val="24"/>
        </w:rPr>
        <w:t xml:space="preserve"> the salary of CDC staff </w:t>
      </w:r>
      <w:r w:rsidR="00DB0CFE">
        <w:rPr>
          <w:rFonts w:ascii="Times New Roman" w:hAnsi="Times New Roman" w:cs="Times New Roman"/>
          <w:sz w:val="24"/>
          <w:szCs w:val="24"/>
        </w:rPr>
        <w:t xml:space="preserve">(or contractors) </w:t>
      </w:r>
      <w:r w:rsidRPr="003E0305">
        <w:rPr>
          <w:rFonts w:ascii="Times New Roman" w:hAnsi="Times New Roman" w:cs="Times New Roman"/>
          <w:sz w:val="24"/>
          <w:szCs w:val="24"/>
        </w:rPr>
        <w:t xml:space="preserve">supporting the data collection activities and associated tasks. GenICs will be prepared by contractors or CDC staff (FTE). An FTE manager will review all data collections. Usability teams will vary across CDC teams but typically an FTE and contractor will work together on data collection preparations, conducting the data collections, and analyzing data. Additionally, a senior level FTE will typically review and approve the activities. The amount of time staff and contractors spend on data collections will vary depending on the number of participants for each data collection, the number of questions. </w:t>
      </w:r>
    </w:p>
    <w:p w:rsidR="006D64E2" w:rsidP="008549C4" w:rsidRDefault="006D64E2" w14:paraId="69CDA984" w14:textId="77777777">
      <w:pPr>
        <w:rPr>
          <w:rFonts w:ascii="Times New Roman" w:hAnsi="Times New Roman" w:cs="Times New Roman"/>
          <w:sz w:val="24"/>
          <w:szCs w:val="24"/>
        </w:rPr>
      </w:pPr>
    </w:p>
    <w:p w:rsidR="003E0305" w:rsidP="008549C4" w:rsidRDefault="003E0305" w14:paraId="5B75D416" w14:textId="7E989561">
      <w:pPr>
        <w:rPr>
          <w:rFonts w:ascii="Times New Roman" w:hAnsi="Times New Roman" w:cs="Times New Roman"/>
          <w:sz w:val="24"/>
          <w:szCs w:val="24"/>
        </w:rPr>
      </w:pPr>
      <w:r w:rsidRPr="003E0305">
        <w:rPr>
          <w:rFonts w:ascii="Times New Roman" w:hAnsi="Times New Roman" w:cs="Times New Roman"/>
          <w:sz w:val="24"/>
          <w:szCs w:val="24"/>
        </w:rPr>
        <w:t xml:space="preserve">A maximum number of 40 data collections a year was assumed for estimation purposes (35 web-based and 5 in-person). These are higher </w:t>
      </w:r>
      <w:r w:rsidRPr="00346808">
        <w:rPr>
          <w:rFonts w:ascii="Times New Roman" w:hAnsi="Times New Roman" w:cs="Times New Roman"/>
          <w:sz w:val="24"/>
          <w:szCs w:val="24"/>
        </w:rPr>
        <w:t xml:space="preserve">end estimates based on the number of requests and cleared GenIC’s through </w:t>
      </w:r>
      <w:r w:rsidRPr="00C17E6E" w:rsidR="00487248">
        <w:rPr>
          <w:rFonts w:ascii="Times New Roman" w:hAnsi="Times New Roman" w:cs="Times New Roman"/>
          <w:sz w:val="24"/>
          <w:szCs w:val="24"/>
        </w:rPr>
        <w:t>this</w:t>
      </w:r>
      <w:r w:rsidRPr="00C17E6E">
        <w:rPr>
          <w:rFonts w:ascii="Times New Roman" w:hAnsi="Times New Roman" w:cs="Times New Roman"/>
          <w:sz w:val="24"/>
          <w:szCs w:val="24"/>
        </w:rPr>
        <w:t xml:space="preserve"> mechanism, as well as the number of inquiries that are received. It is assumed that the cost of in-person data collections will be 3 times higher than web-based.  The estimated cost to the federal government is $</w:t>
      </w:r>
      <w:r w:rsidRPr="00DB0CFE" w:rsidR="006D64E2">
        <w:rPr>
          <w:rFonts w:ascii="Times New Roman" w:hAnsi="Times New Roman" w:cs="Times New Roman"/>
          <w:sz w:val="24"/>
          <w:szCs w:val="24"/>
        </w:rPr>
        <w:t>92,950</w:t>
      </w:r>
      <w:r w:rsidRPr="00346808">
        <w:rPr>
          <w:rFonts w:ascii="Times New Roman" w:hAnsi="Times New Roman" w:cs="Times New Roman"/>
          <w:sz w:val="24"/>
          <w:szCs w:val="24"/>
        </w:rPr>
        <w:t>.  Table A-14 describes how this cost estimate was calculated.</w:t>
      </w:r>
    </w:p>
    <w:p w:rsidR="0092444D" w:rsidP="008549C4" w:rsidRDefault="0092444D" w14:paraId="46BAE42B" w14:textId="77777777">
      <w:pPr>
        <w:rPr>
          <w:rFonts w:ascii="Times New Roman" w:hAnsi="Times New Roman" w:cs="Times New Roman"/>
          <w:sz w:val="24"/>
          <w:szCs w:val="24"/>
        </w:rPr>
      </w:pPr>
    </w:p>
    <w:p w:rsidR="0092444D" w:rsidP="008549C4" w:rsidRDefault="0092444D" w14:paraId="0AD02203" w14:textId="77777777">
      <w:pPr>
        <w:rPr>
          <w:rFonts w:ascii="Times New Roman" w:hAnsi="Times New Roman" w:cs="Times New Roman"/>
          <w:sz w:val="24"/>
          <w:szCs w:val="24"/>
        </w:rPr>
      </w:pPr>
    </w:p>
    <w:p w:rsidRPr="003E0305" w:rsidR="0092444D" w:rsidP="008549C4" w:rsidRDefault="0092444D" w14:paraId="6DB58A9A" w14:textId="77777777">
      <w:pPr>
        <w:rPr>
          <w:rFonts w:ascii="Times New Roman" w:hAnsi="Times New Roman" w:cs="Times New Roman"/>
          <w:sz w:val="24"/>
          <w:szCs w:val="24"/>
        </w:rPr>
      </w:pPr>
    </w:p>
    <w:tbl>
      <w:tblPr>
        <w:tblpPr w:leftFromText="180" w:rightFromText="180" w:vertAnchor="text" w:horzAnchor="margin" w:tblpX="198" w:tblpY="41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10"/>
        <w:gridCol w:w="1800"/>
        <w:gridCol w:w="1620"/>
        <w:gridCol w:w="1728"/>
      </w:tblGrid>
      <w:tr w:rsidRPr="003E0305" w:rsidR="003E0305" w:rsidTr="008549C4" w14:paraId="7155BFB4" w14:textId="77777777">
        <w:tc>
          <w:tcPr>
            <w:tcW w:w="9558" w:type="dxa"/>
            <w:gridSpan w:val="4"/>
            <w:tcBorders>
              <w:top w:val="nil"/>
              <w:left w:val="nil"/>
              <w:bottom w:val="single" w:color="auto" w:sz="4" w:space="0"/>
              <w:right w:val="nil"/>
            </w:tcBorders>
          </w:tcPr>
          <w:p w:rsidR="0092444D" w:rsidP="008549C4" w:rsidRDefault="0092444D" w14:paraId="6D7CA293" w14:textId="77777777">
            <w:pPr>
              <w:jc w:val="center"/>
              <w:rPr>
                <w:rFonts w:ascii="Times New Roman" w:hAnsi="Times New Roman" w:cs="Times New Roman"/>
                <w:sz w:val="24"/>
                <w:szCs w:val="24"/>
              </w:rPr>
            </w:pPr>
          </w:p>
          <w:p w:rsidR="003E0305" w:rsidP="00DB0CFE" w:rsidRDefault="003E0305" w14:paraId="52562B7B" w14:textId="77777777">
            <w:pPr>
              <w:rPr>
                <w:rFonts w:ascii="Times New Roman" w:hAnsi="Times New Roman" w:cs="Times New Roman"/>
                <w:sz w:val="24"/>
                <w:szCs w:val="24"/>
              </w:rPr>
            </w:pPr>
            <w:r w:rsidRPr="003E0305">
              <w:rPr>
                <w:rFonts w:ascii="Times New Roman" w:hAnsi="Times New Roman" w:cs="Times New Roman"/>
                <w:sz w:val="24"/>
                <w:szCs w:val="24"/>
              </w:rPr>
              <w:t>Table A-14: Estimated Annualized Cost to the Federal Government</w:t>
            </w:r>
          </w:p>
          <w:p w:rsidRPr="003E0305" w:rsidR="003E0305" w:rsidP="008549C4" w:rsidRDefault="003E0305" w14:paraId="4ECEDF34" w14:textId="77777777">
            <w:pPr>
              <w:jc w:val="center"/>
              <w:rPr>
                <w:rFonts w:ascii="Times New Roman" w:hAnsi="Times New Roman" w:cs="Times New Roman"/>
                <w:sz w:val="24"/>
                <w:szCs w:val="24"/>
              </w:rPr>
            </w:pPr>
          </w:p>
        </w:tc>
      </w:tr>
      <w:tr w:rsidRPr="003E0305" w:rsidR="003E0305" w:rsidTr="008549C4" w14:paraId="35150FBE" w14:textId="77777777">
        <w:tc>
          <w:tcPr>
            <w:tcW w:w="4410" w:type="dxa"/>
            <w:tcBorders>
              <w:bottom w:val="single" w:color="auto" w:sz="4" w:space="0"/>
            </w:tcBorders>
            <w:shd w:val="clear" w:color="auto" w:fill="E6E6E6"/>
          </w:tcPr>
          <w:p w:rsidRPr="006D64E2" w:rsidR="003E0305" w:rsidP="008549C4" w:rsidRDefault="003E0305" w14:paraId="01A8593A" w14:textId="77777777">
            <w:pPr>
              <w:rPr>
                <w:rFonts w:ascii="Times New Roman" w:hAnsi="Times New Roman" w:cs="Times New Roman"/>
                <w:b/>
                <w:sz w:val="24"/>
                <w:szCs w:val="24"/>
              </w:rPr>
            </w:pPr>
            <w:bookmarkStart w:name="OLE_LINK3" w:id="5"/>
            <w:bookmarkStart w:name="OLE_LINK4" w:id="6"/>
            <w:r w:rsidRPr="006D64E2">
              <w:rPr>
                <w:rFonts w:ascii="Times New Roman" w:hAnsi="Times New Roman" w:cs="Times New Roman"/>
                <w:b/>
                <w:sz w:val="24"/>
                <w:szCs w:val="24"/>
              </w:rPr>
              <w:t>Staff or Contractor</w:t>
            </w:r>
          </w:p>
        </w:tc>
        <w:tc>
          <w:tcPr>
            <w:tcW w:w="1800" w:type="dxa"/>
            <w:tcBorders>
              <w:bottom w:val="single" w:color="auto" w:sz="4" w:space="0"/>
            </w:tcBorders>
            <w:shd w:val="clear" w:color="auto" w:fill="E6E6E6"/>
          </w:tcPr>
          <w:p w:rsidRPr="003E0305" w:rsidR="003E0305" w:rsidP="008549C4" w:rsidRDefault="003E0305" w14:paraId="3273AADC" w14:textId="77777777">
            <w:pPr>
              <w:rPr>
                <w:rFonts w:ascii="Times New Roman" w:hAnsi="Times New Roman" w:cs="Times New Roman"/>
                <w:b/>
                <w:sz w:val="24"/>
                <w:szCs w:val="24"/>
              </w:rPr>
            </w:pPr>
            <w:r w:rsidRPr="003E0305">
              <w:rPr>
                <w:rFonts w:ascii="Times New Roman" w:hAnsi="Times New Roman" w:cs="Times New Roman"/>
                <w:b/>
                <w:sz w:val="24"/>
                <w:szCs w:val="24"/>
              </w:rPr>
              <w:t>Average Hours per data collection</w:t>
            </w:r>
          </w:p>
        </w:tc>
        <w:tc>
          <w:tcPr>
            <w:tcW w:w="1620" w:type="dxa"/>
            <w:tcBorders>
              <w:bottom w:val="single" w:color="auto" w:sz="4" w:space="0"/>
            </w:tcBorders>
            <w:shd w:val="clear" w:color="auto" w:fill="E6E6E6"/>
          </w:tcPr>
          <w:p w:rsidRPr="003E0305" w:rsidR="003E0305" w:rsidP="008549C4" w:rsidRDefault="003E0305" w14:paraId="1A6E9AE2" w14:textId="77777777">
            <w:pPr>
              <w:rPr>
                <w:rFonts w:ascii="Times New Roman" w:hAnsi="Times New Roman" w:cs="Times New Roman"/>
                <w:b/>
                <w:sz w:val="24"/>
                <w:szCs w:val="24"/>
              </w:rPr>
            </w:pPr>
            <w:r w:rsidRPr="003E0305">
              <w:rPr>
                <w:rFonts w:ascii="Times New Roman" w:hAnsi="Times New Roman" w:cs="Times New Roman"/>
                <w:b/>
                <w:sz w:val="24"/>
                <w:szCs w:val="24"/>
              </w:rPr>
              <w:t>Average Hourly Rate</w:t>
            </w:r>
          </w:p>
        </w:tc>
        <w:tc>
          <w:tcPr>
            <w:tcW w:w="1728" w:type="dxa"/>
            <w:tcBorders>
              <w:bottom w:val="single" w:color="auto" w:sz="4" w:space="0"/>
            </w:tcBorders>
            <w:shd w:val="clear" w:color="auto" w:fill="E6E6E6"/>
          </w:tcPr>
          <w:p w:rsidRPr="003E0305" w:rsidR="003E0305" w:rsidP="008549C4" w:rsidRDefault="003E0305" w14:paraId="203890BB" w14:textId="77777777">
            <w:pPr>
              <w:rPr>
                <w:rFonts w:ascii="Times New Roman" w:hAnsi="Times New Roman" w:cs="Times New Roman"/>
                <w:b/>
                <w:sz w:val="24"/>
                <w:szCs w:val="24"/>
              </w:rPr>
            </w:pPr>
            <w:r w:rsidRPr="003E0305">
              <w:rPr>
                <w:rFonts w:ascii="Times New Roman" w:hAnsi="Times New Roman" w:cs="Times New Roman"/>
                <w:b/>
                <w:sz w:val="24"/>
                <w:szCs w:val="24"/>
              </w:rPr>
              <w:t>Average Cost</w:t>
            </w:r>
          </w:p>
        </w:tc>
      </w:tr>
      <w:tr w:rsidRPr="003E0305" w:rsidR="003E0305" w:rsidTr="008549C4" w14:paraId="68DDDCC4" w14:textId="77777777">
        <w:tc>
          <w:tcPr>
            <w:tcW w:w="4410" w:type="dxa"/>
          </w:tcPr>
          <w:p w:rsidRPr="006D64E2" w:rsidR="003E0305" w:rsidP="008549C4" w:rsidRDefault="003E0305" w14:paraId="0409B7E4" w14:textId="77777777">
            <w:pPr>
              <w:rPr>
                <w:rFonts w:ascii="Times New Roman" w:hAnsi="Times New Roman" w:cs="Times New Roman"/>
                <w:sz w:val="24"/>
                <w:szCs w:val="24"/>
              </w:rPr>
            </w:pPr>
            <w:r w:rsidRPr="006D64E2">
              <w:rPr>
                <w:rFonts w:ascii="Times New Roman" w:hAnsi="Times New Roman" w:cs="Times New Roman"/>
                <w:sz w:val="24"/>
                <w:szCs w:val="24"/>
              </w:rPr>
              <w:t>FTE coordinator (GS-14)</w:t>
            </w:r>
          </w:p>
        </w:tc>
        <w:tc>
          <w:tcPr>
            <w:tcW w:w="1800" w:type="dxa"/>
          </w:tcPr>
          <w:p w:rsidRPr="003E0305" w:rsidR="003E0305" w:rsidP="008549C4" w:rsidRDefault="003E0305" w14:paraId="03E06915" w14:textId="77777777">
            <w:pPr>
              <w:rPr>
                <w:rFonts w:ascii="Times New Roman" w:hAnsi="Times New Roman" w:cs="Times New Roman"/>
                <w:sz w:val="24"/>
                <w:szCs w:val="24"/>
              </w:rPr>
            </w:pPr>
            <w:r w:rsidRPr="003E0305">
              <w:rPr>
                <w:rFonts w:ascii="Times New Roman" w:hAnsi="Times New Roman" w:cs="Times New Roman"/>
                <w:sz w:val="24"/>
                <w:szCs w:val="24"/>
              </w:rPr>
              <w:t>3 per data collection</w:t>
            </w:r>
          </w:p>
        </w:tc>
        <w:tc>
          <w:tcPr>
            <w:tcW w:w="1620" w:type="dxa"/>
          </w:tcPr>
          <w:p w:rsidRPr="00C53178" w:rsidR="003E0305" w:rsidP="00212A22" w:rsidRDefault="003E0305" w14:paraId="532BEBC9" w14:textId="65C9C02F">
            <w:pPr>
              <w:rPr>
                <w:rFonts w:ascii="Times New Roman" w:hAnsi="Times New Roman" w:cs="Times New Roman"/>
                <w:sz w:val="24"/>
                <w:szCs w:val="24"/>
              </w:rPr>
            </w:pPr>
            <w:r w:rsidRPr="00C53178">
              <w:rPr>
                <w:rFonts w:ascii="Times New Roman" w:hAnsi="Times New Roman" w:cs="Times New Roman"/>
                <w:sz w:val="24"/>
                <w:szCs w:val="24"/>
              </w:rPr>
              <w:t>$</w:t>
            </w:r>
            <w:r w:rsidR="00FE09D4">
              <w:rPr>
                <w:rFonts w:ascii="Times New Roman" w:hAnsi="Times New Roman" w:cs="Times New Roman"/>
                <w:sz w:val="24"/>
                <w:szCs w:val="24"/>
              </w:rPr>
              <w:t>54.42</w:t>
            </w:r>
          </w:p>
        </w:tc>
        <w:tc>
          <w:tcPr>
            <w:tcW w:w="1728" w:type="dxa"/>
          </w:tcPr>
          <w:p w:rsidRPr="00C53178" w:rsidR="003E0305" w:rsidP="00C53178" w:rsidRDefault="003E0305" w14:paraId="57015319" w14:textId="07DEC7D5">
            <w:pPr>
              <w:rPr>
                <w:rFonts w:ascii="Times New Roman" w:hAnsi="Times New Roman" w:cs="Times New Roman"/>
                <w:sz w:val="24"/>
                <w:szCs w:val="24"/>
              </w:rPr>
            </w:pPr>
            <w:r w:rsidRPr="00C53178">
              <w:rPr>
                <w:rFonts w:ascii="Times New Roman" w:hAnsi="Times New Roman" w:cs="Times New Roman"/>
                <w:sz w:val="24"/>
                <w:szCs w:val="24"/>
              </w:rPr>
              <w:t>$</w:t>
            </w:r>
            <w:r w:rsidR="00FE09D4">
              <w:rPr>
                <w:rFonts w:ascii="Times New Roman" w:hAnsi="Times New Roman" w:cs="Times New Roman"/>
                <w:sz w:val="24"/>
                <w:szCs w:val="24"/>
              </w:rPr>
              <w:t>163</w:t>
            </w:r>
            <w:r w:rsidRPr="00C53178">
              <w:rPr>
                <w:rFonts w:ascii="Times New Roman" w:hAnsi="Times New Roman" w:cs="Times New Roman"/>
                <w:sz w:val="24"/>
                <w:szCs w:val="24"/>
              </w:rPr>
              <w:t>/ data collection</w:t>
            </w:r>
          </w:p>
        </w:tc>
      </w:tr>
      <w:tr w:rsidRPr="003E0305" w:rsidR="003E0305" w:rsidTr="008549C4" w14:paraId="0BCA9179" w14:textId="77777777">
        <w:tc>
          <w:tcPr>
            <w:tcW w:w="4410" w:type="dxa"/>
          </w:tcPr>
          <w:p w:rsidRPr="00346808" w:rsidR="003E0305" w:rsidP="008549C4" w:rsidRDefault="003E0305" w14:paraId="226B409E" w14:textId="77777777">
            <w:pPr>
              <w:rPr>
                <w:rFonts w:ascii="Times New Roman" w:hAnsi="Times New Roman" w:cs="Times New Roman"/>
                <w:sz w:val="24"/>
                <w:szCs w:val="24"/>
              </w:rPr>
            </w:pPr>
            <w:r w:rsidRPr="006D64E2">
              <w:rPr>
                <w:rFonts w:ascii="Times New Roman" w:hAnsi="Times New Roman" w:cs="Times New Roman"/>
                <w:sz w:val="24"/>
                <w:szCs w:val="24"/>
              </w:rPr>
              <w:t>FTE instrument preparation, data collection, data analysis (GS-13)</w:t>
            </w:r>
          </w:p>
        </w:tc>
        <w:tc>
          <w:tcPr>
            <w:tcW w:w="1800" w:type="dxa"/>
          </w:tcPr>
          <w:p w:rsidRPr="003E0305" w:rsidR="003E0305" w:rsidP="008549C4" w:rsidRDefault="003E0305" w14:paraId="079AB914" w14:textId="77777777">
            <w:pPr>
              <w:rPr>
                <w:rFonts w:ascii="Times New Roman" w:hAnsi="Times New Roman" w:cs="Times New Roman"/>
                <w:sz w:val="24"/>
                <w:szCs w:val="24"/>
              </w:rPr>
            </w:pPr>
            <w:r w:rsidRPr="003E0305">
              <w:rPr>
                <w:rFonts w:ascii="Times New Roman" w:hAnsi="Times New Roman" w:cs="Times New Roman"/>
                <w:sz w:val="24"/>
                <w:szCs w:val="24"/>
              </w:rPr>
              <w:t>20 per data collection</w:t>
            </w:r>
          </w:p>
        </w:tc>
        <w:tc>
          <w:tcPr>
            <w:tcW w:w="1620" w:type="dxa"/>
          </w:tcPr>
          <w:p w:rsidRPr="003E0305" w:rsidR="003E0305" w:rsidP="00212A22" w:rsidRDefault="003E0305" w14:paraId="55BAF946" w14:textId="08A4FA6B">
            <w:pPr>
              <w:rPr>
                <w:rFonts w:ascii="Times New Roman" w:hAnsi="Times New Roman" w:cs="Times New Roman"/>
                <w:color w:val="FF0000"/>
                <w:sz w:val="24"/>
                <w:szCs w:val="24"/>
              </w:rPr>
            </w:pPr>
            <w:r w:rsidRPr="00212A22">
              <w:rPr>
                <w:rFonts w:ascii="Times New Roman" w:hAnsi="Times New Roman" w:cs="Times New Roman"/>
                <w:sz w:val="24"/>
                <w:szCs w:val="24"/>
              </w:rPr>
              <w:t>$</w:t>
            </w:r>
            <w:r w:rsidR="00FE09D4">
              <w:rPr>
                <w:rFonts w:ascii="Times New Roman" w:hAnsi="Times New Roman" w:cs="Times New Roman"/>
                <w:sz w:val="24"/>
                <w:szCs w:val="24"/>
              </w:rPr>
              <w:t>46.06</w:t>
            </w:r>
          </w:p>
        </w:tc>
        <w:tc>
          <w:tcPr>
            <w:tcW w:w="1728" w:type="dxa"/>
          </w:tcPr>
          <w:p w:rsidRPr="003E0305" w:rsidR="003E0305" w:rsidP="00C53178" w:rsidRDefault="003E0305" w14:paraId="00F9D770" w14:textId="3C278BA6">
            <w:pPr>
              <w:rPr>
                <w:rFonts w:ascii="Times New Roman" w:hAnsi="Times New Roman" w:cs="Times New Roman"/>
                <w:color w:val="FF0000"/>
                <w:sz w:val="24"/>
                <w:szCs w:val="24"/>
              </w:rPr>
            </w:pPr>
            <w:r w:rsidRPr="00C53178">
              <w:rPr>
                <w:rFonts w:ascii="Times New Roman" w:hAnsi="Times New Roman" w:cs="Times New Roman"/>
                <w:sz w:val="24"/>
                <w:szCs w:val="24"/>
              </w:rPr>
              <w:t>$</w:t>
            </w:r>
            <w:r w:rsidR="00FE09D4">
              <w:rPr>
                <w:rFonts w:ascii="Times New Roman" w:hAnsi="Times New Roman" w:cs="Times New Roman"/>
                <w:sz w:val="24"/>
                <w:szCs w:val="24"/>
              </w:rPr>
              <w:t>921</w:t>
            </w:r>
            <w:r w:rsidRPr="00C53178">
              <w:rPr>
                <w:rFonts w:ascii="Times New Roman" w:hAnsi="Times New Roman" w:cs="Times New Roman"/>
                <w:sz w:val="24"/>
                <w:szCs w:val="24"/>
              </w:rPr>
              <w:t>/ data collection</w:t>
            </w:r>
          </w:p>
        </w:tc>
      </w:tr>
      <w:tr w:rsidRPr="003E0305" w:rsidR="003E0305" w:rsidTr="008549C4" w14:paraId="58C897F5" w14:textId="77777777">
        <w:tc>
          <w:tcPr>
            <w:tcW w:w="4410" w:type="dxa"/>
          </w:tcPr>
          <w:p w:rsidRPr="00346808" w:rsidR="003E0305" w:rsidP="00212A22" w:rsidRDefault="003E0305" w14:paraId="753B81C2" w14:textId="77777777">
            <w:pPr>
              <w:rPr>
                <w:rFonts w:ascii="Times New Roman" w:hAnsi="Times New Roman" w:cs="Times New Roman"/>
                <w:sz w:val="24"/>
                <w:szCs w:val="24"/>
              </w:rPr>
            </w:pPr>
            <w:r w:rsidRPr="006D64E2">
              <w:rPr>
                <w:rFonts w:ascii="Times New Roman" w:hAnsi="Times New Roman" w:cs="Times New Roman"/>
                <w:sz w:val="24"/>
                <w:szCs w:val="24"/>
              </w:rPr>
              <w:t>Contractor instrument preparation, data c</w:t>
            </w:r>
            <w:r w:rsidRPr="006D64E2" w:rsidR="00212A22">
              <w:rPr>
                <w:rFonts w:ascii="Times New Roman" w:hAnsi="Times New Roman" w:cs="Times New Roman"/>
                <w:sz w:val="24"/>
                <w:szCs w:val="24"/>
              </w:rPr>
              <w:t xml:space="preserve">ollection, data analysis (GS-12 </w:t>
            </w:r>
            <w:r w:rsidRPr="00346808">
              <w:rPr>
                <w:rFonts w:ascii="Times New Roman" w:hAnsi="Times New Roman" w:cs="Times New Roman"/>
                <w:sz w:val="24"/>
                <w:szCs w:val="24"/>
              </w:rPr>
              <w:t>equivalent)</w:t>
            </w:r>
          </w:p>
        </w:tc>
        <w:tc>
          <w:tcPr>
            <w:tcW w:w="1800" w:type="dxa"/>
          </w:tcPr>
          <w:p w:rsidRPr="003E0305" w:rsidR="003E0305" w:rsidP="008549C4" w:rsidRDefault="003E0305" w14:paraId="06EDDAAA" w14:textId="77777777">
            <w:pPr>
              <w:rPr>
                <w:rFonts w:ascii="Times New Roman" w:hAnsi="Times New Roman" w:cs="Times New Roman"/>
                <w:sz w:val="24"/>
                <w:szCs w:val="24"/>
              </w:rPr>
            </w:pPr>
            <w:r w:rsidRPr="003E0305">
              <w:rPr>
                <w:rFonts w:ascii="Times New Roman" w:hAnsi="Times New Roman" w:cs="Times New Roman"/>
                <w:sz w:val="24"/>
                <w:szCs w:val="24"/>
              </w:rPr>
              <w:t>20 per data collection</w:t>
            </w:r>
          </w:p>
        </w:tc>
        <w:tc>
          <w:tcPr>
            <w:tcW w:w="1620" w:type="dxa"/>
          </w:tcPr>
          <w:p w:rsidRPr="00C53178" w:rsidR="003E0305" w:rsidP="00212A22" w:rsidRDefault="00212A22" w14:paraId="6DEA6C45" w14:textId="72C84409">
            <w:pPr>
              <w:rPr>
                <w:rFonts w:ascii="Times New Roman" w:hAnsi="Times New Roman" w:cs="Times New Roman"/>
                <w:sz w:val="24"/>
                <w:szCs w:val="24"/>
              </w:rPr>
            </w:pPr>
            <w:r w:rsidRPr="00C53178">
              <w:rPr>
                <w:rFonts w:ascii="Times New Roman" w:hAnsi="Times New Roman" w:cs="Times New Roman"/>
                <w:sz w:val="24"/>
                <w:szCs w:val="24"/>
              </w:rPr>
              <w:t>$3</w:t>
            </w:r>
            <w:r w:rsidR="00FE09D4">
              <w:rPr>
                <w:rFonts w:ascii="Times New Roman" w:hAnsi="Times New Roman" w:cs="Times New Roman"/>
                <w:sz w:val="24"/>
                <w:szCs w:val="24"/>
              </w:rPr>
              <w:t>8.73</w:t>
            </w:r>
          </w:p>
        </w:tc>
        <w:tc>
          <w:tcPr>
            <w:tcW w:w="1728" w:type="dxa"/>
          </w:tcPr>
          <w:p w:rsidRPr="00C53178" w:rsidR="003E0305" w:rsidP="00C53178" w:rsidRDefault="003E0305" w14:paraId="55487BF7" w14:textId="45A0B0D8">
            <w:pPr>
              <w:rPr>
                <w:rFonts w:ascii="Times New Roman" w:hAnsi="Times New Roman" w:cs="Times New Roman"/>
                <w:sz w:val="24"/>
                <w:szCs w:val="24"/>
              </w:rPr>
            </w:pPr>
            <w:r w:rsidRPr="00C53178">
              <w:rPr>
                <w:rFonts w:ascii="Times New Roman" w:hAnsi="Times New Roman" w:cs="Times New Roman"/>
                <w:sz w:val="24"/>
                <w:szCs w:val="24"/>
              </w:rPr>
              <w:t>$</w:t>
            </w:r>
            <w:r w:rsidR="00FE09D4">
              <w:rPr>
                <w:rFonts w:ascii="Times New Roman" w:hAnsi="Times New Roman" w:cs="Times New Roman"/>
                <w:sz w:val="24"/>
                <w:szCs w:val="24"/>
              </w:rPr>
              <w:t>775</w:t>
            </w:r>
            <w:r w:rsidRPr="00C53178">
              <w:rPr>
                <w:rFonts w:ascii="Times New Roman" w:hAnsi="Times New Roman" w:cs="Times New Roman"/>
                <w:sz w:val="24"/>
                <w:szCs w:val="24"/>
              </w:rPr>
              <w:t>/ data collection</w:t>
            </w:r>
          </w:p>
        </w:tc>
      </w:tr>
      <w:tr w:rsidRPr="003E0305" w:rsidR="003E0305" w:rsidTr="008549C4" w14:paraId="703509F2" w14:textId="77777777">
        <w:tc>
          <w:tcPr>
            <w:tcW w:w="4410" w:type="dxa"/>
          </w:tcPr>
          <w:p w:rsidRPr="006D64E2" w:rsidR="003E0305" w:rsidP="008549C4" w:rsidRDefault="003E0305" w14:paraId="227A7B0E" w14:textId="77777777">
            <w:pPr>
              <w:rPr>
                <w:rFonts w:ascii="Times New Roman" w:hAnsi="Times New Roman" w:cs="Times New Roman"/>
                <w:sz w:val="24"/>
                <w:szCs w:val="24"/>
              </w:rPr>
            </w:pPr>
            <w:r w:rsidRPr="006D64E2">
              <w:rPr>
                <w:rFonts w:ascii="Times New Roman" w:hAnsi="Times New Roman" w:cs="Times New Roman"/>
                <w:sz w:val="24"/>
                <w:szCs w:val="24"/>
              </w:rPr>
              <w:t>Average cost per information collection (web based)</w:t>
            </w:r>
          </w:p>
        </w:tc>
        <w:tc>
          <w:tcPr>
            <w:tcW w:w="1800" w:type="dxa"/>
          </w:tcPr>
          <w:p w:rsidRPr="003E0305" w:rsidR="003E0305" w:rsidP="008549C4" w:rsidRDefault="003E0305" w14:paraId="4FCF94E3" w14:textId="77777777">
            <w:pPr>
              <w:rPr>
                <w:rFonts w:ascii="Times New Roman" w:hAnsi="Times New Roman" w:cs="Times New Roman"/>
                <w:sz w:val="24"/>
                <w:szCs w:val="24"/>
              </w:rPr>
            </w:pPr>
          </w:p>
        </w:tc>
        <w:tc>
          <w:tcPr>
            <w:tcW w:w="1620" w:type="dxa"/>
          </w:tcPr>
          <w:p w:rsidRPr="003E0305" w:rsidR="003E0305" w:rsidP="008549C4" w:rsidRDefault="003E0305" w14:paraId="698FA945" w14:textId="77777777">
            <w:pPr>
              <w:rPr>
                <w:rFonts w:ascii="Times New Roman" w:hAnsi="Times New Roman" w:cs="Times New Roman"/>
                <w:color w:val="FF0000"/>
                <w:sz w:val="24"/>
                <w:szCs w:val="24"/>
              </w:rPr>
            </w:pPr>
          </w:p>
        </w:tc>
        <w:tc>
          <w:tcPr>
            <w:tcW w:w="1728" w:type="dxa"/>
          </w:tcPr>
          <w:p w:rsidRPr="003E0305" w:rsidR="003E0305" w:rsidP="00E0222E" w:rsidRDefault="003E0305" w14:paraId="475DAFFB" w14:textId="4BAE6A5D">
            <w:pPr>
              <w:rPr>
                <w:rFonts w:ascii="Times New Roman" w:hAnsi="Times New Roman" w:cs="Times New Roman"/>
                <w:color w:val="FF0000"/>
                <w:sz w:val="24"/>
                <w:szCs w:val="24"/>
              </w:rPr>
            </w:pPr>
            <w:r w:rsidRPr="00E0222E">
              <w:rPr>
                <w:rFonts w:ascii="Times New Roman" w:hAnsi="Times New Roman" w:cs="Times New Roman"/>
                <w:sz w:val="24"/>
                <w:szCs w:val="24"/>
              </w:rPr>
              <w:t>$</w:t>
            </w:r>
            <w:r w:rsidR="006D64E2">
              <w:rPr>
                <w:rFonts w:ascii="Times New Roman" w:hAnsi="Times New Roman" w:cs="Times New Roman"/>
                <w:sz w:val="24"/>
                <w:szCs w:val="24"/>
              </w:rPr>
              <w:t>1859</w:t>
            </w:r>
          </w:p>
        </w:tc>
      </w:tr>
      <w:tr w:rsidRPr="003E0305" w:rsidR="003E0305" w:rsidTr="00E52976" w14:paraId="42CCB1EE" w14:textId="77777777">
        <w:tc>
          <w:tcPr>
            <w:tcW w:w="4410" w:type="dxa"/>
            <w:shd w:val="clear" w:color="auto" w:fill="auto"/>
          </w:tcPr>
          <w:p w:rsidRPr="006D64E2" w:rsidR="003E0305" w:rsidP="008549C4" w:rsidRDefault="003E0305" w14:paraId="3DCB79FB" w14:textId="77777777">
            <w:pPr>
              <w:rPr>
                <w:rFonts w:ascii="Times New Roman" w:hAnsi="Times New Roman" w:cs="Times New Roman"/>
                <w:sz w:val="24"/>
                <w:szCs w:val="24"/>
              </w:rPr>
            </w:pPr>
            <w:r w:rsidRPr="006D64E2">
              <w:rPr>
                <w:rFonts w:ascii="Times New Roman" w:hAnsi="Times New Roman" w:cs="Times New Roman"/>
                <w:sz w:val="24"/>
                <w:szCs w:val="24"/>
              </w:rPr>
              <w:t>Average cost per information collection (in person)</w:t>
            </w:r>
          </w:p>
        </w:tc>
        <w:tc>
          <w:tcPr>
            <w:tcW w:w="1800" w:type="dxa"/>
            <w:shd w:val="clear" w:color="auto" w:fill="auto"/>
          </w:tcPr>
          <w:p w:rsidRPr="003E0305" w:rsidR="003E0305" w:rsidP="008549C4" w:rsidRDefault="003E0305" w14:paraId="42136FC5" w14:textId="77777777">
            <w:pPr>
              <w:rPr>
                <w:rFonts w:ascii="Times New Roman" w:hAnsi="Times New Roman" w:cs="Times New Roman"/>
                <w:sz w:val="24"/>
                <w:szCs w:val="24"/>
              </w:rPr>
            </w:pPr>
          </w:p>
        </w:tc>
        <w:tc>
          <w:tcPr>
            <w:tcW w:w="1620" w:type="dxa"/>
            <w:shd w:val="clear" w:color="auto" w:fill="auto"/>
          </w:tcPr>
          <w:p w:rsidRPr="003E0305" w:rsidR="003E0305" w:rsidP="008549C4" w:rsidRDefault="003E0305" w14:paraId="7EB3AD62" w14:textId="77777777">
            <w:pPr>
              <w:rPr>
                <w:rFonts w:ascii="Times New Roman" w:hAnsi="Times New Roman" w:cs="Times New Roman"/>
                <w:color w:val="FF0000"/>
                <w:sz w:val="24"/>
                <w:szCs w:val="24"/>
              </w:rPr>
            </w:pPr>
          </w:p>
        </w:tc>
        <w:tc>
          <w:tcPr>
            <w:tcW w:w="1728" w:type="dxa"/>
            <w:shd w:val="clear" w:color="auto" w:fill="auto"/>
          </w:tcPr>
          <w:p w:rsidRPr="003E0305" w:rsidR="003E0305" w:rsidP="00E0222E" w:rsidRDefault="003E0305" w14:paraId="4E0F7A1E" w14:textId="7D3361E0">
            <w:pPr>
              <w:rPr>
                <w:rFonts w:ascii="Times New Roman" w:hAnsi="Times New Roman" w:cs="Times New Roman"/>
                <w:color w:val="FF0000"/>
                <w:sz w:val="24"/>
                <w:szCs w:val="24"/>
              </w:rPr>
            </w:pPr>
            <w:r w:rsidRPr="00E0222E">
              <w:rPr>
                <w:rFonts w:ascii="Times New Roman" w:hAnsi="Times New Roman" w:cs="Times New Roman"/>
                <w:sz w:val="24"/>
                <w:szCs w:val="24"/>
              </w:rPr>
              <w:t>$</w:t>
            </w:r>
            <w:r w:rsidR="006D64E2">
              <w:rPr>
                <w:rFonts w:ascii="Times New Roman" w:hAnsi="Times New Roman" w:cs="Times New Roman"/>
                <w:sz w:val="24"/>
                <w:szCs w:val="24"/>
              </w:rPr>
              <w:t>5577</w:t>
            </w:r>
          </w:p>
        </w:tc>
      </w:tr>
      <w:tr w:rsidRPr="003E0305" w:rsidR="003E0305" w:rsidTr="008549C4" w14:paraId="748253AD" w14:textId="77777777">
        <w:tc>
          <w:tcPr>
            <w:tcW w:w="4410" w:type="dxa"/>
            <w:shd w:val="clear" w:color="auto" w:fill="E6E6E6"/>
          </w:tcPr>
          <w:p w:rsidRPr="003E0305" w:rsidR="003E0305" w:rsidP="008549C4" w:rsidRDefault="003E0305" w14:paraId="41D2D9EB" w14:textId="77777777">
            <w:pPr>
              <w:rPr>
                <w:rFonts w:ascii="Times New Roman" w:hAnsi="Times New Roman" w:cs="Times New Roman"/>
                <w:b/>
                <w:sz w:val="24"/>
                <w:szCs w:val="24"/>
              </w:rPr>
            </w:pPr>
            <w:r w:rsidRPr="003E0305">
              <w:rPr>
                <w:rFonts w:ascii="Times New Roman" w:hAnsi="Times New Roman" w:cs="Times New Roman"/>
                <w:b/>
                <w:sz w:val="24"/>
                <w:szCs w:val="24"/>
              </w:rPr>
              <w:t xml:space="preserve">Estimated Total Average Annual Cost of 35 web-based and 5 in-person Information Collections </w:t>
            </w:r>
          </w:p>
        </w:tc>
        <w:tc>
          <w:tcPr>
            <w:tcW w:w="1800" w:type="dxa"/>
            <w:shd w:val="clear" w:color="auto" w:fill="E6E6E6"/>
          </w:tcPr>
          <w:p w:rsidRPr="003E0305" w:rsidR="003E0305" w:rsidP="008549C4" w:rsidRDefault="003E0305" w14:paraId="50FED9C5" w14:textId="77777777">
            <w:pPr>
              <w:rPr>
                <w:rFonts w:ascii="Times New Roman" w:hAnsi="Times New Roman" w:cs="Times New Roman"/>
                <w:sz w:val="24"/>
                <w:szCs w:val="24"/>
              </w:rPr>
            </w:pPr>
          </w:p>
        </w:tc>
        <w:tc>
          <w:tcPr>
            <w:tcW w:w="1620" w:type="dxa"/>
            <w:shd w:val="clear" w:color="auto" w:fill="E6E6E6"/>
          </w:tcPr>
          <w:p w:rsidRPr="003E0305" w:rsidR="003E0305" w:rsidP="008549C4" w:rsidRDefault="003E0305" w14:paraId="5BF54CC1" w14:textId="77777777">
            <w:pPr>
              <w:rPr>
                <w:rFonts w:ascii="Times New Roman" w:hAnsi="Times New Roman" w:cs="Times New Roman"/>
                <w:color w:val="FF0000"/>
                <w:sz w:val="24"/>
                <w:szCs w:val="24"/>
              </w:rPr>
            </w:pPr>
          </w:p>
        </w:tc>
        <w:tc>
          <w:tcPr>
            <w:tcW w:w="1728" w:type="dxa"/>
            <w:shd w:val="clear" w:color="auto" w:fill="E6E6E6"/>
          </w:tcPr>
          <w:p w:rsidRPr="00E0222E" w:rsidR="003E0305" w:rsidP="008549C4" w:rsidRDefault="003E0305" w14:paraId="6C8E816B" w14:textId="03AEA1D2">
            <w:pPr>
              <w:rPr>
                <w:rFonts w:ascii="Times New Roman" w:hAnsi="Times New Roman" w:cs="Times New Roman"/>
                <w:sz w:val="24"/>
                <w:szCs w:val="24"/>
              </w:rPr>
            </w:pPr>
            <w:r w:rsidRPr="00E0222E">
              <w:rPr>
                <w:rFonts w:ascii="Times New Roman" w:hAnsi="Times New Roman" w:cs="Times New Roman"/>
                <w:sz w:val="24"/>
                <w:szCs w:val="24"/>
              </w:rPr>
              <w:t>$</w:t>
            </w:r>
            <w:r w:rsidR="006D64E2">
              <w:rPr>
                <w:rFonts w:ascii="Times New Roman" w:hAnsi="Times New Roman" w:cs="Times New Roman"/>
                <w:sz w:val="24"/>
                <w:szCs w:val="24"/>
              </w:rPr>
              <w:t>92,950</w:t>
            </w:r>
          </w:p>
          <w:p w:rsidRPr="003E0305" w:rsidR="00E0222E" w:rsidP="00E0222E" w:rsidRDefault="006D64E2" w14:paraId="3207E8FF" w14:textId="69DC3CC4">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r>
      <w:bookmarkEnd w:id="5"/>
      <w:bookmarkEnd w:id="6"/>
    </w:tbl>
    <w:p w:rsidR="007A7ABD" w:rsidP="00666D39" w:rsidRDefault="007A7ABD" w14:paraId="5EE99DCF" w14:textId="77777777">
      <w:pPr>
        <w:rPr>
          <w:rFonts w:ascii="Times New Roman" w:hAnsi="Times New Roman" w:cs="Times New Roman"/>
          <w:sz w:val="24"/>
          <w:szCs w:val="24"/>
        </w:rPr>
      </w:pPr>
    </w:p>
    <w:p w:rsidR="0064317B" w:rsidP="003E0305" w:rsidRDefault="0064317B" w14:paraId="442E0D45" w14:textId="77777777">
      <w:pPr>
        <w:pStyle w:val="Heading2"/>
        <w:spacing w:before="0" w:after="0"/>
        <w:rPr>
          <w:b w:val="0"/>
          <w:color w:val="000000"/>
          <w:sz w:val="24"/>
          <w:szCs w:val="24"/>
        </w:rPr>
      </w:pPr>
    </w:p>
    <w:p w:rsidRPr="00BD4B70" w:rsidR="003E0305" w:rsidP="003E0305" w:rsidRDefault="003E0305" w14:paraId="4357F8BF" w14:textId="1D809F1A">
      <w:pPr>
        <w:pStyle w:val="Heading2"/>
        <w:spacing w:before="0" w:after="0"/>
        <w:rPr>
          <w:b w:val="0"/>
          <w:color w:val="000000"/>
          <w:sz w:val="24"/>
          <w:szCs w:val="24"/>
        </w:rPr>
      </w:pPr>
      <w:r w:rsidRPr="002038C2">
        <w:rPr>
          <w:b w:val="0"/>
          <w:color w:val="000000"/>
          <w:sz w:val="24"/>
          <w:szCs w:val="24"/>
        </w:rPr>
        <w:t xml:space="preserve">CDC has assigned a Health Scientist to manage the </w:t>
      </w:r>
      <w:r w:rsidR="00D9575E">
        <w:rPr>
          <w:b w:val="0"/>
          <w:color w:val="000000"/>
          <w:sz w:val="24"/>
          <w:szCs w:val="24"/>
        </w:rPr>
        <w:t xml:space="preserve">Generic ICR. </w:t>
      </w:r>
      <w:r w:rsidRPr="002038C2">
        <w:rPr>
          <w:b w:val="0"/>
          <w:color w:val="000000"/>
          <w:sz w:val="24"/>
          <w:szCs w:val="24"/>
        </w:rPr>
        <w:t xml:space="preserve">The position is housed in the </w:t>
      </w:r>
      <w:r w:rsidR="006D64E2">
        <w:rPr>
          <w:b w:val="0"/>
          <w:color w:val="000000"/>
          <w:sz w:val="24"/>
          <w:szCs w:val="24"/>
        </w:rPr>
        <w:t>Center for</w:t>
      </w:r>
      <w:r w:rsidRPr="002038C2">
        <w:rPr>
          <w:b w:val="0"/>
          <w:color w:val="000000"/>
          <w:sz w:val="24"/>
          <w:szCs w:val="24"/>
        </w:rPr>
        <w:t xml:space="preserve"> State, Tribal, Local and Territorial Support (</w:t>
      </w:r>
      <w:r w:rsidR="006D64E2">
        <w:rPr>
          <w:b w:val="0"/>
          <w:color w:val="000000"/>
          <w:sz w:val="24"/>
          <w:szCs w:val="24"/>
        </w:rPr>
        <w:t>C</w:t>
      </w:r>
      <w:r w:rsidRPr="002038C2">
        <w:rPr>
          <w:b w:val="0"/>
          <w:color w:val="000000"/>
          <w:sz w:val="24"/>
          <w:szCs w:val="24"/>
        </w:rPr>
        <w:t xml:space="preserve">STLTS).  </w:t>
      </w:r>
      <w:r w:rsidRPr="00BD4B70">
        <w:rPr>
          <w:b w:val="0"/>
          <w:color w:val="000000"/>
          <w:sz w:val="24"/>
          <w:szCs w:val="24"/>
        </w:rPr>
        <w:t xml:space="preserve">The data collection requests are managed by </w:t>
      </w:r>
      <w:r w:rsidR="006D64E2">
        <w:rPr>
          <w:b w:val="0"/>
          <w:color w:val="000000"/>
          <w:sz w:val="24"/>
          <w:szCs w:val="24"/>
        </w:rPr>
        <w:t>C</w:t>
      </w:r>
      <w:r w:rsidRPr="00BD4B70">
        <w:rPr>
          <w:b w:val="0"/>
          <w:color w:val="000000"/>
          <w:sz w:val="24"/>
          <w:szCs w:val="24"/>
        </w:rPr>
        <w:t xml:space="preserve">STLTS, the CDC Information Collection Review Office, the numerous and diverse CDC Program Officials, Project Officers, and Principal Investigators.  </w:t>
      </w:r>
    </w:p>
    <w:p w:rsidR="00D9575E" w:rsidP="003E0305" w:rsidRDefault="00D9575E" w14:paraId="20EE9C78" w14:textId="77777777">
      <w:pPr>
        <w:pStyle w:val="Heading2"/>
        <w:spacing w:before="0" w:after="0"/>
        <w:rPr>
          <w:b w:val="0"/>
          <w:color w:val="000000"/>
          <w:sz w:val="24"/>
          <w:szCs w:val="24"/>
        </w:rPr>
      </w:pPr>
    </w:p>
    <w:p w:rsidRPr="00CE144A" w:rsidR="003E0305" w:rsidP="003E0305" w:rsidRDefault="003E0305" w14:paraId="7CF55C57" w14:textId="6A647D30">
      <w:pPr>
        <w:pStyle w:val="Heading2"/>
        <w:spacing w:before="0" w:after="0"/>
        <w:rPr>
          <w:color w:val="000000"/>
          <w:sz w:val="24"/>
          <w:szCs w:val="24"/>
        </w:rPr>
      </w:pPr>
      <w:r w:rsidRPr="00CE144A">
        <w:rPr>
          <w:b w:val="0"/>
          <w:color w:val="000000"/>
          <w:sz w:val="24"/>
          <w:szCs w:val="24"/>
        </w:rPr>
        <w:t xml:space="preserve">Each request will be closely reviewed by </w:t>
      </w:r>
      <w:r w:rsidR="006D64E2">
        <w:rPr>
          <w:b w:val="0"/>
          <w:color w:val="000000"/>
          <w:sz w:val="24"/>
          <w:szCs w:val="24"/>
        </w:rPr>
        <w:t>C</w:t>
      </w:r>
      <w:r w:rsidRPr="00CE144A">
        <w:rPr>
          <w:b w:val="0"/>
          <w:color w:val="000000"/>
          <w:sz w:val="24"/>
          <w:szCs w:val="24"/>
        </w:rPr>
        <w:t xml:space="preserve">STLTS based on a predefined set of criteria to include but may not be limited to: </w:t>
      </w:r>
      <w:r w:rsidR="00487248">
        <w:rPr>
          <w:b w:val="0"/>
          <w:color w:val="000000"/>
          <w:sz w:val="24"/>
          <w:szCs w:val="24"/>
        </w:rPr>
        <w:t>1) Scope of Request, 2) Burden/i</w:t>
      </w:r>
      <w:r w:rsidRPr="00CE144A">
        <w:rPr>
          <w:b w:val="0"/>
          <w:color w:val="000000"/>
          <w:sz w:val="24"/>
          <w:szCs w:val="24"/>
        </w:rPr>
        <w:t xml:space="preserve">mpact at </w:t>
      </w:r>
      <w:r w:rsidR="00487248">
        <w:rPr>
          <w:b w:val="0"/>
          <w:color w:val="000000"/>
          <w:sz w:val="24"/>
          <w:szCs w:val="24"/>
        </w:rPr>
        <w:t xml:space="preserve">the respondent </w:t>
      </w:r>
      <w:r w:rsidRPr="00CE144A">
        <w:rPr>
          <w:b w:val="0"/>
          <w:color w:val="000000"/>
          <w:sz w:val="24"/>
          <w:szCs w:val="24"/>
        </w:rPr>
        <w:t>level, 3) Relevance to CDC Priorities,  4) Applicability of questions associated with State, Local, and/or Tribal</w:t>
      </w:r>
      <w:r>
        <w:rPr>
          <w:b w:val="0"/>
          <w:color w:val="000000"/>
          <w:sz w:val="24"/>
          <w:szCs w:val="24"/>
        </w:rPr>
        <w:t xml:space="preserve"> government staff or delegate</w:t>
      </w:r>
      <w:r w:rsidRPr="00CE144A">
        <w:rPr>
          <w:b w:val="0"/>
          <w:color w:val="000000"/>
          <w:sz w:val="24"/>
          <w:szCs w:val="24"/>
        </w:rPr>
        <w:t xml:space="preserve"> roles and functions.  </w:t>
      </w:r>
    </w:p>
    <w:p w:rsidR="00D9575E" w:rsidP="003E0305" w:rsidRDefault="00D9575E" w14:paraId="6BE47103" w14:textId="77777777">
      <w:pPr>
        <w:pStyle w:val="Heading2"/>
        <w:spacing w:before="0" w:after="0"/>
        <w:rPr>
          <w:b w:val="0"/>
          <w:color w:val="000000"/>
          <w:sz w:val="24"/>
          <w:szCs w:val="24"/>
        </w:rPr>
      </w:pPr>
    </w:p>
    <w:p w:rsidRPr="005021D4" w:rsidR="003E0305" w:rsidP="003E0305" w:rsidRDefault="003E0305" w14:paraId="35D06039" w14:textId="77777777">
      <w:pPr>
        <w:pStyle w:val="Heading2"/>
        <w:spacing w:before="0" w:after="0"/>
        <w:rPr>
          <w:color w:val="000000"/>
          <w:sz w:val="24"/>
          <w:szCs w:val="24"/>
        </w:rPr>
      </w:pPr>
      <w:r w:rsidRPr="00CE144A">
        <w:rPr>
          <w:b w:val="0"/>
          <w:color w:val="000000"/>
          <w:sz w:val="24"/>
          <w:szCs w:val="24"/>
        </w:rPr>
        <w:t>The information collection request process will include but may not be limited to: 1) Description of a sample (e.g., all 50 states or some sample); 2) Description of Need and Purpose Proposed Work (or SOW); 3) Sampling methods and the target respondent (e.g., food safety officer), 4) Data collection instrument, 5) Estimate of response burden, and 6) supporting documents.</w:t>
      </w:r>
      <w:r w:rsidRPr="005021D4">
        <w:rPr>
          <w:b w:val="0"/>
          <w:color w:val="000000"/>
          <w:sz w:val="24"/>
          <w:szCs w:val="24"/>
        </w:rPr>
        <w:t xml:space="preserve"> </w:t>
      </w:r>
    </w:p>
    <w:p w:rsidR="007A7ABD" w:rsidP="003E0305" w:rsidRDefault="007A7ABD" w14:paraId="16084659" w14:textId="77777777">
      <w:pPr>
        <w:rPr>
          <w:rFonts w:ascii="Times New Roman" w:hAnsi="Times New Roman" w:cs="Times New Roman"/>
          <w:sz w:val="24"/>
          <w:szCs w:val="24"/>
        </w:rPr>
      </w:pPr>
    </w:p>
    <w:p w:rsidRPr="00D9575E" w:rsidR="00D9575E" w:rsidP="00D9575E" w:rsidRDefault="00D9575E" w14:paraId="567F7D6D" w14:textId="77777777">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Explanation for Program Changes or Adjustments</w:t>
      </w:r>
    </w:p>
    <w:p w:rsidRPr="00D9575E" w:rsidR="00D9575E" w:rsidP="008549C4" w:rsidRDefault="00413A68" w14:paraId="73FBA82B" w14:textId="1C9C3A2B">
      <w:pPr>
        <w:rPr>
          <w:rFonts w:ascii="Times New Roman" w:hAnsi="Times New Roman" w:cs="Times New Roman"/>
          <w:sz w:val="24"/>
          <w:szCs w:val="24"/>
        </w:rPr>
      </w:pPr>
      <w:r>
        <w:rPr>
          <w:rFonts w:ascii="Times New Roman" w:hAnsi="Times New Roman" w:cs="Times New Roman"/>
          <w:sz w:val="24"/>
          <w:szCs w:val="24"/>
        </w:rPr>
        <w:t xml:space="preserve">This is an extension. </w:t>
      </w:r>
      <w:r w:rsidRPr="009C0B72" w:rsidR="00D9575E">
        <w:rPr>
          <w:rFonts w:ascii="Times New Roman" w:hAnsi="Times New Roman" w:cs="Times New Roman"/>
          <w:sz w:val="24"/>
          <w:szCs w:val="24"/>
        </w:rPr>
        <w:t xml:space="preserve">All </w:t>
      </w:r>
      <w:r w:rsidRPr="00D9575E" w:rsidR="00D9575E">
        <w:rPr>
          <w:rFonts w:ascii="Times New Roman" w:hAnsi="Times New Roman" w:cs="Times New Roman"/>
          <w:sz w:val="24"/>
          <w:szCs w:val="24"/>
        </w:rPr>
        <w:t xml:space="preserve">elements within this generic remain the same as the </w:t>
      </w:r>
      <w:r>
        <w:rPr>
          <w:rFonts w:ascii="Times New Roman" w:hAnsi="Times New Roman" w:cs="Times New Roman"/>
          <w:sz w:val="24"/>
          <w:szCs w:val="24"/>
        </w:rPr>
        <w:t>current</w:t>
      </w:r>
      <w:r w:rsidRPr="00D9575E" w:rsidR="00D9575E">
        <w:rPr>
          <w:rFonts w:ascii="Times New Roman" w:hAnsi="Times New Roman" w:cs="Times New Roman"/>
          <w:sz w:val="24"/>
          <w:szCs w:val="24"/>
        </w:rPr>
        <w:t xml:space="preserve"> approved generic clearance mechanism.</w:t>
      </w:r>
    </w:p>
    <w:p w:rsidRPr="00D9575E" w:rsidR="00D9575E" w:rsidP="00D9575E" w:rsidRDefault="00D9575E" w14:paraId="186F7734" w14:textId="77777777">
      <w:pPr>
        <w:rPr>
          <w:rFonts w:ascii="Times New Roman" w:hAnsi="Times New Roman" w:cs="Times New Roman"/>
          <w:sz w:val="24"/>
          <w:szCs w:val="24"/>
        </w:rPr>
      </w:pPr>
    </w:p>
    <w:p w:rsidRPr="00D9575E" w:rsidR="00D9575E" w:rsidP="00D9575E" w:rsidRDefault="00D9575E" w14:paraId="073CC9DB" w14:textId="77777777">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Plans for Tabulation and Publication and Project Time Schedule</w:t>
      </w:r>
    </w:p>
    <w:p w:rsidRPr="00D9575E" w:rsidR="00D9575E" w:rsidP="008549C4" w:rsidRDefault="00D9575E" w14:paraId="4218805E" w14:textId="77777777">
      <w:pPr>
        <w:rPr>
          <w:rFonts w:ascii="Times New Roman" w:hAnsi="Times New Roman" w:cs="Times New Roman"/>
          <w:sz w:val="24"/>
          <w:szCs w:val="24"/>
        </w:rPr>
      </w:pPr>
      <w:r w:rsidRPr="00D9575E">
        <w:rPr>
          <w:rFonts w:ascii="Times New Roman" w:hAnsi="Times New Roman" w:cs="Times New Roman"/>
          <w:sz w:val="24"/>
          <w:szCs w:val="24"/>
        </w:rPr>
        <w:t xml:space="preserve">Data collection will be ongoing.  </w:t>
      </w:r>
    </w:p>
    <w:p w:rsidRPr="00D9575E" w:rsidR="00D9575E" w:rsidP="00D9575E" w:rsidRDefault="00D9575E" w14:paraId="41017DA0" w14:textId="77777777">
      <w:pPr>
        <w:rPr>
          <w:rFonts w:ascii="Times New Roman" w:hAnsi="Times New Roman" w:cs="Times New Roman"/>
          <w:sz w:val="24"/>
          <w:szCs w:val="24"/>
          <w:u w:val="single"/>
        </w:rPr>
      </w:pPr>
    </w:p>
    <w:p w:rsidRPr="00D9575E" w:rsidR="00D9575E" w:rsidP="00D9575E" w:rsidRDefault="00D9575E" w14:paraId="713D370B" w14:textId="77777777">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Reason(s) Display of OMB Expiration Date is Inappropriate</w:t>
      </w:r>
    </w:p>
    <w:p w:rsidRPr="00D9575E" w:rsidR="00D9575E" w:rsidP="008549C4" w:rsidRDefault="00D9575E" w14:paraId="54758B9E" w14:textId="77777777">
      <w:pPr>
        <w:rPr>
          <w:rFonts w:ascii="Times New Roman" w:hAnsi="Times New Roman" w:cs="Times New Roman"/>
          <w:sz w:val="24"/>
          <w:szCs w:val="24"/>
        </w:rPr>
      </w:pPr>
      <w:r w:rsidRPr="00D9575E">
        <w:rPr>
          <w:rFonts w:ascii="Times New Roman" w:hAnsi="Times New Roman" w:cs="Times New Roman"/>
          <w:sz w:val="24"/>
          <w:szCs w:val="24"/>
        </w:rPr>
        <w:t>CDC does not request exemption from display of the OMB expiration date.</w:t>
      </w:r>
    </w:p>
    <w:p w:rsidRPr="00D9575E" w:rsidR="00D9575E" w:rsidP="00D9575E" w:rsidRDefault="00D9575E" w14:paraId="3C7A1885" w14:textId="77777777">
      <w:pPr>
        <w:rPr>
          <w:rFonts w:ascii="Times New Roman" w:hAnsi="Times New Roman" w:cs="Times New Roman"/>
          <w:sz w:val="24"/>
          <w:szCs w:val="24"/>
        </w:rPr>
      </w:pPr>
    </w:p>
    <w:p w:rsidRPr="00D9575E" w:rsidR="00D9575E" w:rsidP="00D9575E" w:rsidRDefault="00D9575E" w14:paraId="330B8447" w14:textId="77777777">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Exceptions to Certification for Paperwork Reduction Act Submissions</w:t>
      </w:r>
    </w:p>
    <w:p w:rsidRPr="00D9575E" w:rsidR="00D9575E" w:rsidP="008549C4" w:rsidRDefault="00D9575E" w14:paraId="5BDE6917" w14:textId="77777777">
      <w:pPr>
        <w:rPr>
          <w:rFonts w:ascii="Times New Roman" w:hAnsi="Times New Roman" w:cs="Times New Roman"/>
          <w:sz w:val="24"/>
          <w:szCs w:val="24"/>
        </w:rPr>
      </w:pPr>
      <w:r w:rsidRPr="00D9575E">
        <w:rPr>
          <w:rFonts w:ascii="Times New Roman" w:hAnsi="Times New Roman" w:cs="Times New Roman"/>
          <w:sz w:val="24"/>
          <w:szCs w:val="24"/>
        </w:rPr>
        <w:lastRenderedPageBreak/>
        <w:t>There are no exceptions to the certification.</w:t>
      </w:r>
    </w:p>
    <w:p w:rsidRPr="00D9575E" w:rsidR="00D9575E" w:rsidP="00D9575E" w:rsidRDefault="00D9575E" w14:paraId="7E727443" w14:textId="77777777">
      <w:pPr>
        <w:rPr>
          <w:rFonts w:ascii="Times New Roman" w:hAnsi="Times New Roman" w:cs="Times New Roman"/>
          <w:sz w:val="24"/>
          <w:szCs w:val="24"/>
        </w:rPr>
      </w:pPr>
    </w:p>
    <w:p w:rsidRPr="00D9575E" w:rsidR="00D9575E" w:rsidP="00D9575E" w:rsidRDefault="00D9575E" w14:paraId="07E3378A" w14:textId="2C2384FD">
      <w:pPr>
        <w:rPr>
          <w:rFonts w:ascii="Times New Roman" w:hAnsi="Times New Roman" w:cs="Times New Roman"/>
          <w:b/>
          <w:sz w:val="24"/>
          <w:szCs w:val="24"/>
        </w:rPr>
      </w:pPr>
      <w:r w:rsidRPr="00D9575E">
        <w:rPr>
          <w:rFonts w:ascii="Times New Roman" w:hAnsi="Times New Roman" w:cs="Times New Roman"/>
          <w:b/>
          <w:sz w:val="24"/>
          <w:szCs w:val="24"/>
        </w:rPr>
        <w:t>L</w:t>
      </w:r>
      <w:r w:rsidR="0016523D">
        <w:rPr>
          <w:rFonts w:ascii="Times New Roman" w:hAnsi="Times New Roman" w:cs="Times New Roman"/>
          <w:b/>
          <w:sz w:val="24"/>
          <w:szCs w:val="24"/>
        </w:rPr>
        <w:t>ist of Attachments</w:t>
      </w:r>
    </w:p>
    <w:p w:rsidR="00D9575E" w:rsidP="00D9575E" w:rsidRDefault="00D9575E" w14:paraId="32D64CBA" w14:textId="77777777">
      <w:pPr>
        <w:rPr>
          <w:rFonts w:ascii="Times New Roman" w:hAnsi="Times New Roman" w:cs="Times New Roman"/>
          <w:sz w:val="24"/>
          <w:szCs w:val="24"/>
        </w:rPr>
      </w:pPr>
      <w:r w:rsidRPr="00D9575E">
        <w:rPr>
          <w:rFonts w:ascii="Times New Roman" w:hAnsi="Times New Roman" w:cs="Times New Roman"/>
          <w:sz w:val="24"/>
          <w:szCs w:val="24"/>
        </w:rPr>
        <w:t xml:space="preserve">ATTACHMENT A: Public Health Service Act (42 USC Sec. 301 [241]).  </w:t>
      </w:r>
    </w:p>
    <w:p w:rsidRPr="00D9575E" w:rsidR="00914BCE" w:rsidP="00D9575E" w:rsidRDefault="00914BCE" w14:paraId="0471483A" w14:textId="170D3166">
      <w:pPr>
        <w:rPr>
          <w:rFonts w:ascii="Times New Roman" w:hAnsi="Times New Roman" w:cs="Times New Roman"/>
          <w:sz w:val="24"/>
          <w:szCs w:val="24"/>
        </w:rPr>
      </w:pPr>
      <w:r>
        <w:rPr>
          <w:rFonts w:ascii="Times New Roman" w:hAnsi="Times New Roman" w:cs="Times New Roman"/>
          <w:sz w:val="24"/>
          <w:szCs w:val="24"/>
        </w:rPr>
        <w:t>ATTACHMENT B</w:t>
      </w:r>
      <w:r w:rsidRPr="00914BCE">
        <w:rPr>
          <w:rFonts w:ascii="Times New Roman" w:hAnsi="Times New Roman" w:cs="Times New Roman"/>
          <w:sz w:val="24"/>
          <w:szCs w:val="24"/>
        </w:rPr>
        <w:t>: Approved GenICs under 0920-0879</w:t>
      </w:r>
    </w:p>
    <w:p w:rsidR="00D9575E" w:rsidP="003E0305" w:rsidRDefault="00D9575E" w14:paraId="5496BE89" w14:textId="2280D5C2">
      <w:pPr>
        <w:rPr>
          <w:rFonts w:ascii="Times New Roman" w:hAnsi="Times New Roman" w:cs="Times New Roman"/>
          <w:sz w:val="24"/>
          <w:szCs w:val="24"/>
        </w:rPr>
      </w:pPr>
    </w:p>
    <w:p w:rsidRPr="00DB0CFE" w:rsidR="0016523D" w:rsidP="003E0305" w:rsidRDefault="0016523D" w14:paraId="43952CDF" w14:textId="798628AD">
      <w:pPr>
        <w:rPr>
          <w:rFonts w:ascii="Times New Roman" w:hAnsi="Times New Roman" w:cs="Times New Roman"/>
          <w:b/>
          <w:sz w:val="24"/>
          <w:szCs w:val="24"/>
        </w:rPr>
      </w:pPr>
      <w:r w:rsidRPr="00DB0CFE">
        <w:rPr>
          <w:rFonts w:ascii="Times New Roman" w:hAnsi="Times New Roman" w:cs="Times New Roman"/>
          <w:b/>
          <w:sz w:val="24"/>
          <w:szCs w:val="24"/>
        </w:rPr>
        <w:t>References</w:t>
      </w:r>
    </w:p>
    <w:p w:rsidRPr="0064317B" w:rsidR="0016523D" w:rsidP="003E0305" w:rsidRDefault="0016523D" w14:paraId="2AD37D12" w14:textId="77777777">
      <w:pPr>
        <w:rPr>
          <w:rFonts w:ascii="Times New Roman" w:hAnsi="Times New Roman" w:cs="Times New Roman"/>
          <w:sz w:val="24"/>
          <w:szCs w:val="24"/>
        </w:rPr>
      </w:pPr>
    </w:p>
    <w:p w:rsidRPr="0064317B" w:rsidR="007A7ABD" w:rsidP="003E0305" w:rsidRDefault="0016523D" w14:paraId="36187FA9" w14:textId="7DBF355C">
      <w:pPr>
        <w:rPr>
          <w:rFonts w:ascii="Times New Roman" w:hAnsi="Times New Roman" w:cs="Times New Roman"/>
          <w:sz w:val="24"/>
          <w:szCs w:val="24"/>
        </w:rPr>
      </w:pPr>
      <w:r w:rsidRPr="0064317B">
        <w:rPr>
          <w:rFonts w:ascii="Times New Roman" w:hAnsi="Times New Roman" w:cs="Times New Roman"/>
          <w:sz w:val="24"/>
          <w:szCs w:val="24"/>
        </w:rPr>
        <w:t xml:space="preserve">1. </w:t>
      </w:r>
      <w:r w:rsidRPr="00DB0CFE">
        <w:rPr>
          <w:rFonts w:ascii="Times New Roman" w:hAnsi="Times New Roman" w:cs="Times New Roman"/>
          <w:sz w:val="24"/>
          <w:szCs w:val="24"/>
        </w:rPr>
        <w:t>National Prevention Strategy (NPS):</w:t>
      </w:r>
      <w:r w:rsidRPr="0064317B" w:rsidR="00346808">
        <w:rPr>
          <w:rFonts w:ascii="Times New Roman" w:hAnsi="Times New Roman" w:cs="Times New Roman"/>
          <w:sz w:val="24"/>
          <w:szCs w:val="24"/>
        </w:rPr>
        <w:t xml:space="preserve"> https://www.hhs.gov/sites/default/files/disease-prevention-wellness-report.pdf</w:t>
      </w:r>
    </w:p>
    <w:p w:rsidRPr="0064317B" w:rsidR="007A7ABD" w:rsidP="00666D39" w:rsidRDefault="007A7ABD" w14:paraId="64E653D4" w14:textId="77777777">
      <w:pPr>
        <w:rPr>
          <w:rFonts w:ascii="Times New Roman" w:hAnsi="Times New Roman" w:cs="Times New Roman"/>
          <w:sz w:val="24"/>
          <w:szCs w:val="24"/>
        </w:rPr>
      </w:pPr>
    </w:p>
    <w:p w:rsidRPr="0064317B" w:rsidR="007A7ABD" w:rsidP="00666D39" w:rsidRDefault="0016523D" w14:paraId="732AD942" w14:textId="2473E852">
      <w:pPr>
        <w:rPr>
          <w:rFonts w:ascii="Times New Roman" w:hAnsi="Times New Roman" w:cs="Times New Roman"/>
          <w:sz w:val="24"/>
          <w:szCs w:val="24"/>
        </w:rPr>
      </w:pPr>
      <w:r w:rsidRPr="0064317B">
        <w:rPr>
          <w:rFonts w:ascii="Times New Roman" w:hAnsi="Times New Roman" w:cs="Times New Roman"/>
          <w:sz w:val="24"/>
          <w:szCs w:val="24"/>
        </w:rPr>
        <w:t>2. Primary Care and Public Health: Exploring Integration to Improve Population Health</w:t>
      </w:r>
      <w:r w:rsidRPr="0064317B" w:rsidR="00346808">
        <w:rPr>
          <w:rFonts w:ascii="Times New Roman" w:hAnsi="Times New Roman" w:cs="Times New Roman"/>
          <w:sz w:val="24"/>
          <w:szCs w:val="24"/>
        </w:rPr>
        <w:t>; https://www.ncbi.nlm.nih.gov/pubmed/24851288</w:t>
      </w:r>
    </w:p>
    <w:p w:rsidRPr="0064317B" w:rsidR="007A7ABD" w:rsidP="00666D39" w:rsidRDefault="007A7ABD" w14:paraId="4DDDB2BC" w14:textId="77777777">
      <w:pPr>
        <w:rPr>
          <w:rFonts w:ascii="Times New Roman" w:hAnsi="Times New Roman" w:cs="Times New Roman"/>
          <w:sz w:val="24"/>
          <w:szCs w:val="24"/>
        </w:rPr>
      </w:pPr>
    </w:p>
    <w:p w:rsidRPr="0064317B" w:rsidR="00AB7343" w:rsidP="00666D39" w:rsidRDefault="0016523D" w14:paraId="4D1EB694" w14:textId="70F97C85">
      <w:pPr>
        <w:rPr>
          <w:rFonts w:ascii="Times New Roman" w:hAnsi="Times New Roman" w:cs="Times New Roman"/>
          <w:sz w:val="24"/>
          <w:szCs w:val="24"/>
        </w:rPr>
      </w:pPr>
      <w:r w:rsidRPr="0064317B">
        <w:rPr>
          <w:rFonts w:ascii="Times New Roman" w:hAnsi="Times New Roman" w:cs="Times New Roman"/>
          <w:sz w:val="24"/>
          <w:szCs w:val="24"/>
        </w:rPr>
        <w:t xml:space="preserve">3. </w:t>
      </w:r>
      <w:r w:rsidRPr="00DB0CFE">
        <w:rPr>
          <w:rFonts w:ascii="Times New Roman" w:hAnsi="Times New Roman" w:cs="Times New Roman"/>
          <w:sz w:val="24"/>
          <w:szCs w:val="24"/>
        </w:rPr>
        <w:t>HHS Strategic Plan</w:t>
      </w:r>
      <w:r w:rsidRPr="0064317B" w:rsidR="00346808">
        <w:rPr>
          <w:rFonts w:ascii="Times New Roman" w:hAnsi="Times New Roman" w:cs="Times New Roman"/>
          <w:sz w:val="24"/>
          <w:szCs w:val="24"/>
        </w:rPr>
        <w:t xml:space="preserve">: </w:t>
      </w:r>
      <w:hyperlink w:history="1" r:id="rId8">
        <w:r w:rsidRPr="0064317B" w:rsidR="00346808">
          <w:rPr>
            <w:rStyle w:val="Hyperlink"/>
            <w:rFonts w:ascii="Times New Roman" w:hAnsi="Times New Roman" w:cs="Times New Roman"/>
            <w:sz w:val="24"/>
            <w:szCs w:val="24"/>
          </w:rPr>
          <w:t>https://www.hhs.gov/about/strategic-plan/index.html</w:t>
        </w:r>
      </w:hyperlink>
    </w:p>
    <w:p w:rsidRPr="0064317B" w:rsidR="00346808" w:rsidP="00666D39" w:rsidRDefault="00346808" w14:paraId="06B30563" w14:textId="77777777">
      <w:pPr>
        <w:rPr>
          <w:rFonts w:ascii="Times New Roman" w:hAnsi="Times New Roman" w:cs="Times New Roman"/>
          <w:sz w:val="24"/>
          <w:szCs w:val="24"/>
        </w:rPr>
      </w:pPr>
    </w:p>
    <w:p w:rsidR="0016523D" w:rsidP="00666D39" w:rsidRDefault="0016523D" w14:paraId="34BA8E2A" w14:textId="6E989CF5">
      <w:pPr>
        <w:rPr>
          <w:rFonts w:ascii="Times New Roman" w:hAnsi="Times New Roman" w:cs="Times New Roman"/>
          <w:sz w:val="24"/>
          <w:szCs w:val="24"/>
        </w:rPr>
      </w:pPr>
      <w:r w:rsidRPr="00DB0CFE">
        <w:rPr>
          <w:rFonts w:ascii="Times New Roman" w:hAnsi="Times New Roman" w:cs="Times New Roman"/>
          <w:sz w:val="24"/>
          <w:szCs w:val="24"/>
        </w:rPr>
        <w:t>4. Bureau of Labor Statistics’ National Occupational Employment and Wage Estimates</w:t>
      </w:r>
      <w:r w:rsidRPr="0064317B" w:rsidR="00346808">
        <w:rPr>
          <w:rFonts w:ascii="Times New Roman" w:hAnsi="Times New Roman" w:cs="Times New Roman"/>
          <w:sz w:val="24"/>
          <w:szCs w:val="24"/>
        </w:rPr>
        <w:t>:</w:t>
      </w:r>
      <w:r w:rsidR="00346808">
        <w:rPr>
          <w:rFonts w:ascii="Times New Roman" w:hAnsi="Times New Roman" w:cs="Times New Roman"/>
          <w:sz w:val="24"/>
          <w:szCs w:val="24"/>
        </w:rPr>
        <w:t xml:space="preserve"> </w:t>
      </w:r>
      <w:r w:rsidRPr="00212A22" w:rsidR="00346808">
        <w:rPr>
          <w:rFonts w:ascii="Times New Roman" w:hAnsi="Times New Roman" w:cs="Times New Roman"/>
        </w:rPr>
        <w:t>https://www.bls.gov/oes/current/oes_nat.htm</w:t>
      </w:r>
    </w:p>
    <w:sectPr w:rsidR="0016523D" w:rsidSect="00252216">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7B1A6" w14:textId="77777777" w:rsidR="0000417F" w:rsidRDefault="0000417F" w:rsidP="008B5D54">
      <w:r>
        <w:separator/>
      </w:r>
    </w:p>
  </w:endnote>
  <w:endnote w:type="continuationSeparator" w:id="0">
    <w:p w14:paraId="7147B475" w14:textId="77777777" w:rsidR="0000417F" w:rsidRDefault="0000417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9ACE" w14:textId="77777777" w:rsidR="000B44C3" w:rsidRDefault="000B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993110"/>
      <w:docPartObj>
        <w:docPartGallery w:val="Page Numbers (Bottom of Page)"/>
        <w:docPartUnique/>
      </w:docPartObj>
    </w:sdtPr>
    <w:sdtEndPr>
      <w:rPr>
        <w:noProof/>
      </w:rPr>
    </w:sdtEndPr>
    <w:sdtContent>
      <w:p w14:paraId="11FF39AE" w14:textId="252BDBE7" w:rsidR="00252216" w:rsidRDefault="00252216">
        <w:pPr>
          <w:pStyle w:val="Footer"/>
          <w:jc w:val="right"/>
        </w:pPr>
        <w:r>
          <w:fldChar w:fldCharType="begin"/>
        </w:r>
        <w:r>
          <w:instrText xml:space="preserve"> PAGE   \* MERGEFORMAT </w:instrText>
        </w:r>
        <w:r>
          <w:fldChar w:fldCharType="separate"/>
        </w:r>
        <w:r w:rsidR="006D422F">
          <w:rPr>
            <w:noProof/>
          </w:rPr>
          <w:t>12</w:t>
        </w:r>
        <w:r>
          <w:rPr>
            <w:noProof/>
          </w:rPr>
          <w:fldChar w:fldCharType="end"/>
        </w:r>
      </w:p>
    </w:sdtContent>
  </w:sdt>
  <w:p w14:paraId="4F5647C3"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CA49" w14:textId="77777777" w:rsidR="000B44C3" w:rsidRDefault="000B4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61DC7" w14:textId="77777777" w:rsidR="0000417F" w:rsidRDefault="0000417F" w:rsidP="008B5D54">
      <w:r>
        <w:separator/>
      </w:r>
    </w:p>
  </w:footnote>
  <w:footnote w:type="continuationSeparator" w:id="0">
    <w:p w14:paraId="07B298EC" w14:textId="77777777" w:rsidR="0000417F" w:rsidRDefault="0000417F" w:rsidP="008B5D54">
      <w:r>
        <w:continuationSeparator/>
      </w:r>
    </w:p>
  </w:footnote>
  <w:footnote w:id="1">
    <w:p w14:paraId="6057A424" w14:textId="49E9578F" w:rsidR="00F15713" w:rsidRPr="00212A22" w:rsidRDefault="00F15713" w:rsidP="00F15713">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0944" w14:textId="77777777" w:rsidR="000B44C3" w:rsidRDefault="000B4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4787" w14:textId="77777777" w:rsidR="000B44C3" w:rsidRDefault="000B4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E642" w14:textId="77777777" w:rsidR="000B44C3" w:rsidRDefault="000B4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5E5"/>
    <w:multiLevelType w:val="hybridMultilevel"/>
    <w:tmpl w:val="A8BC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41916"/>
    <w:multiLevelType w:val="hybridMultilevel"/>
    <w:tmpl w:val="1E2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90922"/>
    <w:multiLevelType w:val="hybridMultilevel"/>
    <w:tmpl w:val="CC14B9C8"/>
    <w:lvl w:ilvl="0" w:tplc="A63CBD6E">
      <w:start w:val="9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C0D6B"/>
    <w:multiLevelType w:val="hybridMultilevel"/>
    <w:tmpl w:val="CF3A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4605D"/>
    <w:multiLevelType w:val="hybridMultilevel"/>
    <w:tmpl w:val="30D48CF8"/>
    <w:lvl w:ilvl="0" w:tplc="A63CBD6E">
      <w:start w:val="9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F02DF"/>
    <w:multiLevelType w:val="hybridMultilevel"/>
    <w:tmpl w:val="BD0AD8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95D89"/>
    <w:multiLevelType w:val="hybridMultilevel"/>
    <w:tmpl w:val="D856E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23E1E"/>
    <w:multiLevelType w:val="hybridMultilevel"/>
    <w:tmpl w:val="9CF6FB00"/>
    <w:lvl w:ilvl="0" w:tplc="C27EE2A0">
      <w:start w:val="1"/>
      <w:numFmt w:val="bullet"/>
      <w:lvlText w:val=""/>
      <w:lvlJc w:val="left"/>
      <w:pPr>
        <w:ind w:left="840" w:hanging="361"/>
      </w:pPr>
      <w:rPr>
        <w:rFonts w:ascii="Symbol" w:eastAsia="Symbol" w:hAnsi="Symbol" w:hint="default"/>
        <w:color w:val="161616"/>
        <w:sz w:val="22"/>
        <w:szCs w:val="22"/>
      </w:rPr>
    </w:lvl>
    <w:lvl w:ilvl="1" w:tplc="96D4D92A">
      <w:start w:val="1"/>
      <w:numFmt w:val="bullet"/>
      <w:lvlText w:val="•"/>
      <w:lvlJc w:val="left"/>
      <w:pPr>
        <w:ind w:left="1778" w:hanging="361"/>
      </w:pPr>
      <w:rPr>
        <w:rFonts w:hint="default"/>
      </w:rPr>
    </w:lvl>
    <w:lvl w:ilvl="2" w:tplc="9EB41028">
      <w:start w:val="1"/>
      <w:numFmt w:val="bullet"/>
      <w:lvlText w:val="•"/>
      <w:lvlJc w:val="left"/>
      <w:pPr>
        <w:ind w:left="2716" w:hanging="361"/>
      </w:pPr>
      <w:rPr>
        <w:rFonts w:hint="default"/>
      </w:rPr>
    </w:lvl>
    <w:lvl w:ilvl="3" w:tplc="3F1EE078">
      <w:start w:val="1"/>
      <w:numFmt w:val="bullet"/>
      <w:lvlText w:val="•"/>
      <w:lvlJc w:val="left"/>
      <w:pPr>
        <w:ind w:left="3654" w:hanging="361"/>
      </w:pPr>
      <w:rPr>
        <w:rFonts w:hint="default"/>
      </w:rPr>
    </w:lvl>
    <w:lvl w:ilvl="4" w:tplc="F5EE4368">
      <w:start w:val="1"/>
      <w:numFmt w:val="bullet"/>
      <w:lvlText w:val="•"/>
      <w:lvlJc w:val="left"/>
      <w:pPr>
        <w:ind w:left="4592" w:hanging="361"/>
      </w:pPr>
      <w:rPr>
        <w:rFonts w:hint="default"/>
      </w:rPr>
    </w:lvl>
    <w:lvl w:ilvl="5" w:tplc="5DB68C22">
      <w:start w:val="1"/>
      <w:numFmt w:val="bullet"/>
      <w:lvlText w:val="•"/>
      <w:lvlJc w:val="left"/>
      <w:pPr>
        <w:ind w:left="5530" w:hanging="361"/>
      </w:pPr>
      <w:rPr>
        <w:rFonts w:hint="default"/>
      </w:rPr>
    </w:lvl>
    <w:lvl w:ilvl="6" w:tplc="65BE89E6">
      <w:start w:val="1"/>
      <w:numFmt w:val="bullet"/>
      <w:lvlText w:val="•"/>
      <w:lvlJc w:val="left"/>
      <w:pPr>
        <w:ind w:left="6468" w:hanging="361"/>
      </w:pPr>
      <w:rPr>
        <w:rFonts w:hint="default"/>
      </w:rPr>
    </w:lvl>
    <w:lvl w:ilvl="7" w:tplc="D9CE4B66">
      <w:start w:val="1"/>
      <w:numFmt w:val="bullet"/>
      <w:lvlText w:val="•"/>
      <w:lvlJc w:val="left"/>
      <w:pPr>
        <w:ind w:left="7406" w:hanging="361"/>
      </w:pPr>
      <w:rPr>
        <w:rFonts w:hint="default"/>
      </w:rPr>
    </w:lvl>
    <w:lvl w:ilvl="8" w:tplc="12DE2E46">
      <w:start w:val="1"/>
      <w:numFmt w:val="bullet"/>
      <w:lvlText w:val="•"/>
      <w:lvlJc w:val="left"/>
      <w:pPr>
        <w:ind w:left="8344" w:hanging="361"/>
      </w:pPr>
      <w:rPr>
        <w:rFonts w:hint="default"/>
      </w:rPr>
    </w:lvl>
  </w:abstractNum>
  <w:abstractNum w:abstractNumId="9"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15:restartNumberingAfterBreak="0">
    <w:nsid w:val="31507F4A"/>
    <w:multiLevelType w:val="hybridMultilevel"/>
    <w:tmpl w:val="36805D18"/>
    <w:lvl w:ilvl="0" w:tplc="A63CBD6E">
      <w:start w:val="920"/>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A11235"/>
    <w:multiLevelType w:val="multilevel"/>
    <w:tmpl w:val="766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B0CAC"/>
    <w:multiLevelType w:val="hybridMultilevel"/>
    <w:tmpl w:val="AF62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86F28"/>
    <w:multiLevelType w:val="hybridMultilevel"/>
    <w:tmpl w:val="B9881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26805"/>
    <w:multiLevelType w:val="hybridMultilevel"/>
    <w:tmpl w:val="A320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157331"/>
    <w:multiLevelType w:val="hybridMultilevel"/>
    <w:tmpl w:val="D598A040"/>
    <w:lvl w:ilvl="0" w:tplc="04090001">
      <w:start w:val="1"/>
      <w:numFmt w:val="bullet"/>
      <w:lvlText w:val=""/>
      <w:lvlJc w:val="left"/>
      <w:pPr>
        <w:ind w:left="720" w:hanging="360"/>
      </w:pPr>
      <w:rPr>
        <w:rFonts w:ascii="Symbol" w:hAnsi="Symbol" w:hint="default"/>
      </w:rPr>
    </w:lvl>
    <w:lvl w:ilvl="1" w:tplc="C7B282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932DE"/>
    <w:multiLevelType w:val="hybridMultilevel"/>
    <w:tmpl w:val="350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B3A01"/>
    <w:multiLevelType w:val="hybridMultilevel"/>
    <w:tmpl w:val="FE0A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80147"/>
    <w:multiLevelType w:val="hybridMultilevel"/>
    <w:tmpl w:val="32BE0B2C"/>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8A40CB1"/>
    <w:multiLevelType w:val="hybridMultilevel"/>
    <w:tmpl w:val="4E30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43072"/>
    <w:multiLevelType w:val="hybridMultilevel"/>
    <w:tmpl w:val="9080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6"/>
  </w:num>
  <w:num w:numId="4">
    <w:abstractNumId w:val="19"/>
  </w:num>
  <w:num w:numId="5">
    <w:abstractNumId w:val="1"/>
  </w:num>
  <w:num w:numId="6">
    <w:abstractNumId w:val="5"/>
  </w:num>
  <w:num w:numId="7">
    <w:abstractNumId w:val="17"/>
  </w:num>
  <w:num w:numId="8">
    <w:abstractNumId w:val="8"/>
  </w:num>
  <w:num w:numId="9">
    <w:abstractNumId w:val="18"/>
  </w:num>
  <w:num w:numId="10">
    <w:abstractNumId w:val="0"/>
  </w:num>
  <w:num w:numId="11">
    <w:abstractNumId w:val="20"/>
  </w:num>
  <w:num w:numId="12">
    <w:abstractNumId w:val="2"/>
  </w:num>
  <w:num w:numId="13">
    <w:abstractNumId w:val="11"/>
  </w:num>
  <w:num w:numId="14">
    <w:abstractNumId w:val="4"/>
  </w:num>
  <w:num w:numId="15">
    <w:abstractNumId w:val="6"/>
  </w:num>
  <w:num w:numId="16">
    <w:abstractNumId w:val="10"/>
  </w:num>
  <w:num w:numId="17">
    <w:abstractNumId w:val="3"/>
  </w:num>
  <w:num w:numId="18">
    <w:abstractNumId w:val="12"/>
  </w:num>
  <w:num w:numId="19">
    <w:abstractNumId w:val="15"/>
  </w:num>
  <w:num w:numId="20">
    <w:abstractNumId w:val="9"/>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22"/>
    <w:rsid w:val="0000417F"/>
    <w:rsid w:val="00014DA8"/>
    <w:rsid w:val="0001651B"/>
    <w:rsid w:val="00033538"/>
    <w:rsid w:val="000453F7"/>
    <w:rsid w:val="00047E2D"/>
    <w:rsid w:val="000635E1"/>
    <w:rsid w:val="00072833"/>
    <w:rsid w:val="00077BD3"/>
    <w:rsid w:val="000A3A09"/>
    <w:rsid w:val="000A4C35"/>
    <w:rsid w:val="000B44C3"/>
    <w:rsid w:val="00101073"/>
    <w:rsid w:val="0010712C"/>
    <w:rsid w:val="00125FF2"/>
    <w:rsid w:val="001502A5"/>
    <w:rsid w:val="0016523D"/>
    <w:rsid w:val="001A595E"/>
    <w:rsid w:val="001B1AC2"/>
    <w:rsid w:val="00205378"/>
    <w:rsid w:val="00212A22"/>
    <w:rsid w:val="002262A9"/>
    <w:rsid w:val="00233BDB"/>
    <w:rsid w:val="002349CA"/>
    <w:rsid w:val="0023760A"/>
    <w:rsid w:val="00252216"/>
    <w:rsid w:val="002549E0"/>
    <w:rsid w:val="0026660F"/>
    <w:rsid w:val="002A1586"/>
    <w:rsid w:val="002C4D60"/>
    <w:rsid w:val="002D68B7"/>
    <w:rsid w:val="002D7C7B"/>
    <w:rsid w:val="0032646B"/>
    <w:rsid w:val="00327474"/>
    <w:rsid w:val="00346808"/>
    <w:rsid w:val="00361D6F"/>
    <w:rsid w:val="00363AB1"/>
    <w:rsid w:val="00382315"/>
    <w:rsid w:val="00386077"/>
    <w:rsid w:val="00392BB8"/>
    <w:rsid w:val="003942BE"/>
    <w:rsid w:val="003A38D4"/>
    <w:rsid w:val="003B3CE0"/>
    <w:rsid w:val="003E0305"/>
    <w:rsid w:val="003E1FB0"/>
    <w:rsid w:val="003F69D9"/>
    <w:rsid w:val="00405070"/>
    <w:rsid w:val="00413A68"/>
    <w:rsid w:val="00426ABD"/>
    <w:rsid w:val="004373F4"/>
    <w:rsid w:val="00445AB2"/>
    <w:rsid w:val="00470B6F"/>
    <w:rsid w:val="00487248"/>
    <w:rsid w:val="004B4A6D"/>
    <w:rsid w:val="004C770E"/>
    <w:rsid w:val="004E64E3"/>
    <w:rsid w:val="00501809"/>
    <w:rsid w:val="00530497"/>
    <w:rsid w:val="005360FE"/>
    <w:rsid w:val="005448FE"/>
    <w:rsid w:val="00545D9A"/>
    <w:rsid w:val="00547BA4"/>
    <w:rsid w:val="00584C2F"/>
    <w:rsid w:val="00593CB5"/>
    <w:rsid w:val="005A168E"/>
    <w:rsid w:val="005C2911"/>
    <w:rsid w:val="005D0B15"/>
    <w:rsid w:val="005D0D58"/>
    <w:rsid w:val="006017D1"/>
    <w:rsid w:val="00603946"/>
    <w:rsid w:val="00603C74"/>
    <w:rsid w:val="00610969"/>
    <w:rsid w:val="0063427F"/>
    <w:rsid w:val="00636922"/>
    <w:rsid w:val="0064317B"/>
    <w:rsid w:val="00644672"/>
    <w:rsid w:val="006466F9"/>
    <w:rsid w:val="00652DE4"/>
    <w:rsid w:val="006612FC"/>
    <w:rsid w:val="00662697"/>
    <w:rsid w:val="00666D39"/>
    <w:rsid w:val="006779B8"/>
    <w:rsid w:val="006A21AC"/>
    <w:rsid w:val="006A75D1"/>
    <w:rsid w:val="006A7ABD"/>
    <w:rsid w:val="006C6578"/>
    <w:rsid w:val="006D422F"/>
    <w:rsid w:val="006D64E2"/>
    <w:rsid w:val="00705927"/>
    <w:rsid w:val="00710D40"/>
    <w:rsid w:val="007159F4"/>
    <w:rsid w:val="007215E5"/>
    <w:rsid w:val="00752B5A"/>
    <w:rsid w:val="0075481A"/>
    <w:rsid w:val="0076316E"/>
    <w:rsid w:val="007A7ABD"/>
    <w:rsid w:val="007F730F"/>
    <w:rsid w:val="0081512F"/>
    <w:rsid w:val="00841B2A"/>
    <w:rsid w:val="008549C4"/>
    <w:rsid w:val="00897DAF"/>
    <w:rsid w:val="008B25AB"/>
    <w:rsid w:val="008B42DC"/>
    <w:rsid w:val="008B5D54"/>
    <w:rsid w:val="008C19DB"/>
    <w:rsid w:val="008C29FB"/>
    <w:rsid w:val="008E4730"/>
    <w:rsid w:val="00914BCE"/>
    <w:rsid w:val="00915CFC"/>
    <w:rsid w:val="0092444D"/>
    <w:rsid w:val="00983890"/>
    <w:rsid w:val="009C0B72"/>
    <w:rsid w:val="00A030DA"/>
    <w:rsid w:val="00A046DB"/>
    <w:rsid w:val="00A1102A"/>
    <w:rsid w:val="00A65259"/>
    <w:rsid w:val="00A8301D"/>
    <w:rsid w:val="00AB2BDC"/>
    <w:rsid w:val="00AB7343"/>
    <w:rsid w:val="00AD3695"/>
    <w:rsid w:val="00AE6B8F"/>
    <w:rsid w:val="00AF7F34"/>
    <w:rsid w:val="00B1556E"/>
    <w:rsid w:val="00B26227"/>
    <w:rsid w:val="00B55735"/>
    <w:rsid w:val="00B608AC"/>
    <w:rsid w:val="00B93470"/>
    <w:rsid w:val="00BA247A"/>
    <w:rsid w:val="00BB1C89"/>
    <w:rsid w:val="00BB5AAF"/>
    <w:rsid w:val="00BC65BD"/>
    <w:rsid w:val="00BF2634"/>
    <w:rsid w:val="00C00160"/>
    <w:rsid w:val="00C12E85"/>
    <w:rsid w:val="00C17E6E"/>
    <w:rsid w:val="00C3187F"/>
    <w:rsid w:val="00C50F2A"/>
    <w:rsid w:val="00C53178"/>
    <w:rsid w:val="00CB3869"/>
    <w:rsid w:val="00CB7196"/>
    <w:rsid w:val="00CD0614"/>
    <w:rsid w:val="00D01060"/>
    <w:rsid w:val="00D06F91"/>
    <w:rsid w:val="00D217C3"/>
    <w:rsid w:val="00D76BF2"/>
    <w:rsid w:val="00D9575E"/>
    <w:rsid w:val="00DA52FE"/>
    <w:rsid w:val="00DB0CFE"/>
    <w:rsid w:val="00DC57CC"/>
    <w:rsid w:val="00DC697E"/>
    <w:rsid w:val="00DD4DCF"/>
    <w:rsid w:val="00DE59EF"/>
    <w:rsid w:val="00DF7CA7"/>
    <w:rsid w:val="00E0222E"/>
    <w:rsid w:val="00E4418B"/>
    <w:rsid w:val="00E52976"/>
    <w:rsid w:val="00E53ECC"/>
    <w:rsid w:val="00E97D22"/>
    <w:rsid w:val="00EE4CB6"/>
    <w:rsid w:val="00EE5B64"/>
    <w:rsid w:val="00EF09E0"/>
    <w:rsid w:val="00F0405F"/>
    <w:rsid w:val="00F05202"/>
    <w:rsid w:val="00F06C11"/>
    <w:rsid w:val="00F15713"/>
    <w:rsid w:val="00F22ED0"/>
    <w:rsid w:val="00F365D8"/>
    <w:rsid w:val="00F41999"/>
    <w:rsid w:val="00F515E8"/>
    <w:rsid w:val="00FA2449"/>
    <w:rsid w:val="00FE09D4"/>
    <w:rsid w:val="00F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E59DE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B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E0305"/>
    <w:pPr>
      <w:spacing w:before="225" w:after="150"/>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97DAF"/>
    <w:pPr>
      <w:ind w:left="720"/>
      <w:contextualSpacing/>
    </w:pPr>
  </w:style>
  <w:style w:type="paragraph" w:styleId="BodyText">
    <w:name w:val="Body Text"/>
    <w:basedOn w:val="Normal"/>
    <w:link w:val="BodyTextChar"/>
    <w:uiPriority w:val="1"/>
    <w:qFormat/>
    <w:rsid w:val="00666D39"/>
    <w:pPr>
      <w:widowControl w:val="0"/>
      <w:spacing w:before="118"/>
      <w:ind w:left="840" w:hanging="360"/>
    </w:pPr>
    <w:rPr>
      <w:rFonts w:ascii="Cambria" w:eastAsia="Cambria" w:hAnsi="Cambria"/>
    </w:rPr>
  </w:style>
  <w:style w:type="character" w:customStyle="1" w:styleId="BodyTextChar">
    <w:name w:val="Body Text Char"/>
    <w:basedOn w:val="DefaultParagraphFont"/>
    <w:link w:val="BodyText"/>
    <w:uiPriority w:val="1"/>
    <w:rsid w:val="00666D39"/>
    <w:rPr>
      <w:rFonts w:ascii="Cambria" w:eastAsia="Cambria" w:hAnsi="Cambria"/>
    </w:rPr>
  </w:style>
  <w:style w:type="paragraph" w:customStyle="1" w:styleId="Default">
    <w:name w:val="Default"/>
    <w:rsid w:val="00205378"/>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205378"/>
    <w:rPr>
      <w:color w:val="auto"/>
    </w:rPr>
  </w:style>
  <w:style w:type="character" w:customStyle="1" w:styleId="Heading2Char">
    <w:name w:val="Heading 2 Char"/>
    <w:basedOn w:val="DefaultParagraphFont"/>
    <w:link w:val="Heading2"/>
    <w:uiPriority w:val="9"/>
    <w:rsid w:val="003E0305"/>
    <w:rPr>
      <w:rFonts w:ascii="Times New Roman" w:eastAsia="Times New Roman" w:hAnsi="Times New Roman" w:cs="Times New Roman"/>
      <w:b/>
      <w:bCs/>
      <w:color w:val="660000"/>
      <w:sz w:val="32"/>
      <w:szCs w:val="32"/>
    </w:rPr>
  </w:style>
  <w:style w:type="paragraph" w:styleId="FootnoteText">
    <w:name w:val="footnote text"/>
    <w:basedOn w:val="Normal"/>
    <w:link w:val="FootnoteTextChar"/>
    <w:uiPriority w:val="99"/>
    <w:unhideWhenUsed/>
    <w:rsid w:val="00662697"/>
    <w:rPr>
      <w:sz w:val="20"/>
      <w:szCs w:val="20"/>
    </w:rPr>
  </w:style>
  <w:style w:type="character" w:customStyle="1" w:styleId="FootnoteTextChar">
    <w:name w:val="Footnote Text Char"/>
    <w:basedOn w:val="DefaultParagraphFont"/>
    <w:link w:val="FootnoteText"/>
    <w:uiPriority w:val="99"/>
    <w:rsid w:val="00662697"/>
    <w:rPr>
      <w:sz w:val="20"/>
      <w:szCs w:val="20"/>
    </w:rPr>
  </w:style>
  <w:style w:type="character" w:styleId="FootnoteReference">
    <w:name w:val="footnote reference"/>
    <w:basedOn w:val="DefaultParagraphFont"/>
    <w:uiPriority w:val="99"/>
    <w:semiHidden/>
    <w:unhideWhenUsed/>
    <w:rsid w:val="00662697"/>
    <w:rPr>
      <w:vertAlign w:val="superscript"/>
    </w:rPr>
  </w:style>
  <w:style w:type="paragraph" w:styleId="NormalWeb">
    <w:name w:val="Normal (Web)"/>
    <w:basedOn w:val="Normal"/>
    <w:uiPriority w:val="99"/>
    <w:unhideWhenUsed/>
    <w:rsid w:val="0032747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3AB1"/>
    <w:rPr>
      <w:sz w:val="16"/>
      <w:szCs w:val="16"/>
    </w:rPr>
  </w:style>
  <w:style w:type="paragraph" w:styleId="CommentText">
    <w:name w:val="annotation text"/>
    <w:basedOn w:val="Normal"/>
    <w:link w:val="CommentTextChar"/>
    <w:uiPriority w:val="99"/>
    <w:semiHidden/>
    <w:unhideWhenUsed/>
    <w:rsid w:val="00363AB1"/>
    <w:rPr>
      <w:sz w:val="20"/>
      <w:szCs w:val="20"/>
    </w:rPr>
  </w:style>
  <w:style w:type="character" w:customStyle="1" w:styleId="CommentTextChar">
    <w:name w:val="Comment Text Char"/>
    <w:basedOn w:val="DefaultParagraphFont"/>
    <w:link w:val="CommentText"/>
    <w:uiPriority w:val="99"/>
    <w:semiHidden/>
    <w:rsid w:val="00363AB1"/>
    <w:rPr>
      <w:sz w:val="20"/>
      <w:szCs w:val="20"/>
    </w:rPr>
  </w:style>
  <w:style w:type="paragraph" w:styleId="CommentSubject">
    <w:name w:val="annotation subject"/>
    <w:basedOn w:val="CommentText"/>
    <w:next w:val="CommentText"/>
    <w:link w:val="CommentSubjectChar"/>
    <w:uiPriority w:val="99"/>
    <w:semiHidden/>
    <w:unhideWhenUsed/>
    <w:rsid w:val="00363AB1"/>
    <w:rPr>
      <w:b/>
      <w:bCs/>
    </w:rPr>
  </w:style>
  <w:style w:type="character" w:customStyle="1" w:styleId="CommentSubjectChar">
    <w:name w:val="Comment Subject Char"/>
    <w:basedOn w:val="CommentTextChar"/>
    <w:link w:val="CommentSubject"/>
    <w:uiPriority w:val="99"/>
    <w:semiHidden/>
    <w:rsid w:val="00363AB1"/>
    <w:rPr>
      <w:b/>
      <w:bCs/>
      <w:sz w:val="20"/>
      <w:szCs w:val="20"/>
    </w:rPr>
  </w:style>
  <w:style w:type="paragraph" w:styleId="BalloonText">
    <w:name w:val="Balloon Text"/>
    <w:basedOn w:val="Normal"/>
    <w:link w:val="BalloonTextChar"/>
    <w:uiPriority w:val="99"/>
    <w:semiHidden/>
    <w:unhideWhenUsed/>
    <w:rsid w:val="00363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B1"/>
    <w:rPr>
      <w:rFonts w:ascii="Segoe UI" w:hAnsi="Segoe UI" w:cs="Segoe UI"/>
      <w:sz w:val="18"/>
      <w:szCs w:val="18"/>
    </w:rPr>
  </w:style>
  <w:style w:type="table" w:styleId="TableGrid">
    <w:name w:val="Table Grid"/>
    <w:basedOn w:val="TableNormal"/>
    <w:uiPriority w:val="59"/>
    <w:rsid w:val="0065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uiPriority w:val="99"/>
    <w:rsid w:val="006D422F"/>
    <w:pPr>
      <w:spacing w:line="241" w:lineRule="atLeast"/>
    </w:pPr>
    <w:rPr>
      <w:rFonts w:ascii="ITC Franklin Gothic Std Bk Cd" w:eastAsiaTheme="minorHAnsi" w:hAnsi="ITC Franklin Gothic Std Bk Cd" w:cstheme="minorBidi"/>
      <w:color w:val="auto"/>
    </w:rPr>
  </w:style>
  <w:style w:type="paragraph" w:customStyle="1" w:styleId="Pa26">
    <w:name w:val="Pa26"/>
    <w:basedOn w:val="Default"/>
    <w:next w:val="Default"/>
    <w:uiPriority w:val="99"/>
    <w:rsid w:val="006D422F"/>
    <w:pPr>
      <w:spacing w:line="201" w:lineRule="atLeast"/>
    </w:pPr>
    <w:rPr>
      <w:rFonts w:ascii="ITC Franklin Gothic Std Bk Cd" w:eastAsiaTheme="minorHAnsi" w:hAnsi="ITC Franklin Gothic Std Bk Cd" w:cstheme="minorBidi"/>
      <w:color w:val="auto"/>
    </w:rPr>
  </w:style>
  <w:style w:type="character" w:styleId="Hyperlink">
    <w:name w:val="Hyperlink"/>
    <w:basedOn w:val="DefaultParagraphFont"/>
    <w:uiPriority w:val="99"/>
    <w:unhideWhenUsed/>
    <w:rsid w:val="00346808"/>
    <w:rPr>
      <w:color w:val="0000FF" w:themeColor="hyperlink"/>
      <w:u w:val="single"/>
    </w:rPr>
  </w:style>
  <w:style w:type="character" w:styleId="UnresolvedMention">
    <w:name w:val="Unresolved Mention"/>
    <w:basedOn w:val="DefaultParagraphFont"/>
    <w:uiPriority w:val="99"/>
    <w:semiHidden/>
    <w:unhideWhenUsed/>
    <w:rsid w:val="00346808"/>
    <w:rPr>
      <w:color w:val="605E5C"/>
      <w:shd w:val="clear" w:color="auto" w:fill="E1DFDD"/>
    </w:rPr>
  </w:style>
  <w:style w:type="character" w:customStyle="1" w:styleId="Heading1Char">
    <w:name w:val="Heading 1 Char"/>
    <w:basedOn w:val="DefaultParagraphFont"/>
    <w:link w:val="Heading1"/>
    <w:uiPriority w:val="9"/>
    <w:rsid w:val="00392B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90639">
      <w:bodyDiv w:val="1"/>
      <w:marLeft w:val="0"/>
      <w:marRight w:val="0"/>
      <w:marTop w:val="0"/>
      <w:marBottom w:val="0"/>
      <w:divBdr>
        <w:top w:val="none" w:sz="0" w:space="0" w:color="auto"/>
        <w:left w:val="none" w:sz="0" w:space="0" w:color="auto"/>
        <w:bottom w:val="none" w:sz="0" w:space="0" w:color="auto"/>
        <w:right w:val="none" w:sz="0" w:space="0" w:color="auto"/>
      </w:divBdr>
    </w:div>
    <w:div w:id="338392621">
      <w:bodyDiv w:val="1"/>
      <w:marLeft w:val="0"/>
      <w:marRight w:val="0"/>
      <w:marTop w:val="0"/>
      <w:marBottom w:val="0"/>
      <w:divBdr>
        <w:top w:val="none" w:sz="0" w:space="0" w:color="auto"/>
        <w:left w:val="none" w:sz="0" w:space="0" w:color="auto"/>
        <w:bottom w:val="none" w:sz="0" w:space="0" w:color="auto"/>
        <w:right w:val="none" w:sz="0" w:space="0" w:color="auto"/>
      </w:divBdr>
      <w:divsChild>
        <w:div w:id="1499730038">
          <w:marLeft w:val="0"/>
          <w:marRight w:val="0"/>
          <w:marTop w:val="0"/>
          <w:marBottom w:val="0"/>
          <w:divBdr>
            <w:top w:val="none" w:sz="0" w:space="0" w:color="auto"/>
            <w:left w:val="none" w:sz="0" w:space="0" w:color="auto"/>
            <w:bottom w:val="none" w:sz="0" w:space="0" w:color="auto"/>
            <w:right w:val="none" w:sz="0" w:space="0" w:color="auto"/>
          </w:divBdr>
          <w:divsChild>
            <w:div w:id="557784959">
              <w:marLeft w:val="0"/>
              <w:marRight w:val="0"/>
              <w:marTop w:val="0"/>
              <w:marBottom w:val="0"/>
              <w:divBdr>
                <w:top w:val="none" w:sz="0" w:space="0" w:color="auto"/>
                <w:left w:val="none" w:sz="0" w:space="0" w:color="auto"/>
                <w:bottom w:val="none" w:sz="0" w:space="0" w:color="auto"/>
                <w:right w:val="none" w:sz="0" w:space="0" w:color="auto"/>
              </w:divBdr>
              <w:divsChild>
                <w:div w:id="369108462">
                  <w:marLeft w:val="0"/>
                  <w:marRight w:val="0"/>
                  <w:marTop w:val="0"/>
                  <w:marBottom w:val="375"/>
                  <w:divBdr>
                    <w:top w:val="none" w:sz="0" w:space="0" w:color="auto"/>
                    <w:left w:val="none" w:sz="0" w:space="0" w:color="auto"/>
                    <w:bottom w:val="none" w:sz="0" w:space="0" w:color="auto"/>
                    <w:right w:val="none" w:sz="0" w:space="0" w:color="auto"/>
                  </w:divBdr>
                  <w:divsChild>
                    <w:div w:id="1796364348">
                      <w:marLeft w:val="0"/>
                      <w:marRight w:val="0"/>
                      <w:marTop w:val="0"/>
                      <w:marBottom w:val="0"/>
                      <w:divBdr>
                        <w:top w:val="none" w:sz="0" w:space="0" w:color="auto"/>
                        <w:left w:val="none" w:sz="0" w:space="0" w:color="auto"/>
                        <w:bottom w:val="none" w:sz="0" w:space="0" w:color="auto"/>
                        <w:right w:val="none" w:sz="0" w:space="0" w:color="auto"/>
                      </w:divBdr>
                      <w:divsChild>
                        <w:div w:id="1847556331">
                          <w:marLeft w:val="0"/>
                          <w:marRight w:val="0"/>
                          <w:marTop w:val="0"/>
                          <w:marBottom w:val="0"/>
                          <w:divBdr>
                            <w:top w:val="none" w:sz="0" w:space="0" w:color="auto"/>
                            <w:left w:val="none" w:sz="0" w:space="0" w:color="auto"/>
                            <w:bottom w:val="none" w:sz="0" w:space="0" w:color="auto"/>
                            <w:right w:val="none" w:sz="0" w:space="0" w:color="auto"/>
                          </w:divBdr>
                          <w:divsChild>
                            <w:div w:id="1374647844">
                              <w:marLeft w:val="0"/>
                              <w:marRight w:val="0"/>
                              <w:marTop w:val="0"/>
                              <w:marBottom w:val="0"/>
                              <w:divBdr>
                                <w:top w:val="none" w:sz="0" w:space="0" w:color="auto"/>
                                <w:left w:val="none" w:sz="0" w:space="0" w:color="auto"/>
                                <w:bottom w:val="none" w:sz="0" w:space="0" w:color="auto"/>
                                <w:right w:val="none" w:sz="0" w:space="0" w:color="auto"/>
                              </w:divBdr>
                              <w:divsChild>
                                <w:div w:id="1044594464">
                                  <w:marLeft w:val="0"/>
                                  <w:marRight w:val="0"/>
                                  <w:marTop w:val="0"/>
                                  <w:marBottom w:val="0"/>
                                  <w:divBdr>
                                    <w:top w:val="none" w:sz="0" w:space="0" w:color="auto"/>
                                    <w:left w:val="none" w:sz="0" w:space="0" w:color="auto"/>
                                    <w:bottom w:val="none" w:sz="0" w:space="0" w:color="auto"/>
                                    <w:right w:val="none" w:sz="0" w:space="0" w:color="auto"/>
                                  </w:divBdr>
                                  <w:divsChild>
                                    <w:div w:id="942767655">
                                      <w:marLeft w:val="0"/>
                                      <w:marRight w:val="0"/>
                                      <w:marTop w:val="0"/>
                                      <w:marBottom w:val="0"/>
                                      <w:divBdr>
                                        <w:top w:val="none" w:sz="0" w:space="0" w:color="auto"/>
                                        <w:left w:val="none" w:sz="0" w:space="0" w:color="auto"/>
                                        <w:bottom w:val="none" w:sz="0" w:space="0" w:color="auto"/>
                                        <w:right w:val="none" w:sz="0" w:space="0" w:color="auto"/>
                                      </w:divBdr>
                                      <w:divsChild>
                                        <w:div w:id="20229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020942">
      <w:bodyDiv w:val="1"/>
      <w:marLeft w:val="0"/>
      <w:marRight w:val="0"/>
      <w:marTop w:val="0"/>
      <w:marBottom w:val="0"/>
      <w:divBdr>
        <w:top w:val="none" w:sz="0" w:space="0" w:color="auto"/>
        <w:left w:val="none" w:sz="0" w:space="0" w:color="auto"/>
        <w:bottom w:val="none" w:sz="0" w:space="0" w:color="auto"/>
        <w:right w:val="none" w:sz="0" w:space="0" w:color="auto"/>
      </w:divBdr>
    </w:div>
    <w:div w:id="210738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gov/about/strategic-plan/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3AC56-AC7B-40D8-93E1-80F85DF9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4155</Words>
  <Characters>23684</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CDC has assigned a Health Scientist to manage the Generic ICR. The position is h</vt:lpstr>
      <vt:lpstr>    </vt:lpstr>
      <vt:lpstr>    Each request will be closely reviewed by CSTLTS based on a predefined set of cri</vt:lpstr>
      <vt:lpstr>    </vt:lpstr>
      <vt:lpstr>    The information collection request process will include but may not be limited t</vt:lpstr>
    </vt:vector>
  </TitlesOfParts>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2020-10-19T13:31:00Z</dcterms:created>
  <dcterms:modified xsi:type="dcterms:W3CDTF">2020-11-23T17:15:00Z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2020-11-23T17:15:38Z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7e73434b-295c-4e63-b72c-785e579c33e4</vt:lpwstr>
  </property>
  <property fmtid="{D5CDD505-2E9C-101B-9397-08002B2CF9AE}" pid="8" name="MSIP_Label_7b94a7b8-f06c-4dfe-bdcc-9b548fd58c31_ContentBits">
    <vt:lpwstr>0</vt:lpwstr>
  </property>
</Properties>
</file>