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16F94" w:rsidP="00BC6896" w:rsidRDefault="00716F94" w14:paraId="2E7F059B" w14:textId="6D556243"/>
    <w:p w:rsidR="009B4A51" w:rsidP="00BC6896" w:rsidRDefault="009B4A51" w14:paraId="5A06CC1F" w14:textId="03E8E7EA"/>
    <w:p w:rsidR="009B4A51" w:rsidP="00BC6896" w:rsidRDefault="009B4A51" w14:paraId="51D19FAC" w14:textId="14F1D50D"/>
    <w:p w:rsidR="009B4A51" w:rsidP="00BC6896" w:rsidRDefault="009B4A51" w14:paraId="3674762D" w14:textId="61A37D60"/>
    <w:p w:rsidR="009B4A51" w:rsidP="00BC6896" w:rsidRDefault="009B4A51" w14:paraId="2CE66927" w14:textId="6DE9A7DD"/>
    <w:p w:rsidRPr="00222B4C" w:rsidR="00222B4C" w:rsidP="00222B4C" w:rsidRDefault="00222B4C" w14:paraId="402E8217" w14:textId="77777777">
      <w:pPr>
        <w:tabs>
          <w:tab w:val="right" w:pos="9360"/>
        </w:tabs>
        <w:ind w:left="0"/>
        <w:jc w:val="center"/>
        <w:outlineLvl w:val="0"/>
        <w:rPr>
          <w:b/>
          <w:sz w:val="40"/>
        </w:rPr>
      </w:pPr>
      <w:bookmarkStart w:name="_Hlk58481564" w:id="0"/>
      <w:r w:rsidRPr="00222B4C">
        <w:rPr>
          <w:b/>
          <w:sz w:val="40"/>
        </w:rPr>
        <w:t>Pandemics, Natural Disasters, and other Interruption of Service Events: Contingency Planning Considerations for Mycobacteriology Testing</w:t>
      </w:r>
    </w:p>
    <w:bookmarkEnd w:id="0"/>
    <w:p w:rsidR="00AA3192" w:rsidP="00222B4C" w:rsidRDefault="00AA3192" w14:paraId="65FCCF95" w14:textId="38F5DC8F">
      <w:pPr>
        <w:pStyle w:val="Heading1"/>
      </w:pPr>
    </w:p>
    <w:p w:rsidRPr="00AA3192" w:rsidR="00716F94" w:rsidP="00BC6896" w:rsidRDefault="0062608B" w14:paraId="2EB48742" w14:textId="09FF76A5">
      <w:pPr>
        <w:ind w:left="0"/>
        <w:jc w:val="center"/>
      </w:pPr>
      <w:r>
        <w:t>C</w:t>
      </w:r>
      <w:r w:rsidRPr="00AA3192" w:rsidR="00484011">
        <w:t xml:space="preserve">STLTS Generic </w:t>
      </w:r>
      <w:r w:rsidR="00487E55">
        <w:t xml:space="preserve">Data </w:t>
      </w:r>
      <w:r w:rsidR="00316CB3">
        <w:t>C</w:t>
      </w:r>
      <w:r w:rsidR="00487E55">
        <w:t>ollection</w:t>
      </w:r>
      <w:r w:rsidRPr="00AA3192" w:rsidR="00484011">
        <w:t xml:space="preserve"> Request</w:t>
      </w:r>
    </w:p>
    <w:p w:rsidRPr="00AA3192" w:rsidR="00484011" w:rsidP="00BC6896" w:rsidRDefault="00484011" w14:paraId="5EB5B9AE" w14:textId="77777777">
      <w:pPr>
        <w:pStyle w:val="Header"/>
        <w:ind w:left="0"/>
        <w:jc w:val="center"/>
      </w:pPr>
      <w:r w:rsidRPr="00AA3192">
        <w:t>OMB No. 0920-0879</w:t>
      </w:r>
    </w:p>
    <w:p w:rsidR="009B4A51" w:rsidP="00BC6896" w:rsidRDefault="009B4A51" w14:paraId="7CA125B8" w14:textId="77777777"/>
    <w:p w:rsidR="00AA3192" w:rsidP="00BC6896" w:rsidRDefault="00AA3192" w14:paraId="764247A8" w14:textId="77777777"/>
    <w:p w:rsidRPr="00BC6896" w:rsidR="009B4A51" w:rsidP="00BC6896" w:rsidRDefault="009B4A51" w14:paraId="67C3F948" w14:textId="77777777">
      <w:pPr>
        <w:pStyle w:val="Heading2"/>
      </w:pPr>
      <w:r w:rsidRPr="00BC6896">
        <w:t xml:space="preserve">Supporting Statement – Section </w:t>
      </w:r>
      <w:r w:rsidRPr="00BC6896" w:rsidR="00601392">
        <w:t>B</w:t>
      </w:r>
    </w:p>
    <w:p w:rsidR="009B4A51" w:rsidP="00BC6896" w:rsidRDefault="009B4A51" w14:paraId="643F25BB" w14:textId="77777777"/>
    <w:p w:rsidRPr="00BC6896" w:rsidR="009B4A51" w:rsidP="00BC6896" w:rsidRDefault="009B4A51" w14:paraId="031B1731" w14:textId="68A35207">
      <w:pPr>
        <w:ind w:left="0"/>
        <w:jc w:val="center"/>
      </w:pPr>
      <w:r w:rsidRPr="00AA3192">
        <w:t xml:space="preserve">Submitted: </w:t>
      </w:r>
    </w:p>
    <w:p w:rsidR="009B4A51" w:rsidP="00BC6896" w:rsidRDefault="009B4A51" w14:paraId="415560A8" w14:textId="77777777"/>
    <w:p w:rsidR="009B4A51" w:rsidP="00BC6896" w:rsidRDefault="009B4A51" w14:paraId="0369ED2C" w14:textId="77777777"/>
    <w:p w:rsidR="009B4A51" w:rsidP="00BC6896" w:rsidRDefault="009B4A51" w14:paraId="11BC56D4" w14:textId="77777777"/>
    <w:p w:rsidRPr="00BC6896" w:rsidR="00A81BF7" w:rsidP="00A81BF7" w:rsidRDefault="00A81BF7" w14:paraId="7D9EECF2" w14:textId="77777777">
      <w:pPr>
        <w:ind w:left="0"/>
        <w:rPr>
          <w:b/>
          <w:u w:val="single"/>
        </w:rPr>
      </w:pPr>
      <w:r w:rsidRPr="00BC6896">
        <w:rPr>
          <w:b/>
          <w:u w:val="single"/>
        </w:rPr>
        <w:t>Program Official/Project Officer</w:t>
      </w:r>
    </w:p>
    <w:p w:rsidRPr="00222B4C" w:rsidR="00222B4C" w:rsidP="00222B4C" w:rsidRDefault="00804AE3" w14:paraId="45E74CF8" w14:textId="6C4C6ED4">
      <w:pPr>
        <w:tabs>
          <w:tab w:val="right" w:pos="9360"/>
        </w:tabs>
        <w:ind w:left="0"/>
      </w:pPr>
      <w:r>
        <w:t>Stephanie P. Johnston, MS</w:t>
      </w:r>
    </w:p>
    <w:p w:rsidRPr="00222B4C" w:rsidR="00222B4C" w:rsidP="00222B4C" w:rsidRDefault="00804AE3" w14:paraId="558095AB" w14:textId="4708B43A">
      <w:pPr>
        <w:tabs>
          <w:tab w:val="right" w:pos="9360"/>
        </w:tabs>
        <w:ind w:left="0"/>
      </w:pPr>
      <w:r>
        <w:t xml:space="preserve">Research </w:t>
      </w:r>
      <w:r w:rsidRPr="00222B4C" w:rsidR="00222B4C">
        <w:t>Microbiologist</w:t>
      </w:r>
      <w:r>
        <w:t>/Team Lead</w:t>
      </w:r>
    </w:p>
    <w:p w:rsidRPr="00222B4C" w:rsidR="00222B4C" w:rsidP="00222B4C" w:rsidRDefault="00222B4C" w14:paraId="40FA9737" w14:textId="77777777">
      <w:pPr>
        <w:tabs>
          <w:tab w:val="right" w:pos="9360"/>
        </w:tabs>
        <w:ind w:left="0"/>
      </w:pPr>
      <w:r w:rsidRPr="00222B4C">
        <w:t>Laboratory Branch</w:t>
      </w:r>
    </w:p>
    <w:p w:rsidRPr="00222B4C" w:rsidR="00222B4C" w:rsidP="00222B4C" w:rsidRDefault="00222B4C" w14:paraId="6887E781" w14:textId="77777777">
      <w:pPr>
        <w:tabs>
          <w:tab w:val="right" w:pos="9360"/>
        </w:tabs>
        <w:ind w:left="0"/>
      </w:pPr>
      <w:r w:rsidRPr="00222B4C">
        <w:t>Division of Tuberculosis Elimination</w:t>
      </w:r>
    </w:p>
    <w:p w:rsidRPr="00222B4C" w:rsidR="00222B4C" w:rsidP="00222B4C" w:rsidRDefault="00222B4C" w14:paraId="40C9277D" w14:textId="77777777">
      <w:pPr>
        <w:tabs>
          <w:tab w:val="right" w:pos="9360"/>
        </w:tabs>
        <w:ind w:left="0"/>
      </w:pPr>
      <w:r w:rsidRPr="00222B4C">
        <w:t>Centers for Disease Control and Prevention</w:t>
      </w:r>
    </w:p>
    <w:p w:rsidRPr="00222B4C" w:rsidR="00222B4C" w:rsidP="00222B4C" w:rsidRDefault="00222B4C" w14:paraId="7FFCC843" w14:textId="7DC017BA">
      <w:pPr>
        <w:tabs>
          <w:tab w:val="right" w:pos="9360"/>
        </w:tabs>
        <w:ind w:left="0"/>
      </w:pPr>
      <w:r w:rsidRPr="00222B4C">
        <w:t xml:space="preserve">1600 Clifton, N.E., MS </w:t>
      </w:r>
      <w:r w:rsidR="00F66CAE">
        <w:t>H17-4</w:t>
      </w:r>
    </w:p>
    <w:p w:rsidRPr="00222B4C" w:rsidR="00222B4C" w:rsidP="00222B4C" w:rsidRDefault="00222B4C" w14:paraId="1F9BBB16" w14:textId="77777777">
      <w:pPr>
        <w:tabs>
          <w:tab w:val="right" w:pos="9360"/>
        </w:tabs>
        <w:ind w:left="0"/>
      </w:pPr>
      <w:r w:rsidRPr="00222B4C">
        <w:t>Atlanta, GA 30329</w:t>
      </w:r>
    </w:p>
    <w:p w:rsidRPr="00222B4C" w:rsidR="00222B4C" w:rsidP="00222B4C" w:rsidRDefault="00222B4C" w14:paraId="34650180" w14:textId="4B44A351">
      <w:pPr>
        <w:tabs>
          <w:tab w:val="right" w:pos="9360"/>
        </w:tabs>
        <w:ind w:left="0"/>
      </w:pPr>
      <w:r w:rsidRPr="00222B4C">
        <w:t>Phone: (404) 639-</w:t>
      </w:r>
      <w:r w:rsidR="00804AE3">
        <w:t>5019</w:t>
      </w:r>
    </w:p>
    <w:p w:rsidRPr="00222B4C" w:rsidR="00222B4C" w:rsidP="00222B4C" w:rsidRDefault="00222B4C" w14:paraId="21F7626B" w14:textId="77777777">
      <w:pPr>
        <w:tabs>
          <w:tab w:val="right" w:pos="9360"/>
        </w:tabs>
        <w:ind w:left="0"/>
      </w:pPr>
      <w:r w:rsidRPr="00222B4C">
        <w:t>Fax: (404) 639-1287</w:t>
      </w:r>
    </w:p>
    <w:p w:rsidRPr="00222B4C" w:rsidR="00222B4C" w:rsidP="00222B4C" w:rsidRDefault="00222B4C" w14:paraId="2A877153" w14:textId="233A2E46">
      <w:pPr>
        <w:tabs>
          <w:tab w:val="right" w:pos="9360"/>
        </w:tabs>
        <w:ind w:left="0"/>
      </w:pPr>
      <w:r w:rsidRPr="00222B4C">
        <w:t xml:space="preserve">Email: </w:t>
      </w:r>
      <w:r w:rsidR="00804AE3">
        <w:t>sip5</w:t>
      </w:r>
      <w:r w:rsidRPr="00222B4C">
        <w:t>@cdc.gov</w:t>
      </w:r>
    </w:p>
    <w:p w:rsidR="00691031" w:rsidP="00BC6896" w:rsidRDefault="00691031" w14:paraId="52A3C4F0" w14:textId="77777777">
      <w:pPr>
        <w:ind w:left="0"/>
        <w:rPr>
          <w:color w:val="0070C0"/>
        </w:rPr>
      </w:pPr>
    </w:p>
    <w:p w:rsidR="00691031" w:rsidP="00BC6896" w:rsidRDefault="00691031" w14:paraId="6FC715CF" w14:textId="77777777">
      <w:pPr>
        <w:ind w:left="0"/>
        <w:rPr>
          <w:color w:val="0070C0"/>
        </w:rPr>
      </w:pPr>
    </w:p>
    <w:p w:rsidR="00691031" w:rsidP="00BC6896" w:rsidRDefault="00691031" w14:paraId="439C923F" w14:textId="135F6017">
      <w:pPr>
        <w:ind w:left="0"/>
        <w:rPr>
          <w:color w:val="0070C0"/>
        </w:rPr>
      </w:pPr>
    </w:p>
    <w:p w:rsidR="00315598" w:rsidP="00BC6896" w:rsidRDefault="00315598" w14:paraId="4CF61305" w14:textId="1744774B">
      <w:pPr>
        <w:ind w:left="0"/>
        <w:rPr>
          <w:color w:val="0070C0"/>
        </w:rPr>
      </w:pPr>
    </w:p>
    <w:p w:rsidR="00315598" w:rsidP="00BC6896" w:rsidRDefault="00315598" w14:paraId="38A12EDF" w14:textId="77777777">
      <w:pPr>
        <w:ind w:left="0"/>
        <w:rPr>
          <w:color w:val="0070C0"/>
        </w:rPr>
      </w:pPr>
    </w:p>
    <w:p w:rsidR="00EC45F0" w:rsidP="00BC6896" w:rsidRDefault="00EC45F0" w14:paraId="72E59235" w14:textId="77777777">
      <w:pPr>
        <w:ind w:left="0"/>
        <w:rPr>
          <w:color w:val="0070C0"/>
        </w:rPr>
      </w:pPr>
    </w:p>
    <w:p w:rsidR="00EC45F0" w:rsidP="00BC6896" w:rsidRDefault="00EC45F0" w14:paraId="6C26DF22" w14:textId="77777777">
      <w:pPr>
        <w:ind w:left="0"/>
        <w:rPr>
          <w:color w:val="0070C0"/>
        </w:rPr>
      </w:pPr>
    </w:p>
    <w:p w:rsidRPr="0042604A" w:rsidR="00EC45F0" w:rsidP="00BC6896" w:rsidRDefault="00EC45F0" w14:paraId="2A4AFA23" w14:textId="77777777">
      <w:pPr>
        <w:ind w:left="0"/>
        <w:rPr>
          <w:color w:val="0070C0"/>
        </w:rPr>
      </w:pPr>
    </w:p>
    <w:p w:rsidRPr="000A538D" w:rsidR="00245F1F" w:rsidP="00BC6896" w:rsidRDefault="00245F1F" w14:paraId="6B5884A0" w14:textId="77777777">
      <w:pPr>
        <w:pStyle w:val="Heading3"/>
      </w:pPr>
      <w:bookmarkStart w:name="_Toc413847909" w:id="1"/>
      <w:r>
        <w:lastRenderedPageBreak/>
        <w:t>Table of Contents</w:t>
      </w:r>
      <w:bookmarkEnd w:id="1"/>
    </w:p>
    <w:p w:rsidRPr="000A538D" w:rsidR="00245F1F" w:rsidP="006F23AF" w:rsidRDefault="00245F1F" w14:paraId="3DE4D30E" w14:textId="2D627480">
      <w:pPr>
        <w:ind w:left="0"/>
        <w:rPr>
          <w:rFonts w:asciiTheme="minorHAnsi" w:hAnsiTheme="minorHAnsi"/>
          <w:noProof/>
        </w:rPr>
      </w:pPr>
      <w:r w:rsidRPr="000A538D">
        <w:fldChar w:fldCharType="begin"/>
      </w:r>
      <w:r w:rsidRPr="000A538D">
        <w:instrText xml:space="preserve"> TOC \h \z \u \t "Heading 3,1,Heading 4,2" </w:instrText>
      </w:r>
      <w:r w:rsidRPr="000A538D">
        <w:fldChar w:fldCharType="separate"/>
      </w:r>
    </w:p>
    <w:p w:rsidRPr="000A538D" w:rsidR="00245F1F" w:rsidRDefault="003362E4" w14:paraId="0E818D57" w14:textId="45870ABF">
      <w:pPr>
        <w:pStyle w:val="TOC1"/>
        <w:tabs>
          <w:tab w:val="right" w:leader="dot" w:pos="9350"/>
        </w:tabs>
        <w:rPr>
          <w:rFonts w:asciiTheme="minorHAnsi" w:hAnsiTheme="minorHAnsi"/>
          <w:noProof/>
        </w:rPr>
      </w:pPr>
      <w:hyperlink w:history="1" w:anchor="_Toc413847910">
        <w:r w:rsidRPr="000A538D" w:rsidR="00245F1F">
          <w:rPr>
            <w:rStyle w:val="Hyperlink"/>
            <w:noProof/>
            <w:color w:val="auto"/>
          </w:rPr>
          <w:t xml:space="preserve">Section B – </w:t>
        </w:r>
        <w:r w:rsidRPr="000A538D" w:rsidR="00487E55">
          <w:rPr>
            <w:rStyle w:val="Hyperlink"/>
            <w:noProof/>
            <w:color w:val="auto"/>
          </w:rPr>
          <w:t>Data collection</w:t>
        </w:r>
        <w:r w:rsidRPr="000A538D" w:rsidR="00245F1F">
          <w:rPr>
            <w:rStyle w:val="Hyperlink"/>
            <w:noProof/>
            <w:color w:val="auto"/>
          </w:rPr>
          <w:t xml:space="preserve"> Procedures</w:t>
        </w:r>
        <w:r w:rsidRPr="000A538D" w:rsidR="00245F1F">
          <w:rPr>
            <w:noProof/>
            <w:webHidden/>
          </w:rPr>
          <w:tab/>
        </w:r>
        <w:r w:rsidRPr="000A538D" w:rsidR="00245F1F">
          <w:rPr>
            <w:noProof/>
            <w:webHidden/>
          </w:rPr>
          <w:fldChar w:fldCharType="begin"/>
        </w:r>
        <w:r w:rsidRPr="000A538D" w:rsidR="00245F1F">
          <w:rPr>
            <w:noProof/>
            <w:webHidden/>
          </w:rPr>
          <w:instrText xml:space="preserve"> PAGEREF _Toc413847910 \h </w:instrText>
        </w:r>
        <w:r w:rsidRPr="000A538D" w:rsidR="00245F1F">
          <w:rPr>
            <w:noProof/>
            <w:webHidden/>
          </w:rPr>
        </w:r>
        <w:r w:rsidRPr="000A538D" w:rsidR="00245F1F">
          <w:rPr>
            <w:noProof/>
            <w:webHidden/>
          </w:rPr>
          <w:fldChar w:fldCharType="separate"/>
        </w:r>
        <w:r w:rsidR="007C1CB7">
          <w:rPr>
            <w:noProof/>
            <w:webHidden/>
          </w:rPr>
          <w:t>3</w:t>
        </w:r>
        <w:r w:rsidRPr="000A538D" w:rsidR="00245F1F">
          <w:rPr>
            <w:noProof/>
            <w:webHidden/>
          </w:rPr>
          <w:fldChar w:fldCharType="end"/>
        </w:r>
      </w:hyperlink>
    </w:p>
    <w:p w:rsidRPr="000A538D" w:rsidR="00245F1F" w:rsidP="00245F1F" w:rsidRDefault="003362E4" w14:paraId="1B180080" w14:textId="196E42F4">
      <w:pPr>
        <w:pStyle w:val="TOC2"/>
        <w:rPr>
          <w:noProof/>
        </w:rPr>
      </w:pPr>
      <w:hyperlink w:history="1" w:anchor="_Toc413847911">
        <w:r w:rsidRPr="000A538D" w:rsidR="00245F1F">
          <w:rPr>
            <w:rStyle w:val="Hyperlink"/>
            <w:noProof/>
            <w:color w:val="auto"/>
          </w:rPr>
          <w:t>1.</w:t>
        </w:r>
        <w:r w:rsidRPr="000A538D" w:rsidR="00245F1F">
          <w:rPr>
            <w:noProof/>
          </w:rPr>
          <w:tab/>
        </w:r>
        <w:r w:rsidRPr="000A538D" w:rsidR="00245F1F">
          <w:rPr>
            <w:rStyle w:val="Hyperlink"/>
            <w:noProof/>
            <w:color w:val="auto"/>
          </w:rPr>
          <w:t>Respondent Universe and Sampling Methods</w:t>
        </w:r>
        <w:r w:rsidRPr="000A538D" w:rsidR="00245F1F">
          <w:rPr>
            <w:noProof/>
            <w:webHidden/>
          </w:rPr>
          <w:tab/>
        </w:r>
        <w:r w:rsidRPr="000A538D" w:rsidR="00245F1F">
          <w:rPr>
            <w:noProof/>
            <w:webHidden/>
          </w:rPr>
          <w:fldChar w:fldCharType="begin"/>
        </w:r>
        <w:r w:rsidRPr="000A538D" w:rsidR="00245F1F">
          <w:rPr>
            <w:noProof/>
            <w:webHidden/>
          </w:rPr>
          <w:instrText xml:space="preserve"> PAGEREF _Toc413847911 \h </w:instrText>
        </w:r>
        <w:r w:rsidRPr="000A538D" w:rsidR="00245F1F">
          <w:rPr>
            <w:noProof/>
            <w:webHidden/>
          </w:rPr>
        </w:r>
        <w:r w:rsidRPr="000A538D" w:rsidR="00245F1F">
          <w:rPr>
            <w:noProof/>
            <w:webHidden/>
          </w:rPr>
          <w:fldChar w:fldCharType="separate"/>
        </w:r>
        <w:r w:rsidR="007C1CB7">
          <w:rPr>
            <w:noProof/>
            <w:webHidden/>
          </w:rPr>
          <w:t>3</w:t>
        </w:r>
        <w:r w:rsidRPr="000A538D" w:rsidR="00245F1F">
          <w:rPr>
            <w:noProof/>
            <w:webHidden/>
          </w:rPr>
          <w:fldChar w:fldCharType="end"/>
        </w:r>
      </w:hyperlink>
    </w:p>
    <w:p w:rsidRPr="000A538D" w:rsidR="00245F1F" w:rsidP="00245F1F" w:rsidRDefault="003362E4" w14:paraId="02D7E354" w14:textId="14D24522">
      <w:pPr>
        <w:pStyle w:val="TOC2"/>
        <w:rPr>
          <w:noProof/>
        </w:rPr>
      </w:pPr>
      <w:hyperlink w:history="1" w:anchor="_Toc413847912">
        <w:r w:rsidRPr="000A538D" w:rsidR="00245F1F">
          <w:rPr>
            <w:rStyle w:val="Hyperlink"/>
            <w:noProof/>
            <w:color w:val="auto"/>
          </w:rPr>
          <w:t>2.</w:t>
        </w:r>
        <w:r w:rsidRPr="000A538D" w:rsidR="00245F1F">
          <w:rPr>
            <w:noProof/>
          </w:rPr>
          <w:tab/>
        </w:r>
        <w:r w:rsidRPr="000A538D" w:rsidR="00245F1F">
          <w:rPr>
            <w:rStyle w:val="Hyperlink"/>
            <w:noProof/>
            <w:color w:val="auto"/>
          </w:rPr>
          <w:t>Procedures for the Collection of Information</w:t>
        </w:r>
        <w:r w:rsidRPr="000A538D" w:rsidR="00245F1F">
          <w:rPr>
            <w:noProof/>
            <w:webHidden/>
          </w:rPr>
          <w:tab/>
        </w:r>
        <w:r w:rsidRPr="000A538D" w:rsidR="00245F1F">
          <w:rPr>
            <w:noProof/>
            <w:webHidden/>
          </w:rPr>
          <w:fldChar w:fldCharType="begin"/>
        </w:r>
        <w:r w:rsidRPr="000A538D" w:rsidR="00245F1F">
          <w:rPr>
            <w:noProof/>
            <w:webHidden/>
          </w:rPr>
          <w:instrText xml:space="preserve"> PAGEREF _Toc413847912 \h </w:instrText>
        </w:r>
        <w:r w:rsidRPr="000A538D" w:rsidR="00245F1F">
          <w:rPr>
            <w:noProof/>
            <w:webHidden/>
          </w:rPr>
        </w:r>
        <w:r w:rsidRPr="000A538D" w:rsidR="00245F1F">
          <w:rPr>
            <w:noProof/>
            <w:webHidden/>
          </w:rPr>
          <w:fldChar w:fldCharType="separate"/>
        </w:r>
        <w:r w:rsidR="007C1CB7">
          <w:rPr>
            <w:noProof/>
            <w:webHidden/>
          </w:rPr>
          <w:t>3</w:t>
        </w:r>
        <w:r w:rsidRPr="000A538D" w:rsidR="00245F1F">
          <w:rPr>
            <w:noProof/>
            <w:webHidden/>
          </w:rPr>
          <w:fldChar w:fldCharType="end"/>
        </w:r>
      </w:hyperlink>
    </w:p>
    <w:p w:rsidRPr="000A538D" w:rsidR="00245F1F" w:rsidP="00245F1F" w:rsidRDefault="003362E4" w14:paraId="2F38C32A" w14:textId="76AEE40F">
      <w:pPr>
        <w:pStyle w:val="TOC2"/>
        <w:rPr>
          <w:noProof/>
        </w:rPr>
      </w:pPr>
      <w:hyperlink w:history="1" w:anchor="_Toc413847913">
        <w:r w:rsidRPr="000A538D" w:rsidR="00245F1F">
          <w:rPr>
            <w:rStyle w:val="Hyperlink"/>
            <w:noProof/>
            <w:color w:val="auto"/>
          </w:rPr>
          <w:t>3.</w:t>
        </w:r>
        <w:r w:rsidRPr="000A538D" w:rsidR="00245F1F">
          <w:rPr>
            <w:noProof/>
          </w:rPr>
          <w:tab/>
        </w:r>
        <w:r w:rsidRPr="000A538D" w:rsidR="00245F1F">
          <w:rPr>
            <w:rStyle w:val="Hyperlink"/>
            <w:noProof/>
            <w:color w:val="auto"/>
          </w:rPr>
          <w:t>Methods to Maximize Response Rates  Deal with Nonresponse</w:t>
        </w:r>
        <w:r w:rsidRPr="000A538D" w:rsidR="00245F1F">
          <w:rPr>
            <w:noProof/>
            <w:webHidden/>
          </w:rPr>
          <w:tab/>
        </w:r>
        <w:r>
          <w:rPr>
            <w:noProof/>
            <w:webHidden/>
          </w:rPr>
          <w:t>5</w:t>
        </w:r>
      </w:hyperlink>
    </w:p>
    <w:p w:rsidRPr="000A538D" w:rsidR="00245F1F" w:rsidP="00245F1F" w:rsidRDefault="003362E4" w14:paraId="2FA3FE33" w14:textId="1C1C25F0">
      <w:pPr>
        <w:pStyle w:val="TOC2"/>
        <w:rPr>
          <w:noProof/>
        </w:rPr>
      </w:pPr>
      <w:hyperlink w:history="1" w:anchor="_Toc413847914">
        <w:r w:rsidRPr="000A538D" w:rsidR="00245F1F">
          <w:rPr>
            <w:rStyle w:val="Hyperlink"/>
            <w:noProof/>
            <w:color w:val="auto"/>
          </w:rPr>
          <w:t>4.</w:t>
        </w:r>
        <w:r w:rsidRPr="000A538D" w:rsidR="00245F1F">
          <w:rPr>
            <w:noProof/>
          </w:rPr>
          <w:tab/>
        </w:r>
        <w:r w:rsidRPr="000A538D" w:rsidR="00245F1F">
          <w:rPr>
            <w:rStyle w:val="Hyperlink"/>
            <w:noProof/>
            <w:color w:val="auto"/>
          </w:rPr>
          <w:t>Test of Procedures or Methods to be Undertaken</w:t>
        </w:r>
        <w:r w:rsidRPr="000A538D" w:rsidR="00245F1F">
          <w:rPr>
            <w:noProof/>
            <w:webHidden/>
          </w:rPr>
          <w:tab/>
        </w:r>
        <w:r>
          <w:rPr>
            <w:noProof/>
            <w:webHidden/>
          </w:rPr>
          <w:t>5</w:t>
        </w:r>
      </w:hyperlink>
    </w:p>
    <w:p w:rsidRPr="000A538D" w:rsidR="00245F1F" w:rsidP="00245F1F" w:rsidRDefault="003362E4" w14:paraId="415BB023" w14:textId="2C291B86">
      <w:pPr>
        <w:pStyle w:val="TOC2"/>
        <w:rPr>
          <w:noProof/>
        </w:rPr>
      </w:pPr>
      <w:hyperlink w:history="1" w:anchor="_Toc413847915">
        <w:r w:rsidRPr="000A538D" w:rsidR="00245F1F">
          <w:rPr>
            <w:rStyle w:val="Hyperlink"/>
            <w:noProof/>
            <w:color w:val="auto"/>
          </w:rPr>
          <w:t>5.</w:t>
        </w:r>
        <w:r w:rsidRPr="000A538D" w:rsidR="00245F1F">
          <w:rPr>
            <w:noProof/>
          </w:rPr>
          <w:tab/>
        </w:r>
        <w:r w:rsidRPr="000A538D" w:rsidR="00245F1F">
          <w:rPr>
            <w:rStyle w:val="Hyperlink"/>
            <w:noProof/>
            <w:color w:val="auto"/>
          </w:rPr>
          <w:t>Individuals Consulted on Statistical Aspects and Individuals Collecting and/or Analyzing Data</w:t>
        </w:r>
        <w:r w:rsidRPr="000A538D" w:rsidR="00245F1F">
          <w:rPr>
            <w:rStyle w:val="Hyperlink"/>
            <w:noProof/>
            <w:color w:val="auto"/>
          </w:rPr>
          <w:tab/>
        </w:r>
        <w:r>
          <w:rPr>
            <w:noProof/>
            <w:webHidden/>
          </w:rPr>
          <w:t>5</w:t>
        </w:r>
      </w:hyperlink>
    </w:p>
    <w:p w:rsidRPr="000A538D" w:rsidR="00245F1F" w:rsidRDefault="003362E4" w14:paraId="7580FEBC" w14:textId="7FB25640">
      <w:pPr>
        <w:pStyle w:val="TOC1"/>
        <w:tabs>
          <w:tab w:val="right" w:leader="dot" w:pos="9350"/>
        </w:tabs>
        <w:rPr>
          <w:rFonts w:asciiTheme="minorHAnsi" w:hAnsiTheme="minorHAnsi"/>
          <w:noProof/>
        </w:rPr>
      </w:pPr>
      <w:hyperlink w:history="1" w:anchor="_Toc413847916">
        <w:r w:rsidRPr="000A538D" w:rsidR="00245F1F">
          <w:rPr>
            <w:rStyle w:val="Hyperlink"/>
            <w:noProof/>
            <w:color w:val="auto"/>
          </w:rPr>
          <w:t>LIST OF ATTACHMENTS – Section B</w:t>
        </w:r>
        <w:r w:rsidRPr="000A538D" w:rsidR="00245F1F">
          <w:rPr>
            <w:noProof/>
            <w:webHidden/>
          </w:rPr>
          <w:tab/>
        </w:r>
        <w:r>
          <w:rPr>
            <w:noProof/>
            <w:webHidden/>
          </w:rPr>
          <w:t>6</w:t>
        </w:r>
      </w:hyperlink>
    </w:p>
    <w:p w:rsidR="00245F1F" w:rsidP="00BC6896" w:rsidRDefault="00245F1F" w14:paraId="70B97232" w14:textId="77777777">
      <w:pPr>
        <w:pStyle w:val="Heading3"/>
      </w:pPr>
      <w:r w:rsidRPr="000A538D">
        <w:fldChar w:fldCharType="end"/>
      </w:r>
    </w:p>
    <w:p w:rsidR="00245F1F" w:rsidRDefault="00245F1F" w14:paraId="155EEAC4" w14:textId="77777777">
      <w:pPr>
        <w:spacing w:after="200"/>
        <w:ind w:left="0"/>
        <w:rPr>
          <w:b/>
          <w:sz w:val="28"/>
        </w:rPr>
      </w:pPr>
      <w:bookmarkStart w:name="_Toc413847910" w:id="2"/>
      <w:r>
        <w:br w:type="page"/>
      </w:r>
    </w:p>
    <w:p w:rsidRPr="00BC6896" w:rsidR="00B12F51" w:rsidP="00BC6896" w:rsidRDefault="00B12F51" w14:paraId="75612BC1" w14:textId="3F4D1465">
      <w:pPr>
        <w:pStyle w:val="Heading3"/>
      </w:pPr>
      <w:r w:rsidRPr="00BC6896">
        <w:lastRenderedPageBreak/>
        <w:t xml:space="preserve">Section B – </w:t>
      </w:r>
      <w:r w:rsidR="00487E55">
        <w:t>Data collection</w:t>
      </w:r>
      <w:r w:rsidRPr="00BC6896" w:rsidR="00287E2F">
        <w:t xml:space="preserve"> Procedures</w:t>
      </w:r>
      <w:bookmarkEnd w:id="2"/>
    </w:p>
    <w:p w:rsidR="00287E2F" w:rsidP="002955E6" w:rsidRDefault="00287E2F" w14:paraId="2BD8810D" w14:textId="77777777">
      <w:pPr>
        <w:spacing w:line="240" w:lineRule="auto"/>
      </w:pPr>
    </w:p>
    <w:p w:rsidRPr="00BC6896" w:rsidR="00A75D1C" w:rsidP="002955E6" w:rsidRDefault="009759F3" w14:paraId="2BDBA5F7" w14:textId="0FB26171">
      <w:pPr>
        <w:pStyle w:val="Heading4"/>
        <w:spacing w:after="0" w:line="240" w:lineRule="auto"/>
      </w:pPr>
      <w:bookmarkStart w:name="_Toc413847911" w:id="3"/>
      <w:r w:rsidRPr="00BC6896">
        <w:t xml:space="preserve">Respondent </w:t>
      </w:r>
      <w:r w:rsidR="00DE2D45">
        <w:t>Uni</w:t>
      </w:r>
      <w:r w:rsidRPr="00BC6896" w:rsidR="001960AE">
        <w:t xml:space="preserve">verse and </w:t>
      </w:r>
      <w:r w:rsidRPr="00991BF9" w:rsidR="001960AE">
        <w:t>Sampling</w:t>
      </w:r>
      <w:r w:rsidRPr="00BC6896" w:rsidR="001960AE">
        <w:t xml:space="preserve"> Methods </w:t>
      </w:r>
      <w:bookmarkEnd w:id="3"/>
    </w:p>
    <w:p w:rsidR="004828AE" w:rsidP="002955E6" w:rsidRDefault="004828AE" w14:paraId="2216BEA7" w14:textId="77777777">
      <w:pPr>
        <w:spacing w:line="240" w:lineRule="auto"/>
        <w:ind w:left="360"/>
        <w:rPr>
          <w:b/>
          <w:color w:val="0070C0"/>
        </w:rPr>
      </w:pPr>
    </w:p>
    <w:p w:rsidRPr="0005381C" w:rsidR="002955E6" w:rsidP="002955E6" w:rsidRDefault="004B3DAF" w14:paraId="67F70FD0" w14:textId="05F84FB6">
      <w:pPr>
        <w:spacing w:line="240" w:lineRule="auto"/>
        <w:ind w:left="360"/>
        <w:rPr>
          <w:b/>
        </w:rPr>
      </w:pPr>
      <w:r w:rsidRPr="0005381C">
        <w:rPr>
          <w:b/>
        </w:rPr>
        <w:t xml:space="preserve">REDCap </w:t>
      </w:r>
      <w:r w:rsidRPr="0005381C" w:rsidR="004828AE">
        <w:rPr>
          <w:b/>
        </w:rPr>
        <w:t>Survey</w:t>
      </w:r>
    </w:p>
    <w:p w:rsidRPr="00850D83" w:rsidR="003910D2" w:rsidP="007B7682" w:rsidRDefault="003910D2" w14:paraId="762C4BAC" w14:textId="2486DF96">
      <w:pPr>
        <w:spacing w:after="200"/>
        <w:ind w:left="360"/>
        <w:rPr>
          <w:b/>
        </w:rPr>
      </w:pPr>
      <w:r>
        <w:t>Information</w:t>
      </w:r>
      <w:r w:rsidRPr="00E81A62">
        <w:t xml:space="preserve"> will be collected from</w:t>
      </w:r>
      <w:r>
        <w:t xml:space="preserve"> 58</w:t>
      </w:r>
      <w:r w:rsidRPr="00E81A62">
        <w:t xml:space="preserve"> </w:t>
      </w:r>
      <w:r>
        <w:t>(50 states, 7 cities and Puerto Rico) s</w:t>
      </w:r>
      <w:r w:rsidRPr="00E81A62">
        <w:t>tate</w:t>
      </w:r>
      <w:r w:rsidR="004C0D8A">
        <w:t xml:space="preserve">, </w:t>
      </w:r>
      <w:r w:rsidRPr="00E81A62">
        <w:t>local</w:t>
      </w:r>
      <w:r w:rsidR="004C0D8A">
        <w:t xml:space="preserve"> and territorial</w:t>
      </w:r>
      <w:r w:rsidRPr="00E81A62">
        <w:t xml:space="preserve"> </w:t>
      </w:r>
      <w:r w:rsidR="00B64140">
        <w:t>p</w:t>
      </w:r>
      <w:r w:rsidRPr="00E81A62">
        <w:t>ublic</w:t>
      </w:r>
      <w:r>
        <w:t xml:space="preserve"> </w:t>
      </w:r>
      <w:r w:rsidR="00B64140">
        <w:t>h</w:t>
      </w:r>
      <w:r w:rsidRPr="00E81A62">
        <w:t xml:space="preserve">ealth </w:t>
      </w:r>
      <w:r w:rsidR="00B64140">
        <w:t>l</w:t>
      </w:r>
      <w:r w:rsidRPr="00E81A62">
        <w:t xml:space="preserve">aboratory </w:t>
      </w:r>
      <w:r>
        <w:t xml:space="preserve">(PHL) </w:t>
      </w:r>
      <w:r w:rsidR="00B64140">
        <w:t>mycobacteriol</w:t>
      </w:r>
      <w:r w:rsidR="00804AE3">
        <w:t>o</w:t>
      </w:r>
      <w:r w:rsidR="00B64140">
        <w:t>gy</w:t>
      </w:r>
      <w:r>
        <w:t xml:space="preserve"> supervisors (or</w:t>
      </w:r>
      <w:r w:rsidRPr="00E81A62">
        <w:t xml:space="preserve"> their designees</w:t>
      </w:r>
      <w:r>
        <w:t xml:space="preserve">), funded under the </w:t>
      </w:r>
      <w:r w:rsidRPr="00676670">
        <w:t>C</w:t>
      </w:r>
      <w:r>
        <w:t xml:space="preserve">enters for Disease Control and Prevention (CDC) </w:t>
      </w:r>
      <w:r w:rsidRPr="005C4FFD">
        <w:t xml:space="preserve">Division of Tuberculosis Elimination (DTBE) </w:t>
      </w:r>
      <w:r>
        <w:t>and Laboratory Strengthening C</w:t>
      </w:r>
      <w:r w:rsidRPr="00676670">
        <w:t xml:space="preserve">ooperative </w:t>
      </w:r>
      <w:r>
        <w:t>A</w:t>
      </w:r>
      <w:r w:rsidRPr="00676670">
        <w:t>greement</w:t>
      </w:r>
      <w:r w:rsidR="00850D83">
        <w:t xml:space="preserve"> (CoAg)</w:t>
      </w:r>
      <w:r>
        <w:t xml:space="preserve"> </w:t>
      </w:r>
      <w:r w:rsidRPr="00E81A62">
        <w:t>acting in their official capacities.</w:t>
      </w:r>
      <w:r w:rsidRPr="004A07EF">
        <w:t xml:space="preserve"> </w:t>
      </w:r>
      <w:r>
        <w:t xml:space="preserve"> A listing of these laboratories can be found in </w:t>
      </w:r>
      <w:r w:rsidRPr="00A82E58">
        <w:rPr>
          <w:b/>
        </w:rPr>
        <w:t>A</w:t>
      </w:r>
      <w:r>
        <w:rPr>
          <w:b/>
        </w:rPr>
        <w:t>ttachment</w:t>
      </w:r>
      <w:r w:rsidRPr="00A82E58">
        <w:rPr>
          <w:b/>
        </w:rPr>
        <w:t xml:space="preserve"> A</w:t>
      </w:r>
      <w:r w:rsidRPr="00A468A3">
        <w:rPr>
          <w:rFonts w:cs="Arial"/>
        </w:rPr>
        <w:t>–</w:t>
      </w:r>
      <w:bookmarkStart w:name="_Hlk59190345" w:id="4"/>
      <w:r w:rsidRPr="00E75D17" w:rsidR="00E75D17">
        <w:rPr>
          <w:color w:val="0070C0"/>
        </w:rPr>
        <w:t xml:space="preserve"> </w:t>
      </w:r>
      <w:r w:rsidRPr="009A5580" w:rsidR="00E75D17">
        <w:rPr>
          <w:b/>
          <w:bCs/>
        </w:rPr>
        <w:t xml:space="preserve">CoAg PHLs and </w:t>
      </w:r>
      <w:r w:rsidR="005E22B1">
        <w:rPr>
          <w:b/>
          <w:bCs/>
        </w:rPr>
        <w:t>Mycobacteriology</w:t>
      </w:r>
      <w:r w:rsidRPr="00312766" w:rsidR="00E75D17">
        <w:rPr>
          <w:b/>
          <w:bCs/>
        </w:rPr>
        <w:t xml:space="preserve"> supervisors or designees</w:t>
      </w:r>
      <w:bookmarkEnd w:id="4"/>
      <w:r w:rsidRPr="00312766" w:rsidR="00E75D17">
        <w:rPr>
          <w:b/>
          <w:bCs/>
        </w:rPr>
        <w:t>.</w:t>
      </w:r>
    </w:p>
    <w:p w:rsidR="003910D2" w:rsidP="007B7682" w:rsidRDefault="007A304E" w14:paraId="11DA980C" w14:textId="38A1DB6D">
      <w:pPr>
        <w:ind w:left="360"/>
      </w:pPr>
      <w:r w:rsidRPr="004C0D8A">
        <w:rPr>
          <w:color w:val="000000" w:themeColor="text1"/>
        </w:rPr>
        <w:t xml:space="preserve">Respondents will consist of PHL mycobacteriology supervisors. </w:t>
      </w:r>
      <w:r w:rsidR="003910D2">
        <w:t xml:space="preserve">Participants were selected based upon the fact that </w:t>
      </w:r>
      <w:r w:rsidRPr="006026DA" w:rsidR="003910D2">
        <w:t xml:space="preserve">they are the primary recipients of federal funding for </w:t>
      </w:r>
      <w:r w:rsidR="003910D2">
        <w:t>TB elimination</w:t>
      </w:r>
      <w:r w:rsidRPr="006026DA" w:rsidR="003910D2">
        <w:t xml:space="preserve"> in the US and are, therefore, the most knowledgeable about the information being collected in this assessment. </w:t>
      </w:r>
      <w:r w:rsidRPr="004C0D8A" w:rsidR="009C6926">
        <w:rPr>
          <w:color w:val="000000" w:themeColor="text1"/>
        </w:rPr>
        <w:t xml:space="preserve">If for some reason the mycobacteriology supervisor </w:t>
      </w:r>
      <w:r w:rsidRPr="004C0D8A" w:rsidR="00B96B07">
        <w:rPr>
          <w:color w:val="000000" w:themeColor="text1"/>
        </w:rPr>
        <w:t>declines to participate</w:t>
      </w:r>
      <w:r w:rsidRPr="004C0D8A" w:rsidR="004C0D8A">
        <w:rPr>
          <w:color w:val="000000" w:themeColor="text1"/>
        </w:rPr>
        <w:t>, is unable to participate</w:t>
      </w:r>
      <w:r w:rsidRPr="004C0D8A" w:rsidR="00B96B07">
        <w:rPr>
          <w:color w:val="000000" w:themeColor="text1"/>
        </w:rPr>
        <w:t xml:space="preserve"> or </w:t>
      </w:r>
      <w:r w:rsidRPr="004C0D8A" w:rsidR="009C6926">
        <w:rPr>
          <w:color w:val="000000" w:themeColor="text1"/>
        </w:rPr>
        <w:t>feels there is another staff member within their lab</w:t>
      </w:r>
      <w:r w:rsidRPr="004C0D8A" w:rsidR="00C47C20">
        <w:rPr>
          <w:color w:val="000000" w:themeColor="text1"/>
        </w:rPr>
        <w:t>oratory</w:t>
      </w:r>
      <w:r w:rsidRPr="004C0D8A" w:rsidR="009C6926">
        <w:rPr>
          <w:color w:val="000000" w:themeColor="text1"/>
        </w:rPr>
        <w:t xml:space="preserve"> who may be better suited to complete the </w:t>
      </w:r>
      <w:r w:rsidRPr="004C0D8A" w:rsidR="004C0D8A">
        <w:rPr>
          <w:color w:val="000000" w:themeColor="text1"/>
        </w:rPr>
        <w:t>questionnaire</w:t>
      </w:r>
      <w:r w:rsidRPr="004C0D8A" w:rsidR="009C6926">
        <w:rPr>
          <w:color w:val="000000" w:themeColor="text1"/>
        </w:rPr>
        <w:t xml:space="preserve"> on behalf of t</w:t>
      </w:r>
      <w:r w:rsidRPr="004C0D8A" w:rsidR="004C0D8A">
        <w:rPr>
          <w:color w:val="000000" w:themeColor="text1"/>
        </w:rPr>
        <w:t>he</w:t>
      </w:r>
      <w:r w:rsidRPr="004C0D8A" w:rsidR="009C6926">
        <w:rPr>
          <w:color w:val="000000" w:themeColor="text1"/>
        </w:rPr>
        <w:t xml:space="preserve"> lab</w:t>
      </w:r>
      <w:r w:rsidRPr="004C0D8A" w:rsidR="00C47C20">
        <w:rPr>
          <w:color w:val="000000" w:themeColor="text1"/>
        </w:rPr>
        <w:t>oratory</w:t>
      </w:r>
      <w:r w:rsidRPr="004C0D8A" w:rsidR="009C6926">
        <w:rPr>
          <w:color w:val="000000" w:themeColor="text1"/>
        </w:rPr>
        <w:t xml:space="preserve">, the </w:t>
      </w:r>
      <w:r w:rsidRPr="004C0D8A" w:rsidR="005300FA">
        <w:rPr>
          <w:color w:val="000000" w:themeColor="text1"/>
        </w:rPr>
        <w:t xml:space="preserve">supervisor will have the opportunity to forward the survey to that designee. (NOTE: instructions will be made clear to ensure any designee </w:t>
      </w:r>
      <w:r w:rsidRPr="004C0D8A" w:rsidR="005652EC">
        <w:rPr>
          <w:color w:val="000000" w:themeColor="text1"/>
        </w:rPr>
        <w:t xml:space="preserve">that receives the </w:t>
      </w:r>
      <w:r w:rsidRPr="004C0D8A" w:rsidR="004C0D8A">
        <w:rPr>
          <w:color w:val="000000" w:themeColor="text1"/>
        </w:rPr>
        <w:t>questionnaire</w:t>
      </w:r>
      <w:r w:rsidRPr="004C0D8A" w:rsidR="005652EC">
        <w:rPr>
          <w:color w:val="000000" w:themeColor="text1"/>
        </w:rPr>
        <w:t xml:space="preserve"> </w:t>
      </w:r>
      <w:r w:rsidRPr="004C0D8A" w:rsidR="005300FA">
        <w:rPr>
          <w:color w:val="000000" w:themeColor="text1"/>
        </w:rPr>
        <w:t xml:space="preserve">must be of the same PHL to ensure </w:t>
      </w:r>
      <w:r w:rsidRPr="004C0D8A" w:rsidR="005652EC">
        <w:rPr>
          <w:color w:val="000000" w:themeColor="text1"/>
        </w:rPr>
        <w:t xml:space="preserve">the collection </w:t>
      </w:r>
      <w:r w:rsidRPr="004C0D8A" w:rsidR="005579E2">
        <w:rPr>
          <w:color w:val="000000" w:themeColor="text1"/>
        </w:rPr>
        <w:t xml:space="preserve">aligns to the approved </w:t>
      </w:r>
      <w:r w:rsidRPr="004C0D8A" w:rsidR="005300FA">
        <w:rPr>
          <w:color w:val="000000" w:themeColor="text1"/>
        </w:rPr>
        <w:t xml:space="preserve">respondent universe of </w:t>
      </w:r>
      <w:r w:rsidRPr="004C0D8A" w:rsidR="00C47C20">
        <w:rPr>
          <w:color w:val="000000" w:themeColor="text1"/>
        </w:rPr>
        <w:t xml:space="preserve">OMB No. </w:t>
      </w:r>
      <w:r w:rsidRPr="004C0D8A" w:rsidR="005300FA">
        <w:rPr>
          <w:color w:val="000000" w:themeColor="text1"/>
        </w:rPr>
        <w:t>0920-0879</w:t>
      </w:r>
      <w:r w:rsidRPr="004C0D8A" w:rsidR="005579E2">
        <w:rPr>
          <w:color w:val="000000" w:themeColor="text1"/>
        </w:rPr>
        <w:t>).</w:t>
      </w:r>
      <w:r w:rsidRPr="004C0D8A" w:rsidR="005300FA">
        <w:rPr>
          <w:color w:val="000000" w:themeColor="text1"/>
        </w:rPr>
        <w:t xml:space="preserve"> </w:t>
      </w:r>
      <w:r w:rsidRPr="005C4FFD" w:rsidR="003910D2">
        <w:t xml:space="preserve">Due to the limited size of the potential respondent universe, </w:t>
      </w:r>
      <w:r w:rsidR="003910D2">
        <w:t>CDC will</w:t>
      </w:r>
      <w:r w:rsidRPr="005C4FFD" w:rsidR="003910D2">
        <w:t xml:space="preserve"> </w:t>
      </w:r>
      <w:r w:rsidR="003910D2">
        <w:t>invite</w:t>
      </w:r>
      <w:r w:rsidRPr="005C4FFD" w:rsidR="003910D2">
        <w:t xml:space="preserve"> all </w:t>
      </w:r>
      <w:r w:rsidR="003910D2">
        <w:t xml:space="preserve">58 </w:t>
      </w:r>
      <w:r w:rsidR="00804AE3">
        <w:t xml:space="preserve">CoAg </w:t>
      </w:r>
      <w:r w:rsidR="00B64140">
        <w:t xml:space="preserve">awardees </w:t>
      </w:r>
      <w:r w:rsidR="003910D2">
        <w:t xml:space="preserve">to participate in this assessment. Therefore, no sampling will be conducted. </w:t>
      </w:r>
    </w:p>
    <w:p w:rsidR="004D70EE" w:rsidP="002955E6" w:rsidRDefault="004D70EE" w14:paraId="37DD38B5" w14:textId="77777777">
      <w:pPr>
        <w:spacing w:line="240" w:lineRule="auto"/>
        <w:ind w:left="360"/>
        <w:rPr>
          <w:b/>
          <w:color w:val="0070C0"/>
        </w:rPr>
      </w:pPr>
    </w:p>
    <w:p w:rsidRPr="00ED5407" w:rsidR="00176E14" w:rsidP="002955E6" w:rsidRDefault="0057674A" w14:paraId="204F0FBD" w14:textId="7E8785FF">
      <w:pPr>
        <w:spacing w:line="240" w:lineRule="auto"/>
        <w:ind w:left="360"/>
        <w:rPr>
          <w:b/>
        </w:rPr>
      </w:pPr>
      <w:r w:rsidRPr="00ED5407">
        <w:rPr>
          <w:b/>
        </w:rPr>
        <w:t xml:space="preserve">Focus Group </w:t>
      </w:r>
      <w:r w:rsidR="002D17A7">
        <w:rPr>
          <w:b/>
        </w:rPr>
        <w:t>Discussions</w:t>
      </w:r>
    </w:p>
    <w:p w:rsidRPr="00ED5407" w:rsidR="009F795C" w:rsidP="00133FB2" w:rsidRDefault="009F795C" w14:paraId="01C10122" w14:textId="1480F27F">
      <w:pPr>
        <w:ind w:left="360"/>
      </w:pPr>
      <w:r w:rsidRPr="00ED5407">
        <w:t>State</w:t>
      </w:r>
      <w:r w:rsidR="004C0D8A">
        <w:t xml:space="preserve">, </w:t>
      </w:r>
      <w:r w:rsidRPr="00ED5407">
        <w:t>local</w:t>
      </w:r>
      <w:r w:rsidR="004C0D8A">
        <w:t xml:space="preserve"> and territorial </w:t>
      </w:r>
      <w:r w:rsidRPr="00ED5407">
        <w:t xml:space="preserve">PHL mycobacteriology supervisors (or their designees) who complete the data collection instrument and indicate </w:t>
      </w:r>
      <w:r w:rsidRPr="00ED5407" w:rsidR="00841716">
        <w:t xml:space="preserve">they had an interruption of service event will be selected to participate in focus group discussions. Up to 58 </w:t>
      </w:r>
      <w:r w:rsidRPr="00ED5407" w:rsidR="000F5338">
        <w:t xml:space="preserve">respondents may participate in focus groups. Respondents will be placed in </w:t>
      </w:r>
      <w:r w:rsidRPr="00ED5407" w:rsidR="006D1D78">
        <w:t xml:space="preserve">focus </w:t>
      </w:r>
      <w:r w:rsidRPr="00ED5407" w:rsidR="000F5338">
        <w:t>groups based on the type of interruption of service eve</w:t>
      </w:r>
      <w:r w:rsidRPr="00ED5407" w:rsidR="006D1D78">
        <w:t>nt reported on the data collection instrument.</w:t>
      </w:r>
    </w:p>
    <w:p w:rsidR="00F52BCC" w:rsidP="00D90E17" w:rsidRDefault="00F52BCC" w14:paraId="16B82430" w14:textId="3E232376">
      <w:pPr>
        <w:spacing w:line="240" w:lineRule="auto"/>
        <w:ind w:left="360"/>
        <w:rPr>
          <w:color w:val="5F497A" w:themeColor="accent4" w:themeShade="BF"/>
        </w:rPr>
      </w:pPr>
    </w:p>
    <w:p w:rsidR="00D90E17" w:rsidP="00D90E17" w:rsidRDefault="00D90E17" w14:paraId="7E71FEB7" w14:textId="77777777">
      <w:pPr>
        <w:spacing w:line="240" w:lineRule="auto"/>
        <w:ind w:left="360"/>
      </w:pPr>
    </w:p>
    <w:p w:rsidRPr="009759F3" w:rsidR="00287E2F" w:rsidP="002955E6" w:rsidRDefault="00287E2F" w14:paraId="315101AE" w14:textId="77777777">
      <w:pPr>
        <w:pStyle w:val="Heading4"/>
        <w:spacing w:after="0" w:line="240" w:lineRule="auto"/>
      </w:pPr>
      <w:bookmarkStart w:name="_Toc413847912" w:id="5"/>
      <w:r w:rsidRPr="009759F3">
        <w:t xml:space="preserve">Procedures for </w:t>
      </w:r>
      <w:r w:rsidRPr="009759F3" w:rsidR="009759F3">
        <w:t xml:space="preserve">the </w:t>
      </w:r>
      <w:r w:rsidRPr="009759F3">
        <w:t>Collecti</w:t>
      </w:r>
      <w:r w:rsidRPr="009759F3" w:rsidR="009759F3">
        <w:t>on</w:t>
      </w:r>
      <w:r w:rsidRPr="009759F3">
        <w:t xml:space="preserve"> of Information</w:t>
      </w:r>
      <w:bookmarkEnd w:id="5"/>
      <w:r w:rsidRPr="009759F3" w:rsidR="00F725B5">
        <w:t xml:space="preserve"> </w:t>
      </w:r>
      <w:r w:rsidRPr="009759F3" w:rsidR="009759F3">
        <w:t xml:space="preserve">  </w:t>
      </w:r>
    </w:p>
    <w:p w:rsidR="001D461D" w:rsidP="002955E6" w:rsidRDefault="001D461D" w14:paraId="260C996C" w14:textId="28A921DF">
      <w:pPr>
        <w:spacing w:line="240" w:lineRule="auto"/>
        <w:ind w:left="360"/>
      </w:pPr>
    </w:p>
    <w:p w:rsidRPr="0005381C" w:rsidR="00F15E7F" w:rsidP="002955E6" w:rsidRDefault="00F15E7F" w14:paraId="7B8538DB" w14:textId="210FB017">
      <w:pPr>
        <w:spacing w:line="240" w:lineRule="auto"/>
        <w:ind w:left="360"/>
        <w:rPr>
          <w:b/>
          <w:bCs/>
          <w:u w:val="single"/>
        </w:rPr>
      </w:pPr>
      <w:r w:rsidRPr="0005381C">
        <w:rPr>
          <w:b/>
          <w:bCs/>
          <w:u w:val="single"/>
        </w:rPr>
        <w:t>REDCap Survey</w:t>
      </w:r>
    </w:p>
    <w:p w:rsidRPr="009011A8" w:rsidR="00451566" w:rsidP="007B7682" w:rsidRDefault="00E33BBA" w14:paraId="6C6EC12D" w14:textId="6C040345">
      <w:pPr>
        <w:ind w:left="360"/>
      </w:pPr>
      <w:r>
        <w:t>D</w:t>
      </w:r>
      <w:r w:rsidRPr="003163A2">
        <w:t xml:space="preserve">ata will be collected </w:t>
      </w:r>
      <w:r w:rsidRPr="003163A2" w:rsidR="00451566">
        <w:t xml:space="preserve">through a web-based </w:t>
      </w:r>
      <w:r w:rsidR="00451566">
        <w:t>data collection instrument</w:t>
      </w:r>
      <w:r w:rsidRPr="003163A2" w:rsidR="00451566">
        <w:t xml:space="preserve"> </w:t>
      </w:r>
      <w:r w:rsidR="005E22B1">
        <w:t xml:space="preserve">(CDC REDCap) </w:t>
      </w:r>
      <w:r w:rsidRPr="003163A2" w:rsidR="00451566">
        <w:t>and</w:t>
      </w:r>
      <w:r w:rsidR="00451566">
        <w:t xml:space="preserve"> respondents</w:t>
      </w:r>
      <w:r w:rsidRPr="003163A2" w:rsidR="00451566">
        <w:t xml:space="preserve"> will be recruited through a</w:t>
      </w:r>
      <w:r w:rsidR="00451566">
        <w:t xml:space="preserve"> notification </w:t>
      </w:r>
      <w:r w:rsidRPr="003163A2" w:rsidR="00451566">
        <w:t>email</w:t>
      </w:r>
      <w:r w:rsidR="00451566">
        <w:t xml:space="preserve"> </w:t>
      </w:r>
      <w:r w:rsidRPr="009011A8" w:rsidR="00451566">
        <w:t xml:space="preserve">(see </w:t>
      </w:r>
      <w:r w:rsidRPr="009011A8" w:rsidR="00451566">
        <w:rPr>
          <w:b/>
        </w:rPr>
        <w:t xml:space="preserve">Attachment </w:t>
      </w:r>
      <w:r w:rsidR="00F87EFD">
        <w:rPr>
          <w:b/>
        </w:rPr>
        <w:t>E</w:t>
      </w:r>
      <w:r w:rsidR="00451566">
        <w:rPr>
          <w:b/>
        </w:rPr>
        <w:t>—</w:t>
      </w:r>
      <w:r w:rsidRPr="009011A8" w:rsidR="00451566">
        <w:rPr>
          <w:b/>
        </w:rPr>
        <w:t>Notification Email</w:t>
      </w:r>
      <w:r w:rsidRPr="009011A8" w:rsidR="00451566">
        <w:t>)</w:t>
      </w:r>
      <w:r w:rsidRPr="003163A2" w:rsidR="00451566">
        <w:t xml:space="preserve"> </w:t>
      </w:r>
      <w:r w:rsidR="00451566">
        <w:t xml:space="preserve">sent by CDC </w:t>
      </w:r>
      <w:r w:rsidR="00B64140">
        <w:t xml:space="preserve">Laboratory Branch staff </w:t>
      </w:r>
      <w:r w:rsidR="00451566">
        <w:t xml:space="preserve">to the </w:t>
      </w:r>
      <w:r w:rsidRPr="00315598" w:rsidR="00451566">
        <w:rPr>
          <w:color w:val="000000" w:themeColor="text1"/>
        </w:rPr>
        <w:t xml:space="preserve">PHL </w:t>
      </w:r>
      <w:r w:rsidRPr="00315598" w:rsidR="00B64140">
        <w:rPr>
          <w:color w:val="000000" w:themeColor="text1"/>
        </w:rPr>
        <w:t xml:space="preserve">mycobacteriology </w:t>
      </w:r>
      <w:r w:rsidRPr="00315598" w:rsidR="00451566">
        <w:rPr>
          <w:color w:val="000000" w:themeColor="text1"/>
        </w:rPr>
        <w:t>supervisors</w:t>
      </w:r>
      <w:r w:rsidR="005E22B1">
        <w:rPr>
          <w:color w:val="000000" w:themeColor="text1"/>
        </w:rPr>
        <w:t xml:space="preserve"> or their designee</w:t>
      </w:r>
      <w:r w:rsidRPr="00315598" w:rsidR="00451566">
        <w:rPr>
          <w:color w:val="000000" w:themeColor="text1"/>
        </w:rPr>
        <w:t xml:space="preserve">.  </w:t>
      </w:r>
      <w:r w:rsidRPr="009011A8" w:rsidR="00451566">
        <w:t xml:space="preserve">The notification email will explain: </w:t>
      </w:r>
    </w:p>
    <w:p w:rsidRPr="009011A8" w:rsidR="00E33BBA" w:rsidP="007B7682" w:rsidRDefault="00E33BBA" w14:paraId="71219EF4" w14:textId="7238C4D0">
      <w:r w:rsidRPr="003163A2">
        <w:t xml:space="preserve"> </w:t>
      </w:r>
    </w:p>
    <w:p w:rsidR="00E33BBA" w:rsidP="007B7682" w:rsidRDefault="00E33BBA" w14:paraId="31DBDEB8" w14:textId="1EE9F79A">
      <w:pPr>
        <w:pStyle w:val="ListParagraph"/>
        <w:numPr>
          <w:ilvl w:val="0"/>
          <w:numId w:val="24"/>
        </w:numPr>
        <w:ind w:left="1440"/>
      </w:pPr>
      <w:r w:rsidRPr="009011A8">
        <w:t xml:space="preserve">The purpose of the </w:t>
      </w:r>
      <w:r w:rsidR="006C1771">
        <w:t>data collection</w:t>
      </w:r>
      <w:r w:rsidRPr="009011A8">
        <w:t xml:space="preserve">, and why their participation is important </w:t>
      </w:r>
    </w:p>
    <w:p w:rsidRPr="009011A8" w:rsidR="00E33BBA" w:rsidP="007B7682" w:rsidRDefault="00E33BBA" w14:paraId="5AFBF7DB" w14:textId="77777777">
      <w:pPr>
        <w:pStyle w:val="ListParagraph"/>
        <w:numPr>
          <w:ilvl w:val="0"/>
          <w:numId w:val="24"/>
        </w:numPr>
        <w:ind w:left="1440"/>
      </w:pPr>
      <w:r>
        <w:t>Instructions for participating</w:t>
      </w:r>
    </w:p>
    <w:p w:rsidRPr="009011A8" w:rsidR="00E33BBA" w:rsidP="007B7682" w:rsidRDefault="00E33BBA" w14:paraId="0F60838C" w14:textId="77777777">
      <w:pPr>
        <w:pStyle w:val="ListParagraph"/>
        <w:numPr>
          <w:ilvl w:val="0"/>
          <w:numId w:val="24"/>
        </w:numPr>
        <w:ind w:left="1440"/>
      </w:pPr>
      <w:r w:rsidRPr="009011A8">
        <w:t xml:space="preserve">Method to safeguard their responses </w:t>
      </w:r>
    </w:p>
    <w:p w:rsidRPr="009011A8" w:rsidR="00E33BBA" w:rsidP="007B7682" w:rsidRDefault="00E33BBA" w14:paraId="04A3566C" w14:textId="77777777">
      <w:pPr>
        <w:pStyle w:val="ListParagraph"/>
        <w:numPr>
          <w:ilvl w:val="0"/>
          <w:numId w:val="24"/>
        </w:numPr>
        <w:ind w:left="1440"/>
      </w:pPr>
      <w:r w:rsidRPr="009011A8">
        <w:t>That participation is voluntary</w:t>
      </w:r>
    </w:p>
    <w:p w:rsidR="000279A9" w:rsidP="007B7682" w:rsidRDefault="00E33BBA" w14:paraId="1AA9CF1B" w14:textId="13FB9525">
      <w:pPr>
        <w:pStyle w:val="ListParagraph"/>
        <w:numPr>
          <w:ilvl w:val="0"/>
          <w:numId w:val="24"/>
        </w:numPr>
        <w:ind w:left="1440"/>
      </w:pPr>
      <w:r w:rsidRPr="009011A8">
        <w:t xml:space="preserve">The expected time to complete the </w:t>
      </w:r>
      <w:r w:rsidR="006C1771">
        <w:t>instrument</w:t>
      </w:r>
      <w:r w:rsidRPr="009011A8">
        <w:t xml:space="preserve"> </w:t>
      </w:r>
    </w:p>
    <w:p w:rsidR="00691031" w:rsidP="007B7682" w:rsidRDefault="00E33BBA" w14:paraId="1617C7CB" w14:textId="421FA2EB">
      <w:pPr>
        <w:pStyle w:val="ListParagraph"/>
        <w:numPr>
          <w:ilvl w:val="0"/>
          <w:numId w:val="24"/>
        </w:numPr>
        <w:ind w:left="1440"/>
      </w:pPr>
      <w:r w:rsidRPr="009011A8">
        <w:lastRenderedPageBreak/>
        <w:t xml:space="preserve">Contact information for the </w:t>
      </w:r>
      <w:r w:rsidR="006C1771">
        <w:t>project</w:t>
      </w:r>
      <w:r w:rsidRPr="009011A8">
        <w:t xml:space="preserve"> team</w:t>
      </w:r>
    </w:p>
    <w:p w:rsidR="00691031" w:rsidP="007B7682" w:rsidRDefault="00691031" w14:paraId="29586EB8" w14:textId="77777777">
      <w:pPr>
        <w:spacing w:line="240" w:lineRule="auto"/>
      </w:pPr>
    </w:p>
    <w:p w:rsidR="00691031" w:rsidP="007B7682" w:rsidRDefault="00691031" w14:paraId="409C569F" w14:textId="77777777">
      <w:pPr>
        <w:spacing w:line="240" w:lineRule="auto"/>
      </w:pPr>
    </w:p>
    <w:p w:rsidRPr="00ED5407" w:rsidR="00D67AED" w:rsidP="007B7682" w:rsidRDefault="00997199" w14:paraId="527304DA" w14:textId="09E5ECAA">
      <w:pPr>
        <w:ind w:left="360"/>
      </w:pPr>
      <w:r w:rsidRPr="00576930">
        <w:t xml:space="preserve">Respondents will be asked </w:t>
      </w:r>
      <w:r>
        <w:t>to complete</w:t>
      </w:r>
      <w:r w:rsidRPr="00576930">
        <w:t xml:space="preserve"> their response to the instrument within</w:t>
      </w:r>
      <w:r w:rsidRPr="009D77CD">
        <w:t xml:space="preserve"> a </w:t>
      </w:r>
      <w:r w:rsidR="00B64140">
        <w:t>6</w:t>
      </w:r>
      <w:r w:rsidRPr="009D77CD">
        <w:rPr>
          <w:color w:val="0070C0"/>
        </w:rPr>
        <w:t>-</w:t>
      </w:r>
      <w:r>
        <w:t xml:space="preserve">week period </w:t>
      </w:r>
      <w:r w:rsidRPr="009011A8">
        <w:t xml:space="preserve">to allow ample time </w:t>
      </w:r>
      <w:r>
        <w:t xml:space="preserve">for </w:t>
      </w:r>
      <w:r w:rsidRPr="009011A8">
        <w:t>complet</w:t>
      </w:r>
      <w:r>
        <w:t>ion</w:t>
      </w:r>
      <w:r w:rsidRPr="009011A8">
        <w:t xml:space="preserve">. </w:t>
      </w:r>
      <w:r>
        <w:t xml:space="preserve">Following the notification email, PHL </w:t>
      </w:r>
      <w:r w:rsidR="00B64140">
        <w:t xml:space="preserve">mycobacteriology </w:t>
      </w:r>
      <w:r>
        <w:t xml:space="preserve">supervisors who do not respond </w:t>
      </w:r>
      <w:r w:rsidR="00A376DA">
        <w:t xml:space="preserve">to the initial invitation </w:t>
      </w:r>
      <w:r>
        <w:t xml:space="preserve">within </w:t>
      </w:r>
      <w:r w:rsidRPr="004D17C2">
        <w:t>2 weeks</w:t>
      </w:r>
      <w:r>
        <w:t xml:space="preserve"> will receive a r</w:t>
      </w:r>
      <w:r w:rsidRPr="009011A8">
        <w:t>eminder</w:t>
      </w:r>
      <w:r>
        <w:t xml:space="preserve"> email (</w:t>
      </w:r>
      <w:r w:rsidRPr="00576930">
        <w:rPr>
          <w:b/>
        </w:rPr>
        <w:t xml:space="preserve">see Attachment </w:t>
      </w:r>
      <w:r w:rsidR="00F87EFD">
        <w:rPr>
          <w:b/>
        </w:rPr>
        <w:t>F</w:t>
      </w:r>
      <w:r w:rsidRPr="00576930">
        <w:rPr>
          <w:b/>
        </w:rPr>
        <w:t>—Reminder Email</w:t>
      </w:r>
      <w:r>
        <w:t>) urging them to complete the assessment.</w:t>
      </w:r>
      <w:r w:rsidR="00C929A3">
        <w:t xml:space="preserve"> Those</w:t>
      </w:r>
      <w:r w:rsidRPr="00D67AED" w:rsidR="00D67AED">
        <w:t xml:space="preserve"> </w:t>
      </w:r>
      <w:r w:rsidR="00C929A3">
        <w:t xml:space="preserve">who do not respond to the reminder email </w:t>
      </w:r>
      <w:r w:rsidR="005E22B1">
        <w:t>by</w:t>
      </w:r>
      <w:r w:rsidR="00C929A3">
        <w:t xml:space="preserve"> the end of the </w:t>
      </w:r>
      <w:r w:rsidRPr="0020226A" w:rsidR="001E54DE">
        <w:t>6</w:t>
      </w:r>
      <w:r w:rsidRPr="0020226A" w:rsidR="00C929A3">
        <w:t>-week</w:t>
      </w:r>
      <w:r w:rsidR="00C929A3">
        <w:t xml:space="preserve"> information collection period, will be considered no</w:t>
      </w:r>
      <w:r w:rsidR="000B586B">
        <w:t>n-responders</w:t>
      </w:r>
      <w:r w:rsidRPr="0020226A" w:rsidR="000B586B">
        <w:t xml:space="preserve">. </w:t>
      </w:r>
      <w:r w:rsidRPr="004C0D8A" w:rsidR="000B586B">
        <w:rPr>
          <w:color w:val="000000" w:themeColor="text1"/>
        </w:rPr>
        <w:t xml:space="preserve">PHL </w:t>
      </w:r>
      <w:r w:rsidRPr="004C0D8A" w:rsidR="00B64140">
        <w:rPr>
          <w:color w:val="000000" w:themeColor="text1"/>
        </w:rPr>
        <w:t xml:space="preserve">mycobacteriology </w:t>
      </w:r>
      <w:r w:rsidRPr="004C0D8A" w:rsidR="000B586B">
        <w:rPr>
          <w:color w:val="000000" w:themeColor="text1"/>
        </w:rPr>
        <w:t>supervisors who decline to participate outright will be asked to</w:t>
      </w:r>
      <w:r w:rsidRPr="004C0D8A" w:rsidR="006F048C">
        <w:rPr>
          <w:color w:val="000000" w:themeColor="text1"/>
        </w:rPr>
        <w:t xml:space="preserve"> </w:t>
      </w:r>
      <w:r w:rsidRPr="004C0D8A" w:rsidR="000A2FC0">
        <w:rPr>
          <w:color w:val="000000" w:themeColor="text1"/>
        </w:rPr>
        <w:t xml:space="preserve">forward the </w:t>
      </w:r>
      <w:r w:rsidRPr="004C0D8A" w:rsidR="004C0D8A">
        <w:rPr>
          <w:color w:val="000000" w:themeColor="text1"/>
        </w:rPr>
        <w:t>questionnaire</w:t>
      </w:r>
      <w:r w:rsidRPr="004C0D8A" w:rsidR="000A2FC0">
        <w:rPr>
          <w:color w:val="000000" w:themeColor="text1"/>
        </w:rPr>
        <w:t xml:space="preserve"> link to </w:t>
      </w:r>
      <w:r w:rsidRPr="004C0D8A" w:rsidR="000B586B">
        <w:rPr>
          <w:color w:val="000000" w:themeColor="text1"/>
        </w:rPr>
        <w:t>an appropriate designee</w:t>
      </w:r>
      <w:r w:rsidRPr="004C0D8A" w:rsidR="008620BB">
        <w:rPr>
          <w:color w:val="000000" w:themeColor="text1"/>
        </w:rPr>
        <w:t xml:space="preserve"> from the same PHL</w:t>
      </w:r>
      <w:r w:rsidRPr="004C0D8A" w:rsidR="000B586B">
        <w:rPr>
          <w:color w:val="000000" w:themeColor="text1"/>
        </w:rPr>
        <w:t xml:space="preserve"> </w:t>
      </w:r>
      <w:r w:rsidRPr="00ED5407" w:rsidR="000B586B">
        <w:t>If th</w:t>
      </w:r>
      <w:r w:rsidRPr="00ED5407" w:rsidR="00B87566">
        <w:t xml:space="preserve">e </w:t>
      </w:r>
      <w:r w:rsidRPr="00ED5407" w:rsidR="000B586B">
        <w:t xml:space="preserve">request to </w:t>
      </w:r>
      <w:r w:rsidR="0020226A">
        <w:t>forward to</w:t>
      </w:r>
      <w:r w:rsidRPr="00ED5407" w:rsidR="0020226A">
        <w:t xml:space="preserve"> </w:t>
      </w:r>
      <w:r w:rsidRPr="00ED5407" w:rsidR="00B87566">
        <w:t xml:space="preserve">a designee is also declined, the </w:t>
      </w:r>
      <w:r w:rsidRPr="00ED5407" w:rsidR="00B64140">
        <w:t xml:space="preserve">mycobacteriology supervisor </w:t>
      </w:r>
      <w:r w:rsidRPr="00ED5407" w:rsidR="00B87566">
        <w:t>will receive no further communication.</w:t>
      </w:r>
    </w:p>
    <w:p w:rsidR="00691031" w:rsidP="00997199" w:rsidRDefault="00691031" w14:paraId="36C1A2E1" w14:textId="77777777">
      <w:pPr>
        <w:ind w:left="360"/>
      </w:pPr>
    </w:p>
    <w:p w:rsidR="00B378E3" w:rsidP="007B7682" w:rsidRDefault="00B378E3" w14:paraId="136FBB4F" w14:textId="6B27488E">
      <w:pPr>
        <w:ind w:left="360"/>
        <w:rPr>
          <w:color w:val="000000" w:themeColor="text1"/>
        </w:rPr>
      </w:pPr>
      <w:r>
        <w:t xml:space="preserve">Once the </w:t>
      </w:r>
      <w:r w:rsidR="00B64140">
        <w:t>6</w:t>
      </w:r>
      <w:r>
        <w:t>-week information collection period has closed, results</w:t>
      </w:r>
      <w:r w:rsidRPr="00546099">
        <w:t xml:space="preserve"> from the web-based instrument will be downloaded</w:t>
      </w:r>
      <w:r>
        <w:t xml:space="preserve"> and exported to an Excel spreadsheet for initial analysis and cleaning. Quantitative data </w:t>
      </w:r>
      <w:r w:rsidRPr="00546099">
        <w:t>analy</w:t>
      </w:r>
      <w:r>
        <w:t>sis and descriptive statistics will be achieved through</w:t>
      </w:r>
      <w:r w:rsidRPr="00546099">
        <w:t xml:space="preserve"> in</w:t>
      </w:r>
      <w:r>
        <w:t xml:space="preserve">put into SPSS according to variables aligned with response choices. </w:t>
      </w:r>
      <w:r w:rsidRPr="009D77CD">
        <w:rPr>
          <w:color w:val="0070C0"/>
        </w:rPr>
        <w:t xml:space="preserve"> </w:t>
      </w:r>
      <w:r w:rsidRPr="00315598">
        <w:rPr>
          <w:color w:val="000000" w:themeColor="text1"/>
        </w:rPr>
        <w:t>Information collected from the assessment will be stored in a secure environment maintained by CDC</w:t>
      </w:r>
      <w:r w:rsidRPr="00315598" w:rsidR="00910621">
        <w:rPr>
          <w:color w:val="000000" w:themeColor="text1"/>
        </w:rPr>
        <w:t>.</w:t>
      </w:r>
      <w:r w:rsidRPr="00315598">
        <w:rPr>
          <w:color w:val="000000" w:themeColor="text1"/>
        </w:rPr>
        <w:t xml:space="preserve"> </w:t>
      </w:r>
    </w:p>
    <w:p w:rsidR="005E22B1" w:rsidP="007B7682" w:rsidRDefault="005E22B1" w14:paraId="5D1772DC" w14:textId="7C4DC9A4">
      <w:pPr>
        <w:ind w:left="360"/>
        <w:rPr>
          <w:color w:val="000000" w:themeColor="text1"/>
        </w:rPr>
      </w:pPr>
    </w:p>
    <w:p w:rsidRPr="00F15E7F" w:rsidR="00F15E7F" w:rsidP="007B7682" w:rsidRDefault="00F15E7F" w14:paraId="4F3D9ACE" w14:textId="35646DDC">
      <w:pPr>
        <w:ind w:left="360"/>
        <w:rPr>
          <w:b/>
          <w:bCs/>
          <w:color w:val="000000" w:themeColor="text1"/>
          <w:u w:val="single"/>
        </w:rPr>
      </w:pPr>
      <w:r w:rsidRPr="00F15E7F">
        <w:rPr>
          <w:b/>
          <w:bCs/>
          <w:color w:val="000000" w:themeColor="text1"/>
          <w:u w:val="single"/>
        </w:rPr>
        <w:t xml:space="preserve">Focus Group </w:t>
      </w:r>
      <w:r w:rsidR="002D17A7">
        <w:rPr>
          <w:b/>
          <w:bCs/>
          <w:color w:val="000000" w:themeColor="text1"/>
          <w:u w:val="single"/>
        </w:rPr>
        <w:t>Discussions</w:t>
      </w:r>
    </w:p>
    <w:p w:rsidRPr="00315598" w:rsidR="005E22B1" w:rsidP="007B7682" w:rsidRDefault="005E22B1" w14:paraId="3DC069FE" w14:textId="3C80CB84">
      <w:pPr>
        <w:ind w:left="360"/>
        <w:rPr>
          <w:color w:val="000000" w:themeColor="text1"/>
        </w:rPr>
      </w:pPr>
      <w:r>
        <w:rPr>
          <w:color w:val="000000" w:themeColor="text1"/>
        </w:rPr>
        <w:t>Focus group discussions held by virtual platforms</w:t>
      </w:r>
      <w:r w:rsidR="00821C45">
        <w:rPr>
          <w:color w:val="000000" w:themeColor="text1"/>
        </w:rPr>
        <w:t xml:space="preserve"> (Zoom, </w:t>
      </w:r>
      <w:r w:rsidR="004E58DA">
        <w:rPr>
          <w:color w:val="000000" w:themeColor="text1"/>
        </w:rPr>
        <w:t>Skype,</w:t>
      </w:r>
      <w:r w:rsidR="00821C45">
        <w:rPr>
          <w:color w:val="000000" w:themeColor="text1"/>
        </w:rPr>
        <w:t xml:space="preserve"> or Teams Meeting)</w:t>
      </w:r>
      <w:r>
        <w:rPr>
          <w:color w:val="000000" w:themeColor="text1"/>
        </w:rPr>
        <w:t xml:space="preserve"> will be scheduled based on responses from the questionnaire </w:t>
      </w:r>
      <w:r w:rsidR="004D17C2">
        <w:rPr>
          <w:color w:val="000000" w:themeColor="text1"/>
        </w:rPr>
        <w:t>regarding</w:t>
      </w:r>
      <w:r>
        <w:rPr>
          <w:color w:val="000000" w:themeColor="text1"/>
        </w:rPr>
        <w:t xml:space="preserve"> types of interruption in service events identified.</w:t>
      </w:r>
      <w:r w:rsidR="003E5347">
        <w:rPr>
          <w:color w:val="000000" w:themeColor="text1"/>
        </w:rPr>
        <w:t xml:space="preserve"> </w:t>
      </w:r>
      <w:r w:rsidRPr="00BD68E3" w:rsidR="00BD68E3">
        <w:rPr>
          <w:rFonts w:ascii="Cambria" w:hAnsi="Cambria"/>
        </w:rPr>
        <w:t xml:space="preserve"> </w:t>
      </w:r>
      <w:r w:rsidR="00BD68E3">
        <w:rPr>
          <w:rFonts w:ascii="Cambria" w:hAnsi="Cambria"/>
        </w:rPr>
        <w:t xml:space="preserve">Up to 58 potential respondents to the data collection questionnaire will participate in focus group discussions. A maximum of six participants will be </w:t>
      </w:r>
      <w:r w:rsidR="005E467A">
        <w:rPr>
          <w:rFonts w:ascii="Cambria" w:hAnsi="Cambria"/>
        </w:rPr>
        <w:t xml:space="preserve">in each focus group. Thus, a maximum of </w:t>
      </w:r>
      <w:r w:rsidR="00633C0A">
        <w:rPr>
          <w:rFonts w:ascii="Cambria" w:hAnsi="Cambria"/>
        </w:rPr>
        <w:t>7 to 10 focus groups are anticipated.</w:t>
      </w:r>
    </w:p>
    <w:p w:rsidR="00787DA7" w:rsidP="006128F3" w:rsidRDefault="00787DA7" w14:paraId="39A3333F" w14:textId="3EA18DED">
      <w:pPr>
        <w:pStyle w:val="ListParagraph"/>
        <w:spacing w:before="120" w:after="120" w:line="240" w:lineRule="auto"/>
        <w:ind w:left="360"/>
        <w:contextualSpacing w:val="0"/>
        <w:rPr>
          <w:color w:val="5F497A" w:themeColor="accent4" w:themeShade="BF"/>
        </w:rPr>
      </w:pPr>
    </w:p>
    <w:p w:rsidRPr="00ED5407" w:rsidR="00CF0E10" w:rsidP="006128F3" w:rsidRDefault="00CF0E10" w14:paraId="5ED72279" w14:textId="51432C34">
      <w:pPr>
        <w:pStyle w:val="ListParagraph"/>
        <w:spacing w:before="120" w:after="120" w:line="240" w:lineRule="auto"/>
        <w:ind w:left="360"/>
        <w:contextualSpacing w:val="0"/>
        <w:rPr>
          <w:b/>
        </w:rPr>
      </w:pPr>
      <w:r w:rsidRPr="00ED5407">
        <w:t xml:space="preserve">Respondents will be </w:t>
      </w:r>
      <w:r w:rsidRPr="00ED5407" w:rsidR="0010527E">
        <w:t xml:space="preserve">recruited for </w:t>
      </w:r>
      <w:r w:rsidRPr="00ED5407" w:rsidR="00A17B41">
        <w:t xml:space="preserve">individual </w:t>
      </w:r>
      <w:r w:rsidRPr="00ED5407" w:rsidR="0010527E">
        <w:t xml:space="preserve">focus groups through an invitation email (see </w:t>
      </w:r>
      <w:r w:rsidRPr="00ED5407" w:rsidR="0010527E">
        <w:rPr>
          <w:b/>
          <w:bCs/>
        </w:rPr>
        <w:t>Attachment G</w:t>
      </w:r>
      <w:r w:rsidRPr="00ED5407" w:rsidR="0010527E">
        <w:rPr>
          <w:b/>
        </w:rPr>
        <w:t>—Focus Group Invite</w:t>
      </w:r>
      <w:r w:rsidRPr="00ED5407" w:rsidR="002C2B9C">
        <w:rPr>
          <w:b/>
        </w:rPr>
        <w:t xml:space="preserve"> Email). The invitation email will explain:</w:t>
      </w:r>
    </w:p>
    <w:p w:rsidRPr="00ED5407" w:rsidR="00A17B41" w:rsidP="00A17B41" w:rsidRDefault="00A17B41" w14:paraId="795B5C10" w14:textId="14FC70D6">
      <w:pPr>
        <w:pStyle w:val="ListParagraph"/>
        <w:numPr>
          <w:ilvl w:val="0"/>
          <w:numId w:val="24"/>
        </w:numPr>
        <w:ind w:left="1440"/>
      </w:pPr>
      <w:r w:rsidRPr="00ED5407">
        <w:t xml:space="preserve">The purpose of the focus group and why participation is important </w:t>
      </w:r>
    </w:p>
    <w:p w:rsidRPr="00ED5407" w:rsidR="00A17B41" w:rsidP="00A17B41" w:rsidRDefault="00A17B41" w14:paraId="40E7DA1B" w14:textId="77777777">
      <w:pPr>
        <w:pStyle w:val="ListParagraph"/>
        <w:numPr>
          <w:ilvl w:val="0"/>
          <w:numId w:val="24"/>
        </w:numPr>
        <w:ind w:left="1440"/>
      </w:pPr>
      <w:r w:rsidRPr="00ED5407">
        <w:t>Instructions for participating</w:t>
      </w:r>
    </w:p>
    <w:p w:rsidRPr="00ED5407" w:rsidR="00A17B41" w:rsidP="00A17B41" w:rsidRDefault="00A17B41" w14:paraId="19A7273C" w14:textId="77777777">
      <w:pPr>
        <w:pStyle w:val="ListParagraph"/>
        <w:numPr>
          <w:ilvl w:val="0"/>
          <w:numId w:val="24"/>
        </w:numPr>
        <w:ind w:left="1440"/>
      </w:pPr>
      <w:r w:rsidRPr="00ED5407">
        <w:t xml:space="preserve">Method to safeguard their responses </w:t>
      </w:r>
    </w:p>
    <w:p w:rsidRPr="00ED5407" w:rsidR="00A17B41" w:rsidP="00A17B41" w:rsidRDefault="00A17B41" w14:paraId="3C98F214" w14:textId="77777777">
      <w:pPr>
        <w:pStyle w:val="ListParagraph"/>
        <w:numPr>
          <w:ilvl w:val="0"/>
          <w:numId w:val="24"/>
        </w:numPr>
        <w:ind w:left="1440"/>
      </w:pPr>
      <w:r w:rsidRPr="00ED5407">
        <w:t>That participation is voluntary</w:t>
      </w:r>
    </w:p>
    <w:p w:rsidRPr="00ED5407" w:rsidR="00A17B41" w:rsidP="00A17B41" w:rsidRDefault="00A17B41" w14:paraId="528BB578" w14:textId="7E58B00F">
      <w:pPr>
        <w:pStyle w:val="ListParagraph"/>
        <w:numPr>
          <w:ilvl w:val="0"/>
          <w:numId w:val="24"/>
        </w:numPr>
        <w:ind w:left="1440"/>
      </w:pPr>
      <w:r w:rsidRPr="00ED5407">
        <w:t xml:space="preserve">The expected time to complete </w:t>
      </w:r>
      <w:r w:rsidRPr="00ED5407" w:rsidR="008620BB">
        <w:t>the focus group discussion</w:t>
      </w:r>
      <w:r w:rsidRPr="00ED5407">
        <w:t xml:space="preserve"> </w:t>
      </w:r>
    </w:p>
    <w:p w:rsidRPr="00ED5407" w:rsidR="00A17B41" w:rsidP="00A17B41" w:rsidRDefault="00A17B41" w14:paraId="54BD8C04" w14:textId="24AE6FB5">
      <w:pPr>
        <w:pStyle w:val="ListParagraph"/>
        <w:numPr>
          <w:ilvl w:val="0"/>
          <w:numId w:val="24"/>
        </w:numPr>
        <w:ind w:left="1440"/>
      </w:pPr>
      <w:r w:rsidRPr="00ED5407">
        <w:t>Contact information for the project team</w:t>
      </w:r>
    </w:p>
    <w:p w:rsidRPr="00ED5407" w:rsidR="008620BB" w:rsidP="0005381C" w:rsidRDefault="008620BB" w14:paraId="53004746" w14:textId="77777777">
      <w:pPr>
        <w:pStyle w:val="ListParagraph"/>
        <w:ind w:left="1440"/>
      </w:pPr>
    </w:p>
    <w:p w:rsidRPr="00ED5407" w:rsidR="008620BB" w:rsidP="008620BB" w:rsidRDefault="008620BB" w14:paraId="460B6D18" w14:textId="02B45419">
      <w:pPr>
        <w:ind w:left="360"/>
      </w:pPr>
      <w:r w:rsidRPr="00ED5407">
        <w:t>Respondents will be</w:t>
      </w:r>
      <w:r w:rsidRPr="00ED5407" w:rsidR="00234AC7">
        <w:t xml:space="preserve"> allowed 2 weeks to reply </w:t>
      </w:r>
      <w:r w:rsidRPr="00ED5407">
        <w:t xml:space="preserve">to </w:t>
      </w:r>
      <w:r w:rsidRPr="00ED5407" w:rsidR="00234AC7">
        <w:t>the invitation email</w:t>
      </w:r>
      <w:r w:rsidRPr="00ED5407" w:rsidR="005C1598">
        <w:t xml:space="preserve">. </w:t>
      </w:r>
      <w:r w:rsidRPr="00ED5407">
        <w:t xml:space="preserve"> PHL mycobacteriology supervisors who do not respond to the initial invitation within 2 weeks will receive a reminder email (</w:t>
      </w:r>
      <w:r w:rsidRPr="00ED5407">
        <w:rPr>
          <w:b/>
        </w:rPr>
        <w:t xml:space="preserve">see Attachment </w:t>
      </w:r>
      <w:r w:rsidRPr="00ED5407" w:rsidR="00234AC7">
        <w:rPr>
          <w:b/>
        </w:rPr>
        <w:t>H</w:t>
      </w:r>
      <w:r w:rsidRPr="00ED5407">
        <w:rPr>
          <w:b/>
        </w:rPr>
        <w:t>—Reminder Email</w:t>
      </w:r>
      <w:r w:rsidRPr="00ED5407" w:rsidR="005C1598">
        <w:rPr>
          <w:b/>
        </w:rPr>
        <w:t xml:space="preserve"> for Focus Group</w:t>
      </w:r>
      <w:r w:rsidRPr="00ED5407">
        <w:t xml:space="preserve">) </w:t>
      </w:r>
      <w:r w:rsidRPr="00ED5407" w:rsidR="00821C45">
        <w:t xml:space="preserve">requesting </w:t>
      </w:r>
      <w:r w:rsidRPr="00ED5407">
        <w:t xml:space="preserve">them to </w:t>
      </w:r>
      <w:r w:rsidRPr="00ED5407" w:rsidR="005C1598">
        <w:t>participate</w:t>
      </w:r>
      <w:r w:rsidRPr="00ED5407">
        <w:t xml:space="preserve">. Those who do not respond to the reminder email by the end of the </w:t>
      </w:r>
      <w:r w:rsidRPr="00ED5407" w:rsidR="008C3339">
        <w:t>4 weeks from the initial invitation</w:t>
      </w:r>
      <w:r w:rsidRPr="00ED5407" w:rsidR="00FC33AF">
        <w:t xml:space="preserve"> </w:t>
      </w:r>
      <w:r w:rsidRPr="00ED5407">
        <w:t xml:space="preserve">will be considered non-responders. </w:t>
      </w:r>
      <w:r w:rsidRPr="00896A7A">
        <w:t xml:space="preserve">PHL mycobacteriology supervisors who decline </w:t>
      </w:r>
      <w:r w:rsidRPr="00896A7A" w:rsidR="00FC33AF">
        <w:t xml:space="preserve">the invitation </w:t>
      </w:r>
      <w:r w:rsidRPr="00896A7A">
        <w:t xml:space="preserve">to participate outright </w:t>
      </w:r>
      <w:r w:rsidR="004C0D8A">
        <w:t xml:space="preserve">or who are unable to participate </w:t>
      </w:r>
      <w:r w:rsidRPr="00896A7A">
        <w:t xml:space="preserve">will be asked to </w:t>
      </w:r>
      <w:r w:rsidRPr="004C0D8A" w:rsidR="00703448">
        <w:rPr>
          <w:color w:val="000000" w:themeColor="text1"/>
        </w:rPr>
        <w:t>forward</w:t>
      </w:r>
      <w:r w:rsidRPr="004C0D8A">
        <w:rPr>
          <w:color w:val="000000" w:themeColor="text1"/>
        </w:rPr>
        <w:t xml:space="preserve"> </w:t>
      </w:r>
      <w:r w:rsidRPr="004C0D8A">
        <w:rPr>
          <w:color w:val="000000" w:themeColor="text1"/>
        </w:rPr>
        <w:lastRenderedPageBreak/>
        <w:t xml:space="preserve">to an appropriate designee from the same PHL. </w:t>
      </w:r>
      <w:r w:rsidRPr="00896A7A">
        <w:t xml:space="preserve">If the request to </w:t>
      </w:r>
      <w:r w:rsidRPr="00896A7A" w:rsidR="00896A7A">
        <w:t xml:space="preserve">forward to </w:t>
      </w:r>
      <w:r w:rsidRPr="00896A7A">
        <w:t>a designee is also declined, the mycobacteriology supervisor will receive no further communication.</w:t>
      </w:r>
    </w:p>
    <w:p w:rsidRPr="0005381C" w:rsidR="00A17B41" w:rsidP="006128F3" w:rsidRDefault="00A17B41" w14:paraId="73AFB502" w14:textId="77777777">
      <w:pPr>
        <w:pStyle w:val="ListParagraph"/>
        <w:spacing w:before="120" w:after="120" w:line="240" w:lineRule="auto"/>
        <w:ind w:left="360"/>
        <w:contextualSpacing w:val="0"/>
        <w:rPr>
          <w:color w:val="1F497D" w:themeColor="text2"/>
        </w:rPr>
      </w:pPr>
    </w:p>
    <w:p w:rsidR="001D461D" w:rsidP="00176E14" w:rsidRDefault="001D461D" w14:paraId="16300312" w14:textId="77777777">
      <w:pPr>
        <w:spacing w:line="240" w:lineRule="auto"/>
        <w:ind w:left="0"/>
      </w:pPr>
    </w:p>
    <w:p w:rsidRPr="009759F3" w:rsidR="009759F3" w:rsidP="002955E6" w:rsidRDefault="00287E2F" w14:paraId="2E71A48E" w14:textId="15E30D14">
      <w:pPr>
        <w:pStyle w:val="Heading4"/>
        <w:spacing w:after="0" w:line="240" w:lineRule="auto"/>
      </w:pPr>
      <w:bookmarkStart w:name="_Toc413847913" w:id="6"/>
      <w:r w:rsidRPr="00D26A64">
        <w:t>Methods to Maximize Response Rates</w:t>
      </w:r>
      <w:r w:rsidR="00F725B5">
        <w:t xml:space="preserve"> </w:t>
      </w:r>
      <w:r w:rsidRPr="009759F3" w:rsidR="009759F3">
        <w:t>Deal with Nonresponse</w:t>
      </w:r>
      <w:bookmarkEnd w:id="6"/>
    </w:p>
    <w:p w:rsidR="001D461D" w:rsidP="002955E6" w:rsidRDefault="001D461D" w14:paraId="4AF28A6D" w14:textId="77777777">
      <w:pPr>
        <w:spacing w:line="240" w:lineRule="auto"/>
        <w:ind w:left="360"/>
        <w:rPr>
          <w:b/>
          <w:color w:val="0070C0"/>
        </w:rPr>
      </w:pPr>
    </w:p>
    <w:p w:rsidRPr="00ED5407" w:rsidR="00991BF9" w:rsidP="001D461D" w:rsidRDefault="00991BF9" w14:paraId="58C2AAA2" w14:textId="1957868E">
      <w:pPr>
        <w:pStyle w:val="ListParagraph"/>
        <w:spacing w:line="240" w:lineRule="auto"/>
        <w:ind w:left="360"/>
        <w:rPr>
          <w:rFonts w:cs="Times New Roman"/>
        </w:rPr>
      </w:pPr>
      <w:r w:rsidRPr="001D2951">
        <w:rPr>
          <w:rFonts w:cs="Times New Roman"/>
        </w:rPr>
        <w:t xml:space="preserve">Although participation in the </w:t>
      </w:r>
      <w:r w:rsidRPr="001D2951" w:rsidR="00687C5F">
        <w:rPr>
          <w:rFonts w:cs="Times New Roman"/>
        </w:rPr>
        <w:t xml:space="preserve">data collection </w:t>
      </w:r>
      <w:r w:rsidRPr="00ED5407" w:rsidR="000B0F31">
        <w:rPr>
          <w:rFonts w:cs="Times New Roman"/>
        </w:rPr>
        <w:t xml:space="preserve">and focus groups </w:t>
      </w:r>
      <w:r w:rsidRPr="00ED5407">
        <w:rPr>
          <w:rFonts w:cs="Times New Roman"/>
        </w:rPr>
        <w:t xml:space="preserve">is voluntary, the </w:t>
      </w:r>
      <w:r w:rsidRPr="00ED5407" w:rsidR="00687C5F">
        <w:rPr>
          <w:rFonts w:cs="Times New Roman"/>
        </w:rPr>
        <w:t xml:space="preserve">project team </w:t>
      </w:r>
      <w:r w:rsidRPr="00ED5407" w:rsidR="006C1771">
        <w:rPr>
          <w:rFonts w:cs="Times New Roman"/>
        </w:rPr>
        <w:t xml:space="preserve">will make every </w:t>
      </w:r>
      <w:r w:rsidRPr="00ED5407">
        <w:rPr>
          <w:rFonts w:cs="Times New Roman"/>
        </w:rPr>
        <w:t xml:space="preserve">effort to maximize the rate of response. The </w:t>
      </w:r>
      <w:r w:rsidRPr="00ED5407" w:rsidR="00687C5F">
        <w:rPr>
          <w:rFonts w:cs="Times New Roman"/>
        </w:rPr>
        <w:t>data collection instrument</w:t>
      </w:r>
      <w:r w:rsidRPr="00ED5407">
        <w:rPr>
          <w:rFonts w:cs="Times New Roman"/>
        </w:rPr>
        <w:t xml:space="preserve"> was designed with </w:t>
      </w:r>
      <w:r w:rsidRPr="00ED5407" w:rsidR="00C43DAD">
        <w:rPr>
          <w:rFonts w:cs="Times New Roman"/>
        </w:rPr>
        <w:t xml:space="preserve">a </w:t>
      </w:r>
      <w:r w:rsidRPr="00ED5407">
        <w:rPr>
          <w:rFonts w:cs="Times New Roman"/>
        </w:rPr>
        <w:t xml:space="preserve">particular focus on streamlining questions to allow for skipping questions based on responses to previous questions, thereby minimizing response burden. </w:t>
      </w:r>
      <w:r w:rsidRPr="00ED5407" w:rsidR="00B952CE">
        <w:rPr>
          <w:rFonts w:cs="Times New Roman"/>
        </w:rPr>
        <w:t>Focus groups will use a virtual platform and limit discussions to a maximum of 120 minutes to reduce burden.</w:t>
      </w:r>
    </w:p>
    <w:p w:rsidRPr="001D2951" w:rsidR="00687C5F" w:rsidP="001D461D" w:rsidRDefault="00687C5F" w14:paraId="16AC71A3" w14:textId="77777777">
      <w:pPr>
        <w:pStyle w:val="ListParagraph"/>
        <w:spacing w:line="240" w:lineRule="auto"/>
        <w:ind w:left="360"/>
        <w:rPr>
          <w:rFonts w:cs="Times New Roman"/>
        </w:rPr>
      </w:pPr>
    </w:p>
    <w:p w:rsidRPr="00ED5407" w:rsidR="001D461D" w:rsidP="001D461D" w:rsidRDefault="001D461D" w14:paraId="417CE5D4" w14:textId="141EE5B4">
      <w:pPr>
        <w:spacing w:line="240" w:lineRule="auto"/>
        <w:ind w:left="360"/>
        <w:rPr>
          <w:rFonts w:cs="Arial"/>
          <w:bCs/>
        </w:rPr>
      </w:pPr>
      <w:r w:rsidRPr="00ED5407">
        <w:t xml:space="preserve">Following the distribution of the invitation to participate in the </w:t>
      </w:r>
      <w:r w:rsidRPr="00ED5407" w:rsidR="00487E55">
        <w:t>data collection</w:t>
      </w:r>
      <w:r w:rsidRPr="00ED5407">
        <w:t xml:space="preserve"> </w:t>
      </w:r>
      <w:r w:rsidRPr="00ED5407" w:rsidR="00687C5F">
        <w:t>(</w:t>
      </w:r>
      <w:r w:rsidRPr="00ED5407" w:rsidR="00FA6A32">
        <w:rPr>
          <w:b/>
          <w:bCs/>
        </w:rPr>
        <w:t xml:space="preserve">Attachment </w:t>
      </w:r>
      <w:r w:rsidRPr="00ED5407" w:rsidR="00246F16">
        <w:rPr>
          <w:b/>
          <w:bCs/>
        </w:rPr>
        <w:t>E</w:t>
      </w:r>
      <w:r w:rsidRPr="00ED5407" w:rsidR="00EE1C1D">
        <w:rPr>
          <w:b/>
          <w:bCs/>
        </w:rPr>
        <w:t xml:space="preserve"> </w:t>
      </w:r>
      <w:r w:rsidRPr="00ED5407" w:rsidR="00FA6A32">
        <w:rPr>
          <w:b/>
          <w:bCs/>
        </w:rPr>
        <w:t>—</w:t>
      </w:r>
      <w:r w:rsidRPr="00ED5407" w:rsidR="00FA6A32">
        <w:rPr>
          <w:b/>
        </w:rPr>
        <w:t xml:space="preserve"> </w:t>
      </w:r>
      <w:r w:rsidRPr="00ED5407" w:rsidR="00CC6049">
        <w:rPr>
          <w:b/>
        </w:rPr>
        <w:t>Notification</w:t>
      </w:r>
      <w:r w:rsidRPr="00ED5407" w:rsidR="00FA6A32">
        <w:rPr>
          <w:b/>
        </w:rPr>
        <w:t xml:space="preserve"> Email)</w:t>
      </w:r>
      <w:r w:rsidRPr="00ED5407" w:rsidR="00687C5F">
        <w:t xml:space="preserve">, respondents will have </w:t>
      </w:r>
      <w:r w:rsidRPr="00ED5407" w:rsidR="003E5347">
        <w:t>6 weeks</w:t>
      </w:r>
      <w:r w:rsidRPr="00ED5407" w:rsidR="00687C5F">
        <w:t xml:space="preserve"> to complete the instrument. Those who do not respond within </w:t>
      </w:r>
      <w:r w:rsidRPr="00ED5407" w:rsidR="003E5347">
        <w:t>2 weeks</w:t>
      </w:r>
      <w:r w:rsidRPr="00ED5407" w:rsidR="00687C5F">
        <w:t xml:space="preserve"> will receive a reminder </w:t>
      </w:r>
      <w:r w:rsidRPr="00ED5407">
        <w:rPr>
          <w:b/>
          <w:bCs/>
        </w:rPr>
        <w:t>(Attachment</w:t>
      </w:r>
      <w:r w:rsidRPr="00ED5407" w:rsidR="00246F16">
        <w:rPr>
          <w:b/>
          <w:bCs/>
        </w:rPr>
        <w:t xml:space="preserve"> F</w:t>
      </w:r>
      <w:r w:rsidRPr="00ED5407" w:rsidR="00D769AA">
        <w:rPr>
          <w:b/>
        </w:rPr>
        <w:t>—</w:t>
      </w:r>
      <w:r w:rsidRPr="00ED5407" w:rsidR="00246F16">
        <w:rPr>
          <w:b/>
        </w:rPr>
        <w:t xml:space="preserve"> </w:t>
      </w:r>
      <w:r w:rsidRPr="00ED5407" w:rsidR="00D769AA">
        <w:rPr>
          <w:b/>
        </w:rPr>
        <w:t>Reminder Email</w:t>
      </w:r>
      <w:r w:rsidRPr="00ED5407">
        <w:t>)</w:t>
      </w:r>
      <w:r w:rsidRPr="00ED5407" w:rsidR="00687C5F">
        <w:t xml:space="preserve"> urging them to complete the </w:t>
      </w:r>
      <w:r w:rsidRPr="00ED5407" w:rsidR="006C1771">
        <w:t>instrument</w:t>
      </w:r>
      <w:r w:rsidRPr="00ED5407" w:rsidR="00687C5F">
        <w:t xml:space="preserve">. </w:t>
      </w:r>
      <w:r w:rsidRPr="00ED5407" w:rsidR="00687C5F">
        <w:rPr>
          <w:rFonts w:cs="Arial"/>
        </w:rPr>
        <w:t xml:space="preserve">Those who do not respond within </w:t>
      </w:r>
      <w:r w:rsidRPr="00ED5407" w:rsidR="00741578">
        <w:rPr>
          <w:rFonts w:cs="Arial"/>
        </w:rPr>
        <w:t>4 weeks</w:t>
      </w:r>
      <w:r w:rsidRPr="00ED5407" w:rsidR="00687C5F">
        <w:rPr>
          <w:rFonts w:cs="Arial"/>
        </w:rPr>
        <w:t xml:space="preserve"> from the reminder email</w:t>
      </w:r>
      <w:r w:rsidRPr="00ED5407">
        <w:rPr>
          <w:rFonts w:cs="Arial"/>
        </w:rPr>
        <w:t xml:space="preserve"> </w:t>
      </w:r>
      <w:r w:rsidRPr="00ED5407" w:rsidR="00687C5F">
        <w:rPr>
          <w:rFonts w:cs="Arial"/>
        </w:rPr>
        <w:t>will be considered non-responders.</w:t>
      </w:r>
      <w:r w:rsidRPr="00ED5407" w:rsidR="00B901C1">
        <w:rPr>
          <w:rFonts w:cs="Arial"/>
        </w:rPr>
        <w:t xml:space="preserve"> </w:t>
      </w:r>
      <w:r w:rsidRPr="00ED5407" w:rsidR="00A62720">
        <w:rPr>
          <w:rFonts w:cs="Arial"/>
        </w:rPr>
        <w:t>Following the distribution of the invitation to participate in a focus group (</w:t>
      </w:r>
      <w:r w:rsidRPr="00ED5407" w:rsidR="00A62720">
        <w:rPr>
          <w:rFonts w:cs="Arial"/>
          <w:b/>
          <w:bCs/>
        </w:rPr>
        <w:t>Attachment G</w:t>
      </w:r>
      <w:r w:rsidRPr="00ED5407" w:rsidR="00A62720">
        <w:rPr>
          <w:rFonts w:cs="Arial"/>
        </w:rPr>
        <w:t xml:space="preserve"> </w:t>
      </w:r>
      <w:r w:rsidRPr="00ED5407" w:rsidR="00A62720">
        <w:rPr>
          <w:rFonts w:ascii="Cambria" w:hAnsi="Cambria"/>
          <w:b/>
        </w:rPr>
        <w:t>– Focus Group Invite Email</w:t>
      </w:r>
      <w:r w:rsidRPr="00ED5407" w:rsidR="000B0F31">
        <w:rPr>
          <w:rFonts w:ascii="Cambria" w:hAnsi="Cambria"/>
          <w:b/>
        </w:rPr>
        <w:t>)</w:t>
      </w:r>
      <w:r w:rsidRPr="00ED5407" w:rsidR="000B0F31">
        <w:rPr>
          <w:rFonts w:ascii="Cambria" w:hAnsi="Cambria"/>
          <w:bCs/>
        </w:rPr>
        <w:t xml:space="preserve">, respondents will have 2 weeks to reply. Those who do not reply </w:t>
      </w:r>
      <w:r w:rsidRPr="00ED5407" w:rsidR="00B952CE">
        <w:rPr>
          <w:rFonts w:ascii="Cambria" w:hAnsi="Cambria"/>
          <w:bCs/>
        </w:rPr>
        <w:t>after 2 week</w:t>
      </w:r>
      <w:r w:rsidRPr="00ED5407" w:rsidR="00A05D0B">
        <w:rPr>
          <w:rFonts w:ascii="Cambria" w:hAnsi="Cambria"/>
          <w:bCs/>
        </w:rPr>
        <w:t>s</w:t>
      </w:r>
      <w:r w:rsidRPr="00ED5407" w:rsidR="00B952CE">
        <w:rPr>
          <w:rFonts w:ascii="Cambria" w:hAnsi="Cambria"/>
          <w:bCs/>
        </w:rPr>
        <w:t xml:space="preserve"> </w:t>
      </w:r>
      <w:r w:rsidRPr="00ED5407" w:rsidR="000B0F31">
        <w:rPr>
          <w:rFonts w:ascii="Cambria" w:hAnsi="Cambria"/>
          <w:bCs/>
        </w:rPr>
        <w:t>will receive a reminder</w:t>
      </w:r>
      <w:r w:rsidRPr="00ED5407" w:rsidR="00B952CE">
        <w:rPr>
          <w:rFonts w:ascii="Cambria" w:hAnsi="Cambria"/>
          <w:bCs/>
        </w:rPr>
        <w:t xml:space="preserve"> email </w:t>
      </w:r>
      <w:r w:rsidRPr="00ED5407" w:rsidR="00B952CE">
        <w:rPr>
          <w:rFonts w:ascii="Cambria" w:hAnsi="Cambria"/>
          <w:b/>
        </w:rPr>
        <w:t>(</w:t>
      </w:r>
      <w:r w:rsidRPr="00ED5407" w:rsidR="00741578">
        <w:rPr>
          <w:rFonts w:ascii="Cambria" w:hAnsi="Cambria"/>
          <w:b/>
        </w:rPr>
        <w:t>Attachment H</w:t>
      </w:r>
      <w:r w:rsidRPr="00ED5407" w:rsidR="00741578">
        <w:rPr>
          <w:rFonts w:ascii="Cambria" w:hAnsi="Cambria"/>
          <w:bCs/>
        </w:rPr>
        <w:t xml:space="preserve"> </w:t>
      </w:r>
      <w:r w:rsidRPr="00ED5407" w:rsidR="00741578">
        <w:rPr>
          <w:rFonts w:ascii="Cambria" w:hAnsi="Cambria"/>
          <w:b/>
        </w:rPr>
        <w:t xml:space="preserve">– Reminder Email for Focus Group). </w:t>
      </w:r>
      <w:r w:rsidRPr="00ED5407" w:rsidR="00741578">
        <w:rPr>
          <w:rFonts w:ascii="Cambria" w:hAnsi="Cambria"/>
          <w:bCs/>
        </w:rPr>
        <w:t>Those who do not reply with</w:t>
      </w:r>
      <w:r w:rsidRPr="00ED5407" w:rsidR="00A05D0B">
        <w:rPr>
          <w:rFonts w:ascii="Cambria" w:hAnsi="Cambria"/>
          <w:bCs/>
        </w:rPr>
        <w:t>i</w:t>
      </w:r>
      <w:r w:rsidRPr="00ED5407" w:rsidR="00741578">
        <w:rPr>
          <w:rFonts w:ascii="Cambria" w:hAnsi="Cambria"/>
          <w:bCs/>
        </w:rPr>
        <w:t>n 4 weeks from the initial invitation to participate in a focus group will be considered</w:t>
      </w:r>
      <w:r w:rsidRPr="00ED5407" w:rsidR="00A05D0B">
        <w:rPr>
          <w:rFonts w:ascii="Cambria" w:hAnsi="Cambria"/>
          <w:bCs/>
        </w:rPr>
        <w:t xml:space="preserve"> </w:t>
      </w:r>
      <w:r w:rsidRPr="00ED5407" w:rsidR="00741578">
        <w:rPr>
          <w:rFonts w:ascii="Cambria" w:hAnsi="Cambria"/>
          <w:bCs/>
        </w:rPr>
        <w:t>a non-responder</w:t>
      </w:r>
      <w:r w:rsidRPr="00ED5407" w:rsidR="00A05D0B">
        <w:rPr>
          <w:rFonts w:ascii="Cambria" w:hAnsi="Cambria"/>
          <w:bCs/>
        </w:rPr>
        <w:t>.</w:t>
      </w:r>
    </w:p>
    <w:p w:rsidRPr="00ED5407" w:rsidR="00691031" w:rsidP="001D461D" w:rsidRDefault="00691031" w14:paraId="5AD60BAD" w14:textId="77777777">
      <w:pPr>
        <w:spacing w:line="240" w:lineRule="auto"/>
        <w:ind w:left="360"/>
        <w:rPr>
          <w:rFonts w:cs="Arial"/>
          <w:bCs/>
        </w:rPr>
      </w:pPr>
    </w:p>
    <w:p w:rsidRPr="009759F3" w:rsidR="00F52BCC" w:rsidP="002955E6" w:rsidRDefault="00287E2F" w14:paraId="3C5DE833" w14:textId="77777777">
      <w:pPr>
        <w:pStyle w:val="Heading4"/>
        <w:spacing w:after="0" w:line="240" w:lineRule="auto"/>
      </w:pPr>
      <w:bookmarkStart w:name="_Toc413847914" w:id="7"/>
      <w:r w:rsidRPr="005F3FEF">
        <w:t xml:space="preserve">Test of Procedures </w:t>
      </w:r>
      <w:r w:rsidRPr="009759F3" w:rsidR="009759F3">
        <w:t>or Methods to be Undertaken</w:t>
      </w:r>
      <w:bookmarkEnd w:id="7"/>
    </w:p>
    <w:p w:rsidR="00865573" w:rsidP="002955E6" w:rsidRDefault="00865573" w14:paraId="72649700" w14:textId="5A7CCF36">
      <w:pPr>
        <w:spacing w:line="240" w:lineRule="auto"/>
        <w:ind w:left="360"/>
        <w:rPr>
          <w:color w:val="000000"/>
          <w:lang w:eastAsia="zh-CN"/>
        </w:rPr>
      </w:pPr>
    </w:p>
    <w:p w:rsidRPr="006128F3" w:rsidR="00E50BBD" w:rsidP="002955E6" w:rsidRDefault="00E50BBD" w14:paraId="01263C96" w14:textId="491676AB">
      <w:pPr>
        <w:spacing w:line="240" w:lineRule="auto"/>
        <w:ind w:left="360"/>
        <w:rPr>
          <w:b/>
          <w:bCs/>
          <w:color w:val="000000"/>
          <w:u w:val="single"/>
          <w:lang w:eastAsia="zh-CN"/>
        </w:rPr>
      </w:pPr>
      <w:r w:rsidRPr="006128F3">
        <w:rPr>
          <w:b/>
          <w:bCs/>
          <w:color w:val="000000"/>
          <w:u w:val="single"/>
          <w:lang w:eastAsia="zh-CN"/>
        </w:rPr>
        <w:t>REDCap Survey</w:t>
      </w:r>
    </w:p>
    <w:p w:rsidR="004D70EE" w:rsidP="002955E6" w:rsidRDefault="00991BF9" w14:paraId="18AD02DF" w14:textId="31905A61">
      <w:pPr>
        <w:spacing w:line="240" w:lineRule="auto"/>
        <w:ind w:left="360"/>
        <w:rPr>
          <w:color w:val="000000"/>
          <w:lang w:eastAsia="zh-CN"/>
        </w:rPr>
      </w:pPr>
      <w:r w:rsidRPr="001D2951">
        <w:rPr>
          <w:color w:val="000000"/>
          <w:lang w:eastAsia="zh-CN"/>
        </w:rPr>
        <w:t xml:space="preserve">The estimate for burden hours is based on a pilot test of the </w:t>
      </w:r>
      <w:r w:rsidR="00487E55">
        <w:rPr>
          <w:color w:val="000000"/>
          <w:lang w:eastAsia="zh-CN"/>
        </w:rPr>
        <w:t>data collection</w:t>
      </w:r>
      <w:r w:rsidRPr="001D2951">
        <w:rPr>
          <w:color w:val="000000"/>
          <w:lang w:eastAsia="zh-CN"/>
        </w:rPr>
        <w:t xml:space="preserve"> instrument by </w:t>
      </w:r>
      <w:r w:rsidRPr="005E22B1" w:rsidR="00804AE3">
        <w:rPr>
          <w:lang w:eastAsia="zh-CN"/>
        </w:rPr>
        <w:t>nine</w:t>
      </w:r>
      <w:r w:rsidRPr="00AE1E1B" w:rsidR="00804AE3">
        <w:rPr>
          <w:color w:val="002060"/>
          <w:lang w:eastAsia="zh-CN"/>
        </w:rPr>
        <w:t xml:space="preserve"> </w:t>
      </w:r>
      <w:r w:rsidRPr="003161B9">
        <w:rPr>
          <w:color w:val="000000"/>
          <w:lang w:eastAsia="zh-CN"/>
        </w:rPr>
        <w:t xml:space="preserve">public health professionals. In the pilot test, the average time to complete the instrument including time for reviewing instructions, gathering needed </w:t>
      </w:r>
      <w:r w:rsidRPr="003161B9" w:rsidR="004D17C2">
        <w:rPr>
          <w:color w:val="000000"/>
          <w:lang w:eastAsia="zh-CN"/>
        </w:rPr>
        <w:t>information,</w:t>
      </w:r>
      <w:r w:rsidRPr="003161B9">
        <w:rPr>
          <w:color w:val="000000"/>
          <w:lang w:eastAsia="zh-CN"/>
        </w:rPr>
        <w:t xml:space="preserve"> and completing the instrument, was approximately </w:t>
      </w:r>
      <w:r w:rsidRPr="005E22B1" w:rsidR="002B637B">
        <w:rPr>
          <w:lang w:eastAsia="zh-CN"/>
        </w:rPr>
        <w:t>7</w:t>
      </w:r>
      <w:r w:rsidRPr="003161B9">
        <w:rPr>
          <w:color w:val="0070C0"/>
          <w:lang w:eastAsia="zh-CN"/>
        </w:rPr>
        <w:t xml:space="preserve"> </w:t>
      </w:r>
      <w:r w:rsidRPr="003161B9">
        <w:rPr>
          <w:color w:val="000000"/>
          <w:lang w:eastAsia="zh-CN"/>
        </w:rPr>
        <w:t>minutes</w:t>
      </w:r>
      <w:r w:rsidRPr="003161B9" w:rsidR="0069580C">
        <w:rPr>
          <w:color w:val="000000"/>
          <w:lang w:eastAsia="zh-CN"/>
        </w:rPr>
        <w:t xml:space="preserve"> (range: </w:t>
      </w:r>
      <w:r w:rsidR="002B637B">
        <w:rPr>
          <w:color w:val="000000"/>
          <w:lang w:eastAsia="zh-CN"/>
        </w:rPr>
        <w:t>5</w:t>
      </w:r>
      <w:r w:rsidRPr="003161B9" w:rsidR="0069580C">
        <w:rPr>
          <w:color w:val="000000"/>
          <w:lang w:eastAsia="zh-CN"/>
        </w:rPr>
        <w:t xml:space="preserve"> to </w:t>
      </w:r>
      <w:r w:rsidR="002B637B">
        <w:rPr>
          <w:color w:val="000000"/>
          <w:lang w:eastAsia="zh-CN"/>
        </w:rPr>
        <w:t>10</w:t>
      </w:r>
      <w:r w:rsidRPr="003161B9" w:rsidR="0069580C">
        <w:rPr>
          <w:color w:val="000000"/>
          <w:lang w:eastAsia="zh-CN"/>
        </w:rPr>
        <w:t xml:space="preserve"> minutes)</w:t>
      </w:r>
      <w:r w:rsidRPr="003161B9">
        <w:rPr>
          <w:color w:val="000000"/>
          <w:lang w:eastAsia="zh-CN"/>
        </w:rPr>
        <w:t xml:space="preserve">. For the purposes of estimating burden hours, the upper limit of this range (i.e., </w:t>
      </w:r>
      <w:r w:rsidR="002B637B">
        <w:rPr>
          <w:color w:val="000000"/>
          <w:lang w:eastAsia="zh-CN"/>
        </w:rPr>
        <w:t>10</w:t>
      </w:r>
      <w:r w:rsidRPr="001D2951">
        <w:rPr>
          <w:color w:val="0070C0"/>
          <w:lang w:eastAsia="zh-CN"/>
        </w:rPr>
        <w:t xml:space="preserve"> </w:t>
      </w:r>
      <w:r w:rsidRPr="001D2951">
        <w:rPr>
          <w:color w:val="000000"/>
          <w:lang w:eastAsia="zh-CN"/>
        </w:rPr>
        <w:t>minutes) is used.</w:t>
      </w:r>
    </w:p>
    <w:p w:rsidR="00556C4B" w:rsidP="002955E6" w:rsidRDefault="00556C4B" w14:paraId="0357787A" w14:textId="7DD35CAD">
      <w:pPr>
        <w:spacing w:line="240" w:lineRule="auto"/>
        <w:ind w:left="360"/>
        <w:rPr>
          <w:color w:val="000000"/>
          <w:lang w:eastAsia="zh-CN"/>
        </w:rPr>
      </w:pPr>
    </w:p>
    <w:p w:rsidRPr="006128F3" w:rsidR="00E50BBD" w:rsidP="002955E6" w:rsidRDefault="00271BE0" w14:paraId="309761E5" w14:textId="68D75B53">
      <w:pPr>
        <w:spacing w:line="240" w:lineRule="auto"/>
        <w:ind w:left="360"/>
        <w:rPr>
          <w:b/>
          <w:bCs/>
          <w:color w:val="000000"/>
          <w:u w:val="single"/>
          <w:lang w:eastAsia="zh-CN"/>
        </w:rPr>
      </w:pPr>
      <w:r w:rsidRPr="006128F3">
        <w:rPr>
          <w:b/>
          <w:bCs/>
          <w:color w:val="000000"/>
          <w:u w:val="single"/>
          <w:lang w:eastAsia="zh-CN"/>
        </w:rPr>
        <w:t xml:space="preserve">Focus Group </w:t>
      </w:r>
      <w:r w:rsidR="002D17A7">
        <w:rPr>
          <w:b/>
          <w:bCs/>
          <w:color w:val="000000"/>
          <w:u w:val="single"/>
          <w:lang w:eastAsia="zh-CN"/>
        </w:rPr>
        <w:t>Discussions</w:t>
      </w:r>
    </w:p>
    <w:p w:rsidRPr="007B7682" w:rsidR="00556C4B" w:rsidP="002955E6" w:rsidRDefault="00604F3C" w14:paraId="40A1EAC6" w14:textId="2B5A4C0B">
      <w:pPr>
        <w:spacing w:line="240" w:lineRule="auto"/>
        <w:ind w:left="360"/>
        <w:rPr>
          <w:color w:val="000000" w:themeColor="text1"/>
        </w:rPr>
      </w:pPr>
      <w:r>
        <w:rPr>
          <w:color w:val="000000"/>
          <w:lang w:eastAsia="zh-CN"/>
        </w:rPr>
        <w:t xml:space="preserve">The estimate </w:t>
      </w:r>
      <w:r w:rsidR="006E7B0C">
        <w:rPr>
          <w:color w:val="000000"/>
          <w:lang w:eastAsia="zh-CN"/>
        </w:rPr>
        <w:t>of</w:t>
      </w:r>
      <w:r>
        <w:rPr>
          <w:color w:val="000000"/>
          <w:lang w:eastAsia="zh-CN"/>
        </w:rPr>
        <w:t xml:space="preserve"> burden hours for f</w:t>
      </w:r>
      <w:r w:rsidR="00556C4B">
        <w:rPr>
          <w:color w:val="000000"/>
          <w:lang w:eastAsia="zh-CN"/>
        </w:rPr>
        <w:t xml:space="preserve">ocus group discussions </w:t>
      </w:r>
      <w:r>
        <w:rPr>
          <w:color w:val="000000"/>
          <w:lang w:eastAsia="zh-CN"/>
        </w:rPr>
        <w:t xml:space="preserve">is based on a maximum of </w:t>
      </w:r>
      <w:r w:rsidR="00857F85">
        <w:rPr>
          <w:color w:val="000000"/>
          <w:lang w:eastAsia="zh-CN"/>
        </w:rPr>
        <w:t>58</w:t>
      </w:r>
      <w:r>
        <w:rPr>
          <w:color w:val="000000"/>
          <w:lang w:eastAsia="zh-CN"/>
        </w:rPr>
        <w:t xml:space="preserve"> participants </w:t>
      </w:r>
      <w:r w:rsidR="006E7B0C">
        <w:rPr>
          <w:color w:val="000000"/>
          <w:lang w:eastAsia="zh-CN"/>
        </w:rPr>
        <w:t xml:space="preserve">in </w:t>
      </w:r>
      <w:r w:rsidR="00EE1C1D">
        <w:rPr>
          <w:color w:val="000000"/>
          <w:lang w:eastAsia="zh-CN"/>
        </w:rPr>
        <w:t>group</w:t>
      </w:r>
      <w:r w:rsidR="006E7B0C">
        <w:rPr>
          <w:color w:val="000000"/>
          <w:lang w:eastAsia="zh-CN"/>
        </w:rPr>
        <w:t xml:space="preserve"> discussions</w:t>
      </w:r>
      <w:r w:rsidR="00EE1C1D">
        <w:rPr>
          <w:color w:val="000000"/>
          <w:lang w:eastAsia="zh-CN"/>
        </w:rPr>
        <w:t xml:space="preserve"> using a virtual platform being </w:t>
      </w:r>
      <w:r w:rsidR="00556C4B">
        <w:rPr>
          <w:color w:val="000000"/>
          <w:lang w:eastAsia="zh-CN"/>
        </w:rPr>
        <w:t>limited</w:t>
      </w:r>
      <w:r>
        <w:rPr>
          <w:color w:val="000000"/>
          <w:lang w:eastAsia="zh-CN"/>
        </w:rPr>
        <w:t xml:space="preserve"> to </w:t>
      </w:r>
      <w:r w:rsidR="00F87EFD">
        <w:rPr>
          <w:color w:val="000000"/>
          <w:lang w:eastAsia="zh-CN"/>
        </w:rPr>
        <w:t>two</w:t>
      </w:r>
      <w:r>
        <w:rPr>
          <w:color w:val="000000"/>
          <w:lang w:eastAsia="zh-CN"/>
        </w:rPr>
        <w:t xml:space="preserve"> hour</w:t>
      </w:r>
      <w:r w:rsidR="00F87EFD">
        <w:rPr>
          <w:color w:val="000000"/>
          <w:lang w:eastAsia="zh-CN"/>
        </w:rPr>
        <w:t>s</w:t>
      </w:r>
      <w:r>
        <w:rPr>
          <w:color w:val="000000"/>
          <w:lang w:eastAsia="zh-CN"/>
        </w:rPr>
        <w:t xml:space="preserve"> in length (</w:t>
      </w:r>
      <w:r w:rsidRPr="009A619F">
        <w:rPr>
          <w:b/>
          <w:bCs/>
          <w:color w:val="000000"/>
          <w:lang w:eastAsia="zh-CN"/>
        </w:rPr>
        <w:t>Attachment</w:t>
      </w:r>
      <w:r w:rsidRPr="009A619F" w:rsidR="00EE1C1D">
        <w:rPr>
          <w:b/>
          <w:bCs/>
          <w:color w:val="000000"/>
          <w:lang w:eastAsia="zh-CN"/>
        </w:rPr>
        <w:t xml:space="preserve"> </w:t>
      </w:r>
      <w:r w:rsidRPr="009A619F" w:rsidR="00246F16">
        <w:rPr>
          <w:b/>
          <w:bCs/>
          <w:color w:val="000000"/>
          <w:lang w:eastAsia="zh-CN"/>
        </w:rPr>
        <w:t>D</w:t>
      </w:r>
      <w:r w:rsidRPr="009A619F" w:rsidR="00EE1C1D">
        <w:rPr>
          <w:b/>
          <w:bCs/>
          <w:color w:val="000000"/>
          <w:lang w:eastAsia="zh-CN"/>
        </w:rPr>
        <w:t xml:space="preserve"> </w:t>
      </w:r>
      <w:r w:rsidRPr="00246F16" w:rsidR="00EE1C1D">
        <w:rPr>
          <w:b/>
          <w:bCs/>
          <w:color w:val="0070C0"/>
        </w:rPr>
        <w:t>—</w:t>
      </w:r>
      <w:r w:rsidRPr="00D40121" w:rsidR="00EE1C1D">
        <w:rPr>
          <w:b/>
          <w:bCs/>
          <w:color w:val="0070C0"/>
        </w:rPr>
        <w:t xml:space="preserve"> </w:t>
      </w:r>
      <w:r w:rsidRPr="007B7682" w:rsidR="00246F16">
        <w:rPr>
          <w:b/>
          <w:bCs/>
          <w:color w:val="000000" w:themeColor="text1"/>
        </w:rPr>
        <w:t>Focus Group Virtual Platform Discussions Script</w:t>
      </w:r>
      <w:r w:rsidRPr="007B7682" w:rsidR="00246F16">
        <w:rPr>
          <w:color w:val="000000" w:themeColor="text1"/>
        </w:rPr>
        <w:t>).</w:t>
      </w:r>
      <w:r w:rsidR="00271BE0">
        <w:rPr>
          <w:color w:val="000000" w:themeColor="text1"/>
        </w:rPr>
        <w:t xml:space="preserve"> </w:t>
      </w:r>
      <w:r w:rsidRPr="003161B9" w:rsidR="00271BE0">
        <w:rPr>
          <w:color w:val="000000"/>
          <w:lang w:eastAsia="zh-CN"/>
        </w:rPr>
        <w:t xml:space="preserve">For the purposes of estimating burden hours, the upper limit (i.e., </w:t>
      </w:r>
      <w:r w:rsidR="00271BE0">
        <w:rPr>
          <w:color w:val="000000"/>
          <w:lang w:eastAsia="zh-CN"/>
        </w:rPr>
        <w:t>120 minutes</w:t>
      </w:r>
      <w:r w:rsidRPr="001D2951" w:rsidR="00271BE0">
        <w:rPr>
          <w:color w:val="000000"/>
          <w:lang w:eastAsia="zh-CN"/>
        </w:rPr>
        <w:t>) is used</w:t>
      </w:r>
      <w:r w:rsidR="00271BE0">
        <w:rPr>
          <w:color w:val="000000"/>
          <w:lang w:eastAsia="zh-CN"/>
        </w:rPr>
        <w:t xml:space="preserve">. </w:t>
      </w:r>
    </w:p>
    <w:p w:rsidRPr="007B7682" w:rsidR="004D70EE" w:rsidP="004D70EE" w:rsidRDefault="004D70EE" w14:paraId="63AC01B8" w14:textId="61214D69">
      <w:pPr>
        <w:spacing w:line="240" w:lineRule="auto"/>
        <w:ind w:left="360"/>
        <w:rPr>
          <w:color w:val="000000" w:themeColor="text1"/>
        </w:rPr>
      </w:pPr>
    </w:p>
    <w:p w:rsidR="004D70EE" w:rsidP="004D70EE" w:rsidRDefault="004D70EE" w14:paraId="55A3999F" w14:textId="77777777">
      <w:pPr>
        <w:spacing w:line="240" w:lineRule="auto"/>
        <w:ind w:left="360"/>
      </w:pPr>
    </w:p>
    <w:p w:rsidR="009759F3" w:rsidP="002955E6" w:rsidRDefault="009759F3" w14:paraId="4A6A5476" w14:textId="77777777">
      <w:pPr>
        <w:pStyle w:val="Heading4"/>
        <w:spacing w:after="0" w:line="240" w:lineRule="auto"/>
      </w:pPr>
      <w:bookmarkStart w:name="_Toc413847915" w:id="8"/>
      <w:r w:rsidRPr="009759F3">
        <w:t>Individuals Consulted on Statistical Aspects and Individuals Collecting and/or Analyzing Data</w:t>
      </w:r>
      <w:bookmarkEnd w:id="8"/>
    </w:p>
    <w:p w:rsidRPr="007B7682" w:rsidR="00F27049" w:rsidP="002955E6" w:rsidRDefault="00F27049" w14:paraId="30318FF2" w14:textId="77777777">
      <w:pPr>
        <w:spacing w:line="240" w:lineRule="auto"/>
        <w:ind w:left="360"/>
        <w:rPr>
          <w:b/>
          <w:color w:val="000000" w:themeColor="text1"/>
        </w:rPr>
      </w:pPr>
    </w:p>
    <w:p w:rsidRPr="007B7682" w:rsidR="00497BC1" w:rsidP="00F268B5" w:rsidRDefault="00F268B5" w14:paraId="7D4869E0" w14:textId="51BEC59A">
      <w:pPr>
        <w:spacing w:line="240" w:lineRule="auto"/>
        <w:ind w:left="0" w:firstLine="360"/>
        <w:rPr>
          <w:color w:val="000000" w:themeColor="text1"/>
        </w:rPr>
      </w:pPr>
      <w:r w:rsidRPr="007B7682">
        <w:rPr>
          <w:color w:val="000000" w:themeColor="text1"/>
        </w:rPr>
        <w:t>Mitchell A. Yakrus</w:t>
      </w:r>
    </w:p>
    <w:p w:rsidRPr="007B7682" w:rsidR="00497BC1" w:rsidP="002955E6" w:rsidRDefault="00F268B5" w14:paraId="5E12B71A" w14:textId="75FDA90C">
      <w:pPr>
        <w:spacing w:line="240" w:lineRule="auto"/>
        <w:ind w:left="360"/>
        <w:rPr>
          <w:color w:val="000000" w:themeColor="text1"/>
        </w:rPr>
      </w:pPr>
      <w:r w:rsidRPr="007B7682">
        <w:rPr>
          <w:color w:val="000000" w:themeColor="text1"/>
        </w:rPr>
        <w:t>Microbiologist</w:t>
      </w:r>
    </w:p>
    <w:p w:rsidRPr="007B7682" w:rsidR="00497BC1" w:rsidP="002955E6" w:rsidRDefault="00F268B5" w14:paraId="0F073CAF" w14:textId="193F7DAD">
      <w:pPr>
        <w:spacing w:line="240" w:lineRule="auto"/>
        <w:ind w:left="360"/>
        <w:rPr>
          <w:color w:val="000000" w:themeColor="text1"/>
        </w:rPr>
      </w:pPr>
      <w:r w:rsidRPr="007B7682">
        <w:rPr>
          <w:color w:val="000000" w:themeColor="text1"/>
        </w:rPr>
        <w:t>Laboratory Branch</w:t>
      </w:r>
    </w:p>
    <w:p w:rsidRPr="007B7682" w:rsidR="00F268B5" w:rsidP="002955E6" w:rsidRDefault="00F268B5" w14:paraId="33C51BC2" w14:textId="4FA0272D">
      <w:pPr>
        <w:spacing w:line="240" w:lineRule="auto"/>
        <w:ind w:left="360"/>
        <w:rPr>
          <w:color w:val="000000" w:themeColor="text1"/>
        </w:rPr>
      </w:pPr>
      <w:r w:rsidRPr="007B7682">
        <w:rPr>
          <w:color w:val="000000" w:themeColor="text1"/>
        </w:rPr>
        <w:t>Division of Tuberculosis Elimination</w:t>
      </w:r>
    </w:p>
    <w:p w:rsidRPr="007B7682" w:rsidR="00F268B5" w:rsidP="002955E6" w:rsidRDefault="00F268B5" w14:paraId="4E0BBEFD" w14:textId="7D1656EA">
      <w:pPr>
        <w:spacing w:line="240" w:lineRule="auto"/>
        <w:ind w:left="360"/>
        <w:rPr>
          <w:color w:val="000000" w:themeColor="text1"/>
        </w:rPr>
      </w:pPr>
      <w:r w:rsidRPr="007B7682">
        <w:rPr>
          <w:color w:val="000000" w:themeColor="text1"/>
        </w:rPr>
        <w:t>Centers for Disease Control and Prevention</w:t>
      </w:r>
    </w:p>
    <w:p w:rsidRPr="007B7682" w:rsidR="00497BC1" w:rsidP="002955E6" w:rsidRDefault="003F5AA6" w14:paraId="2ACD71B1" w14:textId="30712470">
      <w:pPr>
        <w:spacing w:line="240" w:lineRule="auto"/>
        <w:ind w:left="360"/>
        <w:rPr>
          <w:color w:val="000000" w:themeColor="text1"/>
        </w:rPr>
      </w:pPr>
      <w:r w:rsidRPr="007B7682">
        <w:rPr>
          <w:color w:val="000000" w:themeColor="text1"/>
        </w:rPr>
        <w:t xml:space="preserve">1600 Clifton Rd, N.E., MS </w:t>
      </w:r>
      <w:r w:rsidRPr="007B7682" w:rsidR="00652B28">
        <w:rPr>
          <w:color w:val="000000" w:themeColor="text1"/>
        </w:rPr>
        <w:t>H17-4</w:t>
      </w:r>
    </w:p>
    <w:p w:rsidRPr="007B7682" w:rsidR="00497BC1" w:rsidP="002955E6" w:rsidRDefault="00683C7C" w14:paraId="268F6D84" w14:textId="0872B462">
      <w:pPr>
        <w:spacing w:line="240" w:lineRule="auto"/>
        <w:ind w:left="360"/>
        <w:rPr>
          <w:color w:val="000000" w:themeColor="text1"/>
        </w:rPr>
      </w:pPr>
      <w:r w:rsidRPr="007B7682">
        <w:rPr>
          <w:color w:val="000000" w:themeColor="text1"/>
        </w:rPr>
        <w:t>Phone</w:t>
      </w:r>
      <w:r w:rsidRPr="007B7682" w:rsidR="003F5AA6">
        <w:rPr>
          <w:color w:val="000000" w:themeColor="text1"/>
        </w:rPr>
        <w:t>: (404) 639 -1288</w:t>
      </w:r>
    </w:p>
    <w:p w:rsidRPr="007B7682" w:rsidR="003F5AA6" w:rsidP="002955E6" w:rsidRDefault="003F5AA6" w14:paraId="337ED29E" w14:textId="6F4437D2">
      <w:pPr>
        <w:spacing w:line="240" w:lineRule="auto"/>
        <w:ind w:left="360"/>
        <w:rPr>
          <w:color w:val="000000" w:themeColor="text1"/>
        </w:rPr>
      </w:pPr>
      <w:r w:rsidRPr="007B7682">
        <w:rPr>
          <w:color w:val="000000" w:themeColor="text1"/>
        </w:rPr>
        <w:lastRenderedPageBreak/>
        <w:t>Fax: (404)639-1287</w:t>
      </w:r>
    </w:p>
    <w:p w:rsidRPr="007B7682" w:rsidR="00497BC1" w:rsidP="002955E6" w:rsidRDefault="003362E4" w14:paraId="4940E398" w14:textId="10DE28A8">
      <w:pPr>
        <w:spacing w:line="240" w:lineRule="auto"/>
        <w:ind w:left="360"/>
        <w:rPr>
          <w:rStyle w:val="Hyperlink"/>
          <w:color w:val="000000" w:themeColor="text1"/>
          <w:u w:val="none"/>
        </w:rPr>
      </w:pPr>
      <w:hyperlink w:history="1" r:id="rId8">
        <w:r w:rsidRPr="007B7682" w:rsidR="00683C7C">
          <w:rPr>
            <w:rStyle w:val="Hyperlink"/>
            <w:color w:val="000000" w:themeColor="text1"/>
            <w:u w:val="none"/>
          </w:rPr>
          <w:t>Email</w:t>
        </w:r>
      </w:hyperlink>
      <w:r w:rsidRPr="007B7682" w:rsidR="00923CD5">
        <w:rPr>
          <w:rStyle w:val="Hyperlink"/>
          <w:color w:val="000000" w:themeColor="text1"/>
          <w:u w:val="none"/>
        </w:rPr>
        <w:t>:</w:t>
      </w:r>
      <w:r w:rsidRPr="007B7682" w:rsidR="003F5AA6">
        <w:rPr>
          <w:rStyle w:val="Hyperlink"/>
          <w:color w:val="000000" w:themeColor="text1"/>
          <w:u w:val="none"/>
        </w:rPr>
        <w:t xml:space="preserve"> </w:t>
      </w:r>
      <w:hyperlink w:history="1" r:id="rId9">
        <w:r w:rsidRPr="007B7682" w:rsidR="00B95372">
          <w:rPr>
            <w:rStyle w:val="Hyperlink"/>
            <w:color w:val="000000" w:themeColor="text1"/>
            <w:u w:val="none"/>
          </w:rPr>
          <w:t>may2@cdc.gov</w:t>
        </w:r>
      </w:hyperlink>
    </w:p>
    <w:p w:rsidR="005E22B1" w:rsidP="002955E6" w:rsidRDefault="005E22B1" w14:paraId="29C331A8" w14:textId="77777777">
      <w:pPr>
        <w:spacing w:line="240" w:lineRule="auto"/>
        <w:ind w:left="360"/>
        <w:rPr>
          <w:rStyle w:val="Hyperlink"/>
          <w:color w:val="000000" w:themeColor="text1"/>
          <w:u w:val="none"/>
        </w:rPr>
      </w:pPr>
    </w:p>
    <w:p w:rsidRPr="007B7682" w:rsidR="00652B28" w:rsidP="002955E6" w:rsidRDefault="00652B28" w14:paraId="1F8996F6" w14:textId="056FB6C4">
      <w:pPr>
        <w:spacing w:line="240" w:lineRule="auto"/>
        <w:ind w:left="360"/>
        <w:rPr>
          <w:rStyle w:val="Hyperlink"/>
          <w:color w:val="000000" w:themeColor="text1"/>
          <w:u w:val="none"/>
        </w:rPr>
      </w:pPr>
      <w:r w:rsidRPr="007B7682">
        <w:rPr>
          <w:rStyle w:val="Hyperlink"/>
          <w:color w:val="000000" w:themeColor="text1"/>
          <w:u w:val="none"/>
        </w:rPr>
        <w:t xml:space="preserve">Monica </w:t>
      </w:r>
      <w:r w:rsidRPr="007B7682" w:rsidR="00923CD5">
        <w:rPr>
          <w:rStyle w:val="Hyperlink"/>
          <w:color w:val="000000" w:themeColor="text1"/>
          <w:u w:val="none"/>
        </w:rPr>
        <w:t>Youngblood</w:t>
      </w:r>
    </w:p>
    <w:p w:rsidRPr="007B7682" w:rsidR="00923CD5" w:rsidP="00923CD5" w:rsidRDefault="00923CD5" w14:paraId="271D2ED4" w14:textId="77777777">
      <w:pPr>
        <w:spacing w:line="240" w:lineRule="auto"/>
        <w:ind w:left="360"/>
        <w:rPr>
          <w:color w:val="000000" w:themeColor="text1"/>
        </w:rPr>
      </w:pPr>
      <w:r w:rsidRPr="007B7682">
        <w:rPr>
          <w:color w:val="000000" w:themeColor="text1"/>
        </w:rPr>
        <w:t>Microbiologist</w:t>
      </w:r>
    </w:p>
    <w:p w:rsidRPr="007B7682" w:rsidR="00923CD5" w:rsidP="00923CD5" w:rsidRDefault="00923CD5" w14:paraId="259A3F81" w14:textId="77777777">
      <w:pPr>
        <w:spacing w:line="240" w:lineRule="auto"/>
        <w:ind w:left="360"/>
        <w:rPr>
          <w:color w:val="000000" w:themeColor="text1"/>
        </w:rPr>
      </w:pPr>
      <w:r w:rsidRPr="007B7682">
        <w:rPr>
          <w:color w:val="000000" w:themeColor="text1"/>
        </w:rPr>
        <w:t>Laboratory Branch</w:t>
      </w:r>
    </w:p>
    <w:p w:rsidRPr="007B7682" w:rsidR="00923CD5" w:rsidP="00923CD5" w:rsidRDefault="00923CD5" w14:paraId="2982EC17" w14:textId="77777777">
      <w:pPr>
        <w:spacing w:line="240" w:lineRule="auto"/>
        <w:ind w:left="360"/>
        <w:rPr>
          <w:color w:val="000000" w:themeColor="text1"/>
        </w:rPr>
      </w:pPr>
      <w:r w:rsidRPr="007B7682">
        <w:rPr>
          <w:color w:val="000000" w:themeColor="text1"/>
        </w:rPr>
        <w:t>Division of Tuberculosis Elimination</w:t>
      </w:r>
    </w:p>
    <w:p w:rsidRPr="007B7682" w:rsidR="00923CD5" w:rsidP="00923CD5" w:rsidRDefault="00923CD5" w14:paraId="1EA7F8FD" w14:textId="77777777">
      <w:pPr>
        <w:spacing w:line="240" w:lineRule="auto"/>
        <w:ind w:left="360"/>
        <w:rPr>
          <w:color w:val="000000" w:themeColor="text1"/>
        </w:rPr>
      </w:pPr>
      <w:r w:rsidRPr="007B7682">
        <w:rPr>
          <w:color w:val="000000" w:themeColor="text1"/>
        </w:rPr>
        <w:t>Centers for Disease Control and Prevention</w:t>
      </w:r>
    </w:p>
    <w:p w:rsidRPr="007B7682" w:rsidR="00923CD5" w:rsidP="00923CD5" w:rsidRDefault="00923CD5" w14:paraId="2D07B217" w14:textId="77777777">
      <w:pPr>
        <w:spacing w:line="240" w:lineRule="auto"/>
        <w:ind w:left="360"/>
        <w:rPr>
          <w:color w:val="000000" w:themeColor="text1"/>
        </w:rPr>
      </w:pPr>
      <w:r w:rsidRPr="007B7682">
        <w:rPr>
          <w:color w:val="000000" w:themeColor="text1"/>
        </w:rPr>
        <w:t>1600 Clifton Rd, N.E., MS H17-4</w:t>
      </w:r>
    </w:p>
    <w:p w:rsidRPr="007B7682" w:rsidR="00923CD5" w:rsidP="00923CD5" w:rsidRDefault="00923CD5" w14:paraId="1B47EE54" w14:textId="2D131A3B">
      <w:pPr>
        <w:spacing w:line="240" w:lineRule="auto"/>
        <w:ind w:left="360"/>
        <w:rPr>
          <w:color w:val="000000" w:themeColor="text1"/>
        </w:rPr>
      </w:pPr>
      <w:r w:rsidRPr="007B7682">
        <w:rPr>
          <w:color w:val="000000" w:themeColor="text1"/>
        </w:rPr>
        <w:t>Phone: (404) 639-718-2079</w:t>
      </w:r>
    </w:p>
    <w:p w:rsidRPr="007B7682" w:rsidR="00923CD5" w:rsidP="00923CD5" w:rsidRDefault="00923CD5" w14:paraId="318EDB6B" w14:textId="3B07983B">
      <w:pPr>
        <w:spacing w:line="240" w:lineRule="auto"/>
        <w:ind w:left="360"/>
        <w:rPr>
          <w:color w:val="000000" w:themeColor="text1"/>
        </w:rPr>
      </w:pPr>
      <w:r w:rsidRPr="007B7682">
        <w:rPr>
          <w:color w:val="000000" w:themeColor="text1"/>
        </w:rPr>
        <w:t>Fax: (404)</w:t>
      </w:r>
      <w:r w:rsidRPr="007B7682" w:rsidR="002157D2">
        <w:rPr>
          <w:color w:val="000000" w:themeColor="text1"/>
        </w:rPr>
        <w:t xml:space="preserve"> </w:t>
      </w:r>
      <w:r w:rsidRPr="007B7682">
        <w:rPr>
          <w:color w:val="000000" w:themeColor="text1"/>
        </w:rPr>
        <w:t>639-1287</w:t>
      </w:r>
    </w:p>
    <w:p w:rsidRPr="007B7682" w:rsidR="00923CD5" w:rsidP="002955E6" w:rsidRDefault="00923CD5" w14:paraId="021A4E7C" w14:textId="39B16581">
      <w:pPr>
        <w:spacing w:line="240" w:lineRule="auto"/>
        <w:ind w:left="360"/>
        <w:rPr>
          <w:rStyle w:val="Hyperlink"/>
          <w:color w:val="000000" w:themeColor="text1"/>
          <w:u w:val="none"/>
        </w:rPr>
      </w:pPr>
      <w:r w:rsidRPr="007B7682">
        <w:rPr>
          <w:rStyle w:val="Hyperlink"/>
          <w:color w:val="000000" w:themeColor="text1"/>
          <w:u w:val="none"/>
        </w:rPr>
        <w:t xml:space="preserve">Email; </w:t>
      </w:r>
      <w:hyperlink w:history="1" r:id="rId10">
        <w:r w:rsidRPr="007B7682">
          <w:rPr>
            <w:rStyle w:val="Hyperlink"/>
            <w:color w:val="000000" w:themeColor="text1"/>
          </w:rPr>
          <w:t>wsk9@cdc.gov</w:t>
        </w:r>
      </w:hyperlink>
    </w:p>
    <w:p w:rsidRPr="007B7682" w:rsidR="00923CD5" w:rsidP="002955E6" w:rsidRDefault="00923CD5" w14:paraId="36FF8949" w14:textId="658FE7DE">
      <w:pPr>
        <w:spacing w:line="240" w:lineRule="auto"/>
        <w:ind w:left="360"/>
        <w:rPr>
          <w:rStyle w:val="Hyperlink"/>
          <w:color w:val="000000" w:themeColor="text1"/>
          <w:u w:val="none"/>
        </w:rPr>
      </w:pPr>
    </w:p>
    <w:p w:rsidRPr="007B7682" w:rsidR="00923CD5" w:rsidP="002955E6" w:rsidRDefault="00923CD5" w14:paraId="5CBF1FF7" w14:textId="74F89E8A">
      <w:pPr>
        <w:spacing w:line="240" w:lineRule="auto"/>
        <w:ind w:left="360"/>
        <w:rPr>
          <w:rStyle w:val="Hyperlink"/>
          <w:color w:val="000000" w:themeColor="text1"/>
          <w:u w:val="none"/>
        </w:rPr>
      </w:pPr>
      <w:r w:rsidRPr="007B7682">
        <w:rPr>
          <w:rStyle w:val="Hyperlink"/>
          <w:color w:val="000000" w:themeColor="text1"/>
          <w:u w:val="none"/>
        </w:rPr>
        <w:t>Stephanie P. Johnston</w:t>
      </w:r>
    </w:p>
    <w:p w:rsidRPr="007B7682" w:rsidR="00923CD5" w:rsidP="002955E6" w:rsidRDefault="00923CD5" w14:paraId="00E7189C" w14:textId="54FC8F82">
      <w:pPr>
        <w:spacing w:line="240" w:lineRule="auto"/>
        <w:ind w:left="360"/>
        <w:rPr>
          <w:rStyle w:val="Hyperlink"/>
          <w:color w:val="000000" w:themeColor="text1"/>
          <w:u w:val="none"/>
        </w:rPr>
      </w:pPr>
      <w:r w:rsidRPr="007B7682">
        <w:rPr>
          <w:rStyle w:val="Hyperlink"/>
          <w:color w:val="000000" w:themeColor="text1"/>
          <w:u w:val="none"/>
        </w:rPr>
        <w:t>Microbiologist</w:t>
      </w:r>
    </w:p>
    <w:p w:rsidRPr="007B7682" w:rsidR="00923CD5" w:rsidP="002955E6" w:rsidRDefault="00923CD5" w14:paraId="781A61C3" w14:textId="686D49FE">
      <w:pPr>
        <w:spacing w:line="240" w:lineRule="auto"/>
        <w:ind w:left="360"/>
        <w:rPr>
          <w:rStyle w:val="Hyperlink"/>
          <w:color w:val="000000" w:themeColor="text1"/>
          <w:u w:val="none"/>
        </w:rPr>
      </w:pPr>
      <w:r w:rsidRPr="007B7682">
        <w:rPr>
          <w:rStyle w:val="Hyperlink"/>
          <w:color w:val="000000" w:themeColor="text1"/>
          <w:u w:val="none"/>
        </w:rPr>
        <w:t>Team Lead, Laboratory Capacity Team</w:t>
      </w:r>
    </w:p>
    <w:p w:rsidRPr="007B7682" w:rsidR="002157D2" w:rsidP="002157D2" w:rsidRDefault="002157D2" w14:paraId="2016C647" w14:textId="77777777">
      <w:pPr>
        <w:spacing w:line="240" w:lineRule="auto"/>
        <w:ind w:left="360"/>
        <w:rPr>
          <w:color w:val="000000" w:themeColor="text1"/>
        </w:rPr>
      </w:pPr>
      <w:r w:rsidRPr="007B7682">
        <w:rPr>
          <w:color w:val="000000" w:themeColor="text1"/>
        </w:rPr>
        <w:t>Laboratory Branch</w:t>
      </w:r>
    </w:p>
    <w:p w:rsidRPr="007B7682" w:rsidR="002157D2" w:rsidP="002157D2" w:rsidRDefault="002157D2" w14:paraId="24C16065" w14:textId="77777777">
      <w:pPr>
        <w:spacing w:line="240" w:lineRule="auto"/>
        <w:ind w:left="360"/>
        <w:rPr>
          <w:color w:val="000000" w:themeColor="text1"/>
        </w:rPr>
      </w:pPr>
      <w:r w:rsidRPr="007B7682">
        <w:rPr>
          <w:color w:val="000000" w:themeColor="text1"/>
        </w:rPr>
        <w:t>Division of Tuberculosis Elimination</w:t>
      </w:r>
    </w:p>
    <w:p w:rsidRPr="007B7682" w:rsidR="002157D2" w:rsidP="002157D2" w:rsidRDefault="002157D2" w14:paraId="299BCAED" w14:textId="77777777">
      <w:pPr>
        <w:spacing w:line="240" w:lineRule="auto"/>
        <w:ind w:left="360"/>
        <w:rPr>
          <w:color w:val="000000" w:themeColor="text1"/>
        </w:rPr>
      </w:pPr>
      <w:r w:rsidRPr="007B7682">
        <w:rPr>
          <w:color w:val="000000" w:themeColor="text1"/>
        </w:rPr>
        <w:t>Centers for Disease Control and Prevention</w:t>
      </w:r>
    </w:p>
    <w:p w:rsidRPr="007B7682" w:rsidR="002157D2" w:rsidP="002157D2" w:rsidRDefault="002157D2" w14:paraId="58C49D78" w14:textId="77777777">
      <w:pPr>
        <w:spacing w:line="240" w:lineRule="auto"/>
        <w:ind w:left="360"/>
        <w:rPr>
          <w:color w:val="000000" w:themeColor="text1"/>
        </w:rPr>
      </w:pPr>
      <w:r w:rsidRPr="007B7682">
        <w:rPr>
          <w:color w:val="000000" w:themeColor="text1"/>
        </w:rPr>
        <w:t>1600 Clifton Rd, N.E., MS H17-4</w:t>
      </w:r>
    </w:p>
    <w:p w:rsidRPr="007B7682" w:rsidR="002157D2" w:rsidP="002955E6" w:rsidRDefault="002157D2" w14:paraId="43BC904E" w14:textId="2279B66E">
      <w:pPr>
        <w:spacing w:line="240" w:lineRule="auto"/>
        <w:ind w:left="360"/>
        <w:rPr>
          <w:rStyle w:val="Hyperlink"/>
          <w:color w:val="000000" w:themeColor="text1"/>
          <w:u w:val="none"/>
        </w:rPr>
      </w:pPr>
      <w:r w:rsidRPr="007B7682">
        <w:rPr>
          <w:rStyle w:val="Hyperlink"/>
          <w:color w:val="000000" w:themeColor="text1"/>
          <w:u w:val="none"/>
        </w:rPr>
        <w:t>Phone; (404)</w:t>
      </w:r>
      <w:r w:rsidRPr="007B7682" w:rsidR="00137F4E">
        <w:rPr>
          <w:rStyle w:val="Hyperlink"/>
          <w:color w:val="000000" w:themeColor="text1"/>
          <w:u w:val="none"/>
        </w:rPr>
        <w:t xml:space="preserve"> </w:t>
      </w:r>
      <w:r w:rsidRPr="007B7682">
        <w:rPr>
          <w:rStyle w:val="Hyperlink"/>
          <w:color w:val="000000" w:themeColor="text1"/>
          <w:u w:val="none"/>
        </w:rPr>
        <w:t>639-5019</w:t>
      </w:r>
    </w:p>
    <w:p w:rsidRPr="007B7682" w:rsidR="002157D2" w:rsidP="002955E6" w:rsidRDefault="002157D2" w14:paraId="3743E1BF" w14:textId="073BE1E3">
      <w:pPr>
        <w:spacing w:line="240" w:lineRule="auto"/>
        <w:ind w:left="360"/>
        <w:rPr>
          <w:rStyle w:val="Hyperlink"/>
          <w:color w:val="000000" w:themeColor="text1"/>
          <w:u w:val="none"/>
        </w:rPr>
      </w:pPr>
      <w:r w:rsidRPr="007B7682">
        <w:rPr>
          <w:rStyle w:val="Hyperlink"/>
          <w:color w:val="000000" w:themeColor="text1"/>
          <w:u w:val="none"/>
        </w:rPr>
        <w:t>Fax: (404) 639-1287</w:t>
      </w:r>
    </w:p>
    <w:p w:rsidRPr="007B7682" w:rsidR="002157D2" w:rsidP="002955E6" w:rsidRDefault="002157D2" w14:paraId="1F556A61" w14:textId="752FBBB6">
      <w:pPr>
        <w:spacing w:line="240" w:lineRule="auto"/>
        <w:ind w:left="360"/>
        <w:rPr>
          <w:rStyle w:val="Hyperlink"/>
          <w:color w:val="000000" w:themeColor="text1"/>
          <w:u w:val="none"/>
        </w:rPr>
      </w:pPr>
      <w:r w:rsidRPr="007B7682">
        <w:rPr>
          <w:rStyle w:val="Hyperlink"/>
          <w:color w:val="000000" w:themeColor="text1"/>
          <w:u w:val="none"/>
        </w:rPr>
        <w:t>Email: sip5@cdc.gov</w:t>
      </w:r>
    </w:p>
    <w:p w:rsidRPr="007B7682" w:rsidR="00B95372" w:rsidP="002955E6" w:rsidRDefault="00B95372" w14:paraId="6A429AE1" w14:textId="77777777">
      <w:pPr>
        <w:spacing w:line="240" w:lineRule="auto"/>
        <w:ind w:left="360"/>
        <w:rPr>
          <w:rStyle w:val="Hyperlink"/>
          <w:color w:val="000000" w:themeColor="text1"/>
        </w:rPr>
      </w:pPr>
    </w:p>
    <w:p w:rsidRPr="007B7682" w:rsidR="00865573" w:rsidP="002955E6" w:rsidRDefault="00865573" w14:paraId="768D156A" w14:textId="77777777">
      <w:pPr>
        <w:spacing w:line="240" w:lineRule="auto"/>
        <w:ind w:left="360"/>
        <w:rPr>
          <w:rStyle w:val="Hyperlink"/>
          <w:color w:val="000000" w:themeColor="text1"/>
        </w:rPr>
      </w:pPr>
    </w:p>
    <w:p w:rsidRPr="007B7682" w:rsidR="00865573" w:rsidP="002955E6" w:rsidRDefault="00865573" w14:paraId="1D7B86DC" w14:textId="77777777">
      <w:pPr>
        <w:spacing w:line="240" w:lineRule="auto"/>
        <w:ind w:left="360"/>
        <w:rPr>
          <w:rStyle w:val="Hyperlink"/>
          <w:b/>
          <w:color w:val="000000" w:themeColor="text1"/>
        </w:rPr>
      </w:pPr>
    </w:p>
    <w:p w:rsidRPr="007B7682" w:rsidR="00A36419" w:rsidP="002955E6" w:rsidRDefault="00A36419" w14:paraId="1E82E35E" w14:textId="77777777">
      <w:pPr>
        <w:pStyle w:val="Heading3"/>
        <w:spacing w:line="240" w:lineRule="auto"/>
        <w:rPr>
          <w:color w:val="000000" w:themeColor="text1"/>
        </w:rPr>
      </w:pPr>
      <w:bookmarkStart w:name="_Toc413847916" w:id="9"/>
      <w:r w:rsidRPr="007B7682">
        <w:rPr>
          <w:color w:val="000000" w:themeColor="text1"/>
        </w:rPr>
        <w:t>LIST OF ATTACHMENTS</w:t>
      </w:r>
      <w:r w:rsidRPr="007B7682" w:rsidR="00E24C20">
        <w:rPr>
          <w:color w:val="000000" w:themeColor="text1"/>
        </w:rPr>
        <w:t xml:space="preserve"> – Section B</w:t>
      </w:r>
      <w:bookmarkEnd w:id="9"/>
    </w:p>
    <w:p w:rsidRPr="007B7682" w:rsidR="00400C2C" w:rsidP="002955E6" w:rsidRDefault="00400C2C" w14:paraId="435407BF" w14:textId="443A29AA">
      <w:pPr>
        <w:spacing w:line="240" w:lineRule="auto"/>
        <w:ind w:left="0"/>
        <w:rPr>
          <w:color w:val="000000" w:themeColor="text1"/>
        </w:rPr>
      </w:pPr>
      <w:r w:rsidRPr="007B7682">
        <w:rPr>
          <w:color w:val="000000" w:themeColor="text1"/>
        </w:rPr>
        <w:t>Note: Attachments are included as separate files as instructed.</w:t>
      </w:r>
    </w:p>
    <w:p w:rsidRPr="007B7682" w:rsidR="0036456B" w:rsidP="009A5580" w:rsidRDefault="0036456B" w14:paraId="2D6DEAD6" w14:textId="31068FAA">
      <w:pPr>
        <w:pStyle w:val="ListParagraph"/>
        <w:numPr>
          <w:ilvl w:val="0"/>
          <w:numId w:val="34"/>
        </w:numPr>
        <w:spacing w:line="240" w:lineRule="auto"/>
        <w:rPr>
          <w:rFonts w:ascii="Cambria" w:hAnsi="Cambria"/>
          <w:b/>
          <w:color w:val="000000" w:themeColor="text1"/>
        </w:rPr>
      </w:pPr>
      <w:r w:rsidRPr="007B7682">
        <w:rPr>
          <w:rFonts w:ascii="Cambria" w:hAnsi="Cambria"/>
          <w:b/>
          <w:color w:val="000000" w:themeColor="text1"/>
        </w:rPr>
        <w:t xml:space="preserve">Attachment A – CoAg PHLS and </w:t>
      </w:r>
      <w:r w:rsidR="005E22B1">
        <w:rPr>
          <w:rFonts w:ascii="Cambria" w:hAnsi="Cambria"/>
          <w:b/>
          <w:color w:val="000000" w:themeColor="text1"/>
        </w:rPr>
        <w:t>Mycobacteriology</w:t>
      </w:r>
      <w:r w:rsidRPr="007B7682">
        <w:rPr>
          <w:rFonts w:ascii="Cambria" w:hAnsi="Cambria"/>
          <w:b/>
          <w:color w:val="000000" w:themeColor="text1"/>
        </w:rPr>
        <w:t xml:space="preserve"> </w:t>
      </w:r>
      <w:r w:rsidRPr="007B7682" w:rsidR="009A5580">
        <w:rPr>
          <w:rFonts w:ascii="Cambria" w:hAnsi="Cambria"/>
          <w:b/>
          <w:color w:val="000000" w:themeColor="text1"/>
        </w:rPr>
        <w:t>s</w:t>
      </w:r>
      <w:r w:rsidRPr="007B7682">
        <w:rPr>
          <w:rFonts w:ascii="Cambria" w:hAnsi="Cambria"/>
          <w:b/>
          <w:color w:val="000000" w:themeColor="text1"/>
        </w:rPr>
        <w:t xml:space="preserve">upervisors or </w:t>
      </w:r>
      <w:r w:rsidRPr="007B7682" w:rsidR="009A5580">
        <w:rPr>
          <w:rFonts w:ascii="Cambria" w:hAnsi="Cambria"/>
          <w:b/>
          <w:color w:val="000000" w:themeColor="text1"/>
        </w:rPr>
        <w:t>designees</w:t>
      </w:r>
    </w:p>
    <w:p w:rsidRPr="007B7682" w:rsidR="00246F16" w:rsidP="009A5580" w:rsidRDefault="00246F16" w14:paraId="6DBFB1F0" w14:textId="656D3D45">
      <w:pPr>
        <w:pStyle w:val="ListParagraph"/>
        <w:numPr>
          <w:ilvl w:val="0"/>
          <w:numId w:val="34"/>
        </w:numPr>
        <w:spacing w:line="240" w:lineRule="auto"/>
        <w:rPr>
          <w:rFonts w:ascii="Cambria" w:hAnsi="Cambria"/>
          <w:b/>
          <w:color w:val="000000" w:themeColor="text1"/>
        </w:rPr>
      </w:pPr>
      <w:r w:rsidRPr="007B7682">
        <w:rPr>
          <w:rFonts w:ascii="Cambria" w:hAnsi="Cambria"/>
          <w:b/>
          <w:color w:val="000000" w:themeColor="text1"/>
        </w:rPr>
        <w:t xml:space="preserve">Attachment D </w:t>
      </w:r>
      <w:r w:rsidRPr="007B7682">
        <w:rPr>
          <w:rFonts w:ascii="Cambria" w:hAnsi="Cambria"/>
          <w:bCs/>
          <w:color w:val="000000" w:themeColor="text1"/>
        </w:rPr>
        <w:t xml:space="preserve">– </w:t>
      </w:r>
      <w:r w:rsidRPr="007B7682">
        <w:rPr>
          <w:b/>
          <w:color w:val="000000" w:themeColor="text1"/>
        </w:rPr>
        <w:t>Focus Group Virtual Platform Discussions Script</w:t>
      </w:r>
    </w:p>
    <w:p w:rsidRPr="007B7682" w:rsidR="00865573" w:rsidP="00400C2C" w:rsidRDefault="00400C2C" w14:paraId="772DFEFB" w14:textId="0C4F84EF">
      <w:pPr>
        <w:pStyle w:val="ListParagraph"/>
        <w:numPr>
          <w:ilvl w:val="0"/>
          <w:numId w:val="34"/>
        </w:numPr>
        <w:spacing w:line="240" w:lineRule="auto"/>
        <w:rPr>
          <w:rFonts w:ascii="Cambria" w:hAnsi="Cambria"/>
          <w:b/>
          <w:color w:val="000000" w:themeColor="text1"/>
        </w:rPr>
      </w:pPr>
      <w:r w:rsidRPr="007B7682">
        <w:rPr>
          <w:rFonts w:ascii="Cambria" w:hAnsi="Cambria"/>
          <w:b/>
          <w:color w:val="000000" w:themeColor="text1"/>
        </w:rPr>
        <w:t xml:space="preserve">Attachment </w:t>
      </w:r>
      <w:r w:rsidRPr="007B7682" w:rsidR="00D40121">
        <w:rPr>
          <w:rFonts w:ascii="Cambria" w:hAnsi="Cambria"/>
          <w:b/>
          <w:color w:val="000000" w:themeColor="text1"/>
        </w:rPr>
        <w:t>E</w:t>
      </w:r>
      <w:r w:rsidRPr="007B7682" w:rsidR="00B8656C">
        <w:rPr>
          <w:rFonts w:ascii="Cambria" w:hAnsi="Cambria"/>
          <w:b/>
          <w:color w:val="000000" w:themeColor="text1"/>
        </w:rPr>
        <w:t xml:space="preserve"> </w:t>
      </w:r>
      <w:r w:rsidRPr="007B7682">
        <w:rPr>
          <w:rFonts w:ascii="Cambria" w:hAnsi="Cambria"/>
          <w:b/>
          <w:color w:val="000000" w:themeColor="text1"/>
        </w:rPr>
        <w:t>–</w:t>
      </w:r>
      <w:r w:rsidRPr="007B7682" w:rsidR="00B8656C">
        <w:rPr>
          <w:rFonts w:ascii="Cambria" w:hAnsi="Cambria"/>
          <w:b/>
          <w:color w:val="000000" w:themeColor="text1"/>
        </w:rPr>
        <w:t xml:space="preserve"> </w:t>
      </w:r>
      <w:r w:rsidRPr="007B7682" w:rsidR="00CC6049">
        <w:rPr>
          <w:rFonts w:ascii="Cambria" w:hAnsi="Cambria"/>
          <w:b/>
          <w:color w:val="000000" w:themeColor="text1"/>
        </w:rPr>
        <w:t>Notification Email</w:t>
      </w:r>
    </w:p>
    <w:p w:rsidR="00865573" w:rsidP="00400C2C" w:rsidRDefault="00400C2C" w14:paraId="65A9CF0F" w14:textId="30FB8615">
      <w:pPr>
        <w:pStyle w:val="ListParagraph"/>
        <w:numPr>
          <w:ilvl w:val="0"/>
          <w:numId w:val="34"/>
        </w:numPr>
        <w:spacing w:line="240" w:lineRule="auto"/>
        <w:rPr>
          <w:rFonts w:ascii="Cambria" w:hAnsi="Cambria"/>
          <w:b/>
          <w:color w:val="000000" w:themeColor="text1"/>
        </w:rPr>
      </w:pPr>
      <w:r w:rsidRPr="007B7682">
        <w:rPr>
          <w:rFonts w:ascii="Cambria" w:hAnsi="Cambria"/>
          <w:b/>
          <w:color w:val="000000" w:themeColor="text1"/>
        </w:rPr>
        <w:t xml:space="preserve">Attachment </w:t>
      </w:r>
      <w:r w:rsidRPr="007B7682" w:rsidR="00D40121">
        <w:rPr>
          <w:rFonts w:ascii="Cambria" w:hAnsi="Cambria"/>
          <w:b/>
          <w:color w:val="000000" w:themeColor="text1"/>
        </w:rPr>
        <w:t>F</w:t>
      </w:r>
      <w:r w:rsidRPr="007B7682" w:rsidR="00D24BCF">
        <w:rPr>
          <w:rFonts w:ascii="Cambria" w:hAnsi="Cambria"/>
          <w:b/>
          <w:color w:val="000000" w:themeColor="text1"/>
        </w:rPr>
        <w:t xml:space="preserve"> –</w:t>
      </w:r>
      <w:r w:rsidRPr="007B7682" w:rsidR="00865573">
        <w:rPr>
          <w:rFonts w:ascii="Cambria" w:hAnsi="Cambria"/>
          <w:b/>
          <w:color w:val="000000" w:themeColor="text1"/>
        </w:rPr>
        <w:t xml:space="preserve"> </w:t>
      </w:r>
      <w:r w:rsidRPr="007B7682" w:rsidR="00CC6049">
        <w:rPr>
          <w:rFonts w:ascii="Cambria" w:hAnsi="Cambria"/>
          <w:b/>
          <w:color w:val="000000" w:themeColor="text1"/>
        </w:rPr>
        <w:t>Reminder Email</w:t>
      </w:r>
    </w:p>
    <w:p w:rsidR="00DB6483" w:rsidP="00400C2C" w:rsidRDefault="00DB6483" w14:paraId="5F7E139C" w14:textId="44C1A821">
      <w:pPr>
        <w:pStyle w:val="ListParagraph"/>
        <w:numPr>
          <w:ilvl w:val="0"/>
          <w:numId w:val="34"/>
        </w:numPr>
        <w:spacing w:line="240" w:lineRule="auto"/>
        <w:rPr>
          <w:rFonts w:ascii="Cambria" w:hAnsi="Cambria"/>
          <w:b/>
          <w:color w:val="000000" w:themeColor="text1"/>
        </w:rPr>
      </w:pPr>
      <w:r>
        <w:rPr>
          <w:rFonts w:ascii="Cambria" w:hAnsi="Cambria"/>
          <w:b/>
          <w:color w:val="000000" w:themeColor="text1"/>
        </w:rPr>
        <w:t xml:space="preserve">Attachment G </w:t>
      </w:r>
      <w:r w:rsidRPr="007B7682">
        <w:rPr>
          <w:rFonts w:ascii="Cambria" w:hAnsi="Cambria"/>
          <w:b/>
          <w:color w:val="000000" w:themeColor="text1"/>
        </w:rPr>
        <w:t xml:space="preserve">– </w:t>
      </w:r>
      <w:r>
        <w:rPr>
          <w:rFonts w:ascii="Cambria" w:hAnsi="Cambria"/>
          <w:b/>
          <w:color w:val="000000" w:themeColor="text1"/>
        </w:rPr>
        <w:t>Focus Group Invite Email</w:t>
      </w:r>
    </w:p>
    <w:p w:rsidR="00DB6483" w:rsidP="00400C2C" w:rsidRDefault="00DB6483" w14:paraId="3C539198" w14:textId="733320CC">
      <w:pPr>
        <w:pStyle w:val="ListParagraph"/>
        <w:numPr>
          <w:ilvl w:val="0"/>
          <w:numId w:val="34"/>
        </w:numPr>
        <w:spacing w:line="240" w:lineRule="auto"/>
        <w:rPr>
          <w:rFonts w:ascii="Cambria" w:hAnsi="Cambria"/>
          <w:b/>
          <w:color w:val="000000" w:themeColor="text1"/>
        </w:rPr>
      </w:pPr>
      <w:r>
        <w:rPr>
          <w:rFonts w:ascii="Cambria" w:hAnsi="Cambria"/>
          <w:b/>
          <w:color w:val="000000" w:themeColor="text1"/>
        </w:rPr>
        <w:t xml:space="preserve">Attachment H </w:t>
      </w:r>
      <w:r w:rsidRPr="007B7682">
        <w:rPr>
          <w:rFonts w:ascii="Cambria" w:hAnsi="Cambria"/>
          <w:b/>
          <w:color w:val="000000" w:themeColor="text1"/>
        </w:rPr>
        <w:t>–</w:t>
      </w:r>
      <w:r>
        <w:rPr>
          <w:rFonts w:ascii="Cambria" w:hAnsi="Cambria"/>
          <w:b/>
          <w:color w:val="000000" w:themeColor="text1"/>
        </w:rPr>
        <w:t xml:space="preserve"> Reminder Email for Focus Group</w:t>
      </w:r>
    </w:p>
    <w:p w:rsidRPr="0005381C" w:rsidR="00865573" w:rsidP="002955E6" w:rsidRDefault="00865573" w14:paraId="504ACF37" w14:textId="77777777">
      <w:pPr>
        <w:spacing w:line="240" w:lineRule="auto"/>
        <w:ind w:left="0" w:firstLine="360"/>
        <w:rPr>
          <w:rFonts w:ascii="Cambria" w:hAnsi="Cambria"/>
          <w:color w:val="1F497D" w:themeColor="text2"/>
        </w:rPr>
      </w:pPr>
    </w:p>
    <w:sectPr w:rsidRPr="0005381C" w:rsidR="00865573" w:rsidSect="003E5D5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D41B8D" w14:textId="77777777" w:rsidR="002E2EDA" w:rsidRDefault="002E2EDA" w:rsidP="00BC6896">
      <w:r>
        <w:separator/>
      </w:r>
    </w:p>
    <w:p w14:paraId="7B318FFD" w14:textId="77777777" w:rsidR="002E2EDA" w:rsidRDefault="002E2EDA" w:rsidP="00BC6896"/>
  </w:endnote>
  <w:endnote w:type="continuationSeparator" w:id="0">
    <w:p w14:paraId="0CDF7240" w14:textId="77777777" w:rsidR="002E2EDA" w:rsidRDefault="002E2EDA" w:rsidP="00BC6896">
      <w:r>
        <w:continuationSeparator/>
      </w:r>
    </w:p>
    <w:p w14:paraId="732EC0A3" w14:textId="77777777" w:rsidR="002E2EDA" w:rsidRDefault="002E2EDA" w:rsidP="00BC68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3DD4B" w14:textId="77777777" w:rsidR="00633C0A" w:rsidRDefault="00633C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5925589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57A6931" w14:textId="7FDC9B6F" w:rsidR="00633C0A" w:rsidRDefault="00633C0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222E07" w14:textId="77777777" w:rsidR="00633C0A" w:rsidRDefault="00633C0A" w:rsidP="00BC689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F76F6" w14:textId="77777777" w:rsidR="00633C0A" w:rsidRDefault="00633C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D6B80B" w14:textId="77777777" w:rsidR="002E2EDA" w:rsidRDefault="002E2EDA" w:rsidP="00BC6896">
      <w:r>
        <w:separator/>
      </w:r>
    </w:p>
    <w:p w14:paraId="475F3CC0" w14:textId="77777777" w:rsidR="002E2EDA" w:rsidRDefault="002E2EDA" w:rsidP="00BC6896"/>
  </w:footnote>
  <w:footnote w:type="continuationSeparator" w:id="0">
    <w:p w14:paraId="41C4FA76" w14:textId="77777777" w:rsidR="002E2EDA" w:rsidRDefault="002E2EDA" w:rsidP="00BC6896">
      <w:r>
        <w:continuationSeparator/>
      </w:r>
    </w:p>
    <w:p w14:paraId="3CC9516A" w14:textId="77777777" w:rsidR="002E2EDA" w:rsidRDefault="002E2EDA" w:rsidP="00BC68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C18BAE" w14:textId="77777777" w:rsidR="00633C0A" w:rsidRDefault="00633C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C2A4D9" w14:textId="77777777" w:rsidR="00633C0A" w:rsidRPr="00716F94" w:rsidRDefault="00633C0A" w:rsidP="00BC6896">
    <w:pPr>
      <w:pStyle w:val="Header"/>
      <w:rPr>
        <w:color w:val="0033CC"/>
      </w:rPr>
    </w:pPr>
    <w:r>
      <w:tab/>
    </w:r>
  </w:p>
  <w:p w14:paraId="653AF48B" w14:textId="77777777" w:rsidR="00633C0A" w:rsidRDefault="00633C0A" w:rsidP="00BC689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2420E7" w14:textId="77777777" w:rsidR="00633C0A" w:rsidRDefault="00633C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C7CD4"/>
    <w:multiLevelType w:val="hybridMultilevel"/>
    <w:tmpl w:val="D72EAD62"/>
    <w:lvl w:ilvl="0" w:tplc="D960EF52">
      <w:start w:val="1"/>
      <w:numFmt w:val="decimal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" w15:restartNumberingAfterBreak="0">
    <w:nsid w:val="02B92BAD"/>
    <w:multiLevelType w:val="hybridMultilevel"/>
    <w:tmpl w:val="16645FF8"/>
    <w:lvl w:ilvl="0" w:tplc="512C5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038DA"/>
    <w:multiLevelType w:val="hybridMultilevel"/>
    <w:tmpl w:val="A44095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C87901"/>
    <w:multiLevelType w:val="hybridMultilevel"/>
    <w:tmpl w:val="E16699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570D6"/>
    <w:multiLevelType w:val="hybridMultilevel"/>
    <w:tmpl w:val="3F807284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02237"/>
    <w:multiLevelType w:val="hybridMultilevel"/>
    <w:tmpl w:val="6E8EB8BC"/>
    <w:lvl w:ilvl="0" w:tplc="750EFF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2A31AB"/>
    <w:multiLevelType w:val="hybridMultilevel"/>
    <w:tmpl w:val="4538C066"/>
    <w:lvl w:ilvl="0" w:tplc="E1C0391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334D2"/>
    <w:multiLevelType w:val="hybridMultilevel"/>
    <w:tmpl w:val="197E5C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9D2A65"/>
    <w:multiLevelType w:val="hybridMultilevel"/>
    <w:tmpl w:val="5798E242"/>
    <w:lvl w:ilvl="0" w:tplc="4122322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70C0"/>
      </w:rPr>
    </w:lvl>
    <w:lvl w:ilvl="1" w:tplc="8D86DBA4">
      <w:start w:val="1"/>
      <w:numFmt w:val="bullet"/>
      <w:lvlText w:val="–"/>
      <w:lvlJc w:val="left"/>
      <w:pPr>
        <w:ind w:left="180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D729A1"/>
    <w:multiLevelType w:val="hybridMultilevel"/>
    <w:tmpl w:val="C2BE7C7C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7C2A67"/>
    <w:multiLevelType w:val="hybridMultilevel"/>
    <w:tmpl w:val="B696488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BF0903"/>
    <w:multiLevelType w:val="hybridMultilevel"/>
    <w:tmpl w:val="6386AB6E"/>
    <w:lvl w:ilvl="0" w:tplc="412232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70C0"/>
      </w:rPr>
    </w:lvl>
    <w:lvl w:ilvl="1" w:tplc="C7B2827E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FC57D3"/>
    <w:multiLevelType w:val="hybridMultilevel"/>
    <w:tmpl w:val="F856A7AA"/>
    <w:lvl w:ilvl="0" w:tplc="33B618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D24122"/>
    <w:multiLevelType w:val="hybridMultilevel"/>
    <w:tmpl w:val="0DEC9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F163B"/>
    <w:multiLevelType w:val="hybridMultilevel"/>
    <w:tmpl w:val="692A07C4"/>
    <w:lvl w:ilvl="0" w:tplc="0409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C2E63"/>
    <w:multiLevelType w:val="hybridMultilevel"/>
    <w:tmpl w:val="D488E68C"/>
    <w:lvl w:ilvl="0" w:tplc="0409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CC22BD"/>
    <w:multiLevelType w:val="hybridMultilevel"/>
    <w:tmpl w:val="CD3C02EA"/>
    <w:lvl w:ilvl="0" w:tplc="355C6544">
      <w:start w:val="1"/>
      <w:numFmt w:val="upperLetter"/>
      <w:lvlText w:val="%1."/>
      <w:lvlJc w:val="left"/>
      <w:pPr>
        <w:ind w:left="720" w:hanging="360"/>
      </w:pPr>
      <w:rPr>
        <w:rFonts w:ascii="Cambria" w:eastAsiaTheme="minorEastAsia" w:hAnsi="Cambria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0F0FA1"/>
    <w:multiLevelType w:val="hybridMultilevel"/>
    <w:tmpl w:val="84063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F44473"/>
    <w:multiLevelType w:val="hybridMultilevel"/>
    <w:tmpl w:val="402A0F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7D182F"/>
    <w:multiLevelType w:val="hybridMultilevel"/>
    <w:tmpl w:val="F5A457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2127DF9"/>
    <w:multiLevelType w:val="hybridMultilevel"/>
    <w:tmpl w:val="348C6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DF33B7"/>
    <w:multiLevelType w:val="hybridMultilevel"/>
    <w:tmpl w:val="73C83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EC02FE"/>
    <w:multiLevelType w:val="hybridMultilevel"/>
    <w:tmpl w:val="CDC81A0E"/>
    <w:lvl w:ilvl="0" w:tplc="412232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EFE31F8"/>
    <w:multiLevelType w:val="hybridMultilevel"/>
    <w:tmpl w:val="F642C5E4"/>
    <w:lvl w:ilvl="0" w:tplc="7B922C7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477C4B"/>
    <w:multiLevelType w:val="hybridMultilevel"/>
    <w:tmpl w:val="6DC82C1C"/>
    <w:lvl w:ilvl="0" w:tplc="9B5C85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50B333BB"/>
    <w:multiLevelType w:val="hybridMultilevel"/>
    <w:tmpl w:val="6F9ADEAC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6" w15:restartNumberingAfterBreak="0">
    <w:nsid w:val="5809270F"/>
    <w:multiLevelType w:val="hybridMultilevel"/>
    <w:tmpl w:val="21565CCA"/>
    <w:lvl w:ilvl="0" w:tplc="4122322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70C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9997E39"/>
    <w:multiLevelType w:val="hybridMultilevel"/>
    <w:tmpl w:val="40EC0E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A1E6E94"/>
    <w:multiLevelType w:val="hybridMultilevel"/>
    <w:tmpl w:val="F468FF2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ECB4D66"/>
    <w:multiLevelType w:val="hybridMultilevel"/>
    <w:tmpl w:val="F0301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3A29E7"/>
    <w:multiLevelType w:val="hybridMultilevel"/>
    <w:tmpl w:val="5A36530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643348AA"/>
    <w:multiLevelType w:val="hybridMultilevel"/>
    <w:tmpl w:val="8214C1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115601"/>
    <w:multiLevelType w:val="hybridMultilevel"/>
    <w:tmpl w:val="41FEF7E6"/>
    <w:lvl w:ilvl="0" w:tplc="CBCC0B2C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2E7E23"/>
    <w:multiLevelType w:val="hybridMultilevel"/>
    <w:tmpl w:val="17AC8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981BE2"/>
    <w:multiLevelType w:val="hybridMultilevel"/>
    <w:tmpl w:val="DC2AED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A0C6AF8"/>
    <w:multiLevelType w:val="hybridMultilevel"/>
    <w:tmpl w:val="1CDEF31C"/>
    <w:lvl w:ilvl="0" w:tplc="1B7CD78A">
      <w:start w:val="1"/>
      <w:numFmt w:val="decimal"/>
      <w:pStyle w:val="Heading4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F542FC"/>
    <w:multiLevelType w:val="hybridMultilevel"/>
    <w:tmpl w:val="BBEAB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596D47"/>
    <w:multiLevelType w:val="hybridMultilevel"/>
    <w:tmpl w:val="E028E4BC"/>
    <w:lvl w:ilvl="0" w:tplc="E566142A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7"/>
  </w:num>
  <w:num w:numId="3">
    <w:abstractNumId w:val="35"/>
  </w:num>
  <w:num w:numId="4">
    <w:abstractNumId w:val="12"/>
  </w:num>
  <w:num w:numId="5">
    <w:abstractNumId w:val="25"/>
  </w:num>
  <w:num w:numId="6">
    <w:abstractNumId w:val="7"/>
  </w:num>
  <w:num w:numId="7">
    <w:abstractNumId w:val="0"/>
  </w:num>
  <w:num w:numId="8">
    <w:abstractNumId w:val="5"/>
  </w:num>
  <w:num w:numId="9">
    <w:abstractNumId w:val="10"/>
  </w:num>
  <w:num w:numId="10">
    <w:abstractNumId w:val="28"/>
  </w:num>
  <w:num w:numId="11">
    <w:abstractNumId w:val="2"/>
  </w:num>
  <w:num w:numId="12">
    <w:abstractNumId w:val="33"/>
  </w:num>
  <w:num w:numId="13">
    <w:abstractNumId w:val="6"/>
  </w:num>
  <w:num w:numId="14">
    <w:abstractNumId w:val="3"/>
  </w:num>
  <w:num w:numId="15">
    <w:abstractNumId w:val="31"/>
  </w:num>
  <w:num w:numId="16">
    <w:abstractNumId w:val="37"/>
  </w:num>
  <w:num w:numId="17">
    <w:abstractNumId w:val="9"/>
  </w:num>
  <w:num w:numId="18">
    <w:abstractNumId w:val="14"/>
  </w:num>
  <w:num w:numId="19">
    <w:abstractNumId w:val="4"/>
  </w:num>
  <w:num w:numId="20">
    <w:abstractNumId w:val="15"/>
  </w:num>
  <w:num w:numId="21">
    <w:abstractNumId w:val="36"/>
  </w:num>
  <w:num w:numId="22">
    <w:abstractNumId w:val="29"/>
  </w:num>
  <w:num w:numId="23">
    <w:abstractNumId w:val="13"/>
  </w:num>
  <w:num w:numId="24">
    <w:abstractNumId w:val="30"/>
  </w:num>
  <w:num w:numId="25">
    <w:abstractNumId w:val="32"/>
  </w:num>
  <w:num w:numId="26">
    <w:abstractNumId w:val="19"/>
  </w:num>
  <w:num w:numId="27">
    <w:abstractNumId w:val="23"/>
  </w:num>
  <w:num w:numId="28">
    <w:abstractNumId w:val="20"/>
  </w:num>
  <w:num w:numId="29">
    <w:abstractNumId w:val="26"/>
  </w:num>
  <w:num w:numId="30">
    <w:abstractNumId w:val="22"/>
  </w:num>
  <w:num w:numId="31">
    <w:abstractNumId w:val="11"/>
  </w:num>
  <w:num w:numId="32">
    <w:abstractNumId w:val="24"/>
  </w:num>
  <w:num w:numId="33">
    <w:abstractNumId w:val="18"/>
  </w:num>
  <w:num w:numId="34">
    <w:abstractNumId w:val="16"/>
  </w:num>
  <w:num w:numId="35">
    <w:abstractNumId w:val="27"/>
  </w:num>
  <w:num w:numId="36">
    <w:abstractNumId w:val="21"/>
  </w:num>
  <w:num w:numId="37">
    <w:abstractNumId w:val="8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10420"/>
    <w:rsid w:val="00011A98"/>
    <w:rsid w:val="00011F8D"/>
    <w:rsid w:val="000130B4"/>
    <w:rsid w:val="00014361"/>
    <w:rsid w:val="000279A9"/>
    <w:rsid w:val="000331F9"/>
    <w:rsid w:val="000474FB"/>
    <w:rsid w:val="00052A34"/>
    <w:rsid w:val="0005381C"/>
    <w:rsid w:val="00053A92"/>
    <w:rsid w:val="000557D0"/>
    <w:rsid w:val="0005605E"/>
    <w:rsid w:val="00057F36"/>
    <w:rsid w:val="00070460"/>
    <w:rsid w:val="00074562"/>
    <w:rsid w:val="0008145E"/>
    <w:rsid w:val="000A1F30"/>
    <w:rsid w:val="000A255C"/>
    <w:rsid w:val="000A2FC0"/>
    <w:rsid w:val="000A538D"/>
    <w:rsid w:val="000A5C28"/>
    <w:rsid w:val="000B0F31"/>
    <w:rsid w:val="000B586B"/>
    <w:rsid w:val="000E6577"/>
    <w:rsid w:val="000E7A19"/>
    <w:rsid w:val="000F006A"/>
    <w:rsid w:val="000F36A3"/>
    <w:rsid w:val="000F5338"/>
    <w:rsid w:val="001030FC"/>
    <w:rsid w:val="00104A1B"/>
    <w:rsid w:val="0010527E"/>
    <w:rsid w:val="001177DD"/>
    <w:rsid w:val="001308EB"/>
    <w:rsid w:val="00133FB2"/>
    <w:rsid w:val="001346C5"/>
    <w:rsid w:val="00137F4E"/>
    <w:rsid w:val="001412D4"/>
    <w:rsid w:val="00144F64"/>
    <w:rsid w:val="00151567"/>
    <w:rsid w:val="00163E17"/>
    <w:rsid w:val="00166F9E"/>
    <w:rsid w:val="00175844"/>
    <w:rsid w:val="00176E14"/>
    <w:rsid w:val="00187D5A"/>
    <w:rsid w:val="001960AE"/>
    <w:rsid w:val="00196811"/>
    <w:rsid w:val="001972D7"/>
    <w:rsid w:val="00197AB8"/>
    <w:rsid w:val="001A28F6"/>
    <w:rsid w:val="001A4FC6"/>
    <w:rsid w:val="001A7D0E"/>
    <w:rsid w:val="001B2831"/>
    <w:rsid w:val="001B67DA"/>
    <w:rsid w:val="001C0493"/>
    <w:rsid w:val="001C28AD"/>
    <w:rsid w:val="001D2951"/>
    <w:rsid w:val="001D461D"/>
    <w:rsid w:val="001D7FCB"/>
    <w:rsid w:val="001E2B99"/>
    <w:rsid w:val="001E54DE"/>
    <w:rsid w:val="001E69B6"/>
    <w:rsid w:val="001F3595"/>
    <w:rsid w:val="001F4DBB"/>
    <w:rsid w:val="001F501E"/>
    <w:rsid w:val="001F7C89"/>
    <w:rsid w:val="0020226A"/>
    <w:rsid w:val="0020312D"/>
    <w:rsid w:val="0020495F"/>
    <w:rsid w:val="00206E33"/>
    <w:rsid w:val="00210519"/>
    <w:rsid w:val="002157D2"/>
    <w:rsid w:val="00222B4C"/>
    <w:rsid w:val="00230CEF"/>
    <w:rsid w:val="00234AC7"/>
    <w:rsid w:val="00237CA1"/>
    <w:rsid w:val="00241B17"/>
    <w:rsid w:val="00241C81"/>
    <w:rsid w:val="00245F1F"/>
    <w:rsid w:val="00246F16"/>
    <w:rsid w:val="00252BF8"/>
    <w:rsid w:val="00256392"/>
    <w:rsid w:val="00257A1C"/>
    <w:rsid w:val="00271BE0"/>
    <w:rsid w:val="002721C7"/>
    <w:rsid w:val="0027234C"/>
    <w:rsid w:val="00272E03"/>
    <w:rsid w:val="00281795"/>
    <w:rsid w:val="002850E3"/>
    <w:rsid w:val="00287E2F"/>
    <w:rsid w:val="002955E6"/>
    <w:rsid w:val="002A1948"/>
    <w:rsid w:val="002B637B"/>
    <w:rsid w:val="002C0877"/>
    <w:rsid w:val="002C2AE2"/>
    <w:rsid w:val="002C2B9C"/>
    <w:rsid w:val="002C75F2"/>
    <w:rsid w:val="002D0DCE"/>
    <w:rsid w:val="002D17A7"/>
    <w:rsid w:val="002E2B10"/>
    <w:rsid w:val="002E2CF3"/>
    <w:rsid w:val="002E2EDA"/>
    <w:rsid w:val="002F1502"/>
    <w:rsid w:val="002F169D"/>
    <w:rsid w:val="002F2069"/>
    <w:rsid w:val="002F2F2F"/>
    <w:rsid w:val="002F3D87"/>
    <w:rsid w:val="002F6F92"/>
    <w:rsid w:val="003041AD"/>
    <w:rsid w:val="00312766"/>
    <w:rsid w:val="0031279F"/>
    <w:rsid w:val="00312D63"/>
    <w:rsid w:val="00315598"/>
    <w:rsid w:val="003161B9"/>
    <w:rsid w:val="00316CB3"/>
    <w:rsid w:val="00327D05"/>
    <w:rsid w:val="00335EBD"/>
    <w:rsid w:val="003362E4"/>
    <w:rsid w:val="00336D96"/>
    <w:rsid w:val="003429C3"/>
    <w:rsid w:val="00344F07"/>
    <w:rsid w:val="003469C8"/>
    <w:rsid w:val="00352B48"/>
    <w:rsid w:val="00355EA4"/>
    <w:rsid w:val="00356030"/>
    <w:rsid w:val="00360C9A"/>
    <w:rsid w:val="003635BE"/>
    <w:rsid w:val="0036456B"/>
    <w:rsid w:val="00366B5E"/>
    <w:rsid w:val="00372844"/>
    <w:rsid w:val="00383013"/>
    <w:rsid w:val="0038560A"/>
    <w:rsid w:val="003910D2"/>
    <w:rsid w:val="003C31C9"/>
    <w:rsid w:val="003C3D1C"/>
    <w:rsid w:val="003C4961"/>
    <w:rsid w:val="003C7C5D"/>
    <w:rsid w:val="003D0AD2"/>
    <w:rsid w:val="003E014F"/>
    <w:rsid w:val="003E4383"/>
    <w:rsid w:val="003E4E7D"/>
    <w:rsid w:val="003E5347"/>
    <w:rsid w:val="003E5D57"/>
    <w:rsid w:val="003F5913"/>
    <w:rsid w:val="003F5AA6"/>
    <w:rsid w:val="003F62D6"/>
    <w:rsid w:val="00400C2C"/>
    <w:rsid w:val="004024F8"/>
    <w:rsid w:val="0041159A"/>
    <w:rsid w:val="00414772"/>
    <w:rsid w:val="00420817"/>
    <w:rsid w:val="0042604A"/>
    <w:rsid w:val="004305A8"/>
    <w:rsid w:val="0043150B"/>
    <w:rsid w:val="0043417A"/>
    <w:rsid w:val="00443CA0"/>
    <w:rsid w:val="00450E14"/>
    <w:rsid w:val="00451566"/>
    <w:rsid w:val="00462C65"/>
    <w:rsid w:val="00467B14"/>
    <w:rsid w:val="00474EDA"/>
    <w:rsid w:val="0047536D"/>
    <w:rsid w:val="004824FA"/>
    <w:rsid w:val="004828AE"/>
    <w:rsid w:val="00484011"/>
    <w:rsid w:val="004841F1"/>
    <w:rsid w:val="00487E55"/>
    <w:rsid w:val="00497BC1"/>
    <w:rsid w:val="004A0158"/>
    <w:rsid w:val="004A1E3A"/>
    <w:rsid w:val="004B1D39"/>
    <w:rsid w:val="004B3DAF"/>
    <w:rsid w:val="004B4EB5"/>
    <w:rsid w:val="004C0D8A"/>
    <w:rsid w:val="004C4AEA"/>
    <w:rsid w:val="004D17C2"/>
    <w:rsid w:val="004D67B0"/>
    <w:rsid w:val="004D70EE"/>
    <w:rsid w:val="004E003C"/>
    <w:rsid w:val="004E16EB"/>
    <w:rsid w:val="004E58DA"/>
    <w:rsid w:val="004E6665"/>
    <w:rsid w:val="004F634E"/>
    <w:rsid w:val="004F67A8"/>
    <w:rsid w:val="00500BF5"/>
    <w:rsid w:val="00522A50"/>
    <w:rsid w:val="00527225"/>
    <w:rsid w:val="005300FA"/>
    <w:rsid w:val="0053557D"/>
    <w:rsid w:val="0054408E"/>
    <w:rsid w:val="005463DE"/>
    <w:rsid w:val="00546DC2"/>
    <w:rsid w:val="005542E8"/>
    <w:rsid w:val="00556630"/>
    <w:rsid w:val="0055686D"/>
    <w:rsid w:val="00556C4B"/>
    <w:rsid w:val="005579E2"/>
    <w:rsid w:val="005652EC"/>
    <w:rsid w:val="00571796"/>
    <w:rsid w:val="0057674A"/>
    <w:rsid w:val="005800EE"/>
    <w:rsid w:val="005869D6"/>
    <w:rsid w:val="00593E85"/>
    <w:rsid w:val="005A33F6"/>
    <w:rsid w:val="005A59E5"/>
    <w:rsid w:val="005B4423"/>
    <w:rsid w:val="005B7440"/>
    <w:rsid w:val="005C1598"/>
    <w:rsid w:val="005C6E9D"/>
    <w:rsid w:val="005E2150"/>
    <w:rsid w:val="005E22B1"/>
    <w:rsid w:val="005E2995"/>
    <w:rsid w:val="005E467A"/>
    <w:rsid w:val="005F3ADE"/>
    <w:rsid w:val="005F3FEF"/>
    <w:rsid w:val="00601392"/>
    <w:rsid w:val="00604F3C"/>
    <w:rsid w:val="006075F6"/>
    <w:rsid w:val="00607F7C"/>
    <w:rsid w:val="006102DA"/>
    <w:rsid w:val="006128F3"/>
    <w:rsid w:val="0061551B"/>
    <w:rsid w:val="006161CF"/>
    <w:rsid w:val="00621F93"/>
    <w:rsid w:val="0062608B"/>
    <w:rsid w:val="006315A3"/>
    <w:rsid w:val="00633C0A"/>
    <w:rsid w:val="006379E9"/>
    <w:rsid w:val="00637B55"/>
    <w:rsid w:val="00637CC1"/>
    <w:rsid w:val="006466BA"/>
    <w:rsid w:val="00652B28"/>
    <w:rsid w:val="006579A2"/>
    <w:rsid w:val="00667C89"/>
    <w:rsid w:val="006711EE"/>
    <w:rsid w:val="006809BB"/>
    <w:rsid w:val="006809FD"/>
    <w:rsid w:val="00683C7C"/>
    <w:rsid w:val="00687A21"/>
    <w:rsid w:val="00687C5F"/>
    <w:rsid w:val="00691031"/>
    <w:rsid w:val="00691D1F"/>
    <w:rsid w:val="00692745"/>
    <w:rsid w:val="0069580C"/>
    <w:rsid w:val="00697BAE"/>
    <w:rsid w:val="006A63FD"/>
    <w:rsid w:val="006B4DDC"/>
    <w:rsid w:val="006B5E55"/>
    <w:rsid w:val="006C1771"/>
    <w:rsid w:val="006D1D78"/>
    <w:rsid w:val="006D25A1"/>
    <w:rsid w:val="006D6932"/>
    <w:rsid w:val="006E4BB7"/>
    <w:rsid w:val="006E7B0C"/>
    <w:rsid w:val="006F048C"/>
    <w:rsid w:val="006F23AF"/>
    <w:rsid w:val="006F6856"/>
    <w:rsid w:val="00703448"/>
    <w:rsid w:val="0071190E"/>
    <w:rsid w:val="007145D0"/>
    <w:rsid w:val="00716F94"/>
    <w:rsid w:val="00741578"/>
    <w:rsid w:val="00760E12"/>
    <w:rsid w:val="00763CF3"/>
    <w:rsid w:val="00772293"/>
    <w:rsid w:val="00783A3C"/>
    <w:rsid w:val="00783C75"/>
    <w:rsid w:val="00784619"/>
    <w:rsid w:val="0078627B"/>
    <w:rsid w:val="00787DA7"/>
    <w:rsid w:val="00791A54"/>
    <w:rsid w:val="00794E32"/>
    <w:rsid w:val="00796A22"/>
    <w:rsid w:val="007A304E"/>
    <w:rsid w:val="007B305A"/>
    <w:rsid w:val="007B7682"/>
    <w:rsid w:val="007C066B"/>
    <w:rsid w:val="007C1CB7"/>
    <w:rsid w:val="007E3F71"/>
    <w:rsid w:val="00800993"/>
    <w:rsid w:val="00804AE3"/>
    <w:rsid w:val="00810FBF"/>
    <w:rsid w:val="00815C7D"/>
    <w:rsid w:val="00817941"/>
    <w:rsid w:val="00821C45"/>
    <w:rsid w:val="008261AB"/>
    <w:rsid w:val="00835CA7"/>
    <w:rsid w:val="00835F06"/>
    <w:rsid w:val="008370D4"/>
    <w:rsid w:val="008414AD"/>
    <w:rsid w:val="00841716"/>
    <w:rsid w:val="008428D9"/>
    <w:rsid w:val="00850D83"/>
    <w:rsid w:val="00857F85"/>
    <w:rsid w:val="008620BB"/>
    <w:rsid w:val="00865573"/>
    <w:rsid w:val="008759F6"/>
    <w:rsid w:val="00876B98"/>
    <w:rsid w:val="00884DB9"/>
    <w:rsid w:val="0089676F"/>
    <w:rsid w:val="00896A7A"/>
    <w:rsid w:val="008970BF"/>
    <w:rsid w:val="008C3339"/>
    <w:rsid w:val="008C67D2"/>
    <w:rsid w:val="008D71C9"/>
    <w:rsid w:val="008E0683"/>
    <w:rsid w:val="008F6AB5"/>
    <w:rsid w:val="00902DD9"/>
    <w:rsid w:val="00910621"/>
    <w:rsid w:val="00911466"/>
    <w:rsid w:val="00911486"/>
    <w:rsid w:val="009129CA"/>
    <w:rsid w:val="009206B6"/>
    <w:rsid w:val="00923CD5"/>
    <w:rsid w:val="009263C1"/>
    <w:rsid w:val="00931C02"/>
    <w:rsid w:val="00935FFD"/>
    <w:rsid w:val="00941B4F"/>
    <w:rsid w:val="00963CE3"/>
    <w:rsid w:val="00964F18"/>
    <w:rsid w:val="0097039F"/>
    <w:rsid w:val="00974424"/>
    <w:rsid w:val="009744A3"/>
    <w:rsid w:val="009759F3"/>
    <w:rsid w:val="00987F76"/>
    <w:rsid w:val="00991BF9"/>
    <w:rsid w:val="00993088"/>
    <w:rsid w:val="0099664F"/>
    <w:rsid w:val="00997199"/>
    <w:rsid w:val="00997D5D"/>
    <w:rsid w:val="009A0447"/>
    <w:rsid w:val="009A5580"/>
    <w:rsid w:val="009A619F"/>
    <w:rsid w:val="009B034F"/>
    <w:rsid w:val="009B4A51"/>
    <w:rsid w:val="009B4FA1"/>
    <w:rsid w:val="009C111C"/>
    <w:rsid w:val="009C28B1"/>
    <w:rsid w:val="009C61AD"/>
    <w:rsid w:val="009C6926"/>
    <w:rsid w:val="009D1640"/>
    <w:rsid w:val="009D373D"/>
    <w:rsid w:val="009D77CD"/>
    <w:rsid w:val="009E1D05"/>
    <w:rsid w:val="009F7283"/>
    <w:rsid w:val="009F795C"/>
    <w:rsid w:val="00A00C86"/>
    <w:rsid w:val="00A05D0B"/>
    <w:rsid w:val="00A11B0C"/>
    <w:rsid w:val="00A17B41"/>
    <w:rsid w:val="00A305CE"/>
    <w:rsid w:val="00A33B35"/>
    <w:rsid w:val="00A36419"/>
    <w:rsid w:val="00A376DA"/>
    <w:rsid w:val="00A37AE0"/>
    <w:rsid w:val="00A578C2"/>
    <w:rsid w:val="00A62720"/>
    <w:rsid w:val="00A65F22"/>
    <w:rsid w:val="00A70EBC"/>
    <w:rsid w:val="00A72652"/>
    <w:rsid w:val="00A72FE9"/>
    <w:rsid w:val="00A743FB"/>
    <w:rsid w:val="00A75D1C"/>
    <w:rsid w:val="00A809AA"/>
    <w:rsid w:val="00A81BF7"/>
    <w:rsid w:val="00A849B3"/>
    <w:rsid w:val="00A8510D"/>
    <w:rsid w:val="00A86AF3"/>
    <w:rsid w:val="00A90BDC"/>
    <w:rsid w:val="00A95477"/>
    <w:rsid w:val="00A975A9"/>
    <w:rsid w:val="00AA3192"/>
    <w:rsid w:val="00AB3608"/>
    <w:rsid w:val="00AB648F"/>
    <w:rsid w:val="00AB7C9C"/>
    <w:rsid w:val="00AC5C48"/>
    <w:rsid w:val="00AD6999"/>
    <w:rsid w:val="00AE1E1B"/>
    <w:rsid w:val="00AF0CF4"/>
    <w:rsid w:val="00AF2252"/>
    <w:rsid w:val="00AF6C36"/>
    <w:rsid w:val="00B053D8"/>
    <w:rsid w:val="00B05502"/>
    <w:rsid w:val="00B1129F"/>
    <w:rsid w:val="00B11D61"/>
    <w:rsid w:val="00B12F51"/>
    <w:rsid w:val="00B145B0"/>
    <w:rsid w:val="00B21DA3"/>
    <w:rsid w:val="00B24DB8"/>
    <w:rsid w:val="00B2751E"/>
    <w:rsid w:val="00B3650C"/>
    <w:rsid w:val="00B378E3"/>
    <w:rsid w:val="00B42FFE"/>
    <w:rsid w:val="00B460B8"/>
    <w:rsid w:val="00B50A2B"/>
    <w:rsid w:val="00B61591"/>
    <w:rsid w:val="00B64140"/>
    <w:rsid w:val="00B64BFA"/>
    <w:rsid w:val="00B65C38"/>
    <w:rsid w:val="00B8216F"/>
    <w:rsid w:val="00B853F1"/>
    <w:rsid w:val="00B85DE4"/>
    <w:rsid w:val="00B8656C"/>
    <w:rsid w:val="00B87566"/>
    <w:rsid w:val="00B901C1"/>
    <w:rsid w:val="00B90D81"/>
    <w:rsid w:val="00B91A31"/>
    <w:rsid w:val="00B952CE"/>
    <w:rsid w:val="00B95372"/>
    <w:rsid w:val="00B96B07"/>
    <w:rsid w:val="00BA6DB4"/>
    <w:rsid w:val="00BC016A"/>
    <w:rsid w:val="00BC3F3C"/>
    <w:rsid w:val="00BC5BB2"/>
    <w:rsid w:val="00BC6896"/>
    <w:rsid w:val="00BD68E3"/>
    <w:rsid w:val="00BF3F54"/>
    <w:rsid w:val="00C00697"/>
    <w:rsid w:val="00C0376C"/>
    <w:rsid w:val="00C06D77"/>
    <w:rsid w:val="00C06E7F"/>
    <w:rsid w:val="00C14BA6"/>
    <w:rsid w:val="00C347E7"/>
    <w:rsid w:val="00C3485C"/>
    <w:rsid w:val="00C41ADD"/>
    <w:rsid w:val="00C420D4"/>
    <w:rsid w:val="00C43DAD"/>
    <w:rsid w:val="00C47C20"/>
    <w:rsid w:val="00C71C6A"/>
    <w:rsid w:val="00C73B6A"/>
    <w:rsid w:val="00C74E67"/>
    <w:rsid w:val="00C84DC3"/>
    <w:rsid w:val="00C929A3"/>
    <w:rsid w:val="00CA2004"/>
    <w:rsid w:val="00CB334D"/>
    <w:rsid w:val="00CB56D5"/>
    <w:rsid w:val="00CC0BCE"/>
    <w:rsid w:val="00CC6049"/>
    <w:rsid w:val="00CD0771"/>
    <w:rsid w:val="00CD15F9"/>
    <w:rsid w:val="00CD1EA8"/>
    <w:rsid w:val="00CF0CE8"/>
    <w:rsid w:val="00CF0E10"/>
    <w:rsid w:val="00CF5ABD"/>
    <w:rsid w:val="00CF63CE"/>
    <w:rsid w:val="00D067C1"/>
    <w:rsid w:val="00D13B13"/>
    <w:rsid w:val="00D16E78"/>
    <w:rsid w:val="00D201D3"/>
    <w:rsid w:val="00D24BCF"/>
    <w:rsid w:val="00D26A64"/>
    <w:rsid w:val="00D328FA"/>
    <w:rsid w:val="00D33BF9"/>
    <w:rsid w:val="00D40121"/>
    <w:rsid w:val="00D4221A"/>
    <w:rsid w:val="00D52B9A"/>
    <w:rsid w:val="00D5367E"/>
    <w:rsid w:val="00D54843"/>
    <w:rsid w:val="00D57C7E"/>
    <w:rsid w:val="00D67AED"/>
    <w:rsid w:val="00D724CC"/>
    <w:rsid w:val="00D7285C"/>
    <w:rsid w:val="00D769AA"/>
    <w:rsid w:val="00D77D27"/>
    <w:rsid w:val="00D852D5"/>
    <w:rsid w:val="00D85728"/>
    <w:rsid w:val="00D861ED"/>
    <w:rsid w:val="00D873E0"/>
    <w:rsid w:val="00D90E17"/>
    <w:rsid w:val="00D94F8B"/>
    <w:rsid w:val="00DA147A"/>
    <w:rsid w:val="00DA4EA9"/>
    <w:rsid w:val="00DA5988"/>
    <w:rsid w:val="00DB6483"/>
    <w:rsid w:val="00DC317C"/>
    <w:rsid w:val="00DC4FF2"/>
    <w:rsid w:val="00DC79CC"/>
    <w:rsid w:val="00DE2D45"/>
    <w:rsid w:val="00E134F4"/>
    <w:rsid w:val="00E23568"/>
    <w:rsid w:val="00E245B5"/>
    <w:rsid w:val="00E24C20"/>
    <w:rsid w:val="00E33BBA"/>
    <w:rsid w:val="00E33E1B"/>
    <w:rsid w:val="00E344CC"/>
    <w:rsid w:val="00E34D3E"/>
    <w:rsid w:val="00E42F3A"/>
    <w:rsid w:val="00E50BBD"/>
    <w:rsid w:val="00E71B7C"/>
    <w:rsid w:val="00E75D17"/>
    <w:rsid w:val="00E81C5E"/>
    <w:rsid w:val="00E83B3C"/>
    <w:rsid w:val="00E84C26"/>
    <w:rsid w:val="00E8736B"/>
    <w:rsid w:val="00E90275"/>
    <w:rsid w:val="00E925D4"/>
    <w:rsid w:val="00E97226"/>
    <w:rsid w:val="00EA1CCB"/>
    <w:rsid w:val="00EB63B3"/>
    <w:rsid w:val="00EC45F0"/>
    <w:rsid w:val="00ED5407"/>
    <w:rsid w:val="00ED6878"/>
    <w:rsid w:val="00EE18BA"/>
    <w:rsid w:val="00EE1C1D"/>
    <w:rsid w:val="00EF0EC8"/>
    <w:rsid w:val="00EF33CD"/>
    <w:rsid w:val="00F15E7F"/>
    <w:rsid w:val="00F2267A"/>
    <w:rsid w:val="00F268B5"/>
    <w:rsid w:val="00F27049"/>
    <w:rsid w:val="00F271C6"/>
    <w:rsid w:val="00F300CB"/>
    <w:rsid w:val="00F31E61"/>
    <w:rsid w:val="00F42C3A"/>
    <w:rsid w:val="00F52BCC"/>
    <w:rsid w:val="00F5313F"/>
    <w:rsid w:val="00F57581"/>
    <w:rsid w:val="00F619A0"/>
    <w:rsid w:val="00F66CAE"/>
    <w:rsid w:val="00F725B5"/>
    <w:rsid w:val="00F81A48"/>
    <w:rsid w:val="00F87EFD"/>
    <w:rsid w:val="00FA6A32"/>
    <w:rsid w:val="00FB1DB3"/>
    <w:rsid w:val="00FC33AF"/>
    <w:rsid w:val="00FC5B1F"/>
    <w:rsid w:val="00FD17C9"/>
    <w:rsid w:val="00FD1EF0"/>
    <w:rsid w:val="00FD2A5B"/>
    <w:rsid w:val="00FD632C"/>
    <w:rsid w:val="00FE0E1C"/>
    <w:rsid w:val="00FE6A5C"/>
    <w:rsid w:val="00FF71ED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F33EC77"/>
  <w15:docId w15:val="{4FA50FC0-3EA3-492C-827B-4D62CB6A1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896"/>
    <w:pPr>
      <w:spacing w:after="0"/>
      <w:ind w:left="720"/>
    </w:pPr>
    <w:rPr>
      <w:rFonts w:asciiTheme="majorHAnsi" w:hAnsiTheme="maj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6896"/>
    <w:pPr>
      <w:ind w:left="0"/>
      <w:jc w:val="center"/>
      <w:outlineLvl w:val="0"/>
    </w:pPr>
    <w:rPr>
      <w:b/>
      <w:sz w:val="40"/>
    </w:rPr>
  </w:style>
  <w:style w:type="paragraph" w:styleId="Heading2">
    <w:name w:val="heading 2"/>
    <w:basedOn w:val="Normal"/>
    <w:link w:val="Heading2Char"/>
    <w:uiPriority w:val="9"/>
    <w:qFormat/>
    <w:rsid w:val="00BC6896"/>
    <w:pPr>
      <w:ind w:left="0"/>
      <w:jc w:val="center"/>
      <w:outlineLvl w:val="1"/>
    </w:pPr>
    <w:rPr>
      <w:b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6896"/>
    <w:pPr>
      <w:ind w:left="0"/>
      <w:outlineLvl w:val="2"/>
    </w:pPr>
    <w:rPr>
      <w:b/>
      <w:sz w:val="28"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991BF9"/>
    <w:pPr>
      <w:numPr>
        <w:numId w:val="3"/>
      </w:numPr>
      <w:spacing w:after="120"/>
      <w:ind w:left="36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F9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F94"/>
  </w:style>
  <w:style w:type="paragraph" w:styleId="Footer">
    <w:name w:val="footer"/>
    <w:basedOn w:val="Normal"/>
    <w:link w:val="FooterChar"/>
    <w:uiPriority w:val="99"/>
    <w:unhideWhenUsed/>
    <w:rsid w:val="00716F9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F94"/>
  </w:style>
  <w:style w:type="character" w:styleId="Hyperlink">
    <w:name w:val="Hyperlink"/>
    <w:basedOn w:val="DefaultParagraphFont"/>
    <w:uiPriority w:val="99"/>
    <w:unhideWhenUsed/>
    <w:rsid w:val="00716F9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E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E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2F51"/>
    <w:pPr>
      <w:contextualSpacing/>
    </w:pPr>
  </w:style>
  <w:style w:type="table" w:styleId="TableGrid">
    <w:name w:val="Table Grid"/>
    <w:basedOn w:val="TableNormal"/>
    <w:uiPriority w:val="59"/>
    <w:rsid w:val="00BC5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31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89">
    <w:name w:val="CM89"/>
    <w:basedOn w:val="Default"/>
    <w:next w:val="Default"/>
    <w:uiPriority w:val="99"/>
    <w:rsid w:val="003C31C9"/>
    <w:rPr>
      <w:color w:val="auto"/>
    </w:rPr>
  </w:style>
  <w:style w:type="character" w:customStyle="1" w:styleId="Heading2Char">
    <w:name w:val="Heading 2 Char"/>
    <w:basedOn w:val="DefaultParagraphFont"/>
    <w:link w:val="Heading2"/>
    <w:uiPriority w:val="9"/>
    <w:rsid w:val="00BC6896"/>
    <w:rPr>
      <w:rFonts w:asciiTheme="majorHAnsi" w:hAnsiTheme="majorHAnsi"/>
      <w:b/>
      <w:sz w:val="32"/>
    </w:rPr>
  </w:style>
  <w:style w:type="paragraph" w:customStyle="1" w:styleId="B1BodyCopy">
    <w:name w:val="B1 Body Copy"/>
    <w:basedOn w:val="Normal"/>
    <w:qFormat/>
    <w:rsid w:val="009C61AD"/>
    <w:rPr>
      <w:rFonts w:ascii="Myriad Pro" w:eastAsia="Calibri" w:hAnsi="Myriad Pro" w:cs="Times New Roman"/>
      <w:color w:val="1F497D"/>
    </w:rPr>
  </w:style>
  <w:style w:type="paragraph" w:styleId="NormalWeb">
    <w:name w:val="Normal (Web)"/>
    <w:basedOn w:val="Normal"/>
    <w:uiPriority w:val="99"/>
    <w:semiHidden/>
    <w:unhideWhenUsed/>
    <w:rsid w:val="0016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6F9E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725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25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25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25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25B5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C6896"/>
    <w:rPr>
      <w:rFonts w:asciiTheme="majorHAnsi" w:hAnsiTheme="majorHAnsi"/>
      <w:b/>
      <w:sz w:val="40"/>
    </w:rPr>
  </w:style>
  <w:style w:type="character" w:customStyle="1" w:styleId="Heading3Char">
    <w:name w:val="Heading 3 Char"/>
    <w:basedOn w:val="DefaultParagraphFont"/>
    <w:link w:val="Heading3"/>
    <w:uiPriority w:val="9"/>
    <w:rsid w:val="00BC6896"/>
    <w:rPr>
      <w:rFonts w:asciiTheme="majorHAnsi" w:hAnsiTheme="majorHAnsi"/>
      <w:b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91BF9"/>
    <w:rPr>
      <w:rFonts w:asciiTheme="majorHAnsi" w:hAnsiTheme="majorHAnsi"/>
      <w:b/>
      <w:bCs/>
    </w:rPr>
  </w:style>
  <w:style w:type="paragraph" w:styleId="Revision">
    <w:name w:val="Revision"/>
    <w:hidden/>
    <w:uiPriority w:val="99"/>
    <w:semiHidden/>
    <w:rsid w:val="00991BF9"/>
    <w:pPr>
      <w:spacing w:after="0" w:line="240" w:lineRule="auto"/>
    </w:pPr>
    <w:rPr>
      <w:rFonts w:asciiTheme="majorHAnsi" w:hAnsiTheme="majorHAnsi"/>
    </w:rPr>
  </w:style>
  <w:style w:type="character" w:styleId="FollowedHyperlink">
    <w:name w:val="FollowedHyperlink"/>
    <w:basedOn w:val="DefaultParagraphFont"/>
    <w:uiPriority w:val="99"/>
    <w:semiHidden/>
    <w:unhideWhenUsed/>
    <w:rsid w:val="00991BF9"/>
    <w:rPr>
      <w:color w:val="800080" w:themeColor="followed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245F1F"/>
    <w:pPr>
      <w:tabs>
        <w:tab w:val="left" w:pos="660"/>
        <w:tab w:val="right" w:leader="dot" w:pos="9350"/>
      </w:tabs>
      <w:spacing w:after="100"/>
      <w:ind w:left="630" w:hanging="410"/>
    </w:pPr>
  </w:style>
  <w:style w:type="paragraph" w:styleId="TOC1">
    <w:name w:val="toc 1"/>
    <w:basedOn w:val="Normal"/>
    <w:next w:val="Normal"/>
    <w:autoRedefine/>
    <w:uiPriority w:val="39"/>
    <w:unhideWhenUsed/>
    <w:rsid w:val="00245F1F"/>
    <w:pPr>
      <w:spacing w:after="100"/>
      <w:ind w:left="0"/>
    </w:pPr>
  </w:style>
  <w:style w:type="character" w:styleId="UnresolvedMention">
    <w:name w:val="Unresolved Mention"/>
    <w:basedOn w:val="DefaultParagraphFont"/>
    <w:uiPriority w:val="99"/>
    <w:semiHidden/>
    <w:unhideWhenUsed/>
    <w:rsid w:val="00B953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62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FV1@cdc.gov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wsk9@cdc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y2@cdc.go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D8EE5-73CD-4496-B455-80842C6F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1559</Words>
  <Characters>8889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10428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khx2</dc:creator>
  <cp:lastModifiedBy>Anderson, Brittany (CDC/DDPHSIS/CSTLTS/OD)</cp:lastModifiedBy>
  <cp:revision>6</cp:revision>
  <cp:lastPrinted>2011-06-07T15:53:00Z</cp:lastPrinted>
  <dcterms:created xsi:type="dcterms:W3CDTF">2021-02-24T14:58:00Z</dcterms:created>
  <dcterms:modified xsi:type="dcterms:W3CDTF">2021-03-08T16:54:00Z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2020-12-21T18:41:41Z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4971925c-4efb-4075-9a60-3d7fbab41595</vt:lpwstr>
  </property>
  <property fmtid="{D5CDD505-2E9C-101B-9397-08002B2CF9AE}" pid="8" name="MSIP_Label_7b94a7b8-f06c-4dfe-bdcc-9b548fd58c31_ContentBits">
    <vt:lpwstr>0</vt:lpwstr>
  </property>
</Properties>
</file>