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E7" w:rsidP="002B2BE7" w:rsidRDefault="002B2BE7" w14:paraId="1E8B59E9" w14:textId="77777777">
      <w:pPr>
        <w:jc w:val="center"/>
        <w:rPr>
          <w:b/>
        </w:rPr>
      </w:pPr>
      <w:r>
        <w:rPr>
          <w:b/>
        </w:rPr>
        <w:t>Change Memo for</w:t>
      </w:r>
    </w:p>
    <w:p w:rsidRPr="00C61FA5" w:rsidR="002B2BE7" w:rsidP="00F569EF" w:rsidRDefault="002B2BE7" w14:paraId="51570DC4" w14:textId="2E8AC1DF">
      <w:pPr>
        <w:autoSpaceDE w:val="0"/>
        <w:autoSpaceDN w:val="0"/>
        <w:adjustRightInd w:val="0"/>
        <w:jc w:val="center"/>
        <w:rPr>
          <w:b/>
        </w:rPr>
      </w:pPr>
      <w:r w:rsidRPr="00F82185">
        <w:rPr>
          <w:bCs/>
        </w:rPr>
        <w:t>“</w:t>
      </w:r>
      <w:r w:rsidR="00FE0C54">
        <w:rPr>
          <w:rFonts w:eastAsiaTheme="minorHAnsi"/>
          <w:bCs/>
        </w:rPr>
        <w:t>Emerging Infections Program</w:t>
      </w:r>
      <w:r w:rsidRPr="00F82185">
        <w:rPr>
          <w:bCs/>
        </w:rPr>
        <w:t>”</w:t>
      </w:r>
    </w:p>
    <w:p w:rsidRPr="00C61FA5" w:rsidR="002B2BE7" w:rsidP="002B2BE7" w:rsidRDefault="002B2BE7" w14:paraId="13B8078D" w14:textId="1C3C62FA">
      <w:pPr>
        <w:jc w:val="center"/>
        <w:rPr>
          <w:b/>
        </w:rPr>
      </w:pPr>
      <w:r w:rsidRPr="00C61FA5">
        <w:rPr>
          <w:b/>
        </w:rPr>
        <w:t>(OMB Control No. 0920-</w:t>
      </w:r>
      <w:r w:rsidR="00FE0C54">
        <w:rPr>
          <w:b/>
        </w:rPr>
        <w:t>0978</w:t>
      </w:r>
      <w:r w:rsidRPr="00C61FA5">
        <w:rPr>
          <w:b/>
        </w:rPr>
        <w:t>)</w:t>
      </w:r>
    </w:p>
    <w:p w:rsidR="002B2BE7" w:rsidP="002B2BE7" w:rsidRDefault="002B2BE7" w14:paraId="16065C8E" w14:textId="4F418766">
      <w:pPr>
        <w:jc w:val="center"/>
        <w:rPr>
          <w:b/>
        </w:rPr>
      </w:pPr>
      <w:r>
        <w:rPr>
          <w:b/>
        </w:rPr>
        <w:t xml:space="preserve">Expiration Date: </w:t>
      </w:r>
      <w:r w:rsidR="00FE0C54">
        <w:rPr>
          <w:b/>
        </w:rPr>
        <w:t>04</w:t>
      </w:r>
      <w:r>
        <w:rPr>
          <w:b/>
        </w:rPr>
        <w:t>/30/</w:t>
      </w:r>
      <w:r w:rsidR="00FE0C54">
        <w:rPr>
          <w:b/>
        </w:rPr>
        <w:t>2022</w:t>
      </w:r>
    </w:p>
    <w:p w:rsidR="002B2BE7" w:rsidP="002B2BE7" w:rsidRDefault="002B2BE7" w14:paraId="0D196D22" w14:textId="77777777">
      <w:pPr>
        <w:jc w:val="center"/>
        <w:rPr>
          <w:b/>
        </w:rPr>
      </w:pPr>
    </w:p>
    <w:p w:rsidR="002B2BE7" w:rsidP="002B2BE7" w:rsidRDefault="002B2BE7" w14:paraId="237C7803" w14:textId="77777777">
      <w:pPr>
        <w:jc w:val="center"/>
        <w:rPr>
          <w:b/>
        </w:rPr>
      </w:pPr>
    </w:p>
    <w:p w:rsidR="002B2BE7" w:rsidP="002B2BE7" w:rsidRDefault="002B2BE7" w14:paraId="7914C994" w14:textId="77777777">
      <w:pPr>
        <w:jc w:val="center"/>
        <w:rPr>
          <w:b/>
        </w:rPr>
      </w:pPr>
    </w:p>
    <w:p w:rsidR="002B2BE7" w:rsidP="002B2BE7" w:rsidRDefault="002B2BE7" w14:paraId="2D861F57" w14:textId="77777777">
      <w:pPr>
        <w:jc w:val="center"/>
        <w:rPr>
          <w:b/>
        </w:rPr>
      </w:pPr>
    </w:p>
    <w:p w:rsidR="002B2BE7" w:rsidP="002B2BE7" w:rsidRDefault="002B2BE7" w14:paraId="0D6D07BA" w14:textId="77777777">
      <w:pPr>
        <w:jc w:val="center"/>
        <w:rPr>
          <w:b/>
        </w:rPr>
      </w:pPr>
    </w:p>
    <w:p w:rsidR="002B2BE7" w:rsidP="002B2BE7" w:rsidRDefault="002B2BE7" w14:paraId="2ACE2A1C" w14:textId="77777777">
      <w:pPr>
        <w:jc w:val="center"/>
        <w:rPr>
          <w:b/>
        </w:rPr>
      </w:pPr>
    </w:p>
    <w:p w:rsidR="002B2BE7" w:rsidP="002B2BE7" w:rsidRDefault="002B2BE7" w14:paraId="42324F36" w14:textId="77777777">
      <w:pPr>
        <w:jc w:val="center"/>
        <w:rPr>
          <w:b/>
        </w:rPr>
      </w:pPr>
    </w:p>
    <w:p w:rsidR="002B2BE7" w:rsidP="002B2BE7" w:rsidRDefault="002B2BE7" w14:paraId="1F1598B2" w14:textId="77777777">
      <w:pPr>
        <w:jc w:val="center"/>
        <w:rPr>
          <w:b/>
        </w:rPr>
      </w:pPr>
    </w:p>
    <w:p w:rsidR="002B2BE7" w:rsidP="002B2BE7" w:rsidRDefault="002B2BE7" w14:paraId="1A8FA27C" w14:textId="77777777">
      <w:pPr>
        <w:jc w:val="center"/>
        <w:rPr>
          <w:b/>
        </w:rPr>
      </w:pPr>
    </w:p>
    <w:p w:rsidR="002B2BE7" w:rsidP="002B2BE7" w:rsidRDefault="002B2BE7" w14:paraId="13591CE8" w14:textId="77777777">
      <w:pPr>
        <w:jc w:val="center"/>
        <w:rPr>
          <w:b/>
        </w:rPr>
      </w:pPr>
    </w:p>
    <w:p w:rsidR="002B2BE7" w:rsidP="002B2BE7" w:rsidRDefault="002B2BE7" w14:paraId="5CB6AA0D" w14:textId="77777777">
      <w:pPr>
        <w:jc w:val="center"/>
        <w:rPr>
          <w:b/>
        </w:rPr>
      </w:pPr>
    </w:p>
    <w:p w:rsidR="002B2BE7" w:rsidP="002B2BE7" w:rsidRDefault="002B2BE7" w14:paraId="66A69048" w14:textId="77777777">
      <w:pPr>
        <w:jc w:val="center"/>
        <w:rPr>
          <w:b/>
        </w:rPr>
      </w:pPr>
    </w:p>
    <w:p w:rsidR="002B2BE7" w:rsidP="002B2BE7" w:rsidRDefault="002B2BE7" w14:paraId="1EFA1903" w14:textId="77777777">
      <w:pPr>
        <w:jc w:val="center"/>
        <w:rPr>
          <w:b/>
        </w:rPr>
      </w:pPr>
    </w:p>
    <w:p w:rsidR="002B2BE7" w:rsidP="002B2BE7" w:rsidRDefault="002B2BE7" w14:paraId="7B9E4F6B" w14:textId="77777777">
      <w:pPr>
        <w:jc w:val="center"/>
        <w:rPr>
          <w:b/>
        </w:rPr>
      </w:pPr>
    </w:p>
    <w:p w:rsidR="002B2BE7" w:rsidP="002B2BE7" w:rsidRDefault="002B2BE7" w14:paraId="0359B915" w14:textId="77777777">
      <w:pPr>
        <w:jc w:val="center"/>
        <w:rPr>
          <w:b/>
        </w:rPr>
      </w:pPr>
    </w:p>
    <w:p w:rsidR="002B2BE7" w:rsidP="002B2BE7" w:rsidRDefault="002B2BE7" w14:paraId="241DFBD3" w14:textId="77777777">
      <w:pPr>
        <w:jc w:val="center"/>
        <w:rPr>
          <w:b/>
        </w:rPr>
      </w:pPr>
    </w:p>
    <w:p w:rsidR="002B2BE7" w:rsidP="002B2BE7" w:rsidRDefault="002B2BE7" w14:paraId="2D52930A" w14:textId="77777777">
      <w:pPr>
        <w:jc w:val="center"/>
        <w:rPr>
          <w:b/>
        </w:rPr>
      </w:pPr>
    </w:p>
    <w:p w:rsidR="002B2BE7" w:rsidP="002B2BE7" w:rsidRDefault="002B2BE7" w14:paraId="53DFA1C0" w14:textId="77777777">
      <w:pPr>
        <w:jc w:val="center"/>
        <w:rPr>
          <w:b/>
        </w:rPr>
      </w:pPr>
    </w:p>
    <w:p w:rsidR="002B2BE7" w:rsidP="002B2BE7" w:rsidRDefault="002B2BE7" w14:paraId="454D28A7" w14:textId="77777777">
      <w:pPr>
        <w:jc w:val="center"/>
        <w:rPr>
          <w:b/>
        </w:rPr>
      </w:pPr>
    </w:p>
    <w:p w:rsidR="002B2BE7" w:rsidP="002B2BE7" w:rsidRDefault="002B2BE7" w14:paraId="3C1D69B5" w14:textId="77777777">
      <w:pPr>
        <w:jc w:val="center"/>
        <w:rPr>
          <w:b/>
        </w:rPr>
      </w:pPr>
    </w:p>
    <w:p w:rsidR="002B2BE7" w:rsidP="002B2BE7" w:rsidRDefault="002B2BE7" w14:paraId="4F6D12D4" w14:textId="77777777">
      <w:pPr>
        <w:jc w:val="center"/>
        <w:rPr>
          <w:b/>
        </w:rPr>
      </w:pPr>
    </w:p>
    <w:p w:rsidR="002B2BE7" w:rsidP="002B2BE7" w:rsidRDefault="002B2BE7" w14:paraId="26783332" w14:textId="77777777">
      <w:pPr>
        <w:jc w:val="center"/>
        <w:rPr>
          <w:b/>
        </w:rPr>
      </w:pPr>
    </w:p>
    <w:p w:rsidR="002B2BE7" w:rsidP="002B2BE7" w:rsidRDefault="002B2BE7" w14:paraId="6C50D962" w14:textId="77777777">
      <w:pPr>
        <w:jc w:val="center"/>
        <w:rPr>
          <w:b/>
        </w:rPr>
      </w:pPr>
    </w:p>
    <w:p w:rsidR="002B2BE7" w:rsidP="002B2BE7" w:rsidRDefault="002B2BE7" w14:paraId="74B064BB" w14:textId="77777777">
      <w:pPr>
        <w:jc w:val="center"/>
        <w:rPr>
          <w:b/>
        </w:rPr>
      </w:pPr>
    </w:p>
    <w:p w:rsidR="002B2BE7" w:rsidP="002B2BE7" w:rsidRDefault="002B2BE7" w14:paraId="2E155BF0" w14:textId="77777777">
      <w:pPr>
        <w:jc w:val="center"/>
        <w:rPr>
          <w:b/>
        </w:rPr>
      </w:pPr>
    </w:p>
    <w:p w:rsidR="002B2BE7" w:rsidP="002B2BE7" w:rsidRDefault="002B2BE7" w14:paraId="0474BF5D" w14:textId="77777777">
      <w:pPr>
        <w:jc w:val="center"/>
        <w:rPr>
          <w:b/>
        </w:rPr>
      </w:pPr>
    </w:p>
    <w:p w:rsidR="002B2BE7" w:rsidP="002B2BE7" w:rsidRDefault="002B2BE7" w14:paraId="0DDDF69B" w14:textId="77777777">
      <w:pPr>
        <w:jc w:val="center"/>
        <w:rPr>
          <w:b/>
        </w:rPr>
      </w:pPr>
    </w:p>
    <w:p w:rsidR="002B2BE7" w:rsidP="002B2BE7" w:rsidRDefault="002B2BE7" w14:paraId="174A450B" w14:textId="77777777">
      <w:pPr>
        <w:jc w:val="center"/>
        <w:rPr>
          <w:b/>
        </w:rPr>
      </w:pPr>
    </w:p>
    <w:p w:rsidR="002B2BE7" w:rsidP="002B2BE7" w:rsidRDefault="002B2BE7" w14:paraId="17477B55" w14:textId="77777777">
      <w:pPr>
        <w:jc w:val="center"/>
        <w:rPr>
          <w:b/>
        </w:rPr>
      </w:pPr>
    </w:p>
    <w:p w:rsidR="002B2BE7" w:rsidP="002B2BE7" w:rsidRDefault="002B2BE7" w14:paraId="2C533888" w14:textId="77777777">
      <w:pPr>
        <w:jc w:val="center"/>
        <w:rPr>
          <w:b/>
        </w:rPr>
      </w:pPr>
    </w:p>
    <w:p w:rsidRPr="000C5EF1" w:rsidR="002B2BE7" w:rsidP="002B2BE7" w:rsidRDefault="002B2BE7" w14:paraId="0FAC8C4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2B2BE7" w:rsidP="002B2BE7" w:rsidRDefault="002B2BE7" w14:paraId="698E559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FE0C54" w:rsidP="00FE0C54" w:rsidRDefault="00FE0C54" w14:paraId="57502075" w14:textId="77777777">
      <w:pPr>
        <w:rPr>
          <w:rFonts w:eastAsia="Calibri"/>
        </w:rPr>
      </w:pPr>
      <w:r>
        <w:rPr>
          <w:rFonts w:eastAsia="Calibri"/>
        </w:rPr>
        <w:t>Sonja Mali Nti-Berko</w:t>
      </w:r>
    </w:p>
    <w:p w:rsidRPr="007A27F1" w:rsidR="00FE0C54" w:rsidP="00FE0C54" w:rsidRDefault="00FE0C54" w14:paraId="37FA008C" w14:textId="77777777">
      <w:pPr>
        <w:rPr>
          <w:rFonts w:eastAsia="Calibri"/>
        </w:rPr>
      </w:pPr>
      <w:r>
        <w:rPr>
          <w:rFonts w:eastAsia="Calibri"/>
        </w:rPr>
        <w:t>Emerging Infections Programs (EIP)</w:t>
      </w:r>
    </w:p>
    <w:p w:rsidRPr="007A27F1" w:rsidR="00FE0C54" w:rsidP="00FE0C54" w:rsidRDefault="00FE0C54" w14:paraId="0CF3BEBF" w14:textId="77777777">
      <w:pPr>
        <w:rPr>
          <w:rFonts w:eastAsia="Calibri"/>
        </w:rPr>
      </w:pPr>
      <w:r w:rsidRPr="007A27F1">
        <w:rPr>
          <w:rFonts w:eastAsia="Calibri"/>
        </w:rPr>
        <w:t xml:space="preserve">Division of </w:t>
      </w:r>
      <w:r>
        <w:rPr>
          <w:rFonts w:eastAsia="Calibri"/>
        </w:rPr>
        <w:t>Preparedness and Emerging Infections</w:t>
      </w:r>
    </w:p>
    <w:p w:rsidRPr="007A27F1" w:rsidR="00FE0C54" w:rsidP="00FE0C54" w:rsidRDefault="00FE0C54" w14:paraId="7DE96E97" w14:textId="77777777">
      <w:pPr>
        <w:rPr>
          <w:rFonts w:eastAsia="Calibri"/>
        </w:rPr>
      </w:pPr>
      <w:r>
        <w:rPr>
          <w:rFonts w:eastAsia="Calibri"/>
        </w:rPr>
        <w:t>National Center for Emerging and Zoonotic Infectious Diseases</w:t>
      </w:r>
    </w:p>
    <w:p w:rsidRPr="007A27F1" w:rsidR="00FE0C54" w:rsidP="00FE0C54" w:rsidRDefault="00FE0C54" w14:paraId="7F448273" w14:textId="77777777">
      <w:pPr>
        <w:rPr>
          <w:rFonts w:eastAsia="Calibri"/>
        </w:rPr>
      </w:pPr>
      <w:r w:rsidRPr="007A27F1">
        <w:rPr>
          <w:rFonts w:eastAsia="Calibri"/>
        </w:rPr>
        <w:t>Centers for Disease Control and Prevention</w:t>
      </w:r>
    </w:p>
    <w:p w:rsidRPr="007A27F1" w:rsidR="00FE0C54" w:rsidP="00FE0C54" w:rsidRDefault="00FE0C54" w14:paraId="024D6FB1" w14:textId="77777777">
      <w:pPr>
        <w:rPr>
          <w:rFonts w:eastAsia="Calibri"/>
        </w:rPr>
      </w:pPr>
      <w:r>
        <w:rPr>
          <w:rFonts w:eastAsia="Calibri"/>
        </w:rPr>
        <w:t>1600 Clifton Rd, MS-C18</w:t>
      </w:r>
    </w:p>
    <w:p w:rsidRPr="007A27F1" w:rsidR="00FE0C54" w:rsidP="00FE0C54" w:rsidRDefault="00FE0C54" w14:paraId="6FC27ACB" w14:textId="77777777">
      <w:pPr>
        <w:rPr>
          <w:rFonts w:eastAsia="Calibri"/>
        </w:rPr>
      </w:pPr>
      <w:r w:rsidRPr="007A27F1">
        <w:rPr>
          <w:rFonts w:eastAsia="Calibri"/>
        </w:rPr>
        <w:t>Atlanta, GA 30</w:t>
      </w:r>
      <w:r>
        <w:rPr>
          <w:rFonts w:eastAsia="Calibri"/>
        </w:rPr>
        <w:t>329</w:t>
      </w:r>
    </w:p>
    <w:p w:rsidRPr="007A27F1" w:rsidR="00FE0C54" w:rsidP="00FE0C54" w:rsidRDefault="00FE0C54" w14:paraId="12ED9F02" w14:textId="77777777">
      <w:pPr>
        <w:rPr>
          <w:rFonts w:eastAsia="Calibri"/>
        </w:rPr>
      </w:pPr>
      <w:r w:rsidRPr="007A27F1">
        <w:rPr>
          <w:rFonts w:eastAsia="Calibri"/>
        </w:rPr>
        <w:t xml:space="preserve">Phone: (404) </w:t>
      </w:r>
      <w:r>
        <w:rPr>
          <w:rFonts w:eastAsia="Calibri"/>
        </w:rPr>
        <w:t>488-4780</w:t>
      </w:r>
    </w:p>
    <w:p w:rsidRPr="007A27F1" w:rsidR="00FE0C54" w:rsidP="00FE0C54" w:rsidRDefault="00FE0C54" w14:paraId="40F9D170" w14:textId="77777777">
      <w:pPr>
        <w:rPr>
          <w:rFonts w:eastAsia="Calibri"/>
        </w:rPr>
      </w:pPr>
      <w:r w:rsidRPr="007A27F1">
        <w:rPr>
          <w:rFonts w:eastAsia="Calibri"/>
        </w:rPr>
        <w:t xml:space="preserve">E-mail:  </w:t>
      </w:r>
      <w:hyperlink w:history="1" r:id="rId7">
        <w:r w:rsidRPr="00B21981">
          <w:rPr>
            <w:rStyle w:val="Hyperlink"/>
            <w:rFonts w:eastAsia="Calibri"/>
          </w:rPr>
          <w:t>skm5@cdc.gov</w:t>
        </w:r>
      </w:hyperlink>
    </w:p>
    <w:p w:rsidRPr="000C5EF1" w:rsidR="002B2BE7" w:rsidP="00F569EF" w:rsidRDefault="002B2BE7" w14:paraId="52F1271B" w14:textId="77777777">
      <w:pPr>
        <w:rPr>
          <w:noProof/>
        </w:rPr>
      </w:pPr>
      <w:r w:rsidRPr="000C5EF1">
        <w:rPr>
          <w:noProof/>
        </w:rPr>
        <w:tab/>
      </w:r>
    </w:p>
    <w:p w:rsidRPr="000C5EF1" w:rsidR="002B2BE7" w:rsidP="002B2BE7" w:rsidRDefault="002B2BE7" w14:paraId="08760DF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t xml:space="preserve"> </w:t>
      </w:r>
    </w:p>
    <w:p w:rsidRPr="000C5EF1" w:rsidR="002B2BE7" w:rsidP="002B2BE7" w:rsidRDefault="002B2BE7" w14:paraId="340206A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0C5EF1" w:rsidR="002B2BE7" w:rsidP="002B2BE7" w:rsidRDefault="002B2BE7" w14:paraId="4CC54925" w14:textId="01EF72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1D4D72">
        <w:t xml:space="preserve">June </w:t>
      </w:r>
      <w:r w:rsidR="00FE0C54">
        <w:t>2</w:t>
      </w:r>
      <w:r w:rsidR="005B7B68">
        <w:t>4</w:t>
      </w:r>
      <w:r>
        <w:t>, 2020</w:t>
      </w:r>
    </w:p>
    <w:p w:rsidRPr="00281300" w:rsidR="00281300" w:rsidP="00281300" w:rsidRDefault="00281300" w14:paraId="4793F78B" w14:textId="4A7BA8E2">
      <w:pPr>
        <w:rPr>
          <w:rFonts w:eastAsiaTheme="minorHAnsi" w:cstheme="minorBidi"/>
          <w:szCs w:val="22"/>
        </w:rPr>
      </w:pPr>
      <w:r w:rsidRPr="00281300">
        <w:rPr>
          <w:rFonts w:eastAsiaTheme="minorHAnsi" w:cstheme="minorBidi"/>
          <w:szCs w:val="22"/>
        </w:rPr>
        <w:lastRenderedPageBreak/>
        <w:t>The Centers for Disease Control and Prevention (CDC</w:t>
      </w:r>
      <w:r w:rsidR="00FE0C54">
        <w:rPr>
          <w:rFonts w:eastAsiaTheme="minorHAnsi" w:cstheme="minorBidi"/>
          <w:szCs w:val="22"/>
        </w:rPr>
        <w:t xml:space="preserve">) </w:t>
      </w:r>
      <w:r w:rsidRPr="00281300">
        <w:rPr>
          <w:rFonts w:eastAsiaTheme="minorHAnsi" w:cstheme="minorBidi"/>
          <w:szCs w:val="22"/>
        </w:rPr>
        <w:t xml:space="preserve">requests a nonmaterial/non-substantive </w:t>
      </w:r>
      <w:r w:rsidR="00FE0C54">
        <w:rPr>
          <w:rFonts w:eastAsiaTheme="minorHAnsi" w:cstheme="minorBidi"/>
          <w:szCs w:val="22"/>
        </w:rPr>
        <w:t xml:space="preserve">change </w:t>
      </w:r>
      <w:r w:rsidRPr="00281300">
        <w:rPr>
          <w:rFonts w:eastAsiaTheme="minorHAnsi" w:cstheme="minorBidi"/>
          <w:szCs w:val="22"/>
        </w:rPr>
        <w:t>of the currently approved Information Collection Request: “</w:t>
      </w:r>
      <w:r w:rsidR="00FE0C54">
        <w:rPr>
          <w:rFonts w:eastAsiaTheme="minorHAnsi" w:cstheme="minorBidi"/>
          <w:szCs w:val="22"/>
        </w:rPr>
        <w:t>Emerging Infections Program</w:t>
      </w:r>
      <w:r w:rsidRPr="00281300">
        <w:rPr>
          <w:rFonts w:eastAsiaTheme="minorHAnsi" w:cstheme="minorBidi"/>
          <w:szCs w:val="22"/>
        </w:rPr>
        <w:t xml:space="preserve"> (OMB Control No. 0920-</w:t>
      </w:r>
      <w:r w:rsidR="00FE0C54">
        <w:rPr>
          <w:rFonts w:eastAsiaTheme="minorHAnsi" w:cstheme="minorBidi"/>
          <w:szCs w:val="22"/>
        </w:rPr>
        <w:t>0978</w:t>
      </w:r>
      <w:r w:rsidRPr="00281300">
        <w:rPr>
          <w:rFonts w:eastAsiaTheme="minorHAnsi" w:cstheme="minorBidi"/>
          <w:szCs w:val="22"/>
        </w:rPr>
        <w:t xml:space="preserve">).”  </w:t>
      </w:r>
    </w:p>
    <w:p w:rsidRPr="00281300" w:rsidR="00281300" w:rsidP="00281300" w:rsidRDefault="00281300" w14:paraId="128C66F1" w14:textId="77777777">
      <w:pPr>
        <w:rPr>
          <w:rFonts w:eastAsiaTheme="minorHAnsi" w:cstheme="minorBidi"/>
          <w:szCs w:val="22"/>
        </w:rPr>
      </w:pPr>
    </w:p>
    <w:p w:rsidR="00FA32FE" w:rsidP="00FA32FE" w:rsidRDefault="00FA32FE" w14:paraId="10C331D3" w14:textId="58FE9A2E">
      <w:r>
        <w:t xml:space="preserve">Requested changes represent minor modifications to already-approved instruments to include a limited number of data elements pertaining to COVID-19. </w:t>
      </w:r>
    </w:p>
    <w:p w:rsidR="00FA32FE" w:rsidP="00FA32FE" w:rsidRDefault="00FA32FE" w14:paraId="2B5B29D8" w14:textId="77777777"/>
    <w:p w:rsidR="00FA32FE" w:rsidP="00FA32FE" w:rsidRDefault="00FA32FE" w14:paraId="6361142A" w14:textId="77777777">
      <w:r>
        <w:t xml:space="preserve">The Emerging Infections Programs (EIPs) are population-based centers of excellence established through a network of state health departments collaborating with academic institutions, local health departments, public health and clinical laboratories, infection control professionals, and healthcare providers.  EIPs assist in local, state, and national efforts to prevent, control, and monitor the public health impact of infectious diseases.  </w:t>
      </w:r>
    </w:p>
    <w:p w:rsidR="00FA32FE" w:rsidP="00FA32FE" w:rsidRDefault="00FA32FE" w14:paraId="1E4F8127" w14:textId="77777777"/>
    <w:p w:rsidR="00FA32FE" w:rsidP="00FA32FE" w:rsidRDefault="00FA32FE" w14:paraId="6B1A6C3D" w14:textId="3A6DB0DA">
      <w:r>
        <w:t>Activities of the EIPs fall into the following general categories: (1) active surveillance; (2) applied public health epidemiologic and laboratory activities; (3) implementation and evaluation of pilot prevention/intervention projects; and (4) flexible response to public health emergencies.  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00FA32FE" w:rsidP="00FA32FE" w:rsidRDefault="00FA32FE" w14:paraId="6FB74D67" w14:textId="77777777"/>
    <w:p w:rsidR="0078707D" w:rsidP="0078707D" w:rsidRDefault="0078707D" w14:paraId="12874BCD" w14:textId="77777777">
      <w:r>
        <w:t>Activities in the EIP Network in which all applicants must participate are:</w:t>
      </w:r>
    </w:p>
    <w:p w:rsidR="0078707D" w:rsidP="0078707D" w:rsidRDefault="0078707D" w14:paraId="6B73BFED" w14:textId="77777777">
      <w:pPr>
        <w:numPr>
          <w:ilvl w:val="0"/>
          <w:numId w:val="6"/>
        </w:numPr>
      </w:pPr>
      <w:r>
        <w:t>Active Bacterial Core surveillance (ABCs): active population-based laboratory surveillance for invasive bacterial diseases.</w:t>
      </w:r>
    </w:p>
    <w:p w:rsidR="0078707D" w:rsidP="0078707D" w:rsidRDefault="0078707D" w14:paraId="5296D9BD" w14:textId="77777777">
      <w:pPr>
        <w:numPr>
          <w:ilvl w:val="0"/>
          <w:numId w:val="6"/>
        </w:numPr>
      </w:pPr>
      <w:r>
        <w:t>Foodborne Diseases Active Surveillance Network (</w:t>
      </w:r>
      <w:proofErr w:type="spellStart"/>
      <w:r>
        <w:t>FoodNet</w:t>
      </w:r>
      <w:proofErr w:type="spellEnd"/>
      <w:r>
        <w:t>): active population-based laboratory surveillance to monitor the incidence of select enteric diseases.</w:t>
      </w:r>
    </w:p>
    <w:p w:rsidR="0078707D" w:rsidP="0078707D" w:rsidRDefault="0078707D" w14:paraId="3AC808EA" w14:textId="77777777">
      <w:pPr>
        <w:numPr>
          <w:ilvl w:val="0"/>
          <w:numId w:val="6"/>
        </w:numPr>
      </w:pPr>
      <w:r>
        <w:t xml:space="preserve">Influenza </w:t>
      </w:r>
      <w:r w:rsidRPr="007511C6">
        <w:t>Hospitalization Surveillance Network (</w:t>
      </w:r>
      <w:proofErr w:type="spellStart"/>
      <w:r w:rsidRPr="007511C6">
        <w:t>FluSurv</w:t>
      </w:r>
      <w:proofErr w:type="spellEnd"/>
      <w:r w:rsidRPr="007511C6">
        <w:t>-NET)</w:t>
      </w:r>
      <w:r>
        <w:t>: active population-based surveillance for laboratory confirmed influenza-related hospitalizations.</w:t>
      </w:r>
    </w:p>
    <w:p w:rsidR="0078707D" w:rsidP="0078707D" w:rsidRDefault="0078707D" w14:paraId="6472EA12" w14:textId="77777777">
      <w:pPr>
        <w:numPr>
          <w:ilvl w:val="0"/>
          <w:numId w:val="6"/>
        </w:numPr>
      </w:pPr>
      <w:r>
        <w:t>Healthcare-Associated Infections-Community Interface (HAIC) surveillance: active population-based surveillance for healthcare-associated pathogens and infections.</w:t>
      </w:r>
    </w:p>
    <w:p w:rsidR="0078707D" w:rsidP="0078707D" w:rsidRDefault="0078707D" w14:paraId="0EE8B2D6" w14:textId="77777777"/>
    <w:p w:rsidR="00FA32FE" w:rsidP="0078707D" w:rsidRDefault="00FA32FE" w14:paraId="3E49A5B5" w14:textId="1D207FB2">
      <w:r w:rsidRPr="0078707D">
        <w:t>This non-substantive change request is for limi</w:t>
      </w:r>
      <w:r w:rsidRPr="0078707D" w:rsidR="0078707D">
        <w:t>ted additions</w:t>
      </w:r>
      <w:r w:rsidRPr="0078707D">
        <w:t xml:space="preserve"> to the data elements for </w:t>
      </w:r>
      <w:r w:rsidR="0078707D">
        <w:t xml:space="preserve">one of the major activities of the EIP Network, the Healthcare-Associated Infections-Community Interface (HAIC) surveillance. HAIC conducts active population-based surveillance for healthcare-associated pathogens, including antimicrobial-resistant pathogens, and infections. </w:t>
      </w:r>
      <w:r w:rsidRPr="00913D86">
        <w:t xml:space="preserve">As a result of proposed changes, the estimated annualized burden is expected to </w:t>
      </w:r>
      <w:r w:rsidRPr="00913D86" w:rsidR="0078707D">
        <w:t>increase</w:t>
      </w:r>
      <w:r w:rsidRPr="00913D86">
        <w:t xml:space="preserve"> by </w:t>
      </w:r>
      <w:r w:rsidRPr="00CC7339" w:rsidR="00913D86">
        <w:t>2089</w:t>
      </w:r>
      <w:r w:rsidRPr="00913D86" w:rsidR="00913D86">
        <w:t xml:space="preserve"> </w:t>
      </w:r>
      <w:r w:rsidRPr="00E6098D">
        <w:t xml:space="preserve">hours, from </w:t>
      </w:r>
      <w:r w:rsidRPr="00CC7339" w:rsidR="00913D86">
        <w:t>21,493</w:t>
      </w:r>
      <w:r w:rsidRPr="00CC7339" w:rsidR="0078707D">
        <w:rPr>
          <w:i/>
          <w:iCs/>
        </w:rPr>
        <w:t xml:space="preserve"> </w:t>
      </w:r>
      <w:r w:rsidRPr="00CC7339">
        <w:t xml:space="preserve">to </w:t>
      </w:r>
      <w:r w:rsidRPr="00CC7339" w:rsidR="00913D86">
        <w:t>23,582</w:t>
      </w:r>
      <w:r w:rsidRPr="00CC7339">
        <w:t>.  The data elements and justifications are described below.</w:t>
      </w:r>
      <w:r w:rsidRPr="0078707D">
        <w:t xml:space="preserve"> </w:t>
      </w:r>
    </w:p>
    <w:p w:rsidR="0066582D" w:rsidP="0078707D" w:rsidRDefault="0066582D" w14:paraId="52F9979F" w14:textId="696E3558"/>
    <w:p w:rsidR="0010088B" w:rsidP="0078707D" w:rsidRDefault="0010088B" w14:paraId="6BE41414" w14:textId="77777777">
      <w:pPr>
        <w:rPr>
          <w:b/>
          <w:bCs/>
        </w:rPr>
      </w:pPr>
      <w:r>
        <w:rPr>
          <w:b/>
          <w:bCs/>
        </w:rPr>
        <w:t>Proposed additions to the HAIC Forms:</w:t>
      </w:r>
    </w:p>
    <w:p w:rsidR="0010088B" w:rsidP="0078707D" w:rsidRDefault="0010088B" w14:paraId="51A666B0" w14:textId="77777777">
      <w:pPr>
        <w:rPr>
          <w:b/>
          <w:bCs/>
        </w:rPr>
      </w:pPr>
    </w:p>
    <w:p w:rsidRPr="00F569EF" w:rsidR="0010088B" w:rsidP="0010088B" w:rsidRDefault="0010088B" w14:paraId="3AC497AE" w14:textId="77777777">
      <w:r w:rsidRPr="00F569EF">
        <w:t>We propose to add one question to the HAIC Case Report Forms, as follows:</w:t>
      </w:r>
    </w:p>
    <w:p w:rsidR="0010088B" w:rsidP="0010088B" w:rsidRDefault="0010088B" w14:paraId="2FA6B2DD" w14:textId="77777777">
      <w:pPr>
        <w:rPr>
          <w:b/>
          <w:bCs/>
        </w:rPr>
      </w:pPr>
    </w:p>
    <w:p w:rsidR="0010088B" w:rsidP="0010088B" w:rsidRDefault="00A01B3D" w14:paraId="6DCC9CD3" w14:textId="29C14981">
      <w:pPr>
        <w:pStyle w:val="ListParagraph"/>
        <w:numPr>
          <w:ilvl w:val="0"/>
          <w:numId w:val="5"/>
        </w:numPr>
        <w:contextualSpacing w:val="0"/>
      </w:pPr>
      <w:r>
        <w:t xml:space="preserve">Did the patient have a POSITIVE test(s) for </w:t>
      </w:r>
      <w:r w:rsidR="0010088B">
        <w:t xml:space="preserve">SARS-CoV-2 (molecular assay, serology or </w:t>
      </w:r>
      <w:proofErr w:type="gramStart"/>
      <w:r w:rsidR="0010088B">
        <w:t>other</w:t>
      </w:r>
      <w:proofErr w:type="gramEnd"/>
      <w:r w:rsidR="0010088B">
        <w:t xml:space="preserve"> confirmatory test) on or before the DISC? Yes/No/Unknown</w:t>
      </w:r>
      <w:r w:rsidR="00F01D93">
        <w:t xml:space="preserve"> (DISC=date of incident specimen collection)</w:t>
      </w:r>
    </w:p>
    <w:p w:rsidR="0010088B" w:rsidP="0010088B" w:rsidRDefault="0010088B" w14:paraId="5DA9374C" w14:textId="772DB3C6">
      <w:pPr>
        <w:pStyle w:val="ListParagraph"/>
        <w:numPr>
          <w:ilvl w:val="1"/>
          <w:numId w:val="5"/>
        </w:numPr>
        <w:contextualSpacing w:val="0"/>
      </w:pPr>
      <w:r>
        <w:t>If yes</w:t>
      </w:r>
      <w:r w:rsidR="00A01B3D">
        <w:t>, complete the following table:</w:t>
      </w:r>
    </w:p>
    <w:tbl>
      <w:tblPr>
        <w:tblW w:w="0" w:type="auto"/>
        <w:tblInd w:w="350" w:type="dxa"/>
        <w:tblCellMar>
          <w:left w:w="0" w:type="dxa"/>
          <w:right w:w="0" w:type="dxa"/>
        </w:tblCellMar>
        <w:tblLook w:val="04A0" w:firstRow="1" w:lastRow="0" w:firstColumn="1" w:lastColumn="0" w:noHBand="0" w:noVBand="1"/>
      </w:tblPr>
      <w:tblGrid>
        <w:gridCol w:w="2650"/>
        <w:gridCol w:w="2419"/>
        <w:gridCol w:w="4641"/>
      </w:tblGrid>
      <w:tr w:rsidR="00A01B3D" w:rsidTr="005766AD" w14:paraId="5956CB10" w14:textId="77777777">
        <w:tc>
          <w:tcPr>
            <w:tcW w:w="2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766AD" w:rsidR="00A01B3D" w:rsidP="005766AD" w:rsidRDefault="00A01B3D" w14:paraId="1FEF0D59" w14:textId="77777777">
            <w:pPr>
              <w:rPr>
                <w:sz w:val="22"/>
                <w:szCs w:val="22"/>
              </w:rPr>
            </w:pPr>
            <w:r w:rsidRPr="005766AD">
              <w:lastRenderedPageBreak/>
              <w:t>FIRST positive test for SARS-CoV-2 on or before the DISC:</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5766AD" w:rsidR="00A01B3D" w:rsidRDefault="00A01B3D" w14:paraId="30DFCBF3" w14:textId="77777777">
            <w:pPr>
              <w:pStyle w:val="ListParagraph"/>
              <w:ind w:left="0"/>
            </w:pPr>
            <w:r w:rsidRPr="005766AD">
              <w:t xml:space="preserve">Specimen collection date: _ _ / _ _ / _ _ _ _ </w:t>
            </w:r>
            <w:proofErr w:type="gramStart"/>
            <w:r w:rsidRPr="005766AD">
              <w:t>or  Unknown</w:t>
            </w:r>
            <w:proofErr w:type="gramEnd"/>
          </w:p>
        </w:tc>
        <w:tc>
          <w:tcPr>
            <w:tcW w:w="46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5766AD" w:rsidR="00A01B3D" w:rsidRDefault="00A01B3D" w14:paraId="14A00119" w14:textId="77777777">
            <w:pPr>
              <w:pStyle w:val="ListParagraph"/>
              <w:ind w:left="0"/>
            </w:pPr>
            <w:r w:rsidRPr="005766AD">
              <w:t xml:space="preserve">Test type:  Molecular </w:t>
            </w:r>
            <w:proofErr w:type="gramStart"/>
            <w:r w:rsidRPr="005766AD">
              <w:t>assay  Serology</w:t>
            </w:r>
            <w:proofErr w:type="gramEnd"/>
            <w:r w:rsidRPr="005766AD">
              <w:t>  Unknown  Other, specify: ____________</w:t>
            </w:r>
          </w:p>
        </w:tc>
      </w:tr>
      <w:tr w:rsidR="00A01B3D" w:rsidTr="005766AD" w14:paraId="1166B12E" w14:textId="77777777">
        <w:tc>
          <w:tcPr>
            <w:tcW w:w="2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766AD" w:rsidR="00A01B3D" w:rsidRDefault="00A01B3D" w14:paraId="71B8FA61" w14:textId="77777777">
            <w:pPr>
              <w:pStyle w:val="ListParagraph"/>
              <w:ind w:left="0"/>
            </w:pPr>
            <w:r w:rsidRPr="005766AD">
              <w:t>MOST RECENT positive test for SARS-CoV-2 on or before the DISC:</w:t>
            </w:r>
          </w:p>
        </w:tc>
        <w:tc>
          <w:tcPr>
            <w:tcW w:w="241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766AD" w:rsidR="00A01B3D" w:rsidRDefault="00A01B3D" w14:paraId="606A45B6" w14:textId="77777777">
            <w:pPr>
              <w:pStyle w:val="ListParagraph"/>
              <w:ind w:left="0"/>
            </w:pPr>
            <w:r w:rsidRPr="005766AD">
              <w:t xml:space="preserve">Specimen collection date: _ _ / _ _ / _ _ _ _ </w:t>
            </w:r>
            <w:proofErr w:type="gramStart"/>
            <w:r w:rsidRPr="005766AD">
              <w:t>or  Unknown</w:t>
            </w:r>
            <w:proofErr w:type="gramEnd"/>
          </w:p>
        </w:tc>
        <w:tc>
          <w:tcPr>
            <w:tcW w:w="4641"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766AD" w:rsidR="00A01B3D" w:rsidRDefault="00A01B3D" w14:paraId="6801354D" w14:textId="77777777">
            <w:pPr>
              <w:pStyle w:val="ListParagraph"/>
              <w:ind w:left="0"/>
            </w:pPr>
            <w:r w:rsidRPr="005766AD">
              <w:t xml:space="preserve">Test type:  Molecular </w:t>
            </w:r>
            <w:proofErr w:type="gramStart"/>
            <w:r w:rsidRPr="005766AD">
              <w:t>assay  Serology</w:t>
            </w:r>
            <w:proofErr w:type="gramEnd"/>
            <w:r w:rsidRPr="005766AD">
              <w:t>  Unknown  Other, specify: ____________</w:t>
            </w:r>
          </w:p>
        </w:tc>
      </w:tr>
    </w:tbl>
    <w:p w:rsidR="00A01B3D" w:rsidP="005766AD" w:rsidRDefault="00A01B3D" w14:paraId="7F390645" w14:textId="77777777"/>
    <w:p w:rsidR="0010088B" w:rsidP="00F01D93" w:rsidRDefault="00F01D93" w14:paraId="6336D8BC" w14:textId="17DAB9BE">
      <w:r>
        <w:t xml:space="preserve">We also propose collecting COVID-Net and/or NNDSS identification numbers for HAIC surveillance cases to allow linkages between these data systems: </w:t>
      </w:r>
    </w:p>
    <w:p w:rsidR="00F01D93" w:rsidP="00F569EF" w:rsidRDefault="00F01D93" w14:paraId="4EFFB501" w14:textId="77777777"/>
    <w:p w:rsidR="0010088B" w:rsidP="00F569EF" w:rsidRDefault="0010088B" w14:paraId="4A259597" w14:textId="77777777">
      <w:pPr>
        <w:pStyle w:val="ListParagraph"/>
        <w:numPr>
          <w:ilvl w:val="0"/>
          <w:numId w:val="5"/>
        </w:numPr>
        <w:contextualSpacing w:val="0"/>
      </w:pPr>
      <w:r>
        <w:t>COVID-NET Case ID</w:t>
      </w:r>
    </w:p>
    <w:p w:rsidR="0010088B" w:rsidP="00F569EF" w:rsidRDefault="0010088B" w14:paraId="1EE88DE9" w14:textId="77777777">
      <w:pPr>
        <w:pStyle w:val="ListParagraph"/>
        <w:numPr>
          <w:ilvl w:val="0"/>
          <w:numId w:val="5"/>
        </w:numPr>
        <w:contextualSpacing w:val="0"/>
      </w:pPr>
      <w:r>
        <w:t>NNDSS IDs (please provide at least one of the following when applicable):</w:t>
      </w:r>
    </w:p>
    <w:p w:rsidR="0010088B" w:rsidP="00F569EF" w:rsidRDefault="0010088B" w14:paraId="5A98E521" w14:textId="77777777">
      <w:pPr>
        <w:pStyle w:val="ListParagraph"/>
        <w:numPr>
          <w:ilvl w:val="1"/>
          <w:numId w:val="5"/>
        </w:numPr>
        <w:contextualSpacing w:val="0"/>
      </w:pPr>
      <w:r>
        <w:t>Local Case ID:</w:t>
      </w:r>
    </w:p>
    <w:p w:rsidR="0010088B" w:rsidP="00F569EF" w:rsidRDefault="0010088B" w14:paraId="369B19C0" w14:textId="77777777">
      <w:pPr>
        <w:pStyle w:val="ListParagraph"/>
        <w:numPr>
          <w:ilvl w:val="1"/>
          <w:numId w:val="5"/>
        </w:numPr>
        <w:contextualSpacing w:val="0"/>
      </w:pPr>
      <w:r>
        <w:t>Local Record ID:</w:t>
      </w:r>
    </w:p>
    <w:p w:rsidR="0010088B" w:rsidP="00F569EF" w:rsidRDefault="0010088B" w14:paraId="7737B0C4" w14:textId="77777777">
      <w:pPr>
        <w:pStyle w:val="ListParagraph"/>
        <w:numPr>
          <w:ilvl w:val="1"/>
          <w:numId w:val="5"/>
        </w:numPr>
        <w:contextualSpacing w:val="0"/>
      </w:pPr>
      <w:r>
        <w:t>State case identifier:</w:t>
      </w:r>
    </w:p>
    <w:p w:rsidR="0010088B" w:rsidP="00F569EF" w:rsidRDefault="0010088B" w14:paraId="2E853D20" w14:textId="77777777">
      <w:pPr>
        <w:pStyle w:val="ListParagraph"/>
        <w:numPr>
          <w:ilvl w:val="1"/>
          <w:numId w:val="5"/>
        </w:numPr>
        <w:contextualSpacing w:val="0"/>
      </w:pPr>
      <w:r>
        <w:t>Legacy case identifier:</w:t>
      </w:r>
    </w:p>
    <w:p w:rsidR="0010088B" w:rsidP="0078707D" w:rsidRDefault="0010088B" w14:paraId="58C91AFE" w14:textId="77777777">
      <w:pPr>
        <w:rPr>
          <w:b/>
          <w:bCs/>
        </w:rPr>
      </w:pPr>
    </w:p>
    <w:p w:rsidRPr="00F569EF" w:rsidR="0066582D" w:rsidP="0078707D" w:rsidRDefault="0066582D" w14:paraId="44015D8A" w14:textId="77BE40CE">
      <w:pPr>
        <w:rPr>
          <w:b/>
          <w:bCs/>
        </w:rPr>
      </w:pPr>
      <w:r w:rsidRPr="00F569EF">
        <w:rPr>
          <w:b/>
          <w:bCs/>
        </w:rPr>
        <w:t>Justification:</w:t>
      </w:r>
    </w:p>
    <w:p w:rsidRPr="00F569EF" w:rsidR="0066582D" w:rsidP="0078707D" w:rsidRDefault="0066582D" w14:paraId="7E9F00A5" w14:textId="34E8B8DF">
      <w:pPr>
        <w:rPr>
          <w:b/>
          <w:bCs/>
        </w:rPr>
      </w:pPr>
    </w:p>
    <w:p w:rsidR="0066582D" w:rsidP="0066582D" w:rsidRDefault="0066582D" w14:paraId="79EFBC85" w14:textId="010171B8">
      <w:r>
        <w:t xml:space="preserve">The proposed additions address the following CDC COVID-19 response priorities: (1) to maintain and enhance surveillance of COVID-19 and (2) to collect actionable information to increase understanding of COVID-19 disease progression and associated infections. Given that a high proportion of individuals diagnosed with COVID-19 are hospitalized, with many requiring ICU-level care and exposure to mechanical ventilation, the risk for secondary infections, including healthcare-associated infections, may be increased. This includes infections under surveillance in the HAIC, such as those due to gram-negative bacteria (such as carbapenem-resistant </w:t>
      </w:r>
      <w:r>
        <w:rPr>
          <w:i/>
          <w:iCs/>
        </w:rPr>
        <w:t>Acinetobacter baumannii</w:t>
      </w:r>
      <w:r>
        <w:t xml:space="preserve"> [CRAB], carbapenem-resistant Enterobacteriaceae [CRE] and extend-spectrum beta-lactamase producing Enterobacteriaceae [ESBL]—the Multi-site Gram-negative Surveillance Initiative, or MuGSI) and </w:t>
      </w:r>
      <w:r w:rsidRPr="00D163F6">
        <w:rPr>
          <w:i/>
          <w:iCs/>
        </w:rPr>
        <w:t>Staphylococcus aureus</w:t>
      </w:r>
      <w:r>
        <w:t xml:space="preserve"> (SA). Additionally, widespread antibiotic use among patients with COVID-19 could also lead to an increased risk of developing </w:t>
      </w:r>
      <w:proofErr w:type="spellStart"/>
      <w:r>
        <w:rPr>
          <w:i/>
          <w:iCs/>
        </w:rPr>
        <w:t>Clostridioides</w:t>
      </w:r>
      <w:proofErr w:type="spellEnd"/>
      <w:r>
        <w:rPr>
          <w:i/>
          <w:iCs/>
        </w:rPr>
        <w:t xml:space="preserve"> difficile</w:t>
      </w:r>
      <w:r>
        <w:t xml:space="preserve"> infection (CDI). Through the addition of a small number of variables to existing, approved case report forms for long-standing EIP HAIC population-based surveillance for these pathogens, we will be able to describe the proportion of infections occurring in patients with COVID-19 and link to other surveillance programs to access COVID-19-specific data. These data will inform development of surveillance and prevention strategies. </w:t>
      </w:r>
    </w:p>
    <w:p w:rsidR="0066582D" w:rsidP="0066582D" w:rsidRDefault="0066582D" w14:paraId="2F744EE6" w14:textId="1C03AA18"/>
    <w:p w:rsidRPr="00F569EF" w:rsidR="0066582D" w:rsidP="00F569EF" w:rsidRDefault="0066582D" w14:paraId="53A12635" w14:textId="727986EC">
      <w:pPr>
        <w:rPr>
          <w:b/>
          <w:bCs/>
        </w:rPr>
      </w:pPr>
      <w:r w:rsidRPr="00F569EF">
        <w:rPr>
          <w:b/>
          <w:bCs/>
        </w:rPr>
        <w:t>Other data systems</w:t>
      </w:r>
      <w:r>
        <w:rPr>
          <w:b/>
          <w:bCs/>
        </w:rPr>
        <w:t>:</w:t>
      </w:r>
    </w:p>
    <w:p w:rsidR="0066582D" w:rsidP="0078707D" w:rsidRDefault="0066582D" w14:paraId="5F091176" w14:textId="3301BA6E"/>
    <w:p w:rsidRPr="00551416" w:rsidR="0066582D" w:rsidP="0066582D" w:rsidRDefault="0066582D" w14:paraId="5DE80FFB" w14:textId="625CC1B3">
      <w:r w:rsidRPr="00551416">
        <w:t xml:space="preserve">The Coronavirus Disease 2019 (COVID-19)-Associated Hospitalization Surveillance Network (COVID-NET) conducts population-based surveillance </w:t>
      </w:r>
      <w:r w:rsidR="0010088B">
        <w:t xml:space="preserve">in the 10 EIP sites </w:t>
      </w:r>
      <w:r w:rsidRPr="00551416">
        <w:t>for laboratory-confirmed COVID-19-associated hospitalizations</w:t>
      </w:r>
      <w:r>
        <w:t xml:space="preserve">. However, this system does not collect detailed information on patients who develop secondary resistant gram-negative bacterial infections, invasive SA infections, or CDI, and does not capture patients who are not hospitalized for COVID-19. By contrast, EIP HAIC surveillance for these pathogens captures all cases occurring in the surveillance catchment areas, whether hospitalized or not, and gathers detailed data on risk factors and outcomes. The COVID-19-related data elements that are being proposed as an addition to the HAIC surveillance case report forms provide information to determine whether SARS-CoV-2 infection preceded the infection due to the HAIC pathogen. To supplement and enhance information on patients with SARS-CoV-2 infection that also meet case </w:t>
      </w:r>
      <w:r>
        <w:lastRenderedPageBreak/>
        <w:t>definitions for inclusion in HAIC surveillance, we plan to collect the unique patient identification number(s) from COVID-NET to enable data linkage.</w:t>
      </w:r>
    </w:p>
    <w:p w:rsidR="0066582D" w:rsidP="00F569EF" w:rsidRDefault="0066582D" w14:paraId="68F8EB50" w14:textId="387D613D"/>
    <w:p w:rsidRPr="00551416" w:rsidR="0066582D" w:rsidP="00F569EF" w:rsidRDefault="0066582D" w14:paraId="2DA5BA04" w14:textId="7CFDA100">
      <w:r>
        <w:t>The National Notifiable Disease Surveillance System (NNDSS) is also collecting information on patients with SARS-CoV-2. Case data are reported from most jurisdictions and statewide. However, the completeness of these data is unknown. To supplement and enhance information on patients with SARS-CoV-2 infection that also meet case definitions for inclusion in HAIC surveillance, we plan to collect the unique patient identification number(s) from NNDSS to enable data linkage.</w:t>
      </w:r>
    </w:p>
    <w:p w:rsidRPr="00F569EF" w:rsidR="0066582D" w:rsidP="00F569EF" w:rsidRDefault="0066582D" w14:paraId="6459ED7E" w14:textId="77777777"/>
    <w:p w:rsidR="00281300" w:rsidP="00BB6A0C" w:rsidRDefault="00286AC1" w14:paraId="0E82D9FC" w14:textId="4090EB44">
      <w:pPr>
        <w:spacing w:after="200"/>
      </w:pPr>
      <w:bookmarkStart w:name="_Hlk41644276" w:id="0"/>
      <w:r>
        <w:rPr>
          <w:rFonts w:eastAsiaTheme="minorHAnsi" w:cstheme="minorBidi"/>
          <w:szCs w:val="22"/>
        </w:rPr>
        <w:t xml:space="preserve">We estimate these changes will add </w:t>
      </w:r>
      <w:r w:rsidR="00A039C8">
        <w:rPr>
          <w:rFonts w:eastAsiaTheme="minorHAnsi" w:cstheme="minorBidi"/>
          <w:szCs w:val="22"/>
        </w:rPr>
        <w:t xml:space="preserve">three </w:t>
      </w:r>
      <w:r>
        <w:rPr>
          <w:rFonts w:eastAsiaTheme="minorHAnsi" w:cstheme="minorBidi"/>
          <w:szCs w:val="22"/>
        </w:rPr>
        <w:t xml:space="preserve">minutes to the previously approved burden for this data collection tool. </w:t>
      </w:r>
      <w:r w:rsidRPr="006B39EF" w:rsidR="00BA22DA">
        <w:t xml:space="preserve">The previous burden calculated for </w:t>
      </w:r>
      <w:r w:rsidRPr="006B39EF" w:rsidR="0010088B">
        <w:t xml:space="preserve">HAIC </w:t>
      </w:r>
      <w:r w:rsidRPr="006B39EF" w:rsidR="00BA22DA">
        <w:t>form</w:t>
      </w:r>
      <w:r w:rsidRPr="006B39EF" w:rsidR="0010088B">
        <w:t>s</w:t>
      </w:r>
      <w:r w:rsidRPr="006B39EF" w:rsidR="00BA22DA">
        <w:t xml:space="preserve"> </w:t>
      </w:r>
      <w:r w:rsidRPr="006B39EF" w:rsidR="0010088B">
        <w:t xml:space="preserve">was </w:t>
      </w:r>
      <w:r w:rsidR="00B56A72">
        <w:t>21,493</w:t>
      </w:r>
      <w:r w:rsidRPr="006B39EF" w:rsidR="00BA22DA">
        <w:t xml:space="preserve">hours. As a result of the changes proposed in this change memo, the burden for </w:t>
      </w:r>
      <w:r w:rsidR="00913D86">
        <w:t>the HAIC forms</w:t>
      </w:r>
      <w:r w:rsidRPr="006B39EF" w:rsidR="00BA22DA">
        <w:t xml:space="preserve"> will increase by </w:t>
      </w:r>
      <w:r w:rsidR="00AD59A2">
        <w:t>2089</w:t>
      </w:r>
      <w:r w:rsidRPr="006B39EF" w:rsidR="00AD59A2">
        <w:t xml:space="preserve"> </w:t>
      </w:r>
      <w:r w:rsidRPr="006B39EF" w:rsidR="00BA22DA">
        <w:t>hours</w:t>
      </w:r>
      <w:r w:rsidRPr="006B39EF" w:rsidR="00364B6A">
        <w:t xml:space="preserve"> to </w:t>
      </w:r>
      <w:r w:rsidR="00AD59A2">
        <w:t>23,582</w:t>
      </w:r>
      <w:r w:rsidRPr="006B39EF" w:rsidR="00364B6A">
        <w:t xml:space="preserve"> hours</w:t>
      </w:r>
      <w:r w:rsidRPr="006B39EF" w:rsidR="00BA22DA">
        <w:t>.</w:t>
      </w:r>
      <w:r w:rsidR="00BA22DA">
        <w:t xml:space="preserve">  </w:t>
      </w:r>
    </w:p>
    <w:bookmarkEnd w:id="0"/>
    <w:p w:rsidR="00DB6136" w:rsidP="00DB6136" w:rsidRDefault="00DB6136" w14:paraId="64DD6B17" w14:textId="77777777">
      <w:pPr>
        <w:spacing w:line="276" w:lineRule="auto"/>
      </w:pPr>
    </w:p>
    <w:tbl>
      <w:tblPr>
        <w:tblW w:w="9800" w:type="dxa"/>
        <w:tblInd w:w="265" w:type="dxa"/>
        <w:tblCellMar>
          <w:left w:w="0" w:type="dxa"/>
          <w:right w:w="0" w:type="dxa"/>
        </w:tblCellMar>
        <w:tblLook w:val="04A0" w:firstRow="1" w:lastRow="0" w:firstColumn="1" w:lastColumn="0" w:noHBand="0" w:noVBand="1"/>
      </w:tblPr>
      <w:tblGrid>
        <w:gridCol w:w="2232"/>
        <w:gridCol w:w="1363"/>
        <w:gridCol w:w="1680"/>
        <w:gridCol w:w="2001"/>
        <w:gridCol w:w="1097"/>
        <w:gridCol w:w="1427"/>
      </w:tblGrid>
      <w:tr w:rsidR="00A039C8" w:rsidTr="00CC7339" w14:paraId="6F19C09D" w14:textId="77777777">
        <w:trPr>
          <w:trHeight w:val="629"/>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A039C8" w:rsidP="00F6406D" w:rsidRDefault="00A039C8" w14:paraId="742D2EB1" w14:textId="77777777">
            <w:pPr>
              <w:pStyle w:val="ListParagraph"/>
              <w:ind w:left="0"/>
              <w:jc w:val="center"/>
            </w:pPr>
            <w:r>
              <w:t>Data collection activity</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A039C8" w:rsidP="00F6406D" w:rsidRDefault="00A039C8" w14:paraId="046529DA" w14:textId="77777777">
            <w:pPr>
              <w:pStyle w:val="ListParagraph"/>
              <w:ind w:left="0"/>
              <w:jc w:val="center"/>
            </w:pPr>
            <w:r>
              <w:t>Estimated number of respondents</w:t>
            </w:r>
          </w:p>
        </w:tc>
        <w:tc>
          <w:tcPr>
            <w:tcW w:w="1680" w:type="dxa"/>
            <w:tcBorders>
              <w:top w:val="single" w:color="auto" w:sz="4" w:space="0"/>
              <w:left w:val="single" w:color="auto" w:sz="4" w:space="0"/>
              <w:bottom w:val="single" w:color="auto" w:sz="4" w:space="0"/>
              <w:right w:val="single" w:color="auto" w:sz="4" w:space="0"/>
            </w:tcBorders>
          </w:tcPr>
          <w:p w:rsidR="00A039C8" w:rsidP="00F6406D" w:rsidRDefault="00A039C8" w14:paraId="380332E3" w14:textId="77777777">
            <w:pPr>
              <w:pStyle w:val="ListParagraph"/>
              <w:ind w:left="0"/>
              <w:jc w:val="center"/>
            </w:pPr>
            <w:r>
              <w:t>Estimated number of responses per respondent</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A039C8" w:rsidP="00F6406D" w:rsidRDefault="00A039C8" w14:paraId="6DC40C1F" w14:textId="77777777">
            <w:pPr>
              <w:pStyle w:val="ListParagraph"/>
              <w:ind w:left="0"/>
              <w:jc w:val="center"/>
            </w:pPr>
            <w:r>
              <w:t>Estimated time spent per response (in hours)</w:t>
            </w:r>
          </w:p>
        </w:tc>
        <w:tc>
          <w:tcPr>
            <w:tcW w:w="1097" w:type="dxa"/>
            <w:tcBorders>
              <w:top w:val="single" w:color="auto" w:sz="8" w:space="0"/>
              <w:left w:val="single" w:color="auto" w:sz="4" w:space="0"/>
              <w:bottom w:val="single" w:color="auto" w:sz="8" w:space="0"/>
              <w:right w:val="single" w:color="auto" w:sz="4" w:space="0"/>
            </w:tcBorders>
          </w:tcPr>
          <w:p w:rsidR="00A039C8" w:rsidP="00F6406D" w:rsidRDefault="00A039C8" w14:paraId="4C9985D8" w14:textId="2F0A4A70">
            <w:pPr>
              <w:pStyle w:val="ListParagraph"/>
              <w:ind w:left="0"/>
              <w:jc w:val="center"/>
            </w:pPr>
            <w:r>
              <w:t>Estimated current total burden (in hours)</w:t>
            </w:r>
          </w:p>
        </w:tc>
        <w:tc>
          <w:tcPr>
            <w:tcW w:w="142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00A039C8" w:rsidP="00F6406D" w:rsidRDefault="00A039C8" w14:paraId="1512036A" w14:textId="28D77809">
            <w:pPr>
              <w:pStyle w:val="ListParagraph"/>
              <w:ind w:left="0"/>
              <w:jc w:val="center"/>
            </w:pPr>
            <w:r>
              <w:t>Estimated total burden after proposed changes (in hours)</w:t>
            </w:r>
          </w:p>
        </w:tc>
      </w:tr>
      <w:tr w:rsidR="00A039C8" w:rsidTr="00CC7339" w14:paraId="080A5554"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A039C8" w:rsidP="00F6406D" w:rsidRDefault="00A039C8" w14:paraId="49FF2F56" w14:textId="77777777">
            <w:pPr>
              <w:jc w:val="center"/>
            </w:pPr>
            <w:r w:rsidRPr="004F44FB">
              <w:rPr>
                <w:bCs/>
              </w:rPr>
              <w:t xml:space="preserve">MuGSI Case Report Form for Carbapenem-resistant Enterobacteriaceae (CRE) and </w:t>
            </w:r>
            <w:r w:rsidRPr="004F44FB">
              <w:rPr>
                <w:bCs/>
                <w:i/>
              </w:rPr>
              <w:t xml:space="preserve">Acinetobacter baumannii </w:t>
            </w:r>
            <w:r w:rsidRPr="004F44FB">
              <w:rPr>
                <w:bCs/>
              </w:rPr>
              <w:t>(CRAB)</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5E04EC" w:rsidR="00A039C8" w:rsidP="00F6406D" w:rsidRDefault="00A039C8" w14:paraId="5DC7CA16" w14:textId="77777777">
            <w:pPr>
              <w:pStyle w:val="ListParagraph"/>
              <w:ind w:left="0"/>
              <w:jc w:val="center"/>
            </w:pPr>
            <w:r w:rsidRPr="00D163F6">
              <w:t>10</w:t>
            </w:r>
          </w:p>
        </w:tc>
        <w:tc>
          <w:tcPr>
            <w:tcW w:w="1680" w:type="dxa"/>
            <w:tcBorders>
              <w:top w:val="single" w:color="auto" w:sz="4" w:space="0"/>
              <w:left w:val="single" w:color="auto" w:sz="4" w:space="0"/>
              <w:bottom w:val="single" w:color="auto" w:sz="4" w:space="0"/>
              <w:right w:val="single" w:color="auto" w:sz="4" w:space="0"/>
            </w:tcBorders>
          </w:tcPr>
          <w:p w:rsidRPr="00D163F6" w:rsidR="00A039C8" w:rsidP="00F6406D" w:rsidRDefault="00E425C4" w14:paraId="54A091A5" w14:textId="1B5F7E1E">
            <w:pPr>
              <w:pStyle w:val="ListParagraph"/>
              <w:ind w:left="0"/>
              <w:jc w:val="center"/>
            </w:pPr>
            <w:r>
              <w:t>500</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5E04EC" w:rsidR="00A039C8" w:rsidP="00F6406D" w:rsidRDefault="00A039C8" w14:paraId="2F00571C" w14:textId="3975F36E">
            <w:pPr>
              <w:pStyle w:val="ListParagraph"/>
              <w:ind w:left="0"/>
              <w:jc w:val="center"/>
            </w:pPr>
            <w:r>
              <w:t>28</w:t>
            </w:r>
            <w:r w:rsidRPr="00D163F6">
              <w:t>/60</w:t>
            </w:r>
            <w:r w:rsidR="007D2A62">
              <w:t>^</w:t>
            </w:r>
          </w:p>
        </w:tc>
        <w:tc>
          <w:tcPr>
            <w:tcW w:w="1097" w:type="dxa"/>
            <w:tcBorders>
              <w:top w:val="nil"/>
              <w:left w:val="single" w:color="auto" w:sz="4" w:space="0"/>
              <w:bottom w:val="single" w:color="auto" w:sz="8" w:space="0"/>
              <w:right w:val="single" w:color="auto" w:sz="4" w:space="0"/>
            </w:tcBorders>
          </w:tcPr>
          <w:p w:rsidR="00E425C4" w:rsidP="00E425C4" w:rsidRDefault="00E425C4" w14:paraId="666B3A8F" w14:textId="10CF05DB">
            <w:pPr>
              <w:pStyle w:val="ListParagraph"/>
              <w:ind w:left="0"/>
              <w:jc w:val="center"/>
            </w:pPr>
            <w:r>
              <w:t>2083</w:t>
            </w:r>
          </w:p>
        </w:tc>
        <w:tc>
          <w:tcPr>
            <w:tcW w:w="1427"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00A039C8" w:rsidP="00F6406D" w:rsidRDefault="00E425C4" w14:paraId="3B1AA3CA" w14:textId="7D089514">
            <w:pPr>
              <w:pStyle w:val="ListParagraph"/>
              <w:ind w:left="0"/>
              <w:jc w:val="center"/>
            </w:pPr>
            <w:r>
              <w:t>2333</w:t>
            </w:r>
          </w:p>
        </w:tc>
      </w:tr>
      <w:tr w:rsidR="00A039C8" w:rsidTr="00CC7339" w14:paraId="4D87C1F5"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A039C8" w:rsidDel="00882488" w:rsidP="00F6406D" w:rsidRDefault="00A039C8" w14:paraId="0F781BEF" w14:textId="77777777">
            <w:pPr>
              <w:jc w:val="center"/>
            </w:pPr>
            <w:r>
              <w:t>MuGSI Extended-Spectrum Beta-Lactamase-Producing Enterobacteriaceae (ESBL)</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A039C8" w:rsidP="00F6406D" w:rsidRDefault="00A039C8" w14:paraId="0DD45DF1" w14:textId="77777777">
            <w:pPr>
              <w:pStyle w:val="ListParagraph"/>
              <w:ind w:left="0"/>
              <w:jc w:val="center"/>
            </w:pPr>
            <w:r w:rsidRPr="00D163F6">
              <w:t>10</w:t>
            </w:r>
          </w:p>
        </w:tc>
        <w:tc>
          <w:tcPr>
            <w:tcW w:w="1680" w:type="dxa"/>
            <w:tcBorders>
              <w:top w:val="single" w:color="auto" w:sz="4" w:space="0"/>
              <w:left w:val="single" w:color="auto" w:sz="4" w:space="0"/>
              <w:bottom w:val="single" w:color="auto" w:sz="4" w:space="0"/>
              <w:right w:val="single" w:color="auto" w:sz="4" w:space="0"/>
            </w:tcBorders>
          </w:tcPr>
          <w:p w:rsidRPr="00D163F6" w:rsidR="00A039C8" w:rsidP="00F6406D" w:rsidRDefault="00A039C8" w14:paraId="2724B048" w14:textId="77777777">
            <w:pPr>
              <w:pStyle w:val="ListParagraph"/>
              <w:ind w:left="0"/>
              <w:jc w:val="center"/>
            </w:pPr>
            <w:r w:rsidRPr="00D163F6">
              <w:t>1104</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A039C8" w:rsidP="00F6406D" w:rsidRDefault="00A039C8" w14:paraId="458B89CE" w14:textId="4D4C2377">
            <w:pPr>
              <w:pStyle w:val="ListParagraph"/>
              <w:ind w:left="0"/>
              <w:jc w:val="center"/>
            </w:pPr>
            <w:r>
              <w:t>28</w:t>
            </w:r>
            <w:r w:rsidRPr="00D163F6">
              <w:t>/60</w:t>
            </w:r>
            <w:r w:rsidR="007D2A62">
              <w:t>^</w:t>
            </w:r>
          </w:p>
        </w:tc>
        <w:tc>
          <w:tcPr>
            <w:tcW w:w="1097" w:type="dxa"/>
            <w:tcBorders>
              <w:top w:val="nil"/>
              <w:left w:val="single" w:color="auto" w:sz="4" w:space="0"/>
              <w:bottom w:val="single" w:color="auto" w:sz="8" w:space="0"/>
              <w:right w:val="single" w:color="auto" w:sz="4" w:space="0"/>
            </w:tcBorders>
          </w:tcPr>
          <w:p w:rsidRPr="00630B2B" w:rsidR="00A039C8" w:rsidP="00F6406D" w:rsidRDefault="00A039C8" w14:paraId="6C9AAD75" w14:textId="024B30ED">
            <w:pPr>
              <w:pStyle w:val="ListParagraph"/>
              <w:ind w:left="0"/>
              <w:jc w:val="center"/>
            </w:pPr>
            <w:r>
              <w:t>4600</w:t>
            </w:r>
          </w:p>
        </w:tc>
        <w:tc>
          <w:tcPr>
            <w:tcW w:w="1427"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630B2B" w:rsidR="00A039C8" w:rsidP="00F6406D" w:rsidRDefault="00E425C4" w14:paraId="153280E6" w14:textId="7CF9682A">
            <w:pPr>
              <w:pStyle w:val="ListParagraph"/>
              <w:ind w:left="0"/>
              <w:jc w:val="center"/>
            </w:pPr>
            <w:r>
              <w:t>5152</w:t>
            </w:r>
          </w:p>
        </w:tc>
      </w:tr>
      <w:tr w:rsidR="00A039C8" w:rsidTr="00CC7339" w14:paraId="4491A562"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A039C8" w:rsidDel="00882488" w:rsidP="00F6406D" w:rsidRDefault="00A039C8" w14:paraId="6C28BC01" w14:textId="77777777">
            <w:pPr>
              <w:jc w:val="center"/>
            </w:pPr>
            <w:r w:rsidRPr="00767416">
              <w:rPr>
                <w:bCs/>
              </w:rPr>
              <w:t xml:space="preserve">Invasive Methicillin-resistant </w:t>
            </w:r>
            <w:r w:rsidRPr="00767416">
              <w:rPr>
                <w:bCs/>
                <w:i/>
              </w:rPr>
              <w:t>Staphylococcus aureus</w:t>
            </w:r>
            <w:r w:rsidRPr="00767416">
              <w:rPr>
                <w:bCs/>
              </w:rPr>
              <w:t xml:space="preserve"> </w:t>
            </w:r>
            <w:r>
              <w:rPr>
                <w:bCs/>
              </w:rPr>
              <w:t>(MRSA) Infection Case Report Form</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A039C8" w:rsidP="00F6406D" w:rsidRDefault="00A039C8" w14:paraId="71C150B2" w14:textId="77777777">
            <w:pPr>
              <w:pStyle w:val="ListParagraph"/>
              <w:ind w:left="0"/>
              <w:jc w:val="center"/>
            </w:pPr>
            <w:r w:rsidRPr="00D163F6">
              <w:t>10</w:t>
            </w:r>
          </w:p>
        </w:tc>
        <w:tc>
          <w:tcPr>
            <w:tcW w:w="1680" w:type="dxa"/>
            <w:tcBorders>
              <w:top w:val="single" w:color="auto" w:sz="4" w:space="0"/>
              <w:left w:val="single" w:color="auto" w:sz="4" w:space="0"/>
              <w:bottom w:val="single" w:color="auto" w:sz="4" w:space="0"/>
              <w:right w:val="single" w:color="auto" w:sz="4" w:space="0"/>
            </w:tcBorders>
          </w:tcPr>
          <w:p w:rsidRPr="00D163F6" w:rsidR="00A039C8" w:rsidP="00F6406D" w:rsidRDefault="00A039C8" w14:paraId="2041B0E1" w14:textId="77777777">
            <w:pPr>
              <w:pStyle w:val="ListParagraph"/>
              <w:ind w:left="0"/>
              <w:jc w:val="center"/>
            </w:pPr>
            <w:r w:rsidRPr="00D163F6">
              <w:t>340</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A039C8" w:rsidP="00F6406D" w:rsidRDefault="00A039C8" w14:paraId="132B7717" w14:textId="071E0E98">
            <w:pPr>
              <w:pStyle w:val="ListParagraph"/>
              <w:ind w:left="0"/>
              <w:jc w:val="center"/>
            </w:pPr>
            <w:r>
              <w:t>28</w:t>
            </w:r>
            <w:r w:rsidRPr="00D163F6">
              <w:t>/60</w:t>
            </w:r>
            <w:r w:rsidR="007D2A62">
              <w:t>^</w:t>
            </w:r>
          </w:p>
        </w:tc>
        <w:tc>
          <w:tcPr>
            <w:tcW w:w="1097" w:type="dxa"/>
            <w:tcBorders>
              <w:top w:val="nil"/>
              <w:left w:val="single" w:color="auto" w:sz="4" w:space="0"/>
              <w:bottom w:val="single" w:color="auto" w:sz="8" w:space="0"/>
              <w:right w:val="single" w:color="auto" w:sz="4" w:space="0"/>
            </w:tcBorders>
          </w:tcPr>
          <w:p w:rsidR="009B5B74" w:rsidP="009B5B74" w:rsidRDefault="009B5B74" w14:paraId="07946EC3" w14:textId="261C958D">
            <w:pPr>
              <w:pStyle w:val="ListParagraph"/>
              <w:ind w:left="0"/>
              <w:jc w:val="center"/>
            </w:pPr>
            <w:r>
              <w:t>1417</w:t>
            </w:r>
          </w:p>
        </w:tc>
        <w:tc>
          <w:tcPr>
            <w:tcW w:w="1427"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630B2B" w:rsidR="00A039C8" w:rsidP="00F6406D" w:rsidRDefault="00E425C4" w14:paraId="05846E8C" w14:textId="27229019">
            <w:pPr>
              <w:pStyle w:val="ListParagraph"/>
              <w:ind w:left="0"/>
              <w:jc w:val="center"/>
            </w:pPr>
            <w:r>
              <w:t>1587</w:t>
            </w:r>
          </w:p>
        </w:tc>
      </w:tr>
      <w:tr w:rsidR="00A039C8" w:rsidTr="00CC7339" w14:paraId="576276CE"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A039C8" w:rsidDel="00882488" w:rsidP="00F6406D" w:rsidRDefault="00A039C8" w14:paraId="2282871B" w14:textId="77777777">
            <w:pPr>
              <w:jc w:val="center"/>
            </w:pPr>
            <w:r>
              <w:rPr>
                <w:bCs/>
              </w:rPr>
              <w:t xml:space="preserve">Invasive Methicillin-sensitive </w:t>
            </w:r>
            <w:r w:rsidRPr="00767416">
              <w:rPr>
                <w:bCs/>
                <w:i/>
              </w:rPr>
              <w:t>Staphylococcus aureus</w:t>
            </w:r>
            <w:r w:rsidRPr="00767416">
              <w:rPr>
                <w:bCs/>
              </w:rPr>
              <w:t xml:space="preserve"> </w:t>
            </w:r>
            <w:r>
              <w:rPr>
                <w:bCs/>
              </w:rPr>
              <w:t>(MSSA) Infection Case Report Form</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A039C8" w:rsidP="00F6406D" w:rsidRDefault="00A039C8" w14:paraId="0485DCDF" w14:textId="77777777">
            <w:pPr>
              <w:pStyle w:val="ListParagraph"/>
              <w:ind w:left="0"/>
              <w:jc w:val="center"/>
            </w:pPr>
            <w:r w:rsidRPr="00D163F6">
              <w:t>10</w:t>
            </w:r>
          </w:p>
        </w:tc>
        <w:tc>
          <w:tcPr>
            <w:tcW w:w="1680" w:type="dxa"/>
            <w:tcBorders>
              <w:top w:val="single" w:color="auto" w:sz="4" w:space="0"/>
              <w:left w:val="single" w:color="auto" w:sz="4" w:space="0"/>
              <w:bottom w:val="single" w:color="auto" w:sz="4" w:space="0"/>
              <w:right w:val="single" w:color="auto" w:sz="4" w:space="0"/>
            </w:tcBorders>
          </w:tcPr>
          <w:p w:rsidRPr="00D163F6" w:rsidR="00A039C8" w:rsidP="00F6406D" w:rsidRDefault="00A039C8" w14:paraId="1E77041F" w14:textId="77777777">
            <w:pPr>
              <w:pStyle w:val="ListParagraph"/>
              <w:ind w:left="0"/>
              <w:jc w:val="center"/>
            </w:pPr>
            <w:r w:rsidRPr="00D163F6">
              <w:t>584</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A039C8" w:rsidP="00F6406D" w:rsidRDefault="00A039C8" w14:paraId="56E5DA13" w14:textId="73FECF5E">
            <w:pPr>
              <w:pStyle w:val="ListParagraph"/>
              <w:ind w:left="0"/>
              <w:jc w:val="center"/>
            </w:pPr>
            <w:r>
              <w:t>28</w:t>
            </w:r>
            <w:r w:rsidRPr="00D163F6">
              <w:t>/60</w:t>
            </w:r>
            <w:r w:rsidR="007D2A62">
              <w:t>^</w:t>
            </w:r>
          </w:p>
        </w:tc>
        <w:tc>
          <w:tcPr>
            <w:tcW w:w="1097" w:type="dxa"/>
            <w:tcBorders>
              <w:top w:val="nil"/>
              <w:left w:val="single" w:color="auto" w:sz="4" w:space="0"/>
              <w:bottom w:val="single" w:color="auto" w:sz="8" w:space="0"/>
              <w:right w:val="single" w:color="auto" w:sz="4" w:space="0"/>
            </w:tcBorders>
          </w:tcPr>
          <w:p w:rsidR="00A039C8" w:rsidP="00F6406D" w:rsidRDefault="009B5B74" w14:paraId="4F52559F" w14:textId="6525DE59">
            <w:pPr>
              <w:pStyle w:val="ListParagraph"/>
              <w:ind w:left="0"/>
              <w:jc w:val="center"/>
            </w:pPr>
            <w:r>
              <w:t>2433</w:t>
            </w:r>
          </w:p>
        </w:tc>
        <w:tc>
          <w:tcPr>
            <w:tcW w:w="1427"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630B2B" w:rsidR="00A039C8" w:rsidP="00F6406D" w:rsidRDefault="00AD59A2" w14:paraId="4AEBE950" w14:textId="11664382">
            <w:pPr>
              <w:pStyle w:val="ListParagraph"/>
              <w:ind w:left="0"/>
              <w:jc w:val="center"/>
            </w:pPr>
            <w:r>
              <w:t>2725</w:t>
            </w:r>
          </w:p>
        </w:tc>
      </w:tr>
      <w:tr w:rsidR="00A039C8" w:rsidTr="00CC7339" w14:paraId="7DE91793"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A039C8" w:rsidP="00F6406D" w:rsidRDefault="00A039C8" w14:paraId="7774A762" w14:textId="77777777">
            <w:pPr>
              <w:jc w:val="center"/>
              <w:rPr>
                <w:bCs/>
              </w:rPr>
            </w:pPr>
            <w:r>
              <w:t xml:space="preserve">CDI </w:t>
            </w:r>
            <w:r w:rsidRPr="004B37A7">
              <w:t>Case Report</w:t>
            </w:r>
            <w:r>
              <w:t xml:space="preserve"> and Treatment</w:t>
            </w:r>
            <w:r w:rsidRPr="004B37A7">
              <w:t xml:space="preserve"> Form</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A039C8" w:rsidP="00F6406D" w:rsidRDefault="00A039C8" w14:paraId="51463FAE" w14:textId="77777777">
            <w:pPr>
              <w:pStyle w:val="ListParagraph"/>
              <w:ind w:left="0"/>
              <w:jc w:val="center"/>
            </w:pPr>
            <w:r>
              <w:t>10</w:t>
            </w:r>
          </w:p>
        </w:tc>
        <w:tc>
          <w:tcPr>
            <w:tcW w:w="1680" w:type="dxa"/>
            <w:tcBorders>
              <w:top w:val="single" w:color="auto" w:sz="4" w:space="0"/>
              <w:left w:val="single" w:color="auto" w:sz="4" w:space="0"/>
              <w:bottom w:val="single" w:color="auto" w:sz="4" w:space="0"/>
              <w:right w:val="single" w:color="auto" w:sz="4" w:space="0"/>
            </w:tcBorders>
          </w:tcPr>
          <w:p w:rsidRPr="00D163F6" w:rsidR="00A039C8" w:rsidP="00F6406D" w:rsidRDefault="00A039C8" w14:paraId="0F05D167" w14:textId="77777777">
            <w:pPr>
              <w:pStyle w:val="ListParagraph"/>
              <w:ind w:left="0"/>
              <w:jc w:val="center"/>
            </w:pPr>
            <w:r>
              <w:t>1650</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A039C8" w:rsidP="00F6406D" w:rsidRDefault="00A039C8" w14:paraId="6D3F1210" w14:textId="1B389D88">
            <w:pPr>
              <w:pStyle w:val="ListParagraph"/>
              <w:ind w:left="0"/>
              <w:jc w:val="center"/>
            </w:pPr>
            <w:r>
              <w:t>38/60</w:t>
            </w:r>
            <w:r w:rsidR="007D2A62">
              <w:t>^</w:t>
            </w:r>
          </w:p>
        </w:tc>
        <w:tc>
          <w:tcPr>
            <w:tcW w:w="1097" w:type="dxa"/>
            <w:tcBorders>
              <w:top w:val="nil"/>
              <w:left w:val="single" w:color="auto" w:sz="4" w:space="0"/>
              <w:bottom w:val="single" w:color="auto" w:sz="4" w:space="0"/>
              <w:right w:val="single" w:color="auto" w:sz="4" w:space="0"/>
            </w:tcBorders>
          </w:tcPr>
          <w:p w:rsidR="00A039C8" w:rsidP="00F6406D" w:rsidRDefault="00D70251" w14:paraId="638AA720" w14:textId="3DC113A1">
            <w:pPr>
              <w:pStyle w:val="ListParagraph"/>
              <w:ind w:left="0"/>
              <w:jc w:val="center"/>
            </w:pPr>
            <w:r>
              <w:t>9625</w:t>
            </w:r>
          </w:p>
        </w:tc>
        <w:tc>
          <w:tcPr>
            <w:tcW w:w="1427" w:type="dxa"/>
            <w:tcBorders>
              <w:top w:val="nil"/>
              <w:left w:val="single" w:color="auto" w:sz="4" w:space="0"/>
              <w:bottom w:val="single" w:color="auto" w:sz="4" w:space="0"/>
              <w:right w:val="single" w:color="auto" w:sz="8" w:space="0"/>
            </w:tcBorders>
            <w:tcMar>
              <w:top w:w="0" w:type="dxa"/>
              <w:left w:w="108" w:type="dxa"/>
              <w:bottom w:w="0" w:type="dxa"/>
              <w:right w:w="108" w:type="dxa"/>
            </w:tcMar>
          </w:tcPr>
          <w:p w:rsidR="00A039C8" w:rsidP="00F6406D" w:rsidRDefault="00AD59A2" w14:paraId="27A4F21D" w14:textId="660032EF">
            <w:pPr>
              <w:pStyle w:val="ListParagraph"/>
              <w:ind w:left="0"/>
              <w:jc w:val="center"/>
            </w:pPr>
            <w:r>
              <w:t>10450</w:t>
            </w:r>
          </w:p>
        </w:tc>
      </w:tr>
      <w:tr w:rsidR="006B39EF" w:rsidTr="00CC7339" w14:paraId="096E228D"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2C48D768" w14:textId="093AE09D">
            <w:pPr>
              <w:jc w:val="center"/>
            </w:pPr>
            <w:bookmarkStart w:name="_GoBack" w:colFirst="4" w:colLast="5" w:id="1"/>
            <w:r>
              <w:lastRenderedPageBreak/>
              <w:t>Candidemia Case Report Form</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017C800F" w14:textId="2CA7FA79">
            <w:pPr>
              <w:pStyle w:val="ListParagraph"/>
              <w:ind w:left="0"/>
              <w:jc w:val="center"/>
            </w:pPr>
            <w:r>
              <w:t>10</w:t>
            </w:r>
          </w:p>
        </w:tc>
        <w:tc>
          <w:tcPr>
            <w:tcW w:w="1680" w:type="dxa"/>
            <w:tcBorders>
              <w:top w:val="single" w:color="auto" w:sz="4" w:space="0"/>
              <w:left w:val="single" w:color="auto" w:sz="4" w:space="0"/>
              <w:bottom w:val="single" w:color="auto" w:sz="4" w:space="0"/>
              <w:right w:val="single" w:color="auto" w:sz="4" w:space="0"/>
            </w:tcBorders>
          </w:tcPr>
          <w:p w:rsidR="006B39EF" w:rsidP="00F6406D" w:rsidRDefault="00817263" w14:paraId="204979AC" w14:textId="7F4A3021">
            <w:pPr>
              <w:pStyle w:val="ListParagraph"/>
              <w:ind w:left="0"/>
              <w:jc w:val="center"/>
            </w:pPr>
            <w:r>
              <w:t>200</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3DCD7422" w14:textId="3BFD3114">
            <w:pPr>
              <w:pStyle w:val="ListParagraph"/>
              <w:ind w:left="0"/>
              <w:jc w:val="center"/>
            </w:pPr>
            <w:r>
              <w:t>30/60</w:t>
            </w:r>
          </w:p>
        </w:tc>
        <w:tc>
          <w:tcPr>
            <w:tcW w:w="1097" w:type="dxa"/>
            <w:tcBorders>
              <w:top w:val="single" w:color="auto" w:sz="4" w:space="0"/>
              <w:left w:val="single" w:color="auto" w:sz="4" w:space="0"/>
              <w:bottom w:val="single" w:color="auto" w:sz="4" w:space="0"/>
              <w:right w:val="single" w:color="auto" w:sz="4" w:space="0"/>
            </w:tcBorders>
          </w:tcPr>
          <w:p w:rsidR="006B39EF" w:rsidP="00F6406D" w:rsidRDefault="00817263" w14:paraId="0DED079F" w14:textId="296A6556">
            <w:pPr>
              <w:pStyle w:val="ListParagraph"/>
              <w:ind w:left="0"/>
              <w:jc w:val="center"/>
            </w:pPr>
            <w:r>
              <w:t>1000</w:t>
            </w:r>
          </w:p>
        </w:tc>
        <w:tc>
          <w:tcPr>
            <w:tcW w:w="14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594A10AA" w14:textId="08174873">
            <w:pPr>
              <w:pStyle w:val="ListParagraph"/>
              <w:ind w:left="0"/>
              <w:jc w:val="center"/>
            </w:pPr>
            <w:r>
              <w:t>1000*</w:t>
            </w:r>
          </w:p>
        </w:tc>
      </w:tr>
      <w:bookmarkEnd w:id="1"/>
      <w:tr w:rsidR="006B39EF" w:rsidTr="009B5B74" w14:paraId="31CDA0BA"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17263" w:rsidR="006B39EF" w:rsidP="00F6406D" w:rsidRDefault="00817263" w14:paraId="2519787F" w14:textId="0C0CCCE9">
            <w:pPr>
              <w:jc w:val="center"/>
            </w:pPr>
            <w:r>
              <w:t xml:space="preserve">Annual Survey of Laboratory Practices for </w:t>
            </w:r>
            <w:r>
              <w:rPr>
                <w:i/>
                <w:iCs/>
              </w:rPr>
              <w:t>C. difficile</w:t>
            </w:r>
            <w:r>
              <w:t xml:space="preserve"> Infections</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5D305509" w14:textId="4F532639">
            <w:pPr>
              <w:pStyle w:val="ListParagraph"/>
              <w:ind w:left="0"/>
              <w:jc w:val="center"/>
            </w:pPr>
            <w:r>
              <w:t>10</w:t>
            </w:r>
          </w:p>
        </w:tc>
        <w:tc>
          <w:tcPr>
            <w:tcW w:w="1680" w:type="dxa"/>
            <w:tcBorders>
              <w:top w:val="single" w:color="auto" w:sz="4" w:space="0"/>
              <w:left w:val="single" w:color="auto" w:sz="4" w:space="0"/>
              <w:bottom w:val="single" w:color="auto" w:sz="4" w:space="0"/>
              <w:right w:val="single" w:color="auto" w:sz="4" w:space="0"/>
            </w:tcBorders>
          </w:tcPr>
          <w:p w:rsidR="006B39EF" w:rsidP="00F6406D" w:rsidRDefault="00817263" w14:paraId="223B1D40" w14:textId="26E1B655">
            <w:pPr>
              <w:pStyle w:val="ListParagraph"/>
              <w:ind w:left="0"/>
              <w:jc w:val="center"/>
            </w:pPr>
            <w:r>
              <w:t>16</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50DDF811" w14:textId="61129E60">
            <w:pPr>
              <w:pStyle w:val="ListParagraph"/>
              <w:ind w:left="0"/>
              <w:jc w:val="center"/>
            </w:pPr>
            <w:r>
              <w:t>15/60</w:t>
            </w:r>
          </w:p>
        </w:tc>
        <w:tc>
          <w:tcPr>
            <w:tcW w:w="1097" w:type="dxa"/>
            <w:tcBorders>
              <w:top w:val="nil"/>
              <w:left w:val="single" w:color="auto" w:sz="4" w:space="0"/>
              <w:bottom w:val="single" w:color="auto" w:sz="4" w:space="0"/>
              <w:right w:val="single" w:color="auto" w:sz="4" w:space="0"/>
            </w:tcBorders>
          </w:tcPr>
          <w:p w:rsidR="006B39EF" w:rsidP="00F6406D" w:rsidRDefault="00817263" w14:paraId="6E827984" w14:textId="5A863D98">
            <w:pPr>
              <w:pStyle w:val="ListParagraph"/>
              <w:ind w:left="0"/>
              <w:jc w:val="center"/>
            </w:pPr>
            <w:r>
              <w:t>40</w:t>
            </w:r>
          </w:p>
        </w:tc>
        <w:tc>
          <w:tcPr>
            <w:tcW w:w="1427" w:type="dxa"/>
            <w:tcBorders>
              <w:top w:val="nil"/>
              <w:left w:val="single" w:color="auto" w:sz="4" w:space="0"/>
              <w:bottom w:val="single" w:color="auto" w:sz="4" w:space="0"/>
              <w:right w:val="single" w:color="auto" w:sz="8" w:space="0"/>
            </w:tcBorders>
            <w:tcMar>
              <w:top w:w="0" w:type="dxa"/>
              <w:left w:w="108" w:type="dxa"/>
              <w:bottom w:w="0" w:type="dxa"/>
              <w:right w:w="108" w:type="dxa"/>
            </w:tcMar>
          </w:tcPr>
          <w:p w:rsidR="006B39EF" w:rsidP="00F6406D" w:rsidRDefault="00817263" w14:paraId="1E7CB8E3" w14:textId="54F60CAF">
            <w:pPr>
              <w:pStyle w:val="ListParagraph"/>
              <w:ind w:left="0"/>
              <w:jc w:val="center"/>
            </w:pPr>
            <w:r>
              <w:t>40*</w:t>
            </w:r>
          </w:p>
        </w:tc>
      </w:tr>
      <w:tr w:rsidR="006B39EF" w:rsidTr="009B5B74" w14:paraId="1CB8D333"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19A07FA5" w14:textId="44B2014F">
            <w:pPr>
              <w:jc w:val="center"/>
            </w:pPr>
            <w:r>
              <w:t>CDI Annual Surveillance Officers Survey</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3D4D9450" w14:textId="36435E1C">
            <w:pPr>
              <w:pStyle w:val="ListParagraph"/>
              <w:ind w:left="0"/>
              <w:jc w:val="center"/>
            </w:pPr>
            <w:r>
              <w:t>10</w:t>
            </w:r>
          </w:p>
        </w:tc>
        <w:tc>
          <w:tcPr>
            <w:tcW w:w="1680" w:type="dxa"/>
            <w:tcBorders>
              <w:top w:val="single" w:color="auto" w:sz="4" w:space="0"/>
              <w:left w:val="single" w:color="auto" w:sz="4" w:space="0"/>
              <w:bottom w:val="single" w:color="auto" w:sz="4" w:space="0"/>
              <w:right w:val="single" w:color="auto" w:sz="4" w:space="0"/>
            </w:tcBorders>
          </w:tcPr>
          <w:p w:rsidR="006B39EF" w:rsidP="00F6406D" w:rsidRDefault="00817263" w14:paraId="643FA3D1" w14:textId="517E1AC8">
            <w:pPr>
              <w:pStyle w:val="ListParagraph"/>
              <w:ind w:left="0"/>
              <w:jc w:val="center"/>
            </w:pPr>
            <w:r>
              <w:t>1</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787C7232" w14:textId="7F65DAAC">
            <w:pPr>
              <w:pStyle w:val="ListParagraph"/>
              <w:ind w:left="0"/>
              <w:jc w:val="center"/>
            </w:pPr>
            <w:r>
              <w:t>15/60</w:t>
            </w:r>
          </w:p>
        </w:tc>
        <w:tc>
          <w:tcPr>
            <w:tcW w:w="1097" w:type="dxa"/>
            <w:tcBorders>
              <w:top w:val="nil"/>
              <w:left w:val="single" w:color="auto" w:sz="4" w:space="0"/>
              <w:bottom w:val="single" w:color="auto" w:sz="4" w:space="0"/>
              <w:right w:val="single" w:color="auto" w:sz="4" w:space="0"/>
            </w:tcBorders>
          </w:tcPr>
          <w:p w:rsidR="006B39EF" w:rsidP="00F6406D" w:rsidRDefault="00817263" w14:paraId="5935F03C" w14:textId="0182FAF0">
            <w:pPr>
              <w:pStyle w:val="ListParagraph"/>
              <w:ind w:left="0"/>
              <w:jc w:val="center"/>
            </w:pPr>
            <w:r>
              <w:t>3</w:t>
            </w:r>
          </w:p>
        </w:tc>
        <w:tc>
          <w:tcPr>
            <w:tcW w:w="1427" w:type="dxa"/>
            <w:tcBorders>
              <w:top w:val="nil"/>
              <w:left w:val="single" w:color="auto" w:sz="4" w:space="0"/>
              <w:bottom w:val="single" w:color="auto" w:sz="4" w:space="0"/>
              <w:right w:val="single" w:color="auto" w:sz="8" w:space="0"/>
            </w:tcBorders>
            <w:tcMar>
              <w:top w:w="0" w:type="dxa"/>
              <w:left w:w="108" w:type="dxa"/>
              <w:bottom w:w="0" w:type="dxa"/>
              <w:right w:w="108" w:type="dxa"/>
            </w:tcMar>
          </w:tcPr>
          <w:p w:rsidR="006B39EF" w:rsidP="00F6406D" w:rsidRDefault="00817263" w14:paraId="054E023F" w14:textId="1ED707A8">
            <w:pPr>
              <w:pStyle w:val="ListParagraph"/>
              <w:ind w:left="0"/>
              <w:jc w:val="center"/>
            </w:pPr>
            <w:r>
              <w:t>3*</w:t>
            </w:r>
          </w:p>
        </w:tc>
      </w:tr>
      <w:tr w:rsidR="006B39EF" w:rsidTr="009B5B74" w14:paraId="323B8109"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6071FF55" w14:textId="4BB29CAF">
            <w:pPr>
              <w:jc w:val="center"/>
            </w:pPr>
            <w:r w:rsidRPr="00CC7339">
              <w:t xml:space="preserve">Emerging Infections Program </w:t>
            </w:r>
            <w:r w:rsidRPr="00CC7339">
              <w:rPr>
                <w:i/>
              </w:rPr>
              <w:t xml:space="preserve">C. </w:t>
            </w:r>
            <w:proofErr w:type="gramStart"/>
            <w:r w:rsidRPr="00CC7339">
              <w:rPr>
                <w:i/>
              </w:rPr>
              <w:t>difficile</w:t>
            </w:r>
            <w:proofErr w:type="gramEnd"/>
            <w:r w:rsidRPr="00CC7339">
              <w:rPr>
                <w:i/>
              </w:rPr>
              <w:t xml:space="preserve"> </w:t>
            </w:r>
            <w:r w:rsidRPr="00CC7339">
              <w:rPr>
                <w:iCs/>
              </w:rPr>
              <w:t>Surveillance Nursing Home Telephone Survey (LTCF)</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105D452F" w14:textId="55A07FE7">
            <w:pPr>
              <w:pStyle w:val="ListParagraph"/>
              <w:ind w:left="0"/>
              <w:jc w:val="center"/>
            </w:pPr>
            <w:r>
              <w:t>10</w:t>
            </w:r>
          </w:p>
        </w:tc>
        <w:tc>
          <w:tcPr>
            <w:tcW w:w="1680" w:type="dxa"/>
            <w:tcBorders>
              <w:top w:val="single" w:color="auto" w:sz="4" w:space="0"/>
              <w:left w:val="single" w:color="auto" w:sz="4" w:space="0"/>
              <w:bottom w:val="single" w:color="auto" w:sz="4" w:space="0"/>
              <w:right w:val="single" w:color="auto" w:sz="4" w:space="0"/>
            </w:tcBorders>
          </w:tcPr>
          <w:p w:rsidR="006B39EF" w:rsidP="00F6406D" w:rsidRDefault="00817263" w14:paraId="6533E5BA" w14:textId="032EBB41">
            <w:pPr>
              <w:pStyle w:val="ListParagraph"/>
              <w:ind w:left="0"/>
              <w:jc w:val="center"/>
            </w:pPr>
            <w:r>
              <w:t>45</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817263" w14:paraId="1300FF9E" w14:textId="21818772">
            <w:pPr>
              <w:pStyle w:val="ListParagraph"/>
              <w:ind w:left="0"/>
              <w:jc w:val="center"/>
            </w:pPr>
            <w:r>
              <w:t>5/60</w:t>
            </w:r>
          </w:p>
        </w:tc>
        <w:tc>
          <w:tcPr>
            <w:tcW w:w="1097" w:type="dxa"/>
            <w:tcBorders>
              <w:top w:val="nil"/>
              <w:left w:val="single" w:color="auto" w:sz="4" w:space="0"/>
              <w:bottom w:val="single" w:color="auto" w:sz="4" w:space="0"/>
              <w:right w:val="single" w:color="auto" w:sz="4" w:space="0"/>
            </w:tcBorders>
          </w:tcPr>
          <w:p w:rsidR="006B39EF" w:rsidP="00F6406D" w:rsidRDefault="00817263" w14:paraId="285B0B38" w14:textId="0B226B94">
            <w:pPr>
              <w:pStyle w:val="ListParagraph"/>
              <w:ind w:left="0"/>
              <w:jc w:val="center"/>
            </w:pPr>
            <w:r>
              <w:t>38</w:t>
            </w:r>
          </w:p>
        </w:tc>
        <w:tc>
          <w:tcPr>
            <w:tcW w:w="1427" w:type="dxa"/>
            <w:tcBorders>
              <w:top w:val="nil"/>
              <w:left w:val="single" w:color="auto" w:sz="4" w:space="0"/>
              <w:bottom w:val="single" w:color="auto" w:sz="4" w:space="0"/>
              <w:right w:val="single" w:color="auto" w:sz="8" w:space="0"/>
            </w:tcBorders>
            <w:tcMar>
              <w:top w:w="0" w:type="dxa"/>
              <w:left w:w="108" w:type="dxa"/>
              <w:bottom w:w="0" w:type="dxa"/>
              <w:right w:w="108" w:type="dxa"/>
            </w:tcMar>
          </w:tcPr>
          <w:p w:rsidR="006B39EF" w:rsidP="00F6406D" w:rsidRDefault="00817263" w14:paraId="47CA2D5F" w14:textId="5FFBE749">
            <w:pPr>
              <w:pStyle w:val="ListParagraph"/>
              <w:ind w:left="0"/>
              <w:jc w:val="center"/>
            </w:pPr>
            <w:r>
              <w:t>38*</w:t>
            </w:r>
          </w:p>
        </w:tc>
      </w:tr>
      <w:tr w:rsidR="006B39EF" w:rsidTr="009B5B74" w14:paraId="4D1F25D7"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7D2A62" w14:paraId="43EA6152" w14:textId="50C85084">
            <w:pPr>
              <w:jc w:val="center"/>
            </w:pPr>
            <w:r w:rsidRPr="00CC7339">
              <w:t xml:space="preserve">Invasive </w:t>
            </w:r>
            <w:r w:rsidRPr="00CC7339">
              <w:rPr>
                <w:i/>
              </w:rPr>
              <w:t>Staphylococcus aureus</w:t>
            </w:r>
            <w:r w:rsidRPr="00CC7339">
              <w:t xml:space="preserve"> Laboratory Survey: Use of Nucleic Acid Amplification Testing (NAAT)</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7D2A62" w14:paraId="11A4631B" w14:textId="60789586">
            <w:pPr>
              <w:pStyle w:val="ListParagraph"/>
              <w:ind w:left="0"/>
              <w:jc w:val="center"/>
            </w:pPr>
            <w:r>
              <w:t>10</w:t>
            </w:r>
          </w:p>
        </w:tc>
        <w:tc>
          <w:tcPr>
            <w:tcW w:w="1680" w:type="dxa"/>
            <w:tcBorders>
              <w:top w:val="single" w:color="auto" w:sz="4" w:space="0"/>
              <w:left w:val="single" w:color="auto" w:sz="4" w:space="0"/>
              <w:bottom w:val="single" w:color="auto" w:sz="4" w:space="0"/>
              <w:right w:val="single" w:color="auto" w:sz="4" w:space="0"/>
            </w:tcBorders>
          </w:tcPr>
          <w:p w:rsidR="006B39EF" w:rsidP="00F6406D" w:rsidRDefault="007D2A62" w14:paraId="6A7AADE4" w14:textId="49A32CC8">
            <w:pPr>
              <w:pStyle w:val="ListParagraph"/>
              <w:ind w:left="0"/>
              <w:jc w:val="center"/>
            </w:pPr>
            <w:r>
              <w:t>11</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7D2A62" w14:paraId="7F6DEEAC" w14:textId="2EB58398">
            <w:pPr>
              <w:pStyle w:val="ListParagraph"/>
              <w:ind w:left="0"/>
              <w:jc w:val="center"/>
            </w:pPr>
            <w:r>
              <w:t>20/60</w:t>
            </w:r>
          </w:p>
        </w:tc>
        <w:tc>
          <w:tcPr>
            <w:tcW w:w="1097" w:type="dxa"/>
            <w:tcBorders>
              <w:top w:val="nil"/>
              <w:left w:val="single" w:color="auto" w:sz="4" w:space="0"/>
              <w:bottom w:val="single" w:color="auto" w:sz="4" w:space="0"/>
              <w:right w:val="single" w:color="auto" w:sz="4" w:space="0"/>
            </w:tcBorders>
          </w:tcPr>
          <w:p w:rsidR="006B39EF" w:rsidP="00F6406D" w:rsidRDefault="007D2A62" w14:paraId="376A3D70" w14:textId="2B976F55">
            <w:pPr>
              <w:pStyle w:val="ListParagraph"/>
              <w:ind w:left="0"/>
              <w:jc w:val="center"/>
            </w:pPr>
            <w:r>
              <w:t>37</w:t>
            </w:r>
          </w:p>
        </w:tc>
        <w:tc>
          <w:tcPr>
            <w:tcW w:w="1427" w:type="dxa"/>
            <w:tcBorders>
              <w:top w:val="nil"/>
              <w:left w:val="single" w:color="auto" w:sz="4" w:space="0"/>
              <w:bottom w:val="single" w:color="auto" w:sz="4" w:space="0"/>
              <w:right w:val="single" w:color="auto" w:sz="8" w:space="0"/>
            </w:tcBorders>
            <w:tcMar>
              <w:top w:w="0" w:type="dxa"/>
              <w:left w:w="108" w:type="dxa"/>
              <w:bottom w:w="0" w:type="dxa"/>
              <w:right w:w="108" w:type="dxa"/>
            </w:tcMar>
          </w:tcPr>
          <w:p w:rsidR="006B39EF" w:rsidP="00F6406D" w:rsidRDefault="007D2A62" w14:paraId="01C3BC65" w14:textId="05ADBA3C">
            <w:pPr>
              <w:pStyle w:val="ListParagraph"/>
              <w:ind w:left="0"/>
              <w:jc w:val="center"/>
            </w:pPr>
            <w:r>
              <w:t>37*</w:t>
            </w:r>
          </w:p>
        </w:tc>
      </w:tr>
      <w:tr w:rsidR="006B39EF" w:rsidTr="009B5B74" w14:paraId="265FBF71"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7D2A62" w14:paraId="4F99DB08" w14:textId="7FCEFB66">
            <w:pPr>
              <w:jc w:val="center"/>
            </w:pPr>
            <w:r w:rsidRPr="00CC7339">
              <w:rPr>
                <w:bCs/>
              </w:rPr>
              <w:t xml:space="preserve">Invasive </w:t>
            </w:r>
            <w:r w:rsidRPr="00CC7339">
              <w:rPr>
                <w:bCs/>
                <w:i/>
              </w:rPr>
              <w:t>Staphylococcus aureus</w:t>
            </w:r>
            <w:r w:rsidRPr="00CC7339">
              <w:rPr>
                <w:bCs/>
              </w:rPr>
              <w:t xml:space="preserve"> Supplemental Surveillance Officers Survey</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7D2A62" w14:paraId="5C74AE7A" w14:textId="4B0CB2A9">
            <w:pPr>
              <w:pStyle w:val="ListParagraph"/>
              <w:ind w:left="0"/>
              <w:jc w:val="center"/>
            </w:pPr>
            <w:r>
              <w:t>10</w:t>
            </w:r>
          </w:p>
        </w:tc>
        <w:tc>
          <w:tcPr>
            <w:tcW w:w="1680" w:type="dxa"/>
            <w:tcBorders>
              <w:top w:val="single" w:color="auto" w:sz="4" w:space="0"/>
              <w:left w:val="single" w:color="auto" w:sz="4" w:space="0"/>
              <w:bottom w:val="single" w:color="auto" w:sz="4" w:space="0"/>
              <w:right w:val="single" w:color="auto" w:sz="4" w:space="0"/>
            </w:tcBorders>
          </w:tcPr>
          <w:p w:rsidR="006B39EF" w:rsidP="00F6406D" w:rsidRDefault="007D2A62" w14:paraId="03565FBB" w14:textId="412EC986">
            <w:pPr>
              <w:pStyle w:val="ListParagraph"/>
              <w:ind w:left="0"/>
              <w:jc w:val="center"/>
            </w:pPr>
            <w:r>
              <w:t>1</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6B39EF" w:rsidP="00F6406D" w:rsidRDefault="007D2A62" w14:paraId="23A34182" w14:textId="617773AC">
            <w:pPr>
              <w:pStyle w:val="ListParagraph"/>
              <w:ind w:left="0"/>
              <w:jc w:val="center"/>
            </w:pPr>
            <w:r>
              <w:t>10/60</w:t>
            </w:r>
          </w:p>
        </w:tc>
        <w:tc>
          <w:tcPr>
            <w:tcW w:w="1097" w:type="dxa"/>
            <w:tcBorders>
              <w:top w:val="nil"/>
              <w:left w:val="single" w:color="auto" w:sz="4" w:space="0"/>
              <w:bottom w:val="single" w:color="auto" w:sz="4" w:space="0"/>
              <w:right w:val="single" w:color="auto" w:sz="4" w:space="0"/>
            </w:tcBorders>
          </w:tcPr>
          <w:p w:rsidR="006B39EF" w:rsidP="00F6406D" w:rsidRDefault="007D2A62" w14:paraId="4914D106" w14:textId="38FEBC67">
            <w:pPr>
              <w:pStyle w:val="ListParagraph"/>
              <w:ind w:left="0"/>
              <w:jc w:val="center"/>
            </w:pPr>
            <w:r>
              <w:t>17</w:t>
            </w:r>
          </w:p>
        </w:tc>
        <w:tc>
          <w:tcPr>
            <w:tcW w:w="1427" w:type="dxa"/>
            <w:tcBorders>
              <w:top w:val="nil"/>
              <w:left w:val="single" w:color="auto" w:sz="4" w:space="0"/>
              <w:bottom w:val="single" w:color="auto" w:sz="4" w:space="0"/>
              <w:right w:val="single" w:color="auto" w:sz="8" w:space="0"/>
            </w:tcBorders>
            <w:tcMar>
              <w:top w:w="0" w:type="dxa"/>
              <w:left w:w="108" w:type="dxa"/>
              <w:bottom w:w="0" w:type="dxa"/>
              <w:right w:w="108" w:type="dxa"/>
            </w:tcMar>
          </w:tcPr>
          <w:p w:rsidR="006B39EF" w:rsidP="00F6406D" w:rsidRDefault="007D2A62" w14:paraId="3EA3A0E1" w14:textId="3912E653">
            <w:pPr>
              <w:pStyle w:val="ListParagraph"/>
              <w:ind w:left="0"/>
              <w:jc w:val="center"/>
            </w:pPr>
            <w:r>
              <w:t>17*</w:t>
            </w:r>
          </w:p>
        </w:tc>
      </w:tr>
      <w:tr w:rsidR="007D2A62" w:rsidTr="009B5B74" w14:paraId="6B1BF183" w14:textId="77777777">
        <w:trPr>
          <w:trHeight w:val="235"/>
        </w:trPr>
        <w:tc>
          <w:tcPr>
            <w:tcW w:w="22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D2A62" w:rsidR="007D2A62" w:rsidP="00F6406D" w:rsidRDefault="007D2A62" w14:paraId="6011D2A3" w14:textId="356C75ED">
            <w:pPr>
              <w:jc w:val="center"/>
              <w:rPr>
                <w:bCs/>
              </w:rPr>
            </w:pPr>
            <w:r w:rsidRPr="00CC7339">
              <w:rPr>
                <w:bCs/>
              </w:rPr>
              <w:t>Laboratory Testing Practices for Candidemia Questionnaire</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7D2A62" w:rsidP="00F6406D" w:rsidRDefault="007D2A62" w14:paraId="26CAAFDA" w14:textId="6373EA87">
            <w:pPr>
              <w:pStyle w:val="ListParagraph"/>
              <w:ind w:left="0"/>
              <w:jc w:val="center"/>
            </w:pPr>
            <w:r>
              <w:t>10</w:t>
            </w:r>
          </w:p>
        </w:tc>
        <w:tc>
          <w:tcPr>
            <w:tcW w:w="1680" w:type="dxa"/>
            <w:tcBorders>
              <w:top w:val="single" w:color="auto" w:sz="4" w:space="0"/>
              <w:left w:val="single" w:color="auto" w:sz="4" w:space="0"/>
              <w:bottom w:val="single" w:color="auto" w:sz="4" w:space="0"/>
              <w:right w:val="single" w:color="auto" w:sz="4" w:space="0"/>
            </w:tcBorders>
          </w:tcPr>
          <w:p w:rsidR="007D2A62" w:rsidP="00F6406D" w:rsidRDefault="007D2A62" w14:paraId="48C9029B" w14:textId="3A8B6432">
            <w:pPr>
              <w:pStyle w:val="ListParagraph"/>
              <w:ind w:left="0"/>
              <w:jc w:val="center"/>
            </w:pPr>
            <w:r>
              <w:t>120</w:t>
            </w:r>
          </w:p>
        </w:tc>
        <w:tc>
          <w:tcPr>
            <w:tcW w:w="20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7D2A62" w:rsidP="00F6406D" w:rsidRDefault="007D2A62" w14:paraId="6275C7ED" w14:textId="657277D3">
            <w:pPr>
              <w:pStyle w:val="ListParagraph"/>
              <w:ind w:left="0"/>
              <w:jc w:val="center"/>
            </w:pPr>
            <w:r>
              <w:t>10/60</w:t>
            </w:r>
          </w:p>
        </w:tc>
        <w:tc>
          <w:tcPr>
            <w:tcW w:w="1097" w:type="dxa"/>
            <w:tcBorders>
              <w:top w:val="nil"/>
              <w:left w:val="single" w:color="auto" w:sz="4" w:space="0"/>
              <w:bottom w:val="single" w:color="auto" w:sz="4" w:space="0"/>
              <w:right w:val="single" w:color="auto" w:sz="4" w:space="0"/>
            </w:tcBorders>
          </w:tcPr>
          <w:p w:rsidR="007D2A62" w:rsidP="00F6406D" w:rsidRDefault="007D2A62" w14:paraId="5B83C436" w14:textId="695FDB87">
            <w:pPr>
              <w:pStyle w:val="ListParagraph"/>
              <w:ind w:left="0"/>
              <w:jc w:val="center"/>
            </w:pPr>
            <w:r>
              <w:t>200</w:t>
            </w:r>
          </w:p>
        </w:tc>
        <w:tc>
          <w:tcPr>
            <w:tcW w:w="1427" w:type="dxa"/>
            <w:tcBorders>
              <w:top w:val="nil"/>
              <w:left w:val="single" w:color="auto" w:sz="4" w:space="0"/>
              <w:bottom w:val="single" w:color="auto" w:sz="4" w:space="0"/>
              <w:right w:val="single" w:color="auto" w:sz="8" w:space="0"/>
            </w:tcBorders>
            <w:tcMar>
              <w:top w:w="0" w:type="dxa"/>
              <w:left w:w="108" w:type="dxa"/>
              <w:bottom w:w="0" w:type="dxa"/>
              <w:right w:w="108" w:type="dxa"/>
            </w:tcMar>
          </w:tcPr>
          <w:p w:rsidR="007D2A62" w:rsidP="00F6406D" w:rsidRDefault="007D2A62" w14:paraId="690B21C8" w14:textId="127287F5">
            <w:pPr>
              <w:pStyle w:val="ListParagraph"/>
              <w:ind w:left="0"/>
              <w:jc w:val="center"/>
            </w:pPr>
            <w:r>
              <w:t>200*</w:t>
            </w:r>
          </w:p>
        </w:tc>
      </w:tr>
      <w:tr w:rsidR="00A039C8" w:rsidTr="00CC7339" w14:paraId="2668F51C" w14:textId="77777777">
        <w:trPr>
          <w:trHeight w:val="235"/>
        </w:trPr>
        <w:tc>
          <w:tcPr>
            <w:tcW w:w="2232" w:type="dxa"/>
            <w:tcBorders>
              <w:top w:val="single" w:color="auto" w:sz="4" w:space="0"/>
              <w:left w:val="single" w:color="auto" w:sz="8" w:space="0"/>
              <w:bottom w:val="single" w:color="auto" w:sz="4" w:space="0"/>
              <w:right w:val="single" w:color="auto" w:sz="8" w:space="0"/>
            </w:tcBorders>
          </w:tcPr>
          <w:p w:rsidR="00A039C8" w:rsidP="00F6406D" w:rsidRDefault="00A039C8" w14:paraId="723A68D2" w14:textId="77777777">
            <w:pPr>
              <w:pStyle w:val="ListParagraph"/>
              <w:ind w:left="0"/>
              <w:jc w:val="right"/>
              <w:rPr>
                <w:b/>
                <w:bCs/>
                <w:i/>
                <w:iCs/>
              </w:rPr>
            </w:pPr>
          </w:p>
        </w:tc>
        <w:tc>
          <w:tcPr>
            <w:tcW w:w="5044" w:type="dxa"/>
            <w:gridSpan w:val="3"/>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hideMark/>
          </w:tcPr>
          <w:p w:rsidR="00A039C8" w:rsidP="00F6406D" w:rsidRDefault="00A039C8" w14:paraId="45D43B65" w14:textId="77777777">
            <w:pPr>
              <w:pStyle w:val="ListParagraph"/>
              <w:ind w:left="0"/>
              <w:jc w:val="right"/>
            </w:pPr>
            <w:r>
              <w:rPr>
                <w:b/>
                <w:bCs/>
                <w:i/>
                <w:iCs/>
              </w:rPr>
              <w:t>Total</w:t>
            </w:r>
          </w:p>
        </w:tc>
        <w:tc>
          <w:tcPr>
            <w:tcW w:w="1097" w:type="dxa"/>
            <w:tcBorders>
              <w:top w:val="single" w:color="auto" w:sz="4" w:space="0"/>
              <w:left w:val="single" w:color="auto" w:sz="4" w:space="0"/>
              <w:bottom w:val="single" w:color="auto" w:sz="4" w:space="0"/>
              <w:right w:val="single" w:color="auto" w:sz="4" w:space="0"/>
            </w:tcBorders>
          </w:tcPr>
          <w:p w:rsidR="00A039C8" w:rsidP="00F6406D" w:rsidRDefault="00AD59A2" w14:paraId="30557290" w14:textId="085FBDA8">
            <w:pPr>
              <w:pStyle w:val="ListParagraph"/>
              <w:ind w:left="0"/>
              <w:rPr>
                <w:i/>
                <w:iCs/>
              </w:rPr>
            </w:pPr>
            <w:r>
              <w:rPr>
                <w:i/>
                <w:iCs/>
              </w:rPr>
              <w:t>21,493 hours</w:t>
            </w:r>
          </w:p>
        </w:tc>
        <w:tc>
          <w:tcPr>
            <w:tcW w:w="14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A039C8" w:rsidP="00F6406D" w:rsidRDefault="00AD59A2" w14:paraId="79F77C50" w14:textId="30AEF46F">
            <w:pPr>
              <w:pStyle w:val="ListParagraph"/>
              <w:ind w:left="0"/>
            </w:pPr>
            <w:r>
              <w:rPr>
                <w:i/>
                <w:iCs/>
              </w:rPr>
              <w:t>23,583 hours</w:t>
            </w:r>
          </w:p>
        </w:tc>
      </w:tr>
      <w:tr w:rsidR="007D2A62" w:rsidTr="00CC7339" w14:paraId="1E9671FE" w14:textId="77777777">
        <w:trPr>
          <w:trHeight w:val="562"/>
        </w:trPr>
        <w:tc>
          <w:tcPr>
            <w:tcW w:w="9800" w:type="dxa"/>
            <w:gridSpan w:val="6"/>
            <w:tcBorders>
              <w:top w:val="single" w:color="auto" w:sz="4" w:space="0"/>
              <w:left w:val="single" w:color="auto" w:sz="4" w:space="0"/>
              <w:bottom w:val="single" w:color="auto" w:sz="4" w:space="0"/>
              <w:right w:val="single" w:color="auto" w:sz="4" w:space="0"/>
            </w:tcBorders>
          </w:tcPr>
          <w:p w:rsidR="007D2A62" w:rsidP="00F6406D" w:rsidRDefault="007D2A62" w14:paraId="076AD362" w14:textId="77777777">
            <w:pPr>
              <w:pStyle w:val="ListParagraph"/>
              <w:ind w:left="0"/>
              <w:rPr>
                <w:i/>
                <w:iCs/>
              </w:rPr>
            </w:pPr>
            <w:r>
              <w:rPr>
                <w:i/>
                <w:iCs/>
              </w:rPr>
              <w:t>^ Estimated time spent per response reflects the addition of 3 burden minutes as a result of the proposed changes.</w:t>
            </w:r>
          </w:p>
          <w:p w:rsidRPr="00CC7339" w:rsidR="007D2A62" w:rsidDel="00A039C8" w:rsidP="00CC7339" w:rsidRDefault="007D2A62" w14:paraId="3A20FCFE" w14:textId="141880AC">
            <w:pPr>
              <w:rPr>
                <w:i/>
                <w:iCs/>
              </w:rPr>
            </w:pPr>
            <w:r>
              <w:rPr>
                <w:i/>
                <w:iCs/>
              </w:rPr>
              <w:t xml:space="preserve">*No change in the estimated burden as the </w:t>
            </w:r>
            <w:r w:rsidR="00E6098D">
              <w:rPr>
                <w:i/>
                <w:iCs/>
              </w:rPr>
              <w:t xml:space="preserve">proposed </w:t>
            </w:r>
            <w:r w:rsidR="007C2734">
              <w:rPr>
                <w:i/>
                <w:iCs/>
              </w:rPr>
              <w:t>additional</w:t>
            </w:r>
            <w:r>
              <w:rPr>
                <w:i/>
                <w:iCs/>
              </w:rPr>
              <w:t xml:space="preserve"> questions are not</w:t>
            </w:r>
            <w:r w:rsidR="00E6098D">
              <w:rPr>
                <w:i/>
                <w:iCs/>
              </w:rPr>
              <w:t xml:space="preserve"> being</w:t>
            </w:r>
            <w:r>
              <w:rPr>
                <w:i/>
                <w:iCs/>
              </w:rPr>
              <w:t xml:space="preserve"> added to these HAIC forms.</w:t>
            </w:r>
          </w:p>
        </w:tc>
      </w:tr>
    </w:tbl>
    <w:p w:rsidR="00DB6136" w:rsidP="00DB6136" w:rsidRDefault="00DB6136" w14:paraId="74452ABB" w14:textId="77777777"/>
    <w:p w:rsidR="00FC70C6" w:rsidP="00281300" w:rsidRDefault="00FC70C6" w14:paraId="30CB7914" w14:textId="77777777"/>
    <w:p w:rsidR="00EC04B5" w:rsidP="00281300" w:rsidRDefault="00EC04B5" w14:paraId="08F0B59B" w14:textId="6FE6EA95">
      <w:r>
        <w:t>Attachments</w:t>
      </w:r>
      <w:r w:rsidR="00A35C1D">
        <w:t xml:space="preserve"> with proposed changes highlighted in yellow, including changes to the numbering of existing approved data elements due to the addition of COVID-19-related elements. Note that the final formatting and placement of the proposed COVID-19-related data elements on the case report forms is subject to change</w:t>
      </w:r>
      <w:r>
        <w:t>:</w:t>
      </w:r>
    </w:p>
    <w:p w:rsidR="00EC04B5" w:rsidP="00EC04B5" w:rsidRDefault="0010088B" w14:paraId="1573BDC6" w14:textId="6E35F035">
      <w:pPr>
        <w:pStyle w:val="ListParagraph"/>
        <w:numPr>
          <w:ilvl w:val="0"/>
          <w:numId w:val="2"/>
        </w:numPr>
      </w:pPr>
      <w:r>
        <w:t>EIP HAIC MuGSI-_CRE/CRAB Case Report Form</w:t>
      </w:r>
    </w:p>
    <w:p w:rsidR="0010088B" w:rsidP="00EC04B5" w:rsidRDefault="0010088B" w14:paraId="5AFEED15" w14:textId="271E1B89">
      <w:pPr>
        <w:pStyle w:val="ListParagraph"/>
        <w:numPr>
          <w:ilvl w:val="0"/>
          <w:numId w:val="2"/>
        </w:numPr>
      </w:pPr>
      <w:r>
        <w:t>EIP HAIC MuGSI—ESBL Case Report Form</w:t>
      </w:r>
    </w:p>
    <w:p w:rsidR="0010088B" w:rsidP="0010088B" w:rsidRDefault="0010088B" w14:paraId="4C18B8ED" w14:textId="2E1FE8D3">
      <w:pPr>
        <w:pStyle w:val="ListParagraph"/>
        <w:numPr>
          <w:ilvl w:val="0"/>
          <w:numId w:val="2"/>
        </w:numPr>
      </w:pPr>
      <w:r>
        <w:t>EIP HAIC Invasive MRSA Case Report Form</w:t>
      </w:r>
    </w:p>
    <w:p w:rsidR="0010088B" w:rsidP="0010088B" w:rsidRDefault="0010088B" w14:paraId="6B7B28F9" w14:textId="5665425A">
      <w:pPr>
        <w:pStyle w:val="ListParagraph"/>
        <w:numPr>
          <w:ilvl w:val="0"/>
          <w:numId w:val="2"/>
        </w:numPr>
      </w:pPr>
      <w:r>
        <w:t>EIP HAIC Invasive MSSA Case Report Form</w:t>
      </w:r>
    </w:p>
    <w:p w:rsidR="0010088B" w:rsidP="00EC04B5" w:rsidRDefault="0010088B" w14:paraId="49130F31" w14:textId="1CEBB511">
      <w:pPr>
        <w:pStyle w:val="ListParagraph"/>
        <w:numPr>
          <w:ilvl w:val="0"/>
          <w:numId w:val="2"/>
        </w:numPr>
      </w:pPr>
      <w:r>
        <w:t>EIP HAIC CDI Case Report and Treatment Form</w:t>
      </w:r>
    </w:p>
    <w:p w:rsidRPr="00A12855" w:rsidR="00FE0C54" w:rsidP="00FE0C54" w:rsidRDefault="00FE0C54" w14:paraId="513F6883" w14:textId="29731F00">
      <w:pPr>
        <w:ind w:left="360"/>
      </w:pPr>
    </w:p>
    <w:p w:rsidRPr="00281300" w:rsidR="00FE0C54" w:rsidP="00F569EF" w:rsidRDefault="00FE0C54" w14:paraId="5CC6D40C" w14:textId="77777777"/>
    <w:sectPr w:rsidRPr="00281300" w:rsidR="00FE0C54" w:rsidSect="0054783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815F" w14:textId="77777777" w:rsidR="00DB6136" w:rsidRDefault="00DB6136" w:rsidP="00DB6136">
      <w:r>
        <w:separator/>
      </w:r>
    </w:p>
  </w:endnote>
  <w:endnote w:type="continuationSeparator" w:id="0">
    <w:p w14:paraId="6B210C8E" w14:textId="77777777" w:rsidR="00DB6136" w:rsidRDefault="00DB6136" w:rsidP="00D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D418" w14:textId="77777777" w:rsidR="00DB6136" w:rsidRDefault="00DB6136" w:rsidP="00DB6136">
      <w:r>
        <w:separator/>
      </w:r>
    </w:p>
  </w:footnote>
  <w:footnote w:type="continuationSeparator" w:id="0">
    <w:p w14:paraId="585E7DF6" w14:textId="77777777" w:rsidR="00DB6136" w:rsidRDefault="00DB6136" w:rsidP="00DB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3CC"/>
    <w:multiLevelType w:val="hybridMultilevel"/>
    <w:tmpl w:val="AE2A2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41BB5"/>
    <w:multiLevelType w:val="hybridMultilevel"/>
    <w:tmpl w:val="69F4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952D3"/>
    <w:multiLevelType w:val="hybridMultilevel"/>
    <w:tmpl w:val="816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97C6D"/>
    <w:multiLevelType w:val="hybridMultilevel"/>
    <w:tmpl w:val="B4F0E5EC"/>
    <w:lvl w:ilvl="0" w:tplc="A0A097D8">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7B241D5"/>
    <w:multiLevelType w:val="multilevel"/>
    <w:tmpl w:val="7C5AFA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BB1A43"/>
    <w:multiLevelType w:val="hybridMultilevel"/>
    <w:tmpl w:val="7FB6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10088B"/>
    <w:rsid w:val="00161522"/>
    <w:rsid w:val="001D4D72"/>
    <w:rsid w:val="00263B2F"/>
    <w:rsid w:val="00281300"/>
    <w:rsid w:val="00286AC1"/>
    <w:rsid w:val="002B2BE7"/>
    <w:rsid w:val="00364B6A"/>
    <w:rsid w:val="003852F9"/>
    <w:rsid w:val="004542A1"/>
    <w:rsid w:val="00494074"/>
    <w:rsid w:val="004E4C4F"/>
    <w:rsid w:val="0050153A"/>
    <w:rsid w:val="00502DA9"/>
    <w:rsid w:val="0054783C"/>
    <w:rsid w:val="005766AD"/>
    <w:rsid w:val="005B7B68"/>
    <w:rsid w:val="005F1062"/>
    <w:rsid w:val="0066582D"/>
    <w:rsid w:val="006B39EF"/>
    <w:rsid w:val="0078707D"/>
    <w:rsid w:val="007C2734"/>
    <w:rsid w:val="007D2A62"/>
    <w:rsid w:val="00817263"/>
    <w:rsid w:val="00913D86"/>
    <w:rsid w:val="009332B2"/>
    <w:rsid w:val="009B5B74"/>
    <w:rsid w:val="00A01B3D"/>
    <w:rsid w:val="00A039C8"/>
    <w:rsid w:val="00A23583"/>
    <w:rsid w:val="00A35C1D"/>
    <w:rsid w:val="00AD59A2"/>
    <w:rsid w:val="00B56A72"/>
    <w:rsid w:val="00BA22DA"/>
    <w:rsid w:val="00BB6A0C"/>
    <w:rsid w:val="00C94D1A"/>
    <w:rsid w:val="00CC7339"/>
    <w:rsid w:val="00D24C7E"/>
    <w:rsid w:val="00D26908"/>
    <w:rsid w:val="00D70251"/>
    <w:rsid w:val="00DB6136"/>
    <w:rsid w:val="00E04339"/>
    <w:rsid w:val="00E425C4"/>
    <w:rsid w:val="00E6098D"/>
    <w:rsid w:val="00EC04B5"/>
    <w:rsid w:val="00EC61C1"/>
    <w:rsid w:val="00F01D93"/>
    <w:rsid w:val="00F569EF"/>
    <w:rsid w:val="00F96507"/>
    <w:rsid w:val="00FA32FE"/>
    <w:rsid w:val="00FC70C6"/>
    <w:rsid w:val="00FE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612198"/>
  <w15:chartTrackingRefBased/>
  <w15:docId w15:val="{F07ABB6D-4A1C-4234-99DA-03D42C38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AC1"/>
    <w:pPr>
      <w:ind w:left="720"/>
      <w:contextualSpacing/>
    </w:pPr>
  </w:style>
  <w:style w:type="paragraph" w:styleId="NoSpacing">
    <w:name w:val="No Spacing"/>
    <w:uiPriority w:val="1"/>
    <w:qFormat/>
    <w:rsid w:val="00E04339"/>
    <w:pPr>
      <w:spacing w:after="0" w:line="240" w:lineRule="auto"/>
    </w:pPr>
    <w:rPr>
      <w:rFonts w:ascii="Times New Roman" w:hAnsi="Times New Roman" w:cs="Times New Roman"/>
      <w:sz w:val="24"/>
      <w:szCs w:val="24"/>
    </w:rPr>
  </w:style>
  <w:style w:type="character" w:styleId="Hyperlink">
    <w:name w:val="Hyperlink"/>
    <w:rsid w:val="00FE0C54"/>
    <w:rPr>
      <w:color w:val="0000FF"/>
      <w:u w:val="single"/>
    </w:rPr>
  </w:style>
  <w:style w:type="paragraph" w:customStyle="1" w:styleId="Default">
    <w:name w:val="Default"/>
    <w:rsid w:val="00FA32FE"/>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78707D"/>
    <w:rPr>
      <w:color w:val="800080"/>
      <w:u w:val="single"/>
    </w:rPr>
  </w:style>
  <w:style w:type="character" w:styleId="CommentReference">
    <w:name w:val="annotation reference"/>
    <w:basedOn w:val="DefaultParagraphFont"/>
    <w:uiPriority w:val="99"/>
    <w:semiHidden/>
    <w:unhideWhenUsed/>
    <w:rsid w:val="009B5B74"/>
    <w:rPr>
      <w:sz w:val="16"/>
      <w:szCs w:val="16"/>
    </w:rPr>
  </w:style>
  <w:style w:type="paragraph" w:styleId="CommentText">
    <w:name w:val="annotation text"/>
    <w:basedOn w:val="Normal"/>
    <w:link w:val="CommentTextChar"/>
    <w:uiPriority w:val="99"/>
    <w:semiHidden/>
    <w:unhideWhenUsed/>
    <w:rsid w:val="009B5B74"/>
    <w:rPr>
      <w:sz w:val="20"/>
      <w:szCs w:val="20"/>
    </w:rPr>
  </w:style>
  <w:style w:type="character" w:customStyle="1" w:styleId="CommentTextChar">
    <w:name w:val="Comment Text Char"/>
    <w:basedOn w:val="DefaultParagraphFont"/>
    <w:link w:val="CommentText"/>
    <w:uiPriority w:val="99"/>
    <w:semiHidden/>
    <w:rsid w:val="009B5B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5B74"/>
    <w:rPr>
      <w:b/>
      <w:bCs/>
    </w:rPr>
  </w:style>
  <w:style w:type="character" w:customStyle="1" w:styleId="CommentSubjectChar">
    <w:name w:val="Comment Subject Char"/>
    <w:basedOn w:val="CommentTextChar"/>
    <w:link w:val="CommentSubject"/>
    <w:uiPriority w:val="99"/>
    <w:semiHidden/>
    <w:rsid w:val="009B5B7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92402">
      <w:bodyDiv w:val="1"/>
      <w:marLeft w:val="0"/>
      <w:marRight w:val="0"/>
      <w:marTop w:val="0"/>
      <w:marBottom w:val="0"/>
      <w:divBdr>
        <w:top w:val="none" w:sz="0" w:space="0" w:color="auto"/>
        <w:left w:val="none" w:sz="0" w:space="0" w:color="auto"/>
        <w:bottom w:val="none" w:sz="0" w:space="0" w:color="auto"/>
        <w:right w:val="none" w:sz="0" w:space="0" w:color="auto"/>
      </w:divBdr>
    </w:div>
    <w:div w:id="9900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m5@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Bulens, Sandra N. (CDC/DDID/NCEZID/DHQP)</cp:lastModifiedBy>
  <cp:revision>3</cp:revision>
  <dcterms:created xsi:type="dcterms:W3CDTF">2020-07-24T21:05:00Z</dcterms:created>
  <dcterms:modified xsi:type="dcterms:W3CDTF">2020-07-24T21:07:00Z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llj3@cdc.gov</vt:lpwstr>
  </property>
  <property fmtid="{D5CDD505-2E9C-101B-9397-08002B2CF9AE}" pid="5" name="MSIP_Label_7b94a7b8-f06c-4dfe-bdcc-9b548fd58c31_SetDate">
    <vt:lpwstr>2020-05-29T15:36:32.5975162Z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53ac0b63-5052-4801-bad9-378090f043a6</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