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70" w:rsidR="007D6E75" w:rsidP="008111D2" w:rsidRDefault="007D6E75">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pPr>
        <w:spacing w:line="240" w:lineRule="auto"/>
        <w:jc w:val="center"/>
        <w:rPr>
          <w:rFonts w:cs="Times New Roman"/>
          <w:szCs w:val="24"/>
        </w:rPr>
      </w:pPr>
    </w:p>
    <w:p w:rsidR="00C362D7" w:rsidP="008111D2" w:rsidRDefault="00C362D7">
      <w:pPr>
        <w:spacing w:line="240" w:lineRule="auto"/>
        <w:jc w:val="center"/>
        <w:rPr>
          <w:rFonts w:cs="Times New Roman"/>
          <w:szCs w:val="24"/>
        </w:rPr>
      </w:pPr>
    </w:p>
    <w:p w:rsidR="00C362D7" w:rsidP="008111D2" w:rsidRDefault="00C362D7">
      <w:pPr>
        <w:spacing w:line="240" w:lineRule="auto"/>
        <w:jc w:val="center"/>
        <w:rPr>
          <w:rFonts w:cs="Times New Roman"/>
          <w:szCs w:val="24"/>
        </w:rPr>
      </w:pPr>
    </w:p>
    <w:p w:rsidRPr="00A91470" w:rsidR="00C362D7" w:rsidP="008111D2" w:rsidRDefault="00C362D7">
      <w:pPr>
        <w:spacing w:line="240" w:lineRule="auto"/>
        <w:jc w:val="center"/>
        <w:rPr>
          <w:rFonts w:cs="Times New Roman"/>
          <w:szCs w:val="24"/>
        </w:rPr>
      </w:pPr>
    </w:p>
    <w:p w:rsidRPr="00C362D7" w:rsidR="009E3FAC" w:rsidP="00A91470" w:rsidRDefault="00A9147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893B51">
        <w:rPr>
          <w:rFonts w:cs="Times New Roman"/>
          <w:b/>
          <w:szCs w:val="24"/>
        </w:rPr>
        <w:t>1</w:t>
      </w:r>
      <w:r w:rsidR="000D672B">
        <w:rPr>
          <w:rFonts w:cs="Times New Roman"/>
          <w:b/>
          <w:szCs w:val="24"/>
        </w:rPr>
        <w:t>6</w:t>
      </w:r>
      <w:r w:rsidRPr="00A91470">
        <w:rPr>
          <w:rFonts w:cs="Times New Roman"/>
          <w:b/>
          <w:szCs w:val="24"/>
        </w:rPr>
        <w:t xml:space="preserve">: </w:t>
      </w:r>
      <w:r w:rsidRPr="00231F82" w:rsidR="00231F82">
        <w:t xml:space="preserve"> </w:t>
      </w:r>
      <w:r w:rsidR="00CD14D3">
        <w:rPr>
          <w:rFonts w:cs="Times New Roman"/>
          <w:szCs w:val="24"/>
        </w:rPr>
        <w:t>Qualitative Testing of Creative M</w:t>
      </w:r>
      <w:r w:rsidRPr="00CD14D3" w:rsidR="00CD14D3">
        <w:rPr>
          <w:rFonts w:cs="Times New Roman"/>
          <w:szCs w:val="24"/>
        </w:rPr>
        <w:t>aterials</w:t>
      </w:r>
      <w:r w:rsidR="00893B51">
        <w:rPr>
          <w:rFonts w:cs="Times New Roman"/>
          <w:szCs w:val="24"/>
        </w:rPr>
        <w:t xml:space="preserve"> for Medicare</w:t>
      </w:r>
    </w:p>
    <w:p w:rsidRPr="00A91470" w:rsidR="007D6E75" w:rsidP="008111D2" w:rsidRDefault="007D6E75">
      <w:pPr>
        <w:spacing w:line="240" w:lineRule="auto"/>
        <w:jc w:val="center"/>
        <w:rPr>
          <w:rFonts w:cs="Times New Roman"/>
          <w:b/>
          <w:szCs w:val="24"/>
        </w:rPr>
      </w:pPr>
    </w:p>
    <w:p w:rsidRPr="00A91470" w:rsidR="007D6E75" w:rsidP="008111D2" w:rsidRDefault="007D6E75">
      <w:pPr>
        <w:spacing w:line="240" w:lineRule="auto"/>
        <w:jc w:val="center"/>
        <w:rPr>
          <w:rFonts w:cs="Times New Roman"/>
          <w:szCs w:val="24"/>
        </w:rPr>
      </w:pPr>
    </w:p>
    <w:p w:rsidRPr="00A91470" w:rsidR="007D6E75" w:rsidP="008111D2" w:rsidRDefault="007D6E75">
      <w:pPr>
        <w:spacing w:line="240" w:lineRule="auto"/>
        <w:jc w:val="center"/>
        <w:rPr>
          <w:rFonts w:cs="Times New Roman"/>
          <w:szCs w:val="24"/>
        </w:rPr>
      </w:pPr>
    </w:p>
    <w:p w:rsidRPr="00A91470" w:rsidR="007D6E75" w:rsidP="008111D2" w:rsidRDefault="007D6E75">
      <w:pPr>
        <w:spacing w:line="240" w:lineRule="auto"/>
        <w:jc w:val="center"/>
        <w:rPr>
          <w:rFonts w:cs="Times New Roman"/>
          <w:szCs w:val="24"/>
        </w:rPr>
      </w:pPr>
    </w:p>
    <w:p w:rsidRPr="00A91470" w:rsidR="007D6E75" w:rsidP="008111D2" w:rsidRDefault="00A91470">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pPr>
        <w:pStyle w:val="Heading1"/>
        <w:rPr>
          <w:rFonts w:cs="Times New Roman"/>
          <w:szCs w:val="24"/>
        </w:rPr>
      </w:pPr>
      <w:r w:rsidRPr="00A91470">
        <w:rPr>
          <w:rFonts w:cs="Times New Roman"/>
          <w:szCs w:val="24"/>
        </w:rPr>
        <w:lastRenderedPageBreak/>
        <w:t>A. Background</w:t>
      </w:r>
    </w:p>
    <w:p w:rsidR="009B19E8" w:rsidP="00F54374" w:rsidRDefault="009B19E8">
      <w:pPr>
        <w:pStyle w:val="Heading1"/>
        <w:rPr>
          <w:rFonts w:cs="Times New Roman"/>
          <w:szCs w:val="24"/>
        </w:rPr>
      </w:pPr>
    </w:p>
    <w:p w:rsidR="00622C1B" w:rsidRDefault="00455B4D">
      <w:r>
        <w:t>To</w:t>
      </w:r>
      <w:r w:rsidR="004E6FE9">
        <w:t xml:space="preserve"> determine the best education and outreach methods to </w:t>
      </w:r>
      <w:r w:rsidR="00841342">
        <w:t>inform beneficiaries and providers of key changes to Medicare that will affect them</w:t>
      </w:r>
      <w:r w:rsidR="004E6FE9">
        <w:t xml:space="preserve">, the Office of Communications and their research contractors will be conducting qualitative research to test creative concepts with key </w:t>
      </w:r>
      <w:r w:rsidR="00841342">
        <w:t xml:space="preserve">Medicare </w:t>
      </w:r>
      <w:r w:rsidR="004E6FE9">
        <w:t>audiences.</w:t>
      </w:r>
      <w:r w:rsidR="00622C1B">
        <w:t xml:space="preserve"> </w:t>
      </w:r>
    </w:p>
    <w:p w:rsidRPr="00622C1B" w:rsidR="006F2FB6" w:rsidRDefault="006F2FB6"/>
    <w:p w:rsidRPr="00A91470" w:rsidR="007D6E75" w:rsidP="00F54374" w:rsidRDefault="007D6E75">
      <w:pPr>
        <w:pStyle w:val="Heading1"/>
        <w:rPr>
          <w:rFonts w:cs="Times New Roman"/>
          <w:szCs w:val="24"/>
        </w:rPr>
      </w:pPr>
      <w:r w:rsidRPr="00A91470">
        <w:rPr>
          <w:rFonts w:cs="Times New Roman"/>
          <w:szCs w:val="24"/>
        </w:rPr>
        <w:t>B. Description of Information Collection</w:t>
      </w:r>
    </w:p>
    <w:p w:rsidR="00AC6687" w:rsidP="00AC6687" w:rsidRDefault="00AC6687">
      <w:r>
        <w:t xml:space="preserve">The </w:t>
      </w:r>
      <w:r w:rsidR="007E3075">
        <w:t>creative testing</w:t>
      </w:r>
      <w:r>
        <w:t xml:space="preserve"> conducted in this study is essential to achieving the mandates of the Medicare Access and CHIP Reauthorization Act of 2015 (MACRA). The law includes major changes to Medicare and CHIP, and effective outreach and education strategies will be required to inform CMS target audiences who will be impacted by these changes, especially beneficiaries, providers, and practice management staff. Creative testing of </w:t>
      </w:r>
      <w:r w:rsidR="007E3075">
        <w:t>outreach and education concepts and message strategies can ensure that they are as effective as possible for their intended audience</w:t>
      </w:r>
      <w:r>
        <w:t>. There are some notable sections of the legislation where timely consumer research would be particularly useful:</w:t>
      </w:r>
    </w:p>
    <w:p w:rsidR="00AC6687" w:rsidP="00AC6687" w:rsidRDefault="00AC6687">
      <w:pPr>
        <w:pStyle w:val="ListParagraph"/>
        <w:numPr>
          <w:ilvl w:val="0"/>
          <w:numId w:val="14"/>
        </w:numPr>
      </w:pPr>
      <w:r>
        <w:t>Communication related to provider payment reform and collection of quality measures, including implementation of the Quality Payment Program (MACRA, Sec. 101 and 102)</w:t>
      </w:r>
    </w:p>
    <w:p w:rsidR="000D672B" w:rsidP="00AC6687" w:rsidRDefault="000D672B">
      <w:pPr>
        <w:pStyle w:val="ListParagraph"/>
        <w:numPr>
          <w:ilvl w:val="0"/>
          <w:numId w:val="14"/>
        </w:numPr>
      </w:pPr>
      <w:r>
        <w:t>Communication related to open enrollment (MACRA, Sec. 209)</w:t>
      </w:r>
    </w:p>
    <w:p w:rsidR="00AC6687" w:rsidP="00AC6687" w:rsidRDefault="00AC6687">
      <w:pPr>
        <w:pStyle w:val="ListParagraph"/>
        <w:numPr>
          <w:ilvl w:val="0"/>
          <w:numId w:val="14"/>
        </w:numPr>
      </w:pPr>
      <w:r>
        <w:t>Communication related to how consumers can use quality information to make better-informed decisions (MACRA, Sec. 104)</w:t>
      </w:r>
    </w:p>
    <w:p w:rsidR="00AC6687" w:rsidP="00AC6687" w:rsidRDefault="00AC6687">
      <w:pPr>
        <w:pStyle w:val="ListParagraph"/>
        <w:numPr>
          <w:ilvl w:val="0"/>
          <w:numId w:val="14"/>
        </w:numPr>
      </w:pPr>
      <w:r>
        <w:t>Communication related to provider and administrator burden (MACRA, Sec. 106)</w:t>
      </w:r>
    </w:p>
    <w:p w:rsidR="00AC6687" w:rsidP="00AC6687" w:rsidRDefault="00AC6687">
      <w:pPr>
        <w:pStyle w:val="ListParagraph"/>
        <w:numPr>
          <w:ilvl w:val="0"/>
          <w:numId w:val="14"/>
        </w:numPr>
      </w:pPr>
      <w:r>
        <w:t>Communication related to the Social Security Number Removal Initiative (MACRA, Sec. 501)</w:t>
      </w:r>
    </w:p>
    <w:p w:rsidR="00AC6687" w:rsidP="00AC6687" w:rsidRDefault="00AC6687">
      <w:pPr>
        <w:pStyle w:val="ListParagraph"/>
        <w:numPr>
          <w:ilvl w:val="0"/>
          <w:numId w:val="14"/>
        </w:numPr>
      </w:pPr>
      <w:r>
        <w:t>Communication related to the option to receive Medicare Summary Notice electronically (MACRA, Sec. 508)</w:t>
      </w:r>
    </w:p>
    <w:p w:rsidR="007E3075" w:rsidP="007E3075" w:rsidRDefault="00AC6687">
      <w:pPr>
        <w:pStyle w:val="ListParagraph"/>
        <w:numPr>
          <w:ilvl w:val="0"/>
          <w:numId w:val="14"/>
        </w:numPr>
      </w:pPr>
      <w:r>
        <w:t>Communication related to prevention of fraud (MACRA, Sec. 502, 504, 505, 506)</w:t>
      </w:r>
    </w:p>
    <w:p w:rsidR="007E3075" w:rsidP="007E3075" w:rsidRDefault="007E3075">
      <w:pPr>
        <w:pStyle w:val="ListParagraph"/>
      </w:pPr>
    </w:p>
    <w:p w:rsidRPr="00A91470" w:rsidR="007D6E75" w:rsidP="00F54374" w:rsidRDefault="007D6E75">
      <w:pPr>
        <w:pStyle w:val="Heading1"/>
        <w:rPr>
          <w:rFonts w:cs="Times New Roman"/>
          <w:szCs w:val="24"/>
        </w:rPr>
      </w:pPr>
      <w:r w:rsidRPr="00A91470">
        <w:rPr>
          <w:rFonts w:cs="Times New Roman"/>
          <w:szCs w:val="24"/>
        </w:rPr>
        <w:t>C. Deviations from Generic Request</w:t>
      </w:r>
    </w:p>
    <w:p w:rsidRPr="00A91470" w:rsidR="007D6E75" w:rsidP="008111D2" w:rsidRDefault="009B19E8">
      <w:pPr>
        <w:spacing w:line="240" w:lineRule="auto"/>
        <w:rPr>
          <w:rFonts w:cs="Times New Roman"/>
          <w:szCs w:val="24"/>
        </w:rPr>
      </w:pPr>
      <w:r w:rsidRPr="00A91470">
        <w:rPr>
          <w:rFonts w:cs="Times New Roman"/>
          <w:szCs w:val="24"/>
        </w:rPr>
        <w:t>No deviations are requested.</w:t>
      </w:r>
    </w:p>
    <w:p w:rsidRPr="00A91470" w:rsidR="008111D2" w:rsidP="00F54374" w:rsidRDefault="008111D2">
      <w:pPr>
        <w:pStyle w:val="Heading1"/>
        <w:rPr>
          <w:rFonts w:cs="Times New Roman"/>
          <w:szCs w:val="24"/>
        </w:rPr>
      </w:pPr>
    </w:p>
    <w:p w:rsidRPr="00A91470" w:rsidR="007D6E75" w:rsidP="00F54374" w:rsidRDefault="007D6E75">
      <w:pPr>
        <w:pStyle w:val="Heading1"/>
        <w:rPr>
          <w:rFonts w:cs="Times New Roman"/>
          <w:szCs w:val="24"/>
        </w:rPr>
      </w:pPr>
      <w:r w:rsidRPr="00A91470">
        <w:rPr>
          <w:rFonts w:cs="Times New Roman"/>
          <w:szCs w:val="24"/>
        </w:rPr>
        <w:t>D. Burden Hour Deduction</w:t>
      </w:r>
    </w:p>
    <w:p w:rsidR="00C0603D" w:rsidP="00E374D3" w:rsidRDefault="000F194D">
      <w:r>
        <w:t xml:space="preserve">There will be up to </w:t>
      </w:r>
      <w:r w:rsidR="00E87878">
        <w:t xml:space="preserve">100 </w:t>
      </w:r>
      <w:r w:rsidR="005824CC">
        <w:t xml:space="preserve">focus groups, with up to </w:t>
      </w:r>
      <w:r w:rsidR="00455B4D">
        <w:t>10</w:t>
      </w:r>
      <w:r w:rsidR="005824CC">
        <w:t xml:space="preserve"> participants per group. Therefore, up to </w:t>
      </w:r>
      <w:r w:rsidR="00E87878">
        <w:t>1,000</w:t>
      </w:r>
      <w:r w:rsidRPr="00455CD9" w:rsidR="00E87878">
        <w:t xml:space="preserve"> </w:t>
      </w:r>
      <w:r w:rsidRPr="00455CD9" w:rsidR="00A91470">
        <w:t xml:space="preserve">people </w:t>
      </w:r>
      <w:r w:rsidR="005824CC">
        <w:t xml:space="preserve">will participate in </w:t>
      </w:r>
      <w:r w:rsidRPr="00455CD9" w:rsidR="00A91470">
        <w:t>this study</w:t>
      </w:r>
      <w:r w:rsidR="007E3075">
        <w:t>. Participants will include beneficiaries and Medicare providers.</w:t>
      </w:r>
      <w:r w:rsidR="00C0603D">
        <w:t xml:space="preserve"> </w:t>
      </w:r>
    </w:p>
    <w:p w:rsidRPr="00E374D3" w:rsidR="006F2FB6" w:rsidP="00E374D3" w:rsidRDefault="006F2FB6"/>
    <w:p w:rsidR="006F2FB6" w:rsidP="000F194D" w:rsidRDefault="00C0603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00BE019B">
        <w:rPr>
          <w:rFonts w:cs="Times New Roman"/>
          <w:szCs w:val="24"/>
        </w:rPr>
        <w:t>26,5</w:t>
      </w:r>
      <w:r w:rsidRPr="00A91470" w:rsidR="00A91470">
        <w:rPr>
          <w:rFonts w:cs="Times New Roman"/>
          <w:szCs w:val="24"/>
        </w:rPr>
        <w:t>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E87878">
        <w:rPr>
          <w:rFonts w:cs="Times New Roman"/>
          <w:szCs w:val="24"/>
        </w:rPr>
        <w:t>1,500</w:t>
      </w:r>
      <w:r w:rsidRPr="00A91470" w:rsidR="00E87878">
        <w:rPr>
          <w:rFonts w:cs="Times New Roman"/>
          <w:szCs w:val="24"/>
        </w:rPr>
        <w:t xml:space="preserve"> </w:t>
      </w:r>
      <w:r w:rsidRPr="00A91470" w:rsidR="00A91470">
        <w:rPr>
          <w:rFonts w:cs="Times New Roman"/>
          <w:szCs w:val="24"/>
        </w:rPr>
        <w:t>hours from</w:t>
      </w:r>
      <w:r w:rsidR="00C362D7">
        <w:rPr>
          <w:rFonts w:cs="Times New Roman"/>
          <w:szCs w:val="24"/>
        </w:rPr>
        <w:t xml:space="preserve"> the approved burden ceiling (</w:t>
      </w:r>
      <w:r w:rsidR="00E87878">
        <w:rPr>
          <w:rFonts w:cs="Times New Roman"/>
          <w:szCs w:val="24"/>
        </w:rPr>
        <w:t xml:space="preserve">1,000 </w:t>
      </w:r>
      <w:r w:rsidR="00C362D7">
        <w:rPr>
          <w:rFonts w:cs="Times New Roman"/>
          <w:szCs w:val="24"/>
        </w:rPr>
        <w:t xml:space="preserve">participants x 1.50 hours = </w:t>
      </w:r>
      <w:r w:rsidR="00E87878">
        <w:rPr>
          <w:rFonts w:cs="Times New Roman"/>
          <w:szCs w:val="24"/>
        </w:rPr>
        <w:t>1,500</w:t>
      </w:r>
      <w:r w:rsidRPr="00A91470" w:rsidR="00E87878">
        <w:rPr>
          <w:rFonts w:cs="Times New Roman"/>
          <w:szCs w:val="24"/>
        </w:rPr>
        <w:t xml:space="preserve"> </w:t>
      </w:r>
      <w:r w:rsidRPr="00A91470" w:rsidR="00A91470">
        <w:rPr>
          <w:rFonts w:cs="Times New Roman"/>
          <w:szCs w:val="24"/>
        </w:rPr>
        <w:t>hours)</w:t>
      </w:r>
      <w:r w:rsidR="006F2FB6">
        <w:rPr>
          <w:rFonts w:cs="Times New Roman"/>
          <w:szCs w:val="24"/>
        </w:rPr>
        <w:t>.</w:t>
      </w:r>
    </w:p>
    <w:p w:rsidR="006F2FB6" w:rsidP="00455B4D" w:rsidRDefault="006F2FB6">
      <w:pPr>
        <w:rPr>
          <w:rFonts w:cs="Times New Roman"/>
          <w:szCs w:val="24"/>
        </w:rPr>
      </w:pPr>
    </w:p>
    <w:p w:rsidR="006F2FB6" w:rsidP="006F2FB6" w:rsidRDefault="006F2FB6">
      <w:r>
        <w:rPr>
          <w:spacing w:val="-3"/>
        </w:rPr>
        <w:t xml:space="preserve">Respondents will be offered a cash incentive consistent with </w:t>
      </w:r>
      <w:r w:rsidR="005746A1">
        <w:rPr>
          <w:spacing w:val="-3"/>
        </w:rPr>
        <w:t>the government-wide incentive rate of $75 for a 90-minute focus group.</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Pr="00A91470" w:rsidR="008111D2" w:rsidP="00685FFB" w:rsidRDefault="008111D2"/>
    <w:p w:rsidRPr="00A91470" w:rsidR="007D6E75" w:rsidP="00F54374" w:rsidRDefault="007D6E75">
      <w:pPr>
        <w:pStyle w:val="Heading1"/>
        <w:rPr>
          <w:rFonts w:cs="Times New Roman"/>
          <w:szCs w:val="24"/>
        </w:rPr>
      </w:pPr>
      <w:r w:rsidRPr="00A91470">
        <w:rPr>
          <w:rFonts w:cs="Times New Roman"/>
          <w:szCs w:val="24"/>
        </w:rPr>
        <w:lastRenderedPageBreak/>
        <w:t>E. Timeline</w:t>
      </w:r>
    </w:p>
    <w:p w:rsidRPr="00A91470" w:rsidR="003248D0" w:rsidP="00F05A54" w:rsidRDefault="003248D0">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535359">
        <w:rPr>
          <w:rFonts w:cs="Times New Roman"/>
          <w:szCs w:val="24"/>
        </w:rPr>
        <w:t xml:space="preserve"> and continue data collection until burden hours are reached.</w:t>
      </w:r>
    </w:p>
    <w:p w:rsidRPr="00A91470" w:rsidR="008111D2" w:rsidP="008111D2" w:rsidRDefault="008111D2">
      <w:pPr>
        <w:spacing w:line="240" w:lineRule="auto"/>
        <w:rPr>
          <w:rFonts w:cs="Times New Roman"/>
          <w:szCs w:val="24"/>
        </w:rPr>
      </w:pPr>
    </w:p>
    <w:p w:rsidRPr="00A91470" w:rsidR="00467E98" w:rsidP="00335313" w:rsidRDefault="00467E98">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4E6FE9" w:rsidRDefault="00F657E4">
      <w:pPr>
        <w:pStyle w:val="Header"/>
        <w:numPr>
          <w:ilvl w:val="0"/>
          <w:numId w:val="11"/>
        </w:numPr>
        <w:rPr>
          <w:rFonts w:cs="Times New Roman"/>
          <w:szCs w:val="24"/>
        </w:rPr>
      </w:pPr>
      <w:r>
        <w:rPr>
          <w:rFonts w:cs="Times New Roman"/>
          <w:szCs w:val="24"/>
        </w:rPr>
        <w:t>Qualitative Testing of Creative M</w:t>
      </w:r>
      <w:r w:rsidRPr="00CD14D3">
        <w:rPr>
          <w:rFonts w:cs="Times New Roman"/>
          <w:szCs w:val="24"/>
        </w:rPr>
        <w:t>aterials</w:t>
      </w:r>
      <w:r w:rsidRPr="004E6FE9">
        <w:rPr>
          <w:rFonts w:cs="Times New Roman"/>
          <w:szCs w:val="24"/>
        </w:rPr>
        <w:t xml:space="preserve"> </w:t>
      </w:r>
      <w:r w:rsidR="00535359">
        <w:rPr>
          <w:rFonts w:cs="Times New Roman"/>
          <w:szCs w:val="24"/>
        </w:rPr>
        <w:t xml:space="preserve">for Medicare </w:t>
      </w:r>
      <w:r w:rsidRPr="004E6FE9" w:rsidR="004E6FE9">
        <w:rPr>
          <w:rFonts w:cs="Times New Roman"/>
          <w:szCs w:val="24"/>
        </w:rPr>
        <w:t>Focus Group Guide</w:t>
      </w:r>
    </w:p>
    <w:p w:rsidRPr="00C0603D" w:rsidR="00696F86" w:rsidP="00270765" w:rsidRDefault="00696F86">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19" w:rsidRDefault="00546119" w:rsidP="008111D2">
      <w:pPr>
        <w:spacing w:line="240" w:lineRule="auto"/>
      </w:pPr>
      <w:r>
        <w:separator/>
      </w:r>
    </w:p>
  </w:endnote>
  <w:endnote w:type="continuationSeparator" w:id="0">
    <w:p w:rsidR="00546119" w:rsidRDefault="00546119"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19" w:rsidRDefault="00546119" w:rsidP="008111D2">
      <w:pPr>
        <w:spacing w:line="240" w:lineRule="auto"/>
      </w:pPr>
      <w:r>
        <w:separator/>
      </w:r>
    </w:p>
  </w:footnote>
  <w:footnote w:type="continuationSeparator" w:id="0">
    <w:p w:rsidR="00546119" w:rsidRDefault="00546119" w:rsidP="008111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F09"/>
    <w:multiLevelType w:val="hybridMultilevel"/>
    <w:tmpl w:val="0AE0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260F8"/>
    <w:multiLevelType w:val="hybridMultilevel"/>
    <w:tmpl w:val="627E034A"/>
    <w:lvl w:ilvl="0" w:tplc="C29EB5B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2"/>
  </w:num>
  <w:num w:numId="6">
    <w:abstractNumId w:val="5"/>
  </w:num>
  <w:num w:numId="7">
    <w:abstractNumId w:val="6"/>
  </w:num>
  <w:num w:numId="8">
    <w:abstractNumId w:val="10"/>
  </w:num>
  <w:num w:numId="9">
    <w:abstractNumId w:val="0"/>
  </w:num>
  <w:num w:numId="10">
    <w:abstractNumId w:val="13"/>
  </w:num>
  <w:num w:numId="11">
    <w:abstractNumId w:val="1"/>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A467C"/>
    <w:rsid w:val="000D1CFD"/>
    <w:rsid w:val="000D672B"/>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DD8"/>
    <w:rsid w:val="00223F6A"/>
    <w:rsid w:val="00231F82"/>
    <w:rsid w:val="00252D20"/>
    <w:rsid w:val="00262B47"/>
    <w:rsid w:val="00270765"/>
    <w:rsid w:val="0027114C"/>
    <w:rsid w:val="002955F7"/>
    <w:rsid w:val="003248D0"/>
    <w:rsid w:val="00325F87"/>
    <w:rsid w:val="00335313"/>
    <w:rsid w:val="003627C8"/>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E6FE9"/>
    <w:rsid w:val="0052333E"/>
    <w:rsid w:val="00535359"/>
    <w:rsid w:val="00546119"/>
    <w:rsid w:val="005506A1"/>
    <w:rsid w:val="00554646"/>
    <w:rsid w:val="005746A1"/>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6E75"/>
    <w:rsid w:val="007E3075"/>
    <w:rsid w:val="007F1711"/>
    <w:rsid w:val="00802598"/>
    <w:rsid w:val="008111D2"/>
    <w:rsid w:val="00836E8F"/>
    <w:rsid w:val="00841342"/>
    <w:rsid w:val="00873459"/>
    <w:rsid w:val="00880EA9"/>
    <w:rsid w:val="0088756F"/>
    <w:rsid w:val="00893B51"/>
    <w:rsid w:val="008C11BC"/>
    <w:rsid w:val="008C65C3"/>
    <w:rsid w:val="008D52D1"/>
    <w:rsid w:val="008E6143"/>
    <w:rsid w:val="008F2AED"/>
    <w:rsid w:val="009004E1"/>
    <w:rsid w:val="00906D49"/>
    <w:rsid w:val="0091620B"/>
    <w:rsid w:val="0094105F"/>
    <w:rsid w:val="0095297C"/>
    <w:rsid w:val="00975BC5"/>
    <w:rsid w:val="009903AB"/>
    <w:rsid w:val="009B19E8"/>
    <w:rsid w:val="009C2F36"/>
    <w:rsid w:val="009C68A4"/>
    <w:rsid w:val="009E3FAC"/>
    <w:rsid w:val="00A11E48"/>
    <w:rsid w:val="00A138F7"/>
    <w:rsid w:val="00A640BA"/>
    <w:rsid w:val="00A702E7"/>
    <w:rsid w:val="00A718B4"/>
    <w:rsid w:val="00A91470"/>
    <w:rsid w:val="00AA37EC"/>
    <w:rsid w:val="00AB01BC"/>
    <w:rsid w:val="00AC6687"/>
    <w:rsid w:val="00AC7E1E"/>
    <w:rsid w:val="00AE1BD8"/>
    <w:rsid w:val="00B03E09"/>
    <w:rsid w:val="00B151B4"/>
    <w:rsid w:val="00B26D9A"/>
    <w:rsid w:val="00B30552"/>
    <w:rsid w:val="00B36037"/>
    <w:rsid w:val="00B43BBD"/>
    <w:rsid w:val="00B532F3"/>
    <w:rsid w:val="00B87957"/>
    <w:rsid w:val="00BC755A"/>
    <w:rsid w:val="00BD0BDE"/>
    <w:rsid w:val="00BD32FA"/>
    <w:rsid w:val="00BE019B"/>
    <w:rsid w:val="00C0603D"/>
    <w:rsid w:val="00C2142E"/>
    <w:rsid w:val="00C362D7"/>
    <w:rsid w:val="00C63607"/>
    <w:rsid w:val="00C75DFB"/>
    <w:rsid w:val="00C94C5E"/>
    <w:rsid w:val="00C95C96"/>
    <w:rsid w:val="00CB241F"/>
    <w:rsid w:val="00CB646D"/>
    <w:rsid w:val="00CD14D3"/>
    <w:rsid w:val="00CF6C1D"/>
    <w:rsid w:val="00D12ABB"/>
    <w:rsid w:val="00D14E2F"/>
    <w:rsid w:val="00D215B4"/>
    <w:rsid w:val="00D42E31"/>
    <w:rsid w:val="00D46C38"/>
    <w:rsid w:val="00D4736A"/>
    <w:rsid w:val="00D87858"/>
    <w:rsid w:val="00DA5ED7"/>
    <w:rsid w:val="00DB00B5"/>
    <w:rsid w:val="00DD794C"/>
    <w:rsid w:val="00DF098E"/>
    <w:rsid w:val="00E374D3"/>
    <w:rsid w:val="00E83C3E"/>
    <w:rsid w:val="00E87878"/>
    <w:rsid w:val="00E93F3F"/>
    <w:rsid w:val="00EA4AB1"/>
    <w:rsid w:val="00EB1115"/>
    <w:rsid w:val="00EB453B"/>
    <w:rsid w:val="00ED2BDC"/>
    <w:rsid w:val="00EE1AD1"/>
    <w:rsid w:val="00EF3A74"/>
    <w:rsid w:val="00F01D40"/>
    <w:rsid w:val="00F04F6D"/>
    <w:rsid w:val="00F05A54"/>
    <w:rsid w:val="00F303E4"/>
    <w:rsid w:val="00F54374"/>
    <w:rsid w:val="00F657E4"/>
    <w:rsid w:val="00FB3D21"/>
    <w:rsid w:val="00FE4AFD"/>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CE9CC-1493-4E6E-9E7D-42B7A1C4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N. (CMS/OSORA)</cp:lastModifiedBy>
  <cp:revision>2</cp:revision>
  <cp:lastPrinted>2014-06-27T18:10:00Z</cp:lastPrinted>
  <dcterms:created xsi:type="dcterms:W3CDTF">2020-11-19T17:02:00Z</dcterms:created>
  <dcterms:modified xsi:type="dcterms:W3CDTF">2020-11-19T17:02:00Z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-872270800</vt:i4>
  </property>
  <property fmtid="{D5CDD505-2E9C-101B-9397-08002B2CF9AE}" pid="3" name="_NewReviewCycle">
    <vt:lpwstr/>
  </property>
  <property fmtid="{D5CDD505-2E9C-101B-9397-08002B2CF9AE}" pid="4" name="_EmailSubject">
    <vt:lpwstr>Justification for Providing Incentives for Participation in Marketing Research</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-1479875365</vt:i4>
  </property>
  <property fmtid="{D5CDD505-2E9C-101B-9397-08002B2CF9AE}" pid="8" name="_ReviewingToolsShownOnce">
    <vt:lpwstr/>
  </property>
</Properties>
</file>