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865DC" w:rsidR="009865DC" w:rsidP="009865DC" w:rsidRDefault="00482D08">
      <w:pPr>
        <w:jc w:val="center"/>
        <w:rPr>
          <w:b/>
          <w:sz w:val="24"/>
          <w:szCs w:val="24"/>
        </w:rPr>
      </w:pPr>
      <w:r w:rsidRPr="00482D08">
        <w:rPr>
          <w:b/>
          <w:sz w:val="24"/>
          <w:szCs w:val="24"/>
        </w:rPr>
        <w:t>Justification for Non-Substantive Changes</w:t>
      </w:r>
      <w:r>
        <w:rPr>
          <w:b/>
          <w:sz w:val="24"/>
          <w:szCs w:val="24"/>
        </w:rPr>
        <w:t xml:space="preserve"> </w:t>
      </w:r>
      <w:r w:rsidR="00DB0B45">
        <w:rPr>
          <w:b/>
          <w:sz w:val="24"/>
          <w:szCs w:val="24"/>
        </w:rPr>
        <w:t xml:space="preserve">for </w:t>
      </w:r>
      <w:r w:rsidRPr="009865DC" w:rsidR="009865DC">
        <w:rPr>
          <w:b/>
          <w:sz w:val="24"/>
          <w:szCs w:val="24"/>
        </w:rPr>
        <w:t>Form HA-L90</w:t>
      </w:r>
    </w:p>
    <w:p w:rsidRPr="009865DC" w:rsidR="009865DC" w:rsidP="009865DC" w:rsidRDefault="009865DC">
      <w:pPr>
        <w:jc w:val="center"/>
        <w:rPr>
          <w:b/>
          <w:sz w:val="24"/>
          <w:szCs w:val="24"/>
        </w:rPr>
      </w:pPr>
      <w:r w:rsidRPr="009865DC">
        <w:rPr>
          <w:b/>
          <w:sz w:val="24"/>
          <w:szCs w:val="24"/>
        </w:rPr>
        <w:t>Request to Show Cause for Failure to Appear</w:t>
      </w:r>
    </w:p>
    <w:p w:rsidRPr="009865DC" w:rsidR="009865DC" w:rsidP="009865DC" w:rsidRDefault="009865DC">
      <w:pPr>
        <w:jc w:val="center"/>
        <w:rPr>
          <w:b/>
          <w:sz w:val="24"/>
          <w:szCs w:val="24"/>
        </w:rPr>
      </w:pPr>
      <w:r w:rsidRPr="009865DC">
        <w:rPr>
          <w:b/>
          <w:sz w:val="24"/>
          <w:szCs w:val="24"/>
        </w:rPr>
        <w:t>20 CFR 404.938, 20 CFR 416.1438, and 20 CFR 404.957(a</w:t>
      </w:r>
      <w:proofErr w:type="gramStart"/>
      <w:r w:rsidRPr="009865DC">
        <w:rPr>
          <w:b/>
          <w:sz w:val="24"/>
          <w:szCs w:val="24"/>
        </w:rPr>
        <w:t>)(</w:t>
      </w:r>
      <w:proofErr w:type="gramEnd"/>
      <w:r w:rsidRPr="009865DC">
        <w:rPr>
          <w:b/>
          <w:sz w:val="24"/>
          <w:szCs w:val="24"/>
        </w:rPr>
        <w:t>ii)</w:t>
      </w:r>
    </w:p>
    <w:p w:rsidRPr="00E17DA9" w:rsidR="00DB0B45" w:rsidP="00E17DA9" w:rsidRDefault="009865DC">
      <w:pPr>
        <w:jc w:val="center"/>
        <w:rPr>
          <w:b/>
          <w:sz w:val="24"/>
          <w:szCs w:val="24"/>
        </w:rPr>
      </w:pPr>
      <w:r w:rsidRPr="009865DC">
        <w:rPr>
          <w:b/>
          <w:sz w:val="24"/>
          <w:szCs w:val="24"/>
        </w:rPr>
        <w:t>OMB No. 0960-0794</w:t>
      </w:r>
    </w:p>
    <w:p w:rsidR="009865DC" w:rsidRDefault="009865DC">
      <w:pPr>
        <w:tabs>
          <w:tab w:val="left" w:pos="-720"/>
          <w:tab w:val="left" w:pos="0"/>
        </w:tabs>
        <w:ind w:left="720" w:right="-720" w:hanging="720"/>
        <w:rPr>
          <w:sz w:val="24"/>
          <w:szCs w:val="24"/>
        </w:rPr>
      </w:pPr>
    </w:p>
    <w:p w:rsidRPr="00482D08" w:rsidR="00482D08" w:rsidP="00482D08" w:rsidRDefault="00482D08">
      <w:pPr>
        <w:pStyle w:val="Heading1"/>
        <w:jc w:val="left"/>
      </w:pPr>
      <w:r w:rsidRPr="00482D08">
        <w:rPr>
          <w:u w:val="single"/>
        </w:rPr>
        <w:t>Background</w:t>
      </w:r>
    </w:p>
    <w:p w:rsidRPr="00682BCA" w:rsidR="00E17DA9" w:rsidP="00E17DA9" w:rsidRDefault="00E17DA9">
      <w:pPr>
        <w:autoSpaceDE w:val="0"/>
        <w:autoSpaceDN w:val="0"/>
        <w:adjustRightInd w:val="0"/>
        <w:rPr>
          <w:bCs/>
          <w:sz w:val="24"/>
          <w:szCs w:val="24"/>
        </w:rPr>
      </w:pPr>
      <w:r w:rsidRPr="00682BCA">
        <w:rPr>
          <w:sz w:val="24"/>
          <w:szCs w:val="24"/>
        </w:rPr>
        <w:t xml:space="preserve">On November 16, 2020, SSA published the Final Rule, </w:t>
      </w:r>
      <w:r w:rsidRPr="00682BCA">
        <w:rPr>
          <w:bCs/>
          <w:sz w:val="24"/>
          <w:szCs w:val="24"/>
        </w:rPr>
        <w:t>Hearings Held by Administrative</w:t>
      </w:r>
    </w:p>
    <w:p w:rsidRPr="00E17DA9" w:rsidR="00E17DA9" w:rsidP="008C108A" w:rsidRDefault="00E17DA9">
      <w:pPr>
        <w:autoSpaceDE w:val="0"/>
        <w:autoSpaceDN w:val="0"/>
        <w:adjustRightInd w:val="0"/>
        <w:rPr>
          <w:sz w:val="24"/>
          <w:szCs w:val="24"/>
        </w:rPr>
      </w:pPr>
      <w:r w:rsidRPr="00682BCA">
        <w:rPr>
          <w:bCs/>
          <w:sz w:val="24"/>
          <w:szCs w:val="24"/>
        </w:rPr>
        <w:t>Appeals Judges of the Appeals Council, (RIN 0960</w:t>
      </w:r>
      <w:r w:rsidRPr="00682BCA">
        <w:rPr>
          <w:bCs/>
          <w:sz w:val="24"/>
          <w:szCs w:val="24"/>
        </w:rPr>
        <w:noBreakHyphen/>
        <w:t xml:space="preserve">AI25; </w:t>
      </w:r>
      <w:hyperlink w:history="1" r:id="rId7">
        <w:r w:rsidRPr="00682BCA">
          <w:rPr>
            <w:rStyle w:val="Hyperlink"/>
            <w:sz w:val="24"/>
            <w:szCs w:val="24"/>
          </w:rPr>
          <w:t>https://www.govinfo.gov/content/pkg/FR-2020-11-16/pdf/2020-23856.pdf</w:t>
        </w:r>
      </w:hyperlink>
      <w:r w:rsidRPr="00682BCA">
        <w:rPr>
          <w:bCs/>
          <w:sz w:val="24"/>
          <w:szCs w:val="24"/>
        </w:rPr>
        <w:t>)</w:t>
      </w:r>
      <w:r w:rsidRPr="00682BCA">
        <w:rPr>
          <w:sz w:val="24"/>
          <w:szCs w:val="24"/>
        </w:rPr>
        <w:t>.  This Final Rule clarifies when and how administrative appe</w:t>
      </w:r>
      <w:r w:rsidR="008C108A">
        <w:rPr>
          <w:sz w:val="24"/>
          <w:szCs w:val="24"/>
        </w:rPr>
        <w:t xml:space="preserve">als judges (AAJ) on our Appeals </w:t>
      </w:r>
      <w:r w:rsidRPr="00682BCA">
        <w:rPr>
          <w:sz w:val="24"/>
          <w:szCs w:val="24"/>
        </w:rPr>
        <w:t>Council may hold hearings and issue decisions.  Because this Final Rule allows</w:t>
      </w:r>
      <w:r w:rsidR="008C108A">
        <w:rPr>
          <w:sz w:val="24"/>
          <w:szCs w:val="24"/>
        </w:rPr>
        <w:t xml:space="preserve"> for both </w:t>
      </w:r>
      <w:bookmarkStart w:name="_GoBack" w:id="0"/>
      <w:bookmarkEnd w:id="0"/>
      <w:r w:rsidRPr="00682BCA">
        <w:rPr>
          <w:sz w:val="24"/>
          <w:szCs w:val="24"/>
        </w:rPr>
        <w:t>Administrative Appeals Judges and Administrative Law Judges to hold hearings and issue decisions, we are updating the content of this form to reflect</w:t>
      </w:r>
      <w:r w:rsidRPr="00E17DA9">
        <w:rPr>
          <w:sz w:val="24"/>
          <w:szCs w:val="24"/>
        </w:rPr>
        <w:t xml:space="preserve"> the new language stating that ‘‘Judges’’ will review the cases, hold hearings, and issue decisions; however, we will not change the title of this form</w:t>
      </w:r>
      <w:r>
        <w:rPr>
          <w:sz w:val="24"/>
          <w:szCs w:val="24"/>
        </w:rPr>
        <w:t>.</w:t>
      </w:r>
    </w:p>
    <w:p w:rsidRPr="00E17DA9" w:rsidR="00E17DA9" w:rsidP="00E17DA9" w:rsidRDefault="00E17DA9">
      <w:pPr>
        <w:rPr>
          <w:rFonts w:eastAsiaTheme="minorHAnsi"/>
          <w:sz w:val="24"/>
          <w:szCs w:val="24"/>
          <w:lang w:bidi="he-IL"/>
        </w:rPr>
      </w:pPr>
    </w:p>
    <w:p w:rsidRPr="00482D08" w:rsidR="00482D08" w:rsidP="00482D08" w:rsidRDefault="00E17DA9">
      <w:pPr>
        <w:rPr>
          <w:rFonts w:eastAsiaTheme="minorHAnsi"/>
          <w:sz w:val="24"/>
          <w:szCs w:val="24"/>
          <w:lang w:bidi="he-IL"/>
        </w:rPr>
      </w:pPr>
      <w:r>
        <w:rPr>
          <w:rFonts w:eastAsiaTheme="minorHAnsi"/>
          <w:sz w:val="24"/>
          <w:szCs w:val="24"/>
          <w:lang w:bidi="he-IL"/>
        </w:rPr>
        <w:t xml:space="preserve">Therefore, </w:t>
      </w:r>
      <w:r w:rsidRPr="00482D08" w:rsidR="00482D08">
        <w:rPr>
          <w:rFonts w:eastAsiaTheme="minorHAnsi"/>
          <w:sz w:val="24"/>
          <w:szCs w:val="24"/>
          <w:lang w:bidi="he-IL"/>
        </w:rPr>
        <w:t xml:space="preserve">SSA is updating its procedures for processing requests for hearing by an administrative law judge (ALJ).  </w:t>
      </w:r>
      <w:r w:rsidRPr="00877674" w:rsidR="00877674">
        <w:rPr>
          <w:rFonts w:eastAsiaTheme="minorHAnsi"/>
          <w:sz w:val="24"/>
          <w:szCs w:val="24"/>
          <w:lang w:bidi="he-IL"/>
        </w:rPr>
        <w:t xml:space="preserve">The Appeals Council may assume responsibility for holding a hearing by providing notice to parties at their last known address notifying them that the Appeals Council has assumed responsibility for the case(s).  </w:t>
      </w:r>
      <w:r>
        <w:rPr>
          <w:rFonts w:eastAsiaTheme="minorHAnsi"/>
          <w:sz w:val="24"/>
          <w:szCs w:val="24"/>
          <w:lang w:bidi="he-IL"/>
        </w:rPr>
        <w:t>Since t</w:t>
      </w:r>
      <w:r w:rsidRPr="00482D08" w:rsidR="00482D08">
        <w:rPr>
          <w:rFonts w:eastAsiaTheme="minorHAnsi"/>
          <w:sz w:val="24"/>
          <w:szCs w:val="24"/>
          <w:lang w:bidi="he-IL"/>
        </w:rPr>
        <w:t xml:space="preserve">he Appeals Council may exercise this authority in certain cases, </w:t>
      </w:r>
      <w:r>
        <w:rPr>
          <w:rFonts w:eastAsiaTheme="minorHAnsi"/>
          <w:sz w:val="24"/>
          <w:szCs w:val="24"/>
          <w:lang w:bidi="he-IL"/>
        </w:rPr>
        <w:t>we are updating the language o</w:t>
      </w:r>
      <w:r w:rsidRPr="00482D08" w:rsidR="00482D08">
        <w:rPr>
          <w:rFonts w:eastAsiaTheme="minorHAnsi"/>
          <w:sz w:val="24"/>
          <w:szCs w:val="24"/>
          <w:lang w:bidi="he-IL"/>
        </w:rPr>
        <w:t>n the HA-</w:t>
      </w:r>
      <w:r w:rsidR="00482D08">
        <w:rPr>
          <w:rFonts w:eastAsiaTheme="minorHAnsi"/>
          <w:sz w:val="24"/>
          <w:szCs w:val="24"/>
          <w:lang w:bidi="he-IL"/>
        </w:rPr>
        <w:t>L90</w:t>
      </w:r>
      <w:r w:rsidRPr="00482D08" w:rsidR="00482D08">
        <w:rPr>
          <w:rFonts w:eastAsiaTheme="minorHAnsi"/>
          <w:sz w:val="24"/>
          <w:szCs w:val="24"/>
          <w:lang w:bidi="he-IL"/>
        </w:rPr>
        <w:t>.</w:t>
      </w:r>
    </w:p>
    <w:p w:rsidRPr="00482D08" w:rsidR="00482D08" w:rsidP="00482D08" w:rsidRDefault="00482D08">
      <w:pPr>
        <w:rPr>
          <w:sz w:val="24"/>
          <w:szCs w:val="24"/>
          <w:u w:val="single"/>
        </w:rPr>
      </w:pPr>
    </w:p>
    <w:p w:rsidRPr="00482D08" w:rsidR="00482D08" w:rsidP="00482D08" w:rsidRDefault="00482D08">
      <w:pPr>
        <w:rPr>
          <w:rFonts w:eastAsiaTheme="minorHAnsi"/>
          <w:sz w:val="24"/>
          <w:szCs w:val="24"/>
          <w:lang w:bidi="he-IL"/>
        </w:rPr>
      </w:pPr>
      <w:r w:rsidRPr="00482D08">
        <w:rPr>
          <w:rFonts w:eastAsiaTheme="minorHAnsi"/>
          <w:sz w:val="24"/>
          <w:szCs w:val="24"/>
          <w:lang w:bidi="he-IL"/>
        </w:rPr>
        <w:t>SSA will implement the following changes to the HA-</w:t>
      </w:r>
      <w:r w:rsidR="00BB465B">
        <w:rPr>
          <w:rFonts w:eastAsiaTheme="minorHAnsi"/>
          <w:sz w:val="24"/>
          <w:szCs w:val="24"/>
          <w:lang w:bidi="he-IL"/>
        </w:rPr>
        <w:t>L90 and</w:t>
      </w:r>
      <w:r w:rsidRPr="00482D08">
        <w:rPr>
          <w:rFonts w:eastAsiaTheme="minorHAnsi"/>
          <w:sz w:val="24"/>
          <w:szCs w:val="24"/>
          <w:lang w:bidi="he-IL"/>
        </w:rPr>
        <w:t xml:space="preserve"> HA-</w:t>
      </w:r>
      <w:r w:rsidR="00BB465B">
        <w:rPr>
          <w:rFonts w:eastAsiaTheme="minorHAnsi"/>
          <w:sz w:val="24"/>
          <w:szCs w:val="24"/>
          <w:lang w:bidi="he-IL"/>
        </w:rPr>
        <w:t>L90</w:t>
      </w:r>
      <w:r w:rsidRPr="00482D08">
        <w:rPr>
          <w:rFonts w:eastAsiaTheme="minorHAnsi"/>
          <w:sz w:val="24"/>
          <w:szCs w:val="24"/>
          <w:lang w:bidi="he-IL"/>
        </w:rPr>
        <w:t>-OP1 upon OMB approval:</w:t>
      </w:r>
    </w:p>
    <w:p w:rsidRPr="00482D08" w:rsidR="00482D08" w:rsidP="00482D08" w:rsidRDefault="00482D08">
      <w:pPr>
        <w:rPr>
          <w:b/>
          <w:bCs/>
          <w:sz w:val="24"/>
          <w:szCs w:val="24"/>
          <w:u w:val="single"/>
        </w:rPr>
      </w:pPr>
    </w:p>
    <w:p w:rsidRPr="00482D08" w:rsidR="00482D08" w:rsidP="00482D08" w:rsidRDefault="00482D08">
      <w:pPr>
        <w:rPr>
          <w:b/>
          <w:bCs/>
          <w:sz w:val="24"/>
          <w:szCs w:val="24"/>
          <w:u w:val="single"/>
        </w:rPr>
      </w:pPr>
      <w:r w:rsidRPr="00482D08">
        <w:rPr>
          <w:b/>
          <w:bCs/>
          <w:sz w:val="24"/>
          <w:szCs w:val="24"/>
          <w:u w:val="single"/>
        </w:rPr>
        <w:t>Revisions to the Information Collection</w:t>
      </w:r>
    </w:p>
    <w:p w:rsidRPr="00482D08" w:rsidR="00482D08" w:rsidP="00482D08" w:rsidRDefault="00482D08">
      <w:pPr>
        <w:rPr>
          <w:sz w:val="24"/>
          <w:szCs w:val="24"/>
        </w:rPr>
      </w:pPr>
    </w:p>
    <w:p w:rsidRPr="00482D08" w:rsidR="00482D08" w:rsidP="00482D08" w:rsidRDefault="00482D08">
      <w:pPr>
        <w:widowControl w:val="0"/>
        <w:numPr>
          <w:ilvl w:val="0"/>
          <w:numId w:val="2"/>
        </w:numPr>
        <w:suppressAutoHyphens w:val="0"/>
        <w:snapToGrid w:val="0"/>
        <w:rPr>
          <w:bCs/>
          <w:sz w:val="24"/>
          <w:szCs w:val="24"/>
        </w:rPr>
      </w:pPr>
      <w:r w:rsidRPr="00482D08">
        <w:rPr>
          <w:b/>
          <w:bCs/>
          <w:sz w:val="24"/>
          <w:szCs w:val="24"/>
          <w:u w:val="single"/>
        </w:rPr>
        <w:t>Change #1</w:t>
      </w:r>
      <w:r w:rsidRPr="00482D08">
        <w:rPr>
          <w:b/>
          <w:bCs/>
          <w:sz w:val="24"/>
          <w:szCs w:val="24"/>
        </w:rPr>
        <w:t>:</w:t>
      </w:r>
      <w:r w:rsidRPr="00482D08">
        <w:rPr>
          <w:bCs/>
          <w:sz w:val="24"/>
          <w:szCs w:val="24"/>
        </w:rPr>
        <w:t xml:space="preserve">  Change “administrative law judge” and “ALJ” to “judge” throughout the form.  </w:t>
      </w:r>
    </w:p>
    <w:p w:rsidRPr="00482D08" w:rsidR="00482D08" w:rsidP="00482D08" w:rsidRDefault="00482D08">
      <w:pPr>
        <w:ind w:left="360"/>
        <w:rPr>
          <w:bCs/>
          <w:sz w:val="24"/>
          <w:szCs w:val="24"/>
        </w:rPr>
      </w:pPr>
    </w:p>
    <w:p w:rsidR="00482D08" w:rsidP="00482D08" w:rsidRDefault="00482D08">
      <w:pPr>
        <w:ind w:left="360"/>
        <w:rPr>
          <w:bCs/>
          <w:sz w:val="24"/>
          <w:szCs w:val="24"/>
        </w:rPr>
      </w:pPr>
      <w:r w:rsidRPr="00482D08">
        <w:rPr>
          <w:b/>
          <w:bCs/>
          <w:sz w:val="24"/>
          <w:szCs w:val="24"/>
          <w:u w:val="single"/>
        </w:rPr>
        <w:t>Justification #1</w:t>
      </w:r>
      <w:r w:rsidRPr="00482D08">
        <w:rPr>
          <w:b/>
          <w:bCs/>
          <w:sz w:val="24"/>
          <w:szCs w:val="24"/>
        </w:rPr>
        <w:t xml:space="preserve">: </w:t>
      </w:r>
      <w:r w:rsidRPr="00482D08">
        <w:rPr>
          <w:bCs/>
          <w:sz w:val="24"/>
          <w:szCs w:val="24"/>
        </w:rPr>
        <w:t xml:space="preserve"> Because our regulations authorize the Appeals Council to assume responsibility for holding a hearing, we are changing “administrative law judge” to the more general “judge” to include both administrative law judges and the administrative appeals</w:t>
      </w:r>
      <w:r>
        <w:rPr>
          <w:bCs/>
          <w:sz w:val="24"/>
          <w:szCs w:val="24"/>
        </w:rPr>
        <w:t xml:space="preserve"> judges of the Appeals Council.</w:t>
      </w:r>
    </w:p>
    <w:p w:rsidR="00877674" w:rsidP="00482D08" w:rsidRDefault="00877674">
      <w:pPr>
        <w:ind w:left="360"/>
        <w:rPr>
          <w:bCs/>
          <w:sz w:val="24"/>
          <w:szCs w:val="24"/>
        </w:rPr>
      </w:pPr>
    </w:p>
    <w:p w:rsidRPr="00482D08" w:rsidR="00877674" w:rsidP="00877674" w:rsidRDefault="00877674">
      <w:pPr>
        <w:widowControl w:val="0"/>
        <w:numPr>
          <w:ilvl w:val="0"/>
          <w:numId w:val="2"/>
        </w:numPr>
        <w:suppressAutoHyphens w:val="0"/>
        <w:snapToGrid w:val="0"/>
        <w:rPr>
          <w:bCs/>
          <w:sz w:val="24"/>
          <w:szCs w:val="24"/>
        </w:rPr>
      </w:pPr>
      <w:r w:rsidRPr="00482D08">
        <w:rPr>
          <w:b/>
          <w:bCs/>
          <w:sz w:val="24"/>
          <w:szCs w:val="24"/>
          <w:u w:val="single"/>
        </w:rPr>
        <w:t>Change #</w:t>
      </w:r>
      <w:r>
        <w:rPr>
          <w:b/>
          <w:bCs/>
          <w:sz w:val="24"/>
          <w:szCs w:val="24"/>
          <w:u w:val="single"/>
        </w:rPr>
        <w:t>2</w:t>
      </w:r>
      <w:r w:rsidRPr="00482D08">
        <w:rPr>
          <w:b/>
          <w:bCs/>
          <w:sz w:val="24"/>
          <w:szCs w:val="24"/>
        </w:rPr>
        <w:t>:</w:t>
      </w:r>
      <w:r w:rsidRPr="00482D0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Remove “Office of Hearings Operations” from the title bar.</w:t>
      </w:r>
      <w:r w:rsidRPr="00482D08">
        <w:rPr>
          <w:bCs/>
          <w:sz w:val="24"/>
          <w:szCs w:val="24"/>
        </w:rPr>
        <w:t xml:space="preserve">  </w:t>
      </w:r>
    </w:p>
    <w:p w:rsidRPr="00482D08" w:rsidR="00877674" w:rsidP="00877674" w:rsidRDefault="00877674">
      <w:pPr>
        <w:ind w:left="360"/>
        <w:rPr>
          <w:bCs/>
          <w:sz w:val="24"/>
          <w:szCs w:val="24"/>
        </w:rPr>
      </w:pPr>
    </w:p>
    <w:p w:rsidRPr="00482D08" w:rsidR="00877674" w:rsidP="00877674" w:rsidRDefault="00877674">
      <w:pPr>
        <w:ind w:left="360"/>
        <w:rPr>
          <w:bCs/>
          <w:sz w:val="24"/>
          <w:szCs w:val="24"/>
        </w:rPr>
      </w:pPr>
      <w:r w:rsidRPr="00482D08">
        <w:rPr>
          <w:b/>
          <w:bCs/>
          <w:sz w:val="24"/>
          <w:szCs w:val="24"/>
          <w:u w:val="single"/>
        </w:rPr>
        <w:t>Justification #1</w:t>
      </w:r>
      <w:r w:rsidRPr="00482D08">
        <w:rPr>
          <w:b/>
          <w:bCs/>
          <w:sz w:val="24"/>
          <w:szCs w:val="24"/>
        </w:rPr>
        <w:t xml:space="preserve">: </w:t>
      </w:r>
      <w:r w:rsidRPr="00482D0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 office name is not necessary for the title. There is no need to identify the organization name within the Social Security Administration.</w:t>
      </w:r>
    </w:p>
    <w:p w:rsidRPr="00482D08" w:rsidR="00877674" w:rsidP="00482D08" w:rsidRDefault="00877674">
      <w:pPr>
        <w:ind w:left="360"/>
        <w:rPr>
          <w:bCs/>
          <w:sz w:val="24"/>
          <w:szCs w:val="24"/>
        </w:rPr>
      </w:pPr>
    </w:p>
    <w:p w:rsidRPr="00482D08" w:rsidR="00482D08" w:rsidP="00482D08" w:rsidRDefault="00482D08">
      <w:pPr>
        <w:ind w:left="360"/>
        <w:rPr>
          <w:sz w:val="24"/>
          <w:szCs w:val="24"/>
        </w:rPr>
      </w:pPr>
    </w:p>
    <w:p w:rsidRPr="00482D08" w:rsidR="00482D08" w:rsidP="00482D08" w:rsidRDefault="00482D08">
      <w:pPr>
        <w:rPr>
          <w:sz w:val="24"/>
          <w:szCs w:val="24"/>
        </w:rPr>
      </w:pPr>
      <w:r w:rsidRPr="00482D08">
        <w:rPr>
          <w:bCs/>
          <w:sz w:val="24"/>
          <w:szCs w:val="24"/>
        </w:rPr>
        <w:t>This action does not affect the public reporting burden.</w:t>
      </w:r>
    </w:p>
    <w:p w:rsidRPr="00B91B71" w:rsidR="00482D08" w:rsidP="00482D08" w:rsidRDefault="00482D08">
      <w:pPr>
        <w:ind w:left="360"/>
      </w:pPr>
    </w:p>
    <w:p w:rsidRPr="00275D32" w:rsidR="00DB0B45" w:rsidP="00275D32" w:rsidRDefault="00DB0B45">
      <w:pPr>
        <w:ind w:left="360"/>
        <w:rPr>
          <w:sz w:val="24"/>
          <w:szCs w:val="24"/>
        </w:rPr>
      </w:pPr>
    </w:p>
    <w:sectPr w:rsidRPr="00275D32" w:rsidR="00DB0B45">
      <w:footerReference w:type="default" r:id="rId8"/>
      <w:footnotePr>
        <w:pos w:val="beneathText"/>
      </w:footnotePr>
      <w:pgSz w:w="12240" w:h="15840"/>
      <w:pgMar w:top="1440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0D" w:rsidRDefault="00347D0D" w:rsidP="00DB0B45">
      <w:r>
        <w:separator/>
      </w:r>
    </w:p>
  </w:endnote>
  <w:endnote w:type="continuationSeparator" w:id="0">
    <w:p w:rsidR="00347D0D" w:rsidRDefault="00347D0D" w:rsidP="00D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45" w:rsidRDefault="00DB0B45">
    <w:pPr>
      <w:pStyle w:val="Footer"/>
    </w:pPr>
  </w:p>
  <w:p w:rsidR="00DB0B45" w:rsidRDefault="00DB0B4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0D" w:rsidRDefault="00347D0D" w:rsidP="00DB0B45">
      <w:r>
        <w:separator/>
      </w:r>
    </w:p>
  </w:footnote>
  <w:footnote w:type="continuationSeparator" w:id="0">
    <w:p w:rsidR="00347D0D" w:rsidRDefault="00347D0D" w:rsidP="00DB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E7283"/>
    <w:multiLevelType w:val="hybridMultilevel"/>
    <w:tmpl w:val="47B8D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D7"/>
    <w:rsid w:val="0002531A"/>
    <w:rsid w:val="00076564"/>
    <w:rsid w:val="00091C62"/>
    <w:rsid w:val="000B4629"/>
    <w:rsid w:val="00184557"/>
    <w:rsid w:val="00275D32"/>
    <w:rsid w:val="00347D0D"/>
    <w:rsid w:val="00435551"/>
    <w:rsid w:val="00482D08"/>
    <w:rsid w:val="00682BCA"/>
    <w:rsid w:val="00877674"/>
    <w:rsid w:val="008C108A"/>
    <w:rsid w:val="00930C63"/>
    <w:rsid w:val="009353AF"/>
    <w:rsid w:val="009865DC"/>
    <w:rsid w:val="00A237BF"/>
    <w:rsid w:val="00A333DA"/>
    <w:rsid w:val="00AF4C26"/>
    <w:rsid w:val="00B100AB"/>
    <w:rsid w:val="00B841DF"/>
    <w:rsid w:val="00BB465B"/>
    <w:rsid w:val="00BB6982"/>
    <w:rsid w:val="00C35DE8"/>
    <w:rsid w:val="00CF72F3"/>
    <w:rsid w:val="00DB0B45"/>
    <w:rsid w:val="00DE20D7"/>
    <w:rsid w:val="00E17DA9"/>
    <w:rsid w:val="00E55378"/>
    <w:rsid w:val="00E65DF4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172"/>
  <w15:docId w15:val="{4A5840C5-E9B5-40AA-B3AE-6B5796CC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65DC"/>
    <w:pPr>
      <w:keepNext/>
      <w:widowControl w:val="0"/>
      <w:tabs>
        <w:tab w:val="center" w:pos="4680"/>
      </w:tabs>
      <w:jc w:val="center"/>
      <w:outlineLvl w:val="0"/>
    </w:pPr>
    <w:rPr>
      <w:b/>
      <w:bCs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  <w:style w:type="character" w:customStyle="1" w:styleId="Heading1Char">
    <w:name w:val="Heading 1 Char"/>
    <w:basedOn w:val="DefaultParagraphFont"/>
    <w:link w:val="Heading1"/>
    <w:rsid w:val="009865DC"/>
    <w:rPr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1-16/pdf/2020-2385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1873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HA-539, Notice Regarding Substitution of Party Upon Death of Claimant</vt:lpstr>
    </vt:vector>
  </TitlesOfParts>
  <Company>Social Security Administration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HA-539, Notice Regarding Substitution of Party Upon Death of Claimant</dc:title>
  <dc:creator>689830</dc:creator>
  <cp:lastModifiedBy>SSA Response</cp:lastModifiedBy>
  <cp:revision>4</cp:revision>
  <cp:lastPrinted>2009-08-19T13:25:00Z</cp:lastPrinted>
  <dcterms:created xsi:type="dcterms:W3CDTF">2020-11-17T21:01:00Z</dcterms:created>
  <dcterms:modified xsi:type="dcterms:W3CDTF">2020-11-17T21:02:00Z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AC Hearings Final Rule - Revisions to Forms </vt:lpwstr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PreviousAdHocReviewCycleID">
    <vt:i4>966874710</vt:i4>
  </property>
  <property fmtid="{D5CDD505-2E9C-101B-9397-08002B2CF9AE}" pid="6" name="_AdHocReviewCycleID">
    <vt:i4>900927870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