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854" w:rsidRPr="00460B6B" w:rsidRDefault="00E04477" w:rsidP="00CB2854">
      <w:pPr>
        <w:jc w:val="center"/>
        <w:rPr>
          <w:b/>
        </w:rPr>
      </w:pPr>
      <w:bookmarkStart w:id="0" w:name="_GoBack"/>
      <w:bookmarkEnd w:id="0"/>
      <w:r w:rsidRPr="00460B6B">
        <w:rPr>
          <w:b/>
        </w:rPr>
        <w:t>Suppo</w:t>
      </w:r>
      <w:r>
        <w:rPr>
          <w:b/>
        </w:rPr>
        <w:t>rting Statement for Form HA</w:t>
      </w:r>
      <w:r w:rsidR="00CB2854">
        <w:rPr>
          <w:b/>
        </w:rPr>
        <w:t>-</w:t>
      </w:r>
      <w:r w:rsidR="00171469">
        <w:rPr>
          <w:b/>
        </w:rPr>
        <w:t>L90</w:t>
      </w:r>
    </w:p>
    <w:p w:rsidR="00CB2854" w:rsidRPr="00460B6B" w:rsidRDefault="00300121" w:rsidP="00CB2854">
      <w:pPr>
        <w:pStyle w:val="Heading1"/>
        <w:tabs>
          <w:tab w:val="clear" w:pos="4680"/>
        </w:tabs>
        <w:suppressAutoHyphens w:val="0"/>
      </w:pPr>
      <w:r>
        <w:t>Request to Show Cause for Failure to Appear</w:t>
      </w:r>
    </w:p>
    <w:p w:rsidR="00CB2854" w:rsidRDefault="002C7BA1" w:rsidP="00CB2854">
      <w:pPr>
        <w:jc w:val="center"/>
        <w:rPr>
          <w:b/>
          <w:bCs/>
          <w:spacing w:val="2"/>
        </w:rPr>
      </w:pPr>
      <w:r>
        <w:rPr>
          <w:b/>
          <w:bCs/>
          <w:spacing w:val="2"/>
        </w:rPr>
        <w:t>20 CFR 404.938</w:t>
      </w:r>
      <w:r w:rsidR="00714B05">
        <w:rPr>
          <w:b/>
          <w:bCs/>
          <w:spacing w:val="2"/>
        </w:rPr>
        <w:t>,</w:t>
      </w:r>
      <w:r>
        <w:rPr>
          <w:b/>
          <w:bCs/>
          <w:spacing w:val="2"/>
        </w:rPr>
        <w:t xml:space="preserve"> 20 CFR 416.1438</w:t>
      </w:r>
      <w:r w:rsidR="00714B05">
        <w:rPr>
          <w:b/>
          <w:bCs/>
          <w:spacing w:val="2"/>
        </w:rPr>
        <w:t>, and 20 CFR 404.957(</w:t>
      </w:r>
      <w:r w:rsidR="00065CB7">
        <w:rPr>
          <w:b/>
          <w:bCs/>
          <w:spacing w:val="2"/>
        </w:rPr>
        <w:t>b</w:t>
      </w:r>
      <w:r w:rsidR="00714B05">
        <w:rPr>
          <w:b/>
          <w:bCs/>
          <w:spacing w:val="2"/>
        </w:rPr>
        <w:t>)</w:t>
      </w:r>
      <w:r w:rsidR="00065CB7">
        <w:rPr>
          <w:b/>
          <w:bCs/>
          <w:spacing w:val="2"/>
        </w:rPr>
        <w:t xml:space="preserve">(i) and </w:t>
      </w:r>
      <w:r w:rsidR="00714B05">
        <w:rPr>
          <w:b/>
          <w:bCs/>
          <w:spacing w:val="2"/>
        </w:rPr>
        <w:t>(ii)</w:t>
      </w:r>
    </w:p>
    <w:p w:rsidR="00CB2854" w:rsidRPr="00460B6B" w:rsidRDefault="003B2C60" w:rsidP="00CB2854">
      <w:pPr>
        <w:jc w:val="center"/>
        <w:rPr>
          <w:b/>
        </w:rPr>
      </w:pPr>
      <w:r>
        <w:rPr>
          <w:b/>
        </w:rPr>
        <w:t>OMB No. 0960-</w:t>
      </w:r>
      <w:r w:rsidR="009350B3">
        <w:rPr>
          <w:b/>
        </w:rPr>
        <w:t>0794</w:t>
      </w:r>
    </w:p>
    <w:p w:rsidR="002D3584" w:rsidRDefault="002D3584" w:rsidP="00D16440">
      <w:pPr>
        <w:tabs>
          <w:tab w:val="left" w:pos="720"/>
        </w:tabs>
        <w:spacing w:after="144"/>
        <w:rPr>
          <w:b/>
          <w:bCs/>
          <w:spacing w:val="2"/>
        </w:rPr>
      </w:pPr>
    </w:p>
    <w:p w:rsidR="001775F1" w:rsidRPr="001775F1" w:rsidRDefault="00D16440" w:rsidP="001775F1">
      <w:pPr>
        <w:pStyle w:val="ListParagraph"/>
        <w:numPr>
          <w:ilvl w:val="0"/>
          <w:numId w:val="8"/>
        </w:numPr>
        <w:tabs>
          <w:tab w:val="left" w:pos="720"/>
        </w:tabs>
        <w:spacing w:after="144"/>
        <w:rPr>
          <w:b/>
          <w:bCs/>
        </w:rPr>
      </w:pPr>
      <w:r w:rsidRPr="001775F1">
        <w:rPr>
          <w:b/>
          <w:bCs/>
          <w:u w:val="single"/>
        </w:rPr>
        <w:t>Justification</w:t>
      </w:r>
    </w:p>
    <w:p w:rsidR="001775F1" w:rsidRPr="001775F1" w:rsidRDefault="001775F1" w:rsidP="001775F1">
      <w:pPr>
        <w:pStyle w:val="ListParagraph"/>
        <w:tabs>
          <w:tab w:val="left" w:pos="720"/>
        </w:tabs>
        <w:spacing w:after="144"/>
        <w:ind w:left="1080"/>
        <w:rPr>
          <w:b/>
          <w:bCs/>
        </w:rPr>
      </w:pPr>
    </w:p>
    <w:p w:rsidR="001775F1" w:rsidRPr="001775F1" w:rsidRDefault="00C21BD9" w:rsidP="001775F1">
      <w:pPr>
        <w:pStyle w:val="ListParagraph"/>
        <w:numPr>
          <w:ilvl w:val="0"/>
          <w:numId w:val="9"/>
        </w:numPr>
        <w:tabs>
          <w:tab w:val="left" w:pos="720"/>
        </w:tabs>
        <w:spacing w:after="144"/>
        <w:rPr>
          <w:b/>
          <w:bCs/>
        </w:rPr>
      </w:pPr>
      <w:r w:rsidRPr="001775F1">
        <w:rPr>
          <w:b/>
          <w:iCs/>
        </w:rPr>
        <w:t>Introduction/Authoring Laws and Regulations</w:t>
      </w:r>
    </w:p>
    <w:p w:rsidR="001775F1" w:rsidRDefault="00C00ABF" w:rsidP="001775F1">
      <w:pPr>
        <w:pStyle w:val="ListParagraph"/>
        <w:tabs>
          <w:tab w:val="left" w:pos="720"/>
        </w:tabs>
        <w:spacing w:after="144"/>
        <w:ind w:left="1080"/>
      </w:pPr>
      <w:r w:rsidRPr="001775F1">
        <w:rPr>
          <w:iCs/>
          <w:spacing w:val="-8"/>
        </w:rPr>
        <w:t>Sections</w:t>
      </w:r>
      <w:r w:rsidRPr="001775F1">
        <w:rPr>
          <w:i/>
          <w:iCs/>
          <w:spacing w:val="-8"/>
        </w:rPr>
        <w:t xml:space="preserve"> </w:t>
      </w:r>
      <w:r w:rsidR="005F75D3" w:rsidRPr="005F75D3">
        <w:rPr>
          <w:i/>
          <w:iCs/>
          <w:spacing w:val="-8"/>
        </w:rPr>
        <w:t xml:space="preserve">205, 1631(d)(1) </w:t>
      </w:r>
      <w:r w:rsidR="005F75D3" w:rsidRPr="0040555A">
        <w:rPr>
          <w:iCs/>
          <w:spacing w:val="-8"/>
        </w:rPr>
        <w:t>and</w:t>
      </w:r>
      <w:r w:rsidR="005F75D3" w:rsidRPr="005F75D3">
        <w:rPr>
          <w:i/>
          <w:iCs/>
          <w:spacing w:val="-8"/>
        </w:rPr>
        <w:t xml:space="preserve"> 1872 </w:t>
      </w:r>
      <w:r w:rsidR="005F75D3" w:rsidRPr="0040555A">
        <w:rPr>
          <w:iCs/>
          <w:spacing w:val="-8"/>
        </w:rPr>
        <w:t>of the</w:t>
      </w:r>
      <w:r w:rsidR="005F75D3" w:rsidRPr="005F75D3">
        <w:rPr>
          <w:i/>
          <w:iCs/>
          <w:spacing w:val="-8"/>
        </w:rPr>
        <w:t xml:space="preserve"> Social Security Act</w:t>
      </w:r>
      <w:r w:rsidRPr="001775F1">
        <w:rPr>
          <w:i/>
          <w:iCs/>
        </w:rPr>
        <w:t xml:space="preserve"> </w:t>
      </w:r>
      <w:r w:rsidRPr="001775F1">
        <w:rPr>
          <w:iCs/>
        </w:rPr>
        <w:t>provide t</w:t>
      </w:r>
      <w:r w:rsidR="00FD2DAE" w:rsidRPr="001775F1">
        <w:rPr>
          <w:iCs/>
        </w:rPr>
        <w:t xml:space="preserve">he authority </w:t>
      </w:r>
      <w:r w:rsidRPr="001775F1">
        <w:rPr>
          <w:iCs/>
        </w:rPr>
        <w:t xml:space="preserve">for the Social Security Administration (SSA) </w:t>
      </w:r>
      <w:r w:rsidR="00FD2DAE" w:rsidRPr="001775F1">
        <w:rPr>
          <w:iCs/>
        </w:rPr>
        <w:t>to collect the i</w:t>
      </w:r>
      <w:r w:rsidR="0040555A">
        <w:rPr>
          <w:iCs/>
        </w:rPr>
        <w:t>nformation requested on Form HA</w:t>
      </w:r>
      <w:r w:rsidR="0040555A">
        <w:rPr>
          <w:iCs/>
        </w:rPr>
        <w:noBreakHyphen/>
      </w:r>
      <w:r w:rsidR="00FD2DAE" w:rsidRPr="001775F1">
        <w:rPr>
          <w:iCs/>
        </w:rPr>
        <w:t>L90</w:t>
      </w:r>
      <w:r w:rsidRPr="001775F1">
        <w:rPr>
          <w:iCs/>
        </w:rPr>
        <w:t xml:space="preserve">.  </w:t>
      </w:r>
      <w:r w:rsidR="00C21BD9" w:rsidRPr="001775F1">
        <w:rPr>
          <w:iCs/>
        </w:rPr>
        <w:t>Section</w:t>
      </w:r>
      <w:r w:rsidR="005F75D3">
        <w:rPr>
          <w:iCs/>
        </w:rPr>
        <w:t>s</w:t>
      </w:r>
      <w:r w:rsidR="00C21BD9" w:rsidRPr="001775F1">
        <w:rPr>
          <w:iCs/>
        </w:rPr>
        <w:t xml:space="preserve"> </w:t>
      </w:r>
      <w:r w:rsidR="005F75D3" w:rsidRPr="005F75D3">
        <w:rPr>
          <w:i/>
          <w:iCs/>
          <w:spacing w:val="-8"/>
        </w:rPr>
        <w:t xml:space="preserve">20 CFR 404.938, 416.1438, </w:t>
      </w:r>
      <w:r w:rsidR="005F75D3" w:rsidRPr="0040555A">
        <w:rPr>
          <w:iCs/>
          <w:spacing w:val="-8"/>
        </w:rPr>
        <w:t xml:space="preserve">and </w:t>
      </w:r>
      <w:r w:rsidR="005F75D3" w:rsidRPr="005F75D3">
        <w:rPr>
          <w:i/>
          <w:iCs/>
          <w:spacing w:val="-8"/>
        </w:rPr>
        <w:t xml:space="preserve">404.957(b)(i) </w:t>
      </w:r>
      <w:r w:rsidR="005F75D3" w:rsidRPr="0040555A">
        <w:rPr>
          <w:iCs/>
          <w:spacing w:val="-8"/>
        </w:rPr>
        <w:t xml:space="preserve">and </w:t>
      </w:r>
      <w:r w:rsidR="005F75D3" w:rsidRPr="005F75D3">
        <w:rPr>
          <w:i/>
          <w:iCs/>
          <w:spacing w:val="-8"/>
        </w:rPr>
        <w:t xml:space="preserve">(ii) </w:t>
      </w:r>
      <w:r w:rsidR="005F75D3" w:rsidRPr="0040555A">
        <w:rPr>
          <w:iCs/>
          <w:spacing w:val="-8"/>
        </w:rPr>
        <w:t>of the</w:t>
      </w:r>
      <w:r w:rsidR="005F75D3" w:rsidRPr="005F75D3">
        <w:rPr>
          <w:i/>
          <w:iCs/>
          <w:spacing w:val="-8"/>
        </w:rPr>
        <w:t xml:space="preserve"> Code of Federal Regulations</w:t>
      </w:r>
      <w:r w:rsidR="005F75D3" w:rsidRPr="005F75D3" w:rsidDel="005F75D3">
        <w:rPr>
          <w:i/>
          <w:iCs/>
          <w:spacing w:val="-8"/>
        </w:rPr>
        <w:t xml:space="preserve"> </w:t>
      </w:r>
      <w:r w:rsidR="00C21BD9" w:rsidRPr="00C00ABF">
        <w:t>s</w:t>
      </w:r>
      <w:r w:rsidR="00AB32F4">
        <w:t>et forth the procedures and policies for implementing the</w:t>
      </w:r>
      <w:r w:rsidR="00C21BD9">
        <w:t>se</w:t>
      </w:r>
      <w:r w:rsidR="00AB32F4">
        <w:t xml:space="preserve"> </w:t>
      </w:r>
      <w:r w:rsidR="00C21BD9" w:rsidRPr="00C21BD9">
        <w:t>regulations</w:t>
      </w:r>
      <w:r w:rsidR="00AB32F4" w:rsidRPr="00C21BD9">
        <w:t>.</w:t>
      </w:r>
      <w:r w:rsidR="00C21BD9" w:rsidRPr="00C21BD9">
        <w:t xml:space="preserve"> </w:t>
      </w:r>
    </w:p>
    <w:p w:rsidR="001775F1" w:rsidRPr="001775F1" w:rsidRDefault="001775F1" w:rsidP="001775F1">
      <w:pPr>
        <w:pStyle w:val="ListParagraph"/>
        <w:tabs>
          <w:tab w:val="left" w:pos="720"/>
        </w:tabs>
        <w:spacing w:after="144"/>
        <w:ind w:left="1080"/>
        <w:rPr>
          <w:b/>
          <w:bCs/>
        </w:rPr>
      </w:pPr>
    </w:p>
    <w:p w:rsidR="00984723" w:rsidRPr="00984723" w:rsidRDefault="00C21BD9" w:rsidP="00984723">
      <w:pPr>
        <w:pStyle w:val="ListParagraph"/>
        <w:numPr>
          <w:ilvl w:val="0"/>
          <w:numId w:val="9"/>
        </w:numPr>
        <w:tabs>
          <w:tab w:val="left" w:pos="720"/>
        </w:tabs>
        <w:spacing w:after="144"/>
        <w:rPr>
          <w:b/>
          <w:bCs/>
        </w:rPr>
      </w:pPr>
      <w:r w:rsidRPr="001775F1">
        <w:rPr>
          <w:b/>
        </w:rPr>
        <w:t>Description of Collection</w:t>
      </w:r>
    </w:p>
    <w:p w:rsidR="00984723" w:rsidRPr="00984723" w:rsidRDefault="00B85F95" w:rsidP="00984723">
      <w:pPr>
        <w:pStyle w:val="ListParagraph"/>
        <w:tabs>
          <w:tab w:val="left" w:pos="720"/>
        </w:tabs>
        <w:spacing w:after="144"/>
        <w:ind w:left="1080"/>
        <w:rPr>
          <w:b/>
          <w:bCs/>
        </w:rPr>
      </w:pPr>
      <w:r>
        <w:rPr>
          <w:rFonts w:eastAsia="Calibri"/>
        </w:rPr>
        <w:t>When claimants who requested a hearing before an administrative law judge (ALJ) fail to appear at their scheduled hearing, the ALJ may reschedule the hearing if the claimants establish good cause for missing the hearings.  To establish good cause, following:  (1) SSA did not properly notify the claimant of the hearing, or (2) an unexpected event occurred without sufficient time for the claimant to request a postponement.  The claimants can use paper Form HA-L90 or HA-L90-OP1 to provide their reason for not appearing at their scheduled hearings; or the claimants’ representatives can use Electronic Records Express (ERE), OMB Control No. 0960-0753, to submit the HA-L90 online.  SSA uses the HA-L90 for new cases, and the HA-L90-OP1 for redeterminations cases.  We need two versions of the paper form, as the ALJ follows different procedures when determining the good cause on redetermination cases (cases that have a prior decision and evidence on file), than they do for new cases (where we have no evidence on file).  If the ALJ determines the claimants established good cause for failure to appear at the hearing, the ALJ will schedule a supplemental hearing; if not, the ALJ will make a claims eligibility determination based on the claimants’ evidence of record.  Respondents are claimants, or their representatives, seeking to establish good cause for failure to appear at a scheduled hearing before an ALJ</w:t>
      </w:r>
      <w:r w:rsidR="00984723">
        <w:t>.</w:t>
      </w:r>
    </w:p>
    <w:p w:rsidR="00984723" w:rsidRPr="001775F1" w:rsidRDefault="00984723" w:rsidP="00984723">
      <w:pPr>
        <w:pStyle w:val="ListParagraph"/>
        <w:rPr>
          <w:b/>
        </w:rPr>
      </w:pPr>
    </w:p>
    <w:p w:rsidR="00A63531" w:rsidRPr="00A63531" w:rsidRDefault="00EF4049" w:rsidP="001775F1">
      <w:pPr>
        <w:pStyle w:val="ListParagraph"/>
        <w:numPr>
          <w:ilvl w:val="0"/>
          <w:numId w:val="9"/>
        </w:numPr>
        <w:tabs>
          <w:tab w:val="left" w:pos="720"/>
        </w:tabs>
        <w:spacing w:after="144"/>
        <w:rPr>
          <w:b/>
          <w:bCs/>
        </w:rPr>
      </w:pPr>
      <w:r w:rsidRPr="001775F1">
        <w:rPr>
          <w:b/>
        </w:rPr>
        <w:t>Use of Information Technology to Collect the Information</w:t>
      </w:r>
    </w:p>
    <w:p w:rsidR="0032733A" w:rsidRPr="0032733A" w:rsidRDefault="0032733A" w:rsidP="0032733A">
      <w:pPr>
        <w:pStyle w:val="ListParagraph"/>
        <w:tabs>
          <w:tab w:val="left" w:pos="720"/>
        </w:tabs>
        <w:spacing w:after="144"/>
        <w:ind w:left="1080"/>
        <w:rPr>
          <w:b/>
          <w:bCs/>
        </w:rPr>
      </w:pPr>
      <w:r>
        <w:t xml:space="preserve">SSA did not create </w:t>
      </w:r>
      <w:r w:rsidRPr="00431220">
        <w:t>electronic version</w:t>
      </w:r>
      <w:r>
        <w:t>s</w:t>
      </w:r>
      <w:r w:rsidRPr="00431220">
        <w:t xml:space="preserve"> of </w:t>
      </w:r>
      <w:r>
        <w:t>these forms</w:t>
      </w:r>
      <w:r w:rsidRPr="00431220">
        <w:t xml:space="preserve"> under the agency’s Government Paperwork Elimination Act (GPEA) plan because </w:t>
      </w:r>
      <w:r>
        <w:t>approximately 40,000</w:t>
      </w:r>
      <w:r w:rsidRPr="00431220">
        <w:t xml:space="preserve"> respondents complete </w:t>
      </w:r>
      <w:r>
        <w:t xml:space="preserve">these forms during any calendar year, which </w:t>
      </w:r>
      <w:r w:rsidRPr="00431220">
        <w:t>is less than the GPEA cut-off of 50,000</w:t>
      </w:r>
      <w:r w:rsidR="00EF4049">
        <w:t>.  However, claimants who appoint a representative may have their appointed representatives subm</w:t>
      </w:r>
      <w:r w:rsidR="00A63531">
        <w:t>it a completed Form HA</w:t>
      </w:r>
      <w:r w:rsidR="00A63531">
        <w:noBreakHyphen/>
      </w:r>
      <w:r w:rsidR="00E04477">
        <w:t xml:space="preserve">L90 </w:t>
      </w:r>
      <w:r>
        <w:t>or HA-L90-</w:t>
      </w:r>
      <w:r w:rsidR="00A175CC">
        <w:t xml:space="preserve">OP1 </w:t>
      </w:r>
      <w:r w:rsidR="00E04477">
        <w:t>via E</w:t>
      </w:r>
      <w:r w:rsidR="00EF4049">
        <w:t>lectronic Records Express</w:t>
      </w:r>
      <w:r w:rsidR="00C00ABF">
        <w:t xml:space="preserve"> (OMB No. 0960-0753)</w:t>
      </w:r>
      <w:r w:rsidR="00EF4049">
        <w:t>.  Approximately 80 percent of claimants have appointed representatives</w:t>
      </w:r>
      <w:r>
        <w:t xml:space="preserve"> who use Electronic Records Express to complete this form</w:t>
      </w:r>
      <w:r w:rsidR="00EF4049">
        <w:t>.</w:t>
      </w:r>
    </w:p>
    <w:p w:rsidR="0032733A" w:rsidRPr="00A63531" w:rsidRDefault="0032733A" w:rsidP="00A63531">
      <w:pPr>
        <w:pStyle w:val="ListParagraph"/>
        <w:tabs>
          <w:tab w:val="left" w:pos="720"/>
        </w:tabs>
        <w:spacing w:after="144"/>
        <w:ind w:left="1080"/>
        <w:rPr>
          <w:b/>
          <w:bCs/>
        </w:rPr>
      </w:pPr>
    </w:p>
    <w:p w:rsidR="00A63531" w:rsidRPr="00A63531" w:rsidRDefault="00E04477" w:rsidP="00A63531">
      <w:pPr>
        <w:pStyle w:val="ListParagraph"/>
        <w:numPr>
          <w:ilvl w:val="0"/>
          <w:numId w:val="9"/>
        </w:numPr>
        <w:tabs>
          <w:tab w:val="left" w:pos="720"/>
        </w:tabs>
        <w:spacing w:after="144"/>
        <w:rPr>
          <w:b/>
          <w:bCs/>
        </w:rPr>
      </w:pPr>
      <w:r w:rsidRPr="00A63531">
        <w:rPr>
          <w:b/>
        </w:rPr>
        <w:t>Why We Cannot Use Duplicate Information</w:t>
      </w:r>
    </w:p>
    <w:p w:rsidR="00A63531" w:rsidRPr="00A63531" w:rsidRDefault="00AB31A1" w:rsidP="00A63531">
      <w:pPr>
        <w:pStyle w:val="ListParagraph"/>
        <w:tabs>
          <w:tab w:val="left" w:pos="720"/>
        </w:tabs>
        <w:spacing w:after="144"/>
        <w:ind w:left="1080"/>
        <w:rPr>
          <w:b/>
          <w:bCs/>
        </w:rPr>
      </w:pPr>
      <w:r w:rsidRPr="00AB31A1">
        <w:t>The n</w:t>
      </w:r>
      <w:r w:rsidR="0032733A">
        <w:t>ature of the information we collect and the manner in which we collect</w:t>
      </w:r>
      <w:r w:rsidRPr="00AB31A1">
        <w:t xml:space="preserve"> it preclude duplication.  SSA does not use another collection instrument to collect similar data</w:t>
      </w:r>
      <w:r w:rsidR="006D29DD">
        <w:t>.</w:t>
      </w:r>
    </w:p>
    <w:p w:rsidR="00A63531" w:rsidRPr="00A63531" w:rsidRDefault="00A63531" w:rsidP="00A63531">
      <w:pPr>
        <w:pStyle w:val="ListParagraph"/>
        <w:tabs>
          <w:tab w:val="left" w:pos="720"/>
        </w:tabs>
        <w:spacing w:after="144"/>
        <w:ind w:left="1080"/>
        <w:rPr>
          <w:b/>
          <w:bCs/>
        </w:rPr>
      </w:pPr>
    </w:p>
    <w:p w:rsidR="00A63531" w:rsidRPr="00A63531" w:rsidRDefault="00E04477" w:rsidP="00A63531">
      <w:pPr>
        <w:pStyle w:val="ListParagraph"/>
        <w:numPr>
          <w:ilvl w:val="0"/>
          <w:numId w:val="9"/>
        </w:numPr>
        <w:tabs>
          <w:tab w:val="left" w:pos="720"/>
        </w:tabs>
        <w:spacing w:after="144"/>
        <w:rPr>
          <w:b/>
          <w:bCs/>
        </w:rPr>
      </w:pPr>
      <w:r w:rsidRPr="00A63531">
        <w:rPr>
          <w:b/>
        </w:rPr>
        <w:lastRenderedPageBreak/>
        <w:t>Minimizing Burden on Small Respondents</w:t>
      </w:r>
    </w:p>
    <w:p w:rsidR="00A63531" w:rsidRPr="00984723" w:rsidRDefault="00AB32F4" w:rsidP="00984723">
      <w:pPr>
        <w:pStyle w:val="ListParagraph"/>
        <w:tabs>
          <w:tab w:val="left" w:pos="720"/>
        </w:tabs>
        <w:spacing w:after="144"/>
        <w:ind w:left="1080"/>
        <w:rPr>
          <w:b/>
          <w:bCs/>
        </w:rPr>
      </w:pPr>
      <w:r w:rsidRPr="00AB32F4">
        <w:t xml:space="preserve">This collection does not </w:t>
      </w:r>
      <w:r w:rsidR="00D06567">
        <w:t>affect</w:t>
      </w:r>
      <w:r>
        <w:t xml:space="preserve"> small businesses or other small entities.</w:t>
      </w:r>
    </w:p>
    <w:p w:rsidR="00A63531" w:rsidRPr="00A63531" w:rsidRDefault="00A63531" w:rsidP="00A63531">
      <w:pPr>
        <w:pStyle w:val="ListParagraph"/>
        <w:tabs>
          <w:tab w:val="left" w:pos="720"/>
        </w:tabs>
        <w:spacing w:after="144"/>
        <w:ind w:left="1080"/>
        <w:rPr>
          <w:b/>
          <w:bCs/>
        </w:rPr>
      </w:pPr>
    </w:p>
    <w:p w:rsidR="00A63531" w:rsidRPr="00A63531" w:rsidRDefault="00E04477" w:rsidP="00A63531">
      <w:pPr>
        <w:pStyle w:val="ListParagraph"/>
        <w:numPr>
          <w:ilvl w:val="0"/>
          <w:numId w:val="9"/>
        </w:numPr>
        <w:tabs>
          <w:tab w:val="left" w:pos="720"/>
        </w:tabs>
        <w:spacing w:after="144"/>
        <w:rPr>
          <w:b/>
          <w:bCs/>
        </w:rPr>
      </w:pPr>
      <w:r w:rsidRPr="00A63531">
        <w:rPr>
          <w:b/>
        </w:rPr>
        <w:t>Consequences of Not Collecting Information or Collecting it Less Frequently</w:t>
      </w:r>
    </w:p>
    <w:p w:rsidR="00A63531" w:rsidRPr="00A63531" w:rsidRDefault="00E04477" w:rsidP="00A63531">
      <w:pPr>
        <w:pStyle w:val="ListParagraph"/>
        <w:tabs>
          <w:tab w:val="left" w:pos="720"/>
        </w:tabs>
        <w:spacing w:after="144"/>
        <w:ind w:left="1080"/>
        <w:rPr>
          <w:b/>
          <w:bCs/>
        </w:rPr>
      </w:pPr>
      <w:r>
        <w:t>T</w:t>
      </w:r>
      <w:r w:rsidR="00C64270" w:rsidRPr="00AB32F4">
        <w:t>o comply with Federal law</w:t>
      </w:r>
      <w:r w:rsidR="00686AD2" w:rsidRPr="00AB32F4">
        <w:t xml:space="preserve">, </w:t>
      </w:r>
      <w:r w:rsidR="00686AD2">
        <w:t>SSA</w:t>
      </w:r>
      <w:r w:rsidR="00C64270">
        <w:t xml:space="preserve"> </w:t>
      </w:r>
      <w:r w:rsidR="003526A2">
        <w:t>must collect the information on the HA-</w:t>
      </w:r>
      <w:r w:rsidR="00E878CC">
        <w:t>L90</w:t>
      </w:r>
      <w:r>
        <w:t xml:space="preserve">.  </w:t>
      </w:r>
      <w:r w:rsidR="00C64270">
        <w:t>I</w:t>
      </w:r>
      <w:r>
        <w:t xml:space="preserve">f SSA did </w:t>
      </w:r>
      <w:r w:rsidR="00C64270" w:rsidRPr="00AB32F4">
        <w:t>not collect the i</w:t>
      </w:r>
      <w:r w:rsidR="00C64270">
        <w:t xml:space="preserve">nformation when necessary, </w:t>
      </w:r>
      <w:r w:rsidR="00FC1756">
        <w:t>the ALJ would dismiss the claima</w:t>
      </w:r>
      <w:r>
        <w:t>nt’s case when the claimant did</w:t>
      </w:r>
      <w:r w:rsidR="00FC1756">
        <w:t xml:space="preserve"> not appear at their scheduled hearing</w:t>
      </w:r>
      <w:r>
        <w:t>.</w:t>
      </w:r>
      <w:r w:rsidR="004A2736">
        <w:t xml:space="preserve">  </w:t>
      </w:r>
      <w:r w:rsidR="00A63531">
        <w:t>Since we only collect this information on an as needed basis</w:t>
      </w:r>
      <w:r w:rsidR="004A2736">
        <w:t xml:space="preserve">, we cannot collect </w:t>
      </w:r>
      <w:r w:rsidR="00A63531">
        <w:t>it</w:t>
      </w:r>
      <w:r w:rsidR="004A2736">
        <w:t xml:space="preserve"> less frequently.</w:t>
      </w:r>
      <w:r w:rsidR="00AB32F4" w:rsidRPr="00AB32F4">
        <w:t xml:space="preserve">  There are no technical or legal obstacles that prevent burden reduction.</w:t>
      </w:r>
    </w:p>
    <w:p w:rsidR="00A63531" w:rsidRPr="00A63531" w:rsidRDefault="00A63531" w:rsidP="00A63531">
      <w:pPr>
        <w:pStyle w:val="ListParagraph"/>
        <w:tabs>
          <w:tab w:val="left" w:pos="720"/>
        </w:tabs>
        <w:spacing w:after="144"/>
        <w:ind w:left="1080"/>
        <w:rPr>
          <w:b/>
          <w:bCs/>
        </w:rPr>
      </w:pPr>
    </w:p>
    <w:p w:rsidR="00A63531" w:rsidRPr="00A63531" w:rsidRDefault="00E04477" w:rsidP="00A63531">
      <w:pPr>
        <w:pStyle w:val="ListParagraph"/>
        <w:numPr>
          <w:ilvl w:val="0"/>
          <w:numId w:val="9"/>
        </w:numPr>
        <w:tabs>
          <w:tab w:val="left" w:pos="720"/>
        </w:tabs>
        <w:spacing w:after="144"/>
        <w:rPr>
          <w:b/>
          <w:bCs/>
        </w:rPr>
      </w:pPr>
      <w:r w:rsidRPr="00A63531">
        <w:rPr>
          <w:b/>
        </w:rPr>
        <w:t>Special Circumstance</w:t>
      </w:r>
      <w:r w:rsidR="00564D1C" w:rsidRPr="00A63531">
        <w:rPr>
          <w:b/>
        </w:rPr>
        <w:t>s</w:t>
      </w:r>
    </w:p>
    <w:p w:rsidR="00A63531" w:rsidRPr="00A63531" w:rsidRDefault="00686AD2" w:rsidP="00A63531">
      <w:pPr>
        <w:pStyle w:val="ListParagraph"/>
        <w:tabs>
          <w:tab w:val="left" w:pos="720"/>
        </w:tabs>
        <w:spacing w:after="144"/>
        <w:ind w:left="1080"/>
        <w:rPr>
          <w:b/>
          <w:bCs/>
        </w:rPr>
      </w:pPr>
      <w:r w:rsidRPr="00A63531">
        <w:t xml:space="preserve">There are no special circumstances that would cause SSA to conduct this information collection in a manner inconsistent with </w:t>
      </w:r>
      <w:r w:rsidRPr="00A63531">
        <w:rPr>
          <w:i/>
        </w:rPr>
        <w:t>5 CFR 1320.5</w:t>
      </w:r>
      <w:r w:rsidRPr="00A63531">
        <w:t>.</w:t>
      </w:r>
    </w:p>
    <w:p w:rsidR="00A63531" w:rsidRPr="00A63531" w:rsidRDefault="00A63531" w:rsidP="00A63531">
      <w:pPr>
        <w:pStyle w:val="ListParagraph"/>
        <w:tabs>
          <w:tab w:val="left" w:pos="720"/>
        </w:tabs>
        <w:spacing w:after="144"/>
        <w:ind w:left="1080"/>
        <w:rPr>
          <w:b/>
          <w:bCs/>
        </w:rPr>
      </w:pPr>
    </w:p>
    <w:p w:rsidR="00A63531" w:rsidRPr="00A63531" w:rsidRDefault="00564D1C" w:rsidP="00A63531">
      <w:pPr>
        <w:pStyle w:val="ListParagraph"/>
        <w:numPr>
          <w:ilvl w:val="0"/>
          <w:numId w:val="9"/>
        </w:numPr>
        <w:tabs>
          <w:tab w:val="left" w:pos="720"/>
        </w:tabs>
        <w:spacing w:after="144"/>
        <w:rPr>
          <w:b/>
          <w:bCs/>
        </w:rPr>
      </w:pPr>
      <w:r w:rsidRPr="00A63531">
        <w:rPr>
          <w:b/>
        </w:rPr>
        <w:t>Solicitation of Public Comment and Other Consultations with the Public</w:t>
      </w:r>
    </w:p>
    <w:p w:rsidR="00A63531" w:rsidRPr="00A63531" w:rsidRDefault="00984723" w:rsidP="00A63531">
      <w:pPr>
        <w:pStyle w:val="ListParagraph"/>
        <w:tabs>
          <w:tab w:val="left" w:pos="720"/>
        </w:tabs>
        <w:spacing w:after="144"/>
        <w:ind w:left="1080"/>
        <w:rPr>
          <w:b/>
          <w:bCs/>
        </w:rPr>
      </w:pPr>
      <w:r w:rsidRPr="00A81908">
        <w:t xml:space="preserve">The 60-day advance Federal Register Notice published on </w:t>
      </w:r>
      <w:r w:rsidR="00807E3A">
        <w:t>October 26, 2017</w:t>
      </w:r>
      <w:r w:rsidRPr="00A81908">
        <w:t xml:space="preserve">, at </w:t>
      </w:r>
      <w:r w:rsidR="00807E3A">
        <w:t>82</w:t>
      </w:r>
      <w:r w:rsidRPr="00A81908">
        <w:t xml:space="preserve"> FR </w:t>
      </w:r>
      <w:r w:rsidR="00807E3A">
        <w:t>49694</w:t>
      </w:r>
      <w:r w:rsidRPr="00A81908">
        <w:t xml:space="preserve">, and we received no public comments.  SSA published the second Notice on </w:t>
      </w:r>
      <w:r w:rsidR="0040555A">
        <w:t>January 12, 2018</w:t>
      </w:r>
      <w:r w:rsidRPr="00A81908">
        <w:t>, at</w:t>
      </w:r>
      <w:r w:rsidR="0040555A">
        <w:t xml:space="preserve"> 83</w:t>
      </w:r>
      <w:r w:rsidRPr="00A81908">
        <w:t xml:space="preserve"> FR </w:t>
      </w:r>
      <w:r w:rsidR="0040555A">
        <w:t>1651</w:t>
      </w:r>
      <w:r w:rsidRPr="00A81908">
        <w:t>.  If we receive comments in response to the 30</w:t>
      </w:r>
      <w:r w:rsidRPr="00A81908">
        <w:noBreakHyphen/>
        <w:t>day Notice, we will forward them to OMB.  We did not consult with the public in the revision of this form</w:t>
      </w:r>
      <w:r w:rsidR="00564D1C" w:rsidRPr="00A63531">
        <w:t>.</w:t>
      </w:r>
    </w:p>
    <w:p w:rsidR="00A63531" w:rsidRPr="00A63531" w:rsidRDefault="00A63531" w:rsidP="00A63531">
      <w:pPr>
        <w:pStyle w:val="ListParagraph"/>
        <w:tabs>
          <w:tab w:val="left" w:pos="720"/>
        </w:tabs>
        <w:spacing w:after="144"/>
        <w:ind w:left="1080"/>
        <w:rPr>
          <w:b/>
          <w:bCs/>
        </w:rPr>
      </w:pPr>
    </w:p>
    <w:p w:rsidR="00A63531" w:rsidRPr="00A63531" w:rsidRDefault="00564D1C" w:rsidP="00A63531">
      <w:pPr>
        <w:pStyle w:val="ListParagraph"/>
        <w:numPr>
          <w:ilvl w:val="0"/>
          <w:numId w:val="9"/>
        </w:numPr>
        <w:tabs>
          <w:tab w:val="left" w:pos="720"/>
        </w:tabs>
        <w:spacing w:after="144"/>
        <w:rPr>
          <w:b/>
          <w:bCs/>
        </w:rPr>
      </w:pPr>
      <w:r w:rsidRPr="00A63531">
        <w:rPr>
          <w:b/>
        </w:rPr>
        <w:t>Payment or Gifts to Respondents</w:t>
      </w:r>
    </w:p>
    <w:p w:rsidR="00A63531" w:rsidRPr="00A63531" w:rsidRDefault="00AB32F4" w:rsidP="00A63531">
      <w:pPr>
        <w:pStyle w:val="ListParagraph"/>
        <w:tabs>
          <w:tab w:val="left" w:pos="720"/>
        </w:tabs>
        <w:spacing w:after="144"/>
        <w:ind w:left="1080"/>
        <w:rPr>
          <w:b/>
          <w:bCs/>
        </w:rPr>
      </w:pPr>
      <w:r w:rsidRPr="00AB32F4">
        <w:t>SSA provides no payment or gifts to the respondents.</w:t>
      </w:r>
    </w:p>
    <w:p w:rsidR="00A63531" w:rsidRPr="00A63531" w:rsidRDefault="00A63531" w:rsidP="00A63531">
      <w:pPr>
        <w:pStyle w:val="ListParagraph"/>
        <w:tabs>
          <w:tab w:val="left" w:pos="720"/>
        </w:tabs>
        <w:spacing w:after="144"/>
        <w:ind w:left="1080"/>
        <w:rPr>
          <w:b/>
          <w:bCs/>
        </w:rPr>
      </w:pPr>
    </w:p>
    <w:p w:rsidR="00A63531" w:rsidRPr="00A63531" w:rsidRDefault="00564D1C" w:rsidP="00A63531">
      <w:pPr>
        <w:pStyle w:val="ListParagraph"/>
        <w:numPr>
          <w:ilvl w:val="0"/>
          <w:numId w:val="9"/>
        </w:numPr>
        <w:tabs>
          <w:tab w:val="left" w:pos="720"/>
        </w:tabs>
        <w:spacing w:after="144"/>
        <w:rPr>
          <w:b/>
          <w:bCs/>
        </w:rPr>
      </w:pPr>
      <w:r w:rsidRPr="00A63531">
        <w:rPr>
          <w:b/>
        </w:rPr>
        <w:t>Assurances of Confidentiality</w:t>
      </w:r>
    </w:p>
    <w:p w:rsidR="00A63531" w:rsidRPr="00A63531" w:rsidRDefault="006E182F" w:rsidP="00A63531">
      <w:pPr>
        <w:pStyle w:val="ListParagraph"/>
        <w:tabs>
          <w:tab w:val="left" w:pos="720"/>
        </w:tabs>
        <w:spacing w:after="144"/>
        <w:ind w:left="1080"/>
        <w:rPr>
          <w:b/>
          <w:bCs/>
        </w:rPr>
      </w:pPr>
      <w:r w:rsidRPr="006E182F">
        <w:t xml:space="preserve">SSA protects and holds confidential </w:t>
      </w:r>
      <w:r w:rsidR="00564D1C">
        <w:t>the information we collect</w:t>
      </w:r>
      <w:r w:rsidRPr="006E182F">
        <w:t xml:space="preserve"> in accordance with </w:t>
      </w:r>
      <w:r w:rsidRPr="00A63531">
        <w:rPr>
          <w:i/>
        </w:rPr>
        <w:t>42 U.S.C. 1306, 20 CFR 401</w:t>
      </w:r>
      <w:r w:rsidRPr="006E182F">
        <w:t xml:space="preserve"> and </w:t>
      </w:r>
      <w:r w:rsidRPr="00A63531">
        <w:rPr>
          <w:i/>
        </w:rPr>
        <w:t>402, 5 U.S.C. 552</w:t>
      </w:r>
      <w:r w:rsidRPr="006E182F">
        <w:t xml:space="preserve"> (Freedom of Information Act), </w:t>
      </w:r>
      <w:r w:rsidRPr="00A63531">
        <w:rPr>
          <w:i/>
        </w:rPr>
        <w:t>5 U.S.C. 552</w:t>
      </w:r>
      <w:r w:rsidR="00921D79">
        <w:rPr>
          <w:i/>
        </w:rPr>
        <w:t>a</w:t>
      </w:r>
      <w:r w:rsidRPr="006E182F">
        <w:t xml:space="preserve"> (Privacy Act of 1974), and OMB Circular No. A-130</w:t>
      </w:r>
      <w:r w:rsidRPr="00A63531">
        <w:rPr>
          <w:color w:val="0000FF"/>
        </w:rPr>
        <w:t>.</w:t>
      </w:r>
    </w:p>
    <w:p w:rsidR="00A63531" w:rsidRPr="00A63531" w:rsidRDefault="00A63531" w:rsidP="00A63531">
      <w:pPr>
        <w:pStyle w:val="ListParagraph"/>
        <w:tabs>
          <w:tab w:val="left" w:pos="720"/>
        </w:tabs>
        <w:spacing w:after="144"/>
        <w:ind w:left="1080"/>
        <w:rPr>
          <w:b/>
          <w:bCs/>
        </w:rPr>
      </w:pPr>
    </w:p>
    <w:p w:rsidR="00A63531" w:rsidRPr="00A63531" w:rsidRDefault="00564D1C" w:rsidP="00A63531">
      <w:pPr>
        <w:pStyle w:val="ListParagraph"/>
        <w:numPr>
          <w:ilvl w:val="0"/>
          <w:numId w:val="9"/>
        </w:numPr>
        <w:tabs>
          <w:tab w:val="left" w:pos="720"/>
        </w:tabs>
        <w:spacing w:after="144"/>
        <w:rPr>
          <w:b/>
          <w:bCs/>
        </w:rPr>
      </w:pPr>
      <w:r w:rsidRPr="00A63531">
        <w:rPr>
          <w:b/>
        </w:rPr>
        <w:t>Justification for Sensitive Questions</w:t>
      </w:r>
    </w:p>
    <w:p w:rsidR="00A63531" w:rsidRPr="00A63531" w:rsidRDefault="00AB32F4" w:rsidP="00A63531">
      <w:pPr>
        <w:pStyle w:val="ListParagraph"/>
        <w:tabs>
          <w:tab w:val="left" w:pos="720"/>
        </w:tabs>
        <w:spacing w:after="144"/>
        <w:ind w:left="1080"/>
        <w:rPr>
          <w:b/>
          <w:bCs/>
        </w:rPr>
      </w:pPr>
      <w:r w:rsidRPr="00AB32F4">
        <w:t>The information collection does not contain any questions of a sensitive nature.</w:t>
      </w:r>
    </w:p>
    <w:p w:rsidR="00A63531" w:rsidRPr="00A63531" w:rsidRDefault="00A63531" w:rsidP="00A63531">
      <w:pPr>
        <w:pStyle w:val="ListParagraph"/>
        <w:tabs>
          <w:tab w:val="left" w:pos="720"/>
        </w:tabs>
        <w:spacing w:after="144"/>
        <w:ind w:left="1080"/>
        <w:rPr>
          <w:b/>
          <w:bCs/>
        </w:rPr>
      </w:pPr>
    </w:p>
    <w:p w:rsidR="00A63531" w:rsidRPr="00A63531" w:rsidRDefault="00564D1C" w:rsidP="00A63531">
      <w:pPr>
        <w:pStyle w:val="ListParagraph"/>
        <w:numPr>
          <w:ilvl w:val="0"/>
          <w:numId w:val="9"/>
        </w:numPr>
        <w:tabs>
          <w:tab w:val="left" w:pos="720"/>
        </w:tabs>
        <w:spacing w:after="144"/>
        <w:rPr>
          <w:b/>
          <w:bCs/>
        </w:rPr>
      </w:pPr>
      <w:r w:rsidRPr="00A63531">
        <w:rPr>
          <w:b/>
        </w:rPr>
        <w:t>Estimates of Public Reporting Burden</w:t>
      </w:r>
    </w:p>
    <w:p w:rsidR="00A63531" w:rsidRDefault="0040555A" w:rsidP="00A63531">
      <w:pPr>
        <w:pStyle w:val="ListParagraph"/>
        <w:tabs>
          <w:tab w:val="left" w:pos="720"/>
        </w:tabs>
        <w:spacing w:after="144"/>
        <w:ind w:left="1080"/>
      </w:pPr>
      <w:r>
        <w:t>We estimate that approximately 39,500 respondents use the HA-L90 annually, and that 500 respondents will use the new HA-L90-OP1 annually.  The following chart calculates the burden for these two forms:</w:t>
      </w:r>
    </w:p>
    <w:tbl>
      <w:tblPr>
        <w:tblStyle w:val="TableGrid"/>
        <w:tblW w:w="0" w:type="auto"/>
        <w:tblInd w:w="1080" w:type="dxa"/>
        <w:tblLook w:val="04A0" w:firstRow="1" w:lastRow="0" w:firstColumn="1" w:lastColumn="0" w:noHBand="0" w:noVBand="1"/>
      </w:tblPr>
      <w:tblGrid>
        <w:gridCol w:w="1638"/>
        <w:gridCol w:w="1530"/>
        <w:gridCol w:w="1620"/>
        <w:gridCol w:w="1710"/>
        <w:gridCol w:w="1710"/>
      </w:tblGrid>
      <w:tr w:rsidR="00A63531" w:rsidTr="002A4136">
        <w:tc>
          <w:tcPr>
            <w:tcW w:w="1638" w:type="dxa"/>
          </w:tcPr>
          <w:p w:rsidR="00A63531" w:rsidRPr="003D1160" w:rsidRDefault="00A63531" w:rsidP="00FA259C">
            <w:pPr>
              <w:rPr>
                <w:b/>
              </w:rPr>
            </w:pPr>
            <w:r>
              <w:rPr>
                <w:b/>
              </w:rPr>
              <w:t>Modality of Completion</w:t>
            </w:r>
          </w:p>
        </w:tc>
        <w:tc>
          <w:tcPr>
            <w:tcW w:w="1530" w:type="dxa"/>
          </w:tcPr>
          <w:p w:rsidR="00A63531" w:rsidRPr="003D1160" w:rsidRDefault="00A63531" w:rsidP="00FA259C">
            <w:pPr>
              <w:rPr>
                <w:b/>
              </w:rPr>
            </w:pPr>
            <w:r w:rsidRPr="003D1160">
              <w:rPr>
                <w:b/>
              </w:rPr>
              <w:t>Number of Respondents</w:t>
            </w:r>
          </w:p>
        </w:tc>
        <w:tc>
          <w:tcPr>
            <w:tcW w:w="1620" w:type="dxa"/>
          </w:tcPr>
          <w:p w:rsidR="00A63531" w:rsidRDefault="00A63531" w:rsidP="00FA259C">
            <w:pPr>
              <w:rPr>
                <w:b/>
              </w:rPr>
            </w:pPr>
            <w:r>
              <w:rPr>
                <w:b/>
              </w:rPr>
              <w:t>Frequency of Response</w:t>
            </w:r>
          </w:p>
          <w:p w:rsidR="00A63531" w:rsidRPr="003D1160" w:rsidRDefault="00A63531" w:rsidP="00FA259C">
            <w:pPr>
              <w:rPr>
                <w:b/>
              </w:rPr>
            </w:pPr>
          </w:p>
        </w:tc>
        <w:tc>
          <w:tcPr>
            <w:tcW w:w="1710" w:type="dxa"/>
          </w:tcPr>
          <w:p w:rsidR="00A63531" w:rsidRPr="00C40F59" w:rsidRDefault="00A63531" w:rsidP="00FA259C">
            <w:pPr>
              <w:rPr>
                <w:b/>
              </w:rPr>
            </w:pPr>
            <w:r w:rsidRPr="00C40F59">
              <w:rPr>
                <w:b/>
              </w:rPr>
              <w:t>Average Burden per Response (minutes)</w:t>
            </w:r>
          </w:p>
        </w:tc>
        <w:tc>
          <w:tcPr>
            <w:tcW w:w="1710" w:type="dxa"/>
          </w:tcPr>
          <w:p w:rsidR="00A63531" w:rsidRPr="00C40F59" w:rsidRDefault="00A63531" w:rsidP="00FA259C">
            <w:pPr>
              <w:rPr>
                <w:b/>
              </w:rPr>
            </w:pPr>
            <w:r w:rsidRPr="00C40F59">
              <w:rPr>
                <w:b/>
              </w:rPr>
              <w:t>Estimated Total Annual Burden</w:t>
            </w:r>
          </w:p>
          <w:p w:rsidR="00A63531" w:rsidRPr="00C40F59" w:rsidRDefault="00A63531" w:rsidP="00FA259C">
            <w:pPr>
              <w:rPr>
                <w:b/>
              </w:rPr>
            </w:pPr>
            <w:r w:rsidRPr="00C40F59">
              <w:rPr>
                <w:b/>
              </w:rPr>
              <w:t>(hours)</w:t>
            </w:r>
          </w:p>
        </w:tc>
      </w:tr>
      <w:tr w:rsidR="00A63531" w:rsidTr="002A4136">
        <w:tc>
          <w:tcPr>
            <w:tcW w:w="1638" w:type="dxa"/>
          </w:tcPr>
          <w:p w:rsidR="00A63531" w:rsidRPr="00D76F4A" w:rsidRDefault="00A63531" w:rsidP="002A4136">
            <w:r>
              <w:t>HA-L90</w:t>
            </w:r>
          </w:p>
        </w:tc>
        <w:tc>
          <w:tcPr>
            <w:tcW w:w="1530" w:type="dxa"/>
          </w:tcPr>
          <w:p w:rsidR="00A63531" w:rsidRPr="00D76F4A" w:rsidRDefault="008F4F72" w:rsidP="008F4F72">
            <w:pPr>
              <w:jc w:val="right"/>
            </w:pPr>
            <w:r>
              <w:t>39</w:t>
            </w:r>
            <w:r w:rsidR="00A63531">
              <w:t>,</w:t>
            </w:r>
            <w:r>
              <w:t>5</w:t>
            </w:r>
            <w:r w:rsidR="00A63531">
              <w:t>00</w:t>
            </w:r>
          </w:p>
        </w:tc>
        <w:tc>
          <w:tcPr>
            <w:tcW w:w="1620" w:type="dxa"/>
          </w:tcPr>
          <w:p w:rsidR="00A63531" w:rsidRPr="00D76F4A" w:rsidRDefault="00A63531" w:rsidP="002A4136">
            <w:pPr>
              <w:jc w:val="right"/>
            </w:pPr>
            <w:r>
              <w:t>1</w:t>
            </w:r>
          </w:p>
        </w:tc>
        <w:tc>
          <w:tcPr>
            <w:tcW w:w="1710" w:type="dxa"/>
          </w:tcPr>
          <w:p w:rsidR="00A63531" w:rsidRPr="00D76F4A" w:rsidRDefault="00A63531" w:rsidP="002A4136">
            <w:pPr>
              <w:jc w:val="right"/>
            </w:pPr>
            <w:r w:rsidRPr="00D76F4A">
              <w:t>1</w:t>
            </w:r>
            <w:r>
              <w:t xml:space="preserve">0 </w:t>
            </w:r>
          </w:p>
        </w:tc>
        <w:tc>
          <w:tcPr>
            <w:tcW w:w="1710" w:type="dxa"/>
          </w:tcPr>
          <w:p w:rsidR="00A63531" w:rsidRPr="00D76F4A" w:rsidRDefault="00E36F5D" w:rsidP="0096129E">
            <w:pPr>
              <w:jc w:val="right"/>
            </w:pPr>
            <w:r>
              <w:t>6,</w:t>
            </w:r>
            <w:r w:rsidR="0096129E">
              <w:t>583</w:t>
            </w:r>
          </w:p>
        </w:tc>
      </w:tr>
      <w:tr w:rsidR="008F4F72" w:rsidTr="002A4136">
        <w:tc>
          <w:tcPr>
            <w:tcW w:w="1638" w:type="dxa"/>
          </w:tcPr>
          <w:p w:rsidR="008F4F72" w:rsidRDefault="0040555A" w:rsidP="002A4136">
            <w:r>
              <w:t>HA-L90-OP</w:t>
            </w:r>
            <w:r w:rsidR="008F4F72">
              <w:t>1</w:t>
            </w:r>
          </w:p>
        </w:tc>
        <w:tc>
          <w:tcPr>
            <w:tcW w:w="1530" w:type="dxa"/>
          </w:tcPr>
          <w:p w:rsidR="008F4F72" w:rsidRDefault="008F4F72" w:rsidP="00E36F5D">
            <w:pPr>
              <w:jc w:val="right"/>
            </w:pPr>
            <w:r>
              <w:t>500</w:t>
            </w:r>
          </w:p>
        </w:tc>
        <w:tc>
          <w:tcPr>
            <w:tcW w:w="1620" w:type="dxa"/>
          </w:tcPr>
          <w:p w:rsidR="008F4F72" w:rsidRDefault="008F4F72" w:rsidP="002A4136">
            <w:pPr>
              <w:jc w:val="right"/>
            </w:pPr>
            <w:r>
              <w:t>1</w:t>
            </w:r>
          </w:p>
        </w:tc>
        <w:tc>
          <w:tcPr>
            <w:tcW w:w="1710" w:type="dxa"/>
          </w:tcPr>
          <w:p w:rsidR="008F4F72" w:rsidRPr="00D76F4A" w:rsidRDefault="008F4F72" w:rsidP="002A4136">
            <w:pPr>
              <w:jc w:val="right"/>
            </w:pPr>
            <w:r>
              <w:t>10</w:t>
            </w:r>
          </w:p>
        </w:tc>
        <w:tc>
          <w:tcPr>
            <w:tcW w:w="1710" w:type="dxa"/>
          </w:tcPr>
          <w:p w:rsidR="008F4F72" w:rsidRDefault="0096129E" w:rsidP="00E36F5D">
            <w:pPr>
              <w:jc w:val="right"/>
            </w:pPr>
            <w:r>
              <w:t>83</w:t>
            </w:r>
          </w:p>
        </w:tc>
      </w:tr>
      <w:tr w:rsidR="0096129E" w:rsidRPr="0096129E" w:rsidTr="002A4136">
        <w:tc>
          <w:tcPr>
            <w:tcW w:w="1638" w:type="dxa"/>
          </w:tcPr>
          <w:p w:rsidR="0096129E" w:rsidRPr="0096129E" w:rsidRDefault="0096129E" w:rsidP="002A4136">
            <w:pPr>
              <w:rPr>
                <w:b/>
              </w:rPr>
            </w:pPr>
            <w:r w:rsidRPr="0096129E">
              <w:rPr>
                <w:b/>
              </w:rPr>
              <w:t>TOTAL</w:t>
            </w:r>
          </w:p>
        </w:tc>
        <w:tc>
          <w:tcPr>
            <w:tcW w:w="1530" w:type="dxa"/>
          </w:tcPr>
          <w:p w:rsidR="0096129E" w:rsidRPr="0096129E" w:rsidRDefault="0096129E" w:rsidP="00E36F5D">
            <w:pPr>
              <w:jc w:val="right"/>
              <w:rPr>
                <w:b/>
              </w:rPr>
            </w:pPr>
            <w:r w:rsidRPr="0096129E">
              <w:rPr>
                <w:b/>
              </w:rPr>
              <w:t>40,000</w:t>
            </w:r>
          </w:p>
        </w:tc>
        <w:tc>
          <w:tcPr>
            <w:tcW w:w="1620" w:type="dxa"/>
          </w:tcPr>
          <w:p w:rsidR="0096129E" w:rsidRPr="0096129E" w:rsidRDefault="0096129E" w:rsidP="002A4136">
            <w:pPr>
              <w:jc w:val="right"/>
              <w:rPr>
                <w:b/>
              </w:rPr>
            </w:pPr>
          </w:p>
        </w:tc>
        <w:tc>
          <w:tcPr>
            <w:tcW w:w="1710" w:type="dxa"/>
          </w:tcPr>
          <w:p w:rsidR="0096129E" w:rsidRPr="0096129E" w:rsidRDefault="0096129E" w:rsidP="002A4136">
            <w:pPr>
              <w:jc w:val="right"/>
              <w:rPr>
                <w:b/>
              </w:rPr>
            </w:pPr>
          </w:p>
        </w:tc>
        <w:tc>
          <w:tcPr>
            <w:tcW w:w="1710" w:type="dxa"/>
          </w:tcPr>
          <w:p w:rsidR="0096129E" w:rsidRPr="0096129E" w:rsidRDefault="0096129E" w:rsidP="00E36F5D">
            <w:pPr>
              <w:jc w:val="right"/>
              <w:rPr>
                <w:b/>
              </w:rPr>
            </w:pPr>
            <w:r w:rsidRPr="0096129E">
              <w:rPr>
                <w:b/>
              </w:rPr>
              <w:t>6,666</w:t>
            </w:r>
          </w:p>
        </w:tc>
      </w:tr>
    </w:tbl>
    <w:p w:rsidR="0040555A" w:rsidRDefault="0040555A" w:rsidP="0040555A">
      <w:pPr>
        <w:tabs>
          <w:tab w:val="left" w:pos="720"/>
        </w:tabs>
        <w:ind w:left="1080"/>
      </w:pPr>
    </w:p>
    <w:p w:rsidR="00A63531" w:rsidRDefault="00A63531" w:rsidP="0040555A">
      <w:pPr>
        <w:tabs>
          <w:tab w:val="left" w:pos="720"/>
        </w:tabs>
        <w:ind w:left="1080"/>
      </w:pPr>
      <w:r w:rsidRPr="00D3475D">
        <w:t>The total burden</w:t>
      </w:r>
      <w:r w:rsidR="00984723">
        <w:t xml:space="preserve"> of </w:t>
      </w:r>
      <w:r w:rsidR="00984723" w:rsidRPr="00984723">
        <w:rPr>
          <w:b/>
        </w:rPr>
        <w:t>6,666</w:t>
      </w:r>
      <w:r w:rsidR="0040555A">
        <w:t xml:space="preserve"> represents burden hours.  </w:t>
      </w:r>
      <w:r w:rsidRPr="00D3475D">
        <w:t xml:space="preserve">SSA </w:t>
      </w:r>
      <w:r w:rsidR="0040555A">
        <w:t xml:space="preserve">based this burden on current management information data, and we </w:t>
      </w:r>
      <w:r w:rsidRPr="00D3475D">
        <w:t>did not calculate a separate cost burden</w:t>
      </w:r>
      <w:r>
        <w:t>.</w:t>
      </w:r>
    </w:p>
    <w:p w:rsidR="0040555A" w:rsidRPr="002A4136" w:rsidRDefault="0040555A" w:rsidP="0040555A">
      <w:pPr>
        <w:tabs>
          <w:tab w:val="left" w:pos="720"/>
        </w:tabs>
        <w:ind w:left="1080"/>
        <w:rPr>
          <w:b/>
          <w:bCs/>
        </w:rPr>
      </w:pPr>
    </w:p>
    <w:p w:rsidR="002A4136" w:rsidRPr="002A4136" w:rsidRDefault="00564D1C" w:rsidP="002A4136">
      <w:pPr>
        <w:pStyle w:val="ListParagraph"/>
        <w:numPr>
          <w:ilvl w:val="0"/>
          <w:numId w:val="9"/>
        </w:numPr>
        <w:tabs>
          <w:tab w:val="left" w:pos="720"/>
        </w:tabs>
        <w:spacing w:after="144"/>
        <w:rPr>
          <w:b/>
          <w:bCs/>
        </w:rPr>
      </w:pPr>
      <w:r w:rsidRPr="00A63531">
        <w:rPr>
          <w:b/>
        </w:rPr>
        <w:t>Annual Cost to Respondents</w:t>
      </w:r>
    </w:p>
    <w:p w:rsidR="002A4136" w:rsidRPr="002A4136" w:rsidRDefault="00AB32F4" w:rsidP="002A4136">
      <w:pPr>
        <w:pStyle w:val="ListParagraph"/>
        <w:tabs>
          <w:tab w:val="left" w:pos="720"/>
        </w:tabs>
        <w:spacing w:after="144"/>
        <w:ind w:left="1080"/>
        <w:rPr>
          <w:b/>
          <w:bCs/>
        </w:rPr>
      </w:pPr>
      <w:r w:rsidRPr="00AB32F4">
        <w:t>There is no known cost burden to the respondents.</w:t>
      </w:r>
    </w:p>
    <w:p w:rsidR="002A4136" w:rsidRPr="002A4136" w:rsidRDefault="002A4136" w:rsidP="002A4136">
      <w:pPr>
        <w:pStyle w:val="ListParagraph"/>
        <w:tabs>
          <w:tab w:val="left" w:pos="720"/>
        </w:tabs>
        <w:spacing w:after="144"/>
        <w:ind w:left="1080"/>
        <w:rPr>
          <w:b/>
          <w:bCs/>
        </w:rPr>
      </w:pPr>
    </w:p>
    <w:p w:rsidR="002A4136" w:rsidRPr="002A4136" w:rsidRDefault="00564D1C" w:rsidP="002A4136">
      <w:pPr>
        <w:pStyle w:val="ListParagraph"/>
        <w:numPr>
          <w:ilvl w:val="0"/>
          <w:numId w:val="9"/>
        </w:numPr>
        <w:tabs>
          <w:tab w:val="left" w:pos="720"/>
        </w:tabs>
        <w:spacing w:after="144"/>
        <w:rPr>
          <w:b/>
          <w:bCs/>
        </w:rPr>
      </w:pPr>
      <w:r w:rsidRPr="002A4136">
        <w:rPr>
          <w:b/>
        </w:rPr>
        <w:t>Annual Cost to Federal Governmen</w:t>
      </w:r>
      <w:r w:rsidR="002A4136">
        <w:rPr>
          <w:b/>
        </w:rPr>
        <w:t>t</w:t>
      </w:r>
    </w:p>
    <w:p w:rsidR="002A4136" w:rsidRPr="002A4136" w:rsidRDefault="00AB32F4" w:rsidP="002A4136">
      <w:pPr>
        <w:pStyle w:val="ListParagraph"/>
        <w:tabs>
          <w:tab w:val="left" w:pos="720"/>
        </w:tabs>
        <w:spacing w:after="144"/>
        <w:ind w:left="1080"/>
        <w:rPr>
          <w:b/>
          <w:bCs/>
        </w:rPr>
      </w:pPr>
      <w:r w:rsidRPr="00AB32F4">
        <w:t xml:space="preserve">The annual cost to the Federal Government is approximately </w:t>
      </w:r>
      <w:r w:rsidR="00F94F5E" w:rsidRPr="00D76D5C">
        <w:t>$36,000</w:t>
      </w:r>
      <w:r w:rsidRPr="00AB32F4">
        <w:t xml:space="preserve">.  </w:t>
      </w:r>
      <w:r w:rsidR="004571B7" w:rsidRPr="00772B1A">
        <w:t xml:space="preserve">This estimate </w:t>
      </w:r>
      <w:r w:rsidR="004571B7">
        <w:t>accounts for costs from the following areas:  (1) designing, printing, and distributing the form; and (2) SSA employee (e.g., field office, 800 number, DDS staff) information collection and processing time.</w:t>
      </w:r>
    </w:p>
    <w:p w:rsidR="002A4136" w:rsidRPr="002A4136" w:rsidRDefault="002A4136" w:rsidP="002A4136">
      <w:pPr>
        <w:pStyle w:val="ListParagraph"/>
        <w:tabs>
          <w:tab w:val="left" w:pos="720"/>
        </w:tabs>
        <w:spacing w:after="144"/>
        <w:ind w:left="1080"/>
        <w:rPr>
          <w:b/>
          <w:bCs/>
        </w:rPr>
      </w:pPr>
    </w:p>
    <w:p w:rsidR="002A4136" w:rsidRPr="002A4136" w:rsidRDefault="00564D1C" w:rsidP="002A4136">
      <w:pPr>
        <w:pStyle w:val="ListParagraph"/>
        <w:numPr>
          <w:ilvl w:val="0"/>
          <w:numId w:val="9"/>
        </w:numPr>
        <w:tabs>
          <w:tab w:val="left" w:pos="720"/>
        </w:tabs>
        <w:spacing w:after="144"/>
        <w:rPr>
          <w:b/>
          <w:bCs/>
        </w:rPr>
      </w:pPr>
      <w:r w:rsidRPr="002A4136">
        <w:rPr>
          <w:b/>
        </w:rPr>
        <w:t>Program Changes or Adjustments to the Information Collection Request</w:t>
      </w:r>
    </w:p>
    <w:p w:rsidR="002A4136" w:rsidRPr="002A4136" w:rsidRDefault="00606F4E" w:rsidP="002A4136">
      <w:pPr>
        <w:pStyle w:val="ListParagraph"/>
        <w:tabs>
          <w:tab w:val="left" w:pos="720"/>
        </w:tabs>
        <w:spacing w:after="144"/>
        <w:ind w:left="1080"/>
        <w:rPr>
          <w:b/>
          <w:bCs/>
        </w:rPr>
      </w:pPr>
      <w:r>
        <w:t>The</w:t>
      </w:r>
      <w:r w:rsidR="004571B7">
        <w:t xml:space="preserve"> minor reduction in the burden estimate stems from the addition of the new HA</w:t>
      </w:r>
      <w:r w:rsidR="004571B7">
        <w:noBreakHyphen/>
        <w:t>L90</w:t>
      </w:r>
      <w:r w:rsidR="004571B7">
        <w:noBreakHyphen/>
        <w:t>OP1.  Previously, we did not include a separate form for the few hundred respondents who requested good cause for rescheduling redetermination hearings, and recalculating the burden estimates with two forms (rather than one), caused a slight change in the total burden estimate.  Please see the Addendum for more information regarding the new HA-L90-OP1.</w:t>
      </w:r>
    </w:p>
    <w:p w:rsidR="002A4136" w:rsidRPr="002A4136" w:rsidRDefault="002A4136" w:rsidP="002A4136">
      <w:pPr>
        <w:pStyle w:val="ListParagraph"/>
        <w:tabs>
          <w:tab w:val="left" w:pos="720"/>
        </w:tabs>
        <w:spacing w:after="144"/>
        <w:ind w:left="1080"/>
        <w:rPr>
          <w:b/>
          <w:bCs/>
        </w:rPr>
      </w:pPr>
    </w:p>
    <w:p w:rsidR="002A4136" w:rsidRPr="002A4136" w:rsidRDefault="00564D1C" w:rsidP="002A4136">
      <w:pPr>
        <w:pStyle w:val="ListParagraph"/>
        <w:numPr>
          <w:ilvl w:val="0"/>
          <w:numId w:val="9"/>
        </w:numPr>
        <w:tabs>
          <w:tab w:val="left" w:pos="720"/>
        </w:tabs>
        <w:spacing w:after="144"/>
        <w:rPr>
          <w:b/>
          <w:bCs/>
        </w:rPr>
      </w:pPr>
      <w:r w:rsidRPr="002A4136">
        <w:rPr>
          <w:b/>
        </w:rPr>
        <w:t>Plans for Publication Information Collection Results</w:t>
      </w:r>
    </w:p>
    <w:p w:rsidR="002A4136" w:rsidRPr="002A4136" w:rsidRDefault="00184352" w:rsidP="002A4136">
      <w:pPr>
        <w:pStyle w:val="ListParagraph"/>
        <w:tabs>
          <w:tab w:val="left" w:pos="720"/>
        </w:tabs>
        <w:spacing w:after="144"/>
        <w:ind w:left="1080"/>
        <w:rPr>
          <w:b/>
          <w:bCs/>
        </w:rPr>
      </w:pPr>
      <w:r>
        <w:t>SSA will not publish the results of the information collection.</w:t>
      </w:r>
    </w:p>
    <w:p w:rsidR="002A4136" w:rsidRPr="002A4136" w:rsidRDefault="002A4136" w:rsidP="002A4136">
      <w:pPr>
        <w:pStyle w:val="ListParagraph"/>
        <w:tabs>
          <w:tab w:val="left" w:pos="720"/>
        </w:tabs>
        <w:spacing w:after="144"/>
        <w:ind w:left="1080"/>
        <w:rPr>
          <w:b/>
          <w:bCs/>
        </w:rPr>
      </w:pPr>
    </w:p>
    <w:p w:rsidR="004571B7" w:rsidRPr="004571B7" w:rsidRDefault="00564D1C" w:rsidP="002A4136">
      <w:pPr>
        <w:pStyle w:val="ListParagraph"/>
        <w:numPr>
          <w:ilvl w:val="0"/>
          <w:numId w:val="9"/>
        </w:numPr>
        <w:tabs>
          <w:tab w:val="left" w:pos="720"/>
        </w:tabs>
        <w:spacing w:after="144"/>
        <w:rPr>
          <w:b/>
          <w:bCs/>
        </w:rPr>
      </w:pPr>
      <w:r w:rsidRPr="002A4136">
        <w:rPr>
          <w:b/>
        </w:rPr>
        <w:t>Displaying the OMB Approval Expiration Date</w:t>
      </w:r>
    </w:p>
    <w:p w:rsidR="002A4136" w:rsidRPr="002A4136" w:rsidRDefault="00564D1C" w:rsidP="004571B7">
      <w:pPr>
        <w:pStyle w:val="ListParagraph"/>
        <w:tabs>
          <w:tab w:val="left" w:pos="720"/>
        </w:tabs>
        <w:spacing w:after="144"/>
        <w:ind w:left="1080"/>
        <w:rPr>
          <w:b/>
          <w:bCs/>
        </w:rPr>
      </w:pPr>
      <w:r w:rsidRPr="00564D1C">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2A4136" w:rsidRPr="002A4136" w:rsidRDefault="002A4136" w:rsidP="002A4136">
      <w:pPr>
        <w:pStyle w:val="ListParagraph"/>
        <w:tabs>
          <w:tab w:val="left" w:pos="720"/>
        </w:tabs>
        <w:spacing w:after="144"/>
        <w:ind w:left="1080"/>
        <w:rPr>
          <w:b/>
          <w:bCs/>
        </w:rPr>
      </w:pPr>
    </w:p>
    <w:p w:rsidR="002A4136" w:rsidRPr="002A4136" w:rsidRDefault="002A4136" w:rsidP="002A4136">
      <w:pPr>
        <w:pStyle w:val="ListParagraph"/>
        <w:numPr>
          <w:ilvl w:val="0"/>
          <w:numId w:val="9"/>
        </w:numPr>
        <w:tabs>
          <w:tab w:val="left" w:pos="720"/>
        </w:tabs>
        <w:spacing w:after="144"/>
        <w:rPr>
          <w:b/>
          <w:bCs/>
        </w:rPr>
      </w:pPr>
      <w:r w:rsidRPr="00564D1C">
        <w:rPr>
          <w:b/>
          <w:spacing w:val="-1"/>
        </w:rPr>
        <w:t>Exceptions to Certification Statement</w:t>
      </w:r>
    </w:p>
    <w:p w:rsidR="00D16440" w:rsidRDefault="002A4136" w:rsidP="002A4136">
      <w:pPr>
        <w:pStyle w:val="ListParagraph"/>
        <w:tabs>
          <w:tab w:val="left" w:pos="720"/>
        </w:tabs>
        <w:spacing w:after="144"/>
        <w:ind w:left="1080"/>
        <w:rPr>
          <w:spacing w:val="-1"/>
        </w:rPr>
      </w:pPr>
      <w:r w:rsidRPr="000100E9">
        <w:t xml:space="preserve">SSA </w:t>
      </w:r>
      <w:r w:rsidRPr="000100E9">
        <w:rPr>
          <w:spacing w:val="-2"/>
        </w:rPr>
        <w:t xml:space="preserve">is not </w:t>
      </w:r>
      <w:r w:rsidRPr="000100E9">
        <w:rPr>
          <w:spacing w:val="-1"/>
        </w:rPr>
        <w:t xml:space="preserve">requesting </w:t>
      </w:r>
      <w:r w:rsidRPr="000100E9">
        <w:rPr>
          <w:spacing w:val="2"/>
        </w:rPr>
        <w:t xml:space="preserve">an </w:t>
      </w:r>
      <w:r w:rsidRPr="000100E9">
        <w:rPr>
          <w:spacing w:val="-1"/>
        </w:rPr>
        <w:t xml:space="preserve">exception </w:t>
      </w:r>
      <w:r w:rsidRPr="000100E9">
        <w:rPr>
          <w:spacing w:val="1"/>
        </w:rPr>
        <w:t xml:space="preserve">to </w:t>
      </w:r>
      <w:r w:rsidRPr="000100E9">
        <w:rPr>
          <w:spacing w:val="3"/>
        </w:rPr>
        <w:t>the</w:t>
      </w:r>
      <w:r>
        <w:rPr>
          <w:spacing w:val="3"/>
        </w:rPr>
        <w:t xml:space="preserve"> </w:t>
      </w:r>
      <w:r w:rsidRPr="000100E9">
        <w:rPr>
          <w:spacing w:val="1"/>
        </w:rPr>
        <w:t xml:space="preserve">certification </w:t>
      </w:r>
      <w:r w:rsidRPr="000100E9">
        <w:rPr>
          <w:spacing w:val="-1"/>
        </w:rPr>
        <w:t>requirements</w:t>
      </w:r>
      <w:r>
        <w:rPr>
          <w:spacing w:val="-1"/>
        </w:rPr>
        <w:t xml:space="preserve"> at </w:t>
      </w:r>
      <w:r w:rsidRPr="002A4136">
        <w:rPr>
          <w:i/>
          <w:spacing w:val="-1"/>
        </w:rPr>
        <w:t>5 CFR 1320.9</w:t>
      </w:r>
      <w:r>
        <w:rPr>
          <w:spacing w:val="-1"/>
        </w:rPr>
        <w:t xml:space="preserve"> and related provisions at </w:t>
      </w:r>
      <w:r w:rsidRPr="002A4136">
        <w:rPr>
          <w:i/>
          <w:spacing w:val="-1"/>
        </w:rPr>
        <w:t>5 CFR 1320.8(b)(3)</w:t>
      </w:r>
      <w:r>
        <w:rPr>
          <w:spacing w:val="-1"/>
        </w:rPr>
        <w:t>.</w:t>
      </w:r>
    </w:p>
    <w:p w:rsidR="002A4136" w:rsidRPr="002A4136" w:rsidRDefault="002A4136" w:rsidP="002A4136">
      <w:pPr>
        <w:pStyle w:val="ListParagraph"/>
        <w:tabs>
          <w:tab w:val="left" w:pos="720"/>
        </w:tabs>
        <w:ind w:left="1080"/>
        <w:rPr>
          <w:b/>
          <w:bCs/>
        </w:rPr>
      </w:pPr>
    </w:p>
    <w:p w:rsidR="00AB32F4" w:rsidRPr="00D16440" w:rsidRDefault="00AB32F4" w:rsidP="00AB32F4">
      <w:pPr>
        <w:pStyle w:val="Style4"/>
        <w:rPr>
          <w:b/>
          <w:noProof w:val="0"/>
          <w:spacing w:val="-4"/>
          <w:sz w:val="24"/>
          <w:szCs w:val="24"/>
          <w:u w:val="single"/>
          <w:lang w:eastAsia="en-US"/>
        </w:rPr>
      </w:pPr>
      <w:r w:rsidRPr="00D16440">
        <w:rPr>
          <w:b/>
          <w:noProof w:val="0"/>
          <w:spacing w:val="-3"/>
          <w:sz w:val="24"/>
          <w:szCs w:val="24"/>
          <w:lang w:eastAsia="en-US"/>
        </w:rPr>
        <w:t xml:space="preserve">B. </w:t>
      </w:r>
      <w:r w:rsidR="00D16440" w:rsidRPr="00D16440">
        <w:rPr>
          <w:b/>
          <w:noProof w:val="0"/>
          <w:spacing w:val="-3"/>
          <w:sz w:val="24"/>
          <w:szCs w:val="24"/>
          <w:lang w:eastAsia="en-US"/>
        </w:rPr>
        <w:tab/>
      </w:r>
      <w:r w:rsidRPr="00D16440">
        <w:rPr>
          <w:b/>
          <w:noProof w:val="0"/>
          <w:spacing w:val="-4"/>
          <w:sz w:val="24"/>
          <w:szCs w:val="24"/>
          <w:u w:val="single"/>
          <w:lang w:eastAsia="en-US"/>
        </w:rPr>
        <w:t>Collections of</w:t>
      </w:r>
      <w:r w:rsidRPr="00D16440">
        <w:rPr>
          <w:b/>
          <w:noProof w:val="0"/>
          <w:sz w:val="24"/>
          <w:szCs w:val="24"/>
          <w:u w:val="single"/>
          <w:lang w:eastAsia="en-US"/>
        </w:rPr>
        <w:t xml:space="preserve"> </w:t>
      </w:r>
      <w:r w:rsidRPr="00D16440">
        <w:rPr>
          <w:b/>
          <w:noProof w:val="0"/>
          <w:spacing w:val="-4"/>
          <w:sz w:val="24"/>
          <w:szCs w:val="24"/>
          <w:u w:val="single"/>
          <w:lang w:eastAsia="en-US"/>
        </w:rPr>
        <w:t>Information Employing Statistical Methods</w:t>
      </w:r>
    </w:p>
    <w:p w:rsidR="002A4136" w:rsidRDefault="002A4136" w:rsidP="002A4136">
      <w:pPr>
        <w:pStyle w:val="Style4"/>
        <w:rPr>
          <w:noProof w:val="0"/>
          <w:spacing w:val="-4"/>
          <w:sz w:val="24"/>
          <w:szCs w:val="24"/>
          <w:u w:val="single"/>
          <w:lang w:eastAsia="en-US"/>
        </w:rPr>
      </w:pPr>
    </w:p>
    <w:p w:rsidR="00AB32F4" w:rsidRPr="00DB2AEA" w:rsidRDefault="00DB2AEA" w:rsidP="002A4136">
      <w:pPr>
        <w:pStyle w:val="Style4"/>
        <w:ind w:left="1080"/>
        <w:rPr>
          <w:noProof w:val="0"/>
          <w:sz w:val="24"/>
          <w:szCs w:val="24"/>
          <w:lang w:eastAsia="en-US"/>
        </w:rPr>
      </w:pPr>
      <w:r w:rsidRPr="00DB2AEA">
        <w:rPr>
          <w:sz w:val="24"/>
          <w:szCs w:val="24"/>
        </w:rPr>
        <w:t xml:space="preserve">SSA </w:t>
      </w:r>
      <w:r w:rsidR="004571B7">
        <w:rPr>
          <w:sz w:val="24"/>
          <w:szCs w:val="24"/>
        </w:rPr>
        <w:t>does not use</w:t>
      </w:r>
      <w:r w:rsidRPr="00DB2AEA">
        <w:rPr>
          <w:sz w:val="24"/>
          <w:szCs w:val="24"/>
        </w:rPr>
        <w:t xml:space="preserve"> statistical methods for this collection</w:t>
      </w:r>
      <w:r w:rsidR="00C9578B">
        <w:rPr>
          <w:sz w:val="24"/>
          <w:szCs w:val="24"/>
        </w:rPr>
        <w:t>.</w:t>
      </w:r>
    </w:p>
    <w:p w:rsidR="00AB32F4" w:rsidRPr="00AB32F4" w:rsidRDefault="00AB32F4" w:rsidP="00AB32F4">
      <w:pPr>
        <w:widowControl w:val="0"/>
      </w:pPr>
    </w:p>
    <w:sectPr w:rsidR="00AB32F4" w:rsidRPr="00AB32F4" w:rsidSect="00440F71">
      <w:footerReference w:type="default" r:id="rId8"/>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D1C" w:rsidRDefault="00564D1C">
      <w:r>
        <w:separator/>
      </w:r>
    </w:p>
  </w:endnote>
  <w:endnote w:type="continuationSeparator" w:id="0">
    <w:p w:rsidR="00564D1C" w:rsidRDefault="0056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1C" w:rsidRDefault="00564D1C" w:rsidP="00440F71">
    <w:pPr>
      <w:pStyle w:val="Footer"/>
      <w:ind w:left="4320"/>
    </w:pPr>
    <w:r>
      <w:tab/>
    </w:r>
    <w:r>
      <w:tab/>
      <w:t xml:space="preserve">                                                                                                    </w:t>
    </w:r>
  </w:p>
  <w:p w:rsidR="00564D1C" w:rsidRDefault="00564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D1C" w:rsidRDefault="00564D1C">
      <w:r>
        <w:separator/>
      </w:r>
    </w:p>
  </w:footnote>
  <w:footnote w:type="continuationSeparator" w:id="0">
    <w:p w:rsidR="00564D1C" w:rsidRDefault="00564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76D"/>
    <w:multiLevelType w:val="hybridMultilevel"/>
    <w:tmpl w:val="DD92BBE4"/>
    <w:lvl w:ilvl="0" w:tplc="E7F6559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2">
    <w:nsid w:val="2207229A"/>
    <w:multiLevelType w:val="hybridMultilevel"/>
    <w:tmpl w:val="374257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56D5A8D"/>
    <w:multiLevelType w:val="hybridMultilevel"/>
    <w:tmpl w:val="681E9F5C"/>
    <w:lvl w:ilvl="0" w:tplc="9A040B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AC525D"/>
    <w:multiLevelType w:val="hybridMultilevel"/>
    <w:tmpl w:val="A49803B6"/>
    <w:lvl w:ilvl="0" w:tplc="79F08E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557153"/>
    <w:multiLevelType w:val="hybridMultilevel"/>
    <w:tmpl w:val="61C08756"/>
    <w:lvl w:ilvl="0" w:tplc="0409000F">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EC27770"/>
    <w:multiLevelType w:val="hybridMultilevel"/>
    <w:tmpl w:val="2C54DC4E"/>
    <w:lvl w:ilvl="0" w:tplc="98BA826E">
      <w:start w:val="2"/>
      <w:numFmt w:val="upperRoman"/>
      <w:lvlText w:val="%1."/>
      <w:lvlJc w:val="left"/>
      <w:pPr>
        <w:tabs>
          <w:tab w:val="num" w:pos="1440"/>
        </w:tabs>
        <w:ind w:left="1440" w:hanging="720"/>
      </w:pPr>
      <w:rPr>
        <w:rFonts w:ascii="Times New (W1)" w:hAnsi="Times New (W1)" w:cs="Times New Roman"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080"/>
        </w:tabs>
        <w:ind w:left="1080" w:hanging="360"/>
      </w:pPr>
      <w:rPr>
        <w:rFonts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637B2B12"/>
    <w:multiLevelType w:val="hybridMultilevel"/>
    <w:tmpl w:val="E70C37EE"/>
    <w:lvl w:ilvl="0" w:tplc="2214A968">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BD15F8"/>
    <w:multiLevelType w:val="hybridMultilevel"/>
    <w:tmpl w:val="93E076AE"/>
    <w:lvl w:ilvl="0" w:tplc="5AAE5DB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AA05B31"/>
    <w:multiLevelType w:val="hybridMultilevel"/>
    <w:tmpl w:val="2AC2B796"/>
    <w:lvl w:ilvl="0" w:tplc="9B0A3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8"/>
  </w:num>
  <w:num w:numId="4">
    <w:abstractNumId w:val="4"/>
  </w:num>
  <w:num w:numId="5">
    <w:abstractNumId w:val="5"/>
  </w:num>
  <w:num w:numId="6">
    <w:abstractNumId w:val="6"/>
  </w:num>
  <w:num w:numId="7">
    <w:abstractNumId w:val="3"/>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F4"/>
    <w:rsid w:val="000322C5"/>
    <w:rsid w:val="000418A8"/>
    <w:rsid w:val="00063A28"/>
    <w:rsid w:val="00065CB7"/>
    <w:rsid w:val="000660DB"/>
    <w:rsid w:val="0007255B"/>
    <w:rsid w:val="000B2104"/>
    <w:rsid w:val="000B46BE"/>
    <w:rsid w:val="000D2538"/>
    <w:rsid w:val="000F2271"/>
    <w:rsid w:val="00135BC8"/>
    <w:rsid w:val="001568A6"/>
    <w:rsid w:val="0016294C"/>
    <w:rsid w:val="00166F3E"/>
    <w:rsid w:val="00171469"/>
    <w:rsid w:val="00171E62"/>
    <w:rsid w:val="001775F1"/>
    <w:rsid w:val="00184352"/>
    <w:rsid w:val="001C5C17"/>
    <w:rsid w:val="001D0614"/>
    <w:rsid w:val="00201F5E"/>
    <w:rsid w:val="00204AA8"/>
    <w:rsid w:val="00204F86"/>
    <w:rsid w:val="002165AE"/>
    <w:rsid w:val="00240CE3"/>
    <w:rsid w:val="00242753"/>
    <w:rsid w:val="002514CF"/>
    <w:rsid w:val="0026739E"/>
    <w:rsid w:val="00275D66"/>
    <w:rsid w:val="002947D5"/>
    <w:rsid w:val="002A4136"/>
    <w:rsid w:val="002A55B1"/>
    <w:rsid w:val="002B5382"/>
    <w:rsid w:val="002C7BA1"/>
    <w:rsid w:val="002D152D"/>
    <w:rsid w:val="002D1E7C"/>
    <w:rsid w:val="002D3584"/>
    <w:rsid w:val="002D43F7"/>
    <w:rsid w:val="002D7B9F"/>
    <w:rsid w:val="002F5A9E"/>
    <w:rsid w:val="00300121"/>
    <w:rsid w:val="00324ADC"/>
    <w:rsid w:val="0032733A"/>
    <w:rsid w:val="0034090A"/>
    <w:rsid w:val="003526A2"/>
    <w:rsid w:val="00355584"/>
    <w:rsid w:val="00367F30"/>
    <w:rsid w:val="003723DD"/>
    <w:rsid w:val="003773E3"/>
    <w:rsid w:val="003959E1"/>
    <w:rsid w:val="003A0D5F"/>
    <w:rsid w:val="003B2C60"/>
    <w:rsid w:val="003C0127"/>
    <w:rsid w:val="003C3F78"/>
    <w:rsid w:val="003C5144"/>
    <w:rsid w:val="003D1160"/>
    <w:rsid w:val="003D127A"/>
    <w:rsid w:val="00402F73"/>
    <w:rsid w:val="0040555A"/>
    <w:rsid w:val="00435A4A"/>
    <w:rsid w:val="00440F71"/>
    <w:rsid w:val="00454259"/>
    <w:rsid w:val="004571B7"/>
    <w:rsid w:val="004759AB"/>
    <w:rsid w:val="004919EB"/>
    <w:rsid w:val="004A2736"/>
    <w:rsid w:val="004A30CD"/>
    <w:rsid w:val="004D08D3"/>
    <w:rsid w:val="004E0ED5"/>
    <w:rsid w:val="004E6AE9"/>
    <w:rsid w:val="0051132F"/>
    <w:rsid w:val="005214C3"/>
    <w:rsid w:val="005255A3"/>
    <w:rsid w:val="005326BB"/>
    <w:rsid w:val="00532F06"/>
    <w:rsid w:val="005347CF"/>
    <w:rsid w:val="00546985"/>
    <w:rsid w:val="00564D1C"/>
    <w:rsid w:val="0057234D"/>
    <w:rsid w:val="005B7FB3"/>
    <w:rsid w:val="005D3C3D"/>
    <w:rsid w:val="005F75D3"/>
    <w:rsid w:val="00601059"/>
    <w:rsid w:val="00606F4E"/>
    <w:rsid w:val="00676B82"/>
    <w:rsid w:val="00686AD2"/>
    <w:rsid w:val="00690EA4"/>
    <w:rsid w:val="006959F1"/>
    <w:rsid w:val="006C3984"/>
    <w:rsid w:val="006D29DD"/>
    <w:rsid w:val="006D4C40"/>
    <w:rsid w:val="006E182F"/>
    <w:rsid w:val="006F13E6"/>
    <w:rsid w:val="006F7BF5"/>
    <w:rsid w:val="00714B05"/>
    <w:rsid w:val="00721885"/>
    <w:rsid w:val="0072549A"/>
    <w:rsid w:val="00752694"/>
    <w:rsid w:val="00770C95"/>
    <w:rsid w:val="00775D39"/>
    <w:rsid w:val="00796470"/>
    <w:rsid w:val="007B6E93"/>
    <w:rsid w:val="007C1E03"/>
    <w:rsid w:val="007E59A3"/>
    <w:rsid w:val="00807E3A"/>
    <w:rsid w:val="00811F8B"/>
    <w:rsid w:val="00851C4E"/>
    <w:rsid w:val="008651A5"/>
    <w:rsid w:val="0087658C"/>
    <w:rsid w:val="00897A60"/>
    <w:rsid w:val="008A18C4"/>
    <w:rsid w:val="008B7911"/>
    <w:rsid w:val="008F4F72"/>
    <w:rsid w:val="00921D79"/>
    <w:rsid w:val="0093486E"/>
    <w:rsid w:val="009350B3"/>
    <w:rsid w:val="0095176E"/>
    <w:rsid w:val="0096129E"/>
    <w:rsid w:val="0096187B"/>
    <w:rsid w:val="00984723"/>
    <w:rsid w:val="0099475E"/>
    <w:rsid w:val="009E1B1C"/>
    <w:rsid w:val="009F40D6"/>
    <w:rsid w:val="00A16237"/>
    <w:rsid w:val="00A175CC"/>
    <w:rsid w:val="00A24243"/>
    <w:rsid w:val="00A40C89"/>
    <w:rsid w:val="00A63531"/>
    <w:rsid w:val="00A75D9C"/>
    <w:rsid w:val="00A92193"/>
    <w:rsid w:val="00A9332C"/>
    <w:rsid w:val="00AB029B"/>
    <w:rsid w:val="00AB31A1"/>
    <w:rsid w:val="00AB32F4"/>
    <w:rsid w:val="00AB6641"/>
    <w:rsid w:val="00AC6FE5"/>
    <w:rsid w:val="00AD5456"/>
    <w:rsid w:val="00B4362A"/>
    <w:rsid w:val="00B55B05"/>
    <w:rsid w:val="00B65F14"/>
    <w:rsid w:val="00B67978"/>
    <w:rsid w:val="00B72D87"/>
    <w:rsid w:val="00B85F95"/>
    <w:rsid w:val="00BB2078"/>
    <w:rsid w:val="00BC25CA"/>
    <w:rsid w:val="00C00ABF"/>
    <w:rsid w:val="00C21BD9"/>
    <w:rsid w:val="00C42370"/>
    <w:rsid w:val="00C64270"/>
    <w:rsid w:val="00C75B19"/>
    <w:rsid w:val="00C84F6E"/>
    <w:rsid w:val="00C9578B"/>
    <w:rsid w:val="00CB2854"/>
    <w:rsid w:val="00CB666B"/>
    <w:rsid w:val="00CE354C"/>
    <w:rsid w:val="00CF131B"/>
    <w:rsid w:val="00D06567"/>
    <w:rsid w:val="00D14016"/>
    <w:rsid w:val="00D14150"/>
    <w:rsid w:val="00D163ED"/>
    <w:rsid w:val="00D16440"/>
    <w:rsid w:val="00D26055"/>
    <w:rsid w:val="00D3475D"/>
    <w:rsid w:val="00D56B79"/>
    <w:rsid w:val="00D76D5C"/>
    <w:rsid w:val="00DB2AEA"/>
    <w:rsid w:val="00DF1779"/>
    <w:rsid w:val="00E04477"/>
    <w:rsid w:val="00E136CF"/>
    <w:rsid w:val="00E36F5D"/>
    <w:rsid w:val="00E542AC"/>
    <w:rsid w:val="00E61950"/>
    <w:rsid w:val="00E7354D"/>
    <w:rsid w:val="00E73D6A"/>
    <w:rsid w:val="00E80971"/>
    <w:rsid w:val="00E842BF"/>
    <w:rsid w:val="00E878CC"/>
    <w:rsid w:val="00EC4F77"/>
    <w:rsid w:val="00EC5E6B"/>
    <w:rsid w:val="00EF4049"/>
    <w:rsid w:val="00EF76D2"/>
    <w:rsid w:val="00F0179D"/>
    <w:rsid w:val="00F06CB1"/>
    <w:rsid w:val="00F1733C"/>
    <w:rsid w:val="00F45C78"/>
    <w:rsid w:val="00F56E88"/>
    <w:rsid w:val="00F61794"/>
    <w:rsid w:val="00F90B6B"/>
    <w:rsid w:val="00F92981"/>
    <w:rsid w:val="00F94F5E"/>
    <w:rsid w:val="00FA495B"/>
    <w:rsid w:val="00FB11A1"/>
    <w:rsid w:val="00FC1756"/>
    <w:rsid w:val="00FC35F2"/>
    <w:rsid w:val="00FC49CB"/>
    <w:rsid w:val="00FD2B61"/>
    <w:rsid w:val="00FD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F6E"/>
    <w:rPr>
      <w:sz w:val="24"/>
      <w:szCs w:val="24"/>
    </w:rPr>
  </w:style>
  <w:style w:type="paragraph" w:styleId="Heading1">
    <w:name w:val="heading 1"/>
    <w:basedOn w:val="Normal"/>
    <w:next w:val="Normal"/>
    <w:link w:val="Heading1Char"/>
    <w:qFormat/>
    <w:rsid w:val="00CB2854"/>
    <w:pPr>
      <w:keepNext/>
      <w:widowControl w:val="0"/>
      <w:tabs>
        <w:tab w:val="center" w:pos="4680"/>
      </w:tabs>
      <w:suppressAutoHyphens/>
      <w:jc w:val="center"/>
      <w:outlineLvl w:val="0"/>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AB32F4"/>
    <w:pPr>
      <w:widowControl w:val="0"/>
      <w:tabs>
        <w:tab w:val="left" w:pos="1440"/>
      </w:tabs>
      <w:spacing w:line="240" w:lineRule="exact"/>
      <w:ind w:left="1368" w:hanging="720"/>
    </w:pPr>
    <w:rPr>
      <w:noProof/>
      <w:color w:val="000000"/>
      <w:sz w:val="20"/>
      <w:szCs w:val="20"/>
      <w:lang w:eastAsia="zh-CN"/>
    </w:rPr>
  </w:style>
  <w:style w:type="paragraph" w:customStyle="1" w:styleId="Style3">
    <w:name w:val="Style 3"/>
    <w:basedOn w:val="Normal"/>
    <w:rsid w:val="00AB32F4"/>
    <w:pPr>
      <w:widowControl w:val="0"/>
      <w:spacing w:line="240" w:lineRule="exact"/>
      <w:ind w:left="1368" w:hanging="720"/>
    </w:pPr>
    <w:rPr>
      <w:noProof/>
      <w:color w:val="000000"/>
      <w:sz w:val="20"/>
      <w:szCs w:val="20"/>
      <w:lang w:eastAsia="zh-CN"/>
    </w:rPr>
  </w:style>
  <w:style w:type="paragraph" w:customStyle="1" w:styleId="Style4">
    <w:name w:val="Style 4"/>
    <w:basedOn w:val="Normal"/>
    <w:rsid w:val="00AB32F4"/>
    <w:pPr>
      <w:widowControl w:val="0"/>
    </w:pPr>
    <w:rPr>
      <w:noProof/>
      <w:color w:val="000000"/>
      <w:sz w:val="20"/>
      <w:szCs w:val="20"/>
      <w:lang w:eastAsia="zh-CN"/>
    </w:rPr>
  </w:style>
  <w:style w:type="paragraph" w:styleId="Header">
    <w:name w:val="header"/>
    <w:basedOn w:val="Normal"/>
    <w:rsid w:val="00440F71"/>
    <w:pPr>
      <w:tabs>
        <w:tab w:val="center" w:pos="4320"/>
        <w:tab w:val="right" w:pos="8640"/>
      </w:tabs>
    </w:pPr>
  </w:style>
  <w:style w:type="paragraph" w:styleId="Footer">
    <w:name w:val="footer"/>
    <w:basedOn w:val="Normal"/>
    <w:rsid w:val="00440F71"/>
    <w:pPr>
      <w:tabs>
        <w:tab w:val="center" w:pos="4320"/>
        <w:tab w:val="right" w:pos="8640"/>
      </w:tabs>
    </w:pPr>
  </w:style>
  <w:style w:type="paragraph" w:customStyle="1" w:styleId="Style5">
    <w:name w:val="Style 5"/>
    <w:basedOn w:val="Normal"/>
    <w:rsid w:val="00A24243"/>
    <w:pPr>
      <w:widowControl w:val="0"/>
      <w:spacing w:after="288"/>
      <w:ind w:left="648" w:right="936"/>
    </w:pPr>
    <w:rPr>
      <w:noProof/>
      <w:color w:val="000000"/>
      <w:sz w:val="20"/>
      <w:szCs w:val="20"/>
      <w:lang w:eastAsia="zh-CN"/>
    </w:rPr>
  </w:style>
  <w:style w:type="paragraph" w:styleId="BalloonText">
    <w:name w:val="Balloon Text"/>
    <w:basedOn w:val="Normal"/>
    <w:semiHidden/>
    <w:rsid w:val="00166F3E"/>
    <w:rPr>
      <w:rFonts w:ascii="Tahoma" w:hAnsi="Tahoma" w:cs="Tahoma"/>
      <w:sz w:val="16"/>
      <w:szCs w:val="16"/>
    </w:rPr>
  </w:style>
  <w:style w:type="paragraph" w:styleId="BodyText2">
    <w:name w:val="Body Text 2"/>
    <w:basedOn w:val="Normal"/>
    <w:rsid w:val="00686A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paragraph" w:styleId="HTMLPreformatted">
    <w:name w:val="HTML Preformatted"/>
    <w:basedOn w:val="Normal"/>
    <w:rsid w:val="00204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EmailStyle24">
    <w:name w:val="EmailStyle24"/>
    <w:basedOn w:val="DefaultParagraphFont"/>
    <w:semiHidden/>
    <w:rsid w:val="00FD2B61"/>
    <w:rPr>
      <w:rFonts w:ascii="Book Antiqua" w:hAnsi="Book Antiqua" w:hint="default"/>
      <w:b w:val="0"/>
      <w:bCs w:val="0"/>
      <w:i w:val="0"/>
      <w:iCs w:val="0"/>
      <w:strike w:val="0"/>
      <w:dstrike w:val="0"/>
      <w:color w:val="auto"/>
      <w:sz w:val="20"/>
      <w:szCs w:val="24"/>
      <w:u w:val="none"/>
      <w:effect w:val="none"/>
    </w:rPr>
  </w:style>
  <w:style w:type="character" w:customStyle="1" w:styleId="Heading1Char">
    <w:name w:val="Heading 1 Char"/>
    <w:basedOn w:val="DefaultParagraphFont"/>
    <w:link w:val="Heading1"/>
    <w:rsid w:val="00CB2854"/>
    <w:rPr>
      <w:b/>
      <w:bCs/>
      <w:snapToGrid w:val="0"/>
      <w:sz w:val="24"/>
      <w:szCs w:val="24"/>
    </w:rPr>
  </w:style>
  <w:style w:type="character" w:styleId="Hyperlink">
    <w:name w:val="Hyperlink"/>
    <w:basedOn w:val="DefaultParagraphFont"/>
    <w:rsid w:val="00B4362A"/>
    <w:rPr>
      <w:color w:val="0000FF"/>
      <w:u w:val="single"/>
    </w:rPr>
  </w:style>
  <w:style w:type="paragraph" w:styleId="BodyTextIndent2">
    <w:name w:val="Body Text Indent 2"/>
    <w:basedOn w:val="Normal"/>
    <w:link w:val="BodyTextIndent2Char"/>
    <w:rsid w:val="003D1160"/>
    <w:pPr>
      <w:spacing w:after="120" w:line="480" w:lineRule="auto"/>
      <w:ind w:left="360"/>
    </w:pPr>
  </w:style>
  <w:style w:type="character" w:customStyle="1" w:styleId="BodyTextIndent2Char">
    <w:name w:val="Body Text Indent 2 Char"/>
    <w:basedOn w:val="DefaultParagraphFont"/>
    <w:link w:val="BodyTextIndent2"/>
    <w:rsid w:val="003D1160"/>
    <w:rPr>
      <w:sz w:val="24"/>
      <w:szCs w:val="24"/>
    </w:rPr>
  </w:style>
  <w:style w:type="table" w:styleId="TableGrid">
    <w:name w:val="Table Grid"/>
    <w:basedOn w:val="TableNormal"/>
    <w:rsid w:val="003D1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5F1"/>
    <w:pPr>
      <w:ind w:left="720"/>
      <w:contextualSpacing/>
    </w:pPr>
  </w:style>
  <w:style w:type="character" w:styleId="CommentReference">
    <w:name w:val="annotation reference"/>
    <w:basedOn w:val="DefaultParagraphFont"/>
    <w:rsid w:val="002165AE"/>
    <w:rPr>
      <w:sz w:val="16"/>
      <w:szCs w:val="16"/>
    </w:rPr>
  </w:style>
  <w:style w:type="paragraph" w:styleId="CommentText">
    <w:name w:val="annotation text"/>
    <w:basedOn w:val="Normal"/>
    <w:link w:val="CommentTextChar"/>
    <w:rsid w:val="002165AE"/>
    <w:rPr>
      <w:sz w:val="20"/>
      <w:szCs w:val="20"/>
    </w:rPr>
  </w:style>
  <w:style w:type="character" w:customStyle="1" w:styleId="CommentTextChar">
    <w:name w:val="Comment Text Char"/>
    <w:basedOn w:val="DefaultParagraphFont"/>
    <w:link w:val="CommentText"/>
    <w:rsid w:val="002165AE"/>
  </w:style>
  <w:style w:type="paragraph" w:styleId="CommentSubject">
    <w:name w:val="annotation subject"/>
    <w:basedOn w:val="CommentText"/>
    <w:next w:val="CommentText"/>
    <w:link w:val="CommentSubjectChar"/>
    <w:rsid w:val="002165AE"/>
    <w:rPr>
      <w:b/>
      <w:bCs/>
    </w:rPr>
  </w:style>
  <w:style w:type="character" w:customStyle="1" w:styleId="CommentSubjectChar">
    <w:name w:val="Comment Subject Char"/>
    <w:basedOn w:val="CommentTextChar"/>
    <w:link w:val="CommentSubject"/>
    <w:rsid w:val="002165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F6E"/>
    <w:rPr>
      <w:sz w:val="24"/>
      <w:szCs w:val="24"/>
    </w:rPr>
  </w:style>
  <w:style w:type="paragraph" w:styleId="Heading1">
    <w:name w:val="heading 1"/>
    <w:basedOn w:val="Normal"/>
    <w:next w:val="Normal"/>
    <w:link w:val="Heading1Char"/>
    <w:qFormat/>
    <w:rsid w:val="00CB2854"/>
    <w:pPr>
      <w:keepNext/>
      <w:widowControl w:val="0"/>
      <w:tabs>
        <w:tab w:val="center" w:pos="4680"/>
      </w:tabs>
      <w:suppressAutoHyphens/>
      <w:jc w:val="center"/>
      <w:outlineLvl w:val="0"/>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AB32F4"/>
    <w:pPr>
      <w:widowControl w:val="0"/>
      <w:tabs>
        <w:tab w:val="left" w:pos="1440"/>
      </w:tabs>
      <w:spacing w:line="240" w:lineRule="exact"/>
      <w:ind w:left="1368" w:hanging="720"/>
    </w:pPr>
    <w:rPr>
      <w:noProof/>
      <w:color w:val="000000"/>
      <w:sz w:val="20"/>
      <w:szCs w:val="20"/>
      <w:lang w:eastAsia="zh-CN"/>
    </w:rPr>
  </w:style>
  <w:style w:type="paragraph" w:customStyle="1" w:styleId="Style3">
    <w:name w:val="Style 3"/>
    <w:basedOn w:val="Normal"/>
    <w:rsid w:val="00AB32F4"/>
    <w:pPr>
      <w:widowControl w:val="0"/>
      <w:spacing w:line="240" w:lineRule="exact"/>
      <w:ind w:left="1368" w:hanging="720"/>
    </w:pPr>
    <w:rPr>
      <w:noProof/>
      <w:color w:val="000000"/>
      <w:sz w:val="20"/>
      <w:szCs w:val="20"/>
      <w:lang w:eastAsia="zh-CN"/>
    </w:rPr>
  </w:style>
  <w:style w:type="paragraph" w:customStyle="1" w:styleId="Style4">
    <w:name w:val="Style 4"/>
    <w:basedOn w:val="Normal"/>
    <w:rsid w:val="00AB32F4"/>
    <w:pPr>
      <w:widowControl w:val="0"/>
    </w:pPr>
    <w:rPr>
      <w:noProof/>
      <w:color w:val="000000"/>
      <w:sz w:val="20"/>
      <w:szCs w:val="20"/>
      <w:lang w:eastAsia="zh-CN"/>
    </w:rPr>
  </w:style>
  <w:style w:type="paragraph" w:styleId="Header">
    <w:name w:val="header"/>
    <w:basedOn w:val="Normal"/>
    <w:rsid w:val="00440F71"/>
    <w:pPr>
      <w:tabs>
        <w:tab w:val="center" w:pos="4320"/>
        <w:tab w:val="right" w:pos="8640"/>
      </w:tabs>
    </w:pPr>
  </w:style>
  <w:style w:type="paragraph" w:styleId="Footer">
    <w:name w:val="footer"/>
    <w:basedOn w:val="Normal"/>
    <w:rsid w:val="00440F71"/>
    <w:pPr>
      <w:tabs>
        <w:tab w:val="center" w:pos="4320"/>
        <w:tab w:val="right" w:pos="8640"/>
      </w:tabs>
    </w:pPr>
  </w:style>
  <w:style w:type="paragraph" w:customStyle="1" w:styleId="Style5">
    <w:name w:val="Style 5"/>
    <w:basedOn w:val="Normal"/>
    <w:rsid w:val="00A24243"/>
    <w:pPr>
      <w:widowControl w:val="0"/>
      <w:spacing w:after="288"/>
      <w:ind w:left="648" w:right="936"/>
    </w:pPr>
    <w:rPr>
      <w:noProof/>
      <w:color w:val="000000"/>
      <w:sz w:val="20"/>
      <w:szCs w:val="20"/>
      <w:lang w:eastAsia="zh-CN"/>
    </w:rPr>
  </w:style>
  <w:style w:type="paragraph" w:styleId="BalloonText">
    <w:name w:val="Balloon Text"/>
    <w:basedOn w:val="Normal"/>
    <w:semiHidden/>
    <w:rsid w:val="00166F3E"/>
    <w:rPr>
      <w:rFonts w:ascii="Tahoma" w:hAnsi="Tahoma" w:cs="Tahoma"/>
      <w:sz w:val="16"/>
      <w:szCs w:val="16"/>
    </w:rPr>
  </w:style>
  <w:style w:type="paragraph" w:styleId="BodyText2">
    <w:name w:val="Body Text 2"/>
    <w:basedOn w:val="Normal"/>
    <w:rsid w:val="00686A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paragraph" w:styleId="HTMLPreformatted">
    <w:name w:val="HTML Preformatted"/>
    <w:basedOn w:val="Normal"/>
    <w:rsid w:val="00204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EmailStyle24">
    <w:name w:val="EmailStyle24"/>
    <w:basedOn w:val="DefaultParagraphFont"/>
    <w:semiHidden/>
    <w:rsid w:val="00FD2B61"/>
    <w:rPr>
      <w:rFonts w:ascii="Book Antiqua" w:hAnsi="Book Antiqua" w:hint="default"/>
      <w:b w:val="0"/>
      <w:bCs w:val="0"/>
      <w:i w:val="0"/>
      <w:iCs w:val="0"/>
      <w:strike w:val="0"/>
      <w:dstrike w:val="0"/>
      <w:color w:val="auto"/>
      <w:sz w:val="20"/>
      <w:szCs w:val="24"/>
      <w:u w:val="none"/>
      <w:effect w:val="none"/>
    </w:rPr>
  </w:style>
  <w:style w:type="character" w:customStyle="1" w:styleId="Heading1Char">
    <w:name w:val="Heading 1 Char"/>
    <w:basedOn w:val="DefaultParagraphFont"/>
    <w:link w:val="Heading1"/>
    <w:rsid w:val="00CB2854"/>
    <w:rPr>
      <w:b/>
      <w:bCs/>
      <w:snapToGrid w:val="0"/>
      <w:sz w:val="24"/>
      <w:szCs w:val="24"/>
    </w:rPr>
  </w:style>
  <w:style w:type="character" w:styleId="Hyperlink">
    <w:name w:val="Hyperlink"/>
    <w:basedOn w:val="DefaultParagraphFont"/>
    <w:rsid w:val="00B4362A"/>
    <w:rPr>
      <w:color w:val="0000FF"/>
      <w:u w:val="single"/>
    </w:rPr>
  </w:style>
  <w:style w:type="paragraph" w:styleId="BodyTextIndent2">
    <w:name w:val="Body Text Indent 2"/>
    <w:basedOn w:val="Normal"/>
    <w:link w:val="BodyTextIndent2Char"/>
    <w:rsid w:val="003D1160"/>
    <w:pPr>
      <w:spacing w:after="120" w:line="480" w:lineRule="auto"/>
      <w:ind w:left="360"/>
    </w:pPr>
  </w:style>
  <w:style w:type="character" w:customStyle="1" w:styleId="BodyTextIndent2Char">
    <w:name w:val="Body Text Indent 2 Char"/>
    <w:basedOn w:val="DefaultParagraphFont"/>
    <w:link w:val="BodyTextIndent2"/>
    <w:rsid w:val="003D1160"/>
    <w:rPr>
      <w:sz w:val="24"/>
      <w:szCs w:val="24"/>
    </w:rPr>
  </w:style>
  <w:style w:type="table" w:styleId="TableGrid">
    <w:name w:val="Table Grid"/>
    <w:basedOn w:val="TableNormal"/>
    <w:rsid w:val="003D1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5F1"/>
    <w:pPr>
      <w:ind w:left="720"/>
      <w:contextualSpacing/>
    </w:pPr>
  </w:style>
  <w:style w:type="character" w:styleId="CommentReference">
    <w:name w:val="annotation reference"/>
    <w:basedOn w:val="DefaultParagraphFont"/>
    <w:rsid w:val="002165AE"/>
    <w:rPr>
      <w:sz w:val="16"/>
      <w:szCs w:val="16"/>
    </w:rPr>
  </w:style>
  <w:style w:type="paragraph" w:styleId="CommentText">
    <w:name w:val="annotation text"/>
    <w:basedOn w:val="Normal"/>
    <w:link w:val="CommentTextChar"/>
    <w:rsid w:val="002165AE"/>
    <w:rPr>
      <w:sz w:val="20"/>
      <w:szCs w:val="20"/>
    </w:rPr>
  </w:style>
  <w:style w:type="character" w:customStyle="1" w:styleId="CommentTextChar">
    <w:name w:val="Comment Text Char"/>
    <w:basedOn w:val="DefaultParagraphFont"/>
    <w:link w:val="CommentText"/>
    <w:rsid w:val="002165AE"/>
  </w:style>
  <w:style w:type="paragraph" w:styleId="CommentSubject">
    <w:name w:val="annotation subject"/>
    <w:basedOn w:val="CommentText"/>
    <w:next w:val="CommentText"/>
    <w:link w:val="CommentSubjectChar"/>
    <w:rsid w:val="002165AE"/>
    <w:rPr>
      <w:b/>
      <w:bCs/>
    </w:rPr>
  </w:style>
  <w:style w:type="character" w:customStyle="1" w:styleId="CommentSubjectChar">
    <w:name w:val="Comment Subject Char"/>
    <w:basedOn w:val="CommentTextChar"/>
    <w:link w:val="CommentSubject"/>
    <w:rsid w:val="00216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1</vt:lpstr>
    </vt:vector>
  </TitlesOfParts>
  <Company>潓楣污匠捥牵瑩⁹摁業楮瑳慲楴湯</Company>
  <LinksUpToDate>false</LinksUpToDate>
  <CharactersWithSpaces>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105426</dc:creator>
  <cp:keywords>ssa form information claimant ha</cp:keywords>
  <dc:description>Supporting Statement for Form HA-4631,_x000d_Claimant’s Recent Medical Treatment_x000d_2. 	Form HA-4631 is a questionnaire used by SSA to collect information concerning medical treatment.  OMB # 0960-0292_x000d__x000d__x000d_16.	SSA will not publish the results of the information collection.</dc:description>
  <cp:lastModifiedBy>SYSTEM</cp:lastModifiedBy>
  <cp:revision>2</cp:revision>
  <cp:lastPrinted>2011-12-06T18:47:00Z</cp:lastPrinted>
  <dcterms:created xsi:type="dcterms:W3CDTF">2018-02-07T22:08:00Z</dcterms:created>
  <dcterms:modified xsi:type="dcterms:W3CDTF">2018-02-07T22:08:00Z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964716820</vt:i4>
  </property>
  <property fmtid="{D5CDD505-2E9C-101B-9397-08002B2CF9AE}" pid="3" name="_NewReviewCycle">
    <vt:lpwstr/>
  </property>
  <property fmtid="{D5CDD505-2E9C-101B-9397-08002B2CF9AE}" pid="4" name="_EmailSubject">
    <vt:lpwstr>Expiration Notice:  0960-0794 HA-L90</vt:lpwstr>
  </property>
  <property fmtid="{D5CDD505-2E9C-101B-9397-08002B2CF9AE}" pid="5" name="_AuthorEmail">
    <vt:lpwstr>Jeffrey.Carle@ssa.gov</vt:lpwstr>
  </property>
  <property fmtid="{D5CDD505-2E9C-101B-9397-08002B2CF9AE}" pid="6" name="_AuthorEmailDisplayName">
    <vt:lpwstr>Carle, Jeffrey</vt:lpwstr>
  </property>
  <property fmtid="{D5CDD505-2E9C-101B-9397-08002B2CF9AE}" pid="7" name="_ReviewingToolsShownOnce">
    <vt:lpwstr/>
  </property>
</Properties>
</file>