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6ADE" w:rsidR="005A78AB" w:rsidP="00557499" w:rsidRDefault="005A78AB" w14:paraId="343A9A43" w14:textId="5591C5AC">
      <w:pPr>
        <w:spacing w:after="120"/>
        <w:ind w:left="1440" w:hanging="1440"/>
        <w:rPr>
          <w:rFonts w:ascii="Times New Roman" w:hAnsi="Times New Roman" w:eastAsia="Calibri" w:cs="Times New Roman"/>
        </w:rPr>
      </w:pPr>
      <w:r w:rsidRPr="00986ADE">
        <w:rPr>
          <w:rFonts w:ascii="Times New Roman" w:hAnsi="Times New Roman" w:eastAsia="Calibri" w:cs="Times New Roman"/>
        </w:rPr>
        <w:t>DATE:</w:t>
      </w:r>
      <w:r w:rsidRPr="00986ADE">
        <w:rPr>
          <w:rFonts w:ascii="Times New Roman" w:hAnsi="Times New Roman" w:eastAsia="Calibri" w:cs="Times New Roman"/>
        </w:rPr>
        <w:tab/>
      </w:r>
      <w:r w:rsidR="009872A8">
        <w:rPr>
          <w:rFonts w:ascii="Times New Roman" w:hAnsi="Times New Roman" w:eastAsia="Calibri" w:cs="Times New Roman"/>
        </w:rPr>
        <w:t xml:space="preserve">June </w:t>
      </w:r>
      <w:r w:rsidR="00331776">
        <w:rPr>
          <w:rFonts w:ascii="Times New Roman" w:hAnsi="Times New Roman" w:eastAsia="Calibri" w:cs="Times New Roman"/>
        </w:rPr>
        <w:t>24</w:t>
      </w:r>
      <w:bookmarkStart w:name="_GoBack" w:id="0"/>
      <w:bookmarkEnd w:id="0"/>
      <w:r w:rsidRPr="00986ADE" w:rsidR="009F6CE7">
        <w:rPr>
          <w:rFonts w:ascii="Times New Roman" w:hAnsi="Times New Roman" w:eastAsia="Calibri" w:cs="Times New Roman"/>
        </w:rPr>
        <w:t>, 2020</w:t>
      </w:r>
    </w:p>
    <w:p w:rsidRPr="00986ADE" w:rsidR="005A78AB" w:rsidP="00557499" w:rsidRDefault="005A78AB" w14:paraId="473CB908" w14:textId="343E275D">
      <w:pPr>
        <w:spacing w:after="0"/>
        <w:rPr>
          <w:rFonts w:ascii="Times New Roman" w:hAnsi="Times New Roman" w:eastAsia="Calibri" w:cs="Times New Roman"/>
        </w:rPr>
      </w:pPr>
      <w:r w:rsidRPr="00986ADE">
        <w:rPr>
          <w:rFonts w:ascii="Times New Roman" w:hAnsi="Times New Roman" w:eastAsia="Calibri" w:cs="Times New Roman"/>
        </w:rPr>
        <w:t>TO:</w:t>
      </w:r>
      <w:r w:rsidRPr="00986ADE">
        <w:rPr>
          <w:rFonts w:ascii="Times New Roman" w:hAnsi="Times New Roman" w:eastAsia="Calibri" w:cs="Times New Roman"/>
        </w:rPr>
        <w:tab/>
      </w:r>
      <w:r w:rsidRPr="00986ADE">
        <w:rPr>
          <w:rFonts w:ascii="Times New Roman" w:hAnsi="Times New Roman" w:eastAsia="Calibri" w:cs="Times New Roman"/>
        </w:rPr>
        <w:tab/>
      </w:r>
      <w:r w:rsidRPr="00986ADE" w:rsidR="00986ADE">
        <w:rPr>
          <w:rFonts w:ascii="Times New Roman" w:hAnsi="Times New Roman" w:eastAsia="Calibri" w:cs="Times New Roman"/>
        </w:rPr>
        <w:t>Josh Brammer</w:t>
      </w:r>
      <w:r w:rsidRPr="00986ADE" w:rsidR="000E099C">
        <w:rPr>
          <w:rFonts w:ascii="Times New Roman" w:hAnsi="Times New Roman" w:eastAsia="Calibri" w:cs="Times New Roman"/>
        </w:rPr>
        <w:t xml:space="preserve"> </w:t>
      </w:r>
    </w:p>
    <w:p w:rsidRPr="00986ADE" w:rsidR="005A78AB" w:rsidP="00557499" w:rsidRDefault="005A78AB" w14:paraId="7F9346B0" w14:textId="77777777">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Information and Regulatory Affairs (OIRA)</w:t>
      </w:r>
    </w:p>
    <w:p w:rsidRPr="00986ADE" w:rsidR="005A78AB" w:rsidP="00557499" w:rsidRDefault="005A78AB" w14:paraId="500BC586" w14:textId="77777777">
      <w:pPr>
        <w:spacing w:after="120"/>
        <w:ind w:left="720" w:firstLine="720"/>
        <w:rPr>
          <w:rStyle w:val="Strong"/>
          <w:rFonts w:ascii="Times New Roman" w:hAnsi="Times New Roman" w:cs="Times New Roman"/>
          <w:b w:val="0"/>
        </w:rPr>
      </w:pPr>
      <w:r w:rsidRPr="00986ADE">
        <w:rPr>
          <w:rFonts w:ascii="Times New Roman" w:hAnsi="Times New Roman" w:eastAsia="Calibri" w:cs="Times New Roman"/>
        </w:rPr>
        <w:t>Office of Management and Budget (OMB)</w:t>
      </w:r>
    </w:p>
    <w:p w:rsidRPr="00986ADE" w:rsidR="005A78AB" w:rsidP="000E099C" w:rsidRDefault="005A78AB" w14:paraId="6EA57B9F" w14:textId="452E77B9">
      <w:pPr>
        <w:spacing w:after="0"/>
        <w:rPr>
          <w:rFonts w:ascii="Times New Roman" w:hAnsi="Times New Roman" w:eastAsia="Calibri" w:cs="Times New Roman"/>
        </w:rPr>
      </w:pPr>
      <w:r w:rsidRPr="00986ADE">
        <w:rPr>
          <w:rFonts w:ascii="Times New Roman" w:hAnsi="Times New Roman" w:eastAsia="Calibri" w:cs="Times New Roman"/>
        </w:rPr>
        <w:t>FROM:</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Nicole Constance</w:t>
      </w:r>
      <w:r w:rsidR="003A0CA8">
        <w:rPr>
          <w:rFonts w:ascii="Times New Roman" w:hAnsi="Times New Roman" w:eastAsia="Calibri" w:cs="Times New Roman"/>
        </w:rPr>
        <w:t xml:space="preserve">, </w:t>
      </w:r>
      <w:r w:rsidRPr="00986ADE" w:rsidR="000E099C">
        <w:rPr>
          <w:rFonts w:ascii="Times New Roman" w:hAnsi="Times New Roman" w:eastAsia="Calibri" w:cs="Times New Roman"/>
        </w:rPr>
        <w:t xml:space="preserve">Hilary </w:t>
      </w:r>
      <w:r w:rsidRPr="00986ADE" w:rsidR="00CE23EA">
        <w:rPr>
          <w:rFonts w:ascii="Times New Roman" w:hAnsi="Times New Roman" w:eastAsia="Calibri" w:cs="Times New Roman"/>
        </w:rPr>
        <w:t>Bruck</w:t>
      </w:r>
      <w:r w:rsidR="003A0CA8">
        <w:rPr>
          <w:rFonts w:ascii="Times New Roman" w:hAnsi="Times New Roman" w:eastAsia="Calibri" w:cs="Times New Roman"/>
        </w:rPr>
        <w:t>, and Amelia Popham</w:t>
      </w:r>
    </w:p>
    <w:p w:rsidRPr="00986ADE" w:rsidR="005A78AB" w:rsidP="00557499" w:rsidRDefault="005A78AB" w14:paraId="5D8469B6" w14:textId="2144A341">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Planning, Research</w:t>
      </w:r>
      <w:r w:rsidRPr="00986ADE" w:rsidR="000E099C">
        <w:rPr>
          <w:rFonts w:ascii="Times New Roman" w:hAnsi="Times New Roman" w:eastAsia="Calibri" w:cs="Times New Roman"/>
        </w:rPr>
        <w:t>,</w:t>
      </w:r>
      <w:r w:rsidRPr="00986ADE">
        <w:rPr>
          <w:rFonts w:ascii="Times New Roman" w:hAnsi="Times New Roman" w:eastAsia="Calibri" w:cs="Times New Roman"/>
        </w:rPr>
        <w:t xml:space="preserve"> and Evaluation (OPRE)</w:t>
      </w:r>
    </w:p>
    <w:p w:rsidRPr="00986ADE" w:rsidR="005A78AB" w:rsidP="00557499" w:rsidRDefault="005A78AB" w14:paraId="3BD85B23" w14:textId="77777777">
      <w:pPr>
        <w:spacing w:after="120"/>
        <w:ind w:left="720" w:firstLine="720"/>
        <w:rPr>
          <w:rFonts w:ascii="Times New Roman" w:hAnsi="Times New Roman" w:eastAsia="Calibri" w:cs="Times New Roman"/>
        </w:rPr>
      </w:pPr>
      <w:r w:rsidRPr="00986ADE">
        <w:rPr>
          <w:rFonts w:ascii="Times New Roman" w:hAnsi="Times New Roman" w:eastAsia="Calibri" w:cs="Times New Roman"/>
        </w:rPr>
        <w:t>Administration for Children and Families (ACF)</w:t>
      </w:r>
    </w:p>
    <w:p w:rsidRPr="00986ADE" w:rsidR="00FD3C33" w:rsidP="00FD3C33" w:rsidRDefault="005A78AB" w14:paraId="762D1664" w14:textId="05C72909">
      <w:pPr>
        <w:spacing w:after="120"/>
        <w:ind w:left="1440" w:hanging="1440"/>
        <w:rPr>
          <w:rFonts w:ascii="Times New Roman" w:hAnsi="Times New Roman" w:eastAsia="Calibri" w:cs="Times New Roman"/>
        </w:rPr>
      </w:pPr>
      <w:r w:rsidRPr="00986ADE">
        <w:rPr>
          <w:rFonts w:ascii="Times New Roman" w:hAnsi="Times New Roman" w:eastAsia="Calibri" w:cs="Times New Roman"/>
        </w:rPr>
        <w:t>SUBJECT:</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 xml:space="preserve">Request for Non-Substantive Change to </w:t>
      </w:r>
      <w:r w:rsidR="001F579F">
        <w:rPr>
          <w:rFonts w:ascii="Times New Roman" w:hAnsi="Times New Roman" w:eastAsia="Calibri" w:cs="Times New Roman"/>
        </w:rPr>
        <w:t>the National and Tribal Evaluation of the 2</w:t>
      </w:r>
      <w:r w:rsidRPr="00E03742"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986ADE" w:rsidR="00FD3C33">
        <w:rPr>
          <w:rFonts w:ascii="Times New Roman" w:hAnsi="Times New Roman" w:eastAsia="Calibri" w:cs="Times New Roman"/>
        </w:rPr>
        <w:t xml:space="preserve">Health Profession Opportunity Grants </w:t>
      </w:r>
      <w:r w:rsidRPr="00986ADE" w:rsidR="005A1FBB">
        <w:rPr>
          <w:rFonts w:ascii="Times New Roman" w:hAnsi="Times New Roman" w:eastAsia="Calibri" w:cs="Times New Roman"/>
        </w:rPr>
        <w:t>(HPOG</w:t>
      </w:r>
      <w:r w:rsidR="00E061EE">
        <w:rPr>
          <w:rFonts w:ascii="Times New Roman" w:hAnsi="Times New Roman" w:eastAsia="Calibri" w:cs="Times New Roman"/>
        </w:rPr>
        <w:t xml:space="preserve"> 2.0</w:t>
      </w:r>
      <w:r w:rsidRPr="00986ADE" w:rsidR="005A1FBB">
        <w:rPr>
          <w:rFonts w:ascii="Times New Roman" w:hAnsi="Times New Roman" w:eastAsia="Calibri" w:cs="Times New Roman"/>
        </w:rPr>
        <w:t xml:space="preserve">) </w:t>
      </w:r>
      <w:r w:rsidRPr="00986ADE" w:rsidR="00FD3C33">
        <w:rPr>
          <w:rFonts w:ascii="Times New Roman" w:hAnsi="Times New Roman" w:eastAsia="Calibri" w:cs="Times New Roman"/>
        </w:rPr>
        <w:t xml:space="preserve">(OMB </w:t>
      </w:r>
      <w:r w:rsidR="0062300F">
        <w:rPr>
          <w:rFonts w:ascii="Times New Roman" w:hAnsi="Times New Roman" w:eastAsia="Calibri" w:cs="Times New Roman"/>
        </w:rPr>
        <w:t>#</w:t>
      </w:r>
      <w:r w:rsidRPr="00986ADE" w:rsidR="00FD3C33">
        <w:rPr>
          <w:rFonts w:ascii="Times New Roman" w:hAnsi="Times New Roman" w:eastAsia="Calibri" w:cs="Times New Roman"/>
        </w:rPr>
        <w:t>0970-0462)</w:t>
      </w:r>
    </w:p>
    <w:p w:rsidRPr="005E43D4" w:rsidR="005A78AB" w:rsidP="00557499" w:rsidRDefault="005A78AB" w14:paraId="3AC101E0" w14:textId="77777777">
      <w:pPr>
        <w:spacing w:after="120"/>
        <w:ind w:left="1440" w:hanging="1440"/>
        <w:rPr>
          <w:rFonts w:ascii="Arial" w:hAnsi="Arial" w:eastAsia="Calibri" w:cs="Arial"/>
        </w:rPr>
      </w:pPr>
    </w:p>
    <w:p w:rsidRPr="00490547" w:rsidR="00986ADE" w:rsidP="00E26BC1" w:rsidRDefault="00986ADE" w14:paraId="1246344F" w14:textId="447DF771">
      <w:pPr>
        <w:rPr>
          <w:rFonts w:ascii="Times New Roman" w:hAnsi="Times New Roman" w:eastAsia="Calibri" w:cs="Times New Roman"/>
        </w:rPr>
      </w:pPr>
      <w:r w:rsidRPr="00490547">
        <w:rPr>
          <w:rFonts w:ascii="Times New Roman" w:hAnsi="Times New Roman" w:cs="Times New Roman"/>
        </w:rPr>
        <w:t xml:space="preserve">This memo requests approval of </w:t>
      </w:r>
      <w:r w:rsidR="00395A58">
        <w:rPr>
          <w:rFonts w:ascii="Times New Roman" w:hAnsi="Times New Roman" w:cs="Times New Roman"/>
        </w:rPr>
        <w:t>non-substantive</w:t>
      </w:r>
      <w:r w:rsidRPr="00490547">
        <w:rPr>
          <w:rFonts w:ascii="Times New Roman" w:hAnsi="Times New Roman" w:cs="Times New Roman"/>
        </w:rPr>
        <w:t xml:space="preserve"> changes to </w:t>
      </w:r>
      <w:r w:rsidR="00395A58">
        <w:rPr>
          <w:rFonts w:ascii="Times New Roman" w:hAnsi="Times New Roman" w:cs="Times New Roman"/>
        </w:rPr>
        <w:t xml:space="preserve">several of the </w:t>
      </w:r>
      <w:r w:rsidRPr="00490547">
        <w:rPr>
          <w:rFonts w:ascii="Times New Roman" w:hAnsi="Times New Roman" w:cs="Times New Roman"/>
        </w:rPr>
        <w:t>approved information collection</w:t>
      </w:r>
      <w:r w:rsidR="00395A58">
        <w:rPr>
          <w:rFonts w:ascii="Times New Roman" w:hAnsi="Times New Roman" w:cs="Times New Roman"/>
        </w:rPr>
        <w:t xml:space="preserve">s </w:t>
      </w:r>
      <w:r w:rsidR="001F579F">
        <w:rPr>
          <w:rFonts w:ascii="Times New Roman" w:hAnsi="Times New Roman" w:cs="Times New Roman"/>
        </w:rPr>
        <w:t>for the</w:t>
      </w:r>
      <w:r w:rsidRPr="00490547">
        <w:rPr>
          <w:rFonts w:ascii="Times New Roman" w:hAnsi="Times New Roman" w:cs="Times New Roman"/>
        </w:rPr>
        <w:t xml:space="preserve"> </w:t>
      </w:r>
      <w:r w:rsidR="001F579F">
        <w:rPr>
          <w:rFonts w:ascii="Times New Roman" w:hAnsi="Times New Roman" w:eastAsia="Calibri" w:cs="Times New Roman"/>
        </w:rPr>
        <w:t>National and Tribal Evaluation of the 2</w:t>
      </w:r>
      <w:r w:rsidRPr="00BC16AD"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490547">
        <w:rPr>
          <w:rFonts w:ascii="Times New Roman" w:hAnsi="Times New Roman" w:eastAsia="Calibri" w:cs="Times New Roman"/>
        </w:rPr>
        <w:t>Health Profession Opportunity Grants (HPOG</w:t>
      </w:r>
      <w:r w:rsidR="001F579F">
        <w:rPr>
          <w:rFonts w:ascii="Times New Roman" w:hAnsi="Times New Roman" w:eastAsia="Calibri" w:cs="Times New Roman"/>
        </w:rPr>
        <w:t xml:space="preserve"> 2.0</w:t>
      </w:r>
      <w:r w:rsidRPr="00490547">
        <w:rPr>
          <w:rFonts w:ascii="Times New Roman" w:hAnsi="Times New Roman" w:eastAsia="Calibri" w:cs="Times New Roman"/>
        </w:rPr>
        <w:t xml:space="preserve">) (OMB </w:t>
      </w:r>
      <w:r w:rsidR="0062300F">
        <w:rPr>
          <w:rFonts w:ascii="Times New Roman" w:hAnsi="Times New Roman" w:eastAsia="Calibri" w:cs="Times New Roman"/>
        </w:rPr>
        <w:t>#</w:t>
      </w:r>
      <w:r w:rsidRPr="00490547">
        <w:rPr>
          <w:rFonts w:ascii="Times New Roman" w:hAnsi="Times New Roman" w:eastAsia="Calibri" w:cs="Times New Roman"/>
        </w:rPr>
        <w:t xml:space="preserve"> 0970-0462).</w:t>
      </w:r>
    </w:p>
    <w:p w:rsidR="003C2F55" w:rsidP="003C2F55" w:rsidRDefault="003C2F55" w14:paraId="2015A011" w14:textId="47B6EF24">
      <w:pPr>
        <w:pStyle w:val="Heading1"/>
      </w:pPr>
      <w:r>
        <w:t>Background</w:t>
      </w:r>
      <w:r w:rsidR="00154780">
        <w:t xml:space="preserve"> </w:t>
      </w:r>
    </w:p>
    <w:p w:rsidR="0062300F" w:rsidP="00DD4DAD" w:rsidRDefault="0062300F" w14:paraId="786D36E8" w14:textId="2D342E2F">
      <w:pPr>
        <w:rPr>
          <w:rFonts w:ascii="Times New Roman" w:hAnsi="Times New Roman" w:eastAsia="Calibri" w:cs="Times New Roman"/>
        </w:rPr>
      </w:pPr>
      <w:r>
        <w:rPr>
          <w:rFonts w:ascii="Times New Roman" w:hAnsi="Times New Roman" w:eastAsia="Calibri" w:cs="Times New Roman"/>
        </w:rPr>
        <w:t xml:space="preserve">Between August 2015 and July 2019, </w:t>
      </w:r>
      <w:r>
        <w:rPr>
          <w:rFonts w:ascii="Times New Roman" w:hAnsi="Times New Roman" w:cs="Times New Roman"/>
        </w:rPr>
        <w:t xml:space="preserve">OMB </w:t>
      </w:r>
      <w:r w:rsidRPr="00395A58" w:rsidR="00395A58">
        <w:rPr>
          <w:rFonts w:ascii="Times New Roman" w:hAnsi="Times New Roman" w:cs="Times New Roman"/>
        </w:rPr>
        <w:t xml:space="preserve">has approved several information collection instruments, procedures and supporting materials </w:t>
      </w:r>
      <w:r w:rsidR="00395A58">
        <w:rPr>
          <w:rFonts w:ascii="Times New Roman" w:hAnsi="Times New Roman" w:cs="Times New Roman"/>
        </w:rPr>
        <w:t xml:space="preserve">in support </w:t>
      </w:r>
      <w:r w:rsidRPr="00490547" w:rsidR="00395A58">
        <w:rPr>
          <w:rFonts w:ascii="Times New Roman" w:hAnsi="Times New Roman" w:eastAsia="Calibri" w:cs="Times New Roman"/>
        </w:rPr>
        <w:t>HPOG</w:t>
      </w:r>
      <w:r w:rsidR="00395A58">
        <w:rPr>
          <w:rFonts w:ascii="Times New Roman" w:hAnsi="Times New Roman" w:eastAsia="Calibri" w:cs="Times New Roman"/>
        </w:rPr>
        <w:t xml:space="preserve"> 2.0.</w:t>
      </w:r>
      <w:r w:rsidRPr="00490547" w:rsidR="00395A58">
        <w:rPr>
          <w:rFonts w:ascii="Times New Roman" w:hAnsi="Times New Roman" w:eastAsia="Calibri" w:cs="Times New Roman"/>
        </w:rPr>
        <w:t xml:space="preserve"> </w:t>
      </w:r>
      <w:r>
        <w:rPr>
          <w:rFonts w:ascii="Times New Roman" w:hAnsi="Times New Roman" w:eastAsia="Calibri" w:cs="Times New Roman"/>
        </w:rPr>
        <w:t xml:space="preserve">These include baseline data collection from </w:t>
      </w:r>
      <w:r w:rsidRPr="001B71F1">
        <w:rPr>
          <w:rFonts w:ascii="Times New Roman" w:hAnsi="Times New Roman" w:cs="Times New Roman"/>
        </w:rPr>
        <w:t>HPOG 2.0 National and Tribal Evaluation study participants</w:t>
      </w:r>
      <w:r w:rsidR="001346A3">
        <w:rPr>
          <w:rFonts w:ascii="Times New Roman" w:hAnsi="Times New Roman" w:cs="Times New Roman"/>
        </w:rPr>
        <w:t xml:space="preserve">, </w:t>
      </w:r>
      <w:r w:rsidRPr="00D2747A" w:rsidR="001346A3">
        <w:rPr>
          <w:rFonts w:ascii="Times New Roman" w:hAnsi="Times New Roman" w:cs="Times New Roman"/>
        </w:rPr>
        <w:t>data collection protocols and procedures for the HPOG 2.0 Tribal Evaluation</w:t>
      </w:r>
      <w:r w:rsidR="001346A3">
        <w:rPr>
          <w:rFonts w:ascii="Times New Roman" w:hAnsi="Times New Roman" w:cs="Times New Roman"/>
        </w:rPr>
        <w:t xml:space="preserve">, a Short-term Follow-up Survey as part of the National Evaluation’s impact study, and several instruments in support of the National Evaluation, including a phone-based skills assessment pilot instrument and an Intermediate Follow-up Survey </w:t>
      </w:r>
      <w:r w:rsidRPr="001B71F1" w:rsidR="001346A3">
        <w:rPr>
          <w:rFonts w:ascii="Times New Roman" w:hAnsi="Times New Roman" w:cs="Times New Roman"/>
        </w:rPr>
        <w:t>to support the HPOG 2.0 National Evaluation</w:t>
      </w:r>
      <w:r w:rsidR="001346A3">
        <w:rPr>
          <w:rFonts w:ascii="Times New Roman" w:hAnsi="Times New Roman" w:cs="Times New Roman"/>
        </w:rPr>
        <w:t xml:space="preserve"> impact study.</w:t>
      </w:r>
    </w:p>
    <w:p w:rsidRPr="006D623D" w:rsidR="006D623D" w:rsidP="00810A83" w:rsidRDefault="00395A58" w14:paraId="1C7A3BBE" w14:textId="5CE92B06">
      <w:pPr>
        <w:pStyle w:val="BodyText"/>
        <w:spacing w:after="200" w:line="276" w:lineRule="auto"/>
      </w:pPr>
      <w:r>
        <w:rPr>
          <w:szCs w:val="22"/>
        </w:rPr>
        <w:t>ACF requests approval of non-substant</w:t>
      </w:r>
      <w:r w:rsidR="0091640F">
        <w:rPr>
          <w:szCs w:val="22"/>
        </w:rPr>
        <w:t xml:space="preserve">ive changes to </w:t>
      </w:r>
      <w:r>
        <w:rPr>
          <w:szCs w:val="22"/>
        </w:rPr>
        <w:t>several of the previously approved information collections</w:t>
      </w:r>
      <w:r w:rsidR="00C36163">
        <w:rPr>
          <w:szCs w:val="22"/>
        </w:rPr>
        <w:t xml:space="preserve"> </w:t>
      </w:r>
      <w:r w:rsidR="00A97A74">
        <w:rPr>
          <w:szCs w:val="22"/>
        </w:rPr>
        <w:t>and supporting materials</w:t>
      </w:r>
      <w:r w:rsidR="001A2F27">
        <w:rPr>
          <w:szCs w:val="22"/>
        </w:rPr>
        <w:t xml:space="preserve">. </w:t>
      </w:r>
      <w:r>
        <w:rPr>
          <w:szCs w:val="22"/>
        </w:rPr>
        <w:t xml:space="preserve">These requested changes </w:t>
      </w:r>
      <w:r w:rsidR="006D623D">
        <w:rPr>
          <w:szCs w:val="22"/>
        </w:rPr>
        <w:t xml:space="preserve">are based </w:t>
      </w:r>
      <w:r w:rsidR="002A3F0E">
        <w:rPr>
          <w:szCs w:val="22"/>
        </w:rPr>
        <w:t xml:space="preserve">primarily </w:t>
      </w:r>
      <w:r w:rsidR="006D623D">
        <w:rPr>
          <w:szCs w:val="22"/>
        </w:rPr>
        <w:t xml:space="preserve">on three </w:t>
      </w:r>
      <w:r w:rsidR="003A0CA8">
        <w:rPr>
          <w:szCs w:val="22"/>
        </w:rPr>
        <w:t>events</w:t>
      </w:r>
      <w:r w:rsidR="000B4183">
        <w:rPr>
          <w:szCs w:val="22"/>
        </w:rPr>
        <w:t>: (1)</w:t>
      </w:r>
      <w:r w:rsidR="003A0CA8">
        <w:rPr>
          <w:szCs w:val="22"/>
        </w:rPr>
        <w:t xml:space="preserve"> </w:t>
      </w:r>
      <w:r w:rsidR="006D623D">
        <w:rPr>
          <w:szCs w:val="22"/>
        </w:rPr>
        <w:t xml:space="preserve">ACF’s decision to extend the </w:t>
      </w:r>
      <w:r w:rsidR="001A2F27">
        <w:rPr>
          <w:szCs w:val="22"/>
        </w:rPr>
        <w:t>HPOG P</w:t>
      </w:r>
      <w:r w:rsidR="006D623D">
        <w:rPr>
          <w:szCs w:val="22"/>
        </w:rPr>
        <w:t>rogram</w:t>
      </w:r>
      <w:r w:rsidR="00C36163">
        <w:rPr>
          <w:szCs w:val="22"/>
        </w:rPr>
        <w:t xml:space="preserve"> </w:t>
      </w:r>
      <w:r w:rsidR="003A0CA8">
        <w:rPr>
          <w:szCs w:val="22"/>
        </w:rPr>
        <w:t>grants by twelve months</w:t>
      </w:r>
      <w:r w:rsidR="00A14DDC">
        <w:rPr>
          <w:szCs w:val="22"/>
        </w:rPr>
        <w:t>, ending in September 2021</w:t>
      </w:r>
      <w:r w:rsidR="006E4725">
        <w:rPr>
          <w:szCs w:val="22"/>
        </w:rPr>
        <w:t xml:space="preserve"> instead of September 2020</w:t>
      </w:r>
      <w:r w:rsidR="006D623D">
        <w:rPr>
          <w:szCs w:val="22"/>
        </w:rPr>
        <w:t>;</w:t>
      </w:r>
      <w:r w:rsidR="000B4183">
        <w:rPr>
          <w:szCs w:val="22"/>
        </w:rPr>
        <w:t xml:space="preserve"> (2)</w:t>
      </w:r>
      <w:r w:rsidR="003A0CA8">
        <w:rPr>
          <w:szCs w:val="22"/>
        </w:rPr>
        <w:t xml:space="preserve"> </w:t>
      </w:r>
      <w:r w:rsidR="000B4183">
        <w:rPr>
          <w:szCs w:val="22"/>
        </w:rPr>
        <w:t>t</w:t>
      </w:r>
      <w:r w:rsidR="009D2268">
        <w:rPr>
          <w:szCs w:val="22"/>
        </w:rPr>
        <w:t>he National Evaluation team</w:t>
      </w:r>
      <w:r w:rsidR="006D623D">
        <w:rPr>
          <w:szCs w:val="22"/>
        </w:rPr>
        <w:t xml:space="preserve">’s experiences completing data collection for </w:t>
      </w:r>
      <w:r w:rsidR="00154780">
        <w:rPr>
          <w:szCs w:val="22"/>
        </w:rPr>
        <w:t xml:space="preserve">the Short-Term Follow-up Survey </w:t>
      </w:r>
      <w:r w:rsidR="006D623D">
        <w:rPr>
          <w:szCs w:val="22"/>
        </w:rPr>
        <w:t xml:space="preserve">(Instrument 12) </w:t>
      </w:r>
      <w:r w:rsidR="00154780">
        <w:rPr>
          <w:szCs w:val="22"/>
        </w:rPr>
        <w:t>and the</w:t>
      </w:r>
      <w:r w:rsidR="00195D95">
        <w:rPr>
          <w:szCs w:val="22"/>
        </w:rPr>
        <w:t xml:space="preserve"> results of the</w:t>
      </w:r>
      <w:r w:rsidR="00154780">
        <w:rPr>
          <w:szCs w:val="22"/>
        </w:rPr>
        <w:t xml:space="preserve"> Phone-based Skills Assessment Pilot</w:t>
      </w:r>
      <w:r w:rsidR="006D623D">
        <w:rPr>
          <w:szCs w:val="22"/>
        </w:rPr>
        <w:t xml:space="preserve"> (Instrument 19); and</w:t>
      </w:r>
      <w:r w:rsidR="000B4183">
        <w:rPr>
          <w:szCs w:val="22"/>
        </w:rPr>
        <w:t xml:space="preserve"> (3)</w:t>
      </w:r>
      <w:r w:rsidR="002B5B2B">
        <w:rPr>
          <w:szCs w:val="22"/>
        </w:rPr>
        <w:t xml:space="preserve"> </w:t>
      </w:r>
      <w:r w:rsidR="000B4183">
        <w:rPr>
          <w:szCs w:val="22"/>
        </w:rPr>
        <w:t>t</w:t>
      </w:r>
      <w:r w:rsidR="006D623D">
        <w:rPr>
          <w:szCs w:val="22"/>
        </w:rPr>
        <w:t xml:space="preserve">he COVID-19 </w:t>
      </w:r>
      <w:r w:rsidR="001346A3">
        <w:rPr>
          <w:szCs w:val="22"/>
        </w:rPr>
        <w:t xml:space="preserve">pandemic </w:t>
      </w:r>
      <w:r w:rsidR="002B5B2B">
        <w:rPr>
          <w:szCs w:val="22"/>
        </w:rPr>
        <w:t>and associated travel restrictions</w:t>
      </w:r>
      <w:r w:rsidR="001A2F27">
        <w:rPr>
          <w:szCs w:val="22"/>
        </w:rPr>
        <w:t xml:space="preserve">. </w:t>
      </w:r>
    </w:p>
    <w:p w:rsidR="002B05AF" w:rsidP="00C14BB0" w:rsidRDefault="002B05AF" w14:paraId="0C73FA51" w14:textId="782473EC">
      <w:pPr>
        <w:pStyle w:val="Heading1"/>
        <w:spacing w:after="120"/>
      </w:pPr>
      <w:r w:rsidRPr="0005680D">
        <w:t>Overview of Requested Changes</w:t>
      </w:r>
    </w:p>
    <w:p w:rsidRPr="00D244FD" w:rsidR="00B70B82" w:rsidP="00D244FD" w:rsidRDefault="002B5B2B" w14:paraId="489E1D74" w14:textId="1F99DAB2">
      <w:pPr>
        <w:rPr>
          <w:rFonts w:ascii="Times New Roman" w:hAnsi="Times New Roman" w:cs="Times New Roman"/>
        </w:rPr>
      </w:pPr>
      <w:r>
        <w:rPr>
          <w:rFonts w:ascii="Times New Roman" w:hAnsi="Times New Roman" w:cs="Times New Roman"/>
        </w:rPr>
        <w:t xml:space="preserve">The factors cited above have led </w:t>
      </w:r>
      <w:r w:rsidRPr="00C457A2">
        <w:rPr>
          <w:rFonts w:ascii="Times New Roman" w:hAnsi="Times New Roman" w:cs="Times New Roman"/>
        </w:rPr>
        <w:t>ACF and the National and Tribal Evaluation teams to identify a number of changes to the remaining information collections</w:t>
      </w:r>
      <w:r>
        <w:rPr>
          <w:rFonts w:ascii="Times New Roman" w:hAnsi="Times New Roman" w:cs="Times New Roman"/>
        </w:rPr>
        <w:t xml:space="preserve">. Specifically, </w:t>
      </w:r>
      <w:r w:rsidRPr="00C457A2">
        <w:rPr>
          <w:rFonts w:ascii="Times New Roman" w:hAnsi="Times New Roman" w:cs="Times New Roman"/>
        </w:rPr>
        <w:t xml:space="preserve">ACF seeks approval of </w:t>
      </w:r>
      <w:r w:rsidR="00A8017F">
        <w:rPr>
          <w:rFonts w:ascii="Times New Roman" w:hAnsi="Times New Roman" w:cs="Times New Roman"/>
        </w:rPr>
        <w:t>five</w:t>
      </w:r>
      <w:r w:rsidRPr="00C457A2">
        <w:rPr>
          <w:rFonts w:ascii="Times New Roman" w:hAnsi="Times New Roman" w:cs="Times New Roman"/>
        </w:rPr>
        <w:t xml:space="preserve"> non-substantive changes to several previously approved instruments and procedures. There are </w:t>
      </w:r>
      <w:r w:rsidR="00A8017F">
        <w:rPr>
          <w:rFonts w:ascii="Times New Roman" w:hAnsi="Times New Roman" w:cs="Times New Roman"/>
        </w:rPr>
        <w:t>four</w:t>
      </w:r>
      <w:r w:rsidRPr="00C457A2">
        <w:rPr>
          <w:rFonts w:ascii="Times New Roman" w:hAnsi="Times New Roman" w:cs="Times New Roman"/>
        </w:rPr>
        <w:t xml:space="preserve"> changes </w:t>
      </w:r>
      <w:r w:rsidR="00475BD3">
        <w:rPr>
          <w:rFonts w:ascii="Times New Roman" w:hAnsi="Times New Roman" w:cs="Times New Roman"/>
        </w:rPr>
        <w:lastRenderedPageBreak/>
        <w:t>associated with</w:t>
      </w:r>
      <w:r w:rsidRPr="00C457A2">
        <w:rPr>
          <w:rFonts w:ascii="Times New Roman" w:hAnsi="Times New Roman" w:cs="Times New Roman"/>
        </w:rPr>
        <w:t xml:space="preserve"> the National Evaluation and one </w:t>
      </w:r>
      <w:r>
        <w:rPr>
          <w:rFonts w:ascii="Times New Roman" w:hAnsi="Times New Roman" w:cs="Times New Roman"/>
        </w:rPr>
        <w:t xml:space="preserve">change </w:t>
      </w:r>
      <w:r w:rsidR="00475BD3">
        <w:rPr>
          <w:rFonts w:ascii="Times New Roman" w:hAnsi="Times New Roman" w:cs="Times New Roman"/>
        </w:rPr>
        <w:t>associated with</w:t>
      </w:r>
      <w:r w:rsidRPr="00C457A2">
        <w:rPr>
          <w:rFonts w:ascii="Times New Roman" w:hAnsi="Times New Roman" w:cs="Times New Roman"/>
        </w:rPr>
        <w:t xml:space="preserve"> the Tribal Evaluation.</w:t>
      </w:r>
      <w:r>
        <w:rPr>
          <w:rFonts w:ascii="Times New Roman" w:hAnsi="Times New Roman" w:cs="Times New Roman"/>
        </w:rPr>
        <w:t xml:space="preserve"> </w:t>
      </w:r>
      <w:r w:rsidRPr="00D244FD" w:rsidR="008B3664">
        <w:rPr>
          <w:rFonts w:ascii="Times New Roman" w:hAnsi="Times New Roman" w:cs="Times New Roman"/>
        </w:rPr>
        <w:t xml:space="preserve">This section summarizes the specific changes for which </w:t>
      </w:r>
      <w:r w:rsidR="00D244FD">
        <w:rPr>
          <w:rFonts w:ascii="Times New Roman" w:hAnsi="Times New Roman" w:cs="Times New Roman"/>
        </w:rPr>
        <w:t>ACF</w:t>
      </w:r>
      <w:r w:rsidRPr="00D244FD" w:rsidR="008B3664">
        <w:rPr>
          <w:rFonts w:ascii="Times New Roman" w:hAnsi="Times New Roman" w:cs="Times New Roman"/>
        </w:rPr>
        <w:t xml:space="preserve"> seeks approval</w:t>
      </w:r>
      <w:r w:rsidRPr="00D244FD" w:rsidR="00376842">
        <w:rPr>
          <w:rFonts w:ascii="Times New Roman" w:hAnsi="Times New Roman" w:cs="Times New Roman"/>
        </w:rPr>
        <w:t xml:space="preserve"> and</w:t>
      </w:r>
      <w:r w:rsidRPr="00D244FD" w:rsidR="008B3664">
        <w:rPr>
          <w:rFonts w:ascii="Times New Roman" w:hAnsi="Times New Roman" w:cs="Times New Roman"/>
        </w:rPr>
        <w:t xml:space="preserve"> the expected benefits.</w:t>
      </w:r>
      <w:r w:rsidRPr="00D244FD" w:rsidR="00B70B82">
        <w:rPr>
          <w:rFonts w:ascii="Times New Roman" w:hAnsi="Times New Roman" w:cs="Times New Roman"/>
          <w:i/>
        </w:rPr>
        <w:t xml:space="preserve"> </w:t>
      </w:r>
    </w:p>
    <w:p w:rsidR="00B916A1" w:rsidP="00C14BB0" w:rsidRDefault="00B86F69" w14:paraId="54D0D04E" w14:textId="5F11124A">
      <w:pPr>
        <w:pStyle w:val="Heading4"/>
        <w:spacing w:after="120"/>
      </w:pPr>
      <w:r w:rsidRPr="002E7203">
        <w:t>#</w:t>
      </w:r>
      <w:r w:rsidRPr="002E7203" w:rsidR="00AF71D5">
        <w:t>1</w:t>
      </w:r>
      <w:r w:rsidRPr="002E7203">
        <w:t xml:space="preserve">— </w:t>
      </w:r>
      <w:r w:rsidR="0029105F">
        <w:t>Revision to Informed Consent Forms A and C</w:t>
      </w:r>
    </w:p>
    <w:p w:rsidRPr="00A65430" w:rsidR="00131A0D" w:rsidP="00475BD3" w:rsidRDefault="002B5B2B" w14:paraId="5E8385AE" w14:textId="5926F051">
      <w:pPr>
        <w:rPr>
          <w:rFonts w:ascii="Times New Roman" w:hAnsi="Times New Roman" w:cs="Times New Roman"/>
        </w:rPr>
      </w:pPr>
      <w:r>
        <w:rPr>
          <w:rFonts w:ascii="Times New Roman" w:hAnsi="Times New Roman" w:cs="Times New Roman"/>
        </w:rPr>
        <w:t xml:space="preserve">The previously approved versions of the informed consent forms indicated that the evaluation would collect data from administrative sources for one year prior to enrollment and up to five years after enrollment. </w:t>
      </w:r>
      <w:r w:rsidRPr="00131A0D" w:rsidR="00632D09">
        <w:rPr>
          <w:rFonts w:ascii="Times New Roman" w:hAnsi="Times New Roman" w:cs="Times New Roman"/>
        </w:rPr>
        <w:t>ACF</w:t>
      </w:r>
      <w:r w:rsidR="00C36163">
        <w:rPr>
          <w:rFonts w:ascii="Times New Roman" w:hAnsi="Times New Roman" w:cs="Times New Roman"/>
        </w:rPr>
        <w:t xml:space="preserve">’s plans </w:t>
      </w:r>
      <w:r>
        <w:rPr>
          <w:rFonts w:ascii="Times New Roman" w:hAnsi="Times New Roman" w:cs="Times New Roman"/>
        </w:rPr>
        <w:t xml:space="preserve">for the evaluation </w:t>
      </w:r>
      <w:r w:rsidR="00C36163">
        <w:rPr>
          <w:rFonts w:ascii="Times New Roman" w:hAnsi="Times New Roman" w:cs="Times New Roman"/>
        </w:rPr>
        <w:t xml:space="preserve">have evolved </w:t>
      </w:r>
      <w:r w:rsidR="00A14DDC">
        <w:rPr>
          <w:rFonts w:ascii="Times New Roman" w:hAnsi="Times New Roman" w:cs="Times New Roman"/>
        </w:rPr>
        <w:t xml:space="preserve">since the </w:t>
      </w:r>
      <w:r>
        <w:rPr>
          <w:rFonts w:ascii="Times New Roman" w:hAnsi="Times New Roman" w:cs="Times New Roman"/>
        </w:rPr>
        <w:t>informed consent forms were initially approved in 2016</w:t>
      </w:r>
      <w:r w:rsidR="00C36163">
        <w:rPr>
          <w:rFonts w:ascii="Times New Roman" w:hAnsi="Times New Roman" w:cs="Times New Roman"/>
        </w:rPr>
        <w:t xml:space="preserve">, and </w:t>
      </w:r>
      <w:r w:rsidRPr="00131A0D" w:rsidR="00632D09">
        <w:rPr>
          <w:rFonts w:ascii="Times New Roman" w:hAnsi="Times New Roman" w:cs="Times New Roman"/>
        </w:rPr>
        <w:t xml:space="preserve">now plans a longer evaluation period for the National Evaluation. </w:t>
      </w:r>
      <w:r w:rsidR="00A47BB4">
        <w:rPr>
          <w:rFonts w:ascii="Times New Roman" w:hAnsi="Times New Roman" w:cs="Times New Roman"/>
        </w:rPr>
        <w:t>As a result, t</w:t>
      </w:r>
      <w:r w:rsidRPr="00131A0D" w:rsidR="00A47BB4">
        <w:rPr>
          <w:rFonts w:ascii="Times New Roman" w:hAnsi="Times New Roman" w:cs="Times New Roman"/>
        </w:rPr>
        <w:t xml:space="preserve">he </w:t>
      </w:r>
      <w:r>
        <w:rPr>
          <w:rFonts w:ascii="Times New Roman" w:hAnsi="Times New Roman" w:cs="Times New Roman"/>
        </w:rPr>
        <w:t xml:space="preserve">informed consent forms need minor revisions to communicate </w:t>
      </w:r>
      <w:r w:rsidR="00475BD3">
        <w:rPr>
          <w:rFonts w:ascii="Times New Roman" w:hAnsi="Times New Roman" w:cs="Times New Roman"/>
        </w:rPr>
        <w:t xml:space="preserve">clearly to participants </w:t>
      </w:r>
      <w:r>
        <w:rPr>
          <w:rFonts w:ascii="Times New Roman" w:hAnsi="Times New Roman" w:cs="Times New Roman"/>
        </w:rPr>
        <w:t xml:space="preserve">how </w:t>
      </w:r>
      <w:r w:rsidR="00475BD3">
        <w:rPr>
          <w:rFonts w:ascii="Times New Roman" w:hAnsi="Times New Roman" w:cs="Times New Roman"/>
        </w:rPr>
        <w:t xml:space="preserve">their </w:t>
      </w:r>
      <w:r>
        <w:rPr>
          <w:rFonts w:ascii="Times New Roman" w:hAnsi="Times New Roman" w:cs="Times New Roman"/>
        </w:rPr>
        <w:t xml:space="preserve">data will be collected </w:t>
      </w:r>
      <w:r w:rsidR="00475BD3">
        <w:rPr>
          <w:rFonts w:ascii="Times New Roman" w:hAnsi="Times New Roman" w:cs="Times New Roman"/>
        </w:rPr>
        <w:t xml:space="preserve">from administrative sources </w:t>
      </w:r>
      <w:r>
        <w:rPr>
          <w:rFonts w:ascii="Times New Roman" w:hAnsi="Times New Roman" w:cs="Times New Roman"/>
        </w:rPr>
        <w:t>and used</w:t>
      </w:r>
      <w:r w:rsidR="00475BD3">
        <w:rPr>
          <w:rFonts w:ascii="Times New Roman" w:hAnsi="Times New Roman" w:cs="Times New Roman"/>
        </w:rPr>
        <w:t xml:space="preserve"> in the research study</w:t>
      </w:r>
      <w:r w:rsidRPr="00131A0D" w:rsidR="00A47BB4">
        <w:rPr>
          <w:rFonts w:ascii="Times New Roman" w:hAnsi="Times New Roman" w:cs="Times New Roman"/>
        </w:rPr>
        <w:t>.</w:t>
      </w:r>
      <w:r w:rsidR="00C14BB0">
        <w:rPr>
          <w:rStyle w:val="FootnoteReference"/>
          <w:rFonts w:ascii="Times New Roman" w:hAnsi="Times New Roman" w:cs="Times New Roman"/>
        </w:rPr>
        <w:footnoteReference w:id="2"/>
      </w:r>
      <w:r w:rsidR="00A47BB4">
        <w:rPr>
          <w:rFonts w:ascii="Times New Roman" w:hAnsi="Times New Roman" w:cs="Times New Roman"/>
        </w:rPr>
        <w:t xml:space="preserve"> ACF</w:t>
      </w:r>
      <w:r w:rsidRPr="00131A0D" w:rsidR="00131A0D">
        <w:rPr>
          <w:rFonts w:ascii="Times New Roman" w:hAnsi="Times New Roman" w:cs="Times New Roman"/>
        </w:rPr>
        <w:t xml:space="preserve"> seeks approval for minor wording changes in two of the </w:t>
      </w:r>
      <w:r w:rsidR="00D244FD">
        <w:rPr>
          <w:rFonts w:ascii="Times New Roman" w:hAnsi="Times New Roman" w:cs="Times New Roman"/>
        </w:rPr>
        <w:t xml:space="preserve">previously approved </w:t>
      </w:r>
      <w:r w:rsidRPr="00131A0D" w:rsidR="00131A0D">
        <w:rPr>
          <w:rFonts w:ascii="Times New Roman" w:hAnsi="Times New Roman" w:cs="Times New Roman"/>
        </w:rPr>
        <w:t>National Evaluation Informed Consent Forms</w:t>
      </w:r>
      <w:r w:rsidR="00B94C3B">
        <w:rPr>
          <w:rFonts w:ascii="Times New Roman" w:hAnsi="Times New Roman" w:cs="Times New Roman"/>
        </w:rPr>
        <w:t xml:space="preserve"> (Attachment B)</w:t>
      </w:r>
      <w:r w:rsidRPr="00131A0D" w:rsidR="00131A0D">
        <w:rPr>
          <w:rFonts w:ascii="Times New Roman" w:hAnsi="Times New Roman" w:cs="Times New Roman"/>
        </w:rPr>
        <w:t>—Form A (written consent for those subject to the lottery</w:t>
      </w:r>
      <w:r w:rsidR="00D244FD">
        <w:rPr>
          <w:rFonts w:ascii="Times New Roman" w:hAnsi="Times New Roman" w:cs="Times New Roman"/>
        </w:rPr>
        <w:t>; approved in 2016</w:t>
      </w:r>
      <w:r w:rsidRPr="00131A0D" w:rsidR="00131A0D">
        <w:rPr>
          <w:rFonts w:ascii="Times New Roman" w:hAnsi="Times New Roman" w:cs="Times New Roman"/>
        </w:rPr>
        <w:t>) and Form C (verbal consent for those subject to the lottery</w:t>
      </w:r>
      <w:r w:rsidR="00D244FD">
        <w:rPr>
          <w:rFonts w:ascii="Times New Roman" w:hAnsi="Times New Roman" w:cs="Times New Roman"/>
        </w:rPr>
        <w:t>, approved in April 2020</w:t>
      </w:r>
      <w:r w:rsidR="006A3167">
        <w:rPr>
          <w:rFonts w:ascii="Times New Roman" w:hAnsi="Times New Roman" w:cs="Times New Roman"/>
        </w:rPr>
        <w:t xml:space="preserve">). </w:t>
      </w:r>
    </w:p>
    <w:p w:rsidR="00131A0D" w:rsidP="00C14BB0" w:rsidRDefault="00131A0D" w14:paraId="21FAB875" w14:textId="3260892D">
      <w:pPr>
        <w:pStyle w:val="Heading4"/>
        <w:spacing w:after="120"/>
      </w:pPr>
      <w:r w:rsidRPr="002E7203">
        <w:t>#</w:t>
      </w:r>
      <w:r w:rsidR="00A65430">
        <w:t>2</w:t>
      </w:r>
      <w:r w:rsidRPr="002E7203">
        <w:t>— Revisions to Instrument 18: Intermediate</w:t>
      </w:r>
      <w:r w:rsidRPr="00B916A1">
        <w:t xml:space="preserve"> Follow-up Survey </w:t>
      </w:r>
    </w:p>
    <w:p w:rsidR="00E86698" w:rsidP="00E26BC1" w:rsidRDefault="00475BD3" w14:paraId="7350A037" w14:textId="00467F00">
      <w:pPr>
        <w:pStyle w:val="BodyText"/>
        <w:spacing w:after="200" w:line="276" w:lineRule="auto"/>
      </w:pPr>
      <w:r>
        <w:t xml:space="preserve">ACF requests approval for several changes to Instrument 18, which fall into four categories: </w:t>
      </w:r>
      <w:r w:rsidRPr="0091640F">
        <w:rPr>
          <w:szCs w:val="22"/>
        </w:rPr>
        <w:t>select</w:t>
      </w:r>
      <w:r w:rsidR="003E0C90">
        <w:rPr>
          <w:szCs w:val="22"/>
        </w:rPr>
        <w:t xml:space="preserve">ing </w:t>
      </w:r>
      <w:r w:rsidRPr="0091640F">
        <w:rPr>
          <w:szCs w:val="22"/>
        </w:rPr>
        <w:t xml:space="preserve">the final questions for </w:t>
      </w:r>
      <w:r>
        <w:rPr>
          <w:szCs w:val="22"/>
        </w:rPr>
        <w:t xml:space="preserve">Section J of the survey following completion of </w:t>
      </w:r>
      <w:r w:rsidRPr="0091640F">
        <w:rPr>
          <w:szCs w:val="22"/>
        </w:rPr>
        <w:t xml:space="preserve">the assessment module </w:t>
      </w:r>
      <w:r>
        <w:rPr>
          <w:szCs w:val="22"/>
        </w:rPr>
        <w:t xml:space="preserve">piloted </w:t>
      </w:r>
      <w:r w:rsidR="00720F2E">
        <w:rPr>
          <w:szCs w:val="22"/>
        </w:rPr>
        <w:t>from September 2019-January 2020</w:t>
      </w:r>
      <w:r>
        <w:rPr>
          <w:rStyle w:val="FootnoteReference"/>
          <w:szCs w:val="22"/>
        </w:rPr>
        <w:footnoteReference w:id="3"/>
      </w:r>
      <w:r w:rsidRPr="0091640F">
        <w:rPr>
          <w:szCs w:val="22"/>
        </w:rPr>
        <w:t xml:space="preserve">; </w:t>
      </w:r>
      <w:r>
        <w:rPr>
          <w:szCs w:val="22"/>
        </w:rPr>
        <w:t>adding</w:t>
      </w:r>
      <w:r w:rsidRPr="0091640F">
        <w:rPr>
          <w:szCs w:val="22"/>
        </w:rPr>
        <w:t xml:space="preserve"> </w:t>
      </w:r>
      <w:r>
        <w:rPr>
          <w:szCs w:val="22"/>
        </w:rPr>
        <w:t>several</w:t>
      </w:r>
      <w:r w:rsidRPr="0091640F">
        <w:rPr>
          <w:szCs w:val="22"/>
        </w:rPr>
        <w:t xml:space="preserve"> new questions to correct a</w:t>
      </w:r>
      <w:r w:rsidR="00BC7E75">
        <w:rPr>
          <w:szCs w:val="22"/>
        </w:rPr>
        <w:t>n</w:t>
      </w:r>
      <w:r w:rsidRPr="0091640F">
        <w:rPr>
          <w:szCs w:val="22"/>
        </w:rPr>
        <w:t xml:space="preserve"> omission </w:t>
      </w:r>
      <w:r w:rsidR="00BC7E75">
        <w:rPr>
          <w:szCs w:val="22"/>
        </w:rPr>
        <w:t xml:space="preserve">in the original version </w:t>
      </w:r>
      <w:r w:rsidRPr="0091640F">
        <w:rPr>
          <w:szCs w:val="22"/>
        </w:rPr>
        <w:t xml:space="preserve">and improve data quality, </w:t>
      </w:r>
      <w:r>
        <w:rPr>
          <w:szCs w:val="22"/>
        </w:rPr>
        <w:t>as well as capture information</w:t>
      </w:r>
      <w:r w:rsidRPr="0091640F">
        <w:rPr>
          <w:szCs w:val="22"/>
        </w:rPr>
        <w:t xml:space="preserve"> about the effects of COVID-19 on study participants; </w:t>
      </w:r>
      <w:r>
        <w:rPr>
          <w:szCs w:val="22"/>
        </w:rPr>
        <w:t>dropping several questions</w:t>
      </w:r>
      <w:r w:rsidRPr="0091640F">
        <w:rPr>
          <w:szCs w:val="22"/>
        </w:rPr>
        <w:t xml:space="preserve"> to reduc</w:t>
      </w:r>
      <w:r>
        <w:rPr>
          <w:szCs w:val="22"/>
        </w:rPr>
        <w:t xml:space="preserve">e the overall instrument length; and adding </w:t>
      </w:r>
      <w:r w:rsidRPr="0091640F">
        <w:rPr>
          <w:szCs w:val="22"/>
        </w:rPr>
        <w:t>a new</w:t>
      </w:r>
      <w:r>
        <w:rPr>
          <w:szCs w:val="22"/>
        </w:rPr>
        <w:t>,</w:t>
      </w:r>
      <w:r w:rsidRPr="0091640F">
        <w:rPr>
          <w:szCs w:val="22"/>
        </w:rPr>
        <w:t xml:space="preserve"> </w:t>
      </w:r>
      <w:r>
        <w:rPr>
          <w:szCs w:val="22"/>
        </w:rPr>
        <w:t>shortened</w:t>
      </w:r>
      <w:r w:rsidRPr="0091640F">
        <w:rPr>
          <w:szCs w:val="22"/>
        </w:rPr>
        <w:t xml:space="preserve"> version of the instrument to capture critical items only (Instrument 18a) for participants who appear to be on the verge of becoming a final refusal</w:t>
      </w:r>
      <w:r>
        <w:rPr>
          <w:szCs w:val="22"/>
        </w:rPr>
        <w:t xml:space="preserve">. </w:t>
      </w:r>
      <w:r w:rsidRPr="00FB1E39" w:rsidR="000C3D12">
        <w:t xml:space="preserve">The requested </w:t>
      </w:r>
      <w:r>
        <w:t>changes to the full instrument</w:t>
      </w:r>
      <w:r w:rsidRPr="005E2677">
        <w:t xml:space="preserve"> </w:t>
      </w:r>
      <w:r w:rsidRPr="005E2677" w:rsidR="000C3D12">
        <w:t>are included in revised</w:t>
      </w:r>
      <w:r w:rsidRPr="00FB1E39" w:rsidR="000C3D12">
        <w:t xml:space="preserve"> </w:t>
      </w:r>
      <w:r w:rsidRPr="00CC186B" w:rsidR="000C3D12">
        <w:rPr>
          <w:i/>
        </w:rPr>
        <w:t>Instrument 18 HPOG</w:t>
      </w:r>
      <w:r w:rsidRPr="00CC186B" w:rsidR="00B916A1">
        <w:rPr>
          <w:i/>
        </w:rPr>
        <w:t xml:space="preserve"> </w:t>
      </w:r>
      <w:r w:rsidRPr="00CC186B" w:rsidR="000C3D12">
        <w:rPr>
          <w:i/>
        </w:rPr>
        <w:t xml:space="preserve">2.0 Intermediate Follow-up Survey_ </w:t>
      </w:r>
      <w:r w:rsidRPr="00CC186B" w:rsidR="003122DF">
        <w:rPr>
          <w:i/>
        </w:rPr>
        <w:t>REV_</w:t>
      </w:r>
      <w:r w:rsidR="00720F2E">
        <w:rPr>
          <w:i/>
        </w:rPr>
        <w:t>June</w:t>
      </w:r>
      <w:r w:rsidRPr="00CC186B" w:rsidR="00720F2E">
        <w:rPr>
          <w:i/>
        </w:rPr>
        <w:t>2020</w:t>
      </w:r>
      <w:r>
        <w:t xml:space="preserve">, and the shortened version of the instrument is included in </w:t>
      </w:r>
      <w:r>
        <w:rPr>
          <w:i/>
        </w:rPr>
        <w:t xml:space="preserve">Instrument 18a </w:t>
      </w:r>
      <w:r w:rsidRPr="00A44BE7" w:rsidR="003A240D">
        <w:rPr>
          <w:i/>
        </w:rPr>
        <w:t>HPOG 2.0 Intermediate Follow-up Survey_Critical Items</w:t>
      </w:r>
      <w:r w:rsidR="003A240D">
        <w:rPr>
          <w:i/>
        </w:rPr>
        <w:t xml:space="preserve"> Only</w:t>
      </w:r>
      <w:r>
        <w:rPr>
          <w:i/>
        </w:rPr>
        <w:t>.</w:t>
      </w:r>
    </w:p>
    <w:p w:rsidRPr="003122DF" w:rsidR="00CE2C22" w:rsidP="00E26BC1" w:rsidRDefault="00E86698" w14:paraId="6461487A" w14:textId="2B82DF8B">
      <w:pPr>
        <w:pStyle w:val="Bullets2"/>
        <w:spacing w:after="200" w:line="276" w:lineRule="auto"/>
      </w:pPr>
      <w:r w:rsidRPr="004E6ED3">
        <w:rPr>
          <w:i/>
        </w:rPr>
        <w:t>Final selection of questions for Section J</w:t>
      </w:r>
      <w:r w:rsidRPr="00720F2E">
        <w:t>:</w:t>
      </w:r>
      <w:r w:rsidRPr="006E4725">
        <w:t xml:space="preserve"> </w:t>
      </w:r>
      <w:r w:rsidRPr="003A240D" w:rsidR="006A3167">
        <w:t>As noted in Supporting Statements A and B approved in July 2019, since</w:t>
      </w:r>
      <w:r w:rsidRPr="003A240D" w:rsidR="00CE2C22">
        <w:t xml:space="preserve"> telephone interviews with study subjects almost always play an important role in experimental evaluations of these programs, </w:t>
      </w:r>
      <w:r w:rsidRPr="003A240D" w:rsidR="00A65430">
        <w:t>ACF</w:t>
      </w:r>
      <w:r w:rsidRPr="003A240D" w:rsidR="00CE2C22">
        <w:t xml:space="preserve"> determined it would be useful to have a module that measures program participants’ basic skills over the phone</w:t>
      </w:r>
      <w:r w:rsidRPr="003A240D" w:rsidR="00E51D1B">
        <w:t xml:space="preserve">. </w:t>
      </w:r>
      <w:r w:rsidRPr="003A240D" w:rsidR="00CE2C22">
        <w:t xml:space="preserve">The </w:t>
      </w:r>
      <w:r w:rsidRPr="003A240D" w:rsidR="00B916A1">
        <w:t>P</w:t>
      </w:r>
      <w:r w:rsidRPr="003A240D" w:rsidR="00CE2C22">
        <w:t xml:space="preserve">hone-based Skills </w:t>
      </w:r>
      <w:r w:rsidRPr="003A240D" w:rsidR="00CE2C22">
        <w:lastRenderedPageBreak/>
        <w:t>Assessment Pilot (</w:t>
      </w:r>
      <w:r w:rsidRPr="003A240D" w:rsidR="00D34EC9">
        <w:t xml:space="preserve">previously approved </w:t>
      </w:r>
      <w:r w:rsidRPr="003A240D" w:rsidR="00CE2C22">
        <w:t>Instrument 19</w:t>
      </w:r>
      <w:r w:rsidRPr="003A240D" w:rsidR="00D34EC9">
        <w:t>)</w:t>
      </w:r>
      <w:r w:rsidRPr="003A240D" w:rsidR="00CE2C22">
        <w:t xml:space="preserve"> </w:t>
      </w:r>
      <w:r w:rsidRPr="003A240D" w:rsidR="00034863">
        <w:t xml:space="preserve">contained a series of </w:t>
      </w:r>
      <w:r w:rsidRPr="003A240D" w:rsidR="00CE2C22">
        <w:t>45 literacy and numeracy based assessment questions</w:t>
      </w:r>
      <w:r w:rsidRPr="003A240D" w:rsidR="00034863">
        <w:t xml:space="preserve">, </w:t>
      </w:r>
      <w:r w:rsidRPr="003A240D" w:rsidR="006A2742">
        <w:t>to</w:t>
      </w:r>
      <w:r w:rsidRPr="003A240D" w:rsidR="00034863">
        <w:t xml:space="preserve"> be reduced to 24 items after analysis</w:t>
      </w:r>
      <w:r w:rsidRPr="003A240D" w:rsidR="00F41E1F">
        <w:t xml:space="preserve"> of the pilot test results</w:t>
      </w:r>
      <w:r w:rsidRPr="003A240D" w:rsidR="00E51D1B">
        <w:t xml:space="preserve">. </w:t>
      </w:r>
      <w:r w:rsidRPr="003A240D" w:rsidR="006A3167">
        <w:t>The evaluation contractor completed the pilot data collection and analysis efforts and determined which items to retain in Section J of the Intermediate Follow-up Survey and which items to cut.</w:t>
      </w:r>
      <w:r w:rsidRPr="003A240D" w:rsidR="006A3167">
        <w:rPr>
          <w:rStyle w:val="FootnoteReference"/>
        </w:rPr>
        <w:footnoteReference w:id="4"/>
      </w:r>
      <w:r w:rsidRPr="003A240D" w:rsidR="00C307A3">
        <w:t xml:space="preserve"> </w:t>
      </w:r>
      <w:r w:rsidRPr="003A240D" w:rsidR="00F215F5">
        <w:t xml:space="preserve">The </w:t>
      </w:r>
      <w:r w:rsidRPr="003A240D" w:rsidR="00CE2C22">
        <w:t>skills assessment module</w:t>
      </w:r>
      <w:r w:rsidRPr="003A240D" w:rsidR="006A2742">
        <w:t xml:space="preserve"> in the revised </w:t>
      </w:r>
      <w:r w:rsidRPr="003A240D" w:rsidR="00756E95">
        <w:t>Intermediate Follow-up Survey</w:t>
      </w:r>
      <w:r w:rsidRPr="003A240D" w:rsidR="00756E95">
        <w:rPr>
          <w:rFonts w:ascii="Arial" w:hAnsi="Arial" w:cs="Arial"/>
          <w:sz w:val="18"/>
          <w:szCs w:val="18"/>
        </w:rPr>
        <w:t xml:space="preserve"> </w:t>
      </w:r>
      <w:r w:rsidRPr="003A240D" w:rsidR="00CE2C22">
        <w:t>(Section J) includes</w:t>
      </w:r>
      <w:r w:rsidRPr="003A240D">
        <w:t xml:space="preserve"> 11 verbal and 11 math skill questions:</w:t>
      </w:r>
      <w:r w:rsidRPr="003A240D" w:rsidR="00CE2C22">
        <w:t xml:space="preserve"> three “easy” questions, five “medium” difficulty questions, and three “hard” questions. Students who </w:t>
      </w:r>
      <w:r w:rsidRPr="003A240D" w:rsidR="00186971">
        <w:t xml:space="preserve">correctly </w:t>
      </w:r>
      <w:r w:rsidRPr="003A240D" w:rsidR="00CE2C22">
        <w:t>answer three or more “medium” difficulty questions will then receive the “hard” questions</w:t>
      </w:r>
      <w:r w:rsidRPr="003A240D" w:rsidR="00CD26B8">
        <w:t>;</w:t>
      </w:r>
      <w:r w:rsidRPr="003A240D" w:rsidR="00CE2C22">
        <w:t xml:space="preserve"> those who </w:t>
      </w:r>
      <w:r w:rsidRPr="003A240D" w:rsidR="00D82B5C">
        <w:t xml:space="preserve">answer two or fewer questions correctly </w:t>
      </w:r>
      <w:r w:rsidRPr="003A240D" w:rsidR="00CE2C22">
        <w:t>will receive the “easy” questions</w:t>
      </w:r>
      <w:r w:rsidRPr="003A240D" w:rsidR="00186971">
        <w:t>;</w:t>
      </w:r>
      <w:r w:rsidRPr="003A240D" w:rsidR="00CE2C22">
        <w:t xml:space="preserve"> no student will answer more than </w:t>
      </w:r>
      <w:r w:rsidRPr="003A240D">
        <w:t>eight</w:t>
      </w:r>
      <w:r w:rsidRPr="003A240D" w:rsidR="00CE2C22">
        <w:t xml:space="preserve"> questions in each subject.</w:t>
      </w:r>
      <w:r w:rsidRPr="003A240D">
        <w:t xml:space="preserve"> The </w:t>
      </w:r>
      <w:r w:rsidRPr="003122DF" w:rsidR="00034863">
        <w:rPr>
          <w:szCs w:val="22"/>
        </w:rPr>
        <w:t xml:space="preserve">remaining </w:t>
      </w:r>
      <w:r w:rsidRPr="003122DF" w:rsidR="000B1CA6">
        <w:rPr>
          <w:szCs w:val="22"/>
        </w:rPr>
        <w:t>2</w:t>
      </w:r>
      <w:r w:rsidR="005E468C">
        <w:rPr>
          <w:szCs w:val="22"/>
        </w:rPr>
        <w:t>3</w:t>
      </w:r>
      <w:r w:rsidRPr="003122DF" w:rsidR="000B1CA6">
        <w:rPr>
          <w:szCs w:val="22"/>
        </w:rPr>
        <w:t xml:space="preserve"> items conditionally approved in</w:t>
      </w:r>
      <w:r w:rsidR="00756E95">
        <w:rPr>
          <w:szCs w:val="22"/>
        </w:rPr>
        <w:t xml:space="preserve"> </w:t>
      </w:r>
      <w:r>
        <w:rPr>
          <w:szCs w:val="22"/>
        </w:rPr>
        <w:t>July 2019 will be dropped</w:t>
      </w:r>
      <w:r w:rsidRPr="003122DF" w:rsidR="000B1CA6">
        <w:rPr>
          <w:szCs w:val="22"/>
        </w:rPr>
        <w:t xml:space="preserve">: </w:t>
      </w:r>
      <w:r w:rsidRPr="003122DF" w:rsidR="000B1CA6">
        <w:rPr>
          <w:b/>
          <w:szCs w:val="22"/>
        </w:rPr>
        <w:t xml:space="preserve">J1, J5-J10, J13-J16, J20, J22, J25-J28, J31, J35-J36, J40-J41, </w:t>
      </w:r>
      <w:r w:rsidRPr="003122DF" w:rsidR="000B1CA6">
        <w:rPr>
          <w:szCs w:val="22"/>
        </w:rPr>
        <w:t>and</w:t>
      </w:r>
      <w:r w:rsidRPr="003122DF" w:rsidR="000B1CA6">
        <w:rPr>
          <w:b/>
          <w:szCs w:val="22"/>
        </w:rPr>
        <w:t xml:space="preserve"> </w:t>
      </w:r>
      <w:r w:rsidRPr="003122DF" w:rsidR="005D2DEC">
        <w:rPr>
          <w:b/>
          <w:szCs w:val="22"/>
        </w:rPr>
        <w:t>J</w:t>
      </w:r>
      <w:r w:rsidRPr="003122DF" w:rsidR="000B1CA6">
        <w:rPr>
          <w:b/>
          <w:szCs w:val="22"/>
        </w:rPr>
        <w:t>44</w:t>
      </w:r>
      <w:r w:rsidRPr="003122DF" w:rsidR="000B1CA6">
        <w:rPr>
          <w:szCs w:val="22"/>
        </w:rPr>
        <w:t>.</w:t>
      </w:r>
    </w:p>
    <w:p w:rsidRPr="008B3664" w:rsidR="006E4725" w:rsidP="00E26BC1" w:rsidRDefault="006E4725" w14:paraId="512DD033" w14:textId="56C6A858">
      <w:pPr>
        <w:pStyle w:val="Bullets2"/>
        <w:spacing w:after="200" w:line="276" w:lineRule="auto"/>
      </w:pPr>
      <w:r w:rsidRPr="005868D3">
        <w:rPr>
          <w:i/>
        </w:rPr>
        <w:t>Adding New Questions</w:t>
      </w:r>
      <w:r>
        <w:t xml:space="preserve">: </w:t>
      </w:r>
      <w:r>
        <w:rPr>
          <w:szCs w:val="22"/>
        </w:rPr>
        <w:t xml:space="preserve">ACF is proposing to add several questions to the survey. Two of the new questions </w:t>
      </w:r>
      <w:r w:rsidRPr="008B3664">
        <w:rPr>
          <w:szCs w:val="22"/>
        </w:rPr>
        <w:t>were</w:t>
      </w:r>
      <w:r>
        <w:rPr>
          <w:szCs w:val="22"/>
        </w:rPr>
        <w:t xml:space="preserve"> unintentionally</w:t>
      </w:r>
      <w:r w:rsidRPr="008B3664">
        <w:rPr>
          <w:szCs w:val="22"/>
        </w:rPr>
        <w:t xml:space="preserve"> omitted from </w:t>
      </w:r>
      <w:r>
        <w:rPr>
          <w:szCs w:val="22"/>
        </w:rPr>
        <w:t>Section A</w:t>
      </w:r>
      <w:r w:rsidRPr="008B3664">
        <w:rPr>
          <w:szCs w:val="22"/>
        </w:rPr>
        <w:t xml:space="preserve"> of the </w:t>
      </w:r>
      <w:r>
        <w:rPr>
          <w:szCs w:val="22"/>
        </w:rPr>
        <w:t>previously</w:t>
      </w:r>
      <w:r w:rsidRPr="008B3664">
        <w:rPr>
          <w:szCs w:val="22"/>
        </w:rPr>
        <w:t xml:space="preserve"> approved </w:t>
      </w:r>
      <w:r>
        <w:rPr>
          <w:szCs w:val="22"/>
        </w:rPr>
        <w:t>version</w:t>
      </w:r>
      <w:r w:rsidRPr="008B3664">
        <w:rPr>
          <w:szCs w:val="22"/>
        </w:rPr>
        <w:t xml:space="preserve">. </w:t>
      </w:r>
      <w:r>
        <w:rPr>
          <w:szCs w:val="22"/>
        </w:rPr>
        <w:t xml:space="preserve">These items (A24c and A24d) are needed for the Cost-Benefit Analysis and to improve the accuracy and data quality of outcomes related to time spent in training or at work and the child care needs of participants. </w:t>
      </w:r>
      <w:r>
        <w:t>The other new items will collect information</w:t>
      </w:r>
      <w:r w:rsidRPr="005678F2">
        <w:t xml:space="preserve"> on the effects of COVID-19 </w:t>
      </w:r>
      <w:r>
        <w:t xml:space="preserve">on study participants’ </w:t>
      </w:r>
      <w:r w:rsidRPr="005678F2">
        <w:t>education</w:t>
      </w:r>
      <w:r>
        <w:t>,</w:t>
      </w:r>
      <w:r w:rsidRPr="005678F2">
        <w:t xml:space="preserve"> training</w:t>
      </w:r>
      <w:r>
        <w:t>, and</w:t>
      </w:r>
      <w:r w:rsidRPr="005678F2">
        <w:t xml:space="preserve"> employment patterns</w:t>
      </w:r>
      <w:r>
        <w:t xml:space="preserve"> since the beginning of the outbreak in early 2020.</w:t>
      </w:r>
      <w:r w:rsidRPr="00B770D5">
        <w:rPr>
          <w:rStyle w:val="Emphasis"/>
          <w:i w:val="0"/>
        </w:rPr>
        <w:t xml:space="preserve"> </w:t>
      </w:r>
      <w:r w:rsidRPr="001D58B5">
        <w:t xml:space="preserve">The COVID-19 module will provide important context on how COVID-19 </w:t>
      </w:r>
      <w:r>
        <w:t>a</w:t>
      </w:r>
      <w:r w:rsidRPr="001D58B5">
        <w:t>ffected the key outcomes of interest</w:t>
      </w:r>
      <w:r>
        <w:t xml:space="preserve"> to the HPOG 2.0 impact </w:t>
      </w:r>
      <w:r w:rsidR="00B94C3B">
        <w:t xml:space="preserve">evaluation </w:t>
      </w:r>
      <w:r>
        <w:t xml:space="preserve">and </w:t>
      </w:r>
      <w:r w:rsidRPr="001D58B5">
        <w:t>allow us to look at the effect of COVID-19 on the intersection of work, education, and well-being of study participants and their fami</w:t>
      </w:r>
      <w:r>
        <w:t>l</w:t>
      </w:r>
      <w:r w:rsidRPr="001D58B5">
        <w:t xml:space="preserve">ies. </w:t>
      </w:r>
      <w:r w:rsidRPr="001D58B5">
        <w:rPr>
          <w:rStyle w:val="Emphasis"/>
          <w:i w:val="0"/>
        </w:rPr>
        <w:t>These new questions do not cover any new topics or domains.</w:t>
      </w:r>
      <w:r w:rsidRPr="00AB0CFB">
        <w:rPr>
          <w:rStyle w:val="Emphasis"/>
          <w:i w:val="0"/>
        </w:rPr>
        <w:t xml:space="preserve"> </w:t>
      </w:r>
      <w:r>
        <w:rPr>
          <w:rStyle w:val="Emphasis"/>
          <w:i w:val="0"/>
        </w:rPr>
        <w:t>The proposed COVID-19 module is estimated to be 5 minutes, which will be offset by the proposed cuts described below.</w:t>
      </w:r>
    </w:p>
    <w:p w:rsidRPr="003122DF" w:rsidR="006E4725" w:rsidP="00E26BC1" w:rsidRDefault="006E4725" w14:paraId="65990D9D" w14:textId="1E351FD2">
      <w:pPr>
        <w:pStyle w:val="Bullets2"/>
        <w:spacing w:after="200" w:line="276" w:lineRule="auto"/>
        <w:rPr>
          <w:szCs w:val="22"/>
        </w:rPr>
      </w:pPr>
      <w:r w:rsidRPr="005868D3">
        <w:rPr>
          <w:i/>
        </w:rPr>
        <w:t>Dropping Questions to Reduce Administration Time</w:t>
      </w:r>
      <w:r>
        <w:t xml:space="preserve">: </w:t>
      </w:r>
      <w:r w:rsidRPr="006E4725">
        <w:t>After conducting the short term survey,</w:t>
      </w:r>
      <w:r>
        <w:rPr>
          <w:rStyle w:val="FootnoteReference"/>
        </w:rPr>
        <w:footnoteReference w:id="5"/>
      </w:r>
      <w:r w:rsidRPr="006E4725">
        <w:t xml:space="preserve"> the evaluation contractor revisited the version of the intermediate survey previously </w:t>
      </w:r>
      <w:r w:rsidR="00BC7E75">
        <w:t>approved by</w:t>
      </w:r>
      <w:r w:rsidRPr="006E4725">
        <w:t xml:space="preserve"> OMB. Since many of the items are the same on both instruments, the contractor was better able to estimate that the previously </w:t>
      </w:r>
      <w:r w:rsidR="00BC7E75">
        <w:t>approved version of Instrument 18</w:t>
      </w:r>
      <w:r w:rsidRPr="006E4725">
        <w:t xml:space="preserve"> would take 67 instead of 60 minutes to administer, inclusive of the final skills assessment module</w:t>
      </w:r>
      <w:r w:rsidRPr="00321B64">
        <w:t>.</w:t>
      </w:r>
      <w:r>
        <w:t xml:space="preserve"> </w:t>
      </w:r>
      <w:r w:rsidR="00BC7E75">
        <w:t>D</w:t>
      </w:r>
      <w:r>
        <w:t xml:space="preserve">ropping some items in </w:t>
      </w:r>
      <w:r w:rsidR="00BC7E75">
        <w:t>I</w:t>
      </w:r>
      <w:r>
        <w:t>nstrument</w:t>
      </w:r>
      <w:r w:rsidR="00BC7E75">
        <w:t xml:space="preserve"> 18</w:t>
      </w:r>
      <w:r>
        <w:t xml:space="preserve"> would reduce administration time and participant burden without compromising </w:t>
      </w:r>
      <w:r w:rsidRPr="00D5104E">
        <w:t xml:space="preserve">the ability to answer the evaluation’s key research questions. </w:t>
      </w:r>
      <w:r w:rsidR="00BC7E75">
        <w:rPr>
          <w:szCs w:val="22"/>
        </w:rPr>
        <w:t>ACF</w:t>
      </w:r>
      <w:r w:rsidRPr="003122DF">
        <w:rPr>
          <w:szCs w:val="22"/>
        </w:rPr>
        <w:t xml:space="preserve"> expects these changes will reduce the overall length of the interview by nearly 25 percent; from 67 minutes to 50 minutes. </w:t>
      </w:r>
      <w:r>
        <w:rPr>
          <w:szCs w:val="22"/>
        </w:rPr>
        <w:t>Even with the addition of the new questions above, we estimate the revised length will be 55 minutes</w:t>
      </w:r>
      <w:r w:rsidR="004E6ED3">
        <w:rPr>
          <w:szCs w:val="22"/>
        </w:rPr>
        <w:t>, an 18 percent reduction in the overall length of the survey</w:t>
      </w:r>
      <w:r>
        <w:rPr>
          <w:szCs w:val="22"/>
        </w:rPr>
        <w:t xml:space="preserve">. The </w:t>
      </w:r>
      <w:r w:rsidR="00BC7E75">
        <w:rPr>
          <w:szCs w:val="22"/>
        </w:rPr>
        <w:t xml:space="preserve">dropped </w:t>
      </w:r>
      <w:r>
        <w:rPr>
          <w:szCs w:val="22"/>
        </w:rPr>
        <w:t xml:space="preserve">items are listed as “OMITTED” in the revised version of Instrument 18. </w:t>
      </w:r>
    </w:p>
    <w:p w:rsidRPr="0057584C" w:rsidR="00475BD3" w:rsidP="00E26BC1" w:rsidRDefault="003A240D" w14:paraId="0EAF2068" w14:textId="65EE8553">
      <w:pPr>
        <w:pStyle w:val="Bullets2"/>
        <w:spacing w:after="200" w:line="276" w:lineRule="auto"/>
        <w:rPr>
          <w:szCs w:val="22"/>
        </w:rPr>
      </w:pPr>
      <w:r w:rsidRPr="004E6ED3">
        <w:rPr>
          <w:i/>
        </w:rPr>
        <w:lastRenderedPageBreak/>
        <w:t>Adding</w:t>
      </w:r>
      <w:r w:rsidRPr="004E6ED3" w:rsidR="005E468C">
        <w:rPr>
          <w:i/>
        </w:rPr>
        <w:t xml:space="preserve"> Instrument 18a-Critical Items Only</w:t>
      </w:r>
      <w:r>
        <w:t xml:space="preserve">: </w:t>
      </w:r>
      <w:r w:rsidRPr="006E4725" w:rsidR="00E86698">
        <w:rPr>
          <w:szCs w:val="24"/>
        </w:rPr>
        <w:t xml:space="preserve">ACF is seeking approval to add a new version of Instrument 18 (Instrument 18a) that is shorter to </w:t>
      </w:r>
      <w:r w:rsidRPr="003A240D" w:rsidR="00E86698">
        <w:rPr>
          <w:szCs w:val="24"/>
        </w:rPr>
        <w:t xml:space="preserve">administer and includes only the items most critical to the study. </w:t>
      </w:r>
      <w:r w:rsidRPr="003A240D">
        <w:rPr>
          <w:szCs w:val="24"/>
        </w:rPr>
        <w:t xml:space="preserve">ACF requests approval to administer this “critical items” instrument to reluctant </w:t>
      </w:r>
      <w:r w:rsidRPr="003A240D">
        <w:rPr>
          <w:sz w:val="24"/>
          <w:szCs w:val="24"/>
        </w:rPr>
        <w:t xml:space="preserve">respondents </w:t>
      </w:r>
      <w:r w:rsidRPr="00362FA1">
        <w:t>as a way to test the viability of this approach for maximizing response rates.</w:t>
      </w:r>
      <w:r>
        <w:t xml:space="preserve"> </w:t>
      </w:r>
      <w:r w:rsidRPr="006E4725" w:rsidR="00E86698">
        <w:rPr>
          <w:szCs w:val="24"/>
        </w:rPr>
        <w:t>Doing so would help</w:t>
      </w:r>
      <w:r w:rsidRPr="006E4725" w:rsidR="00475BD3">
        <w:rPr>
          <w:szCs w:val="24"/>
        </w:rPr>
        <w:t xml:space="preserve"> maximize the overall completion rate an</w:t>
      </w:r>
      <w:r w:rsidRPr="003A240D" w:rsidR="00475BD3">
        <w:rPr>
          <w:szCs w:val="24"/>
        </w:rPr>
        <w:t xml:space="preserve">d minimize nonresponse for the key outcomes of interest. </w:t>
      </w:r>
      <w:r>
        <w:rPr>
          <w:szCs w:val="24"/>
        </w:rPr>
        <w:t>This information will also be used to</w:t>
      </w:r>
      <w:r w:rsidRPr="006E4725">
        <w:rPr>
          <w:szCs w:val="24"/>
        </w:rPr>
        <w:t xml:space="preserve"> improve imputation procedures for outcomes not collected in the shortened version of the survey</w:t>
      </w:r>
      <w:r w:rsidRPr="003A240D" w:rsidR="00475BD3">
        <w:rPr>
          <w:szCs w:val="24"/>
        </w:rPr>
        <w:t xml:space="preserve">. </w:t>
      </w:r>
    </w:p>
    <w:p w:rsidRPr="003122DF" w:rsidR="005E468C" w:rsidP="00E26BC1" w:rsidRDefault="003A240D" w14:paraId="4C872A1F" w14:textId="0A7DA902">
      <w:pPr>
        <w:pStyle w:val="Bullets2"/>
        <w:numPr>
          <w:ilvl w:val="0"/>
          <w:numId w:val="0"/>
        </w:numPr>
        <w:spacing w:after="200" w:line="276" w:lineRule="auto"/>
        <w:ind w:left="720"/>
        <w:rPr>
          <w:szCs w:val="22"/>
        </w:rPr>
      </w:pPr>
      <w:r>
        <w:t xml:space="preserve">Version 18a of Instrument 18 can be completed in just 20 minutes, and will be administered to individuals who refuse to </w:t>
      </w:r>
      <w:r w:rsidR="004E6ED3">
        <w:t xml:space="preserve">respond </w:t>
      </w:r>
      <w:r>
        <w:t>to the full Intermediate Follow-up Survey. The shortened version of Instrument 18 will</w:t>
      </w:r>
      <w:r w:rsidRPr="003122DF">
        <w:t xml:space="preserve"> be offered as</w:t>
      </w:r>
      <w:r w:rsidRPr="003122DF" w:rsidDel="00F94F4D">
        <w:t xml:space="preserve"> the last refusal conversion effort. </w:t>
      </w:r>
      <w:r w:rsidR="005E468C">
        <w:t xml:space="preserve">Supporting Statement B, Section B2 provides more detail on the critical items survey administration procedures. </w:t>
      </w:r>
    </w:p>
    <w:p w:rsidRPr="002E7203" w:rsidR="00AF71D5" w:rsidP="00C14BB0" w:rsidRDefault="00AF71D5" w14:paraId="6C5F8295" w14:textId="66898E12">
      <w:pPr>
        <w:pStyle w:val="Heading4"/>
        <w:spacing w:after="120"/>
      </w:pPr>
      <w:r w:rsidRPr="002E7203">
        <w:t xml:space="preserve">#3: Revisions </w:t>
      </w:r>
      <w:r w:rsidRPr="009F4AFD">
        <w:t xml:space="preserve">to the </w:t>
      </w:r>
      <w:r w:rsidRPr="009F4AFD" w:rsidR="00756E95">
        <w:t xml:space="preserve">Intermediate Follow-up Survey </w:t>
      </w:r>
      <w:r w:rsidR="009B5939">
        <w:t>Supporting Materials</w:t>
      </w:r>
    </w:p>
    <w:p w:rsidR="00155B2B" w:rsidP="004D0428" w:rsidRDefault="009B5939" w14:paraId="20975D63" w14:textId="69226F35">
      <w:pPr>
        <w:pStyle w:val="BodyText"/>
        <w:spacing w:after="200" w:line="276" w:lineRule="auto"/>
      </w:pPr>
      <w:r>
        <w:rPr>
          <w:szCs w:val="22"/>
        </w:rPr>
        <w:t>ACF</w:t>
      </w:r>
      <w:r w:rsidRPr="005E2677" w:rsidR="00B32D3A">
        <w:rPr>
          <w:szCs w:val="22"/>
        </w:rPr>
        <w:t xml:space="preserve"> reviewed the supporting materials</w:t>
      </w:r>
      <w:r>
        <w:rPr>
          <w:szCs w:val="22"/>
        </w:rPr>
        <w:t xml:space="preserve"> for the Intermediate Survey</w:t>
      </w:r>
      <w:r w:rsidRPr="005E2677" w:rsidR="00B32D3A">
        <w:rPr>
          <w:szCs w:val="22"/>
        </w:rPr>
        <w:t xml:space="preserve">, specifically Attachment </w:t>
      </w:r>
      <w:r w:rsidRPr="005E2677" w:rsidR="006C12CD">
        <w:rPr>
          <w:szCs w:val="22"/>
        </w:rPr>
        <w:t>P</w:t>
      </w:r>
      <w:r w:rsidRPr="005E2677" w:rsidR="006C32B3">
        <w:rPr>
          <w:szCs w:val="22"/>
        </w:rPr>
        <w:t xml:space="preserve"> </w:t>
      </w:r>
      <w:r>
        <w:rPr>
          <w:szCs w:val="22"/>
        </w:rPr>
        <w:t>(</w:t>
      </w:r>
      <w:r w:rsidRPr="005E2677" w:rsidR="00B32D3A">
        <w:rPr>
          <w:szCs w:val="22"/>
        </w:rPr>
        <w:t>the HPOG 2.0 Intermediate Survey Advance Letter</w:t>
      </w:r>
      <w:r>
        <w:rPr>
          <w:szCs w:val="22"/>
        </w:rPr>
        <w:t>) and Attachment S (email reminder text)</w:t>
      </w:r>
      <w:r w:rsidRPr="005E2677" w:rsidR="00B32D3A">
        <w:rPr>
          <w:szCs w:val="22"/>
        </w:rPr>
        <w:t xml:space="preserve">, to determine if there were changes that </w:t>
      </w:r>
      <w:r w:rsidRPr="005E2677" w:rsidR="006C12CD">
        <w:rPr>
          <w:szCs w:val="22"/>
        </w:rPr>
        <w:t>sh</w:t>
      </w:r>
      <w:r w:rsidRPr="005E2677" w:rsidR="00B32D3A">
        <w:rPr>
          <w:szCs w:val="22"/>
        </w:rPr>
        <w:t xml:space="preserve">ould </w:t>
      </w:r>
      <w:r w:rsidRPr="005E2677" w:rsidR="006C12CD">
        <w:rPr>
          <w:szCs w:val="22"/>
        </w:rPr>
        <w:t xml:space="preserve">be made to </w:t>
      </w:r>
      <w:r w:rsidRPr="005E2677" w:rsidR="00F400D0">
        <w:rPr>
          <w:szCs w:val="22"/>
        </w:rPr>
        <w:t xml:space="preserve">those materials to help improve </w:t>
      </w:r>
      <w:r w:rsidR="0028489C">
        <w:rPr>
          <w:szCs w:val="22"/>
        </w:rPr>
        <w:t xml:space="preserve">respondent </w:t>
      </w:r>
      <w:r w:rsidRPr="005E2677" w:rsidR="00F400D0">
        <w:rPr>
          <w:szCs w:val="22"/>
        </w:rPr>
        <w:t>cooperation</w:t>
      </w:r>
      <w:r w:rsidRPr="005E2677" w:rsidR="00E51D1B">
        <w:rPr>
          <w:szCs w:val="22"/>
        </w:rPr>
        <w:t xml:space="preserve">. </w:t>
      </w:r>
      <w:r w:rsidRPr="005E2677" w:rsidR="00B70E69">
        <w:rPr>
          <w:szCs w:val="22"/>
        </w:rPr>
        <w:t xml:space="preserve">The proposed revisions </w:t>
      </w:r>
      <w:r>
        <w:rPr>
          <w:szCs w:val="22"/>
        </w:rPr>
        <w:t xml:space="preserve">to the advance letter </w:t>
      </w:r>
      <w:r w:rsidRPr="005E2677" w:rsidR="00B70E69">
        <w:rPr>
          <w:szCs w:val="22"/>
        </w:rPr>
        <w:t xml:space="preserve">are shown in </w:t>
      </w:r>
      <w:r w:rsidRPr="005E2677" w:rsidR="00B70E69">
        <w:rPr>
          <w:i/>
          <w:szCs w:val="22"/>
        </w:rPr>
        <w:t xml:space="preserve">Attachment </w:t>
      </w:r>
      <w:r w:rsidRPr="005E2677" w:rsidR="006C12CD">
        <w:rPr>
          <w:i/>
          <w:szCs w:val="22"/>
        </w:rPr>
        <w:t>P</w:t>
      </w:r>
      <w:r w:rsidRPr="005E2677" w:rsidR="00B70E69">
        <w:rPr>
          <w:i/>
          <w:szCs w:val="22"/>
        </w:rPr>
        <w:t>_HPOG 2.0 Intermediate Survey Advance Letter_</w:t>
      </w:r>
      <w:r w:rsidR="00362FA1">
        <w:rPr>
          <w:i/>
          <w:szCs w:val="22"/>
        </w:rPr>
        <w:t>REV</w:t>
      </w:r>
      <w:r>
        <w:rPr>
          <w:szCs w:val="22"/>
        </w:rPr>
        <w:t xml:space="preserve">, and intended to streamline the letter. </w:t>
      </w:r>
      <w:r w:rsidRPr="00155B2B">
        <w:rPr>
          <w:szCs w:val="22"/>
        </w:rPr>
        <w:t>A</w:t>
      </w:r>
      <w:r w:rsidRPr="005E2677" w:rsidR="00B70E69">
        <w:t xml:space="preserve"> more streamlined advance letter will allow the interviewers better opportunity to explain the study to the respondents and address questions </w:t>
      </w:r>
      <w:r w:rsidRPr="005E2677" w:rsidR="00E43ACD">
        <w:t>during the introductory interaction</w:t>
      </w:r>
      <w:r w:rsidRPr="005E2677" w:rsidR="00E51D1B">
        <w:t xml:space="preserve">. </w:t>
      </w:r>
      <w:r w:rsidRPr="005E2677" w:rsidR="006C12CD">
        <w:t xml:space="preserve">The revised advance letter </w:t>
      </w:r>
      <w:r w:rsidRPr="005E2677" w:rsidR="00255456">
        <w:t xml:space="preserve">will </w:t>
      </w:r>
      <w:r w:rsidRPr="005E2677" w:rsidR="006C12CD">
        <w:t xml:space="preserve">alert participants about the study so they are more receptive to the interviewer outreach, without providing so much detail </w:t>
      </w:r>
      <w:r w:rsidRPr="005E2677" w:rsidR="00F400D0">
        <w:t>that the survey</w:t>
      </w:r>
      <w:r w:rsidRPr="005E2677" w:rsidR="006C32B3">
        <w:t xml:space="preserve"> may</w:t>
      </w:r>
      <w:r w:rsidRPr="005E2677" w:rsidR="006C12CD">
        <w:t xml:space="preserve"> appear overwhelming</w:t>
      </w:r>
      <w:r w:rsidRPr="005E2677" w:rsidR="00E51D1B">
        <w:t xml:space="preserve">. </w:t>
      </w:r>
    </w:p>
    <w:p w:rsidR="004D0428" w:rsidP="00E26BC1" w:rsidRDefault="00511E04" w14:paraId="6E755DEC" w14:textId="673AD3B9">
      <w:pPr>
        <w:rPr>
          <w:rFonts w:ascii="Times New Roman" w:hAnsi="Times New Roman" w:cs="Times New Roman"/>
        </w:rPr>
      </w:pPr>
      <w:r w:rsidRPr="00E26BC1">
        <w:rPr>
          <w:rFonts w:ascii="Times New Roman" w:hAnsi="Times New Roman" w:cs="Times New Roman"/>
        </w:rPr>
        <w:t xml:space="preserve">The proposed email reminder text revisions are found in </w:t>
      </w:r>
      <w:r w:rsidRPr="00E26BC1">
        <w:rPr>
          <w:rFonts w:ascii="Times New Roman" w:hAnsi="Times New Roman" w:cs="Times New Roman"/>
          <w:i/>
        </w:rPr>
        <w:t>Attachment S_HPOG 2.0 Intermediate Survey Email Reminder Text</w:t>
      </w:r>
      <w:r w:rsidR="0057377C">
        <w:rPr>
          <w:rFonts w:ascii="Times New Roman" w:hAnsi="Times New Roman" w:cs="Times New Roman"/>
          <w:i/>
        </w:rPr>
        <w:t>_</w:t>
      </w:r>
      <w:r w:rsidRPr="00E26BC1">
        <w:rPr>
          <w:rFonts w:ascii="Times New Roman" w:hAnsi="Times New Roman" w:cs="Times New Roman"/>
          <w:i/>
        </w:rPr>
        <w:t xml:space="preserve"> REV. </w:t>
      </w:r>
      <w:r w:rsidRPr="00E26BC1">
        <w:rPr>
          <w:rFonts w:ascii="Times New Roman" w:hAnsi="Times New Roman" w:cs="Times New Roman"/>
        </w:rPr>
        <w:t xml:space="preserve">These revisions streamline the language and emphasize the ability to complete by telephone. The revisions also offer greater flexibility in how </w:t>
      </w:r>
      <w:r w:rsidR="00E26BC1">
        <w:rPr>
          <w:rFonts w:ascii="Times New Roman" w:hAnsi="Times New Roman" w:cs="Times New Roman"/>
        </w:rPr>
        <w:t>the text</w:t>
      </w:r>
      <w:r w:rsidRPr="00E26BC1">
        <w:rPr>
          <w:rFonts w:ascii="Times New Roman" w:hAnsi="Times New Roman" w:cs="Times New Roman"/>
        </w:rPr>
        <w:t xml:space="preserve"> can be used. The revised email text can be used by interviewers as a direct email to study participants or as a letter, sent from the survey director to all survey non-responders.</w:t>
      </w:r>
    </w:p>
    <w:p w:rsidRPr="002B5B2B" w:rsidR="00ED603F" w:rsidP="00C14BB0" w:rsidRDefault="007446FA" w14:paraId="7A25E2C6" w14:textId="11C95BC4">
      <w:pPr>
        <w:spacing w:before="200" w:after="120"/>
      </w:pPr>
      <w:r w:rsidRPr="00E26BC1">
        <w:rPr>
          <w:rStyle w:val="Heading4Char"/>
        </w:rPr>
        <w:t>#</w:t>
      </w:r>
      <w:r w:rsidRPr="00E26BC1" w:rsidR="00A8017F">
        <w:rPr>
          <w:rStyle w:val="Heading4Char"/>
        </w:rPr>
        <w:t>4</w:t>
      </w:r>
      <w:r w:rsidRPr="00E26BC1">
        <w:rPr>
          <w:rStyle w:val="Heading4Char"/>
        </w:rPr>
        <w:t xml:space="preserve">: </w:t>
      </w:r>
      <w:r w:rsidRPr="00E26BC1" w:rsidR="00A912AB">
        <w:rPr>
          <w:rStyle w:val="Heading4Char"/>
        </w:rPr>
        <w:t xml:space="preserve">Minor </w:t>
      </w:r>
      <w:r w:rsidRPr="00E26BC1" w:rsidR="002B5B2B">
        <w:rPr>
          <w:rStyle w:val="Heading4Char"/>
        </w:rPr>
        <w:t>Increase in</w:t>
      </w:r>
      <w:r w:rsidRPr="00E26BC1" w:rsidR="005E468C">
        <w:rPr>
          <w:rStyle w:val="Heading4Char"/>
        </w:rPr>
        <w:t xml:space="preserve"> Burden Estimate</w:t>
      </w:r>
      <w:r w:rsidRPr="00E26BC1" w:rsidR="002B5B2B">
        <w:rPr>
          <w:rStyle w:val="Heading4Char"/>
        </w:rPr>
        <w:t xml:space="preserve"> for Instrument</w:t>
      </w:r>
    </w:p>
    <w:p w:rsidRPr="005E2677" w:rsidR="00ED603F" w:rsidP="00E26BC1" w:rsidRDefault="00AA03FD" w14:paraId="4DE38A64" w14:textId="2D7BE290">
      <w:pPr>
        <w:pStyle w:val="BodyText"/>
        <w:spacing w:after="200" w:line="276" w:lineRule="auto"/>
        <w:rPr>
          <w:szCs w:val="22"/>
        </w:rPr>
      </w:pPr>
      <w:r>
        <w:rPr>
          <w:szCs w:val="22"/>
        </w:rPr>
        <w:t>ACF decided to extend the HPOG Program grants by twelve months, ending in September 2021 instead of September 2020. As a result</w:t>
      </w:r>
      <w:r w:rsidRPr="005E2677">
        <w:rPr>
          <w:szCs w:val="22"/>
        </w:rPr>
        <w:t xml:space="preserve">, </w:t>
      </w:r>
      <w:r w:rsidR="009B5939">
        <w:rPr>
          <w:rFonts w:eastAsiaTheme="minorHAnsi"/>
          <w:szCs w:val="22"/>
        </w:rPr>
        <w:t>ACF requests</w:t>
      </w:r>
      <w:r w:rsidRPr="002B5B2B" w:rsidR="003C7E53">
        <w:rPr>
          <w:rFonts w:eastAsiaTheme="minorHAnsi"/>
          <w:szCs w:val="22"/>
        </w:rPr>
        <w:t xml:space="preserve"> a</w:t>
      </w:r>
      <w:r w:rsidR="003C7E53">
        <w:rPr>
          <w:szCs w:val="22"/>
        </w:rPr>
        <w:t xml:space="preserve">pproval for </w:t>
      </w:r>
      <w:r w:rsidR="0028489C">
        <w:rPr>
          <w:szCs w:val="22"/>
        </w:rPr>
        <w:t>a</w:t>
      </w:r>
      <w:r>
        <w:rPr>
          <w:szCs w:val="22"/>
        </w:rPr>
        <w:t>n</w:t>
      </w:r>
      <w:r w:rsidR="009B5939">
        <w:rPr>
          <w:szCs w:val="22"/>
        </w:rPr>
        <w:t xml:space="preserve"> increase in</w:t>
      </w:r>
      <w:r w:rsidR="00D87E2B">
        <w:rPr>
          <w:szCs w:val="22"/>
        </w:rPr>
        <w:t xml:space="preserve"> the number of</w:t>
      </w:r>
      <w:r w:rsidRPr="005E2677" w:rsidR="005D554F">
        <w:rPr>
          <w:szCs w:val="22"/>
        </w:rPr>
        <w:t xml:space="preserve"> respondent</w:t>
      </w:r>
      <w:r w:rsidR="00D87E2B">
        <w:rPr>
          <w:szCs w:val="22"/>
        </w:rPr>
        <w:t>s</w:t>
      </w:r>
      <w:r w:rsidRPr="005E2677" w:rsidR="005D554F">
        <w:rPr>
          <w:szCs w:val="22"/>
        </w:rPr>
        <w:t xml:space="preserve"> </w:t>
      </w:r>
      <w:r w:rsidR="00D87E2B">
        <w:rPr>
          <w:szCs w:val="22"/>
        </w:rPr>
        <w:t>to</w:t>
      </w:r>
      <w:r w:rsidRPr="005E2677" w:rsidR="0072176A">
        <w:rPr>
          <w:szCs w:val="22"/>
        </w:rPr>
        <w:t xml:space="preserve"> </w:t>
      </w:r>
      <w:r w:rsidRPr="007432BC" w:rsidR="00783FB2">
        <w:rPr>
          <w:i/>
          <w:szCs w:val="22"/>
        </w:rPr>
        <w:t xml:space="preserve">Instrument </w:t>
      </w:r>
      <w:r w:rsidRPr="007432BC" w:rsidR="00B32D3A">
        <w:rPr>
          <w:i/>
          <w:szCs w:val="22"/>
        </w:rPr>
        <w:t>1</w:t>
      </w:r>
      <w:r w:rsidRPr="007432BC" w:rsidR="00783FB2">
        <w:rPr>
          <w:i/>
          <w:szCs w:val="22"/>
        </w:rPr>
        <w:t xml:space="preserve"> </w:t>
      </w:r>
      <w:r w:rsidRPr="007432BC" w:rsidR="00B916E1">
        <w:rPr>
          <w:i/>
        </w:rPr>
        <w:t>PAGES Participant-Level Baseline Data Collection</w:t>
      </w:r>
      <w:r w:rsidRPr="005E2677" w:rsidR="00B916E1">
        <w:t xml:space="preserve"> </w:t>
      </w:r>
      <w:r w:rsidRPr="005E2677" w:rsidR="005D554F">
        <w:t>(</w:t>
      </w:r>
      <w:r w:rsidRPr="005E2677" w:rsidR="00CA3D5F">
        <w:t xml:space="preserve">for </w:t>
      </w:r>
      <w:r w:rsidRPr="005E2677" w:rsidR="00B916E1">
        <w:t>participants at non-tribal grantees</w:t>
      </w:r>
      <w:r w:rsidRPr="005E2677" w:rsidR="005D554F">
        <w:t xml:space="preserve">), for which OMB </w:t>
      </w:r>
      <w:r>
        <w:t>most recently</w:t>
      </w:r>
      <w:r w:rsidRPr="005E2677">
        <w:t xml:space="preserve"> </w:t>
      </w:r>
      <w:r w:rsidRPr="005E2677" w:rsidR="005D554F">
        <w:t>renewed approval</w:t>
      </w:r>
      <w:r w:rsidRPr="005E2677" w:rsidR="00B916E1">
        <w:t xml:space="preserve"> </w:t>
      </w:r>
      <w:r w:rsidRPr="005E2677" w:rsidR="00B916E1">
        <w:rPr>
          <w:szCs w:val="22"/>
        </w:rPr>
        <w:t>in July 2019</w:t>
      </w:r>
      <w:r w:rsidRPr="005E2677" w:rsidR="00783FB2">
        <w:rPr>
          <w:szCs w:val="22"/>
        </w:rPr>
        <w:t xml:space="preserve">. This instrument </w:t>
      </w:r>
      <w:r w:rsidRPr="005E2677" w:rsidR="00B916E1">
        <w:rPr>
          <w:szCs w:val="22"/>
        </w:rPr>
        <w:t>collects the baseline information for all incoming HPOG 2.0 study participants</w:t>
      </w:r>
      <w:r w:rsidRPr="005E2677" w:rsidR="00783FB2">
        <w:rPr>
          <w:szCs w:val="22"/>
        </w:rPr>
        <w:t>.</w:t>
      </w:r>
      <w:r w:rsidRPr="005E2677" w:rsidR="00EF20AE">
        <w:rPr>
          <w:szCs w:val="22"/>
        </w:rPr>
        <w:t xml:space="preserve"> </w:t>
      </w:r>
      <w:r>
        <w:rPr>
          <w:szCs w:val="22"/>
        </w:rPr>
        <w:t>ACF expects that up to</w:t>
      </w:r>
      <w:r w:rsidRPr="005E2677" w:rsidR="00384771">
        <w:rPr>
          <w:szCs w:val="22"/>
        </w:rPr>
        <w:t xml:space="preserve"> </w:t>
      </w:r>
      <w:r w:rsidRPr="005E2677" w:rsidR="00E14D54">
        <w:rPr>
          <w:szCs w:val="22"/>
        </w:rPr>
        <w:t xml:space="preserve">3,500 </w:t>
      </w:r>
      <w:r w:rsidRPr="005E2677" w:rsidR="00384771">
        <w:rPr>
          <w:szCs w:val="22"/>
        </w:rPr>
        <w:t xml:space="preserve">additional </w:t>
      </w:r>
      <w:r w:rsidRPr="005E2677" w:rsidR="00E14D54">
        <w:rPr>
          <w:szCs w:val="22"/>
        </w:rPr>
        <w:t>non-tribal participants</w:t>
      </w:r>
      <w:r>
        <w:rPr>
          <w:szCs w:val="22"/>
        </w:rPr>
        <w:t xml:space="preserve"> will enroll in the study during the extended enrollment period</w:t>
      </w:r>
      <w:r w:rsidRPr="005E2677" w:rsidR="00E14D54">
        <w:rPr>
          <w:szCs w:val="22"/>
        </w:rPr>
        <w:t>.</w:t>
      </w:r>
      <w:r w:rsidRPr="005E2677" w:rsidR="00384771">
        <w:rPr>
          <w:rStyle w:val="FootnoteReference"/>
          <w:szCs w:val="22"/>
        </w:rPr>
        <w:footnoteReference w:id="6"/>
      </w:r>
      <w:r w:rsidRPr="005E2677" w:rsidR="00E14D54">
        <w:rPr>
          <w:szCs w:val="22"/>
        </w:rPr>
        <w:t xml:space="preserve"> </w:t>
      </w:r>
    </w:p>
    <w:p w:rsidRPr="00A9770B" w:rsidR="00A9770B" w:rsidP="00C14BB0" w:rsidRDefault="00A9770B" w14:paraId="5D40ECE4" w14:textId="5A477CEE">
      <w:pPr>
        <w:pStyle w:val="Heading4"/>
        <w:spacing w:after="120"/>
      </w:pPr>
      <w:r w:rsidRPr="00A9770B">
        <w:t>#</w:t>
      </w:r>
      <w:r w:rsidR="00A8017F">
        <w:t>5</w:t>
      </w:r>
      <w:r w:rsidRPr="00A9770B">
        <w:t xml:space="preserve">: </w:t>
      </w:r>
      <w:r w:rsidR="008354CB">
        <w:t>Revisions to</w:t>
      </w:r>
      <w:r w:rsidRPr="00A9770B">
        <w:t xml:space="preserve"> Tribal Evaluation Procedures</w:t>
      </w:r>
    </w:p>
    <w:p w:rsidR="00E03742" w:rsidP="00E26BC1" w:rsidRDefault="00EE309B" w14:paraId="623094E9" w14:textId="04AF73B3">
      <w:pPr>
        <w:rPr>
          <w:rFonts w:ascii="Times New Roman" w:hAnsi="Times New Roman" w:cs="Times New Roman"/>
        </w:rPr>
      </w:pPr>
      <w:r w:rsidRPr="00A47BB4">
        <w:rPr>
          <w:rFonts w:ascii="Times New Roman" w:hAnsi="Times New Roman" w:cs="Times New Roman"/>
        </w:rPr>
        <w:t xml:space="preserve">Under the previously approved Tribal Evaluation study procedures, qualitative interviews and focus groups occur in person at each of the five Tribal HPOG 2.0 grantee sites. The fourth and final round of site visits was planned for spring 2020. The tribal evaluation team conducted </w:t>
      </w:r>
      <w:r>
        <w:rPr>
          <w:rFonts w:ascii="Times New Roman" w:hAnsi="Times New Roman" w:cs="Times New Roman"/>
        </w:rPr>
        <w:t>a</w:t>
      </w:r>
      <w:r w:rsidRPr="00A47BB4">
        <w:rPr>
          <w:rFonts w:ascii="Times New Roman" w:hAnsi="Times New Roman" w:cs="Times New Roman"/>
        </w:rPr>
        <w:t xml:space="preserve"> site visit to one grantee in February 2020. </w:t>
      </w:r>
      <w:r>
        <w:rPr>
          <w:rFonts w:ascii="Times New Roman" w:hAnsi="Times New Roman" w:cs="Times New Roman"/>
        </w:rPr>
        <w:t>Site visits and associated data collection were</w:t>
      </w:r>
      <w:r w:rsidRPr="00A47BB4">
        <w:rPr>
          <w:rFonts w:ascii="Times New Roman" w:hAnsi="Times New Roman" w:cs="Times New Roman"/>
        </w:rPr>
        <w:t xml:space="preserve"> postponed to summer 2020</w:t>
      </w:r>
      <w:r>
        <w:rPr>
          <w:rFonts w:ascii="Times New Roman" w:hAnsi="Times New Roman" w:cs="Times New Roman"/>
        </w:rPr>
        <w:t xml:space="preserve"> for the other four grantees</w:t>
      </w:r>
      <w:r w:rsidRPr="00A47BB4">
        <w:rPr>
          <w:rFonts w:ascii="Times New Roman" w:hAnsi="Times New Roman" w:cs="Times New Roman"/>
        </w:rPr>
        <w:t xml:space="preserve">. It is not likely that the remaining site visits can occur in-person as a result of social distancing </w:t>
      </w:r>
      <w:r>
        <w:rPr>
          <w:rFonts w:ascii="Times New Roman" w:hAnsi="Times New Roman" w:cs="Times New Roman"/>
        </w:rPr>
        <w:t>guidelines</w:t>
      </w:r>
      <w:r w:rsidRPr="00A47BB4">
        <w:rPr>
          <w:rFonts w:ascii="Times New Roman" w:hAnsi="Times New Roman" w:cs="Times New Roman"/>
        </w:rPr>
        <w:t xml:space="preserve"> and travel restrictions implemented </w:t>
      </w:r>
      <w:r>
        <w:rPr>
          <w:rFonts w:ascii="Times New Roman" w:hAnsi="Times New Roman" w:cs="Times New Roman"/>
        </w:rPr>
        <w:t xml:space="preserve">nationwide </w:t>
      </w:r>
      <w:r w:rsidRPr="00A47BB4">
        <w:rPr>
          <w:rFonts w:ascii="Times New Roman" w:hAnsi="Times New Roman" w:cs="Times New Roman"/>
        </w:rPr>
        <w:t>to stop the spread of COVID-19. However, Tribal HPOG 2.0 grantee staff and partners are continuing to implement their programs</w:t>
      </w:r>
      <w:r>
        <w:rPr>
          <w:rFonts w:ascii="Times New Roman" w:hAnsi="Times New Roman" w:cs="Times New Roman"/>
        </w:rPr>
        <w:t xml:space="preserve"> remotely</w:t>
      </w:r>
      <w:r w:rsidRPr="00A47BB4">
        <w:rPr>
          <w:rFonts w:ascii="Times New Roman" w:hAnsi="Times New Roman" w:cs="Times New Roman"/>
        </w:rPr>
        <w:t xml:space="preserve">, and it is important that the tribal evaluation team capture </w:t>
      </w:r>
      <w:r>
        <w:rPr>
          <w:rFonts w:ascii="Times New Roman" w:hAnsi="Times New Roman" w:cs="Times New Roman"/>
        </w:rPr>
        <w:t>for</w:t>
      </w:r>
      <w:r w:rsidRPr="00A47BB4">
        <w:rPr>
          <w:rFonts w:ascii="Times New Roman" w:hAnsi="Times New Roman" w:cs="Times New Roman"/>
        </w:rPr>
        <w:t xml:space="preserve"> the HPOG 2.0 Tribal Evaluation</w:t>
      </w:r>
      <w:r w:rsidRPr="00A47BB4" w:rsidDel="006D4B4F">
        <w:rPr>
          <w:rFonts w:ascii="Times New Roman" w:hAnsi="Times New Roman" w:cs="Times New Roman"/>
        </w:rPr>
        <w:t xml:space="preserve"> </w:t>
      </w:r>
      <w:r>
        <w:rPr>
          <w:rFonts w:ascii="Times New Roman" w:hAnsi="Times New Roman" w:cs="Times New Roman"/>
        </w:rPr>
        <w:t>information about this period of program implementation</w:t>
      </w:r>
      <w:r w:rsidRPr="00A47BB4">
        <w:rPr>
          <w:rFonts w:ascii="Times New Roman" w:hAnsi="Times New Roman" w:cs="Times New Roman"/>
        </w:rPr>
        <w:t>.</w:t>
      </w:r>
      <w:r>
        <w:rPr>
          <w:rFonts w:ascii="Times New Roman" w:hAnsi="Times New Roman" w:cs="Times New Roman"/>
        </w:rPr>
        <w:t xml:space="preserve"> </w:t>
      </w:r>
      <w:r w:rsidRPr="00A9770B">
        <w:rPr>
          <w:rFonts w:ascii="Times New Roman" w:hAnsi="Times New Roman" w:cs="Times New Roman"/>
        </w:rPr>
        <w:t xml:space="preserve">In the event that in person data collection in summer 2020 is not feasible, </w:t>
      </w:r>
      <w:r>
        <w:rPr>
          <w:rFonts w:ascii="Times New Roman" w:hAnsi="Times New Roman" w:cs="Times New Roman"/>
        </w:rPr>
        <w:t>ACF</w:t>
      </w:r>
      <w:r w:rsidRPr="00A9770B">
        <w:rPr>
          <w:rFonts w:ascii="Times New Roman" w:hAnsi="Times New Roman" w:cs="Times New Roman"/>
        </w:rPr>
        <w:t xml:space="preserve"> </w:t>
      </w:r>
      <w:r>
        <w:rPr>
          <w:rFonts w:ascii="Times New Roman" w:hAnsi="Times New Roman" w:cs="Times New Roman"/>
        </w:rPr>
        <w:t>requests</w:t>
      </w:r>
      <w:r w:rsidRPr="00A9770B">
        <w:rPr>
          <w:rFonts w:ascii="Times New Roman" w:hAnsi="Times New Roman" w:cs="Times New Roman"/>
        </w:rPr>
        <w:t xml:space="preserve"> approval </w:t>
      </w:r>
      <w:r w:rsidRPr="00A9770B" w:rsidR="00E03742">
        <w:rPr>
          <w:rFonts w:ascii="Times New Roman" w:hAnsi="Times New Roman" w:cs="Times New Roman"/>
        </w:rPr>
        <w:t xml:space="preserve">to </w:t>
      </w:r>
      <w:r>
        <w:rPr>
          <w:rFonts w:ascii="Times New Roman" w:hAnsi="Times New Roman" w:cs="Times New Roman"/>
        </w:rPr>
        <w:t xml:space="preserve">conduct remote data collection by phone or virtual meeting in addition to in person. </w:t>
      </w:r>
      <w:r w:rsidRPr="00A9770B">
        <w:rPr>
          <w:rFonts w:ascii="Times New Roman" w:hAnsi="Times New Roman" w:cs="Times New Roman"/>
        </w:rPr>
        <w:t>No changes to the previously approved HPOG 2.0 Tribal Evaluation data collection instruments (</w:t>
      </w:r>
      <w:r>
        <w:rPr>
          <w:rFonts w:ascii="Times New Roman" w:hAnsi="Times New Roman" w:cs="Times New Roman"/>
        </w:rPr>
        <w:t>Instruments 6-11</w:t>
      </w:r>
      <w:r w:rsidRPr="00A9770B">
        <w:rPr>
          <w:rFonts w:ascii="Times New Roman" w:hAnsi="Times New Roman" w:cs="Times New Roman"/>
        </w:rPr>
        <w:t xml:space="preserve">) are </w:t>
      </w:r>
      <w:r>
        <w:rPr>
          <w:rFonts w:ascii="Times New Roman" w:hAnsi="Times New Roman" w:cs="Times New Roman"/>
        </w:rPr>
        <w:t>needed to accommodate remote data collection</w:t>
      </w:r>
      <w:r w:rsidR="004D0428">
        <w:rPr>
          <w:rFonts w:ascii="Times New Roman" w:hAnsi="Times New Roman" w:cs="Times New Roman"/>
        </w:rPr>
        <w:t>.</w:t>
      </w:r>
      <w:r w:rsidR="0057377C">
        <w:rPr>
          <w:rFonts w:ascii="Times New Roman" w:hAnsi="Times New Roman" w:cs="Times New Roman"/>
        </w:rPr>
        <w:t xml:space="preserve"> </w:t>
      </w:r>
      <w:r w:rsidRPr="00A9770B" w:rsidR="00E03742">
        <w:rPr>
          <w:rFonts w:ascii="Times New Roman" w:hAnsi="Times New Roman" w:cs="Times New Roman"/>
        </w:rPr>
        <w:t xml:space="preserve">In order to facilitate remote data collection and analysis, the tribal evaluation team will need to obtain consent for participation in interviews and focus groups verbally and would like to record the interviews and focus groups. Therefore, </w:t>
      </w:r>
      <w:r w:rsidR="00A8017F">
        <w:rPr>
          <w:rFonts w:ascii="Times New Roman" w:hAnsi="Times New Roman" w:cs="Times New Roman"/>
        </w:rPr>
        <w:t>ACF</w:t>
      </w:r>
      <w:r w:rsidRPr="00A9770B" w:rsidR="00E03742">
        <w:rPr>
          <w:rFonts w:ascii="Times New Roman" w:hAnsi="Times New Roman" w:cs="Times New Roman"/>
        </w:rPr>
        <w:t xml:space="preserve"> request</w:t>
      </w:r>
      <w:r w:rsidR="00A8017F">
        <w:rPr>
          <w:rFonts w:ascii="Times New Roman" w:hAnsi="Times New Roman" w:cs="Times New Roman"/>
        </w:rPr>
        <w:t>s</w:t>
      </w:r>
      <w:r w:rsidRPr="00A9770B" w:rsidR="00E03742">
        <w:rPr>
          <w:rFonts w:ascii="Times New Roman" w:hAnsi="Times New Roman" w:cs="Times New Roman"/>
        </w:rPr>
        <w:t xml:space="preserve"> approval </w:t>
      </w:r>
      <w:r w:rsidR="00A8017F">
        <w:rPr>
          <w:rFonts w:ascii="Times New Roman" w:hAnsi="Times New Roman" w:cs="Times New Roman"/>
        </w:rPr>
        <w:t>to add</w:t>
      </w:r>
      <w:r w:rsidRPr="00A9770B" w:rsidR="00A8017F">
        <w:rPr>
          <w:rFonts w:ascii="Times New Roman" w:hAnsi="Times New Roman" w:cs="Times New Roman"/>
        </w:rPr>
        <w:t xml:space="preserve"> </w:t>
      </w:r>
      <w:r w:rsidRPr="00A9770B" w:rsidR="00E03742">
        <w:rPr>
          <w:rFonts w:ascii="Times New Roman" w:hAnsi="Times New Roman" w:cs="Times New Roman"/>
        </w:rPr>
        <w:t xml:space="preserve">additional versions of the previously approved focus group and interview consent </w:t>
      </w:r>
      <w:r w:rsidRPr="007739DE" w:rsidR="00E03742">
        <w:rPr>
          <w:rFonts w:ascii="Times New Roman" w:hAnsi="Times New Roman" w:cs="Times New Roman"/>
        </w:rPr>
        <w:t>forms (</w:t>
      </w:r>
      <w:r w:rsidRPr="007739DE" w:rsidR="008C5E6B">
        <w:rPr>
          <w:rFonts w:ascii="Times New Roman" w:hAnsi="Times New Roman" w:cs="Times New Roman"/>
        </w:rPr>
        <w:t xml:space="preserve">see </w:t>
      </w:r>
      <w:r w:rsidRPr="00A55E8C" w:rsidR="008C5E6B">
        <w:rPr>
          <w:rFonts w:ascii="Times New Roman" w:hAnsi="Times New Roman" w:cs="Times New Roman"/>
          <w:i/>
        </w:rPr>
        <w:t>Attachment I_Focus Group Informed Consent Form_</w:t>
      </w:r>
      <w:r w:rsidRPr="00A55E8C" w:rsidR="00810A83">
        <w:rPr>
          <w:rFonts w:ascii="Times New Roman" w:hAnsi="Times New Roman" w:cs="Times New Roman"/>
          <w:i/>
        </w:rPr>
        <w:t>Remote</w:t>
      </w:r>
      <w:r w:rsidRPr="007739DE" w:rsidDel="00A8017F" w:rsidR="00810A83">
        <w:rPr>
          <w:rFonts w:ascii="Times New Roman" w:hAnsi="Times New Roman" w:cs="Times New Roman"/>
        </w:rPr>
        <w:t xml:space="preserve"> </w:t>
      </w:r>
      <w:r w:rsidRPr="007739DE" w:rsidR="00810A83">
        <w:rPr>
          <w:rFonts w:ascii="Times New Roman" w:hAnsi="Times New Roman" w:cs="Times New Roman"/>
        </w:rPr>
        <w:t>and</w:t>
      </w:r>
      <w:r w:rsidRPr="007739DE" w:rsidR="008C5E6B">
        <w:rPr>
          <w:rFonts w:ascii="Times New Roman" w:hAnsi="Times New Roman" w:cs="Times New Roman"/>
        </w:rPr>
        <w:t xml:space="preserve"> </w:t>
      </w:r>
      <w:r w:rsidRPr="00A55E8C" w:rsidR="008C5E6B">
        <w:rPr>
          <w:rFonts w:ascii="Times New Roman" w:hAnsi="Times New Roman" w:cs="Times New Roman"/>
          <w:i/>
        </w:rPr>
        <w:t>Attachment J Interview Verbal Informed Consent Form_Remote</w:t>
      </w:r>
      <w:r w:rsidRPr="007739DE" w:rsidR="008C5E6B">
        <w:rPr>
          <w:rFonts w:ascii="Times New Roman" w:hAnsi="Times New Roman" w:cs="Times New Roman"/>
        </w:rPr>
        <w:t>).</w:t>
      </w:r>
      <w:r w:rsidRPr="00A9770B" w:rsidR="008C5E6B">
        <w:rPr>
          <w:rFonts w:ascii="Times New Roman" w:hAnsi="Times New Roman" w:cs="Times New Roman"/>
        </w:rPr>
        <w:t xml:space="preserve"> </w:t>
      </w:r>
      <w:r w:rsidRPr="00A9770B" w:rsidR="00E03742">
        <w:rPr>
          <w:rFonts w:ascii="Times New Roman" w:hAnsi="Times New Roman" w:cs="Times New Roman"/>
        </w:rPr>
        <w:t>The remote version of the informed consent form</w:t>
      </w:r>
      <w:r w:rsidR="00A8017F">
        <w:rPr>
          <w:rFonts w:ascii="Times New Roman" w:hAnsi="Times New Roman" w:cs="Times New Roman"/>
        </w:rPr>
        <w:t xml:space="preserve"> in Attachment I</w:t>
      </w:r>
      <w:r w:rsidRPr="00A9770B" w:rsidR="00E03742">
        <w:rPr>
          <w:rFonts w:ascii="Times New Roman" w:hAnsi="Times New Roman" w:cs="Times New Roman"/>
        </w:rPr>
        <w:t xml:space="preserve"> allows for focus group participants to provide verbal consent</w:t>
      </w:r>
      <w:r w:rsidR="007739DE">
        <w:rPr>
          <w:rFonts w:ascii="Times New Roman" w:hAnsi="Times New Roman" w:cs="Times New Roman"/>
        </w:rPr>
        <w:t xml:space="preserve"> to participate</w:t>
      </w:r>
      <w:r w:rsidRPr="00A9770B" w:rsidR="00E03742">
        <w:rPr>
          <w:rFonts w:ascii="Times New Roman" w:hAnsi="Times New Roman" w:cs="Times New Roman"/>
        </w:rPr>
        <w:t xml:space="preserve"> </w:t>
      </w:r>
      <w:r w:rsidR="007739DE">
        <w:rPr>
          <w:rFonts w:ascii="Times New Roman" w:hAnsi="Times New Roman" w:cs="Times New Roman"/>
        </w:rPr>
        <w:t>and</w:t>
      </w:r>
      <w:r w:rsidRPr="00A9770B" w:rsidR="00E03742">
        <w:rPr>
          <w:rFonts w:ascii="Times New Roman" w:hAnsi="Times New Roman" w:cs="Times New Roman"/>
        </w:rPr>
        <w:t xml:space="preserve"> request</w:t>
      </w:r>
      <w:r w:rsidR="007739DE">
        <w:rPr>
          <w:rFonts w:ascii="Times New Roman" w:hAnsi="Times New Roman" w:cs="Times New Roman"/>
        </w:rPr>
        <w:t>s</w:t>
      </w:r>
      <w:r w:rsidRPr="00A9770B" w:rsidR="00E03742">
        <w:rPr>
          <w:rFonts w:ascii="Times New Roman" w:hAnsi="Times New Roman" w:cs="Times New Roman"/>
        </w:rPr>
        <w:t xml:space="preserve"> permission </w:t>
      </w:r>
      <w:r w:rsidR="007739DE">
        <w:rPr>
          <w:rFonts w:ascii="Times New Roman" w:hAnsi="Times New Roman" w:cs="Times New Roman"/>
        </w:rPr>
        <w:t xml:space="preserve">from participants </w:t>
      </w:r>
      <w:r w:rsidRPr="00A9770B" w:rsidR="00E03742">
        <w:rPr>
          <w:rFonts w:ascii="Times New Roman" w:hAnsi="Times New Roman" w:cs="Times New Roman"/>
        </w:rPr>
        <w:t>to record the focus group. The remote version of the consent form</w:t>
      </w:r>
      <w:r w:rsidR="007739DE">
        <w:rPr>
          <w:rFonts w:ascii="Times New Roman" w:hAnsi="Times New Roman" w:cs="Times New Roman"/>
        </w:rPr>
        <w:t xml:space="preserve"> in Attachment </w:t>
      </w:r>
      <w:r w:rsidR="00A8017F">
        <w:rPr>
          <w:rFonts w:ascii="Times New Roman" w:hAnsi="Times New Roman" w:cs="Times New Roman"/>
        </w:rPr>
        <w:t>J</w:t>
      </w:r>
      <w:r w:rsidRPr="00A9770B" w:rsidR="00E03742">
        <w:rPr>
          <w:rFonts w:ascii="Times New Roman" w:hAnsi="Times New Roman" w:cs="Times New Roman"/>
        </w:rPr>
        <w:t xml:space="preserve"> request</w:t>
      </w:r>
      <w:r w:rsidR="00A8017F">
        <w:rPr>
          <w:rFonts w:ascii="Times New Roman" w:hAnsi="Times New Roman" w:cs="Times New Roman"/>
        </w:rPr>
        <w:t>s</w:t>
      </w:r>
      <w:r w:rsidRPr="00A9770B" w:rsidR="00E03742">
        <w:rPr>
          <w:rFonts w:ascii="Times New Roman" w:hAnsi="Times New Roman" w:cs="Times New Roman"/>
        </w:rPr>
        <w:t xml:space="preserve"> permission to record </w:t>
      </w:r>
      <w:r w:rsidR="007739DE">
        <w:rPr>
          <w:rFonts w:ascii="Times New Roman" w:hAnsi="Times New Roman" w:cs="Times New Roman"/>
        </w:rPr>
        <w:t>a participant’s</w:t>
      </w:r>
      <w:r w:rsidRPr="00A9770B" w:rsidR="007739DE">
        <w:rPr>
          <w:rFonts w:ascii="Times New Roman" w:hAnsi="Times New Roman" w:cs="Times New Roman"/>
        </w:rPr>
        <w:t xml:space="preserve"> </w:t>
      </w:r>
      <w:r w:rsidRPr="00A9770B" w:rsidR="00E03742">
        <w:rPr>
          <w:rFonts w:ascii="Times New Roman" w:hAnsi="Times New Roman" w:cs="Times New Roman"/>
        </w:rPr>
        <w:t xml:space="preserve">interview. </w:t>
      </w:r>
    </w:p>
    <w:p w:rsidRPr="00A9770B" w:rsidR="008C5E6B" w:rsidP="00E26BC1" w:rsidRDefault="008C5E6B" w14:paraId="23DEC8B1" w14:textId="77777777">
      <w:pPr>
        <w:pStyle w:val="BodyText"/>
        <w:spacing w:after="200" w:line="276" w:lineRule="auto"/>
        <w:rPr>
          <w:szCs w:val="22"/>
        </w:rPr>
      </w:pPr>
      <w:r>
        <w:rPr>
          <w:szCs w:val="22"/>
        </w:rPr>
        <w:t xml:space="preserve">The contact person for participants enrolled in the Tribal Evaluation that is listed on the consent form will be changed from Michael Meit (former Tribal Evaluation Project Director) to Carol Hafford (new Tribal Evaluation Project Director). These changes have been made across all consent forms for the tribal evaluation (Attachment I, Attachment J, Attachment B2, and Attachment B3). </w:t>
      </w:r>
    </w:p>
    <w:p w:rsidRPr="004037FA" w:rsidR="00A9770B" w:rsidP="00A9770B" w:rsidRDefault="00A9770B" w14:paraId="52EA8428" w14:textId="77777777">
      <w:pPr>
        <w:pStyle w:val="Heading1"/>
      </w:pPr>
      <w:r w:rsidRPr="004037FA">
        <w:t xml:space="preserve">Time Sensitivities </w:t>
      </w:r>
    </w:p>
    <w:p w:rsidRPr="007F35D1" w:rsidR="00A9770B" w:rsidP="00C14BB0" w:rsidRDefault="007739DE" w14:paraId="09DCC2B5" w14:textId="42447BCD">
      <w:pPr>
        <w:pStyle w:val="ListParagraph"/>
        <w:spacing w:after="100" w:afterAutospacing="1" w:line="276" w:lineRule="auto"/>
        <w:ind w:left="0"/>
        <w:contextualSpacing/>
        <w:rPr>
          <w:sz w:val="22"/>
          <w:szCs w:val="22"/>
        </w:rPr>
      </w:pPr>
      <w:r>
        <w:rPr>
          <w:sz w:val="22"/>
          <w:szCs w:val="22"/>
        </w:rPr>
        <w:t>ACF requests</w:t>
      </w:r>
      <w:r w:rsidRPr="007F35D1" w:rsidR="00A9770B">
        <w:rPr>
          <w:sz w:val="22"/>
          <w:szCs w:val="22"/>
        </w:rPr>
        <w:t xml:space="preserve"> </w:t>
      </w:r>
      <w:r w:rsidR="00D87E2B">
        <w:rPr>
          <w:sz w:val="22"/>
          <w:szCs w:val="22"/>
        </w:rPr>
        <w:t>a response about</w:t>
      </w:r>
      <w:r w:rsidRPr="007F35D1" w:rsidR="00A9770B">
        <w:rPr>
          <w:sz w:val="22"/>
          <w:szCs w:val="22"/>
        </w:rPr>
        <w:t xml:space="preserve"> these changes </w:t>
      </w:r>
      <w:r w:rsidR="008354CB">
        <w:rPr>
          <w:sz w:val="22"/>
          <w:szCs w:val="22"/>
        </w:rPr>
        <w:t>as quickly as possible in</w:t>
      </w:r>
      <w:r w:rsidRPr="007F35D1" w:rsidR="00A9770B">
        <w:rPr>
          <w:sz w:val="22"/>
          <w:szCs w:val="22"/>
        </w:rPr>
        <w:t xml:space="preserve"> order to allow the </w:t>
      </w:r>
      <w:r w:rsidR="008354CB">
        <w:rPr>
          <w:sz w:val="22"/>
          <w:szCs w:val="22"/>
        </w:rPr>
        <w:t>Tribal Evaluation data collection</w:t>
      </w:r>
      <w:r w:rsidRPr="007F35D1" w:rsidR="00A9770B">
        <w:rPr>
          <w:sz w:val="22"/>
          <w:szCs w:val="22"/>
        </w:rPr>
        <w:t xml:space="preserve"> to stay on schedule</w:t>
      </w:r>
      <w:r w:rsidR="00A9770B">
        <w:rPr>
          <w:sz w:val="22"/>
          <w:szCs w:val="22"/>
        </w:rPr>
        <w:t xml:space="preserve">. </w:t>
      </w:r>
      <w:r w:rsidR="00D87E2B">
        <w:rPr>
          <w:sz w:val="22"/>
          <w:szCs w:val="22"/>
        </w:rPr>
        <w:t>We also need</w:t>
      </w:r>
      <w:r w:rsidRPr="007F35D1" w:rsidR="00A9770B">
        <w:rPr>
          <w:sz w:val="22"/>
          <w:szCs w:val="22"/>
        </w:rPr>
        <w:t xml:space="preserve"> ample time for the evaluation contractor to program the </w:t>
      </w:r>
      <w:r w:rsidRPr="00756E95" w:rsidR="00A9770B">
        <w:rPr>
          <w:sz w:val="22"/>
          <w:szCs w:val="22"/>
        </w:rPr>
        <w:t>Intermediate Follow-up Survey</w:t>
      </w:r>
      <w:r w:rsidR="00A9770B">
        <w:rPr>
          <w:rFonts w:ascii="Arial" w:hAnsi="Arial" w:cs="Arial"/>
          <w:sz w:val="18"/>
          <w:szCs w:val="18"/>
        </w:rPr>
        <w:t xml:space="preserve"> </w:t>
      </w:r>
      <w:r w:rsidRPr="007F35D1" w:rsidR="00A9770B">
        <w:rPr>
          <w:sz w:val="22"/>
          <w:szCs w:val="22"/>
        </w:rPr>
        <w:t xml:space="preserve">instrument and test the programming logic </w:t>
      </w:r>
      <w:r>
        <w:rPr>
          <w:sz w:val="22"/>
          <w:szCs w:val="22"/>
        </w:rPr>
        <w:t>before survey administration begins in September 2020</w:t>
      </w:r>
      <w:r w:rsidRPr="007F35D1" w:rsidR="00A9770B">
        <w:rPr>
          <w:sz w:val="22"/>
          <w:szCs w:val="22"/>
        </w:rPr>
        <w:t>.</w:t>
      </w:r>
    </w:p>
    <w:p w:rsidRPr="00A9770B" w:rsidR="00ED603F" w:rsidP="005E2677" w:rsidRDefault="00ED603F" w14:paraId="3525E360" w14:textId="77777777">
      <w:pPr>
        <w:pStyle w:val="BodyText"/>
        <w:spacing w:after="100" w:afterAutospacing="1" w:line="240" w:lineRule="auto"/>
        <w:rPr>
          <w:szCs w:val="22"/>
        </w:rPr>
      </w:pPr>
    </w:p>
    <w:sectPr w:rsidRPr="00A9770B" w:rsidR="00ED603F" w:rsidSect="00296C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246C8" w14:textId="77777777" w:rsidR="009844FA" w:rsidRDefault="009844FA" w:rsidP="005A78AB">
      <w:pPr>
        <w:spacing w:after="0" w:line="240" w:lineRule="auto"/>
      </w:pPr>
      <w:r>
        <w:separator/>
      </w:r>
    </w:p>
  </w:endnote>
  <w:endnote w:type="continuationSeparator" w:id="0">
    <w:p w14:paraId="0C19F9D0" w14:textId="77777777" w:rsidR="009844FA" w:rsidRDefault="009844FA" w:rsidP="005A78AB">
      <w:pPr>
        <w:spacing w:after="0" w:line="240" w:lineRule="auto"/>
      </w:pPr>
      <w:r>
        <w:continuationSeparator/>
      </w:r>
    </w:p>
  </w:endnote>
  <w:endnote w:type="continuationNotice" w:id="1">
    <w:p w14:paraId="745CD241" w14:textId="77777777" w:rsidR="009844FA" w:rsidRDefault="00984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20206"/>
      <w:docPartObj>
        <w:docPartGallery w:val="Page Numbers (Bottom of Page)"/>
        <w:docPartUnique/>
      </w:docPartObj>
    </w:sdtPr>
    <w:sdtEndPr>
      <w:rPr>
        <w:noProof/>
      </w:rPr>
    </w:sdtEndPr>
    <w:sdtContent>
      <w:p w14:paraId="7D8C8CAB" w14:textId="4CD8F15F" w:rsidR="00393DE8" w:rsidRDefault="00393DE8" w:rsidP="005A78AB">
        <w:pPr>
          <w:pStyle w:val="Footer"/>
          <w:jc w:val="center"/>
        </w:pPr>
        <w:r>
          <w:fldChar w:fldCharType="begin"/>
        </w:r>
        <w:r>
          <w:instrText xml:space="preserve"> PAGE   \* MERGEFORMAT </w:instrText>
        </w:r>
        <w:r>
          <w:fldChar w:fldCharType="separate"/>
        </w:r>
        <w:r w:rsidR="0033177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1544" w14:textId="77777777" w:rsidR="009844FA" w:rsidRDefault="009844FA" w:rsidP="005A78AB">
      <w:pPr>
        <w:spacing w:after="0" w:line="240" w:lineRule="auto"/>
      </w:pPr>
      <w:r>
        <w:separator/>
      </w:r>
    </w:p>
  </w:footnote>
  <w:footnote w:type="continuationSeparator" w:id="0">
    <w:p w14:paraId="61656F2E" w14:textId="77777777" w:rsidR="009844FA" w:rsidRDefault="009844FA" w:rsidP="005A78AB">
      <w:pPr>
        <w:spacing w:after="0" w:line="240" w:lineRule="auto"/>
      </w:pPr>
      <w:r>
        <w:continuationSeparator/>
      </w:r>
    </w:p>
  </w:footnote>
  <w:footnote w:type="continuationNotice" w:id="1">
    <w:p w14:paraId="10466FCA" w14:textId="77777777" w:rsidR="009844FA" w:rsidRDefault="009844FA">
      <w:pPr>
        <w:spacing w:after="0" w:line="240" w:lineRule="auto"/>
      </w:pPr>
    </w:p>
  </w:footnote>
  <w:footnote w:id="2">
    <w:p w14:paraId="45DE37AE" w14:textId="6709777F" w:rsidR="00C14BB0" w:rsidRDefault="00C14BB0">
      <w:pPr>
        <w:pStyle w:val="FootnoteText"/>
      </w:pPr>
      <w:r>
        <w:rPr>
          <w:rStyle w:val="FootnoteReference"/>
        </w:rPr>
        <w:footnoteRef/>
      </w:r>
      <w:r>
        <w:t xml:space="preserve"> </w:t>
      </w:r>
      <w:r w:rsidR="002C697B" w:rsidRPr="002C697B">
        <w:rPr>
          <w:rFonts w:ascii="Times New Roman" w:hAnsi="Times New Roman" w:cs="Times New Roman"/>
        </w:rPr>
        <w:t>Study participants that already signed consent forms with the five year restriction will receive a letter noting that ACF’s plans for the evaluation have evolved over time to include a longer data collection period</w:t>
      </w:r>
      <w:r w:rsidRPr="002C697B">
        <w:rPr>
          <w:rFonts w:ascii="Times New Roman" w:hAnsi="Times New Roman" w:cs="Times New Roman"/>
        </w:rPr>
        <w:t>.</w:t>
      </w:r>
      <w:r>
        <w:t xml:space="preserve"> </w:t>
      </w:r>
    </w:p>
  </w:footnote>
  <w:footnote w:id="3">
    <w:p w14:paraId="0CDB4B39" w14:textId="584E4BA7" w:rsidR="00475BD3" w:rsidRPr="00B237B5" w:rsidRDefault="00475BD3" w:rsidP="00475BD3">
      <w:pPr>
        <w:pStyle w:val="BodyText"/>
        <w:spacing w:after="100" w:afterAutospacing="1" w:line="240" w:lineRule="auto"/>
        <w:rPr>
          <w:sz w:val="20"/>
        </w:rPr>
      </w:pPr>
      <w:r>
        <w:rPr>
          <w:rStyle w:val="FootnoteReference"/>
        </w:rPr>
        <w:footnoteRef/>
      </w:r>
      <w:r>
        <w:t xml:space="preserve"> </w:t>
      </w:r>
      <w:r w:rsidRPr="008C2C44">
        <w:rPr>
          <w:sz w:val="20"/>
          <w:szCs w:val="22"/>
        </w:rPr>
        <w:t>OMB approved the I</w:t>
      </w:r>
      <w:r>
        <w:rPr>
          <w:sz w:val="20"/>
          <w:szCs w:val="22"/>
        </w:rPr>
        <w:t>ntermediate Follow-up Survey</w:t>
      </w:r>
      <w:r w:rsidRPr="008C2C44">
        <w:rPr>
          <w:sz w:val="20"/>
          <w:szCs w:val="22"/>
        </w:rPr>
        <w:t xml:space="preserve"> in July 2019, with a term of clearance that the Department resubmit the instrument to reflect the final items for incl</w:t>
      </w:r>
      <w:r>
        <w:rPr>
          <w:sz w:val="20"/>
          <w:szCs w:val="22"/>
        </w:rPr>
        <w:t xml:space="preserve">usion in the assessment module, once the phone-based pilot assessment was complete. The pilot assessment data collection and analysis is now complete. Section J of the Intermediate Follow-up Survey reflects the final item selection. </w:t>
      </w:r>
      <w:r w:rsidRPr="00B237B5">
        <w:rPr>
          <w:sz w:val="20"/>
        </w:rPr>
        <w:t xml:space="preserve">A summary of the analysis methods used is provided in the revised Supporting Statement A, Section A16. </w:t>
      </w:r>
      <w:r w:rsidR="00B94C3B">
        <w:rPr>
          <w:sz w:val="20"/>
        </w:rPr>
        <w:t>ACF</w:t>
      </w:r>
      <w:r w:rsidRPr="00B237B5">
        <w:rPr>
          <w:sz w:val="20"/>
        </w:rPr>
        <w:t xml:space="preserve"> can provide a copy of the internal memo describing the methods and results upon request.</w:t>
      </w:r>
    </w:p>
  </w:footnote>
  <w:footnote w:id="4">
    <w:p w14:paraId="7CB9CDF4" w14:textId="5FC76E88" w:rsidR="006A3167" w:rsidRPr="009F4AFD" w:rsidRDefault="006A3167">
      <w:pPr>
        <w:pStyle w:val="FootnoteText"/>
        <w:rPr>
          <w:rFonts w:ascii="Times New Roman" w:hAnsi="Times New Roman" w:cs="Times New Roman"/>
        </w:rPr>
      </w:pPr>
      <w:r w:rsidRPr="009F4AFD">
        <w:rPr>
          <w:rStyle w:val="FootnoteReference"/>
          <w:rFonts w:ascii="Times New Roman" w:hAnsi="Times New Roman" w:cs="Times New Roman"/>
        </w:rPr>
        <w:footnoteRef/>
      </w:r>
      <w:r w:rsidRPr="009F4AFD">
        <w:rPr>
          <w:rFonts w:ascii="Times New Roman" w:hAnsi="Times New Roman" w:cs="Times New Roman"/>
        </w:rPr>
        <w:t xml:space="preserve"> As noted above, details on the data collection and analysis can be </w:t>
      </w:r>
      <w:r w:rsidR="005E468C" w:rsidRPr="009F4AFD">
        <w:rPr>
          <w:rFonts w:ascii="Times New Roman" w:hAnsi="Times New Roman" w:cs="Times New Roman"/>
        </w:rPr>
        <w:t>found in Supporting Statement A</w:t>
      </w:r>
      <w:r w:rsidRPr="009F4AFD">
        <w:rPr>
          <w:rFonts w:ascii="Times New Roman" w:hAnsi="Times New Roman" w:cs="Times New Roman"/>
        </w:rPr>
        <w:t xml:space="preserve"> Section A16.</w:t>
      </w:r>
    </w:p>
  </w:footnote>
  <w:footnote w:id="5">
    <w:p w14:paraId="59FE17C5" w14:textId="3D898FF0" w:rsidR="006E4725" w:rsidRDefault="006E4725" w:rsidP="006E4725">
      <w:pPr>
        <w:pStyle w:val="FootnoteText"/>
      </w:pPr>
      <w:r>
        <w:rPr>
          <w:rStyle w:val="FootnoteReference"/>
        </w:rPr>
        <w:footnoteRef/>
      </w:r>
      <w:r>
        <w:t xml:space="preserve"> </w:t>
      </w:r>
      <w:r w:rsidR="00511E04" w:rsidRPr="00321B64">
        <w:rPr>
          <w:rFonts w:ascii="Times New Roman" w:hAnsi="Times New Roman" w:cs="Times New Roman"/>
        </w:rPr>
        <w:t>The Short-term Follow-up Survey data collection took place between October 2018 and November 2019</w:t>
      </w:r>
      <w:r w:rsidR="00511E04" w:rsidRPr="001460D6">
        <w:rPr>
          <w:rFonts w:ascii="Times New Roman" w:hAnsi="Times New Roman" w:cs="Times New Roman"/>
        </w:rPr>
        <w:t>.</w:t>
      </w:r>
    </w:p>
  </w:footnote>
  <w:footnote w:id="6">
    <w:p w14:paraId="21091C10" w14:textId="0450ADAD" w:rsidR="00393DE8" w:rsidRPr="00C5072B" w:rsidRDefault="00393DE8">
      <w:pPr>
        <w:pStyle w:val="FootnoteText"/>
        <w:rPr>
          <w:rFonts w:ascii="Times New Roman" w:hAnsi="Times New Roman" w:cs="Times New Roman"/>
        </w:rPr>
      </w:pPr>
      <w:r>
        <w:rPr>
          <w:rStyle w:val="FootnoteReference"/>
        </w:rPr>
        <w:footnoteRef/>
      </w:r>
      <w:r>
        <w:t xml:space="preserve"> </w:t>
      </w:r>
      <w:r w:rsidRPr="00C5072B">
        <w:rPr>
          <w:rFonts w:ascii="Times New Roman" w:hAnsi="Times New Roman" w:cs="Times New Roman"/>
        </w:rPr>
        <w:t xml:space="preserve">It is unclear whether the grantees will maintain the same pace of enrollment during this extended period, thus the 3,500 additional non-tribal participants is likely the upward limit. There is sufficient burden remaining for the Tribal grantees.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1116" w14:textId="77777777" w:rsidR="00393DE8" w:rsidRDefault="00393DE8">
    <w:pPr>
      <w:pStyle w:val="Header"/>
    </w:pPr>
    <w:r>
      <w:rPr>
        <w:noProof/>
      </w:rPr>
      <w:drawing>
        <wp:inline distT="0" distB="0" distL="0" distR="0" wp14:anchorId="433AA7CC" wp14:editId="3C441C0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A80498B" w14:textId="77777777" w:rsidR="00393DE8" w:rsidRDefault="00393DE8" w:rsidP="008551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6FD"/>
    <w:multiLevelType w:val="hybridMultilevel"/>
    <w:tmpl w:val="311A1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270C"/>
    <w:multiLevelType w:val="hybridMultilevel"/>
    <w:tmpl w:val="445E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06A9E"/>
    <w:multiLevelType w:val="hybridMultilevel"/>
    <w:tmpl w:val="03CE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F2F61"/>
    <w:multiLevelType w:val="hybridMultilevel"/>
    <w:tmpl w:val="5DCE2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90A"/>
    <w:multiLevelType w:val="hybridMultilevel"/>
    <w:tmpl w:val="2F3C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97915"/>
    <w:multiLevelType w:val="hybridMultilevel"/>
    <w:tmpl w:val="D6BE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F3289"/>
    <w:multiLevelType w:val="hybridMultilevel"/>
    <w:tmpl w:val="DCD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391E"/>
    <w:multiLevelType w:val="hybridMultilevel"/>
    <w:tmpl w:val="FFA870E0"/>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B0CA2"/>
    <w:multiLevelType w:val="hybridMultilevel"/>
    <w:tmpl w:val="55D0A8FC"/>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002B1"/>
    <w:multiLevelType w:val="hybridMultilevel"/>
    <w:tmpl w:val="FAB2018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E213A"/>
    <w:multiLevelType w:val="hybridMultilevel"/>
    <w:tmpl w:val="6B529CA8"/>
    <w:lvl w:ilvl="0" w:tplc="0409000F">
      <w:start w:val="1"/>
      <w:numFmt w:val="decimal"/>
      <w:lvlText w:val="%1."/>
      <w:lvlJc w:val="left"/>
      <w:pPr>
        <w:ind w:left="720" w:hanging="360"/>
      </w:pPr>
      <w:rPr>
        <w:rFonts w:hint="default"/>
      </w:rPr>
    </w:lvl>
    <w:lvl w:ilvl="1" w:tplc="0409000F">
      <w:start w:val="1"/>
      <w:numFmt w:val="decimal"/>
      <w:lvlText w:val="%2."/>
      <w:lvlJc w:val="left"/>
      <w:pPr>
        <w:ind w:left="1710" w:hanging="360"/>
      </w:pPr>
      <w:rPr>
        <w:rFont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A4162"/>
    <w:multiLevelType w:val="hybridMultilevel"/>
    <w:tmpl w:val="35C8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B7BAA"/>
    <w:multiLevelType w:val="hybridMultilevel"/>
    <w:tmpl w:val="1166C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C5E13"/>
    <w:multiLevelType w:val="hybridMultilevel"/>
    <w:tmpl w:val="770E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B06BED"/>
    <w:multiLevelType w:val="hybridMultilevel"/>
    <w:tmpl w:val="105623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B5A2D33"/>
    <w:multiLevelType w:val="hybridMultilevel"/>
    <w:tmpl w:val="8CC29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35" w15:restartNumberingAfterBreak="0">
    <w:nsid w:val="730F67A9"/>
    <w:multiLevelType w:val="hybridMultilevel"/>
    <w:tmpl w:val="C33E9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D6F8E"/>
    <w:multiLevelType w:val="hybridMultilevel"/>
    <w:tmpl w:val="5DCE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41" w15:restartNumberingAfterBreak="0">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26"/>
  </w:num>
  <w:num w:numId="4">
    <w:abstractNumId w:val="5"/>
  </w:num>
  <w:num w:numId="5">
    <w:abstractNumId w:val="17"/>
  </w:num>
  <w:num w:numId="6">
    <w:abstractNumId w:val="2"/>
  </w:num>
  <w:num w:numId="7">
    <w:abstractNumId w:val="15"/>
  </w:num>
  <w:num w:numId="8">
    <w:abstractNumId w:val="43"/>
  </w:num>
  <w:num w:numId="9">
    <w:abstractNumId w:val="42"/>
  </w:num>
  <w:num w:numId="10">
    <w:abstractNumId w:val="28"/>
  </w:num>
  <w:num w:numId="11">
    <w:abstractNumId w:val="21"/>
  </w:num>
  <w:num w:numId="12">
    <w:abstractNumId w:val="30"/>
  </w:num>
  <w:num w:numId="13">
    <w:abstractNumId w:val="24"/>
  </w:num>
  <w:num w:numId="14">
    <w:abstractNumId w:val="10"/>
  </w:num>
  <w:num w:numId="15">
    <w:abstractNumId w:val="36"/>
  </w:num>
  <w:num w:numId="16">
    <w:abstractNumId w:val="34"/>
  </w:num>
  <w:num w:numId="17">
    <w:abstractNumId w:val="29"/>
  </w:num>
  <w:num w:numId="18">
    <w:abstractNumId w:val="40"/>
  </w:num>
  <w:num w:numId="19">
    <w:abstractNumId w:val="16"/>
  </w:num>
  <w:num w:numId="20">
    <w:abstractNumId w:val="31"/>
  </w:num>
  <w:num w:numId="21">
    <w:abstractNumId w:val="11"/>
  </w:num>
  <w:num w:numId="22">
    <w:abstractNumId w:val="39"/>
  </w:num>
  <w:num w:numId="23">
    <w:abstractNumId w:val="41"/>
  </w:num>
  <w:num w:numId="24">
    <w:abstractNumId w:val="12"/>
  </w:num>
  <w:num w:numId="25">
    <w:abstractNumId w:val="9"/>
  </w:num>
  <w:num w:numId="26">
    <w:abstractNumId w:val="25"/>
  </w:num>
  <w:num w:numId="27">
    <w:abstractNumId w:val="3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8"/>
  </w:num>
  <w:num w:numId="31">
    <w:abstractNumId w:val="27"/>
  </w:num>
  <w:num w:numId="32">
    <w:abstractNumId w:val="37"/>
  </w:num>
  <w:num w:numId="33">
    <w:abstractNumId w:val="6"/>
  </w:num>
  <w:num w:numId="34">
    <w:abstractNumId w:val="23"/>
  </w:num>
  <w:num w:numId="35">
    <w:abstractNumId w:val="14"/>
  </w:num>
  <w:num w:numId="36">
    <w:abstractNumId w:val="8"/>
  </w:num>
  <w:num w:numId="37">
    <w:abstractNumId w:val="22"/>
  </w:num>
  <w:num w:numId="38">
    <w:abstractNumId w:val="13"/>
  </w:num>
  <w:num w:numId="39">
    <w:abstractNumId w:val="33"/>
  </w:num>
  <w:num w:numId="40">
    <w:abstractNumId w:val="7"/>
  </w:num>
  <w:num w:numId="41">
    <w:abstractNumId w:val="3"/>
  </w:num>
  <w:num w:numId="42">
    <w:abstractNumId w:val="19"/>
  </w:num>
  <w:num w:numId="43">
    <w:abstractNumId w:val="2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6C"/>
    <w:rsid w:val="00006E01"/>
    <w:rsid w:val="000070F1"/>
    <w:rsid w:val="00012C64"/>
    <w:rsid w:val="000209CF"/>
    <w:rsid w:val="0002299E"/>
    <w:rsid w:val="00022CC6"/>
    <w:rsid w:val="00024279"/>
    <w:rsid w:val="00026D98"/>
    <w:rsid w:val="00034863"/>
    <w:rsid w:val="00041436"/>
    <w:rsid w:val="00044182"/>
    <w:rsid w:val="000501DB"/>
    <w:rsid w:val="00052E88"/>
    <w:rsid w:val="00053D3B"/>
    <w:rsid w:val="0006324A"/>
    <w:rsid w:val="00071457"/>
    <w:rsid w:val="00072909"/>
    <w:rsid w:val="000729D7"/>
    <w:rsid w:val="00073948"/>
    <w:rsid w:val="00076439"/>
    <w:rsid w:val="0007763E"/>
    <w:rsid w:val="0008387A"/>
    <w:rsid w:val="000A2200"/>
    <w:rsid w:val="000A47E7"/>
    <w:rsid w:val="000A4C50"/>
    <w:rsid w:val="000B1CA6"/>
    <w:rsid w:val="000B38F8"/>
    <w:rsid w:val="000B4183"/>
    <w:rsid w:val="000B6B9A"/>
    <w:rsid w:val="000C3CC7"/>
    <w:rsid w:val="000C3D12"/>
    <w:rsid w:val="000C4D6B"/>
    <w:rsid w:val="000D0AD3"/>
    <w:rsid w:val="000D1740"/>
    <w:rsid w:val="000D19AB"/>
    <w:rsid w:val="000D5A69"/>
    <w:rsid w:val="000E0185"/>
    <w:rsid w:val="000E099C"/>
    <w:rsid w:val="000E350A"/>
    <w:rsid w:val="000E7974"/>
    <w:rsid w:val="000E7B87"/>
    <w:rsid w:val="000F0564"/>
    <w:rsid w:val="000F0936"/>
    <w:rsid w:val="000F0F5E"/>
    <w:rsid w:val="000F477D"/>
    <w:rsid w:val="000F5594"/>
    <w:rsid w:val="000F5B5F"/>
    <w:rsid w:val="000F72C0"/>
    <w:rsid w:val="00103F67"/>
    <w:rsid w:val="00105C4A"/>
    <w:rsid w:val="00110390"/>
    <w:rsid w:val="00113C8E"/>
    <w:rsid w:val="00114BBF"/>
    <w:rsid w:val="00126B1F"/>
    <w:rsid w:val="00131A0D"/>
    <w:rsid w:val="00132818"/>
    <w:rsid w:val="001346A3"/>
    <w:rsid w:val="00134C11"/>
    <w:rsid w:val="001406B9"/>
    <w:rsid w:val="00142CA7"/>
    <w:rsid w:val="001460D6"/>
    <w:rsid w:val="00152F78"/>
    <w:rsid w:val="00153535"/>
    <w:rsid w:val="00153A65"/>
    <w:rsid w:val="00154780"/>
    <w:rsid w:val="00155B2B"/>
    <w:rsid w:val="0016301F"/>
    <w:rsid w:val="00172301"/>
    <w:rsid w:val="0017425A"/>
    <w:rsid w:val="00175C57"/>
    <w:rsid w:val="00177AC0"/>
    <w:rsid w:val="00183F84"/>
    <w:rsid w:val="00184BE8"/>
    <w:rsid w:val="00186971"/>
    <w:rsid w:val="0019201D"/>
    <w:rsid w:val="00195445"/>
    <w:rsid w:val="00195D95"/>
    <w:rsid w:val="0019633E"/>
    <w:rsid w:val="001A1C05"/>
    <w:rsid w:val="001A2F27"/>
    <w:rsid w:val="001A399F"/>
    <w:rsid w:val="001A4D8C"/>
    <w:rsid w:val="001A7FE4"/>
    <w:rsid w:val="001B2693"/>
    <w:rsid w:val="001B3E87"/>
    <w:rsid w:val="001B70CE"/>
    <w:rsid w:val="001B71F1"/>
    <w:rsid w:val="001C15A9"/>
    <w:rsid w:val="001D05AA"/>
    <w:rsid w:val="001D3A24"/>
    <w:rsid w:val="001D58B5"/>
    <w:rsid w:val="001D6EF2"/>
    <w:rsid w:val="001E317E"/>
    <w:rsid w:val="001F3E82"/>
    <w:rsid w:val="001F547D"/>
    <w:rsid w:val="001F579F"/>
    <w:rsid w:val="002079DD"/>
    <w:rsid w:val="00207B6F"/>
    <w:rsid w:val="00212A8D"/>
    <w:rsid w:val="00214890"/>
    <w:rsid w:val="00215EFA"/>
    <w:rsid w:val="002171AD"/>
    <w:rsid w:val="00227B48"/>
    <w:rsid w:val="00227B63"/>
    <w:rsid w:val="002323F2"/>
    <w:rsid w:val="00234A48"/>
    <w:rsid w:val="002364B4"/>
    <w:rsid w:val="0025025C"/>
    <w:rsid w:val="0025088C"/>
    <w:rsid w:val="0025112D"/>
    <w:rsid w:val="00255456"/>
    <w:rsid w:val="00256613"/>
    <w:rsid w:val="00261BDA"/>
    <w:rsid w:val="00262254"/>
    <w:rsid w:val="00266189"/>
    <w:rsid w:val="002716CE"/>
    <w:rsid w:val="00272B71"/>
    <w:rsid w:val="002777E7"/>
    <w:rsid w:val="00281CE1"/>
    <w:rsid w:val="00282CDB"/>
    <w:rsid w:val="002842C5"/>
    <w:rsid w:val="0028489C"/>
    <w:rsid w:val="0029105F"/>
    <w:rsid w:val="00296C0A"/>
    <w:rsid w:val="00296D7E"/>
    <w:rsid w:val="0029734B"/>
    <w:rsid w:val="002A005F"/>
    <w:rsid w:val="002A3F0E"/>
    <w:rsid w:val="002B05AF"/>
    <w:rsid w:val="002B10EA"/>
    <w:rsid w:val="002B3C1E"/>
    <w:rsid w:val="002B4C9B"/>
    <w:rsid w:val="002B55BF"/>
    <w:rsid w:val="002B55EB"/>
    <w:rsid w:val="002B5B2B"/>
    <w:rsid w:val="002B614F"/>
    <w:rsid w:val="002C2484"/>
    <w:rsid w:val="002C3DE8"/>
    <w:rsid w:val="002C697B"/>
    <w:rsid w:val="002D1D85"/>
    <w:rsid w:val="002D2AB4"/>
    <w:rsid w:val="002D4A52"/>
    <w:rsid w:val="002E1765"/>
    <w:rsid w:val="002E7203"/>
    <w:rsid w:val="002F0323"/>
    <w:rsid w:val="002F1D78"/>
    <w:rsid w:val="002F2E72"/>
    <w:rsid w:val="002F49F4"/>
    <w:rsid w:val="002F5D3B"/>
    <w:rsid w:val="00305F97"/>
    <w:rsid w:val="003118E2"/>
    <w:rsid w:val="003122DF"/>
    <w:rsid w:val="00321B64"/>
    <w:rsid w:val="003273FA"/>
    <w:rsid w:val="00327EA9"/>
    <w:rsid w:val="00331776"/>
    <w:rsid w:val="00331868"/>
    <w:rsid w:val="00331E23"/>
    <w:rsid w:val="00332AA1"/>
    <w:rsid w:val="00341320"/>
    <w:rsid w:val="00341843"/>
    <w:rsid w:val="00341F85"/>
    <w:rsid w:val="00344600"/>
    <w:rsid w:val="00345E31"/>
    <w:rsid w:val="003505E1"/>
    <w:rsid w:val="00350E15"/>
    <w:rsid w:val="00353BC6"/>
    <w:rsid w:val="00354715"/>
    <w:rsid w:val="00354972"/>
    <w:rsid w:val="00362717"/>
    <w:rsid w:val="00362FA1"/>
    <w:rsid w:val="00364FA5"/>
    <w:rsid w:val="003650F6"/>
    <w:rsid w:val="003711DC"/>
    <w:rsid w:val="003724E8"/>
    <w:rsid w:val="00375003"/>
    <w:rsid w:val="00376842"/>
    <w:rsid w:val="00380131"/>
    <w:rsid w:val="00384771"/>
    <w:rsid w:val="003909B1"/>
    <w:rsid w:val="003938E8"/>
    <w:rsid w:val="00393DE8"/>
    <w:rsid w:val="00395A58"/>
    <w:rsid w:val="003A0CA8"/>
    <w:rsid w:val="003A240D"/>
    <w:rsid w:val="003A52DB"/>
    <w:rsid w:val="003A5F7E"/>
    <w:rsid w:val="003A689B"/>
    <w:rsid w:val="003B0B9E"/>
    <w:rsid w:val="003B1E5D"/>
    <w:rsid w:val="003B3AF0"/>
    <w:rsid w:val="003C2666"/>
    <w:rsid w:val="003C2F55"/>
    <w:rsid w:val="003C481A"/>
    <w:rsid w:val="003C7E53"/>
    <w:rsid w:val="003C7FE0"/>
    <w:rsid w:val="003D4718"/>
    <w:rsid w:val="003E0C90"/>
    <w:rsid w:val="003E0F8F"/>
    <w:rsid w:val="003E1364"/>
    <w:rsid w:val="003E14BE"/>
    <w:rsid w:val="003E1F88"/>
    <w:rsid w:val="003E5FC7"/>
    <w:rsid w:val="003F0B52"/>
    <w:rsid w:val="003F42AB"/>
    <w:rsid w:val="003F44F6"/>
    <w:rsid w:val="00402A64"/>
    <w:rsid w:val="004037FA"/>
    <w:rsid w:val="004042EC"/>
    <w:rsid w:val="00406313"/>
    <w:rsid w:val="004157F7"/>
    <w:rsid w:val="004243C2"/>
    <w:rsid w:val="00427282"/>
    <w:rsid w:val="00432E08"/>
    <w:rsid w:val="004342D0"/>
    <w:rsid w:val="004371BF"/>
    <w:rsid w:val="00451A4F"/>
    <w:rsid w:val="0045431F"/>
    <w:rsid w:val="004576BF"/>
    <w:rsid w:val="0046465A"/>
    <w:rsid w:val="004652A2"/>
    <w:rsid w:val="0046707B"/>
    <w:rsid w:val="00473557"/>
    <w:rsid w:val="00475BD3"/>
    <w:rsid w:val="0048573E"/>
    <w:rsid w:val="00490547"/>
    <w:rsid w:val="00493FFF"/>
    <w:rsid w:val="0049499E"/>
    <w:rsid w:val="004975D9"/>
    <w:rsid w:val="004A637B"/>
    <w:rsid w:val="004B134B"/>
    <w:rsid w:val="004B48E9"/>
    <w:rsid w:val="004B60D0"/>
    <w:rsid w:val="004C0071"/>
    <w:rsid w:val="004C2E05"/>
    <w:rsid w:val="004C74B3"/>
    <w:rsid w:val="004D0428"/>
    <w:rsid w:val="004E6ED3"/>
    <w:rsid w:val="004F4531"/>
    <w:rsid w:val="004F5B08"/>
    <w:rsid w:val="00506B07"/>
    <w:rsid w:val="00507C91"/>
    <w:rsid w:val="00511E04"/>
    <w:rsid w:val="005137DE"/>
    <w:rsid w:val="0051748E"/>
    <w:rsid w:val="005219A6"/>
    <w:rsid w:val="00523E73"/>
    <w:rsid w:val="00523FDE"/>
    <w:rsid w:val="005303FE"/>
    <w:rsid w:val="00534527"/>
    <w:rsid w:val="00540C4C"/>
    <w:rsid w:val="00541782"/>
    <w:rsid w:val="00543137"/>
    <w:rsid w:val="0054360C"/>
    <w:rsid w:val="00551CA5"/>
    <w:rsid w:val="00551E47"/>
    <w:rsid w:val="00557499"/>
    <w:rsid w:val="00564F8F"/>
    <w:rsid w:val="00571AF4"/>
    <w:rsid w:val="0057377C"/>
    <w:rsid w:val="0057584C"/>
    <w:rsid w:val="00577B89"/>
    <w:rsid w:val="00583457"/>
    <w:rsid w:val="005860D3"/>
    <w:rsid w:val="0059721D"/>
    <w:rsid w:val="005A1FBB"/>
    <w:rsid w:val="005A3EA8"/>
    <w:rsid w:val="005A5705"/>
    <w:rsid w:val="005A78AB"/>
    <w:rsid w:val="005B0BE2"/>
    <w:rsid w:val="005B22F7"/>
    <w:rsid w:val="005B5C8D"/>
    <w:rsid w:val="005B6AB1"/>
    <w:rsid w:val="005C16F1"/>
    <w:rsid w:val="005C3C06"/>
    <w:rsid w:val="005C5222"/>
    <w:rsid w:val="005C5825"/>
    <w:rsid w:val="005D2DEC"/>
    <w:rsid w:val="005D554F"/>
    <w:rsid w:val="005E135E"/>
    <w:rsid w:val="005E1B67"/>
    <w:rsid w:val="005E2677"/>
    <w:rsid w:val="005E38E8"/>
    <w:rsid w:val="005E43D4"/>
    <w:rsid w:val="005E468C"/>
    <w:rsid w:val="005E4970"/>
    <w:rsid w:val="005E57C4"/>
    <w:rsid w:val="005E7B5E"/>
    <w:rsid w:val="005F0DB4"/>
    <w:rsid w:val="005F591B"/>
    <w:rsid w:val="0060546D"/>
    <w:rsid w:val="00605D9E"/>
    <w:rsid w:val="0062069A"/>
    <w:rsid w:val="0062300F"/>
    <w:rsid w:val="00624277"/>
    <w:rsid w:val="00632D09"/>
    <w:rsid w:val="00644A27"/>
    <w:rsid w:val="0064543B"/>
    <w:rsid w:val="006457FA"/>
    <w:rsid w:val="00676FDE"/>
    <w:rsid w:val="0069069C"/>
    <w:rsid w:val="00690B37"/>
    <w:rsid w:val="00696D63"/>
    <w:rsid w:val="00697C0D"/>
    <w:rsid w:val="006A2742"/>
    <w:rsid w:val="006A3167"/>
    <w:rsid w:val="006A6FD2"/>
    <w:rsid w:val="006B4F40"/>
    <w:rsid w:val="006C12CD"/>
    <w:rsid w:val="006C32B3"/>
    <w:rsid w:val="006C597A"/>
    <w:rsid w:val="006D0830"/>
    <w:rsid w:val="006D102C"/>
    <w:rsid w:val="006D4B4F"/>
    <w:rsid w:val="006D623D"/>
    <w:rsid w:val="006D669A"/>
    <w:rsid w:val="006E1D73"/>
    <w:rsid w:val="006E4725"/>
    <w:rsid w:val="006E615D"/>
    <w:rsid w:val="006F118C"/>
    <w:rsid w:val="006F623D"/>
    <w:rsid w:val="006F71E8"/>
    <w:rsid w:val="00700681"/>
    <w:rsid w:val="00705792"/>
    <w:rsid w:val="00705BE6"/>
    <w:rsid w:val="00720F2E"/>
    <w:rsid w:val="0072176A"/>
    <w:rsid w:val="0072732A"/>
    <w:rsid w:val="0073673F"/>
    <w:rsid w:val="0073716A"/>
    <w:rsid w:val="00742313"/>
    <w:rsid w:val="00742DE0"/>
    <w:rsid w:val="007432BC"/>
    <w:rsid w:val="007446FA"/>
    <w:rsid w:val="00744E84"/>
    <w:rsid w:val="00745EB8"/>
    <w:rsid w:val="00747DBE"/>
    <w:rsid w:val="007500BC"/>
    <w:rsid w:val="00750BBD"/>
    <w:rsid w:val="0075558F"/>
    <w:rsid w:val="007565F7"/>
    <w:rsid w:val="00756E95"/>
    <w:rsid w:val="007627A7"/>
    <w:rsid w:val="007634A9"/>
    <w:rsid w:val="007676C3"/>
    <w:rsid w:val="00771FF6"/>
    <w:rsid w:val="007739DE"/>
    <w:rsid w:val="0077579D"/>
    <w:rsid w:val="00776DE4"/>
    <w:rsid w:val="00777281"/>
    <w:rsid w:val="00780FCC"/>
    <w:rsid w:val="00783FB2"/>
    <w:rsid w:val="00785A3B"/>
    <w:rsid w:val="00797F78"/>
    <w:rsid w:val="007A1058"/>
    <w:rsid w:val="007A5CA7"/>
    <w:rsid w:val="007B0A61"/>
    <w:rsid w:val="007B4F0D"/>
    <w:rsid w:val="007E05EA"/>
    <w:rsid w:val="007E1FBF"/>
    <w:rsid w:val="007E43E2"/>
    <w:rsid w:val="007E6014"/>
    <w:rsid w:val="007F35D1"/>
    <w:rsid w:val="007F4C27"/>
    <w:rsid w:val="007F62CF"/>
    <w:rsid w:val="007F7198"/>
    <w:rsid w:val="0080486C"/>
    <w:rsid w:val="00806E70"/>
    <w:rsid w:val="0080788C"/>
    <w:rsid w:val="008106E4"/>
    <w:rsid w:val="00810927"/>
    <w:rsid w:val="008109A1"/>
    <w:rsid w:val="00810A83"/>
    <w:rsid w:val="0081161F"/>
    <w:rsid w:val="00823E3D"/>
    <w:rsid w:val="008305BD"/>
    <w:rsid w:val="008348F9"/>
    <w:rsid w:val="008354CB"/>
    <w:rsid w:val="00836DE0"/>
    <w:rsid w:val="008453B5"/>
    <w:rsid w:val="00853E04"/>
    <w:rsid w:val="0085511B"/>
    <w:rsid w:val="008551A3"/>
    <w:rsid w:val="00855BEF"/>
    <w:rsid w:val="00861330"/>
    <w:rsid w:val="0086220F"/>
    <w:rsid w:val="00870CA1"/>
    <w:rsid w:val="008756AC"/>
    <w:rsid w:val="00877F83"/>
    <w:rsid w:val="00881002"/>
    <w:rsid w:val="00881069"/>
    <w:rsid w:val="00887953"/>
    <w:rsid w:val="00892AEA"/>
    <w:rsid w:val="00896313"/>
    <w:rsid w:val="00897A89"/>
    <w:rsid w:val="008A04AE"/>
    <w:rsid w:val="008B3664"/>
    <w:rsid w:val="008B3A7D"/>
    <w:rsid w:val="008B510B"/>
    <w:rsid w:val="008B57B7"/>
    <w:rsid w:val="008C2C44"/>
    <w:rsid w:val="008C4CE0"/>
    <w:rsid w:val="008C5E6B"/>
    <w:rsid w:val="008C71ED"/>
    <w:rsid w:val="008C7735"/>
    <w:rsid w:val="008C7C22"/>
    <w:rsid w:val="008D1F11"/>
    <w:rsid w:val="008D312B"/>
    <w:rsid w:val="008D33E0"/>
    <w:rsid w:val="008D5212"/>
    <w:rsid w:val="008E5027"/>
    <w:rsid w:val="008F1F60"/>
    <w:rsid w:val="008F1FA6"/>
    <w:rsid w:val="008F49C3"/>
    <w:rsid w:val="00900465"/>
    <w:rsid w:val="009018B6"/>
    <w:rsid w:val="009039FD"/>
    <w:rsid w:val="00906762"/>
    <w:rsid w:val="00910A0F"/>
    <w:rsid w:val="0091640F"/>
    <w:rsid w:val="00923FA1"/>
    <w:rsid w:val="00926D87"/>
    <w:rsid w:val="00931BB0"/>
    <w:rsid w:val="0093419E"/>
    <w:rsid w:val="00934346"/>
    <w:rsid w:val="009359EA"/>
    <w:rsid w:val="00937421"/>
    <w:rsid w:val="0094457D"/>
    <w:rsid w:val="00944BEF"/>
    <w:rsid w:val="009463C9"/>
    <w:rsid w:val="00954D7E"/>
    <w:rsid w:val="00955535"/>
    <w:rsid w:val="009612BA"/>
    <w:rsid w:val="00962707"/>
    <w:rsid w:val="00965E39"/>
    <w:rsid w:val="00966223"/>
    <w:rsid w:val="0097062B"/>
    <w:rsid w:val="00973FEF"/>
    <w:rsid w:val="00976B0D"/>
    <w:rsid w:val="00977586"/>
    <w:rsid w:val="009801FB"/>
    <w:rsid w:val="00983561"/>
    <w:rsid w:val="009844FA"/>
    <w:rsid w:val="00984AF3"/>
    <w:rsid w:val="00986ADE"/>
    <w:rsid w:val="009872A8"/>
    <w:rsid w:val="00990B30"/>
    <w:rsid w:val="009916F8"/>
    <w:rsid w:val="00997B6C"/>
    <w:rsid w:val="009A0188"/>
    <w:rsid w:val="009A7B78"/>
    <w:rsid w:val="009B0855"/>
    <w:rsid w:val="009B30E9"/>
    <w:rsid w:val="009B5939"/>
    <w:rsid w:val="009B5EC8"/>
    <w:rsid w:val="009D1C0B"/>
    <w:rsid w:val="009D2268"/>
    <w:rsid w:val="009D3DFF"/>
    <w:rsid w:val="009E0372"/>
    <w:rsid w:val="009E219A"/>
    <w:rsid w:val="009E4B90"/>
    <w:rsid w:val="009E576E"/>
    <w:rsid w:val="009E5C91"/>
    <w:rsid w:val="009F4AFD"/>
    <w:rsid w:val="009F6CE7"/>
    <w:rsid w:val="00A03746"/>
    <w:rsid w:val="00A06204"/>
    <w:rsid w:val="00A0680B"/>
    <w:rsid w:val="00A12722"/>
    <w:rsid w:val="00A14DDC"/>
    <w:rsid w:val="00A16256"/>
    <w:rsid w:val="00A168EA"/>
    <w:rsid w:val="00A24A9A"/>
    <w:rsid w:val="00A25DC1"/>
    <w:rsid w:val="00A270C0"/>
    <w:rsid w:val="00A31AD0"/>
    <w:rsid w:val="00A3303F"/>
    <w:rsid w:val="00A44BE7"/>
    <w:rsid w:val="00A46E30"/>
    <w:rsid w:val="00A47309"/>
    <w:rsid w:val="00A47BB4"/>
    <w:rsid w:val="00A50BCC"/>
    <w:rsid w:val="00A546ED"/>
    <w:rsid w:val="00A56C41"/>
    <w:rsid w:val="00A65430"/>
    <w:rsid w:val="00A70D73"/>
    <w:rsid w:val="00A763F0"/>
    <w:rsid w:val="00A8017F"/>
    <w:rsid w:val="00A81996"/>
    <w:rsid w:val="00A90ECF"/>
    <w:rsid w:val="00A912AB"/>
    <w:rsid w:val="00A9770B"/>
    <w:rsid w:val="00A97A74"/>
    <w:rsid w:val="00AA03FD"/>
    <w:rsid w:val="00AA530C"/>
    <w:rsid w:val="00AA6E84"/>
    <w:rsid w:val="00AA778F"/>
    <w:rsid w:val="00AA7E6F"/>
    <w:rsid w:val="00AB0B3A"/>
    <w:rsid w:val="00AB0CFB"/>
    <w:rsid w:val="00AB48BD"/>
    <w:rsid w:val="00AB5167"/>
    <w:rsid w:val="00AB53B5"/>
    <w:rsid w:val="00AC61B0"/>
    <w:rsid w:val="00AD0E4A"/>
    <w:rsid w:val="00AE1CF1"/>
    <w:rsid w:val="00AE7984"/>
    <w:rsid w:val="00AF1AF2"/>
    <w:rsid w:val="00AF2920"/>
    <w:rsid w:val="00AF4E99"/>
    <w:rsid w:val="00AF6DC2"/>
    <w:rsid w:val="00AF71D5"/>
    <w:rsid w:val="00B008BD"/>
    <w:rsid w:val="00B03532"/>
    <w:rsid w:val="00B063C4"/>
    <w:rsid w:val="00B122BF"/>
    <w:rsid w:val="00B15458"/>
    <w:rsid w:val="00B22F2F"/>
    <w:rsid w:val="00B237B5"/>
    <w:rsid w:val="00B2495D"/>
    <w:rsid w:val="00B32D3A"/>
    <w:rsid w:val="00B33074"/>
    <w:rsid w:val="00B350EF"/>
    <w:rsid w:val="00B40220"/>
    <w:rsid w:val="00B4124A"/>
    <w:rsid w:val="00B4288F"/>
    <w:rsid w:val="00B5314B"/>
    <w:rsid w:val="00B558A4"/>
    <w:rsid w:val="00B56E2F"/>
    <w:rsid w:val="00B6214E"/>
    <w:rsid w:val="00B62CA8"/>
    <w:rsid w:val="00B6366B"/>
    <w:rsid w:val="00B64EC7"/>
    <w:rsid w:val="00B70B82"/>
    <w:rsid w:val="00B70E69"/>
    <w:rsid w:val="00B752DF"/>
    <w:rsid w:val="00B76266"/>
    <w:rsid w:val="00B770D5"/>
    <w:rsid w:val="00B80DF5"/>
    <w:rsid w:val="00B86F69"/>
    <w:rsid w:val="00B916A1"/>
    <w:rsid w:val="00B916E1"/>
    <w:rsid w:val="00B9413F"/>
    <w:rsid w:val="00B94C3B"/>
    <w:rsid w:val="00B95488"/>
    <w:rsid w:val="00B95E96"/>
    <w:rsid w:val="00B96140"/>
    <w:rsid w:val="00BA4162"/>
    <w:rsid w:val="00BA5534"/>
    <w:rsid w:val="00BA6457"/>
    <w:rsid w:val="00BA7260"/>
    <w:rsid w:val="00BB7C56"/>
    <w:rsid w:val="00BC028A"/>
    <w:rsid w:val="00BC09E6"/>
    <w:rsid w:val="00BC2A05"/>
    <w:rsid w:val="00BC7E75"/>
    <w:rsid w:val="00BD510C"/>
    <w:rsid w:val="00BF4852"/>
    <w:rsid w:val="00BF49D6"/>
    <w:rsid w:val="00C01B8F"/>
    <w:rsid w:val="00C077F7"/>
    <w:rsid w:val="00C10958"/>
    <w:rsid w:val="00C10EFC"/>
    <w:rsid w:val="00C1385D"/>
    <w:rsid w:val="00C14BB0"/>
    <w:rsid w:val="00C227B2"/>
    <w:rsid w:val="00C2302E"/>
    <w:rsid w:val="00C24B6F"/>
    <w:rsid w:val="00C26739"/>
    <w:rsid w:val="00C307A3"/>
    <w:rsid w:val="00C336C7"/>
    <w:rsid w:val="00C348FD"/>
    <w:rsid w:val="00C36163"/>
    <w:rsid w:val="00C429FC"/>
    <w:rsid w:val="00C457A2"/>
    <w:rsid w:val="00C45BE4"/>
    <w:rsid w:val="00C5072B"/>
    <w:rsid w:val="00C52EFD"/>
    <w:rsid w:val="00C669AB"/>
    <w:rsid w:val="00C673DB"/>
    <w:rsid w:val="00C71661"/>
    <w:rsid w:val="00C73AAA"/>
    <w:rsid w:val="00C75ECA"/>
    <w:rsid w:val="00C76B03"/>
    <w:rsid w:val="00C852C4"/>
    <w:rsid w:val="00C90AAE"/>
    <w:rsid w:val="00CA2D66"/>
    <w:rsid w:val="00CA3D5F"/>
    <w:rsid w:val="00CB6F8F"/>
    <w:rsid w:val="00CB754E"/>
    <w:rsid w:val="00CC186B"/>
    <w:rsid w:val="00CC56D9"/>
    <w:rsid w:val="00CC58AF"/>
    <w:rsid w:val="00CD2269"/>
    <w:rsid w:val="00CD26B8"/>
    <w:rsid w:val="00CE23EA"/>
    <w:rsid w:val="00CE2C22"/>
    <w:rsid w:val="00CF2F98"/>
    <w:rsid w:val="00D00BBA"/>
    <w:rsid w:val="00D022FA"/>
    <w:rsid w:val="00D04782"/>
    <w:rsid w:val="00D11389"/>
    <w:rsid w:val="00D15145"/>
    <w:rsid w:val="00D16DF6"/>
    <w:rsid w:val="00D244FD"/>
    <w:rsid w:val="00D26FDF"/>
    <w:rsid w:val="00D273AB"/>
    <w:rsid w:val="00D2747A"/>
    <w:rsid w:val="00D34EC9"/>
    <w:rsid w:val="00D35D48"/>
    <w:rsid w:val="00D37507"/>
    <w:rsid w:val="00D41B86"/>
    <w:rsid w:val="00D5104E"/>
    <w:rsid w:val="00D54C69"/>
    <w:rsid w:val="00D6372D"/>
    <w:rsid w:val="00D656C1"/>
    <w:rsid w:val="00D65DC3"/>
    <w:rsid w:val="00D76836"/>
    <w:rsid w:val="00D80557"/>
    <w:rsid w:val="00D82B5C"/>
    <w:rsid w:val="00D835CC"/>
    <w:rsid w:val="00D8418C"/>
    <w:rsid w:val="00D87E2B"/>
    <w:rsid w:val="00D95F04"/>
    <w:rsid w:val="00DB1214"/>
    <w:rsid w:val="00DB3DF9"/>
    <w:rsid w:val="00DC2139"/>
    <w:rsid w:val="00DC3A41"/>
    <w:rsid w:val="00DC5051"/>
    <w:rsid w:val="00DC6B94"/>
    <w:rsid w:val="00DD4DAD"/>
    <w:rsid w:val="00DD65DA"/>
    <w:rsid w:val="00DE0886"/>
    <w:rsid w:val="00DE3A07"/>
    <w:rsid w:val="00DE460B"/>
    <w:rsid w:val="00DE76A1"/>
    <w:rsid w:val="00DF6A9D"/>
    <w:rsid w:val="00DF77C7"/>
    <w:rsid w:val="00E02DF0"/>
    <w:rsid w:val="00E03742"/>
    <w:rsid w:val="00E061EE"/>
    <w:rsid w:val="00E129E1"/>
    <w:rsid w:val="00E13B4D"/>
    <w:rsid w:val="00E14D54"/>
    <w:rsid w:val="00E2468C"/>
    <w:rsid w:val="00E26640"/>
    <w:rsid w:val="00E26BC1"/>
    <w:rsid w:val="00E30D90"/>
    <w:rsid w:val="00E3367F"/>
    <w:rsid w:val="00E340C4"/>
    <w:rsid w:val="00E37D56"/>
    <w:rsid w:val="00E43ACD"/>
    <w:rsid w:val="00E43CCD"/>
    <w:rsid w:val="00E46189"/>
    <w:rsid w:val="00E51663"/>
    <w:rsid w:val="00E51D1B"/>
    <w:rsid w:val="00E54B95"/>
    <w:rsid w:val="00E60629"/>
    <w:rsid w:val="00E61240"/>
    <w:rsid w:val="00E63882"/>
    <w:rsid w:val="00E67DBC"/>
    <w:rsid w:val="00E67F5F"/>
    <w:rsid w:val="00E709ED"/>
    <w:rsid w:val="00E74201"/>
    <w:rsid w:val="00E77FC1"/>
    <w:rsid w:val="00E86698"/>
    <w:rsid w:val="00E874A9"/>
    <w:rsid w:val="00E90F18"/>
    <w:rsid w:val="00E91709"/>
    <w:rsid w:val="00E92742"/>
    <w:rsid w:val="00E9376E"/>
    <w:rsid w:val="00EA422B"/>
    <w:rsid w:val="00EB0305"/>
    <w:rsid w:val="00EB046A"/>
    <w:rsid w:val="00EB138F"/>
    <w:rsid w:val="00EB28A5"/>
    <w:rsid w:val="00EB2929"/>
    <w:rsid w:val="00EB3A86"/>
    <w:rsid w:val="00EB3F6D"/>
    <w:rsid w:val="00EC2ACD"/>
    <w:rsid w:val="00EC3D0A"/>
    <w:rsid w:val="00EC4128"/>
    <w:rsid w:val="00EC424E"/>
    <w:rsid w:val="00ED2206"/>
    <w:rsid w:val="00ED2D60"/>
    <w:rsid w:val="00ED603F"/>
    <w:rsid w:val="00ED704D"/>
    <w:rsid w:val="00ED78C6"/>
    <w:rsid w:val="00EE309B"/>
    <w:rsid w:val="00EE359E"/>
    <w:rsid w:val="00EE3851"/>
    <w:rsid w:val="00EE4C0F"/>
    <w:rsid w:val="00EF20AE"/>
    <w:rsid w:val="00EF62D0"/>
    <w:rsid w:val="00EF7A4A"/>
    <w:rsid w:val="00F14315"/>
    <w:rsid w:val="00F215F5"/>
    <w:rsid w:val="00F32BE2"/>
    <w:rsid w:val="00F351DA"/>
    <w:rsid w:val="00F367D1"/>
    <w:rsid w:val="00F400D0"/>
    <w:rsid w:val="00F4049E"/>
    <w:rsid w:val="00F41E1F"/>
    <w:rsid w:val="00F44ACA"/>
    <w:rsid w:val="00F4788C"/>
    <w:rsid w:val="00F608ED"/>
    <w:rsid w:val="00F759F8"/>
    <w:rsid w:val="00F76167"/>
    <w:rsid w:val="00F91EAA"/>
    <w:rsid w:val="00F938B8"/>
    <w:rsid w:val="00F94F4D"/>
    <w:rsid w:val="00F97EC6"/>
    <w:rsid w:val="00FA07D4"/>
    <w:rsid w:val="00FA07E5"/>
    <w:rsid w:val="00FA1BD9"/>
    <w:rsid w:val="00FA2865"/>
    <w:rsid w:val="00FA381D"/>
    <w:rsid w:val="00FB1E39"/>
    <w:rsid w:val="00FB5351"/>
    <w:rsid w:val="00FB566B"/>
    <w:rsid w:val="00FB69BD"/>
    <w:rsid w:val="00FB740E"/>
    <w:rsid w:val="00FC6144"/>
    <w:rsid w:val="00FD21EE"/>
    <w:rsid w:val="00FD3C33"/>
    <w:rsid w:val="00FD4F36"/>
    <w:rsid w:val="00FE220F"/>
    <w:rsid w:val="00FE678C"/>
    <w:rsid w:val="00FF2B07"/>
    <w:rsid w:val="00FF4927"/>
    <w:rsid w:val="00FF4971"/>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BDF49D0"/>
  <w15:docId w15:val="{C4C09CDA-5A45-41A0-B19C-3BFEFF3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267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E46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aliases w:val="F1"/>
    <w:basedOn w:val="Normal"/>
    <w:link w:val="FootnoteTextChar"/>
    <w:uiPriority w:val="99"/>
    <w:unhideWhenUsed/>
    <w:rsid w:val="00AB48BD"/>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AB48BD"/>
    <w:rPr>
      <w:sz w:val="20"/>
      <w:szCs w:val="20"/>
    </w:rPr>
  </w:style>
  <w:style w:type="character" w:styleId="FootnoteReference">
    <w:name w:val="footnote reference"/>
    <w:basedOn w:val="DefaultParagraphFont"/>
    <w:uiPriority w:val="99"/>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ExhibitColumnHeader">
    <w:name w:val="Exhibit Column Header"/>
    <w:basedOn w:val="Normal"/>
    <w:qFormat/>
    <w:rsid w:val="001D3A24"/>
    <w:pPr>
      <w:keepNext/>
      <w:spacing w:after="0" w:line="240" w:lineRule="auto"/>
      <w:jc w:val="center"/>
    </w:pPr>
    <w:rPr>
      <w:rFonts w:ascii="Arial" w:eastAsia="Times New Roman" w:hAnsi="Arial" w:cs="Arial"/>
      <w:b/>
      <w:color w:val="000000" w:themeColor="text1"/>
      <w:sz w:val="18"/>
      <w:szCs w:val="20"/>
    </w:rPr>
  </w:style>
  <w:style w:type="paragraph" w:customStyle="1" w:styleId="Bullets2">
    <w:name w:val="Bullets2"/>
    <w:basedOn w:val="BodyText"/>
    <w:qFormat/>
    <w:rsid w:val="00041436"/>
    <w:pPr>
      <w:numPr>
        <w:numId w:val="30"/>
      </w:numPr>
      <w:tabs>
        <w:tab w:val="clear" w:pos="720"/>
        <w:tab w:val="clear" w:pos="1440"/>
        <w:tab w:val="clear" w:pos="1800"/>
      </w:tabs>
      <w:spacing w:after="120"/>
      <w:ind w:left="720"/>
    </w:pPr>
  </w:style>
  <w:style w:type="paragraph" w:styleId="Revision">
    <w:name w:val="Revision"/>
    <w:hidden/>
    <w:uiPriority w:val="99"/>
    <w:semiHidden/>
    <w:rsid w:val="0073716A"/>
    <w:pPr>
      <w:spacing w:after="0" w:line="240" w:lineRule="auto"/>
    </w:pPr>
  </w:style>
  <w:style w:type="character" w:styleId="Hyperlink">
    <w:name w:val="Hyperlink"/>
    <w:basedOn w:val="DefaultParagraphFont"/>
    <w:uiPriority w:val="99"/>
    <w:semiHidden/>
    <w:unhideWhenUsed/>
    <w:rsid w:val="00A546ED"/>
    <w:rPr>
      <w:color w:val="0563C1"/>
      <w:u w:val="single"/>
    </w:rPr>
  </w:style>
  <w:style w:type="character" w:styleId="FollowedHyperlink">
    <w:name w:val="FollowedHyperlink"/>
    <w:basedOn w:val="DefaultParagraphFont"/>
    <w:uiPriority w:val="99"/>
    <w:semiHidden/>
    <w:unhideWhenUsed/>
    <w:rsid w:val="00234A48"/>
    <w:rPr>
      <w:color w:val="800080" w:themeColor="followedHyperlink"/>
      <w:u w:val="single"/>
    </w:rPr>
  </w:style>
  <w:style w:type="character" w:customStyle="1" w:styleId="Heading5Char">
    <w:name w:val="Heading 5 Char"/>
    <w:basedOn w:val="DefaultParagraphFont"/>
    <w:link w:val="Heading5"/>
    <w:uiPriority w:val="9"/>
    <w:rsid w:val="005E2677"/>
    <w:rPr>
      <w:rFonts w:asciiTheme="majorHAnsi" w:eastAsiaTheme="majorEastAsia" w:hAnsiTheme="majorHAnsi" w:cstheme="majorBidi"/>
      <w:color w:val="365F91" w:themeColor="accent1" w:themeShade="BF"/>
    </w:rPr>
  </w:style>
  <w:style w:type="character" w:customStyle="1" w:styleId="ListParagraphChar">
    <w:name w:val="List Paragraph Char"/>
    <w:link w:val="ListParagraph"/>
    <w:uiPriority w:val="34"/>
    <w:locked/>
    <w:rsid w:val="00A44BE7"/>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rsid w:val="005E468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77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574626188">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697000542">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920021726">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08644924">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76CB-2B34-44B4-846E-25E17D9D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Locke</dc:creator>
  <cp:keywords/>
  <dc:description/>
  <cp:lastModifiedBy>Jones, Molly (ACF)</cp:lastModifiedBy>
  <cp:revision>3</cp:revision>
  <dcterms:created xsi:type="dcterms:W3CDTF">2020-06-23T13:40:00Z</dcterms:created>
  <dcterms:modified xsi:type="dcterms:W3CDTF">2020-06-24T17:13:00Z</dcterms:modified>
</cp:coreProperties>
</file>