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1927" w:rsidR="00E74DA8" w:rsidP="007C6296" w:rsidRDefault="00F21C06" w14:paraId="09BABFF8" w14:textId="77777777">
      <w:pPr>
        <w:spacing w:after="0" w:line="240" w:lineRule="auto"/>
        <w:ind w:left="720" w:hanging="720"/>
        <w:rPr>
          <w:rFonts w:ascii="Times New Roman" w:hAnsi="Times New Roman" w:cs="Times New Roman"/>
          <w:b/>
          <w:color w:val="000000" w:themeColor="text1"/>
          <w:sz w:val="24"/>
          <w:szCs w:val="24"/>
        </w:rPr>
      </w:pPr>
      <w:bookmarkStart w:name="_GoBack" w:id="0"/>
      <w:bookmarkEnd w:id="0"/>
      <w:r w:rsidRPr="00901927">
        <w:rPr>
          <w:rFonts w:ascii="Times New Roman" w:hAnsi="Times New Roman" w:cs="Times New Roman"/>
          <w:b/>
          <w:color w:val="000000" w:themeColor="text1"/>
          <w:sz w:val="24"/>
          <w:szCs w:val="24"/>
        </w:rPr>
        <w:t xml:space="preserve">B. </w:t>
      </w:r>
      <w:r w:rsidR="007C6296">
        <w:rPr>
          <w:rFonts w:ascii="Times New Roman" w:hAnsi="Times New Roman" w:cs="Times New Roman"/>
          <w:b/>
          <w:color w:val="000000" w:themeColor="text1"/>
          <w:sz w:val="24"/>
          <w:szCs w:val="24"/>
        </w:rPr>
        <w:tab/>
      </w:r>
      <w:r w:rsidRPr="00901927">
        <w:rPr>
          <w:rFonts w:ascii="Times New Roman" w:hAnsi="Times New Roman" w:cs="Times New Roman"/>
          <w:b/>
          <w:color w:val="000000" w:themeColor="text1"/>
          <w:sz w:val="24"/>
          <w:szCs w:val="24"/>
        </w:rPr>
        <w:t>Statistical Methods</w:t>
      </w:r>
    </w:p>
    <w:p w:rsidRPr="00901927" w:rsidR="005175B4" w:rsidP="00536916" w:rsidRDefault="005175B4" w14:paraId="672A6659" w14:textId="77777777">
      <w:pPr>
        <w:spacing w:after="0" w:line="240" w:lineRule="auto"/>
        <w:rPr>
          <w:rFonts w:ascii="Times New Roman" w:hAnsi="Times New Roman" w:cs="Times New Roman"/>
          <w:color w:val="000000" w:themeColor="text1"/>
          <w:sz w:val="24"/>
          <w:szCs w:val="24"/>
        </w:rPr>
      </w:pPr>
    </w:p>
    <w:p w:rsidRPr="00901927" w:rsidR="00633490" w:rsidP="00536916" w:rsidRDefault="00633490" w14:paraId="636C362B"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901927">
        <w:rPr>
          <w:rFonts w:ascii="Times New Roman" w:hAnsi="Times New Roman" w:cs="Times New Roman"/>
          <w:color w:val="000000" w:themeColor="text1"/>
          <w:sz w:val="24"/>
          <w:szCs w:val="24"/>
          <w:u w:val="single"/>
        </w:rPr>
        <w:t>Universe and Respondent Selection</w:t>
      </w:r>
    </w:p>
    <w:p w:rsidRPr="00901927" w:rsidR="00633490" w:rsidP="00536916" w:rsidRDefault="00633490" w14:paraId="0A37501D" w14:textId="77777777">
      <w:pPr>
        <w:pStyle w:val="ListParagraph"/>
        <w:spacing w:after="0" w:line="240" w:lineRule="auto"/>
        <w:rPr>
          <w:rFonts w:ascii="Times New Roman" w:hAnsi="Times New Roman" w:cs="Times New Roman"/>
          <w:color w:val="000000" w:themeColor="text1"/>
          <w:sz w:val="24"/>
          <w:szCs w:val="24"/>
        </w:rPr>
      </w:pPr>
    </w:p>
    <w:p w:rsidRPr="004413CF" w:rsidR="0073399B" w:rsidP="000E2812" w:rsidRDefault="000E2812" w14:paraId="260DD13F" w14:textId="77777777">
      <w:pPr>
        <w:spacing w:after="0" w:line="240" w:lineRule="auto"/>
        <w:ind w:left="720"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 transitioned to a NIBRS-only data collection on January 1, 2021.  Prior to that date, t</w:t>
      </w:r>
      <w:r w:rsidRPr="005175B4" w:rsidR="00F21C06">
        <w:rPr>
          <w:rFonts w:ascii="Times New Roman" w:hAnsi="Times New Roman" w:cs="Times New Roman"/>
          <w:color w:val="000000" w:themeColor="text1"/>
          <w:sz w:val="24"/>
          <w:szCs w:val="24"/>
        </w:rPr>
        <w:t xml:space="preserve">he potential respondent universe </w:t>
      </w:r>
      <w:r>
        <w:rPr>
          <w:rFonts w:ascii="Times New Roman" w:hAnsi="Times New Roman" w:cs="Times New Roman"/>
          <w:color w:val="000000" w:themeColor="text1"/>
          <w:sz w:val="24"/>
          <w:szCs w:val="24"/>
        </w:rPr>
        <w:t xml:space="preserve">using the </w:t>
      </w:r>
      <w:r w:rsidRPr="005175B4" w:rsidR="00F21C06">
        <w:rPr>
          <w:rFonts w:ascii="Times New Roman" w:hAnsi="Times New Roman" w:cs="Times New Roman"/>
          <w:i/>
          <w:color w:val="000000" w:themeColor="text1"/>
          <w:sz w:val="24"/>
          <w:szCs w:val="24"/>
        </w:rPr>
        <w:t>Hate Crime Incident Report</w:t>
      </w:r>
      <w:r w:rsidRPr="005175B4" w:rsidR="0073399B">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included</w:t>
      </w:r>
      <w:r w:rsidRPr="005175B4" w:rsidR="0073399B">
        <w:rPr>
          <w:rFonts w:ascii="Times New Roman" w:hAnsi="Times New Roman" w:cs="Times New Roman"/>
          <w:color w:val="000000" w:themeColor="text1"/>
          <w:sz w:val="24"/>
          <w:szCs w:val="24"/>
        </w:rPr>
        <w:t xml:space="preserve"> all </w:t>
      </w:r>
      <w:r w:rsidR="001C4AB8">
        <w:rPr>
          <w:rFonts w:ascii="Times New Roman" w:hAnsi="Times New Roman" w:cs="Times New Roman"/>
          <w:color w:val="000000" w:themeColor="text1"/>
          <w:sz w:val="24"/>
          <w:szCs w:val="24"/>
        </w:rPr>
        <w:t>LEA</w:t>
      </w:r>
      <w:r w:rsidRPr="005175B4" w:rsidR="0073399B">
        <w:rPr>
          <w:rFonts w:ascii="Times New Roman" w:hAnsi="Times New Roman" w:cs="Times New Roman"/>
          <w:color w:val="000000" w:themeColor="text1"/>
          <w:sz w:val="24"/>
          <w:szCs w:val="24"/>
        </w:rPr>
        <w:t>s throughout the nation vol</w:t>
      </w:r>
      <w:r w:rsidRPr="00536916" w:rsidR="0073399B">
        <w:rPr>
          <w:rFonts w:ascii="Times New Roman" w:hAnsi="Times New Roman" w:cs="Times New Roman"/>
          <w:color w:val="000000" w:themeColor="text1"/>
          <w:sz w:val="24"/>
          <w:szCs w:val="24"/>
        </w:rPr>
        <w:t>untarily participating in the FBI UCR Program’s H</w:t>
      </w:r>
      <w:r w:rsidR="00E648AB">
        <w:rPr>
          <w:rFonts w:ascii="Times New Roman" w:hAnsi="Times New Roman" w:cs="Times New Roman"/>
          <w:color w:val="000000" w:themeColor="text1"/>
          <w:sz w:val="24"/>
          <w:szCs w:val="24"/>
        </w:rPr>
        <w:t xml:space="preserve">ate </w:t>
      </w:r>
      <w:r w:rsidRPr="00536916" w:rsidR="0073399B">
        <w:rPr>
          <w:rFonts w:ascii="Times New Roman" w:hAnsi="Times New Roman" w:cs="Times New Roman"/>
          <w:color w:val="000000" w:themeColor="text1"/>
          <w:sz w:val="24"/>
          <w:szCs w:val="24"/>
        </w:rPr>
        <w:t>C</w:t>
      </w:r>
      <w:r w:rsidR="00E648AB">
        <w:rPr>
          <w:rFonts w:ascii="Times New Roman" w:hAnsi="Times New Roman" w:cs="Times New Roman"/>
          <w:color w:val="000000" w:themeColor="text1"/>
          <w:sz w:val="24"/>
          <w:szCs w:val="24"/>
        </w:rPr>
        <w:t xml:space="preserve">rime </w:t>
      </w:r>
      <w:r w:rsidRPr="00536916" w:rsidR="0073399B">
        <w:rPr>
          <w:rFonts w:ascii="Times New Roman" w:hAnsi="Times New Roman" w:cs="Times New Roman"/>
          <w:color w:val="000000" w:themeColor="text1"/>
          <w:sz w:val="24"/>
          <w:szCs w:val="24"/>
        </w:rPr>
        <w:t>D</w:t>
      </w:r>
      <w:r w:rsidR="00E648AB">
        <w:rPr>
          <w:rFonts w:ascii="Times New Roman" w:hAnsi="Times New Roman" w:cs="Times New Roman"/>
          <w:color w:val="000000" w:themeColor="text1"/>
          <w:sz w:val="24"/>
          <w:szCs w:val="24"/>
        </w:rPr>
        <w:t xml:space="preserve">ata </w:t>
      </w:r>
      <w:r w:rsidRPr="00536916" w:rsidR="0073399B">
        <w:rPr>
          <w:rFonts w:ascii="Times New Roman" w:hAnsi="Times New Roman" w:cs="Times New Roman"/>
          <w:color w:val="000000" w:themeColor="text1"/>
          <w:sz w:val="24"/>
          <w:szCs w:val="24"/>
        </w:rPr>
        <w:t>C</w:t>
      </w:r>
      <w:r w:rsidR="00E648AB">
        <w:rPr>
          <w:rFonts w:ascii="Times New Roman" w:hAnsi="Times New Roman" w:cs="Times New Roman"/>
          <w:color w:val="000000" w:themeColor="text1"/>
          <w:sz w:val="24"/>
          <w:szCs w:val="24"/>
        </w:rPr>
        <w:t>ollection</w:t>
      </w:r>
      <w:r w:rsidRPr="00536916" w:rsidR="0073399B">
        <w:rPr>
          <w:rFonts w:ascii="Times New Roman" w:hAnsi="Times New Roman" w:cs="Times New Roman"/>
          <w:color w:val="000000" w:themeColor="text1"/>
          <w:sz w:val="24"/>
          <w:szCs w:val="24"/>
        </w:rPr>
        <w:t xml:space="preserve"> via the SRS.  In 2019, the total number of </w:t>
      </w:r>
      <w:r w:rsidRPr="004413CF" w:rsidR="0073399B">
        <w:rPr>
          <w:rFonts w:ascii="Times New Roman" w:hAnsi="Times New Roman" w:cs="Times New Roman"/>
          <w:color w:val="000000" w:themeColor="text1"/>
          <w:sz w:val="24"/>
          <w:szCs w:val="24"/>
        </w:rPr>
        <w:t xml:space="preserve">LEAs eligible to submit </w:t>
      </w:r>
      <w:r w:rsidRPr="004413CF" w:rsidR="00536916">
        <w:rPr>
          <w:rFonts w:ascii="Times New Roman" w:hAnsi="Times New Roman" w:cs="Times New Roman"/>
          <w:color w:val="000000" w:themeColor="text1"/>
          <w:sz w:val="24"/>
          <w:szCs w:val="24"/>
        </w:rPr>
        <w:t xml:space="preserve">hate crime </w:t>
      </w:r>
      <w:r w:rsidRPr="004413CF" w:rsidR="0073399B">
        <w:rPr>
          <w:rFonts w:ascii="Times New Roman" w:hAnsi="Times New Roman" w:cs="Times New Roman"/>
          <w:color w:val="000000" w:themeColor="text1"/>
          <w:sz w:val="24"/>
          <w:szCs w:val="24"/>
        </w:rPr>
        <w:t xml:space="preserve">data to the FBI UCR Program </w:t>
      </w:r>
      <w:r w:rsidRPr="004413CF" w:rsidR="00536916">
        <w:rPr>
          <w:rFonts w:ascii="Times New Roman" w:hAnsi="Times New Roman" w:cs="Times New Roman"/>
          <w:color w:val="000000" w:themeColor="text1"/>
          <w:sz w:val="24"/>
          <w:szCs w:val="24"/>
        </w:rPr>
        <w:t xml:space="preserve">via SRS </w:t>
      </w:r>
      <w:r w:rsidRPr="004413CF" w:rsidR="0073399B">
        <w:rPr>
          <w:rFonts w:ascii="Times New Roman" w:hAnsi="Times New Roman" w:cs="Times New Roman"/>
          <w:color w:val="000000" w:themeColor="text1"/>
          <w:sz w:val="24"/>
          <w:szCs w:val="24"/>
        </w:rPr>
        <w:t xml:space="preserve">was </w:t>
      </w:r>
      <w:r w:rsidRPr="004413CF" w:rsidR="00536916">
        <w:rPr>
          <w:rFonts w:ascii="Times New Roman" w:hAnsi="Times New Roman" w:cs="Times New Roman"/>
          <w:color w:val="000000" w:themeColor="text1"/>
          <w:sz w:val="24"/>
          <w:szCs w:val="24"/>
        </w:rPr>
        <w:t>8,876</w:t>
      </w:r>
      <w:r w:rsidRPr="004413CF" w:rsidR="0073399B">
        <w:rPr>
          <w:rFonts w:ascii="Times New Roman" w:hAnsi="Times New Roman" w:cs="Times New Roman"/>
          <w:color w:val="000000" w:themeColor="text1"/>
          <w:sz w:val="24"/>
          <w:szCs w:val="24"/>
        </w:rPr>
        <w:t xml:space="preserve">.  However, only </w:t>
      </w:r>
      <w:r w:rsidRPr="004413CF" w:rsidR="00536916">
        <w:rPr>
          <w:rFonts w:ascii="Times New Roman" w:hAnsi="Times New Roman" w:cs="Times New Roman"/>
          <w:color w:val="000000" w:themeColor="text1"/>
          <w:sz w:val="24"/>
          <w:szCs w:val="24"/>
        </w:rPr>
        <w:t>7,636</w:t>
      </w:r>
      <w:r w:rsidRPr="004413CF" w:rsidR="0073399B">
        <w:rPr>
          <w:rFonts w:ascii="Times New Roman" w:hAnsi="Times New Roman" w:cs="Times New Roman"/>
          <w:color w:val="000000" w:themeColor="text1"/>
          <w:sz w:val="24"/>
          <w:szCs w:val="24"/>
        </w:rPr>
        <w:t xml:space="preserve"> agencies submitted </w:t>
      </w:r>
      <w:r w:rsidRPr="004413CF" w:rsidR="00536916">
        <w:rPr>
          <w:rFonts w:ascii="Times New Roman" w:hAnsi="Times New Roman" w:cs="Times New Roman"/>
          <w:color w:val="000000" w:themeColor="text1"/>
          <w:sz w:val="24"/>
          <w:szCs w:val="24"/>
        </w:rPr>
        <w:t xml:space="preserve">hate crime </w:t>
      </w:r>
      <w:r w:rsidRPr="004413CF" w:rsidR="0073399B">
        <w:rPr>
          <w:rFonts w:ascii="Times New Roman" w:hAnsi="Times New Roman" w:cs="Times New Roman"/>
          <w:color w:val="000000" w:themeColor="text1"/>
          <w:sz w:val="24"/>
          <w:szCs w:val="24"/>
        </w:rPr>
        <w:t>data.  Of those,</w:t>
      </w:r>
      <w:r w:rsidRPr="004413CF" w:rsidR="00536916">
        <w:rPr>
          <w:rFonts w:ascii="Times New Roman" w:hAnsi="Times New Roman" w:cs="Times New Roman"/>
          <w:color w:val="000000" w:themeColor="text1"/>
          <w:sz w:val="24"/>
          <w:szCs w:val="24"/>
        </w:rPr>
        <w:t xml:space="preserve"> </w:t>
      </w:r>
      <w:r w:rsidR="00910108">
        <w:rPr>
          <w:rFonts w:ascii="Times New Roman" w:hAnsi="Times New Roman" w:cs="Times New Roman"/>
          <w:color w:val="000000" w:themeColor="text1"/>
          <w:sz w:val="24"/>
          <w:szCs w:val="24"/>
        </w:rPr>
        <w:t>4,953</w:t>
      </w:r>
      <w:r w:rsidRPr="004413CF" w:rsidR="00536916">
        <w:rPr>
          <w:rFonts w:ascii="Times New Roman" w:hAnsi="Times New Roman" w:cs="Times New Roman"/>
          <w:color w:val="000000" w:themeColor="text1"/>
          <w:sz w:val="24"/>
          <w:szCs w:val="24"/>
        </w:rPr>
        <w:t xml:space="preserve"> (</w:t>
      </w:r>
      <w:r w:rsidR="00910108">
        <w:rPr>
          <w:rFonts w:ascii="Times New Roman" w:hAnsi="Times New Roman" w:cs="Times New Roman"/>
          <w:color w:val="000000" w:themeColor="text1"/>
          <w:sz w:val="24"/>
          <w:szCs w:val="24"/>
        </w:rPr>
        <w:t>64.9</w:t>
      </w:r>
      <w:r w:rsidRPr="004413CF" w:rsidR="00536916">
        <w:rPr>
          <w:rFonts w:ascii="Times New Roman" w:hAnsi="Times New Roman" w:cs="Times New Roman"/>
          <w:color w:val="000000" w:themeColor="text1"/>
          <w:sz w:val="24"/>
          <w:szCs w:val="24"/>
        </w:rPr>
        <w:t xml:space="preserve"> percent) reported a full year, while t</w:t>
      </w:r>
      <w:r w:rsidRPr="004413CF" w:rsidR="0073399B">
        <w:rPr>
          <w:rFonts w:ascii="Times New Roman" w:hAnsi="Times New Roman" w:cs="Times New Roman"/>
          <w:color w:val="000000" w:themeColor="text1"/>
          <w:sz w:val="24"/>
          <w:szCs w:val="24"/>
        </w:rPr>
        <w:t xml:space="preserve">he remaining </w:t>
      </w:r>
      <w:r w:rsidR="00910108">
        <w:rPr>
          <w:rFonts w:ascii="Times New Roman" w:hAnsi="Times New Roman" w:cs="Times New Roman"/>
          <w:color w:val="000000" w:themeColor="text1"/>
          <w:sz w:val="24"/>
          <w:szCs w:val="24"/>
        </w:rPr>
        <w:t>35.1</w:t>
      </w:r>
      <w:r w:rsidR="00007F0B">
        <w:rPr>
          <w:rFonts w:ascii="Times New Roman" w:hAnsi="Times New Roman" w:cs="Times New Roman"/>
          <w:color w:val="000000" w:themeColor="text1"/>
          <w:sz w:val="24"/>
          <w:szCs w:val="24"/>
        </w:rPr>
        <w:t> </w:t>
      </w:r>
      <w:r w:rsidRPr="004413CF" w:rsidR="00536916">
        <w:rPr>
          <w:rFonts w:ascii="Times New Roman" w:hAnsi="Times New Roman" w:cs="Times New Roman"/>
          <w:color w:val="000000" w:themeColor="text1"/>
          <w:sz w:val="24"/>
          <w:szCs w:val="24"/>
        </w:rPr>
        <w:t>percent reported 1-3 quarters of hate crime</w:t>
      </w:r>
      <w:r w:rsidRPr="004413CF" w:rsidR="006334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 to the FBI UCR Program.  The </w:t>
      </w:r>
      <w:r w:rsidRPr="004413CF" w:rsidR="0073399B">
        <w:rPr>
          <w:rFonts w:ascii="Times New Roman" w:hAnsi="Times New Roman" w:cs="Times New Roman"/>
          <w:color w:val="000000" w:themeColor="text1"/>
          <w:sz w:val="24"/>
          <w:szCs w:val="24"/>
        </w:rPr>
        <w:t xml:space="preserve">table below shows the number of LEAs eligible to submit data via SRS </w:t>
      </w:r>
      <w:r>
        <w:rPr>
          <w:rFonts w:ascii="Times New Roman" w:hAnsi="Times New Roman" w:cs="Times New Roman"/>
          <w:color w:val="000000" w:themeColor="text1"/>
          <w:sz w:val="24"/>
          <w:szCs w:val="24"/>
        </w:rPr>
        <w:t xml:space="preserve">in 2019 </w:t>
      </w:r>
      <w:r w:rsidRPr="004413CF" w:rsidR="0073399B">
        <w:rPr>
          <w:rFonts w:ascii="Times New Roman" w:hAnsi="Times New Roman" w:cs="Times New Roman"/>
          <w:color w:val="000000" w:themeColor="text1"/>
          <w:sz w:val="24"/>
          <w:szCs w:val="24"/>
        </w:rPr>
        <w:t xml:space="preserve">and the number of </w:t>
      </w:r>
      <w:r w:rsidRPr="004413CF" w:rsidR="00536916">
        <w:rPr>
          <w:rFonts w:ascii="Times New Roman" w:hAnsi="Times New Roman" w:cs="Times New Roman"/>
          <w:color w:val="000000" w:themeColor="text1"/>
          <w:sz w:val="24"/>
          <w:szCs w:val="24"/>
        </w:rPr>
        <w:t>quarters</w:t>
      </w:r>
      <w:r w:rsidRPr="004413CF" w:rsidR="0073399B">
        <w:rPr>
          <w:rFonts w:ascii="Times New Roman" w:hAnsi="Times New Roman" w:cs="Times New Roman"/>
          <w:color w:val="000000" w:themeColor="text1"/>
          <w:sz w:val="24"/>
          <w:szCs w:val="24"/>
        </w:rPr>
        <w:t xml:space="preserve"> submitted.</w:t>
      </w:r>
      <w:r>
        <w:rPr>
          <w:rFonts w:ascii="Times New Roman" w:hAnsi="Times New Roman" w:cs="Times New Roman"/>
          <w:color w:val="000000" w:themeColor="text1"/>
          <w:sz w:val="24"/>
          <w:szCs w:val="24"/>
        </w:rPr>
        <w:t xml:space="preserve">  SRS agencies are no longer permitted </w:t>
      </w:r>
      <w:r w:rsidR="001B14DE">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submit new hate crime incidents.  However, the FBI UCR Program will accept updates to bias-motivated incidents previously reported by SRS agencies.   </w:t>
      </w:r>
    </w:p>
    <w:p w:rsidRPr="004413CF" w:rsidR="00E4629E" w:rsidP="00536916" w:rsidRDefault="00E4629E" w14:paraId="5DAB6C7B" w14:textId="77777777">
      <w:pPr>
        <w:pStyle w:val="ListParagraph"/>
        <w:spacing w:after="0" w:line="240" w:lineRule="auto"/>
        <w:rPr>
          <w:rFonts w:ascii="Times New Roman" w:hAnsi="Times New Roman" w:cs="Times New Roman"/>
          <w:color w:val="000000" w:themeColor="text1"/>
          <w:sz w:val="24"/>
          <w:szCs w:val="24"/>
        </w:rPr>
      </w:pPr>
    </w:p>
    <w:tbl>
      <w:tblPr>
        <w:tblStyle w:val="TableGrid"/>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77"/>
        <w:gridCol w:w="1843"/>
      </w:tblGrid>
      <w:tr w:rsidRPr="004413CF" w:rsidR="004413CF" w:rsidTr="00633490" w14:paraId="73D1D8BA" w14:textId="77777777">
        <w:trPr>
          <w:trHeight w:val="350"/>
          <w:jc w:val="center"/>
        </w:trPr>
        <w:tc>
          <w:tcPr>
            <w:tcW w:w="4320" w:type="dxa"/>
            <w:gridSpan w:val="2"/>
            <w:tcBorders>
              <w:bottom w:val="single" w:color="auto" w:sz="8" w:space="0"/>
            </w:tcBorders>
          </w:tcPr>
          <w:p w:rsidRPr="004413CF" w:rsidR="0073399B" w:rsidP="00536916" w:rsidRDefault="00E4629E" w14:paraId="620A5292" w14:textId="77777777">
            <w:pPr>
              <w:tabs>
                <w:tab w:val="left" w:pos="360"/>
              </w:tabs>
              <w:contextualSpacing/>
              <w:rPr>
                <w:rFonts w:ascii="Times New Roman" w:hAnsi="Times New Roman"/>
                <w:b/>
                <w:color w:val="000000" w:themeColor="text1"/>
                <w:sz w:val="20"/>
                <w:szCs w:val="20"/>
              </w:rPr>
            </w:pPr>
            <w:r w:rsidRPr="004413CF">
              <w:rPr>
                <w:rFonts w:ascii="Times New Roman" w:hAnsi="Times New Roman"/>
                <w:b/>
                <w:color w:val="000000" w:themeColor="text1"/>
                <w:sz w:val="20"/>
                <w:szCs w:val="20"/>
              </w:rPr>
              <w:t>Number of Agencies by Number of Quarters of Data Submitted, 2019</w:t>
            </w:r>
          </w:p>
        </w:tc>
      </w:tr>
      <w:tr w:rsidRPr="004413CF" w:rsidR="004413CF" w:rsidTr="00633490" w14:paraId="6FFBBCC6" w14:textId="77777777">
        <w:trPr>
          <w:trHeight w:val="350"/>
          <w:jc w:val="center"/>
        </w:trPr>
        <w:tc>
          <w:tcPr>
            <w:tcW w:w="2477" w:type="dxa"/>
            <w:tcBorders>
              <w:top w:val="single" w:color="auto" w:sz="8" w:space="0"/>
              <w:bottom w:val="single" w:color="auto" w:sz="8" w:space="0"/>
            </w:tcBorders>
            <w:vAlign w:val="center"/>
          </w:tcPr>
          <w:p w:rsidRPr="004413CF" w:rsidR="00E4629E" w:rsidP="00536916" w:rsidRDefault="0073399B" w14:paraId="7350C4A0" w14:textId="77777777">
            <w:pPr>
              <w:tabs>
                <w:tab w:val="left" w:pos="360"/>
              </w:tabs>
              <w:contextualSpacing/>
              <w:rPr>
                <w:rFonts w:ascii="Times New Roman" w:hAnsi="Times New Roman"/>
                <w:b/>
                <w:color w:val="000000" w:themeColor="text1"/>
                <w:sz w:val="20"/>
                <w:szCs w:val="20"/>
              </w:rPr>
            </w:pPr>
            <w:r w:rsidRPr="004413CF">
              <w:rPr>
                <w:rFonts w:ascii="Times New Roman" w:hAnsi="Times New Roman"/>
                <w:b/>
                <w:color w:val="000000" w:themeColor="text1"/>
                <w:sz w:val="20"/>
                <w:szCs w:val="20"/>
              </w:rPr>
              <w:t xml:space="preserve">Number </w:t>
            </w:r>
          </w:p>
          <w:p w:rsidRPr="004413CF" w:rsidR="00E4629E" w:rsidP="00536916" w:rsidRDefault="0073399B" w14:paraId="2F169DA9" w14:textId="77777777">
            <w:pPr>
              <w:tabs>
                <w:tab w:val="left" w:pos="360"/>
              </w:tabs>
              <w:contextualSpacing/>
              <w:rPr>
                <w:rFonts w:ascii="Times New Roman" w:hAnsi="Times New Roman"/>
                <w:b/>
                <w:color w:val="000000" w:themeColor="text1"/>
                <w:sz w:val="20"/>
                <w:szCs w:val="20"/>
              </w:rPr>
            </w:pPr>
            <w:r w:rsidRPr="004413CF">
              <w:rPr>
                <w:rFonts w:ascii="Times New Roman" w:hAnsi="Times New Roman"/>
                <w:b/>
                <w:color w:val="000000" w:themeColor="text1"/>
                <w:sz w:val="20"/>
                <w:szCs w:val="20"/>
              </w:rPr>
              <w:t xml:space="preserve">of </w:t>
            </w:r>
          </w:p>
          <w:p w:rsidRPr="004413CF" w:rsidR="0073399B" w:rsidP="00536916" w:rsidRDefault="0073399B" w14:paraId="706D1388" w14:textId="77777777">
            <w:pPr>
              <w:tabs>
                <w:tab w:val="left" w:pos="360"/>
              </w:tabs>
              <w:contextualSpacing/>
              <w:rPr>
                <w:rFonts w:ascii="Times New Roman" w:hAnsi="Times New Roman"/>
                <w:b/>
                <w:color w:val="000000" w:themeColor="text1"/>
                <w:sz w:val="20"/>
                <w:szCs w:val="20"/>
              </w:rPr>
            </w:pPr>
            <w:r w:rsidRPr="004413CF">
              <w:rPr>
                <w:rFonts w:ascii="Times New Roman" w:hAnsi="Times New Roman"/>
                <w:b/>
                <w:color w:val="000000" w:themeColor="text1"/>
                <w:sz w:val="20"/>
                <w:szCs w:val="20"/>
              </w:rPr>
              <w:t>Quarters</w:t>
            </w:r>
          </w:p>
        </w:tc>
        <w:tc>
          <w:tcPr>
            <w:tcW w:w="1843" w:type="dxa"/>
            <w:tcBorders>
              <w:top w:val="single" w:color="auto" w:sz="8" w:space="0"/>
              <w:bottom w:val="single" w:color="auto" w:sz="8" w:space="0"/>
            </w:tcBorders>
            <w:vAlign w:val="center"/>
          </w:tcPr>
          <w:p w:rsidRPr="004413CF" w:rsidR="00E4629E" w:rsidP="00536916" w:rsidRDefault="0073399B" w14:paraId="1D7944FE" w14:textId="77777777">
            <w:pPr>
              <w:tabs>
                <w:tab w:val="left" w:pos="360"/>
              </w:tabs>
              <w:contextualSpacing/>
              <w:jc w:val="right"/>
              <w:rPr>
                <w:rFonts w:ascii="Times New Roman" w:hAnsi="Times New Roman"/>
                <w:b/>
                <w:color w:val="000000" w:themeColor="text1"/>
                <w:sz w:val="20"/>
                <w:szCs w:val="20"/>
              </w:rPr>
            </w:pPr>
            <w:r w:rsidRPr="004413CF">
              <w:rPr>
                <w:rFonts w:ascii="Times New Roman" w:hAnsi="Times New Roman"/>
                <w:b/>
                <w:color w:val="000000" w:themeColor="text1"/>
                <w:sz w:val="20"/>
                <w:szCs w:val="20"/>
              </w:rPr>
              <w:t xml:space="preserve">Number </w:t>
            </w:r>
          </w:p>
          <w:p w:rsidRPr="004413CF" w:rsidR="00E4629E" w:rsidP="00536916" w:rsidRDefault="0073399B" w14:paraId="12110335" w14:textId="77777777">
            <w:pPr>
              <w:tabs>
                <w:tab w:val="left" w:pos="360"/>
              </w:tabs>
              <w:contextualSpacing/>
              <w:jc w:val="right"/>
              <w:rPr>
                <w:rFonts w:ascii="Times New Roman" w:hAnsi="Times New Roman"/>
                <w:b/>
                <w:color w:val="000000" w:themeColor="text1"/>
                <w:sz w:val="20"/>
                <w:szCs w:val="20"/>
              </w:rPr>
            </w:pPr>
            <w:r w:rsidRPr="004413CF">
              <w:rPr>
                <w:rFonts w:ascii="Times New Roman" w:hAnsi="Times New Roman"/>
                <w:b/>
                <w:color w:val="000000" w:themeColor="text1"/>
                <w:sz w:val="20"/>
                <w:szCs w:val="20"/>
              </w:rPr>
              <w:t xml:space="preserve">of </w:t>
            </w:r>
          </w:p>
          <w:p w:rsidRPr="004413CF" w:rsidR="0073399B" w:rsidP="00536916" w:rsidRDefault="0073399B" w14:paraId="2DE13C9F" w14:textId="77777777">
            <w:pPr>
              <w:tabs>
                <w:tab w:val="left" w:pos="360"/>
              </w:tabs>
              <w:contextualSpacing/>
              <w:jc w:val="right"/>
              <w:rPr>
                <w:rFonts w:ascii="Times New Roman" w:hAnsi="Times New Roman"/>
                <w:b/>
                <w:color w:val="000000" w:themeColor="text1"/>
                <w:sz w:val="20"/>
                <w:szCs w:val="20"/>
              </w:rPr>
            </w:pPr>
            <w:r w:rsidRPr="004413CF">
              <w:rPr>
                <w:rFonts w:ascii="Times New Roman" w:hAnsi="Times New Roman"/>
                <w:b/>
                <w:color w:val="000000" w:themeColor="text1"/>
                <w:sz w:val="20"/>
                <w:szCs w:val="20"/>
              </w:rPr>
              <w:t>Agencies</w:t>
            </w:r>
          </w:p>
        </w:tc>
      </w:tr>
      <w:tr w:rsidRPr="004413CF" w:rsidR="004413CF" w:rsidTr="00633490" w14:paraId="33D57C13" w14:textId="77777777">
        <w:trPr>
          <w:trHeight w:val="350"/>
          <w:jc w:val="center"/>
        </w:trPr>
        <w:tc>
          <w:tcPr>
            <w:tcW w:w="2477" w:type="dxa"/>
            <w:tcBorders>
              <w:top w:val="single" w:color="auto" w:sz="8" w:space="0"/>
            </w:tcBorders>
            <w:vAlign w:val="center"/>
          </w:tcPr>
          <w:p w:rsidRPr="004413CF" w:rsidR="00E4629E" w:rsidP="00536916" w:rsidRDefault="00E4629E" w14:paraId="29D8C8BA" w14:textId="77777777">
            <w:pPr>
              <w:tabs>
                <w:tab w:val="left" w:pos="360"/>
              </w:tabs>
              <w:contextualSpacing/>
              <w:rPr>
                <w:rFonts w:ascii="Times New Roman" w:hAnsi="Times New Roman"/>
                <w:color w:val="000000" w:themeColor="text1"/>
                <w:sz w:val="20"/>
                <w:szCs w:val="20"/>
              </w:rPr>
            </w:pPr>
            <w:r w:rsidRPr="004413CF">
              <w:rPr>
                <w:rFonts w:ascii="Times New Roman" w:hAnsi="Times New Roman"/>
                <w:color w:val="000000" w:themeColor="text1"/>
                <w:sz w:val="20"/>
                <w:szCs w:val="20"/>
              </w:rPr>
              <w:t>0 quarters</w:t>
            </w:r>
          </w:p>
        </w:tc>
        <w:tc>
          <w:tcPr>
            <w:tcW w:w="1843" w:type="dxa"/>
            <w:tcBorders>
              <w:top w:val="single" w:color="auto" w:sz="8" w:space="0"/>
            </w:tcBorders>
            <w:vAlign w:val="center"/>
          </w:tcPr>
          <w:p w:rsidRPr="004413CF" w:rsidR="00E4629E" w:rsidP="00536916" w:rsidRDefault="00536916" w14:paraId="70E4B50D" w14:textId="77777777">
            <w:pPr>
              <w:tabs>
                <w:tab w:val="left" w:pos="360"/>
              </w:tabs>
              <w:contextualSpacing/>
              <w:jc w:val="right"/>
              <w:rPr>
                <w:rFonts w:ascii="Times New Roman" w:hAnsi="Times New Roman"/>
                <w:color w:val="000000" w:themeColor="text1"/>
                <w:sz w:val="20"/>
                <w:szCs w:val="20"/>
              </w:rPr>
            </w:pPr>
            <w:r w:rsidRPr="004413CF">
              <w:rPr>
                <w:rFonts w:ascii="Times New Roman" w:hAnsi="Times New Roman"/>
                <w:color w:val="000000" w:themeColor="text1"/>
                <w:sz w:val="20"/>
                <w:szCs w:val="20"/>
              </w:rPr>
              <w:t>1,240</w:t>
            </w:r>
          </w:p>
        </w:tc>
      </w:tr>
      <w:tr w:rsidRPr="004413CF" w:rsidR="004413CF" w:rsidTr="00633490" w14:paraId="2B552140" w14:textId="77777777">
        <w:trPr>
          <w:trHeight w:val="350"/>
          <w:jc w:val="center"/>
        </w:trPr>
        <w:tc>
          <w:tcPr>
            <w:tcW w:w="2477" w:type="dxa"/>
            <w:vAlign w:val="center"/>
          </w:tcPr>
          <w:p w:rsidRPr="004413CF" w:rsidR="0073399B" w:rsidP="00536916" w:rsidRDefault="0073399B" w14:paraId="1287FA1A" w14:textId="77777777">
            <w:pPr>
              <w:tabs>
                <w:tab w:val="left" w:pos="360"/>
              </w:tabs>
              <w:contextualSpacing/>
              <w:rPr>
                <w:rFonts w:ascii="Times New Roman" w:hAnsi="Times New Roman"/>
                <w:color w:val="000000" w:themeColor="text1"/>
                <w:sz w:val="20"/>
                <w:szCs w:val="20"/>
              </w:rPr>
            </w:pPr>
            <w:r w:rsidRPr="004413CF">
              <w:rPr>
                <w:rFonts w:ascii="Times New Roman" w:hAnsi="Times New Roman"/>
                <w:color w:val="000000" w:themeColor="text1"/>
                <w:sz w:val="20"/>
                <w:szCs w:val="20"/>
              </w:rPr>
              <w:t>1 quarter</w:t>
            </w:r>
          </w:p>
        </w:tc>
        <w:tc>
          <w:tcPr>
            <w:tcW w:w="1843" w:type="dxa"/>
            <w:vAlign w:val="center"/>
          </w:tcPr>
          <w:p w:rsidRPr="004413CF" w:rsidR="0073399B" w:rsidP="00536916" w:rsidRDefault="004413CF" w14:paraId="67BA9507" w14:textId="77777777">
            <w:pPr>
              <w:tabs>
                <w:tab w:val="left" w:pos="360"/>
              </w:tabs>
              <w:contextualSpacing/>
              <w:jc w:val="right"/>
              <w:rPr>
                <w:rFonts w:ascii="Times New Roman" w:hAnsi="Times New Roman"/>
                <w:color w:val="000000" w:themeColor="text1"/>
                <w:sz w:val="20"/>
                <w:szCs w:val="20"/>
              </w:rPr>
            </w:pPr>
            <w:r w:rsidRPr="004413CF">
              <w:rPr>
                <w:rFonts w:ascii="Times New Roman" w:hAnsi="Times New Roman"/>
                <w:color w:val="000000" w:themeColor="text1"/>
                <w:sz w:val="20"/>
                <w:szCs w:val="20"/>
              </w:rPr>
              <w:t>431</w:t>
            </w:r>
          </w:p>
        </w:tc>
      </w:tr>
      <w:tr w:rsidRPr="004413CF" w:rsidR="004413CF" w:rsidTr="00633490" w14:paraId="7DDD6C14" w14:textId="77777777">
        <w:trPr>
          <w:trHeight w:val="350"/>
          <w:jc w:val="center"/>
        </w:trPr>
        <w:tc>
          <w:tcPr>
            <w:tcW w:w="2477" w:type="dxa"/>
            <w:vAlign w:val="center"/>
          </w:tcPr>
          <w:p w:rsidRPr="004413CF" w:rsidR="0073399B" w:rsidP="00536916" w:rsidRDefault="0073399B" w14:paraId="389B2D6E" w14:textId="77777777">
            <w:pPr>
              <w:tabs>
                <w:tab w:val="left" w:pos="360"/>
              </w:tabs>
              <w:contextualSpacing/>
              <w:rPr>
                <w:rFonts w:ascii="Times New Roman" w:hAnsi="Times New Roman"/>
                <w:color w:val="000000" w:themeColor="text1"/>
                <w:sz w:val="20"/>
                <w:szCs w:val="20"/>
              </w:rPr>
            </w:pPr>
            <w:r w:rsidRPr="004413CF">
              <w:rPr>
                <w:rFonts w:ascii="Times New Roman" w:hAnsi="Times New Roman"/>
                <w:color w:val="000000" w:themeColor="text1"/>
                <w:sz w:val="20"/>
                <w:szCs w:val="20"/>
              </w:rPr>
              <w:t>2 quarters</w:t>
            </w:r>
          </w:p>
        </w:tc>
        <w:tc>
          <w:tcPr>
            <w:tcW w:w="1843" w:type="dxa"/>
            <w:vAlign w:val="center"/>
          </w:tcPr>
          <w:p w:rsidRPr="004413CF" w:rsidR="0073399B" w:rsidP="00536916" w:rsidRDefault="004413CF" w14:paraId="70324C3C" w14:textId="77777777">
            <w:pPr>
              <w:tabs>
                <w:tab w:val="left" w:pos="360"/>
              </w:tabs>
              <w:contextualSpacing/>
              <w:jc w:val="right"/>
              <w:rPr>
                <w:rFonts w:ascii="Times New Roman" w:hAnsi="Times New Roman"/>
                <w:color w:val="000000" w:themeColor="text1"/>
                <w:sz w:val="20"/>
                <w:szCs w:val="20"/>
              </w:rPr>
            </w:pPr>
            <w:r w:rsidRPr="004413CF">
              <w:rPr>
                <w:rFonts w:ascii="Times New Roman" w:hAnsi="Times New Roman"/>
                <w:color w:val="000000" w:themeColor="text1"/>
                <w:sz w:val="20"/>
                <w:szCs w:val="20"/>
              </w:rPr>
              <w:t>647</w:t>
            </w:r>
          </w:p>
        </w:tc>
      </w:tr>
      <w:tr w:rsidRPr="004413CF" w:rsidR="004413CF" w:rsidTr="00633490" w14:paraId="617473C6" w14:textId="77777777">
        <w:trPr>
          <w:trHeight w:val="350"/>
          <w:jc w:val="center"/>
        </w:trPr>
        <w:tc>
          <w:tcPr>
            <w:tcW w:w="2477" w:type="dxa"/>
            <w:vAlign w:val="center"/>
          </w:tcPr>
          <w:p w:rsidRPr="004413CF" w:rsidR="0073399B" w:rsidP="00536916" w:rsidRDefault="0073399B" w14:paraId="005C8B1F" w14:textId="77777777">
            <w:pPr>
              <w:tabs>
                <w:tab w:val="left" w:pos="360"/>
              </w:tabs>
              <w:contextualSpacing/>
              <w:rPr>
                <w:rFonts w:ascii="Times New Roman" w:hAnsi="Times New Roman"/>
                <w:color w:val="000000" w:themeColor="text1"/>
                <w:sz w:val="20"/>
                <w:szCs w:val="20"/>
              </w:rPr>
            </w:pPr>
            <w:r w:rsidRPr="004413CF">
              <w:rPr>
                <w:rFonts w:ascii="Times New Roman" w:hAnsi="Times New Roman"/>
                <w:color w:val="000000" w:themeColor="text1"/>
                <w:sz w:val="20"/>
                <w:szCs w:val="20"/>
              </w:rPr>
              <w:t>3 quarters</w:t>
            </w:r>
          </w:p>
        </w:tc>
        <w:tc>
          <w:tcPr>
            <w:tcW w:w="1843" w:type="dxa"/>
            <w:vAlign w:val="center"/>
          </w:tcPr>
          <w:p w:rsidRPr="004413CF" w:rsidR="0073399B" w:rsidP="00536916" w:rsidRDefault="004413CF" w14:paraId="29EE72C5" w14:textId="77777777">
            <w:pPr>
              <w:tabs>
                <w:tab w:val="left" w:pos="360"/>
              </w:tabs>
              <w:contextualSpacing/>
              <w:jc w:val="right"/>
              <w:rPr>
                <w:rFonts w:ascii="Times New Roman" w:hAnsi="Times New Roman"/>
                <w:color w:val="000000" w:themeColor="text1"/>
                <w:sz w:val="20"/>
                <w:szCs w:val="20"/>
              </w:rPr>
            </w:pPr>
            <w:r w:rsidRPr="004413CF">
              <w:rPr>
                <w:rFonts w:ascii="Times New Roman" w:hAnsi="Times New Roman"/>
                <w:color w:val="000000" w:themeColor="text1"/>
                <w:sz w:val="20"/>
                <w:szCs w:val="20"/>
              </w:rPr>
              <w:t>1,605</w:t>
            </w:r>
          </w:p>
        </w:tc>
      </w:tr>
      <w:tr w:rsidRPr="004413CF" w:rsidR="004413CF" w:rsidTr="00633490" w14:paraId="7061A1CC" w14:textId="77777777">
        <w:trPr>
          <w:trHeight w:val="350"/>
          <w:jc w:val="center"/>
        </w:trPr>
        <w:tc>
          <w:tcPr>
            <w:tcW w:w="2477" w:type="dxa"/>
            <w:tcBorders>
              <w:bottom w:val="single" w:color="auto" w:sz="8" w:space="0"/>
            </w:tcBorders>
            <w:vAlign w:val="center"/>
          </w:tcPr>
          <w:p w:rsidRPr="004413CF" w:rsidR="0073399B" w:rsidP="00536916" w:rsidRDefault="0073399B" w14:paraId="7D65A183" w14:textId="77777777">
            <w:pPr>
              <w:tabs>
                <w:tab w:val="left" w:pos="360"/>
              </w:tabs>
              <w:contextualSpacing/>
              <w:rPr>
                <w:rFonts w:ascii="Times New Roman" w:hAnsi="Times New Roman"/>
                <w:color w:val="000000" w:themeColor="text1"/>
                <w:sz w:val="20"/>
                <w:szCs w:val="20"/>
              </w:rPr>
            </w:pPr>
            <w:r w:rsidRPr="004413CF">
              <w:rPr>
                <w:rFonts w:ascii="Times New Roman" w:hAnsi="Times New Roman"/>
                <w:color w:val="000000" w:themeColor="text1"/>
                <w:sz w:val="20"/>
                <w:szCs w:val="20"/>
              </w:rPr>
              <w:t>4 quarters</w:t>
            </w:r>
          </w:p>
        </w:tc>
        <w:tc>
          <w:tcPr>
            <w:tcW w:w="1843" w:type="dxa"/>
            <w:tcBorders>
              <w:bottom w:val="single" w:color="auto" w:sz="8" w:space="0"/>
            </w:tcBorders>
            <w:vAlign w:val="center"/>
          </w:tcPr>
          <w:p w:rsidRPr="004413CF" w:rsidR="0073399B" w:rsidP="00536916" w:rsidRDefault="004413CF" w14:paraId="33395269" w14:textId="77777777">
            <w:pPr>
              <w:tabs>
                <w:tab w:val="left" w:pos="360"/>
              </w:tabs>
              <w:contextualSpacing/>
              <w:jc w:val="right"/>
              <w:rPr>
                <w:rFonts w:ascii="Times New Roman" w:hAnsi="Times New Roman"/>
                <w:color w:val="000000" w:themeColor="text1"/>
                <w:sz w:val="20"/>
                <w:szCs w:val="20"/>
              </w:rPr>
            </w:pPr>
            <w:r w:rsidRPr="004413CF">
              <w:rPr>
                <w:rFonts w:ascii="Times New Roman" w:hAnsi="Times New Roman"/>
                <w:color w:val="000000" w:themeColor="text1"/>
                <w:sz w:val="20"/>
                <w:szCs w:val="20"/>
              </w:rPr>
              <w:t>4,953</w:t>
            </w:r>
          </w:p>
        </w:tc>
      </w:tr>
      <w:tr w:rsidRPr="004413CF" w:rsidR="000F05A3" w:rsidTr="00633490" w14:paraId="4EEA6332" w14:textId="77777777">
        <w:trPr>
          <w:trHeight w:val="368"/>
          <w:jc w:val="center"/>
        </w:trPr>
        <w:tc>
          <w:tcPr>
            <w:tcW w:w="2477" w:type="dxa"/>
            <w:tcBorders>
              <w:top w:val="single" w:color="auto" w:sz="8" w:space="0"/>
              <w:bottom w:val="single" w:color="auto" w:sz="8" w:space="0"/>
            </w:tcBorders>
            <w:vAlign w:val="center"/>
          </w:tcPr>
          <w:p w:rsidRPr="004413CF" w:rsidR="0073399B" w:rsidP="00536916" w:rsidRDefault="0073399B" w14:paraId="46FE0C09" w14:textId="77777777">
            <w:pPr>
              <w:tabs>
                <w:tab w:val="left" w:pos="360"/>
              </w:tabs>
              <w:contextualSpacing/>
              <w:rPr>
                <w:rFonts w:ascii="Times New Roman" w:hAnsi="Times New Roman"/>
                <w:b/>
                <w:color w:val="000000" w:themeColor="text1"/>
                <w:sz w:val="20"/>
                <w:szCs w:val="20"/>
              </w:rPr>
            </w:pPr>
            <w:r w:rsidRPr="004413CF">
              <w:rPr>
                <w:rFonts w:ascii="Times New Roman" w:hAnsi="Times New Roman"/>
                <w:b/>
                <w:color w:val="000000" w:themeColor="text1"/>
                <w:sz w:val="20"/>
                <w:szCs w:val="20"/>
              </w:rPr>
              <w:t>Total</w:t>
            </w:r>
          </w:p>
        </w:tc>
        <w:tc>
          <w:tcPr>
            <w:tcW w:w="1843" w:type="dxa"/>
            <w:tcBorders>
              <w:top w:val="single" w:color="auto" w:sz="8" w:space="0"/>
              <w:bottom w:val="single" w:color="auto" w:sz="8" w:space="0"/>
            </w:tcBorders>
            <w:vAlign w:val="center"/>
          </w:tcPr>
          <w:p w:rsidRPr="004413CF" w:rsidR="0073399B" w:rsidP="00536916" w:rsidRDefault="00536916" w14:paraId="6EC5C3C7" w14:textId="77777777">
            <w:pPr>
              <w:tabs>
                <w:tab w:val="left" w:pos="360"/>
              </w:tabs>
              <w:contextualSpacing/>
              <w:jc w:val="right"/>
              <w:rPr>
                <w:rFonts w:ascii="Times New Roman" w:hAnsi="Times New Roman"/>
                <w:b/>
                <w:color w:val="000000" w:themeColor="text1"/>
                <w:sz w:val="20"/>
                <w:szCs w:val="20"/>
              </w:rPr>
            </w:pPr>
            <w:r w:rsidRPr="004413CF">
              <w:rPr>
                <w:rFonts w:ascii="Times New Roman" w:hAnsi="Times New Roman"/>
                <w:b/>
                <w:color w:val="000000" w:themeColor="text1"/>
                <w:sz w:val="20"/>
                <w:szCs w:val="20"/>
              </w:rPr>
              <w:t>8,876</w:t>
            </w:r>
          </w:p>
        </w:tc>
      </w:tr>
    </w:tbl>
    <w:p w:rsidRPr="004413CF" w:rsidR="0073399B" w:rsidP="00536916" w:rsidRDefault="0073399B" w14:paraId="02EB378F" w14:textId="77777777">
      <w:pPr>
        <w:pStyle w:val="ListParagraph"/>
        <w:spacing w:after="0" w:line="240" w:lineRule="auto"/>
        <w:rPr>
          <w:rFonts w:ascii="Times New Roman" w:hAnsi="Times New Roman" w:cs="Times New Roman"/>
          <w:color w:val="000000" w:themeColor="text1"/>
          <w:sz w:val="24"/>
          <w:szCs w:val="24"/>
        </w:rPr>
      </w:pPr>
    </w:p>
    <w:p w:rsidRPr="004413CF" w:rsidR="0073399B" w:rsidP="00536916" w:rsidRDefault="0073399B" w14:paraId="6A05A809" w14:textId="77777777">
      <w:pPr>
        <w:pStyle w:val="ListParagraph"/>
        <w:spacing w:after="0" w:line="240" w:lineRule="auto"/>
        <w:rPr>
          <w:rFonts w:ascii="Times New Roman" w:hAnsi="Times New Roman" w:cs="Times New Roman"/>
          <w:color w:val="000000" w:themeColor="text1"/>
          <w:sz w:val="24"/>
          <w:szCs w:val="24"/>
        </w:rPr>
      </w:pPr>
    </w:p>
    <w:p w:rsidRPr="00633490" w:rsidR="00E4629E" w:rsidP="00536916" w:rsidRDefault="00F21C06" w14:paraId="0FC9A7D0" w14:textId="77777777">
      <w:pPr>
        <w:pStyle w:val="ListParagraph"/>
        <w:spacing w:after="0" w:line="240" w:lineRule="auto"/>
        <w:ind w:right="-180"/>
        <w:rPr>
          <w:rFonts w:ascii="Times New Roman" w:hAnsi="Times New Roman" w:cs="Times New Roman"/>
          <w:color w:val="000000" w:themeColor="text1"/>
          <w:sz w:val="24"/>
          <w:szCs w:val="24"/>
        </w:rPr>
      </w:pPr>
      <w:r w:rsidRPr="004413CF">
        <w:rPr>
          <w:rFonts w:ascii="Times New Roman" w:hAnsi="Times New Roman" w:cs="Times New Roman"/>
          <w:color w:val="000000" w:themeColor="text1"/>
          <w:sz w:val="24"/>
          <w:szCs w:val="24"/>
        </w:rPr>
        <w:t xml:space="preserve">LEAs consist of </w:t>
      </w:r>
      <w:r w:rsidRPr="004413CF" w:rsidR="009119D5">
        <w:rPr>
          <w:rFonts w:ascii="Times New Roman" w:hAnsi="Times New Roman" w:cs="Times New Roman"/>
          <w:color w:val="000000" w:themeColor="text1"/>
          <w:sz w:val="24"/>
          <w:szCs w:val="24"/>
        </w:rPr>
        <w:t xml:space="preserve">federal, state, local, and </w:t>
      </w:r>
      <w:r w:rsidRPr="004413CF">
        <w:rPr>
          <w:rFonts w:ascii="Times New Roman" w:hAnsi="Times New Roman" w:cs="Times New Roman"/>
          <w:color w:val="000000" w:themeColor="text1"/>
          <w:sz w:val="24"/>
          <w:szCs w:val="24"/>
        </w:rPr>
        <w:t>tribal</w:t>
      </w:r>
      <w:r w:rsidRPr="004413CF" w:rsidR="009119D5">
        <w:rPr>
          <w:rFonts w:ascii="Times New Roman" w:hAnsi="Times New Roman" w:cs="Times New Roman"/>
          <w:color w:val="000000" w:themeColor="text1"/>
          <w:sz w:val="24"/>
          <w:szCs w:val="24"/>
        </w:rPr>
        <w:t xml:space="preserve"> </w:t>
      </w:r>
      <w:r w:rsidRPr="004413CF">
        <w:rPr>
          <w:rFonts w:ascii="Times New Roman" w:hAnsi="Times New Roman" w:cs="Times New Roman"/>
          <w:color w:val="000000" w:themeColor="text1"/>
          <w:sz w:val="24"/>
          <w:szCs w:val="24"/>
        </w:rPr>
        <w:t xml:space="preserve">agencies </w:t>
      </w:r>
      <w:r w:rsidRPr="004413CF" w:rsidR="00E4629E">
        <w:rPr>
          <w:rFonts w:ascii="Times New Roman" w:hAnsi="Times New Roman" w:cs="Times New Roman"/>
          <w:color w:val="000000" w:themeColor="text1"/>
          <w:sz w:val="24"/>
          <w:szCs w:val="24"/>
        </w:rPr>
        <w:t xml:space="preserve">serving all population group sizes having diverse attributes.  The areas served include various characteristics which may impact crime, such as population density and </w:t>
      </w:r>
      <w:r w:rsidRPr="00633490" w:rsidR="00E4629E">
        <w:rPr>
          <w:rFonts w:ascii="Times New Roman" w:hAnsi="Times New Roman" w:cs="Times New Roman"/>
          <w:color w:val="000000" w:themeColor="text1"/>
          <w:sz w:val="24"/>
          <w:szCs w:val="24"/>
        </w:rPr>
        <w:t xml:space="preserve">degree of urbanization; various compositions of population, particularly youth concentration; population movement with respect to residents’ mobility, commuting patterns, and transient factors; diverse economic conditions including median income, poverty level, and job availability; areas with different modes of transportation and highway systems; various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  The table </w:t>
      </w:r>
      <w:r w:rsidR="00901927">
        <w:rPr>
          <w:rFonts w:ascii="Times New Roman" w:hAnsi="Times New Roman" w:cs="Times New Roman"/>
          <w:color w:val="000000" w:themeColor="text1"/>
          <w:sz w:val="24"/>
          <w:szCs w:val="24"/>
        </w:rPr>
        <w:t>o</w:t>
      </w:r>
      <w:r w:rsidR="00536916">
        <w:rPr>
          <w:rFonts w:ascii="Times New Roman" w:hAnsi="Times New Roman" w:cs="Times New Roman"/>
          <w:color w:val="000000" w:themeColor="text1"/>
          <w:sz w:val="24"/>
          <w:szCs w:val="24"/>
        </w:rPr>
        <w:t>n</w:t>
      </w:r>
      <w:r w:rsidR="00901927">
        <w:rPr>
          <w:rFonts w:ascii="Times New Roman" w:hAnsi="Times New Roman" w:cs="Times New Roman"/>
          <w:color w:val="000000" w:themeColor="text1"/>
          <w:sz w:val="24"/>
          <w:szCs w:val="24"/>
        </w:rPr>
        <w:t xml:space="preserve"> the following page</w:t>
      </w:r>
      <w:r w:rsidRPr="00633490" w:rsidR="00E4629E">
        <w:rPr>
          <w:rFonts w:ascii="Times New Roman" w:hAnsi="Times New Roman" w:cs="Times New Roman"/>
          <w:color w:val="000000" w:themeColor="text1"/>
          <w:sz w:val="24"/>
          <w:szCs w:val="24"/>
        </w:rPr>
        <w:t xml:space="preserve"> shows the number of </w:t>
      </w:r>
      <w:r w:rsidRPr="00633490" w:rsidR="00880594">
        <w:rPr>
          <w:rFonts w:ascii="Times New Roman" w:hAnsi="Times New Roman" w:cs="Times New Roman"/>
          <w:color w:val="000000" w:themeColor="text1"/>
          <w:sz w:val="24"/>
          <w:szCs w:val="24"/>
        </w:rPr>
        <w:t xml:space="preserve">agencies </w:t>
      </w:r>
      <w:r w:rsidRPr="00633490" w:rsidR="00E4629E">
        <w:rPr>
          <w:rFonts w:ascii="Times New Roman" w:hAnsi="Times New Roman" w:cs="Times New Roman"/>
          <w:color w:val="000000" w:themeColor="text1"/>
          <w:sz w:val="24"/>
          <w:szCs w:val="24"/>
        </w:rPr>
        <w:t>participating</w:t>
      </w:r>
      <w:r w:rsidRPr="00633490" w:rsidR="00880594">
        <w:rPr>
          <w:rFonts w:ascii="Times New Roman" w:hAnsi="Times New Roman" w:cs="Times New Roman"/>
          <w:color w:val="000000" w:themeColor="text1"/>
          <w:sz w:val="24"/>
          <w:szCs w:val="24"/>
        </w:rPr>
        <w:t xml:space="preserve"> in the H</w:t>
      </w:r>
      <w:r w:rsidR="00E648AB">
        <w:rPr>
          <w:rFonts w:ascii="Times New Roman" w:hAnsi="Times New Roman" w:cs="Times New Roman"/>
          <w:color w:val="000000" w:themeColor="text1"/>
          <w:sz w:val="24"/>
          <w:szCs w:val="24"/>
        </w:rPr>
        <w:t xml:space="preserve">ate </w:t>
      </w:r>
      <w:r w:rsidRPr="00633490" w:rsidR="00880594">
        <w:rPr>
          <w:rFonts w:ascii="Times New Roman" w:hAnsi="Times New Roman" w:cs="Times New Roman"/>
          <w:color w:val="000000" w:themeColor="text1"/>
          <w:sz w:val="24"/>
          <w:szCs w:val="24"/>
        </w:rPr>
        <w:t>C</w:t>
      </w:r>
      <w:r w:rsidR="00E648AB">
        <w:rPr>
          <w:rFonts w:ascii="Times New Roman" w:hAnsi="Times New Roman" w:cs="Times New Roman"/>
          <w:color w:val="000000" w:themeColor="text1"/>
          <w:sz w:val="24"/>
          <w:szCs w:val="24"/>
        </w:rPr>
        <w:t xml:space="preserve">rime </w:t>
      </w:r>
      <w:r w:rsidRPr="00633490" w:rsidR="00880594">
        <w:rPr>
          <w:rFonts w:ascii="Times New Roman" w:hAnsi="Times New Roman" w:cs="Times New Roman"/>
          <w:color w:val="000000" w:themeColor="text1"/>
          <w:sz w:val="24"/>
          <w:szCs w:val="24"/>
        </w:rPr>
        <w:t>D</w:t>
      </w:r>
      <w:r w:rsidR="00E648AB">
        <w:rPr>
          <w:rFonts w:ascii="Times New Roman" w:hAnsi="Times New Roman" w:cs="Times New Roman"/>
          <w:color w:val="000000" w:themeColor="text1"/>
          <w:sz w:val="24"/>
          <w:szCs w:val="24"/>
        </w:rPr>
        <w:t xml:space="preserve">ata </w:t>
      </w:r>
      <w:r w:rsidRPr="00633490" w:rsidR="00880594">
        <w:rPr>
          <w:rFonts w:ascii="Times New Roman" w:hAnsi="Times New Roman" w:cs="Times New Roman"/>
          <w:color w:val="000000" w:themeColor="text1"/>
          <w:sz w:val="24"/>
          <w:szCs w:val="24"/>
        </w:rPr>
        <w:t>C</w:t>
      </w:r>
      <w:r w:rsidR="00E648AB">
        <w:rPr>
          <w:rFonts w:ascii="Times New Roman" w:hAnsi="Times New Roman" w:cs="Times New Roman"/>
          <w:color w:val="000000" w:themeColor="text1"/>
          <w:sz w:val="24"/>
          <w:szCs w:val="24"/>
        </w:rPr>
        <w:t>ollection</w:t>
      </w:r>
      <w:r w:rsidRPr="00633490" w:rsidR="00880594">
        <w:rPr>
          <w:rFonts w:ascii="Times New Roman" w:hAnsi="Times New Roman" w:cs="Times New Roman"/>
          <w:color w:val="000000" w:themeColor="text1"/>
          <w:sz w:val="24"/>
          <w:szCs w:val="24"/>
        </w:rPr>
        <w:t xml:space="preserve"> via the SRS </w:t>
      </w:r>
      <w:r w:rsidR="000E2812">
        <w:rPr>
          <w:rFonts w:ascii="Times New Roman" w:hAnsi="Times New Roman" w:cs="Times New Roman"/>
          <w:color w:val="000000" w:themeColor="text1"/>
          <w:sz w:val="24"/>
          <w:szCs w:val="24"/>
        </w:rPr>
        <w:t xml:space="preserve">in 2019 </w:t>
      </w:r>
      <w:r w:rsidRPr="00633490" w:rsidR="00880594">
        <w:rPr>
          <w:rFonts w:ascii="Times New Roman" w:hAnsi="Times New Roman" w:cs="Times New Roman"/>
          <w:color w:val="000000" w:themeColor="text1"/>
          <w:sz w:val="24"/>
          <w:szCs w:val="24"/>
        </w:rPr>
        <w:t xml:space="preserve">and </w:t>
      </w:r>
      <w:r w:rsidRPr="00633490" w:rsidR="00E4629E">
        <w:rPr>
          <w:rFonts w:ascii="Times New Roman" w:hAnsi="Times New Roman" w:cs="Times New Roman"/>
          <w:color w:val="000000" w:themeColor="text1"/>
          <w:sz w:val="24"/>
          <w:szCs w:val="24"/>
        </w:rPr>
        <w:t>population covered by population group size.</w:t>
      </w:r>
    </w:p>
    <w:p w:rsidR="00E4629E" w:rsidP="00536916" w:rsidRDefault="00E4629E" w14:paraId="5A39BBE3" w14:textId="77777777">
      <w:pPr>
        <w:pStyle w:val="ListParagraph"/>
        <w:spacing w:after="0" w:line="240" w:lineRule="auto"/>
        <w:rPr>
          <w:rFonts w:ascii="Times New Roman" w:hAnsi="Times New Roman" w:cs="Times New Roman"/>
          <w:color w:val="FF0000"/>
          <w:sz w:val="24"/>
          <w:szCs w:val="24"/>
        </w:rPr>
      </w:pPr>
    </w:p>
    <w:p w:rsidR="00901927" w:rsidP="00536916" w:rsidRDefault="00901927" w14:paraId="41C8F396" w14:textId="77777777">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jc w:val="center"/>
        <w:tblLook w:val="04A0" w:firstRow="1" w:lastRow="0" w:firstColumn="1" w:lastColumn="0" w:noHBand="0" w:noVBand="1"/>
      </w:tblPr>
      <w:tblGrid>
        <w:gridCol w:w="1674"/>
        <w:gridCol w:w="3770"/>
        <w:gridCol w:w="1170"/>
        <w:gridCol w:w="1350"/>
      </w:tblGrid>
      <w:tr w:rsidRPr="00536916" w:rsidR="00536916" w:rsidTr="00DE4372" w14:paraId="5EF34DFC" w14:textId="77777777">
        <w:trPr>
          <w:trHeight w:val="323"/>
          <w:jc w:val="center"/>
        </w:trPr>
        <w:tc>
          <w:tcPr>
            <w:tcW w:w="7964" w:type="dxa"/>
            <w:gridSpan w:val="4"/>
            <w:tcBorders>
              <w:bottom w:val="single" w:color="auto" w:sz="8" w:space="0"/>
            </w:tcBorders>
            <w:vAlign w:val="center"/>
          </w:tcPr>
          <w:p w:rsidRPr="00536916" w:rsidR="00880594" w:rsidP="00536916" w:rsidRDefault="00880594" w14:paraId="0A91EDAD"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lastRenderedPageBreak/>
              <w:t>Number of Agencies and Population by Group Size, 2019</w:t>
            </w:r>
          </w:p>
        </w:tc>
      </w:tr>
      <w:tr w:rsidRPr="00536916" w:rsidR="00536916" w:rsidTr="00DE4372" w14:paraId="63530657" w14:textId="77777777">
        <w:trPr>
          <w:trHeight w:val="521"/>
          <w:jc w:val="center"/>
        </w:trPr>
        <w:tc>
          <w:tcPr>
            <w:tcW w:w="1674" w:type="dxa"/>
            <w:tcBorders>
              <w:top w:val="single" w:color="auto" w:sz="8" w:space="0"/>
              <w:bottom w:val="single" w:color="auto" w:sz="8" w:space="0"/>
            </w:tcBorders>
          </w:tcPr>
          <w:p w:rsidRPr="00536916" w:rsidR="00EF7C60" w:rsidP="00536916" w:rsidRDefault="00EF7C60" w14:paraId="72A3D3EC" w14:textId="77777777">
            <w:pPr>
              <w:tabs>
                <w:tab w:val="left" w:pos="360"/>
              </w:tabs>
              <w:spacing w:after="0" w:line="240" w:lineRule="auto"/>
              <w:contextualSpacing/>
              <w:rPr>
                <w:rFonts w:ascii="Times New Roman" w:hAnsi="Times New Roman" w:cs="Times New Roman"/>
                <w:b/>
                <w:color w:val="000000" w:themeColor="text1"/>
                <w:sz w:val="20"/>
                <w:szCs w:val="20"/>
              </w:rPr>
            </w:pPr>
          </w:p>
        </w:tc>
        <w:tc>
          <w:tcPr>
            <w:tcW w:w="3770" w:type="dxa"/>
            <w:tcBorders>
              <w:top w:val="single" w:color="auto" w:sz="8" w:space="0"/>
              <w:bottom w:val="single" w:color="auto" w:sz="8" w:space="0"/>
            </w:tcBorders>
            <w:vAlign w:val="bottom"/>
          </w:tcPr>
          <w:p w:rsidRPr="00536916" w:rsidR="00EF7C60" w:rsidP="00536916" w:rsidRDefault="00EF7C60" w14:paraId="7ABD8A04"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Population Group</w:t>
            </w:r>
          </w:p>
        </w:tc>
        <w:tc>
          <w:tcPr>
            <w:tcW w:w="1170" w:type="dxa"/>
            <w:tcBorders>
              <w:top w:val="single" w:color="auto" w:sz="8" w:space="0"/>
              <w:bottom w:val="single" w:color="auto" w:sz="8" w:space="0"/>
            </w:tcBorders>
            <w:vAlign w:val="bottom"/>
          </w:tcPr>
          <w:p w:rsidRPr="00536916" w:rsidR="00EF7C60" w:rsidP="00536916" w:rsidRDefault="00EF7C60" w14:paraId="533D6F0B"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Number of Agencies</w:t>
            </w:r>
          </w:p>
        </w:tc>
        <w:tc>
          <w:tcPr>
            <w:tcW w:w="1350" w:type="dxa"/>
            <w:tcBorders>
              <w:top w:val="single" w:color="auto" w:sz="8" w:space="0"/>
              <w:bottom w:val="single" w:color="auto" w:sz="8" w:space="0"/>
            </w:tcBorders>
            <w:vAlign w:val="bottom"/>
          </w:tcPr>
          <w:p w:rsidRPr="00536916" w:rsidR="00EF7C60" w:rsidP="00536916" w:rsidRDefault="00EF7C60" w14:paraId="3E4CB55A"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Population Covered</w:t>
            </w:r>
          </w:p>
        </w:tc>
      </w:tr>
      <w:tr w:rsidRPr="00536916" w:rsidR="00536916" w:rsidTr="00DE4372" w14:paraId="381DED2B" w14:textId="77777777">
        <w:trPr>
          <w:trHeight w:val="359"/>
          <w:jc w:val="center"/>
        </w:trPr>
        <w:tc>
          <w:tcPr>
            <w:tcW w:w="1674" w:type="dxa"/>
            <w:vMerge w:val="restart"/>
            <w:tcBorders>
              <w:top w:val="single" w:color="auto" w:sz="8" w:space="0"/>
              <w:bottom w:val="single" w:color="auto" w:sz="8" w:space="0"/>
              <w:right w:val="single" w:color="auto" w:sz="8" w:space="0"/>
            </w:tcBorders>
            <w:vAlign w:val="center"/>
          </w:tcPr>
          <w:p w:rsidRPr="00536916" w:rsidR="00EF7C60" w:rsidP="00536916" w:rsidRDefault="00EF7C60" w14:paraId="6C539A7A"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Cities</w:t>
            </w:r>
          </w:p>
        </w:tc>
        <w:tc>
          <w:tcPr>
            <w:tcW w:w="3770" w:type="dxa"/>
            <w:tcBorders>
              <w:top w:val="single" w:color="auto" w:sz="8" w:space="0"/>
              <w:left w:val="single" w:color="auto" w:sz="8" w:space="0"/>
            </w:tcBorders>
            <w:vAlign w:val="center"/>
          </w:tcPr>
          <w:p w:rsidRPr="00536916" w:rsidR="00EF7C60" w:rsidP="00536916" w:rsidRDefault="00EF7C60" w14:paraId="2AA25978"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I (250,000 inhabitants and more)</w:t>
            </w:r>
          </w:p>
        </w:tc>
        <w:tc>
          <w:tcPr>
            <w:tcW w:w="1170" w:type="dxa"/>
            <w:tcBorders>
              <w:top w:val="single" w:color="auto" w:sz="8" w:space="0"/>
            </w:tcBorders>
            <w:vAlign w:val="center"/>
          </w:tcPr>
          <w:p w:rsidRPr="00536916" w:rsidR="00EF7C60" w:rsidP="00536916" w:rsidRDefault="00536916" w14:paraId="3F6FB1E0"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53</w:t>
            </w:r>
          </w:p>
        </w:tc>
        <w:tc>
          <w:tcPr>
            <w:tcW w:w="1350" w:type="dxa"/>
            <w:tcBorders>
              <w:top w:val="single" w:color="auto" w:sz="8" w:space="0"/>
            </w:tcBorders>
            <w:vAlign w:val="center"/>
          </w:tcPr>
          <w:p w:rsidRPr="00536916" w:rsidR="00EF7C60" w:rsidP="00536916" w:rsidRDefault="00536916" w14:paraId="358B8A4A"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42,873,492</w:t>
            </w:r>
          </w:p>
        </w:tc>
      </w:tr>
      <w:tr w:rsidRPr="00536916" w:rsidR="00536916" w:rsidTr="00DE4372" w14:paraId="2B3A2D50" w14:textId="77777777">
        <w:trPr>
          <w:trHeight w:val="341"/>
          <w:jc w:val="center"/>
        </w:trPr>
        <w:tc>
          <w:tcPr>
            <w:tcW w:w="1674" w:type="dxa"/>
            <w:vMerge/>
            <w:tcBorders>
              <w:top w:val="single" w:color="auto" w:sz="8" w:space="0"/>
              <w:bottom w:val="single" w:color="auto" w:sz="8" w:space="0"/>
              <w:right w:val="single" w:color="auto" w:sz="8" w:space="0"/>
            </w:tcBorders>
          </w:tcPr>
          <w:p w:rsidRPr="00536916" w:rsidR="00EF7C60" w:rsidP="00536916" w:rsidRDefault="00EF7C60" w14:paraId="0D0B940D"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tcBorders>
            <w:vAlign w:val="center"/>
          </w:tcPr>
          <w:p w:rsidRPr="00536916" w:rsidR="00EF7C60" w:rsidP="00536916" w:rsidRDefault="00EF7C60" w14:paraId="4D21669F"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II (100,000 to 249,999 inhabitants)</w:t>
            </w:r>
          </w:p>
        </w:tc>
        <w:tc>
          <w:tcPr>
            <w:tcW w:w="1170" w:type="dxa"/>
            <w:vAlign w:val="center"/>
          </w:tcPr>
          <w:p w:rsidRPr="00536916" w:rsidR="00EF7C60" w:rsidP="00536916" w:rsidRDefault="00536916" w14:paraId="2D965B08"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128</w:t>
            </w:r>
          </w:p>
        </w:tc>
        <w:tc>
          <w:tcPr>
            <w:tcW w:w="1350" w:type="dxa"/>
            <w:vAlign w:val="center"/>
          </w:tcPr>
          <w:p w:rsidRPr="00536916" w:rsidR="00EF7C60" w:rsidP="00536916" w:rsidRDefault="00536916" w14:paraId="29514DB5"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18,638,726</w:t>
            </w:r>
          </w:p>
        </w:tc>
      </w:tr>
      <w:tr w:rsidRPr="00536916" w:rsidR="00536916" w:rsidTr="00DE4372" w14:paraId="26B31812" w14:textId="77777777">
        <w:trPr>
          <w:trHeight w:val="359"/>
          <w:jc w:val="center"/>
        </w:trPr>
        <w:tc>
          <w:tcPr>
            <w:tcW w:w="1674" w:type="dxa"/>
            <w:vMerge/>
            <w:tcBorders>
              <w:top w:val="single" w:color="auto" w:sz="8" w:space="0"/>
              <w:bottom w:val="single" w:color="auto" w:sz="8" w:space="0"/>
              <w:right w:val="single" w:color="auto" w:sz="8" w:space="0"/>
            </w:tcBorders>
          </w:tcPr>
          <w:p w:rsidRPr="00536916" w:rsidR="00EF7C60" w:rsidP="00536916" w:rsidRDefault="00EF7C60" w14:paraId="0E27B00A"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tcBorders>
            <w:vAlign w:val="center"/>
          </w:tcPr>
          <w:p w:rsidRPr="00536916" w:rsidR="00EF7C60" w:rsidP="00536916" w:rsidRDefault="00EF7C60" w14:paraId="77D113FA"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III (50,000 to 99,999 inhabitants)</w:t>
            </w:r>
          </w:p>
        </w:tc>
        <w:tc>
          <w:tcPr>
            <w:tcW w:w="1170" w:type="dxa"/>
            <w:vAlign w:val="center"/>
          </w:tcPr>
          <w:p w:rsidRPr="00536916" w:rsidR="00EF7C60" w:rsidP="00536916" w:rsidRDefault="00536916" w14:paraId="2AA34C96"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285</w:t>
            </w:r>
          </w:p>
        </w:tc>
        <w:tc>
          <w:tcPr>
            <w:tcW w:w="1350" w:type="dxa"/>
            <w:vAlign w:val="center"/>
          </w:tcPr>
          <w:p w:rsidRPr="00536916" w:rsidR="00EF7C60" w:rsidP="00536916" w:rsidRDefault="00536916" w14:paraId="20221019"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19,871,933</w:t>
            </w:r>
          </w:p>
        </w:tc>
      </w:tr>
      <w:tr w:rsidRPr="00536916" w:rsidR="00536916" w:rsidTr="00DE4372" w14:paraId="04B3C669" w14:textId="77777777">
        <w:trPr>
          <w:trHeight w:val="341"/>
          <w:jc w:val="center"/>
        </w:trPr>
        <w:tc>
          <w:tcPr>
            <w:tcW w:w="1674" w:type="dxa"/>
            <w:vMerge/>
            <w:tcBorders>
              <w:top w:val="single" w:color="auto" w:sz="8" w:space="0"/>
              <w:bottom w:val="single" w:color="auto" w:sz="8" w:space="0"/>
              <w:right w:val="single" w:color="auto" w:sz="8" w:space="0"/>
            </w:tcBorders>
          </w:tcPr>
          <w:p w:rsidRPr="00536916" w:rsidR="00EF7C60" w:rsidP="00536916" w:rsidRDefault="00EF7C60" w14:paraId="60061E4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tcBorders>
            <w:vAlign w:val="center"/>
          </w:tcPr>
          <w:p w:rsidRPr="00536916" w:rsidR="00EF7C60" w:rsidP="00536916" w:rsidRDefault="00EF7C60" w14:paraId="77432CC4"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IV (25,000 to 49,999 inhabitants)</w:t>
            </w:r>
          </w:p>
        </w:tc>
        <w:tc>
          <w:tcPr>
            <w:tcW w:w="1170" w:type="dxa"/>
            <w:vAlign w:val="center"/>
          </w:tcPr>
          <w:p w:rsidRPr="00536916" w:rsidR="00EF7C60" w:rsidP="00536916" w:rsidRDefault="00536916" w14:paraId="73BD525E"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469</w:t>
            </w:r>
          </w:p>
        </w:tc>
        <w:tc>
          <w:tcPr>
            <w:tcW w:w="1350" w:type="dxa"/>
            <w:vAlign w:val="center"/>
          </w:tcPr>
          <w:p w:rsidRPr="00536916" w:rsidR="00EF7C60" w:rsidP="00536916" w:rsidRDefault="00536916" w14:paraId="28BF5E7D"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16,169,965</w:t>
            </w:r>
          </w:p>
        </w:tc>
      </w:tr>
      <w:tr w:rsidRPr="00536916" w:rsidR="00536916" w:rsidTr="00DE4372" w14:paraId="28976DE1" w14:textId="77777777">
        <w:trPr>
          <w:trHeight w:val="359"/>
          <w:jc w:val="center"/>
        </w:trPr>
        <w:tc>
          <w:tcPr>
            <w:tcW w:w="1674" w:type="dxa"/>
            <w:vMerge/>
            <w:tcBorders>
              <w:top w:val="single" w:color="auto" w:sz="8" w:space="0"/>
              <w:bottom w:val="single" w:color="auto" w:sz="8" w:space="0"/>
              <w:right w:val="single" w:color="auto" w:sz="8" w:space="0"/>
            </w:tcBorders>
          </w:tcPr>
          <w:p w:rsidRPr="00536916" w:rsidR="00EF7C60" w:rsidP="00536916" w:rsidRDefault="00EF7C60" w14:paraId="44EAFD9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tcBorders>
            <w:vAlign w:val="center"/>
          </w:tcPr>
          <w:p w:rsidRPr="00536916" w:rsidR="00EF7C60" w:rsidP="00536916" w:rsidRDefault="00EF7C60" w14:paraId="7B522F9C"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V (10,000 to 24,999 inhabitants)</w:t>
            </w:r>
          </w:p>
        </w:tc>
        <w:tc>
          <w:tcPr>
            <w:tcW w:w="1170" w:type="dxa"/>
            <w:vAlign w:val="center"/>
          </w:tcPr>
          <w:p w:rsidRPr="00536916" w:rsidR="00EF7C60" w:rsidP="00536916" w:rsidRDefault="00536916" w14:paraId="0004C00B"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915</w:t>
            </w:r>
          </w:p>
        </w:tc>
        <w:tc>
          <w:tcPr>
            <w:tcW w:w="1350" w:type="dxa"/>
            <w:vAlign w:val="center"/>
          </w:tcPr>
          <w:p w:rsidRPr="00536916" w:rsidR="00EF7C60" w:rsidP="00536916" w:rsidRDefault="00536916" w14:paraId="223DB290"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14,626,105</w:t>
            </w:r>
          </w:p>
        </w:tc>
      </w:tr>
      <w:tr w:rsidRPr="00536916" w:rsidR="00536916" w:rsidTr="00DE4372" w14:paraId="725DED8B" w14:textId="77777777">
        <w:trPr>
          <w:trHeight w:val="341"/>
          <w:jc w:val="center"/>
        </w:trPr>
        <w:tc>
          <w:tcPr>
            <w:tcW w:w="1674" w:type="dxa"/>
            <w:vMerge/>
            <w:tcBorders>
              <w:top w:val="single" w:color="auto" w:sz="8" w:space="0"/>
              <w:bottom w:val="single" w:color="auto" w:sz="8" w:space="0"/>
              <w:right w:val="single" w:color="auto" w:sz="8" w:space="0"/>
            </w:tcBorders>
          </w:tcPr>
          <w:p w:rsidRPr="00536916" w:rsidR="00EF7C60" w:rsidP="00536916" w:rsidRDefault="00EF7C60" w14:paraId="4B94D5A5"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bottom w:val="single" w:color="auto" w:sz="8" w:space="0"/>
            </w:tcBorders>
            <w:vAlign w:val="center"/>
          </w:tcPr>
          <w:p w:rsidRPr="00536916" w:rsidR="00EF7C60" w:rsidP="00536916" w:rsidRDefault="00EF7C60" w14:paraId="5E0BBF83"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VI (Less than 10,000 inhabitants)</w:t>
            </w:r>
            <w:r w:rsidRPr="00536916">
              <w:rPr>
                <w:rFonts w:ascii="Times New Roman" w:hAnsi="Times New Roman" w:cs="Times New Roman"/>
                <w:color w:val="000000" w:themeColor="text1"/>
                <w:sz w:val="20"/>
                <w:szCs w:val="20"/>
                <w:vertAlign w:val="superscript"/>
              </w:rPr>
              <w:t>1,2</w:t>
            </w:r>
          </w:p>
        </w:tc>
        <w:tc>
          <w:tcPr>
            <w:tcW w:w="1170" w:type="dxa"/>
            <w:tcBorders>
              <w:bottom w:val="single" w:color="auto" w:sz="8" w:space="0"/>
            </w:tcBorders>
            <w:vAlign w:val="center"/>
          </w:tcPr>
          <w:p w:rsidRPr="00536916" w:rsidR="00EF7C60" w:rsidP="00536916" w:rsidRDefault="00536916" w14:paraId="09D21FE0"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3,916</w:t>
            </w:r>
          </w:p>
        </w:tc>
        <w:tc>
          <w:tcPr>
            <w:tcW w:w="1350" w:type="dxa"/>
            <w:tcBorders>
              <w:bottom w:val="single" w:color="auto" w:sz="8" w:space="0"/>
            </w:tcBorders>
            <w:vAlign w:val="center"/>
          </w:tcPr>
          <w:p w:rsidRPr="00536916" w:rsidR="00EF7C60" w:rsidP="00536916" w:rsidRDefault="00536916" w14:paraId="7770432C"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11,486,666</w:t>
            </w:r>
          </w:p>
        </w:tc>
      </w:tr>
      <w:tr w:rsidRPr="00536916" w:rsidR="00536916" w:rsidTr="00DE4372" w14:paraId="59181FC3" w14:textId="77777777">
        <w:trPr>
          <w:trHeight w:val="359"/>
          <w:jc w:val="center"/>
        </w:trPr>
        <w:tc>
          <w:tcPr>
            <w:tcW w:w="1674" w:type="dxa"/>
            <w:vMerge w:val="restart"/>
            <w:tcBorders>
              <w:top w:val="single" w:color="auto" w:sz="8" w:space="0"/>
              <w:bottom w:val="single" w:color="auto" w:sz="8" w:space="0"/>
              <w:right w:val="single" w:color="auto" w:sz="8" w:space="0"/>
            </w:tcBorders>
            <w:vAlign w:val="center"/>
          </w:tcPr>
          <w:p w:rsidRPr="00536916" w:rsidR="00EF7C60" w:rsidP="00DE4372" w:rsidRDefault="00EF7C60" w14:paraId="09CAF086"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Counties</w:t>
            </w:r>
          </w:p>
        </w:tc>
        <w:tc>
          <w:tcPr>
            <w:tcW w:w="3770" w:type="dxa"/>
            <w:tcBorders>
              <w:top w:val="single" w:color="auto" w:sz="8" w:space="0"/>
              <w:left w:val="single" w:color="auto" w:sz="8" w:space="0"/>
            </w:tcBorders>
            <w:vAlign w:val="center"/>
          </w:tcPr>
          <w:p w:rsidRPr="00536916" w:rsidR="00EF7C60" w:rsidP="00536916" w:rsidRDefault="00EF7C60" w14:paraId="5AC45002"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VIII (Nonmetropolitan County)</w:t>
            </w:r>
            <w:r w:rsidRPr="00536916">
              <w:rPr>
                <w:rFonts w:ascii="Times New Roman" w:hAnsi="Times New Roman" w:cs="Times New Roman"/>
                <w:color w:val="000000" w:themeColor="text1"/>
                <w:sz w:val="20"/>
                <w:szCs w:val="20"/>
                <w:vertAlign w:val="superscript"/>
              </w:rPr>
              <w:t>2</w:t>
            </w:r>
          </w:p>
        </w:tc>
        <w:tc>
          <w:tcPr>
            <w:tcW w:w="1170" w:type="dxa"/>
            <w:tcBorders>
              <w:top w:val="single" w:color="auto" w:sz="8" w:space="0"/>
            </w:tcBorders>
            <w:vAlign w:val="center"/>
          </w:tcPr>
          <w:p w:rsidRPr="00536916" w:rsidR="00EF7C60" w:rsidP="00536916" w:rsidRDefault="00536916" w14:paraId="107A41D6"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820</w:t>
            </w:r>
          </w:p>
        </w:tc>
        <w:tc>
          <w:tcPr>
            <w:tcW w:w="1350" w:type="dxa"/>
            <w:tcBorders>
              <w:top w:val="single" w:color="auto" w:sz="8" w:space="0"/>
            </w:tcBorders>
            <w:vAlign w:val="center"/>
          </w:tcPr>
          <w:p w:rsidRPr="00536916" w:rsidR="00EF7C60" w:rsidP="00536916" w:rsidRDefault="00536916" w14:paraId="28F6F927"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8,147,314</w:t>
            </w:r>
          </w:p>
        </w:tc>
      </w:tr>
      <w:tr w:rsidRPr="00536916" w:rsidR="00536916" w:rsidTr="00DE4372" w14:paraId="597188CF" w14:textId="77777777">
        <w:trPr>
          <w:trHeight w:val="341"/>
          <w:jc w:val="center"/>
        </w:trPr>
        <w:tc>
          <w:tcPr>
            <w:tcW w:w="1674" w:type="dxa"/>
            <w:vMerge/>
            <w:tcBorders>
              <w:bottom w:val="single" w:color="auto" w:sz="8" w:space="0"/>
              <w:right w:val="single" w:color="auto" w:sz="8" w:space="0"/>
            </w:tcBorders>
          </w:tcPr>
          <w:p w:rsidRPr="00536916" w:rsidR="00EF7C60" w:rsidP="00536916" w:rsidRDefault="00EF7C60" w14:paraId="3DEEC669"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left w:val="single" w:color="auto" w:sz="8" w:space="0"/>
              <w:bottom w:val="single" w:color="auto" w:sz="8" w:space="0"/>
            </w:tcBorders>
            <w:vAlign w:val="center"/>
          </w:tcPr>
          <w:p w:rsidRPr="00536916" w:rsidR="00EF7C60" w:rsidP="00536916" w:rsidRDefault="00EF7C60" w14:paraId="00F4C614" w14:textId="77777777">
            <w:pPr>
              <w:tabs>
                <w:tab w:val="left" w:pos="360"/>
              </w:tabs>
              <w:spacing w:after="0" w:line="240" w:lineRule="auto"/>
              <w:contextualSpacing/>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Group IX (Metropolitan County)</w:t>
            </w:r>
            <w:r w:rsidRPr="00536916">
              <w:rPr>
                <w:rFonts w:ascii="Times New Roman" w:hAnsi="Times New Roman" w:cs="Times New Roman"/>
                <w:color w:val="000000" w:themeColor="text1"/>
                <w:sz w:val="20"/>
                <w:szCs w:val="20"/>
                <w:vertAlign w:val="superscript"/>
              </w:rPr>
              <w:t>2</w:t>
            </w:r>
          </w:p>
        </w:tc>
        <w:tc>
          <w:tcPr>
            <w:tcW w:w="1170" w:type="dxa"/>
            <w:tcBorders>
              <w:bottom w:val="single" w:color="auto" w:sz="8" w:space="0"/>
            </w:tcBorders>
            <w:vAlign w:val="center"/>
          </w:tcPr>
          <w:p w:rsidRPr="00536916" w:rsidR="00EF7C60" w:rsidP="00536916" w:rsidRDefault="00536916" w14:paraId="14A42FA8"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1,050</w:t>
            </w:r>
          </w:p>
        </w:tc>
        <w:tc>
          <w:tcPr>
            <w:tcW w:w="1350" w:type="dxa"/>
            <w:tcBorders>
              <w:bottom w:val="single" w:color="auto" w:sz="8" w:space="0"/>
            </w:tcBorders>
            <w:vAlign w:val="center"/>
          </w:tcPr>
          <w:p w:rsidRPr="00536916" w:rsidR="00EF7C60" w:rsidP="00536916" w:rsidRDefault="00536916" w14:paraId="0672296F"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536916">
              <w:rPr>
                <w:rFonts w:ascii="Times New Roman" w:hAnsi="Times New Roman" w:cs="Times New Roman"/>
                <w:color w:val="000000" w:themeColor="text1"/>
                <w:sz w:val="20"/>
                <w:szCs w:val="20"/>
              </w:rPr>
              <w:t>41,020,100</w:t>
            </w:r>
          </w:p>
        </w:tc>
      </w:tr>
      <w:tr w:rsidRPr="00536916" w:rsidR="00536916" w:rsidTr="00DE4372" w14:paraId="1D9152E1" w14:textId="77777777">
        <w:trPr>
          <w:trHeight w:val="359"/>
          <w:jc w:val="center"/>
        </w:trPr>
        <w:tc>
          <w:tcPr>
            <w:tcW w:w="1674" w:type="dxa"/>
            <w:tcBorders>
              <w:top w:val="single" w:color="auto" w:sz="8" w:space="0"/>
              <w:bottom w:val="single" w:color="auto" w:sz="8" w:space="0"/>
            </w:tcBorders>
          </w:tcPr>
          <w:p w:rsidRPr="00536916" w:rsidR="00EF7C60" w:rsidP="00536916" w:rsidRDefault="00EF7C60" w14:paraId="3656B9AB"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3770" w:type="dxa"/>
            <w:tcBorders>
              <w:top w:val="single" w:color="auto" w:sz="8" w:space="0"/>
              <w:bottom w:val="single" w:color="auto" w:sz="8" w:space="0"/>
            </w:tcBorders>
            <w:vAlign w:val="center"/>
          </w:tcPr>
          <w:p w:rsidRPr="00536916" w:rsidR="00EF7C60" w:rsidP="00536916" w:rsidRDefault="00EF7C60" w14:paraId="51E8FDB7"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Total</w:t>
            </w:r>
          </w:p>
        </w:tc>
        <w:tc>
          <w:tcPr>
            <w:tcW w:w="1170" w:type="dxa"/>
            <w:tcBorders>
              <w:top w:val="single" w:color="auto" w:sz="8" w:space="0"/>
              <w:bottom w:val="single" w:color="auto" w:sz="8" w:space="0"/>
            </w:tcBorders>
            <w:vAlign w:val="center"/>
          </w:tcPr>
          <w:p w:rsidRPr="00536916" w:rsidR="00EF7C60" w:rsidP="00536916" w:rsidRDefault="00536916" w14:paraId="0F6394E4"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7,636</w:t>
            </w:r>
          </w:p>
        </w:tc>
        <w:tc>
          <w:tcPr>
            <w:tcW w:w="1350" w:type="dxa"/>
            <w:tcBorders>
              <w:top w:val="single" w:color="auto" w:sz="8" w:space="0"/>
              <w:bottom w:val="single" w:color="auto" w:sz="8" w:space="0"/>
            </w:tcBorders>
            <w:vAlign w:val="center"/>
          </w:tcPr>
          <w:p w:rsidRPr="00536916" w:rsidR="00EF7C60" w:rsidP="00536916" w:rsidRDefault="00536916" w14:paraId="05CD605F"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536916">
              <w:rPr>
                <w:rFonts w:ascii="Times New Roman" w:hAnsi="Times New Roman" w:cs="Times New Roman"/>
                <w:b/>
                <w:color w:val="000000" w:themeColor="text1"/>
                <w:sz w:val="20"/>
                <w:szCs w:val="20"/>
              </w:rPr>
              <w:t>172,834,301</w:t>
            </w:r>
          </w:p>
        </w:tc>
      </w:tr>
      <w:tr w:rsidRPr="00536916" w:rsidR="00536916" w:rsidTr="00DE4372" w14:paraId="30F7EE44" w14:textId="77777777">
        <w:trPr>
          <w:trHeight w:val="359"/>
          <w:jc w:val="center"/>
        </w:trPr>
        <w:tc>
          <w:tcPr>
            <w:tcW w:w="7964" w:type="dxa"/>
            <w:gridSpan w:val="4"/>
            <w:tcBorders>
              <w:top w:val="single" w:color="auto" w:sz="8" w:space="0"/>
            </w:tcBorders>
            <w:vAlign w:val="center"/>
          </w:tcPr>
          <w:p w:rsidRPr="00536916" w:rsidR="00880594" w:rsidP="00536916" w:rsidRDefault="00880594" w14:paraId="5E9D074C" w14:textId="77777777">
            <w:pPr>
              <w:spacing w:after="0" w:line="240" w:lineRule="auto"/>
              <w:contextualSpacing/>
              <w:rPr>
                <w:rFonts w:ascii="Times New Roman" w:hAnsi="Times New Roman"/>
                <w:color w:val="000000" w:themeColor="text1"/>
                <w:sz w:val="16"/>
                <w:szCs w:val="16"/>
              </w:rPr>
            </w:pPr>
            <w:r w:rsidRPr="00536916">
              <w:rPr>
                <w:rFonts w:ascii="Times New Roman" w:hAnsi="Times New Roman"/>
                <w:color w:val="000000" w:themeColor="text1"/>
                <w:sz w:val="16"/>
                <w:szCs w:val="16"/>
                <w:vertAlign w:val="superscript"/>
              </w:rPr>
              <w:t>1</w:t>
            </w:r>
            <w:r w:rsidRPr="00536916">
              <w:rPr>
                <w:rFonts w:ascii="Times New Roman" w:hAnsi="Times New Roman"/>
                <w:color w:val="000000" w:themeColor="text1"/>
                <w:sz w:val="16"/>
                <w:szCs w:val="16"/>
              </w:rPr>
              <w:t xml:space="preserve"> Includes universities and colleges to which no population is attributed.</w:t>
            </w:r>
          </w:p>
          <w:p w:rsidRPr="00536916" w:rsidR="00880594" w:rsidP="00536916" w:rsidRDefault="00880594" w14:paraId="1540103B" w14:textId="77777777">
            <w:pPr>
              <w:tabs>
                <w:tab w:val="left" w:pos="360"/>
              </w:tabs>
              <w:spacing w:after="0" w:line="240" w:lineRule="auto"/>
              <w:contextualSpacing/>
              <w:rPr>
                <w:rFonts w:ascii="Times New Roman" w:hAnsi="Times New Roman" w:cs="Times New Roman"/>
                <w:b/>
                <w:color w:val="000000" w:themeColor="text1"/>
                <w:sz w:val="20"/>
                <w:szCs w:val="20"/>
              </w:rPr>
            </w:pPr>
            <w:r w:rsidRPr="00536916">
              <w:rPr>
                <w:rFonts w:ascii="Times New Roman" w:hAnsi="Times New Roman"/>
                <w:color w:val="000000" w:themeColor="text1"/>
                <w:sz w:val="16"/>
                <w:szCs w:val="16"/>
                <w:vertAlign w:val="superscript"/>
              </w:rPr>
              <w:t>2</w:t>
            </w:r>
            <w:r w:rsidRPr="00536916">
              <w:rPr>
                <w:rFonts w:ascii="Times New Roman" w:hAnsi="Times New Roman"/>
                <w:color w:val="000000" w:themeColor="text1"/>
                <w:sz w:val="16"/>
                <w:szCs w:val="16"/>
              </w:rPr>
              <w:t xml:space="preserve"> Includes state police to which no population is attributed.</w:t>
            </w:r>
          </w:p>
        </w:tc>
      </w:tr>
    </w:tbl>
    <w:p w:rsidRPr="00536916" w:rsidR="006E29E3" w:rsidP="00536916" w:rsidRDefault="006E29E3" w14:paraId="45FB0818" w14:textId="77777777">
      <w:pPr>
        <w:tabs>
          <w:tab w:val="left" w:pos="360"/>
        </w:tabs>
        <w:spacing w:after="0" w:line="240" w:lineRule="auto"/>
        <w:ind w:left="720"/>
        <w:contextualSpacing/>
        <w:rPr>
          <w:rFonts w:ascii="Times New Roman" w:hAnsi="Times New Roman"/>
          <w:color w:val="000000" w:themeColor="text1"/>
          <w:sz w:val="24"/>
          <w:szCs w:val="24"/>
        </w:rPr>
      </w:pPr>
    </w:p>
    <w:p w:rsidR="00536916" w:rsidP="00536916" w:rsidRDefault="00536916" w14:paraId="049F31CB" w14:textId="77777777">
      <w:pPr>
        <w:spacing w:after="0" w:line="240" w:lineRule="auto"/>
        <w:rPr>
          <w:rFonts w:ascii="Times New Roman" w:hAnsi="Times New Roman"/>
          <w:color w:val="000000" w:themeColor="text1"/>
          <w:sz w:val="24"/>
          <w:szCs w:val="24"/>
        </w:rPr>
      </w:pPr>
    </w:p>
    <w:p w:rsidRPr="00536916" w:rsidR="00633490" w:rsidP="00536916" w:rsidRDefault="00633490" w14:paraId="50035D84" w14:textId="77777777">
      <w:pPr>
        <w:pStyle w:val="ListParagraph"/>
        <w:numPr>
          <w:ilvl w:val="0"/>
          <w:numId w:val="1"/>
        </w:numPr>
        <w:tabs>
          <w:tab w:val="left" w:pos="720"/>
        </w:tabs>
        <w:spacing w:after="0" w:line="240" w:lineRule="auto"/>
        <w:rPr>
          <w:rFonts w:ascii="Times New Roman" w:hAnsi="Times New Roman"/>
          <w:color w:val="000000" w:themeColor="text1"/>
          <w:sz w:val="24"/>
          <w:szCs w:val="24"/>
          <w:u w:val="single"/>
        </w:rPr>
      </w:pPr>
      <w:r w:rsidRPr="00536916">
        <w:rPr>
          <w:rFonts w:ascii="Times New Roman" w:hAnsi="Times New Roman"/>
          <w:color w:val="000000" w:themeColor="text1"/>
          <w:sz w:val="24"/>
          <w:szCs w:val="24"/>
          <w:u w:val="single"/>
        </w:rPr>
        <w:t>Procedures for Collecting Information</w:t>
      </w:r>
    </w:p>
    <w:p w:rsidRPr="00536916" w:rsidR="00633490" w:rsidP="00536916" w:rsidRDefault="00633490" w14:paraId="53128261" w14:textId="77777777">
      <w:pPr>
        <w:tabs>
          <w:tab w:val="left" w:pos="720"/>
        </w:tabs>
        <w:spacing w:after="0" w:line="240" w:lineRule="auto"/>
        <w:rPr>
          <w:rFonts w:ascii="Times New Roman" w:hAnsi="Times New Roman"/>
          <w:color w:val="000000" w:themeColor="text1"/>
          <w:sz w:val="24"/>
          <w:szCs w:val="24"/>
          <w:u w:val="single"/>
        </w:rPr>
      </w:pPr>
    </w:p>
    <w:p w:rsidRPr="00901927" w:rsidR="00272890" w:rsidP="00536916" w:rsidRDefault="00936DAB" w14:paraId="33769391" w14:textId="77777777">
      <w:pPr>
        <w:spacing w:after="0" w:line="240" w:lineRule="auto"/>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The FBI transitioned to a NIBRS-only data collection on January 1, 2021.  Therefore, SRS agencies may no longer submit hate crime incidents occurring after that date.  However, SRS agencies may still provide updates to incidents previously reported to UCR at </w:t>
      </w:r>
      <w:r w:rsidRPr="00901927" w:rsidR="00272890">
        <w:rPr>
          <w:rFonts w:ascii="Times New Roman" w:hAnsi="Times New Roman"/>
          <w:color w:val="000000" w:themeColor="text1"/>
          <w:sz w:val="24"/>
          <w:szCs w:val="24"/>
        </w:rPr>
        <w:t xml:space="preserve">intervals </w:t>
      </w:r>
      <w:r>
        <w:rPr>
          <w:rFonts w:ascii="Times New Roman" w:hAnsi="Times New Roman"/>
          <w:color w:val="000000" w:themeColor="text1"/>
          <w:sz w:val="24"/>
          <w:szCs w:val="24"/>
        </w:rPr>
        <w:t xml:space="preserve">which </w:t>
      </w:r>
      <w:r w:rsidRPr="00901927" w:rsidR="00272890">
        <w:rPr>
          <w:rFonts w:ascii="Times New Roman" w:hAnsi="Times New Roman"/>
          <w:color w:val="000000" w:themeColor="text1"/>
          <w:sz w:val="24"/>
          <w:szCs w:val="24"/>
        </w:rPr>
        <w:t>minimize the burden to them</w:t>
      </w:r>
      <w:r>
        <w:rPr>
          <w:rFonts w:ascii="Times New Roman" w:hAnsi="Times New Roman"/>
          <w:color w:val="000000" w:themeColor="text1"/>
          <w:sz w:val="24"/>
          <w:szCs w:val="24"/>
        </w:rPr>
        <w:t xml:space="preserve"> (e.g., </w:t>
      </w:r>
      <w:r w:rsidRPr="00901927" w:rsidR="00272890">
        <w:rPr>
          <w:rFonts w:ascii="Times New Roman" w:hAnsi="Times New Roman"/>
          <w:color w:val="000000" w:themeColor="text1"/>
          <w:sz w:val="24"/>
          <w:szCs w:val="24"/>
        </w:rPr>
        <w:t>quarterly, semiannually, or annually</w:t>
      </w:r>
      <w:r>
        <w:rPr>
          <w:rFonts w:ascii="Times New Roman" w:hAnsi="Times New Roman"/>
          <w:color w:val="000000" w:themeColor="text1"/>
          <w:sz w:val="24"/>
          <w:szCs w:val="24"/>
        </w:rPr>
        <w:t>)</w:t>
      </w:r>
      <w:r w:rsidRPr="00901927" w:rsidR="00272890">
        <w:rPr>
          <w:rFonts w:ascii="Times New Roman" w:hAnsi="Times New Roman"/>
          <w:color w:val="000000" w:themeColor="text1"/>
          <w:sz w:val="24"/>
          <w:szCs w:val="24"/>
        </w:rPr>
        <w:t xml:space="preserve">.  </w:t>
      </w:r>
    </w:p>
    <w:p w:rsidRPr="00901927" w:rsidR="00272890" w:rsidP="00536916" w:rsidRDefault="00272890" w14:paraId="62486C05" w14:textId="77777777">
      <w:pPr>
        <w:spacing w:after="0" w:line="240" w:lineRule="auto"/>
        <w:ind w:left="720"/>
        <w:rPr>
          <w:rFonts w:ascii="Times New Roman" w:hAnsi="Times New Roman"/>
          <w:color w:val="000000" w:themeColor="text1"/>
          <w:sz w:val="24"/>
          <w:szCs w:val="24"/>
        </w:rPr>
      </w:pPr>
    </w:p>
    <w:p w:rsidRPr="004413CF" w:rsidR="00633490" w:rsidP="00536916" w:rsidRDefault="00633490" w14:paraId="37525E0F" w14:textId="573C5DE8">
      <w:pPr>
        <w:spacing w:after="0" w:line="240" w:lineRule="auto"/>
        <w:ind w:left="720"/>
        <w:rPr>
          <w:rFonts w:ascii="Times New Roman" w:hAnsi="Times New Roman" w:cs="Times New Roman"/>
          <w:color w:val="000000" w:themeColor="text1"/>
          <w:sz w:val="24"/>
          <w:szCs w:val="24"/>
        </w:rPr>
      </w:pPr>
      <w:r w:rsidRPr="7395840C">
        <w:rPr>
          <w:rFonts w:ascii="Times New Roman" w:hAnsi="Times New Roman" w:cs="Times New Roman"/>
          <w:sz w:val="24"/>
          <w:szCs w:val="24"/>
        </w:rPr>
        <w:t xml:space="preserve">Although the FBI makes an effort through its editing procedures, training practices, and correspondence to ensure the reliability of the data received, the receipt of accurate statistics </w:t>
      </w:r>
      <w:r w:rsidRPr="7395840C" w:rsidR="1670808C">
        <w:rPr>
          <w:rFonts w:ascii="Times New Roman" w:hAnsi="Times New Roman" w:cs="Times New Roman"/>
          <w:sz w:val="24"/>
          <w:szCs w:val="24"/>
        </w:rPr>
        <w:t xml:space="preserve">depends </w:t>
      </w:r>
      <w:r w:rsidRPr="7395840C">
        <w:rPr>
          <w:rFonts w:ascii="Times New Roman" w:hAnsi="Times New Roman" w:cs="Times New Roman"/>
          <w:sz w:val="24"/>
          <w:szCs w:val="24"/>
        </w:rPr>
        <w:t xml:space="preserve">on adherence to the established standards of reporting at the agency level.  The FBI relies on the integrity of the data from contributors and results obtained </w:t>
      </w:r>
      <w:r w:rsidRPr="7395840C">
        <w:rPr>
          <w:rFonts w:ascii="Times New Roman" w:hAnsi="Times New Roman" w:cs="Times New Roman"/>
          <w:color w:val="000000" w:themeColor="text1"/>
          <w:sz w:val="24"/>
          <w:szCs w:val="24"/>
        </w:rPr>
        <w:t>from Quality Assurance Reviews conducted by the CJIS Audit Unit staff.  The results of the audits are not used to adjust crime data, but to educate reporting agencies on compliance with FBI UCR Program guidelines.</w:t>
      </w:r>
    </w:p>
    <w:p w:rsidRPr="004413CF" w:rsidR="00633490" w:rsidP="00536916" w:rsidRDefault="00633490" w14:paraId="4101652C" w14:textId="77777777">
      <w:pPr>
        <w:tabs>
          <w:tab w:val="left" w:pos="720"/>
        </w:tabs>
        <w:spacing w:after="0" w:line="240" w:lineRule="auto"/>
        <w:rPr>
          <w:rFonts w:ascii="Times New Roman" w:hAnsi="Times New Roman"/>
          <w:color w:val="000000" w:themeColor="text1"/>
          <w:sz w:val="24"/>
          <w:szCs w:val="24"/>
          <w:u w:val="single"/>
        </w:rPr>
      </w:pPr>
    </w:p>
    <w:p w:rsidRPr="004413CF" w:rsidR="00633490" w:rsidP="00536916" w:rsidRDefault="00633490" w14:paraId="4B99056E" w14:textId="77777777">
      <w:pPr>
        <w:tabs>
          <w:tab w:val="left" w:pos="720"/>
        </w:tabs>
        <w:spacing w:after="0" w:line="240" w:lineRule="auto"/>
        <w:rPr>
          <w:rFonts w:ascii="Times New Roman" w:hAnsi="Times New Roman"/>
          <w:color w:val="000000" w:themeColor="text1"/>
          <w:sz w:val="24"/>
          <w:szCs w:val="24"/>
          <w:u w:val="single"/>
        </w:rPr>
      </w:pPr>
    </w:p>
    <w:p w:rsidRPr="004413CF" w:rsidR="00282108" w:rsidP="00536916" w:rsidRDefault="00282108" w14:paraId="76552E42"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4413CF">
        <w:rPr>
          <w:rFonts w:ascii="Times New Roman" w:hAnsi="Times New Roman" w:cs="Times New Roman"/>
          <w:color w:val="000000" w:themeColor="text1"/>
          <w:sz w:val="24"/>
          <w:szCs w:val="24"/>
          <w:u w:val="single"/>
        </w:rPr>
        <w:t>Methods to Maximize Response</w:t>
      </w:r>
    </w:p>
    <w:p w:rsidRPr="004413CF" w:rsidR="00282108" w:rsidP="00536916" w:rsidRDefault="00282108" w14:paraId="1299C43A" w14:textId="77777777">
      <w:pPr>
        <w:pStyle w:val="ListParagraph"/>
        <w:spacing w:after="0" w:line="240" w:lineRule="auto"/>
        <w:rPr>
          <w:rFonts w:ascii="Times New Roman" w:hAnsi="Times New Roman" w:cs="Times New Roman"/>
          <w:color w:val="000000" w:themeColor="text1"/>
          <w:sz w:val="24"/>
          <w:szCs w:val="24"/>
        </w:rPr>
      </w:pPr>
    </w:p>
    <w:p w:rsidR="00C07B2F" w:rsidP="00E648AB" w:rsidRDefault="00536916" w14:paraId="5BC82CE9" w14:textId="77777777">
      <w:pPr>
        <w:pStyle w:val="ListParagraph"/>
        <w:spacing w:after="0" w:line="240" w:lineRule="auto"/>
        <w:rPr>
          <w:rFonts w:ascii="Times New Roman" w:hAnsi="Times New Roman" w:cs="Times New Roman"/>
          <w:color w:val="000000" w:themeColor="text1"/>
          <w:sz w:val="24"/>
          <w:szCs w:val="24"/>
        </w:rPr>
      </w:pPr>
      <w:r w:rsidRPr="004413CF">
        <w:rPr>
          <w:rFonts w:ascii="Times New Roman" w:hAnsi="Times New Roman" w:cs="Times New Roman"/>
          <w:color w:val="000000" w:themeColor="text1"/>
          <w:sz w:val="24"/>
          <w:szCs w:val="24"/>
        </w:rPr>
        <w:t xml:space="preserve">In 2019, the </w:t>
      </w:r>
      <w:r w:rsidRPr="004413CF" w:rsidR="00282108">
        <w:rPr>
          <w:rFonts w:ascii="Times New Roman" w:hAnsi="Times New Roman" w:cs="Times New Roman"/>
          <w:color w:val="000000" w:themeColor="text1"/>
          <w:sz w:val="24"/>
          <w:szCs w:val="24"/>
        </w:rPr>
        <w:t xml:space="preserve">FBI UCR Program </w:t>
      </w:r>
      <w:r w:rsidRPr="004413CF">
        <w:rPr>
          <w:rFonts w:ascii="Times New Roman" w:hAnsi="Times New Roman" w:cs="Times New Roman"/>
          <w:color w:val="000000" w:themeColor="text1"/>
          <w:sz w:val="24"/>
          <w:szCs w:val="24"/>
        </w:rPr>
        <w:t xml:space="preserve">received a full year of </w:t>
      </w:r>
      <w:r w:rsidRPr="004413CF" w:rsidR="00282108">
        <w:rPr>
          <w:rFonts w:ascii="Times New Roman" w:hAnsi="Times New Roman" w:cs="Times New Roman"/>
          <w:color w:val="000000" w:themeColor="text1"/>
          <w:sz w:val="24"/>
          <w:szCs w:val="24"/>
        </w:rPr>
        <w:t xml:space="preserve">hate crime </w:t>
      </w:r>
      <w:r w:rsidRPr="004413CF">
        <w:rPr>
          <w:rFonts w:ascii="Times New Roman" w:hAnsi="Times New Roman" w:cs="Times New Roman"/>
          <w:color w:val="000000" w:themeColor="text1"/>
          <w:sz w:val="24"/>
          <w:szCs w:val="24"/>
        </w:rPr>
        <w:t xml:space="preserve">data from </w:t>
      </w:r>
      <w:r w:rsidRPr="004413CF" w:rsidR="004413CF">
        <w:rPr>
          <w:rFonts w:ascii="Times New Roman" w:hAnsi="Times New Roman" w:cs="Times New Roman"/>
          <w:color w:val="000000" w:themeColor="text1"/>
          <w:sz w:val="24"/>
          <w:szCs w:val="24"/>
        </w:rPr>
        <w:t>55.8</w:t>
      </w:r>
      <w:r w:rsidRPr="004413CF" w:rsidR="000F05A3">
        <w:rPr>
          <w:rFonts w:ascii="Times New Roman" w:hAnsi="Times New Roman" w:cs="Times New Roman"/>
          <w:color w:val="000000" w:themeColor="text1"/>
          <w:sz w:val="24"/>
          <w:szCs w:val="24"/>
        </w:rPr>
        <w:t xml:space="preserve"> p</w:t>
      </w:r>
      <w:r w:rsidRPr="004413CF">
        <w:rPr>
          <w:rFonts w:ascii="Times New Roman" w:hAnsi="Times New Roman" w:cs="Times New Roman"/>
          <w:color w:val="000000" w:themeColor="text1"/>
          <w:sz w:val="24"/>
          <w:szCs w:val="24"/>
        </w:rPr>
        <w:t xml:space="preserve">ercent of the </w:t>
      </w:r>
      <w:r w:rsidRPr="004413CF" w:rsidR="00282108">
        <w:rPr>
          <w:rFonts w:ascii="Times New Roman" w:hAnsi="Times New Roman" w:cs="Times New Roman"/>
          <w:color w:val="000000" w:themeColor="text1"/>
          <w:sz w:val="24"/>
          <w:szCs w:val="24"/>
        </w:rPr>
        <w:t xml:space="preserve">agencies eligible to report </w:t>
      </w:r>
      <w:r w:rsidRPr="004413CF">
        <w:rPr>
          <w:rFonts w:ascii="Times New Roman" w:hAnsi="Times New Roman" w:cs="Times New Roman"/>
          <w:color w:val="000000" w:themeColor="text1"/>
          <w:sz w:val="24"/>
          <w:szCs w:val="24"/>
        </w:rPr>
        <w:t xml:space="preserve">hate crime </w:t>
      </w:r>
      <w:r w:rsidRPr="004413CF" w:rsidR="00282108">
        <w:rPr>
          <w:rFonts w:ascii="Times New Roman" w:hAnsi="Times New Roman" w:cs="Times New Roman"/>
          <w:color w:val="000000" w:themeColor="text1"/>
          <w:sz w:val="24"/>
          <w:szCs w:val="24"/>
        </w:rPr>
        <w:t xml:space="preserve">data </w:t>
      </w:r>
      <w:r w:rsidRPr="004413CF">
        <w:rPr>
          <w:rFonts w:ascii="Times New Roman" w:hAnsi="Times New Roman" w:cs="Times New Roman"/>
          <w:color w:val="000000" w:themeColor="text1"/>
          <w:sz w:val="24"/>
          <w:szCs w:val="24"/>
        </w:rPr>
        <w:t>via SRS.</w:t>
      </w:r>
      <w:r w:rsidR="00DA1AE7">
        <w:rPr>
          <w:rFonts w:ascii="Times New Roman" w:hAnsi="Times New Roman" w:cs="Times New Roman"/>
          <w:color w:val="000000" w:themeColor="text1"/>
          <w:sz w:val="24"/>
          <w:szCs w:val="24"/>
        </w:rPr>
        <w:t xml:space="preserve">  Under one-third (</w:t>
      </w:r>
      <w:r w:rsidRPr="004413CF" w:rsidR="004413CF">
        <w:rPr>
          <w:rFonts w:ascii="Times New Roman" w:hAnsi="Times New Roman" w:cs="Times New Roman"/>
          <w:color w:val="000000" w:themeColor="text1"/>
          <w:sz w:val="24"/>
          <w:szCs w:val="24"/>
        </w:rPr>
        <w:t>30.2</w:t>
      </w:r>
      <w:r w:rsidRPr="004413CF" w:rsidR="000F05A3">
        <w:rPr>
          <w:rFonts w:ascii="Times New Roman" w:hAnsi="Times New Roman" w:cs="Times New Roman"/>
          <w:color w:val="000000" w:themeColor="text1"/>
          <w:sz w:val="24"/>
          <w:szCs w:val="24"/>
        </w:rPr>
        <w:t xml:space="preserve"> percent</w:t>
      </w:r>
      <w:r w:rsidR="00DA1AE7">
        <w:rPr>
          <w:rFonts w:ascii="Times New Roman" w:hAnsi="Times New Roman" w:cs="Times New Roman"/>
          <w:color w:val="000000" w:themeColor="text1"/>
          <w:sz w:val="24"/>
          <w:szCs w:val="24"/>
        </w:rPr>
        <w:t>) of the</w:t>
      </w:r>
      <w:r w:rsidRPr="004413CF" w:rsidR="000F05A3">
        <w:rPr>
          <w:rFonts w:ascii="Times New Roman" w:hAnsi="Times New Roman" w:cs="Times New Roman"/>
          <w:color w:val="000000" w:themeColor="text1"/>
          <w:sz w:val="24"/>
          <w:szCs w:val="24"/>
        </w:rPr>
        <w:t xml:space="preserve"> </w:t>
      </w:r>
      <w:r w:rsidR="00DA1AE7">
        <w:rPr>
          <w:rFonts w:ascii="Times New Roman" w:hAnsi="Times New Roman" w:cs="Times New Roman"/>
          <w:color w:val="000000" w:themeColor="text1"/>
          <w:sz w:val="24"/>
          <w:szCs w:val="24"/>
        </w:rPr>
        <w:t xml:space="preserve">LEAs </w:t>
      </w:r>
      <w:r w:rsidRPr="004413CF" w:rsidR="000F05A3">
        <w:rPr>
          <w:rFonts w:ascii="Times New Roman" w:hAnsi="Times New Roman" w:cs="Times New Roman"/>
          <w:color w:val="000000" w:themeColor="text1"/>
          <w:sz w:val="24"/>
          <w:szCs w:val="24"/>
        </w:rPr>
        <w:t xml:space="preserve">reported 1-3 quarters, while </w:t>
      </w:r>
      <w:r w:rsidRPr="004413CF" w:rsidR="004413CF">
        <w:rPr>
          <w:rFonts w:ascii="Times New Roman" w:hAnsi="Times New Roman" w:cs="Times New Roman"/>
          <w:color w:val="000000" w:themeColor="text1"/>
          <w:sz w:val="24"/>
          <w:szCs w:val="24"/>
        </w:rPr>
        <w:t>14.0</w:t>
      </w:r>
      <w:r w:rsidRPr="004413CF" w:rsidR="000F05A3">
        <w:rPr>
          <w:rFonts w:ascii="Times New Roman" w:hAnsi="Times New Roman" w:cs="Times New Roman"/>
          <w:color w:val="000000" w:themeColor="text1"/>
          <w:sz w:val="24"/>
          <w:szCs w:val="24"/>
        </w:rPr>
        <w:t xml:space="preserve"> percent did </w:t>
      </w:r>
      <w:r w:rsidRPr="004413CF" w:rsidR="00282108">
        <w:rPr>
          <w:rFonts w:ascii="Times New Roman" w:hAnsi="Times New Roman" w:cs="Times New Roman"/>
          <w:color w:val="000000" w:themeColor="text1"/>
          <w:sz w:val="24"/>
          <w:szCs w:val="24"/>
        </w:rPr>
        <w:t>not submit bias</w:t>
      </w:r>
      <w:r w:rsidRPr="004413CF" w:rsidR="000F05A3">
        <w:rPr>
          <w:rFonts w:ascii="Times New Roman" w:hAnsi="Times New Roman" w:cs="Times New Roman"/>
          <w:color w:val="000000" w:themeColor="text1"/>
          <w:sz w:val="24"/>
          <w:szCs w:val="24"/>
        </w:rPr>
        <w:t>-motivated information.</w:t>
      </w:r>
      <w:r w:rsidR="00C07B2F">
        <w:rPr>
          <w:rFonts w:ascii="Times New Roman" w:hAnsi="Times New Roman" w:cs="Times New Roman"/>
          <w:color w:val="000000" w:themeColor="text1"/>
          <w:sz w:val="24"/>
          <w:szCs w:val="24"/>
        </w:rPr>
        <w:t xml:space="preserve">  </w:t>
      </w:r>
      <w:r w:rsidRPr="004413CF" w:rsidR="00282108">
        <w:rPr>
          <w:rFonts w:ascii="Times New Roman" w:hAnsi="Times New Roman" w:cs="Times New Roman"/>
          <w:color w:val="000000" w:themeColor="text1"/>
          <w:sz w:val="24"/>
          <w:szCs w:val="24"/>
        </w:rPr>
        <w:t>Hate crime data are available within NIBRS and similar response rates are expected</w:t>
      </w:r>
      <w:r w:rsidR="00C07B2F">
        <w:rPr>
          <w:rFonts w:ascii="Times New Roman" w:hAnsi="Times New Roman" w:cs="Times New Roman"/>
          <w:color w:val="000000" w:themeColor="text1"/>
          <w:sz w:val="24"/>
          <w:szCs w:val="24"/>
        </w:rPr>
        <w:t xml:space="preserve"> from agencies having made the transition from SRS reporting to NIBRS.</w:t>
      </w:r>
    </w:p>
    <w:p w:rsidR="005A4375" w:rsidP="00E648AB" w:rsidRDefault="005A4375" w14:paraId="4DDBEF00" w14:textId="77777777">
      <w:pPr>
        <w:spacing w:after="0" w:line="240" w:lineRule="auto"/>
        <w:rPr>
          <w:rFonts w:ascii="Times New Roman" w:hAnsi="Times New Roman" w:cs="Times New Roman"/>
          <w:color w:val="000000" w:themeColor="text1"/>
          <w:sz w:val="24"/>
          <w:szCs w:val="24"/>
        </w:rPr>
      </w:pPr>
    </w:p>
    <w:p w:rsidR="00CD0ED3" w:rsidP="00E648AB" w:rsidRDefault="00282108" w14:paraId="36D8E435" w14:textId="77777777">
      <w:pPr>
        <w:spacing w:after="0" w:line="240" w:lineRule="auto"/>
        <w:ind w:left="720"/>
        <w:rPr>
          <w:rFonts w:ascii="Times New Roman" w:hAnsi="Times New Roman" w:cs="Times New Roman"/>
          <w:sz w:val="24"/>
          <w:szCs w:val="24"/>
        </w:rPr>
      </w:pPr>
      <w:r w:rsidRPr="005A4375">
        <w:rPr>
          <w:rFonts w:ascii="Times New Roman" w:hAnsi="Times New Roman" w:cs="Times New Roman"/>
          <w:color w:val="000000" w:themeColor="text1"/>
          <w:sz w:val="24"/>
          <w:szCs w:val="24"/>
        </w:rPr>
        <w:t xml:space="preserve">FBI UCR Program </w:t>
      </w:r>
      <w:r w:rsidRPr="005A4375" w:rsidR="00C07B2F">
        <w:rPr>
          <w:rFonts w:ascii="Times New Roman" w:hAnsi="Times New Roman" w:cs="Times New Roman"/>
          <w:color w:val="000000" w:themeColor="text1"/>
          <w:sz w:val="24"/>
          <w:szCs w:val="24"/>
        </w:rPr>
        <w:t>staff actively liaison</w:t>
      </w:r>
      <w:r w:rsidRPr="005A4375">
        <w:rPr>
          <w:rFonts w:ascii="Times New Roman" w:hAnsi="Times New Roman" w:cs="Times New Roman"/>
          <w:color w:val="000000" w:themeColor="text1"/>
          <w:sz w:val="24"/>
          <w:szCs w:val="24"/>
        </w:rPr>
        <w:t xml:space="preserve"> with LEAs to encourage participation</w:t>
      </w:r>
      <w:r w:rsidRPr="005A4375" w:rsidR="00C07B2F">
        <w:rPr>
          <w:rFonts w:ascii="Times New Roman" w:hAnsi="Times New Roman" w:cs="Times New Roman"/>
          <w:color w:val="000000" w:themeColor="text1"/>
          <w:sz w:val="24"/>
          <w:szCs w:val="24"/>
        </w:rPr>
        <w:t xml:space="preserve"> and </w:t>
      </w:r>
      <w:r w:rsidR="00CD0ED3">
        <w:rPr>
          <w:rFonts w:ascii="Times New Roman" w:hAnsi="Times New Roman" w:cs="Times New Roman"/>
          <w:sz w:val="24"/>
          <w:szCs w:val="24"/>
        </w:rPr>
        <w:t>assist agencies with maximizing r</w:t>
      </w:r>
      <w:r w:rsidRPr="007D3528" w:rsidR="00CD0ED3">
        <w:rPr>
          <w:rFonts w:ascii="Times New Roman" w:hAnsi="Times New Roman" w:cs="Times New Roman"/>
          <w:sz w:val="24"/>
          <w:szCs w:val="24"/>
        </w:rPr>
        <w:t>esponse rates</w:t>
      </w:r>
      <w:r w:rsidR="00CD0ED3">
        <w:rPr>
          <w:rFonts w:ascii="Times New Roman" w:hAnsi="Times New Roman" w:cs="Times New Roman"/>
          <w:sz w:val="24"/>
          <w:szCs w:val="24"/>
        </w:rPr>
        <w:t xml:space="preserve"> and </w:t>
      </w:r>
      <w:r w:rsidR="00DE4372">
        <w:rPr>
          <w:rFonts w:ascii="Times New Roman" w:hAnsi="Times New Roman" w:cs="Times New Roman"/>
          <w:sz w:val="24"/>
          <w:szCs w:val="24"/>
        </w:rPr>
        <w:t>providing accurate, up-to-date</w:t>
      </w:r>
      <w:r w:rsidR="001C035A">
        <w:rPr>
          <w:rFonts w:ascii="Times New Roman" w:hAnsi="Times New Roman" w:cs="Times New Roman"/>
          <w:sz w:val="24"/>
          <w:szCs w:val="24"/>
        </w:rPr>
        <w:t xml:space="preserve"> information.  </w:t>
      </w:r>
    </w:p>
    <w:p w:rsidR="00E648AB" w:rsidRDefault="00E648AB" w14:paraId="3461D779"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Pr="000F05A3" w:rsidR="005F76A4" w:rsidP="00E648AB" w:rsidRDefault="005F76A4" w14:paraId="6CCF4C97"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0F05A3">
        <w:rPr>
          <w:rFonts w:ascii="Times New Roman" w:hAnsi="Times New Roman" w:cs="Times New Roman"/>
          <w:color w:val="000000" w:themeColor="text1"/>
          <w:sz w:val="24"/>
          <w:szCs w:val="24"/>
          <w:u w:val="single"/>
        </w:rPr>
        <w:lastRenderedPageBreak/>
        <w:t>Testing of Procedures</w:t>
      </w:r>
    </w:p>
    <w:p w:rsidRPr="000F05A3" w:rsidR="005F76A4" w:rsidP="00536916" w:rsidRDefault="005F76A4" w14:paraId="3CF2D8B6" w14:textId="77777777">
      <w:pPr>
        <w:pStyle w:val="ListParagraph"/>
        <w:spacing w:after="0" w:line="240" w:lineRule="auto"/>
        <w:rPr>
          <w:rFonts w:ascii="Times New Roman" w:hAnsi="Times New Roman" w:cs="Times New Roman"/>
          <w:color w:val="000000" w:themeColor="text1"/>
          <w:sz w:val="24"/>
          <w:szCs w:val="24"/>
        </w:rPr>
      </w:pPr>
    </w:p>
    <w:p w:rsidRPr="00680E05" w:rsidR="005F76A4" w:rsidP="00536916" w:rsidRDefault="005F76A4" w14:paraId="75D763A8" w14:textId="77777777">
      <w:pPr>
        <w:pStyle w:val="ListParagraph"/>
        <w:spacing w:after="0" w:line="240" w:lineRule="auto"/>
        <w:ind w:right="-90"/>
        <w:rPr>
          <w:rFonts w:ascii="Times New Roman" w:hAnsi="Times New Roman" w:cs="Times New Roman"/>
          <w:color w:val="000000" w:themeColor="text1"/>
          <w:sz w:val="24"/>
          <w:szCs w:val="24"/>
        </w:rPr>
      </w:pPr>
      <w:r w:rsidRPr="000F05A3">
        <w:rPr>
          <w:rFonts w:ascii="Times New Roman" w:hAnsi="Times New Roman" w:cs="Times New Roman"/>
          <w:color w:val="000000" w:themeColor="text1"/>
          <w:sz w:val="24"/>
          <w:szCs w:val="24"/>
        </w:rPr>
        <w:t xml:space="preserve">The FBI UCR Program receives guidance for implementing or making changes to a data collection from the </w:t>
      </w:r>
      <w:r w:rsidR="00EF5CB0">
        <w:rPr>
          <w:rFonts w:ascii="Times New Roman" w:hAnsi="Times New Roman" w:cs="Times New Roman"/>
          <w:color w:val="000000" w:themeColor="text1"/>
          <w:sz w:val="24"/>
          <w:szCs w:val="24"/>
        </w:rPr>
        <w:t xml:space="preserve">FBI </w:t>
      </w:r>
      <w:r w:rsidRPr="000F05A3">
        <w:rPr>
          <w:rFonts w:ascii="Times New Roman" w:hAnsi="Times New Roman" w:cs="Times New Roman"/>
          <w:color w:val="000000" w:themeColor="text1"/>
          <w:sz w:val="24"/>
          <w:szCs w:val="24"/>
        </w:rPr>
        <w:t xml:space="preserve">CJIS Advisory Policy Board (APB).  The </w:t>
      </w:r>
      <w:r w:rsidR="00EF5CB0">
        <w:rPr>
          <w:rFonts w:ascii="Times New Roman" w:hAnsi="Times New Roman" w:cs="Times New Roman"/>
          <w:color w:val="000000" w:themeColor="text1"/>
          <w:sz w:val="24"/>
          <w:szCs w:val="24"/>
        </w:rPr>
        <w:t>APB</w:t>
      </w:r>
      <w:r w:rsidRPr="000F05A3">
        <w:rPr>
          <w:rFonts w:ascii="Times New Roman" w:hAnsi="Times New Roman" w:cs="Times New Roman"/>
          <w:color w:val="000000" w:themeColor="text1"/>
          <w:sz w:val="24"/>
          <w:szCs w:val="24"/>
        </w:rPr>
        <w:t xml:space="preserve"> was developed to obtain user community advice and guidance on the development and operation of all CJIS</w:t>
      </w:r>
      <w:r w:rsidR="00EF5CB0">
        <w:rPr>
          <w:rFonts w:ascii="Times New Roman" w:hAnsi="Times New Roman" w:cs="Times New Roman"/>
          <w:color w:val="000000" w:themeColor="text1"/>
          <w:sz w:val="24"/>
          <w:szCs w:val="24"/>
        </w:rPr>
        <w:t> </w:t>
      </w:r>
      <w:r w:rsidRPr="000F05A3">
        <w:rPr>
          <w:rFonts w:ascii="Times New Roman" w:hAnsi="Times New Roman" w:cs="Times New Roman"/>
          <w:color w:val="000000" w:themeColor="text1"/>
          <w:sz w:val="24"/>
          <w:szCs w:val="24"/>
        </w:rPr>
        <w:t xml:space="preserve">Division programs.  The philosophy underlying the advisory process is one of </w:t>
      </w:r>
      <w:r w:rsidRPr="00680E05">
        <w:rPr>
          <w:rFonts w:ascii="Times New Roman" w:hAnsi="Times New Roman" w:cs="Times New Roman"/>
          <w:color w:val="000000" w:themeColor="text1"/>
          <w:sz w:val="24"/>
          <w:szCs w:val="24"/>
        </w:rPr>
        <w:t>shared management, i.e., the FBI; federal, state, local, and tribal data providers; and system users share responsibility for the operation and management of all systems administered by the FBI to benefit the criminal justice community.</w:t>
      </w:r>
    </w:p>
    <w:p w:rsidRPr="00680E05" w:rsidR="005F76A4" w:rsidP="00536916" w:rsidRDefault="005F76A4" w14:paraId="0FB78278" w14:textId="77777777">
      <w:pPr>
        <w:pStyle w:val="ListParagraph"/>
        <w:spacing w:after="0" w:line="240" w:lineRule="auto"/>
        <w:rPr>
          <w:rFonts w:ascii="Times New Roman" w:hAnsi="Times New Roman" w:cs="Times New Roman"/>
          <w:color w:val="000000" w:themeColor="text1"/>
          <w:sz w:val="24"/>
          <w:szCs w:val="24"/>
        </w:rPr>
      </w:pPr>
    </w:p>
    <w:p w:rsidR="001C035A" w:rsidP="00536916" w:rsidRDefault="001C035A" w14:paraId="401595E6" w14:textId="05EB433F">
      <w:pPr>
        <w:pStyle w:val="ListParagraph"/>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 transitioned to a NIBRS-only data collection on January 1, 2021, thereby</w:t>
      </w:r>
      <w:r w:rsidR="00FC07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discontinuing SRS.  Therefore, SRS agencies are only permitted to provide updates to hate crime incidents previously submitted to the FBI UCR Program and testing is not required.   </w:t>
      </w:r>
    </w:p>
    <w:p w:rsidR="005A4375" w:rsidP="00536916" w:rsidRDefault="005A4375" w14:paraId="1FC39945" w14:textId="77777777">
      <w:pPr>
        <w:spacing w:after="0" w:line="240" w:lineRule="auto"/>
        <w:rPr>
          <w:rFonts w:ascii="Times New Roman" w:hAnsi="Times New Roman" w:cs="Times New Roman"/>
          <w:sz w:val="24"/>
          <w:szCs w:val="24"/>
        </w:rPr>
      </w:pPr>
    </w:p>
    <w:p w:rsidR="005A4375" w:rsidP="00536916" w:rsidRDefault="005A4375" w14:paraId="0562CB0E" w14:textId="77777777">
      <w:pPr>
        <w:spacing w:after="0" w:line="240" w:lineRule="auto"/>
        <w:rPr>
          <w:rFonts w:ascii="Times New Roman" w:hAnsi="Times New Roman" w:cs="Times New Roman"/>
          <w:sz w:val="24"/>
          <w:szCs w:val="24"/>
        </w:rPr>
      </w:pPr>
    </w:p>
    <w:p w:rsidRPr="00CD2487" w:rsidR="00CD2487" w:rsidP="00536916" w:rsidRDefault="00CD2487" w14:paraId="763B5F97"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CD2487">
        <w:rPr>
          <w:rFonts w:ascii="Times New Roman" w:hAnsi="Times New Roman" w:cs="Times New Roman"/>
          <w:color w:val="000000" w:themeColor="text1"/>
          <w:sz w:val="24"/>
          <w:szCs w:val="24"/>
          <w:u w:val="single"/>
        </w:rPr>
        <w:t>Contacts for Statistical Aspects and Data Collection</w:t>
      </w:r>
    </w:p>
    <w:p w:rsidR="00CD2487" w:rsidP="00536916" w:rsidRDefault="00CD2487" w14:paraId="34CE0A41" w14:textId="77777777">
      <w:pPr>
        <w:pStyle w:val="ListParagraph"/>
        <w:spacing w:after="0" w:line="240" w:lineRule="auto"/>
        <w:ind w:left="360"/>
        <w:rPr>
          <w:rFonts w:ascii="Times New Roman" w:hAnsi="Times New Roman" w:cs="Times New Roman"/>
          <w:sz w:val="24"/>
          <w:szCs w:val="24"/>
        </w:rPr>
      </w:pPr>
    </w:p>
    <w:p w:rsidRPr="00D21942" w:rsidR="00CD2487" w:rsidP="00536916" w:rsidRDefault="00D646EE" w14:paraId="245B76A4"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Trudy Lou</w:t>
      </w:r>
      <w:r w:rsidRPr="00D21942" w:rsidR="00CD2487">
        <w:rPr>
          <w:rFonts w:ascii="Times New Roman" w:hAnsi="Times New Roman" w:cs="Times New Roman"/>
          <w:sz w:val="24"/>
          <w:szCs w:val="24"/>
        </w:rPr>
        <w:t xml:space="preserve"> Ford</w:t>
      </w:r>
    </w:p>
    <w:p w:rsidR="00CD2487" w:rsidP="00536916" w:rsidRDefault="00CD2487" w14:paraId="301F85E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Global Law Enforcement Support Section (GLESS) Chief</w:t>
      </w:r>
    </w:p>
    <w:p w:rsidRPr="00B72282" w:rsidR="00CD2487" w:rsidP="00536916" w:rsidRDefault="00CD2487" w14:paraId="2DDEA00D" w14:textId="77777777">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tl</w:t>
      </w:r>
      <w:r w:rsidRPr="00B72282">
        <w:rPr>
          <w:rFonts w:ascii="Times New Roman" w:hAnsi="Times New Roman" w:cs="Times New Roman"/>
          <w:color w:val="000000" w:themeColor="text1"/>
          <w:sz w:val="24"/>
          <w:szCs w:val="24"/>
        </w:rPr>
        <w:t>ford@fbi.gov</w:t>
      </w:r>
    </w:p>
    <w:p w:rsidRPr="00B72282" w:rsidR="00CD2487" w:rsidP="00536916" w:rsidRDefault="00CD2487" w14:paraId="4F6CBC41" w14:textId="77777777">
      <w:pPr>
        <w:pStyle w:val="ListParagraph"/>
        <w:spacing w:after="0" w:line="240" w:lineRule="auto"/>
        <w:rPr>
          <w:rFonts w:ascii="Times New Roman" w:hAnsi="Times New Roman" w:cs="Times New Roman"/>
          <w:color w:val="000000" w:themeColor="text1"/>
          <w:sz w:val="24"/>
          <w:szCs w:val="24"/>
        </w:rPr>
      </w:pPr>
      <w:r w:rsidRPr="00B72282">
        <w:rPr>
          <w:rFonts w:ascii="Times New Roman" w:hAnsi="Times New Roman" w:cs="Times New Roman"/>
          <w:color w:val="000000" w:themeColor="text1"/>
          <w:sz w:val="24"/>
          <w:szCs w:val="24"/>
        </w:rPr>
        <w:t>304-625-3690</w:t>
      </w:r>
    </w:p>
    <w:p w:rsidRPr="00FA52A9" w:rsidR="00CD2487" w:rsidP="00536916" w:rsidRDefault="00CD2487" w14:paraId="62EBF3C5" w14:textId="77777777">
      <w:pPr>
        <w:pStyle w:val="ListParagraph"/>
        <w:spacing w:after="0" w:line="240" w:lineRule="auto"/>
        <w:rPr>
          <w:rFonts w:ascii="Times New Roman" w:hAnsi="Times New Roman" w:cs="Times New Roman"/>
          <w:color w:val="000000" w:themeColor="text1"/>
          <w:sz w:val="24"/>
          <w:szCs w:val="24"/>
        </w:rPr>
      </w:pPr>
    </w:p>
    <w:p w:rsidRPr="00FA52A9" w:rsidR="00CD2487" w:rsidP="00536916" w:rsidRDefault="00CD2487" w14:paraId="33A2769A" w14:textId="77777777">
      <w:pPr>
        <w:pStyle w:val="ListParagraph"/>
        <w:spacing w:after="0" w:line="240" w:lineRule="auto"/>
        <w:rPr>
          <w:rFonts w:ascii="Times New Roman" w:hAnsi="Times New Roman" w:cs="Times New Roman"/>
          <w:color w:val="000000" w:themeColor="text1"/>
          <w:sz w:val="24"/>
          <w:szCs w:val="24"/>
        </w:rPr>
      </w:pPr>
      <w:r w:rsidRPr="00FA52A9">
        <w:rPr>
          <w:rFonts w:ascii="Times New Roman" w:hAnsi="Times New Roman" w:cs="Times New Roman"/>
          <w:color w:val="000000" w:themeColor="text1"/>
          <w:sz w:val="24"/>
          <w:szCs w:val="24"/>
        </w:rPr>
        <w:t>Michael J. McKeown</w:t>
      </w:r>
    </w:p>
    <w:p w:rsidRPr="00FA52A9" w:rsidR="00CD2487" w:rsidP="00536916" w:rsidRDefault="00CD2487" w14:paraId="0ED9822A" w14:textId="77777777">
      <w:pPr>
        <w:pStyle w:val="ListParagraph"/>
        <w:spacing w:after="0" w:line="240" w:lineRule="auto"/>
        <w:rPr>
          <w:rFonts w:ascii="Times New Roman" w:hAnsi="Times New Roman" w:cs="Times New Roman"/>
          <w:color w:val="000000" w:themeColor="text1"/>
          <w:sz w:val="24"/>
          <w:szCs w:val="24"/>
        </w:rPr>
      </w:pPr>
      <w:r w:rsidRPr="00FA52A9">
        <w:rPr>
          <w:rFonts w:ascii="Times New Roman" w:hAnsi="Times New Roman" w:cs="Times New Roman"/>
          <w:color w:val="000000" w:themeColor="text1"/>
          <w:sz w:val="24"/>
          <w:szCs w:val="24"/>
        </w:rPr>
        <w:t xml:space="preserve">GLESS Assistant Section Chief </w:t>
      </w:r>
    </w:p>
    <w:p w:rsidRPr="00A6696E" w:rsidR="00CD2487" w:rsidP="00536916" w:rsidRDefault="00CD2487" w14:paraId="57AF86C0"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FA52A9">
        <w:rPr>
          <w:rFonts w:ascii="Times New Roman" w:hAnsi="Times New Roman" w:eastAsia="Times New Roman" w:cs="Times New Roman"/>
          <w:color w:val="000000" w:themeColor="text1"/>
          <w:sz w:val="24"/>
          <w:szCs w:val="24"/>
          <w:bdr w:val="none" w:color="auto" w:sz="0" w:space="0" w:frame="1"/>
        </w:rPr>
        <w:t>mjmckeown@fbi.gov</w:t>
      </w:r>
      <w:r w:rsidRPr="00A6696E">
        <w:rPr>
          <w:rFonts w:ascii="Times New Roman" w:hAnsi="Times New Roman" w:eastAsia="Times New Roman" w:cs="Times New Roman"/>
          <w:color w:val="000000" w:themeColor="text1"/>
          <w:sz w:val="24"/>
          <w:szCs w:val="24"/>
          <w:bdr w:val="none" w:color="auto" w:sz="0" w:space="0" w:frame="1"/>
        </w:rPr>
        <w:t> </w:t>
      </w:r>
    </w:p>
    <w:p w:rsidRPr="00A6696E" w:rsidR="00CD2487" w:rsidP="00536916" w:rsidRDefault="00CD2487" w14:paraId="36B5E9E7"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A6696E">
        <w:rPr>
          <w:rFonts w:ascii="Times New Roman" w:hAnsi="Times New Roman" w:eastAsia="Times New Roman" w:cs="Times New Roman"/>
          <w:color w:val="000000" w:themeColor="text1"/>
          <w:sz w:val="24"/>
          <w:szCs w:val="24"/>
          <w:bdr w:val="none" w:color="auto" w:sz="0" w:space="0" w:frame="1"/>
        </w:rPr>
        <w:t>304-625-2966 </w:t>
      </w:r>
      <w:r w:rsidRPr="00A6696E">
        <w:rPr>
          <w:rFonts w:ascii="Times New Roman" w:hAnsi="Times New Roman" w:eastAsia="Times New Roman" w:cs="Times New Roman"/>
          <w:color w:val="000000" w:themeColor="text1"/>
          <w:sz w:val="24"/>
          <w:szCs w:val="24"/>
        </w:rPr>
        <w:br/>
      </w:r>
      <w:r w:rsidRPr="00A6696E">
        <w:rPr>
          <w:rFonts w:ascii="Calibri" w:hAnsi="Calibri" w:eastAsia="Times New Roman" w:cs="Calibri"/>
          <w:color w:val="000000" w:themeColor="text1"/>
          <w:bdr w:val="none" w:color="auto" w:sz="0" w:space="0" w:frame="1"/>
        </w:rPr>
        <w:t> </w:t>
      </w:r>
      <w:r w:rsidRPr="00A6696E">
        <w:rPr>
          <w:rFonts w:ascii="Calibri" w:hAnsi="Calibri" w:eastAsia="Times New Roman" w:cs="Calibri"/>
          <w:color w:val="000000" w:themeColor="text1"/>
          <w:bdr w:val="none" w:color="auto" w:sz="0" w:space="0" w:frame="1"/>
        </w:rPr>
        <w:br/>
      </w:r>
      <w:r w:rsidRPr="00A6696E">
        <w:rPr>
          <w:rFonts w:ascii="Times New Roman" w:hAnsi="Times New Roman" w:eastAsia="Times New Roman" w:cs="Times New Roman"/>
          <w:color w:val="000000" w:themeColor="text1"/>
          <w:sz w:val="24"/>
          <w:szCs w:val="24"/>
          <w:bdr w:val="none" w:color="auto" w:sz="0" w:space="0" w:frame="1"/>
        </w:rPr>
        <w:t>Amy C. Blasher </w:t>
      </w:r>
    </w:p>
    <w:p w:rsidRPr="00A6696E" w:rsidR="00CD2487" w:rsidP="00536916" w:rsidRDefault="00D646EE" w14:paraId="1CE73688"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bdr w:val="none" w:color="auto" w:sz="0" w:space="0" w:frame="1"/>
        </w:rPr>
        <w:t>CSMU</w:t>
      </w:r>
      <w:r w:rsidRPr="00A6696E" w:rsidR="00CD2487">
        <w:rPr>
          <w:rFonts w:ascii="Times New Roman" w:hAnsi="Times New Roman" w:eastAsia="Times New Roman" w:cs="Times New Roman"/>
          <w:color w:val="000000" w:themeColor="text1"/>
          <w:sz w:val="24"/>
          <w:szCs w:val="24"/>
          <w:bdr w:val="none" w:color="auto" w:sz="0" w:space="0" w:frame="1"/>
        </w:rPr>
        <w:t xml:space="preserve"> Chief </w:t>
      </w:r>
    </w:p>
    <w:p w:rsidRPr="00A6696E" w:rsidR="00CD2487" w:rsidP="00536916" w:rsidRDefault="00CD2487" w14:paraId="0F48C367"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FA52A9">
        <w:rPr>
          <w:rFonts w:ascii="Times New Roman" w:hAnsi="Times New Roman" w:eastAsia="Times New Roman" w:cs="Times New Roman"/>
          <w:color w:val="000000" w:themeColor="text1"/>
          <w:sz w:val="24"/>
          <w:szCs w:val="24"/>
          <w:bdr w:val="none" w:color="auto" w:sz="0" w:space="0" w:frame="1"/>
        </w:rPr>
        <w:t>acblasher@fbi.gov</w:t>
      </w:r>
      <w:r w:rsidRPr="00A6696E">
        <w:rPr>
          <w:rFonts w:ascii="Times New Roman" w:hAnsi="Times New Roman" w:eastAsia="Times New Roman" w:cs="Times New Roman"/>
          <w:color w:val="000000" w:themeColor="text1"/>
          <w:sz w:val="24"/>
          <w:szCs w:val="24"/>
          <w:bdr w:val="none" w:color="auto" w:sz="0" w:space="0" w:frame="1"/>
        </w:rPr>
        <w:t> </w:t>
      </w:r>
    </w:p>
    <w:p w:rsidRPr="00A6696E" w:rsidR="00CD2487" w:rsidP="00536916" w:rsidRDefault="00CD2487" w14:paraId="6E9C02A7"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A6696E">
        <w:rPr>
          <w:rFonts w:ascii="Times New Roman" w:hAnsi="Times New Roman" w:eastAsia="Times New Roman" w:cs="Times New Roman"/>
          <w:color w:val="000000" w:themeColor="text1"/>
          <w:sz w:val="24"/>
          <w:szCs w:val="24"/>
          <w:bdr w:val="none" w:color="auto" w:sz="0" w:space="0" w:frame="1"/>
        </w:rPr>
        <w:t>304-625-4840 </w:t>
      </w:r>
    </w:p>
    <w:p w:rsidRPr="006559B8" w:rsidR="00CD2487" w:rsidP="00536916" w:rsidRDefault="00CD2487" w14:paraId="6E7BEAA2"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A6696E">
        <w:rPr>
          <w:rFonts w:ascii="Times New Roman" w:hAnsi="Times New Roman" w:eastAsia="Times New Roman" w:cs="Times New Roman"/>
          <w:color w:val="000000" w:themeColor="text1"/>
          <w:sz w:val="24"/>
          <w:szCs w:val="24"/>
          <w:bdr w:val="none" w:color="auto" w:sz="0" w:space="0" w:frame="1"/>
        </w:rPr>
        <w:t> </w:t>
      </w:r>
    </w:p>
    <w:p w:rsidRPr="006559B8" w:rsidR="00CD2487" w:rsidP="00536916" w:rsidRDefault="00CD2487" w14:paraId="22560B78"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6559B8">
        <w:rPr>
          <w:rFonts w:ascii="Times New Roman" w:hAnsi="Times New Roman" w:eastAsia="Times New Roman" w:cs="Times New Roman"/>
          <w:color w:val="000000" w:themeColor="text1"/>
          <w:sz w:val="24"/>
          <w:szCs w:val="24"/>
          <w:bdr w:val="none" w:color="auto" w:sz="0" w:space="0" w:frame="1"/>
        </w:rPr>
        <w:t>Cynthia Barnett-Ryan </w:t>
      </w:r>
    </w:p>
    <w:p w:rsidRPr="006559B8" w:rsidR="00CD2487" w:rsidP="00536916" w:rsidRDefault="00CD2487" w14:paraId="10D8D69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6559B8">
        <w:rPr>
          <w:rFonts w:ascii="Times New Roman" w:hAnsi="Times New Roman" w:eastAsia="Times New Roman" w:cs="Times New Roman"/>
          <w:color w:val="000000" w:themeColor="text1"/>
          <w:sz w:val="24"/>
          <w:szCs w:val="24"/>
          <w:bdr w:val="none" w:color="auto" w:sz="0" w:space="0" w:frame="1"/>
        </w:rPr>
        <w:t>Statistician, CSMU </w:t>
      </w:r>
    </w:p>
    <w:p w:rsidRPr="006559B8" w:rsidR="00CD2487" w:rsidP="00536916" w:rsidRDefault="00CD2487" w14:paraId="2A39C46E"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6559B8">
        <w:rPr>
          <w:rFonts w:ascii="Times New Roman" w:hAnsi="Times New Roman" w:eastAsia="Times New Roman" w:cs="Times New Roman"/>
          <w:color w:val="000000" w:themeColor="text1"/>
          <w:sz w:val="24"/>
          <w:szCs w:val="24"/>
          <w:bdr w:val="none" w:color="auto" w:sz="0" w:space="0" w:frame="1"/>
        </w:rPr>
        <w:t>cbarnett-ryan@fbi.gov </w:t>
      </w:r>
    </w:p>
    <w:p w:rsidRPr="006559B8" w:rsidR="00CD2487" w:rsidP="00536916" w:rsidRDefault="00CD2487" w14:paraId="6382941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6559B8">
        <w:rPr>
          <w:rFonts w:ascii="Times New Roman" w:hAnsi="Times New Roman" w:eastAsia="Times New Roman" w:cs="Times New Roman"/>
          <w:color w:val="000000" w:themeColor="text1"/>
          <w:sz w:val="24"/>
          <w:szCs w:val="24"/>
          <w:bdr w:val="none" w:color="auto" w:sz="0" w:space="0" w:frame="1"/>
        </w:rPr>
        <w:t>304-625-3576 </w:t>
      </w:r>
    </w:p>
    <w:p w:rsidRPr="006559B8" w:rsidR="00CD2487" w:rsidP="00536916" w:rsidRDefault="00CD2487" w14:paraId="63E4A9CD"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6559B8">
        <w:rPr>
          <w:rFonts w:ascii="Times New Roman" w:hAnsi="Times New Roman" w:eastAsia="Times New Roman" w:cs="Times New Roman"/>
          <w:color w:val="000000" w:themeColor="text1"/>
          <w:sz w:val="24"/>
          <w:szCs w:val="24"/>
          <w:bdr w:val="none" w:color="auto" w:sz="0" w:space="0" w:frame="1"/>
        </w:rPr>
        <w:t> </w:t>
      </w:r>
    </w:p>
    <w:p w:rsidRPr="006559B8" w:rsidR="00CD2487" w:rsidP="00536916" w:rsidRDefault="00CD2487" w14:paraId="03B6A4AD"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6559B8">
        <w:rPr>
          <w:rFonts w:ascii="Times New Roman" w:hAnsi="Times New Roman" w:eastAsia="Times New Roman" w:cs="Times New Roman"/>
          <w:color w:val="000000" w:themeColor="text1"/>
          <w:sz w:val="24"/>
          <w:szCs w:val="24"/>
          <w:bdr w:val="none" w:color="auto" w:sz="0" w:space="0" w:frame="1"/>
        </w:rPr>
        <w:t>Malissa C. Vavra</w:t>
      </w:r>
    </w:p>
    <w:p w:rsidRPr="006559B8" w:rsidR="00CD2487" w:rsidP="00536916" w:rsidRDefault="00CD2487" w14:paraId="15517E8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6559B8">
        <w:rPr>
          <w:rFonts w:ascii="Times New Roman" w:hAnsi="Times New Roman" w:eastAsia="Times New Roman" w:cs="Times New Roman"/>
          <w:color w:val="000000" w:themeColor="text1"/>
          <w:sz w:val="24"/>
          <w:szCs w:val="24"/>
          <w:bdr w:val="none" w:color="auto" w:sz="0" w:space="0" w:frame="1"/>
        </w:rPr>
        <w:t>Statistician, CSMU</w:t>
      </w:r>
    </w:p>
    <w:p w:rsidRPr="006559B8" w:rsidR="00CD2487" w:rsidP="00536916" w:rsidRDefault="00CD2487" w14:paraId="2A3F2D91"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4413CF">
        <w:rPr>
          <w:rFonts w:ascii="Times New Roman" w:hAnsi="Times New Roman" w:eastAsia="Times New Roman" w:cs="Times New Roman"/>
          <w:sz w:val="24"/>
          <w:szCs w:val="24"/>
          <w:bdr w:val="none" w:color="auto" w:sz="0" w:space="0" w:frame="1"/>
        </w:rPr>
        <w:t>mcvavra@fbi.gov</w:t>
      </w:r>
    </w:p>
    <w:p w:rsidRPr="006559B8" w:rsidR="00CD2487" w:rsidP="00536916" w:rsidRDefault="00CD2487" w14:paraId="2140CC41"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6559B8">
        <w:rPr>
          <w:rFonts w:ascii="Times New Roman" w:hAnsi="Times New Roman" w:eastAsia="Times New Roman" w:cs="Times New Roman"/>
          <w:color w:val="000000" w:themeColor="text1"/>
          <w:sz w:val="24"/>
          <w:szCs w:val="24"/>
          <w:bdr w:val="none" w:color="auto" w:sz="0" w:space="0" w:frame="1"/>
        </w:rPr>
        <w:t>304-625-3010</w:t>
      </w:r>
    </w:p>
    <w:sectPr w:rsidRPr="006559B8" w:rsidR="00CD2487" w:rsidSect="00DE4372">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74DC" w14:textId="77777777" w:rsidR="00241643" w:rsidRDefault="00241643" w:rsidP="006E29E3">
      <w:pPr>
        <w:spacing w:after="0" w:line="240" w:lineRule="auto"/>
      </w:pPr>
      <w:r>
        <w:separator/>
      </w:r>
    </w:p>
  </w:endnote>
  <w:endnote w:type="continuationSeparator" w:id="0">
    <w:p w14:paraId="2096E839" w14:textId="77777777" w:rsidR="00241643" w:rsidRDefault="00241643" w:rsidP="006E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510035"/>
      <w:docPartObj>
        <w:docPartGallery w:val="Page Numbers (Bottom of Page)"/>
        <w:docPartUnique/>
      </w:docPartObj>
    </w:sdtPr>
    <w:sdtEndPr>
      <w:rPr>
        <w:rFonts w:ascii="Times New Roman" w:hAnsi="Times New Roman" w:cs="Times New Roman"/>
        <w:noProof/>
        <w:sz w:val="24"/>
        <w:szCs w:val="24"/>
      </w:rPr>
    </w:sdtEndPr>
    <w:sdtContent>
      <w:p w14:paraId="77B8B581" w14:textId="50EF715F" w:rsidR="00DE4372" w:rsidRPr="00DE4372" w:rsidRDefault="00DE4372">
        <w:pPr>
          <w:pStyle w:val="Footer"/>
          <w:jc w:val="center"/>
          <w:rPr>
            <w:rFonts w:ascii="Times New Roman" w:hAnsi="Times New Roman" w:cs="Times New Roman"/>
            <w:sz w:val="24"/>
            <w:szCs w:val="24"/>
          </w:rPr>
        </w:pPr>
        <w:r w:rsidRPr="00DE4372">
          <w:rPr>
            <w:rFonts w:ascii="Times New Roman" w:hAnsi="Times New Roman" w:cs="Times New Roman"/>
            <w:sz w:val="24"/>
            <w:szCs w:val="24"/>
          </w:rPr>
          <w:fldChar w:fldCharType="begin"/>
        </w:r>
        <w:r w:rsidRPr="00DE4372">
          <w:rPr>
            <w:rFonts w:ascii="Times New Roman" w:hAnsi="Times New Roman" w:cs="Times New Roman"/>
            <w:sz w:val="24"/>
            <w:szCs w:val="24"/>
          </w:rPr>
          <w:instrText xml:space="preserve"> PAGE   \* MERGEFORMAT </w:instrText>
        </w:r>
        <w:r w:rsidRPr="00DE4372">
          <w:rPr>
            <w:rFonts w:ascii="Times New Roman" w:hAnsi="Times New Roman" w:cs="Times New Roman"/>
            <w:sz w:val="24"/>
            <w:szCs w:val="24"/>
          </w:rPr>
          <w:fldChar w:fldCharType="separate"/>
        </w:r>
        <w:r w:rsidR="001572AA">
          <w:rPr>
            <w:rFonts w:ascii="Times New Roman" w:hAnsi="Times New Roman" w:cs="Times New Roman"/>
            <w:noProof/>
            <w:sz w:val="24"/>
            <w:szCs w:val="24"/>
          </w:rPr>
          <w:t>9</w:t>
        </w:r>
        <w:r w:rsidRPr="00DE4372">
          <w:rPr>
            <w:rFonts w:ascii="Times New Roman" w:hAnsi="Times New Roman" w:cs="Times New Roman"/>
            <w:noProof/>
            <w:sz w:val="24"/>
            <w:szCs w:val="24"/>
          </w:rPr>
          <w:fldChar w:fldCharType="end"/>
        </w:r>
      </w:p>
    </w:sdtContent>
  </w:sdt>
  <w:p w14:paraId="6D98A12B" w14:textId="77777777" w:rsidR="006E29E3" w:rsidRDefault="006E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07D2" w14:textId="77777777" w:rsidR="00241643" w:rsidRDefault="00241643" w:rsidP="006E29E3">
      <w:pPr>
        <w:spacing w:after="0" w:line="240" w:lineRule="auto"/>
      </w:pPr>
      <w:r>
        <w:separator/>
      </w:r>
    </w:p>
  </w:footnote>
  <w:footnote w:type="continuationSeparator" w:id="0">
    <w:p w14:paraId="283462B4" w14:textId="77777777" w:rsidR="00241643" w:rsidRDefault="00241643" w:rsidP="006E2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228E"/>
    <w:multiLevelType w:val="hybridMultilevel"/>
    <w:tmpl w:val="EBE65A2E"/>
    <w:lvl w:ilvl="0" w:tplc="B8BCA6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A47"/>
    <w:multiLevelType w:val="hybridMultilevel"/>
    <w:tmpl w:val="47C82D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331B7"/>
    <w:multiLevelType w:val="hybridMultilevel"/>
    <w:tmpl w:val="6458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702AD"/>
    <w:multiLevelType w:val="hybridMultilevel"/>
    <w:tmpl w:val="7D826518"/>
    <w:lvl w:ilvl="0" w:tplc="92B0E39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27922"/>
    <w:multiLevelType w:val="hybridMultilevel"/>
    <w:tmpl w:val="F6A2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06"/>
    <w:rsid w:val="00007F0B"/>
    <w:rsid w:val="00045A20"/>
    <w:rsid w:val="000835A0"/>
    <w:rsid w:val="000B58D8"/>
    <w:rsid w:val="000E2812"/>
    <w:rsid w:val="000F05A3"/>
    <w:rsid w:val="00146C5A"/>
    <w:rsid w:val="001572AA"/>
    <w:rsid w:val="001A272C"/>
    <w:rsid w:val="001B0D14"/>
    <w:rsid w:val="001B14DE"/>
    <w:rsid w:val="001C035A"/>
    <w:rsid w:val="001C4AB8"/>
    <w:rsid w:val="001D574A"/>
    <w:rsid w:val="001F221B"/>
    <w:rsid w:val="00212C26"/>
    <w:rsid w:val="00231489"/>
    <w:rsid w:val="00241643"/>
    <w:rsid w:val="00272890"/>
    <w:rsid w:val="00282108"/>
    <w:rsid w:val="0029093E"/>
    <w:rsid w:val="002F350E"/>
    <w:rsid w:val="00422D69"/>
    <w:rsid w:val="004413CF"/>
    <w:rsid w:val="0046449A"/>
    <w:rsid w:val="004C00B0"/>
    <w:rsid w:val="004D7873"/>
    <w:rsid w:val="005175B4"/>
    <w:rsid w:val="00536916"/>
    <w:rsid w:val="00583CEB"/>
    <w:rsid w:val="005A4375"/>
    <w:rsid w:val="005F76A4"/>
    <w:rsid w:val="006010F5"/>
    <w:rsid w:val="00633490"/>
    <w:rsid w:val="00643E18"/>
    <w:rsid w:val="00651659"/>
    <w:rsid w:val="006527CA"/>
    <w:rsid w:val="006638A5"/>
    <w:rsid w:val="006E29E3"/>
    <w:rsid w:val="006E4FBD"/>
    <w:rsid w:val="007023D4"/>
    <w:rsid w:val="0070362C"/>
    <w:rsid w:val="0073399B"/>
    <w:rsid w:val="0079050D"/>
    <w:rsid w:val="007A126D"/>
    <w:rsid w:val="007B5006"/>
    <w:rsid w:val="007C6296"/>
    <w:rsid w:val="00880594"/>
    <w:rsid w:val="008A0926"/>
    <w:rsid w:val="008A1C37"/>
    <w:rsid w:val="00901927"/>
    <w:rsid w:val="00910108"/>
    <w:rsid w:val="009119D5"/>
    <w:rsid w:val="00936DAB"/>
    <w:rsid w:val="009E2A51"/>
    <w:rsid w:val="00AE1B2B"/>
    <w:rsid w:val="00AE29E4"/>
    <w:rsid w:val="00AE6A39"/>
    <w:rsid w:val="00AF29E1"/>
    <w:rsid w:val="00BE19A0"/>
    <w:rsid w:val="00C07B2F"/>
    <w:rsid w:val="00C368E1"/>
    <w:rsid w:val="00C63E47"/>
    <w:rsid w:val="00CC6AF9"/>
    <w:rsid w:val="00CD0ED3"/>
    <w:rsid w:val="00CD2487"/>
    <w:rsid w:val="00D510E7"/>
    <w:rsid w:val="00D646EE"/>
    <w:rsid w:val="00DA1AE7"/>
    <w:rsid w:val="00DE4372"/>
    <w:rsid w:val="00E31188"/>
    <w:rsid w:val="00E4629E"/>
    <w:rsid w:val="00E648AB"/>
    <w:rsid w:val="00E91167"/>
    <w:rsid w:val="00EF4A3E"/>
    <w:rsid w:val="00EF5CB0"/>
    <w:rsid w:val="00EF7C60"/>
    <w:rsid w:val="00F21C06"/>
    <w:rsid w:val="00F3140D"/>
    <w:rsid w:val="00F4269F"/>
    <w:rsid w:val="00FC078C"/>
    <w:rsid w:val="1670808C"/>
    <w:rsid w:val="73958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EFCA"/>
  <w15:chartTrackingRefBased/>
  <w15:docId w15:val="{85391EFB-E32C-403F-9378-02EB68B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C06"/>
    <w:pPr>
      <w:ind w:left="720"/>
      <w:contextualSpacing/>
    </w:pPr>
  </w:style>
  <w:style w:type="table" w:styleId="TableGrid">
    <w:name w:val="Table Grid"/>
    <w:basedOn w:val="TableNormal"/>
    <w:uiPriority w:val="39"/>
    <w:rsid w:val="006E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E3"/>
  </w:style>
  <w:style w:type="paragraph" w:styleId="Footer">
    <w:name w:val="footer"/>
    <w:basedOn w:val="Normal"/>
    <w:link w:val="FooterChar"/>
    <w:uiPriority w:val="99"/>
    <w:unhideWhenUsed/>
    <w:rsid w:val="006E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E3"/>
  </w:style>
  <w:style w:type="paragraph" w:styleId="BalloonText">
    <w:name w:val="Balloon Text"/>
    <w:basedOn w:val="Normal"/>
    <w:link w:val="BalloonTextChar"/>
    <w:uiPriority w:val="99"/>
    <w:semiHidden/>
    <w:unhideWhenUsed/>
    <w:rsid w:val="000B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D8"/>
    <w:rPr>
      <w:rFonts w:ascii="Segoe UI" w:hAnsi="Segoe UI" w:cs="Segoe UI"/>
      <w:sz w:val="18"/>
      <w:szCs w:val="18"/>
    </w:rPr>
  </w:style>
  <w:style w:type="character" w:styleId="Hyperlink">
    <w:name w:val="Hyperlink"/>
    <w:basedOn w:val="DefaultParagraphFont"/>
    <w:uiPriority w:val="99"/>
    <w:unhideWhenUsed/>
    <w:rsid w:val="00CD2487"/>
    <w:rPr>
      <w:color w:val="0563C1" w:themeColor="hyperlink"/>
      <w:u w:val="single"/>
    </w:rPr>
  </w:style>
  <w:style w:type="paragraph" w:styleId="FootnoteText">
    <w:name w:val="footnote text"/>
    <w:basedOn w:val="Normal"/>
    <w:link w:val="FootnoteTextChar"/>
    <w:uiPriority w:val="99"/>
    <w:semiHidden/>
    <w:unhideWhenUsed/>
    <w:rsid w:val="00BE1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9A0"/>
    <w:rPr>
      <w:sz w:val="20"/>
      <w:szCs w:val="20"/>
    </w:rPr>
  </w:style>
  <w:style w:type="character" w:styleId="FootnoteReference">
    <w:name w:val="footnote reference"/>
    <w:basedOn w:val="DefaultParagraphFont"/>
    <w:uiPriority w:val="99"/>
    <w:semiHidden/>
    <w:unhideWhenUsed/>
    <w:rsid w:val="00BE1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08908">
      <w:bodyDiv w:val="1"/>
      <w:marLeft w:val="0"/>
      <w:marRight w:val="0"/>
      <w:marTop w:val="0"/>
      <w:marBottom w:val="0"/>
      <w:divBdr>
        <w:top w:val="none" w:sz="0" w:space="0" w:color="auto"/>
        <w:left w:val="none" w:sz="0" w:space="0" w:color="auto"/>
        <w:bottom w:val="none" w:sz="0" w:space="0" w:color="auto"/>
        <w:right w:val="none" w:sz="0" w:space="0" w:color="auto"/>
      </w:divBdr>
    </w:div>
    <w:div w:id="1051072767">
      <w:bodyDiv w:val="1"/>
      <w:marLeft w:val="0"/>
      <w:marRight w:val="0"/>
      <w:marTop w:val="0"/>
      <w:marBottom w:val="0"/>
      <w:divBdr>
        <w:top w:val="none" w:sz="0" w:space="0" w:color="auto"/>
        <w:left w:val="none" w:sz="0" w:space="0" w:color="auto"/>
        <w:bottom w:val="none" w:sz="0" w:space="0" w:color="auto"/>
        <w:right w:val="none" w:sz="0" w:space="0" w:color="auto"/>
      </w:divBdr>
    </w:div>
    <w:div w:id="15758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B276-588B-456F-AB71-27A80F99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5068</Characters>
  <Application>Microsoft Office Word</Application>
  <DocSecurity>0</DocSecurity>
  <Lines>174</Lines>
  <Paragraphs>102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Vavra, Malissa C. (CJISD) (FBI)</cp:lastModifiedBy>
  <cp:revision>2</cp:revision>
  <cp:lastPrinted>2021-01-29T16:11:00Z</cp:lastPrinted>
  <dcterms:created xsi:type="dcterms:W3CDTF">2021-01-29T16:48:00Z</dcterms:created>
  <dcterms:modified xsi:type="dcterms:W3CDTF">2021-01-29T16:48:00Z</dcterms:modified>
</cp:coreProperties>
</file>