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41" w:rsidP="00116CD5" w:rsidRDefault="00A10441" w14:paraId="1DA9BE6E" w14:textId="77777777">
      <w:pPr>
        <w:widowControl/>
        <w:tabs>
          <w:tab w:val="left" w:pos="720"/>
        </w:tabs>
        <w:ind w:left="720" w:hanging="1440"/>
        <w:jc w:val="center"/>
        <w:rPr>
          <w:rFonts w:ascii="Times New Roman" w:hAnsi="Times New Roman"/>
          <w:b/>
          <w:bCs/>
        </w:rPr>
      </w:pPr>
    </w:p>
    <w:p w:rsidRPr="00A47DA7" w:rsidR="00690F56" w:rsidP="00116CD5" w:rsidRDefault="00690F56" w14:paraId="13FB343E"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023AEF" w:rsidP="00CF277D" w:rsidRDefault="00023AEF" w14:paraId="270FDD6E" w14:textId="77777777">
      <w:pPr>
        <w:jc w:val="center"/>
        <w:rPr>
          <w:rFonts w:ascii="Times New Roman" w:hAnsi="Times New Roman"/>
          <w:b/>
          <w:bCs/>
        </w:rPr>
      </w:pPr>
    </w:p>
    <w:p w:rsidRPr="00023AEF" w:rsidR="00CF277D" w:rsidP="00CF277D" w:rsidRDefault="006626FF" w14:paraId="26AE9390" w14:textId="77777777">
      <w:pPr>
        <w:jc w:val="center"/>
        <w:rPr>
          <w:rFonts w:ascii="Times New Roman" w:hAnsi="Times New Roman"/>
          <w:b/>
        </w:rPr>
      </w:pPr>
      <w:r>
        <w:rPr>
          <w:rFonts w:ascii="Times New Roman" w:hAnsi="Times New Roman"/>
          <w:b/>
          <w:bCs/>
        </w:rPr>
        <w:t xml:space="preserve"> </w:t>
      </w:r>
      <w:r w:rsidRPr="00023AEF" w:rsidR="00CF277D">
        <w:rPr>
          <w:rFonts w:ascii="Times New Roman" w:hAnsi="Times New Roman"/>
          <w:b/>
        </w:rPr>
        <w:t>Unemployment Insurance State Quality Service Plan Planning and Reporting Guidelines</w:t>
      </w:r>
    </w:p>
    <w:p w:rsidRPr="00871CA6" w:rsidR="00116CD5" w:rsidP="00116CD5" w:rsidRDefault="00116CD5" w14:paraId="125FC38C" w14:textId="77777777">
      <w:pPr>
        <w:widowControl/>
        <w:jc w:val="center"/>
        <w:rPr>
          <w:rFonts w:ascii="Times New Roman" w:hAnsi="Times New Roman"/>
          <w:b/>
          <w:bCs/>
        </w:rPr>
      </w:pPr>
    </w:p>
    <w:p w:rsidRPr="00871CA6" w:rsidR="00690F56" w:rsidP="00116CD5" w:rsidRDefault="00116CD5" w14:paraId="7EDD893A" w14:textId="77777777">
      <w:pPr>
        <w:widowControl/>
        <w:jc w:val="center"/>
        <w:rPr>
          <w:rFonts w:ascii="Times New Roman" w:hAnsi="Times New Roman"/>
          <w:b/>
          <w:bCs/>
        </w:rPr>
      </w:pPr>
      <w:r w:rsidRPr="00871CA6">
        <w:rPr>
          <w:rFonts w:ascii="Times New Roman" w:hAnsi="Times New Roman"/>
          <w:b/>
          <w:bCs/>
        </w:rPr>
        <w:t>OMB</w:t>
      </w:r>
      <w:r w:rsidR="003A47A4">
        <w:rPr>
          <w:rFonts w:ascii="Times New Roman" w:hAnsi="Times New Roman"/>
          <w:b/>
          <w:bCs/>
        </w:rPr>
        <w:t xml:space="preserve"> </w:t>
      </w:r>
      <w:r w:rsidRPr="00871CA6" w:rsidR="00690F56">
        <w:rPr>
          <w:rFonts w:ascii="Times New Roman" w:hAnsi="Times New Roman"/>
          <w:b/>
          <w:bCs/>
        </w:rPr>
        <w:t xml:space="preserve">CONTROL NO. </w:t>
      </w:r>
      <w:r w:rsidR="00CF277D">
        <w:rPr>
          <w:rFonts w:ascii="Times New Roman" w:hAnsi="Times New Roman"/>
          <w:b/>
          <w:bCs/>
        </w:rPr>
        <w:t>1205-0132</w:t>
      </w:r>
      <w:r w:rsidRPr="00871CA6" w:rsidR="00690F56">
        <w:rPr>
          <w:rFonts w:ascii="Times New Roman" w:hAnsi="Times New Roman"/>
          <w:b/>
          <w:bCs/>
        </w:rPr>
        <w:t xml:space="preserve"> </w:t>
      </w:r>
    </w:p>
    <w:p w:rsidRPr="00D53DEB" w:rsidR="00530EBD" w:rsidP="00116CD5" w:rsidRDefault="00530EBD" w14:paraId="13E67F31" w14:textId="77777777">
      <w:pPr>
        <w:widowControl/>
        <w:jc w:val="center"/>
        <w:rPr>
          <w:rFonts w:ascii="Times New Roman" w:hAnsi="Times New Roman"/>
          <w:bCs/>
        </w:rPr>
      </w:pPr>
    </w:p>
    <w:p w:rsidRPr="00023AEF" w:rsidR="00530EBD" w:rsidP="00CF277D" w:rsidRDefault="00530EBD" w14:paraId="0CAA3DDD" w14:textId="7ACFD206">
      <w:pPr>
        <w:rPr>
          <w:rFonts w:ascii="Times New Roman" w:hAnsi="Times New Roman"/>
          <w:bCs/>
        </w:rPr>
      </w:pPr>
      <w:r w:rsidRPr="00023AEF">
        <w:rPr>
          <w:rFonts w:ascii="Times New Roman" w:hAnsi="Times New Roman"/>
          <w:bCs/>
        </w:rPr>
        <w:t xml:space="preserve">This </w:t>
      </w:r>
      <w:r w:rsidR="007D14F9">
        <w:rPr>
          <w:rFonts w:ascii="Times New Roman" w:hAnsi="Times New Roman"/>
          <w:bCs/>
        </w:rPr>
        <w:t>information collection (</w:t>
      </w:r>
      <w:r w:rsidRPr="00023AEF">
        <w:rPr>
          <w:rFonts w:ascii="Times New Roman" w:hAnsi="Times New Roman"/>
          <w:bCs/>
        </w:rPr>
        <w:t>ICR</w:t>
      </w:r>
      <w:r w:rsidR="007D14F9">
        <w:rPr>
          <w:rFonts w:ascii="Times New Roman" w:hAnsi="Times New Roman"/>
          <w:bCs/>
        </w:rPr>
        <w:t xml:space="preserve">) seeks </w:t>
      </w:r>
      <w:r w:rsidR="00990B43">
        <w:rPr>
          <w:rFonts w:ascii="Times New Roman" w:hAnsi="Times New Roman"/>
          <w:bCs/>
        </w:rPr>
        <w:t>a revision</w:t>
      </w:r>
      <w:r w:rsidRPr="00023AEF" w:rsidR="00CF277D">
        <w:rPr>
          <w:rFonts w:ascii="Times New Roman" w:hAnsi="Times New Roman"/>
        </w:rPr>
        <w:t xml:space="preserve"> </w:t>
      </w:r>
      <w:r w:rsidR="007D14F9">
        <w:rPr>
          <w:rFonts w:ascii="Times New Roman" w:hAnsi="Times New Roman"/>
        </w:rPr>
        <w:t xml:space="preserve">to OMB 1205-0132, </w:t>
      </w:r>
      <w:r w:rsidRPr="007D14F9" w:rsidR="007D14F9">
        <w:rPr>
          <w:rFonts w:ascii="Times New Roman" w:hAnsi="Times New Roman"/>
        </w:rPr>
        <w:t xml:space="preserve">Unemployment Insurance State Quality Service Plan </w:t>
      </w:r>
      <w:r w:rsidR="00BD044C">
        <w:rPr>
          <w:rFonts w:ascii="Times New Roman" w:hAnsi="Times New Roman"/>
        </w:rPr>
        <w:t>(</w:t>
      </w:r>
      <w:r w:rsidRPr="003A47A4" w:rsidR="00BD044C">
        <w:rPr>
          <w:rFonts w:ascii="Times New Roman" w:hAnsi="Times New Roman"/>
        </w:rPr>
        <w:t>SQSP</w:t>
      </w:r>
      <w:r w:rsidR="00BD044C">
        <w:rPr>
          <w:rFonts w:ascii="Times New Roman" w:hAnsi="Times New Roman"/>
        </w:rPr>
        <w:t>)</w:t>
      </w:r>
      <w:r w:rsidR="00BD044C">
        <w:rPr>
          <w:rFonts w:ascii="Times New Roman" w:hAnsi="Times New Roman"/>
        </w:rPr>
        <w:t xml:space="preserve"> </w:t>
      </w:r>
      <w:r w:rsidRPr="007D14F9" w:rsidR="007D14F9">
        <w:rPr>
          <w:rFonts w:ascii="Times New Roman" w:hAnsi="Times New Roman"/>
        </w:rPr>
        <w:t>Planning</w:t>
      </w:r>
      <w:r w:rsidR="006C7B4F">
        <w:rPr>
          <w:rFonts w:ascii="Times New Roman" w:hAnsi="Times New Roman"/>
        </w:rPr>
        <w:t xml:space="preserve"> </w:t>
      </w:r>
      <w:r w:rsidRPr="007D14F9" w:rsidR="007D14F9">
        <w:rPr>
          <w:rFonts w:ascii="Times New Roman" w:hAnsi="Times New Roman"/>
        </w:rPr>
        <w:t>and Reporting Guidelines</w:t>
      </w:r>
      <w:r w:rsidR="007D14F9">
        <w:rPr>
          <w:rFonts w:ascii="Times New Roman" w:hAnsi="Times New Roman"/>
        </w:rPr>
        <w:t>.</w:t>
      </w:r>
    </w:p>
    <w:p w:rsidRPr="00A47DA7" w:rsidR="000B6FB6" w:rsidP="00690F56" w:rsidRDefault="000B6FB6" w14:paraId="7A141090" w14:textId="77777777">
      <w:pPr>
        <w:widowControl/>
        <w:rPr>
          <w:rFonts w:ascii="Times New Roman" w:hAnsi="Times New Roman"/>
          <w:b/>
          <w:bCs/>
        </w:rPr>
      </w:pPr>
    </w:p>
    <w:p w:rsidRPr="00A47DA7" w:rsidR="00690F56" w:rsidP="00242CA0" w:rsidRDefault="00690F56" w14:paraId="6ECC56E0"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02DC53D" w14:textId="77777777">
      <w:pPr>
        <w:widowControl/>
        <w:rPr>
          <w:rFonts w:ascii="Times New Roman" w:hAnsi="Times New Roman"/>
          <w:b/>
          <w:bCs/>
        </w:rPr>
      </w:pPr>
    </w:p>
    <w:p w:rsidRPr="00D53DEB" w:rsidR="00690F56" w:rsidP="00690F56" w:rsidRDefault="00690F56" w14:paraId="66F4845B"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rsidRDefault="00690F56" w14:paraId="4D869709" w14:textId="77777777">
      <w:pPr>
        <w:widowControl/>
        <w:rPr>
          <w:rFonts w:ascii="Times New Roman" w:hAnsi="Times New Roman"/>
        </w:rPr>
      </w:pPr>
    </w:p>
    <w:p w:rsidRPr="003A47A4" w:rsidR="00CF277D" w:rsidP="00CF277D" w:rsidRDefault="00CF277D" w14:paraId="3F5D1766" w14:textId="22CF6323">
      <w:pPr>
        <w:rPr>
          <w:rFonts w:ascii="Times New Roman" w:hAnsi="Times New Roman"/>
        </w:rPr>
      </w:pPr>
      <w:r w:rsidRPr="003A47A4">
        <w:rPr>
          <w:rFonts w:ascii="Times New Roman" w:hAnsi="Times New Roman"/>
        </w:rPr>
        <w:t xml:space="preserve">The </w:t>
      </w:r>
      <w:r w:rsidRPr="007D14F9" w:rsidR="000A2304">
        <w:rPr>
          <w:rFonts w:ascii="Times New Roman" w:hAnsi="Times New Roman"/>
        </w:rPr>
        <w:t>State Quality Service Plan</w:t>
      </w:r>
      <w:r w:rsidRPr="003A47A4" w:rsidR="000A2304">
        <w:rPr>
          <w:rFonts w:ascii="Times New Roman" w:hAnsi="Times New Roman"/>
        </w:rPr>
        <w:t xml:space="preserve"> </w:t>
      </w:r>
      <w:r w:rsidR="000A2304">
        <w:rPr>
          <w:rFonts w:ascii="Times New Roman" w:hAnsi="Times New Roman"/>
        </w:rPr>
        <w:t>(</w:t>
      </w:r>
      <w:r w:rsidRPr="003A47A4">
        <w:rPr>
          <w:rFonts w:ascii="Times New Roman" w:hAnsi="Times New Roman"/>
        </w:rPr>
        <w:t>SQSP</w:t>
      </w:r>
      <w:r w:rsidR="000A2304">
        <w:rPr>
          <w:rFonts w:ascii="Times New Roman" w:hAnsi="Times New Roman"/>
        </w:rPr>
        <w:t>)</w:t>
      </w:r>
      <w:r w:rsidRPr="003A47A4">
        <w:rPr>
          <w:rFonts w:ascii="Times New Roman" w:hAnsi="Times New Roman"/>
        </w:rPr>
        <w:t xml:space="preserve"> represents an approach to the unemployment insurance (UI) performance management and pla</w:t>
      </w:r>
      <w:bookmarkStart w:name="_GoBack" w:id="0"/>
      <w:bookmarkEnd w:id="0"/>
      <w:r w:rsidRPr="003A47A4">
        <w:rPr>
          <w:rFonts w:ascii="Times New Roman" w:hAnsi="Times New Roman"/>
        </w:rPr>
        <w:t>nning process that allows for an exchange of information between the federal and state partners to enhance the ability of the program to reflect their joint commitment to performance excellence and client-centered services.  As part of UI Performs, a comprehensive performance management system for the UI program, the SQSP is the principal vehicle that the state UI programs use to plan, record and manage improvement efforts.</w:t>
      </w:r>
    </w:p>
    <w:p w:rsidRPr="003A47A4" w:rsidR="00CF277D" w:rsidP="00CF277D" w:rsidRDefault="00CF277D" w14:paraId="715789CE" w14:textId="77777777">
      <w:pPr>
        <w:rPr>
          <w:rFonts w:ascii="Times New Roman" w:hAnsi="Times New Roman"/>
        </w:rPr>
      </w:pPr>
    </w:p>
    <w:p w:rsidRPr="003A47A4" w:rsidR="00CF277D" w:rsidP="00CF277D" w:rsidRDefault="00CF277D" w14:paraId="464E974D" w14:textId="77777777">
      <w:pPr>
        <w:rPr>
          <w:rFonts w:ascii="Times New Roman" w:hAnsi="Times New Roman"/>
        </w:rPr>
      </w:pPr>
      <w:r w:rsidRPr="003A47A4">
        <w:rPr>
          <w:rFonts w:ascii="Times New Roman" w:hAnsi="Times New Roman"/>
        </w:rPr>
        <w:t>The statutory basis for the SQSP is Title III, Section 302 of the Social Security Act, which authorizes the Secretary of Labor to provide funds to administer the UI program.  Respondents’ obligation to reply to these reporting requirements is required under 29 CFR 97.40.  DOL annual budget request for state UI operations contains workload assumptions for which the state must plan in order for the Secretary to carry out his responsibilities under Section 303 (a) of the Social Security Act  –  to ensure full payment of unemployment compensation when due.  DOL issues financial planning targets based on the budget request, and states make operational plans based on such assumptions and targets via this mechanism.</w:t>
      </w:r>
    </w:p>
    <w:p w:rsidRPr="00A47DA7" w:rsidR="00CF277D" w:rsidP="00690F56" w:rsidRDefault="00CF277D" w14:paraId="500F3B5D" w14:textId="77777777">
      <w:pPr>
        <w:widowControl/>
        <w:rPr>
          <w:rFonts w:ascii="Times New Roman" w:hAnsi="Times New Roman"/>
        </w:rPr>
      </w:pPr>
    </w:p>
    <w:p w:rsidR="00690F56" w:rsidP="00690F56" w:rsidRDefault="00690F56" w14:paraId="7365492E" w14:textId="77777777">
      <w:pPr>
        <w:widowControl/>
        <w:rPr>
          <w:rFonts w:ascii="Times New Roman" w:hAnsi="Times New Roman"/>
          <w:b/>
          <w:bCs/>
        </w:rPr>
      </w:pPr>
      <w:r w:rsidRPr="00D53DEB">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CF277D" w:rsidP="00690F56" w:rsidRDefault="00CF277D" w14:paraId="0FB56738" w14:textId="77777777">
      <w:pPr>
        <w:widowControl/>
        <w:rPr>
          <w:rFonts w:ascii="Times New Roman" w:hAnsi="Times New Roman"/>
          <w:b/>
          <w:bCs/>
        </w:rPr>
      </w:pPr>
    </w:p>
    <w:p w:rsidRPr="003A47A4" w:rsidR="00CF277D" w:rsidP="00CF277D" w:rsidRDefault="00CF277D" w14:paraId="3D458C69" w14:textId="77777777">
      <w:pPr>
        <w:rPr>
          <w:rFonts w:ascii="Times New Roman" w:hAnsi="Times New Roman"/>
        </w:rPr>
      </w:pPr>
      <w:r w:rsidRPr="003A47A4">
        <w:rPr>
          <w:rFonts w:ascii="Times New Roman" w:hAnsi="Times New Roman"/>
        </w:rPr>
        <w:t>The SQSP allows states to share their key program objectives for the coming year as well as the strategies the state will use to achieve those objectives.  The SQSP is a management tool for states to ensure strong program performance and to focus the states’ performance efforts across the range of UI activities.  Operationally, the SQSP also serves as the grant document through which states receive federal UI administrative funding.</w:t>
      </w:r>
    </w:p>
    <w:p w:rsidRPr="003A47A4" w:rsidR="00CF277D" w:rsidP="00CF277D" w:rsidRDefault="00CF277D" w14:paraId="30287369" w14:textId="77777777">
      <w:pPr>
        <w:rPr>
          <w:rFonts w:ascii="Times New Roman" w:hAnsi="Times New Roman"/>
        </w:rPr>
      </w:pPr>
    </w:p>
    <w:p w:rsidRPr="003A47A4" w:rsidR="00CF277D" w:rsidP="00CF277D" w:rsidRDefault="00CF277D" w14:paraId="1AE03FC4" w14:textId="77777777">
      <w:pPr>
        <w:rPr>
          <w:rFonts w:ascii="Times New Roman" w:hAnsi="Times New Roman"/>
        </w:rPr>
      </w:pPr>
      <w:r w:rsidRPr="003A47A4">
        <w:rPr>
          <w:rFonts w:ascii="Times New Roman" w:hAnsi="Times New Roman"/>
        </w:rPr>
        <w:t>Each year, a UI Program Letter (UIPL) initiates the SQSP cycle.  This UIPL publishes the dates relevant to the SQSP process for the approaching fiscal year; summarizes</w:t>
      </w:r>
      <w:r>
        <w:t xml:space="preserve"> </w:t>
      </w:r>
      <w:r w:rsidRPr="003A47A4">
        <w:rPr>
          <w:rFonts w:ascii="Times New Roman" w:hAnsi="Times New Roman"/>
        </w:rPr>
        <w:t xml:space="preserve">federal program </w:t>
      </w:r>
      <w:r w:rsidRPr="003A47A4">
        <w:rPr>
          <w:rFonts w:ascii="Times New Roman" w:hAnsi="Times New Roman"/>
        </w:rPr>
        <w:lastRenderedPageBreak/>
        <w:t>emphasis for the year; and identifies any special planning requirements in effect for the fiscal year.  It also explains opportunities for increased, targeted funding made available annually in the President’s budget if such opportunities exist.</w:t>
      </w:r>
    </w:p>
    <w:p w:rsidRPr="003A47A4" w:rsidR="00CF277D" w:rsidP="00CF277D" w:rsidRDefault="00CF277D" w14:paraId="27FAF3A8" w14:textId="77777777">
      <w:pPr>
        <w:rPr>
          <w:rFonts w:ascii="Times New Roman" w:hAnsi="Times New Roman"/>
        </w:rPr>
      </w:pPr>
    </w:p>
    <w:p w:rsidRPr="003A47A4" w:rsidR="00CF277D" w:rsidP="00CF277D" w:rsidRDefault="00CF277D" w14:paraId="6162495F" w14:textId="77777777">
      <w:pPr>
        <w:rPr>
          <w:rFonts w:ascii="Times New Roman" w:hAnsi="Times New Roman"/>
        </w:rPr>
      </w:pPr>
      <w:r w:rsidRPr="003A47A4">
        <w:rPr>
          <w:rFonts w:ascii="Times New Roman" w:hAnsi="Times New Roman"/>
        </w:rPr>
        <w:t>States prepare and transmit a SQSP in accordance with the instructions in ET Handbook No. 336, 18</w:t>
      </w:r>
      <w:r w:rsidRPr="003A47A4">
        <w:rPr>
          <w:rFonts w:ascii="Times New Roman" w:hAnsi="Times New Roman"/>
          <w:vertAlign w:val="superscript"/>
        </w:rPr>
        <w:t>th</w:t>
      </w:r>
      <w:r w:rsidRPr="003A47A4">
        <w:rPr>
          <w:rFonts w:ascii="Times New Roman" w:hAnsi="Times New Roman"/>
        </w:rPr>
        <w:t xml:space="preserve"> Edition and the annual UIPL.  Regional office staff reviews the SQSPs for completeness, to make sure that the SQSPs are completed in accordance with the instructions, and to ensure that the plans reflect negotiated agreements.  An annual assessment augments ongoing performance improvement and forms the basis for any corrective action planning for the SQSP.</w:t>
      </w:r>
    </w:p>
    <w:p w:rsidRPr="003A47A4" w:rsidR="00CF277D" w:rsidP="00690F56" w:rsidRDefault="00CF277D" w14:paraId="12A5BD72" w14:textId="77777777">
      <w:pPr>
        <w:widowControl/>
        <w:rPr>
          <w:rFonts w:ascii="Times New Roman" w:hAnsi="Times New Roman"/>
        </w:rPr>
      </w:pPr>
    </w:p>
    <w:p w:rsidRPr="00D53DEB" w:rsidR="00690F56" w:rsidP="00690F56" w:rsidRDefault="00690F56" w14:paraId="7B6182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Pr="00A47DA7" w:rsidR="00690F56" w:rsidP="00690F56" w:rsidRDefault="00690F56" w14:paraId="66D92CC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66DAF" w:rsidR="00CF277D" w:rsidP="00CF277D" w:rsidRDefault="00CF277D" w14:paraId="3498209E" w14:textId="77777777">
      <w:pPr>
        <w:rPr>
          <w:rFonts w:ascii="Times New Roman" w:hAnsi="Times New Roman"/>
        </w:rPr>
      </w:pPr>
      <w:r w:rsidRPr="00666DAF">
        <w:rPr>
          <w:rFonts w:ascii="Times New Roman" w:hAnsi="Times New Roman"/>
        </w:rPr>
        <w:t xml:space="preserve">States may submit financial report information on computer printouts instead of the SF 270 and SF 424.  Electronic submittal is not available for all Standard Forms; therefore some must be submitted manually.  States submit the UI-3 worksheet electronically through UI Required Reports System (UIRR), which ensures that this report is consistent with reported workload and that entitlement is calculated uniformly. </w:t>
      </w:r>
    </w:p>
    <w:p w:rsidRPr="00666DAF" w:rsidR="00CF277D" w:rsidP="00CF277D" w:rsidRDefault="00CF277D" w14:paraId="4B282211" w14:textId="77777777">
      <w:pPr>
        <w:ind w:firstLine="720"/>
        <w:rPr>
          <w:rFonts w:ascii="Times New Roman" w:hAnsi="Times New Roman"/>
        </w:rPr>
      </w:pPr>
    </w:p>
    <w:p w:rsidRPr="00666DAF" w:rsidR="00CF277D" w:rsidP="00CF277D" w:rsidRDefault="00CF277D" w14:paraId="5DAFC9C1" w14:textId="77777777">
      <w:pPr>
        <w:rPr>
          <w:rFonts w:ascii="Times New Roman" w:hAnsi="Times New Roman"/>
        </w:rPr>
      </w:pPr>
      <w:r w:rsidRPr="00666DAF">
        <w:rPr>
          <w:rFonts w:ascii="Times New Roman" w:hAnsi="Times New Roman"/>
        </w:rPr>
        <w:t>In order to comply with the Government Paperwork Elimination Act, states are requested to submit SQSPs electronically.</w:t>
      </w:r>
    </w:p>
    <w:p w:rsidR="00690F56" w:rsidP="00690F56" w:rsidRDefault="00690F56" w14:paraId="3BDBDA5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7C5309CC"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CF277D" w:rsidP="00690F56" w:rsidRDefault="00CF277D" w14:paraId="18ABD60A"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666DAF" w:rsidR="00CF277D" w:rsidP="00CF277D" w:rsidRDefault="00CF277D" w14:paraId="133F0C16" w14:textId="4D75CA51">
      <w:pPr>
        <w:rPr>
          <w:rFonts w:ascii="Times New Roman" w:hAnsi="Times New Roman"/>
        </w:rPr>
      </w:pPr>
      <w:r w:rsidRPr="00666DAF">
        <w:rPr>
          <w:rFonts w:ascii="Times New Roman" w:hAnsi="Times New Roman"/>
        </w:rPr>
        <w:t>This information is not available elsewhere.  There is no duplication.  Options to submit computer printouts instead of on SF 270 or SF 424 reduce the need to trans</w:t>
      </w:r>
      <w:r w:rsidR="003731D2">
        <w:rPr>
          <w:rFonts w:ascii="Times New Roman" w:hAnsi="Times New Roman"/>
        </w:rPr>
        <w:t>fer</w:t>
      </w:r>
      <w:r w:rsidRPr="00666DAF">
        <w:rPr>
          <w:rFonts w:ascii="Times New Roman" w:hAnsi="Times New Roman"/>
        </w:rPr>
        <w:t xml:space="preserve"> information from States records onto a Federal form.</w:t>
      </w:r>
    </w:p>
    <w:p w:rsidRPr="00A973AA" w:rsidR="00690F56" w:rsidP="00690F56" w:rsidRDefault="00690F56" w14:paraId="74BF624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D2A707F"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Pr="00A47DA7" w:rsidR="00690F56" w:rsidP="00690F56" w:rsidRDefault="00690F56" w14:paraId="102A9A3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666DAF" w:rsidR="00CF277D" w:rsidP="00CF277D" w:rsidRDefault="00CF277D" w14:paraId="4D6B2757" w14:textId="77777777">
      <w:pPr>
        <w:rPr>
          <w:rFonts w:ascii="Times New Roman" w:hAnsi="Times New Roman"/>
        </w:rPr>
      </w:pPr>
      <w:r w:rsidRPr="00666DAF">
        <w:rPr>
          <w:rFonts w:ascii="Times New Roman" w:hAnsi="Times New Roman"/>
        </w:rPr>
        <w:t>No small businesses or entities are involved.</w:t>
      </w:r>
    </w:p>
    <w:p w:rsidRPr="00A973AA" w:rsidR="00690F56" w:rsidP="00690F56" w:rsidRDefault="00690F56" w14:paraId="22D11C0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690F56" w14:paraId="4B2C45A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CF277D" w:rsidP="00690F56" w:rsidRDefault="00CF277D" w14:paraId="7C79EC9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785720" w:rsidR="005F0958" w:rsidP="00785720" w:rsidRDefault="005F0958" w14:paraId="6C764886" w14:textId="77777777">
      <w:pPr>
        <w:rPr>
          <w:rFonts w:ascii="Times New Roman" w:hAnsi="Times New Roman"/>
        </w:rPr>
      </w:pPr>
      <w:r w:rsidRPr="00785720">
        <w:rPr>
          <w:rFonts w:ascii="Times New Roman" w:hAnsi="Times New Roman"/>
        </w:rPr>
        <w:t xml:space="preserve">Collecting state funding information less frequently than once a year, and financial information less frequently than once a quarter, would affect the Employment and Training Administration’s </w:t>
      </w:r>
      <w:r w:rsidRPr="00785720">
        <w:rPr>
          <w:rFonts w:ascii="Times New Roman" w:hAnsi="Times New Roman"/>
        </w:rPr>
        <w:lastRenderedPageBreak/>
        <w:t>(ETA’s) ability to determine the level of base and above-base resources required by states and would impair ETA’s ability to budget for the administration of the UI program.</w:t>
      </w:r>
    </w:p>
    <w:p w:rsidRPr="00D53DEB" w:rsidR="00CF277D" w:rsidP="00690F56" w:rsidRDefault="00CF277D" w14:paraId="10C93DA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134E3A8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690F56" w:rsidRDefault="00690F56" w14:paraId="3B29371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237691" w14:paraId="373387E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report information to the agency more often than quarterly;</w:t>
      </w:r>
    </w:p>
    <w:p w:rsidRPr="00D53DEB" w:rsidR="00690F56" w:rsidP="00690F56" w:rsidRDefault="00690F56" w14:paraId="4EF2AB1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4E9ABEA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prepare a written response to a collection of information in fewer than 30 days after receipt of it;</w:t>
      </w:r>
    </w:p>
    <w:p w:rsidRPr="00D53DEB" w:rsidR="00690F56" w:rsidP="00690F56" w:rsidRDefault="00690F56" w14:paraId="21915EC5"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60ED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submit more than an original and two copies of any document;</w:t>
      </w:r>
    </w:p>
    <w:p w:rsidRPr="00D53DEB" w:rsidR="00690F56" w:rsidP="00690F56" w:rsidRDefault="00690F56" w14:paraId="0F3B657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74B0219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retain records, other than health, medical, government contract, grant-in-aid, or tax records for more than three years;</w:t>
      </w:r>
    </w:p>
    <w:p w:rsidRPr="00D53DEB" w:rsidR="00690F56" w:rsidP="00690F56" w:rsidRDefault="00690F56" w14:paraId="2405101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71464C31"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study;</w:t>
      </w:r>
    </w:p>
    <w:p w:rsidRPr="00D53DEB" w:rsidR="00690F56" w:rsidP="00690F56" w:rsidRDefault="00690F56" w14:paraId="30E5E2D9"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7E3C59CC"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the use of statistical data classification that has not been reviewed and approved by OMB;</w:t>
      </w:r>
    </w:p>
    <w:p w:rsidRPr="00D53DEB" w:rsidR="00690F56" w:rsidP="00690F56" w:rsidRDefault="00690F56" w14:paraId="6C4DE570"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00690F56" w:rsidRDefault="00237691" w14:paraId="0367DD1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w:t>
      </w:r>
      <w:r w:rsidR="00D05EAB">
        <w:rPr>
          <w:b/>
          <w:bCs/>
        </w:rPr>
        <w:t>it</w:t>
      </w:r>
      <w:r w:rsidRPr="00D53DEB" w:rsidR="00690F56">
        <w:rPr>
          <w:b/>
          <w:bCs/>
        </w:rPr>
        <w:t>y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429AA33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5F0958" w:rsidR="00690F56" w:rsidP="00690F56" w:rsidRDefault="00237691" w14:paraId="41751EBF"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w:t>
      </w:r>
      <w:r w:rsidR="00D05EAB">
        <w:rPr>
          <w:b/>
          <w:bCs/>
        </w:rPr>
        <w:t>it</w:t>
      </w:r>
      <w:r w:rsidRPr="00D53DEB" w:rsidR="00690F56">
        <w:rPr>
          <w:b/>
          <w:bCs/>
        </w:rPr>
        <w:t>y to the extent permitted by law.</w:t>
      </w:r>
    </w:p>
    <w:p w:rsidR="005F0958" w:rsidP="005F0958" w:rsidRDefault="005F0958" w14:paraId="45295915" w14:textId="77777777">
      <w:pPr>
        <w:pStyle w:val="ListParagraph"/>
      </w:pPr>
    </w:p>
    <w:p w:rsidRPr="00785720" w:rsidR="005F0958" w:rsidP="00785720" w:rsidRDefault="005F0958" w14:paraId="5E4B5058" w14:textId="77777777">
      <w:pPr>
        <w:ind w:left="90"/>
        <w:rPr>
          <w:rFonts w:ascii="Times New Roman" w:hAnsi="Times New Roman"/>
        </w:rPr>
      </w:pPr>
      <w:r w:rsidRPr="00785720">
        <w:rPr>
          <w:rFonts w:ascii="Times New Roman" w:hAnsi="Times New Roman"/>
        </w:rPr>
        <w:t>Collection using worksheets UI-1 and UI-3 is consistent with OMB Circular A-102.  The unique nature of the UI program (base and above-base funding, staff year allocations, and workload/staff year earnings and entitlements) requires ETA to obtain this information for management and funding of the program.  This reporting requirement is consistent with 5 CFR 1320.5.</w:t>
      </w:r>
    </w:p>
    <w:p w:rsidRPr="00D53DEB" w:rsidR="005F0958" w:rsidP="005F0958" w:rsidRDefault="005F0958" w14:paraId="0A563862"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p>
    <w:p w:rsidRPr="00D53DEB" w:rsidR="00690F56" w:rsidP="00690F56" w:rsidRDefault="00690F56" w14:paraId="28BDB71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publication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00D53DEB" w:rsidR="00E46EE5">
        <w:rPr>
          <w:rFonts w:ascii="Times New Roman" w:hAnsi="Times New Roman"/>
          <w:b/>
          <w:bCs/>
        </w:rPr>
        <w:t xml:space="preserve"> </w:t>
      </w:r>
      <w:r w:rsidRPr="00D53DEB">
        <w:rPr>
          <w:rFonts w:ascii="Times New Roman" w:hAnsi="Times New Roman"/>
          <w:b/>
          <w:bCs/>
        </w:rPr>
        <w:t>Specifically address comments received on cost and hour burden.</w:t>
      </w:r>
    </w:p>
    <w:p w:rsidRPr="00D53DEB" w:rsidR="00690F56" w:rsidP="00690F56" w:rsidRDefault="00690F56" w14:paraId="112666C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0942476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14:paraId="4EB8E83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26B27F7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690F56" w:rsidRDefault="00690F56" w14:paraId="28D0FC7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785720" w:rsidR="004D1C0B" w:rsidP="004D1C0B" w:rsidRDefault="004D1C0B" w14:paraId="7472C502" w14:textId="77DE75BC">
      <w:pPr>
        <w:rPr>
          <w:rFonts w:ascii="Times New Roman" w:hAnsi="Times New Roman"/>
        </w:rPr>
      </w:pPr>
      <w:r w:rsidRPr="00785720">
        <w:rPr>
          <w:rFonts w:ascii="Times New Roman" w:hAnsi="Times New Roman"/>
        </w:rPr>
        <w:t>In accordance with the Paperwork Reduction Act of 1995, the public was allowed 60 days to comment through the Federal Register Notice posted on April 29, 2020 ( 85 FR 2386</w:t>
      </w:r>
      <w:r w:rsidR="00620E27">
        <w:rPr>
          <w:rFonts w:ascii="Times New Roman" w:hAnsi="Times New Roman"/>
        </w:rPr>
        <w:t>5</w:t>
      </w:r>
      <w:r w:rsidRPr="00785720">
        <w:rPr>
          <w:rFonts w:ascii="Times New Roman" w:hAnsi="Times New Roman"/>
        </w:rPr>
        <w:t>).  No public comments were received.</w:t>
      </w:r>
    </w:p>
    <w:p w:rsidRPr="00A47DA7" w:rsidR="004D1C0B" w:rsidP="00690F56" w:rsidRDefault="004D1C0B" w14:paraId="71FCE51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0DEEB8C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Pr="00A47DA7" w:rsidR="00690F56" w:rsidP="00690F56" w:rsidRDefault="00690F56" w14:paraId="1A3418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785720" w:rsidR="004D1C0B" w:rsidP="004D1C0B" w:rsidRDefault="004D1C0B" w14:paraId="5B90DE79" w14:textId="77777777">
      <w:pPr>
        <w:rPr>
          <w:rFonts w:ascii="Times New Roman" w:hAnsi="Times New Roman"/>
        </w:rPr>
      </w:pPr>
      <w:r w:rsidRPr="00785720">
        <w:rPr>
          <w:rFonts w:ascii="Times New Roman" w:hAnsi="Times New Roman"/>
        </w:rPr>
        <w:t>No payment or gifts are involved.</w:t>
      </w:r>
    </w:p>
    <w:p w:rsidR="00690F56" w:rsidP="00690F56" w:rsidRDefault="00690F56" w14:paraId="5FB3BD8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0D7A70E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Pr="00A47DA7" w:rsidR="00690F56" w:rsidP="00690F56" w:rsidRDefault="00690F56" w14:paraId="2D4B3D9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785720" w:rsidR="004D1C0B" w:rsidP="004D1C0B" w:rsidRDefault="004D1C0B" w14:paraId="3A86AF9C" w14:textId="77777777">
      <w:pPr>
        <w:rPr>
          <w:rFonts w:ascii="Times New Roman" w:hAnsi="Times New Roman"/>
        </w:rPr>
      </w:pPr>
      <w:r w:rsidRPr="00785720">
        <w:rPr>
          <w:rFonts w:ascii="Times New Roman" w:hAnsi="Times New Roman"/>
        </w:rPr>
        <w:t>There is no assurance of confidentiality in connection with the SQSP.</w:t>
      </w:r>
    </w:p>
    <w:p w:rsidR="00690F56" w:rsidP="00690F56" w:rsidRDefault="00690F56" w14:paraId="5C0BC0C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9E234B" w14:paraId="49EF423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690F56" w:rsidP="00690F56" w:rsidRDefault="00690F56" w14:paraId="7ACD4E5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BE3849" w:rsidR="004D1C0B" w:rsidP="004D1C0B" w:rsidRDefault="004D1C0B" w14:paraId="314254B1" w14:textId="77777777">
      <w:pPr>
        <w:rPr>
          <w:rFonts w:ascii="Times New Roman" w:hAnsi="Times New Roman"/>
        </w:rPr>
      </w:pPr>
      <w:r w:rsidRPr="00BE3849">
        <w:rPr>
          <w:rFonts w:ascii="Times New Roman" w:hAnsi="Times New Roman"/>
        </w:rPr>
        <w:t>There are no questions of a sensitive nature.</w:t>
      </w:r>
    </w:p>
    <w:p w:rsidR="004D1C0B" w:rsidP="00690F56" w:rsidRDefault="004D1C0B" w14:paraId="58B7C7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690F56" w:rsidRDefault="00690F56" w14:paraId="1D5CBCE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690F56" w:rsidRDefault="00690F56" w14:paraId="09C8C39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C667F3" w:rsidRDefault="00C667F3" w14:paraId="760341A0"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 xml:space="preserve">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D53DEB" w:rsidR="00690F56">
        <w:rPr>
          <w:rFonts w:ascii="Times New Roman" w:hAnsi="Times New Roman"/>
          <w:b/>
          <w:bCs/>
        </w:rPr>
        <w:lastRenderedPageBreak/>
        <w:t>variance.  General</w:t>
      </w:r>
      <w:r w:rsidR="00D05EAB">
        <w:rPr>
          <w:rFonts w:ascii="Times New Roman" w:hAnsi="Times New Roman"/>
          <w:b/>
          <w:bCs/>
        </w:rPr>
        <w:t>ly</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p>
    <w:p w:rsidRPr="00D53DEB" w:rsidR="00690F56" w:rsidP="00690F56" w:rsidRDefault="00690F56" w14:paraId="75F9A0E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14:paraId="049F32B6"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AF2C11" w:rsidRDefault="00882B1D" w14:paraId="6A6933C6"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CD215D" w:rsidP="00C667F3" w:rsidRDefault="00690F56" w14:paraId="60F433F4"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90F56" w:rsidP="00690F56" w:rsidRDefault="00690F56" w14:paraId="137A0F9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6626FF" w:rsidR="006626FF" w:rsidP="006626FF" w:rsidRDefault="006626FF" w14:paraId="4CB5595E" w14:textId="77777777">
      <w:pPr>
        <w:ind w:left="720"/>
        <w:rPr>
          <w:rFonts w:ascii="Times New Roman" w:hAnsi="Times New Roman"/>
          <w:i/>
        </w:rPr>
      </w:pPr>
    </w:p>
    <w:p w:rsidRPr="00E60FB0" w:rsidR="006626FF" w:rsidP="006626FF" w:rsidRDefault="006626FF" w14:paraId="64323D7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10170"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841"/>
        <w:gridCol w:w="1399"/>
        <w:gridCol w:w="1077"/>
        <w:gridCol w:w="1227"/>
        <w:gridCol w:w="1026"/>
        <w:gridCol w:w="1049"/>
        <w:gridCol w:w="1111"/>
        <w:gridCol w:w="1440"/>
      </w:tblGrid>
      <w:tr w:rsidRPr="00E60FB0" w:rsidR="00AC217E" w:rsidTr="00D92DAD" w14:paraId="29952873" w14:textId="77777777">
        <w:trPr>
          <w:trHeight w:val="890"/>
        </w:trPr>
        <w:tc>
          <w:tcPr>
            <w:tcW w:w="184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E1B8A" w:rsidR="006626FF" w:rsidRDefault="006626FF" w14:paraId="766DFC83" w14:textId="77777777">
            <w:pPr>
              <w:spacing w:line="276" w:lineRule="auto"/>
              <w:jc w:val="center"/>
              <w:rPr>
                <w:rFonts w:ascii="Times New Roman" w:hAnsi="Times New Roman"/>
                <w:b/>
                <w:sz w:val="20"/>
                <w:szCs w:val="20"/>
              </w:rPr>
            </w:pPr>
            <w:r w:rsidRPr="008E1B8A">
              <w:rPr>
                <w:rFonts w:ascii="Times New Roman" w:hAnsi="Times New Roman"/>
                <w:b/>
                <w:sz w:val="20"/>
                <w:szCs w:val="20"/>
              </w:rPr>
              <w:t>Activity</w:t>
            </w:r>
          </w:p>
        </w:tc>
        <w:tc>
          <w:tcPr>
            <w:tcW w:w="139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E1B8A" w:rsidR="006626FF" w:rsidRDefault="00F935EE" w14:paraId="747D2373" w14:textId="77777777">
            <w:pPr>
              <w:spacing w:line="276" w:lineRule="auto"/>
              <w:jc w:val="center"/>
              <w:rPr>
                <w:rFonts w:ascii="Times New Roman" w:hAnsi="Times New Roman"/>
                <w:b/>
                <w:sz w:val="20"/>
                <w:szCs w:val="20"/>
              </w:rPr>
            </w:pPr>
            <w:r w:rsidRPr="008E1B8A">
              <w:rPr>
                <w:rFonts w:ascii="Times New Roman" w:hAnsi="Times New Roman"/>
                <w:b/>
                <w:sz w:val="20"/>
                <w:szCs w:val="20"/>
              </w:rPr>
              <w:t>No.</w:t>
            </w:r>
            <w:r w:rsidRPr="008E1B8A" w:rsidR="006626FF">
              <w:rPr>
                <w:rFonts w:ascii="Times New Roman" w:hAnsi="Times New Roman"/>
                <w:b/>
                <w:sz w:val="20"/>
                <w:szCs w:val="20"/>
              </w:rPr>
              <w:t xml:space="preserve"> of Respondents</w:t>
            </w:r>
          </w:p>
        </w:tc>
        <w:tc>
          <w:tcPr>
            <w:tcW w:w="1077" w:type="dxa"/>
            <w:tcBorders>
              <w:top w:val="single" w:color="auto" w:sz="4" w:space="0"/>
              <w:left w:val="single" w:color="auto" w:sz="4" w:space="0"/>
              <w:bottom w:val="single" w:color="auto" w:sz="4" w:space="0"/>
              <w:right w:val="single" w:color="auto" w:sz="4" w:space="0"/>
            </w:tcBorders>
            <w:shd w:val="clear" w:color="auto" w:fill="8DB3E2"/>
            <w:vAlign w:val="center"/>
          </w:tcPr>
          <w:p w:rsidRPr="008E1B8A" w:rsidR="006626FF" w:rsidRDefault="006626FF" w14:paraId="7FC5E856" w14:textId="77777777">
            <w:pPr>
              <w:spacing w:line="276" w:lineRule="auto"/>
              <w:jc w:val="center"/>
              <w:rPr>
                <w:rFonts w:ascii="Times New Roman" w:hAnsi="Times New Roman"/>
                <w:b/>
                <w:sz w:val="20"/>
                <w:szCs w:val="20"/>
              </w:rPr>
            </w:pPr>
          </w:p>
          <w:p w:rsidRPr="008E1B8A" w:rsidR="006626FF" w:rsidRDefault="006626FF" w14:paraId="666F2B4B" w14:textId="77777777">
            <w:pPr>
              <w:spacing w:line="276" w:lineRule="auto"/>
              <w:jc w:val="center"/>
              <w:rPr>
                <w:rFonts w:ascii="Times New Roman" w:hAnsi="Times New Roman"/>
                <w:b/>
                <w:sz w:val="20"/>
                <w:szCs w:val="20"/>
              </w:rPr>
            </w:pPr>
            <w:r w:rsidRPr="008E1B8A">
              <w:rPr>
                <w:rFonts w:ascii="Times New Roman" w:hAnsi="Times New Roman"/>
                <w:b/>
                <w:sz w:val="20"/>
                <w:szCs w:val="20"/>
              </w:rPr>
              <w:t xml:space="preserve">No. of Responses </w:t>
            </w:r>
          </w:p>
          <w:p w:rsidRPr="008E1B8A" w:rsidR="006626FF" w:rsidRDefault="006626FF" w14:paraId="51DCC66B" w14:textId="77777777">
            <w:pPr>
              <w:spacing w:line="276" w:lineRule="auto"/>
              <w:jc w:val="center"/>
              <w:rPr>
                <w:rFonts w:ascii="Times New Roman" w:hAnsi="Times New Roman"/>
                <w:b/>
                <w:sz w:val="20"/>
                <w:szCs w:val="20"/>
              </w:rPr>
            </w:pPr>
            <w:r w:rsidRPr="008E1B8A">
              <w:rPr>
                <w:rFonts w:ascii="Times New Roman" w:hAnsi="Times New Roman"/>
                <w:b/>
                <w:sz w:val="20"/>
                <w:szCs w:val="20"/>
              </w:rPr>
              <w:t>per</w:t>
            </w:r>
            <w:r w:rsidRPr="008E1B8A" w:rsidR="00F935EE">
              <w:rPr>
                <w:rFonts w:ascii="Times New Roman" w:hAnsi="Times New Roman"/>
                <w:b/>
                <w:sz w:val="20"/>
                <w:szCs w:val="20"/>
              </w:rPr>
              <w:t xml:space="preserve"> Respondent</w:t>
            </w:r>
          </w:p>
        </w:tc>
        <w:tc>
          <w:tcPr>
            <w:tcW w:w="1227"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E1B8A" w:rsidR="006626FF" w:rsidRDefault="006626FF" w14:paraId="1DB4DF79" w14:textId="77777777">
            <w:pPr>
              <w:spacing w:line="276" w:lineRule="auto"/>
              <w:jc w:val="center"/>
              <w:rPr>
                <w:rFonts w:ascii="Times New Roman" w:hAnsi="Times New Roman"/>
                <w:b/>
                <w:sz w:val="20"/>
                <w:szCs w:val="20"/>
              </w:rPr>
            </w:pPr>
            <w:r w:rsidRPr="008E1B8A">
              <w:rPr>
                <w:rFonts w:ascii="Times New Roman" w:hAnsi="Times New Roman"/>
                <w:b/>
                <w:sz w:val="20"/>
                <w:szCs w:val="20"/>
              </w:rPr>
              <w:t>Total Responses</w:t>
            </w:r>
          </w:p>
        </w:tc>
        <w:tc>
          <w:tcPr>
            <w:tcW w:w="1026"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E1B8A" w:rsidR="006626FF" w:rsidRDefault="006626FF" w14:paraId="3EEDEE50" w14:textId="77777777">
            <w:pPr>
              <w:spacing w:line="276" w:lineRule="auto"/>
              <w:jc w:val="center"/>
              <w:rPr>
                <w:rFonts w:ascii="Times New Roman" w:hAnsi="Times New Roman"/>
                <w:b/>
                <w:sz w:val="20"/>
                <w:szCs w:val="20"/>
              </w:rPr>
            </w:pPr>
            <w:r w:rsidRPr="008E1B8A">
              <w:rPr>
                <w:rFonts w:ascii="Times New Roman" w:hAnsi="Times New Roman"/>
                <w:b/>
                <w:sz w:val="20"/>
                <w:szCs w:val="20"/>
              </w:rPr>
              <w:t>Average Burden (Hours)</w:t>
            </w:r>
          </w:p>
        </w:tc>
        <w:tc>
          <w:tcPr>
            <w:tcW w:w="1049"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E1B8A" w:rsidR="006626FF" w:rsidRDefault="006626FF" w14:paraId="48DC463C" w14:textId="77777777">
            <w:pPr>
              <w:spacing w:line="276" w:lineRule="auto"/>
              <w:jc w:val="center"/>
              <w:rPr>
                <w:rFonts w:ascii="Times New Roman" w:hAnsi="Times New Roman"/>
                <w:b/>
                <w:sz w:val="20"/>
                <w:szCs w:val="20"/>
              </w:rPr>
            </w:pPr>
            <w:r w:rsidRPr="008E1B8A">
              <w:rPr>
                <w:rFonts w:ascii="Times New Roman" w:hAnsi="Times New Roman"/>
                <w:b/>
                <w:sz w:val="20"/>
                <w:szCs w:val="20"/>
              </w:rPr>
              <w:t>Total Burden (Hours)</w:t>
            </w:r>
          </w:p>
        </w:tc>
        <w:tc>
          <w:tcPr>
            <w:tcW w:w="111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E1B8A" w:rsidR="006626FF" w:rsidRDefault="006626FF" w14:paraId="457F371A" w14:textId="77777777">
            <w:pPr>
              <w:spacing w:line="276" w:lineRule="auto"/>
              <w:jc w:val="center"/>
              <w:rPr>
                <w:rFonts w:ascii="Times New Roman" w:hAnsi="Times New Roman"/>
                <w:b/>
                <w:sz w:val="20"/>
                <w:szCs w:val="20"/>
              </w:rPr>
            </w:pPr>
            <w:r w:rsidRPr="008E1B8A">
              <w:rPr>
                <w:rFonts w:ascii="Times New Roman" w:hAnsi="Times New Roman"/>
                <w:b/>
                <w:sz w:val="20"/>
                <w:szCs w:val="20"/>
              </w:rPr>
              <w:t>Hourly</w:t>
            </w:r>
          </w:p>
          <w:p w:rsidRPr="008E1B8A" w:rsidR="006626FF" w:rsidRDefault="006626FF" w14:paraId="3C71A8FA" w14:textId="77777777">
            <w:pPr>
              <w:spacing w:line="276" w:lineRule="auto"/>
              <w:jc w:val="center"/>
              <w:rPr>
                <w:rFonts w:ascii="Times New Roman" w:hAnsi="Times New Roman"/>
                <w:b/>
                <w:sz w:val="20"/>
                <w:szCs w:val="20"/>
              </w:rPr>
            </w:pPr>
            <w:r w:rsidRPr="008E1B8A">
              <w:rPr>
                <w:rFonts w:ascii="Times New Roman" w:hAnsi="Times New Roman"/>
                <w:b/>
                <w:sz w:val="20"/>
                <w:szCs w:val="20"/>
              </w:rPr>
              <w:t>Wage Rate</w:t>
            </w:r>
          </w:p>
        </w:tc>
        <w:tc>
          <w:tcPr>
            <w:tcW w:w="144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8E1B8A" w:rsidR="006626FF" w:rsidRDefault="006626FF" w14:paraId="6F6C5210" w14:textId="77777777">
            <w:pPr>
              <w:spacing w:line="276" w:lineRule="auto"/>
              <w:jc w:val="center"/>
              <w:rPr>
                <w:rFonts w:ascii="Times New Roman" w:hAnsi="Times New Roman"/>
                <w:b/>
                <w:sz w:val="20"/>
                <w:szCs w:val="20"/>
              </w:rPr>
            </w:pPr>
            <w:r w:rsidRPr="008E1B8A">
              <w:rPr>
                <w:rFonts w:ascii="Times New Roman" w:hAnsi="Times New Roman"/>
                <w:b/>
                <w:sz w:val="20"/>
                <w:szCs w:val="20"/>
              </w:rPr>
              <w:t>Total Burden Cost</w:t>
            </w:r>
          </w:p>
        </w:tc>
      </w:tr>
      <w:tr w:rsidRPr="00E60FB0" w:rsidR="00AC217E" w:rsidTr="00D92DAD" w14:paraId="12A74636" w14:textId="77777777">
        <w:tc>
          <w:tcPr>
            <w:tcW w:w="1841" w:type="dxa"/>
            <w:tcBorders>
              <w:top w:val="single" w:color="auto" w:sz="4" w:space="0"/>
              <w:left w:val="single" w:color="auto" w:sz="4" w:space="0"/>
              <w:bottom w:val="single" w:color="auto" w:sz="4" w:space="0"/>
              <w:right w:val="single" w:color="auto" w:sz="4" w:space="0"/>
            </w:tcBorders>
            <w:hideMark/>
          </w:tcPr>
          <w:p w:rsidRPr="00E60FB0" w:rsidR="008E1B8A" w:rsidP="008E1B8A" w:rsidRDefault="008E1B8A" w14:paraId="5A3D8856" w14:textId="77777777">
            <w:pPr>
              <w:spacing w:line="276" w:lineRule="auto"/>
              <w:rPr>
                <w:rFonts w:ascii="Times New Roman" w:hAnsi="Times New Roman"/>
                <w:sz w:val="22"/>
                <w:szCs w:val="22"/>
              </w:rPr>
            </w:pPr>
            <w:r w:rsidRPr="006D63FC">
              <w:rPr>
                <w:sz w:val="22"/>
                <w:szCs w:val="22"/>
              </w:rPr>
              <w:t>UI-1 (base), ETA 8623A</w:t>
            </w:r>
          </w:p>
        </w:tc>
        <w:tc>
          <w:tcPr>
            <w:tcW w:w="1399"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05A42CCD" w14:textId="77777777">
            <w:pPr>
              <w:spacing w:line="276" w:lineRule="auto"/>
              <w:jc w:val="center"/>
              <w:rPr>
                <w:rFonts w:ascii="Times New Roman" w:hAnsi="Times New Roman"/>
                <w:sz w:val="22"/>
                <w:szCs w:val="22"/>
              </w:rPr>
            </w:pPr>
            <w:r w:rsidRPr="006D63FC">
              <w:rPr>
                <w:sz w:val="22"/>
                <w:szCs w:val="22"/>
              </w:rPr>
              <w:t>53</w:t>
            </w:r>
          </w:p>
        </w:tc>
        <w:tc>
          <w:tcPr>
            <w:tcW w:w="1077"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06577AFC" w14:textId="77777777">
            <w:pPr>
              <w:spacing w:line="276" w:lineRule="auto"/>
              <w:jc w:val="center"/>
              <w:rPr>
                <w:rFonts w:ascii="Times New Roman" w:hAnsi="Times New Roman"/>
                <w:sz w:val="22"/>
                <w:szCs w:val="22"/>
              </w:rPr>
            </w:pPr>
            <w:r>
              <w:rPr>
                <w:sz w:val="22"/>
                <w:szCs w:val="22"/>
              </w:rPr>
              <w:t>1</w:t>
            </w:r>
          </w:p>
        </w:tc>
        <w:tc>
          <w:tcPr>
            <w:tcW w:w="1227"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6515C619" w14:textId="77777777">
            <w:pPr>
              <w:spacing w:line="276" w:lineRule="auto"/>
              <w:jc w:val="center"/>
              <w:rPr>
                <w:rFonts w:ascii="Times New Roman" w:hAnsi="Times New Roman"/>
                <w:sz w:val="22"/>
                <w:szCs w:val="22"/>
              </w:rPr>
            </w:pPr>
            <w:r w:rsidRPr="006D63FC">
              <w:rPr>
                <w:sz w:val="22"/>
                <w:szCs w:val="22"/>
              </w:rPr>
              <w:t>53</w:t>
            </w:r>
          </w:p>
        </w:tc>
        <w:tc>
          <w:tcPr>
            <w:tcW w:w="1026"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0F5DA1E6" w14:textId="77777777">
            <w:pPr>
              <w:spacing w:line="276" w:lineRule="auto"/>
              <w:jc w:val="center"/>
              <w:rPr>
                <w:rFonts w:ascii="Times New Roman" w:hAnsi="Times New Roman"/>
                <w:sz w:val="22"/>
                <w:szCs w:val="22"/>
              </w:rPr>
            </w:pPr>
            <w:r w:rsidRPr="006D63FC">
              <w:rPr>
                <w:sz w:val="22"/>
                <w:szCs w:val="22"/>
              </w:rPr>
              <w:t>1</w:t>
            </w:r>
          </w:p>
        </w:tc>
        <w:tc>
          <w:tcPr>
            <w:tcW w:w="1049"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1618AEDA" w14:textId="77777777">
            <w:pPr>
              <w:spacing w:line="276" w:lineRule="auto"/>
              <w:jc w:val="center"/>
              <w:rPr>
                <w:rFonts w:ascii="Times New Roman" w:hAnsi="Times New Roman"/>
                <w:sz w:val="22"/>
                <w:szCs w:val="22"/>
              </w:rPr>
            </w:pPr>
            <w:r w:rsidRPr="006D63FC">
              <w:rPr>
                <w:sz w:val="22"/>
                <w:szCs w:val="22"/>
              </w:rPr>
              <w:t>53</w:t>
            </w:r>
          </w:p>
        </w:tc>
        <w:tc>
          <w:tcPr>
            <w:tcW w:w="1111"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4BF8A0CF" w14:textId="77777777">
            <w:pPr>
              <w:spacing w:line="276" w:lineRule="auto"/>
              <w:jc w:val="center"/>
              <w:rPr>
                <w:rFonts w:ascii="Times New Roman" w:hAnsi="Times New Roman"/>
                <w:sz w:val="22"/>
                <w:szCs w:val="22"/>
              </w:rPr>
            </w:pPr>
            <w:r>
              <w:rPr>
                <w:sz w:val="22"/>
                <w:szCs w:val="22"/>
              </w:rPr>
              <w:t>$50.62</w:t>
            </w:r>
          </w:p>
        </w:tc>
        <w:tc>
          <w:tcPr>
            <w:tcW w:w="1440"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1C3E0735" w14:textId="77777777">
            <w:pPr>
              <w:spacing w:line="276" w:lineRule="auto"/>
              <w:jc w:val="center"/>
              <w:rPr>
                <w:rFonts w:ascii="Times New Roman" w:hAnsi="Times New Roman"/>
                <w:sz w:val="22"/>
                <w:szCs w:val="22"/>
              </w:rPr>
            </w:pPr>
            <w:r w:rsidRPr="00237E88">
              <w:rPr>
                <w:sz w:val="22"/>
                <w:szCs w:val="22"/>
              </w:rPr>
              <w:t>$</w:t>
            </w:r>
            <w:r w:rsidRPr="00252E3A">
              <w:rPr>
                <w:color w:val="222222"/>
                <w:sz w:val="22"/>
                <w:szCs w:val="22"/>
                <w:shd w:val="clear" w:color="auto" w:fill="FFFFFF"/>
              </w:rPr>
              <w:t>2</w:t>
            </w:r>
            <w:r>
              <w:rPr>
                <w:color w:val="222222"/>
                <w:sz w:val="22"/>
                <w:szCs w:val="22"/>
                <w:shd w:val="clear" w:color="auto" w:fill="FFFFFF"/>
              </w:rPr>
              <w:t>,</w:t>
            </w:r>
            <w:r w:rsidRPr="00252E3A">
              <w:rPr>
                <w:color w:val="222222"/>
                <w:sz w:val="22"/>
                <w:szCs w:val="22"/>
                <w:shd w:val="clear" w:color="auto" w:fill="FFFFFF"/>
              </w:rPr>
              <w:t>682.86</w:t>
            </w:r>
          </w:p>
        </w:tc>
      </w:tr>
      <w:tr w:rsidRPr="00E60FB0" w:rsidR="00AC217E" w:rsidTr="00D92DAD" w14:paraId="29B8AD61" w14:textId="77777777">
        <w:tc>
          <w:tcPr>
            <w:tcW w:w="1841" w:type="dxa"/>
            <w:tcBorders>
              <w:top w:val="single" w:color="auto" w:sz="4" w:space="0"/>
              <w:left w:val="single" w:color="auto" w:sz="4" w:space="0"/>
              <w:bottom w:val="single" w:color="auto" w:sz="4" w:space="0"/>
              <w:right w:val="single" w:color="auto" w:sz="4" w:space="0"/>
            </w:tcBorders>
          </w:tcPr>
          <w:p w:rsidRPr="006D63FC" w:rsidR="008E1B8A" w:rsidP="008E1B8A" w:rsidRDefault="008E1B8A" w14:paraId="363D43CF" w14:textId="77777777">
            <w:pPr>
              <w:rPr>
                <w:sz w:val="22"/>
                <w:szCs w:val="22"/>
              </w:rPr>
            </w:pPr>
            <w:r w:rsidRPr="006D63FC">
              <w:rPr>
                <w:sz w:val="22"/>
                <w:szCs w:val="22"/>
              </w:rPr>
              <w:t>UI-3 (contingency),</w:t>
            </w:r>
          </w:p>
          <w:p w:rsidRPr="00E60FB0" w:rsidR="008E1B8A" w:rsidP="008E1B8A" w:rsidRDefault="008E1B8A" w14:paraId="675F2CE5" w14:textId="77777777">
            <w:pPr>
              <w:spacing w:line="276" w:lineRule="auto"/>
              <w:rPr>
                <w:rFonts w:ascii="Times New Roman" w:hAnsi="Times New Roman"/>
                <w:sz w:val="22"/>
                <w:szCs w:val="22"/>
              </w:rPr>
            </w:pPr>
            <w:r w:rsidRPr="006D63FC">
              <w:rPr>
                <w:sz w:val="22"/>
                <w:szCs w:val="22"/>
              </w:rPr>
              <w:t>ETA 2208A (Quarterly)</w:t>
            </w:r>
          </w:p>
        </w:tc>
        <w:tc>
          <w:tcPr>
            <w:tcW w:w="1399"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494A3F15" w14:textId="77777777">
            <w:pPr>
              <w:spacing w:line="276" w:lineRule="auto"/>
              <w:jc w:val="center"/>
              <w:rPr>
                <w:rFonts w:ascii="Times New Roman" w:hAnsi="Times New Roman"/>
                <w:sz w:val="22"/>
                <w:szCs w:val="22"/>
              </w:rPr>
            </w:pPr>
            <w:r w:rsidRPr="006D63FC">
              <w:rPr>
                <w:sz w:val="22"/>
                <w:szCs w:val="22"/>
              </w:rPr>
              <w:t>53</w:t>
            </w:r>
          </w:p>
        </w:tc>
        <w:tc>
          <w:tcPr>
            <w:tcW w:w="1077"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4062E611" w14:textId="77777777">
            <w:pPr>
              <w:spacing w:line="276" w:lineRule="auto"/>
              <w:jc w:val="center"/>
              <w:rPr>
                <w:rFonts w:ascii="Times New Roman" w:hAnsi="Times New Roman"/>
                <w:sz w:val="22"/>
                <w:szCs w:val="22"/>
              </w:rPr>
            </w:pPr>
            <w:r>
              <w:rPr>
                <w:sz w:val="22"/>
                <w:szCs w:val="22"/>
              </w:rPr>
              <w:t>4</w:t>
            </w:r>
          </w:p>
        </w:tc>
        <w:tc>
          <w:tcPr>
            <w:tcW w:w="1227"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2D20E10F" w14:textId="77777777">
            <w:pPr>
              <w:spacing w:line="276" w:lineRule="auto"/>
              <w:jc w:val="center"/>
              <w:rPr>
                <w:rFonts w:ascii="Times New Roman" w:hAnsi="Times New Roman"/>
                <w:sz w:val="22"/>
                <w:szCs w:val="22"/>
              </w:rPr>
            </w:pPr>
            <w:r w:rsidRPr="006D63FC">
              <w:rPr>
                <w:sz w:val="22"/>
                <w:szCs w:val="22"/>
              </w:rPr>
              <w:t>212</w:t>
            </w:r>
          </w:p>
        </w:tc>
        <w:tc>
          <w:tcPr>
            <w:tcW w:w="1026"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6166CFD8" w14:textId="77777777">
            <w:pPr>
              <w:spacing w:line="276" w:lineRule="auto"/>
              <w:jc w:val="center"/>
              <w:rPr>
                <w:rFonts w:ascii="Times New Roman" w:hAnsi="Times New Roman"/>
                <w:sz w:val="22"/>
                <w:szCs w:val="22"/>
              </w:rPr>
            </w:pPr>
            <w:r w:rsidRPr="006D63FC">
              <w:rPr>
                <w:sz w:val="22"/>
                <w:szCs w:val="22"/>
              </w:rPr>
              <w:t>2</w:t>
            </w:r>
          </w:p>
        </w:tc>
        <w:tc>
          <w:tcPr>
            <w:tcW w:w="1049"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404071AD" w14:textId="77777777">
            <w:pPr>
              <w:spacing w:line="276" w:lineRule="auto"/>
              <w:jc w:val="center"/>
              <w:rPr>
                <w:rFonts w:ascii="Times New Roman" w:hAnsi="Times New Roman"/>
                <w:sz w:val="22"/>
                <w:szCs w:val="22"/>
              </w:rPr>
            </w:pPr>
            <w:r w:rsidRPr="006D63FC">
              <w:rPr>
                <w:sz w:val="22"/>
                <w:szCs w:val="22"/>
              </w:rPr>
              <w:t>424</w:t>
            </w:r>
          </w:p>
        </w:tc>
        <w:tc>
          <w:tcPr>
            <w:tcW w:w="1111"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0355DC62" w14:textId="77777777">
            <w:pPr>
              <w:spacing w:line="276" w:lineRule="auto"/>
              <w:jc w:val="center"/>
              <w:rPr>
                <w:rFonts w:ascii="Times New Roman" w:hAnsi="Times New Roman"/>
                <w:sz w:val="22"/>
                <w:szCs w:val="22"/>
              </w:rPr>
            </w:pPr>
            <w:r>
              <w:rPr>
                <w:sz w:val="22"/>
                <w:szCs w:val="22"/>
              </w:rPr>
              <w:t>$50.62</w:t>
            </w:r>
          </w:p>
        </w:tc>
        <w:tc>
          <w:tcPr>
            <w:tcW w:w="1440"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0FF4499C" w14:textId="77777777">
            <w:pPr>
              <w:spacing w:line="276" w:lineRule="auto"/>
              <w:jc w:val="center"/>
              <w:rPr>
                <w:rFonts w:ascii="Times New Roman" w:hAnsi="Times New Roman"/>
                <w:sz w:val="22"/>
                <w:szCs w:val="22"/>
              </w:rPr>
            </w:pPr>
            <w:r>
              <w:rPr>
                <w:sz w:val="22"/>
                <w:szCs w:val="22"/>
              </w:rPr>
              <w:t>$</w:t>
            </w:r>
            <w:r w:rsidRPr="00237E88">
              <w:rPr>
                <w:sz w:val="22"/>
                <w:szCs w:val="22"/>
              </w:rPr>
              <w:t>21</w:t>
            </w:r>
            <w:r>
              <w:rPr>
                <w:sz w:val="22"/>
                <w:szCs w:val="22"/>
              </w:rPr>
              <w:t>,</w:t>
            </w:r>
            <w:r w:rsidRPr="00237E88">
              <w:rPr>
                <w:sz w:val="22"/>
                <w:szCs w:val="22"/>
              </w:rPr>
              <w:t>462.88</w:t>
            </w:r>
          </w:p>
        </w:tc>
      </w:tr>
      <w:tr w:rsidRPr="00E60FB0" w:rsidR="00AC217E" w:rsidTr="00D92DAD" w14:paraId="23710D15" w14:textId="77777777">
        <w:tc>
          <w:tcPr>
            <w:tcW w:w="1841" w:type="dxa"/>
            <w:tcBorders>
              <w:top w:val="single" w:color="auto" w:sz="4" w:space="0"/>
              <w:left w:val="single" w:color="auto" w:sz="4" w:space="0"/>
              <w:bottom w:val="single" w:color="auto" w:sz="4" w:space="0"/>
              <w:right w:val="single" w:color="auto" w:sz="4" w:space="0"/>
            </w:tcBorders>
          </w:tcPr>
          <w:p w:rsidRPr="00E60FB0" w:rsidR="008E1B8A" w:rsidP="008E1B8A" w:rsidRDefault="008E1B8A" w14:paraId="2CE0358F" w14:textId="77777777">
            <w:pPr>
              <w:spacing w:line="276" w:lineRule="auto"/>
              <w:rPr>
                <w:rFonts w:ascii="Times New Roman" w:hAnsi="Times New Roman"/>
                <w:sz w:val="22"/>
                <w:szCs w:val="22"/>
              </w:rPr>
            </w:pPr>
            <w:r w:rsidRPr="006D63FC">
              <w:rPr>
                <w:sz w:val="22"/>
                <w:szCs w:val="22"/>
              </w:rPr>
              <w:t>CAPs</w:t>
            </w:r>
          </w:p>
        </w:tc>
        <w:tc>
          <w:tcPr>
            <w:tcW w:w="1399"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30738831" w14:textId="77777777">
            <w:pPr>
              <w:spacing w:line="276" w:lineRule="auto"/>
              <w:jc w:val="center"/>
              <w:rPr>
                <w:rFonts w:ascii="Times New Roman" w:hAnsi="Times New Roman"/>
                <w:sz w:val="22"/>
                <w:szCs w:val="22"/>
              </w:rPr>
            </w:pPr>
            <w:r>
              <w:rPr>
                <w:sz w:val="22"/>
                <w:szCs w:val="22"/>
              </w:rPr>
              <w:t>53</w:t>
            </w:r>
          </w:p>
        </w:tc>
        <w:tc>
          <w:tcPr>
            <w:tcW w:w="1077" w:type="dxa"/>
            <w:tcBorders>
              <w:top w:val="single" w:color="auto" w:sz="4" w:space="0"/>
              <w:left w:val="single" w:color="auto" w:sz="4" w:space="0"/>
              <w:bottom w:val="single" w:color="auto" w:sz="4" w:space="0"/>
              <w:right w:val="single" w:color="auto" w:sz="4" w:space="0"/>
            </w:tcBorders>
            <w:vAlign w:val="center"/>
          </w:tcPr>
          <w:p w:rsidR="008E1B8A" w:rsidP="008E1B8A" w:rsidRDefault="008E1B8A" w14:paraId="5B3C8017" w14:textId="77777777">
            <w:pPr>
              <w:widowControl/>
              <w:autoSpaceDE/>
              <w:autoSpaceDN/>
              <w:adjustRightInd/>
              <w:spacing w:line="276" w:lineRule="auto"/>
              <w:jc w:val="center"/>
              <w:rPr>
                <w:sz w:val="22"/>
                <w:szCs w:val="22"/>
              </w:rPr>
            </w:pPr>
          </w:p>
          <w:p w:rsidRPr="00E60FB0" w:rsidR="008E1B8A" w:rsidP="008E1B8A" w:rsidRDefault="008E1B8A" w14:paraId="3B0AC65A" w14:textId="77777777">
            <w:pPr>
              <w:spacing w:line="276" w:lineRule="auto"/>
              <w:jc w:val="center"/>
              <w:rPr>
                <w:rFonts w:ascii="Times New Roman" w:hAnsi="Times New Roman"/>
                <w:sz w:val="22"/>
                <w:szCs w:val="22"/>
              </w:rPr>
            </w:pPr>
            <w:r>
              <w:rPr>
                <w:sz w:val="22"/>
                <w:szCs w:val="22"/>
              </w:rPr>
              <w:t>9</w:t>
            </w:r>
            <w:r w:rsidRPr="00333FD7">
              <w:rPr>
                <w:rStyle w:val="FootnoteReference"/>
                <w:sz w:val="22"/>
                <w:szCs w:val="22"/>
              </w:rPr>
              <w:footnoteReference w:id="1"/>
            </w:r>
          </w:p>
        </w:tc>
        <w:tc>
          <w:tcPr>
            <w:tcW w:w="1227"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AC217E" w14:paraId="276835ED" w14:textId="77777777">
            <w:pPr>
              <w:spacing w:line="276" w:lineRule="auto"/>
              <w:jc w:val="center"/>
              <w:rPr>
                <w:rFonts w:ascii="Times New Roman" w:hAnsi="Times New Roman"/>
                <w:sz w:val="22"/>
                <w:szCs w:val="22"/>
              </w:rPr>
            </w:pPr>
            <w:r>
              <w:rPr>
                <w:sz w:val="22"/>
                <w:szCs w:val="22"/>
              </w:rPr>
              <w:t>477</w:t>
            </w:r>
          </w:p>
        </w:tc>
        <w:tc>
          <w:tcPr>
            <w:tcW w:w="1026"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63E986A8" w14:textId="77777777">
            <w:pPr>
              <w:spacing w:line="276" w:lineRule="auto"/>
              <w:jc w:val="center"/>
              <w:rPr>
                <w:rFonts w:ascii="Times New Roman" w:hAnsi="Times New Roman"/>
                <w:sz w:val="22"/>
                <w:szCs w:val="22"/>
              </w:rPr>
            </w:pPr>
            <w:r w:rsidRPr="006D63FC">
              <w:rPr>
                <w:sz w:val="22"/>
                <w:szCs w:val="22"/>
              </w:rPr>
              <w:t>4</w:t>
            </w:r>
          </w:p>
        </w:tc>
        <w:tc>
          <w:tcPr>
            <w:tcW w:w="1049" w:type="dxa"/>
            <w:tcBorders>
              <w:top w:val="single" w:color="auto" w:sz="4" w:space="0"/>
              <w:left w:val="single" w:color="auto" w:sz="4" w:space="0"/>
              <w:bottom w:val="single" w:color="auto" w:sz="4" w:space="0"/>
              <w:right w:val="single" w:color="auto" w:sz="4" w:space="0"/>
            </w:tcBorders>
            <w:vAlign w:val="bottom"/>
          </w:tcPr>
          <w:p w:rsidRPr="00E60FB0" w:rsidR="008E1B8A" w:rsidP="00AC217E" w:rsidRDefault="00AC217E" w14:paraId="10DFD8C4" w14:textId="77777777">
            <w:pPr>
              <w:spacing w:line="276" w:lineRule="auto"/>
              <w:jc w:val="center"/>
              <w:rPr>
                <w:rFonts w:ascii="Times New Roman" w:hAnsi="Times New Roman"/>
                <w:sz w:val="22"/>
                <w:szCs w:val="22"/>
              </w:rPr>
            </w:pPr>
            <w:r>
              <w:rPr>
                <w:sz w:val="22"/>
                <w:szCs w:val="22"/>
              </w:rPr>
              <w:t>1</w:t>
            </w:r>
            <w:r w:rsidR="00D1063C">
              <w:rPr>
                <w:sz w:val="22"/>
                <w:szCs w:val="22"/>
              </w:rPr>
              <w:t>,</w:t>
            </w:r>
            <w:r>
              <w:rPr>
                <w:sz w:val="22"/>
                <w:szCs w:val="22"/>
              </w:rPr>
              <w:t>908</w:t>
            </w:r>
          </w:p>
        </w:tc>
        <w:tc>
          <w:tcPr>
            <w:tcW w:w="1111" w:type="dxa"/>
            <w:tcBorders>
              <w:top w:val="single" w:color="auto" w:sz="4" w:space="0"/>
              <w:left w:val="single" w:color="auto" w:sz="4" w:space="0"/>
              <w:bottom w:val="single" w:color="auto" w:sz="4" w:space="0"/>
              <w:right w:val="single" w:color="auto" w:sz="4" w:space="0"/>
            </w:tcBorders>
            <w:vAlign w:val="center"/>
          </w:tcPr>
          <w:p w:rsidRPr="00E60FB0" w:rsidR="008E1B8A" w:rsidP="00AC217E" w:rsidRDefault="008E1B8A" w14:paraId="768B82BC" w14:textId="77777777">
            <w:pPr>
              <w:spacing w:line="276" w:lineRule="auto"/>
              <w:jc w:val="center"/>
              <w:rPr>
                <w:rFonts w:ascii="Times New Roman" w:hAnsi="Times New Roman"/>
                <w:sz w:val="22"/>
                <w:szCs w:val="22"/>
              </w:rPr>
            </w:pPr>
            <w:r>
              <w:rPr>
                <w:sz w:val="22"/>
                <w:szCs w:val="22"/>
              </w:rPr>
              <w:t>$50.62</w:t>
            </w:r>
          </w:p>
        </w:tc>
        <w:tc>
          <w:tcPr>
            <w:tcW w:w="1440" w:type="dxa"/>
            <w:tcBorders>
              <w:top w:val="single" w:color="auto" w:sz="4" w:space="0"/>
              <w:left w:val="single" w:color="auto" w:sz="4" w:space="0"/>
              <w:bottom w:val="single" w:color="auto" w:sz="4" w:space="0"/>
              <w:right w:val="single" w:color="auto" w:sz="4" w:space="0"/>
            </w:tcBorders>
            <w:vAlign w:val="bottom"/>
          </w:tcPr>
          <w:p w:rsidRPr="00E60FB0" w:rsidR="008E1B8A" w:rsidP="00AC217E" w:rsidRDefault="008E1B8A" w14:paraId="61235497" w14:textId="77777777">
            <w:pPr>
              <w:spacing w:line="276" w:lineRule="auto"/>
              <w:jc w:val="center"/>
              <w:rPr>
                <w:rFonts w:ascii="Times New Roman" w:hAnsi="Times New Roman"/>
                <w:sz w:val="22"/>
                <w:szCs w:val="22"/>
              </w:rPr>
            </w:pPr>
            <w:r>
              <w:rPr>
                <w:sz w:val="22"/>
                <w:szCs w:val="22"/>
              </w:rPr>
              <w:t>$</w:t>
            </w:r>
            <w:r w:rsidR="00AC217E">
              <w:rPr>
                <w:sz w:val="22"/>
                <w:szCs w:val="22"/>
              </w:rPr>
              <w:t>96,582.96</w:t>
            </w:r>
          </w:p>
        </w:tc>
      </w:tr>
      <w:tr w:rsidRPr="00E60FB0" w:rsidR="00AC217E" w:rsidTr="00D92DAD" w14:paraId="1183BCDF" w14:textId="77777777">
        <w:tc>
          <w:tcPr>
            <w:tcW w:w="1841" w:type="dxa"/>
            <w:tcBorders>
              <w:top w:val="single" w:color="auto" w:sz="4" w:space="0"/>
              <w:left w:val="single" w:color="auto" w:sz="4" w:space="0"/>
              <w:bottom w:val="single" w:color="auto" w:sz="4" w:space="0"/>
              <w:right w:val="single" w:color="auto" w:sz="4" w:space="0"/>
            </w:tcBorders>
          </w:tcPr>
          <w:p w:rsidRPr="00E60FB0" w:rsidR="008E1B8A" w:rsidP="008E1B8A" w:rsidRDefault="008E1B8A" w14:paraId="430FAB81" w14:textId="77777777">
            <w:pPr>
              <w:spacing w:line="276" w:lineRule="auto"/>
              <w:rPr>
                <w:rFonts w:ascii="Times New Roman" w:hAnsi="Times New Roman"/>
                <w:sz w:val="22"/>
                <w:szCs w:val="22"/>
              </w:rPr>
            </w:pPr>
            <w:r w:rsidRPr="006D63FC">
              <w:rPr>
                <w:sz w:val="22"/>
                <w:szCs w:val="22"/>
              </w:rPr>
              <w:t>UI Program Integrity Plan</w:t>
            </w:r>
          </w:p>
        </w:tc>
        <w:tc>
          <w:tcPr>
            <w:tcW w:w="1399"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4B335BA3" w14:textId="77777777">
            <w:pPr>
              <w:spacing w:line="276" w:lineRule="auto"/>
              <w:jc w:val="center"/>
              <w:rPr>
                <w:rFonts w:ascii="Times New Roman" w:hAnsi="Times New Roman"/>
                <w:sz w:val="22"/>
                <w:szCs w:val="22"/>
              </w:rPr>
            </w:pPr>
            <w:r w:rsidRPr="006D63FC">
              <w:rPr>
                <w:sz w:val="22"/>
                <w:szCs w:val="22"/>
              </w:rPr>
              <w:t>53</w:t>
            </w:r>
          </w:p>
        </w:tc>
        <w:tc>
          <w:tcPr>
            <w:tcW w:w="1077"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AC217E" w14:paraId="0C4F6C03" w14:textId="77777777">
            <w:pPr>
              <w:spacing w:line="276" w:lineRule="auto"/>
              <w:jc w:val="center"/>
              <w:rPr>
                <w:rFonts w:ascii="Times New Roman" w:hAnsi="Times New Roman"/>
                <w:sz w:val="22"/>
                <w:szCs w:val="22"/>
              </w:rPr>
            </w:pPr>
            <w:r>
              <w:rPr>
                <w:rFonts w:ascii="Times New Roman" w:hAnsi="Times New Roman"/>
                <w:sz w:val="22"/>
                <w:szCs w:val="22"/>
              </w:rPr>
              <w:t>2</w:t>
            </w:r>
          </w:p>
        </w:tc>
        <w:tc>
          <w:tcPr>
            <w:tcW w:w="1227"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AC217E" w14:paraId="5DEF62DD" w14:textId="77777777">
            <w:pPr>
              <w:spacing w:line="276" w:lineRule="auto"/>
              <w:jc w:val="center"/>
              <w:rPr>
                <w:rFonts w:ascii="Times New Roman" w:hAnsi="Times New Roman"/>
                <w:sz w:val="22"/>
                <w:szCs w:val="22"/>
              </w:rPr>
            </w:pPr>
            <w:r>
              <w:rPr>
                <w:sz w:val="22"/>
                <w:szCs w:val="22"/>
              </w:rPr>
              <w:t>106</w:t>
            </w:r>
          </w:p>
        </w:tc>
        <w:tc>
          <w:tcPr>
            <w:tcW w:w="1026"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43B0A5D5" w14:textId="77777777">
            <w:pPr>
              <w:spacing w:line="276" w:lineRule="auto"/>
              <w:jc w:val="center"/>
              <w:rPr>
                <w:rFonts w:ascii="Times New Roman" w:hAnsi="Times New Roman"/>
                <w:sz w:val="22"/>
                <w:szCs w:val="22"/>
              </w:rPr>
            </w:pPr>
            <w:r w:rsidRPr="006D63FC">
              <w:rPr>
                <w:sz w:val="22"/>
                <w:szCs w:val="22"/>
              </w:rPr>
              <w:t>3</w:t>
            </w:r>
          </w:p>
        </w:tc>
        <w:tc>
          <w:tcPr>
            <w:tcW w:w="1049"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AC217E" w14:paraId="6AD6A548" w14:textId="77777777">
            <w:pPr>
              <w:spacing w:line="276" w:lineRule="auto"/>
              <w:jc w:val="center"/>
              <w:rPr>
                <w:rFonts w:ascii="Times New Roman" w:hAnsi="Times New Roman"/>
                <w:sz w:val="22"/>
                <w:szCs w:val="22"/>
              </w:rPr>
            </w:pPr>
            <w:r>
              <w:rPr>
                <w:sz w:val="22"/>
                <w:szCs w:val="22"/>
              </w:rPr>
              <w:t>318</w:t>
            </w:r>
          </w:p>
        </w:tc>
        <w:tc>
          <w:tcPr>
            <w:tcW w:w="1111"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478FB13E" w14:textId="77777777">
            <w:pPr>
              <w:spacing w:line="276" w:lineRule="auto"/>
              <w:jc w:val="center"/>
              <w:rPr>
                <w:rFonts w:ascii="Times New Roman" w:hAnsi="Times New Roman"/>
                <w:sz w:val="22"/>
                <w:szCs w:val="22"/>
              </w:rPr>
            </w:pPr>
            <w:r>
              <w:rPr>
                <w:sz w:val="22"/>
                <w:szCs w:val="22"/>
              </w:rPr>
              <w:t>$50.62</w:t>
            </w:r>
          </w:p>
        </w:tc>
        <w:tc>
          <w:tcPr>
            <w:tcW w:w="1440"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AC217E" w14:paraId="6E8F7B8D" w14:textId="77777777">
            <w:pPr>
              <w:spacing w:line="276" w:lineRule="auto"/>
              <w:jc w:val="center"/>
              <w:rPr>
                <w:rFonts w:ascii="Times New Roman" w:hAnsi="Times New Roman"/>
                <w:sz w:val="22"/>
                <w:szCs w:val="22"/>
              </w:rPr>
            </w:pPr>
            <w:r>
              <w:rPr>
                <w:sz w:val="22"/>
                <w:szCs w:val="22"/>
              </w:rPr>
              <w:t>16,097</w:t>
            </w:r>
          </w:p>
        </w:tc>
      </w:tr>
      <w:tr w:rsidRPr="00E60FB0" w:rsidR="00AC217E" w:rsidTr="00D92DAD" w14:paraId="08D9F932" w14:textId="77777777">
        <w:tc>
          <w:tcPr>
            <w:tcW w:w="1841" w:type="dxa"/>
            <w:tcBorders>
              <w:top w:val="single" w:color="auto" w:sz="4" w:space="0"/>
              <w:left w:val="single" w:color="auto" w:sz="4" w:space="0"/>
              <w:bottom w:val="single" w:color="auto" w:sz="4" w:space="0"/>
              <w:right w:val="single" w:color="auto" w:sz="4" w:space="0"/>
            </w:tcBorders>
          </w:tcPr>
          <w:p w:rsidRPr="00E60FB0" w:rsidR="008E1B8A" w:rsidP="008E1B8A" w:rsidRDefault="008E1B8A" w14:paraId="05F1792D" w14:textId="77777777">
            <w:pPr>
              <w:spacing w:line="276" w:lineRule="auto"/>
              <w:rPr>
                <w:rFonts w:ascii="Times New Roman" w:hAnsi="Times New Roman"/>
                <w:sz w:val="22"/>
                <w:szCs w:val="22"/>
              </w:rPr>
            </w:pPr>
            <w:r>
              <w:rPr>
                <w:sz w:val="22"/>
                <w:szCs w:val="22"/>
              </w:rPr>
              <w:t xml:space="preserve">SQSP </w:t>
            </w:r>
            <w:r w:rsidRPr="006D63FC">
              <w:rPr>
                <w:sz w:val="22"/>
                <w:szCs w:val="22"/>
              </w:rPr>
              <w:t>State Plan Narrative</w:t>
            </w:r>
          </w:p>
        </w:tc>
        <w:tc>
          <w:tcPr>
            <w:tcW w:w="1399"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1BC275BD" w14:textId="77777777">
            <w:pPr>
              <w:spacing w:line="276" w:lineRule="auto"/>
              <w:jc w:val="center"/>
              <w:rPr>
                <w:rFonts w:ascii="Times New Roman" w:hAnsi="Times New Roman"/>
                <w:sz w:val="22"/>
                <w:szCs w:val="22"/>
              </w:rPr>
            </w:pPr>
            <w:r>
              <w:rPr>
                <w:sz w:val="22"/>
                <w:szCs w:val="22"/>
              </w:rPr>
              <w:t>53</w:t>
            </w:r>
          </w:p>
        </w:tc>
        <w:tc>
          <w:tcPr>
            <w:tcW w:w="1077"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0E2B8497" w14:textId="77777777">
            <w:pPr>
              <w:spacing w:line="276" w:lineRule="auto"/>
              <w:jc w:val="center"/>
              <w:rPr>
                <w:rFonts w:ascii="Times New Roman" w:hAnsi="Times New Roman"/>
                <w:sz w:val="22"/>
                <w:szCs w:val="22"/>
              </w:rPr>
            </w:pPr>
            <w:r>
              <w:rPr>
                <w:sz w:val="22"/>
                <w:szCs w:val="22"/>
              </w:rPr>
              <w:t>1</w:t>
            </w:r>
            <w:r w:rsidRPr="00333FD7">
              <w:rPr>
                <w:rStyle w:val="FootnoteReference"/>
                <w:sz w:val="22"/>
                <w:szCs w:val="22"/>
              </w:rPr>
              <w:footnoteReference w:id="2"/>
            </w:r>
          </w:p>
        </w:tc>
        <w:tc>
          <w:tcPr>
            <w:tcW w:w="1227"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368A5FC9" w14:textId="77777777">
            <w:pPr>
              <w:spacing w:line="276" w:lineRule="auto"/>
              <w:jc w:val="center"/>
              <w:rPr>
                <w:rFonts w:ascii="Times New Roman" w:hAnsi="Times New Roman"/>
                <w:sz w:val="22"/>
                <w:szCs w:val="22"/>
              </w:rPr>
            </w:pPr>
            <w:r>
              <w:rPr>
                <w:sz w:val="22"/>
                <w:szCs w:val="22"/>
              </w:rPr>
              <w:t>53</w:t>
            </w:r>
          </w:p>
        </w:tc>
        <w:tc>
          <w:tcPr>
            <w:tcW w:w="1026"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75896E12" w14:textId="77777777">
            <w:pPr>
              <w:spacing w:line="276" w:lineRule="auto"/>
              <w:jc w:val="center"/>
              <w:rPr>
                <w:rFonts w:ascii="Times New Roman" w:hAnsi="Times New Roman"/>
                <w:sz w:val="22"/>
                <w:szCs w:val="22"/>
              </w:rPr>
            </w:pPr>
            <w:r>
              <w:rPr>
                <w:sz w:val="22"/>
                <w:szCs w:val="22"/>
              </w:rPr>
              <w:t>4</w:t>
            </w:r>
          </w:p>
        </w:tc>
        <w:tc>
          <w:tcPr>
            <w:tcW w:w="1049"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34509064" w14:textId="77777777">
            <w:pPr>
              <w:spacing w:line="276" w:lineRule="auto"/>
              <w:jc w:val="center"/>
              <w:rPr>
                <w:rFonts w:ascii="Times New Roman" w:hAnsi="Times New Roman"/>
                <w:sz w:val="22"/>
                <w:szCs w:val="22"/>
              </w:rPr>
            </w:pPr>
            <w:r>
              <w:rPr>
                <w:sz w:val="22"/>
                <w:szCs w:val="22"/>
              </w:rPr>
              <w:t>212</w:t>
            </w:r>
          </w:p>
        </w:tc>
        <w:tc>
          <w:tcPr>
            <w:tcW w:w="1111"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11C01CE1" w14:textId="77777777">
            <w:pPr>
              <w:spacing w:line="276" w:lineRule="auto"/>
              <w:jc w:val="center"/>
              <w:rPr>
                <w:rFonts w:ascii="Times New Roman" w:hAnsi="Times New Roman"/>
                <w:sz w:val="22"/>
                <w:szCs w:val="22"/>
              </w:rPr>
            </w:pPr>
            <w:r>
              <w:rPr>
                <w:sz w:val="22"/>
                <w:szCs w:val="22"/>
              </w:rPr>
              <w:t>$50.62</w:t>
            </w:r>
          </w:p>
        </w:tc>
        <w:tc>
          <w:tcPr>
            <w:tcW w:w="1440"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1220A155" w14:textId="77777777">
            <w:pPr>
              <w:spacing w:line="276" w:lineRule="auto"/>
              <w:jc w:val="center"/>
              <w:rPr>
                <w:rFonts w:ascii="Times New Roman" w:hAnsi="Times New Roman"/>
                <w:sz w:val="22"/>
                <w:szCs w:val="22"/>
              </w:rPr>
            </w:pPr>
            <w:r>
              <w:rPr>
                <w:sz w:val="22"/>
                <w:szCs w:val="22"/>
              </w:rPr>
              <w:t>$10,731.00</w:t>
            </w:r>
          </w:p>
        </w:tc>
      </w:tr>
      <w:tr w:rsidRPr="00E60FB0" w:rsidR="00AC217E" w:rsidTr="00D92DAD" w14:paraId="7FA7E43A" w14:textId="77777777">
        <w:tc>
          <w:tcPr>
            <w:tcW w:w="1841" w:type="dxa"/>
            <w:tcBorders>
              <w:top w:val="single" w:color="auto" w:sz="4" w:space="0"/>
              <w:left w:val="single" w:color="auto" w:sz="4" w:space="0"/>
              <w:bottom w:val="single" w:color="auto" w:sz="4" w:space="0"/>
              <w:right w:val="single" w:color="auto" w:sz="4" w:space="0"/>
            </w:tcBorders>
          </w:tcPr>
          <w:p w:rsidRPr="006D63FC" w:rsidR="008E1B8A" w:rsidP="008E1B8A" w:rsidRDefault="008E1B8A" w14:paraId="2D39B94C" w14:textId="77777777">
            <w:pPr>
              <w:rPr>
                <w:sz w:val="22"/>
                <w:szCs w:val="22"/>
              </w:rPr>
            </w:pPr>
            <w:r w:rsidRPr="006D63FC">
              <w:rPr>
                <w:sz w:val="22"/>
                <w:szCs w:val="22"/>
              </w:rPr>
              <w:t>Quarterly</w:t>
            </w:r>
          </w:p>
          <w:p w:rsidRPr="00E60FB0" w:rsidR="008E1B8A" w:rsidP="008E1B8A" w:rsidRDefault="008E1B8A" w14:paraId="1A86730D" w14:textId="77777777">
            <w:pPr>
              <w:spacing w:line="276" w:lineRule="auto"/>
              <w:rPr>
                <w:rFonts w:ascii="Times New Roman" w:hAnsi="Times New Roman"/>
                <w:sz w:val="22"/>
                <w:szCs w:val="22"/>
              </w:rPr>
            </w:pPr>
            <w:r w:rsidRPr="006D63FC">
              <w:rPr>
                <w:sz w:val="22"/>
                <w:szCs w:val="22"/>
              </w:rPr>
              <w:t>Reports</w:t>
            </w:r>
          </w:p>
        </w:tc>
        <w:tc>
          <w:tcPr>
            <w:tcW w:w="1399"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32F8766A" w14:textId="77777777">
            <w:pPr>
              <w:spacing w:line="276" w:lineRule="auto"/>
              <w:jc w:val="center"/>
              <w:rPr>
                <w:rFonts w:ascii="Times New Roman" w:hAnsi="Times New Roman"/>
                <w:sz w:val="22"/>
                <w:szCs w:val="22"/>
              </w:rPr>
            </w:pPr>
            <w:r w:rsidRPr="0053040D">
              <w:rPr>
                <w:sz w:val="22"/>
                <w:szCs w:val="22"/>
              </w:rPr>
              <w:t>53</w:t>
            </w:r>
          </w:p>
        </w:tc>
        <w:tc>
          <w:tcPr>
            <w:tcW w:w="1077"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AC217E" w14:paraId="00E39F4C" w14:textId="77777777">
            <w:pPr>
              <w:spacing w:line="276" w:lineRule="auto"/>
              <w:jc w:val="center"/>
              <w:rPr>
                <w:rFonts w:ascii="Times New Roman" w:hAnsi="Times New Roman"/>
                <w:sz w:val="22"/>
                <w:szCs w:val="22"/>
              </w:rPr>
            </w:pPr>
            <w:r>
              <w:rPr>
                <w:rFonts w:ascii="Times New Roman" w:hAnsi="Times New Roman"/>
                <w:sz w:val="22"/>
                <w:szCs w:val="22"/>
              </w:rPr>
              <w:t>5</w:t>
            </w:r>
          </w:p>
        </w:tc>
        <w:tc>
          <w:tcPr>
            <w:tcW w:w="1227"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BA4863" w14:paraId="3762D178" w14:textId="77777777">
            <w:pPr>
              <w:spacing w:line="276" w:lineRule="auto"/>
              <w:jc w:val="center"/>
              <w:rPr>
                <w:rFonts w:ascii="Times New Roman" w:hAnsi="Times New Roman"/>
                <w:sz w:val="22"/>
                <w:szCs w:val="22"/>
              </w:rPr>
            </w:pPr>
            <w:r>
              <w:rPr>
                <w:sz w:val="22"/>
                <w:szCs w:val="22"/>
              </w:rPr>
              <w:t>265</w:t>
            </w:r>
          </w:p>
        </w:tc>
        <w:tc>
          <w:tcPr>
            <w:tcW w:w="1026"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650ABE89" w14:textId="77777777">
            <w:pPr>
              <w:spacing w:line="276" w:lineRule="auto"/>
              <w:jc w:val="center"/>
              <w:rPr>
                <w:rFonts w:ascii="Times New Roman" w:hAnsi="Times New Roman"/>
                <w:sz w:val="22"/>
                <w:szCs w:val="22"/>
              </w:rPr>
            </w:pPr>
            <w:r>
              <w:rPr>
                <w:sz w:val="22"/>
                <w:szCs w:val="22"/>
              </w:rPr>
              <w:t>4</w:t>
            </w:r>
          </w:p>
        </w:tc>
        <w:tc>
          <w:tcPr>
            <w:tcW w:w="1049" w:type="dxa"/>
            <w:tcBorders>
              <w:top w:val="single" w:color="auto" w:sz="4" w:space="0"/>
              <w:left w:val="single" w:color="auto" w:sz="4" w:space="0"/>
              <w:bottom w:val="single" w:color="auto" w:sz="4" w:space="0"/>
              <w:right w:val="single" w:color="auto" w:sz="4" w:space="0"/>
            </w:tcBorders>
            <w:vAlign w:val="bottom"/>
          </w:tcPr>
          <w:p w:rsidRPr="00E60FB0" w:rsidR="008E1B8A" w:rsidP="00BA4863" w:rsidRDefault="00BA4863" w14:paraId="683C802F" w14:textId="77777777">
            <w:pPr>
              <w:spacing w:line="276" w:lineRule="auto"/>
              <w:jc w:val="center"/>
              <w:rPr>
                <w:rFonts w:ascii="Times New Roman" w:hAnsi="Times New Roman"/>
                <w:sz w:val="22"/>
                <w:szCs w:val="22"/>
              </w:rPr>
            </w:pPr>
            <w:r>
              <w:rPr>
                <w:sz w:val="22"/>
                <w:szCs w:val="22"/>
              </w:rPr>
              <w:t>1</w:t>
            </w:r>
            <w:r w:rsidR="00D1063C">
              <w:rPr>
                <w:sz w:val="22"/>
                <w:szCs w:val="22"/>
              </w:rPr>
              <w:t>,</w:t>
            </w:r>
            <w:r>
              <w:rPr>
                <w:sz w:val="22"/>
                <w:szCs w:val="22"/>
              </w:rPr>
              <w:t>060</w:t>
            </w:r>
          </w:p>
        </w:tc>
        <w:tc>
          <w:tcPr>
            <w:tcW w:w="1111"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8E1B8A" w14:paraId="740E72EC" w14:textId="77777777">
            <w:pPr>
              <w:spacing w:line="276" w:lineRule="auto"/>
              <w:jc w:val="center"/>
              <w:rPr>
                <w:rFonts w:ascii="Times New Roman" w:hAnsi="Times New Roman"/>
                <w:sz w:val="22"/>
                <w:szCs w:val="22"/>
              </w:rPr>
            </w:pPr>
            <w:r>
              <w:rPr>
                <w:sz w:val="22"/>
                <w:szCs w:val="22"/>
              </w:rPr>
              <w:t>$50.62</w:t>
            </w:r>
          </w:p>
        </w:tc>
        <w:tc>
          <w:tcPr>
            <w:tcW w:w="1440"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BA4863" w14:paraId="695BBE7E" w14:textId="77777777">
            <w:pPr>
              <w:spacing w:line="276" w:lineRule="auto"/>
              <w:jc w:val="center"/>
              <w:rPr>
                <w:rFonts w:ascii="Times New Roman" w:hAnsi="Times New Roman"/>
                <w:sz w:val="22"/>
                <w:szCs w:val="22"/>
              </w:rPr>
            </w:pPr>
            <w:r>
              <w:rPr>
                <w:sz w:val="22"/>
                <w:szCs w:val="22"/>
              </w:rPr>
              <w:t>$53,657.20</w:t>
            </w:r>
          </w:p>
        </w:tc>
      </w:tr>
      <w:tr w:rsidRPr="00E60FB0" w:rsidR="00AC217E" w:rsidTr="00D92DAD" w14:paraId="61F39FC9" w14:textId="77777777">
        <w:tc>
          <w:tcPr>
            <w:tcW w:w="1841" w:type="dxa"/>
            <w:tcBorders>
              <w:top w:val="single" w:color="auto" w:sz="4" w:space="0"/>
              <w:left w:val="single" w:color="auto" w:sz="4" w:space="0"/>
              <w:bottom w:val="single" w:color="auto" w:sz="4" w:space="0"/>
              <w:right w:val="single" w:color="auto" w:sz="4" w:space="0"/>
            </w:tcBorders>
          </w:tcPr>
          <w:p w:rsidRPr="00E60FB0" w:rsidR="008E1B8A" w:rsidP="008E1B8A" w:rsidRDefault="008E1B8A" w14:paraId="66EB79F5" w14:textId="77777777">
            <w:pPr>
              <w:spacing w:line="276" w:lineRule="auto"/>
              <w:rPr>
                <w:rFonts w:ascii="Times New Roman" w:hAnsi="Times New Roman"/>
                <w:sz w:val="22"/>
                <w:szCs w:val="22"/>
              </w:rPr>
            </w:pPr>
            <w:r w:rsidRPr="006D63FC">
              <w:rPr>
                <w:b/>
                <w:i/>
                <w:sz w:val="22"/>
                <w:szCs w:val="22"/>
              </w:rPr>
              <w:t>Unduplicated Totals</w:t>
            </w:r>
          </w:p>
        </w:tc>
        <w:tc>
          <w:tcPr>
            <w:tcW w:w="1399" w:type="dxa"/>
            <w:tcBorders>
              <w:top w:val="single" w:color="auto" w:sz="4" w:space="0"/>
              <w:left w:val="single" w:color="auto" w:sz="4" w:space="0"/>
              <w:bottom w:val="single" w:color="auto" w:sz="4" w:space="0"/>
              <w:right w:val="single" w:color="auto" w:sz="4" w:space="0"/>
            </w:tcBorders>
            <w:vAlign w:val="center"/>
          </w:tcPr>
          <w:p w:rsidRPr="00E60FB0" w:rsidR="008E1B8A" w:rsidP="008E1B8A" w:rsidRDefault="00CB1671" w14:paraId="72B293A1" w14:textId="77777777">
            <w:pPr>
              <w:spacing w:line="276" w:lineRule="auto"/>
              <w:jc w:val="center"/>
              <w:rPr>
                <w:rFonts w:ascii="Times New Roman" w:hAnsi="Times New Roman"/>
                <w:sz w:val="22"/>
                <w:szCs w:val="22"/>
              </w:rPr>
            </w:pPr>
            <w:r>
              <w:rPr>
                <w:rFonts w:ascii="Times New Roman" w:hAnsi="Times New Roman"/>
                <w:sz w:val="22"/>
                <w:szCs w:val="22"/>
              </w:rPr>
              <w:t>53</w:t>
            </w:r>
          </w:p>
        </w:tc>
        <w:tc>
          <w:tcPr>
            <w:tcW w:w="1077" w:type="dxa"/>
            <w:tcBorders>
              <w:top w:val="single" w:color="auto" w:sz="4" w:space="0"/>
              <w:left w:val="single" w:color="auto" w:sz="4" w:space="0"/>
              <w:bottom w:val="single" w:color="auto" w:sz="4" w:space="0"/>
              <w:right w:val="single" w:color="auto" w:sz="4" w:space="0"/>
            </w:tcBorders>
            <w:vAlign w:val="center"/>
          </w:tcPr>
          <w:p w:rsidRPr="00E60FB0" w:rsidR="008E1B8A" w:rsidP="008E1B8A" w:rsidRDefault="006C7B4F" w14:paraId="47D66958" w14:textId="77777777">
            <w:pPr>
              <w:spacing w:line="276" w:lineRule="auto"/>
              <w:jc w:val="center"/>
              <w:rPr>
                <w:rFonts w:ascii="Times New Roman" w:hAnsi="Times New Roman"/>
                <w:sz w:val="22"/>
                <w:szCs w:val="22"/>
              </w:rPr>
            </w:pPr>
            <w:r>
              <w:rPr>
                <w:rFonts w:ascii="Times New Roman" w:hAnsi="Times New Roman"/>
                <w:sz w:val="22"/>
                <w:szCs w:val="22"/>
              </w:rPr>
              <w:t>Varies</w:t>
            </w:r>
          </w:p>
        </w:tc>
        <w:tc>
          <w:tcPr>
            <w:tcW w:w="1227" w:type="dxa"/>
            <w:tcBorders>
              <w:top w:val="single" w:color="auto" w:sz="4" w:space="0"/>
              <w:left w:val="single" w:color="auto" w:sz="4" w:space="0"/>
              <w:bottom w:val="single" w:color="auto" w:sz="4" w:space="0"/>
              <w:right w:val="single" w:color="auto" w:sz="4" w:space="0"/>
            </w:tcBorders>
            <w:vAlign w:val="bottom"/>
          </w:tcPr>
          <w:p w:rsidRPr="00E60FB0" w:rsidR="008E1B8A" w:rsidP="00D1063C" w:rsidRDefault="00BA4863" w14:paraId="07943781" w14:textId="77777777">
            <w:pPr>
              <w:spacing w:line="276" w:lineRule="auto"/>
              <w:jc w:val="center"/>
              <w:rPr>
                <w:rFonts w:ascii="Times New Roman" w:hAnsi="Times New Roman"/>
                <w:sz w:val="22"/>
                <w:szCs w:val="22"/>
              </w:rPr>
            </w:pPr>
            <w:r>
              <w:rPr>
                <w:b/>
                <w:i/>
                <w:sz w:val="22"/>
                <w:szCs w:val="22"/>
              </w:rPr>
              <w:fldChar w:fldCharType="begin"/>
            </w:r>
            <w:r>
              <w:rPr>
                <w:b/>
                <w:i/>
                <w:sz w:val="22"/>
                <w:szCs w:val="22"/>
              </w:rPr>
              <w:instrText xml:space="preserve"> =SUM(ABOVE) </w:instrText>
            </w:r>
            <w:r>
              <w:rPr>
                <w:b/>
                <w:i/>
                <w:sz w:val="22"/>
                <w:szCs w:val="22"/>
              </w:rPr>
              <w:fldChar w:fldCharType="separate"/>
            </w:r>
            <w:r>
              <w:rPr>
                <w:b/>
                <w:i/>
                <w:noProof/>
                <w:sz w:val="22"/>
                <w:szCs w:val="22"/>
              </w:rPr>
              <w:t>1,166</w:t>
            </w:r>
            <w:r>
              <w:rPr>
                <w:b/>
                <w:i/>
                <w:sz w:val="22"/>
                <w:szCs w:val="22"/>
              </w:rPr>
              <w:fldChar w:fldCharType="end"/>
            </w:r>
          </w:p>
        </w:tc>
        <w:tc>
          <w:tcPr>
            <w:tcW w:w="1026" w:type="dxa"/>
            <w:tcBorders>
              <w:top w:val="single" w:color="auto" w:sz="4" w:space="0"/>
              <w:left w:val="single" w:color="auto" w:sz="4" w:space="0"/>
              <w:bottom w:val="single" w:color="auto" w:sz="4" w:space="0"/>
              <w:right w:val="single" w:color="auto" w:sz="4" w:space="0"/>
            </w:tcBorders>
            <w:vAlign w:val="center"/>
          </w:tcPr>
          <w:p w:rsidRPr="00E60FB0" w:rsidR="008E1B8A" w:rsidP="008E1B8A" w:rsidRDefault="006C7B4F" w14:paraId="5C21FDDE" w14:textId="77777777">
            <w:pPr>
              <w:spacing w:line="276" w:lineRule="auto"/>
              <w:jc w:val="center"/>
              <w:rPr>
                <w:rFonts w:ascii="Times New Roman" w:hAnsi="Times New Roman"/>
                <w:sz w:val="22"/>
                <w:szCs w:val="22"/>
              </w:rPr>
            </w:pPr>
            <w:r>
              <w:rPr>
                <w:rFonts w:ascii="Times New Roman" w:hAnsi="Times New Roman"/>
                <w:sz w:val="22"/>
                <w:szCs w:val="22"/>
              </w:rPr>
              <w:t>Varies</w:t>
            </w:r>
          </w:p>
        </w:tc>
        <w:tc>
          <w:tcPr>
            <w:tcW w:w="1049"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BA4863" w14:paraId="1F151BB8" w14:textId="77777777">
            <w:pPr>
              <w:spacing w:line="276" w:lineRule="auto"/>
              <w:jc w:val="center"/>
              <w:rPr>
                <w:rFonts w:ascii="Times New Roman" w:hAnsi="Times New Roman"/>
                <w:sz w:val="22"/>
                <w:szCs w:val="22"/>
              </w:rPr>
            </w:pPr>
            <w:r>
              <w:rPr>
                <w:b/>
                <w:i/>
                <w:sz w:val="22"/>
                <w:szCs w:val="22"/>
              </w:rPr>
              <w:fldChar w:fldCharType="begin"/>
            </w:r>
            <w:r>
              <w:rPr>
                <w:b/>
                <w:i/>
                <w:sz w:val="22"/>
                <w:szCs w:val="22"/>
              </w:rPr>
              <w:instrText xml:space="preserve"> =SUM(ABOVE) </w:instrText>
            </w:r>
            <w:r>
              <w:rPr>
                <w:b/>
                <w:i/>
                <w:sz w:val="22"/>
                <w:szCs w:val="22"/>
              </w:rPr>
              <w:fldChar w:fldCharType="separate"/>
            </w:r>
            <w:r>
              <w:rPr>
                <w:b/>
                <w:i/>
                <w:noProof/>
                <w:sz w:val="22"/>
                <w:szCs w:val="22"/>
              </w:rPr>
              <w:t>3,975</w:t>
            </w:r>
            <w:r>
              <w:rPr>
                <w:b/>
                <w:i/>
                <w:sz w:val="22"/>
                <w:szCs w:val="22"/>
              </w:rPr>
              <w:fldChar w:fldCharType="end"/>
            </w:r>
          </w:p>
        </w:tc>
        <w:tc>
          <w:tcPr>
            <w:tcW w:w="1111" w:type="dxa"/>
            <w:tcBorders>
              <w:top w:val="single" w:color="auto" w:sz="4" w:space="0"/>
              <w:left w:val="single" w:color="auto" w:sz="4" w:space="0"/>
              <w:bottom w:val="single" w:color="auto" w:sz="4" w:space="0"/>
              <w:right w:val="single" w:color="auto" w:sz="4" w:space="0"/>
            </w:tcBorders>
            <w:vAlign w:val="center"/>
          </w:tcPr>
          <w:p w:rsidRPr="00E60FB0" w:rsidR="008E1B8A" w:rsidP="008E1B8A" w:rsidRDefault="008E1B8A" w14:paraId="07D5352B" w14:textId="77777777">
            <w:pPr>
              <w:spacing w:line="276" w:lineRule="auto"/>
              <w:jc w:val="center"/>
              <w:rPr>
                <w:rFonts w:ascii="Times New Roman" w:hAnsi="Times New Roman"/>
                <w:sz w:val="22"/>
                <w:szCs w:val="22"/>
              </w:rPr>
            </w:pPr>
          </w:p>
        </w:tc>
        <w:tc>
          <w:tcPr>
            <w:tcW w:w="1440" w:type="dxa"/>
            <w:tcBorders>
              <w:top w:val="single" w:color="auto" w:sz="4" w:space="0"/>
              <w:left w:val="single" w:color="auto" w:sz="4" w:space="0"/>
              <w:bottom w:val="single" w:color="auto" w:sz="4" w:space="0"/>
              <w:right w:val="single" w:color="auto" w:sz="4" w:space="0"/>
            </w:tcBorders>
            <w:vAlign w:val="bottom"/>
          </w:tcPr>
          <w:p w:rsidRPr="00E60FB0" w:rsidR="008E1B8A" w:rsidP="008E1B8A" w:rsidRDefault="00BA4863" w14:paraId="19656580" w14:textId="77777777">
            <w:pPr>
              <w:spacing w:line="276" w:lineRule="auto"/>
              <w:jc w:val="center"/>
              <w:rPr>
                <w:rFonts w:ascii="Times New Roman" w:hAnsi="Times New Roman"/>
                <w:sz w:val="22"/>
                <w:szCs w:val="22"/>
              </w:rPr>
            </w:pPr>
            <w:r>
              <w:rPr>
                <w:b/>
                <w:i/>
                <w:sz w:val="22"/>
                <w:szCs w:val="22"/>
              </w:rPr>
              <w:fldChar w:fldCharType="begin"/>
            </w:r>
            <w:r>
              <w:rPr>
                <w:b/>
                <w:i/>
                <w:sz w:val="22"/>
                <w:szCs w:val="22"/>
              </w:rPr>
              <w:instrText xml:space="preserve"> =SUM(ABOVE) </w:instrText>
            </w:r>
            <w:r>
              <w:rPr>
                <w:b/>
                <w:i/>
                <w:sz w:val="22"/>
                <w:szCs w:val="22"/>
              </w:rPr>
              <w:fldChar w:fldCharType="separate"/>
            </w:r>
            <w:r>
              <w:rPr>
                <w:b/>
                <w:i/>
                <w:noProof/>
                <w:sz w:val="22"/>
                <w:szCs w:val="22"/>
              </w:rPr>
              <w:t>$201,213.90</w:t>
            </w:r>
            <w:r>
              <w:rPr>
                <w:b/>
                <w:i/>
                <w:sz w:val="22"/>
                <w:szCs w:val="22"/>
              </w:rPr>
              <w:fldChar w:fldCharType="end"/>
            </w:r>
          </w:p>
        </w:tc>
      </w:tr>
    </w:tbl>
    <w:p w:rsidR="004D1C0B" w:rsidP="00E60FB0" w:rsidRDefault="004D1C0B" w14:paraId="5A45DC60" w14:textId="77777777">
      <w:pPr>
        <w:widowControl/>
        <w:autoSpaceDE/>
        <w:autoSpaceDN/>
        <w:adjustRightInd/>
        <w:rPr>
          <w:rFonts w:ascii="Times New Roman" w:hAnsi="Times New Roman"/>
          <w:highlight w:val="yellow"/>
        </w:rPr>
      </w:pPr>
    </w:p>
    <w:p w:rsidRPr="00583C21" w:rsidR="008E1B8A" w:rsidP="008E1B8A" w:rsidRDefault="008E1B8A" w14:paraId="45244077" w14:textId="77777777">
      <w:pPr>
        <w:rPr>
          <w:b/>
          <w:bCs/>
          <w:i/>
          <w:iCs/>
        </w:rPr>
      </w:pPr>
      <w:r w:rsidRPr="00F36498">
        <w:rPr>
          <w:sz w:val="20"/>
          <w:szCs w:val="20"/>
        </w:rPr>
        <w:t xml:space="preserve">*Source: The hourly rate is computed by dividing the FY 2020 national average PS/PB annual salary for state staff as provided for through the distribution of state UI administrative grants </w:t>
      </w:r>
      <w:r w:rsidRPr="00F36498">
        <w:rPr>
          <w:sz w:val="20"/>
          <w:szCs w:val="20"/>
        </w:rPr>
        <w:lastRenderedPageBreak/>
        <w:t>(https://wdr.doleta.gov/directives/attach/UIPL/UIPL_16-19.pdf )</w:t>
      </w:r>
      <w:r>
        <w:rPr>
          <w:sz w:val="20"/>
          <w:szCs w:val="20"/>
        </w:rPr>
        <w:t xml:space="preserve"> </w:t>
      </w:r>
      <w:r w:rsidRPr="00F36498">
        <w:rPr>
          <w:sz w:val="20"/>
          <w:szCs w:val="20"/>
        </w:rPr>
        <w:t>by the average number of hours worked in a year (1,711).  For FY 2020, this calculation is:  $86,609 / 1,711= $50.62.</w:t>
      </w:r>
    </w:p>
    <w:p w:rsidR="008E1B8A" w:rsidP="008E1B8A" w:rsidRDefault="008E1B8A" w14:paraId="1AC9FD29" w14:textId="77777777">
      <w:pPr>
        <w:widowControl/>
      </w:pPr>
    </w:p>
    <w:p w:rsidRPr="00273D81" w:rsidR="008E1B8A" w:rsidP="008E1B8A" w:rsidRDefault="008E1B8A" w14:paraId="5201BEE6" w14:textId="77777777">
      <w:pPr>
        <w:widowControl/>
        <w:rPr>
          <w:rFonts w:ascii="Times New Roman" w:hAnsi="Times New Roman"/>
          <w:b/>
        </w:rPr>
      </w:pPr>
      <w:r w:rsidRPr="00273D81">
        <w:rPr>
          <w:rFonts w:ascii="Times New Roman" w:hAnsi="Times New Roman"/>
        </w:rPr>
        <w:t>Frequency:</w:t>
      </w:r>
      <w:r w:rsidRPr="00273D81">
        <w:rPr>
          <w:rFonts w:ascii="Times New Roman" w:hAnsi="Times New Roman"/>
          <w:b/>
        </w:rPr>
        <w:t xml:space="preserve">  </w:t>
      </w:r>
      <w:r w:rsidRPr="00273D81">
        <w:rPr>
          <w:rFonts w:ascii="Times New Roman" w:hAnsi="Times New Roman"/>
        </w:rPr>
        <w:t>Various</w:t>
      </w:r>
    </w:p>
    <w:p w:rsidRPr="00273D81" w:rsidR="008E1B8A" w:rsidP="008E1B8A" w:rsidRDefault="008E1B8A" w14:paraId="28054F74" w14:textId="77777777">
      <w:pPr>
        <w:widowControl/>
        <w:rPr>
          <w:rFonts w:ascii="Times New Roman" w:hAnsi="Times New Roman"/>
          <w:b/>
        </w:rPr>
      </w:pPr>
    </w:p>
    <w:p w:rsidRPr="00273D81" w:rsidR="008E1B8A" w:rsidP="008E1B8A" w:rsidRDefault="008E1B8A" w14:paraId="6EC5DD12" w14:textId="77777777">
      <w:pPr>
        <w:widowControl/>
        <w:rPr>
          <w:rFonts w:ascii="Times New Roman" w:hAnsi="Times New Roman"/>
        </w:rPr>
      </w:pPr>
      <w:r w:rsidRPr="00273D81">
        <w:rPr>
          <w:rFonts w:ascii="Times New Roman" w:hAnsi="Times New Roman"/>
        </w:rPr>
        <w:t>Total Respondents:  53 State Workforce Agencies</w:t>
      </w:r>
    </w:p>
    <w:p w:rsidRPr="00273D81" w:rsidR="008E1B8A" w:rsidP="008E1B8A" w:rsidRDefault="008E1B8A" w14:paraId="37BEE3C4" w14:textId="77777777">
      <w:pPr>
        <w:widowControl/>
        <w:rPr>
          <w:rFonts w:ascii="Times New Roman" w:hAnsi="Times New Roman"/>
          <w:b/>
        </w:rPr>
      </w:pPr>
    </w:p>
    <w:p w:rsidRPr="00273D81" w:rsidR="008E1B8A" w:rsidP="008E1B8A" w:rsidRDefault="008E1B8A" w14:paraId="3134A328" w14:textId="77777777">
      <w:pPr>
        <w:widowControl/>
        <w:rPr>
          <w:rFonts w:ascii="Times New Roman" w:hAnsi="Times New Roman"/>
        </w:rPr>
      </w:pPr>
      <w:r w:rsidRPr="00273D81">
        <w:rPr>
          <w:rFonts w:ascii="Times New Roman" w:hAnsi="Times New Roman"/>
        </w:rPr>
        <w:t xml:space="preserve">Average Estimated Number of Responses:  </w:t>
      </w:r>
      <w:r w:rsidR="00591252">
        <w:rPr>
          <w:rFonts w:ascii="Times New Roman" w:hAnsi="Times New Roman"/>
        </w:rPr>
        <w:t>1166</w:t>
      </w:r>
      <w:r w:rsidRPr="00273D81" w:rsidR="00591252">
        <w:rPr>
          <w:rFonts w:ascii="Times New Roman" w:hAnsi="Times New Roman"/>
        </w:rPr>
        <w:t xml:space="preserve"> </w:t>
      </w:r>
      <w:r w:rsidRPr="00273D81">
        <w:rPr>
          <w:rFonts w:ascii="Times New Roman" w:hAnsi="Times New Roman"/>
        </w:rPr>
        <w:t xml:space="preserve">per year </w:t>
      </w:r>
    </w:p>
    <w:p w:rsidRPr="00273D81" w:rsidR="008E1B8A" w:rsidP="008E1B8A" w:rsidRDefault="008E1B8A" w14:paraId="4B63FDE9" w14:textId="77777777">
      <w:pPr>
        <w:widowControl/>
        <w:rPr>
          <w:rFonts w:ascii="Times New Roman" w:hAnsi="Times New Roman"/>
        </w:rPr>
      </w:pPr>
    </w:p>
    <w:p w:rsidRPr="00273D81" w:rsidR="008E1B8A" w:rsidP="008E1B8A" w:rsidRDefault="008E1B8A" w14:paraId="5610BF51" w14:textId="77777777">
      <w:pPr>
        <w:widowControl/>
        <w:rPr>
          <w:rFonts w:ascii="Times New Roman" w:hAnsi="Times New Roman"/>
        </w:rPr>
      </w:pPr>
      <w:r w:rsidRPr="00273D81">
        <w:rPr>
          <w:rFonts w:ascii="Times New Roman" w:hAnsi="Times New Roman"/>
        </w:rPr>
        <w:t xml:space="preserve">Average Estimated Number of Burden Hours:  </w:t>
      </w:r>
      <w:r w:rsidR="00591252">
        <w:rPr>
          <w:rFonts w:ascii="Times New Roman" w:hAnsi="Times New Roman"/>
        </w:rPr>
        <w:t>3975</w:t>
      </w:r>
    </w:p>
    <w:p w:rsidRPr="00273D81" w:rsidR="008E1B8A" w:rsidP="008E1B8A" w:rsidRDefault="008E1B8A" w14:paraId="5B8860F0" w14:textId="77777777">
      <w:pPr>
        <w:widowControl/>
        <w:rPr>
          <w:rFonts w:ascii="Times New Roman" w:hAnsi="Times New Roman"/>
          <w:b/>
        </w:rPr>
      </w:pPr>
    </w:p>
    <w:p w:rsidRPr="00273D81" w:rsidR="008E1B8A" w:rsidP="008E1B8A" w:rsidRDefault="008E1B8A" w14:paraId="19FBC137" w14:textId="77777777">
      <w:pPr>
        <w:widowControl/>
        <w:rPr>
          <w:rFonts w:ascii="Times New Roman" w:hAnsi="Times New Roman"/>
        </w:rPr>
      </w:pPr>
      <w:r w:rsidRPr="00273D81">
        <w:rPr>
          <w:rFonts w:ascii="Times New Roman" w:hAnsi="Times New Roman"/>
        </w:rPr>
        <w:t xml:space="preserve">Average Estimated Time per Response:  </w:t>
      </w:r>
      <w:r w:rsidR="00591252">
        <w:rPr>
          <w:rFonts w:ascii="Times New Roman" w:hAnsi="Times New Roman"/>
        </w:rPr>
        <w:t>3975</w:t>
      </w:r>
      <w:r w:rsidRPr="00273D81" w:rsidR="00591252">
        <w:rPr>
          <w:rFonts w:ascii="Times New Roman" w:hAnsi="Times New Roman"/>
        </w:rPr>
        <w:t xml:space="preserve"> </w:t>
      </w:r>
      <w:r w:rsidRPr="00273D81">
        <w:rPr>
          <w:rFonts w:ascii="Times New Roman" w:hAnsi="Times New Roman"/>
        </w:rPr>
        <w:t xml:space="preserve">÷ </w:t>
      </w:r>
      <w:r w:rsidR="00591252">
        <w:rPr>
          <w:rFonts w:ascii="Times New Roman" w:hAnsi="Times New Roman"/>
        </w:rPr>
        <w:t>1166</w:t>
      </w:r>
      <w:r w:rsidRPr="00273D81" w:rsidR="00591252">
        <w:rPr>
          <w:rFonts w:ascii="Times New Roman" w:hAnsi="Times New Roman"/>
        </w:rPr>
        <w:t xml:space="preserve"> </w:t>
      </w:r>
      <w:r w:rsidRPr="00273D81">
        <w:rPr>
          <w:rFonts w:ascii="Times New Roman" w:hAnsi="Times New Roman"/>
        </w:rPr>
        <w:t xml:space="preserve">= </w:t>
      </w:r>
      <w:r w:rsidR="00591252">
        <w:rPr>
          <w:rFonts w:ascii="Times New Roman" w:hAnsi="Times New Roman"/>
        </w:rPr>
        <w:t>3.41</w:t>
      </w:r>
      <w:r w:rsidRPr="00273D81">
        <w:rPr>
          <w:rFonts w:ascii="Times New Roman" w:hAnsi="Times New Roman"/>
        </w:rPr>
        <w:t xml:space="preserve"> hours</w:t>
      </w:r>
    </w:p>
    <w:p w:rsidRPr="00273D81" w:rsidR="008E1B8A" w:rsidP="008E1B8A" w:rsidRDefault="008E1B8A" w14:paraId="6A300F47" w14:textId="77777777">
      <w:pPr>
        <w:widowControl/>
        <w:rPr>
          <w:rFonts w:ascii="Times New Roman" w:hAnsi="Times New Roman"/>
          <w:b/>
        </w:rPr>
      </w:pPr>
    </w:p>
    <w:p w:rsidRPr="00273D81" w:rsidR="008E1B8A" w:rsidP="008E1B8A" w:rsidRDefault="008E1B8A" w14:paraId="50C70EC1" w14:textId="77777777">
      <w:pPr>
        <w:widowControl/>
        <w:rPr>
          <w:rFonts w:ascii="Times New Roman" w:hAnsi="Times New Roman"/>
        </w:rPr>
      </w:pPr>
      <w:r w:rsidRPr="00273D81">
        <w:rPr>
          <w:rFonts w:ascii="Times New Roman" w:hAnsi="Times New Roman"/>
        </w:rPr>
        <w:t xml:space="preserve">Average Estimated Annual Burden </w:t>
      </w:r>
      <w:r w:rsidRPr="00591252">
        <w:rPr>
          <w:rFonts w:ascii="Times New Roman" w:hAnsi="Times New Roman"/>
        </w:rPr>
        <w:t xml:space="preserve">Cost:  </w:t>
      </w:r>
      <w:r w:rsidRPr="00D92DAD" w:rsidR="00591252">
        <w:rPr>
          <w:rFonts w:ascii="Times New Roman" w:hAnsi="Times New Roman"/>
          <w:b/>
          <w:i/>
        </w:rPr>
        <w:fldChar w:fldCharType="begin"/>
      </w:r>
      <w:r w:rsidRPr="00D92DAD" w:rsidR="00591252">
        <w:rPr>
          <w:rFonts w:ascii="Times New Roman" w:hAnsi="Times New Roman"/>
          <w:b/>
          <w:i/>
        </w:rPr>
        <w:instrText xml:space="preserve"> =SUM(ABOVE) </w:instrText>
      </w:r>
      <w:r w:rsidRPr="00D92DAD" w:rsidR="00591252">
        <w:rPr>
          <w:rFonts w:ascii="Times New Roman" w:hAnsi="Times New Roman"/>
          <w:b/>
          <w:i/>
        </w:rPr>
        <w:fldChar w:fldCharType="separate"/>
      </w:r>
      <w:r w:rsidRPr="00D92DAD" w:rsidR="00591252">
        <w:rPr>
          <w:rFonts w:ascii="Times New Roman" w:hAnsi="Times New Roman"/>
          <w:b/>
          <w:i/>
          <w:noProof/>
        </w:rPr>
        <w:t>$201,213.90</w:t>
      </w:r>
      <w:r w:rsidRPr="00D92DAD" w:rsidR="00591252">
        <w:rPr>
          <w:rFonts w:ascii="Times New Roman" w:hAnsi="Times New Roman"/>
          <w:b/>
          <w:i/>
        </w:rPr>
        <w:fldChar w:fldCharType="end"/>
      </w:r>
      <w:r w:rsidRPr="00591252">
        <w:rPr>
          <w:rFonts w:ascii="Times New Roman" w:hAnsi="Times New Roman"/>
        </w:rPr>
        <w:t>.  This</w:t>
      </w:r>
      <w:r w:rsidRPr="00273D81">
        <w:rPr>
          <w:rFonts w:ascii="Times New Roman" w:hAnsi="Times New Roman"/>
        </w:rPr>
        <w:t xml:space="preserve"> estimate is based upon total annual hours of </w:t>
      </w:r>
      <w:r w:rsidR="00591252">
        <w:rPr>
          <w:rFonts w:ascii="Times New Roman" w:hAnsi="Times New Roman"/>
        </w:rPr>
        <w:t>3975</w:t>
      </w:r>
      <w:r w:rsidRPr="00273D81" w:rsidR="00591252">
        <w:rPr>
          <w:rFonts w:ascii="Times New Roman" w:hAnsi="Times New Roman"/>
        </w:rPr>
        <w:t xml:space="preserve"> </w:t>
      </w:r>
      <w:r w:rsidRPr="00273D81">
        <w:rPr>
          <w:rFonts w:ascii="Times New Roman" w:hAnsi="Times New Roman"/>
        </w:rPr>
        <w:t>multiplied by the average hourly rate for state agency personnel of $50.62.</w:t>
      </w:r>
    </w:p>
    <w:p w:rsidRPr="00273D81" w:rsidR="008E1B8A" w:rsidP="008E1B8A" w:rsidRDefault="008E1B8A" w14:paraId="7F8DD488" w14:textId="77777777">
      <w:pPr>
        <w:widowControl/>
        <w:rPr>
          <w:rFonts w:ascii="Times New Roman" w:hAnsi="Times New Roman"/>
        </w:rPr>
      </w:pPr>
      <w:r w:rsidRPr="00273D81">
        <w:rPr>
          <w:rFonts w:ascii="Times New Roman" w:hAnsi="Times New Roman"/>
        </w:rPr>
        <w:t>However, the federal government provides administrative funding to the state UI agencies that covers salaries of state staff, so this does not represent a direct cost to the state.</w:t>
      </w:r>
    </w:p>
    <w:p w:rsidR="008E1B8A" w:rsidP="00E60FB0" w:rsidRDefault="008E1B8A" w14:paraId="7F1F5E1D" w14:textId="77777777">
      <w:pPr>
        <w:widowControl/>
        <w:autoSpaceDE/>
        <w:autoSpaceDN/>
        <w:adjustRightInd/>
        <w:rPr>
          <w:rFonts w:ascii="Times New Roman" w:hAnsi="Times New Roman"/>
          <w:highlight w:val="yellow"/>
        </w:rPr>
      </w:pPr>
    </w:p>
    <w:p w:rsidRPr="00D53DEB" w:rsidR="00CD215D" w:rsidP="00CD215D" w:rsidRDefault="00690F56" w14:paraId="716A705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1B65033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0D3A0D36"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rsidRDefault="009441E2" w14:paraId="07198020"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r w:rsidRPr="006F6E13" w:rsidR="00AB4DC3">
        <w:rPr>
          <w:rFonts w:ascii="Times New Roman" w:hAnsi="Times New Roman"/>
          <w:b/>
        </w:rPr>
        <w:t xml:space="preserve">start </w:t>
      </w:r>
      <w:r w:rsidRPr="006F6E13" w:rsidR="00CD215D">
        <w:rPr>
          <w:rFonts w:ascii="Times New Roman" w:hAnsi="Times New Roman"/>
          <w:b/>
        </w:rPr>
        <w:t xml:space="preserve">up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7855053E"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70B70F8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rsidRDefault="00584F8D" w14:paraId="39DAF55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Pr="006F6E13" w:rsidR="00CD215D" w:rsidP="00584F8D" w:rsidRDefault="00CD215D" w14:paraId="200237D0"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CD215D" w:rsidP="00584F8D" w:rsidRDefault="00CD215D" w14:paraId="1023E50E"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4C17104B"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CD215D" w:rsidP="00CD215D" w:rsidRDefault="00CD215D" w14:paraId="2BD8EEA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14:paraId="3C485B9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Generally, estimates should not include purchases of equipment or services, or portions thereof, made: (1) prior to October 1, 1995, (2) to achieve regulatory </w:t>
      </w:r>
      <w:r w:rsidRPr="00D53DEB">
        <w:rPr>
          <w:rFonts w:ascii="Times New Roman" w:hAnsi="Times New Roman"/>
          <w:b/>
        </w:rPr>
        <w:lastRenderedPageBreak/>
        <w:t>compliance with requirements not associated with the information collection, (3) for reasons other than to provide information or keep records for the government, or (4) as part of customary and usual business or private practices.</w:t>
      </w:r>
    </w:p>
    <w:p w:rsidR="007032F7" w:rsidP="008E1B8A" w:rsidRDefault="007032F7" w14:paraId="43F82A52" w14:textId="77777777">
      <w:pPr>
        <w:rPr>
          <w:rFonts w:ascii="Times New Roman" w:hAnsi="Times New Roman"/>
        </w:rPr>
      </w:pPr>
    </w:p>
    <w:p w:rsidRPr="00273D81" w:rsidR="008E1B8A" w:rsidP="008E1B8A" w:rsidRDefault="008E1B8A" w14:paraId="3EEF021B" w14:textId="138DDA30">
      <w:pPr>
        <w:rPr>
          <w:rFonts w:ascii="Times New Roman" w:hAnsi="Times New Roman"/>
        </w:rPr>
      </w:pPr>
      <w:r w:rsidRPr="00273D81">
        <w:rPr>
          <w:rFonts w:ascii="Times New Roman" w:hAnsi="Times New Roman"/>
        </w:rPr>
        <w:t xml:space="preserve">There are no costs other than those mentioned in item 12. </w:t>
      </w:r>
    </w:p>
    <w:p w:rsidR="00690F56" w:rsidP="00690F56" w:rsidRDefault="00690F56" w14:paraId="7230938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4C97C9E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Pr="00D53DEB" w:rsidR="00690F56" w:rsidP="00690F56" w:rsidRDefault="00690F56" w14:paraId="762A71E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73D81" w:rsidR="003A549B" w:rsidP="003A549B" w:rsidRDefault="003A549B" w14:paraId="556148FE" w14:textId="77777777">
      <w:pPr>
        <w:rPr>
          <w:rFonts w:ascii="Times New Roman" w:hAnsi="Times New Roman"/>
          <w:color w:val="1F497D"/>
        </w:rPr>
      </w:pPr>
      <w:r w:rsidRPr="00273D81">
        <w:rPr>
          <w:rFonts w:ascii="Times New Roman" w:hAnsi="Times New Roman"/>
        </w:rPr>
        <w:t>Although no staff is required to process this report, ETA has budgeted $1,024,744.87 in fiscal year 2020, to operate and maintain the Unemployment Insurance Required Reports system.  Including the subject ICR, this system supports 30 information collections.  For administrative purposes, each information collection is assumed to contribute an equal share of the cost for supporting the entire system; therefore, the cost allocated to this ICR is estimated to be $34,158.16 ($1,024,744.87 system cost/30 information.</w:t>
      </w:r>
    </w:p>
    <w:p w:rsidRPr="00273D81" w:rsidR="003A549B" w:rsidP="003A549B" w:rsidRDefault="003A549B" w14:paraId="103A2599" w14:textId="77777777">
      <w:pPr>
        <w:rPr>
          <w:rFonts w:ascii="Times New Roman" w:hAnsi="Times New Roman"/>
        </w:rPr>
      </w:pPr>
    </w:p>
    <w:p w:rsidRPr="00273D81" w:rsidR="003A549B" w:rsidP="003A549B" w:rsidRDefault="003A549B" w14:paraId="21C11296" w14:textId="77777777">
      <w:pPr>
        <w:rPr>
          <w:rFonts w:ascii="Times New Roman" w:hAnsi="Times New Roman"/>
        </w:rPr>
      </w:pPr>
      <w:r w:rsidRPr="00273D81">
        <w:rPr>
          <w:rFonts w:ascii="Times New Roman" w:hAnsi="Times New Roman"/>
        </w:rPr>
        <w:t xml:space="preserve">The Federal cost of this paperwork burden is estimated at $201,375.  This includes the time for National and Regional office staff to review and process state plans at an hourly rate of $45.24, a merged rate equaling the base rate for a GS 13, step 7 employee.  </w:t>
      </w:r>
      <w:r w:rsidRPr="00273D81">
        <w:rPr>
          <w:rFonts w:ascii="Times New Roman" w:hAnsi="Times New Roman"/>
          <w:i/>
        </w:rPr>
        <w:t>See</w:t>
      </w:r>
      <w:r w:rsidRPr="00273D81">
        <w:rPr>
          <w:rFonts w:ascii="Times New Roman" w:hAnsi="Times New Roman"/>
        </w:rPr>
        <w:t xml:space="preserve"> </w:t>
      </w:r>
      <w:hyperlink w:history="1" r:id="rId11">
        <w:r w:rsidRPr="00273D81">
          <w:rPr>
            <w:rStyle w:val="Hyperlink"/>
            <w:rFonts w:ascii="Times New Roman" w:hAnsi="Times New Roman"/>
          </w:rPr>
          <w:t>2020 OPM GS Salary Table</w:t>
        </w:r>
      </w:hyperlink>
      <w:r w:rsidRPr="00273D81">
        <w:rPr>
          <w:rFonts w:ascii="Times New Roman" w:hAnsi="Times New Roman"/>
        </w:rPr>
        <w:t>.  One National Office staff devotes an estimated 50 percent of the time to SQSP activity.  Approximately seven Regional Office personnel (including supervisory and clerical support) devote an estimated 25 percent of their time to SQSP activity.  The time for SQSP activities includes information collection and subsequent year-round analysis and technical assistance activity.  The estimates of annualized cost to the Federal government are as follows:</w:t>
      </w:r>
    </w:p>
    <w:p w:rsidRPr="00273D81" w:rsidR="003A549B" w:rsidP="003A549B" w:rsidRDefault="003A549B" w14:paraId="06F2BA38" w14:textId="77777777">
      <w:pPr>
        <w:ind w:left="360"/>
        <w:rPr>
          <w:rFonts w:ascii="Times New Roman" w:hAnsi="Times New Roman"/>
        </w:rPr>
      </w:pPr>
    </w:p>
    <w:p w:rsidRPr="00273D81" w:rsidR="003A549B" w:rsidP="003A549B" w:rsidRDefault="003A549B" w14:paraId="28DEB2E3" w14:textId="77777777">
      <w:pPr>
        <w:tabs>
          <w:tab w:val="left" w:pos="-1440"/>
          <w:tab w:val="right" w:pos="6840"/>
        </w:tabs>
        <w:ind w:left="6480" w:hanging="5040"/>
        <w:rPr>
          <w:rFonts w:ascii="Times New Roman" w:hAnsi="Times New Roman"/>
        </w:rPr>
      </w:pPr>
      <w:r w:rsidRPr="00273D81">
        <w:rPr>
          <w:rFonts w:ascii="Times New Roman" w:hAnsi="Times New Roman"/>
        </w:rPr>
        <w:t xml:space="preserve">1—National Office staff </w:t>
      </w:r>
      <w:r w:rsidRPr="00273D81">
        <w:rPr>
          <w:rFonts w:ascii="Times New Roman" w:hAnsi="Times New Roman"/>
        </w:rPr>
        <w:tab/>
        <w:t>$47,210</w:t>
      </w:r>
    </w:p>
    <w:p w:rsidRPr="00273D81" w:rsidR="003A549B" w:rsidP="003A549B" w:rsidRDefault="003A549B" w14:paraId="02817F51" w14:textId="77777777">
      <w:pPr>
        <w:tabs>
          <w:tab w:val="left" w:pos="-1440"/>
          <w:tab w:val="right" w:pos="6840"/>
        </w:tabs>
        <w:ind w:left="6480" w:hanging="5040"/>
        <w:rPr>
          <w:rFonts w:ascii="Times New Roman" w:hAnsi="Times New Roman"/>
        </w:rPr>
      </w:pPr>
      <w:r w:rsidRPr="00273D81">
        <w:rPr>
          <w:rFonts w:ascii="Times New Roman" w:hAnsi="Times New Roman"/>
        </w:rPr>
        <w:t>7—Regional Office staff</w:t>
      </w:r>
      <w:r w:rsidRPr="00273D81">
        <w:rPr>
          <w:rFonts w:ascii="Times New Roman" w:hAnsi="Times New Roman"/>
        </w:rPr>
        <w:tab/>
      </w:r>
      <w:r w:rsidRPr="00273D81">
        <w:rPr>
          <w:rFonts w:ascii="Times New Roman" w:hAnsi="Times New Roman"/>
          <w:u w:val="single"/>
        </w:rPr>
        <w:t>$165,234</w:t>
      </w:r>
    </w:p>
    <w:p w:rsidRPr="00273D81" w:rsidR="003A549B" w:rsidP="003A549B" w:rsidRDefault="003A549B" w14:paraId="3CFDF987" w14:textId="77777777">
      <w:pPr>
        <w:tabs>
          <w:tab w:val="left" w:pos="6480"/>
          <w:tab w:val="right" w:pos="6840"/>
        </w:tabs>
        <w:ind w:left="3420" w:hanging="3600"/>
        <w:rPr>
          <w:rFonts w:ascii="Times New Roman" w:hAnsi="Times New Roman"/>
        </w:rPr>
      </w:pPr>
      <w:r w:rsidRPr="00273D81">
        <w:rPr>
          <w:rFonts w:ascii="Times New Roman" w:hAnsi="Times New Roman"/>
        </w:rPr>
        <w:tab/>
        <w:t>Total</w:t>
      </w:r>
      <w:r w:rsidRPr="00273D81">
        <w:rPr>
          <w:rFonts w:ascii="Times New Roman" w:hAnsi="Times New Roman"/>
        </w:rPr>
        <w:tab/>
        <w:t>$212,444</w:t>
      </w:r>
    </w:p>
    <w:p w:rsidR="00690F56" w:rsidP="00690F56" w:rsidRDefault="00690F56" w14:paraId="765A853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71CA6" w:rsidR="003A549B" w:rsidP="00690F56" w:rsidRDefault="003A549B" w14:paraId="09B653C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690F56" w14:paraId="32B97C7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690F56" w:rsidP="00690F56" w:rsidRDefault="00690F56" w14:paraId="10E8ECC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A549B" w:rsidR="003A549B" w:rsidP="003A549B" w:rsidRDefault="003A549B" w14:paraId="52CF3D78" w14:textId="77777777">
      <w:pPr>
        <w:ind w:left="360"/>
        <w:rPr>
          <w:rFonts w:ascii="Times New Roman" w:hAnsi="Times New Roman"/>
        </w:rPr>
      </w:pPr>
      <w:r w:rsidRPr="00C86133">
        <w:rPr>
          <w:rFonts w:ascii="Times New Roman" w:hAnsi="Times New Roman"/>
        </w:rPr>
        <w:t xml:space="preserve">The current burden for the SQSP submittal for 53 SWAs is </w:t>
      </w:r>
      <w:r w:rsidRPr="00C86133" w:rsidR="00591252">
        <w:rPr>
          <w:rFonts w:ascii="Times New Roman" w:hAnsi="Times New Roman"/>
        </w:rPr>
        <w:t xml:space="preserve">1166 </w:t>
      </w:r>
      <w:r w:rsidRPr="00C86133">
        <w:rPr>
          <w:rFonts w:ascii="Times New Roman" w:hAnsi="Times New Roman"/>
        </w:rPr>
        <w:t xml:space="preserve">total annual responses and </w:t>
      </w:r>
      <w:r w:rsidRPr="00C86133" w:rsidR="00591252">
        <w:rPr>
          <w:rFonts w:ascii="Times New Roman" w:hAnsi="Times New Roman"/>
        </w:rPr>
        <w:t xml:space="preserve">3975 </w:t>
      </w:r>
      <w:r w:rsidRPr="00C86133">
        <w:rPr>
          <w:rFonts w:ascii="Times New Roman" w:hAnsi="Times New Roman"/>
        </w:rPr>
        <w:t xml:space="preserve">total annual burden hours.  </w:t>
      </w:r>
      <w:r w:rsidRPr="00D92DAD" w:rsidR="00C86133">
        <w:rPr>
          <w:rFonts w:ascii="Times New Roman" w:hAnsi="Times New Roman"/>
        </w:rPr>
        <w:t xml:space="preserve">This reflects an increase in burden from the previously approved 773 total annual responses and 3,304 total annual burden hours.  This change is due to </w:t>
      </w:r>
      <w:r w:rsidRPr="003A549B">
        <w:rPr>
          <w:rFonts w:ascii="Times New Roman" w:hAnsi="Times New Roman"/>
        </w:rPr>
        <w:t>the following:</w:t>
      </w:r>
    </w:p>
    <w:p w:rsidRPr="003A549B" w:rsidR="003A549B" w:rsidP="003A549B" w:rsidRDefault="003A549B" w14:paraId="7375F583" w14:textId="77777777">
      <w:pPr>
        <w:widowControl/>
        <w:autoSpaceDE/>
        <w:autoSpaceDN/>
        <w:adjustRightInd/>
        <w:spacing w:line="276" w:lineRule="auto"/>
        <w:rPr>
          <w:rFonts w:ascii="Times New Roman" w:hAnsi="Times New Roman"/>
        </w:rPr>
      </w:pPr>
    </w:p>
    <w:p w:rsidRPr="003A549B" w:rsidR="003A549B" w:rsidP="003A549B" w:rsidRDefault="003A549B" w14:paraId="0F58A964" w14:textId="77777777">
      <w:pPr>
        <w:widowControl/>
        <w:numPr>
          <w:ilvl w:val="0"/>
          <w:numId w:val="14"/>
        </w:numPr>
        <w:autoSpaceDE/>
        <w:autoSpaceDN/>
        <w:adjustRightInd/>
        <w:rPr>
          <w:rFonts w:ascii="Times New Roman" w:hAnsi="Times New Roman"/>
        </w:rPr>
      </w:pPr>
      <w:r w:rsidRPr="003A549B">
        <w:rPr>
          <w:rFonts w:ascii="Times New Roman" w:hAnsi="Times New Roman"/>
        </w:rPr>
        <w:t xml:space="preserve">Each SWA is required to submit 1 CAP for each deficiency.  Based on FY </w:t>
      </w:r>
      <w:r w:rsidRPr="003A549B" w:rsidR="00C86133">
        <w:rPr>
          <w:rFonts w:ascii="Times New Roman" w:hAnsi="Times New Roman"/>
        </w:rPr>
        <w:t>20</w:t>
      </w:r>
      <w:r w:rsidR="00AD7E5A">
        <w:rPr>
          <w:rFonts w:ascii="Times New Roman" w:hAnsi="Times New Roman"/>
        </w:rPr>
        <w:t>20</w:t>
      </w:r>
      <w:r w:rsidRPr="003A549B">
        <w:rPr>
          <w:rFonts w:ascii="Times New Roman" w:hAnsi="Times New Roman"/>
        </w:rPr>
        <w:t xml:space="preserve">, a total of </w:t>
      </w:r>
      <w:r w:rsidR="00C86133">
        <w:rPr>
          <w:rFonts w:ascii="Times New Roman" w:hAnsi="Times New Roman"/>
        </w:rPr>
        <w:t>477</w:t>
      </w:r>
      <w:r w:rsidRPr="003A549B" w:rsidR="00C86133">
        <w:rPr>
          <w:rFonts w:ascii="Times New Roman" w:hAnsi="Times New Roman"/>
        </w:rPr>
        <w:t xml:space="preserve"> </w:t>
      </w:r>
      <w:r w:rsidRPr="003A549B">
        <w:rPr>
          <w:rFonts w:ascii="Times New Roman" w:hAnsi="Times New Roman"/>
        </w:rPr>
        <w:t xml:space="preserve">CAPs were submitted from SWAs.  This is an increase of </w:t>
      </w:r>
      <w:r w:rsidR="009B02D5">
        <w:rPr>
          <w:rFonts w:ascii="Times New Roman" w:hAnsi="Times New Roman"/>
        </w:rPr>
        <w:t>45</w:t>
      </w:r>
      <w:r w:rsidRPr="003A549B" w:rsidR="009B02D5">
        <w:rPr>
          <w:rFonts w:ascii="Times New Roman" w:hAnsi="Times New Roman"/>
        </w:rPr>
        <w:t xml:space="preserve"> </w:t>
      </w:r>
      <w:r w:rsidRPr="003A549B">
        <w:rPr>
          <w:rFonts w:ascii="Times New Roman" w:hAnsi="Times New Roman"/>
        </w:rPr>
        <w:t>CAPs</w:t>
      </w:r>
    </w:p>
    <w:p w:rsidRPr="003A549B" w:rsidR="003A549B" w:rsidP="003A549B" w:rsidRDefault="003A549B" w14:paraId="57670C1C" w14:textId="77777777">
      <w:pPr>
        <w:widowControl/>
        <w:autoSpaceDE/>
        <w:autoSpaceDN/>
        <w:adjustRightInd/>
        <w:ind w:left="1440"/>
        <w:rPr>
          <w:rFonts w:ascii="Times New Roman" w:hAnsi="Times New Roman"/>
        </w:rPr>
      </w:pPr>
      <w:r w:rsidRPr="003A549B">
        <w:rPr>
          <w:rFonts w:ascii="Times New Roman" w:hAnsi="Times New Roman"/>
        </w:rPr>
        <w:t xml:space="preserve"> </w:t>
      </w:r>
    </w:p>
    <w:p w:rsidRPr="00B43631" w:rsidR="003A549B" w:rsidP="00D46A41" w:rsidRDefault="003A549B" w14:paraId="27488383" w14:textId="69F8E7EE">
      <w:pPr>
        <w:widowControl/>
        <w:numPr>
          <w:ilvl w:val="0"/>
          <w:numId w:val="14"/>
        </w:numPr>
        <w:autoSpaceDE/>
        <w:autoSpaceDN/>
        <w:adjustRightInd/>
        <w:rPr>
          <w:rFonts w:ascii="Times New Roman" w:hAnsi="Times New Roman"/>
        </w:rPr>
      </w:pPr>
      <w:r w:rsidRPr="003A549B">
        <w:rPr>
          <w:rFonts w:ascii="Times New Roman" w:hAnsi="Times New Roman"/>
        </w:rPr>
        <w:t xml:space="preserve">Within the Biennial SQSP planning cycle, CAPs are developed with a 24-month window.  Previously, states switched between the Biennial and Alternate Year </w:t>
      </w:r>
      <w:r w:rsidRPr="003A549B">
        <w:rPr>
          <w:rFonts w:ascii="Times New Roman" w:hAnsi="Times New Roman"/>
        </w:rPr>
        <w:lastRenderedPageBreak/>
        <w:t>SQSP each year, but on alternating schedules.  With th</w:t>
      </w:r>
      <w:r w:rsidR="009B02D5">
        <w:rPr>
          <w:rFonts w:ascii="Times New Roman" w:hAnsi="Times New Roman"/>
        </w:rPr>
        <w:t>at</w:t>
      </w:r>
      <w:r w:rsidRPr="003A549B">
        <w:rPr>
          <w:rFonts w:ascii="Times New Roman" w:hAnsi="Times New Roman"/>
        </w:rPr>
        <w:t xml:space="preserve"> schedule, only half of the states (27) submitted the Biennial SQSP each year and half the total CAPs (216) were submitted.  Beginning with the FY 2021 SQSP, all states </w:t>
      </w:r>
      <w:r w:rsidR="009B02D5">
        <w:rPr>
          <w:rFonts w:ascii="Times New Roman" w:hAnsi="Times New Roman"/>
        </w:rPr>
        <w:t>are</w:t>
      </w:r>
      <w:r w:rsidRPr="003A549B">
        <w:rPr>
          <w:rFonts w:ascii="Times New Roman" w:hAnsi="Times New Roman"/>
        </w:rPr>
        <w:t xml:space="preserve"> on the same schedule.  Therefore, every other year, all 53 SWAs must submit the Biennial SQSPs with all CAPs (4</w:t>
      </w:r>
      <w:r w:rsidR="009B02D5">
        <w:rPr>
          <w:rFonts w:ascii="Times New Roman" w:hAnsi="Times New Roman"/>
        </w:rPr>
        <w:t>77</w:t>
      </w:r>
      <w:r w:rsidRPr="003A549B">
        <w:rPr>
          <w:rFonts w:ascii="Times New Roman" w:hAnsi="Times New Roman"/>
        </w:rPr>
        <w:t xml:space="preserve">).  In short, the burden reflects hours for all </w:t>
      </w:r>
      <w:r w:rsidRPr="00B43631">
        <w:rPr>
          <w:rFonts w:ascii="Times New Roman" w:hAnsi="Times New Roman"/>
        </w:rPr>
        <w:t>CAPs for all 53 SWAs.  The schedule change was approved with a non-substantive change request to OMB</w:t>
      </w:r>
      <w:r w:rsidR="00D46A41">
        <w:rPr>
          <w:rFonts w:ascii="Times New Roman" w:hAnsi="Times New Roman"/>
        </w:rPr>
        <w:t xml:space="preserve"> (See ICR Ref. No. - 201911-1205-002).</w:t>
      </w:r>
    </w:p>
    <w:p w:rsidRPr="00B43631" w:rsidR="003A549B" w:rsidP="003A549B" w:rsidRDefault="003A549B" w14:paraId="23E9FD4D" w14:textId="77777777">
      <w:pPr>
        <w:widowControl/>
        <w:autoSpaceDE/>
        <w:autoSpaceDN/>
        <w:adjustRightInd/>
        <w:spacing w:line="276" w:lineRule="auto"/>
        <w:rPr>
          <w:rFonts w:ascii="Times New Roman" w:hAnsi="Times New Roman"/>
        </w:rPr>
      </w:pPr>
    </w:p>
    <w:p w:rsidRPr="00B43631" w:rsidR="00B43631" w:rsidP="00B43631" w:rsidRDefault="00B43631" w14:paraId="62A73C1A" w14:textId="77777777">
      <w:pPr>
        <w:pStyle w:val="ListParagraph"/>
        <w:numPr>
          <w:ilvl w:val="0"/>
          <w:numId w:val="14"/>
        </w:numPr>
        <w:rPr>
          <w:rFonts w:ascii="Times New Roman" w:hAnsi="Times New Roman"/>
        </w:rPr>
      </w:pPr>
      <w:r w:rsidRPr="00B43631">
        <w:rPr>
          <w:rFonts w:ascii="Times New Roman" w:hAnsi="Times New Roman"/>
        </w:rPr>
        <w:t xml:space="preserve">The UI Program Integrity Action Plan (IAP) must discuss the root causes of improper payments and present the state’s strategies to address these causes.  The IAP has been revised to include additional strategies for UI National Priorities, CARES Act, and High Dollar Overpayments.  </w:t>
      </w:r>
    </w:p>
    <w:p w:rsidRPr="00B43631" w:rsidR="00B43631" w:rsidP="00B43631" w:rsidRDefault="00B43631" w14:paraId="44B99613" w14:textId="77777777">
      <w:pPr>
        <w:pStyle w:val="ListParagraph"/>
        <w:rPr>
          <w:rFonts w:ascii="Times New Roman" w:hAnsi="Times New Roman"/>
        </w:rPr>
      </w:pPr>
    </w:p>
    <w:p w:rsidR="003A549B" w:rsidP="003A549B" w:rsidRDefault="003A549B" w14:paraId="1EBF2E92" w14:textId="77777777">
      <w:pPr>
        <w:widowControl/>
        <w:numPr>
          <w:ilvl w:val="0"/>
          <w:numId w:val="14"/>
        </w:numPr>
        <w:autoSpaceDE/>
        <w:autoSpaceDN/>
        <w:adjustRightInd/>
        <w:rPr>
          <w:rFonts w:ascii="Times New Roman" w:hAnsi="Times New Roman"/>
        </w:rPr>
      </w:pPr>
      <w:r w:rsidRPr="003A549B">
        <w:rPr>
          <w:rFonts w:ascii="Times New Roman" w:hAnsi="Times New Roman"/>
        </w:rPr>
        <w:t>The quarterly reporting burden is an estimated average based on the time it takes to prepare a milestone updates required for a particular quarter for a particular CAP.  Not all milestone require updates every quarter.  Therefore, the burden is reduced from 8 to 4 hours.   Also, quarterly reporting is now based on total CAPs (</w:t>
      </w:r>
      <w:r w:rsidRPr="003A549B" w:rsidR="009B02D5">
        <w:rPr>
          <w:rFonts w:ascii="Times New Roman" w:hAnsi="Times New Roman"/>
        </w:rPr>
        <w:t>4</w:t>
      </w:r>
      <w:r w:rsidR="009B02D5">
        <w:rPr>
          <w:rFonts w:ascii="Times New Roman" w:hAnsi="Times New Roman"/>
        </w:rPr>
        <w:t>77</w:t>
      </w:r>
      <w:r w:rsidRPr="003A549B">
        <w:rPr>
          <w:rFonts w:ascii="Times New Roman" w:hAnsi="Times New Roman"/>
        </w:rPr>
        <w:t>).</w:t>
      </w:r>
      <w:r w:rsidR="008238EA">
        <w:rPr>
          <w:rFonts w:ascii="Times New Roman" w:hAnsi="Times New Roman"/>
        </w:rPr>
        <w:t xml:space="preserve">  </w:t>
      </w:r>
    </w:p>
    <w:p w:rsidR="004005CA" w:rsidP="004005CA" w:rsidRDefault="004005CA" w14:paraId="276A5E73" w14:textId="77777777">
      <w:pPr>
        <w:pStyle w:val="ListParagraph"/>
        <w:rPr>
          <w:rFonts w:ascii="Times New Roman" w:hAnsi="Times New Roman"/>
        </w:rPr>
      </w:pPr>
    </w:p>
    <w:p w:rsidR="004005CA" w:rsidP="004005CA" w:rsidRDefault="004005CA" w14:paraId="36B6193A" w14:textId="77777777">
      <w:pPr>
        <w:widowControl/>
        <w:autoSpaceDE/>
        <w:autoSpaceDN/>
        <w:adjustRightInd/>
        <w:ind w:left="1440"/>
        <w:rPr>
          <w:rFonts w:ascii="Times New Roman" w:hAnsi="Times New Roman"/>
        </w:rPr>
      </w:pPr>
      <w:r>
        <w:rPr>
          <w:rFonts w:ascii="Times New Roman" w:hAnsi="Times New Roman"/>
        </w:rPr>
        <w:t>Additionally, states will provide mid-year updates to the UI Integrity Action Plan.</w:t>
      </w:r>
    </w:p>
    <w:p w:rsidR="00113BA4" w:rsidP="004005CA" w:rsidRDefault="00113BA4" w14:paraId="02F2896F" w14:textId="77777777">
      <w:pPr>
        <w:widowControl/>
        <w:autoSpaceDE/>
        <w:autoSpaceDN/>
        <w:adjustRightInd/>
        <w:ind w:left="1440"/>
        <w:rPr>
          <w:rFonts w:ascii="Times New Roman" w:hAnsi="Times New Roman"/>
        </w:rPr>
      </w:pPr>
    </w:p>
    <w:p w:rsidR="00113BA4" w:rsidP="003A549B" w:rsidRDefault="00113BA4" w14:paraId="2D8F261E" w14:textId="72EA30C1">
      <w:pPr>
        <w:widowControl/>
        <w:numPr>
          <w:ilvl w:val="0"/>
          <w:numId w:val="14"/>
        </w:numPr>
        <w:autoSpaceDE/>
        <w:autoSpaceDN/>
        <w:adjustRightInd/>
        <w:rPr>
          <w:rFonts w:ascii="Times New Roman" w:hAnsi="Times New Roman"/>
        </w:rPr>
      </w:pPr>
      <w:r>
        <w:rPr>
          <w:rFonts w:ascii="Times New Roman" w:hAnsi="Times New Roman"/>
        </w:rPr>
        <w:t>The CAP and Quarterly Reporting Workbook was revised t</w:t>
      </w:r>
      <w:r w:rsidR="00C87C08">
        <w:rPr>
          <w:rFonts w:ascii="Times New Roman" w:hAnsi="Times New Roman"/>
        </w:rPr>
        <w:t xml:space="preserve">o include </w:t>
      </w:r>
      <w:r>
        <w:rPr>
          <w:rFonts w:ascii="Times New Roman" w:hAnsi="Times New Roman"/>
        </w:rPr>
        <w:t>separate tabs for the Biennial IAP and Alternate Year IAP.</w:t>
      </w:r>
    </w:p>
    <w:p w:rsidR="00113BA4" w:rsidP="00113BA4" w:rsidRDefault="00113BA4" w14:paraId="67B6089E" w14:textId="77777777">
      <w:pPr>
        <w:widowControl/>
        <w:autoSpaceDE/>
        <w:autoSpaceDN/>
        <w:adjustRightInd/>
        <w:ind w:left="1440"/>
        <w:rPr>
          <w:rFonts w:ascii="Times New Roman" w:hAnsi="Times New Roman"/>
        </w:rPr>
      </w:pPr>
    </w:p>
    <w:p w:rsidR="004005CA" w:rsidP="003A549B" w:rsidRDefault="004005CA" w14:paraId="4D757D53" w14:textId="77777777">
      <w:pPr>
        <w:widowControl/>
        <w:numPr>
          <w:ilvl w:val="0"/>
          <w:numId w:val="14"/>
        </w:numPr>
        <w:autoSpaceDE/>
        <w:autoSpaceDN/>
        <w:adjustRightInd/>
        <w:rPr>
          <w:rFonts w:ascii="Times New Roman" w:hAnsi="Times New Roman"/>
        </w:rPr>
      </w:pPr>
      <w:r>
        <w:rPr>
          <w:rFonts w:ascii="Times New Roman" w:hAnsi="Times New Roman"/>
        </w:rPr>
        <w:t>ET Handbook No. 336 has been revised to include:</w:t>
      </w:r>
    </w:p>
    <w:p w:rsidR="004005CA" w:rsidP="004005CA" w:rsidRDefault="004005CA" w14:paraId="2F55B085" w14:textId="77777777">
      <w:pPr>
        <w:pStyle w:val="ListParagraph"/>
        <w:rPr>
          <w:rFonts w:ascii="Times New Roman" w:hAnsi="Times New Roman"/>
        </w:rPr>
      </w:pPr>
    </w:p>
    <w:p w:rsidR="004005CA" w:rsidP="004005CA" w:rsidRDefault="004005CA" w14:paraId="0561B038" w14:textId="77777777">
      <w:pPr>
        <w:pStyle w:val="ListParagraph"/>
        <w:widowControl/>
        <w:numPr>
          <w:ilvl w:val="0"/>
          <w:numId w:val="13"/>
        </w:numPr>
        <w:tabs>
          <w:tab w:val="left" w:pos="1800"/>
        </w:tabs>
        <w:autoSpaceDE/>
        <w:autoSpaceDN/>
        <w:adjustRightInd/>
        <w:ind w:left="1800" w:hanging="270"/>
        <w:rPr>
          <w:rFonts w:ascii="Times New Roman" w:hAnsi="Times New Roman"/>
        </w:rPr>
      </w:pPr>
      <w:r>
        <w:rPr>
          <w:rFonts w:ascii="Times New Roman" w:hAnsi="Times New Roman"/>
        </w:rPr>
        <w:t>The Assurance of Disaster Unemployment Assistance.  No additional burden needed to be included for this Assurance.</w:t>
      </w:r>
    </w:p>
    <w:p w:rsidRPr="004005CA" w:rsidR="004005CA" w:rsidP="004005CA" w:rsidRDefault="004005CA" w14:paraId="0FB1F5EA" w14:textId="77777777">
      <w:pPr>
        <w:pStyle w:val="ListParagraph"/>
        <w:widowControl/>
        <w:numPr>
          <w:ilvl w:val="0"/>
          <w:numId w:val="13"/>
        </w:numPr>
        <w:tabs>
          <w:tab w:val="left" w:pos="1800"/>
        </w:tabs>
        <w:autoSpaceDE/>
        <w:autoSpaceDN/>
        <w:adjustRightInd/>
        <w:ind w:left="1800" w:hanging="270"/>
        <w:rPr>
          <w:rFonts w:ascii="Times New Roman" w:hAnsi="Times New Roman"/>
        </w:rPr>
      </w:pPr>
      <w:r>
        <w:rPr>
          <w:rFonts w:ascii="Times New Roman" w:hAnsi="Times New Roman"/>
        </w:rPr>
        <w:t>Formatting changes to improve the flow of information.  No change in burden.</w:t>
      </w:r>
    </w:p>
    <w:p w:rsidR="00114BD3" w:rsidP="00D92DAD" w:rsidRDefault="00114BD3" w14:paraId="3933D3DF" w14:textId="77777777">
      <w:pPr>
        <w:pStyle w:val="ListParagraph"/>
        <w:rPr>
          <w:rFonts w:ascii="Times New Roman" w:hAnsi="Times New Roman"/>
        </w:rPr>
      </w:pPr>
    </w:p>
    <w:p w:rsidR="004005CA" w:rsidP="00D92DAD" w:rsidRDefault="004005CA" w14:paraId="1453DEE4" w14:textId="77777777">
      <w:pPr>
        <w:widowControl/>
        <w:autoSpaceDE/>
        <w:autoSpaceDN/>
        <w:adjustRightInd/>
        <w:ind w:left="1440"/>
        <w:rPr>
          <w:rFonts w:ascii="Times New Roman" w:hAnsi="Times New Roman"/>
        </w:rPr>
      </w:pPr>
    </w:p>
    <w:p w:rsidRPr="004005CA" w:rsidR="004005CA" w:rsidP="004005CA" w:rsidRDefault="004005CA" w14:paraId="709A923D" w14:textId="77777777">
      <w:pPr>
        <w:pStyle w:val="ListParagraph"/>
        <w:widowControl/>
        <w:autoSpaceDE/>
        <w:autoSpaceDN/>
        <w:adjustRightInd/>
        <w:ind w:left="2160"/>
        <w:rPr>
          <w:rFonts w:ascii="Times New Roman" w:hAnsi="Times New Roman"/>
        </w:rPr>
      </w:pPr>
    </w:p>
    <w:p w:rsidR="003A549B" w:rsidP="00690F56" w:rsidRDefault="003A549B" w14:paraId="74E91DF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4518C" w:rsidR="00D92DAD" w:rsidP="00690F56" w:rsidRDefault="00D92DAD" w14:paraId="2E2EF3C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A4B06E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Pr="00A47DA7" w:rsidR="00690F56" w:rsidP="00690F56" w:rsidRDefault="00690F56" w14:paraId="0B550EE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73D81" w:rsidR="003A549B" w:rsidP="003A549B" w:rsidRDefault="003A549B" w14:paraId="5928BFB4" w14:textId="77777777">
      <w:pPr>
        <w:rPr>
          <w:rFonts w:ascii="Times New Roman" w:hAnsi="Times New Roman"/>
        </w:rPr>
      </w:pPr>
      <w:r w:rsidRPr="00273D81">
        <w:rPr>
          <w:rFonts w:ascii="Times New Roman" w:hAnsi="Times New Roman"/>
        </w:rPr>
        <w:t xml:space="preserve">There are no plans for publishing this information. </w:t>
      </w:r>
    </w:p>
    <w:p w:rsidR="00690F56" w:rsidP="00690F56" w:rsidRDefault="00690F56" w14:paraId="0B4F40C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71CA6" w:rsidR="003A549B" w:rsidP="00690F56" w:rsidRDefault="003A549B" w14:paraId="7A7594D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0BDD02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00690F56" w:rsidP="00690F56" w:rsidRDefault="00690F56" w14:paraId="38C08F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273D81" w:rsidR="003A549B" w:rsidP="003A549B" w:rsidRDefault="003A549B" w14:paraId="4E4DB0A3" w14:textId="77777777">
      <w:pPr>
        <w:rPr>
          <w:rFonts w:ascii="Times New Roman" w:hAnsi="Times New Roman"/>
        </w:rPr>
      </w:pPr>
      <w:r w:rsidRPr="00273D81">
        <w:rPr>
          <w:rFonts w:ascii="Times New Roman" w:hAnsi="Times New Roman"/>
        </w:rPr>
        <w:lastRenderedPageBreak/>
        <w:t>ETA displays the OMB expiration date.</w:t>
      </w:r>
    </w:p>
    <w:p w:rsidRPr="00A47DA7" w:rsidR="003A549B" w:rsidP="00690F56" w:rsidRDefault="003A549B" w14:paraId="157E2B3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rsidRDefault="000C3A92" w14:paraId="244CBA3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273D81" w:rsidP="00273D81" w:rsidRDefault="00273D81" w14:paraId="2E8FC225" w14:textId="77777777">
      <w:pPr>
        <w:ind w:left="90"/>
        <w:rPr>
          <w:rFonts w:ascii="Times New Roman" w:hAnsi="Times New Roman"/>
          <w:b/>
        </w:rPr>
      </w:pPr>
    </w:p>
    <w:p w:rsidRPr="00273D81" w:rsidR="003A549B" w:rsidP="00273D81" w:rsidRDefault="003A549B" w14:paraId="5C17BED6" w14:textId="77777777">
      <w:pPr>
        <w:ind w:left="90"/>
        <w:rPr>
          <w:rFonts w:ascii="Times New Roman" w:hAnsi="Times New Roman"/>
        </w:rPr>
      </w:pPr>
      <w:r w:rsidRPr="00273D81">
        <w:rPr>
          <w:rFonts w:ascii="Times New Roman" w:hAnsi="Times New Roman"/>
        </w:rPr>
        <w:t xml:space="preserve">There are no exceptions.   </w:t>
      </w:r>
    </w:p>
    <w:p w:rsidRPr="00273D81" w:rsidR="003A549B" w:rsidP="00690F56" w:rsidRDefault="003A549B" w14:paraId="1600F6D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Pr="00A47DA7" w:rsidR="000C3A92" w:rsidP="000C3A92" w:rsidRDefault="000C3A92" w14:paraId="3E09E9C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871CA6" w:rsidR="00690F56" w:rsidP="00690F56" w:rsidRDefault="00690F56" w14:paraId="1D59303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7A7F79" w:rsidP="007A7F79" w:rsidRDefault="007A7F79" w14:paraId="019B49B5"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Pr="00D53DEB" w:rsidR="00332F98" w:rsidRDefault="00332F98" w14:paraId="3D67602C" w14:textId="77777777">
      <w:pPr>
        <w:rPr>
          <w:rFonts w:ascii="Times New Roman" w:hAnsi="Times New Roman"/>
        </w:rPr>
      </w:pPr>
    </w:p>
    <w:sectPr w:rsidRPr="00D53DEB" w:rsidR="00332F98" w:rsidSect="00C07F7F">
      <w:headerReference w:type="default" r:id="rId12"/>
      <w:footerReference w:type="even" r:id="rId13"/>
      <w:footerReference w:type="default" r:id="rId14"/>
      <w:headerReference w:type="first" r:id="rId15"/>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4047BA" w14:textId="77777777" w:rsidR="007601D4" w:rsidRDefault="007601D4">
      <w:r>
        <w:separator/>
      </w:r>
    </w:p>
  </w:endnote>
  <w:endnote w:type="continuationSeparator" w:id="0">
    <w:p w14:paraId="3C7CEA91" w14:textId="77777777" w:rsidR="007601D4" w:rsidRDefault="00760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A970FF"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5360C6C5"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67D7A" w14:textId="31324ABD"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A2304">
      <w:rPr>
        <w:rStyle w:val="PageNumber"/>
        <w:rFonts w:ascii="Times New Roman" w:hAnsi="Times New Roman"/>
        <w:noProof/>
      </w:rPr>
      <w:t>1</w:t>
    </w:r>
    <w:r w:rsidRPr="00B26E3E">
      <w:rPr>
        <w:rStyle w:val="PageNumber"/>
        <w:rFonts w:ascii="Times New Roman" w:hAnsi="Times New Roman"/>
      </w:rPr>
      <w:fldChar w:fldCharType="end"/>
    </w:r>
  </w:p>
  <w:p w14:paraId="7F089F03"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494612" w14:textId="77777777" w:rsidR="007601D4" w:rsidRDefault="007601D4">
      <w:r>
        <w:separator/>
      </w:r>
    </w:p>
  </w:footnote>
  <w:footnote w:type="continuationSeparator" w:id="0">
    <w:p w14:paraId="29C18A54" w14:textId="77777777" w:rsidR="007601D4" w:rsidRDefault="007601D4">
      <w:r>
        <w:continuationSeparator/>
      </w:r>
    </w:p>
  </w:footnote>
  <w:footnote w:id="1">
    <w:p w14:paraId="6C22AF8C" w14:textId="77777777" w:rsidR="008E1B8A" w:rsidRDefault="008E1B8A" w:rsidP="004D1C0B">
      <w:pPr>
        <w:pStyle w:val="FootnoteText"/>
      </w:pPr>
      <w:r w:rsidRPr="00333FD7">
        <w:rPr>
          <w:rStyle w:val="FootnoteReference"/>
        </w:rPr>
        <w:footnoteRef/>
      </w:r>
      <w:r w:rsidRPr="00333FD7">
        <w:rPr>
          <w:vertAlign w:val="superscript"/>
        </w:rPr>
        <w:t xml:space="preserve"> </w:t>
      </w:r>
      <w:r>
        <w:t>States submit CAPs every 2 years for deficiencies.  In the Alternate year, states could revise existing CAPs if necessary.  In the Alternate year, states are also required to submit CAPs for new deficiencies.</w:t>
      </w:r>
    </w:p>
    <w:p w14:paraId="09B5824D" w14:textId="77777777" w:rsidR="008E1B8A" w:rsidRDefault="008E1B8A" w:rsidP="004D1C0B">
      <w:pPr>
        <w:pStyle w:val="FootnoteText"/>
      </w:pPr>
    </w:p>
  </w:footnote>
  <w:footnote w:id="2">
    <w:p w14:paraId="135481F1" w14:textId="77777777" w:rsidR="008E1B8A" w:rsidRDefault="008E1B8A" w:rsidP="004D1C0B">
      <w:pPr>
        <w:pStyle w:val="FootnoteText"/>
      </w:pPr>
      <w:r w:rsidRPr="00333FD7">
        <w:rPr>
          <w:rStyle w:val="FootnoteReference"/>
        </w:rPr>
        <w:footnoteRef/>
      </w:r>
      <w:r>
        <w:t xml:space="preserve"> State Plan Narrative is submitted every 2 years.  In the Alternate year, only necessary revisions are made.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C0B72E" w14:textId="77777777" w:rsidR="006626FF" w:rsidRPr="006626FF" w:rsidRDefault="003A47A4" w:rsidP="00F8164B">
    <w:pPr>
      <w:pStyle w:val="Header"/>
      <w:rPr>
        <w:rFonts w:ascii="Times New Roman" w:hAnsi="Times New Roman"/>
        <w:bCs/>
        <w:sz w:val="20"/>
        <w:szCs w:val="20"/>
      </w:rPr>
    </w:pPr>
    <w:r>
      <w:rPr>
        <w:rFonts w:ascii="Times New Roman" w:hAnsi="Times New Roman"/>
        <w:bCs/>
        <w:sz w:val="20"/>
        <w:szCs w:val="20"/>
      </w:rPr>
      <w:t>Unemployment Insurance State Quality Service Plan Planning an Reporting Guidelines</w:t>
    </w:r>
  </w:p>
  <w:p w14:paraId="16404132" w14:textId="77777777"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3A47A4">
      <w:rPr>
        <w:rFonts w:ascii="Times New Roman" w:hAnsi="Times New Roman"/>
        <w:sz w:val="20"/>
        <w:szCs w:val="20"/>
      </w:rPr>
      <w:t>1205-0132</w:t>
    </w:r>
  </w:p>
  <w:p w14:paraId="3A11DAB4" w14:textId="77777777"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3A47A4">
      <w:rPr>
        <w:rFonts w:ascii="Times New Roman" w:hAnsi="Times New Roman"/>
        <w:sz w:val="20"/>
        <w:szCs w:val="20"/>
      </w:rPr>
      <w:t>02/28/2021</w:t>
    </w:r>
  </w:p>
  <w:p w14:paraId="5A00066D" w14:textId="77777777" w:rsidR="00304132" w:rsidRDefault="00304132">
    <w:pPr>
      <w:pStyle w:val="Header"/>
      <w:rPr>
        <w:rFonts w:ascii="Times New Roman" w:hAnsi="Times New Roman"/>
        <w:sz w:val="20"/>
        <w:szCs w:val="20"/>
      </w:rPr>
    </w:pPr>
  </w:p>
  <w:p w14:paraId="4E037809"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1B22B" w14:textId="77777777" w:rsidR="003C13C6" w:rsidRDefault="003C13C6">
    <w:pPr>
      <w:pStyle w:val="Header"/>
    </w:pPr>
    <w:r>
      <w:t>[Type text]</w:t>
    </w:r>
  </w:p>
  <w:p w14:paraId="06DCE102"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FE278C"/>
    <w:multiLevelType w:val="hybridMultilevel"/>
    <w:tmpl w:val="5B2E64F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F3D042E"/>
    <w:multiLevelType w:val="hybridMultilevel"/>
    <w:tmpl w:val="7DA48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B77C13"/>
    <w:multiLevelType w:val="hybridMultilevel"/>
    <w:tmpl w:val="56F2E4A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10"/>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2"/>
  </w:num>
  <w:num w:numId="9">
    <w:abstractNumId w:val="1"/>
  </w:num>
  <w:num w:numId="10">
    <w:abstractNumId w:val="11"/>
  </w:num>
  <w:num w:numId="11">
    <w:abstractNumId w:val="7"/>
  </w:num>
  <w:num w:numId="12">
    <w:abstractNumId w:val="8"/>
  </w:num>
  <w:num w:numId="13">
    <w:abstractNumId w:val="6"/>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0F56"/>
    <w:rsid w:val="000133FD"/>
    <w:rsid w:val="00014158"/>
    <w:rsid w:val="00020F69"/>
    <w:rsid w:val="00022303"/>
    <w:rsid w:val="00023AEF"/>
    <w:rsid w:val="0004107F"/>
    <w:rsid w:val="00042CBD"/>
    <w:rsid w:val="00052174"/>
    <w:rsid w:val="00061F6C"/>
    <w:rsid w:val="00064E28"/>
    <w:rsid w:val="0007383F"/>
    <w:rsid w:val="00095C30"/>
    <w:rsid w:val="000A2304"/>
    <w:rsid w:val="000A7853"/>
    <w:rsid w:val="000B0391"/>
    <w:rsid w:val="000B4875"/>
    <w:rsid w:val="000B6FB6"/>
    <w:rsid w:val="000C257C"/>
    <w:rsid w:val="000C3A92"/>
    <w:rsid w:val="000C74FB"/>
    <w:rsid w:val="000D7F95"/>
    <w:rsid w:val="000E1C64"/>
    <w:rsid w:val="000F6836"/>
    <w:rsid w:val="001040D4"/>
    <w:rsid w:val="001078BB"/>
    <w:rsid w:val="00113BA4"/>
    <w:rsid w:val="00114BD3"/>
    <w:rsid w:val="00116CD5"/>
    <w:rsid w:val="00133C47"/>
    <w:rsid w:val="0014556E"/>
    <w:rsid w:val="0015322B"/>
    <w:rsid w:val="0015365E"/>
    <w:rsid w:val="00157A90"/>
    <w:rsid w:val="00180E5A"/>
    <w:rsid w:val="001A47D9"/>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73D58"/>
    <w:rsid w:val="00273D81"/>
    <w:rsid w:val="00277C1F"/>
    <w:rsid w:val="002866AD"/>
    <w:rsid w:val="00286BE3"/>
    <w:rsid w:val="0029135D"/>
    <w:rsid w:val="00292951"/>
    <w:rsid w:val="00293CD1"/>
    <w:rsid w:val="002A3962"/>
    <w:rsid w:val="002A5972"/>
    <w:rsid w:val="002E238B"/>
    <w:rsid w:val="002E4200"/>
    <w:rsid w:val="00304132"/>
    <w:rsid w:val="003076E1"/>
    <w:rsid w:val="00312124"/>
    <w:rsid w:val="00313820"/>
    <w:rsid w:val="0032649A"/>
    <w:rsid w:val="00332F98"/>
    <w:rsid w:val="003430A6"/>
    <w:rsid w:val="003448FC"/>
    <w:rsid w:val="003548D8"/>
    <w:rsid w:val="00363CC2"/>
    <w:rsid w:val="00371EEC"/>
    <w:rsid w:val="003731D2"/>
    <w:rsid w:val="003876F3"/>
    <w:rsid w:val="00390426"/>
    <w:rsid w:val="00394AEB"/>
    <w:rsid w:val="003A47A4"/>
    <w:rsid w:val="003A549B"/>
    <w:rsid w:val="003A6353"/>
    <w:rsid w:val="003C13C6"/>
    <w:rsid w:val="003D5958"/>
    <w:rsid w:val="003D6AC7"/>
    <w:rsid w:val="003E49A6"/>
    <w:rsid w:val="003E5E34"/>
    <w:rsid w:val="003F53FB"/>
    <w:rsid w:val="004005CA"/>
    <w:rsid w:val="00400B4D"/>
    <w:rsid w:val="00401F18"/>
    <w:rsid w:val="004056B7"/>
    <w:rsid w:val="00410AC8"/>
    <w:rsid w:val="00414664"/>
    <w:rsid w:val="004246B2"/>
    <w:rsid w:val="00443460"/>
    <w:rsid w:val="0044773C"/>
    <w:rsid w:val="004672B5"/>
    <w:rsid w:val="004844D1"/>
    <w:rsid w:val="0048559D"/>
    <w:rsid w:val="00494A93"/>
    <w:rsid w:val="00494D75"/>
    <w:rsid w:val="004A1763"/>
    <w:rsid w:val="004B1E83"/>
    <w:rsid w:val="004D1C0B"/>
    <w:rsid w:val="004D1C78"/>
    <w:rsid w:val="004D441E"/>
    <w:rsid w:val="004D46D1"/>
    <w:rsid w:val="004E1D9E"/>
    <w:rsid w:val="005164DC"/>
    <w:rsid w:val="00530EBD"/>
    <w:rsid w:val="00567912"/>
    <w:rsid w:val="00570098"/>
    <w:rsid w:val="005805E7"/>
    <w:rsid w:val="00583F5D"/>
    <w:rsid w:val="0058424C"/>
    <w:rsid w:val="00584F8D"/>
    <w:rsid w:val="00591252"/>
    <w:rsid w:val="005A0350"/>
    <w:rsid w:val="005B5990"/>
    <w:rsid w:val="005C6147"/>
    <w:rsid w:val="005D5F8C"/>
    <w:rsid w:val="005E5148"/>
    <w:rsid w:val="005F0958"/>
    <w:rsid w:val="0060114B"/>
    <w:rsid w:val="00611DE2"/>
    <w:rsid w:val="00620E27"/>
    <w:rsid w:val="006227B3"/>
    <w:rsid w:val="00642220"/>
    <w:rsid w:val="00652ED1"/>
    <w:rsid w:val="006626FF"/>
    <w:rsid w:val="006650A8"/>
    <w:rsid w:val="00666DAF"/>
    <w:rsid w:val="0067772C"/>
    <w:rsid w:val="00685435"/>
    <w:rsid w:val="00690F56"/>
    <w:rsid w:val="006A4637"/>
    <w:rsid w:val="006C39F8"/>
    <w:rsid w:val="006C7B4F"/>
    <w:rsid w:val="006E1A08"/>
    <w:rsid w:val="006F66F9"/>
    <w:rsid w:val="006F6E13"/>
    <w:rsid w:val="007010C5"/>
    <w:rsid w:val="007011F1"/>
    <w:rsid w:val="00702D65"/>
    <w:rsid w:val="007032F7"/>
    <w:rsid w:val="007127A1"/>
    <w:rsid w:val="00713ACE"/>
    <w:rsid w:val="00715F82"/>
    <w:rsid w:val="0071749C"/>
    <w:rsid w:val="00734B3C"/>
    <w:rsid w:val="007412B6"/>
    <w:rsid w:val="007601D4"/>
    <w:rsid w:val="007636EC"/>
    <w:rsid w:val="00767D37"/>
    <w:rsid w:val="00774503"/>
    <w:rsid w:val="00777CD2"/>
    <w:rsid w:val="0078038F"/>
    <w:rsid w:val="00785720"/>
    <w:rsid w:val="00785FE9"/>
    <w:rsid w:val="00786E04"/>
    <w:rsid w:val="007A7F79"/>
    <w:rsid w:val="007D14F9"/>
    <w:rsid w:val="007D46C2"/>
    <w:rsid w:val="008043E5"/>
    <w:rsid w:val="00804A1A"/>
    <w:rsid w:val="0081073D"/>
    <w:rsid w:val="008238EA"/>
    <w:rsid w:val="008323ED"/>
    <w:rsid w:val="00835955"/>
    <w:rsid w:val="00846701"/>
    <w:rsid w:val="008624D5"/>
    <w:rsid w:val="00865EDB"/>
    <w:rsid w:val="00871CA6"/>
    <w:rsid w:val="00882AB5"/>
    <w:rsid w:val="00882B1D"/>
    <w:rsid w:val="0088672C"/>
    <w:rsid w:val="008A1F0C"/>
    <w:rsid w:val="008A40D1"/>
    <w:rsid w:val="008B541B"/>
    <w:rsid w:val="008E1B8A"/>
    <w:rsid w:val="00901003"/>
    <w:rsid w:val="0090158E"/>
    <w:rsid w:val="00901EF6"/>
    <w:rsid w:val="0090413E"/>
    <w:rsid w:val="009271B1"/>
    <w:rsid w:val="009441E2"/>
    <w:rsid w:val="00963680"/>
    <w:rsid w:val="00964D3F"/>
    <w:rsid w:val="009700D9"/>
    <w:rsid w:val="00985C15"/>
    <w:rsid w:val="00990B43"/>
    <w:rsid w:val="009A6DCA"/>
    <w:rsid w:val="009B00FD"/>
    <w:rsid w:val="009B02D5"/>
    <w:rsid w:val="009B38D1"/>
    <w:rsid w:val="009B4116"/>
    <w:rsid w:val="009C2A10"/>
    <w:rsid w:val="009D1EA2"/>
    <w:rsid w:val="009E0141"/>
    <w:rsid w:val="009E234B"/>
    <w:rsid w:val="009F52F3"/>
    <w:rsid w:val="00A10441"/>
    <w:rsid w:val="00A15094"/>
    <w:rsid w:val="00A21F98"/>
    <w:rsid w:val="00A41C21"/>
    <w:rsid w:val="00A47DA7"/>
    <w:rsid w:val="00A52DE7"/>
    <w:rsid w:val="00A55023"/>
    <w:rsid w:val="00A56B86"/>
    <w:rsid w:val="00A632EF"/>
    <w:rsid w:val="00A677E9"/>
    <w:rsid w:val="00A740AB"/>
    <w:rsid w:val="00A834BF"/>
    <w:rsid w:val="00A90769"/>
    <w:rsid w:val="00A973AA"/>
    <w:rsid w:val="00AA177A"/>
    <w:rsid w:val="00AB4DC3"/>
    <w:rsid w:val="00AC217E"/>
    <w:rsid w:val="00AC775D"/>
    <w:rsid w:val="00AD022F"/>
    <w:rsid w:val="00AD75AC"/>
    <w:rsid w:val="00AD7E5A"/>
    <w:rsid w:val="00AF2C11"/>
    <w:rsid w:val="00AF3788"/>
    <w:rsid w:val="00AF5262"/>
    <w:rsid w:val="00AF7928"/>
    <w:rsid w:val="00B1094A"/>
    <w:rsid w:val="00B26AB2"/>
    <w:rsid w:val="00B35DAD"/>
    <w:rsid w:val="00B43631"/>
    <w:rsid w:val="00B47443"/>
    <w:rsid w:val="00B5377A"/>
    <w:rsid w:val="00B6181C"/>
    <w:rsid w:val="00B66231"/>
    <w:rsid w:val="00BA4863"/>
    <w:rsid w:val="00BA6C9C"/>
    <w:rsid w:val="00BB3BEF"/>
    <w:rsid w:val="00BD044C"/>
    <w:rsid w:val="00BD34F2"/>
    <w:rsid w:val="00BE3849"/>
    <w:rsid w:val="00C02E4A"/>
    <w:rsid w:val="00C05B88"/>
    <w:rsid w:val="00C07F7F"/>
    <w:rsid w:val="00C12530"/>
    <w:rsid w:val="00C14429"/>
    <w:rsid w:val="00C247D8"/>
    <w:rsid w:val="00C34009"/>
    <w:rsid w:val="00C4763A"/>
    <w:rsid w:val="00C63D1E"/>
    <w:rsid w:val="00C667F3"/>
    <w:rsid w:val="00C712D2"/>
    <w:rsid w:val="00C77B5C"/>
    <w:rsid w:val="00C824C6"/>
    <w:rsid w:val="00C8275F"/>
    <w:rsid w:val="00C86133"/>
    <w:rsid w:val="00C87068"/>
    <w:rsid w:val="00C87C08"/>
    <w:rsid w:val="00C9162F"/>
    <w:rsid w:val="00CA2F0A"/>
    <w:rsid w:val="00CB1671"/>
    <w:rsid w:val="00CB3579"/>
    <w:rsid w:val="00CC0731"/>
    <w:rsid w:val="00CC770C"/>
    <w:rsid w:val="00CD215D"/>
    <w:rsid w:val="00CD6628"/>
    <w:rsid w:val="00CF277D"/>
    <w:rsid w:val="00D05EAB"/>
    <w:rsid w:val="00D1063C"/>
    <w:rsid w:val="00D1418E"/>
    <w:rsid w:val="00D2331B"/>
    <w:rsid w:val="00D36BB6"/>
    <w:rsid w:val="00D46A41"/>
    <w:rsid w:val="00D53DEB"/>
    <w:rsid w:val="00D57DE8"/>
    <w:rsid w:val="00D73AAD"/>
    <w:rsid w:val="00D75842"/>
    <w:rsid w:val="00D86FF7"/>
    <w:rsid w:val="00D92DAD"/>
    <w:rsid w:val="00DB7B7C"/>
    <w:rsid w:val="00DD6DF0"/>
    <w:rsid w:val="00E0031C"/>
    <w:rsid w:val="00E0138A"/>
    <w:rsid w:val="00E06430"/>
    <w:rsid w:val="00E22463"/>
    <w:rsid w:val="00E23871"/>
    <w:rsid w:val="00E322E9"/>
    <w:rsid w:val="00E400EA"/>
    <w:rsid w:val="00E46EE5"/>
    <w:rsid w:val="00E50014"/>
    <w:rsid w:val="00E57F5E"/>
    <w:rsid w:val="00E60FB0"/>
    <w:rsid w:val="00E614A1"/>
    <w:rsid w:val="00E700AD"/>
    <w:rsid w:val="00E74ABD"/>
    <w:rsid w:val="00E83023"/>
    <w:rsid w:val="00E833E4"/>
    <w:rsid w:val="00E92EED"/>
    <w:rsid w:val="00E93A0F"/>
    <w:rsid w:val="00EA3E66"/>
    <w:rsid w:val="00EC0B43"/>
    <w:rsid w:val="00F11AA8"/>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A3D8C"/>
    <w:rsid w:val="00FB587F"/>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9AA453B"/>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Body Text First Indent" w:uiPriority="99"/>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BodyText">
    <w:name w:val="Body Text"/>
    <w:basedOn w:val="Normal"/>
    <w:link w:val="BodyTextChar"/>
    <w:rsid w:val="00CF277D"/>
    <w:pPr>
      <w:spacing w:after="120"/>
    </w:pPr>
  </w:style>
  <w:style w:type="character" w:customStyle="1" w:styleId="BodyTextChar">
    <w:name w:val="Body Text Char"/>
    <w:basedOn w:val="DefaultParagraphFont"/>
    <w:link w:val="BodyText"/>
    <w:rsid w:val="00CF277D"/>
    <w:rPr>
      <w:rFonts w:ascii="Courier 12cpi" w:hAnsi="Courier 12cpi"/>
      <w:sz w:val="24"/>
      <w:szCs w:val="24"/>
    </w:rPr>
  </w:style>
  <w:style w:type="paragraph" w:styleId="BodyTextFirstIndent">
    <w:name w:val="Body Text First Indent"/>
    <w:basedOn w:val="BodyText"/>
    <w:link w:val="BodyTextFirstIndentChar"/>
    <w:uiPriority w:val="99"/>
    <w:rsid w:val="00CF277D"/>
    <w:pPr>
      <w:widowControl/>
      <w:autoSpaceDE/>
      <w:autoSpaceDN/>
      <w:adjustRightInd/>
      <w:ind w:firstLine="210"/>
    </w:pPr>
    <w:rPr>
      <w:rFonts w:ascii="Times New Roman" w:eastAsia="Calibri" w:hAnsi="Times New Roman"/>
    </w:rPr>
  </w:style>
  <w:style w:type="character" w:customStyle="1" w:styleId="BodyTextFirstIndentChar">
    <w:name w:val="Body Text First Indent Char"/>
    <w:basedOn w:val="BodyTextChar"/>
    <w:link w:val="BodyTextFirstIndent"/>
    <w:uiPriority w:val="99"/>
    <w:rsid w:val="00CF277D"/>
    <w:rPr>
      <w:rFonts w:ascii="Courier 12cpi" w:eastAsia="Calibri" w:hAnsi="Courier 12cpi"/>
      <w:sz w:val="24"/>
      <w:szCs w:val="24"/>
    </w:rPr>
  </w:style>
  <w:style w:type="paragraph" w:styleId="FootnoteText">
    <w:name w:val="footnote text"/>
    <w:basedOn w:val="Normal"/>
    <w:link w:val="FootnoteTextChar"/>
    <w:uiPriority w:val="99"/>
    <w:rsid w:val="004D1C0B"/>
    <w:rPr>
      <w:rFonts w:ascii="Times New Roman" w:hAnsi="Times New Roman"/>
      <w:sz w:val="20"/>
      <w:szCs w:val="20"/>
    </w:rPr>
  </w:style>
  <w:style w:type="character" w:customStyle="1" w:styleId="FootnoteTextChar">
    <w:name w:val="Footnote Text Char"/>
    <w:basedOn w:val="DefaultParagraphFont"/>
    <w:link w:val="FootnoteText"/>
    <w:uiPriority w:val="99"/>
    <w:rsid w:val="004D1C0B"/>
  </w:style>
  <w:style w:type="character" w:styleId="Hyperlink">
    <w:name w:val="Hyperlink"/>
    <w:uiPriority w:val="99"/>
    <w:unhideWhenUsed/>
    <w:rsid w:val="003A54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pm.gov/policy-data-oversight/pay-leave/salaries-wages/salary-tables/pdf/2020/GS.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11" ma:contentTypeDescription="Create a new document." ma:contentTypeScope="" ma:versionID="613b5a2320db5c3e0d7e420e8430ffd4">
  <xsd:schema xmlns:xsd="http://www.w3.org/2001/XMLSchema" xmlns:xs="http://www.w3.org/2001/XMLSchema" xmlns:p="http://schemas.microsoft.com/office/2006/metadata/properties" xmlns:ns3="2a1ba486-ff2f-4459-80ac-1ab5aa17f82f" xmlns:ns4="2b487234-2a61-45b0-86e3-998bf12a0e9d" targetNamespace="http://schemas.microsoft.com/office/2006/metadata/properties" ma:root="true" ma:fieldsID="413657b30c181cac4259e4ccc2474f17" ns3:_="" ns4:_="">
    <xsd:import namespace="2a1ba486-ff2f-4459-80ac-1ab5aa17f82f"/>
    <xsd:import namespace="2b487234-2a61-45b0-86e3-998bf12a0e9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87234-2a61-45b0-86e3-998bf12a0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D934E-7ADD-4A27-BFE4-3F64EE9FD03F}">
  <ds:schemaRefs>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www.w3.org/XML/1998/namespace"/>
    <ds:schemaRef ds:uri="http://schemas.openxmlformats.org/package/2006/metadata/core-properties"/>
    <ds:schemaRef ds:uri="http://schemas.microsoft.com/office/infopath/2007/PartnerControls"/>
    <ds:schemaRef ds:uri="2b487234-2a61-45b0-86e3-998bf12a0e9d"/>
    <ds:schemaRef ds:uri="2a1ba486-ff2f-4459-80ac-1ab5aa17f82f"/>
  </ds:schemaRefs>
</ds:datastoreItem>
</file>

<file path=customXml/itemProps2.xml><?xml version="1.0" encoding="utf-8"?>
<ds:datastoreItem xmlns:ds="http://schemas.openxmlformats.org/officeDocument/2006/customXml" ds:itemID="{619AD387-358F-4014-B9FC-23CE75FF37DF}">
  <ds:schemaRefs>
    <ds:schemaRef ds:uri="http://schemas.microsoft.com/sharepoint/v3/contenttype/forms"/>
  </ds:schemaRefs>
</ds:datastoreItem>
</file>

<file path=customXml/itemProps3.xml><?xml version="1.0" encoding="utf-8"?>
<ds:datastoreItem xmlns:ds="http://schemas.openxmlformats.org/officeDocument/2006/customXml" ds:itemID="{396E3EBE-C3F2-4A17-BE8A-26A46DDCB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2b487234-2a61-45b0-86e3-998bf12a0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A9AF2A-21D7-4AD4-91BC-DA578A6EE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9</Pages>
  <Words>2889</Words>
  <Characters>16472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19323</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MSB</cp:lastModifiedBy>
  <cp:revision>8</cp:revision>
  <cp:lastPrinted>2020-02-19T15:46:00Z</cp:lastPrinted>
  <dcterms:created xsi:type="dcterms:W3CDTF">2020-12-28T16:13:00Z</dcterms:created>
  <dcterms:modified xsi:type="dcterms:W3CDTF">2020-12-28T19:31:00Z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