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3FB" w:rsidP="006A53FB" w:rsidRDefault="006A53FB" w14:paraId="69373123" w14:textId="77777777">
      <w:pPr>
        <w:ind w:left="720"/>
        <w:jc w:val="center"/>
        <w:rPr>
          <w:rFonts w:ascii="Times New Roman" w:hAnsi="Times New Roman"/>
          <w:b/>
        </w:rPr>
      </w:pPr>
      <w:bookmarkStart w:name="QuickMark" w:id="0"/>
      <w:bookmarkEnd w:id="0"/>
      <w:r w:rsidRPr="006A53FB">
        <w:rPr>
          <w:rFonts w:ascii="Times New Roman" w:hAnsi="Times New Roman"/>
          <w:b/>
        </w:rPr>
        <w:t>DELINQUENT FILER VOLUNTARY COMPLIANCE PROGRAM</w:t>
      </w:r>
    </w:p>
    <w:p w:rsidR="006A53FB" w:rsidP="006A53FB" w:rsidRDefault="006A53FB" w14:paraId="0564F3B8" w14:textId="77777777">
      <w:pPr>
        <w:ind w:left="720"/>
        <w:jc w:val="center"/>
        <w:rPr>
          <w:rFonts w:ascii="Times New Roman" w:hAnsi="Times New Roman"/>
          <w:b/>
        </w:rPr>
      </w:pPr>
    </w:p>
    <w:p w:rsidR="006A53FB" w:rsidP="006A53FB" w:rsidRDefault="006A53FB" w14:paraId="0CE691D2" w14:textId="77777777">
      <w:pPr>
        <w:ind w:left="720"/>
        <w:jc w:val="center"/>
        <w:rPr>
          <w:rFonts w:ascii="Times New Roman" w:hAnsi="Times New Roman"/>
          <w:b/>
        </w:rPr>
      </w:pPr>
      <w:r w:rsidRPr="006A53FB">
        <w:rPr>
          <w:rFonts w:ascii="Times New Roman" w:hAnsi="Times New Roman"/>
          <w:b/>
        </w:rPr>
        <w:t>OMB Control Number 1210-0089</w:t>
      </w:r>
    </w:p>
    <w:p w:rsidR="006A53FB" w:rsidP="006A53FB" w:rsidRDefault="006A53FB" w14:paraId="0474CCB5" w14:textId="77777777">
      <w:pPr>
        <w:rPr>
          <w:rFonts w:ascii="Times New Roman" w:hAnsi="Times New Roman"/>
          <w:b/>
        </w:rPr>
      </w:pPr>
    </w:p>
    <w:p w:rsidRPr="006A53FB" w:rsidR="006A53FB" w:rsidP="000279CB" w:rsidRDefault="006A53FB" w14:paraId="0FDDDDB3" w14:textId="77777777">
      <w:pPr>
        <w:ind w:left="720"/>
        <w:rPr>
          <w:rFonts w:ascii="Times New Roman" w:hAnsi="Times New Roman"/>
          <w:b/>
          <w:bCs/>
        </w:rPr>
      </w:pPr>
      <w:r w:rsidRPr="006A53FB">
        <w:rPr>
          <w:rFonts w:ascii="Times New Roman" w:hAnsi="Times New Roman"/>
          <w:b/>
          <w:bCs/>
        </w:rPr>
        <w:t xml:space="preserve">This ICR </w:t>
      </w:r>
      <w:r w:rsidRPr="00FD2D2E" w:rsidR="00FD2D2E">
        <w:rPr>
          <w:rFonts w:ascii="Times New Roman" w:hAnsi="Times New Roman"/>
          <w:b/>
          <w:bCs/>
        </w:rPr>
        <w:t xml:space="preserve">seeks to extend the collection of information </w:t>
      </w:r>
      <w:r w:rsidRPr="006A53FB">
        <w:rPr>
          <w:rFonts w:ascii="Times New Roman" w:hAnsi="Times New Roman"/>
          <w:b/>
          <w:bCs/>
        </w:rPr>
        <w:t xml:space="preserve">under OMB </w:t>
      </w:r>
      <w:r>
        <w:rPr>
          <w:rFonts w:ascii="Times New Roman" w:hAnsi="Times New Roman"/>
          <w:b/>
          <w:bCs/>
        </w:rPr>
        <w:t>Control Number 1210–0089</w:t>
      </w:r>
      <w:r w:rsidRPr="006A53FB">
        <w:rPr>
          <w:rFonts w:ascii="Times New Roman" w:hAnsi="Times New Roman"/>
          <w:b/>
          <w:bCs/>
        </w:rPr>
        <w:t>.</w:t>
      </w:r>
    </w:p>
    <w:p w:rsidRPr="00864EFF" w:rsidR="00DA2016" w:rsidP="00362BDC" w:rsidRDefault="00DA2016" w14:paraId="4D8EDA5E" w14:textId="77777777">
      <w:pPr>
        <w:ind w:left="720"/>
        <w:rPr>
          <w:rFonts w:ascii="Times New Roman" w:hAnsi="Times New Roman"/>
        </w:rPr>
      </w:pPr>
    </w:p>
    <w:p w:rsidRPr="00864EFF" w:rsidR="00DA2016" w:rsidP="00265B0B" w:rsidRDefault="004F270F" w14:paraId="7C5C26C8" w14:textId="53725128">
      <w:pPr>
        <w:numPr>
          <w:ilvl w:val="0"/>
          <w:numId w:val="4"/>
        </w:numPr>
        <w:ind w:left="720" w:hanging="720"/>
        <w:rPr>
          <w:rFonts w:ascii="Times New Roman" w:hAnsi="Times New Roman"/>
        </w:rPr>
      </w:pPr>
      <w:r w:rsidRPr="00864EFF">
        <w:rPr>
          <w:rFonts w:ascii="Times New Roman" w:hAnsi="Times New Roman"/>
          <w:b/>
          <w:bCs/>
        </w:rPr>
        <w:t>JUSTIFICATION</w:t>
      </w:r>
    </w:p>
    <w:p w:rsidRPr="00864EFF" w:rsidR="00DA2016" w:rsidP="00362BDC" w:rsidRDefault="00DA2016" w14:paraId="7648B04D" w14:textId="77777777">
      <w:pPr>
        <w:ind w:left="720"/>
        <w:rPr>
          <w:rFonts w:ascii="Times New Roman" w:hAnsi="Times New Roman"/>
          <w:i/>
        </w:rPr>
      </w:pPr>
    </w:p>
    <w:p w:rsidRPr="00265B0B" w:rsidR="00DA2016" w:rsidP="00362BDC" w:rsidRDefault="00DA2016" w14:paraId="5DA07EAB" w14:textId="77777777">
      <w:pPr>
        <w:pStyle w:val="Quick1"/>
        <w:numPr>
          <w:ilvl w:val="0"/>
          <w:numId w:val="1"/>
        </w:numPr>
        <w:tabs>
          <w:tab w:val="left" w:pos="-1440"/>
          <w:tab w:val="num" w:pos="720"/>
        </w:tabs>
        <w:rPr>
          <w:rFonts w:ascii="Times New Roman" w:hAnsi="Times New Roman"/>
          <w:b/>
        </w:rPr>
      </w:pPr>
      <w:r w:rsidRPr="00265B0B">
        <w:rPr>
          <w:rFonts w:ascii="Times New Roman" w:hAnsi="Times New Roman"/>
          <w:b/>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864EFF" w:rsidR="00DA2016" w:rsidP="00362BDC" w:rsidRDefault="00DA2016" w14:paraId="71285A55" w14:textId="77777777">
      <w:pPr>
        <w:ind w:left="720"/>
        <w:rPr>
          <w:rFonts w:ascii="Times New Roman" w:hAnsi="Times New Roman"/>
        </w:rPr>
      </w:pPr>
    </w:p>
    <w:p w:rsidR="00AC7E32" w:rsidP="00362BDC" w:rsidRDefault="00DA2016" w14:paraId="673E25BA" w14:textId="38F5C08A">
      <w:pPr>
        <w:ind w:left="720"/>
        <w:rPr>
          <w:rFonts w:ascii="Times New Roman" w:hAnsi="Times New Roman"/>
        </w:rPr>
      </w:pPr>
      <w:r w:rsidRPr="00864EFF">
        <w:rPr>
          <w:rFonts w:ascii="Times New Roman" w:hAnsi="Times New Roman"/>
        </w:rPr>
        <w:t xml:space="preserve">Section 502(c)(2) of the Employee Retirement Income Security Act of 1974 (ERISA), authorizes the Secretary of Labor to assess civil penalties </w:t>
      </w:r>
      <w:r w:rsidRPr="00E32648" w:rsidR="00AC7E32">
        <w:rPr>
          <w:rFonts w:ascii="Times New Roman" w:hAnsi="Times New Roman"/>
        </w:rPr>
        <w:t xml:space="preserve">against plan administrators who fail or refuse to file complete and timely annual reports (Form 5500 Annual Return/Report of Employee Benefit Plan (OMB </w:t>
      </w:r>
      <w:r w:rsidR="00AC7E32">
        <w:rPr>
          <w:rFonts w:ascii="Times New Roman" w:hAnsi="Times New Roman"/>
        </w:rPr>
        <w:t xml:space="preserve">Control Number </w:t>
      </w:r>
      <w:r w:rsidRPr="00E32648" w:rsidR="00AC7E32">
        <w:rPr>
          <w:rFonts w:ascii="Times New Roman" w:hAnsi="Times New Roman"/>
        </w:rPr>
        <w:t>1210-0110)) as required under section 101(b)(1) of ERISA and ERISA regulations codified in 29 CFR part 2520.</w:t>
      </w:r>
      <w:r w:rsidR="00AC7E32">
        <w:rPr>
          <w:rFonts w:ascii="Times New Roman" w:hAnsi="Times New Roman"/>
        </w:rPr>
        <w:t xml:space="preserve">  The amount of the penalty for associated violations </w:t>
      </w:r>
      <w:r w:rsidR="00D9429A">
        <w:rPr>
          <w:rFonts w:ascii="Times New Roman" w:hAnsi="Times New Roman"/>
        </w:rPr>
        <w:t xml:space="preserve">is </w:t>
      </w:r>
      <w:r w:rsidRPr="00864EFF" w:rsidR="00D9429A">
        <w:rPr>
          <w:rFonts w:ascii="Times New Roman" w:hAnsi="Times New Roman"/>
        </w:rPr>
        <w:t>up</w:t>
      </w:r>
      <w:r w:rsidRPr="00864EFF">
        <w:rPr>
          <w:rFonts w:ascii="Times New Roman" w:hAnsi="Times New Roman"/>
        </w:rPr>
        <w:t xml:space="preserve"> to $</w:t>
      </w:r>
      <w:r w:rsidRPr="00864EFF" w:rsidR="007379C1">
        <w:rPr>
          <w:rFonts w:ascii="Times New Roman" w:hAnsi="Times New Roman"/>
        </w:rPr>
        <w:t>2,</w:t>
      </w:r>
      <w:r w:rsidR="00477518">
        <w:rPr>
          <w:rFonts w:ascii="Times New Roman" w:hAnsi="Times New Roman"/>
        </w:rPr>
        <w:t>233</w:t>
      </w:r>
      <w:r w:rsidRPr="00E32648" w:rsidR="00477518">
        <w:rPr>
          <w:rFonts w:ascii="Times New Roman" w:hAnsi="Times New Roman"/>
        </w:rPr>
        <w:t xml:space="preserve"> </w:t>
      </w:r>
      <w:r w:rsidRPr="00E32648" w:rsidR="00AF5048">
        <w:rPr>
          <w:rFonts w:ascii="Times New Roman" w:hAnsi="Times New Roman"/>
        </w:rPr>
        <w:t>a day for penalties assessed after January 1</w:t>
      </w:r>
      <w:r w:rsidR="00AC7E32">
        <w:rPr>
          <w:rFonts w:ascii="Times New Roman" w:hAnsi="Times New Roman"/>
        </w:rPr>
        <w:t>5</w:t>
      </w:r>
      <w:r w:rsidRPr="00E32648" w:rsidR="00AF5048">
        <w:rPr>
          <w:rFonts w:ascii="Times New Roman" w:hAnsi="Times New Roman"/>
        </w:rPr>
        <w:t>, 20</w:t>
      </w:r>
      <w:r w:rsidR="00AC7E32">
        <w:rPr>
          <w:rFonts w:ascii="Times New Roman" w:hAnsi="Times New Roman"/>
        </w:rPr>
        <w:t>20</w:t>
      </w:r>
      <w:r w:rsidRPr="00E32648" w:rsidR="00D9429A">
        <w:rPr>
          <w:rFonts w:ascii="Times New Roman" w:hAnsi="Times New Roman"/>
        </w:rPr>
        <w:t>, occurring</w:t>
      </w:r>
      <w:r w:rsidRPr="00E32648" w:rsidR="00AF5048">
        <w:rPr>
          <w:rFonts w:ascii="Times New Roman" w:hAnsi="Times New Roman"/>
        </w:rPr>
        <w:t xml:space="preserve"> after November 2, 2015.</w:t>
      </w:r>
      <w:r w:rsidRPr="003F13F4" w:rsidR="005C081F">
        <w:rPr>
          <w:rStyle w:val="FootnoteReference"/>
          <w:rFonts w:ascii="Times New Roman" w:hAnsi="Times New Roman"/>
          <w:vertAlign w:val="superscript"/>
        </w:rPr>
        <w:footnoteReference w:id="1"/>
      </w:r>
      <w:r w:rsidRPr="00E32648" w:rsidR="00080941">
        <w:rPr>
          <w:rFonts w:ascii="Times New Roman" w:hAnsi="Times New Roman"/>
        </w:rPr>
        <w:t xml:space="preserve"> </w:t>
      </w:r>
      <w:r w:rsidRPr="009B00E9" w:rsidR="00AF5048">
        <w:rPr>
          <w:rFonts w:ascii="Times New Roman" w:hAnsi="Times New Roman"/>
        </w:rPr>
        <w:t xml:space="preserve"> </w:t>
      </w:r>
    </w:p>
    <w:p w:rsidR="00AC7E32" w:rsidP="00362BDC" w:rsidRDefault="00AC7E32" w14:paraId="45DA1F0F" w14:textId="77777777">
      <w:pPr>
        <w:ind w:left="720"/>
        <w:rPr>
          <w:rFonts w:ascii="Times New Roman" w:hAnsi="Times New Roman"/>
        </w:rPr>
      </w:pPr>
    </w:p>
    <w:p w:rsidRPr="00625FA6" w:rsidR="00DA2016" w:rsidP="00362BDC" w:rsidRDefault="00DA2016" w14:paraId="341E6484" w14:textId="5785DF73">
      <w:pPr>
        <w:ind w:left="720"/>
        <w:rPr>
          <w:rFonts w:ascii="Times New Roman" w:hAnsi="Times New Roman"/>
        </w:rPr>
      </w:pPr>
      <w:r w:rsidRPr="009B00E9">
        <w:rPr>
          <w:rFonts w:ascii="Times New Roman" w:hAnsi="Times New Roman"/>
        </w:rPr>
        <w:t xml:space="preserve">Pursuant to 29 CFR 2560.502c-2 and 2570.60 </w:t>
      </w:r>
      <w:r w:rsidRPr="00583D17">
        <w:rPr>
          <w:rFonts w:ascii="Times New Roman" w:hAnsi="Times New Roman"/>
          <w:i/>
          <w:iCs/>
        </w:rPr>
        <w:t>et seq.</w:t>
      </w:r>
      <w:r w:rsidRPr="006D3BAB">
        <w:rPr>
          <w:rFonts w:ascii="Times New Roman" w:hAnsi="Times New Roman"/>
        </w:rPr>
        <w:t>, the Employee Benefits Security Administration (EBSA) has maintained a program for the assessment of civil penalties for noncompliance with the annual reporting requirements</w:t>
      </w:r>
      <w:r w:rsidRPr="00362BDC">
        <w:rPr>
          <w:rFonts w:ascii="Times New Roman" w:hAnsi="Times New Roman"/>
        </w:rPr>
        <w:t>.  Under this program, plan administrators filing annual reports after the date on which the report was required to be filed may be assessed $50 per day for each day an annual report is filed after the date on which the report was required to be filed, wit</w:t>
      </w:r>
      <w:r w:rsidRPr="00625FA6">
        <w:rPr>
          <w:rFonts w:ascii="Times New Roman" w:hAnsi="Times New Roman"/>
        </w:rPr>
        <w:t>hout regard to any extensions for filing.  Plan administrators who fail to file an annual report may be assessed a penalty of $300 per day, up to $30,000 per year, until a complete annual report is filed.  Penalties are applicable to each annual report required to be filed under Title I of ERISA.  The Department may, in its discretion, waive all or part of a civil penalty assessed under section 502(c)(2) of ERISA, upon a showing by the administrator that there was reasonable cause for the failure to file a complete and timely annual report.</w:t>
      </w:r>
    </w:p>
    <w:p w:rsidRPr="00625FA6" w:rsidR="00DA2016" w:rsidP="00362BDC" w:rsidRDefault="00DA2016" w14:paraId="0D02FCB0" w14:textId="77777777">
      <w:pPr>
        <w:ind w:left="720"/>
        <w:rPr>
          <w:rFonts w:ascii="Times New Roman" w:hAnsi="Times New Roman"/>
        </w:rPr>
      </w:pPr>
    </w:p>
    <w:p w:rsidRPr="007C397F" w:rsidR="00DA2016" w:rsidP="00362BDC" w:rsidRDefault="00DA2016" w14:paraId="46A4B285" w14:textId="3F2E62E6">
      <w:pPr>
        <w:ind w:left="720"/>
        <w:rPr>
          <w:rFonts w:ascii="Times New Roman" w:hAnsi="Times New Roman"/>
        </w:rPr>
      </w:pPr>
      <w:r w:rsidRPr="00625FA6">
        <w:rPr>
          <w:rFonts w:ascii="Times New Roman" w:hAnsi="Times New Roman"/>
        </w:rPr>
        <w:t xml:space="preserve">The Department has determined that the possible assessment of the above-described civil penalties may deter certain delinquent filers from voluntarily complying with the annual reporting requirements under Title I of ERISA.  In an effort to encourage annual reporting compliance, therefore, the Department implemented the Delinquent Filer </w:t>
      </w:r>
      <w:r w:rsidRPr="00625FA6">
        <w:rPr>
          <w:rFonts w:ascii="Times New Roman" w:hAnsi="Times New Roman"/>
        </w:rPr>
        <w:lastRenderedPageBreak/>
        <w:t>Voluntary Compliance Program (the DFVC Program) on April 27, 19</w:t>
      </w:r>
      <w:r w:rsidRPr="000B7C38" w:rsidR="00A67FD4">
        <w:rPr>
          <w:rFonts w:ascii="Times New Roman" w:hAnsi="Times New Roman"/>
        </w:rPr>
        <w:t>95 (60 FR 20873) (the Notice)</w:t>
      </w:r>
      <w:r w:rsidRPr="000B7C38" w:rsidR="00D9429A">
        <w:rPr>
          <w:rFonts w:ascii="Times New Roman" w:hAnsi="Times New Roman"/>
        </w:rPr>
        <w:t xml:space="preserve">.  </w:t>
      </w:r>
      <w:r w:rsidRPr="00F44A14">
        <w:rPr>
          <w:rFonts w:ascii="Times New Roman" w:hAnsi="Times New Roman"/>
        </w:rPr>
        <w:t>Under the DFVC Program, administrators othe</w:t>
      </w:r>
      <w:r w:rsidRPr="007C397F">
        <w:rPr>
          <w:rFonts w:ascii="Times New Roman" w:hAnsi="Times New Roman"/>
        </w:rPr>
        <w:t>rwise subject to the assessment of higher civil penalties are permitted to pay reduced civil penalties for voluntarily complying with the annual reporting requirements under Title I of ERISA.</w:t>
      </w:r>
    </w:p>
    <w:p w:rsidRPr="007C397F" w:rsidR="00DA2016" w:rsidP="00362BDC" w:rsidRDefault="00DA2016" w14:paraId="37617634" w14:textId="77777777">
      <w:pPr>
        <w:ind w:left="720"/>
        <w:rPr>
          <w:rFonts w:ascii="Times New Roman" w:hAnsi="Times New Roman"/>
        </w:rPr>
      </w:pPr>
    </w:p>
    <w:p w:rsidRPr="00265B0B" w:rsidR="00DA2016" w:rsidP="009B6258" w:rsidRDefault="00DA2016" w14:paraId="31007339" w14:textId="77777777">
      <w:pPr>
        <w:pStyle w:val="Quick1"/>
        <w:numPr>
          <w:ilvl w:val="0"/>
          <w:numId w:val="0"/>
        </w:numPr>
        <w:tabs>
          <w:tab w:val="left" w:pos="-1440"/>
        </w:tabs>
        <w:ind w:left="720" w:hanging="720"/>
        <w:rPr>
          <w:rFonts w:ascii="Times New Roman" w:hAnsi="Times New Roman"/>
          <w:b/>
          <w:iCs/>
        </w:rPr>
      </w:pPr>
      <w:r w:rsidRPr="00265B0B">
        <w:rPr>
          <w:rFonts w:ascii="Times New Roman" w:hAnsi="Times New Roman"/>
          <w:b/>
          <w:iCs/>
        </w:rPr>
        <w:t>2.</w:t>
      </w:r>
      <w:r w:rsidRPr="00265B0B">
        <w:rPr>
          <w:rFonts w:ascii="Times New Roman" w:hAnsi="Times New Roman"/>
          <w:b/>
          <w:iCs/>
        </w:rPr>
        <w:tab/>
        <w:t>Indicate how, by whom, and for what purpose the information is to be used.  Except for a new collection, indicate the actual use the agency has made of the information received from the current collection.</w:t>
      </w:r>
    </w:p>
    <w:p w:rsidRPr="00235680" w:rsidR="00DA2016" w:rsidP="009B6258" w:rsidRDefault="00DA2016" w14:paraId="79510C5F" w14:textId="77777777">
      <w:pPr>
        <w:ind w:left="720"/>
        <w:rPr>
          <w:rFonts w:ascii="Times New Roman" w:hAnsi="Times New Roman"/>
        </w:rPr>
      </w:pPr>
    </w:p>
    <w:p w:rsidRPr="009B6258" w:rsidR="00DA2016" w:rsidP="009B6258" w:rsidRDefault="00DA2016" w14:paraId="3554A155" w14:textId="55CABA24">
      <w:pPr>
        <w:ind w:left="720"/>
        <w:rPr>
          <w:rFonts w:ascii="Times New Roman" w:hAnsi="Times New Roman"/>
        </w:rPr>
      </w:pPr>
      <w:r w:rsidRPr="00235680">
        <w:rPr>
          <w:rFonts w:ascii="Times New Roman" w:hAnsi="Times New Roman"/>
        </w:rPr>
        <w:t>Under Title I of ERISA, the administrator of each welfare plan and each pension plan, unless otherwise exempt, i</w:t>
      </w:r>
      <w:r w:rsidRPr="003F13F4">
        <w:rPr>
          <w:rFonts w:ascii="Times New Roman" w:hAnsi="Times New Roman"/>
        </w:rPr>
        <w:t>s required to file an annual report with the Secretary containing the information set forth in Section 103 of ERISA.  The statutory annual reporting requirements under Titles I and IV of ERISA, as well as the Internal Revenue Code (</w:t>
      </w:r>
      <w:r w:rsidRPr="003F13F4" w:rsidR="00A67FD4">
        <w:rPr>
          <w:rFonts w:ascii="Times New Roman" w:hAnsi="Times New Roman"/>
        </w:rPr>
        <w:t xml:space="preserve">the </w:t>
      </w:r>
      <w:r w:rsidRPr="003F13F4">
        <w:rPr>
          <w:rFonts w:ascii="Times New Roman" w:hAnsi="Times New Roman"/>
        </w:rPr>
        <w:t xml:space="preserve">Code), are satisfied generally by filing the appropriate annual return/report (the Form 5500).  The Form 5500 is filed once and applicable data is shared among the federal agencies with authority to collect the information (Department, Internal Revenue Service, </w:t>
      </w:r>
      <w:r w:rsidR="006C094B">
        <w:rPr>
          <w:rFonts w:ascii="Times New Roman" w:hAnsi="Times New Roman"/>
        </w:rPr>
        <w:t xml:space="preserve">and </w:t>
      </w:r>
      <w:r w:rsidRPr="003F13F4">
        <w:rPr>
          <w:rFonts w:ascii="Times New Roman" w:hAnsi="Times New Roman"/>
        </w:rPr>
        <w:t>Pension Benefit Guaranty Corporation</w:t>
      </w:r>
      <w:r w:rsidR="006C094B">
        <w:rPr>
          <w:rFonts w:ascii="Times New Roman" w:hAnsi="Times New Roman"/>
        </w:rPr>
        <w:t xml:space="preserve"> </w:t>
      </w:r>
      <w:r w:rsidRPr="003F13F4">
        <w:rPr>
          <w:rFonts w:ascii="Times New Roman" w:hAnsi="Times New Roman"/>
        </w:rPr>
        <w:t>or “</w:t>
      </w:r>
      <w:r w:rsidRPr="003F13F4" w:rsidR="002108A7">
        <w:rPr>
          <w:rFonts w:ascii="Times New Roman" w:hAnsi="Times New Roman"/>
        </w:rPr>
        <w:t xml:space="preserve">the </w:t>
      </w:r>
      <w:r w:rsidRPr="003F13F4">
        <w:rPr>
          <w:rFonts w:ascii="Times New Roman" w:hAnsi="Times New Roman"/>
        </w:rPr>
        <w:t>Agencies”).  For the Department, the Form 5500 collection has been approved under the Paperwork Reduction Act and give</w:t>
      </w:r>
      <w:r w:rsidR="009B6258">
        <w:rPr>
          <w:rFonts w:ascii="Times New Roman" w:hAnsi="Times New Roman"/>
        </w:rPr>
        <w:t>n OMB control number 1210-0110.</w:t>
      </w:r>
    </w:p>
    <w:p w:rsidRPr="00625FA6" w:rsidR="00DA2016" w:rsidP="009B6258" w:rsidRDefault="00DA2016" w14:paraId="0ABE076F" w14:textId="77777777">
      <w:pPr>
        <w:ind w:left="720"/>
        <w:rPr>
          <w:rFonts w:ascii="Times New Roman" w:hAnsi="Times New Roman"/>
        </w:rPr>
      </w:pPr>
    </w:p>
    <w:p w:rsidRPr="00625FA6" w:rsidR="00DA2016" w:rsidP="009B6258" w:rsidRDefault="00DA2016" w14:paraId="372FE0BA" w14:textId="77777777">
      <w:pPr>
        <w:ind w:left="720"/>
        <w:rPr>
          <w:rFonts w:ascii="Times New Roman" w:hAnsi="Times New Roman"/>
        </w:rPr>
      </w:pPr>
      <w:r w:rsidRPr="00625FA6">
        <w:rPr>
          <w:rFonts w:ascii="Times New Roman" w:hAnsi="Times New Roman"/>
        </w:rPr>
        <w:t>The DFVC Program is intended to encourage, through the use of reduced civil penalties, delinquent plan administrators to comply with their annual reporting obligations under Title I of ERISA.  Delinquent plan administrators are those who fail to file timely annual reports for plan years beginning on or after January 1, 1988.  Eligible plan administrators may avail themselves of the DFVC Program by complying with the filing requirements and paying the specified civil penalties set out in the Notice.</w:t>
      </w:r>
    </w:p>
    <w:p w:rsidRPr="00625FA6" w:rsidR="00DA2016" w:rsidP="009B6258" w:rsidRDefault="00DA2016" w14:paraId="42CD0A46" w14:textId="77777777">
      <w:pPr>
        <w:ind w:left="720"/>
        <w:rPr>
          <w:rFonts w:ascii="Times New Roman" w:hAnsi="Times New Roman"/>
        </w:rPr>
      </w:pPr>
    </w:p>
    <w:p w:rsidRPr="007C397F" w:rsidR="00DA2016" w:rsidP="009B6258" w:rsidRDefault="00DA2016" w14:paraId="4F0FFCF1" w14:textId="20BDA14C">
      <w:pPr>
        <w:pStyle w:val="BodyTextIndent"/>
        <w:ind w:left="720" w:firstLine="0"/>
      </w:pPr>
      <w:r w:rsidRPr="00625FA6">
        <w:t>The only information collection requirement included in the DFVC Program is the requirement of providing data necessary to identify the plan along with the penalty payment.  This data is the only means by which each penalty payment is associated with the relevant plan.  If the Department were un</w:t>
      </w:r>
      <w:r w:rsidRPr="000B7C38">
        <w:t>able to determine readily whether a penalty had already been paid as a result of a late filing, an additional penalty might be assessed when it was determined that the filing was received after the deadline.  This would result in unnecessary burden for the</w:t>
      </w:r>
      <w:r w:rsidRPr="00F44A14">
        <w:t xml:space="preserve"> plan and additional cost to the government even though the delinquency had already been resolved.  With respect to most pension plans and welfare </w:t>
      </w:r>
      <w:r w:rsidR="00E107F3">
        <w:t xml:space="preserve">benefit </w:t>
      </w:r>
      <w:r w:rsidRPr="00F44A14">
        <w:t>plans, the requirement is satisfied by sending, along with the penalty payment, a copy of the delinquent annu</w:t>
      </w:r>
      <w:r w:rsidRPr="007C397F">
        <w:t xml:space="preserve">al report (without attachments or schedules) which is filed with the </w:t>
      </w:r>
      <w:r w:rsidRPr="007C397F" w:rsidR="00D9429A">
        <w:t>Department under</w:t>
      </w:r>
      <w:r w:rsidRPr="007C397F">
        <w:t xml:space="preserve"> the EFAST </w:t>
      </w:r>
      <w:r w:rsidR="003868BF">
        <w:t xml:space="preserve">2 filing </w:t>
      </w:r>
      <w:r w:rsidRPr="007C397F">
        <w:t xml:space="preserve">system.  In the </w:t>
      </w:r>
      <w:r w:rsidRPr="007C397F" w:rsidR="00D9429A">
        <w:t>event the</w:t>
      </w:r>
      <w:r w:rsidRPr="007C397F">
        <w:t xml:space="preserve"> plan administrator files the delinquent annual report using a 1998 or prior plan year form, a paper copy of only the first page of the Form 5500 or Form 5500-C, as applicable, should be submitted along with the penalty payment. </w:t>
      </w:r>
    </w:p>
    <w:p w:rsidRPr="007C397F" w:rsidR="00DA2016" w:rsidP="009B6258" w:rsidRDefault="00DA2016" w14:paraId="33677767" w14:textId="77777777">
      <w:pPr>
        <w:ind w:left="720"/>
        <w:rPr>
          <w:rFonts w:ascii="Times New Roman" w:hAnsi="Times New Roman"/>
        </w:rPr>
      </w:pPr>
    </w:p>
    <w:p w:rsidRPr="003F13F4" w:rsidR="00DA2016" w:rsidP="009B6258" w:rsidRDefault="00DA2016" w14:paraId="235C79B2" w14:textId="77777777">
      <w:pPr>
        <w:ind w:left="720"/>
        <w:rPr>
          <w:rFonts w:ascii="Times New Roman" w:hAnsi="Times New Roman"/>
        </w:rPr>
      </w:pPr>
      <w:r w:rsidRPr="00235680">
        <w:rPr>
          <w:rFonts w:ascii="Times New Roman" w:hAnsi="Times New Roman"/>
        </w:rPr>
        <w:t xml:space="preserve">Certain pension plans for highly compensated employees, commonly called “top hat” plans, and apprenticeship plans may file a one-time statement in lieu of annual reports.  With respect to such plans, information collection requirements of the DFVC Program </w:t>
      </w:r>
      <w:r w:rsidRPr="00235680">
        <w:rPr>
          <w:rFonts w:ascii="Times New Roman" w:hAnsi="Times New Roman"/>
        </w:rPr>
        <w:lastRenderedPageBreak/>
        <w:t>are satisfied by sending a completed first page of an annual report form along with the penalty payment.  The one-time statements are re</w:t>
      </w:r>
      <w:r w:rsidRPr="003F13F4">
        <w:rPr>
          <w:rFonts w:ascii="Times New Roman" w:hAnsi="Times New Roman"/>
        </w:rPr>
        <w:t xml:space="preserve">quired to be sent to a different address within the Department.  The DFVC Program is designed to allow the processing of all penalty payments at a single location within the Department.   </w:t>
      </w:r>
    </w:p>
    <w:p w:rsidRPr="003F13F4" w:rsidR="00DA2016" w:rsidP="009B6258" w:rsidRDefault="00DA2016" w14:paraId="2DB55BE3" w14:textId="77777777">
      <w:pPr>
        <w:ind w:left="720"/>
        <w:rPr>
          <w:rFonts w:ascii="Times New Roman" w:hAnsi="Times New Roman"/>
        </w:rPr>
      </w:pPr>
    </w:p>
    <w:p w:rsidRPr="00265B0B" w:rsidR="00DA2016" w:rsidP="009B6258" w:rsidRDefault="00DA2016" w14:paraId="2192CC1D" w14:textId="77777777">
      <w:pPr>
        <w:tabs>
          <w:tab w:val="left" w:pos="-1440"/>
        </w:tabs>
        <w:ind w:left="720" w:hanging="720"/>
        <w:rPr>
          <w:rFonts w:ascii="Times New Roman" w:hAnsi="Times New Roman"/>
          <w:b/>
          <w:iCs/>
        </w:rPr>
      </w:pPr>
      <w:r w:rsidRPr="00265B0B">
        <w:rPr>
          <w:rFonts w:ascii="Times New Roman" w:hAnsi="Times New Roman"/>
          <w:b/>
        </w:rPr>
        <w:t>3.</w:t>
      </w:r>
      <w:r w:rsidRPr="00265B0B">
        <w:rPr>
          <w:rFonts w:ascii="Times New Roman" w:hAnsi="Times New Roman"/>
          <w:b/>
        </w:rPr>
        <w:tab/>
      </w:r>
      <w:r w:rsidRPr="00265B0B">
        <w:rPr>
          <w:rFonts w:ascii="Times New Roman" w:hAnsi="Times New Roman"/>
          <w:b/>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Pr="003F13F4" w:rsidR="00DA2016" w:rsidP="00625FA6" w:rsidRDefault="00DA2016" w14:paraId="17AD344D" w14:textId="77777777">
      <w:pPr>
        <w:ind w:left="720"/>
        <w:rPr>
          <w:rFonts w:ascii="Times New Roman" w:hAnsi="Times New Roman"/>
          <w:i/>
          <w:iCs/>
        </w:rPr>
      </w:pPr>
    </w:p>
    <w:p w:rsidR="00890DF9" w:rsidP="00DD2EE0" w:rsidRDefault="00254D77" w14:paraId="566C53CE" w14:textId="35B94948">
      <w:pPr>
        <w:ind w:left="720"/>
        <w:rPr>
          <w:rFonts w:ascii="Times New Roman" w:hAnsi="Times New Roman"/>
        </w:rPr>
      </w:pPr>
      <w:r w:rsidRPr="00254D77">
        <w:rPr>
          <w:rFonts w:ascii="Times New Roman" w:hAnsi="Times New Roman"/>
        </w:rPr>
        <w:t xml:space="preserve">EBSA </w:t>
      </w:r>
      <w:r>
        <w:rPr>
          <w:rFonts w:ascii="Times New Roman" w:hAnsi="Times New Roman"/>
        </w:rPr>
        <w:t xml:space="preserve">provides a </w:t>
      </w:r>
      <w:r w:rsidRPr="00254D77">
        <w:rPr>
          <w:rFonts w:ascii="Times New Roman" w:hAnsi="Times New Roman"/>
        </w:rPr>
        <w:t>web-based calculator and payment system</w:t>
      </w:r>
      <w:r w:rsidR="00DD2EE0">
        <w:rPr>
          <w:rFonts w:ascii="Times New Roman" w:hAnsi="Times New Roman"/>
        </w:rPr>
        <w:t xml:space="preserve"> that makes </w:t>
      </w:r>
      <w:r w:rsidRPr="00254D77">
        <w:rPr>
          <w:rFonts w:ascii="Times New Roman" w:hAnsi="Times New Roman"/>
        </w:rPr>
        <w:t>participati</w:t>
      </w:r>
      <w:r w:rsidR="00DD2EE0">
        <w:rPr>
          <w:rFonts w:ascii="Times New Roman" w:hAnsi="Times New Roman"/>
        </w:rPr>
        <w:t>on</w:t>
      </w:r>
      <w:r w:rsidRPr="00254D77">
        <w:rPr>
          <w:rFonts w:ascii="Times New Roman" w:hAnsi="Times New Roman"/>
        </w:rPr>
        <w:t xml:space="preserve"> in the </w:t>
      </w:r>
      <w:r w:rsidR="00DD2EE0">
        <w:rPr>
          <w:rFonts w:ascii="Times New Roman" w:hAnsi="Times New Roman"/>
        </w:rPr>
        <w:t xml:space="preserve">program easy, </w:t>
      </w:r>
      <w:r w:rsidRPr="00254D77">
        <w:rPr>
          <w:rFonts w:ascii="Times New Roman" w:hAnsi="Times New Roman"/>
        </w:rPr>
        <w:t>quick, and error-free</w:t>
      </w:r>
      <w:r w:rsidRPr="00254D77" w:rsidR="00D9429A">
        <w:rPr>
          <w:rFonts w:ascii="Times New Roman" w:hAnsi="Times New Roman"/>
        </w:rPr>
        <w:t xml:space="preserve">.  </w:t>
      </w:r>
      <w:r w:rsidRPr="00254D77">
        <w:rPr>
          <w:rFonts w:ascii="Times New Roman" w:hAnsi="Times New Roman"/>
        </w:rPr>
        <w:t xml:space="preserve">The online DFVCP penalty calculator helps </w:t>
      </w:r>
      <w:r w:rsidR="00DD2EE0">
        <w:rPr>
          <w:rFonts w:ascii="Times New Roman" w:hAnsi="Times New Roman"/>
        </w:rPr>
        <w:t xml:space="preserve">applicants </w:t>
      </w:r>
      <w:r w:rsidRPr="00254D77">
        <w:rPr>
          <w:rFonts w:ascii="Times New Roman" w:hAnsi="Times New Roman"/>
        </w:rPr>
        <w:t xml:space="preserve">accurately calculate the payment needed to participate in the </w:t>
      </w:r>
      <w:r w:rsidR="00DD2EE0">
        <w:rPr>
          <w:rFonts w:ascii="Times New Roman" w:hAnsi="Times New Roman"/>
        </w:rPr>
        <w:t>program</w:t>
      </w:r>
      <w:r w:rsidRPr="00254D77" w:rsidR="00D9429A">
        <w:rPr>
          <w:rFonts w:ascii="Times New Roman" w:hAnsi="Times New Roman"/>
        </w:rPr>
        <w:t xml:space="preserve">.  </w:t>
      </w:r>
      <w:r w:rsidR="00DD2EE0">
        <w:rPr>
          <w:rFonts w:ascii="Times New Roman" w:hAnsi="Times New Roman"/>
        </w:rPr>
        <w:t xml:space="preserve">Applicants are not </w:t>
      </w:r>
      <w:r w:rsidRPr="00254D77">
        <w:rPr>
          <w:rFonts w:ascii="Times New Roman" w:hAnsi="Times New Roman"/>
        </w:rPr>
        <w:t>required to use the online calculator or make payments electronically to participate in the DFVC</w:t>
      </w:r>
      <w:r w:rsidR="00DD2EE0">
        <w:rPr>
          <w:rFonts w:ascii="Times New Roman" w:hAnsi="Times New Roman"/>
        </w:rPr>
        <w:t xml:space="preserve"> </w:t>
      </w:r>
      <w:r w:rsidRPr="00254D77">
        <w:rPr>
          <w:rFonts w:ascii="Times New Roman" w:hAnsi="Times New Roman"/>
        </w:rPr>
        <w:t>P</w:t>
      </w:r>
      <w:r w:rsidR="00DD2EE0">
        <w:rPr>
          <w:rFonts w:ascii="Times New Roman" w:hAnsi="Times New Roman"/>
        </w:rPr>
        <w:t>rogram</w:t>
      </w:r>
      <w:r w:rsidR="00D9429A">
        <w:rPr>
          <w:rFonts w:ascii="Times New Roman" w:hAnsi="Times New Roman"/>
        </w:rPr>
        <w:t xml:space="preserve">.  </w:t>
      </w:r>
      <w:r w:rsidR="00DD2EE0">
        <w:rPr>
          <w:rFonts w:ascii="Times New Roman" w:hAnsi="Times New Roman"/>
        </w:rPr>
        <w:t xml:space="preserve">Applicants also have the option, but are not required, to </w:t>
      </w:r>
      <w:r w:rsidRPr="00254D77">
        <w:rPr>
          <w:rFonts w:ascii="Times New Roman" w:hAnsi="Times New Roman"/>
        </w:rPr>
        <w:t xml:space="preserve">pay the penalty online. </w:t>
      </w:r>
    </w:p>
    <w:p w:rsidRPr="003F13F4" w:rsidR="00DA2016" w:rsidP="00625FA6" w:rsidRDefault="00DA2016" w14:paraId="28B526AA" w14:textId="77777777">
      <w:pPr>
        <w:ind w:left="720"/>
        <w:rPr>
          <w:rFonts w:ascii="Times New Roman" w:hAnsi="Times New Roman"/>
        </w:rPr>
      </w:pPr>
    </w:p>
    <w:p w:rsidRPr="00265B0B" w:rsidR="00DA2016" w:rsidP="00625FA6" w:rsidRDefault="00DA2016" w14:paraId="48991070" w14:textId="77777777">
      <w:pPr>
        <w:tabs>
          <w:tab w:val="left" w:pos="-1440"/>
        </w:tabs>
        <w:ind w:left="720" w:hanging="720"/>
        <w:rPr>
          <w:rFonts w:ascii="Times New Roman" w:hAnsi="Times New Roman"/>
          <w:b/>
        </w:rPr>
      </w:pPr>
      <w:r w:rsidRPr="00265B0B">
        <w:rPr>
          <w:rFonts w:ascii="Times New Roman" w:hAnsi="Times New Roman"/>
          <w:b/>
        </w:rPr>
        <w:t>4.</w:t>
      </w:r>
      <w:r w:rsidRPr="00265B0B">
        <w:rPr>
          <w:rFonts w:ascii="Times New Roman" w:hAnsi="Times New Roman"/>
          <w:b/>
          <w:iCs/>
        </w:rPr>
        <w:tab/>
        <w:t>Describe efforts to identify duplication.  Show specifically why any similar information already available cannot be used or modified for use for the purposes described in Item 2 above.</w:t>
      </w:r>
    </w:p>
    <w:p w:rsidRPr="00625FA6" w:rsidR="00DA2016" w:rsidP="00625FA6" w:rsidRDefault="00DA2016" w14:paraId="331879DF" w14:textId="77777777">
      <w:pPr>
        <w:ind w:left="720"/>
        <w:rPr>
          <w:rFonts w:ascii="Times New Roman" w:hAnsi="Times New Roman"/>
        </w:rPr>
      </w:pPr>
    </w:p>
    <w:p w:rsidRPr="00625FA6" w:rsidR="00DA2016" w:rsidP="00625FA6" w:rsidRDefault="00DA2016" w14:paraId="4D082A0A" w14:textId="2D7BF920">
      <w:pPr>
        <w:ind w:left="720"/>
        <w:rPr>
          <w:rFonts w:ascii="Times New Roman" w:hAnsi="Times New Roman"/>
        </w:rPr>
      </w:pPr>
      <w:r w:rsidRPr="00625FA6">
        <w:rPr>
          <w:rFonts w:ascii="Times New Roman" w:hAnsi="Times New Roman"/>
        </w:rPr>
        <w:t xml:space="preserve">The Agencies utilize a consolidated annual report that eliminates the duplicative reporting that would otherwise result from the separate reporting to each agency.  However, </w:t>
      </w:r>
      <w:r w:rsidR="004A3EA7">
        <w:rPr>
          <w:rFonts w:ascii="Times New Roman" w:hAnsi="Times New Roman"/>
        </w:rPr>
        <w:t xml:space="preserve">the </w:t>
      </w:r>
      <w:r w:rsidRPr="00625FA6">
        <w:rPr>
          <w:rFonts w:ascii="Times New Roman" w:hAnsi="Times New Roman"/>
        </w:rPr>
        <w:t>DFVC Program applies only to the Department.  There is no similar information gathered by any state or Federal agency or other sources that would enable the Department to effectively monitor participation in the program.</w:t>
      </w:r>
    </w:p>
    <w:p w:rsidRPr="00625FA6" w:rsidR="00DA2016" w:rsidP="00625FA6" w:rsidRDefault="00DA2016" w14:paraId="4D41AD28" w14:textId="77777777">
      <w:pPr>
        <w:ind w:left="720"/>
        <w:rPr>
          <w:rFonts w:ascii="Times New Roman" w:hAnsi="Times New Roman"/>
        </w:rPr>
      </w:pPr>
    </w:p>
    <w:p w:rsidRPr="00265B0B" w:rsidR="00DA2016" w:rsidP="00625FA6" w:rsidRDefault="00DA2016" w14:paraId="6B9CA41B" w14:textId="77777777">
      <w:pPr>
        <w:pStyle w:val="BodyTextIndent2"/>
        <w:rPr>
          <w:b/>
          <w:i w:val="0"/>
        </w:rPr>
      </w:pPr>
      <w:r w:rsidRPr="00265B0B">
        <w:rPr>
          <w:b/>
          <w:i w:val="0"/>
        </w:rPr>
        <w:t>5.</w:t>
      </w:r>
      <w:r w:rsidRPr="00265B0B">
        <w:rPr>
          <w:b/>
          <w:i w:val="0"/>
        </w:rPr>
        <w:tab/>
        <w:t>If the collection of information impacts small businesses or other small entities</w:t>
      </w:r>
      <w:r w:rsidRPr="00265B0B" w:rsidR="002108A7">
        <w:rPr>
          <w:b/>
          <w:i w:val="0"/>
        </w:rPr>
        <w:t xml:space="preserve"> </w:t>
      </w:r>
      <w:r w:rsidRPr="00265B0B">
        <w:rPr>
          <w:b/>
          <w:i w:val="0"/>
        </w:rPr>
        <w:t>describe any methods used to minimize burden.</w:t>
      </w:r>
    </w:p>
    <w:p w:rsidRPr="00F44A14" w:rsidR="00DA2016" w:rsidP="00625FA6" w:rsidRDefault="00DA2016" w14:paraId="73509212" w14:textId="77777777">
      <w:pPr>
        <w:ind w:left="720"/>
        <w:rPr>
          <w:rFonts w:ascii="Times New Roman" w:hAnsi="Times New Roman"/>
        </w:rPr>
      </w:pPr>
    </w:p>
    <w:p w:rsidRPr="00625FA6" w:rsidR="00DA2016" w:rsidP="00625FA6" w:rsidRDefault="00DA2016" w14:paraId="7500BCE3" w14:textId="77777777">
      <w:pPr>
        <w:ind w:left="720"/>
        <w:rPr>
          <w:rFonts w:ascii="Times New Roman" w:hAnsi="Times New Roman"/>
        </w:rPr>
      </w:pPr>
      <w:r w:rsidRPr="007C397F">
        <w:rPr>
          <w:rFonts w:ascii="Times New Roman" w:hAnsi="Times New Roman"/>
        </w:rPr>
        <w:t>No separate administrative provisions apply to small versus large businesses.  Under the terms of the DFVC Program, small plans, that is, plans with fewer than 100 participants, are assessed a lower penalty for each delinq</w:t>
      </w:r>
      <w:r w:rsidR="00625FA6">
        <w:rPr>
          <w:rFonts w:ascii="Times New Roman" w:hAnsi="Times New Roman"/>
        </w:rPr>
        <w:t>uent filing than large plans.</w:t>
      </w:r>
    </w:p>
    <w:p w:rsidRPr="00625FA6" w:rsidR="00DA2016" w:rsidP="00625FA6" w:rsidRDefault="00DA2016" w14:paraId="385B5683" w14:textId="77777777">
      <w:pPr>
        <w:ind w:left="720"/>
        <w:rPr>
          <w:rFonts w:ascii="Times New Roman" w:hAnsi="Times New Roman"/>
        </w:rPr>
      </w:pPr>
    </w:p>
    <w:p w:rsidRPr="00265B0B" w:rsidR="00DA2016" w:rsidP="00625FA6" w:rsidRDefault="00DA2016" w14:paraId="2312B7C8" w14:textId="77777777">
      <w:pPr>
        <w:tabs>
          <w:tab w:val="left" w:pos="-1440"/>
        </w:tabs>
        <w:ind w:left="720" w:hanging="720"/>
        <w:rPr>
          <w:rFonts w:ascii="Times New Roman" w:hAnsi="Times New Roman"/>
          <w:b/>
        </w:rPr>
      </w:pPr>
      <w:r w:rsidRPr="00265B0B">
        <w:rPr>
          <w:rFonts w:ascii="Times New Roman" w:hAnsi="Times New Roman"/>
          <w:b/>
        </w:rPr>
        <w:t>6.</w:t>
      </w:r>
      <w:r w:rsidRPr="00265B0B">
        <w:rPr>
          <w:rFonts w:ascii="Times New Roman" w:hAnsi="Times New Roman"/>
          <w:b/>
        </w:rPr>
        <w:tab/>
      </w:r>
      <w:r w:rsidRPr="00265B0B">
        <w:rPr>
          <w:rFonts w:ascii="Times New Roman" w:hAnsi="Times New Roman"/>
          <w:b/>
          <w:iCs/>
        </w:rPr>
        <w:t>Describe the consequence to Federal program or policy activities if the collection is not conducted or is conducted less frequently, as well as any technical or legal obstacles to reducing burden.</w:t>
      </w:r>
    </w:p>
    <w:p w:rsidRPr="00265B0B" w:rsidR="00DA2016" w:rsidP="00625FA6" w:rsidRDefault="00DA2016" w14:paraId="2021457B" w14:textId="77777777">
      <w:pPr>
        <w:ind w:left="720"/>
        <w:rPr>
          <w:rFonts w:ascii="Times New Roman" w:hAnsi="Times New Roman"/>
          <w:b/>
        </w:rPr>
      </w:pPr>
    </w:p>
    <w:p w:rsidRPr="00625FA6" w:rsidR="00DA2016" w:rsidP="00625FA6" w:rsidRDefault="00DA2016" w14:paraId="377340A6" w14:textId="77777777">
      <w:pPr>
        <w:ind w:left="720"/>
        <w:rPr>
          <w:rFonts w:ascii="Times New Roman" w:hAnsi="Times New Roman"/>
        </w:rPr>
      </w:pPr>
      <w:r w:rsidRPr="00625FA6">
        <w:rPr>
          <w:rFonts w:ascii="Times New Roman" w:hAnsi="Times New Roman"/>
        </w:rPr>
        <w:t>If the in</w:t>
      </w:r>
      <w:r w:rsidRPr="000B7C38">
        <w:rPr>
          <w:rFonts w:ascii="Times New Roman" w:hAnsi="Times New Roman"/>
        </w:rPr>
        <w:t xml:space="preserve">formation collection is not conducted, it may not be possible to continue the DFVC Program because the Department would be unable to determine whether persons seeking to take advantage of the reduced penalties offered under the program had in fact come into compliance with reporting requirements.  The purpose of the program is to encourage delinquent plan administrators to come forward and file the required reports.  Lack of compliance with existing filing requirements impairs the administration and </w:t>
      </w:r>
      <w:r w:rsidRPr="000B7C38">
        <w:rPr>
          <w:rFonts w:ascii="Times New Roman" w:hAnsi="Times New Roman"/>
        </w:rPr>
        <w:lastRenderedPageBreak/>
        <w:t>enforce</w:t>
      </w:r>
      <w:r w:rsidRPr="00F44A14">
        <w:rPr>
          <w:rFonts w:ascii="Times New Roman" w:hAnsi="Times New Roman"/>
        </w:rPr>
        <w:t>ment of the statute, and the quality and timeliness of information available on ERISA-covered employee benefit plans.  The information collection in the DFVC Program is intended to place a minimal burden on plan administrators who have failed to comply wit</w:t>
      </w:r>
      <w:r w:rsidRPr="007C397F">
        <w:rPr>
          <w:rFonts w:ascii="Times New Roman" w:hAnsi="Times New Roman"/>
        </w:rPr>
        <w:t>h reporting requirements, while at the same time offering a method of correction at reason</w:t>
      </w:r>
      <w:r w:rsidR="00625FA6">
        <w:rPr>
          <w:rFonts w:ascii="Times New Roman" w:hAnsi="Times New Roman"/>
        </w:rPr>
        <w:t>able cost to the administrator.</w:t>
      </w:r>
    </w:p>
    <w:p w:rsidRPr="00625FA6" w:rsidR="00DA2016" w:rsidP="00625FA6" w:rsidRDefault="00DA2016" w14:paraId="5B83E649" w14:textId="77777777">
      <w:pPr>
        <w:ind w:left="720"/>
        <w:rPr>
          <w:rFonts w:ascii="Times New Roman" w:hAnsi="Times New Roman"/>
        </w:rPr>
      </w:pPr>
    </w:p>
    <w:p w:rsidRPr="00114A8D" w:rsidR="00DA2016" w:rsidP="003F13F4" w:rsidRDefault="00DA2016" w14:paraId="6E267162" w14:textId="77777777">
      <w:pPr>
        <w:pStyle w:val="Quick1"/>
        <w:numPr>
          <w:ilvl w:val="0"/>
          <w:numId w:val="6"/>
        </w:numPr>
        <w:tabs>
          <w:tab w:val="left" w:pos="-1440"/>
        </w:tabs>
        <w:ind w:left="720" w:hanging="720"/>
        <w:rPr>
          <w:rFonts w:ascii="Times New Roman" w:hAnsi="Times New Roman"/>
          <w:b/>
        </w:rPr>
      </w:pPr>
      <w:r w:rsidRPr="00114A8D">
        <w:rPr>
          <w:rFonts w:ascii="Times New Roman" w:hAnsi="Times New Roman"/>
          <w:b/>
        </w:rPr>
        <w:t>Explain any special circumstances that would cause an information collection to be conducted in a manner:</w:t>
      </w:r>
    </w:p>
    <w:p w:rsidRPr="00114A8D" w:rsidR="00DA2016" w:rsidP="00625FA6" w:rsidRDefault="00DA2016" w14:paraId="53D8A7E6" w14:textId="77777777">
      <w:pPr>
        <w:tabs>
          <w:tab w:val="left" w:pos="-1440"/>
        </w:tabs>
        <w:ind w:left="1440" w:hanging="720"/>
        <w:rPr>
          <w:rFonts w:ascii="Times New Roman" w:hAnsi="Times New Roman"/>
          <w:b/>
        </w:rPr>
      </w:pPr>
      <w:r w:rsidRPr="00114A8D">
        <w:rPr>
          <w:rFonts w:ascii="Times New Roman" w:hAnsi="Times New Roman"/>
          <w:b/>
        </w:rPr>
        <w:t>•</w:t>
      </w:r>
      <w:r w:rsidRPr="00114A8D">
        <w:rPr>
          <w:rFonts w:ascii="Times New Roman" w:hAnsi="Times New Roman"/>
          <w:b/>
        </w:rPr>
        <w:tab/>
        <w:t>requiring respondents to report information to the agency more often than quarterly;</w:t>
      </w:r>
    </w:p>
    <w:p w:rsidRPr="00114A8D" w:rsidR="00DA2016" w:rsidP="00625FA6" w:rsidRDefault="00DA2016" w14:paraId="39AE0097" w14:textId="77777777">
      <w:pPr>
        <w:tabs>
          <w:tab w:val="left" w:pos="-1440"/>
        </w:tabs>
        <w:ind w:left="1440" w:hanging="720"/>
        <w:rPr>
          <w:rFonts w:ascii="Times New Roman" w:hAnsi="Times New Roman"/>
          <w:b/>
        </w:rPr>
      </w:pPr>
      <w:r w:rsidRPr="00114A8D">
        <w:rPr>
          <w:rFonts w:ascii="Times New Roman" w:hAnsi="Times New Roman"/>
          <w:b/>
        </w:rPr>
        <w:t>•</w:t>
      </w:r>
      <w:r w:rsidRPr="00114A8D">
        <w:rPr>
          <w:rFonts w:ascii="Times New Roman" w:hAnsi="Times New Roman"/>
          <w:b/>
        </w:rPr>
        <w:tab/>
        <w:t>requiring respondents to prepare a written response to a collection of information in fewer than 30 days after receipt of it;</w:t>
      </w:r>
    </w:p>
    <w:p w:rsidRPr="00114A8D" w:rsidR="00DA2016" w:rsidP="00625FA6" w:rsidRDefault="00DA2016" w14:paraId="6359791F" w14:textId="77777777">
      <w:pPr>
        <w:tabs>
          <w:tab w:val="left" w:pos="-1440"/>
        </w:tabs>
        <w:ind w:left="1440" w:hanging="720"/>
        <w:rPr>
          <w:rFonts w:ascii="Times New Roman" w:hAnsi="Times New Roman"/>
          <w:b/>
        </w:rPr>
      </w:pPr>
      <w:r w:rsidRPr="00114A8D">
        <w:rPr>
          <w:rFonts w:ascii="Times New Roman" w:hAnsi="Times New Roman"/>
          <w:b/>
        </w:rPr>
        <w:t>•</w:t>
      </w:r>
      <w:r w:rsidRPr="00114A8D">
        <w:rPr>
          <w:rFonts w:ascii="Times New Roman" w:hAnsi="Times New Roman"/>
          <w:b/>
        </w:rPr>
        <w:tab/>
        <w:t>requiring respondents to submit more than an original and two copies of any document;</w:t>
      </w:r>
    </w:p>
    <w:p w:rsidRPr="00114A8D" w:rsidR="00DA2016" w:rsidP="00625FA6" w:rsidRDefault="00DA2016" w14:paraId="7A88730C" w14:textId="77777777">
      <w:pPr>
        <w:tabs>
          <w:tab w:val="left" w:pos="-1440"/>
        </w:tabs>
        <w:ind w:left="1440" w:hanging="720"/>
        <w:rPr>
          <w:rFonts w:ascii="Times New Roman" w:hAnsi="Times New Roman"/>
          <w:b/>
        </w:rPr>
      </w:pPr>
      <w:r w:rsidRPr="00114A8D">
        <w:rPr>
          <w:rFonts w:ascii="Times New Roman" w:hAnsi="Times New Roman"/>
          <w:b/>
        </w:rPr>
        <w:t>•</w:t>
      </w:r>
      <w:r w:rsidRPr="00114A8D">
        <w:rPr>
          <w:rFonts w:ascii="Times New Roman" w:hAnsi="Times New Roman"/>
          <w:b/>
        </w:rPr>
        <w:tab/>
        <w:t>requiring respondents to retain records, other than health, medical, government contract, grant-in-aid, or tax records for more than three years;</w:t>
      </w:r>
    </w:p>
    <w:p w:rsidRPr="00114A8D" w:rsidR="00DA2016" w:rsidP="00625FA6" w:rsidRDefault="00DA2016" w14:paraId="5FB29CED" w14:textId="77777777">
      <w:pPr>
        <w:tabs>
          <w:tab w:val="left" w:pos="-1440"/>
        </w:tabs>
        <w:ind w:left="1440" w:hanging="720"/>
        <w:rPr>
          <w:rFonts w:ascii="Times New Roman" w:hAnsi="Times New Roman"/>
          <w:b/>
        </w:rPr>
      </w:pPr>
      <w:r w:rsidRPr="00114A8D">
        <w:rPr>
          <w:rFonts w:ascii="Times New Roman" w:hAnsi="Times New Roman"/>
          <w:b/>
        </w:rPr>
        <w:t>•</w:t>
      </w:r>
      <w:r w:rsidRPr="00114A8D">
        <w:rPr>
          <w:rFonts w:ascii="Times New Roman" w:hAnsi="Times New Roman"/>
          <w:b/>
        </w:rPr>
        <w:tab/>
        <w:t>in connection with a statistical survey, that is not designed to produce valid and reliable results that can be generalized to the universe of study;</w:t>
      </w:r>
    </w:p>
    <w:p w:rsidRPr="00114A8D" w:rsidR="00DA2016" w:rsidP="00625FA6" w:rsidRDefault="00DA2016" w14:paraId="623B1CD1" w14:textId="77777777">
      <w:pPr>
        <w:tabs>
          <w:tab w:val="left" w:pos="-1440"/>
        </w:tabs>
        <w:ind w:left="1440" w:hanging="720"/>
        <w:rPr>
          <w:rFonts w:ascii="Times New Roman" w:hAnsi="Times New Roman"/>
          <w:b/>
        </w:rPr>
      </w:pPr>
      <w:r w:rsidRPr="00114A8D">
        <w:rPr>
          <w:rFonts w:ascii="Times New Roman" w:hAnsi="Times New Roman"/>
          <w:b/>
        </w:rPr>
        <w:t>•</w:t>
      </w:r>
      <w:r w:rsidRPr="00114A8D">
        <w:rPr>
          <w:rFonts w:ascii="Times New Roman" w:hAnsi="Times New Roman"/>
          <w:b/>
        </w:rPr>
        <w:tab/>
        <w:t>requiring the use of a statistical data classification that has not been reviewed and approved by OMB;</w:t>
      </w:r>
    </w:p>
    <w:p w:rsidRPr="00114A8D" w:rsidR="00DA2016" w:rsidP="00625FA6" w:rsidRDefault="00DA2016" w14:paraId="10CD6D46" w14:textId="77777777">
      <w:pPr>
        <w:tabs>
          <w:tab w:val="left" w:pos="-1440"/>
        </w:tabs>
        <w:ind w:left="1440" w:hanging="720"/>
        <w:rPr>
          <w:rFonts w:ascii="Times New Roman" w:hAnsi="Times New Roman"/>
          <w:b/>
        </w:rPr>
      </w:pPr>
      <w:r w:rsidRPr="00114A8D">
        <w:rPr>
          <w:rFonts w:ascii="Times New Roman" w:hAnsi="Times New Roman"/>
          <w:b/>
        </w:rPr>
        <w:t>•</w:t>
      </w:r>
      <w:r w:rsidRPr="00114A8D">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265B0B" w:rsidR="00DA2016" w:rsidP="00625FA6" w:rsidRDefault="00DA2016" w14:paraId="33E5C6C2" w14:textId="77777777">
      <w:pPr>
        <w:tabs>
          <w:tab w:val="left" w:pos="-1440"/>
        </w:tabs>
        <w:ind w:left="1440" w:hanging="720"/>
        <w:rPr>
          <w:rFonts w:ascii="Times New Roman" w:hAnsi="Times New Roman"/>
          <w:b/>
        </w:rPr>
      </w:pPr>
      <w:r w:rsidRPr="00114A8D">
        <w:rPr>
          <w:rFonts w:ascii="Times New Roman" w:hAnsi="Times New Roman"/>
          <w:b/>
        </w:rPr>
        <w:t>•</w:t>
      </w:r>
      <w:r w:rsidRPr="00114A8D">
        <w:rPr>
          <w:rFonts w:ascii="Times New Roman" w:hAnsi="Times New Roman"/>
          <w:b/>
        </w:rPr>
        <w:tab/>
        <w:t>requiring respondents to submit proprietary trade secret, or other confidential information unless the agency can demonstrate that it has instituted procedures to protect the information's confidentiality to the extent permitted by law.</w:t>
      </w:r>
    </w:p>
    <w:p w:rsidRPr="003F13F4" w:rsidR="00DA2016" w:rsidP="00625FA6" w:rsidRDefault="00DA2016" w14:paraId="1106E063" w14:textId="77777777">
      <w:pPr>
        <w:ind w:left="720"/>
        <w:rPr>
          <w:rFonts w:ascii="Times New Roman" w:hAnsi="Times New Roman"/>
        </w:rPr>
      </w:pPr>
    </w:p>
    <w:p w:rsidRPr="003F13F4" w:rsidR="00DA2016" w:rsidP="00625FA6" w:rsidRDefault="00DA2016" w14:paraId="4FDAFC9F" w14:textId="77777777">
      <w:pPr>
        <w:ind w:left="720"/>
        <w:rPr>
          <w:rFonts w:ascii="Times New Roman" w:hAnsi="Times New Roman"/>
        </w:rPr>
      </w:pPr>
      <w:r w:rsidRPr="003F13F4">
        <w:rPr>
          <w:rFonts w:ascii="Times New Roman" w:hAnsi="Times New Roman"/>
        </w:rPr>
        <w:t>None.</w:t>
      </w:r>
    </w:p>
    <w:p w:rsidRPr="003F13F4" w:rsidR="00DA2016" w:rsidP="00625FA6" w:rsidRDefault="00DA2016" w14:paraId="1F1A449E" w14:textId="77777777">
      <w:pPr>
        <w:ind w:left="720"/>
        <w:rPr>
          <w:rFonts w:ascii="Times New Roman" w:hAnsi="Times New Roman"/>
        </w:rPr>
      </w:pPr>
    </w:p>
    <w:p w:rsidRPr="00265B0B" w:rsidR="00DA2016" w:rsidP="00625FA6" w:rsidRDefault="00DA2016" w14:paraId="4DC7279B" w14:textId="77777777">
      <w:pPr>
        <w:tabs>
          <w:tab w:val="left" w:pos="-1440"/>
        </w:tabs>
        <w:ind w:left="720" w:hanging="720"/>
        <w:rPr>
          <w:rFonts w:ascii="Times New Roman" w:hAnsi="Times New Roman"/>
          <w:b/>
          <w:iCs/>
        </w:rPr>
      </w:pPr>
      <w:r w:rsidRPr="00265B0B">
        <w:rPr>
          <w:rFonts w:ascii="Times New Roman" w:hAnsi="Times New Roman"/>
          <w:b/>
        </w:rPr>
        <w:t>8.</w:t>
      </w:r>
      <w:r w:rsidRPr="00265B0B">
        <w:rPr>
          <w:rFonts w:ascii="Times New Roman" w:hAnsi="Times New Roman"/>
          <w:b/>
        </w:rPr>
        <w:tab/>
      </w:r>
      <w:r w:rsidRPr="00265B0B">
        <w:rPr>
          <w:rFonts w:ascii="Times New Roman" w:hAnsi="Times New Roman"/>
          <w:b/>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265B0B" w:rsidR="00DA2016" w:rsidP="00625FA6" w:rsidRDefault="00DA2016" w14:paraId="6C4746B7" w14:textId="77777777">
      <w:pPr>
        <w:ind w:left="720"/>
        <w:rPr>
          <w:rFonts w:ascii="Times New Roman" w:hAnsi="Times New Roman"/>
          <w:b/>
          <w:iCs/>
        </w:rPr>
      </w:pPr>
    </w:p>
    <w:p w:rsidRPr="00265B0B" w:rsidR="00DA2016" w:rsidP="00625FA6" w:rsidRDefault="00DA2016" w14:paraId="0570B96B" w14:textId="77777777">
      <w:pPr>
        <w:ind w:left="720"/>
        <w:rPr>
          <w:rFonts w:ascii="Times New Roman" w:hAnsi="Times New Roman"/>
          <w:b/>
          <w:iCs/>
        </w:rPr>
      </w:pPr>
      <w:r w:rsidRPr="00265B0B">
        <w:rPr>
          <w:rFonts w:ascii="Times New Roman" w:hAnsi="Times New Roman"/>
          <w:b/>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265B0B" w:rsidR="00DA2016" w:rsidP="00625FA6" w:rsidRDefault="00DA2016" w14:paraId="5085F6BE" w14:textId="77777777">
      <w:pPr>
        <w:ind w:left="720"/>
        <w:rPr>
          <w:rFonts w:ascii="Times New Roman" w:hAnsi="Times New Roman"/>
          <w:b/>
          <w:iCs/>
        </w:rPr>
      </w:pPr>
    </w:p>
    <w:p w:rsidRPr="00265B0B" w:rsidR="00DA2016" w:rsidP="00625FA6" w:rsidRDefault="00DA2016" w14:paraId="3E57ABB1" w14:textId="77777777">
      <w:pPr>
        <w:ind w:left="720"/>
        <w:rPr>
          <w:rFonts w:ascii="Times New Roman" w:hAnsi="Times New Roman"/>
          <w:b/>
          <w:iCs/>
        </w:rPr>
      </w:pPr>
      <w:r w:rsidRPr="00265B0B">
        <w:rPr>
          <w:rFonts w:ascii="Times New Roman" w:hAnsi="Times New Roman"/>
          <w:b/>
          <w:iCs/>
        </w:rPr>
        <w:t xml:space="preserve">Consultation with representatives of those from whom information is to be obtained </w:t>
      </w:r>
      <w:r w:rsidRPr="00265B0B">
        <w:rPr>
          <w:rFonts w:ascii="Times New Roman" w:hAnsi="Times New Roman"/>
          <w:b/>
          <w:iCs/>
        </w:rPr>
        <w:lastRenderedPageBreak/>
        <w:t>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3F13F4" w:rsidR="00DA2016" w:rsidP="00625FA6" w:rsidRDefault="00DA2016" w14:paraId="446288E1" w14:textId="77777777">
      <w:pPr>
        <w:ind w:left="720"/>
        <w:rPr>
          <w:rFonts w:ascii="Times New Roman" w:hAnsi="Times New Roman"/>
        </w:rPr>
      </w:pPr>
    </w:p>
    <w:p w:rsidRPr="003F13F4" w:rsidR="00AE7622" w:rsidP="00625FA6" w:rsidRDefault="00AE7622" w14:paraId="132A08F1" w14:textId="49D07C8B">
      <w:pPr>
        <w:widowControl/>
        <w:ind w:left="720"/>
        <w:rPr>
          <w:rFonts w:ascii="Times New Roman" w:hAnsi="Times New Roman"/>
        </w:rPr>
      </w:pPr>
      <w:r w:rsidRPr="003F13F4">
        <w:rPr>
          <w:rFonts w:ascii="Times New Roman" w:hAnsi="Times New Roman"/>
        </w:rPr>
        <w:t xml:space="preserve">The Department's notice for the </w:t>
      </w:r>
      <w:r w:rsidRPr="003F13F4">
        <w:rPr>
          <w:rFonts w:ascii="Times New Roman" w:hAnsi="Times New Roman"/>
          <w:u w:val="single"/>
        </w:rPr>
        <w:t>Federal Register</w:t>
      </w:r>
      <w:r w:rsidRPr="003F13F4">
        <w:rPr>
          <w:rFonts w:ascii="Times New Roman" w:hAnsi="Times New Roman"/>
        </w:rPr>
        <w:t xml:space="preserve">, as required by 5 CFR 1320.8(d), soliciting comments on the information collection, was published </w:t>
      </w:r>
      <w:r w:rsidRPr="003F13F4" w:rsidR="002108A7">
        <w:rPr>
          <w:rFonts w:ascii="Times New Roman" w:hAnsi="Times New Roman"/>
        </w:rPr>
        <w:t>on</w:t>
      </w:r>
      <w:r w:rsidRPr="003F13F4" w:rsidR="00A35BE3">
        <w:rPr>
          <w:rFonts w:ascii="Times New Roman" w:hAnsi="Times New Roman"/>
        </w:rPr>
        <w:t xml:space="preserve"> </w:t>
      </w:r>
      <w:r w:rsidR="00E95C2B">
        <w:rPr>
          <w:rFonts w:ascii="Times New Roman" w:hAnsi="Times New Roman"/>
        </w:rPr>
        <w:t>October 20</w:t>
      </w:r>
      <w:r w:rsidRPr="003F13F4" w:rsidR="00A35BE3">
        <w:rPr>
          <w:rFonts w:ascii="Times New Roman" w:hAnsi="Times New Roman"/>
        </w:rPr>
        <w:t>, 20</w:t>
      </w:r>
      <w:r w:rsidR="00E95C2B">
        <w:rPr>
          <w:rFonts w:ascii="Times New Roman" w:hAnsi="Times New Roman"/>
        </w:rPr>
        <w:t>20</w:t>
      </w:r>
      <w:r w:rsidRPr="003F13F4">
        <w:rPr>
          <w:rFonts w:ascii="Times New Roman" w:hAnsi="Times New Roman"/>
        </w:rPr>
        <w:t xml:space="preserve"> (</w:t>
      </w:r>
      <w:r w:rsidRPr="003F13F4" w:rsidR="00A35BE3">
        <w:rPr>
          <w:rFonts w:ascii="Times New Roman" w:hAnsi="Times New Roman"/>
        </w:rPr>
        <w:t>8</w:t>
      </w:r>
      <w:r w:rsidR="00E95C2B">
        <w:rPr>
          <w:rFonts w:ascii="Times New Roman" w:hAnsi="Times New Roman"/>
        </w:rPr>
        <w:t>5</w:t>
      </w:r>
      <w:r w:rsidRPr="003F13F4">
        <w:rPr>
          <w:rFonts w:ascii="Times New Roman" w:hAnsi="Times New Roman"/>
        </w:rPr>
        <w:t xml:space="preserve"> FR </w:t>
      </w:r>
      <w:r w:rsidR="00E95C2B">
        <w:rPr>
          <w:rFonts w:ascii="Times New Roman" w:hAnsi="Times New Roman"/>
        </w:rPr>
        <w:t>66580</w:t>
      </w:r>
      <w:r w:rsidRPr="003F13F4">
        <w:rPr>
          <w:rFonts w:ascii="Times New Roman" w:hAnsi="Times New Roman"/>
        </w:rPr>
        <w:t xml:space="preserve">). </w:t>
      </w:r>
      <w:r w:rsidR="00DB446A">
        <w:rPr>
          <w:rFonts w:ascii="Times New Roman" w:hAnsi="Times New Roman"/>
        </w:rPr>
        <w:t xml:space="preserve"> </w:t>
      </w:r>
      <w:r w:rsidRPr="003F13F4">
        <w:rPr>
          <w:rFonts w:ascii="Times New Roman" w:hAnsi="Times New Roman"/>
        </w:rPr>
        <w:t>The notice provided the public with 60 days to comment on the Department’s submission</w:t>
      </w:r>
      <w:r w:rsidR="00A87C92">
        <w:rPr>
          <w:rFonts w:ascii="Times New Roman" w:hAnsi="Times New Roman"/>
        </w:rPr>
        <w:t>;</w:t>
      </w:r>
      <w:r w:rsidRPr="003F13F4">
        <w:rPr>
          <w:rFonts w:ascii="Times New Roman" w:hAnsi="Times New Roman"/>
        </w:rPr>
        <w:t xml:space="preserve"> no comments were received.</w:t>
      </w:r>
    </w:p>
    <w:p w:rsidRPr="003F13F4" w:rsidR="00DA2016" w:rsidP="00625FA6" w:rsidRDefault="00DA2016" w14:paraId="4EA5B9ED" w14:textId="77777777">
      <w:pPr>
        <w:ind w:left="720"/>
        <w:rPr>
          <w:rFonts w:ascii="Times New Roman" w:hAnsi="Times New Roman"/>
        </w:rPr>
      </w:pPr>
    </w:p>
    <w:p w:rsidRPr="00265B0B" w:rsidR="00DA2016" w:rsidP="00625FA6" w:rsidRDefault="00DA2016" w14:paraId="46DA91AA" w14:textId="77777777">
      <w:pPr>
        <w:tabs>
          <w:tab w:val="left" w:pos="-1440"/>
        </w:tabs>
        <w:ind w:left="720" w:hanging="720"/>
        <w:rPr>
          <w:rFonts w:ascii="Times New Roman" w:hAnsi="Times New Roman"/>
          <w:b/>
          <w:iCs/>
        </w:rPr>
      </w:pPr>
      <w:r w:rsidRPr="00265B0B">
        <w:rPr>
          <w:rFonts w:ascii="Times New Roman" w:hAnsi="Times New Roman"/>
          <w:b/>
        </w:rPr>
        <w:t>9.</w:t>
      </w:r>
      <w:r w:rsidRPr="00265B0B">
        <w:rPr>
          <w:rFonts w:ascii="Times New Roman" w:hAnsi="Times New Roman"/>
          <w:b/>
        </w:rPr>
        <w:tab/>
      </w:r>
      <w:r w:rsidRPr="00265B0B">
        <w:rPr>
          <w:rFonts w:ascii="Times New Roman" w:hAnsi="Times New Roman"/>
          <w:b/>
          <w:iCs/>
        </w:rPr>
        <w:t>Explain any decision to provide any payment or gift to respondents, other than remuneration of contractors or grantees.</w:t>
      </w:r>
    </w:p>
    <w:p w:rsidRPr="003F13F4" w:rsidR="00DA2016" w:rsidP="00625FA6" w:rsidRDefault="00DA2016" w14:paraId="4A12F50F" w14:textId="77777777">
      <w:pPr>
        <w:ind w:left="720"/>
        <w:rPr>
          <w:rFonts w:ascii="Times New Roman" w:hAnsi="Times New Roman"/>
        </w:rPr>
      </w:pPr>
    </w:p>
    <w:p w:rsidRPr="003F13F4" w:rsidR="00DA2016" w:rsidP="00625FA6" w:rsidRDefault="00DA2016" w14:paraId="5450132B" w14:textId="77777777">
      <w:pPr>
        <w:ind w:left="720"/>
        <w:rPr>
          <w:rFonts w:ascii="Times New Roman" w:hAnsi="Times New Roman"/>
        </w:rPr>
      </w:pPr>
      <w:r w:rsidRPr="003F13F4">
        <w:rPr>
          <w:rFonts w:ascii="Times New Roman" w:hAnsi="Times New Roman"/>
        </w:rPr>
        <w:t>No payments or gifts are provided to respondents.</w:t>
      </w:r>
    </w:p>
    <w:p w:rsidRPr="003F13F4" w:rsidR="00DA2016" w:rsidP="00625FA6" w:rsidRDefault="00DA2016" w14:paraId="1EFC46D8" w14:textId="77777777">
      <w:pPr>
        <w:ind w:left="720"/>
        <w:rPr>
          <w:rFonts w:ascii="Times New Roman" w:hAnsi="Times New Roman"/>
        </w:rPr>
      </w:pPr>
    </w:p>
    <w:p w:rsidRPr="003F13F4" w:rsidR="00DA2016" w:rsidP="00625FA6" w:rsidRDefault="00DA2016" w14:paraId="4F36875D" w14:textId="77777777">
      <w:pPr>
        <w:tabs>
          <w:tab w:val="left" w:pos="-1440"/>
        </w:tabs>
        <w:ind w:left="720" w:hanging="720"/>
        <w:rPr>
          <w:rFonts w:ascii="Times New Roman" w:hAnsi="Times New Roman"/>
          <w:i/>
          <w:iCs/>
        </w:rPr>
      </w:pPr>
      <w:r w:rsidRPr="00265B0B">
        <w:rPr>
          <w:rFonts w:ascii="Times New Roman" w:hAnsi="Times New Roman"/>
          <w:b/>
        </w:rPr>
        <w:t>10.</w:t>
      </w:r>
      <w:r w:rsidRPr="00265B0B">
        <w:rPr>
          <w:rFonts w:ascii="Times New Roman" w:hAnsi="Times New Roman"/>
          <w:b/>
        </w:rPr>
        <w:tab/>
      </w:r>
      <w:r w:rsidRPr="00265B0B">
        <w:rPr>
          <w:rFonts w:ascii="Times New Roman" w:hAnsi="Times New Roman"/>
          <w:b/>
          <w:iCs/>
        </w:rPr>
        <w:t>Describe any assurance of confidentiality provided to respondents and the basis for the assurance in statute, regulation, or agency policy</w:t>
      </w:r>
      <w:r w:rsidRPr="003F13F4">
        <w:rPr>
          <w:rFonts w:ascii="Times New Roman" w:hAnsi="Times New Roman"/>
          <w:i/>
          <w:iCs/>
        </w:rPr>
        <w:t>.</w:t>
      </w:r>
    </w:p>
    <w:p w:rsidRPr="003F13F4" w:rsidR="00DA2016" w:rsidP="00625FA6" w:rsidRDefault="00DA2016" w14:paraId="79F3CBC8" w14:textId="77777777">
      <w:pPr>
        <w:ind w:left="720"/>
        <w:rPr>
          <w:rFonts w:ascii="Times New Roman" w:hAnsi="Times New Roman"/>
        </w:rPr>
      </w:pPr>
    </w:p>
    <w:p w:rsidRPr="003F13F4" w:rsidR="00DA2016" w:rsidP="00625FA6" w:rsidRDefault="00DA2016" w14:paraId="18DD9F0F" w14:textId="77777777">
      <w:pPr>
        <w:ind w:left="720"/>
        <w:rPr>
          <w:rFonts w:ascii="Times New Roman" w:hAnsi="Times New Roman"/>
        </w:rPr>
      </w:pPr>
      <w:r w:rsidRPr="003F13F4">
        <w:rPr>
          <w:rFonts w:ascii="Times New Roman" w:hAnsi="Times New Roman"/>
        </w:rPr>
        <w:t>The annual reports are required by statute to be disclosed to participants and beneficiaries, and to the public.  As such, the Department provides no assurance of confidentiality to respondents.</w:t>
      </w:r>
    </w:p>
    <w:p w:rsidRPr="003F13F4" w:rsidR="00DA2016" w:rsidP="00625FA6" w:rsidRDefault="00DA2016" w14:paraId="092BCF67" w14:textId="77777777">
      <w:pPr>
        <w:ind w:left="720"/>
        <w:rPr>
          <w:rFonts w:ascii="Times New Roman" w:hAnsi="Times New Roman"/>
        </w:rPr>
      </w:pPr>
    </w:p>
    <w:p w:rsidRPr="00265B0B" w:rsidR="00DA2016" w:rsidP="00625FA6" w:rsidRDefault="00DA2016" w14:paraId="70C06ACC" w14:textId="77777777">
      <w:pPr>
        <w:tabs>
          <w:tab w:val="left" w:pos="-1440"/>
        </w:tabs>
        <w:ind w:left="720" w:hanging="720"/>
        <w:rPr>
          <w:rFonts w:ascii="Times New Roman" w:hAnsi="Times New Roman"/>
          <w:b/>
          <w:iCs/>
        </w:rPr>
      </w:pPr>
      <w:r w:rsidRPr="00265B0B">
        <w:rPr>
          <w:rFonts w:ascii="Times New Roman" w:hAnsi="Times New Roman"/>
          <w:b/>
        </w:rPr>
        <w:t>11.</w:t>
      </w:r>
      <w:r w:rsidRPr="00265B0B">
        <w:rPr>
          <w:rFonts w:ascii="Times New Roman" w:hAnsi="Times New Roman"/>
          <w:b/>
        </w:rPr>
        <w:tab/>
      </w:r>
      <w:r w:rsidRPr="00265B0B">
        <w:rPr>
          <w:rFonts w:ascii="Times New Roman" w:hAnsi="Times New Roman"/>
          <w:b/>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3F13F4" w:rsidR="00DA2016" w:rsidP="00625FA6" w:rsidRDefault="00DA2016" w14:paraId="20CDFFC9" w14:textId="77777777">
      <w:pPr>
        <w:ind w:left="720"/>
        <w:rPr>
          <w:rFonts w:ascii="Times New Roman" w:hAnsi="Times New Roman"/>
          <w:i/>
          <w:iCs/>
        </w:rPr>
      </w:pPr>
    </w:p>
    <w:p w:rsidRPr="003F13F4" w:rsidR="00DA2016" w:rsidP="00625FA6" w:rsidRDefault="00DA2016" w14:paraId="19DA763F" w14:textId="77777777">
      <w:pPr>
        <w:ind w:left="720"/>
        <w:rPr>
          <w:rFonts w:ascii="Times New Roman" w:hAnsi="Times New Roman"/>
        </w:rPr>
      </w:pPr>
      <w:r w:rsidRPr="003F13F4">
        <w:rPr>
          <w:rFonts w:ascii="Times New Roman" w:hAnsi="Times New Roman"/>
        </w:rPr>
        <w:t>None.</w:t>
      </w:r>
    </w:p>
    <w:p w:rsidRPr="003F13F4" w:rsidR="00DA2016" w:rsidP="00625FA6" w:rsidRDefault="00DA2016" w14:paraId="6CF71983" w14:textId="77777777">
      <w:pPr>
        <w:ind w:left="720"/>
        <w:rPr>
          <w:rFonts w:ascii="Times New Roman" w:hAnsi="Times New Roman"/>
        </w:rPr>
      </w:pPr>
    </w:p>
    <w:p w:rsidRPr="00265B0B" w:rsidR="00C45C5C" w:rsidP="00625FA6" w:rsidRDefault="00C45C5C" w14:paraId="5E9AB37E" w14:textId="77777777">
      <w:pPr>
        <w:tabs>
          <w:tab w:val="left" w:pos="-1440"/>
        </w:tabs>
        <w:ind w:left="720" w:hanging="720"/>
        <w:rPr>
          <w:rFonts w:ascii="Times New Roman" w:hAnsi="Times New Roman"/>
          <w:b/>
          <w:iCs/>
        </w:rPr>
      </w:pPr>
      <w:r w:rsidRPr="00265B0B">
        <w:rPr>
          <w:rFonts w:ascii="Times New Roman" w:hAnsi="Times New Roman"/>
          <w:b/>
        </w:rPr>
        <w:t>12.</w:t>
      </w:r>
      <w:r w:rsidRPr="00265B0B">
        <w:rPr>
          <w:rFonts w:ascii="Times New Roman" w:hAnsi="Times New Roman"/>
          <w:b/>
        </w:rPr>
        <w:tab/>
      </w:r>
      <w:r w:rsidRPr="00265B0B">
        <w:rPr>
          <w:rFonts w:ascii="Times New Roman" w:hAnsi="Times New Roman"/>
          <w:b/>
          <w:iCs/>
        </w:rPr>
        <w:t>Provide estimates of the hour burden of the collection of information.  The statement should:</w:t>
      </w:r>
    </w:p>
    <w:p w:rsidRPr="00265B0B" w:rsidR="00C45C5C" w:rsidP="00625FA6" w:rsidRDefault="00C45C5C" w14:paraId="6FE4E12E" w14:textId="77777777">
      <w:pPr>
        <w:tabs>
          <w:tab w:val="left" w:pos="-1440"/>
        </w:tabs>
        <w:ind w:left="1440" w:hanging="720"/>
        <w:rPr>
          <w:rFonts w:ascii="Times New Roman" w:hAnsi="Times New Roman"/>
          <w:b/>
          <w:iCs/>
        </w:rPr>
      </w:pPr>
      <w:r w:rsidRPr="00265B0B">
        <w:rPr>
          <w:rFonts w:ascii="Times New Roman" w:hAnsi="Times New Roman"/>
          <w:b/>
          <w:iCs/>
        </w:rPr>
        <w:t>•</w:t>
      </w:r>
      <w:r w:rsidRPr="00265B0B">
        <w:rPr>
          <w:rFonts w:ascii="Times New Roman" w:hAnsi="Times New Roman"/>
          <w:b/>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265B0B" w:rsidR="00C45C5C" w:rsidP="00625FA6" w:rsidRDefault="00C45C5C" w14:paraId="3A9F9DF1" w14:textId="77777777">
      <w:pPr>
        <w:tabs>
          <w:tab w:val="left" w:pos="-1440"/>
        </w:tabs>
        <w:ind w:left="1440" w:hanging="720"/>
        <w:rPr>
          <w:rFonts w:ascii="Times New Roman" w:hAnsi="Times New Roman"/>
          <w:b/>
          <w:iCs/>
        </w:rPr>
      </w:pPr>
      <w:r w:rsidRPr="00265B0B">
        <w:rPr>
          <w:rFonts w:ascii="Times New Roman" w:hAnsi="Times New Roman"/>
          <w:b/>
          <w:iCs/>
        </w:rPr>
        <w:t>•</w:t>
      </w:r>
      <w:r w:rsidRPr="00265B0B">
        <w:rPr>
          <w:rFonts w:ascii="Times New Roman" w:hAnsi="Times New Roman"/>
          <w:b/>
          <w:iCs/>
        </w:rPr>
        <w:tab/>
        <w:t>If this request for approval covers more than one form, provide separate hour burden estimates for each form and aggregate the hour burden</w:t>
      </w:r>
      <w:r w:rsidRPr="00265B0B" w:rsidR="002108A7">
        <w:rPr>
          <w:rFonts w:ascii="Times New Roman" w:hAnsi="Times New Roman"/>
          <w:b/>
          <w:iCs/>
        </w:rPr>
        <w:t xml:space="preserve">s. </w:t>
      </w:r>
    </w:p>
    <w:p w:rsidRPr="00EF0451" w:rsidR="00EF0451" w:rsidP="00EF0451" w:rsidRDefault="00C45C5C" w14:paraId="187B06B0" w14:textId="77777777">
      <w:pPr>
        <w:tabs>
          <w:tab w:val="left" w:pos="-1440"/>
        </w:tabs>
        <w:ind w:left="1440" w:hanging="720"/>
        <w:rPr>
          <w:rFonts w:ascii="Times New Roman" w:hAnsi="Times New Roman"/>
          <w:b/>
          <w:iCs/>
        </w:rPr>
      </w:pPr>
      <w:r w:rsidRPr="00265B0B">
        <w:rPr>
          <w:rFonts w:ascii="Times New Roman" w:hAnsi="Times New Roman"/>
          <w:b/>
          <w:iCs/>
        </w:rPr>
        <w:t>•</w:t>
      </w:r>
      <w:r w:rsidRPr="00265B0B">
        <w:rPr>
          <w:rFonts w:ascii="Times New Roman" w:hAnsi="Times New Roman"/>
          <w:b/>
          <w:iCs/>
        </w:rPr>
        <w:tab/>
        <w:t xml:space="preserve">Provide estimates of annualized cost to respondents for the hour burdens for </w:t>
      </w:r>
      <w:r w:rsidRPr="00265B0B">
        <w:rPr>
          <w:rFonts w:ascii="Times New Roman" w:hAnsi="Times New Roman"/>
          <w:b/>
          <w:iCs/>
        </w:rPr>
        <w:lastRenderedPageBreak/>
        <w:t>collections of information, identifying and using appropriate wage rate categories.  The cost of contracting out or paying outside parties for information collection activities should not be included here.</w:t>
      </w:r>
      <w:r w:rsidRPr="00EF0451" w:rsidR="00EF0451">
        <w:rPr>
          <w:rFonts w:ascii="Times New Roman" w:hAnsi="Times New Roman"/>
          <w:b/>
        </w:rPr>
        <w:t xml:space="preserve"> </w:t>
      </w:r>
      <w:r w:rsidR="00EF0451">
        <w:rPr>
          <w:rFonts w:ascii="Times New Roman" w:hAnsi="Times New Roman"/>
          <w:b/>
        </w:rPr>
        <w:t xml:space="preserve"> </w:t>
      </w:r>
      <w:r w:rsidRPr="00EF0451" w:rsidR="00EF0451">
        <w:rPr>
          <w:rFonts w:ascii="Times New Roman" w:hAnsi="Times New Roman"/>
          <w:b/>
          <w:iCs/>
        </w:rPr>
        <w:t>Instead, this cost should be included in Item 14.</w:t>
      </w:r>
    </w:p>
    <w:p w:rsidRPr="00EF0451" w:rsidR="00C45C5C" w:rsidP="00EF0451" w:rsidRDefault="00C45C5C" w14:paraId="42BC4323" w14:textId="77777777">
      <w:pPr>
        <w:rPr>
          <w:rFonts w:ascii="Times New Roman" w:hAnsi="Times New Roman"/>
          <w:b/>
        </w:rPr>
      </w:pPr>
    </w:p>
    <w:p w:rsidRPr="000B7C38" w:rsidR="00C45C5C" w:rsidP="00625FA6" w:rsidRDefault="00C45C5C" w14:paraId="4B686E34" w14:textId="0BF6677A">
      <w:pPr>
        <w:ind w:left="720"/>
        <w:rPr>
          <w:rFonts w:ascii="Times New Roman" w:hAnsi="Times New Roman"/>
        </w:rPr>
      </w:pPr>
      <w:r w:rsidRPr="00625FA6">
        <w:rPr>
          <w:rFonts w:ascii="Times New Roman" w:hAnsi="Times New Roman"/>
        </w:rPr>
        <w:t>Burden hour estimates include the time required to determine the appropriate penalty and to submit this penalty amount to the Department.  Using the average number of plans that participat</w:t>
      </w:r>
      <w:r w:rsidR="00A87C92">
        <w:rPr>
          <w:rFonts w:ascii="Times New Roman" w:hAnsi="Times New Roman"/>
        </w:rPr>
        <w:t xml:space="preserve">ing in the program </w:t>
      </w:r>
      <w:r w:rsidR="00D9429A">
        <w:rPr>
          <w:rFonts w:ascii="Times New Roman" w:hAnsi="Times New Roman"/>
        </w:rPr>
        <w:t xml:space="preserve">from </w:t>
      </w:r>
      <w:r w:rsidRPr="00625FA6" w:rsidR="00D9429A">
        <w:rPr>
          <w:rFonts w:ascii="Times New Roman" w:hAnsi="Times New Roman"/>
        </w:rPr>
        <w:t>2017</w:t>
      </w:r>
      <w:r w:rsidRPr="00625FA6" w:rsidR="00EC43E8">
        <w:rPr>
          <w:rFonts w:ascii="Times New Roman" w:hAnsi="Times New Roman"/>
        </w:rPr>
        <w:t xml:space="preserve"> </w:t>
      </w:r>
      <w:r w:rsidRPr="00625FA6">
        <w:rPr>
          <w:rFonts w:ascii="Times New Roman" w:hAnsi="Times New Roman"/>
        </w:rPr>
        <w:t xml:space="preserve">through </w:t>
      </w:r>
      <w:r w:rsidR="00EC43E8">
        <w:rPr>
          <w:rFonts w:ascii="Times New Roman" w:hAnsi="Times New Roman"/>
        </w:rPr>
        <w:t>2019</w:t>
      </w:r>
      <w:r w:rsidRPr="000B7C38" w:rsidR="005A071D">
        <w:rPr>
          <w:rFonts w:ascii="Times New Roman" w:hAnsi="Times New Roman"/>
        </w:rPr>
        <w:t>,</w:t>
      </w:r>
      <w:r w:rsidRPr="000B7C38">
        <w:rPr>
          <w:rFonts w:ascii="Times New Roman" w:hAnsi="Times New Roman"/>
        </w:rPr>
        <w:t xml:space="preserve"> the Department estimates the number of employee benefit plans filing annually under the DFVC Program is approximately </w:t>
      </w:r>
      <w:r w:rsidR="00EC43E8">
        <w:rPr>
          <w:rFonts w:ascii="Times New Roman" w:hAnsi="Times New Roman"/>
        </w:rPr>
        <w:t>10,350</w:t>
      </w:r>
      <w:r w:rsidRPr="000B7C38">
        <w:rPr>
          <w:rFonts w:ascii="Times New Roman" w:hAnsi="Times New Roman"/>
        </w:rPr>
        <w:t>.</w:t>
      </w:r>
    </w:p>
    <w:p w:rsidRPr="000B7C38" w:rsidR="00C45C5C" w:rsidP="00625FA6" w:rsidRDefault="00C45C5C" w14:paraId="0058AE97" w14:textId="77777777">
      <w:pPr>
        <w:ind w:left="720"/>
        <w:rPr>
          <w:rFonts w:ascii="Times New Roman" w:hAnsi="Times New Roman"/>
        </w:rPr>
      </w:pPr>
    </w:p>
    <w:p w:rsidRPr="00864EFF" w:rsidR="00C45C5C" w:rsidP="00625FA6" w:rsidRDefault="00C45C5C" w14:paraId="652E8755" w14:textId="71296C7A">
      <w:pPr>
        <w:ind w:left="720"/>
        <w:rPr>
          <w:rFonts w:ascii="Times New Roman" w:hAnsi="Times New Roman"/>
          <w:i/>
          <w:iCs/>
        </w:rPr>
      </w:pPr>
      <w:r w:rsidRPr="00F44A14">
        <w:rPr>
          <w:rFonts w:ascii="Times New Roman" w:hAnsi="Times New Roman"/>
        </w:rPr>
        <w:t>Participation in the DFVC Program is voluntary.</w:t>
      </w:r>
      <w:r w:rsidRPr="00F44A14">
        <w:rPr>
          <w:rFonts w:ascii="Times New Roman" w:hAnsi="Times New Roman"/>
          <w:i/>
          <w:iCs/>
        </w:rPr>
        <w:t xml:space="preserve">  </w:t>
      </w:r>
      <w:r w:rsidRPr="007C397F">
        <w:rPr>
          <w:rFonts w:ascii="Times New Roman" w:hAnsi="Times New Roman"/>
        </w:rPr>
        <w:t xml:space="preserve">The annual burden per filing is estimated to be approximately </w:t>
      </w:r>
      <w:r w:rsidRPr="007C397F" w:rsidR="00AE7D7F">
        <w:rPr>
          <w:rFonts w:ascii="Times New Roman" w:hAnsi="Times New Roman"/>
        </w:rPr>
        <w:t>30</w:t>
      </w:r>
      <w:r w:rsidRPr="007C397F">
        <w:rPr>
          <w:rFonts w:ascii="Times New Roman" w:hAnsi="Times New Roman"/>
        </w:rPr>
        <w:t xml:space="preserve"> minutes performed by a financial professional at an hourly labor rate of $</w:t>
      </w:r>
      <w:r w:rsidR="00EE4D90">
        <w:rPr>
          <w:rFonts w:ascii="Times New Roman" w:hAnsi="Times New Roman"/>
        </w:rPr>
        <w:t>165.63</w:t>
      </w:r>
      <w:r w:rsidRPr="00235680" w:rsidR="004971FB">
        <w:rPr>
          <w:rFonts w:ascii="Times New Roman" w:hAnsi="Times New Roman"/>
        </w:rPr>
        <w:t>.</w:t>
      </w:r>
      <w:r w:rsidRPr="00864EFF">
        <w:rPr>
          <w:rStyle w:val="FootnoteReference"/>
          <w:rFonts w:ascii="Times New Roman" w:hAnsi="Times New Roman"/>
          <w:vertAlign w:val="superscript"/>
        </w:rPr>
        <w:footnoteReference w:id="2"/>
      </w:r>
      <w:r w:rsidRPr="00864EFF">
        <w:rPr>
          <w:rFonts w:ascii="Times New Roman" w:hAnsi="Times New Roman"/>
        </w:rPr>
        <w:t xml:space="preserve">  The reporting burden on respondents is not expected to vary widely because of differences in activity, size, or complexity. </w:t>
      </w:r>
    </w:p>
    <w:p w:rsidRPr="00583D17" w:rsidR="00C45C5C" w:rsidP="00625FA6" w:rsidRDefault="00C45C5C" w14:paraId="450AB5BA" w14:textId="77777777">
      <w:pPr>
        <w:ind w:left="720"/>
        <w:rPr>
          <w:rFonts w:ascii="Times New Roman" w:hAnsi="Times New Roman"/>
          <w:i/>
          <w:iCs/>
        </w:rPr>
      </w:pPr>
    </w:p>
    <w:p w:rsidR="00C45C5C" w:rsidP="00625FA6" w:rsidRDefault="00C45C5C" w14:paraId="46EA6D5F" w14:textId="762032D0">
      <w:pPr>
        <w:ind w:left="720"/>
        <w:rPr>
          <w:rFonts w:ascii="Times New Roman" w:hAnsi="Times New Roman"/>
        </w:rPr>
      </w:pPr>
      <w:r w:rsidRPr="00625FA6">
        <w:rPr>
          <w:rFonts w:ascii="Times New Roman" w:hAnsi="Times New Roman"/>
        </w:rPr>
        <w:t xml:space="preserve">The total annual burden hour estimate is based on the assumption that 90 percent of DVFC Program filings are prepared by service providers, and the remaining 10 percent by in-house staff.  The hour burden for the in-house preparation is considered in </w:t>
      </w:r>
      <w:r w:rsidR="00235680">
        <w:rPr>
          <w:rFonts w:ascii="Times New Roman" w:hAnsi="Times New Roman"/>
        </w:rPr>
        <w:t>this Item</w:t>
      </w:r>
      <w:r w:rsidRPr="00625FA6">
        <w:rPr>
          <w:rFonts w:ascii="Times New Roman" w:hAnsi="Times New Roman"/>
        </w:rPr>
        <w:t xml:space="preserve"> 12; the cost burden for the preparation by service providers is considered in </w:t>
      </w:r>
      <w:r w:rsidR="00235680">
        <w:rPr>
          <w:rFonts w:ascii="Times New Roman" w:hAnsi="Times New Roman"/>
        </w:rPr>
        <w:t>Item</w:t>
      </w:r>
      <w:r w:rsidRPr="00625FA6">
        <w:rPr>
          <w:rFonts w:ascii="Times New Roman" w:hAnsi="Times New Roman"/>
        </w:rPr>
        <w:t xml:space="preserve"> 13</w:t>
      </w:r>
      <w:r w:rsidRPr="00625FA6" w:rsidR="00D9429A">
        <w:rPr>
          <w:rFonts w:ascii="Times New Roman" w:hAnsi="Times New Roman"/>
        </w:rPr>
        <w:t xml:space="preserve">.  </w:t>
      </w:r>
      <w:r w:rsidRPr="00625FA6">
        <w:rPr>
          <w:rFonts w:ascii="Times New Roman" w:hAnsi="Times New Roman"/>
        </w:rPr>
        <w:t xml:space="preserve">Therefore, the total annual hour burden is estimated to be about </w:t>
      </w:r>
      <w:r w:rsidR="001B014A">
        <w:rPr>
          <w:rFonts w:ascii="Times New Roman" w:hAnsi="Times New Roman"/>
        </w:rPr>
        <w:t>518</w:t>
      </w:r>
      <w:r w:rsidRPr="00625FA6" w:rsidR="001B014A">
        <w:rPr>
          <w:rFonts w:ascii="Times New Roman" w:hAnsi="Times New Roman"/>
        </w:rPr>
        <w:t xml:space="preserve"> </w:t>
      </w:r>
      <w:r w:rsidRPr="00625FA6" w:rsidR="000F55A1">
        <w:rPr>
          <w:rFonts w:ascii="Times New Roman" w:hAnsi="Times New Roman"/>
        </w:rPr>
        <w:t xml:space="preserve">hours </w:t>
      </w:r>
      <w:r w:rsidRPr="00625FA6">
        <w:rPr>
          <w:rFonts w:ascii="Times New Roman" w:hAnsi="Times New Roman"/>
        </w:rPr>
        <w:t>(</w:t>
      </w:r>
      <w:r w:rsidR="001B014A">
        <w:rPr>
          <w:rFonts w:ascii="Times New Roman" w:hAnsi="Times New Roman"/>
        </w:rPr>
        <w:t>10,350</w:t>
      </w:r>
      <w:r w:rsidRPr="00625FA6" w:rsidR="00365456">
        <w:rPr>
          <w:rFonts w:ascii="Times New Roman" w:hAnsi="Times New Roman"/>
        </w:rPr>
        <w:t xml:space="preserve"> </w:t>
      </w:r>
      <w:r w:rsidRPr="00625FA6">
        <w:rPr>
          <w:rFonts w:ascii="Times New Roman" w:hAnsi="Times New Roman"/>
        </w:rPr>
        <w:t xml:space="preserve">plan filings x </w:t>
      </w:r>
      <w:r w:rsidRPr="00625FA6" w:rsidR="00AE7D7F">
        <w:rPr>
          <w:rFonts w:ascii="Times New Roman" w:hAnsi="Times New Roman"/>
        </w:rPr>
        <w:t>30</w:t>
      </w:r>
      <w:r w:rsidRPr="00625FA6">
        <w:rPr>
          <w:rFonts w:ascii="Times New Roman" w:hAnsi="Times New Roman"/>
        </w:rPr>
        <w:t xml:space="preserve"> minutes x 10%).  The equivalent cost of these burden hours for filings prepared in-house is estimated to be $</w:t>
      </w:r>
      <w:r w:rsidR="001B014A">
        <w:rPr>
          <w:rFonts w:ascii="Times New Roman" w:hAnsi="Times New Roman"/>
        </w:rPr>
        <w:t>85,714</w:t>
      </w:r>
      <w:r w:rsidRPr="00625FA6">
        <w:rPr>
          <w:rFonts w:ascii="Times New Roman" w:hAnsi="Times New Roman"/>
        </w:rPr>
        <w:t xml:space="preserve"> (</w:t>
      </w:r>
      <w:r w:rsidR="001B014A">
        <w:rPr>
          <w:rFonts w:ascii="Times New Roman" w:hAnsi="Times New Roman"/>
        </w:rPr>
        <w:t>10,350</w:t>
      </w:r>
      <w:r w:rsidRPr="000B7C38">
        <w:rPr>
          <w:rFonts w:ascii="Times New Roman" w:hAnsi="Times New Roman"/>
        </w:rPr>
        <w:t xml:space="preserve"> plan filings x </w:t>
      </w:r>
      <w:r w:rsidRPr="000B7C38" w:rsidR="00AE7D7F">
        <w:rPr>
          <w:rFonts w:ascii="Times New Roman" w:hAnsi="Times New Roman"/>
        </w:rPr>
        <w:t>30</w:t>
      </w:r>
      <w:r w:rsidRPr="000B7C38">
        <w:rPr>
          <w:rFonts w:ascii="Times New Roman" w:hAnsi="Times New Roman"/>
        </w:rPr>
        <w:t xml:space="preserve"> minutes x 10% </w:t>
      </w:r>
      <w:r w:rsidR="00583D17">
        <w:rPr>
          <w:rFonts w:ascii="Times New Roman" w:hAnsi="Times New Roman"/>
        </w:rPr>
        <w:t>x</w:t>
      </w:r>
      <w:r w:rsidRPr="00583D17">
        <w:rPr>
          <w:rFonts w:ascii="Times New Roman" w:hAnsi="Times New Roman"/>
        </w:rPr>
        <w:t xml:space="preserve"> $</w:t>
      </w:r>
      <w:r w:rsidR="00EE4D90">
        <w:rPr>
          <w:rFonts w:ascii="Times New Roman" w:hAnsi="Times New Roman"/>
        </w:rPr>
        <w:t>165.63</w:t>
      </w:r>
      <w:r w:rsidRPr="00F43BDD">
        <w:rPr>
          <w:rFonts w:ascii="Times New Roman" w:hAnsi="Times New Roman"/>
        </w:rPr>
        <w:t>).</w:t>
      </w:r>
    </w:p>
    <w:p w:rsidR="00A934FA" w:rsidP="008B5805" w:rsidRDefault="00A934FA" w14:paraId="35501B37" w14:textId="77777777">
      <w:pPr>
        <w:rPr>
          <w:rFonts w:ascii="Times New Roman" w:hAnsi="Times New Roman"/>
        </w:rPr>
      </w:pPr>
    </w:p>
    <w:p w:rsidRPr="00734B6C" w:rsidR="00734B6C" w:rsidP="00734B6C" w:rsidRDefault="00734B6C" w14:paraId="5D30EA90" w14:textId="77777777">
      <w:pPr>
        <w:widowControl/>
        <w:autoSpaceDE/>
        <w:autoSpaceDN/>
        <w:adjustRightInd/>
        <w:ind w:left="720"/>
        <w:jc w:val="center"/>
        <w:rPr>
          <w:rFonts w:ascii="Times New Roman" w:hAnsi="Times New Roman"/>
          <w:i/>
          <w:iCs/>
        </w:rPr>
      </w:pPr>
      <w:r w:rsidRPr="00734B6C">
        <w:rPr>
          <w:rFonts w:ascii="Times New Roman" w:hAnsi="Times New Roman"/>
          <w:b/>
          <w:iCs/>
        </w:rPr>
        <w:t>Estimated Annualized Respondent Cost and Hour Burden</w:t>
      </w:r>
    </w:p>
    <w:p w:rsidRPr="00734B6C" w:rsidR="00734B6C" w:rsidP="00734B6C" w:rsidRDefault="00734B6C" w14:paraId="38A3917F" w14:textId="77777777">
      <w:pPr>
        <w:widowControl/>
        <w:autoSpaceDE/>
        <w:autoSpaceDN/>
        <w:adjustRightInd/>
        <w:ind w:left="720"/>
        <w:rPr>
          <w:rFonts w:ascii="Times New Roman" w:hAnsi="Times New Roman"/>
          <w:iCs/>
        </w:rPr>
      </w:pPr>
    </w:p>
    <w:tbl>
      <w:tblPr>
        <w:tblW w:w="11250" w:type="dxa"/>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60"/>
        <w:gridCol w:w="1440"/>
        <w:gridCol w:w="1440"/>
        <w:gridCol w:w="1260"/>
        <w:gridCol w:w="1170"/>
        <w:gridCol w:w="1260"/>
        <w:gridCol w:w="990"/>
        <w:gridCol w:w="1530"/>
      </w:tblGrid>
      <w:tr w:rsidRPr="00734B6C" w:rsidR="00734B6C" w:rsidTr="00F73927" w14:paraId="3DC0C81D" w14:textId="77777777">
        <w:tc>
          <w:tcPr>
            <w:tcW w:w="2160" w:type="dxa"/>
            <w:tcBorders>
              <w:top w:val="single" w:color="auto" w:sz="4" w:space="0"/>
              <w:left w:val="single" w:color="auto" w:sz="4" w:space="0"/>
              <w:bottom w:val="single" w:color="auto" w:sz="4" w:space="0"/>
              <w:right w:val="single" w:color="auto" w:sz="4" w:space="0"/>
            </w:tcBorders>
            <w:shd w:val="clear" w:color="auto" w:fill="8DB3E2"/>
            <w:vAlign w:val="center"/>
          </w:tcPr>
          <w:p w:rsidRPr="00734B6C" w:rsidR="00734B6C" w:rsidP="00734B6C" w:rsidRDefault="00734B6C" w14:paraId="76118049" w14:textId="77777777">
            <w:pPr>
              <w:widowControl/>
              <w:autoSpaceDE/>
              <w:autoSpaceDN/>
              <w:adjustRightInd/>
              <w:spacing w:line="276" w:lineRule="auto"/>
              <w:jc w:val="center"/>
              <w:rPr>
                <w:rFonts w:ascii="Times New Roman" w:hAnsi="Times New Roman"/>
                <w:sz w:val="22"/>
                <w:szCs w:val="22"/>
              </w:rPr>
            </w:pPr>
            <w:r w:rsidRPr="00734B6C">
              <w:rPr>
                <w:rFonts w:ascii="Times New Roman" w:hAnsi="Times New Roman"/>
                <w:b/>
                <w:sz w:val="22"/>
                <w:szCs w:val="22"/>
              </w:rPr>
              <w:t>Activity</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734B6C" w:rsidR="00734B6C" w:rsidP="00734B6C" w:rsidRDefault="00734B6C" w14:paraId="187377D8" w14:textId="77777777">
            <w:pPr>
              <w:widowControl/>
              <w:autoSpaceDE/>
              <w:autoSpaceDN/>
              <w:adjustRightInd/>
              <w:spacing w:line="276" w:lineRule="auto"/>
              <w:jc w:val="center"/>
              <w:rPr>
                <w:rFonts w:ascii="Times New Roman" w:hAnsi="Times New Roman"/>
                <w:b/>
                <w:sz w:val="22"/>
                <w:szCs w:val="22"/>
              </w:rPr>
            </w:pPr>
            <w:r w:rsidRPr="00734B6C">
              <w:rPr>
                <w:rFonts w:ascii="Times New Roman" w:hAnsi="Times New Roman"/>
                <w:b/>
                <w:sz w:val="22"/>
                <w:szCs w:val="22"/>
              </w:rPr>
              <w:t xml:space="preserve">No. </w:t>
            </w:r>
          </w:p>
          <w:p w:rsidRPr="00734B6C" w:rsidR="00734B6C" w:rsidP="00734B6C" w:rsidRDefault="00734B6C" w14:paraId="20C94EBF" w14:textId="77777777">
            <w:pPr>
              <w:widowControl/>
              <w:autoSpaceDE/>
              <w:autoSpaceDN/>
              <w:adjustRightInd/>
              <w:spacing w:line="276" w:lineRule="auto"/>
              <w:jc w:val="center"/>
              <w:rPr>
                <w:rFonts w:ascii="Times New Roman" w:hAnsi="Times New Roman"/>
                <w:sz w:val="22"/>
                <w:szCs w:val="22"/>
              </w:rPr>
            </w:pPr>
            <w:r w:rsidRPr="00734B6C">
              <w:rPr>
                <w:rFonts w:ascii="Times New Roman" w:hAnsi="Times New Roman"/>
                <w:b/>
                <w:sz w:val="22"/>
                <w:szCs w:val="22"/>
              </w:rPr>
              <w:t>of Respondents</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734B6C" w:rsidR="00734B6C" w:rsidP="00734B6C" w:rsidRDefault="00734B6C" w14:paraId="65DEAE7B" w14:textId="77777777">
            <w:pPr>
              <w:widowControl/>
              <w:autoSpaceDE/>
              <w:autoSpaceDN/>
              <w:adjustRightInd/>
              <w:spacing w:line="276" w:lineRule="auto"/>
              <w:jc w:val="center"/>
              <w:rPr>
                <w:rFonts w:ascii="Times New Roman" w:hAnsi="Times New Roman"/>
                <w:b/>
                <w:sz w:val="22"/>
                <w:szCs w:val="22"/>
              </w:rPr>
            </w:pPr>
          </w:p>
          <w:p w:rsidRPr="00734B6C" w:rsidR="00734B6C" w:rsidP="00734B6C" w:rsidRDefault="00734B6C" w14:paraId="2AD88E42" w14:textId="77777777">
            <w:pPr>
              <w:widowControl/>
              <w:autoSpaceDE/>
              <w:autoSpaceDN/>
              <w:adjustRightInd/>
              <w:spacing w:line="276" w:lineRule="auto"/>
              <w:jc w:val="center"/>
              <w:rPr>
                <w:rFonts w:ascii="Times New Roman" w:hAnsi="Times New Roman"/>
                <w:b/>
                <w:sz w:val="22"/>
                <w:szCs w:val="22"/>
              </w:rPr>
            </w:pPr>
            <w:r w:rsidRPr="00734B6C">
              <w:rPr>
                <w:rFonts w:ascii="Times New Roman" w:hAnsi="Times New Roman"/>
                <w:b/>
                <w:sz w:val="22"/>
                <w:szCs w:val="22"/>
              </w:rPr>
              <w:t>No. of Responses</w:t>
            </w:r>
          </w:p>
          <w:p w:rsidRPr="00734B6C" w:rsidR="00734B6C" w:rsidP="00734B6C" w:rsidRDefault="00734B6C" w14:paraId="50D65131" w14:textId="77777777">
            <w:pPr>
              <w:widowControl/>
              <w:autoSpaceDE/>
              <w:autoSpaceDN/>
              <w:adjustRightInd/>
              <w:spacing w:line="276" w:lineRule="auto"/>
              <w:jc w:val="center"/>
              <w:rPr>
                <w:rFonts w:ascii="Times New Roman" w:hAnsi="Times New Roman"/>
                <w:sz w:val="22"/>
                <w:szCs w:val="22"/>
              </w:rPr>
            </w:pPr>
            <w:r w:rsidRPr="00734B6C">
              <w:rPr>
                <w:rFonts w:ascii="Times New Roman" w:hAnsi="Times New Roman"/>
                <w:b/>
                <w:sz w:val="22"/>
                <w:szCs w:val="22"/>
              </w:rPr>
              <w:t>per Respondent</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734B6C" w:rsidR="00734B6C" w:rsidP="00734B6C" w:rsidRDefault="00734B6C" w14:paraId="48F5AF20" w14:textId="77777777">
            <w:pPr>
              <w:widowControl/>
              <w:autoSpaceDE/>
              <w:autoSpaceDN/>
              <w:adjustRightInd/>
              <w:spacing w:line="276" w:lineRule="auto"/>
              <w:jc w:val="center"/>
              <w:rPr>
                <w:rFonts w:ascii="Times New Roman" w:hAnsi="Times New Roman"/>
                <w:sz w:val="22"/>
                <w:szCs w:val="22"/>
              </w:rPr>
            </w:pPr>
            <w:r w:rsidRPr="00734B6C">
              <w:rPr>
                <w:rFonts w:ascii="Times New Roman" w:hAnsi="Times New Roman"/>
                <w:b/>
                <w:sz w:val="22"/>
                <w:szCs w:val="22"/>
              </w:rPr>
              <w:t>Total Responses</w:t>
            </w:r>
          </w:p>
        </w:tc>
        <w:tc>
          <w:tcPr>
            <w:tcW w:w="117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734B6C" w:rsidR="00734B6C" w:rsidP="00734B6C" w:rsidRDefault="00734B6C" w14:paraId="144C2ECD" w14:textId="77777777">
            <w:pPr>
              <w:widowControl/>
              <w:autoSpaceDE/>
              <w:autoSpaceDN/>
              <w:adjustRightInd/>
              <w:spacing w:line="276" w:lineRule="auto"/>
              <w:jc w:val="center"/>
              <w:rPr>
                <w:rFonts w:ascii="Times New Roman" w:hAnsi="Times New Roman"/>
                <w:sz w:val="22"/>
                <w:szCs w:val="22"/>
              </w:rPr>
            </w:pPr>
            <w:r w:rsidRPr="00734B6C">
              <w:rPr>
                <w:rFonts w:ascii="Times New Roman" w:hAnsi="Times New Roman"/>
                <w:b/>
                <w:sz w:val="22"/>
                <w:szCs w:val="22"/>
              </w:rPr>
              <w:t>Average Burden (Hours)</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734B6C" w:rsidR="00734B6C" w:rsidP="00734B6C" w:rsidRDefault="00734B6C" w14:paraId="49AC2F96" w14:textId="77777777">
            <w:pPr>
              <w:widowControl/>
              <w:autoSpaceDE/>
              <w:autoSpaceDN/>
              <w:adjustRightInd/>
              <w:spacing w:line="276" w:lineRule="auto"/>
              <w:jc w:val="center"/>
              <w:rPr>
                <w:rFonts w:ascii="Times New Roman" w:hAnsi="Times New Roman"/>
                <w:sz w:val="22"/>
                <w:szCs w:val="22"/>
              </w:rPr>
            </w:pPr>
            <w:r w:rsidRPr="00734B6C">
              <w:rPr>
                <w:rFonts w:ascii="Times New Roman" w:hAnsi="Times New Roman"/>
                <w:b/>
                <w:sz w:val="22"/>
                <w:szCs w:val="22"/>
              </w:rPr>
              <w:t>Total Burden (Hours)</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734B6C" w:rsidR="00734B6C" w:rsidP="00734B6C" w:rsidRDefault="00734B6C" w14:paraId="6DAA6169" w14:textId="77777777">
            <w:pPr>
              <w:widowControl/>
              <w:autoSpaceDE/>
              <w:autoSpaceDN/>
              <w:adjustRightInd/>
              <w:spacing w:line="276" w:lineRule="auto"/>
              <w:jc w:val="center"/>
              <w:rPr>
                <w:rFonts w:ascii="Times New Roman" w:hAnsi="Times New Roman"/>
                <w:b/>
                <w:sz w:val="22"/>
                <w:szCs w:val="22"/>
              </w:rPr>
            </w:pPr>
            <w:r w:rsidRPr="00734B6C">
              <w:rPr>
                <w:rFonts w:ascii="Times New Roman" w:hAnsi="Times New Roman"/>
                <w:b/>
                <w:sz w:val="22"/>
                <w:szCs w:val="22"/>
              </w:rPr>
              <w:t>Hourly</w:t>
            </w:r>
          </w:p>
          <w:p w:rsidRPr="00734B6C" w:rsidR="00734B6C" w:rsidP="00734B6C" w:rsidRDefault="00734B6C" w14:paraId="3C67E3C5" w14:textId="77777777">
            <w:pPr>
              <w:widowControl/>
              <w:autoSpaceDE/>
              <w:autoSpaceDN/>
              <w:adjustRightInd/>
              <w:spacing w:line="276" w:lineRule="auto"/>
              <w:jc w:val="center"/>
              <w:rPr>
                <w:rFonts w:ascii="Times New Roman" w:hAnsi="Times New Roman"/>
                <w:sz w:val="22"/>
                <w:szCs w:val="22"/>
              </w:rPr>
            </w:pPr>
            <w:r w:rsidRPr="00734B6C">
              <w:rPr>
                <w:rFonts w:ascii="Times New Roman" w:hAnsi="Times New Roman"/>
                <w:b/>
                <w:sz w:val="22"/>
                <w:szCs w:val="22"/>
              </w:rPr>
              <w:t>Wage Rate</w:t>
            </w:r>
          </w:p>
        </w:tc>
        <w:tc>
          <w:tcPr>
            <w:tcW w:w="153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734B6C" w:rsidR="00734B6C" w:rsidP="00734B6C" w:rsidRDefault="001259C9" w14:paraId="7899C252" w14:textId="1E78A13C">
            <w:pPr>
              <w:widowControl/>
              <w:autoSpaceDE/>
              <w:autoSpaceDN/>
              <w:adjustRightInd/>
              <w:spacing w:line="276" w:lineRule="auto"/>
              <w:jc w:val="center"/>
              <w:rPr>
                <w:rFonts w:ascii="Times New Roman" w:hAnsi="Times New Roman"/>
                <w:sz w:val="22"/>
                <w:szCs w:val="22"/>
              </w:rPr>
            </w:pPr>
            <w:r w:rsidRPr="00A224BA">
              <w:rPr>
                <w:rFonts w:ascii="Times New Roman" w:hAnsi="Times New Roman"/>
                <w:b/>
                <w:sz w:val="22"/>
                <w:szCs w:val="22"/>
              </w:rPr>
              <w:t>Monetized Value of Respondent Time</w:t>
            </w:r>
          </w:p>
        </w:tc>
      </w:tr>
      <w:tr w:rsidRPr="00734B6C" w:rsidR="00734B6C" w:rsidTr="00F73927" w14:paraId="26F99172" w14:textId="77777777">
        <w:tc>
          <w:tcPr>
            <w:tcW w:w="2160" w:type="dxa"/>
            <w:tcBorders>
              <w:top w:val="single" w:color="auto" w:sz="4" w:space="0"/>
              <w:left w:val="single" w:color="auto" w:sz="4" w:space="0"/>
              <w:bottom w:val="single" w:color="auto" w:sz="4" w:space="0"/>
              <w:right w:val="single" w:color="auto" w:sz="4" w:space="0"/>
            </w:tcBorders>
          </w:tcPr>
          <w:p w:rsidRPr="00734B6C" w:rsidR="00734B6C" w:rsidP="00734B6C" w:rsidRDefault="00777698" w14:paraId="27C9D1FC" w14:textId="77777777">
            <w:pPr>
              <w:widowControl/>
              <w:autoSpaceDE/>
              <w:autoSpaceDN/>
              <w:adjustRightInd/>
              <w:spacing w:line="276" w:lineRule="auto"/>
              <w:rPr>
                <w:rFonts w:ascii="Times New Roman" w:hAnsi="Times New Roman"/>
                <w:iCs/>
                <w:sz w:val="22"/>
                <w:szCs w:val="22"/>
              </w:rPr>
            </w:pPr>
            <w:r>
              <w:rPr>
                <w:rFonts w:ascii="Times New Roman" w:hAnsi="Times New Roman"/>
                <w:iCs/>
                <w:sz w:val="22"/>
                <w:szCs w:val="22"/>
              </w:rPr>
              <w:t>In-House P</w:t>
            </w:r>
            <w:r w:rsidRPr="00777698">
              <w:rPr>
                <w:rFonts w:ascii="Times New Roman" w:hAnsi="Times New Roman"/>
                <w:iCs/>
                <w:sz w:val="22"/>
                <w:szCs w:val="22"/>
              </w:rPr>
              <w:t>reparation</w:t>
            </w:r>
            <w:r>
              <w:rPr>
                <w:rFonts w:ascii="Times New Roman" w:hAnsi="Times New Roman"/>
                <w:iCs/>
                <w:sz w:val="22"/>
                <w:szCs w:val="22"/>
              </w:rPr>
              <w:t xml:space="preserve"> for DFVC Program filings</w:t>
            </w:r>
          </w:p>
        </w:tc>
        <w:tc>
          <w:tcPr>
            <w:tcW w:w="1440" w:type="dxa"/>
            <w:tcBorders>
              <w:top w:val="single" w:color="auto" w:sz="4" w:space="0"/>
              <w:left w:val="single" w:color="auto" w:sz="4" w:space="0"/>
              <w:bottom w:val="single" w:color="auto" w:sz="4" w:space="0"/>
              <w:right w:val="single" w:color="auto" w:sz="4" w:space="0"/>
            </w:tcBorders>
            <w:vAlign w:val="bottom"/>
          </w:tcPr>
          <w:p w:rsidRPr="00734B6C" w:rsidR="00734B6C" w:rsidP="00D60A83" w:rsidRDefault="0088479D" w14:paraId="04897509" w14:textId="69ED1673">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1,035</w:t>
            </w:r>
          </w:p>
        </w:tc>
        <w:tc>
          <w:tcPr>
            <w:tcW w:w="1440" w:type="dxa"/>
            <w:tcBorders>
              <w:top w:val="single" w:color="auto" w:sz="4" w:space="0"/>
              <w:left w:val="single" w:color="auto" w:sz="4" w:space="0"/>
              <w:bottom w:val="single" w:color="auto" w:sz="4" w:space="0"/>
              <w:right w:val="single" w:color="auto" w:sz="4" w:space="0"/>
            </w:tcBorders>
            <w:vAlign w:val="bottom"/>
          </w:tcPr>
          <w:p w:rsidRPr="00734B6C" w:rsidR="00734B6C" w:rsidP="00734B6C" w:rsidRDefault="00D60A83" w14:paraId="285B8E7F"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w:t>
            </w:r>
          </w:p>
        </w:tc>
        <w:tc>
          <w:tcPr>
            <w:tcW w:w="1260" w:type="dxa"/>
            <w:tcBorders>
              <w:top w:val="single" w:color="auto" w:sz="4" w:space="0"/>
              <w:left w:val="single" w:color="auto" w:sz="4" w:space="0"/>
              <w:bottom w:val="single" w:color="auto" w:sz="4" w:space="0"/>
              <w:right w:val="single" w:color="auto" w:sz="4" w:space="0"/>
            </w:tcBorders>
            <w:vAlign w:val="bottom"/>
          </w:tcPr>
          <w:p w:rsidRPr="00734B6C" w:rsidR="00734B6C" w:rsidP="00734B6C" w:rsidRDefault="0088479D" w14:paraId="5B7668C4" w14:textId="321C0CD5">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1,035</w:t>
            </w:r>
          </w:p>
        </w:tc>
        <w:tc>
          <w:tcPr>
            <w:tcW w:w="1170" w:type="dxa"/>
            <w:tcBorders>
              <w:top w:val="single" w:color="auto" w:sz="4" w:space="0"/>
              <w:left w:val="single" w:color="auto" w:sz="4" w:space="0"/>
              <w:bottom w:val="single" w:color="auto" w:sz="4" w:space="0"/>
              <w:right w:val="single" w:color="auto" w:sz="4" w:space="0"/>
            </w:tcBorders>
            <w:vAlign w:val="bottom"/>
          </w:tcPr>
          <w:p w:rsidRPr="00734B6C" w:rsidR="00734B6C" w:rsidP="00734B6C" w:rsidRDefault="006933F3" w14:paraId="689DFDBE"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0.5</w:t>
            </w:r>
          </w:p>
        </w:tc>
        <w:tc>
          <w:tcPr>
            <w:tcW w:w="1260" w:type="dxa"/>
            <w:tcBorders>
              <w:top w:val="single" w:color="auto" w:sz="4" w:space="0"/>
              <w:left w:val="single" w:color="auto" w:sz="4" w:space="0"/>
              <w:bottom w:val="single" w:color="auto" w:sz="4" w:space="0"/>
              <w:right w:val="single" w:color="auto" w:sz="4" w:space="0"/>
            </w:tcBorders>
            <w:vAlign w:val="bottom"/>
          </w:tcPr>
          <w:p w:rsidRPr="00734B6C" w:rsidR="00734B6C" w:rsidP="00734B6C" w:rsidRDefault="0091251A" w14:paraId="101C5A5D"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518</w:t>
            </w:r>
          </w:p>
        </w:tc>
        <w:tc>
          <w:tcPr>
            <w:tcW w:w="990" w:type="dxa"/>
            <w:tcBorders>
              <w:top w:val="single" w:color="auto" w:sz="4" w:space="0"/>
              <w:left w:val="single" w:color="auto" w:sz="4" w:space="0"/>
              <w:bottom w:val="single" w:color="auto" w:sz="4" w:space="0"/>
              <w:right w:val="single" w:color="auto" w:sz="4" w:space="0"/>
            </w:tcBorders>
            <w:vAlign w:val="bottom"/>
          </w:tcPr>
          <w:p w:rsidRPr="00734B6C" w:rsidR="00734B6C" w:rsidP="00734B6C" w:rsidRDefault="00E04632" w14:paraId="2AC34A53"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$165.63</w:t>
            </w:r>
          </w:p>
        </w:tc>
        <w:tc>
          <w:tcPr>
            <w:tcW w:w="1530" w:type="dxa"/>
            <w:tcBorders>
              <w:top w:val="single" w:color="auto" w:sz="4" w:space="0"/>
              <w:left w:val="single" w:color="auto" w:sz="4" w:space="0"/>
              <w:bottom w:val="single" w:color="auto" w:sz="4" w:space="0"/>
              <w:right w:val="single" w:color="auto" w:sz="4" w:space="0"/>
            </w:tcBorders>
            <w:vAlign w:val="bottom"/>
          </w:tcPr>
          <w:p w:rsidRPr="00734B6C" w:rsidR="00734B6C" w:rsidP="0088479D" w:rsidRDefault="00C87FAB" w14:paraId="21070FE5" w14:textId="0462D946">
            <w:pPr>
              <w:widowControl/>
              <w:autoSpaceDE/>
              <w:autoSpaceDN/>
              <w:adjustRightInd/>
              <w:spacing w:line="276" w:lineRule="auto"/>
              <w:jc w:val="center"/>
              <w:rPr>
                <w:rFonts w:ascii="Times New Roman" w:hAnsi="Times New Roman"/>
                <w:sz w:val="22"/>
                <w:szCs w:val="22"/>
              </w:rPr>
            </w:pPr>
            <w:r w:rsidRPr="00625FA6">
              <w:rPr>
                <w:rFonts w:ascii="Times New Roman" w:hAnsi="Times New Roman"/>
              </w:rPr>
              <w:t>$</w:t>
            </w:r>
            <w:r>
              <w:rPr>
                <w:rFonts w:ascii="Times New Roman" w:hAnsi="Times New Roman"/>
              </w:rPr>
              <w:t>85,714</w:t>
            </w:r>
          </w:p>
        </w:tc>
      </w:tr>
      <w:tr w:rsidRPr="00734B6C" w:rsidR="00AD7A68" w:rsidTr="0024766A" w14:paraId="20325410" w14:textId="77777777">
        <w:trPr>
          <w:trHeight w:val="233"/>
        </w:trPr>
        <w:tc>
          <w:tcPr>
            <w:tcW w:w="2160" w:type="dxa"/>
            <w:tcBorders>
              <w:top w:val="single" w:color="auto" w:sz="4" w:space="0"/>
              <w:left w:val="single" w:color="auto" w:sz="4" w:space="0"/>
              <w:bottom w:val="single" w:color="auto" w:sz="4" w:space="0"/>
              <w:right w:val="single" w:color="auto" w:sz="4" w:space="0"/>
            </w:tcBorders>
          </w:tcPr>
          <w:p w:rsidRPr="00734B6C" w:rsidR="00AD7A68" w:rsidP="00734B6C" w:rsidRDefault="00AD7A68" w14:paraId="555D4519" w14:textId="77777777">
            <w:pPr>
              <w:widowControl/>
              <w:autoSpaceDE/>
              <w:autoSpaceDN/>
              <w:adjustRightInd/>
              <w:spacing w:line="276" w:lineRule="auto"/>
              <w:rPr>
                <w:rFonts w:ascii="Times New Roman" w:hAnsi="Times New Roman"/>
                <w:sz w:val="22"/>
                <w:szCs w:val="22"/>
              </w:rPr>
            </w:pPr>
          </w:p>
        </w:tc>
        <w:tc>
          <w:tcPr>
            <w:tcW w:w="1440" w:type="dxa"/>
            <w:tcBorders>
              <w:top w:val="single" w:color="auto" w:sz="4" w:space="0"/>
              <w:left w:val="single" w:color="auto" w:sz="4" w:space="0"/>
              <w:bottom w:val="single" w:color="auto" w:sz="4" w:space="0"/>
              <w:right w:val="single" w:color="auto" w:sz="4" w:space="0"/>
            </w:tcBorders>
            <w:vAlign w:val="bottom"/>
          </w:tcPr>
          <w:p w:rsidR="00AD7A68" w:rsidP="00734B6C" w:rsidRDefault="00AD7A68" w14:paraId="7630B921" w14:textId="77777777">
            <w:pPr>
              <w:widowControl/>
              <w:autoSpaceDE/>
              <w:autoSpaceDN/>
              <w:adjustRightInd/>
              <w:spacing w:line="276" w:lineRule="auto"/>
              <w:jc w:val="center"/>
              <w:rPr>
                <w:rFonts w:ascii="Times New Roman" w:hAnsi="Times New Roman"/>
                <w:sz w:val="22"/>
                <w:szCs w:val="22"/>
              </w:rPr>
            </w:pPr>
          </w:p>
        </w:tc>
        <w:tc>
          <w:tcPr>
            <w:tcW w:w="1440" w:type="dxa"/>
            <w:tcBorders>
              <w:top w:val="single" w:color="auto" w:sz="4" w:space="0"/>
              <w:left w:val="single" w:color="auto" w:sz="4" w:space="0"/>
              <w:bottom w:val="single" w:color="auto" w:sz="4" w:space="0"/>
              <w:right w:val="single" w:color="auto" w:sz="4" w:space="0"/>
            </w:tcBorders>
            <w:vAlign w:val="bottom"/>
          </w:tcPr>
          <w:p w:rsidR="00AD7A68" w:rsidP="00734B6C" w:rsidRDefault="00AD7A68" w14:paraId="463B1A27" w14:textId="77777777">
            <w:pPr>
              <w:widowControl/>
              <w:autoSpaceDE/>
              <w:autoSpaceDN/>
              <w:adjustRightInd/>
              <w:spacing w:line="276" w:lineRule="auto"/>
              <w:jc w:val="center"/>
              <w:rPr>
                <w:rFonts w:ascii="Times New Roman" w:hAnsi="Times New Roman"/>
                <w:sz w:val="22"/>
                <w:szCs w:val="22"/>
              </w:rPr>
            </w:pPr>
          </w:p>
        </w:tc>
        <w:tc>
          <w:tcPr>
            <w:tcW w:w="1260" w:type="dxa"/>
            <w:tcBorders>
              <w:top w:val="single" w:color="auto" w:sz="4" w:space="0"/>
              <w:left w:val="single" w:color="auto" w:sz="4" w:space="0"/>
              <w:bottom w:val="single" w:color="auto" w:sz="4" w:space="0"/>
              <w:right w:val="single" w:color="auto" w:sz="4" w:space="0"/>
            </w:tcBorders>
            <w:vAlign w:val="bottom"/>
          </w:tcPr>
          <w:p w:rsidR="00AD7A68" w:rsidP="00734B6C" w:rsidRDefault="00AD7A68" w14:paraId="64672B0C" w14:textId="77777777">
            <w:pPr>
              <w:widowControl/>
              <w:autoSpaceDE/>
              <w:autoSpaceDN/>
              <w:adjustRightInd/>
              <w:spacing w:line="276" w:lineRule="auto"/>
              <w:jc w:val="center"/>
              <w:rPr>
                <w:rFonts w:ascii="Times New Roman" w:hAnsi="Times New Roman"/>
                <w:sz w:val="22"/>
                <w:szCs w:val="22"/>
              </w:rPr>
            </w:pPr>
          </w:p>
        </w:tc>
        <w:tc>
          <w:tcPr>
            <w:tcW w:w="1170" w:type="dxa"/>
            <w:tcBorders>
              <w:top w:val="single" w:color="auto" w:sz="4" w:space="0"/>
              <w:left w:val="single" w:color="auto" w:sz="4" w:space="0"/>
              <w:bottom w:val="single" w:color="auto" w:sz="4" w:space="0"/>
              <w:right w:val="single" w:color="auto" w:sz="4" w:space="0"/>
            </w:tcBorders>
            <w:vAlign w:val="bottom"/>
          </w:tcPr>
          <w:p w:rsidR="00AD7A68" w:rsidP="00734B6C" w:rsidRDefault="00AD7A68" w14:paraId="64EB663D" w14:textId="77777777">
            <w:pPr>
              <w:widowControl/>
              <w:autoSpaceDE/>
              <w:autoSpaceDN/>
              <w:adjustRightInd/>
              <w:spacing w:line="276" w:lineRule="auto"/>
              <w:jc w:val="center"/>
              <w:rPr>
                <w:rFonts w:ascii="Times New Roman" w:hAnsi="Times New Roman"/>
                <w:sz w:val="22"/>
                <w:szCs w:val="22"/>
              </w:rPr>
            </w:pPr>
          </w:p>
        </w:tc>
        <w:tc>
          <w:tcPr>
            <w:tcW w:w="1260" w:type="dxa"/>
            <w:tcBorders>
              <w:top w:val="single" w:color="auto" w:sz="4" w:space="0"/>
              <w:left w:val="single" w:color="auto" w:sz="4" w:space="0"/>
              <w:bottom w:val="single" w:color="auto" w:sz="4" w:space="0"/>
              <w:right w:val="single" w:color="auto" w:sz="4" w:space="0"/>
            </w:tcBorders>
            <w:vAlign w:val="bottom"/>
          </w:tcPr>
          <w:p w:rsidR="00AD7A68" w:rsidP="00734B6C" w:rsidRDefault="00AD7A68" w14:paraId="35BE2E2B" w14:textId="77777777">
            <w:pPr>
              <w:widowControl/>
              <w:autoSpaceDE/>
              <w:autoSpaceDN/>
              <w:adjustRightInd/>
              <w:spacing w:line="276" w:lineRule="auto"/>
              <w:jc w:val="center"/>
              <w:rPr>
                <w:rFonts w:ascii="Times New Roman" w:hAnsi="Times New Roman"/>
                <w:sz w:val="22"/>
                <w:szCs w:val="22"/>
              </w:rPr>
            </w:pPr>
          </w:p>
        </w:tc>
        <w:tc>
          <w:tcPr>
            <w:tcW w:w="990" w:type="dxa"/>
            <w:tcBorders>
              <w:top w:val="single" w:color="auto" w:sz="4" w:space="0"/>
              <w:left w:val="single" w:color="auto" w:sz="4" w:space="0"/>
              <w:bottom w:val="single" w:color="auto" w:sz="4" w:space="0"/>
              <w:right w:val="single" w:color="auto" w:sz="4" w:space="0"/>
            </w:tcBorders>
            <w:vAlign w:val="bottom"/>
          </w:tcPr>
          <w:p w:rsidRPr="00734B6C" w:rsidR="00AD7A68" w:rsidP="00734B6C" w:rsidRDefault="00AD7A68" w14:paraId="5BFDF2B3" w14:textId="77777777">
            <w:pPr>
              <w:widowControl/>
              <w:autoSpaceDE/>
              <w:autoSpaceDN/>
              <w:adjustRightInd/>
              <w:spacing w:line="276" w:lineRule="auto"/>
              <w:jc w:val="center"/>
              <w:rPr>
                <w:rFonts w:ascii="Times New Roman" w:hAnsi="Times New Roman"/>
                <w:sz w:val="22"/>
                <w:szCs w:val="22"/>
              </w:rPr>
            </w:pPr>
          </w:p>
        </w:tc>
        <w:tc>
          <w:tcPr>
            <w:tcW w:w="1530" w:type="dxa"/>
            <w:tcBorders>
              <w:top w:val="single" w:color="auto" w:sz="4" w:space="0"/>
              <w:left w:val="single" w:color="auto" w:sz="4" w:space="0"/>
              <w:bottom w:val="single" w:color="auto" w:sz="4" w:space="0"/>
              <w:right w:val="single" w:color="auto" w:sz="4" w:space="0"/>
            </w:tcBorders>
            <w:vAlign w:val="bottom"/>
          </w:tcPr>
          <w:p w:rsidR="00AD7A68" w:rsidP="00151D0D" w:rsidRDefault="00AD7A68" w14:paraId="38549704" w14:textId="77777777">
            <w:pPr>
              <w:widowControl/>
              <w:autoSpaceDE/>
              <w:autoSpaceDN/>
              <w:adjustRightInd/>
              <w:spacing w:line="276" w:lineRule="auto"/>
              <w:jc w:val="center"/>
              <w:rPr>
                <w:rFonts w:ascii="Times New Roman" w:hAnsi="Times New Roman"/>
                <w:sz w:val="22"/>
                <w:szCs w:val="22"/>
              </w:rPr>
            </w:pPr>
          </w:p>
        </w:tc>
      </w:tr>
      <w:tr w:rsidRPr="00734B6C" w:rsidR="00C01FE7" w:rsidTr="0024766A" w14:paraId="7BEF0EB6" w14:textId="77777777">
        <w:trPr>
          <w:trHeight w:val="368"/>
        </w:trPr>
        <w:tc>
          <w:tcPr>
            <w:tcW w:w="2160" w:type="dxa"/>
            <w:tcBorders>
              <w:top w:val="single" w:color="auto" w:sz="4" w:space="0"/>
              <w:left w:val="single" w:color="auto" w:sz="4" w:space="0"/>
              <w:bottom w:val="single" w:color="auto" w:sz="4" w:space="0"/>
              <w:right w:val="single" w:color="auto" w:sz="4" w:space="0"/>
            </w:tcBorders>
            <w:vAlign w:val="bottom"/>
          </w:tcPr>
          <w:p w:rsidRPr="00734B6C" w:rsidR="00C01FE7" w:rsidP="0024766A" w:rsidRDefault="00C01FE7" w14:paraId="4F4D804E" w14:textId="2F675778">
            <w:pPr>
              <w:widowControl/>
              <w:autoSpaceDE/>
              <w:autoSpaceDN/>
              <w:adjustRightInd/>
              <w:spacing w:line="276" w:lineRule="auto"/>
              <w:jc w:val="center"/>
              <w:rPr>
                <w:rFonts w:ascii="Times New Roman" w:hAnsi="Times New Roman"/>
                <w:sz w:val="22"/>
                <w:szCs w:val="22"/>
              </w:rPr>
            </w:pPr>
            <w:r w:rsidRPr="00734B6C">
              <w:rPr>
                <w:rFonts w:ascii="Times New Roman" w:hAnsi="Times New Roman"/>
                <w:sz w:val="22"/>
                <w:szCs w:val="22"/>
              </w:rPr>
              <w:t>Unduplicated Total</w:t>
            </w:r>
          </w:p>
        </w:tc>
        <w:tc>
          <w:tcPr>
            <w:tcW w:w="1440" w:type="dxa"/>
            <w:tcBorders>
              <w:top w:val="single" w:color="auto" w:sz="4" w:space="0"/>
              <w:left w:val="single" w:color="auto" w:sz="4" w:space="0"/>
              <w:bottom w:val="single" w:color="auto" w:sz="4" w:space="0"/>
              <w:right w:val="single" w:color="auto" w:sz="4" w:space="0"/>
            </w:tcBorders>
            <w:vAlign w:val="bottom"/>
          </w:tcPr>
          <w:p w:rsidRPr="00734B6C" w:rsidR="00C01FE7" w:rsidP="00734B6C" w:rsidRDefault="0088479D" w14:paraId="6B400B85" w14:textId="2E2AD546">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1,035</w:t>
            </w:r>
          </w:p>
        </w:tc>
        <w:tc>
          <w:tcPr>
            <w:tcW w:w="1440" w:type="dxa"/>
            <w:tcBorders>
              <w:top w:val="single" w:color="auto" w:sz="4" w:space="0"/>
              <w:left w:val="single" w:color="auto" w:sz="4" w:space="0"/>
              <w:bottom w:val="single" w:color="auto" w:sz="4" w:space="0"/>
              <w:right w:val="single" w:color="auto" w:sz="4" w:space="0"/>
            </w:tcBorders>
            <w:vAlign w:val="bottom"/>
          </w:tcPr>
          <w:p w:rsidRPr="00734B6C" w:rsidR="00C01FE7" w:rsidP="00734B6C" w:rsidRDefault="00C01FE7" w14:paraId="1306EFB2" w14:textId="1309B762">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w:t>
            </w:r>
          </w:p>
        </w:tc>
        <w:tc>
          <w:tcPr>
            <w:tcW w:w="1260" w:type="dxa"/>
            <w:tcBorders>
              <w:top w:val="single" w:color="auto" w:sz="4" w:space="0"/>
              <w:left w:val="single" w:color="auto" w:sz="4" w:space="0"/>
              <w:bottom w:val="single" w:color="auto" w:sz="4" w:space="0"/>
              <w:right w:val="single" w:color="auto" w:sz="4" w:space="0"/>
            </w:tcBorders>
            <w:vAlign w:val="bottom"/>
          </w:tcPr>
          <w:p w:rsidRPr="00734B6C" w:rsidR="00C01FE7" w:rsidP="00734B6C" w:rsidRDefault="0088479D" w14:paraId="0C26353E" w14:textId="7D9E5171">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1,035</w:t>
            </w:r>
          </w:p>
        </w:tc>
        <w:tc>
          <w:tcPr>
            <w:tcW w:w="1170" w:type="dxa"/>
            <w:tcBorders>
              <w:top w:val="single" w:color="auto" w:sz="4" w:space="0"/>
              <w:left w:val="single" w:color="auto" w:sz="4" w:space="0"/>
              <w:bottom w:val="single" w:color="auto" w:sz="4" w:space="0"/>
              <w:right w:val="single" w:color="auto" w:sz="4" w:space="0"/>
            </w:tcBorders>
            <w:vAlign w:val="bottom"/>
          </w:tcPr>
          <w:p w:rsidRPr="00734B6C" w:rsidR="00C01FE7" w:rsidP="00734B6C" w:rsidRDefault="00C01FE7" w14:paraId="30D53A21" w14:textId="0CC83411">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0.5</w:t>
            </w:r>
          </w:p>
        </w:tc>
        <w:tc>
          <w:tcPr>
            <w:tcW w:w="1260" w:type="dxa"/>
            <w:tcBorders>
              <w:top w:val="single" w:color="auto" w:sz="4" w:space="0"/>
              <w:left w:val="single" w:color="auto" w:sz="4" w:space="0"/>
              <w:bottom w:val="single" w:color="auto" w:sz="4" w:space="0"/>
              <w:right w:val="single" w:color="auto" w:sz="4" w:space="0"/>
            </w:tcBorders>
            <w:vAlign w:val="bottom"/>
          </w:tcPr>
          <w:p w:rsidRPr="00734B6C" w:rsidR="00C01FE7" w:rsidP="00734B6C" w:rsidRDefault="00C01FE7" w14:paraId="7F23DD13" w14:textId="609C099F">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518</w:t>
            </w:r>
          </w:p>
        </w:tc>
        <w:tc>
          <w:tcPr>
            <w:tcW w:w="990" w:type="dxa"/>
            <w:tcBorders>
              <w:top w:val="single" w:color="auto" w:sz="4" w:space="0"/>
              <w:left w:val="single" w:color="auto" w:sz="4" w:space="0"/>
              <w:bottom w:val="single" w:color="auto" w:sz="4" w:space="0"/>
              <w:right w:val="single" w:color="auto" w:sz="4" w:space="0"/>
            </w:tcBorders>
            <w:vAlign w:val="bottom"/>
          </w:tcPr>
          <w:p w:rsidRPr="00734B6C" w:rsidR="00C01FE7" w:rsidP="00734B6C" w:rsidRDefault="00C01FE7" w14:paraId="1DE520FC" w14:textId="4DD076AD">
            <w:pPr>
              <w:widowControl/>
              <w:autoSpaceDE/>
              <w:autoSpaceDN/>
              <w:adjustRightInd/>
              <w:spacing w:line="276" w:lineRule="auto"/>
              <w:jc w:val="center"/>
              <w:rPr>
                <w:rFonts w:ascii="Times New Roman" w:hAnsi="Times New Roman"/>
                <w:sz w:val="22"/>
                <w:szCs w:val="22"/>
              </w:rPr>
            </w:pPr>
            <w:r w:rsidRPr="00734B6C">
              <w:rPr>
                <w:rFonts w:ascii="Times New Roman" w:hAnsi="Times New Roman"/>
                <w:sz w:val="22"/>
                <w:szCs w:val="22"/>
              </w:rPr>
              <w:t>--</w:t>
            </w:r>
          </w:p>
        </w:tc>
        <w:tc>
          <w:tcPr>
            <w:tcW w:w="1530" w:type="dxa"/>
            <w:tcBorders>
              <w:top w:val="single" w:color="auto" w:sz="4" w:space="0"/>
              <w:left w:val="single" w:color="auto" w:sz="4" w:space="0"/>
              <w:bottom w:val="single" w:color="auto" w:sz="4" w:space="0"/>
              <w:right w:val="single" w:color="auto" w:sz="4" w:space="0"/>
            </w:tcBorders>
            <w:vAlign w:val="bottom"/>
          </w:tcPr>
          <w:p w:rsidRPr="00734B6C" w:rsidR="00C01FE7" w:rsidP="00151D0D" w:rsidRDefault="00C87FAB" w14:paraId="7A2F196B" w14:textId="70B6F233">
            <w:pPr>
              <w:widowControl/>
              <w:autoSpaceDE/>
              <w:autoSpaceDN/>
              <w:adjustRightInd/>
              <w:spacing w:line="276" w:lineRule="auto"/>
              <w:jc w:val="center"/>
              <w:rPr>
                <w:rFonts w:ascii="Times New Roman" w:hAnsi="Times New Roman"/>
                <w:sz w:val="22"/>
                <w:szCs w:val="22"/>
              </w:rPr>
            </w:pPr>
            <w:r w:rsidRPr="00625FA6">
              <w:rPr>
                <w:rFonts w:ascii="Times New Roman" w:hAnsi="Times New Roman"/>
              </w:rPr>
              <w:t>$</w:t>
            </w:r>
            <w:r>
              <w:rPr>
                <w:rFonts w:ascii="Times New Roman" w:hAnsi="Times New Roman"/>
              </w:rPr>
              <w:t>85,714</w:t>
            </w:r>
          </w:p>
        </w:tc>
      </w:tr>
    </w:tbl>
    <w:p w:rsidRPr="00583D17" w:rsidR="00734B6C" w:rsidP="00625FA6" w:rsidRDefault="00734B6C" w14:paraId="0E51E6A1" w14:textId="77777777">
      <w:pPr>
        <w:ind w:left="720"/>
        <w:rPr>
          <w:rFonts w:ascii="Times New Roman" w:hAnsi="Times New Roman"/>
        </w:rPr>
      </w:pPr>
    </w:p>
    <w:p w:rsidR="00C45C5C" w:rsidP="000B7C38" w:rsidRDefault="00C45C5C" w14:paraId="77096DE0" w14:textId="77777777">
      <w:pPr>
        <w:pStyle w:val="Quick1"/>
        <w:numPr>
          <w:ilvl w:val="0"/>
          <w:numId w:val="5"/>
        </w:numPr>
        <w:tabs>
          <w:tab w:val="left" w:pos="-1440"/>
        </w:tabs>
        <w:ind w:left="720" w:hanging="720"/>
        <w:rPr>
          <w:rFonts w:ascii="Times New Roman" w:hAnsi="Times New Roman"/>
          <w:b/>
        </w:rPr>
      </w:pPr>
      <w:r w:rsidRPr="00CC52C8">
        <w:rPr>
          <w:rFonts w:ascii="Times New Roman" w:hAnsi="Times New Roman"/>
          <w:b/>
        </w:rPr>
        <w:t xml:space="preserve">Provide an estimate of the total annual cost burden to respondents or recordkeepers resulting from the collection of information.  (Do not include the cost of any hour </w:t>
      </w:r>
      <w:r w:rsidRPr="00CC52C8">
        <w:rPr>
          <w:rFonts w:ascii="Times New Roman" w:hAnsi="Times New Roman"/>
          <w:b/>
        </w:rPr>
        <w:lastRenderedPageBreak/>
        <w:t>burden shown in Items 12 or 14).</w:t>
      </w:r>
    </w:p>
    <w:p w:rsidRPr="00037D32" w:rsidR="00037D32" w:rsidP="00037D32" w:rsidRDefault="00037D32" w14:paraId="3FC91DD7" w14:textId="77777777">
      <w:pPr>
        <w:pStyle w:val="Quick1"/>
        <w:numPr>
          <w:ilvl w:val="0"/>
          <w:numId w:val="7"/>
        </w:numPr>
        <w:tabs>
          <w:tab w:val="left" w:pos="-1440"/>
        </w:tabs>
        <w:rPr>
          <w:rFonts w:ascii="Times New Roman" w:hAnsi="Times New Roman"/>
          <w:b/>
        </w:rPr>
      </w:pPr>
      <w:r w:rsidRPr="00037D32">
        <w:rPr>
          <w:rFonts w:ascii="Times New Roman" w:hAnsi="Times New Roman"/>
          <w:b/>
        </w:rPr>
        <w:t>The cost estimate should be split into two components:  (a) a total capital and start 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037D32" w:rsidR="00037D32" w:rsidP="00037D32" w:rsidRDefault="00037D32" w14:paraId="218A9780" w14:textId="77777777">
      <w:pPr>
        <w:pStyle w:val="Quick1"/>
        <w:numPr>
          <w:ilvl w:val="0"/>
          <w:numId w:val="7"/>
        </w:numPr>
        <w:tabs>
          <w:tab w:val="left" w:pos="-1440"/>
        </w:tabs>
        <w:rPr>
          <w:rFonts w:ascii="Times New Roman" w:hAnsi="Times New Roman"/>
          <w:b/>
        </w:rPr>
      </w:pPr>
      <w:r w:rsidRPr="00037D32">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037D32" w:rsidR="00037D32" w:rsidP="00037D32" w:rsidRDefault="00037D32" w14:paraId="5CE2CD89" w14:textId="77777777">
      <w:pPr>
        <w:pStyle w:val="Quick1"/>
        <w:numPr>
          <w:ilvl w:val="0"/>
          <w:numId w:val="7"/>
        </w:numPr>
        <w:tabs>
          <w:tab w:val="left" w:pos="-1440"/>
        </w:tabs>
        <w:rPr>
          <w:rFonts w:ascii="Times New Roman" w:hAnsi="Times New Roman"/>
          <w:b/>
        </w:rPr>
      </w:pPr>
      <w:r w:rsidRPr="00037D32">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625FA6" w:rsidR="00C45C5C" w:rsidP="000B7C38" w:rsidRDefault="00C45C5C" w14:paraId="03F3D7EA" w14:textId="77777777">
      <w:pPr>
        <w:ind w:left="720"/>
        <w:rPr>
          <w:rFonts w:ascii="Times New Roman" w:hAnsi="Times New Roman"/>
        </w:rPr>
      </w:pPr>
    </w:p>
    <w:p w:rsidRPr="000B7C38" w:rsidR="00C45C5C" w:rsidP="000B7C38" w:rsidRDefault="00C45C5C" w14:paraId="3CAEE900" w14:textId="0DCB3D68">
      <w:pPr>
        <w:ind w:left="720"/>
        <w:rPr>
          <w:rFonts w:ascii="Times New Roman" w:hAnsi="Times New Roman"/>
          <w:i/>
          <w:iCs/>
        </w:rPr>
      </w:pPr>
      <w:r w:rsidRPr="00625FA6">
        <w:rPr>
          <w:rFonts w:ascii="Times New Roman" w:hAnsi="Times New Roman"/>
        </w:rPr>
        <w:t xml:space="preserve">As noted in item 12, only about 10% of plans are expected to use in-house staff to prepare the DVFC Program filing. </w:t>
      </w:r>
      <w:r w:rsidR="0097200B">
        <w:rPr>
          <w:rFonts w:ascii="Times New Roman" w:hAnsi="Times New Roman"/>
        </w:rPr>
        <w:t xml:space="preserve"> </w:t>
      </w:r>
      <w:r w:rsidRPr="00625FA6">
        <w:rPr>
          <w:rFonts w:ascii="Times New Roman" w:hAnsi="Times New Roman"/>
        </w:rPr>
        <w:t xml:space="preserve">Thus, 90% of plans are expected to use and pay service providers. </w:t>
      </w:r>
      <w:r w:rsidR="0097200B">
        <w:rPr>
          <w:rFonts w:ascii="Times New Roman" w:hAnsi="Times New Roman"/>
        </w:rPr>
        <w:t xml:space="preserve"> </w:t>
      </w:r>
      <w:r w:rsidRPr="00625FA6">
        <w:rPr>
          <w:rFonts w:ascii="Times New Roman" w:hAnsi="Times New Roman"/>
        </w:rPr>
        <w:t>The hourly labor cost for service providers to prepare the DFVC Program filing is estimated to be $</w:t>
      </w:r>
      <w:r w:rsidR="00EE4D90">
        <w:rPr>
          <w:rFonts w:ascii="Times New Roman" w:hAnsi="Times New Roman"/>
        </w:rPr>
        <w:t>165.63</w:t>
      </w:r>
      <w:r w:rsidRPr="00625FA6">
        <w:rPr>
          <w:rFonts w:ascii="Times New Roman" w:hAnsi="Times New Roman"/>
        </w:rPr>
        <w:t xml:space="preserve">.  Therefore, the total annual cost burden for preparation is estimated to be </w:t>
      </w:r>
      <w:r w:rsidR="00B91738">
        <w:rPr>
          <w:rFonts w:ascii="Times New Roman" w:hAnsi="Times New Roman"/>
        </w:rPr>
        <w:t>771,</w:t>
      </w:r>
      <w:r w:rsidR="00D458EF">
        <w:rPr>
          <w:rFonts w:ascii="Times New Roman" w:hAnsi="Times New Roman"/>
        </w:rPr>
        <w:t xml:space="preserve">421.725 </w:t>
      </w:r>
      <w:r w:rsidRPr="000B7C38">
        <w:rPr>
          <w:rFonts w:ascii="Times New Roman" w:hAnsi="Times New Roman"/>
        </w:rPr>
        <w:t>(</w:t>
      </w:r>
      <w:r w:rsidR="001E77B2">
        <w:rPr>
          <w:rFonts w:ascii="Times New Roman" w:hAnsi="Times New Roman"/>
        </w:rPr>
        <w:t>10,350</w:t>
      </w:r>
      <w:r w:rsidRPr="000B7C38">
        <w:rPr>
          <w:rFonts w:ascii="Times New Roman" w:hAnsi="Times New Roman"/>
        </w:rPr>
        <w:t xml:space="preserve"> x </w:t>
      </w:r>
      <w:r w:rsidRPr="000B7C38" w:rsidR="00AE7D7F">
        <w:rPr>
          <w:rFonts w:ascii="Times New Roman" w:hAnsi="Times New Roman"/>
        </w:rPr>
        <w:t>30</w:t>
      </w:r>
      <w:r w:rsidRPr="000B7C38">
        <w:rPr>
          <w:rFonts w:ascii="Times New Roman" w:hAnsi="Times New Roman"/>
        </w:rPr>
        <w:t xml:space="preserve"> minutes x 90% x $</w:t>
      </w:r>
      <w:r w:rsidR="00E35011">
        <w:rPr>
          <w:rFonts w:ascii="Times New Roman" w:hAnsi="Times New Roman"/>
        </w:rPr>
        <w:t>16</w:t>
      </w:r>
      <w:r w:rsidR="004772D5">
        <w:rPr>
          <w:rFonts w:ascii="Times New Roman" w:hAnsi="Times New Roman"/>
        </w:rPr>
        <w:t>5</w:t>
      </w:r>
      <w:r w:rsidR="00E35011">
        <w:rPr>
          <w:rFonts w:ascii="Times New Roman" w:hAnsi="Times New Roman"/>
        </w:rPr>
        <w:t>.63</w:t>
      </w:r>
      <w:r w:rsidRPr="000B7C38">
        <w:rPr>
          <w:rFonts w:ascii="Times New Roman" w:hAnsi="Times New Roman"/>
        </w:rPr>
        <w:t xml:space="preserve">).      </w:t>
      </w:r>
    </w:p>
    <w:p w:rsidRPr="00F44A14" w:rsidR="00C45C5C" w:rsidP="000B7C38" w:rsidRDefault="00C45C5C" w14:paraId="1D2D794C" w14:textId="77777777">
      <w:pPr>
        <w:ind w:left="720"/>
        <w:rPr>
          <w:rFonts w:ascii="Times New Roman" w:hAnsi="Times New Roman"/>
          <w:i/>
          <w:iCs/>
        </w:rPr>
      </w:pPr>
    </w:p>
    <w:p w:rsidRPr="000B7C38" w:rsidR="00BE1EA1" w:rsidP="000B7C38" w:rsidRDefault="00BE1EA1" w14:paraId="74931958" w14:textId="3DBF5999">
      <w:pPr>
        <w:ind w:left="720"/>
        <w:rPr>
          <w:rFonts w:ascii="Times New Roman" w:hAnsi="Times New Roman"/>
        </w:rPr>
      </w:pPr>
      <w:r w:rsidRPr="00F44A14">
        <w:rPr>
          <w:rFonts w:ascii="Times New Roman" w:hAnsi="Times New Roman"/>
        </w:rPr>
        <w:t xml:space="preserve">In addition, </w:t>
      </w:r>
      <w:r w:rsidR="00BC2A78">
        <w:rPr>
          <w:rFonts w:ascii="Times New Roman" w:hAnsi="Times New Roman"/>
        </w:rPr>
        <w:t>90</w:t>
      </w:r>
      <w:r w:rsidR="003B29EE">
        <w:rPr>
          <w:rFonts w:ascii="Times New Roman" w:hAnsi="Times New Roman"/>
        </w:rPr>
        <w:t>%</w:t>
      </w:r>
      <w:r w:rsidR="00BC2A78">
        <w:rPr>
          <w:rFonts w:ascii="Times New Roman" w:hAnsi="Times New Roman"/>
        </w:rPr>
        <w:t xml:space="preserve"> of plans </w:t>
      </w:r>
      <w:r w:rsidR="006960CE">
        <w:rPr>
          <w:rFonts w:ascii="Times New Roman" w:hAnsi="Times New Roman"/>
        </w:rPr>
        <w:t>are expected to pay</w:t>
      </w:r>
      <w:r w:rsidR="00BC2A78">
        <w:rPr>
          <w:rFonts w:ascii="Times New Roman" w:hAnsi="Times New Roman"/>
        </w:rPr>
        <w:t xml:space="preserve"> the penalty online, since a majority of plans </w:t>
      </w:r>
      <w:r w:rsidRPr="00BC2A78" w:rsidR="00BC2A78">
        <w:rPr>
          <w:rFonts w:ascii="Times New Roman" w:hAnsi="Times New Roman"/>
        </w:rPr>
        <w:t xml:space="preserve">are </w:t>
      </w:r>
      <w:r w:rsidR="00BC2A78">
        <w:rPr>
          <w:rFonts w:ascii="Times New Roman" w:hAnsi="Times New Roman"/>
        </w:rPr>
        <w:t xml:space="preserve">already </w:t>
      </w:r>
      <w:r w:rsidRPr="00BC2A78" w:rsidR="00BC2A78">
        <w:rPr>
          <w:rFonts w:ascii="Times New Roman" w:hAnsi="Times New Roman"/>
        </w:rPr>
        <w:t xml:space="preserve">using EFAST2 to </w:t>
      </w:r>
      <w:r w:rsidR="00BC2A78">
        <w:rPr>
          <w:rFonts w:ascii="Times New Roman" w:hAnsi="Times New Roman"/>
        </w:rPr>
        <w:t>electronically file</w:t>
      </w:r>
      <w:r w:rsidR="00FF001B">
        <w:rPr>
          <w:rFonts w:ascii="Times New Roman" w:hAnsi="Times New Roman"/>
        </w:rPr>
        <w:t xml:space="preserve"> the Form 5500</w:t>
      </w:r>
      <w:r w:rsidR="00BC2A78">
        <w:rPr>
          <w:rFonts w:ascii="Times New Roman" w:hAnsi="Times New Roman"/>
        </w:rPr>
        <w:t xml:space="preserve">. </w:t>
      </w:r>
      <w:r w:rsidR="003B29EE">
        <w:rPr>
          <w:rFonts w:ascii="Times New Roman" w:hAnsi="Times New Roman"/>
        </w:rPr>
        <w:t xml:space="preserve"> Thus, 10% </w:t>
      </w:r>
      <w:r w:rsidR="00AB267B">
        <w:rPr>
          <w:rFonts w:ascii="Times New Roman" w:hAnsi="Times New Roman"/>
        </w:rPr>
        <w:t>of plans are expected to mail their payment</w:t>
      </w:r>
      <w:r w:rsidR="00D9429A">
        <w:rPr>
          <w:rFonts w:ascii="Times New Roman" w:hAnsi="Times New Roman"/>
        </w:rPr>
        <w:t xml:space="preserve">.  </w:t>
      </w:r>
      <w:r w:rsidR="00794616">
        <w:rPr>
          <w:rFonts w:ascii="Times New Roman" w:hAnsi="Times New Roman"/>
        </w:rPr>
        <w:t xml:space="preserve">The </w:t>
      </w:r>
      <w:r w:rsidRPr="00F44A14">
        <w:rPr>
          <w:rFonts w:ascii="Times New Roman" w:hAnsi="Times New Roman"/>
        </w:rPr>
        <w:t>cost of materials and certified mailing are estim</w:t>
      </w:r>
      <w:r w:rsidRPr="007C397F">
        <w:rPr>
          <w:rFonts w:ascii="Times New Roman" w:hAnsi="Times New Roman"/>
        </w:rPr>
        <w:t>ated to total $</w:t>
      </w:r>
      <w:r w:rsidR="00A4594A">
        <w:rPr>
          <w:rFonts w:ascii="Times New Roman" w:hAnsi="Times New Roman"/>
        </w:rPr>
        <w:t>7.05</w:t>
      </w:r>
      <w:r w:rsidRPr="007C397F" w:rsidR="00AE3508">
        <w:rPr>
          <w:rFonts w:ascii="Times New Roman" w:hAnsi="Times New Roman"/>
        </w:rPr>
        <w:t xml:space="preserve"> </w:t>
      </w:r>
      <w:r w:rsidRPr="007C397F">
        <w:rPr>
          <w:rFonts w:ascii="Times New Roman" w:hAnsi="Times New Roman"/>
        </w:rPr>
        <w:t>per filing ($</w:t>
      </w:r>
      <w:r w:rsidR="00CE0B9A">
        <w:rPr>
          <w:rFonts w:ascii="Times New Roman" w:hAnsi="Times New Roman"/>
        </w:rPr>
        <w:t>6.9</w:t>
      </w:r>
      <w:r w:rsidR="0047166F">
        <w:rPr>
          <w:rFonts w:ascii="Times New Roman" w:hAnsi="Times New Roman"/>
        </w:rPr>
        <w:t>5</w:t>
      </w:r>
      <w:r w:rsidRPr="00235680">
        <w:rPr>
          <w:rFonts w:ascii="Times New Roman" w:hAnsi="Times New Roman"/>
        </w:rPr>
        <w:t xml:space="preserve"> for </w:t>
      </w:r>
      <w:r w:rsidRPr="00235680" w:rsidR="00B351D8">
        <w:rPr>
          <w:rFonts w:ascii="Times New Roman" w:hAnsi="Times New Roman"/>
        </w:rPr>
        <w:t>certified mail with return receipt</w:t>
      </w:r>
      <w:r w:rsidRPr="003F13F4">
        <w:rPr>
          <w:rFonts w:ascii="Times New Roman" w:hAnsi="Times New Roman"/>
        </w:rPr>
        <w:t xml:space="preserve"> and 2 pages*$.05/page), thus totaling </w:t>
      </w:r>
      <w:r w:rsidRPr="003F13F4" w:rsidR="0094027A">
        <w:rPr>
          <w:rFonts w:ascii="Times New Roman" w:hAnsi="Times New Roman"/>
        </w:rPr>
        <w:t>$</w:t>
      </w:r>
      <w:r w:rsidR="00B92790">
        <w:rPr>
          <w:rFonts w:ascii="Times New Roman" w:hAnsi="Times New Roman"/>
        </w:rPr>
        <w:t>7,</w:t>
      </w:r>
      <w:r w:rsidR="00D458EF">
        <w:rPr>
          <w:rFonts w:ascii="Times New Roman" w:hAnsi="Times New Roman"/>
        </w:rPr>
        <w:t>296.75</w:t>
      </w:r>
      <w:r w:rsidRPr="003F13F4" w:rsidR="00D458EF">
        <w:rPr>
          <w:rFonts w:ascii="Times New Roman" w:hAnsi="Times New Roman"/>
        </w:rPr>
        <w:t xml:space="preserve"> </w:t>
      </w:r>
      <w:r w:rsidRPr="003F13F4">
        <w:rPr>
          <w:rFonts w:ascii="Times New Roman" w:hAnsi="Times New Roman"/>
        </w:rPr>
        <w:t>(</w:t>
      </w:r>
      <w:r w:rsidRPr="00A4594A" w:rsidR="00A4594A">
        <w:rPr>
          <w:rFonts w:ascii="Times New Roman" w:hAnsi="Times New Roman"/>
        </w:rPr>
        <w:t xml:space="preserve">10,350 </w:t>
      </w:r>
      <w:r w:rsidR="00F43BDD">
        <w:rPr>
          <w:rFonts w:ascii="Times New Roman" w:hAnsi="Times New Roman"/>
        </w:rPr>
        <w:t xml:space="preserve">x </w:t>
      </w:r>
      <w:r w:rsidR="00B92790">
        <w:rPr>
          <w:rFonts w:ascii="Times New Roman" w:hAnsi="Times New Roman"/>
        </w:rPr>
        <w:t xml:space="preserve">0.10 x </w:t>
      </w:r>
      <w:r w:rsidRPr="00F43BDD">
        <w:rPr>
          <w:rFonts w:ascii="Times New Roman" w:hAnsi="Times New Roman"/>
        </w:rPr>
        <w:t>$</w:t>
      </w:r>
      <w:r w:rsidR="00B50BBA">
        <w:rPr>
          <w:rFonts w:ascii="Times New Roman" w:hAnsi="Times New Roman"/>
        </w:rPr>
        <w:t>7.0</w:t>
      </w:r>
      <w:r w:rsidR="0047166F">
        <w:rPr>
          <w:rFonts w:ascii="Times New Roman" w:hAnsi="Times New Roman"/>
        </w:rPr>
        <w:t>5</w:t>
      </w:r>
      <w:r w:rsidRPr="00F43BDD">
        <w:rPr>
          <w:rFonts w:ascii="Times New Roman" w:hAnsi="Times New Roman"/>
        </w:rPr>
        <w:t xml:space="preserve">). </w:t>
      </w:r>
      <w:r w:rsidR="0097200B">
        <w:rPr>
          <w:rFonts w:ascii="Times New Roman" w:hAnsi="Times New Roman"/>
        </w:rPr>
        <w:t xml:space="preserve"> </w:t>
      </w:r>
      <w:r w:rsidRPr="00F43BDD">
        <w:rPr>
          <w:rFonts w:ascii="Times New Roman" w:hAnsi="Times New Roman"/>
        </w:rPr>
        <w:t xml:space="preserve">The labor cost for distribution by clerical staff is expected to be minimal. </w:t>
      </w:r>
      <w:r w:rsidR="0097200B">
        <w:rPr>
          <w:rFonts w:ascii="Times New Roman" w:hAnsi="Times New Roman"/>
        </w:rPr>
        <w:t xml:space="preserve"> </w:t>
      </w:r>
      <w:r w:rsidRPr="00F43BDD">
        <w:rPr>
          <w:rFonts w:ascii="Times New Roman" w:hAnsi="Times New Roman"/>
        </w:rPr>
        <w:t>Therefore,</w:t>
      </w:r>
      <w:r w:rsidRPr="00625FA6">
        <w:rPr>
          <w:rFonts w:ascii="Times New Roman" w:hAnsi="Times New Roman"/>
        </w:rPr>
        <w:t xml:space="preserve"> the total annual cost burden for preparation and distribution is estimated to be $</w:t>
      </w:r>
      <w:r w:rsidR="00B92790">
        <w:rPr>
          <w:rFonts w:ascii="Times New Roman" w:hAnsi="Times New Roman"/>
        </w:rPr>
        <w:t>778,718</w:t>
      </w:r>
      <w:r w:rsidR="00D458EF">
        <w:rPr>
          <w:rFonts w:ascii="Times New Roman" w:hAnsi="Times New Roman"/>
        </w:rPr>
        <w:t>.475</w:t>
      </w:r>
      <w:r w:rsidRPr="00625FA6" w:rsidR="0094027A">
        <w:rPr>
          <w:rFonts w:ascii="Times New Roman" w:hAnsi="Times New Roman"/>
        </w:rPr>
        <w:t xml:space="preserve"> ($</w:t>
      </w:r>
      <w:r w:rsidR="00D458EF">
        <w:rPr>
          <w:rFonts w:ascii="Times New Roman" w:hAnsi="Times New Roman"/>
        </w:rPr>
        <w:t>771,421.725</w:t>
      </w:r>
      <w:r w:rsidRPr="00A4594A" w:rsidR="00A4594A">
        <w:rPr>
          <w:rFonts w:ascii="Times New Roman" w:hAnsi="Times New Roman"/>
        </w:rPr>
        <w:t xml:space="preserve"> </w:t>
      </w:r>
      <w:r w:rsidRPr="00625FA6" w:rsidR="0094027A">
        <w:rPr>
          <w:rFonts w:ascii="Times New Roman" w:hAnsi="Times New Roman"/>
        </w:rPr>
        <w:t xml:space="preserve">for service provider preparation + </w:t>
      </w:r>
      <w:r w:rsidRPr="003F13F4" w:rsidR="00D458EF">
        <w:rPr>
          <w:rFonts w:ascii="Times New Roman" w:hAnsi="Times New Roman"/>
        </w:rPr>
        <w:t>$</w:t>
      </w:r>
      <w:r w:rsidR="00D458EF">
        <w:rPr>
          <w:rFonts w:ascii="Times New Roman" w:hAnsi="Times New Roman"/>
        </w:rPr>
        <w:t>7,296.75</w:t>
      </w:r>
      <w:r w:rsidRPr="00A4594A" w:rsidR="00A4594A">
        <w:rPr>
          <w:rFonts w:ascii="Times New Roman" w:hAnsi="Times New Roman"/>
        </w:rPr>
        <w:t xml:space="preserve"> </w:t>
      </w:r>
      <w:r w:rsidRPr="000B7C38" w:rsidR="0094027A">
        <w:rPr>
          <w:rFonts w:ascii="Times New Roman" w:hAnsi="Times New Roman"/>
        </w:rPr>
        <w:t>for materials and postage)</w:t>
      </w:r>
      <w:r w:rsidRPr="000B7C38">
        <w:rPr>
          <w:rFonts w:ascii="Times New Roman" w:hAnsi="Times New Roman"/>
        </w:rPr>
        <w:t>.</w:t>
      </w:r>
    </w:p>
    <w:p w:rsidRPr="000B7C38" w:rsidR="00C45C5C" w:rsidP="000B7C38" w:rsidRDefault="00C45C5C" w14:paraId="4A4042C6" w14:textId="77777777">
      <w:pPr>
        <w:ind w:left="720"/>
        <w:rPr>
          <w:rFonts w:ascii="Times New Roman" w:hAnsi="Times New Roman"/>
        </w:rPr>
      </w:pPr>
    </w:p>
    <w:p w:rsidRPr="00265B0B" w:rsidR="00C45C5C" w:rsidP="000B7C38" w:rsidRDefault="000B7C38" w14:paraId="1E4E7EDF" w14:textId="77777777">
      <w:pPr>
        <w:pStyle w:val="Quick1"/>
        <w:numPr>
          <w:ilvl w:val="0"/>
          <w:numId w:val="0"/>
        </w:numPr>
        <w:tabs>
          <w:tab w:val="left" w:pos="-1440"/>
        </w:tabs>
        <w:ind w:left="720" w:hanging="720"/>
        <w:rPr>
          <w:rFonts w:ascii="Times New Roman" w:hAnsi="Times New Roman"/>
          <w:b/>
          <w:iCs/>
        </w:rPr>
      </w:pPr>
      <w:r w:rsidRPr="00265B0B">
        <w:rPr>
          <w:rFonts w:ascii="Times New Roman" w:hAnsi="Times New Roman"/>
          <w:b/>
          <w:iCs/>
        </w:rPr>
        <w:t>14.</w:t>
      </w:r>
      <w:r w:rsidRPr="00265B0B">
        <w:rPr>
          <w:rFonts w:ascii="Times New Roman" w:hAnsi="Times New Roman"/>
          <w:b/>
          <w:iCs/>
        </w:rPr>
        <w:tab/>
      </w:r>
      <w:r w:rsidRPr="00265B0B" w:rsidR="00C45C5C">
        <w:rPr>
          <w:rFonts w:ascii="Times New Roman" w:hAnsi="Times New Roman"/>
          <w:b/>
          <w:iCs/>
        </w:rPr>
        <w:t xml:space="preserve">Provide estimates of annualized cost to the Federal government.  Also, provide a description of the method used to estimate cost, which should include quantification </w:t>
      </w:r>
      <w:r w:rsidRPr="00265B0B" w:rsidR="00C45C5C">
        <w:rPr>
          <w:rFonts w:ascii="Times New Roman" w:hAnsi="Times New Roman"/>
          <w:b/>
          <w:iCs/>
        </w:rPr>
        <w:lastRenderedPageBreak/>
        <w:t>of hours, operational expenses (such as equipment, overhead, printing, and support staff),and any other expense that would not have been incurred without this collection of information.  Agencies also may aggregate cost estimates from Items 12, 13, and 14 in a single table.</w:t>
      </w:r>
    </w:p>
    <w:p w:rsidRPr="00625FA6" w:rsidR="00C45C5C" w:rsidP="000B7C38" w:rsidRDefault="00C45C5C" w14:paraId="4465FBCA" w14:textId="77777777">
      <w:pPr>
        <w:ind w:left="720"/>
        <w:rPr>
          <w:rFonts w:ascii="Times New Roman" w:hAnsi="Times New Roman"/>
        </w:rPr>
      </w:pPr>
    </w:p>
    <w:p w:rsidRPr="00864EFF" w:rsidR="00C45C5C" w:rsidP="000B7C38" w:rsidRDefault="00C45C5C" w14:paraId="177958DD" w14:textId="74303FF4">
      <w:pPr>
        <w:ind w:left="720"/>
        <w:rPr>
          <w:rFonts w:ascii="Times New Roman" w:hAnsi="Times New Roman"/>
        </w:rPr>
      </w:pPr>
      <w:r w:rsidRPr="00625FA6">
        <w:rPr>
          <w:rFonts w:ascii="Times New Roman" w:hAnsi="Times New Roman"/>
        </w:rPr>
        <w:t xml:space="preserve">The Department has allocated 2.5 full-time employees (PTEs) at the GS-11 level to help administer the program.  Using the salary of GS-11 step 5 for </w:t>
      </w:r>
      <w:r w:rsidR="009E2D3A">
        <w:rPr>
          <w:rFonts w:ascii="Times New Roman" w:hAnsi="Times New Roman"/>
        </w:rPr>
        <w:t>2020</w:t>
      </w:r>
      <w:r w:rsidRPr="00625FA6" w:rsidR="00255F55">
        <w:rPr>
          <w:rFonts w:ascii="Times New Roman" w:hAnsi="Times New Roman"/>
        </w:rPr>
        <w:t>,</w:t>
      </w:r>
      <w:r w:rsidR="009E2D3A">
        <w:rPr>
          <w:rFonts w:ascii="Times New Roman" w:hAnsi="Times New Roman"/>
        </w:rPr>
        <w:t xml:space="preserve"> </w:t>
      </w:r>
      <w:r w:rsidRPr="00625FA6">
        <w:rPr>
          <w:rFonts w:ascii="Times New Roman" w:hAnsi="Times New Roman"/>
        </w:rPr>
        <w:t xml:space="preserve">an overhead </w:t>
      </w:r>
      <w:r w:rsidRPr="00625FA6" w:rsidR="00403E55">
        <w:rPr>
          <w:rFonts w:ascii="Times New Roman" w:hAnsi="Times New Roman"/>
        </w:rPr>
        <w:t>estimate of $</w:t>
      </w:r>
      <w:r w:rsidR="00E35011">
        <w:rPr>
          <w:rFonts w:ascii="Times New Roman" w:hAnsi="Times New Roman"/>
        </w:rPr>
        <w:t>79,000</w:t>
      </w:r>
      <w:r w:rsidRPr="003F13F4" w:rsidR="002A65E3">
        <w:rPr>
          <w:rStyle w:val="FootnoteReference"/>
          <w:rFonts w:ascii="Times New Roman" w:hAnsi="Times New Roman"/>
          <w:vertAlign w:val="superscript"/>
        </w:rPr>
        <w:footnoteReference w:id="3"/>
      </w:r>
      <w:r w:rsidRPr="00864EFF" w:rsidR="00574FD3">
        <w:rPr>
          <w:rFonts w:ascii="Times New Roman" w:hAnsi="Times New Roman"/>
        </w:rPr>
        <w:t xml:space="preserve"> </w:t>
      </w:r>
      <w:r w:rsidRPr="00E32648">
        <w:rPr>
          <w:rFonts w:ascii="Times New Roman" w:hAnsi="Times New Roman"/>
        </w:rPr>
        <w:t xml:space="preserve">and </w:t>
      </w:r>
      <w:r w:rsidRPr="009B00E9" w:rsidR="00574FD3">
        <w:rPr>
          <w:rFonts w:ascii="Times New Roman" w:hAnsi="Times New Roman"/>
        </w:rPr>
        <w:t>wages being 68.5</w:t>
      </w:r>
      <w:r w:rsidRPr="009B00E9">
        <w:rPr>
          <w:rFonts w:ascii="Times New Roman" w:hAnsi="Times New Roman"/>
        </w:rPr>
        <w:t xml:space="preserve"> percent of </w:t>
      </w:r>
      <w:r w:rsidRPr="009B00E9" w:rsidR="00255F55">
        <w:rPr>
          <w:rFonts w:ascii="Times New Roman" w:hAnsi="Times New Roman"/>
        </w:rPr>
        <w:t>total compensation</w:t>
      </w:r>
      <w:r w:rsidRPr="009B00E9" w:rsidR="00C2246B">
        <w:rPr>
          <w:rFonts w:ascii="Times New Roman" w:hAnsi="Times New Roman"/>
        </w:rPr>
        <w:t>,</w:t>
      </w:r>
      <w:r w:rsidRPr="009B00E9">
        <w:rPr>
          <w:rFonts w:ascii="Times New Roman" w:hAnsi="Times New Roman"/>
        </w:rPr>
        <w:t xml:space="preserve"> the Department estimates that labor costs to the government of administering the program is $</w:t>
      </w:r>
      <w:r w:rsidR="003870CE">
        <w:rPr>
          <w:rFonts w:ascii="Times New Roman" w:hAnsi="Times New Roman"/>
        </w:rPr>
        <w:t>495,434</w:t>
      </w:r>
      <w:r w:rsidRPr="009B00E9">
        <w:rPr>
          <w:rFonts w:ascii="Times New Roman" w:hAnsi="Times New Roman"/>
        </w:rPr>
        <w:t xml:space="preserve"> </w:t>
      </w:r>
      <w:r w:rsidR="006D3BAB">
        <w:rPr>
          <w:rFonts w:ascii="Times New Roman" w:hAnsi="Times New Roman"/>
        </w:rPr>
        <w:t>[</w:t>
      </w:r>
      <w:r w:rsidRPr="009B00E9">
        <w:rPr>
          <w:rFonts w:ascii="Times New Roman" w:hAnsi="Times New Roman"/>
        </w:rPr>
        <w:t>($</w:t>
      </w:r>
      <w:r w:rsidR="00271607">
        <w:rPr>
          <w:rFonts w:ascii="Times New Roman" w:hAnsi="Times New Roman"/>
        </w:rPr>
        <w:t>81,634</w:t>
      </w:r>
      <w:r w:rsidRPr="009B00E9" w:rsidR="00574FD3">
        <w:rPr>
          <w:rFonts w:ascii="Times New Roman" w:hAnsi="Times New Roman"/>
        </w:rPr>
        <w:t>/0.685+</w:t>
      </w:r>
      <w:r w:rsidRPr="009B00E9" w:rsidR="00403E55">
        <w:rPr>
          <w:rFonts w:ascii="Times New Roman" w:hAnsi="Times New Roman"/>
        </w:rPr>
        <w:t>$</w:t>
      </w:r>
      <w:r w:rsidR="00E35011">
        <w:rPr>
          <w:rFonts w:ascii="Times New Roman" w:hAnsi="Times New Roman"/>
        </w:rPr>
        <w:t>79,000</w:t>
      </w:r>
      <w:r w:rsidRPr="009B00E9">
        <w:rPr>
          <w:rFonts w:ascii="Times New Roman" w:hAnsi="Times New Roman"/>
        </w:rPr>
        <w:t>)</w:t>
      </w:r>
      <w:r w:rsidR="006D3BAB">
        <w:rPr>
          <w:rFonts w:ascii="Times New Roman" w:hAnsi="Times New Roman"/>
        </w:rPr>
        <w:t xml:space="preserve"> x 2.5]</w:t>
      </w:r>
      <w:r w:rsidRPr="009B00E9">
        <w:rPr>
          <w:rFonts w:ascii="Times New Roman" w:hAnsi="Times New Roman"/>
        </w:rPr>
        <w:t>.</w:t>
      </w:r>
    </w:p>
    <w:p w:rsidRPr="00265B0B" w:rsidR="00C45C5C" w:rsidP="000B7C38" w:rsidRDefault="00C45C5C" w14:paraId="2552E004" w14:textId="77777777">
      <w:pPr>
        <w:ind w:left="720"/>
        <w:rPr>
          <w:rFonts w:ascii="Times New Roman" w:hAnsi="Times New Roman"/>
          <w:b/>
        </w:rPr>
      </w:pPr>
    </w:p>
    <w:p w:rsidRPr="00265B0B" w:rsidR="00C45C5C" w:rsidP="000B7C38" w:rsidRDefault="00C45C5C" w14:paraId="7768C919" w14:textId="77777777">
      <w:pPr>
        <w:tabs>
          <w:tab w:val="left" w:pos="-1440"/>
        </w:tabs>
        <w:ind w:left="720" w:hanging="720"/>
        <w:rPr>
          <w:rFonts w:ascii="Times New Roman" w:hAnsi="Times New Roman"/>
          <w:b/>
          <w:iCs/>
        </w:rPr>
      </w:pPr>
      <w:r w:rsidRPr="00265B0B">
        <w:rPr>
          <w:rFonts w:ascii="Times New Roman" w:hAnsi="Times New Roman"/>
          <w:b/>
        </w:rPr>
        <w:t>15.</w:t>
      </w:r>
      <w:r w:rsidRPr="00265B0B">
        <w:rPr>
          <w:rFonts w:ascii="Times New Roman" w:hAnsi="Times New Roman"/>
          <w:b/>
        </w:rPr>
        <w:tab/>
      </w:r>
      <w:r w:rsidRPr="00265B0B">
        <w:rPr>
          <w:rFonts w:ascii="Times New Roman" w:hAnsi="Times New Roman"/>
          <w:b/>
          <w:iCs/>
        </w:rPr>
        <w:t>Explain the reasons for any program changes or adjustments reported in Items 13 or 14.</w:t>
      </w:r>
    </w:p>
    <w:p w:rsidRPr="00583D17" w:rsidR="00C45C5C" w:rsidP="000B7C38" w:rsidRDefault="00C45C5C" w14:paraId="09F7C783" w14:textId="77777777">
      <w:pPr>
        <w:ind w:left="720"/>
        <w:rPr>
          <w:rFonts w:ascii="Times New Roman" w:hAnsi="Times New Roman"/>
        </w:rPr>
      </w:pPr>
    </w:p>
    <w:p w:rsidRPr="00625FA6" w:rsidR="00C45C5C" w:rsidP="000B7C38" w:rsidRDefault="00C45C5C" w14:paraId="01AD90C9" w14:textId="77777777">
      <w:pPr>
        <w:tabs>
          <w:tab w:val="left" w:pos="3330"/>
        </w:tabs>
        <w:ind w:left="720"/>
        <w:rPr>
          <w:rFonts w:ascii="Times New Roman" w:hAnsi="Times New Roman"/>
        </w:rPr>
      </w:pPr>
      <w:r w:rsidRPr="00625FA6">
        <w:rPr>
          <w:rFonts w:ascii="Times New Roman" w:hAnsi="Times New Roman"/>
        </w:rPr>
        <w:t xml:space="preserve">The total cost and hour burdens have been adjusted to reflect updated information on the number of plans utilizing the DFVC Program and updated </w:t>
      </w:r>
      <w:r w:rsidRPr="00625FA6" w:rsidR="006B355F">
        <w:rPr>
          <w:rFonts w:ascii="Times New Roman" w:hAnsi="Times New Roman"/>
        </w:rPr>
        <w:t>postage</w:t>
      </w:r>
      <w:r w:rsidRPr="00625FA6">
        <w:rPr>
          <w:rFonts w:ascii="Times New Roman" w:hAnsi="Times New Roman"/>
        </w:rPr>
        <w:t xml:space="preserve"> and labor costs.</w:t>
      </w:r>
    </w:p>
    <w:p w:rsidRPr="00265B0B" w:rsidR="00DA2016" w:rsidP="000B7C38" w:rsidRDefault="00DA2016" w14:paraId="7A98183A" w14:textId="77777777">
      <w:pPr>
        <w:ind w:left="720"/>
        <w:rPr>
          <w:rFonts w:ascii="Times New Roman" w:hAnsi="Times New Roman"/>
          <w:b/>
        </w:rPr>
      </w:pPr>
    </w:p>
    <w:p w:rsidRPr="00265B0B" w:rsidR="00DA2016" w:rsidP="000B7C38" w:rsidRDefault="00DA2016" w14:paraId="37E66588" w14:textId="77777777">
      <w:pPr>
        <w:tabs>
          <w:tab w:val="left" w:pos="-1440"/>
        </w:tabs>
        <w:ind w:left="720" w:hanging="720"/>
        <w:rPr>
          <w:rFonts w:ascii="Times New Roman" w:hAnsi="Times New Roman"/>
          <w:b/>
          <w:iCs/>
        </w:rPr>
      </w:pPr>
      <w:r w:rsidRPr="00265B0B">
        <w:rPr>
          <w:rFonts w:ascii="Times New Roman" w:hAnsi="Times New Roman"/>
          <w:b/>
        </w:rPr>
        <w:t>16.</w:t>
      </w:r>
      <w:r w:rsidRPr="00265B0B">
        <w:rPr>
          <w:rFonts w:ascii="Times New Roman" w:hAnsi="Times New Roman"/>
          <w:b/>
        </w:rPr>
        <w:tab/>
      </w:r>
      <w:r w:rsidRPr="00265B0B">
        <w:rPr>
          <w:rFonts w:ascii="Times New Roman" w:hAnsi="Times New Roman"/>
          <w:b/>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625FA6" w:rsidR="00DA2016" w:rsidP="000B7C38" w:rsidRDefault="00DA2016" w14:paraId="1CD1D193" w14:textId="77777777">
      <w:pPr>
        <w:ind w:left="720"/>
        <w:rPr>
          <w:rFonts w:ascii="Times New Roman" w:hAnsi="Times New Roman"/>
        </w:rPr>
      </w:pPr>
    </w:p>
    <w:p w:rsidRPr="000B7C38" w:rsidR="00DA2016" w:rsidP="000B7C38" w:rsidRDefault="00DA2016" w14:paraId="3861AC99" w14:textId="77777777">
      <w:pPr>
        <w:ind w:left="720"/>
        <w:rPr>
          <w:rFonts w:ascii="Times New Roman" w:hAnsi="Times New Roman"/>
        </w:rPr>
      </w:pPr>
      <w:r w:rsidRPr="000B7C38">
        <w:rPr>
          <w:rFonts w:ascii="Times New Roman" w:hAnsi="Times New Roman"/>
        </w:rPr>
        <w:t>This is not a collection of information for statistical use.</w:t>
      </w:r>
    </w:p>
    <w:p w:rsidRPr="000B7C38" w:rsidR="00DA2016" w:rsidP="000B7C38" w:rsidRDefault="00DA2016" w14:paraId="16274C44" w14:textId="77777777">
      <w:pPr>
        <w:ind w:left="720"/>
        <w:rPr>
          <w:rFonts w:ascii="Times New Roman" w:hAnsi="Times New Roman"/>
        </w:rPr>
      </w:pPr>
    </w:p>
    <w:p w:rsidRPr="00F44A14" w:rsidR="00DA2016" w:rsidP="000B7C38" w:rsidRDefault="00DA2016" w14:paraId="7CA588A4" w14:textId="77777777">
      <w:pPr>
        <w:tabs>
          <w:tab w:val="left" w:pos="-1440"/>
        </w:tabs>
        <w:ind w:left="720" w:hanging="720"/>
        <w:rPr>
          <w:rFonts w:ascii="Times New Roman" w:hAnsi="Times New Roman"/>
          <w:i/>
          <w:iCs/>
        </w:rPr>
      </w:pPr>
      <w:r w:rsidRPr="00265B0B">
        <w:rPr>
          <w:rFonts w:ascii="Times New Roman" w:hAnsi="Times New Roman"/>
          <w:b/>
        </w:rPr>
        <w:t>17.</w:t>
      </w:r>
      <w:r w:rsidRPr="00265B0B">
        <w:rPr>
          <w:rFonts w:ascii="Times New Roman" w:hAnsi="Times New Roman"/>
          <w:b/>
        </w:rPr>
        <w:tab/>
      </w:r>
      <w:r w:rsidRPr="00265B0B">
        <w:rPr>
          <w:rFonts w:ascii="Times New Roman" w:hAnsi="Times New Roman"/>
          <w:b/>
          <w:iCs/>
        </w:rPr>
        <w:t>If seeking approval to not display the expiration date for OMB approval of the information collection, explain the reasons that display would be inappropriate</w:t>
      </w:r>
      <w:r w:rsidRPr="000B7C38">
        <w:rPr>
          <w:rFonts w:ascii="Times New Roman" w:hAnsi="Times New Roman"/>
          <w:i/>
          <w:iCs/>
        </w:rPr>
        <w:t>.</w:t>
      </w:r>
    </w:p>
    <w:p w:rsidRPr="007C397F" w:rsidR="00DA2016" w:rsidP="000B7C38" w:rsidRDefault="00DA2016" w14:paraId="757807C4" w14:textId="77777777">
      <w:pPr>
        <w:ind w:left="720"/>
        <w:rPr>
          <w:rFonts w:ascii="Times New Roman" w:hAnsi="Times New Roman"/>
        </w:rPr>
      </w:pPr>
    </w:p>
    <w:p w:rsidRPr="007C397F" w:rsidR="00DA2016" w:rsidP="000B7C38" w:rsidRDefault="00DA2016" w14:paraId="18CEE4B7" w14:textId="77777777">
      <w:pPr>
        <w:ind w:left="720"/>
        <w:rPr>
          <w:rFonts w:ascii="Times New Roman" w:hAnsi="Times New Roman"/>
        </w:rPr>
      </w:pPr>
      <w:r w:rsidRPr="007C397F">
        <w:rPr>
          <w:rFonts w:ascii="Times New Roman" w:hAnsi="Times New Roman"/>
        </w:rPr>
        <w:t>The collection of information will display a currently valid OMB control number.</w:t>
      </w:r>
    </w:p>
    <w:p w:rsidRPr="007C397F" w:rsidR="00DA2016" w:rsidP="000B7C38" w:rsidRDefault="00DA2016" w14:paraId="5428F35B" w14:textId="77777777">
      <w:pPr>
        <w:ind w:left="720"/>
        <w:rPr>
          <w:rFonts w:ascii="Times New Roman" w:hAnsi="Times New Roman"/>
        </w:rPr>
      </w:pPr>
    </w:p>
    <w:p w:rsidRPr="00D2654B" w:rsidR="00DA2016" w:rsidP="000B7C38" w:rsidRDefault="00DA2016" w14:paraId="420CD0B6" w14:textId="01AD8D50">
      <w:pPr>
        <w:tabs>
          <w:tab w:val="left" w:pos="-1440"/>
        </w:tabs>
        <w:ind w:left="720" w:hanging="720"/>
        <w:rPr>
          <w:rFonts w:ascii="Times New Roman" w:hAnsi="Times New Roman"/>
          <w:b/>
          <w:iCs/>
        </w:rPr>
      </w:pPr>
      <w:r w:rsidRPr="00D2654B">
        <w:rPr>
          <w:rFonts w:ascii="Times New Roman" w:hAnsi="Times New Roman"/>
          <w:b/>
        </w:rPr>
        <w:t>18.</w:t>
      </w:r>
      <w:r w:rsidRPr="00D2654B">
        <w:rPr>
          <w:rFonts w:ascii="Times New Roman" w:hAnsi="Times New Roman"/>
          <w:b/>
        </w:rPr>
        <w:tab/>
      </w:r>
      <w:r w:rsidRPr="00D2654B">
        <w:rPr>
          <w:rFonts w:ascii="Times New Roman" w:hAnsi="Times New Roman"/>
          <w:b/>
          <w:iCs/>
        </w:rPr>
        <w:t>Explain each exception to the certification statement identified in Item 19</w:t>
      </w:r>
      <w:r w:rsidR="00114A8D">
        <w:rPr>
          <w:rFonts w:ascii="Times New Roman" w:hAnsi="Times New Roman"/>
          <w:b/>
          <w:iCs/>
        </w:rPr>
        <w:t>.</w:t>
      </w:r>
    </w:p>
    <w:p w:rsidRPr="00583D17" w:rsidR="00DA2016" w:rsidP="000B7C38" w:rsidRDefault="00DA2016" w14:paraId="00AFAA1E" w14:textId="77777777">
      <w:pPr>
        <w:tabs>
          <w:tab w:val="left" w:pos="-1440"/>
        </w:tabs>
        <w:ind w:left="720"/>
        <w:rPr>
          <w:rFonts w:ascii="Times New Roman" w:hAnsi="Times New Roman"/>
          <w:i/>
          <w:iCs/>
        </w:rPr>
      </w:pPr>
    </w:p>
    <w:p w:rsidR="00DA2016" w:rsidP="000B7C38" w:rsidRDefault="00DA2016" w14:paraId="6E1DE5C3" w14:textId="77777777">
      <w:pPr>
        <w:ind w:left="720"/>
        <w:rPr>
          <w:rFonts w:ascii="Times New Roman" w:hAnsi="Times New Roman"/>
        </w:rPr>
      </w:pPr>
      <w:r w:rsidRPr="00625FA6">
        <w:rPr>
          <w:rFonts w:ascii="Times New Roman" w:hAnsi="Times New Roman"/>
        </w:rPr>
        <w:t>None.</w:t>
      </w:r>
    </w:p>
    <w:p w:rsidR="00F44A14" w:rsidP="000B7C38" w:rsidRDefault="00F44A14" w14:paraId="0C0451C5" w14:textId="77777777">
      <w:pPr>
        <w:ind w:left="720"/>
        <w:rPr>
          <w:rFonts w:ascii="Times New Roman" w:hAnsi="Times New Roman"/>
        </w:rPr>
      </w:pPr>
    </w:p>
    <w:p w:rsidRPr="00D2654B" w:rsidR="00D2654B" w:rsidP="00D2654B" w:rsidRDefault="00D2654B" w14:paraId="1CC1AF30" w14:textId="77777777">
      <w:pPr>
        <w:numPr>
          <w:ilvl w:val="0"/>
          <w:numId w:val="4"/>
        </w:numPr>
        <w:rPr>
          <w:rFonts w:ascii="Times New Roman" w:hAnsi="Times New Roman"/>
          <w:b/>
          <w:bCs/>
        </w:rPr>
      </w:pPr>
      <w:r w:rsidRPr="00D2654B">
        <w:rPr>
          <w:rFonts w:ascii="Times New Roman" w:hAnsi="Times New Roman"/>
          <w:b/>
          <w:bCs/>
        </w:rPr>
        <w:t>COLLECTIONS OF INFORMATION EMPLOYING STATISTICAL METHODS</w:t>
      </w:r>
    </w:p>
    <w:p w:rsidRPr="004C5D3B" w:rsidR="00F44A14" w:rsidP="00F44A14" w:rsidRDefault="00F44A14" w14:paraId="0839812D" w14:textId="77777777">
      <w:pPr>
        <w:ind w:left="720"/>
        <w:rPr>
          <w:rFonts w:ascii="Times New Roman" w:hAnsi="Times New Roman"/>
        </w:rPr>
      </w:pPr>
    </w:p>
    <w:p w:rsidRPr="00790D92" w:rsidR="00F44A14" w:rsidP="007C397F" w:rsidRDefault="00F44A14" w14:paraId="211D4A8E" w14:textId="77777777">
      <w:pPr>
        <w:ind w:left="720"/>
        <w:outlineLvl w:val="0"/>
        <w:rPr>
          <w:rFonts w:ascii="Times New Roman" w:hAnsi="Times New Roman"/>
        </w:rPr>
      </w:pPr>
      <w:r w:rsidRPr="004D5DAA">
        <w:rPr>
          <w:rFonts w:ascii="Times New Roman" w:hAnsi="Times New Roman"/>
        </w:rPr>
        <w:t>Not applicable.  The use of statistical methods is not relevant to this collection of information.</w:t>
      </w:r>
    </w:p>
    <w:p w:rsidRPr="00625FA6" w:rsidR="00F44A14" w:rsidP="007C397F" w:rsidRDefault="00F44A14" w14:paraId="7BC1EDB1" w14:textId="77777777">
      <w:pPr>
        <w:ind w:left="720"/>
        <w:rPr>
          <w:rFonts w:ascii="Times New Roman" w:hAnsi="Times New Roman"/>
        </w:rPr>
      </w:pPr>
    </w:p>
    <w:sectPr w:rsidRPr="00625FA6" w:rsidR="00F44A14" w:rsidSect="00781697">
      <w:headerReference w:type="default" r:id="rId11"/>
      <w:footerReference w:type="even" r:id="rId12"/>
      <w:footerReference w:type="default" r:id="rId13"/>
      <w:headerReference w:type="first" r:id="rId14"/>
      <w:endnotePr>
        <w:numFmt w:val="decimal"/>
      </w:endnotePr>
      <w:type w:val="continuous"/>
      <w:pgSz w:w="12240" w:h="15840"/>
      <w:pgMar w:top="1350" w:right="1440" w:bottom="1440" w:left="1440" w:header="135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8A558" w14:textId="77777777" w:rsidR="004B19B0" w:rsidRDefault="004B19B0">
      <w:r>
        <w:separator/>
      </w:r>
    </w:p>
  </w:endnote>
  <w:endnote w:type="continuationSeparator" w:id="0">
    <w:p w14:paraId="1FFE31AB" w14:textId="77777777" w:rsidR="004B19B0" w:rsidRDefault="004B1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9CEE6" w14:textId="77777777" w:rsidR="000F55A1" w:rsidRDefault="000F55A1" w:rsidP="001A67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C3399A" w14:textId="77777777" w:rsidR="000F55A1" w:rsidRDefault="000F5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58F9B" w14:textId="70B75149" w:rsidR="000F55A1" w:rsidRPr="00725F8B" w:rsidRDefault="000F55A1" w:rsidP="001A67F4">
    <w:pPr>
      <w:pStyle w:val="Footer"/>
      <w:framePr w:wrap="around" w:vAnchor="text" w:hAnchor="margin" w:xAlign="center" w:y="1"/>
      <w:rPr>
        <w:rStyle w:val="PageNumber"/>
        <w:rFonts w:ascii="Times New Roman" w:hAnsi="Times New Roman"/>
      </w:rPr>
    </w:pPr>
    <w:r w:rsidRPr="00725F8B">
      <w:rPr>
        <w:rStyle w:val="PageNumber"/>
        <w:rFonts w:ascii="Times New Roman" w:hAnsi="Times New Roman"/>
      </w:rPr>
      <w:fldChar w:fldCharType="begin"/>
    </w:r>
    <w:r w:rsidRPr="00725F8B">
      <w:rPr>
        <w:rStyle w:val="PageNumber"/>
        <w:rFonts w:ascii="Times New Roman" w:hAnsi="Times New Roman"/>
      </w:rPr>
      <w:instrText xml:space="preserve">PAGE  </w:instrText>
    </w:r>
    <w:r w:rsidRPr="00725F8B">
      <w:rPr>
        <w:rStyle w:val="PageNumber"/>
        <w:rFonts w:ascii="Times New Roman" w:hAnsi="Times New Roman"/>
      </w:rPr>
      <w:fldChar w:fldCharType="separate"/>
    </w:r>
    <w:r w:rsidR="00C87FAB">
      <w:rPr>
        <w:rStyle w:val="PageNumber"/>
        <w:rFonts w:ascii="Times New Roman" w:hAnsi="Times New Roman"/>
        <w:noProof/>
      </w:rPr>
      <w:t>7</w:t>
    </w:r>
    <w:r w:rsidRPr="00725F8B">
      <w:rPr>
        <w:rStyle w:val="PageNumber"/>
        <w:rFonts w:ascii="Times New Roman" w:hAnsi="Times New Roman"/>
      </w:rPr>
      <w:fldChar w:fldCharType="end"/>
    </w:r>
  </w:p>
  <w:p w14:paraId="167309D9" w14:textId="77777777" w:rsidR="000F55A1" w:rsidRDefault="000F5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C980F9" w14:textId="77777777" w:rsidR="004B19B0" w:rsidRDefault="004B19B0">
      <w:r>
        <w:separator/>
      </w:r>
    </w:p>
  </w:footnote>
  <w:footnote w:type="continuationSeparator" w:id="0">
    <w:p w14:paraId="4C6343E6" w14:textId="77777777" w:rsidR="004B19B0" w:rsidRDefault="004B19B0">
      <w:r>
        <w:continuationSeparator/>
      </w:r>
    </w:p>
  </w:footnote>
  <w:footnote w:id="1">
    <w:p w14:paraId="1DB0A40C" w14:textId="65C7E4E2" w:rsidR="005C081F" w:rsidRPr="003F13F4" w:rsidRDefault="005C081F">
      <w:pPr>
        <w:pStyle w:val="FootnoteText"/>
        <w:rPr>
          <w:rFonts w:ascii="Times New Roman" w:hAnsi="Times New Roman"/>
        </w:rPr>
      </w:pPr>
      <w:r w:rsidRPr="003F13F4">
        <w:rPr>
          <w:rStyle w:val="FootnoteReference"/>
          <w:rFonts w:ascii="Times New Roman" w:hAnsi="Times New Roman"/>
          <w:vertAlign w:val="superscript"/>
        </w:rPr>
        <w:footnoteRef/>
      </w:r>
      <w:r w:rsidRPr="003F13F4">
        <w:rPr>
          <w:rFonts w:ascii="Times New Roman" w:hAnsi="Times New Roman"/>
        </w:rPr>
        <w:t xml:space="preserve"> </w:t>
      </w:r>
      <w:r w:rsidR="006C7DA6" w:rsidRPr="003F13F4">
        <w:rPr>
          <w:rFonts w:ascii="Times New Roman" w:hAnsi="Times New Roman"/>
        </w:rPr>
        <w:t xml:space="preserve">See </w:t>
      </w:r>
      <w:r w:rsidR="00BC3A67" w:rsidRPr="003F13F4">
        <w:rPr>
          <w:rFonts w:ascii="Times New Roman" w:hAnsi="Times New Roman"/>
        </w:rPr>
        <w:t xml:space="preserve">also </w:t>
      </w:r>
      <w:r w:rsidR="006C7DA6" w:rsidRPr="003F13F4">
        <w:rPr>
          <w:rFonts w:ascii="Times New Roman" w:hAnsi="Times New Roman"/>
        </w:rPr>
        <w:t xml:space="preserve">ERISA section 502(c)(2), 29 CFR 2560.502c-2, and the Federal Civil Penalties Inflation Adjustment Act of 1990, as amended by the Federal Civil Penalties Inflation Adjustment Act Improvements Act of 2015 (2015 Inflation Adjustment Act). Pub. L. No. 114-74; 129 Stat. 599 </w:t>
      </w:r>
      <w:r w:rsidR="00D9429A" w:rsidRPr="003F13F4">
        <w:rPr>
          <w:rFonts w:ascii="Times New Roman" w:hAnsi="Times New Roman"/>
        </w:rPr>
        <w:t>and DOL’s</w:t>
      </w:r>
      <w:r w:rsidR="006C7DA6" w:rsidRPr="003F13F4">
        <w:rPr>
          <w:rFonts w:ascii="Times New Roman" w:hAnsi="Times New Roman"/>
        </w:rPr>
        <w:t xml:space="preserve"> implementing regulation at </w:t>
      </w:r>
      <w:r w:rsidR="00477518">
        <w:rPr>
          <w:rFonts w:ascii="Times New Roman" w:hAnsi="Times New Roman"/>
        </w:rPr>
        <w:t>85</w:t>
      </w:r>
      <w:r w:rsidR="00477518" w:rsidRPr="003F13F4">
        <w:rPr>
          <w:rFonts w:ascii="Times New Roman" w:hAnsi="Times New Roman"/>
        </w:rPr>
        <w:t xml:space="preserve"> </w:t>
      </w:r>
      <w:r w:rsidR="006C7DA6" w:rsidRPr="003F13F4">
        <w:rPr>
          <w:rFonts w:ascii="Times New Roman" w:hAnsi="Times New Roman"/>
        </w:rPr>
        <w:t xml:space="preserve">FR </w:t>
      </w:r>
      <w:r w:rsidR="00477518" w:rsidRPr="003F13F4">
        <w:rPr>
          <w:rFonts w:ascii="Times New Roman" w:hAnsi="Times New Roman"/>
        </w:rPr>
        <w:t>5</w:t>
      </w:r>
      <w:r w:rsidR="00477518">
        <w:rPr>
          <w:rFonts w:ascii="Times New Roman" w:hAnsi="Times New Roman"/>
        </w:rPr>
        <w:t>2292</w:t>
      </w:r>
      <w:r w:rsidR="00477518" w:rsidRPr="003F13F4">
        <w:rPr>
          <w:rFonts w:ascii="Times New Roman" w:hAnsi="Times New Roman"/>
        </w:rPr>
        <w:t xml:space="preserve"> </w:t>
      </w:r>
      <w:r w:rsidR="006C7DA6" w:rsidRPr="003F13F4">
        <w:rPr>
          <w:rFonts w:ascii="Times New Roman" w:hAnsi="Times New Roman"/>
        </w:rPr>
        <w:t>(Jan. 1</w:t>
      </w:r>
      <w:r w:rsidR="00477518">
        <w:rPr>
          <w:rFonts w:ascii="Times New Roman" w:hAnsi="Times New Roman"/>
        </w:rPr>
        <w:t>5</w:t>
      </w:r>
      <w:r w:rsidR="006C7DA6" w:rsidRPr="003F13F4">
        <w:rPr>
          <w:rFonts w:ascii="Times New Roman" w:hAnsi="Times New Roman"/>
        </w:rPr>
        <w:t>, 20</w:t>
      </w:r>
      <w:r w:rsidR="00477518">
        <w:rPr>
          <w:rFonts w:ascii="Times New Roman" w:hAnsi="Times New Roman"/>
        </w:rPr>
        <w:t>20</w:t>
      </w:r>
      <w:r w:rsidR="006C7DA6" w:rsidRPr="003F13F4">
        <w:rPr>
          <w:rFonts w:ascii="Times New Roman" w:hAnsi="Times New Roman"/>
        </w:rPr>
        <w:t>)</w:t>
      </w:r>
      <w:r w:rsidR="00D9429A" w:rsidRPr="003F13F4">
        <w:rPr>
          <w:rFonts w:ascii="Times New Roman" w:hAnsi="Times New Roman"/>
        </w:rPr>
        <w:t xml:space="preserve">.  </w:t>
      </w:r>
      <w:r w:rsidR="006C7DA6" w:rsidRPr="003F13F4">
        <w:rPr>
          <w:rFonts w:ascii="Times New Roman" w:hAnsi="Times New Roman"/>
        </w:rPr>
        <w:t>The 2015 Inflation Adjustment Act requires agencies to adjust the levels of civil monetary penalties with an initial catch-up adjustment, followed by annual adjustments for inflation. </w:t>
      </w:r>
      <w:r w:rsidR="006C7DA6" w:rsidRPr="00E32648">
        <w:rPr>
          <w:rFonts w:ascii="Times New Roman" w:hAnsi="Times New Roman"/>
        </w:rPr>
        <w:t xml:space="preserve">  </w:t>
      </w:r>
    </w:p>
  </w:footnote>
  <w:footnote w:id="2">
    <w:p w14:paraId="1C922359" w14:textId="5024B972" w:rsidR="000F55A1" w:rsidRPr="00E32648" w:rsidRDefault="000F55A1" w:rsidP="003F13F4">
      <w:pPr>
        <w:rPr>
          <w:rFonts w:ascii="Times New Roman" w:hAnsi="Times New Roman"/>
        </w:rPr>
      </w:pPr>
      <w:r w:rsidRPr="00235680">
        <w:rPr>
          <w:rStyle w:val="FootnoteReference"/>
          <w:rFonts w:ascii="Times New Roman" w:hAnsi="Times New Roman"/>
          <w:sz w:val="20"/>
          <w:szCs w:val="20"/>
          <w:vertAlign w:val="superscript"/>
        </w:rPr>
        <w:footnoteRef/>
      </w:r>
      <w:r w:rsidRPr="00E32648">
        <w:rPr>
          <w:rFonts w:ascii="Times New Roman" w:hAnsi="Times New Roman"/>
          <w:vertAlign w:val="superscript"/>
        </w:rPr>
        <w:t xml:space="preserve"> </w:t>
      </w:r>
      <w:r w:rsidR="00583D17" w:rsidRPr="00583D17">
        <w:rPr>
          <w:rFonts w:ascii="Times New Roman" w:hAnsi="Times New Roman"/>
          <w:sz w:val="20"/>
          <w:szCs w:val="20"/>
        </w:rPr>
        <w:t xml:space="preserve">For a description of the Department’s methodology for calculating wage rates, see </w:t>
      </w:r>
      <w:r w:rsidR="00FA49DF" w:rsidRPr="00FA49DF">
        <w:rPr>
          <w:rFonts w:ascii="Times New Roman" w:hAnsi="Times New Roman"/>
          <w:sz w:val="20"/>
          <w:szCs w:val="20"/>
        </w:rPr>
        <w:t>https://www.dol.gov/sites/dolgov/files/EBSA/laws-and-regulations/rules-and-regulations/technical-</w:t>
      </w:r>
      <w:bookmarkStart w:id="1" w:name="_GoBack"/>
      <w:bookmarkEnd w:id="1"/>
      <w:r w:rsidR="00FA49DF" w:rsidRPr="00FA49DF">
        <w:rPr>
          <w:rFonts w:ascii="Times New Roman" w:hAnsi="Times New Roman"/>
          <w:sz w:val="20"/>
          <w:szCs w:val="20"/>
        </w:rPr>
        <w:t>appendices/labor-cost-inputs-used-in-ebsa-opr-ria-and-pra-burden-calculations-june-2019.pdf</w:t>
      </w:r>
    </w:p>
  </w:footnote>
  <w:footnote w:id="3">
    <w:p w14:paraId="2D62CFA5" w14:textId="57363862" w:rsidR="002A65E3" w:rsidRPr="003F13F4" w:rsidRDefault="002A65E3">
      <w:pPr>
        <w:pStyle w:val="FootnoteText"/>
        <w:rPr>
          <w:rFonts w:ascii="Times New Roman" w:hAnsi="Times New Roman"/>
        </w:rPr>
      </w:pPr>
      <w:r w:rsidRPr="003F13F4">
        <w:rPr>
          <w:rStyle w:val="FootnoteReference"/>
          <w:rFonts w:ascii="Times New Roman" w:hAnsi="Times New Roman"/>
          <w:vertAlign w:val="superscript"/>
        </w:rPr>
        <w:footnoteRef/>
      </w:r>
      <w:r w:rsidRPr="003F13F4">
        <w:rPr>
          <w:rFonts w:ascii="Times New Roman" w:hAnsi="Times New Roman"/>
          <w:vertAlign w:val="superscript"/>
        </w:rPr>
        <w:t xml:space="preserve"> </w:t>
      </w:r>
      <w:r w:rsidR="00933B5C" w:rsidRPr="00E32648">
        <w:rPr>
          <w:rFonts w:ascii="Times New Roman" w:hAnsi="Times New Roman"/>
        </w:rPr>
        <w:t>EBSA requests a flat $</w:t>
      </w:r>
      <w:r w:rsidR="00E35011">
        <w:rPr>
          <w:rFonts w:ascii="Times New Roman" w:hAnsi="Times New Roman"/>
        </w:rPr>
        <w:t>79,00</w:t>
      </w:r>
      <w:r w:rsidR="00E626B8">
        <w:rPr>
          <w:rFonts w:ascii="Times New Roman" w:hAnsi="Times New Roman"/>
        </w:rPr>
        <w:t>0</w:t>
      </w:r>
      <w:r w:rsidRPr="003F13F4">
        <w:rPr>
          <w:rFonts w:ascii="Times New Roman" w:hAnsi="Times New Roman"/>
        </w:rPr>
        <w:t xml:space="preserve"> annually per FTE in its budget requests based on actual spending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B6501" w14:textId="50881615" w:rsidR="000F55A1" w:rsidRPr="009B00E9" w:rsidRDefault="000F55A1" w:rsidP="003F13F4">
    <w:pPr>
      <w:pStyle w:val="Header"/>
      <w:jc w:val="right"/>
      <w:rPr>
        <w:rFonts w:ascii="Times New Roman" w:hAnsi="Times New Roman"/>
        <w:b/>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D1BC5" w14:textId="77777777" w:rsidR="00287997" w:rsidRPr="003F13F4" w:rsidRDefault="009C711D" w:rsidP="00D46B1F">
    <w:pPr>
      <w:pStyle w:val="Header"/>
      <w:rPr>
        <w:rFonts w:ascii="Times New Roman" w:hAnsi="Times New Roman"/>
        <w:sz w:val="20"/>
        <w:szCs w:val="20"/>
      </w:rPr>
    </w:pPr>
    <w:r w:rsidRPr="003F13F4">
      <w:rPr>
        <w:rFonts w:ascii="Times New Roman" w:hAnsi="Times New Roman"/>
        <w:sz w:val="20"/>
        <w:szCs w:val="20"/>
      </w:rPr>
      <w:t>Delinquent Filer</w:t>
    </w:r>
    <w:r w:rsidR="00287997" w:rsidRPr="003F13F4">
      <w:rPr>
        <w:rFonts w:ascii="Times New Roman" w:hAnsi="Times New Roman"/>
        <w:sz w:val="20"/>
        <w:szCs w:val="20"/>
      </w:rPr>
      <w:t xml:space="preserve"> Voluntary Compliance Program</w:t>
    </w:r>
  </w:p>
  <w:p w14:paraId="470F56A4" w14:textId="77777777" w:rsidR="00287997" w:rsidRDefault="00287997" w:rsidP="00D46B1F">
    <w:pPr>
      <w:pStyle w:val="Header"/>
      <w:rPr>
        <w:rFonts w:ascii="Times New Roman" w:hAnsi="Times New Roman"/>
        <w:sz w:val="20"/>
        <w:szCs w:val="20"/>
      </w:rPr>
    </w:pPr>
    <w:r w:rsidRPr="003F13F4">
      <w:rPr>
        <w:rFonts w:ascii="Times New Roman" w:hAnsi="Times New Roman"/>
        <w:sz w:val="20"/>
        <w:szCs w:val="20"/>
      </w:rPr>
      <w:t>OMB Control Number 1210-0089</w:t>
    </w:r>
  </w:p>
  <w:p w14:paraId="327BB802" w14:textId="77777777" w:rsidR="003C00D5" w:rsidRPr="003F13F4" w:rsidRDefault="003C00D5" w:rsidP="00D46B1F">
    <w:pPr>
      <w:pStyle w:val="Header"/>
      <w:rPr>
        <w:rFonts w:ascii="Times New Roman" w:hAnsi="Times New Roman"/>
        <w:sz w:val="20"/>
        <w:szCs w:val="20"/>
      </w:rPr>
    </w:pPr>
    <w:r>
      <w:rPr>
        <w:rFonts w:ascii="Times New Roman" w:hAnsi="Times New Roman"/>
        <w:sz w:val="20"/>
        <w:szCs w:val="20"/>
      </w:rPr>
      <w:t>Expiration Date: 1/31/2021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6CC2E15C"/>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21451293"/>
    <w:multiLevelType w:val="hybridMultilevel"/>
    <w:tmpl w:val="643CC478"/>
    <w:lvl w:ilvl="0" w:tplc="0FA47EEA">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2740E"/>
    <w:multiLevelType w:val="hybridMultilevel"/>
    <w:tmpl w:val="3CD2A9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startOverride w:val="1"/>
      <w:lvl w:ilvl="0">
        <w:start w:val="1"/>
        <w:numFmt w:val="decimal"/>
        <w:pStyle w:val="Quick1"/>
        <w:lvlText w:val="%1."/>
        <w:lvlJc w:val="left"/>
        <w:rPr>
          <w:i w:val="0"/>
        </w:rPr>
      </w:lvl>
    </w:lvlOverride>
  </w:num>
  <w:num w:numId="2">
    <w:abstractNumId w:val="0"/>
    <w:lvlOverride w:ilvl="0">
      <w:lvl w:ilvl="0">
        <w:start w:val="1"/>
        <w:numFmt w:val="decimal"/>
        <w:pStyle w:val="Quick1"/>
        <w:lvlText w:val="%1."/>
        <w:lvlJc w:val="left"/>
        <w:pPr>
          <w:ind w:left="0" w:firstLine="0"/>
        </w:pPr>
        <w:rPr>
          <w:rFonts w:hint="default"/>
        </w:rPr>
      </w:lvl>
    </w:lvlOverride>
  </w:num>
  <w:num w:numId="3">
    <w:abstractNumId w:val="0"/>
    <w:lvlOverride w:ilvl="0">
      <w:startOverride w:val="13"/>
      <w:lvl w:ilvl="0">
        <w:start w:val="13"/>
        <w:numFmt w:val="decimal"/>
        <w:pStyle w:val="Quick1"/>
        <w:lvlText w:val="%1."/>
        <w:lvlJc w:val="left"/>
      </w:lvl>
    </w:lvlOverride>
  </w:num>
  <w:num w:numId="4">
    <w:abstractNumId w:val="1"/>
  </w:num>
  <w:num w:numId="5">
    <w:abstractNumId w:val="0"/>
    <w:lvlOverride w:ilvl="0">
      <w:startOverride w:val="13"/>
      <w:lvl w:ilvl="0">
        <w:start w:val="13"/>
        <w:numFmt w:val="decimal"/>
        <w:pStyle w:val="Quick1"/>
        <w:lvlText w:val="%1."/>
        <w:lvlJc w:val="left"/>
        <w:pPr>
          <w:ind w:left="0" w:firstLine="0"/>
        </w:pPr>
        <w:rPr>
          <w:rFonts w:hint="default"/>
          <w:b/>
          <w:i w:val="0"/>
        </w:rPr>
      </w:lvl>
    </w:lvlOverride>
  </w:num>
  <w:num w:numId="6">
    <w:abstractNumId w:val="0"/>
    <w:lvlOverride w:ilvl="0">
      <w:startOverride w:val="7"/>
      <w:lvl w:ilvl="0">
        <w:start w:val="7"/>
        <w:numFmt w:val="decimal"/>
        <w:pStyle w:val="Quick1"/>
        <w:lvlText w:val="%1."/>
        <w:lvlJc w:val="left"/>
        <w:pPr>
          <w:ind w:left="0" w:firstLine="0"/>
        </w:pPr>
        <w:rPr>
          <w:rFonts w:hint="default"/>
          <w:b/>
          <w:i w:val="0"/>
        </w:rPr>
      </w:lvl>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1745"/>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2DD"/>
    <w:rsid w:val="00016297"/>
    <w:rsid w:val="00020204"/>
    <w:rsid w:val="000279CB"/>
    <w:rsid w:val="00037D32"/>
    <w:rsid w:val="0005121B"/>
    <w:rsid w:val="000712D3"/>
    <w:rsid w:val="000721A0"/>
    <w:rsid w:val="00080941"/>
    <w:rsid w:val="000955AC"/>
    <w:rsid w:val="000B187B"/>
    <w:rsid w:val="000B7C38"/>
    <w:rsid w:val="000E0CD6"/>
    <w:rsid w:val="000F55A1"/>
    <w:rsid w:val="00110CCF"/>
    <w:rsid w:val="00113D1C"/>
    <w:rsid w:val="00114A8D"/>
    <w:rsid w:val="00116BF3"/>
    <w:rsid w:val="001259C9"/>
    <w:rsid w:val="00151D0D"/>
    <w:rsid w:val="0015309A"/>
    <w:rsid w:val="001A67F4"/>
    <w:rsid w:val="001A6CE8"/>
    <w:rsid w:val="001B014A"/>
    <w:rsid w:val="001D2101"/>
    <w:rsid w:val="001E77B2"/>
    <w:rsid w:val="002108A7"/>
    <w:rsid w:val="00221676"/>
    <w:rsid w:val="00226B02"/>
    <w:rsid w:val="00235680"/>
    <w:rsid w:val="00236276"/>
    <w:rsid w:val="002406BE"/>
    <w:rsid w:val="0024766A"/>
    <w:rsid w:val="00254D77"/>
    <w:rsid w:val="00255158"/>
    <w:rsid w:val="00255F55"/>
    <w:rsid w:val="00265B0B"/>
    <w:rsid w:val="00271607"/>
    <w:rsid w:val="00287997"/>
    <w:rsid w:val="002A3805"/>
    <w:rsid w:val="002A65E3"/>
    <w:rsid w:val="002C5A92"/>
    <w:rsid w:val="002E7BA2"/>
    <w:rsid w:val="002F5990"/>
    <w:rsid w:val="003127B7"/>
    <w:rsid w:val="00322EC2"/>
    <w:rsid w:val="00325093"/>
    <w:rsid w:val="0033029D"/>
    <w:rsid w:val="00335C26"/>
    <w:rsid w:val="00362BDC"/>
    <w:rsid w:val="00365456"/>
    <w:rsid w:val="003868BF"/>
    <w:rsid w:val="003870CE"/>
    <w:rsid w:val="00391898"/>
    <w:rsid w:val="003957FA"/>
    <w:rsid w:val="003B29EE"/>
    <w:rsid w:val="003C00D5"/>
    <w:rsid w:val="003D2C3D"/>
    <w:rsid w:val="003F13F4"/>
    <w:rsid w:val="00403E55"/>
    <w:rsid w:val="00404E85"/>
    <w:rsid w:val="0042445D"/>
    <w:rsid w:val="004430A7"/>
    <w:rsid w:val="00444E58"/>
    <w:rsid w:val="0047166F"/>
    <w:rsid w:val="004772D5"/>
    <w:rsid w:val="00477518"/>
    <w:rsid w:val="00491D9E"/>
    <w:rsid w:val="004971FB"/>
    <w:rsid w:val="004A3EA7"/>
    <w:rsid w:val="004A4044"/>
    <w:rsid w:val="004B0DCC"/>
    <w:rsid w:val="004B19B0"/>
    <w:rsid w:val="004B1BD2"/>
    <w:rsid w:val="004E4C76"/>
    <w:rsid w:val="004F270F"/>
    <w:rsid w:val="004F47A8"/>
    <w:rsid w:val="00514C90"/>
    <w:rsid w:val="00516A52"/>
    <w:rsid w:val="005421BD"/>
    <w:rsid w:val="00570C2D"/>
    <w:rsid w:val="00574FD3"/>
    <w:rsid w:val="00583D17"/>
    <w:rsid w:val="005908CB"/>
    <w:rsid w:val="005A071D"/>
    <w:rsid w:val="005A4E7B"/>
    <w:rsid w:val="005B5DC7"/>
    <w:rsid w:val="005B7127"/>
    <w:rsid w:val="005C081F"/>
    <w:rsid w:val="005C7279"/>
    <w:rsid w:val="005F0032"/>
    <w:rsid w:val="00600EF0"/>
    <w:rsid w:val="00612F99"/>
    <w:rsid w:val="00625FA6"/>
    <w:rsid w:val="006933F3"/>
    <w:rsid w:val="006960CE"/>
    <w:rsid w:val="006A5034"/>
    <w:rsid w:val="006A53FB"/>
    <w:rsid w:val="006B355F"/>
    <w:rsid w:val="006C094B"/>
    <w:rsid w:val="006C7DA6"/>
    <w:rsid w:val="006D23E0"/>
    <w:rsid w:val="006D3BAB"/>
    <w:rsid w:val="00725F8B"/>
    <w:rsid w:val="00734B6C"/>
    <w:rsid w:val="007356F6"/>
    <w:rsid w:val="007379C1"/>
    <w:rsid w:val="00743520"/>
    <w:rsid w:val="007625DD"/>
    <w:rsid w:val="00764C8A"/>
    <w:rsid w:val="00777698"/>
    <w:rsid w:val="00781697"/>
    <w:rsid w:val="007830A2"/>
    <w:rsid w:val="00786EE5"/>
    <w:rsid w:val="00794616"/>
    <w:rsid w:val="007C397F"/>
    <w:rsid w:val="007F1113"/>
    <w:rsid w:val="007F2E8E"/>
    <w:rsid w:val="00836D1B"/>
    <w:rsid w:val="00864EFF"/>
    <w:rsid w:val="0088479D"/>
    <w:rsid w:val="00890DF9"/>
    <w:rsid w:val="008A20F1"/>
    <w:rsid w:val="008B3CC7"/>
    <w:rsid w:val="008B5805"/>
    <w:rsid w:val="008D1B85"/>
    <w:rsid w:val="008F55A7"/>
    <w:rsid w:val="0091251A"/>
    <w:rsid w:val="00933B5C"/>
    <w:rsid w:val="0094027A"/>
    <w:rsid w:val="00956666"/>
    <w:rsid w:val="0097200B"/>
    <w:rsid w:val="00993A00"/>
    <w:rsid w:val="009B00E9"/>
    <w:rsid w:val="009B0D21"/>
    <w:rsid w:val="009B6258"/>
    <w:rsid w:val="009C47EB"/>
    <w:rsid w:val="009C711D"/>
    <w:rsid w:val="009E2D3A"/>
    <w:rsid w:val="00A05E5C"/>
    <w:rsid w:val="00A12880"/>
    <w:rsid w:val="00A13046"/>
    <w:rsid w:val="00A35BE3"/>
    <w:rsid w:val="00A4594A"/>
    <w:rsid w:val="00A551E7"/>
    <w:rsid w:val="00A57BA1"/>
    <w:rsid w:val="00A64B57"/>
    <w:rsid w:val="00A67FD4"/>
    <w:rsid w:val="00A87C92"/>
    <w:rsid w:val="00A934FA"/>
    <w:rsid w:val="00A97C57"/>
    <w:rsid w:val="00AA4638"/>
    <w:rsid w:val="00AA4AB6"/>
    <w:rsid w:val="00AB267B"/>
    <w:rsid w:val="00AC23F0"/>
    <w:rsid w:val="00AC7E32"/>
    <w:rsid w:val="00AD7A68"/>
    <w:rsid w:val="00AE3508"/>
    <w:rsid w:val="00AE7622"/>
    <w:rsid w:val="00AE7D7F"/>
    <w:rsid w:val="00AF5048"/>
    <w:rsid w:val="00B03C12"/>
    <w:rsid w:val="00B351D8"/>
    <w:rsid w:val="00B50BBA"/>
    <w:rsid w:val="00B558C6"/>
    <w:rsid w:val="00B56582"/>
    <w:rsid w:val="00B721A7"/>
    <w:rsid w:val="00B80826"/>
    <w:rsid w:val="00B91738"/>
    <w:rsid w:val="00B92790"/>
    <w:rsid w:val="00BA6917"/>
    <w:rsid w:val="00BC2A78"/>
    <w:rsid w:val="00BC3A67"/>
    <w:rsid w:val="00BE1EA1"/>
    <w:rsid w:val="00BE779E"/>
    <w:rsid w:val="00C01FE7"/>
    <w:rsid w:val="00C14DEA"/>
    <w:rsid w:val="00C2246B"/>
    <w:rsid w:val="00C31302"/>
    <w:rsid w:val="00C32B4F"/>
    <w:rsid w:val="00C43E9F"/>
    <w:rsid w:val="00C45C5C"/>
    <w:rsid w:val="00C45FBE"/>
    <w:rsid w:val="00C57CBD"/>
    <w:rsid w:val="00C87FAB"/>
    <w:rsid w:val="00CB1515"/>
    <w:rsid w:val="00CC52C8"/>
    <w:rsid w:val="00CE0B9A"/>
    <w:rsid w:val="00CE0E96"/>
    <w:rsid w:val="00CF7191"/>
    <w:rsid w:val="00D00737"/>
    <w:rsid w:val="00D164BC"/>
    <w:rsid w:val="00D25198"/>
    <w:rsid w:val="00D2654B"/>
    <w:rsid w:val="00D40E03"/>
    <w:rsid w:val="00D458EF"/>
    <w:rsid w:val="00D46B1F"/>
    <w:rsid w:val="00D579D0"/>
    <w:rsid w:val="00D60A83"/>
    <w:rsid w:val="00D812A6"/>
    <w:rsid w:val="00D9429A"/>
    <w:rsid w:val="00DA2016"/>
    <w:rsid w:val="00DB446A"/>
    <w:rsid w:val="00DC5BB8"/>
    <w:rsid w:val="00DD2EE0"/>
    <w:rsid w:val="00DE0118"/>
    <w:rsid w:val="00E00C4F"/>
    <w:rsid w:val="00E03471"/>
    <w:rsid w:val="00E04632"/>
    <w:rsid w:val="00E107F3"/>
    <w:rsid w:val="00E32648"/>
    <w:rsid w:val="00E35011"/>
    <w:rsid w:val="00E41E1D"/>
    <w:rsid w:val="00E515ED"/>
    <w:rsid w:val="00E626B8"/>
    <w:rsid w:val="00E74283"/>
    <w:rsid w:val="00E95C2B"/>
    <w:rsid w:val="00E965BC"/>
    <w:rsid w:val="00EA3A47"/>
    <w:rsid w:val="00EC43E8"/>
    <w:rsid w:val="00EC62DD"/>
    <w:rsid w:val="00EE4D90"/>
    <w:rsid w:val="00EF0451"/>
    <w:rsid w:val="00EF7A8D"/>
    <w:rsid w:val="00F063DF"/>
    <w:rsid w:val="00F43BDD"/>
    <w:rsid w:val="00F44A14"/>
    <w:rsid w:val="00F47FD3"/>
    <w:rsid w:val="00F604B9"/>
    <w:rsid w:val="00F73927"/>
    <w:rsid w:val="00FA49DF"/>
    <w:rsid w:val="00FA636E"/>
    <w:rsid w:val="00FA7F72"/>
    <w:rsid w:val="00FC10F9"/>
    <w:rsid w:val="00FD2D2E"/>
    <w:rsid w:val="00FF0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022A381F"/>
  <w15:chartTrackingRefBased/>
  <w15:docId w15:val="{17EE4CD9-FCE1-4A00-AA42-178619F6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3"/>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firstLine="720"/>
    </w:pPr>
    <w:rPr>
      <w:rFonts w:ascii="Times New Roman" w:hAnsi="Times New Roman"/>
    </w:rPr>
  </w:style>
  <w:style w:type="paragraph" w:styleId="BodyTextIndent2">
    <w:name w:val="Body Text Indent 2"/>
    <w:basedOn w:val="Normal"/>
    <w:pPr>
      <w:tabs>
        <w:tab w:val="left" w:pos="-1440"/>
      </w:tabs>
      <w:ind w:left="720" w:hanging="720"/>
    </w:pPr>
    <w:rPr>
      <w:rFonts w:ascii="Times New Roman" w:hAnsi="Times New Roman"/>
      <w:i/>
      <w:iCs/>
    </w:rPr>
  </w:style>
  <w:style w:type="paragraph" w:styleId="FootnoteText">
    <w:name w:val="footnote text"/>
    <w:basedOn w:val="Normal"/>
    <w:semiHidden/>
    <w:rPr>
      <w:sz w:val="20"/>
      <w:szCs w:val="20"/>
    </w:rPr>
  </w:style>
  <w:style w:type="paragraph" w:styleId="BodyTextIndent3">
    <w:name w:val="Body Text Indent 3"/>
    <w:basedOn w:val="Normal"/>
    <w:pPr>
      <w:ind w:left="720"/>
    </w:pPr>
    <w:rPr>
      <w:rFonts w:ascii="Times New Roman" w:hAnsi="Times New Roman"/>
    </w:rPr>
  </w:style>
  <w:style w:type="paragraph" w:styleId="BalloonText">
    <w:name w:val="Balloon Text"/>
    <w:basedOn w:val="Normal"/>
    <w:semiHidden/>
    <w:rsid w:val="003957FA"/>
    <w:rPr>
      <w:rFonts w:ascii="Tahoma" w:hAnsi="Tahoma" w:cs="Tahoma"/>
      <w:sz w:val="16"/>
      <w:szCs w:val="16"/>
    </w:rPr>
  </w:style>
  <w:style w:type="character" w:styleId="CommentReference">
    <w:name w:val="annotation reference"/>
    <w:semiHidden/>
    <w:rsid w:val="00836D1B"/>
    <w:rPr>
      <w:sz w:val="16"/>
      <w:szCs w:val="16"/>
    </w:rPr>
  </w:style>
  <w:style w:type="paragraph" w:styleId="CommentText">
    <w:name w:val="annotation text"/>
    <w:basedOn w:val="Normal"/>
    <w:semiHidden/>
    <w:rsid w:val="00836D1B"/>
    <w:rPr>
      <w:sz w:val="20"/>
      <w:szCs w:val="20"/>
    </w:rPr>
  </w:style>
  <w:style w:type="paragraph" w:styleId="CommentSubject">
    <w:name w:val="annotation subject"/>
    <w:basedOn w:val="CommentText"/>
    <w:next w:val="CommentText"/>
    <w:semiHidden/>
    <w:rsid w:val="00836D1B"/>
    <w:rPr>
      <w:b/>
      <w:bCs/>
    </w:rPr>
  </w:style>
  <w:style w:type="character" w:styleId="PageNumber">
    <w:name w:val="page number"/>
    <w:basedOn w:val="DefaultParagraphFont"/>
    <w:rsid w:val="00781697"/>
  </w:style>
  <w:style w:type="paragraph" w:styleId="EndnoteText">
    <w:name w:val="endnote text"/>
    <w:basedOn w:val="Normal"/>
    <w:link w:val="EndnoteTextChar"/>
    <w:rsid w:val="002A65E3"/>
    <w:rPr>
      <w:sz w:val="20"/>
      <w:szCs w:val="20"/>
    </w:rPr>
  </w:style>
  <w:style w:type="character" w:customStyle="1" w:styleId="EndnoteTextChar">
    <w:name w:val="Endnote Text Char"/>
    <w:link w:val="EndnoteText"/>
    <w:rsid w:val="002A65E3"/>
    <w:rPr>
      <w:rFonts w:ascii="Courier" w:hAnsi="Courier"/>
    </w:rPr>
  </w:style>
  <w:style w:type="character" w:styleId="EndnoteReference">
    <w:name w:val="endnote reference"/>
    <w:rsid w:val="002A65E3"/>
    <w:rPr>
      <w:vertAlign w:val="superscript"/>
    </w:rPr>
  </w:style>
  <w:style w:type="paragraph" w:styleId="Revision">
    <w:name w:val="Revision"/>
    <w:hidden/>
    <w:uiPriority w:val="99"/>
    <w:semiHidden/>
    <w:rsid w:val="00D458EF"/>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0E47E-2B5F-4451-9DE6-5FED0ADEC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791DCC-F598-4889-A085-D65321B3B6BB}">
  <ds:schemaRefs>
    <ds:schemaRef ds:uri="http://schemas.microsoft.com/sharepoint/v3/contenttype/forms"/>
  </ds:schemaRefs>
</ds:datastoreItem>
</file>

<file path=customXml/itemProps3.xml><?xml version="1.0" encoding="utf-8"?>
<ds:datastoreItem xmlns:ds="http://schemas.openxmlformats.org/officeDocument/2006/customXml" ds:itemID="{F5051F1A-3243-4D90-8022-9BE8DFB48DA6}">
  <ds:schemaRefs>
    <ds:schemaRef ds:uri="http://purl.org/dc/terms/"/>
    <ds:schemaRef ds:uri="http://schemas.microsoft.com/office/2006/documentManagement/types"/>
    <ds:schemaRef ds:uri="2b487234-2a61-45b0-86e3-998bf12a0e9d"/>
    <ds:schemaRef ds:uri="http://schemas.microsoft.com/office/2006/metadata/properties"/>
    <ds:schemaRef ds:uri="http://purl.org/dc/elements/1.1/"/>
    <ds:schemaRef ds:uri="2a1ba486-ff2f-4459-80ac-1ab5aa17f82f"/>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84D901C0-D62B-4678-AB83-20416DD71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3184</Words>
  <Characters>17573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subject/>
  <dc:creator>altman.laurie</dc:creator>
  <cp:keywords/>
  <cp:lastModifiedBy>MSB</cp:lastModifiedBy>
  <cp:revision>2</cp:revision>
  <cp:lastPrinted>2014-05-01T14:28:00Z</cp:lastPrinted>
  <dcterms:created xsi:type="dcterms:W3CDTF">2021-01-08T18:21:00Z</dcterms:created>
  <dcterms:modified xsi:type="dcterms:W3CDTF">2021-01-08T18:21:00Z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