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7563C" w:rsidR="00CE4E6C" w:rsidRDefault="00CE4E6C" w14:paraId="3D608031" w14:textId="77777777">
      <w:pPr>
        <w:pStyle w:val="Title"/>
        <w:pBdr>
          <w:bottom w:val="none" w:color="auto" w:sz="0" w:space="0"/>
        </w:pBdr>
        <w:rPr>
          <w:sz w:val="28"/>
        </w:rPr>
      </w:pPr>
    </w:p>
    <w:p w:rsidRPr="0007563C" w:rsidR="00CE4E6C" w:rsidRDefault="00CE4E6C" w14:paraId="3A22BED4" w14:textId="77777777">
      <w:pPr>
        <w:pStyle w:val="Title"/>
        <w:pBdr>
          <w:bottom w:val="none" w:color="auto" w:sz="0" w:space="0"/>
        </w:pBdr>
        <w:rPr>
          <w:sz w:val="28"/>
        </w:rPr>
      </w:pPr>
    </w:p>
    <w:p w:rsidRPr="0007563C" w:rsidR="00CE4E6C" w:rsidRDefault="00CE4E6C" w14:paraId="61FF9B7D" w14:textId="77777777">
      <w:pPr>
        <w:pStyle w:val="Title"/>
        <w:pBdr>
          <w:bottom w:val="none" w:color="auto" w:sz="0" w:space="0"/>
        </w:pBdr>
        <w:rPr>
          <w:sz w:val="28"/>
        </w:rPr>
      </w:pPr>
    </w:p>
    <w:p w:rsidRPr="0007563C" w:rsidR="00CE4E6C" w:rsidRDefault="00CE4E6C" w14:paraId="25FCE766" w14:textId="77777777">
      <w:pPr>
        <w:pStyle w:val="Title"/>
        <w:pBdr>
          <w:bottom w:val="none" w:color="auto" w:sz="0" w:space="0"/>
        </w:pBdr>
        <w:rPr>
          <w:sz w:val="28"/>
        </w:rPr>
      </w:pPr>
    </w:p>
    <w:p w:rsidRPr="0007563C" w:rsidR="00CE4E6C" w:rsidRDefault="00CE4E6C" w14:paraId="7245F77D" w14:textId="77777777">
      <w:pPr>
        <w:pStyle w:val="Title"/>
        <w:pBdr>
          <w:bottom w:val="none" w:color="auto" w:sz="0" w:space="0"/>
        </w:pBdr>
        <w:rPr>
          <w:sz w:val="28"/>
        </w:rPr>
      </w:pPr>
    </w:p>
    <w:p w:rsidRPr="0007563C" w:rsidR="00CE4E6C" w:rsidRDefault="00CE4E6C" w14:paraId="01346289" w14:textId="77777777">
      <w:pPr>
        <w:pStyle w:val="Title"/>
        <w:pBdr>
          <w:bottom w:val="none" w:color="auto" w:sz="0" w:space="0"/>
        </w:pBdr>
        <w:rPr>
          <w:sz w:val="28"/>
        </w:rPr>
      </w:pPr>
    </w:p>
    <w:p w:rsidRPr="0007563C" w:rsidR="00CE4E6C" w:rsidRDefault="00CE4E6C" w14:paraId="51B4D971" w14:textId="77777777">
      <w:pPr>
        <w:pStyle w:val="Title"/>
        <w:pBdr>
          <w:bottom w:val="none" w:color="auto" w:sz="0" w:space="0"/>
        </w:pBdr>
        <w:rPr>
          <w:sz w:val="28"/>
        </w:rPr>
      </w:pPr>
    </w:p>
    <w:p w:rsidRPr="0007563C" w:rsidR="00CE4E6C" w:rsidRDefault="00CE4E6C" w14:paraId="22069C52" w14:textId="77777777">
      <w:pPr>
        <w:pStyle w:val="Title"/>
        <w:pBdr>
          <w:bottom w:val="none" w:color="auto" w:sz="0" w:space="0"/>
        </w:pBdr>
        <w:rPr>
          <w:sz w:val="28"/>
        </w:rPr>
      </w:pPr>
    </w:p>
    <w:p w:rsidRPr="0007563C" w:rsidR="00CE4E6C" w:rsidRDefault="00CE4E6C" w14:paraId="72A7B3AD" w14:textId="77777777">
      <w:pPr>
        <w:pStyle w:val="Title"/>
        <w:pBdr>
          <w:bottom w:val="none" w:color="auto" w:sz="0" w:space="0"/>
        </w:pBdr>
        <w:rPr>
          <w:sz w:val="28"/>
        </w:rPr>
      </w:pPr>
    </w:p>
    <w:p w:rsidRPr="0007563C" w:rsidR="00CE4E6C" w:rsidRDefault="00CE4E6C" w14:paraId="26A4F567" w14:textId="77777777">
      <w:pPr>
        <w:pStyle w:val="Title"/>
        <w:pBdr>
          <w:bottom w:val="none" w:color="auto" w:sz="0" w:space="0"/>
        </w:pBdr>
        <w:rPr>
          <w:sz w:val="28"/>
        </w:rPr>
      </w:pPr>
    </w:p>
    <w:p w:rsidRPr="0007563C" w:rsidR="00CE4E6C" w:rsidRDefault="00CE4E6C" w14:paraId="21672625" w14:textId="77777777">
      <w:pPr>
        <w:pStyle w:val="Title"/>
        <w:pBdr>
          <w:bottom w:val="none" w:color="auto" w:sz="0" w:space="0"/>
        </w:pBdr>
        <w:rPr>
          <w:sz w:val="28"/>
        </w:rPr>
      </w:pPr>
      <w:r w:rsidRPr="0007563C">
        <w:rPr>
          <w:sz w:val="28"/>
        </w:rPr>
        <w:t>Information Collection Request for</w:t>
      </w:r>
    </w:p>
    <w:p w:rsidRPr="0007563C" w:rsidR="00CE4E6C" w:rsidRDefault="00CE4E6C" w14:paraId="0D2F15FD" w14:textId="77777777">
      <w:pPr>
        <w:pStyle w:val="Title"/>
        <w:pBdr>
          <w:bottom w:val="none" w:color="auto" w:sz="0" w:space="0"/>
        </w:pBdr>
        <w:rPr>
          <w:sz w:val="28"/>
        </w:rPr>
      </w:pPr>
      <w:r w:rsidRPr="0007563C">
        <w:rPr>
          <w:sz w:val="28"/>
        </w:rPr>
        <w:t>The National Longitudinal Survey of Youth 1979</w:t>
      </w:r>
    </w:p>
    <w:p w:rsidRPr="0007563C" w:rsidR="00CE4E6C" w:rsidRDefault="00CE4E6C" w14:paraId="626B3565" w14:textId="77777777">
      <w:pPr>
        <w:pStyle w:val="Title"/>
        <w:pBdr>
          <w:bottom w:val="none" w:color="auto" w:sz="0" w:space="0"/>
        </w:pBdr>
        <w:rPr>
          <w:sz w:val="28"/>
        </w:rPr>
      </w:pPr>
      <w:r w:rsidRPr="0007563C">
        <w:rPr>
          <w:sz w:val="28"/>
        </w:rPr>
        <w:t>OMB # 1220-0109</w:t>
      </w:r>
    </w:p>
    <w:p w:rsidRPr="0007563C" w:rsidR="00F31266" w:rsidP="00F31266" w:rsidRDefault="00F31266" w14:paraId="45EC3D28" w14:textId="77777777">
      <w:pPr>
        <w:pStyle w:val="Title"/>
        <w:pBdr>
          <w:bottom w:val="none" w:color="auto" w:sz="0" w:space="0"/>
        </w:pBdr>
        <w:outlineLvl w:val="0"/>
        <w:rPr>
          <w:sz w:val="28"/>
        </w:rPr>
      </w:pPr>
      <w:r w:rsidRPr="0007563C">
        <w:rPr>
          <w:sz w:val="28"/>
        </w:rPr>
        <w:t>Part B</w:t>
      </w:r>
    </w:p>
    <w:p w:rsidRPr="0007563C" w:rsidR="00F31266" w:rsidRDefault="00F31266" w14:paraId="12F2FCBA" w14:textId="77777777">
      <w:pPr>
        <w:pStyle w:val="Title"/>
        <w:pBdr>
          <w:bottom w:val="none" w:color="auto" w:sz="0" w:space="0"/>
        </w:pBdr>
        <w:rPr>
          <w:sz w:val="28"/>
        </w:rPr>
      </w:pPr>
    </w:p>
    <w:p w:rsidRPr="0007563C" w:rsidR="00CE4E6C" w:rsidRDefault="00CE4E6C" w14:paraId="0ED63335" w14:textId="77777777">
      <w:pPr>
        <w:pStyle w:val="Title"/>
        <w:pBdr>
          <w:bottom w:val="none" w:color="auto" w:sz="0" w:space="0"/>
        </w:pBdr>
        <w:rPr>
          <w:sz w:val="28"/>
        </w:rPr>
      </w:pPr>
    </w:p>
    <w:p w:rsidRPr="0007563C" w:rsidR="00CE4E6C" w:rsidRDefault="00CE4E6C" w14:paraId="4A771E3E" w14:textId="77777777">
      <w:pPr>
        <w:pStyle w:val="Title"/>
        <w:pBdr>
          <w:bottom w:val="none" w:color="auto" w:sz="0" w:space="0"/>
        </w:pBdr>
        <w:rPr>
          <w:sz w:val="28"/>
        </w:rPr>
      </w:pPr>
      <w:r w:rsidRPr="0007563C">
        <w:rPr>
          <w:sz w:val="28"/>
        </w:rPr>
        <w:t>Submitted by the Bureau of Labor Statistics</w:t>
      </w:r>
    </w:p>
    <w:p w:rsidRPr="0007563C" w:rsidR="00CE4E6C" w:rsidRDefault="00CE4E6C" w14:paraId="56D00DE2" w14:textId="77777777">
      <w:pPr>
        <w:pStyle w:val="Title"/>
        <w:jc w:val="left"/>
      </w:pPr>
      <w:r w:rsidRPr="0007563C">
        <w:br w:type="page"/>
      </w:r>
      <w:r w:rsidRPr="0007563C">
        <w:lastRenderedPageBreak/>
        <w:t>TABLE OF CONTENTS</w:t>
      </w:r>
    </w:p>
    <w:p w:rsidRPr="0007563C" w:rsidR="00696C50" w:rsidRDefault="002852CF" w14:paraId="06B17D62" w14:textId="77777777">
      <w:pPr>
        <w:pStyle w:val="TOC2"/>
        <w:rPr>
          <w:rFonts w:eastAsiaTheme="minorEastAsia"/>
          <w:i w:val="0"/>
          <w:noProof/>
          <w:szCs w:val="22"/>
        </w:rPr>
      </w:pPr>
      <w:r w:rsidRPr="0007563C">
        <w:rPr>
          <w:sz w:val="19"/>
        </w:rPr>
        <w:fldChar w:fldCharType="begin"/>
      </w:r>
      <w:r w:rsidRPr="0007563C" w:rsidR="00635CC9">
        <w:rPr>
          <w:sz w:val="19"/>
        </w:rPr>
        <w:instrText xml:space="preserve"> TOC \o "1-3" </w:instrText>
      </w:r>
      <w:r w:rsidRPr="0007563C">
        <w:rPr>
          <w:sz w:val="19"/>
        </w:rPr>
        <w:fldChar w:fldCharType="separate"/>
      </w:r>
      <w:r w:rsidRPr="0007563C" w:rsidR="00696C50">
        <w:rPr>
          <w:noProof/>
        </w:rPr>
        <w:t>B.  Collections of Information Employing Statistical Methods</w:t>
      </w:r>
      <w:r w:rsidRPr="0007563C" w:rsidR="00696C50">
        <w:rPr>
          <w:noProof/>
        </w:rPr>
        <w:tab/>
      </w:r>
      <w:r w:rsidRPr="0007563C" w:rsidR="00696C50">
        <w:rPr>
          <w:noProof/>
        </w:rPr>
        <w:fldChar w:fldCharType="begin"/>
      </w:r>
      <w:r w:rsidRPr="0007563C" w:rsidR="00696C50">
        <w:rPr>
          <w:noProof/>
        </w:rPr>
        <w:instrText xml:space="preserve"> PAGEREF _Toc374533442 \h </w:instrText>
      </w:r>
      <w:r w:rsidRPr="0007563C" w:rsidR="00696C50">
        <w:rPr>
          <w:noProof/>
        </w:rPr>
      </w:r>
      <w:r w:rsidRPr="0007563C" w:rsidR="00696C50">
        <w:rPr>
          <w:noProof/>
        </w:rPr>
        <w:fldChar w:fldCharType="separate"/>
      </w:r>
      <w:r w:rsidRPr="0007563C" w:rsidR="00696C50">
        <w:rPr>
          <w:noProof/>
        </w:rPr>
        <w:t>3</w:t>
      </w:r>
      <w:r w:rsidRPr="0007563C" w:rsidR="00696C50">
        <w:rPr>
          <w:noProof/>
        </w:rPr>
        <w:fldChar w:fldCharType="end"/>
      </w:r>
    </w:p>
    <w:p w:rsidRPr="0007563C" w:rsidR="00696C50" w:rsidRDefault="00696C50" w14:paraId="6223C9C1" w14:textId="77777777">
      <w:pPr>
        <w:pStyle w:val="TOC3"/>
        <w:rPr>
          <w:rFonts w:eastAsiaTheme="minorEastAsia"/>
          <w:noProof/>
          <w:sz w:val="22"/>
          <w:szCs w:val="22"/>
        </w:rPr>
      </w:pPr>
      <w:r w:rsidRPr="0007563C">
        <w:rPr>
          <w:noProof/>
        </w:rPr>
        <w:t>1.  Respondent Universe and Respondent Selection Method</w:t>
      </w:r>
      <w:r w:rsidRPr="0007563C">
        <w:rPr>
          <w:noProof/>
        </w:rPr>
        <w:tab/>
      </w:r>
      <w:r w:rsidRPr="0007563C">
        <w:rPr>
          <w:noProof/>
        </w:rPr>
        <w:fldChar w:fldCharType="begin"/>
      </w:r>
      <w:r w:rsidRPr="0007563C">
        <w:rPr>
          <w:noProof/>
        </w:rPr>
        <w:instrText xml:space="preserve"> PAGEREF _Toc374533443 \h </w:instrText>
      </w:r>
      <w:r w:rsidRPr="0007563C">
        <w:rPr>
          <w:noProof/>
        </w:rPr>
      </w:r>
      <w:r w:rsidRPr="0007563C">
        <w:rPr>
          <w:noProof/>
        </w:rPr>
        <w:fldChar w:fldCharType="separate"/>
      </w:r>
      <w:r w:rsidRPr="0007563C">
        <w:rPr>
          <w:noProof/>
        </w:rPr>
        <w:t>3</w:t>
      </w:r>
      <w:r w:rsidRPr="0007563C">
        <w:rPr>
          <w:noProof/>
        </w:rPr>
        <w:fldChar w:fldCharType="end"/>
      </w:r>
    </w:p>
    <w:p w:rsidRPr="0007563C" w:rsidR="00696C50" w:rsidRDefault="00696C50" w14:paraId="11FFD0F3" w14:textId="77777777">
      <w:pPr>
        <w:pStyle w:val="TOC3"/>
        <w:rPr>
          <w:rFonts w:eastAsiaTheme="minorEastAsia"/>
          <w:noProof/>
          <w:sz w:val="22"/>
          <w:szCs w:val="22"/>
        </w:rPr>
      </w:pPr>
      <w:r w:rsidRPr="0007563C">
        <w:rPr>
          <w:noProof/>
        </w:rPr>
        <w:t>2.  Design and Procedures for the Information Collection</w:t>
      </w:r>
      <w:r w:rsidRPr="0007563C">
        <w:rPr>
          <w:noProof/>
        </w:rPr>
        <w:tab/>
      </w:r>
      <w:r w:rsidRPr="0007563C">
        <w:rPr>
          <w:noProof/>
        </w:rPr>
        <w:fldChar w:fldCharType="begin"/>
      </w:r>
      <w:r w:rsidRPr="0007563C">
        <w:rPr>
          <w:noProof/>
        </w:rPr>
        <w:instrText xml:space="preserve"> PAGEREF _Toc374533444 \h </w:instrText>
      </w:r>
      <w:r w:rsidRPr="0007563C">
        <w:rPr>
          <w:noProof/>
        </w:rPr>
      </w:r>
      <w:r w:rsidRPr="0007563C">
        <w:rPr>
          <w:noProof/>
        </w:rPr>
        <w:fldChar w:fldCharType="separate"/>
      </w:r>
      <w:r w:rsidRPr="0007563C">
        <w:rPr>
          <w:noProof/>
        </w:rPr>
        <w:t>4</w:t>
      </w:r>
      <w:r w:rsidRPr="0007563C">
        <w:rPr>
          <w:noProof/>
        </w:rPr>
        <w:fldChar w:fldCharType="end"/>
      </w:r>
    </w:p>
    <w:p w:rsidRPr="0007563C" w:rsidR="00696C50" w:rsidRDefault="00696C50" w14:paraId="1DFFB9F8" w14:textId="77777777">
      <w:pPr>
        <w:pStyle w:val="TOC3"/>
        <w:rPr>
          <w:rFonts w:eastAsiaTheme="minorEastAsia"/>
          <w:noProof/>
          <w:sz w:val="22"/>
          <w:szCs w:val="22"/>
        </w:rPr>
      </w:pPr>
      <w:r w:rsidRPr="0007563C">
        <w:rPr>
          <w:noProof/>
        </w:rPr>
        <w:t>3.  Maximizing Response Rates</w:t>
      </w:r>
      <w:r w:rsidRPr="0007563C">
        <w:rPr>
          <w:noProof/>
        </w:rPr>
        <w:tab/>
      </w:r>
      <w:r w:rsidRPr="0007563C">
        <w:rPr>
          <w:noProof/>
        </w:rPr>
        <w:fldChar w:fldCharType="begin"/>
      </w:r>
      <w:r w:rsidRPr="0007563C">
        <w:rPr>
          <w:noProof/>
        </w:rPr>
        <w:instrText xml:space="preserve"> PAGEREF _Toc374533445 \h </w:instrText>
      </w:r>
      <w:r w:rsidRPr="0007563C">
        <w:rPr>
          <w:noProof/>
        </w:rPr>
      </w:r>
      <w:r w:rsidRPr="0007563C">
        <w:rPr>
          <w:noProof/>
        </w:rPr>
        <w:fldChar w:fldCharType="separate"/>
      </w:r>
      <w:r w:rsidRPr="0007563C">
        <w:rPr>
          <w:noProof/>
        </w:rPr>
        <w:t>6</w:t>
      </w:r>
      <w:r w:rsidRPr="0007563C">
        <w:rPr>
          <w:noProof/>
        </w:rPr>
        <w:fldChar w:fldCharType="end"/>
      </w:r>
    </w:p>
    <w:p w:rsidRPr="0007563C" w:rsidR="00696C50" w:rsidRDefault="00696C50" w14:paraId="768E21B4" w14:textId="77777777">
      <w:pPr>
        <w:pStyle w:val="TOC3"/>
        <w:rPr>
          <w:rFonts w:eastAsiaTheme="minorEastAsia"/>
          <w:noProof/>
          <w:sz w:val="22"/>
          <w:szCs w:val="22"/>
        </w:rPr>
      </w:pPr>
      <w:r w:rsidRPr="0007563C">
        <w:rPr>
          <w:noProof/>
        </w:rPr>
        <w:t>4.  Testing of Questionnaire Items</w:t>
      </w:r>
      <w:r w:rsidRPr="0007563C">
        <w:rPr>
          <w:noProof/>
        </w:rPr>
        <w:tab/>
      </w:r>
      <w:r w:rsidRPr="0007563C">
        <w:rPr>
          <w:noProof/>
        </w:rPr>
        <w:fldChar w:fldCharType="begin"/>
      </w:r>
      <w:r w:rsidRPr="0007563C">
        <w:rPr>
          <w:noProof/>
        </w:rPr>
        <w:instrText xml:space="preserve"> PAGEREF _Toc374533446 \h </w:instrText>
      </w:r>
      <w:r w:rsidRPr="0007563C">
        <w:rPr>
          <w:noProof/>
        </w:rPr>
      </w:r>
      <w:r w:rsidRPr="0007563C">
        <w:rPr>
          <w:noProof/>
        </w:rPr>
        <w:fldChar w:fldCharType="separate"/>
      </w:r>
      <w:r w:rsidRPr="0007563C">
        <w:rPr>
          <w:noProof/>
        </w:rPr>
        <w:t>7</w:t>
      </w:r>
      <w:r w:rsidRPr="0007563C">
        <w:rPr>
          <w:noProof/>
        </w:rPr>
        <w:fldChar w:fldCharType="end"/>
      </w:r>
    </w:p>
    <w:p w:rsidRPr="0007563C" w:rsidR="00696C50" w:rsidRDefault="00696C50" w14:paraId="45AFE296" w14:textId="77777777">
      <w:pPr>
        <w:pStyle w:val="TOC3"/>
        <w:rPr>
          <w:rFonts w:eastAsiaTheme="minorEastAsia"/>
          <w:noProof/>
          <w:sz w:val="22"/>
          <w:szCs w:val="22"/>
        </w:rPr>
      </w:pPr>
      <w:r w:rsidRPr="0007563C">
        <w:rPr>
          <w:noProof/>
        </w:rPr>
        <w:t>5.  Statistical Consultant</w:t>
      </w:r>
      <w:r w:rsidRPr="0007563C">
        <w:rPr>
          <w:noProof/>
        </w:rPr>
        <w:tab/>
      </w:r>
      <w:r w:rsidRPr="0007563C">
        <w:rPr>
          <w:noProof/>
        </w:rPr>
        <w:fldChar w:fldCharType="begin"/>
      </w:r>
      <w:r w:rsidRPr="0007563C">
        <w:rPr>
          <w:noProof/>
        </w:rPr>
        <w:instrText xml:space="preserve"> PAGEREF _Toc374533447 \h </w:instrText>
      </w:r>
      <w:r w:rsidRPr="0007563C">
        <w:rPr>
          <w:noProof/>
        </w:rPr>
      </w:r>
      <w:r w:rsidRPr="0007563C">
        <w:rPr>
          <w:noProof/>
        </w:rPr>
        <w:fldChar w:fldCharType="separate"/>
      </w:r>
      <w:r w:rsidRPr="0007563C">
        <w:rPr>
          <w:noProof/>
        </w:rPr>
        <w:t>8</w:t>
      </w:r>
      <w:r w:rsidRPr="0007563C">
        <w:rPr>
          <w:noProof/>
        </w:rPr>
        <w:fldChar w:fldCharType="end"/>
      </w:r>
    </w:p>
    <w:p w:rsidRPr="0007563C" w:rsidR="00CE4E6C" w:rsidRDefault="002852CF" w14:paraId="0794796D" w14:textId="77777777">
      <w:pPr>
        <w:rPr>
          <w:sz w:val="19"/>
        </w:rPr>
      </w:pPr>
      <w:r w:rsidRPr="0007563C">
        <w:rPr>
          <w:smallCaps/>
          <w:sz w:val="19"/>
        </w:rPr>
        <w:fldChar w:fldCharType="end"/>
      </w:r>
    </w:p>
    <w:p w:rsidRPr="0007563C" w:rsidR="00CE4E6C" w:rsidRDefault="00CE4E6C" w14:paraId="6602F169" w14:textId="77777777">
      <w:pPr>
        <w:jc w:val="center"/>
        <w:rPr>
          <w:sz w:val="19"/>
        </w:rPr>
        <w:sectPr w:rsidRPr="0007563C" w:rsidR="00CE4E6C">
          <w:headerReference w:type="even" r:id="rId8"/>
          <w:headerReference w:type="default" r:id="rId9"/>
          <w:footnotePr>
            <w:numRestart w:val="eachSect"/>
          </w:footnotePr>
          <w:type w:val="nextColumn"/>
          <w:pgSz w:w="12240" w:h="15840" w:code="1"/>
          <w:pgMar w:top="1440" w:right="1786" w:bottom="1440" w:left="1786" w:header="720" w:footer="720" w:gutter="0"/>
          <w:pgNumType w:fmt="lowerRoman"/>
          <w:cols w:equalWidth="0" w:space="720">
            <w:col w:w="8668" w:space="720"/>
          </w:cols>
        </w:sectPr>
      </w:pPr>
    </w:p>
    <w:p w:rsidRPr="0007563C" w:rsidR="00CE4E6C" w:rsidRDefault="00CE4E6C" w14:paraId="19F4266F" w14:textId="77777777">
      <w:pPr>
        <w:pStyle w:val="Heading2"/>
        <w:spacing w:before="0" w:after="0"/>
      </w:pPr>
      <w:bookmarkStart w:name="_Toc374533442" w:id="0"/>
      <w:r w:rsidRPr="0007563C">
        <w:lastRenderedPageBreak/>
        <w:t>B.  Collections of Information Employing Statistical Methods</w:t>
      </w:r>
      <w:bookmarkEnd w:id="0"/>
    </w:p>
    <w:p w:rsidRPr="0007563C" w:rsidR="00CE4E6C" w:rsidRDefault="00CE4E6C" w14:paraId="46732945" w14:textId="77777777">
      <w:pPr>
        <w:pStyle w:val="TOC4"/>
        <w:tabs>
          <w:tab w:val="clear" w:pos="8668"/>
        </w:tabs>
      </w:pPr>
    </w:p>
    <w:p w:rsidRPr="0007563C" w:rsidR="00CE4E6C" w:rsidRDefault="00CE4E6C" w14:paraId="4B0317B4" w14:textId="77777777">
      <w:pPr>
        <w:pStyle w:val="Heading3"/>
        <w:spacing w:before="0" w:after="0"/>
      </w:pPr>
      <w:bookmarkStart w:name="_Toc374533443" w:id="1"/>
      <w:r w:rsidRPr="0007563C">
        <w:t>1.  Respondent Universe and Respondent Selection Method</w:t>
      </w:r>
      <w:bookmarkEnd w:id="1"/>
    </w:p>
    <w:p w:rsidRPr="0007563C" w:rsidR="00851D8E" w:rsidRDefault="00CE4E6C" w14:paraId="50E456AF" w14:textId="568F96F5">
      <w:pPr>
        <w:rPr>
          <w:rStyle w:val="Hyperlink"/>
        </w:rPr>
      </w:pPr>
      <w:r w:rsidRPr="0007563C">
        <w:rPr>
          <w:sz w:val="22"/>
        </w:rPr>
        <w:t xml:space="preserve">The initial NLSY79 sample was selected to represent (after appropriate weighting) the </w:t>
      </w:r>
      <w:smartTag w:uri="urn:schemas-microsoft-com:office:smarttags" w:element="place">
        <w:smartTag w:uri="urn:schemas-microsoft-com:office:smarttags" w:element="country-region">
          <w:r w:rsidRPr="0007563C">
            <w:rPr>
              <w:sz w:val="22"/>
            </w:rPr>
            <w:t>U.S.</w:t>
          </w:r>
        </w:smartTag>
      </w:smartTag>
      <w:r w:rsidRPr="0007563C">
        <w:rPr>
          <w:sz w:val="22"/>
        </w:rPr>
        <w:t xml:space="preserve"> civilian and military population of 33,570,000 persons who were ages 14 to 21 as of December 31, 1978.  The sample selection procedure included an overrepresentation of Hispanic and black youths so as to include sufficient sample cases to permit racial and ethnic analytical comparisons.  </w:t>
      </w:r>
      <w:r w:rsidRPr="0007563C" w:rsidR="006A2F69">
        <w:rPr>
          <w:sz w:val="22"/>
        </w:rPr>
        <w:t>E</w:t>
      </w:r>
      <w:r w:rsidRPr="0007563C">
        <w:rPr>
          <w:sz w:val="22"/>
        </w:rPr>
        <w:t xml:space="preserve">conomically disadvantaged </w:t>
      </w:r>
      <w:r w:rsidRPr="0007563C" w:rsidR="00725A7A">
        <w:rPr>
          <w:sz w:val="22"/>
        </w:rPr>
        <w:t>nonblack</w:t>
      </w:r>
      <w:r w:rsidRPr="0007563C">
        <w:rPr>
          <w:sz w:val="22"/>
        </w:rPr>
        <w:t>/non-Hispanic youths</w:t>
      </w:r>
      <w:r w:rsidRPr="0007563C" w:rsidR="006A2F69">
        <w:rPr>
          <w:sz w:val="22"/>
        </w:rPr>
        <w:t xml:space="preserve"> also were oversampled</w:t>
      </w:r>
      <w:r w:rsidRPr="0007563C">
        <w:rPr>
          <w:sz w:val="22"/>
        </w:rPr>
        <w:t xml:space="preserve">.  </w:t>
      </w:r>
    </w:p>
    <w:p w:rsidRPr="0007563C" w:rsidR="00851D8E" w:rsidRDefault="00851D8E" w14:paraId="0827E730" w14:textId="77777777">
      <w:pPr>
        <w:rPr>
          <w:rStyle w:val="Hyperlink"/>
        </w:rPr>
      </w:pPr>
    </w:p>
    <w:p w:rsidRPr="0007563C" w:rsidR="00CE4E6C" w:rsidRDefault="00CE4E6C" w14:paraId="50B133D9" w14:textId="475C5E6F">
      <w:pPr>
        <w:rPr>
          <w:sz w:val="22"/>
        </w:rPr>
      </w:pPr>
      <w:r w:rsidRPr="0007563C">
        <w:rPr>
          <w:sz w:val="22"/>
        </w:rPr>
        <w:t>The NLSY79 originally included a supplemental sample of youths in the military.  In 1985, the military supplemental sample was discontinued</w:t>
      </w:r>
      <w:r w:rsidRPr="0007563C" w:rsidR="006A2F69">
        <w:rPr>
          <w:sz w:val="22"/>
        </w:rPr>
        <w:t>.  I</w:t>
      </w:r>
      <w:r w:rsidRPr="0007563C">
        <w:rPr>
          <w:sz w:val="22"/>
        </w:rPr>
        <w:t xml:space="preserve">n 1991, the economically disadvantaged </w:t>
      </w:r>
      <w:r w:rsidRPr="0007563C" w:rsidR="00725A7A">
        <w:rPr>
          <w:sz w:val="22"/>
        </w:rPr>
        <w:t>nonblack</w:t>
      </w:r>
      <w:r w:rsidRPr="0007563C">
        <w:rPr>
          <w:sz w:val="22"/>
        </w:rPr>
        <w:t xml:space="preserve">/non-Hispanic oversample was discontinued.  Appropriate weights have been developed so that the sample components can be combined in a manner to aggregate to the overall </w:t>
      </w:r>
      <w:smartTag w:uri="urn:schemas-microsoft-com:office:smarttags" w:element="country-region">
        <w:r w:rsidRPr="0007563C">
          <w:rPr>
            <w:sz w:val="22"/>
          </w:rPr>
          <w:t>U.S.</w:t>
        </w:r>
      </w:smartTag>
      <w:r w:rsidRPr="0007563C">
        <w:rPr>
          <w:sz w:val="22"/>
        </w:rPr>
        <w:t xml:space="preserve"> population born in the years 1957-64 and living in the </w:t>
      </w:r>
      <w:smartTag w:uri="urn:schemas-microsoft-com:office:smarttags" w:element="place">
        <w:smartTag w:uri="urn:schemas-microsoft-com:office:smarttags" w:element="country-region">
          <w:r w:rsidRPr="0007563C">
            <w:rPr>
              <w:sz w:val="22"/>
            </w:rPr>
            <w:t>United States</w:t>
          </w:r>
        </w:smartTag>
      </w:smartTag>
      <w:r w:rsidRPr="0007563C">
        <w:rPr>
          <w:sz w:val="22"/>
        </w:rPr>
        <w:t xml:space="preserve"> when the sample was selected in 1978.  The number of sample cases in 1979, excluding the discontinued military and nonblack/non-Hispanic samples, was 9,964.  A breakdown by sex and race is depicted in table </w:t>
      </w:r>
      <w:r w:rsidRPr="0007563C" w:rsidR="007B6BE2">
        <w:rPr>
          <w:sz w:val="22"/>
        </w:rPr>
        <w:t>5</w:t>
      </w:r>
      <w:r w:rsidRPr="0007563C">
        <w:rPr>
          <w:sz w:val="22"/>
        </w:rPr>
        <w:t xml:space="preserve"> below.  We anticipate a response rate in </w:t>
      </w:r>
      <w:r w:rsidRPr="0007563C" w:rsidR="007B6BE2">
        <w:rPr>
          <w:sz w:val="22"/>
        </w:rPr>
        <w:t>R</w:t>
      </w:r>
      <w:r w:rsidRPr="0007563C">
        <w:rPr>
          <w:sz w:val="22"/>
        </w:rPr>
        <w:t xml:space="preserve">ound </w:t>
      </w:r>
      <w:r w:rsidRPr="0007563C" w:rsidR="00D734D0">
        <w:rPr>
          <w:sz w:val="22"/>
        </w:rPr>
        <w:t>2</w:t>
      </w:r>
      <w:r w:rsidRPr="0007563C" w:rsidR="00CE551F">
        <w:rPr>
          <w:sz w:val="22"/>
        </w:rPr>
        <w:t>9</w:t>
      </w:r>
      <w:r w:rsidRPr="0007563C">
        <w:rPr>
          <w:sz w:val="22"/>
        </w:rPr>
        <w:t xml:space="preserve"> that is similar to the </w:t>
      </w:r>
      <w:r w:rsidRPr="0007563C" w:rsidR="007B6BE2">
        <w:rPr>
          <w:sz w:val="22"/>
        </w:rPr>
        <w:t>R</w:t>
      </w:r>
      <w:r w:rsidRPr="0007563C">
        <w:rPr>
          <w:sz w:val="22"/>
        </w:rPr>
        <w:t>ound 2</w:t>
      </w:r>
      <w:r w:rsidRPr="0007563C" w:rsidR="00CE551F">
        <w:rPr>
          <w:sz w:val="22"/>
        </w:rPr>
        <w:t>8</w:t>
      </w:r>
      <w:r w:rsidRPr="0007563C">
        <w:rPr>
          <w:sz w:val="22"/>
        </w:rPr>
        <w:t xml:space="preserve"> experience.</w:t>
      </w:r>
    </w:p>
    <w:p w:rsidRPr="0007563C" w:rsidR="00CE4E6C" w:rsidRDefault="00CE4E6C" w14:paraId="391EF568" w14:textId="77777777">
      <w:pPr>
        <w:rPr>
          <w:sz w:val="22"/>
        </w:rPr>
      </w:pPr>
    </w:p>
    <w:p w:rsidRPr="0007563C" w:rsidR="00CE4E6C" w:rsidRDefault="00CE4E6C" w14:paraId="73B96DFF" w14:textId="1DDC3212">
      <w:pPr>
        <w:pStyle w:val="Heading9"/>
        <w:spacing w:after="120"/>
      </w:pPr>
      <w:r w:rsidRPr="0007563C">
        <w:t xml:space="preserve">Table </w:t>
      </w:r>
      <w:r w:rsidRPr="0007563C" w:rsidR="007B6BE2">
        <w:t>5</w:t>
      </w:r>
      <w:r w:rsidRPr="0007563C">
        <w:t>.  Interviews Completed in 1979 and 20</w:t>
      </w:r>
      <w:r w:rsidRPr="0007563C" w:rsidR="000637B2">
        <w:t>1</w:t>
      </w:r>
      <w:r w:rsidRPr="0007563C" w:rsidR="00CE551F">
        <w:t>8</w:t>
      </w:r>
      <w:r w:rsidRPr="0007563C">
        <w:t xml:space="preserve"> (Preliminary) by Race and Sex</w:t>
      </w:r>
    </w:p>
    <w:tbl>
      <w:tblPr>
        <w:tblW w:w="9936" w:type="dxa"/>
        <w:jc w:val="center"/>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1295"/>
        <w:gridCol w:w="935"/>
        <w:gridCol w:w="936"/>
        <w:gridCol w:w="900"/>
        <w:gridCol w:w="974"/>
        <w:gridCol w:w="1008"/>
        <w:gridCol w:w="936"/>
        <w:gridCol w:w="1003"/>
        <w:gridCol w:w="936"/>
        <w:gridCol w:w="1013"/>
      </w:tblGrid>
      <w:tr w:rsidRPr="0007563C" w:rsidR="00CE4E6C" w14:paraId="08B2317C" w14:textId="77777777">
        <w:trPr>
          <w:cantSplit/>
          <w:jc w:val="center"/>
        </w:trPr>
        <w:tc>
          <w:tcPr>
            <w:tcW w:w="1295" w:type="dxa"/>
            <w:tcBorders>
              <w:top w:val="single" w:color="auto" w:sz="12" w:space="0"/>
              <w:left w:val="single" w:color="auto" w:sz="12" w:space="0"/>
              <w:bottom w:val="nil"/>
              <w:right w:val="single" w:color="auto" w:sz="12" w:space="0"/>
            </w:tcBorders>
            <w:vAlign w:val="center"/>
          </w:tcPr>
          <w:p w:rsidRPr="0007563C" w:rsidR="00CE4E6C" w:rsidRDefault="00CE4E6C" w14:paraId="2BBDB9F6" w14:textId="77777777">
            <w:pPr>
              <w:spacing w:before="20" w:after="20"/>
              <w:jc w:val="center"/>
              <w:rPr>
                <w:sz w:val="19"/>
              </w:rPr>
            </w:pPr>
          </w:p>
        </w:tc>
        <w:tc>
          <w:tcPr>
            <w:tcW w:w="2771" w:type="dxa"/>
            <w:gridSpan w:val="3"/>
            <w:tcBorders>
              <w:top w:val="single" w:color="auto" w:sz="12" w:space="0"/>
              <w:left w:val="nil"/>
              <w:bottom w:val="single" w:color="auto" w:sz="6" w:space="0"/>
              <w:right w:val="single" w:color="auto" w:sz="12" w:space="0"/>
            </w:tcBorders>
            <w:vAlign w:val="center"/>
          </w:tcPr>
          <w:p w:rsidRPr="0007563C" w:rsidR="00CE4E6C" w:rsidRDefault="00CE4E6C" w14:paraId="2893E29E" w14:textId="77777777">
            <w:pPr>
              <w:spacing w:before="20" w:after="20"/>
              <w:jc w:val="center"/>
              <w:rPr>
                <w:b/>
                <w:bCs/>
                <w:sz w:val="19"/>
              </w:rPr>
            </w:pPr>
            <w:r w:rsidRPr="0007563C">
              <w:rPr>
                <w:b/>
                <w:bCs/>
                <w:sz w:val="19"/>
              </w:rPr>
              <w:t>1979</w:t>
            </w:r>
          </w:p>
        </w:tc>
        <w:tc>
          <w:tcPr>
            <w:tcW w:w="5870" w:type="dxa"/>
            <w:gridSpan w:val="6"/>
            <w:tcBorders>
              <w:top w:val="single" w:color="auto" w:sz="12" w:space="0"/>
              <w:left w:val="nil"/>
              <w:bottom w:val="single" w:color="auto" w:sz="6" w:space="0"/>
              <w:right w:val="single" w:color="auto" w:sz="12" w:space="0"/>
            </w:tcBorders>
            <w:vAlign w:val="center"/>
          </w:tcPr>
          <w:p w:rsidRPr="0007563C" w:rsidR="00CE4E6C" w:rsidP="0052620A" w:rsidRDefault="001E204E" w14:paraId="4C698F7B" w14:textId="09FB569A">
            <w:pPr>
              <w:spacing w:before="20" w:after="20"/>
              <w:jc w:val="center"/>
              <w:rPr>
                <w:b/>
                <w:bCs/>
                <w:sz w:val="19"/>
              </w:rPr>
            </w:pPr>
            <w:r w:rsidRPr="0007563C">
              <w:rPr>
                <w:b/>
                <w:bCs/>
                <w:sz w:val="19"/>
              </w:rPr>
              <w:t>20</w:t>
            </w:r>
            <w:r w:rsidRPr="0007563C" w:rsidR="000637B2">
              <w:rPr>
                <w:b/>
                <w:bCs/>
                <w:sz w:val="19"/>
              </w:rPr>
              <w:t>1</w:t>
            </w:r>
            <w:r w:rsidRPr="0007563C" w:rsidR="00CE551F">
              <w:rPr>
                <w:b/>
                <w:bCs/>
                <w:sz w:val="19"/>
              </w:rPr>
              <w:t>8</w:t>
            </w:r>
          </w:p>
        </w:tc>
      </w:tr>
      <w:tr w:rsidRPr="0007563C" w:rsidR="00CE4E6C" w:rsidTr="003229AB" w14:paraId="716B38F6" w14:textId="77777777">
        <w:trPr>
          <w:cantSplit/>
          <w:trHeight w:val="645"/>
          <w:jc w:val="center"/>
        </w:trPr>
        <w:tc>
          <w:tcPr>
            <w:tcW w:w="1295" w:type="dxa"/>
            <w:tcBorders>
              <w:top w:val="nil"/>
              <w:left w:val="single" w:color="auto" w:sz="12" w:space="0"/>
              <w:bottom w:val="single" w:color="auto" w:sz="12" w:space="0"/>
              <w:right w:val="single" w:color="auto" w:sz="12" w:space="0"/>
            </w:tcBorders>
            <w:vAlign w:val="center"/>
          </w:tcPr>
          <w:p w:rsidRPr="0007563C" w:rsidR="00CE4E6C" w:rsidRDefault="00CE4E6C" w14:paraId="372126AF" w14:textId="77777777">
            <w:pPr>
              <w:spacing w:before="20" w:after="20"/>
              <w:jc w:val="center"/>
              <w:rPr>
                <w:sz w:val="19"/>
              </w:rPr>
            </w:pPr>
            <w:r w:rsidRPr="0007563C">
              <w:rPr>
                <w:sz w:val="19"/>
              </w:rPr>
              <w:t>Race and Hispanic origin</w:t>
            </w:r>
          </w:p>
        </w:tc>
        <w:tc>
          <w:tcPr>
            <w:tcW w:w="935" w:type="dxa"/>
            <w:tcBorders>
              <w:top w:val="single" w:color="auto" w:sz="6" w:space="0"/>
              <w:left w:val="nil"/>
              <w:bottom w:val="single" w:color="auto" w:sz="12" w:space="0"/>
              <w:right w:val="single" w:color="auto" w:sz="6" w:space="0"/>
            </w:tcBorders>
            <w:vAlign w:val="center"/>
          </w:tcPr>
          <w:p w:rsidRPr="0007563C" w:rsidR="00CE4E6C" w:rsidRDefault="00CE4E6C" w14:paraId="0DD5C9BD" w14:textId="77777777">
            <w:pPr>
              <w:spacing w:before="20" w:after="20"/>
              <w:jc w:val="center"/>
              <w:rPr>
                <w:sz w:val="19"/>
              </w:rPr>
            </w:pPr>
            <w:r w:rsidRPr="0007563C">
              <w:rPr>
                <w:sz w:val="19"/>
              </w:rPr>
              <w:t>Number of men</w:t>
            </w:r>
          </w:p>
        </w:tc>
        <w:tc>
          <w:tcPr>
            <w:tcW w:w="936" w:type="dxa"/>
            <w:tcBorders>
              <w:top w:val="single" w:color="auto" w:sz="6" w:space="0"/>
              <w:left w:val="single" w:color="auto" w:sz="6" w:space="0"/>
              <w:bottom w:val="single" w:color="auto" w:sz="12" w:space="0"/>
              <w:right w:val="single" w:color="auto" w:sz="6" w:space="0"/>
            </w:tcBorders>
            <w:vAlign w:val="center"/>
          </w:tcPr>
          <w:p w:rsidRPr="0007563C" w:rsidR="00CE4E6C" w:rsidRDefault="00CE4E6C" w14:paraId="5DA91A0C" w14:textId="77777777">
            <w:pPr>
              <w:spacing w:before="20" w:after="20"/>
              <w:jc w:val="center"/>
              <w:rPr>
                <w:sz w:val="19"/>
              </w:rPr>
            </w:pPr>
            <w:r w:rsidRPr="0007563C">
              <w:rPr>
                <w:sz w:val="19"/>
              </w:rPr>
              <w:t>Number of women</w:t>
            </w:r>
          </w:p>
        </w:tc>
        <w:tc>
          <w:tcPr>
            <w:tcW w:w="900" w:type="dxa"/>
            <w:tcBorders>
              <w:top w:val="single" w:color="auto" w:sz="6" w:space="0"/>
              <w:left w:val="single" w:color="auto" w:sz="6" w:space="0"/>
              <w:bottom w:val="single" w:color="auto" w:sz="12" w:space="0"/>
              <w:right w:val="single" w:color="auto" w:sz="12" w:space="0"/>
            </w:tcBorders>
            <w:vAlign w:val="center"/>
          </w:tcPr>
          <w:p w:rsidRPr="0007563C" w:rsidR="00CE4E6C" w:rsidRDefault="00CE4E6C" w14:paraId="3B5915A7" w14:textId="77777777">
            <w:pPr>
              <w:spacing w:before="20" w:after="20"/>
              <w:jc w:val="center"/>
              <w:rPr>
                <w:sz w:val="19"/>
              </w:rPr>
            </w:pPr>
            <w:r w:rsidRPr="0007563C">
              <w:rPr>
                <w:sz w:val="19"/>
              </w:rPr>
              <w:t>Total number</w:t>
            </w:r>
          </w:p>
        </w:tc>
        <w:tc>
          <w:tcPr>
            <w:tcW w:w="974" w:type="dxa"/>
            <w:tcBorders>
              <w:top w:val="single" w:color="auto" w:sz="6" w:space="0"/>
              <w:left w:val="single" w:color="auto" w:sz="12" w:space="0"/>
              <w:bottom w:val="single" w:color="auto" w:sz="12" w:space="0"/>
              <w:right w:val="single" w:color="auto" w:sz="6" w:space="0"/>
            </w:tcBorders>
            <w:vAlign w:val="center"/>
          </w:tcPr>
          <w:p w:rsidRPr="0007563C" w:rsidR="00CE4E6C" w:rsidRDefault="00CE4E6C" w14:paraId="63A07298" w14:textId="77777777">
            <w:pPr>
              <w:spacing w:before="20" w:after="20"/>
              <w:jc w:val="center"/>
              <w:rPr>
                <w:sz w:val="19"/>
              </w:rPr>
            </w:pPr>
            <w:r w:rsidRPr="0007563C">
              <w:rPr>
                <w:sz w:val="19"/>
              </w:rPr>
              <w:t>Number of men</w:t>
            </w:r>
          </w:p>
        </w:tc>
        <w:tc>
          <w:tcPr>
            <w:tcW w:w="1008" w:type="dxa"/>
            <w:tcBorders>
              <w:top w:val="single" w:color="auto" w:sz="6" w:space="0"/>
              <w:left w:val="single" w:color="auto" w:sz="6" w:space="0"/>
              <w:bottom w:val="single" w:color="auto" w:sz="12" w:space="0"/>
              <w:right w:val="single" w:color="auto" w:sz="6" w:space="0"/>
            </w:tcBorders>
            <w:vAlign w:val="center"/>
          </w:tcPr>
          <w:p w:rsidRPr="0007563C" w:rsidR="00CE4E6C" w:rsidRDefault="00CE4E6C" w14:paraId="1D5923A3" w14:textId="77777777">
            <w:pPr>
              <w:spacing w:before="20" w:after="20"/>
              <w:jc w:val="center"/>
              <w:rPr>
                <w:sz w:val="19"/>
              </w:rPr>
            </w:pPr>
            <w:r w:rsidRPr="0007563C">
              <w:rPr>
                <w:sz w:val="19"/>
              </w:rPr>
              <w:t>Retention rate for men</w:t>
            </w:r>
          </w:p>
        </w:tc>
        <w:tc>
          <w:tcPr>
            <w:tcW w:w="936" w:type="dxa"/>
            <w:tcBorders>
              <w:top w:val="single" w:color="auto" w:sz="6" w:space="0"/>
              <w:left w:val="single" w:color="auto" w:sz="6" w:space="0"/>
              <w:bottom w:val="single" w:color="auto" w:sz="12" w:space="0"/>
              <w:right w:val="single" w:color="auto" w:sz="6" w:space="0"/>
            </w:tcBorders>
            <w:vAlign w:val="center"/>
          </w:tcPr>
          <w:p w:rsidRPr="0007563C" w:rsidR="00CE4E6C" w:rsidRDefault="00CE4E6C" w14:paraId="7FB8E5B3" w14:textId="77777777">
            <w:pPr>
              <w:spacing w:before="20" w:after="20"/>
              <w:jc w:val="center"/>
              <w:rPr>
                <w:sz w:val="19"/>
              </w:rPr>
            </w:pPr>
            <w:r w:rsidRPr="0007563C">
              <w:rPr>
                <w:sz w:val="19"/>
              </w:rPr>
              <w:t>Number of women</w:t>
            </w:r>
          </w:p>
        </w:tc>
        <w:tc>
          <w:tcPr>
            <w:tcW w:w="1003" w:type="dxa"/>
            <w:tcBorders>
              <w:top w:val="single" w:color="auto" w:sz="6" w:space="0"/>
              <w:left w:val="single" w:color="auto" w:sz="6" w:space="0"/>
              <w:bottom w:val="single" w:color="auto" w:sz="12" w:space="0"/>
              <w:right w:val="single" w:color="auto" w:sz="6" w:space="0"/>
            </w:tcBorders>
            <w:vAlign w:val="center"/>
          </w:tcPr>
          <w:p w:rsidRPr="0007563C" w:rsidR="00CE4E6C" w:rsidRDefault="00CE4E6C" w14:paraId="7350FAC9" w14:textId="77777777">
            <w:pPr>
              <w:spacing w:before="20" w:after="20"/>
              <w:jc w:val="center"/>
              <w:rPr>
                <w:sz w:val="19"/>
              </w:rPr>
            </w:pPr>
            <w:r w:rsidRPr="0007563C">
              <w:rPr>
                <w:sz w:val="19"/>
              </w:rPr>
              <w:t>Retention rate for women</w:t>
            </w:r>
          </w:p>
        </w:tc>
        <w:tc>
          <w:tcPr>
            <w:tcW w:w="936" w:type="dxa"/>
            <w:tcBorders>
              <w:top w:val="single" w:color="auto" w:sz="6" w:space="0"/>
              <w:left w:val="single" w:color="auto" w:sz="6" w:space="0"/>
              <w:bottom w:val="single" w:color="auto" w:sz="12" w:space="0"/>
              <w:right w:val="single" w:color="auto" w:sz="6" w:space="0"/>
            </w:tcBorders>
            <w:vAlign w:val="center"/>
          </w:tcPr>
          <w:p w:rsidRPr="0007563C" w:rsidR="00CE4E6C" w:rsidRDefault="00CE4E6C" w14:paraId="04B1ED7B" w14:textId="77777777">
            <w:pPr>
              <w:spacing w:before="20" w:after="20"/>
              <w:jc w:val="center"/>
              <w:rPr>
                <w:sz w:val="19"/>
              </w:rPr>
            </w:pPr>
            <w:r w:rsidRPr="0007563C">
              <w:rPr>
                <w:sz w:val="19"/>
              </w:rPr>
              <w:t>Total number</w:t>
            </w:r>
          </w:p>
        </w:tc>
        <w:tc>
          <w:tcPr>
            <w:tcW w:w="1013" w:type="dxa"/>
            <w:tcBorders>
              <w:top w:val="single" w:color="auto" w:sz="6" w:space="0"/>
              <w:left w:val="single" w:color="auto" w:sz="6" w:space="0"/>
              <w:bottom w:val="single" w:color="auto" w:sz="12" w:space="0"/>
              <w:right w:val="single" w:color="auto" w:sz="12" w:space="0"/>
            </w:tcBorders>
            <w:vAlign w:val="center"/>
          </w:tcPr>
          <w:p w:rsidRPr="0007563C" w:rsidR="00CE4E6C" w:rsidRDefault="00CE4E6C" w14:paraId="38F02FEC" w14:textId="77777777">
            <w:pPr>
              <w:spacing w:before="20" w:after="20"/>
              <w:jc w:val="center"/>
              <w:rPr>
                <w:sz w:val="19"/>
              </w:rPr>
            </w:pPr>
            <w:r w:rsidRPr="0007563C">
              <w:rPr>
                <w:sz w:val="19"/>
              </w:rPr>
              <w:t>Total retention rate</w:t>
            </w:r>
          </w:p>
        </w:tc>
      </w:tr>
      <w:tr w:rsidRPr="0007563C" w:rsidR="00F76D48" w:rsidTr="00DD3461" w14:paraId="64D02467" w14:textId="77777777">
        <w:trPr>
          <w:cantSplit/>
          <w:jc w:val="center"/>
        </w:trPr>
        <w:tc>
          <w:tcPr>
            <w:tcW w:w="1295" w:type="dxa"/>
            <w:tcBorders>
              <w:top w:val="single" w:color="auto" w:sz="12" w:space="0"/>
              <w:left w:val="single" w:color="auto" w:sz="12" w:space="0"/>
              <w:bottom w:val="nil"/>
              <w:right w:val="single" w:color="auto" w:sz="12" w:space="0"/>
            </w:tcBorders>
            <w:vAlign w:val="center"/>
          </w:tcPr>
          <w:p w:rsidRPr="0007563C" w:rsidR="00F76D48" w:rsidP="00F76D48" w:rsidRDefault="00F76D48" w14:paraId="39753977" w14:textId="77777777">
            <w:pPr>
              <w:spacing w:before="20" w:after="20"/>
              <w:rPr>
                <w:sz w:val="19"/>
              </w:rPr>
            </w:pPr>
            <w:r w:rsidRPr="0007563C">
              <w:rPr>
                <w:sz w:val="19"/>
              </w:rPr>
              <w:t>Nonblack, non-Hispanic</w:t>
            </w:r>
          </w:p>
        </w:tc>
        <w:tc>
          <w:tcPr>
            <w:tcW w:w="935" w:type="dxa"/>
            <w:tcBorders>
              <w:top w:val="single" w:color="auto" w:sz="12" w:space="0"/>
              <w:left w:val="nil"/>
              <w:bottom w:val="nil"/>
              <w:right w:val="single" w:color="auto" w:sz="6" w:space="0"/>
            </w:tcBorders>
            <w:vAlign w:val="center"/>
          </w:tcPr>
          <w:p w:rsidRPr="0007563C" w:rsidR="00F76D48" w:rsidP="00F76D48" w:rsidRDefault="00F76D48" w14:paraId="612A6D0F" w14:textId="77777777">
            <w:pPr>
              <w:spacing w:before="20" w:after="20"/>
              <w:jc w:val="right"/>
            </w:pPr>
            <w:r w:rsidRPr="0007563C">
              <w:t>2,518</w:t>
            </w:r>
          </w:p>
        </w:tc>
        <w:tc>
          <w:tcPr>
            <w:tcW w:w="936" w:type="dxa"/>
            <w:tcBorders>
              <w:top w:val="single" w:color="auto" w:sz="12" w:space="0"/>
              <w:left w:val="single" w:color="auto" w:sz="6" w:space="0"/>
              <w:bottom w:val="nil"/>
              <w:right w:val="single" w:color="auto" w:sz="6" w:space="0"/>
            </w:tcBorders>
            <w:vAlign w:val="center"/>
          </w:tcPr>
          <w:p w:rsidRPr="0007563C" w:rsidR="00F76D48" w:rsidP="00F76D48" w:rsidRDefault="00F76D48" w14:paraId="33A6C8B1" w14:textId="77777777">
            <w:pPr>
              <w:spacing w:before="20" w:after="20"/>
              <w:jc w:val="right"/>
            </w:pPr>
            <w:r w:rsidRPr="0007563C">
              <w:t>2,484</w:t>
            </w:r>
          </w:p>
        </w:tc>
        <w:tc>
          <w:tcPr>
            <w:tcW w:w="900" w:type="dxa"/>
            <w:tcBorders>
              <w:top w:val="single" w:color="auto" w:sz="12" w:space="0"/>
              <w:left w:val="single" w:color="auto" w:sz="6" w:space="0"/>
              <w:bottom w:val="nil"/>
              <w:right w:val="single" w:color="auto" w:sz="12" w:space="0"/>
            </w:tcBorders>
            <w:vAlign w:val="center"/>
          </w:tcPr>
          <w:p w:rsidRPr="0007563C" w:rsidR="00F76D48" w:rsidP="00F76D48" w:rsidRDefault="00F76D48" w14:paraId="206E0BE3" w14:textId="77777777">
            <w:pPr>
              <w:spacing w:before="20" w:after="20"/>
              <w:jc w:val="right"/>
            </w:pPr>
            <w:r w:rsidRPr="0007563C">
              <w:t>5,002</w:t>
            </w:r>
          </w:p>
        </w:tc>
        <w:tc>
          <w:tcPr>
            <w:tcW w:w="974" w:type="dxa"/>
            <w:tcBorders>
              <w:top w:val="single" w:color="auto" w:sz="12" w:space="0"/>
              <w:left w:val="single" w:color="auto" w:sz="12" w:space="0"/>
              <w:bottom w:val="nil"/>
              <w:right w:val="single" w:color="auto" w:sz="6" w:space="0"/>
            </w:tcBorders>
            <w:vAlign w:val="center"/>
          </w:tcPr>
          <w:p w:rsidRPr="0007563C" w:rsidR="00F76D48" w:rsidP="00743568" w:rsidRDefault="00F76D48" w14:paraId="38CAD849" w14:textId="09BC800C">
            <w:pPr>
              <w:spacing w:before="20" w:after="20"/>
              <w:jc w:val="right"/>
            </w:pPr>
            <w:r w:rsidRPr="0007563C">
              <w:t>1,62</w:t>
            </w:r>
            <w:r w:rsidR="00743568">
              <w:t>6</w:t>
            </w:r>
          </w:p>
        </w:tc>
        <w:tc>
          <w:tcPr>
            <w:tcW w:w="1008" w:type="dxa"/>
            <w:tcBorders>
              <w:top w:val="single" w:color="auto" w:sz="12" w:space="0"/>
              <w:left w:val="single" w:color="auto" w:sz="6" w:space="0"/>
              <w:bottom w:val="nil"/>
              <w:right w:val="single" w:color="auto" w:sz="6" w:space="0"/>
            </w:tcBorders>
            <w:vAlign w:val="center"/>
          </w:tcPr>
          <w:p w:rsidRPr="0007563C" w:rsidR="00F76D48" w:rsidP="00F76D48" w:rsidRDefault="00F76D48" w14:paraId="58D833AC" w14:textId="1F88F067">
            <w:pPr>
              <w:spacing w:before="20" w:after="20"/>
              <w:jc w:val="right"/>
            </w:pPr>
            <w:r w:rsidRPr="0007563C">
              <w:t xml:space="preserve">     64.</w:t>
            </w:r>
            <w:r w:rsidR="00743568">
              <w:t>6</w:t>
            </w:r>
          </w:p>
        </w:tc>
        <w:tc>
          <w:tcPr>
            <w:tcW w:w="936" w:type="dxa"/>
            <w:tcBorders>
              <w:top w:val="single" w:color="auto" w:sz="12" w:space="0"/>
              <w:left w:val="single" w:color="auto" w:sz="6" w:space="0"/>
              <w:bottom w:val="nil"/>
              <w:right w:val="single" w:color="auto" w:sz="6" w:space="0"/>
            </w:tcBorders>
            <w:vAlign w:val="center"/>
          </w:tcPr>
          <w:p w:rsidRPr="0007563C" w:rsidR="00F76D48" w:rsidP="00F76D48" w:rsidRDefault="00F76D48" w14:paraId="79432E70" w14:textId="11BCDCB2">
            <w:pPr>
              <w:spacing w:before="20" w:after="20"/>
              <w:jc w:val="right"/>
            </w:pPr>
            <w:r w:rsidRPr="0007563C">
              <w:t>1,741</w:t>
            </w:r>
          </w:p>
        </w:tc>
        <w:tc>
          <w:tcPr>
            <w:tcW w:w="1003" w:type="dxa"/>
            <w:tcBorders>
              <w:top w:val="single" w:color="auto" w:sz="12" w:space="0"/>
              <w:left w:val="single" w:color="auto" w:sz="6" w:space="0"/>
              <w:bottom w:val="nil"/>
              <w:right w:val="single" w:color="auto" w:sz="6" w:space="0"/>
            </w:tcBorders>
            <w:vAlign w:val="center"/>
          </w:tcPr>
          <w:p w:rsidRPr="0007563C" w:rsidR="00F76D48" w:rsidP="00F76D48" w:rsidRDefault="00F76D48" w14:paraId="2159808A" w14:textId="506BD1B7">
            <w:pPr>
              <w:spacing w:before="20" w:after="20"/>
              <w:jc w:val="right"/>
            </w:pPr>
            <w:r w:rsidRPr="0007563C">
              <w:t>70.1</w:t>
            </w:r>
          </w:p>
        </w:tc>
        <w:tc>
          <w:tcPr>
            <w:tcW w:w="936" w:type="dxa"/>
            <w:tcBorders>
              <w:top w:val="single" w:color="auto" w:sz="12" w:space="0"/>
              <w:left w:val="single" w:color="auto" w:sz="6" w:space="0"/>
              <w:bottom w:val="nil"/>
              <w:right w:val="single" w:color="auto" w:sz="6" w:space="0"/>
            </w:tcBorders>
            <w:vAlign w:val="center"/>
          </w:tcPr>
          <w:p w:rsidRPr="0007563C" w:rsidR="00F76D48" w:rsidP="00F76D48" w:rsidRDefault="00F76D48" w14:paraId="01A4FFBC" w14:textId="637B610E">
            <w:pPr>
              <w:spacing w:before="20" w:after="20"/>
              <w:jc w:val="right"/>
            </w:pPr>
            <w:r w:rsidRPr="0007563C">
              <w:t>3,36</w:t>
            </w:r>
            <w:r w:rsidR="00743568">
              <w:t>7</w:t>
            </w:r>
          </w:p>
        </w:tc>
        <w:tc>
          <w:tcPr>
            <w:tcW w:w="1013" w:type="dxa"/>
            <w:tcBorders>
              <w:top w:val="single" w:color="auto" w:sz="12" w:space="0"/>
              <w:left w:val="single" w:color="auto" w:sz="6" w:space="0"/>
              <w:bottom w:val="nil"/>
              <w:right w:val="single" w:color="auto" w:sz="12" w:space="0"/>
            </w:tcBorders>
            <w:vAlign w:val="center"/>
          </w:tcPr>
          <w:p w:rsidRPr="0007563C" w:rsidR="00F76D48" w:rsidP="00F76D48" w:rsidRDefault="00F76D48" w14:paraId="31F37B5B" w14:textId="2545F996">
            <w:pPr>
              <w:spacing w:before="20" w:after="20"/>
              <w:jc w:val="right"/>
            </w:pPr>
            <w:r w:rsidRPr="0007563C">
              <w:t>67.3</w:t>
            </w:r>
          </w:p>
        </w:tc>
      </w:tr>
      <w:tr w:rsidRPr="0007563C" w:rsidR="00F76D48" w:rsidTr="00DD3461" w14:paraId="715CE5DA" w14:textId="77777777">
        <w:trPr>
          <w:cantSplit/>
          <w:jc w:val="center"/>
        </w:trPr>
        <w:tc>
          <w:tcPr>
            <w:tcW w:w="1295" w:type="dxa"/>
            <w:tcBorders>
              <w:top w:val="nil"/>
              <w:left w:val="single" w:color="auto" w:sz="12" w:space="0"/>
              <w:bottom w:val="nil"/>
              <w:right w:val="single" w:color="auto" w:sz="12" w:space="0"/>
            </w:tcBorders>
            <w:vAlign w:val="center"/>
          </w:tcPr>
          <w:p w:rsidRPr="0007563C" w:rsidR="00F76D48" w:rsidP="00F76D48" w:rsidRDefault="00F76D48" w14:paraId="201180AA" w14:textId="77777777">
            <w:pPr>
              <w:spacing w:before="20" w:after="20"/>
              <w:rPr>
                <w:sz w:val="19"/>
              </w:rPr>
            </w:pPr>
            <w:r w:rsidRPr="0007563C">
              <w:rPr>
                <w:sz w:val="19"/>
              </w:rPr>
              <w:t>Hispanic</w:t>
            </w:r>
          </w:p>
        </w:tc>
        <w:tc>
          <w:tcPr>
            <w:tcW w:w="935" w:type="dxa"/>
            <w:tcBorders>
              <w:top w:val="nil"/>
              <w:left w:val="nil"/>
              <w:right w:val="single" w:color="auto" w:sz="6" w:space="0"/>
            </w:tcBorders>
            <w:vAlign w:val="center"/>
          </w:tcPr>
          <w:p w:rsidRPr="0007563C" w:rsidR="00F76D48" w:rsidP="00F76D48" w:rsidRDefault="00F76D48" w14:paraId="5A81B181" w14:textId="77777777">
            <w:pPr>
              <w:spacing w:before="20" w:after="20"/>
              <w:jc w:val="right"/>
            </w:pPr>
            <w:r w:rsidRPr="0007563C">
              <w:t xml:space="preserve">  981</w:t>
            </w:r>
          </w:p>
        </w:tc>
        <w:tc>
          <w:tcPr>
            <w:tcW w:w="936" w:type="dxa"/>
            <w:tcBorders>
              <w:top w:val="nil"/>
              <w:left w:val="single" w:color="auto" w:sz="6" w:space="0"/>
              <w:right w:val="single" w:color="auto" w:sz="6" w:space="0"/>
            </w:tcBorders>
            <w:vAlign w:val="center"/>
          </w:tcPr>
          <w:p w:rsidRPr="0007563C" w:rsidR="00F76D48" w:rsidP="00F76D48" w:rsidRDefault="00F76D48" w14:paraId="3C838119" w14:textId="77777777">
            <w:pPr>
              <w:spacing w:before="20" w:after="20"/>
              <w:jc w:val="right"/>
            </w:pPr>
            <w:r w:rsidRPr="0007563C">
              <w:t xml:space="preserve">  980</w:t>
            </w:r>
          </w:p>
        </w:tc>
        <w:tc>
          <w:tcPr>
            <w:tcW w:w="900" w:type="dxa"/>
            <w:tcBorders>
              <w:top w:val="nil"/>
              <w:left w:val="single" w:color="auto" w:sz="6" w:space="0"/>
              <w:right w:val="single" w:color="auto" w:sz="12" w:space="0"/>
            </w:tcBorders>
            <w:vAlign w:val="center"/>
          </w:tcPr>
          <w:p w:rsidRPr="0007563C" w:rsidR="00F76D48" w:rsidP="00F76D48" w:rsidRDefault="00F76D48" w14:paraId="1BFC70C1" w14:textId="77777777">
            <w:pPr>
              <w:spacing w:before="20" w:after="20"/>
              <w:jc w:val="right"/>
            </w:pPr>
            <w:r w:rsidRPr="0007563C">
              <w:t>1,961</w:t>
            </w:r>
          </w:p>
        </w:tc>
        <w:tc>
          <w:tcPr>
            <w:tcW w:w="974" w:type="dxa"/>
            <w:tcBorders>
              <w:top w:val="nil"/>
              <w:left w:val="single" w:color="auto" w:sz="12" w:space="0"/>
              <w:bottom w:val="nil"/>
              <w:right w:val="single" w:color="auto" w:sz="6" w:space="0"/>
            </w:tcBorders>
            <w:vAlign w:val="center"/>
          </w:tcPr>
          <w:p w:rsidRPr="0007563C" w:rsidR="00F76D48" w:rsidP="00F76D48" w:rsidRDefault="00F76D48" w14:paraId="3E7E5955" w14:textId="0F47346D">
            <w:pPr>
              <w:spacing w:before="20" w:after="20"/>
              <w:jc w:val="right"/>
            </w:pPr>
            <w:r w:rsidRPr="0007563C">
              <w:t>  6</w:t>
            </w:r>
            <w:r w:rsidR="00743568">
              <w:t>40</w:t>
            </w:r>
          </w:p>
        </w:tc>
        <w:tc>
          <w:tcPr>
            <w:tcW w:w="1008" w:type="dxa"/>
            <w:tcBorders>
              <w:top w:val="nil"/>
              <w:left w:val="single" w:color="auto" w:sz="6" w:space="0"/>
              <w:right w:val="single" w:color="auto" w:sz="6" w:space="0"/>
            </w:tcBorders>
            <w:vAlign w:val="center"/>
          </w:tcPr>
          <w:p w:rsidRPr="0007563C" w:rsidR="00F76D48" w:rsidP="00F76D48" w:rsidRDefault="00F76D48" w14:paraId="1035D4B8" w14:textId="39B2E103">
            <w:pPr>
              <w:spacing w:before="20" w:after="20"/>
              <w:jc w:val="right"/>
            </w:pPr>
            <w:r w:rsidRPr="0007563C">
              <w:t>6</w:t>
            </w:r>
            <w:r w:rsidR="00743568">
              <w:t>5.2</w:t>
            </w:r>
          </w:p>
        </w:tc>
        <w:tc>
          <w:tcPr>
            <w:tcW w:w="936" w:type="dxa"/>
            <w:tcBorders>
              <w:top w:val="nil"/>
              <w:left w:val="single" w:color="auto" w:sz="6" w:space="0"/>
              <w:right w:val="single" w:color="auto" w:sz="6" w:space="0"/>
            </w:tcBorders>
            <w:vAlign w:val="center"/>
          </w:tcPr>
          <w:p w:rsidRPr="0007563C" w:rsidR="00F76D48" w:rsidP="00F76D48" w:rsidRDefault="00F76D48" w14:paraId="7C2E4B37" w14:textId="739E9F8A">
            <w:pPr>
              <w:spacing w:before="20" w:after="20"/>
              <w:jc w:val="right"/>
            </w:pPr>
            <w:r w:rsidRPr="0007563C">
              <w:t>  702</w:t>
            </w:r>
          </w:p>
        </w:tc>
        <w:tc>
          <w:tcPr>
            <w:tcW w:w="1003" w:type="dxa"/>
            <w:tcBorders>
              <w:top w:val="nil"/>
              <w:left w:val="single" w:color="auto" w:sz="6" w:space="0"/>
              <w:right w:val="single" w:color="auto" w:sz="6" w:space="0"/>
            </w:tcBorders>
            <w:vAlign w:val="center"/>
          </w:tcPr>
          <w:p w:rsidRPr="0007563C" w:rsidR="00F76D48" w:rsidP="00F76D48" w:rsidRDefault="00F76D48" w14:paraId="17087BE9" w14:textId="76324ECA">
            <w:pPr>
              <w:spacing w:before="20" w:after="20"/>
              <w:jc w:val="right"/>
            </w:pPr>
            <w:r w:rsidRPr="0007563C">
              <w:t xml:space="preserve">     71.6</w:t>
            </w:r>
          </w:p>
        </w:tc>
        <w:tc>
          <w:tcPr>
            <w:tcW w:w="936" w:type="dxa"/>
            <w:tcBorders>
              <w:top w:val="nil"/>
              <w:left w:val="single" w:color="auto" w:sz="6" w:space="0"/>
              <w:right w:val="single" w:color="auto" w:sz="6" w:space="0"/>
            </w:tcBorders>
            <w:vAlign w:val="center"/>
          </w:tcPr>
          <w:p w:rsidRPr="0007563C" w:rsidR="00F76D48" w:rsidP="00F76D48" w:rsidRDefault="00F76D48" w14:paraId="3B866818" w14:textId="1E6EF866">
            <w:pPr>
              <w:spacing w:before="20" w:after="20"/>
              <w:jc w:val="right"/>
            </w:pPr>
            <w:r w:rsidRPr="0007563C">
              <w:t>1,3</w:t>
            </w:r>
            <w:r w:rsidR="00743568">
              <w:t>42</w:t>
            </w:r>
          </w:p>
        </w:tc>
        <w:tc>
          <w:tcPr>
            <w:tcW w:w="1013" w:type="dxa"/>
            <w:tcBorders>
              <w:top w:val="nil"/>
              <w:left w:val="single" w:color="auto" w:sz="6" w:space="0"/>
              <w:right w:val="single" w:color="auto" w:sz="12" w:space="0"/>
            </w:tcBorders>
            <w:vAlign w:val="center"/>
          </w:tcPr>
          <w:p w:rsidRPr="0007563C" w:rsidR="00F76D48" w:rsidP="00F76D48" w:rsidRDefault="00F76D48" w14:paraId="2E544161" w14:textId="223C1F66">
            <w:pPr>
              <w:spacing w:before="20" w:after="20"/>
              <w:jc w:val="right"/>
            </w:pPr>
            <w:r w:rsidRPr="0007563C">
              <w:t>68.</w:t>
            </w:r>
            <w:r w:rsidR="00743568">
              <w:t>4</w:t>
            </w:r>
          </w:p>
        </w:tc>
      </w:tr>
      <w:tr w:rsidRPr="0007563C" w:rsidR="00F76D48" w:rsidTr="00DD3461" w14:paraId="465861A2" w14:textId="77777777">
        <w:trPr>
          <w:cantSplit/>
          <w:jc w:val="center"/>
        </w:trPr>
        <w:tc>
          <w:tcPr>
            <w:tcW w:w="1295" w:type="dxa"/>
            <w:tcBorders>
              <w:top w:val="nil"/>
              <w:left w:val="single" w:color="auto" w:sz="12" w:space="0"/>
              <w:bottom w:val="single" w:color="auto" w:sz="6" w:space="0"/>
              <w:right w:val="single" w:color="auto" w:sz="12" w:space="0"/>
            </w:tcBorders>
            <w:vAlign w:val="center"/>
          </w:tcPr>
          <w:p w:rsidRPr="0007563C" w:rsidR="00F76D48" w:rsidP="00F76D48" w:rsidRDefault="00F76D48" w14:paraId="13EABE34" w14:textId="77777777">
            <w:pPr>
              <w:spacing w:before="20" w:after="20"/>
              <w:rPr>
                <w:sz w:val="19"/>
              </w:rPr>
            </w:pPr>
            <w:r w:rsidRPr="0007563C">
              <w:rPr>
                <w:sz w:val="19"/>
              </w:rPr>
              <w:t>Black</w:t>
            </w:r>
          </w:p>
        </w:tc>
        <w:tc>
          <w:tcPr>
            <w:tcW w:w="935" w:type="dxa"/>
            <w:tcBorders>
              <w:left w:val="nil"/>
              <w:bottom w:val="single" w:color="auto" w:sz="6" w:space="0"/>
              <w:right w:val="single" w:color="auto" w:sz="6" w:space="0"/>
            </w:tcBorders>
            <w:vAlign w:val="center"/>
          </w:tcPr>
          <w:p w:rsidRPr="0007563C" w:rsidR="00F76D48" w:rsidP="00F76D48" w:rsidRDefault="00F76D48" w14:paraId="2F8F9AD9" w14:textId="77777777">
            <w:pPr>
              <w:spacing w:before="20" w:after="20"/>
              <w:jc w:val="right"/>
            </w:pPr>
            <w:r w:rsidRPr="0007563C">
              <w:t>1,524</w:t>
            </w:r>
          </w:p>
        </w:tc>
        <w:tc>
          <w:tcPr>
            <w:tcW w:w="936" w:type="dxa"/>
            <w:tcBorders>
              <w:left w:val="single" w:color="auto" w:sz="6" w:space="0"/>
              <w:bottom w:val="single" w:color="auto" w:sz="6" w:space="0"/>
              <w:right w:val="single" w:color="auto" w:sz="6" w:space="0"/>
            </w:tcBorders>
            <w:vAlign w:val="center"/>
          </w:tcPr>
          <w:p w:rsidRPr="0007563C" w:rsidR="00F76D48" w:rsidP="00F76D48" w:rsidRDefault="00F76D48" w14:paraId="33343506" w14:textId="77777777">
            <w:pPr>
              <w:spacing w:before="20" w:after="20"/>
              <w:jc w:val="right"/>
            </w:pPr>
            <w:r w:rsidRPr="0007563C">
              <w:t>1,477</w:t>
            </w:r>
          </w:p>
        </w:tc>
        <w:tc>
          <w:tcPr>
            <w:tcW w:w="900" w:type="dxa"/>
            <w:tcBorders>
              <w:left w:val="single" w:color="auto" w:sz="6" w:space="0"/>
              <w:bottom w:val="single" w:color="auto" w:sz="6" w:space="0"/>
              <w:right w:val="single" w:color="auto" w:sz="12" w:space="0"/>
            </w:tcBorders>
            <w:vAlign w:val="center"/>
          </w:tcPr>
          <w:p w:rsidRPr="0007563C" w:rsidR="00F76D48" w:rsidP="00F76D48" w:rsidRDefault="00F76D48" w14:paraId="74E2F7E0" w14:textId="77777777">
            <w:pPr>
              <w:spacing w:before="20" w:after="20"/>
              <w:jc w:val="right"/>
            </w:pPr>
            <w:r w:rsidRPr="0007563C">
              <w:t>3,001</w:t>
            </w:r>
          </w:p>
        </w:tc>
        <w:tc>
          <w:tcPr>
            <w:tcW w:w="974" w:type="dxa"/>
            <w:tcBorders>
              <w:top w:val="nil"/>
              <w:left w:val="single" w:color="auto" w:sz="12" w:space="0"/>
              <w:bottom w:val="single" w:color="auto" w:sz="6" w:space="0"/>
              <w:right w:val="single" w:color="auto" w:sz="6" w:space="0"/>
            </w:tcBorders>
            <w:vAlign w:val="center"/>
          </w:tcPr>
          <w:p w:rsidRPr="0007563C" w:rsidR="00F76D48" w:rsidP="00F76D48" w:rsidRDefault="00F76D48" w14:paraId="424C3E44" w14:textId="778D4453">
            <w:pPr>
              <w:spacing w:before="20" w:after="20"/>
              <w:jc w:val="right"/>
            </w:pPr>
            <w:r w:rsidRPr="0007563C">
              <w:t>1,0</w:t>
            </w:r>
            <w:r w:rsidR="00743568">
              <w:t>40</w:t>
            </w:r>
          </w:p>
        </w:tc>
        <w:tc>
          <w:tcPr>
            <w:tcW w:w="1008" w:type="dxa"/>
            <w:tcBorders>
              <w:left w:val="single" w:color="auto" w:sz="6" w:space="0"/>
              <w:bottom w:val="single" w:color="auto" w:sz="6" w:space="0"/>
              <w:right w:val="single" w:color="auto" w:sz="6" w:space="0"/>
            </w:tcBorders>
            <w:vAlign w:val="center"/>
          </w:tcPr>
          <w:p w:rsidRPr="0007563C" w:rsidR="00F76D48" w:rsidP="00F76D48" w:rsidRDefault="00F76D48" w14:paraId="01FD9425" w14:textId="0B73DD8F">
            <w:pPr>
              <w:spacing w:before="20" w:after="20"/>
              <w:jc w:val="right"/>
            </w:pPr>
            <w:r w:rsidRPr="0007563C">
              <w:t xml:space="preserve">     68.2</w:t>
            </w:r>
          </w:p>
        </w:tc>
        <w:tc>
          <w:tcPr>
            <w:tcW w:w="936" w:type="dxa"/>
            <w:tcBorders>
              <w:left w:val="single" w:color="auto" w:sz="6" w:space="0"/>
              <w:bottom w:val="single" w:color="auto" w:sz="6" w:space="0"/>
              <w:right w:val="single" w:color="auto" w:sz="6" w:space="0"/>
            </w:tcBorders>
            <w:vAlign w:val="center"/>
          </w:tcPr>
          <w:p w:rsidRPr="0007563C" w:rsidR="00F76D48" w:rsidP="00F76D48" w:rsidRDefault="00F76D48" w14:paraId="7828EFF5" w14:textId="710C5A78">
            <w:pPr>
              <w:spacing w:before="20" w:after="20"/>
              <w:jc w:val="right"/>
            </w:pPr>
            <w:r w:rsidRPr="0007563C">
              <w:t>1,129</w:t>
            </w:r>
          </w:p>
        </w:tc>
        <w:tc>
          <w:tcPr>
            <w:tcW w:w="1003" w:type="dxa"/>
            <w:tcBorders>
              <w:left w:val="single" w:color="auto" w:sz="6" w:space="0"/>
              <w:bottom w:val="single" w:color="auto" w:sz="6" w:space="0"/>
              <w:right w:val="single" w:color="auto" w:sz="6" w:space="0"/>
            </w:tcBorders>
            <w:vAlign w:val="center"/>
          </w:tcPr>
          <w:p w:rsidRPr="0007563C" w:rsidR="00F76D48" w:rsidP="00F76D48" w:rsidRDefault="00F76D48" w14:paraId="558A83C4" w14:textId="11ABACB6">
            <w:pPr>
              <w:spacing w:before="20" w:after="20"/>
              <w:jc w:val="right"/>
            </w:pPr>
            <w:r w:rsidRPr="0007563C">
              <w:t>76.4</w:t>
            </w:r>
          </w:p>
        </w:tc>
        <w:tc>
          <w:tcPr>
            <w:tcW w:w="936" w:type="dxa"/>
            <w:tcBorders>
              <w:left w:val="single" w:color="auto" w:sz="6" w:space="0"/>
              <w:bottom w:val="single" w:color="auto" w:sz="6" w:space="0"/>
              <w:right w:val="single" w:color="auto" w:sz="6" w:space="0"/>
            </w:tcBorders>
            <w:vAlign w:val="center"/>
          </w:tcPr>
          <w:p w:rsidRPr="0007563C" w:rsidR="00F76D48" w:rsidP="00F76D48" w:rsidRDefault="00F76D48" w14:paraId="3DEDC70D" w14:textId="01830DCE">
            <w:pPr>
              <w:spacing w:before="20" w:after="20"/>
              <w:jc w:val="right"/>
            </w:pPr>
            <w:r w:rsidRPr="0007563C">
              <w:t>2,16</w:t>
            </w:r>
            <w:r w:rsidR="00743568">
              <w:t>9</w:t>
            </w:r>
          </w:p>
        </w:tc>
        <w:tc>
          <w:tcPr>
            <w:tcW w:w="1013" w:type="dxa"/>
            <w:tcBorders>
              <w:left w:val="single" w:color="auto" w:sz="6" w:space="0"/>
              <w:bottom w:val="single" w:color="auto" w:sz="6" w:space="0"/>
              <w:right w:val="single" w:color="auto" w:sz="12" w:space="0"/>
            </w:tcBorders>
            <w:vAlign w:val="center"/>
          </w:tcPr>
          <w:p w:rsidRPr="0007563C" w:rsidR="00F76D48" w:rsidP="00F76D48" w:rsidRDefault="00F76D48" w14:paraId="65FA172F" w14:textId="2136E24A">
            <w:pPr>
              <w:spacing w:before="20" w:after="20"/>
              <w:jc w:val="right"/>
            </w:pPr>
            <w:r w:rsidRPr="0007563C">
              <w:t>72.2</w:t>
            </w:r>
          </w:p>
        </w:tc>
      </w:tr>
      <w:tr w:rsidRPr="0007563C" w:rsidR="00F76D48" w:rsidTr="00DD3461" w14:paraId="23CA2D51" w14:textId="77777777">
        <w:trPr>
          <w:cantSplit/>
          <w:jc w:val="center"/>
        </w:trPr>
        <w:tc>
          <w:tcPr>
            <w:tcW w:w="1295" w:type="dxa"/>
            <w:tcBorders>
              <w:top w:val="single" w:color="auto" w:sz="6" w:space="0"/>
              <w:left w:val="single" w:color="auto" w:sz="12" w:space="0"/>
              <w:bottom w:val="single" w:color="auto" w:sz="12" w:space="0"/>
              <w:right w:val="single" w:color="auto" w:sz="12" w:space="0"/>
            </w:tcBorders>
            <w:vAlign w:val="center"/>
          </w:tcPr>
          <w:p w:rsidRPr="0007563C" w:rsidR="00F76D48" w:rsidP="00F76D48" w:rsidRDefault="00F76D48" w14:paraId="47A64B7C" w14:textId="77777777">
            <w:pPr>
              <w:spacing w:before="20" w:after="20"/>
              <w:rPr>
                <w:sz w:val="19"/>
              </w:rPr>
            </w:pPr>
            <w:r w:rsidRPr="0007563C">
              <w:rPr>
                <w:sz w:val="19"/>
              </w:rPr>
              <w:t>Total</w:t>
            </w:r>
          </w:p>
        </w:tc>
        <w:tc>
          <w:tcPr>
            <w:tcW w:w="935" w:type="dxa"/>
            <w:tcBorders>
              <w:top w:val="single" w:color="auto" w:sz="6" w:space="0"/>
              <w:left w:val="nil"/>
              <w:bottom w:val="single" w:color="auto" w:sz="12" w:space="0"/>
              <w:right w:val="single" w:color="auto" w:sz="6" w:space="0"/>
            </w:tcBorders>
            <w:vAlign w:val="center"/>
          </w:tcPr>
          <w:p w:rsidRPr="0007563C" w:rsidR="00F76D48" w:rsidP="00F76D48" w:rsidRDefault="00F76D48" w14:paraId="51AAA066" w14:textId="77777777">
            <w:pPr>
              <w:spacing w:before="20" w:after="20"/>
              <w:jc w:val="right"/>
            </w:pPr>
            <w:r w:rsidRPr="0007563C">
              <w:t>5,023</w:t>
            </w:r>
          </w:p>
        </w:tc>
        <w:tc>
          <w:tcPr>
            <w:tcW w:w="936" w:type="dxa"/>
            <w:tcBorders>
              <w:top w:val="single" w:color="auto" w:sz="6" w:space="0"/>
              <w:left w:val="single" w:color="auto" w:sz="6" w:space="0"/>
              <w:bottom w:val="single" w:color="auto" w:sz="12" w:space="0"/>
              <w:right w:val="single" w:color="auto" w:sz="6" w:space="0"/>
            </w:tcBorders>
            <w:vAlign w:val="center"/>
          </w:tcPr>
          <w:p w:rsidRPr="0007563C" w:rsidR="00F76D48" w:rsidP="00F76D48" w:rsidRDefault="00F76D48" w14:paraId="19D8466B" w14:textId="77777777">
            <w:pPr>
              <w:spacing w:before="20" w:after="20"/>
              <w:jc w:val="right"/>
            </w:pPr>
            <w:r w:rsidRPr="0007563C">
              <w:t>4,941</w:t>
            </w:r>
          </w:p>
        </w:tc>
        <w:tc>
          <w:tcPr>
            <w:tcW w:w="900" w:type="dxa"/>
            <w:tcBorders>
              <w:top w:val="single" w:color="auto" w:sz="6" w:space="0"/>
              <w:left w:val="single" w:color="auto" w:sz="6" w:space="0"/>
              <w:bottom w:val="single" w:color="auto" w:sz="12" w:space="0"/>
              <w:right w:val="single" w:color="auto" w:sz="12" w:space="0"/>
            </w:tcBorders>
            <w:vAlign w:val="center"/>
          </w:tcPr>
          <w:p w:rsidRPr="0007563C" w:rsidR="00F76D48" w:rsidP="00F76D48" w:rsidRDefault="00F76D48" w14:paraId="191236CA" w14:textId="77777777">
            <w:pPr>
              <w:spacing w:before="20" w:after="20"/>
              <w:jc w:val="right"/>
            </w:pPr>
            <w:r w:rsidRPr="0007563C">
              <w:t>9,964</w:t>
            </w:r>
          </w:p>
        </w:tc>
        <w:tc>
          <w:tcPr>
            <w:tcW w:w="974" w:type="dxa"/>
            <w:tcBorders>
              <w:top w:val="single" w:color="auto" w:sz="6" w:space="0"/>
              <w:left w:val="single" w:color="auto" w:sz="12" w:space="0"/>
              <w:bottom w:val="single" w:color="auto" w:sz="12" w:space="0"/>
              <w:right w:val="single" w:color="auto" w:sz="6" w:space="0"/>
            </w:tcBorders>
            <w:vAlign w:val="center"/>
          </w:tcPr>
          <w:p w:rsidRPr="0007563C" w:rsidR="00F76D48" w:rsidP="00F76D48" w:rsidRDefault="00F76D48" w14:paraId="6ACC9489" w14:textId="1BB54FCF">
            <w:pPr>
              <w:spacing w:before="20" w:after="20"/>
              <w:jc w:val="right"/>
            </w:pPr>
            <w:r w:rsidRPr="0007563C">
              <w:t>3,</w:t>
            </w:r>
            <w:r w:rsidR="00743568">
              <w:t>306</w:t>
            </w:r>
          </w:p>
        </w:tc>
        <w:tc>
          <w:tcPr>
            <w:tcW w:w="1008" w:type="dxa"/>
            <w:tcBorders>
              <w:top w:val="single" w:color="auto" w:sz="6" w:space="0"/>
              <w:left w:val="single" w:color="auto" w:sz="6" w:space="0"/>
              <w:bottom w:val="single" w:color="auto" w:sz="12" w:space="0"/>
              <w:right w:val="single" w:color="auto" w:sz="6" w:space="0"/>
            </w:tcBorders>
            <w:vAlign w:val="center"/>
          </w:tcPr>
          <w:p w:rsidRPr="0007563C" w:rsidR="00F76D48" w:rsidP="00F76D48" w:rsidRDefault="00F76D48" w14:paraId="456B2B9A" w14:textId="15C385FB">
            <w:pPr>
              <w:spacing w:before="20" w:after="20"/>
              <w:jc w:val="right"/>
            </w:pPr>
            <w:r w:rsidRPr="0007563C">
              <w:t xml:space="preserve">     65.</w:t>
            </w:r>
            <w:r w:rsidR="00743568">
              <w:t>8</w:t>
            </w:r>
          </w:p>
        </w:tc>
        <w:tc>
          <w:tcPr>
            <w:tcW w:w="936" w:type="dxa"/>
            <w:tcBorders>
              <w:top w:val="single" w:color="auto" w:sz="6" w:space="0"/>
              <w:left w:val="single" w:color="auto" w:sz="6" w:space="0"/>
              <w:bottom w:val="single" w:color="auto" w:sz="12" w:space="0"/>
              <w:right w:val="single" w:color="auto" w:sz="6" w:space="0"/>
            </w:tcBorders>
            <w:vAlign w:val="center"/>
          </w:tcPr>
          <w:p w:rsidRPr="0007563C" w:rsidR="00F76D48" w:rsidP="00F76D48" w:rsidRDefault="00F76D48" w14:paraId="3B749913" w14:textId="263856F0">
            <w:pPr>
              <w:spacing w:before="20" w:after="20"/>
              <w:jc w:val="right"/>
            </w:pPr>
            <w:r w:rsidRPr="0007563C">
              <w:t>3,572</w:t>
            </w:r>
          </w:p>
        </w:tc>
        <w:tc>
          <w:tcPr>
            <w:tcW w:w="1003" w:type="dxa"/>
            <w:tcBorders>
              <w:top w:val="single" w:color="auto" w:sz="6" w:space="0"/>
              <w:left w:val="single" w:color="auto" w:sz="6" w:space="0"/>
              <w:bottom w:val="single" w:color="auto" w:sz="12" w:space="0"/>
              <w:right w:val="single" w:color="auto" w:sz="6" w:space="0"/>
            </w:tcBorders>
            <w:vAlign w:val="center"/>
          </w:tcPr>
          <w:p w:rsidRPr="0007563C" w:rsidR="00F76D48" w:rsidP="00F76D48" w:rsidRDefault="00F76D48" w14:paraId="0321377C" w14:textId="7D4D1F70">
            <w:pPr>
              <w:spacing w:before="20" w:after="20"/>
              <w:jc w:val="right"/>
            </w:pPr>
            <w:r w:rsidRPr="0007563C">
              <w:t>72.3</w:t>
            </w:r>
          </w:p>
        </w:tc>
        <w:tc>
          <w:tcPr>
            <w:tcW w:w="936" w:type="dxa"/>
            <w:tcBorders>
              <w:top w:val="single" w:color="auto" w:sz="6" w:space="0"/>
              <w:left w:val="single" w:color="auto" w:sz="6" w:space="0"/>
              <w:bottom w:val="single" w:color="auto" w:sz="12" w:space="0"/>
              <w:right w:val="single" w:color="auto" w:sz="6" w:space="0"/>
            </w:tcBorders>
            <w:vAlign w:val="center"/>
          </w:tcPr>
          <w:p w:rsidRPr="0007563C" w:rsidR="00F76D48" w:rsidP="00F76D48" w:rsidRDefault="00F76D48" w14:paraId="2C5A51C3" w14:textId="08F79BA2">
            <w:pPr>
              <w:spacing w:before="20" w:after="20"/>
              <w:jc w:val="right"/>
            </w:pPr>
            <w:r w:rsidRPr="0007563C">
              <w:t xml:space="preserve">   6,87</w:t>
            </w:r>
            <w:r w:rsidR="00743568">
              <w:t>8</w:t>
            </w:r>
          </w:p>
        </w:tc>
        <w:tc>
          <w:tcPr>
            <w:tcW w:w="1013" w:type="dxa"/>
            <w:tcBorders>
              <w:top w:val="single" w:color="auto" w:sz="6" w:space="0"/>
              <w:left w:val="single" w:color="auto" w:sz="6" w:space="0"/>
              <w:bottom w:val="single" w:color="auto" w:sz="12" w:space="0"/>
              <w:right w:val="single" w:color="auto" w:sz="12" w:space="0"/>
            </w:tcBorders>
            <w:vAlign w:val="center"/>
          </w:tcPr>
          <w:p w:rsidRPr="0007563C" w:rsidR="00F76D48" w:rsidP="00F76D48" w:rsidRDefault="00F76D48" w14:paraId="1FFF64C9" w14:textId="3E86ACAB">
            <w:pPr>
              <w:spacing w:before="20" w:after="20"/>
              <w:jc w:val="right"/>
            </w:pPr>
            <w:r w:rsidRPr="0007563C">
              <w:t xml:space="preserve">     69.0</w:t>
            </w:r>
          </w:p>
        </w:tc>
      </w:tr>
    </w:tbl>
    <w:p w:rsidRPr="0007563C" w:rsidR="00CE4E6C" w:rsidRDefault="00CE4E6C" w14:paraId="1E393C0B" w14:textId="77777777">
      <w:pPr>
        <w:pStyle w:val="BodyText"/>
        <w:rPr>
          <w:sz w:val="22"/>
        </w:rPr>
      </w:pPr>
    </w:p>
    <w:p w:rsidRPr="0007563C" w:rsidR="006D462D" w:rsidP="006D462D" w:rsidRDefault="00CE4E6C" w14:paraId="64A14C9D" w14:textId="6A3A9F36">
      <w:pPr>
        <w:pStyle w:val="BodyText"/>
        <w:rPr>
          <w:sz w:val="22"/>
        </w:rPr>
      </w:pPr>
      <w:r w:rsidRPr="0007563C">
        <w:rPr>
          <w:sz w:val="22"/>
        </w:rPr>
        <w:t xml:space="preserve">Retention rates for the NLSY79 are significantly affected by attrition due to death.  </w:t>
      </w:r>
      <w:r w:rsidRPr="0007563C" w:rsidR="006D462D">
        <w:rPr>
          <w:sz w:val="22"/>
        </w:rPr>
        <w:t xml:space="preserve">Approximately </w:t>
      </w:r>
      <w:r w:rsidRPr="0007563C" w:rsidR="00F76D48">
        <w:rPr>
          <w:sz w:val="22"/>
        </w:rPr>
        <w:t>10.2</w:t>
      </w:r>
      <w:r w:rsidRPr="0007563C" w:rsidR="006D462D">
        <w:rPr>
          <w:sz w:val="22"/>
        </w:rPr>
        <w:t>% of the 9,964 NLSY79 respondents still eligible for interviewing were deceased after the 201</w:t>
      </w:r>
      <w:r w:rsidRPr="0007563C" w:rsidR="00CE551F">
        <w:rPr>
          <w:sz w:val="22"/>
        </w:rPr>
        <w:t>8</w:t>
      </w:r>
      <w:r w:rsidRPr="0007563C" w:rsidR="006D462D">
        <w:rPr>
          <w:sz w:val="22"/>
        </w:rPr>
        <w:t xml:space="preserve"> survey; we are investigating ways to determine whether some respondents we cannot locate may be deceased.  Table 6 provides information about retention (percent of all respondents interviewed) and response (percent of living respondents interviewed) rates for each year of the NLSY79.</w:t>
      </w:r>
    </w:p>
    <w:p w:rsidRPr="0007563C" w:rsidR="00CE4E6C" w:rsidRDefault="00CE4E6C" w14:paraId="5200B688" w14:textId="77777777">
      <w:pPr>
        <w:pStyle w:val="BodyText"/>
        <w:rPr>
          <w:sz w:val="22"/>
        </w:rPr>
      </w:pPr>
    </w:p>
    <w:p w:rsidRPr="0007563C" w:rsidR="00CE4E6C" w:rsidRDefault="00CE4E6C" w14:paraId="006763F7" w14:textId="77777777">
      <w:pPr>
        <w:pStyle w:val="Table"/>
        <w:rPr>
          <w:sz w:val="22"/>
        </w:rPr>
      </w:pPr>
      <w:bookmarkStart w:name="_Toc15901315" w:id="2"/>
      <w:r w:rsidRPr="0007563C">
        <w:rPr>
          <w:sz w:val="22"/>
        </w:rPr>
        <w:lastRenderedPageBreak/>
        <w:t xml:space="preserve">Table </w:t>
      </w:r>
      <w:r w:rsidRPr="0007563C" w:rsidR="004C54B1">
        <w:rPr>
          <w:sz w:val="22"/>
        </w:rPr>
        <w:t>6</w:t>
      </w:r>
      <w:r w:rsidRPr="0007563C">
        <w:rPr>
          <w:sz w:val="22"/>
        </w:rPr>
        <w:t>.  NLSY79 retention and response rates by sample type</w:t>
      </w:r>
    </w:p>
    <w:tbl>
      <w:tblPr>
        <w:tblW w:w="8992" w:type="dxa"/>
        <w:jc w:val="center"/>
        <w:tblLayout w:type="fixed"/>
        <w:tblCellMar>
          <w:left w:w="72" w:type="dxa"/>
          <w:right w:w="72" w:type="dxa"/>
        </w:tblCellMar>
        <w:tblLook w:val="0000" w:firstRow="0" w:lastRow="0" w:firstColumn="0" w:lastColumn="0" w:noHBand="0" w:noVBand="0"/>
      </w:tblPr>
      <w:tblGrid>
        <w:gridCol w:w="986"/>
        <w:gridCol w:w="2001"/>
        <w:gridCol w:w="2002"/>
        <w:gridCol w:w="2001"/>
        <w:gridCol w:w="2002"/>
      </w:tblGrid>
      <w:tr w:rsidRPr="0007563C" w:rsidR="00CE4E6C" w:rsidTr="006D462D" w14:paraId="74BDD2C8" w14:textId="77777777">
        <w:trPr>
          <w:jc w:val="center"/>
        </w:trPr>
        <w:tc>
          <w:tcPr>
            <w:tcW w:w="986" w:type="dxa"/>
            <w:tcBorders>
              <w:top w:val="single" w:color="auto" w:sz="6" w:space="0"/>
              <w:left w:val="single" w:color="auto" w:sz="6" w:space="0"/>
              <w:bottom w:val="single" w:color="auto" w:sz="6" w:space="0"/>
              <w:right w:val="single" w:color="auto" w:sz="6" w:space="0"/>
            </w:tcBorders>
            <w:shd w:val="pct15" w:color="auto" w:fill="auto"/>
            <w:vAlign w:val="center"/>
          </w:tcPr>
          <w:p w:rsidRPr="0007563C" w:rsidR="00CE4E6C" w:rsidRDefault="00CE4E6C" w14:paraId="1972A511" w14:textId="77777777">
            <w:pPr>
              <w:keepNext/>
              <w:spacing w:before="20" w:after="20"/>
              <w:jc w:val="center"/>
            </w:pPr>
            <w:r w:rsidRPr="0007563C">
              <w:t>Year</w:t>
            </w:r>
          </w:p>
        </w:tc>
        <w:tc>
          <w:tcPr>
            <w:tcW w:w="2001" w:type="dxa"/>
            <w:tcBorders>
              <w:top w:val="single" w:color="auto" w:sz="6" w:space="0"/>
              <w:left w:val="single" w:color="auto" w:sz="6" w:space="0"/>
              <w:bottom w:val="single" w:color="auto" w:sz="6" w:space="0"/>
              <w:right w:val="single" w:color="auto" w:sz="6" w:space="0"/>
            </w:tcBorders>
            <w:shd w:val="pct15" w:color="auto" w:fill="auto"/>
            <w:vAlign w:val="center"/>
          </w:tcPr>
          <w:p w:rsidRPr="0007563C" w:rsidR="00CE4E6C" w:rsidRDefault="00CE4E6C" w14:paraId="5E3348B4" w14:textId="77777777">
            <w:pPr>
              <w:keepNext/>
              <w:spacing w:before="20" w:after="20"/>
              <w:ind w:right="115"/>
              <w:jc w:val="center"/>
            </w:pPr>
            <w:r w:rsidRPr="0007563C">
              <w:t>Number Interviewed</w:t>
            </w:r>
          </w:p>
        </w:tc>
        <w:tc>
          <w:tcPr>
            <w:tcW w:w="2002" w:type="dxa"/>
            <w:tcBorders>
              <w:top w:val="single" w:color="auto" w:sz="6" w:space="0"/>
              <w:left w:val="single" w:color="auto" w:sz="6" w:space="0"/>
              <w:bottom w:val="single" w:color="auto" w:sz="6" w:space="0"/>
              <w:right w:val="single" w:color="auto" w:sz="6" w:space="0"/>
            </w:tcBorders>
            <w:shd w:val="pct15" w:color="auto" w:fill="auto"/>
            <w:vAlign w:val="center"/>
          </w:tcPr>
          <w:p w:rsidRPr="0007563C" w:rsidR="00CE4E6C" w:rsidRDefault="00CE4E6C" w14:paraId="70790D31" w14:textId="77777777">
            <w:pPr>
              <w:keepNext/>
              <w:spacing w:before="20" w:after="20"/>
              <w:ind w:right="173"/>
              <w:jc w:val="center"/>
              <w:rPr>
                <w:vertAlign w:val="superscript"/>
              </w:rPr>
            </w:pPr>
            <w:r w:rsidRPr="0007563C">
              <w:t>Retention Rate</w:t>
            </w:r>
            <w:r w:rsidRPr="0007563C">
              <w:rPr>
                <w:vertAlign w:val="superscript"/>
              </w:rPr>
              <w:t>1</w:t>
            </w:r>
          </w:p>
        </w:tc>
        <w:tc>
          <w:tcPr>
            <w:tcW w:w="2001" w:type="dxa"/>
            <w:tcBorders>
              <w:top w:val="single" w:color="auto" w:sz="6" w:space="0"/>
              <w:left w:val="single" w:color="auto" w:sz="6" w:space="0"/>
              <w:bottom w:val="single" w:color="auto" w:sz="6" w:space="0"/>
              <w:right w:val="single" w:color="auto" w:sz="6" w:space="0"/>
            </w:tcBorders>
            <w:shd w:val="pct15" w:color="auto" w:fill="auto"/>
            <w:vAlign w:val="center"/>
          </w:tcPr>
          <w:p w:rsidRPr="0007563C" w:rsidR="00CE4E6C" w:rsidRDefault="00CE4E6C" w14:paraId="6EFC011E" w14:textId="77777777">
            <w:pPr>
              <w:keepNext/>
              <w:spacing w:before="20" w:after="20"/>
              <w:jc w:val="center"/>
            </w:pPr>
            <w:r w:rsidRPr="0007563C">
              <w:t>Number of Deceased Respondents</w:t>
            </w:r>
          </w:p>
        </w:tc>
        <w:tc>
          <w:tcPr>
            <w:tcW w:w="2002" w:type="dxa"/>
            <w:tcBorders>
              <w:top w:val="single" w:color="auto" w:sz="6" w:space="0"/>
              <w:left w:val="single" w:color="auto" w:sz="6" w:space="0"/>
              <w:bottom w:val="single" w:color="auto" w:sz="6" w:space="0"/>
              <w:right w:val="single" w:color="auto" w:sz="6" w:space="0"/>
            </w:tcBorders>
            <w:shd w:val="pct15" w:color="auto" w:fill="auto"/>
            <w:vAlign w:val="center"/>
          </w:tcPr>
          <w:p w:rsidRPr="0007563C" w:rsidR="00CE4E6C" w:rsidRDefault="00CE4E6C" w14:paraId="54C3C087" w14:textId="77777777">
            <w:pPr>
              <w:keepNext/>
              <w:spacing w:before="20" w:after="20"/>
              <w:jc w:val="center"/>
              <w:rPr>
                <w:vertAlign w:val="superscript"/>
              </w:rPr>
            </w:pPr>
            <w:r w:rsidRPr="0007563C">
              <w:t>Response Rate</w:t>
            </w:r>
            <w:r w:rsidRPr="0007563C">
              <w:rPr>
                <w:vertAlign w:val="superscript"/>
              </w:rPr>
              <w:t>1</w:t>
            </w:r>
          </w:p>
        </w:tc>
      </w:tr>
      <w:tr w:rsidRPr="0007563C" w:rsidR="00CE4E6C" w:rsidTr="006D462D" w14:paraId="17BB1CBB"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314C3765" w14:textId="77777777">
            <w:pPr>
              <w:keepNext/>
              <w:spacing w:before="20" w:after="20"/>
              <w:jc w:val="center"/>
            </w:pPr>
            <w:r w:rsidRPr="0007563C">
              <w:t>1979</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53F5F788" w14:textId="77777777">
            <w:pPr>
              <w:keepNext/>
              <w:spacing w:before="20" w:after="20"/>
              <w:jc w:val="center"/>
            </w:pPr>
            <w:r w:rsidRPr="0007563C">
              <w:t>12,686</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1E25EE15" w14:textId="77777777">
            <w:pPr>
              <w:keepNext/>
              <w:spacing w:before="20" w:after="20"/>
              <w:jc w:val="center"/>
            </w:pPr>
            <w:r w:rsidRPr="0007563C">
              <w:t>—</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302B4EA8" w14:textId="77777777">
            <w:pPr>
              <w:keepNext/>
              <w:spacing w:before="20" w:after="20"/>
              <w:jc w:val="center"/>
            </w:pPr>
            <w:r w:rsidRPr="0007563C">
              <w:t>—</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08755143" w14:textId="77777777">
            <w:pPr>
              <w:keepNext/>
              <w:spacing w:before="20" w:after="20"/>
              <w:jc w:val="center"/>
            </w:pPr>
            <w:r w:rsidRPr="0007563C">
              <w:t>—</w:t>
            </w:r>
          </w:p>
        </w:tc>
      </w:tr>
      <w:tr w:rsidRPr="0007563C" w:rsidR="00CE4E6C" w:rsidTr="006D462D" w14:paraId="2C0B54A0"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0049FDEA" w14:textId="77777777">
            <w:pPr>
              <w:keepNext/>
              <w:spacing w:before="20" w:after="20"/>
              <w:jc w:val="center"/>
            </w:pPr>
            <w:r w:rsidRPr="0007563C">
              <w:t>1980</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319EB487" w14:textId="77777777">
            <w:pPr>
              <w:keepNext/>
              <w:spacing w:before="20" w:after="20"/>
              <w:jc w:val="center"/>
            </w:pPr>
            <w:r w:rsidRPr="0007563C">
              <w:t>12,141</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30807391" w14:textId="77777777">
            <w:pPr>
              <w:keepNext/>
              <w:spacing w:before="20" w:after="20"/>
              <w:jc w:val="center"/>
            </w:pPr>
            <w:r w:rsidRPr="0007563C">
              <w:t>95.7</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4ADE3F57" w14:textId="77777777">
            <w:pPr>
              <w:keepNext/>
              <w:spacing w:before="20" w:after="20"/>
              <w:jc w:val="center"/>
            </w:pPr>
            <w:r w:rsidRPr="0007563C">
              <w:t>9</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4B30D940" w14:textId="77777777">
            <w:pPr>
              <w:keepNext/>
              <w:spacing w:before="20" w:after="20"/>
              <w:jc w:val="center"/>
            </w:pPr>
            <w:r w:rsidRPr="0007563C">
              <w:t>95.8</w:t>
            </w:r>
          </w:p>
        </w:tc>
      </w:tr>
      <w:tr w:rsidRPr="0007563C" w:rsidR="00CE4E6C" w:rsidTr="006D462D" w14:paraId="258C2E75"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49BA58F0" w14:textId="77777777">
            <w:pPr>
              <w:keepNext/>
              <w:spacing w:before="20" w:after="20"/>
              <w:jc w:val="center"/>
            </w:pPr>
            <w:r w:rsidRPr="0007563C">
              <w:t>1981</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0CF2CEB9" w14:textId="77777777">
            <w:pPr>
              <w:keepNext/>
              <w:spacing w:before="20" w:after="20"/>
              <w:jc w:val="center"/>
            </w:pPr>
            <w:r w:rsidRPr="0007563C">
              <w:t>12,195</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59F15963" w14:textId="77777777">
            <w:pPr>
              <w:keepNext/>
              <w:spacing w:before="20" w:after="20"/>
              <w:jc w:val="center"/>
            </w:pPr>
            <w:r w:rsidRPr="0007563C">
              <w:t>96.1</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1AFEFE10" w14:textId="77777777">
            <w:pPr>
              <w:keepNext/>
              <w:spacing w:before="20" w:after="20"/>
              <w:jc w:val="center"/>
            </w:pPr>
            <w:r w:rsidRPr="0007563C">
              <w:t>29</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43657026" w14:textId="77777777">
            <w:pPr>
              <w:keepNext/>
              <w:spacing w:before="20" w:after="20"/>
              <w:jc w:val="center"/>
            </w:pPr>
            <w:r w:rsidRPr="0007563C">
              <w:t>96.3</w:t>
            </w:r>
          </w:p>
        </w:tc>
      </w:tr>
      <w:tr w:rsidRPr="0007563C" w:rsidR="00CE4E6C" w:rsidTr="006D462D" w14:paraId="216FD02D"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0DDF1161" w14:textId="77777777">
            <w:pPr>
              <w:keepNext/>
              <w:spacing w:before="20" w:after="20"/>
              <w:jc w:val="center"/>
            </w:pPr>
            <w:r w:rsidRPr="0007563C">
              <w:t>1982</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41AA65AB" w14:textId="77777777">
            <w:pPr>
              <w:keepNext/>
              <w:spacing w:before="20" w:after="20"/>
              <w:jc w:val="center"/>
            </w:pPr>
            <w:r w:rsidRPr="0007563C">
              <w:t>12,123</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410B2A23" w14:textId="77777777">
            <w:pPr>
              <w:keepNext/>
              <w:spacing w:before="20" w:after="20"/>
              <w:jc w:val="center"/>
            </w:pPr>
            <w:r w:rsidRPr="0007563C">
              <w:t>95.6</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645C5276" w14:textId="77777777">
            <w:pPr>
              <w:keepNext/>
              <w:spacing w:before="20" w:after="20"/>
              <w:jc w:val="center"/>
            </w:pPr>
            <w:r w:rsidRPr="0007563C">
              <w:t>44</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44D4593A" w14:textId="77777777">
            <w:pPr>
              <w:keepNext/>
              <w:spacing w:before="20" w:after="20"/>
              <w:jc w:val="center"/>
            </w:pPr>
            <w:r w:rsidRPr="0007563C">
              <w:t>95.9</w:t>
            </w:r>
          </w:p>
        </w:tc>
      </w:tr>
      <w:tr w:rsidRPr="0007563C" w:rsidR="00CE4E6C" w:rsidTr="006D462D" w14:paraId="5EB49590"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59921A79" w14:textId="77777777">
            <w:pPr>
              <w:keepNext/>
              <w:spacing w:before="20" w:after="20"/>
              <w:jc w:val="center"/>
            </w:pPr>
            <w:r w:rsidRPr="0007563C">
              <w:t>1983</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550E82C6" w14:textId="77777777">
            <w:pPr>
              <w:keepNext/>
              <w:spacing w:before="20" w:after="20"/>
              <w:jc w:val="center"/>
            </w:pPr>
            <w:r w:rsidRPr="0007563C">
              <w:t>12,221</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28BBD892" w14:textId="77777777">
            <w:pPr>
              <w:keepNext/>
              <w:spacing w:before="20" w:after="20"/>
              <w:jc w:val="center"/>
            </w:pPr>
            <w:r w:rsidRPr="0007563C">
              <w:t>96.3</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49702F6E" w14:textId="77777777">
            <w:pPr>
              <w:keepNext/>
              <w:spacing w:before="20" w:after="20"/>
              <w:jc w:val="center"/>
            </w:pPr>
            <w:r w:rsidRPr="0007563C">
              <w:t>57</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6FD8795B" w14:textId="77777777">
            <w:pPr>
              <w:keepNext/>
              <w:spacing w:before="20" w:after="20"/>
              <w:jc w:val="center"/>
            </w:pPr>
            <w:r w:rsidRPr="0007563C">
              <w:t>96.8</w:t>
            </w:r>
          </w:p>
        </w:tc>
      </w:tr>
      <w:tr w:rsidRPr="0007563C" w:rsidR="00CE4E6C" w:rsidTr="006D462D" w14:paraId="0DBCFE07"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50DA98BE" w14:textId="77777777">
            <w:pPr>
              <w:keepNext/>
              <w:spacing w:before="20" w:after="20"/>
              <w:jc w:val="center"/>
            </w:pPr>
            <w:r w:rsidRPr="0007563C">
              <w:t>1984</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6D228C49" w14:textId="77777777">
            <w:pPr>
              <w:keepNext/>
              <w:spacing w:before="20" w:after="20"/>
              <w:jc w:val="center"/>
            </w:pPr>
            <w:r w:rsidRPr="0007563C">
              <w:t>12,069</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616CAF80" w14:textId="77777777">
            <w:pPr>
              <w:keepNext/>
              <w:spacing w:before="20" w:after="20"/>
              <w:jc w:val="center"/>
            </w:pPr>
            <w:r w:rsidRPr="0007563C">
              <w:t>95.1</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21959965" w14:textId="77777777">
            <w:pPr>
              <w:keepNext/>
              <w:spacing w:before="20" w:after="20"/>
              <w:jc w:val="center"/>
            </w:pPr>
            <w:r w:rsidRPr="0007563C">
              <w:t>67</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032A6DA5" w14:textId="77777777">
            <w:pPr>
              <w:keepNext/>
              <w:spacing w:before="20" w:after="20"/>
              <w:jc w:val="center"/>
            </w:pPr>
            <w:r w:rsidRPr="0007563C">
              <w:t>95.6</w:t>
            </w:r>
          </w:p>
        </w:tc>
      </w:tr>
      <w:tr w:rsidRPr="0007563C" w:rsidR="00CE4E6C" w:rsidTr="006D462D" w14:paraId="4BE4CDAD"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266A1708" w14:textId="3C4F3D10">
            <w:pPr>
              <w:keepNext/>
              <w:spacing w:before="20" w:after="20"/>
              <w:jc w:val="center"/>
            </w:pPr>
            <w:r w:rsidRPr="0007563C">
              <w:t>1985</w:t>
            </w:r>
            <w:r w:rsidRPr="0007563C" w:rsidR="001B41E9">
              <w:rPr>
                <w:vertAlign w:val="superscript"/>
              </w:rPr>
              <w:t>2</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4F025922" w14:textId="0764B3DB">
            <w:pPr>
              <w:keepNext/>
              <w:spacing w:before="20" w:after="20"/>
              <w:jc w:val="center"/>
            </w:pPr>
            <w:r w:rsidRPr="0007563C">
              <w:t>10,894</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28225547" w14:textId="77777777">
            <w:pPr>
              <w:keepNext/>
              <w:spacing w:before="20" w:after="20"/>
              <w:jc w:val="center"/>
            </w:pPr>
            <w:r w:rsidRPr="0007563C">
              <w:t>93.9</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482E5C29" w14:textId="77777777">
            <w:pPr>
              <w:keepNext/>
              <w:spacing w:before="20" w:after="20"/>
              <w:jc w:val="center"/>
            </w:pPr>
            <w:r w:rsidRPr="0007563C">
              <w:t>79</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359262CB" w14:textId="77777777">
            <w:pPr>
              <w:keepNext/>
              <w:spacing w:before="20" w:after="20"/>
              <w:jc w:val="center"/>
            </w:pPr>
            <w:r w:rsidRPr="0007563C">
              <w:t>94.5</w:t>
            </w:r>
          </w:p>
        </w:tc>
      </w:tr>
      <w:tr w:rsidRPr="0007563C" w:rsidR="00CE4E6C" w:rsidTr="006D462D" w14:paraId="536558FA"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23B34E13" w14:textId="77777777">
            <w:pPr>
              <w:keepNext/>
              <w:spacing w:before="20" w:after="20"/>
              <w:jc w:val="center"/>
            </w:pPr>
            <w:r w:rsidRPr="0007563C">
              <w:t>1986</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30C6FBC8" w14:textId="77777777">
            <w:pPr>
              <w:keepNext/>
              <w:spacing w:before="20" w:after="20"/>
              <w:jc w:val="center"/>
            </w:pPr>
            <w:r w:rsidRPr="0007563C">
              <w:t>10,655</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5CB5E911" w14:textId="77777777">
            <w:pPr>
              <w:keepNext/>
              <w:spacing w:before="20" w:after="20"/>
              <w:jc w:val="center"/>
            </w:pPr>
            <w:r w:rsidRPr="0007563C">
              <w:t>91.8</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49BB20F8" w14:textId="77777777">
            <w:pPr>
              <w:keepNext/>
              <w:spacing w:before="20" w:after="20"/>
              <w:jc w:val="center"/>
            </w:pPr>
            <w:r w:rsidRPr="0007563C">
              <w:t>95</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2AECA43C" w14:textId="77777777">
            <w:pPr>
              <w:keepNext/>
              <w:spacing w:before="20" w:after="20"/>
              <w:jc w:val="center"/>
            </w:pPr>
            <w:r w:rsidRPr="0007563C">
              <w:t>92.6</w:t>
            </w:r>
          </w:p>
        </w:tc>
      </w:tr>
      <w:tr w:rsidRPr="0007563C" w:rsidR="00CE4E6C" w:rsidTr="006D462D" w14:paraId="3EF57E98"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72135E16" w14:textId="77777777">
            <w:pPr>
              <w:keepNext/>
              <w:spacing w:before="20" w:after="20"/>
              <w:jc w:val="center"/>
            </w:pPr>
            <w:r w:rsidRPr="0007563C">
              <w:t>1987</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6C0D6814" w14:textId="77777777">
            <w:pPr>
              <w:keepNext/>
              <w:spacing w:before="20" w:after="20"/>
              <w:jc w:val="center"/>
            </w:pPr>
            <w:r w:rsidRPr="0007563C">
              <w:t>10,485</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595EAB4B" w14:textId="77777777">
            <w:pPr>
              <w:keepNext/>
              <w:spacing w:before="20" w:after="20"/>
              <w:jc w:val="center"/>
            </w:pPr>
            <w:r w:rsidRPr="0007563C">
              <w:t>90.3</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1FDE48F8" w14:textId="77777777">
            <w:pPr>
              <w:keepNext/>
              <w:spacing w:before="20" w:after="20"/>
              <w:jc w:val="center"/>
            </w:pPr>
            <w:r w:rsidRPr="0007563C">
              <w:t>110</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2DA21B13" w14:textId="77777777">
            <w:pPr>
              <w:keepNext/>
              <w:spacing w:before="20" w:after="20"/>
              <w:jc w:val="center"/>
            </w:pPr>
            <w:r w:rsidRPr="0007563C">
              <w:t>91.2</w:t>
            </w:r>
          </w:p>
        </w:tc>
      </w:tr>
      <w:tr w:rsidRPr="0007563C" w:rsidR="00CE4E6C" w:rsidTr="006D462D" w14:paraId="5B184768"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6B066D20" w14:textId="77777777">
            <w:pPr>
              <w:keepNext/>
              <w:spacing w:before="20" w:after="20"/>
              <w:jc w:val="center"/>
            </w:pPr>
            <w:r w:rsidRPr="0007563C">
              <w:t>1988</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709551A5" w14:textId="77777777">
            <w:pPr>
              <w:keepNext/>
              <w:spacing w:before="20" w:after="20"/>
              <w:jc w:val="center"/>
            </w:pPr>
            <w:r w:rsidRPr="0007563C">
              <w:t>10,465</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2B6A0BDF" w14:textId="77777777">
            <w:pPr>
              <w:keepNext/>
              <w:spacing w:before="20" w:after="20"/>
              <w:jc w:val="center"/>
            </w:pPr>
            <w:r w:rsidRPr="0007563C">
              <w:t>90.2</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1E563744" w14:textId="77777777">
            <w:pPr>
              <w:keepNext/>
              <w:spacing w:before="20" w:after="20"/>
              <w:jc w:val="center"/>
            </w:pPr>
            <w:r w:rsidRPr="0007563C">
              <w:t>127</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6C92E997" w14:textId="77777777">
            <w:pPr>
              <w:keepNext/>
              <w:spacing w:before="20" w:after="20"/>
              <w:jc w:val="center"/>
            </w:pPr>
            <w:r w:rsidRPr="0007563C">
              <w:t>91.2</w:t>
            </w:r>
          </w:p>
        </w:tc>
      </w:tr>
      <w:tr w:rsidRPr="0007563C" w:rsidR="00CE4E6C" w:rsidTr="006D462D" w14:paraId="13C4D57A"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4D783CDE" w14:textId="77777777">
            <w:pPr>
              <w:keepNext/>
              <w:spacing w:before="20" w:after="20"/>
              <w:jc w:val="center"/>
            </w:pPr>
            <w:r w:rsidRPr="0007563C">
              <w:t>1989</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18C3F38E" w14:textId="77777777">
            <w:pPr>
              <w:keepNext/>
              <w:spacing w:before="20" w:after="20"/>
              <w:jc w:val="center"/>
            </w:pPr>
            <w:r w:rsidRPr="0007563C">
              <w:t>10,605</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30635F6F" w14:textId="77777777">
            <w:pPr>
              <w:keepNext/>
              <w:spacing w:before="20" w:after="20"/>
              <w:jc w:val="center"/>
            </w:pPr>
            <w:r w:rsidRPr="0007563C">
              <w:t>91.4</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6F50FEC9" w14:textId="77777777">
            <w:pPr>
              <w:keepNext/>
              <w:spacing w:before="20" w:after="20"/>
              <w:jc w:val="center"/>
            </w:pPr>
            <w:r w:rsidRPr="0007563C">
              <w:t>141</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114B6094" w14:textId="77777777">
            <w:pPr>
              <w:keepNext/>
              <w:spacing w:before="20" w:after="20"/>
              <w:jc w:val="center"/>
            </w:pPr>
            <w:r w:rsidRPr="0007563C">
              <w:t>92.5</w:t>
            </w:r>
          </w:p>
        </w:tc>
      </w:tr>
      <w:tr w:rsidRPr="0007563C" w:rsidR="00CE4E6C" w:rsidTr="006D462D" w14:paraId="7C3A3A46"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013E5648" w14:textId="77777777">
            <w:pPr>
              <w:keepNext/>
              <w:spacing w:before="20" w:after="20"/>
              <w:jc w:val="center"/>
            </w:pPr>
            <w:r w:rsidRPr="0007563C">
              <w:t>1990</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4F80BB08" w14:textId="77777777">
            <w:pPr>
              <w:keepNext/>
              <w:spacing w:before="20" w:after="20"/>
              <w:jc w:val="center"/>
            </w:pPr>
            <w:r w:rsidRPr="0007563C">
              <w:t>10,436</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18940890" w14:textId="77777777">
            <w:pPr>
              <w:keepNext/>
              <w:spacing w:before="20" w:after="20"/>
              <w:jc w:val="center"/>
            </w:pPr>
            <w:r w:rsidRPr="0007563C">
              <w:t>89.9</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02193569" w14:textId="77777777">
            <w:pPr>
              <w:keepNext/>
              <w:spacing w:before="20" w:after="20"/>
              <w:jc w:val="center"/>
            </w:pPr>
            <w:r w:rsidRPr="0007563C">
              <w:t>152</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1C22C05C" w14:textId="77777777">
            <w:pPr>
              <w:keepNext/>
              <w:spacing w:before="20" w:after="20"/>
              <w:jc w:val="center"/>
            </w:pPr>
            <w:r w:rsidRPr="0007563C">
              <w:t>91.1</w:t>
            </w:r>
          </w:p>
        </w:tc>
      </w:tr>
      <w:tr w:rsidRPr="0007563C" w:rsidR="00CE4E6C" w:rsidTr="006D462D" w14:paraId="16898052"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60DA90C1" w14:textId="2FB9D4BE">
            <w:pPr>
              <w:keepNext/>
              <w:spacing w:before="20" w:after="20"/>
              <w:jc w:val="center"/>
            </w:pPr>
            <w:r w:rsidRPr="0007563C">
              <w:t>1991</w:t>
            </w:r>
            <w:r w:rsidRPr="0007563C" w:rsidR="001B41E9">
              <w:rPr>
                <w:vertAlign w:val="superscript"/>
              </w:rPr>
              <w:t>3</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3BF029BC" w14:textId="3D54989F">
            <w:pPr>
              <w:keepNext/>
              <w:spacing w:before="20" w:after="20"/>
              <w:jc w:val="center"/>
            </w:pPr>
            <w:r w:rsidRPr="0007563C">
              <w:t>9,018</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077DE12D" w14:textId="77777777">
            <w:pPr>
              <w:keepNext/>
              <w:spacing w:before="20" w:after="20"/>
              <w:jc w:val="center"/>
            </w:pPr>
            <w:r w:rsidRPr="0007563C">
              <w:t>90.5</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03342097" w14:textId="6669135F">
            <w:pPr>
              <w:keepNext/>
              <w:spacing w:before="20" w:after="20"/>
              <w:jc w:val="center"/>
            </w:pPr>
            <w:r w:rsidRPr="0007563C">
              <w:t>14</w:t>
            </w:r>
            <w:r w:rsidRPr="0007563C" w:rsidR="00BE146E">
              <w:t>4</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01D2FEE6" w14:textId="77777777">
            <w:pPr>
              <w:keepNext/>
              <w:spacing w:before="20" w:after="20"/>
              <w:jc w:val="center"/>
            </w:pPr>
            <w:r w:rsidRPr="0007563C">
              <w:t>91.8</w:t>
            </w:r>
          </w:p>
        </w:tc>
      </w:tr>
      <w:tr w:rsidRPr="0007563C" w:rsidR="00CE4E6C" w:rsidTr="006D462D" w14:paraId="4679830B"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340C8E32" w14:textId="77777777">
            <w:pPr>
              <w:keepNext/>
              <w:spacing w:before="20" w:after="20"/>
              <w:jc w:val="center"/>
            </w:pPr>
            <w:r w:rsidRPr="0007563C">
              <w:t>1992</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60B7E029" w14:textId="77777777">
            <w:pPr>
              <w:keepNext/>
              <w:spacing w:before="20" w:after="20"/>
              <w:jc w:val="center"/>
            </w:pPr>
            <w:r w:rsidRPr="0007563C">
              <w:t>9,016</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091F5DEA" w14:textId="77777777">
            <w:pPr>
              <w:keepNext/>
              <w:spacing w:before="20" w:after="20"/>
              <w:jc w:val="center"/>
            </w:pPr>
            <w:r w:rsidRPr="0007563C">
              <w:t>90.5</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13628565" w14:textId="77777777">
            <w:pPr>
              <w:keepNext/>
              <w:spacing w:before="20" w:after="20"/>
              <w:jc w:val="center"/>
            </w:pPr>
            <w:r w:rsidRPr="0007563C">
              <w:t>156</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45A42DB0" w14:textId="77777777">
            <w:pPr>
              <w:keepNext/>
              <w:spacing w:before="20" w:after="20"/>
              <w:jc w:val="center"/>
            </w:pPr>
            <w:r w:rsidRPr="0007563C">
              <w:t>91.9</w:t>
            </w:r>
          </w:p>
        </w:tc>
      </w:tr>
      <w:tr w:rsidRPr="0007563C" w:rsidR="00CE4E6C" w:rsidTr="006D462D" w14:paraId="33516D3F"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3EA50920" w14:textId="77777777">
            <w:pPr>
              <w:keepNext/>
              <w:spacing w:before="20" w:after="20"/>
              <w:jc w:val="center"/>
            </w:pPr>
            <w:r w:rsidRPr="0007563C">
              <w:t>1993</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5C5BD914" w14:textId="77777777">
            <w:pPr>
              <w:keepNext/>
              <w:spacing w:before="20" w:after="20"/>
              <w:jc w:val="center"/>
            </w:pPr>
            <w:r w:rsidRPr="0007563C">
              <w:t>9,011</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4AA3C6E8" w14:textId="77777777">
            <w:pPr>
              <w:keepNext/>
              <w:spacing w:before="20" w:after="20"/>
              <w:jc w:val="center"/>
            </w:pPr>
            <w:r w:rsidRPr="0007563C">
              <w:t>90.4</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081288AD" w14:textId="77777777">
            <w:pPr>
              <w:keepNext/>
              <w:spacing w:before="20" w:after="20"/>
              <w:jc w:val="center"/>
            </w:pPr>
            <w:r w:rsidRPr="0007563C">
              <w:t>177</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4A1218E2" w14:textId="77777777">
            <w:pPr>
              <w:keepNext/>
              <w:spacing w:before="20" w:after="20"/>
              <w:jc w:val="center"/>
            </w:pPr>
            <w:r w:rsidRPr="0007563C">
              <w:t>92.1</w:t>
            </w:r>
          </w:p>
        </w:tc>
      </w:tr>
      <w:tr w:rsidRPr="0007563C" w:rsidR="00CE4E6C" w:rsidTr="006D462D" w14:paraId="3F04C138"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55D8C6E1" w14:textId="77777777">
            <w:pPr>
              <w:keepNext/>
              <w:spacing w:before="20" w:after="20"/>
              <w:jc w:val="center"/>
            </w:pPr>
            <w:r w:rsidRPr="0007563C">
              <w:t>1994</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78527A08" w14:textId="77777777">
            <w:pPr>
              <w:keepNext/>
              <w:spacing w:before="20" w:after="20"/>
              <w:jc w:val="center"/>
            </w:pPr>
            <w:r w:rsidRPr="0007563C">
              <w:t>8,891</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0F206C03" w14:textId="77777777">
            <w:pPr>
              <w:keepNext/>
              <w:spacing w:before="20" w:after="20"/>
              <w:jc w:val="center"/>
            </w:pPr>
            <w:r w:rsidRPr="0007563C">
              <w:t>89.2</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69DC602A" w14:textId="77777777">
            <w:pPr>
              <w:keepNext/>
              <w:spacing w:before="20" w:after="20"/>
              <w:jc w:val="center"/>
            </w:pPr>
            <w:r w:rsidRPr="0007563C">
              <w:t>204</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46622A7C" w14:textId="77777777">
            <w:pPr>
              <w:keepNext/>
              <w:spacing w:before="20" w:after="20"/>
              <w:jc w:val="center"/>
            </w:pPr>
            <w:r w:rsidRPr="0007563C">
              <w:t>91.1</w:t>
            </w:r>
          </w:p>
        </w:tc>
      </w:tr>
      <w:tr w:rsidRPr="0007563C" w:rsidR="00CE4E6C" w:rsidTr="006D462D" w14:paraId="3C9E4008"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347569F2" w14:textId="77777777">
            <w:pPr>
              <w:keepNext/>
              <w:spacing w:before="20" w:after="20"/>
              <w:jc w:val="center"/>
            </w:pPr>
            <w:r w:rsidRPr="0007563C">
              <w:t>1996</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176E3246" w14:textId="77777777">
            <w:pPr>
              <w:keepNext/>
              <w:spacing w:before="20" w:after="20"/>
              <w:jc w:val="center"/>
            </w:pPr>
            <w:r w:rsidRPr="0007563C">
              <w:t>8,636</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798B543C" w14:textId="77777777">
            <w:pPr>
              <w:keepNext/>
              <w:spacing w:before="20" w:after="20"/>
              <w:jc w:val="center"/>
            </w:pPr>
            <w:r w:rsidRPr="0007563C">
              <w:t>86.7</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712B7376" w14:textId="77777777">
            <w:pPr>
              <w:keepNext/>
              <w:spacing w:before="20" w:after="20"/>
              <w:jc w:val="center"/>
            </w:pPr>
            <w:r w:rsidRPr="0007563C">
              <w:t>243</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2AF964D6" w14:textId="77777777">
            <w:pPr>
              <w:keepNext/>
              <w:spacing w:before="20" w:after="20"/>
              <w:jc w:val="center"/>
            </w:pPr>
            <w:r w:rsidRPr="0007563C">
              <w:t>88.8</w:t>
            </w:r>
          </w:p>
        </w:tc>
      </w:tr>
      <w:tr w:rsidRPr="0007563C" w:rsidR="00CE4E6C" w:rsidTr="006D462D" w14:paraId="51D5CEB9"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1E0B4807" w14:textId="77777777">
            <w:pPr>
              <w:keepNext/>
              <w:spacing w:before="20" w:after="20"/>
              <w:jc w:val="center"/>
            </w:pPr>
            <w:r w:rsidRPr="0007563C">
              <w:t>1998</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31D6F535" w14:textId="77777777">
            <w:pPr>
              <w:keepNext/>
              <w:spacing w:before="20" w:after="20"/>
              <w:jc w:val="center"/>
            </w:pPr>
            <w:r w:rsidRPr="0007563C">
              <w:t>8,399</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1E89C2BB" w14:textId="77777777">
            <w:pPr>
              <w:keepNext/>
              <w:spacing w:before="20" w:after="20"/>
              <w:jc w:val="center"/>
            </w:pPr>
            <w:r w:rsidRPr="0007563C">
              <w:t>84.3</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2600368F" w14:textId="77777777">
            <w:pPr>
              <w:keepNext/>
              <w:spacing w:before="20" w:after="20"/>
              <w:jc w:val="center"/>
            </w:pPr>
            <w:r w:rsidRPr="0007563C">
              <w:t>275</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7139CF62" w14:textId="77777777">
            <w:pPr>
              <w:keepNext/>
              <w:spacing w:before="20" w:after="20"/>
              <w:jc w:val="center"/>
            </w:pPr>
            <w:r w:rsidRPr="0007563C">
              <w:t>86.7</w:t>
            </w:r>
          </w:p>
        </w:tc>
      </w:tr>
      <w:tr w:rsidRPr="0007563C" w:rsidR="00CE4E6C" w:rsidTr="006D462D" w14:paraId="5DB0A7E0"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12686D3F" w14:textId="77777777">
            <w:pPr>
              <w:keepNext/>
              <w:spacing w:before="20" w:after="20"/>
              <w:jc w:val="center"/>
            </w:pPr>
            <w:r w:rsidRPr="0007563C">
              <w:t>2000</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4B33BBCA" w14:textId="77777777">
            <w:pPr>
              <w:keepNext/>
              <w:spacing w:before="20" w:after="20"/>
              <w:jc w:val="center"/>
            </w:pPr>
            <w:r w:rsidRPr="0007563C">
              <w:t>8,033</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1AB80D2D" w14:textId="77777777">
            <w:pPr>
              <w:keepNext/>
              <w:spacing w:before="20" w:after="20"/>
              <w:jc w:val="center"/>
            </w:pPr>
            <w:r w:rsidRPr="0007563C">
              <w:t>80.6</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21DE3431" w14:textId="77777777">
            <w:pPr>
              <w:keepNext/>
              <w:spacing w:before="20" w:after="20"/>
              <w:jc w:val="center"/>
            </w:pPr>
            <w:r w:rsidRPr="0007563C">
              <w:t>313</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64850228" w14:textId="77777777">
            <w:pPr>
              <w:keepNext/>
              <w:spacing w:before="20" w:after="20"/>
              <w:jc w:val="center"/>
            </w:pPr>
            <w:r w:rsidRPr="0007563C">
              <w:t>83.2</w:t>
            </w:r>
          </w:p>
        </w:tc>
      </w:tr>
      <w:tr w:rsidRPr="0007563C" w:rsidR="00CE4E6C" w:rsidTr="006D462D" w14:paraId="72E359E4"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5D251311" w14:textId="77777777">
            <w:pPr>
              <w:keepNext/>
              <w:spacing w:before="20" w:after="20"/>
              <w:jc w:val="center"/>
            </w:pPr>
            <w:r w:rsidRPr="0007563C">
              <w:t>2002</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72595315" w14:textId="77777777">
            <w:pPr>
              <w:spacing w:before="20" w:after="20"/>
              <w:jc w:val="center"/>
            </w:pPr>
            <w:r w:rsidRPr="0007563C">
              <w:t>7,72</w:t>
            </w:r>
            <w:r w:rsidRPr="0007563C" w:rsidR="003E1E0E">
              <w:t>4</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67D539A6" w14:textId="77777777">
            <w:pPr>
              <w:spacing w:before="20" w:after="20"/>
              <w:jc w:val="center"/>
            </w:pPr>
            <w:r w:rsidRPr="0007563C">
              <w:t>77.5</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7A117A3B" w14:textId="68190CA2">
            <w:pPr>
              <w:keepNext/>
              <w:spacing w:before="20" w:after="20"/>
              <w:jc w:val="center"/>
            </w:pPr>
            <w:r w:rsidRPr="0007563C">
              <w:t>3</w:t>
            </w:r>
            <w:r w:rsidRPr="0007563C" w:rsidR="00BE146E">
              <w:t>46</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CE4E6C" w:rsidRDefault="00CE4E6C" w14:paraId="0B8B1CFA" w14:textId="77777777">
            <w:pPr>
              <w:keepNext/>
              <w:spacing w:before="20" w:after="20"/>
              <w:jc w:val="center"/>
            </w:pPr>
            <w:r w:rsidRPr="0007563C">
              <w:t>80.3</w:t>
            </w:r>
          </w:p>
        </w:tc>
      </w:tr>
      <w:tr w:rsidRPr="0007563C" w:rsidR="001C79F2" w:rsidTr="006D462D" w14:paraId="7D559F78"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07563C" w:rsidR="001C79F2" w:rsidRDefault="001C79F2" w14:paraId="16FC6D14" w14:textId="77777777">
            <w:pPr>
              <w:keepNext/>
              <w:spacing w:before="20" w:after="20"/>
              <w:jc w:val="center"/>
            </w:pPr>
            <w:r w:rsidRPr="0007563C">
              <w:t>2004</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1C79F2" w:rsidRDefault="003E1E0E" w14:paraId="6CF14572" w14:textId="77777777">
            <w:pPr>
              <w:spacing w:before="20" w:after="20"/>
              <w:jc w:val="center"/>
            </w:pPr>
            <w:r w:rsidRPr="0007563C">
              <w:t>7,66</w:t>
            </w:r>
            <w:r w:rsidRPr="0007563C" w:rsidR="007E7F2B">
              <w:t>1</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1C79F2" w:rsidRDefault="003E1E0E" w14:paraId="7F02148E" w14:textId="77777777">
            <w:pPr>
              <w:spacing w:before="20" w:after="20"/>
              <w:jc w:val="center"/>
            </w:pPr>
            <w:r w:rsidRPr="0007563C">
              <w:t>76.9</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1C79F2" w:rsidP="003E1E0E" w:rsidRDefault="007E7F2B" w14:paraId="0DDB8C64" w14:textId="77777777">
            <w:pPr>
              <w:pStyle w:val="Normal11pt"/>
              <w:jc w:val="center"/>
              <w:rPr>
                <w:sz w:val="20"/>
              </w:rPr>
            </w:pPr>
            <w:r w:rsidRPr="0007563C">
              <w:rPr>
                <w:sz w:val="20"/>
              </w:rPr>
              <w:t>399</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1C79F2" w:rsidRDefault="003E1E0E" w14:paraId="3AA59518" w14:textId="77777777">
            <w:pPr>
              <w:keepNext/>
              <w:spacing w:before="20" w:after="20"/>
              <w:jc w:val="center"/>
              <w:rPr>
                <w:vertAlign w:val="superscript"/>
              </w:rPr>
            </w:pPr>
            <w:r w:rsidRPr="0007563C">
              <w:t>80.</w:t>
            </w:r>
            <w:r w:rsidRPr="0007563C" w:rsidR="007E7F2B">
              <w:t>1</w:t>
            </w:r>
          </w:p>
        </w:tc>
      </w:tr>
      <w:tr w:rsidRPr="0007563C" w:rsidR="001E204E" w:rsidTr="006D462D" w14:paraId="06E1D124"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07563C" w:rsidR="001E204E" w:rsidRDefault="001E204E" w14:paraId="58D3B20F" w14:textId="77777777">
            <w:pPr>
              <w:keepNext/>
              <w:spacing w:before="20" w:after="20"/>
              <w:jc w:val="center"/>
            </w:pPr>
            <w:r w:rsidRPr="0007563C">
              <w:t>2006</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1E204E" w:rsidRDefault="00D85948" w14:paraId="4C62BFD7" w14:textId="77777777">
            <w:pPr>
              <w:spacing w:before="20" w:after="20"/>
              <w:jc w:val="center"/>
            </w:pPr>
            <w:r w:rsidRPr="0007563C">
              <w:t>7</w:t>
            </w:r>
            <w:r w:rsidRPr="0007563C" w:rsidR="00694044">
              <w:t>,</w:t>
            </w:r>
            <w:r w:rsidRPr="0007563C">
              <w:t>654</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1E204E" w:rsidRDefault="00D85948" w14:paraId="03668582" w14:textId="77777777">
            <w:pPr>
              <w:spacing w:before="20" w:after="20"/>
              <w:jc w:val="center"/>
            </w:pPr>
            <w:r w:rsidRPr="0007563C">
              <w:t>76.8</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1E204E" w:rsidP="003E1E0E" w:rsidRDefault="00D85948" w14:paraId="0F1C7D02" w14:textId="77777777">
            <w:pPr>
              <w:pStyle w:val="Normal11pt"/>
              <w:jc w:val="center"/>
              <w:rPr>
                <w:sz w:val="20"/>
              </w:rPr>
            </w:pPr>
            <w:r w:rsidRPr="0007563C">
              <w:rPr>
                <w:sz w:val="20"/>
              </w:rPr>
              <w:t>4</w:t>
            </w:r>
            <w:r w:rsidRPr="0007563C" w:rsidR="00231C89">
              <w:rPr>
                <w:sz w:val="20"/>
              </w:rPr>
              <w:t>56</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1E204E" w:rsidRDefault="00D85948" w14:paraId="52F472B8" w14:textId="77777777">
            <w:pPr>
              <w:keepNext/>
              <w:spacing w:before="20" w:after="20"/>
              <w:jc w:val="center"/>
            </w:pPr>
            <w:r w:rsidRPr="0007563C">
              <w:t>80.</w:t>
            </w:r>
            <w:r w:rsidRPr="0007563C" w:rsidR="00231C89">
              <w:t>5</w:t>
            </w:r>
          </w:p>
        </w:tc>
      </w:tr>
      <w:tr w:rsidRPr="0007563C" w:rsidR="005357CD" w:rsidTr="006D462D" w14:paraId="3F3AA3E8"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07563C" w:rsidR="005357CD" w:rsidRDefault="001E204E" w14:paraId="202112D2" w14:textId="77777777">
            <w:pPr>
              <w:keepNext/>
              <w:spacing w:before="20" w:after="20"/>
              <w:jc w:val="center"/>
            </w:pPr>
            <w:r w:rsidRPr="0007563C">
              <w:t>2008</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5357CD" w:rsidRDefault="00D85948" w14:paraId="2FDBB35E" w14:textId="77777777">
            <w:pPr>
              <w:spacing w:before="20" w:after="20"/>
              <w:jc w:val="center"/>
            </w:pPr>
            <w:r w:rsidRPr="0007563C">
              <w:t>7</w:t>
            </w:r>
            <w:r w:rsidRPr="0007563C" w:rsidR="00694044">
              <w:t>,</w:t>
            </w:r>
            <w:r w:rsidRPr="0007563C" w:rsidR="008B555B">
              <w:t>7</w:t>
            </w:r>
            <w:r w:rsidRPr="0007563C" w:rsidR="00995D2A">
              <w:t>5</w:t>
            </w:r>
            <w:r w:rsidRPr="0007563C" w:rsidR="00000A0B">
              <w:t>7</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5357CD" w:rsidRDefault="00231C89" w14:paraId="1A7CF604" w14:textId="77777777">
            <w:pPr>
              <w:spacing w:before="20" w:after="20"/>
              <w:jc w:val="center"/>
            </w:pPr>
            <w:r w:rsidRPr="0007563C">
              <w:t>77</w:t>
            </w:r>
            <w:r w:rsidRPr="0007563C" w:rsidR="00D85948">
              <w:t>.</w:t>
            </w:r>
            <w:r w:rsidRPr="0007563C" w:rsidR="00000A0B">
              <w:t>9</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5357CD" w:rsidP="00165EF6" w:rsidRDefault="00D85948" w14:paraId="46F6BB43" w14:textId="2CC14C3C">
            <w:pPr>
              <w:pStyle w:val="Normal11pt"/>
              <w:jc w:val="center"/>
              <w:rPr>
                <w:sz w:val="20"/>
              </w:rPr>
            </w:pPr>
            <w:r w:rsidRPr="0007563C">
              <w:rPr>
                <w:sz w:val="20"/>
              </w:rPr>
              <w:t>5</w:t>
            </w:r>
            <w:r w:rsidRPr="0007563C" w:rsidR="00BE146E">
              <w:rPr>
                <w:sz w:val="20"/>
              </w:rPr>
              <w:t>03</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5357CD" w:rsidRDefault="00231C89" w14:paraId="027AE1F2" w14:textId="0E9667BA">
            <w:pPr>
              <w:keepNext/>
              <w:spacing w:before="20" w:after="20"/>
              <w:jc w:val="center"/>
            </w:pPr>
            <w:r w:rsidRPr="0007563C">
              <w:t>8</w:t>
            </w:r>
            <w:r w:rsidRPr="0007563C" w:rsidR="00BB0F5B">
              <w:t>2</w:t>
            </w:r>
            <w:r w:rsidRPr="0007563C" w:rsidR="00D85948">
              <w:t>.</w:t>
            </w:r>
            <w:r w:rsidRPr="0007563C" w:rsidR="00BE146E">
              <w:t>0</w:t>
            </w:r>
          </w:p>
        </w:tc>
      </w:tr>
      <w:tr w:rsidRPr="0007563C" w:rsidR="00165EF6" w:rsidTr="006D462D" w14:paraId="2026CA0E"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07563C" w:rsidR="00165EF6" w:rsidRDefault="00165EF6" w14:paraId="47AECE74" w14:textId="77777777">
            <w:pPr>
              <w:keepNext/>
              <w:spacing w:before="20" w:after="20"/>
              <w:jc w:val="center"/>
            </w:pPr>
            <w:r w:rsidRPr="0007563C">
              <w:t>2010</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165EF6" w:rsidP="00165EF6" w:rsidRDefault="00165EF6" w14:paraId="18331A73" w14:textId="77777777">
            <w:pPr>
              <w:spacing w:before="20" w:after="20"/>
              <w:jc w:val="center"/>
            </w:pPr>
            <w:r w:rsidRPr="0007563C">
              <w:t>7,565</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165EF6" w:rsidRDefault="00165EF6" w14:paraId="7B8A6D3D" w14:textId="77777777">
            <w:pPr>
              <w:spacing w:before="20" w:after="20"/>
              <w:jc w:val="center"/>
            </w:pPr>
            <w:r w:rsidRPr="0007563C">
              <w:t>75.9</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165EF6" w:rsidP="003E1E0E" w:rsidRDefault="00165EF6" w14:paraId="088DB799" w14:textId="3B15FA73">
            <w:pPr>
              <w:pStyle w:val="Normal11pt"/>
              <w:jc w:val="center"/>
              <w:rPr>
                <w:sz w:val="20"/>
              </w:rPr>
            </w:pPr>
            <w:r w:rsidRPr="0007563C">
              <w:rPr>
                <w:sz w:val="20"/>
              </w:rPr>
              <w:t>5</w:t>
            </w:r>
            <w:r w:rsidRPr="0007563C" w:rsidR="00BE146E">
              <w:rPr>
                <w:sz w:val="20"/>
              </w:rPr>
              <w:t>73</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165EF6" w:rsidP="007D5115" w:rsidRDefault="00165EF6" w14:paraId="3FC91491" w14:textId="5535EA3D">
            <w:pPr>
              <w:keepNext/>
              <w:spacing w:before="20" w:after="20"/>
              <w:jc w:val="center"/>
            </w:pPr>
            <w:r w:rsidRPr="0007563C">
              <w:t>8</w:t>
            </w:r>
            <w:r w:rsidRPr="0007563C" w:rsidR="007D5115">
              <w:t>0</w:t>
            </w:r>
            <w:r w:rsidRPr="0007563C">
              <w:t>.</w:t>
            </w:r>
            <w:r w:rsidRPr="0007563C" w:rsidR="00BE146E">
              <w:t>6</w:t>
            </w:r>
          </w:p>
        </w:tc>
      </w:tr>
      <w:tr w:rsidRPr="0007563C" w:rsidR="0052620A" w:rsidTr="006D462D" w14:paraId="417E4F11"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07563C" w:rsidR="0052620A" w:rsidRDefault="0052620A" w14:paraId="0B224A97" w14:textId="77777777">
            <w:pPr>
              <w:keepNext/>
              <w:spacing w:before="20" w:after="20"/>
              <w:jc w:val="center"/>
            </w:pPr>
            <w:r w:rsidRPr="0007563C">
              <w:t>2012</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52620A" w:rsidP="00165EF6" w:rsidRDefault="0052620A" w14:paraId="3D942B9E" w14:textId="77777777">
            <w:pPr>
              <w:spacing w:before="20" w:after="20"/>
              <w:jc w:val="center"/>
            </w:pPr>
            <w:r w:rsidRPr="0007563C">
              <w:t>7,301</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52620A" w:rsidRDefault="0052620A" w14:paraId="785A1F0B" w14:textId="77777777">
            <w:pPr>
              <w:spacing w:before="20" w:after="20"/>
              <w:jc w:val="center"/>
            </w:pPr>
            <w:r w:rsidRPr="0007563C">
              <w:t>73.3</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52620A" w:rsidP="003E1E0E" w:rsidRDefault="0052620A" w14:paraId="3465D040" w14:textId="1068058C">
            <w:pPr>
              <w:pStyle w:val="Normal11pt"/>
              <w:jc w:val="center"/>
              <w:rPr>
                <w:sz w:val="20"/>
              </w:rPr>
            </w:pPr>
            <w:r w:rsidRPr="0007563C">
              <w:rPr>
                <w:sz w:val="20"/>
              </w:rPr>
              <w:t>6</w:t>
            </w:r>
            <w:r w:rsidRPr="0007563C" w:rsidR="00BE146E">
              <w:rPr>
                <w:sz w:val="20"/>
              </w:rPr>
              <w:t>89</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52620A" w:rsidP="007D5115" w:rsidRDefault="0052620A" w14:paraId="40F2E66A" w14:textId="01A9881B">
            <w:pPr>
              <w:keepNext/>
              <w:spacing w:before="20" w:after="20"/>
              <w:jc w:val="center"/>
            </w:pPr>
            <w:r w:rsidRPr="0007563C">
              <w:t>78.</w:t>
            </w:r>
            <w:r w:rsidRPr="0007563C" w:rsidR="00BE146E">
              <w:t>7</w:t>
            </w:r>
          </w:p>
        </w:tc>
      </w:tr>
      <w:tr w:rsidRPr="0007563C" w:rsidR="006D462D" w:rsidTr="006D462D" w14:paraId="03E8E4AC"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07563C" w:rsidR="006D462D" w:rsidP="006D462D" w:rsidRDefault="006D462D" w14:paraId="25AC21DC" w14:textId="3F97AE68">
            <w:pPr>
              <w:keepNext/>
              <w:spacing w:before="20" w:after="20"/>
              <w:jc w:val="center"/>
            </w:pPr>
            <w:r w:rsidRPr="0007563C">
              <w:t>2014</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6D462D" w:rsidP="006D462D" w:rsidRDefault="006D462D" w14:paraId="579BB0DD" w14:textId="655BBAA5">
            <w:pPr>
              <w:spacing w:before="20" w:after="20"/>
              <w:jc w:val="center"/>
            </w:pPr>
            <w:r w:rsidRPr="0007563C">
              <w:t>7,066</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6D462D" w:rsidP="006D462D" w:rsidRDefault="006D462D" w14:paraId="0ADCF41E" w14:textId="1F5BF6EF">
            <w:pPr>
              <w:spacing w:before="20" w:after="20"/>
              <w:jc w:val="center"/>
            </w:pPr>
            <w:r w:rsidRPr="0007563C">
              <w:t>70.9</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6D462D" w:rsidP="006D462D" w:rsidRDefault="006D462D" w14:paraId="598DD09A" w14:textId="27011878">
            <w:pPr>
              <w:pStyle w:val="Normal11pt"/>
              <w:jc w:val="center"/>
              <w:rPr>
                <w:sz w:val="20"/>
              </w:rPr>
            </w:pPr>
            <w:r w:rsidRPr="0007563C">
              <w:rPr>
                <w:sz w:val="20"/>
              </w:rPr>
              <w:t>790</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6D462D" w:rsidP="006D462D" w:rsidRDefault="006D462D" w14:paraId="30889C82" w14:textId="7E46B1FA">
            <w:pPr>
              <w:keepNext/>
              <w:spacing w:before="20" w:after="20"/>
              <w:jc w:val="center"/>
            </w:pPr>
            <w:r w:rsidRPr="0007563C">
              <w:t>77.0</w:t>
            </w:r>
          </w:p>
        </w:tc>
      </w:tr>
      <w:tr w:rsidRPr="0007563C" w:rsidR="006D462D" w:rsidTr="006D462D" w14:paraId="7981C589"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07563C" w:rsidR="006D462D" w:rsidP="006D462D" w:rsidRDefault="006D462D" w14:paraId="2A45D55C" w14:textId="02840FE9">
            <w:pPr>
              <w:keepNext/>
              <w:spacing w:before="20" w:after="20"/>
              <w:jc w:val="center"/>
            </w:pPr>
            <w:r w:rsidRPr="0007563C">
              <w:t>2016</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6D462D" w:rsidP="006D462D" w:rsidRDefault="006D462D" w14:paraId="5416EE88" w14:textId="4CA01258">
            <w:pPr>
              <w:spacing w:before="20" w:after="20"/>
              <w:jc w:val="center"/>
            </w:pPr>
            <w:r w:rsidRPr="0007563C">
              <w:t>6,91</w:t>
            </w:r>
            <w:r w:rsidRPr="0007563C" w:rsidR="00143D96">
              <w:t>2</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6D462D" w:rsidP="006D462D" w:rsidRDefault="006D462D" w14:paraId="0EC9B585" w14:textId="2FDE2E0A">
            <w:pPr>
              <w:spacing w:before="20" w:after="20"/>
              <w:jc w:val="center"/>
            </w:pPr>
            <w:r w:rsidRPr="0007563C">
              <w:t>69.4</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6D462D" w:rsidP="002F4E89" w:rsidRDefault="006D462D" w14:paraId="6B45682F" w14:textId="4EB88654">
            <w:pPr>
              <w:pStyle w:val="Normal11pt"/>
              <w:rPr>
                <w:sz w:val="20"/>
              </w:rPr>
            </w:pPr>
            <w:r w:rsidRPr="0007563C">
              <w:rPr>
                <w:sz w:val="20"/>
                <w:vertAlign w:val="superscript"/>
              </w:rPr>
              <w:t xml:space="preserve">                         </w:t>
            </w:r>
            <w:r w:rsidRPr="0007563C" w:rsidR="00712D97">
              <w:rPr>
                <w:sz w:val="20"/>
              </w:rPr>
              <w:t>915</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6D462D" w:rsidP="006D462D" w:rsidRDefault="006D462D" w14:paraId="60BACE1B" w14:textId="20CE47C7">
            <w:pPr>
              <w:keepNext/>
              <w:spacing w:before="20" w:after="20"/>
              <w:jc w:val="center"/>
            </w:pPr>
            <w:r w:rsidRPr="0007563C">
              <w:t>76.</w:t>
            </w:r>
            <w:r w:rsidRPr="0007563C" w:rsidR="00143D96">
              <w:t>4</w:t>
            </w:r>
          </w:p>
        </w:tc>
      </w:tr>
      <w:tr w:rsidRPr="0007563C" w:rsidR="00F76D48" w:rsidTr="006D462D" w14:paraId="45C68F8A"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07563C" w:rsidR="00F76D48" w:rsidP="00F76D48" w:rsidRDefault="00F76D48" w14:paraId="7F6E99B1" w14:textId="1E1A3C7B">
            <w:pPr>
              <w:keepNext/>
              <w:spacing w:before="20" w:after="20"/>
              <w:jc w:val="center"/>
            </w:pPr>
            <w:r w:rsidRPr="0007563C">
              <w:t>2018</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F76D48" w:rsidP="000D1777" w:rsidRDefault="00F76D48" w14:paraId="510B07DF" w14:textId="6F8EF35D">
            <w:pPr>
              <w:spacing w:before="20" w:after="20"/>
              <w:jc w:val="center"/>
              <w:rPr>
                <w:vertAlign w:val="superscript"/>
              </w:rPr>
            </w:pPr>
            <w:r w:rsidRPr="0007563C">
              <w:t>6,87</w:t>
            </w:r>
            <w:r w:rsidR="000D1777">
              <w:t>8</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F76D48" w:rsidP="00F76D48" w:rsidRDefault="00F76D48" w14:paraId="2F39D77F" w14:textId="5A1B3394">
            <w:pPr>
              <w:spacing w:before="20" w:after="20"/>
              <w:jc w:val="center"/>
            </w:pPr>
            <w:r w:rsidRPr="0007563C">
              <w:t>69.</w:t>
            </w:r>
            <w:r w:rsidR="000D1777">
              <w:t>1</w:t>
            </w:r>
          </w:p>
        </w:tc>
        <w:tc>
          <w:tcPr>
            <w:tcW w:w="2001" w:type="dxa"/>
            <w:tcBorders>
              <w:top w:val="single" w:color="auto" w:sz="6" w:space="0"/>
              <w:left w:val="single" w:color="auto" w:sz="6" w:space="0"/>
              <w:bottom w:val="single" w:color="auto" w:sz="6" w:space="0"/>
              <w:right w:val="single" w:color="auto" w:sz="6" w:space="0"/>
            </w:tcBorders>
            <w:vAlign w:val="center"/>
          </w:tcPr>
          <w:p w:rsidRPr="0007563C" w:rsidR="00F76D48" w:rsidP="00F76D48" w:rsidRDefault="00F76D48" w14:paraId="590CE2AD" w14:textId="15ABC623">
            <w:pPr>
              <w:pStyle w:val="Normal11pt"/>
              <w:jc w:val="center"/>
              <w:rPr>
                <w:sz w:val="20"/>
                <w:vertAlign w:val="superscript"/>
              </w:rPr>
            </w:pPr>
            <w:r w:rsidRPr="0007563C">
              <w:rPr>
                <w:sz w:val="20"/>
              </w:rPr>
              <w:t>1,033</w:t>
            </w:r>
          </w:p>
        </w:tc>
        <w:tc>
          <w:tcPr>
            <w:tcW w:w="2002" w:type="dxa"/>
            <w:tcBorders>
              <w:top w:val="single" w:color="auto" w:sz="6" w:space="0"/>
              <w:left w:val="single" w:color="auto" w:sz="6" w:space="0"/>
              <w:bottom w:val="single" w:color="auto" w:sz="6" w:space="0"/>
              <w:right w:val="single" w:color="auto" w:sz="6" w:space="0"/>
            </w:tcBorders>
            <w:vAlign w:val="center"/>
          </w:tcPr>
          <w:p w:rsidRPr="0007563C" w:rsidR="00F76D48" w:rsidP="00F76D48" w:rsidRDefault="00F76D48" w14:paraId="5E60E1E2" w14:textId="60968F81">
            <w:pPr>
              <w:keepNext/>
              <w:spacing w:before="20" w:after="20"/>
              <w:jc w:val="center"/>
            </w:pPr>
            <w:r w:rsidRPr="0007563C">
              <w:t>7</w:t>
            </w:r>
            <w:r w:rsidR="000D1777">
              <w:t>7.0</w:t>
            </w:r>
          </w:p>
        </w:tc>
      </w:tr>
    </w:tbl>
    <w:p w:rsidRPr="0007563C" w:rsidR="00CE4E6C" w:rsidRDefault="00CE4E6C" w14:paraId="18994BDD" w14:textId="77777777">
      <w:pPr>
        <w:keepNext/>
        <w:spacing w:before="120"/>
        <w:ind w:firstLine="216"/>
      </w:pPr>
      <w:r w:rsidRPr="0007563C">
        <w:rPr>
          <w:vertAlign w:val="superscript"/>
        </w:rPr>
        <w:t>1</w:t>
      </w:r>
      <w:r w:rsidRPr="0007563C" w:rsidR="008B555B">
        <w:t xml:space="preserve"> </w:t>
      </w:r>
      <w:r w:rsidRPr="0007563C">
        <w:t>Retention rate is defined as the percentage of base-year respondents remaining eligible who were interviewed in a given survey year; deceased respondents are included in the calculations.  Response rate is defined as the percentage of base-year respondents remaining eligible and not known to be deceased who were interviewed in a given survey year.</w:t>
      </w:r>
    </w:p>
    <w:p w:rsidRPr="0007563C" w:rsidR="00CE4E6C" w:rsidRDefault="00CE4E6C" w14:paraId="4C002BA9" w14:textId="77777777">
      <w:pPr>
        <w:keepNext/>
        <w:ind w:firstLine="216"/>
      </w:pPr>
      <w:r w:rsidRPr="0007563C">
        <w:rPr>
          <w:vertAlign w:val="superscript"/>
        </w:rPr>
        <w:t>2</w:t>
      </w:r>
      <w:r w:rsidRPr="0007563C" w:rsidR="008B555B">
        <w:t xml:space="preserve"> </w:t>
      </w:r>
      <w:r w:rsidRPr="0007563C">
        <w:t>A total of 201 military respondents were retained from the original sample of 1,280; 186 of the 201 participated in the 1985 interview.  The total number of NLSY79 civilian and military respondents eligible for interview beginning in 1985 was 11,607.</w:t>
      </w:r>
    </w:p>
    <w:p w:rsidRPr="0007563C" w:rsidR="00CE4E6C" w:rsidRDefault="00CE4E6C" w14:paraId="3D97CC16" w14:textId="77777777">
      <w:pPr>
        <w:ind w:firstLine="216"/>
      </w:pPr>
      <w:r w:rsidRPr="0007563C">
        <w:rPr>
          <w:vertAlign w:val="superscript"/>
        </w:rPr>
        <w:t>3</w:t>
      </w:r>
      <w:r w:rsidRPr="0007563C" w:rsidR="008B555B">
        <w:t xml:space="preserve"> </w:t>
      </w:r>
      <w:r w:rsidRPr="0007563C">
        <w:t>The 1,643 economically disadvantaged nonblack/non-Hispanic male and female members of the supplemental subsample were not eligible for interview as of the 1991 survey year.  The total number of NLSY79 civilian and military respondents eligible for interview beginning in 1991 was 9,964.</w:t>
      </w:r>
    </w:p>
    <w:p w:rsidRPr="0007563C" w:rsidR="00CE4E6C" w:rsidRDefault="00CE4E6C" w14:paraId="037D2BBB" w14:textId="77777777">
      <w:pPr>
        <w:ind w:firstLine="216"/>
      </w:pPr>
    </w:p>
    <w:bookmarkEnd w:id="2"/>
    <w:p w:rsidRPr="0007563C" w:rsidR="00CE4E6C" w:rsidRDefault="00CE4E6C" w14:paraId="74036033" w14:textId="77777777">
      <w:pPr>
        <w:pStyle w:val="TOC4"/>
        <w:tabs>
          <w:tab w:val="clear" w:pos="8668"/>
        </w:tabs>
        <w:ind w:left="0"/>
        <w:rPr>
          <w:sz w:val="22"/>
        </w:rPr>
      </w:pPr>
    </w:p>
    <w:p w:rsidRPr="0007563C" w:rsidR="00CE4E6C" w:rsidRDefault="00CE4E6C" w14:paraId="408E785E" w14:textId="77777777">
      <w:pPr>
        <w:pStyle w:val="Heading3"/>
        <w:spacing w:before="0" w:after="0"/>
      </w:pPr>
      <w:bookmarkStart w:name="_Toc374533444" w:id="3"/>
      <w:r w:rsidRPr="0007563C">
        <w:t>2.  Design and Procedures for the Information Collection</w:t>
      </w:r>
      <w:bookmarkEnd w:id="3"/>
    </w:p>
    <w:p w:rsidRPr="0007563C" w:rsidR="006D462D" w:rsidP="006D462D" w:rsidRDefault="006D462D" w14:paraId="0A368176" w14:textId="784D300A">
      <w:pPr>
        <w:rPr>
          <w:sz w:val="22"/>
        </w:rPr>
      </w:pPr>
      <w:r w:rsidRPr="0007563C">
        <w:rPr>
          <w:sz w:val="22"/>
        </w:rPr>
        <w:t xml:space="preserve">The survey includes telephone or personal-visit interviews with all the respondents, regardless of their place of residence.  At each interview, detailed information is gathered about relatives and friends who could be of assistance in locating the sample member if he or she cannot be readily </w:t>
      </w:r>
      <w:r w:rsidRPr="0007563C">
        <w:rPr>
          <w:sz w:val="22"/>
        </w:rPr>
        <w:lastRenderedPageBreak/>
        <w:t>located in the subsequent survey round.  Most interviews in Round 2</w:t>
      </w:r>
      <w:r w:rsidR="001E4BBA">
        <w:rPr>
          <w:sz w:val="22"/>
        </w:rPr>
        <w:t>9</w:t>
      </w:r>
      <w:r w:rsidRPr="0007563C">
        <w:rPr>
          <w:sz w:val="22"/>
        </w:rPr>
        <w:t xml:space="preserve"> will be carried out between October 20</w:t>
      </w:r>
      <w:r w:rsidRPr="0007563C" w:rsidR="00CE551F">
        <w:rPr>
          <w:sz w:val="22"/>
        </w:rPr>
        <w:t>20</w:t>
      </w:r>
      <w:r w:rsidRPr="0007563C">
        <w:rPr>
          <w:sz w:val="22"/>
        </w:rPr>
        <w:t xml:space="preserve"> and October 20</w:t>
      </w:r>
      <w:r w:rsidRPr="0007563C" w:rsidR="00CE551F">
        <w:rPr>
          <w:sz w:val="22"/>
        </w:rPr>
        <w:t>21</w:t>
      </w:r>
      <w:r w:rsidRPr="0007563C">
        <w:rPr>
          <w:sz w:val="22"/>
        </w:rPr>
        <w:t>, with the field period extending later into 20</w:t>
      </w:r>
      <w:r w:rsidRPr="0007563C" w:rsidR="00CE551F">
        <w:rPr>
          <w:sz w:val="22"/>
        </w:rPr>
        <w:t>21</w:t>
      </w:r>
      <w:r w:rsidRPr="0007563C">
        <w:rPr>
          <w:sz w:val="22"/>
        </w:rPr>
        <w:t xml:space="preserve"> if necessary.  Every effort is made to locate respondents, as the attrition information above suggests.  Interviewers are encouraged to attempt contacting respondents until they are located.  There is no arbitrary limit on the number of callbacks.  The success of NORC interviewers in this regard is indicated by a very low rate of attrition over the first 2</w:t>
      </w:r>
      <w:r w:rsidRPr="0007563C" w:rsidR="00CE551F">
        <w:rPr>
          <w:sz w:val="22"/>
        </w:rPr>
        <w:t>8</w:t>
      </w:r>
      <w:r w:rsidRPr="0007563C">
        <w:rPr>
          <w:sz w:val="22"/>
        </w:rPr>
        <w:t xml:space="preserve"> rounds of the survey.  </w:t>
      </w:r>
      <w:r w:rsidRPr="0007563C" w:rsidR="00F76D48">
        <w:rPr>
          <w:sz w:val="22"/>
        </w:rPr>
        <w:t xml:space="preserve">Approximately </w:t>
      </w:r>
      <w:r w:rsidRPr="0007563C">
        <w:rPr>
          <w:sz w:val="22"/>
        </w:rPr>
        <w:t>7</w:t>
      </w:r>
      <w:r w:rsidRPr="0007563C" w:rsidR="00F76D48">
        <w:rPr>
          <w:sz w:val="22"/>
        </w:rPr>
        <w:t>7</w:t>
      </w:r>
      <w:r w:rsidRPr="0007563C">
        <w:rPr>
          <w:sz w:val="22"/>
        </w:rPr>
        <w:t xml:space="preserve"> percent of the living, in-scope, original respondents were surveyed in Round 2</w:t>
      </w:r>
      <w:r w:rsidRPr="0007563C" w:rsidR="00CE551F">
        <w:rPr>
          <w:sz w:val="22"/>
        </w:rPr>
        <w:t>8</w:t>
      </w:r>
      <w:r w:rsidRPr="0007563C">
        <w:rPr>
          <w:sz w:val="22"/>
        </w:rPr>
        <w:t>.</w:t>
      </w:r>
    </w:p>
    <w:p w:rsidRPr="0007563C" w:rsidR="00CE4E6C" w:rsidRDefault="00CE4E6C" w14:paraId="58E1527B" w14:textId="77777777">
      <w:pPr>
        <w:rPr>
          <w:sz w:val="22"/>
        </w:rPr>
      </w:pPr>
    </w:p>
    <w:p w:rsidRPr="0007563C" w:rsidR="00CE4E6C" w:rsidRDefault="00CE4E6C" w14:paraId="57260D94" w14:textId="77777777">
      <w:pPr>
        <w:pStyle w:val="BodyText2"/>
      </w:pPr>
      <w:r w:rsidRPr="0007563C">
        <w:t xml:space="preserve">Preceding the data collection, interviewers are carefully trained, with particular emphasis placed on resolving sensitive issues.  Most of the interviewers have lengthy experience in the field from participation in earlier NLSY79 interview rounds, as well as from involvement with other NORC surveys.  Experienced interviewers receive self-study training consisting of over 8 hours spent on specially designed materials requiring study of the questionnaire and question-by-question and procedural specifications, with exercises on new or difficult sections and procedures.  </w:t>
      </w:r>
      <w:r w:rsidRPr="0007563C" w:rsidR="001E204E">
        <w:t>Experienc</w:t>
      </w:r>
      <w:r w:rsidRPr="0007563C" w:rsidR="00135163">
        <w:t>ed interviewers working on the Early B</w:t>
      </w:r>
      <w:r w:rsidRPr="0007563C" w:rsidR="001E204E">
        <w:t>ird phone phase also receive several hours of remote training (</w:t>
      </w:r>
      <w:r w:rsidRPr="0007563C" w:rsidR="00135163">
        <w:t xml:space="preserve">by </w:t>
      </w:r>
      <w:r w:rsidRPr="0007563C" w:rsidR="001E204E">
        <w:t xml:space="preserve">computer and conference call), mainly focused on using the call management system.  </w:t>
      </w:r>
      <w:r w:rsidRPr="0007563C">
        <w:t>All interviewers must successfully complete a practice interview with their supervisor before they are permitted to begin field work.</w:t>
      </w:r>
    </w:p>
    <w:p w:rsidRPr="0007563C" w:rsidR="00CE4E6C" w:rsidRDefault="00CE4E6C" w14:paraId="69E3B8E3" w14:textId="77777777">
      <w:pPr>
        <w:rPr>
          <w:sz w:val="22"/>
        </w:rPr>
      </w:pPr>
    </w:p>
    <w:p w:rsidRPr="0007563C" w:rsidR="00CE4E6C" w:rsidRDefault="00CE4E6C" w14:paraId="6038B94D" w14:textId="77777777">
      <w:pPr>
        <w:rPr>
          <w:sz w:val="22"/>
        </w:rPr>
      </w:pPr>
      <w:r w:rsidRPr="0007563C">
        <w:rPr>
          <w:sz w:val="22"/>
        </w:rPr>
        <w:t>Efforts to assure quality data from the field are instigated at several points.  The first 100 cases completed are reviewed, answer by answer, to determine whether there are any problems with the instrument.  After this, every case identified by the interviewer as having a problem during the interview is reviewed in detail.  Throughout the field period, individual cases are checked for problems, and rapid feedback is given to the interviewers so they can improve interviewing methods.</w:t>
      </w:r>
    </w:p>
    <w:p w:rsidRPr="0007563C" w:rsidR="00CE4E6C" w:rsidRDefault="00CE4E6C" w14:paraId="7B299AD5" w14:textId="77777777">
      <w:pPr>
        <w:rPr>
          <w:sz w:val="22"/>
        </w:rPr>
      </w:pPr>
    </w:p>
    <w:p w:rsidRPr="0007563C" w:rsidR="00CE4E6C" w:rsidRDefault="00CE4E6C" w14:paraId="0625D1BF" w14:textId="05D5EDD7">
      <w:pPr>
        <w:rPr>
          <w:sz w:val="22"/>
        </w:rPr>
      </w:pPr>
      <w:r w:rsidRPr="0007563C">
        <w:rPr>
          <w:sz w:val="22"/>
        </w:rPr>
        <w:t>We will reduce burden by employing targeted validation.  Cases that have unusual patterns in terms of length, time of day, break-offs, an incorrect entry to the question on the respondent’s date of birth</w:t>
      </w:r>
      <w:r w:rsidRPr="0007563C" w:rsidR="00E1578E">
        <w:rPr>
          <w:sz w:val="22"/>
        </w:rPr>
        <w:t>, or height and weight entries that are inconsistent with previous rounds</w:t>
      </w:r>
      <w:r w:rsidRPr="0007563C">
        <w:rPr>
          <w:sz w:val="22"/>
        </w:rPr>
        <w:t xml:space="preserve"> will be validated.</w:t>
      </w:r>
      <w:r w:rsidRPr="0007563C" w:rsidR="00007E12">
        <w:rPr>
          <w:sz w:val="22"/>
        </w:rPr>
        <w:t xml:space="preserve"> We also use review of recordings for validation purposes.</w:t>
      </w:r>
      <w:r w:rsidRPr="0007563C">
        <w:rPr>
          <w:sz w:val="22"/>
        </w:rPr>
        <w:t xml:space="preserve">  If </w:t>
      </w:r>
      <w:r w:rsidRPr="0007563C" w:rsidR="00007E12">
        <w:rPr>
          <w:sz w:val="22"/>
        </w:rPr>
        <w:t>a case fails to validate</w:t>
      </w:r>
      <w:r w:rsidRPr="0007563C">
        <w:rPr>
          <w:sz w:val="22"/>
        </w:rPr>
        <w:t>, the entire caseload of the interviewer will be validated</w:t>
      </w:r>
      <w:r w:rsidRPr="0007563C" w:rsidR="00007E12">
        <w:rPr>
          <w:sz w:val="22"/>
        </w:rPr>
        <w:t xml:space="preserve"> through review of recordi</w:t>
      </w:r>
      <w:r w:rsidRPr="0007563C" w:rsidR="00276825">
        <w:rPr>
          <w:sz w:val="22"/>
        </w:rPr>
        <w:t>ngs or validation re-interviews</w:t>
      </w:r>
      <w:r w:rsidRPr="0007563C">
        <w:rPr>
          <w:sz w:val="22"/>
        </w:rPr>
        <w:t>.</w:t>
      </w:r>
    </w:p>
    <w:p w:rsidRPr="0007563C" w:rsidR="00CE4E6C" w:rsidRDefault="00CE4E6C" w14:paraId="0D02E15E" w14:textId="77777777">
      <w:pPr>
        <w:rPr>
          <w:sz w:val="22"/>
        </w:rPr>
      </w:pPr>
    </w:p>
    <w:p w:rsidRPr="0007563C" w:rsidR="00CE4E6C" w:rsidRDefault="00CE4E6C" w14:paraId="428C8C3E" w14:textId="77777777">
      <w:pPr>
        <w:rPr>
          <w:sz w:val="22"/>
        </w:rPr>
      </w:pPr>
      <w:r w:rsidRPr="0007563C">
        <w:rPr>
          <w:sz w:val="22"/>
        </w:rPr>
        <w:t xml:space="preserve">The </w:t>
      </w:r>
      <w:r w:rsidRPr="0007563C" w:rsidR="00135163">
        <w:rPr>
          <w:sz w:val="22"/>
        </w:rPr>
        <w:t>questionnaires</w:t>
      </w:r>
      <w:r w:rsidRPr="0007563C">
        <w:rPr>
          <w:sz w:val="22"/>
        </w:rPr>
        <w:t xml:space="preserve"> are prepared by professional staff at CHRR.  When new materials are incorporated into the schedule, special assistance is generally sought from appropriate experts in the specific substantive area.  The technical expertise of staff at NORC is also used in this regard.</w:t>
      </w:r>
    </w:p>
    <w:p w:rsidRPr="0007563C" w:rsidR="00CE4E6C" w:rsidRDefault="00CE4E6C" w14:paraId="24ED1019" w14:textId="77777777">
      <w:pPr>
        <w:rPr>
          <w:sz w:val="22"/>
        </w:rPr>
      </w:pPr>
    </w:p>
    <w:p w:rsidRPr="0007563C" w:rsidR="00D76A61" w:rsidRDefault="00CE4E6C" w14:paraId="358F664D" w14:textId="77777777">
      <w:pPr>
        <w:rPr>
          <w:sz w:val="22"/>
        </w:rPr>
      </w:pPr>
      <w:r w:rsidRPr="0007563C">
        <w:rPr>
          <w:sz w:val="22"/>
        </w:rPr>
        <w:t xml:space="preserve">Because sample selection took place in 1978 in preparation for the 1979 baseline interview, sample composition has remained unchanged except for the discontinuation of some of the oversamples </w:t>
      </w:r>
      <w:r w:rsidRPr="0007563C" w:rsidR="006211ED">
        <w:rPr>
          <w:sz w:val="22"/>
        </w:rPr>
        <w:t xml:space="preserve">as </w:t>
      </w:r>
      <w:r w:rsidRPr="0007563C">
        <w:rPr>
          <w:sz w:val="22"/>
        </w:rPr>
        <w:t xml:space="preserve">previously mentioned.  A more detailed discussion of sampling methodology is available from </w:t>
      </w:r>
      <w:r w:rsidRPr="0007563C" w:rsidR="00D76A61">
        <w:rPr>
          <w:sz w:val="22"/>
        </w:rPr>
        <w:t>the NLSY79 Technical Sampling Report at:</w:t>
      </w:r>
    </w:p>
    <w:p w:rsidRPr="0007563C" w:rsidR="0052620A" w:rsidRDefault="00A778E8" w14:paraId="59545BEE" w14:textId="77777777">
      <w:pPr>
        <w:rPr>
          <w:sz w:val="22"/>
          <w:szCs w:val="22"/>
        </w:rPr>
      </w:pPr>
      <w:hyperlink w:history="1" r:id="rId10">
        <w:r w:rsidRPr="0007563C" w:rsidR="0052620A">
          <w:rPr>
            <w:rStyle w:val="Hyperlink"/>
            <w:sz w:val="22"/>
            <w:szCs w:val="22"/>
          </w:rPr>
          <w:t>http://www.nlsinfo.org/content/cohorts/nlsy79/other-documentation/technical-sampling-report</w:t>
        </w:r>
      </w:hyperlink>
      <w:r w:rsidRPr="0007563C" w:rsidR="0052620A">
        <w:rPr>
          <w:sz w:val="22"/>
          <w:szCs w:val="22"/>
        </w:rPr>
        <w:t>.</w:t>
      </w:r>
    </w:p>
    <w:p w:rsidRPr="0007563C" w:rsidR="00D76A61" w:rsidRDefault="00D76A61" w14:paraId="1457B000" w14:textId="77777777">
      <w:pPr>
        <w:rPr>
          <w:sz w:val="22"/>
        </w:rPr>
      </w:pPr>
    </w:p>
    <w:p w:rsidRPr="0007563C" w:rsidR="00CE4E6C" w:rsidRDefault="00CE4E6C" w14:paraId="0307B11E" w14:textId="15B9F63D">
      <w:pPr>
        <w:rPr>
          <w:sz w:val="22"/>
        </w:rPr>
      </w:pPr>
      <w:r w:rsidRPr="0007563C">
        <w:rPr>
          <w:sz w:val="22"/>
        </w:rPr>
        <w:t xml:space="preserve">In an effort to reduce respondent burden while still providing a broad spectrum of variables for researchers and </w:t>
      </w:r>
      <w:r w:rsidRPr="0007563C" w:rsidR="0026585E">
        <w:rPr>
          <w:sz w:val="22"/>
        </w:rPr>
        <w:t>policymakers</w:t>
      </w:r>
      <w:r w:rsidRPr="0007563C">
        <w:rPr>
          <w:sz w:val="22"/>
        </w:rPr>
        <w:t xml:space="preserve"> to use, certain topical modules are cycled in and out of the survey from one round to the next.  Although the data from these modules are important, it is not necessary to collect data on all topics in every round.  An example of such a topical module is </w:t>
      </w:r>
      <w:r w:rsidRPr="0007563C" w:rsidR="00FF527D">
        <w:rPr>
          <w:sz w:val="22"/>
        </w:rPr>
        <w:t xml:space="preserve">the assets module, now asked every other round. </w:t>
      </w:r>
    </w:p>
    <w:p w:rsidRPr="0007563C" w:rsidR="00CE4E6C" w:rsidRDefault="00CE4E6C" w14:paraId="59227974" w14:textId="77777777">
      <w:pPr>
        <w:rPr>
          <w:sz w:val="22"/>
        </w:rPr>
      </w:pPr>
    </w:p>
    <w:p w:rsidRPr="0007563C" w:rsidR="00CE4E6C" w:rsidRDefault="00CE4E6C" w14:paraId="1A9A41C5" w14:textId="77777777">
      <w:pPr>
        <w:pStyle w:val="Heading3"/>
        <w:spacing w:before="0" w:after="0"/>
      </w:pPr>
      <w:bookmarkStart w:name="_Toc374533445" w:id="4"/>
      <w:r w:rsidRPr="0007563C">
        <w:lastRenderedPageBreak/>
        <w:t>3.  Maximizing Response Rates</w:t>
      </w:r>
      <w:bookmarkEnd w:id="4"/>
    </w:p>
    <w:p w:rsidRPr="0007563C" w:rsidR="00CE4E6C" w:rsidRDefault="00CE4E6C" w14:paraId="2AD9D8E4" w14:textId="31571077">
      <w:pPr>
        <w:rPr>
          <w:sz w:val="22"/>
        </w:rPr>
      </w:pPr>
      <w:r w:rsidRPr="0007563C">
        <w:rPr>
          <w:sz w:val="22"/>
        </w:rPr>
        <w:t xml:space="preserve">A number of the procedures used to maximize the response rate already have been described in items 1 and 2 above.  The success of the procedures is demonstrated by the low attrition rates indicated in tables </w:t>
      </w:r>
      <w:r w:rsidRPr="0007563C" w:rsidR="00302589">
        <w:rPr>
          <w:sz w:val="22"/>
        </w:rPr>
        <w:t>5</w:t>
      </w:r>
      <w:r w:rsidRPr="0007563C">
        <w:rPr>
          <w:sz w:val="22"/>
        </w:rPr>
        <w:t xml:space="preserve"> and </w:t>
      </w:r>
      <w:r w:rsidRPr="0007563C" w:rsidR="00302589">
        <w:rPr>
          <w:sz w:val="22"/>
        </w:rPr>
        <w:t>6</w:t>
      </w:r>
      <w:r w:rsidRPr="0007563C">
        <w:rPr>
          <w:sz w:val="22"/>
        </w:rPr>
        <w:t xml:space="preserve">.  </w:t>
      </w:r>
      <w:r w:rsidRPr="0007563C" w:rsidR="0007563C">
        <w:rPr>
          <w:sz w:val="22"/>
        </w:rPr>
        <w:t>A</w:t>
      </w:r>
      <w:r w:rsidRPr="0007563C">
        <w:rPr>
          <w:sz w:val="22"/>
        </w:rPr>
        <w:t>t</w:t>
      </w:r>
      <w:r w:rsidRPr="0007563C" w:rsidR="0007563C">
        <w:rPr>
          <w:sz w:val="22"/>
        </w:rPr>
        <w:t>trition has been slightly lower</w:t>
      </w:r>
      <w:r w:rsidRPr="0007563C">
        <w:rPr>
          <w:sz w:val="22"/>
        </w:rPr>
        <w:t xml:space="preserve"> among blacks </w:t>
      </w:r>
      <w:r w:rsidRPr="0007563C" w:rsidR="0007563C">
        <w:rPr>
          <w:sz w:val="22"/>
        </w:rPr>
        <w:t xml:space="preserve">than among Hispanics </w:t>
      </w:r>
      <w:r w:rsidRPr="0007563C">
        <w:rPr>
          <w:sz w:val="22"/>
        </w:rPr>
        <w:t xml:space="preserve">and </w:t>
      </w:r>
      <w:r w:rsidRPr="0007563C" w:rsidR="00725A7A">
        <w:rPr>
          <w:sz w:val="22"/>
        </w:rPr>
        <w:t>nonblack</w:t>
      </w:r>
      <w:r w:rsidRPr="0007563C">
        <w:rPr>
          <w:sz w:val="22"/>
        </w:rPr>
        <w:t xml:space="preserve">/non-Hispanics, and attrition for men is higher than for women.  </w:t>
      </w:r>
      <w:r w:rsidRPr="0007563C" w:rsidR="002F4E89">
        <w:rPr>
          <w:sz w:val="22"/>
        </w:rPr>
        <w:t>Attachment 7 analyzes the patterns of non-response and its implications on the estimates of labor market outcomes.  Clearly, it is more difficult to gain the cooperation of some respondents. Past non-response indicates a lower probability of participation in subsequent rounds.  Still, t</w:t>
      </w:r>
      <w:r w:rsidRPr="0007563C">
        <w:rPr>
          <w:sz w:val="22"/>
        </w:rPr>
        <w:t xml:space="preserve">here is </w:t>
      </w:r>
      <w:r w:rsidRPr="0007563C" w:rsidR="002F4E89">
        <w:rPr>
          <w:sz w:val="22"/>
        </w:rPr>
        <w:t>little</w:t>
      </w:r>
      <w:r w:rsidRPr="0007563C">
        <w:rPr>
          <w:sz w:val="22"/>
        </w:rPr>
        <w:t xml:space="preserve"> evidence </w:t>
      </w:r>
      <w:r w:rsidRPr="0007563C" w:rsidR="002F4E89">
        <w:rPr>
          <w:sz w:val="22"/>
        </w:rPr>
        <w:t xml:space="preserve">that </w:t>
      </w:r>
      <w:r w:rsidRPr="0007563C">
        <w:rPr>
          <w:sz w:val="22"/>
        </w:rPr>
        <w:t>any selective response bias</w:t>
      </w:r>
      <w:r w:rsidRPr="0007563C" w:rsidR="002F4E89">
        <w:rPr>
          <w:sz w:val="22"/>
        </w:rPr>
        <w:t>es</w:t>
      </w:r>
      <w:r w:rsidRPr="0007563C">
        <w:rPr>
          <w:sz w:val="22"/>
        </w:rPr>
        <w:t xml:space="preserve"> </w:t>
      </w:r>
      <w:r w:rsidRPr="0007563C" w:rsidR="002F4E89">
        <w:rPr>
          <w:sz w:val="22"/>
        </w:rPr>
        <w:t xml:space="preserve">the </w:t>
      </w:r>
      <w:r w:rsidRPr="0007563C">
        <w:rPr>
          <w:sz w:val="22"/>
        </w:rPr>
        <w:t>analytical results.  To the best of our knowledge, the NLSY79 has the best retention rate of any longitudinal survey in the U.S.  We note, however, that interviewing becomes a little more difficult each round.</w:t>
      </w:r>
      <w:r w:rsidRPr="0007563C" w:rsidR="002F4E89">
        <w:rPr>
          <w:sz w:val="22"/>
        </w:rPr>
        <w:t xml:space="preserve">  </w:t>
      </w:r>
    </w:p>
    <w:p w:rsidRPr="0007563C" w:rsidR="00CE4E6C" w:rsidRDefault="00CE4E6C" w14:paraId="026270C2" w14:textId="77777777">
      <w:pPr>
        <w:rPr>
          <w:sz w:val="22"/>
        </w:rPr>
      </w:pPr>
    </w:p>
    <w:p w:rsidRPr="0007563C" w:rsidR="00F01CA8" w:rsidP="00F01CA8" w:rsidRDefault="00F01CA8" w14:paraId="3478D074" w14:textId="7255720F">
      <w:pPr>
        <w:rPr>
          <w:sz w:val="22"/>
        </w:rPr>
      </w:pPr>
      <w:r w:rsidRPr="0007563C">
        <w:rPr>
          <w:sz w:val="22"/>
        </w:rPr>
        <w:t>The other component of missing data is item nonresponse.  The rate of item nonresponse due to the refusal of a respondent to answer a particular question in the NLSY79 is between 1 and</w:t>
      </w:r>
      <w:r w:rsidRPr="0007563C" w:rsidR="002F4E89">
        <w:rPr>
          <w:sz w:val="22"/>
        </w:rPr>
        <w:t xml:space="preserve"> </w:t>
      </w:r>
      <w:r w:rsidRPr="0007563C">
        <w:rPr>
          <w:sz w:val="22"/>
        </w:rPr>
        <w:t>2 percent per question, depending on how questions are counted.  The highest nonresponse rates occur for income and asset items.</w:t>
      </w:r>
    </w:p>
    <w:p w:rsidRPr="0007563C" w:rsidR="00F01CA8" w:rsidRDefault="00F01CA8" w14:paraId="2C7F8E0A" w14:textId="77777777">
      <w:pPr>
        <w:rPr>
          <w:sz w:val="22"/>
        </w:rPr>
      </w:pPr>
    </w:p>
    <w:p w:rsidRPr="0007563C" w:rsidR="00CE4E6C" w:rsidRDefault="00CE4E6C" w14:paraId="0C0A89B5" w14:textId="19E1BC2C">
      <w:pPr>
        <w:rPr>
          <w:sz w:val="22"/>
        </w:rPr>
      </w:pPr>
      <w:r w:rsidRPr="0007563C">
        <w:rPr>
          <w:sz w:val="22"/>
        </w:rPr>
        <w:t xml:space="preserve">One natural issue for longitudinal surveys is to determine whether the sample still represents its portion of the U.S. population.  The NLSY79 originally was weighted to represent the 1978 population of 14-21 year-olds and closely matches the official statistics for that year.  Sampling weights are prepared each year to adjust the remaining sample to representative proportions.  These sampling weights are released with the other data on the public-use </w:t>
      </w:r>
      <w:r w:rsidRPr="0007563C" w:rsidR="00CC5DD3">
        <w:rPr>
          <w:sz w:val="22"/>
        </w:rPr>
        <w:t>data file</w:t>
      </w:r>
      <w:r w:rsidRPr="0007563C">
        <w:rPr>
          <w:sz w:val="22"/>
        </w:rPr>
        <w:t>.</w:t>
      </w:r>
    </w:p>
    <w:p w:rsidRPr="0007563C" w:rsidR="00CE4E6C" w:rsidRDefault="00CE4E6C" w14:paraId="0B5197EF" w14:textId="77777777">
      <w:pPr>
        <w:rPr>
          <w:sz w:val="22"/>
        </w:rPr>
      </w:pPr>
    </w:p>
    <w:p w:rsidRPr="0007563C" w:rsidR="007F19BF" w:rsidP="007F19BF" w:rsidRDefault="007F19BF" w14:paraId="5BC11930" w14:textId="77777777">
      <w:pPr>
        <w:rPr>
          <w:color w:val="1F497D"/>
          <w:sz w:val="22"/>
          <w:szCs w:val="22"/>
        </w:rPr>
      </w:pPr>
      <w:r w:rsidRPr="0007563C">
        <w:rPr>
          <w:sz w:val="22"/>
          <w:szCs w:val="22"/>
        </w:rPr>
        <w:t xml:space="preserve">To investigate the issue of continued sample representation, table 7 compares numbers from the 2010 decennial census with NLSY79 population estimates.  Census data are taken from the </w:t>
      </w:r>
      <w:hyperlink w:history="1" r:id="rId11">
        <w:r w:rsidRPr="0007563C">
          <w:rPr>
            <w:rStyle w:val="Hyperlink"/>
            <w:sz w:val="22"/>
            <w:szCs w:val="22"/>
          </w:rPr>
          <w:t xml:space="preserve">American </w:t>
        </w:r>
        <w:proofErr w:type="spellStart"/>
        <w:r w:rsidRPr="0007563C">
          <w:rPr>
            <w:rStyle w:val="Hyperlink"/>
            <w:sz w:val="22"/>
            <w:szCs w:val="22"/>
          </w:rPr>
          <w:t>FactFinder</w:t>
        </w:r>
        <w:proofErr w:type="spellEnd"/>
      </w:hyperlink>
      <w:r w:rsidRPr="0007563C">
        <w:rPr>
          <w:sz w:val="22"/>
          <w:szCs w:val="22"/>
        </w:rPr>
        <w:t xml:space="preserve"> page of the Census Bureau website.</w:t>
      </w:r>
      <w:r w:rsidRPr="0007563C">
        <w:rPr>
          <w:rStyle w:val="FootnoteReference"/>
          <w:sz w:val="22"/>
          <w:szCs w:val="22"/>
        </w:rPr>
        <w:footnoteReference w:customMarkFollows="1" w:id="1"/>
        <w:t>[1]</w:t>
      </w:r>
      <w:r w:rsidRPr="0007563C">
        <w:rPr>
          <w:sz w:val="22"/>
          <w:szCs w:val="22"/>
        </w:rPr>
        <w:t xml:space="preserve">  The American </w:t>
      </w:r>
      <w:proofErr w:type="spellStart"/>
      <w:r w:rsidRPr="0007563C">
        <w:rPr>
          <w:sz w:val="22"/>
          <w:szCs w:val="22"/>
        </w:rPr>
        <w:t>FactFinder</w:t>
      </w:r>
      <w:proofErr w:type="spellEnd"/>
      <w:r w:rsidRPr="0007563C">
        <w:rPr>
          <w:sz w:val="22"/>
          <w:szCs w:val="22"/>
        </w:rPr>
        <w:t xml:space="preserve"> website provides the number of people living in the United States, who were ages 46 to 53 on April 1, 2010, which is the same age group that the NLSY79 sample represents.  NLSY79 population estimates are from the weighted results of the Round 24 (year 2010) survey.</w:t>
      </w:r>
    </w:p>
    <w:p w:rsidRPr="0007563C" w:rsidR="007F19BF" w:rsidRDefault="007F19BF" w14:paraId="5EB527F6" w14:textId="77777777">
      <w:pPr>
        <w:rPr>
          <w:sz w:val="22"/>
        </w:rPr>
      </w:pPr>
    </w:p>
    <w:p w:rsidRPr="0007563C" w:rsidR="00CE4E6C" w:rsidRDefault="00CE4E6C" w14:paraId="7D230BF0" w14:textId="5B0AD1FD">
      <w:pPr>
        <w:rPr>
          <w:sz w:val="22"/>
        </w:rPr>
      </w:pPr>
      <w:r w:rsidRPr="0007563C">
        <w:rPr>
          <w:sz w:val="22"/>
        </w:rPr>
        <w:t xml:space="preserve">Table </w:t>
      </w:r>
      <w:r w:rsidRPr="0007563C" w:rsidR="00302589">
        <w:rPr>
          <w:sz w:val="22"/>
        </w:rPr>
        <w:t>7</w:t>
      </w:r>
      <w:r w:rsidRPr="0007563C">
        <w:rPr>
          <w:sz w:val="22"/>
        </w:rPr>
        <w:t xml:space="preserve"> shows the percentage of the NLSY79 sample and U.S. population by sex and race.  Overall, the table has two signi</w:t>
      </w:r>
      <w:r w:rsidRPr="0007563C" w:rsidR="007F19BF">
        <w:rPr>
          <w:sz w:val="22"/>
        </w:rPr>
        <w:t>ficant features.  First, the 201</w:t>
      </w:r>
      <w:r w:rsidRPr="0007563C">
        <w:rPr>
          <w:sz w:val="22"/>
        </w:rPr>
        <w:t xml:space="preserve">0 NLSY79 sample slightly </w:t>
      </w:r>
      <w:proofErr w:type="spellStart"/>
      <w:r w:rsidRPr="0007563C">
        <w:rPr>
          <w:sz w:val="22"/>
        </w:rPr>
        <w:t>overrepresents</w:t>
      </w:r>
      <w:proofErr w:type="spellEnd"/>
      <w:r w:rsidRPr="0007563C">
        <w:rPr>
          <w:sz w:val="22"/>
        </w:rPr>
        <w:t xml:space="preserve"> men, since there is a larger percentage of men in the NLSY79 sample than in the U.S. population.  For comparison, the original NLSY79 sample in 1979 was composed of 50.8 percent men and 49.2 percent women, while the Census Bureau reported a 1979 population for the same age group that was 50.6 percent men and 49.4 percent women.  (Source:  U.S. Bureau of the Census, publication P25-917, </w:t>
      </w:r>
      <w:r w:rsidRPr="0007563C">
        <w:rPr>
          <w:i/>
          <w:sz w:val="22"/>
        </w:rPr>
        <w:t>Preliminary Estimates of the Population of the United States, by Age, Sex, and Race: 1970 to 1981</w:t>
      </w:r>
      <w:r w:rsidRPr="0007563C">
        <w:rPr>
          <w:sz w:val="22"/>
        </w:rPr>
        <w:t xml:space="preserve">; and 1979 NLSY79 data)  Hence, the current male-female composition of the NLSY79 does not suggest any gender-biased attrition.  Rather, the composition is similar to the sex ratio of the original panel.  Nevertheless, the comparison with the recent Census Bureau estimates may suggest that the NLSY79 sample is experiencing lower male mortality than the overall </w:t>
      </w:r>
      <w:smartTag w:uri="urn:schemas-microsoft-com:office:smarttags" w:element="place">
        <w:smartTag w:uri="urn:schemas-microsoft-com:office:smarttags" w:element="country-region">
          <w:r w:rsidRPr="0007563C">
            <w:rPr>
              <w:sz w:val="22"/>
            </w:rPr>
            <w:t>U.S.</w:t>
          </w:r>
        </w:smartTag>
      </w:smartTag>
      <w:r w:rsidRPr="0007563C">
        <w:rPr>
          <w:sz w:val="22"/>
        </w:rPr>
        <w:t xml:space="preserve"> population of the same age.</w:t>
      </w:r>
    </w:p>
    <w:p w:rsidRPr="0007563C" w:rsidR="00CE4E6C" w:rsidRDefault="00CE4E6C" w14:paraId="448DF664" w14:textId="77777777">
      <w:pPr>
        <w:rPr>
          <w:sz w:val="22"/>
        </w:rPr>
      </w:pPr>
    </w:p>
    <w:p w:rsidRPr="0007563C" w:rsidR="00CE4E6C" w:rsidRDefault="00CE4E6C" w14:paraId="15322C14" w14:textId="77777777">
      <w:pPr>
        <w:rPr>
          <w:sz w:val="22"/>
        </w:rPr>
      </w:pPr>
      <w:r w:rsidRPr="0007563C">
        <w:rPr>
          <w:sz w:val="22"/>
        </w:rPr>
        <w:lastRenderedPageBreak/>
        <w:t xml:space="preserve">Second, the NLSY79 sample underrepresents the current </w:t>
      </w:r>
      <w:smartTag w:uri="urn:schemas-microsoft-com:office:smarttags" w:element="place">
        <w:smartTag w:uri="urn:schemas-microsoft-com:office:smarttags" w:element="country-region">
          <w:r w:rsidRPr="0007563C">
            <w:rPr>
              <w:sz w:val="22"/>
            </w:rPr>
            <w:t>U.S.</w:t>
          </w:r>
        </w:smartTag>
      </w:smartTag>
      <w:r w:rsidRPr="0007563C">
        <w:rPr>
          <w:sz w:val="22"/>
        </w:rPr>
        <w:t xml:space="preserve"> population of Hispanics.  The NLSY79 sample does not include persons who entered the </w:t>
      </w:r>
      <w:smartTag w:uri="urn:schemas-microsoft-com:office:smarttags" w:element="place">
        <w:smartTag w:uri="urn:schemas-microsoft-com:office:smarttags" w:element="country-region">
          <w:r w:rsidRPr="0007563C">
            <w:rPr>
              <w:sz w:val="22"/>
            </w:rPr>
            <w:t>United States</w:t>
          </w:r>
        </w:smartTag>
      </w:smartTag>
      <w:r w:rsidRPr="0007563C">
        <w:rPr>
          <w:sz w:val="22"/>
        </w:rPr>
        <w:t xml:space="preserve"> after 1978, and the rate of immigration among Hispanics has been very high since the NLSY79 sample was selected.  (The differences between the NLSY79 sample and the recent </w:t>
      </w:r>
      <w:smartTag w:uri="urn:schemas-microsoft-com:office:smarttags" w:element="place">
        <w:smartTag w:uri="urn:schemas-microsoft-com:office:smarttags" w:element="country-region">
          <w:r w:rsidRPr="0007563C">
            <w:rPr>
              <w:sz w:val="22"/>
            </w:rPr>
            <w:t>U.S.</w:t>
          </w:r>
        </w:smartTag>
      </w:smartTag>
      <w:r w:rsidRPr="0007563C">
        <w:rPr>
          <w:sz w:val="22"/>
        </w:rPr>
        <w:t xml:space="preserve"> population estimates in the percentages of </w:t>
      </w:r>
      <w:r w:rsidRPr="0007563C" w:rsidR="00725A7A">
        <w:rPr>
          <w:sz w:val="22"/>
        </w:rPr>
        <w:t>nonblack</w:t>
      </w:r>
      <w:r w:rsidRPr="0007563C">
        <w:rPr>
          <w:sz w:val="22"/>
        </w:rPr>
        <w:t xml:space="preserve">/non-Hispanics and black non-Hispanics can be explained largely by the shortfall of Hispanics in the NLSY79 sample.)  Comparing the NLSY79 sample with the </w:t>
      </w:r>
      <w:smartTag w:uri="urn:schemas-microsoft-com:office:smarttags" w:element="place">
        <w:smartTag w:uri="urn:schemas-microsoft-com:office:smarttags" w:element="country-region">
          <w:r w:rsidRPr="0007563C">
            <w:rPr>
              <w:sz w:val="22"/>
            </w:rPr>
            <w:t>U.S.</w:t>
          </w:r>
        </w:smartTag>
      </w:smartTag>
      <w:r w:rsidRPr="0007563C">
        <w:rPr>
          <w:sz w:val="22"/>
        </w:rPr>
        <w:t xml:space="preserve"> population estimates for 1978, the NLSY79 sample correctly represents the Hispanic population on a weighted basis, and as described earlier in this document, the NLSY79 sample intentionally </w:t>
      </w:r>
      <w:proofErr w:type="spellStart"/>
      <w:r w:rsidRPr="0007563C">
        <w:rPr>
          <w:i/>
          <w:sz w:val="22"/>
        </w:rPr>
        <w:t>overrepresents</w:t>
      </w:r>
      <w:proofErr w:type="spellEnd"/>
      <w:r w:rsidRPr="0007563C">
        <w:rPr>
          <w:sz w:val="22"/>
        </w:rPr>
        <w:t xml:space="preserve"> the 1978 Hispanic population on an unweighted basis.</w:t>
      </w:r>
    </w:p>
    <w:p w:rsidRPr="0007563C" w:rsidR="00CE4E6C" w:rsidRDefault="00CE4E6C" w14:paraId="40D1B543" w14:textId="77777777">
      <w:pPr>
        <w:rPr>
          <w:sz w:val="22"/>
        </w:rPr>
      </w:pPr>
    </w:p>
    <w:p w:rsidRPr="0007563C" w:rsidR="00CE4E6C" w:rsidRDefault="00CE4E6C" w14:paraId="48239572" w14:textId="77777777">
      <w:pPr>
        <w:rPr>
          <w:sz w:val="22"/>
        </w:rPr>
      </w:pPr>
      <w:r w:rsidRPr="0007563C">
        <w:rPr>
          <w:sz w:val="22"/>
        </w:rPr>
        <w:t xml:space="preserve">Overall, table </w:t>
      </w:r>
      <w:r w:rsidRPr="0007563C" w:rsidR="004C54B1">
        <w:rPr>
          <w:sz w:val="22"/>
        </w:rPr>
        <w:t>7</w:t>
      </w:r>
      <w:r w:rsidRPr="0007563C">
        <w:rPr>
          <w:sz w:val="22"/>
        </w:rPr>
        <w:t xml:space="preserve"> shows that</w:t>
      </w:r>
      <w:r w:rsidRPr="0007563C" w:rsidR="00F4556E">
        <w:rPr>
          <w:sz w:val="22"/>
        </w:rPr>
        <w:t>,</w:t>
      </w:r>
      <w:r w:rsidRPr="0007563C">
        <w:rPr>
          <w:sz w:val="22"/>
        </w:rPr>
        <w:t xml:space="preserve"> except for the Hispanic population</w:t>
      </w:r>
      <w:r w:rsidRPr="0007563C" w:rsidR="00F4556E">
        <w:rPr>
          <w:sz w:val="22"/>
        </w:rPr>
        <w:t>,</w:t>
      </w:r>
      <w:r w:rsidRPr="0007563C">
        <w:rPr>
          <w:sz w:val="22"/>
        </w:rPr>
        <w:t xml:space="preserve"> the NLSY79 sample still </w:t>
      </w:r>
      <w:r w:rsidRPr="0007563C" w:rsidR="00F4556E">
        <w:rPr>
          <w:sz w:val="22"/>
        </w:rPr>
        <w:t xml:space="preserve">is </w:t>
      </w:r>
      <w:r w:rsidRPr="0007563C">
        <w:rPr>
          <w:sz w:val="22"/>
        </w:rPr>
        <w:t xml:space="preserve">similar to the </w:t>
      </w:r>
      <w:smartTag w:uri="urn:schemas-microsoft-com:office:smarttags" w:element="place">
        <w:smartTag w:uri="urn:schemas-microsoft-com:office:smarttags" w:element="country-region">
          <w:r w:rsidRPr="0007563C">
            <w:rPr>
              <w:sz w:val="22"/>
            </w:rPr>
            <w:t>U.S.</w:t>
          </w:r>
        </w:smartTag>
      </w:smartTag>
      <w:r w:rsidRPr="0007563C">
        <w:rPr>
          <w:sz w:val="22"/>
        </w:rPr>
        <w:t xml:space="preserve"> population estimates for the same age group.  If one accounts for the large amount of Hispanic immigration since the survey began, the remaining differences are not large.  Moreover, the weights that are produced after each round compensate for the modestly different rates of attrition and mortality across demographic groups.</w:t>
      </w:r>
    </w:p>
    <w:p w:rsidRPr="0007563C" w:rsidR="00CE4E6C" w:rsidRDefault="00CE4E6C" w14:paraId="1829028B" w14:textId="77777777">
      <w:pPr>
        <w:rPr>
          <w:sz w:val="22"/>
        </w:rPr>
      </w:pPr>
    </w:p>
    <w:p w:rsidRPr="0007563C" w:rsidR="00CE4E6C" w:rsidRDefault="00CE4E6C" w14:paraId="785356F3" w14:textId="0B5F9220">
      <w:pPr>
        <w:keepNext/>
        <w:jc w:val="center"/>
        <w:rPr>
          <w:b/>
          <w:sz w:val="22"/>
        </w:rPr>
      </w:pPr>
      <w:r w:rsidRPr="0007563C">
        <w:rPr>
          <w:b/>
          <w:sz w:val="22"/>
        </w:rPr>
        <w:t xml:space="preserve">Table </w:t>
      </w:r>
      <w:r w:rsidRPr="0007563C" w:rsidR="004C54B1">
        <w:rPr>
          <w:b/>
          <w:sz w:val="22"/>
        </w:rPr>
        <w:t>7</w:t>
      </w:r>
      <w:r w:rsidRPr="0007563C">
        <w:rPr>
          <w:b/>
          <w:sz w:val="22"/>
        </w:rPr>
        <w:t>.  NLSY79 We</w:t>
      </w:r>
      <w:r w:rsidRPr="0007563C" w:rsidR="00055899">
        <w:rPr>
          <w:b/>
          <w:sz w:val="22"/>
        </w:rPr>
        <w:t>ighted Sample Composition in 201</w:t>
      </w:r>
      <w:r w:rsidRPr="0007563C">
        <w:rPr>
          <w:b/>
          <w:sz w:val="22"/>
        </w:rPr>
        <w:t xml:space="preserve">0 versus U.S. Census Data for Persons </w:t>
      </w:r>
      <w:r w:rsidRPr="0007563C" w:rsidR="00055899">
        <w:rPr>
          <w:b/>
          <w:sz w:val="22"/>
        </w:rPr>
        <w:t>Ages 43 to 56 as of April 1, 201</w:t>
      </w:r>
      <w:r w:rsidRPr="0007563C">
        <w:rPr>
          <w:b/>
          <w:sz w:val="22"/>
        </w:rPr>
        <w:t>0</w:t>
      </w:r>
    </w:p>
    <w:p w:rsidRPr="0007563C" w:rsidR="00CE4E6C" w:rsidRDefault="00CE4E6C" w14:paraId="303B9AEB" w14:textId="77777777">
      <w:pPr>
        <w:keepNext/>
        <w:rPr>
          <w:sz w:val="22"/>
        </w:rPr>
      </w:pPr>
    </w:p>
    <w:tbl>
      <w:tblPr>
        <w:tblW w:w="8064" w:type="dxa"/>
        <w:jc w:val="center"/>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2880"/>
        <w:gridCol w:w="2592"/>
        <w:gridCol w:w="2592"/>
      </w:tblGrid>
      <w:tr w:rsidRPr="0007563C" w:rsidR="00CE4E6C" w:rsidTr="007F19BF" w14:paraId="2D98727A" w14:textId="77777777">
        <w:trPr>
          <w:jc w:val="center"/>
        </w:trPr>
        <w:tc>
          <w:tcPr>
            <w:tcW w:w="2880" w:type="dxa"/>
            <w:tcBorders>
              <w:top w:val="single" w:color="auto" w:sz="6" w:space="0"/>
              <w:bottom w:val="nil"/>
              <w:right w:val="single" w:color="auto" w:sz="6" w:space="0"/>
            </w:tcBorders>
          </w:tcPr>
          <w:p w:rsidRPr="0007563C" w:rsidR="00CE4E6C" w:rsidRDefault="00CE4E6C" w14:paraId="79B2FFE9" w14:textId="77777777">
            <w:pPr>
              <w:keepNext/>
            </w:pPr>
          </w:p>
        </w:tc>
        <w:tc>
          <w:tcPr>
            <w:tcW w:w="2592" w:type="dxa"/>
            <w:tcBorders>
              <w:top w:val="single" w:color="auto" w:sz="6" w:space="0"/>
              <w:left w:val="nil"/>
              <w:bottom w:val="single" w:color="auto" w:sz="6" w:space="0"/>
              <w:right w:val="single" w:color="auto" w:sz="6" w:space="0"/>
            </w:tcBorders>
          </w:tcPr>
          <w:p w:rsidRPr="0007563C" w:rsidR="00CE4E6C" w:rsidRDefault="007F19BF" w14:paraId="631085FA" w14:textId="2B3843A3">
            <w:pPr>
              <w:keepNext/>
              <w:jc w:val="center"/>
              <w:rPr>
                <w:b/>
              </w:rPr>
            </w:pPr>
            <w:r w:rsidRPr="0007563C">
              <w:rPr>
                <w:b/>
              </w:rPr>
              <w:t>201</w:t>
            </w:r>
            <w:r w:rsidRPr="0007563C" w:rsidR="00CE4E6C">
              <w:rPr>
                <w:b/>
              </w:rPr>
              <w:t>0 NLSY79</w:t>
            </w:r>
          </w:p>
        </w:tc>
        <w:tc>
          <w:tcPr>
            <w:tcW w:w="2592" w:type="dxa"/>
            <w:tcBorders>
              <w:top w:val="single" w:color="auto" w:sz="6" w:space="0"/>
              <w:left w:val="nil"/>
              <w:bottom w:val="single" w:color="auto" w:sz="6" w:space="0"/>
            </w:tcBorders>
          </w:tcPr>
          <w:p w:rsidRPr="0007563C" w:rsidR="00CE4E6C" w:rsidRDefault="00CE4E6C" w14:paraId="0BF0BD3D" w14:textId="77777777">
            <w:pPr>
              <w:keepNext/>
              <w:ind w:left="-144" w:right="-144"/>
              <w:jc w:val="center"/>
              <w:rPr>
                <w:b/>
              </w:rPr>
            </w:pPr>
            <w:r w:rsidRPr="0007563C">
              <w:rPr>
                <w:b/>
              </w:rPr>
              <w:t>Census Data</w:t>
            </w:r>
          </w:p>
        </w:tc>
      </w:tr>
      <w:tr w:rsidRPr="0007563C" w:rsidR="007F19BF" w:rsidTr="007F19BF" w14:paraId="7EB7E81A" w14:textId="3B9B4411">
        <w:trPr>
          <w:jc w:val="center"/>
        </w:trPr>
        <w:tc>
          <w:tcPr>
            <w:tcW w:w="2880" w:type="dxa"/>
            <w:tcBorders>
              <w:top w:val="nil"/>
              <w:right w:val="single" w:color="auto" w:sz="6" w:space="0"/>
            </w:tcBorders>
          </w:tcPr>
          <w:p w:rsidRPr="0007563C" w:rsidR="007F19BF" w:rsidP="007F19BF" w:rsidRDefault="007F19BF" w14:paraId="4C6C7754" w14:textId="77777777">
            <w:pPr>
              <w:keepNext/>
              <w:rPr>
                <w:b/>
              </w:rPr>
            </w:pPr>
            <w:r w:rsidRPr="0007563C">
              <w:rPr>
                <w:b/>
              </w:rPr>
              <w:t>Total</w:t>
            </w:r>
          </w:p>
        </w:tc>
        <w:tc>
          <w:tcPr>
            <w:tcW w:w="2592" w:type="dxa"/>
            <w:tcBorders>
              <w:top w:val="single" w:color="auto" w:sz="6" w:space="0"/>
              <w:left w:val="nil"/>
              <w:right w:val="single" w:color="auto" w:sz="6" w:space="0"/>
            </w:tcBorders>
          </w:tcPr>
          <w:p w:rsidRPr="0007563C" w:rsidR="007F19BF" w:rsidP="007F19BF" w:rsidRDefault="007F19BF" w14:paraId="782AB684" w14:textId="77777777">
            <w:pPr>
              <w:keepNext/>
              <w:ind w:right="576"/>
              <w:jc w:val="right"/>
            </w:pPr>
            <w:r w:rsidRPr="0007563C">
              <w:t>100.0%</w:t>
            </w:r>
          </w:p>
        </w:tc>
        <w:tc>
          <w:tcPr>
            <w:tcW w:w="2592" w:type="dxa"/>
            <w:tcBorders>
              <w:top w:val="single" w:color="auto" w:sz="6" w:space="0"/>
              <w:left w:val="nil"/>
            </w:tcBorders>
          </w:tcPr>
          <w:p w:rsidRPr="0007563C" w:rsidR="007F19BF" w:rsidP="007F19BF" w:rsidRDefault="007F19BF" w14:paraId="19A8E077" w14:textId="77777777">
            <w:pPr>
              <w:keepNext/>
              <w:ind w:right="576"/>
              <w:jc w:val="right"/>
            </w:pPr>
            <w:r w:rsidRPr="0007563C">
              <w:t>100.0%</w:t>
            </w:r>
          </w:p>
        </w:tc>
      </w:tr>
      <w:tr w:rsidRPr="0007563C" w:rsidR="007F19BF" w:rsidTr="007F19BF" w14:paraId="23C3162B" w14:textId="218D24B8">
        <w:trPr>
          <w:jc w:val="center"/>
        </w:trPr>
        <w:tc>
          <w:tcPr>
            <w:tcW w:w="2880" w:type="dxa"/>
            <w:tcBorders>
              <w:bottom w:val="nil"/>
              <w:right w:val="single" w:color="auto" w:sz="6" w:space="0"/>
            </w:tcBorders>
          </w:tcPr>
          <w:p w:rsidRPr="0007563C" w:rsidR="007F19BF" w:rsidP="007F19BF" w:rsidRDefault="007F19BF" w14:paraId="70503A75" w14:textId="77777777">
            <w:pPr>
              <w:keepNext/>
            </w:pPr>
            <w:r w:rsidRPr="0007563C">
              <w:t>Men</w:t>
            </w:r>
          </w:p>
        </w:tc>
        <w:tc>
          <w:tcPr>
            <w:tcW w:w="2592" w:type="dxa"/>
            <w:tcBorders>
              <w:left w:val="nil"/>
              <w:bottom w:val="nil"/>
              <w:right w:val="single" w:color="auto" w:sz="6" w:space="0"/>
            </w:tcBorders>
          </w:tcPr>
          <w:p w:rsidRPr="0007563C" w:rsidR="007F19BF" w:rsidP="007F19BF" w:rsidRDefault="007F19BF" w14:paraId="50DF9503" w14:textId="77777777">
            <w:pPr>
              <w:keepNext/>
              <w:ind w:right="576"/>
              <w:jc w:val="right"/>
            </w:pPr>
            <w:r w:rsidRPr="0007563C">
              <w:t>50.9%</w:t>
            </w:r>
          </w:p>
        </w:tc>
        <w:tc>
          <w:tcPr>
            <w:tcW w:w="2592" w:type="dxa"/>
            <w:tcBorders>
              <w:left w:val="nil"/>
              <w:bottom w:val="nil"/>
            </w:tcBorders>
          </w:tcPr>
          <w:p w:rsidRPr="0007563C" w:rsidR="007F19BF" w:rsidP="007F19BF" w:rsidRDefault="007F19BF" w14:paraId="2C646D55" w14:textId="756DE469">
            <w:pPr>
              <w:ind w:right="576"/>
              <w:jc w:val="right"/>
            </w:pPr>
            <w:r w:rsidRPr="0007563C">
              <w:t>49.2%</w:t>
            </w:r>
          </w:p>
        </w:tc>
      </w:tr>
      <w:tr w:rsidRPr="0007563C" w:rsidR="007F19BF" w:rsidTr="007F19BF" w14:paraId="19A26B17" w14:textId="387CBDBB">
        <w:trPr>
          <w:jc w:val="center"/>
        </w:trPr>
        <w:tc>
          <w:tcPr>
            <w:tcW w:w="2880" w:type="dxa"/>
            <w:tcBorders>
              <w:top w:val="nil"/>
              <w:bottom w:val="single" w:color="auto" w:sz="6" w:space="0"/>
              <w:right w:val="single" w:color="auto" w:sz="6" w:space="0"/>
            </w:tcBorders>
          </w:tcPr>
          <w:p w:rsidRPr="0007563C" w:rsidR="007F19BF" w:rsidP="007F19BF" w:rsidRDefault="007F19BF" w14:paraId="0E36439E" w14:textId="77777777">
            <w:pPr>
              <w:keepNext/>
            </w:pPr>
            <w:r w:rsidRPr="0007563C">
              <w:t>Women</w:t>
            </w:r>
          </w:p>
        </w:tc>
        <w:tc>
          <w:tcPr>
            <w:tcW w:w="2592" w:type="dxa"/>
            <w:tcBorders>
              <w:top w:val="nil"/>
              <w:left w:val="nil"/>
              <w:bottom w:val="single" w:color="auto" w:sz="6" w:space="0"/>
              <w:right w:val="single" w:color="auto" w:sz="6" w:space="0"/>
            </w:tcBorders>
          </w:tcPr>
          <w:p w:rsidRPr="0007563C" w:rsidR="007F19BF" w:rsidP="007F19BF" w:rsidRDefault="007F19BF" w14:paraId="52CCCFA0" w14:textId="77777777">
            <w:pPr>
              <w:keepNext/>
              <w:ind w:right="576"/>
              <w:jc w:val="right"/>
            </w:pPr>
            <w:r w:rsidRPr="0007563C">
              <w:t>49.1%</w:t>
            </w:r>
          </w:p>
        </w:tc>
        <w:tc>
          <w:tcPr>
            <w:tcW w:w="2592" w:type="dxa"/>
            <w:tcBorders>
              <w:top w:val="nil"/>
              <w:left w:val="nil"/>
              <w:bottom w:val="single" w:color="auto" w:sz="6" w:space="0"/>
            </w:tcBorders>
          </w:tcPr>
          <w:p w:rsidRPr="0007563C" w:rsidR="007F19BF" w:rsidP="007F19BF" w:rsidRDefault="007F19BF" w14:paraId="1646150E" w14:textId="26B2D33D">
            <w:pPr>
              <w:ind w:right="576"/>
              <w:jc w:val="right"/>
            </w:pPr>
            <w:r w:rsidRPr="0007563C">
              <w:t>50.8%</w:t>
            </w:r>
          </w:p>
        </w:tc>
      </w:tr>
      <w:tr w:rsidRPr="0007563C" w:rsidR="007F19BF" w:rsidTr="007F19BF" w14:paraId="0748EE16" w14:textId="03C6E7A3">
        <w:trPr>
          <w:jc w:val="center"/>
        </w:trPr>
        <w:tc>
          <w:tcPr>
            <w:tcW w:w="2880" w:type="dxa"/>
            <w:tcBorders>
              <w:top w:val="single" w:color="auto" w:sz="6" w:space="0"/>
              <w:right w:val="single" w:color="auto" w:sz="6" w:space="0"/>
            </w:tcBorders>
          </w:tcPr>
          <w:p w:rsidRPr="0007563C" w:rsidR="007F19BF" w:rsidP="007F19BF" w:rsidRDefault="007F19BF" w14:paraId="06F32342" w14:textId="77777777">
            <w:pPr>
              <w:keepNext/>
              <w:rPr>
                <w:b/>
              </w:rPr>
            </w:pPr>
            <w:r w:rsidRPr="0007563C">
              <w:rPr>
                <w:b/>
              </w:rPr>
              <w:t>Nonblack, non-Hispanic</w:t>
            </w:r>
          </w:p>
        </w:tc>
        <w:tc>
          <w:tcPr>
            <w:tcW w:w="2592" w:type="dxa"/>
            <w:tcBorders>
              <w:top w:val="single" w:color="auto" w:sz="6" w:space="0"/>
              <w:left w:val="nil"/>
              <w:right w:val="single" w:color="auto" w:sz="6" w:space="0"/>
            </w:tcBorders>
          </w:tcPr>
          <w:p w:rsidRPr="0007563C" w:rsidR="007F19BF" w:rsidP="007F19BF" w:rsidRDefault="007F19BF" w14:paraId="389C3C8C" w14:textId="77777777">
            <w:pPr>
              <w:keepNext/>
              <w:ind w:right="576"/>
              <w:jc w:val="right"/>
            </w:pPr>
            <w:r w:rsidRPr="0007563C">
              <w:t>79.3%</w:t>
            </w:r>
          </w:p>
        </w:tc>
        <w:tc>
          <w:tcPr>
            <w:tcW w:w="2592" w:type="dxa"/>
            <w:tcBorders>
              <w:top w:val="single" w:color="auto" w:sz="6" w:space="0"/>
              <w:left w:val="nil"/>
            </w:tcBorders>
          </w:tcPr>
          <w:p w:rsidRPr="0007563C" w:rsidR="007F19BF" w:rsidP="007F19BF" w:rsidRDefault="007F19BF" w14:paraId="5CCB88B8" w14:textId="095D34A7">
            <w:pPr>
              <w:ind w:right="576"/>
              <w:jc w:val="right"/>
            </w:pPr>
            <w:r w:rsidRPr="0007563C">
              <w:t>75.9%</w:t>
            </w:r>
          </w:p>
        </w:tc>
      </w:tr>
      <w:tr w:rsidRPr="0007563C" w:rsidR="007F19BF" w:rsidTr="007F19BF" w14:paraId="7CB98CBB" w14:textId="1D08394A">
        <w:trPr>
          <w:jc w:val="center"/>
        </w:trPr>
        <w:tc>
          <w:tcPr>
            <w:tcW w:w="2880" w:type="dxa"/>
            <w:tcBorders>
              <w:bottom w:val="nil"/>
              <w:right w:val="single" w:color="auto" w:sz="6" w:space="0"/>
            </w:tcBorders>
          </w:tcPr>
          <w:p w:rsidRPr="0007563C" w:rsidR="007F19BF" w:rsidP="007F19BF" w:rsidRDefault="007F19BF" w14:paraId="13E28368" w14:textId="77777777">
            <w:pPr>
              <w:keepNext/>
            </w:pPr>
            <w:r w:rsidRPr="0007563C">
              <w:t>Men</w:t>
            </w:r>
          </w:p>
        </w:tc>
        <w:tc>
          <w:tcPr>
            <w:tcW w:w="2592" w:type="dxa"/>
            <w:tcBorders>
              <w:left w:val="nil"/>
              <w:bottom w:val="nil"/>
              <w:right w:val="single" w:color="auto" w:sz="6" w:space="0"/>
            </w:tcBorders>
          </w:tcPr>
          <w:p w:rsidRPr="0007563C" w:rsidR="007F19BF" w:rsidP="007F19BF" w:rsidRDefault="007F19BF" w14:paraId="73D7F635" w14:textId="77777777">
            <w:pPr>
              <w:keepNext/>
              <w:ind w:right="576"/>
              <w:jc w:val="right"/>
            </w:pPr>
            <w:r w:rsidRPr="0007563C">
              <w:t>40.2%</w:t>
            </w:r>
          </w:p>
        </w:tc>
        <w:tc>
          <w:tcPr>
            <w:tcW w:w="2592" w:type="dxa"/>
            <w:tcBorders>
              <w:left w:val="nil"/>
              <w:bottom w:val="nil"/>
            </w:tcBorders>
          </w:tcPr>
          <w:p w:rsidRPr="0007563C" w:rsidR="007F19BF" w:rsidP="007F19BF" w:rsidRDefault="007F19BF" w14:paraId="3F0D4FC2" w14:textId="067EE86B">
            <w:pPr>
              <w:ind w:right="576"/>
              <w:jc w:val="right"/>
            </w:pPr>
            <w:r w:rsidRPr="0007563C">
              <w:t>37.5%</w:t>
            </w:r>
          </w:p>
        </w:tc>
      </w:tr>
      <w:tr w:rsidRPr="0007563C" w:rsidR="007F19BF" w:rsidTr="007F19BF" w14:paraId="3E58070B" w14:textId="0057F083">
        <w:trPr>
          <w:jc w:val="center"/>
        </w:trPr>
        <w:tc>
          <w:tcPr>
            <w:tcW w:w="2880" w:type="dxa"/>
            <w:tcBorders>
              <w:top w:val="nil"/>
              <w:bottom w:val="single" w:color="auto" w:sz="6" w:space="0"/>
              <w:right w:val="single" w:color="auto" w:sz="6" w:space="0"/>
            </w:tcBorders>
          </w:tcPr>
          <w:p w:rsidRPr="0007563C" w:rsidR="007F19BF" w:rsidP="007F19BF" w:rsidRDefault="007F19BF" w14:paraId="7558D82B" w14:textId="77777777">
            <w:pPr>
              <w:keepNext/>
            </w:pPr>
            <w:r w:rsidRPr="0007563C">
              <w:t>Women</w:t>
            </w:r>
          </w:p>
        </w:tc>
        <w:tc>
          <w:tcPr>
            <w:tcW w:w="2592" w:type="dxa"/>
            <w:tcBorders>
              <w:top w:val="nil"/>
              <w:left w:val="nil"/>
              <w:bottom w:val="single" w:color="auto" w:sz="6" w:space="0"/>
              <w:right w:val="single" w:color="auto" w:sz="6" w:space="0"/>
            </w:tcBorders>
          </w:tcPr>
          <w:p w:rsidRPr="0007563C" w:rsidR="007F19BF" w:rsidP="007F19BF" w:rsidRDefault="007F19BF" w14:paraId="6C69DBBC" w14:textId="77777777">
            <w:pPr>
              <w:keepNext/>
              <w:ind w:right="576"/>
              <w:jc w:val="right"/>
            </w:pPr>
            <w:r w:rsidRPr="0007563C">
              <w:t>39.1%</w:t>
            </w:r>
          </w:p>
        </w:tc>
        <w:tc>
          <w:tcPr>
            <w:tcW w:w="2592" w:type="dxa"/>
            <w:tcBorders>
              <w:top w:val="nil"/>
              <w:left w:val="nil"/>
              <w:bottom w:val="single" w:color="auto" w:sz="6" w:space="0"/>
            </w:tcBorders>
          </w:tcPr>
          <w:p w:rsidRPr="0007563C" w:rsidR="007F19BF" w:rsidP="007F19BF" w:rsidRDefault="007F19BF" w14:paraId="341FADB7" w14:textId="1DA06203">
            <w:pPr>
              <w:ind w:right="576"/>
              <w:jc w:val="right"/>
            </w:pPr>
            <w:r w:rsidRPr="0007563C">
              <w:t>38.4%</w:t>
            </w:r>
          </w:p>
        </w:tc>
      </w:tr>
      <w:tr w:rsidRPr="0007563C" w:rsidR="007F19BF" w:rsidTr="007F19BF" w14:paraId="5A8F4B16" w14:textId="1F86A73D">
        <w:trPr>
          <w:jc w:val="center"/>
        </w:trPr>
        <w:tc>
          <w:tcPr>
            <w:tcW w:w="2880" w:type="dxa"/>
            <w:tcBorders>
              <w:top w:val="single" w:color="auto" w:sz="6" w:space="0"/>
              <w:right w:val="single" w:color="auto" w:sz="6" w:space="0"/>
            </w:tcBorders>
          </w:tcPr>
          <w:p w:rsidRPr="0007563C" w:rsidR="007F19BF" w:rsidP="007F19BF" w:rsidRDefault="007F19BF" w14:paraId="5213085D" w14:textId="77777777">
            <w:pPr>
              <w:keepNext/>
              <w:rPr>
                <w:b/>
              </w:rPr>
            </w:pPr>
            <w:r w:rsidRPr="0007563C">
              <w:rPr>
                <w:b/>
              </w:rPr>
              <w:t>Black, non-Hispanic</w:t>
            </w:r>
          </w:p>
        </w:tc>
        <w:tc>
          <w:tcPr>
            <w:tcW w:w="2592" w:type="dxa"/>
            <w:tcBorders>
              <w:top w:val="single" w:color="auto" w:sz="6" w:space="0"/>
              <w:left w:val="nil"/>
              <w:right w:val="single" w:color="auto" w:sz="6" w:space="0"/>
            </w:tcBorders>
          </w:tcPr>
          <w:p w:rsidRPr="0007563C" w:rsidR="007F19BF" w:rsidP="007F19BF" w:rsidRDefault="007F19BF" w14:paraId="3F34A9AF" w14:textId="77777777">
            <w:pPr>
              <w:keepNext/>
              <w:ind w:right="576"/>
              <w:jc w:val="right"/>
            </w:pPr>
            <w:r w:rsidRPr="0007563C">
              <w:t>14.2%</w:t>
            </w:r>
          </w:p>
        </w:tc>
        <w:tc>
          <w:tcPr>
            <w:tcW w:w="2592" w:type="dxa"/>
            <w:tcBorders>
              <w:top w:val="single" w:color="auto" w:sz="6" w:space="0"/>
              <w:left w:val="nil"/>
            </w:tcBorders>
          </w:tcPr>
          <w:p w:rsidRPr="0007563C" w:rsidR="007F19BF" w:rsidP="007F19BF" w:rsidRDefault="007F19BF" w14:paraId="625E6681" w14:textId="2E1BD219">
            <w:pPr>
              <w:ind w:right="576"/>
              <w:jc w:val="right"/>
            </w:pPr>
            <w:r w:rsidRPr="0007563C">
              <w:t>12.0%</w:t>
            </w:r>
          </w:p>
        </w:tc>
      </w:tr>
      <w:tr w:rsidRPr="0007563C" w:rsidR="007F19BF" w:rsidTr="007F19BF" w14:paraId="79D2D07F" w14:textId="69AEF6F1">
        <w:trPr>
          <w:jc w:val="center"/>
        </w:trPr>
        <w:tc>
          <w:tcPr>
            <w:tcW w:w="2880" w:type="dxa"/>
            <w:tcBorders>
              <w:bottom w:val="nil"/>
              <w:right w:val="single" w:color="auto" w:sz="6" w:space="0"/>
            </w:tcBorders>
          </w:tcPr>
          <w:p w:rsidRPr="0007563C" w:rsidR="007F19BF" w:rsidP="007F19BF" w:rsidRDefault="007F19BF" w14:paraId="46407E3B" w14:textId="77777777">
            <w:pPr>
              <w:keepNext/>
            </w:pPr>
            <w:r w:rsidRPr="0007563C">
              <w:t>Men</w:t>
            </w:r>
          </w:p>
        </w:tc>
        <w:tc>
          <w:tcPr>
            <w:tcW w:w="2592" w:type="dxa"/>
            <w:tcBorders>
              <w:left w:val="nil"/>
              <w:bottom w:val="nil"/>
              <w:right w:val="single" w:color="auto" w:sz="6" w:space="0"/>
            </w:tcBorders>
          </w:tcPr>
          <w:p w:rsidRPr="0007563C" w:rsidR="007F19BF" w:rsidP="007F19BF" w:rsidRDefault="007F19BF" w14:paraId="33378536" w14:textId="77777777">
            <w:pPr>
              <w:keepNext/>
              <w:ind w:right="576"/>
              <w:jc w:val="right"/>
            </w:pPr>
            <w:r w:rsidRPr="0007563C">
              <w:t>7.3%</w:t>
            </w:r>
          </w:p>
        </w:tc>
        <w:tc>
          <w:tcPr>
            <w:tcW w:w="2592" w:type="dxa"/>
            <w:tcBorders>
              <w:left w:val="nil"/>
              <w:bottom w:val="nil"/>
            </w:tcBorders>
          </w:tcPr>
          <w:p w:rsidRPr="0007563C" w:rsidR="007F19BF" w:rsidP="007F19BF" w:rsidRDefault="007F19BF" w14:paraId="73FE320B" w14:textId="77777777">
            <w:pPr>
              <w:ind w:right="576"/>
              <w:jc w:val="right"/>
            </w:pPr>
            <w:r w:rsidRPr="0007563C">
              <w:t>5.7%</w:t>
            </w:r>
          </w:p>
        </w:tc>
      </w:tr>
      <w:tr w:rsidRPr="0007563C" w:rsidR="007F19BF" w:rsidTr="007F19BF" w14:paraId="5B2AE4E7" w14:textId="2A5A18AE">
        <w:trPr>
          <w:jc w:val="center"/>
        </w:trPr>
        <w:tc>
          <w:tcPr>
            <w:tcW w:w="2880" w:type="dxa"/>
            <w:tcBorders>
              <w:top w:val="nil"/>
              <w:bottom w:val="single" w:color="auto" w:sz="6" w:space="0"/>
              <w:right w:val="single" w:color="auto" w:sz="6" w:space="0"/>
            </w:tcBorders>
          </w:tcPr>
          <w:p w:rsidRPr="0007563C" w:rsidR="007F19BF" w:rsidP="007F19BF" w:rsidRDefault="007F19BF" w14:paraId="279585C2" w14:textId="77777777">
            <w:pPr>
              <w:keepNext/>
            </w:pPr>
            <w:r w:rsidRPr="0007563C">
              <w:t>Women</w:t>
            </w:r>
          </w:p>
        </w:tc>
        <w:tc>
          <w:tcPr>
            <w:tcW w:w="2592" w:type="dxa"/>
            <w:tcBorders>
              <w:top w:val="nil"/>
              <w:left w:val="nil"/>
              <w:bottom w:val="single" w:color="auto" w:sz="6" w:space="0"/>
              <w:right w:val="single" w:color="auto" w:sz="6" w:space="0"/>
            </w:tcBorders>
          </w:tcPr>
          <w:p w:rsidRPr="0007563C" w:rsidR="007F19BF" w:rsidP="007F19BF" w:rsidRDefault="007F19BF" w14:paraId="2E39336D" w14:textId="77777777">
            <w:pPr>
              <w:keepNext/>
              <w:ind w:right="576"/>
              <w:jc w:val="right"/>
            </w:pPr>
            <w:r w:rsidRPr="0007563C">
              <w:t>6.9%</w:t>
            </w:r>
          </w:p>
        </w:tc>
        <w:tc>
          <w:tcPr>
            <w:tcW w:w="2592" w:type="dxa"/>
            <w:tcBorders>
              <w:top w:val="nil"/>
              <w:left w:val="nil"/>
              <w:bottom w:val="single" w:color="auto" w:sz="6" w:space="0"/>
            </w:tcBorders>
          </w:tcPr>
          <w:p w:rsidRPr="0007563C" w:rsidR="007F19BF" w:rsidP="007F19BF" w:rsidRDefault="007F19BF" w14:paraId="6376AF2B" w14:textId="77777777">
            <w:pPr>
              <w:ind w:right="576"/>
              <w:jc w:val="right"/>
            </w:pPr>
            <w:r w:rsidRPr="0007563C">
              <w:t>6.4%</w:t>
            </w:r>
          </w:p>
        </w:tc>
      </w:tr>
      <w:tr w:rsidRPr="0007563C" w:rsidR="007F19BF" w:rsidTr="007F19BF" w14:paraId="219DC0C5" w14:textId="09313632">
        <w:trPr>
          <w:jc w:val="center"/>
        </w:trPr>
        <w:tc>
          <w:tcPr>
            <w:tcW w:w="2880" w:type="dxa"/>
            <w:tcBorders>
              <w:top w:val="single" w:color="auto" w:sz="6" w:space="0"/>
              <w:right w:val="single" w:color="auto" w:sz="6" w:space="0"/>
            </w:tcBorders>
          </w:tcPr>
          <w:p w:rsidRPr="0007563C" w:rsidR="007F19BF" w:rsidP="007F19BF" w:rsidRDefault="007F19BF" w14:paraId="179C5B6B" w14:textId="77777777">
            <w:pPr>
              <w:keepNext/>
              <w:rPr>
                <w:b/>
              </w:rPr>
            </w:pPr>
            <w:r w:rsidRPr="0007563C">
              <w:rPr>
                <w:b/>
              </w:rPr>
              <w:t>Hispanic</w:t>
            </w:r>
          </w:p>
        </w:tc>
        <w:tc>
          <w:tcPr>
            <w:tcW w:w="2592" w:type="dxa"/>
            <w:tcBorders>
              <w:top w:val="single" w:color="auto" w:sz="6" w:space="0"/>
              <w:left w:val="nil"/>
              <w:right w:val="single" w:color="auto" w:sz="6" w:space="0"/>
            </w:tcBorders>
          </w:tcPr>
          <w:p w:rsidRPr="0007563C" w:rsidR="007F19BF" w:rsidP="007F19BF" w:rsidRDefault="007F19BF" w14:paraId="646BE81E" w14:textId="77777777">
            <w:pPr>
              <w:keepNext/>
              <w:ind w:right="576"/>
              <w:jc w:val="right"/>
            </w:pPr>
            <w:r w:rsidRPr="0007563C">
              <w:t>6.5%</w:t>
            </w:r>
          </w:p>
        </w:tc>
        <w:tc>
          <w:tcPr>
            <w:tcW w:w="2592" w:type="dxa"/>
            <w:tcBorders>
              <w:top w:val="single" w:color="auto" w:sz="6" w:space="0"/>
              <w:left w:val="nil"/>
            </w:tcBorders>
          </w:tcPr>
          <w:p w:rsidRPr="0007563C" w:rsidR="007F19BF" w:rsidP="007F19BF" w:rsidRDefault="007F19BF" w14:paraId="1AB4B558" w14:textId="4DF4DF98">
            <w:pPr>
              <w:ind w:right="576"/>
              <w:jc w:val="right"/>
            </w:pPr>
            <w:r w:rsidRPr="0007563C">
              <w:t>12.0%</w:t>
            </w:r>
          </w:p>
        </w:tc>
      </w:tr>
      <w:tr w:rsidRPr="0007563C" w:rsidR="007F19BF" w:rsidTr="007F19BF" w14:paraId="3FEF6F40" w14:textId="7A6B0937">
        <w:trPr>
          <w:jc w:val="center"/>
        </w:trPr>
        <w:tc>
          <w:tcPr>
            <w:tcW w:w="2880" w:type="dxa"/>
            <w:tcBorders>
              <w:right w:val="single" w:color="auto" w:sz="6" w:space="0"/>
            </w:tcBorders>
          </w:tcPr>
          <w:p w:rsidRPr="0007563C" w:rsidR="007F19BF" w:rsidP="007F19BF" w:rsidRDefault="007F19BF" w14:paraId="3BF90A34" w14:textId="77777777">
            <w:pPr>
              <w:keepNext/>
            </w:pPr>
            <w:r w:rsidRPr="0007563C">
              <w:t>Men</w:t>
            </w:r>
          </w:p>
        </w:tc>
        <w:tc>
          <w:tcPr>
            <w:tcW w:w="2592" w:type="dxa"/>
            <w:tcBorders>
              <w:left w:val="nil"/>
              <w:right w:val="single" w:color="auto" w:sz="6" w:space="0"/>
            </w:tcBorders>
          </w:tcPr>
          <w:p w:rsidRPr="0007563C" w:rsidR="007F19BF" w:rsidP="007F19BF" w:rsidRDefault="007F19BF" w14:paraId="5C092F0D" w14:textId="77777777">
            <w:pPr>
              <w:keepNext/>
              <w:ind w:right="576"/>
              <w:jc w:val="right"/>
            </w:pPr>
            <w:r w:rsidRPr="0007563C">
              <w:t>3.4%</w:t>
            </w:r>
          </w:p>
        </w:tc>
        <w:tc>
          <w:tcPr>
            <w:tcW w:w="2592" w:type="dxa"/>
            <w:tcBorders>
              <w:left w:val="nil"/>
            </w:tcBorders>
          </w:tcPr>
          <w:p w:rsidRPr="0007563C" w:rsidR="007F19BF" w:rsidP="007F19BF" w:rsidRDefault="007F19BF" w14:paraId="675EEE78" w14:textId="77777777">
            <w:pPr>
              <w:ind w:right="576"/>
              <w:jc w:val="right"/>
            </w:pPr>
            <w:r w:rsidRPr="0007563C">
              <w:t>6.0%</w:t>
            </w:r>
          </w:p>
        </w:tc>
      </w:tr>
      <w:tr w:rsidRPr="0007563C" w:rsidR="007F19BF" w:rsidTr="007F19BF" w14:paraId="07BCAFB4" w14:textId="41DCE590">
        <w:trPr>
          <w:jc w:val="center"/>
        </w:trPr>
        <w:tc>
          <w:tcPr>
            <w:tcW w:w="2880" w:type="dxa"/>
            <w:tcBorders>
              <w:bottom w:val="single" w:color="auto" w:sz="6" w:space="0"/>
              <w:right w:val="single" w:color="auto" w:sz="6" w:space="0"/>
            </w:tcBorders>
          </w:tcPr>
          <w:p w:rsidRPr="0007563C" w:rsidR="007F19BF" w:rsidP="007F19BF" w:rsidRDefault="007F19BF" w14:paraId="5F8BB52D" w14:textId="77777777">
            <w:r w:rsidRPr="0007563C">
              <w:t>Women</w:t>
            </w:r>
          </w:p>
        </w:tc>
        <w:tc>
          <w:tcPr>
            <w:tcW w:w="2592" w:type="dxa"/>
            <w:tcBorders>
              <w:left w:val="nil"/>
              <w:bottom w:val="single" w:color="auto" w:sz="6" w:space="0"/>
              <w:right w:val="single" w:color="auto" w:sz="6" w:space="0"/>
            </w:tcBorders>
          </w:tcPr>
          <w:p w:rsidRPr="0007563C" w:rsidR="007F19BF" w:rsidP="007F19BF" w:rsidRDefault="007F19BF" w14:paraId="0DB271C4" w14:textId="77777777">
            <w:pPr>
              <w:ind w:right="576"/>
              <w:jc w:val="right"/>
            </w:pPr>
            <w:r w:rsidRPr="0007563C">
              <w:t>3.1%</w:t>
            </w:r>
          </w:p>
        </w:tc>
        <w:tc>
          <w:tcPr>
            <w:tcW w:w="2592" w:type="dxa"/>
            <w:tcBorders>
              <w:left w:val="nil"/>
            </w:tcBorders>
          </w:tcPr>
          <w:p w:rsidRPr="0007563C" w:rsidR="007F19BF" w:rsidP="007F19BF" w:rsidRDefault="007F19BF" w14:paraId="11C32DB2" w14:textId="1FCCA520">
            <w:pPr>
              <w:ind w:right="576"/>
              <w:jc w:val="right"/>
            </w:pPr>
            <w:r w:rsidRPr="0007563C">
              <w:t>6.0%</w:t>
            </w:r>
          </w:p>
        </w:tc>
      </w:tr>
    </w:tbl>
    <w:p w:rsidRPr="0007563C" w:rsidR="00CE4E6C" w:rsidRDefault="00CE4E6C" w14:paraId="6CAD3C0B" w14:textId="77777777"/>
    <w:p w:rsidRPr="0007563C" w:rsidR="00CE4E6C" w:rsidRDefault="00CE4E6C" w14:paraId="4CE55FEA" w14:textId="77777777">
      <w:pPr>
        <w:pStyle w:val="TOC4"/>
        <w:tabs>
          <w:tab w:val="clear" w:pos="8668"/>
        </w:tabs>
        <w:ind w:left="0"/>
      </w:pPr>
    </w:p>
    <w:p w:rsidRPr="0007563C" w:rsidR="00CE4E6C" w:rsidRDefault="00CE4E6C" w14:paraId="169D7FD5" w14:textId="77777777">
      <w:pPr>
        <w:pStyle w:val="Heading3"/>
        <w:spacing w:before="0" w:after="0"/>
      </w:pPr>
      <w:bookmarkStart w:name="_Toc374533446" w:id="5"/>
      <w:r w:rsidRPr="0007563C">
        <w:t>4.  Testing of Questionnaire Items</w:t>
      </w:r>
      <w:bookmarkEnd w:id="5"/>
    </w:p>
    <w:p w:rsidRPr="0007563C" w:rsidR="00F4556E" w:rsidP="00F4556E" w:rsidRDefault="00F4556E" w14:paraId="333DD077" w14:textId="77777777">
      <w:pPr>
        <w:rPr>
          <w:sz w:val="22"/>
          <w:szCs w:val="22"/>
        </w:rPr>
      </w:pPr>
      <w:r w:rsidRPr="0007563C">
        <w:rPr>
          <w:sz w:val="22"/>
          <w:szCs w:val="22"/>
        </w:rPr>
        <w:t>BLS is cautious about adding items to the NLSY7</w:t>
      </w:r>
      <w:r w:rsidRPr="0007563C" w:rsidR="005F7398">
        <w:rPr>
          <w:sz w:val="22"/>
          <w:szCs w:val="22"/>
        </w:rPr>
        <w:t>9</w:t>
      </w:r>
      <w:r w:rsidRPr="0007563C">
        <w:rPr>
          <w:sz w:val="22"/>
          <w:szCs w:val="22"/>
        </w:rPr>
        <w:t xml:space="preserve"> questionnaire.  Because the survey is longitudinal, poorly designed questions can result in flawed data and lost opportunities to capture contemporaneous information about important events in respondents’ lives.  Poorly designed questions also can cause respondents to react negatively, making their future cooperation less likely.  Thus, the NLSY7</w:t>
      </w:r>
      <w:r w:rsidRPr="0007563C" w:rsidR="005F7398">
        <w:rPr>
          <w:sz w:val="22"/>
          <w:szCs w:val="22"/>
        </w:rPr>
        <w:t>9</w:t>
      </w:r>
      <w:r w:rsidRPr="0007563C">
        <w:rPr>
          <w:sz w:val="22"/>
          <w:szCs w:val="22"/>
        </w:rPr>
        <w:t xml:space="preserve"> design process employs a multi-tiered approach to the testing and review of questionnaire items.</w:t>
      </w:r>
    </w:p>
    <w:p w:rsidRPr="0007563C" w:rsidR="00F4556E" w:rsidP="00F4556E" w:rsidRDefault="00F4556E" w14:paraId="65734703" w14:textId="77777777">
      <w:pPr>
        <w:rPr>
          <w:sz w:val="22"/>
          <w:szCs w:val="22"/>
        </w:rPr>
      </w:pPr>
    </w:p>
    <w:p w:rsidRPr="0007563C" w:rsidR="00F4556E" w:rsidP="00F4556E" w:rsidRDefault="00F4556E" w14:paraId="12781981" w14:textId="79BC63F2">
      <w:pPr>
        <w:rPr>
          <w:sz w:val="22"/>
          <w:szCs w:val="22"/>
        </w:rPr>
      </w:pPr>
      <w:r w:rsidRPr="0007563C">
        <w:rPr>
          <w:sz w:val="22"/>
          <w:szCs w:val="22"/>
        </w:rPr>
        <w:t>When new items are proposed for the NLSY7</w:t>
      </w:r>
      <w:r w:rsidRPr="0007563C" w:rsidR="005F7398">
        <w:rPr>
          <w:sz w:val="22"/>
          <w:szCs w:val="22"/>
        </w:rPr>
        <w:t>9</w:t>
      </w:r>
      <w:r w:rsidRPr="0007563C">
        <w:rPr>
          <w:sz w:val="22"/>
          <w:szCs w:val="22"/>
        </w:rPr>
        <w:t xml:space="preserve"> questionnaire, we often adopt questions that have been used previously in probability sample surveys.  We have favored questions from the other surveys in the BLS National Longitudinal Surveys program to facilitate intergenerational comparisons.  We also have used items from the Current Population Survey, the Federal Reserve Board’s Survey of Consumer Finances, the National Science Foundation-funded General Social Survey, </w:t>
      </w:r>
      <w:r w:rsidRPr="0007563C" w:rsidR="00FE75BB">
        <w:rPr>
          <w:sz w:val="22"/>
          <w:szCs w:val="22"/>
        </w:rPr>
        <w:t>the National Institute of Aging-funded Health and Retirement Study</w:t>
      </w:r>
      <w:r w:rsidRPr="0007563C" w:rsidR="006051F3">
        <w:rPr>
          <w:sz w:val="22"/>
          <w:szCs w:val="22"/>
        </w:rPr>
        <w:t xml:space="preserve"> and Midlife in the United States</w:t>
      </w:r>
      <w:r w:rsidRPr="0007563C" w:rsidR="00FE75BB">
        <w:rPr>
          <w:sz w:val="22"/>
          <w:szCs w:val="22"/>
        </w:rPr>
        <w:t xml:space="preserve">, </w:t>
      </w:r>
      <w:r w:rsidRPr="0007563C">
        <w:rPr>
          <w:sz w:val="22"/>
          <w:szCs w:val="22"/>
        </w:rPr>
        <w:t>and other Federally funded surveys.</w:t>
      </w:r>
    </w:p>
    <w:p w:rsidRPr="0007563C" w:rsidR="00F4556E" w:rsidP="00F4556E" w:rsidRDefault="00F4556E" w14:paraId="2477346B" w14:textId="77777777">
      <w:pPr>
        <w:rPr>
          <w:sz w:val="22"/>
          <w:szCs w:val="22"/>
        </w:rPr>
      </w:pPr>
    </w:p>
    <w:p w:rsidRPr="0007563C" w:rsidR="00F4556E" w:rsidP="00F4556E" w:rsidRDefault="006051F3" w14:paraId="0C22BC73" w14:textId="53B67825">
      <w:pPr>
        <w:rPr>
          <w:sz w:val="22"/>
          <w:szCs w:val="22"/>
        </w:rPr>
      </w:pPr>
      <w:r w:rsidRPr="0007563C">
        <w:rPr>
          <w:sz w:val="22"/>
          <w:szCs w:val="22"/>
        </w:rPr>
        <w:t>N</w:t>
      </w:r>
      <w:r w:rsidRPr="0007563C" w:rsidR="00F4556E">
        <w:rPr>
          <w:sz w:val="22"/>
          <w:szCs w:val="22"/>
        </w:rPr>
        <w:t>ew questions are reviewed in their proposed NLSY7</w:t>
      </w:r>
      <w:r w:rsidRPr="0007563C" w:rsidR="005F7398">
        <w:rPr>
          <w:sz w:val="22"/>
          <w:szCs w:val="22"/>
        </w:rPr>
        <w:t>9</w:t>
      </w:r>
      <w:r w:rsidRPr="0007563C" w:rsidR="00F4556E">
        <w:rPr>
          <w:sz w:val="22"/>
          <w:szCs w:val="22"/>
        </w:rPr>
        <w:t xml:space="preserve"> context by survey methodologists who consider the appropriateness of questions (reference period, terms and definitions used, sensitivity, </w:t>
      </w:r>
      <w:r w:rsidRPr="0007563C" w:rsidR="00F4556E">
        <w:rPr>
          <w:sz w:val="22"/>
          <w:szCs w:val="22"/>
        </w:rPr>
        <w:lastRenderedPageBreak/>
        <w:t>and so forth).  Questions that are not well-tested with NLSY7</w:t>
      </w:r>
      <w:r w:rsidRPr="0007563C" w:rsidR="005F7398">
        <w:rPr>
          <w:sz w:val="22"/>
          <w:szCs w:val="22"/>
        </w:rPr>
        <w:t>9</w:t>
      </w:r>
      <w:r w:rsidRPr="0007563C" w:rsidR="00F4556E">
        <w:rPr>
          <w:sz w:val="22"/>
          <w:szCs w:val="22"/>
        </w:rPr>
        <w:t>-type respondents undergo cognitive testing with convenience samples of respondents similar to the NLSY7</w:t>
      </w:r>
      <w:r w:rsidRPr="0007563C" w:rsidR="005F7398">
        <w:rPr>
          <w:sz w:val="22"/>
          <w:szCs w:val="22"/>
        </w:rPr>
        <w:t>9 sample members.</w:t>
      </w:r>
    </w:p>
    <w:p w:rsidRPr="0007563C" w:rsidR="00F4556E" w:rsidP="00F4556E" w:rsidRDefault="00F4556E" w14:paraId="2BA43782" w14:textId="77777777">
      <w:pPr>
        <w:rPr>
          <w:sz w:val="22"/>
          <w:szCs w:val="22"/>
        </w:rPr>
      </w:pPr>
    </w:p>
    <w:p w:rsidRPr="0007563C" w:rsidR="00F4556E" w:rsidP="00F4556E" w:rsidRDefault="00F4556E" w14:paraId="55F244C0" w14:textId="79AA61DE">
      <w:pPr>
        <w:rPr>
          <w:sz w:val="22"/>
          <w:szCs w:val="22"/>
        </w:rPr>
      </w:pPr>
      <w:r w:rsidRPr="0007563C">
        <w:rPr>
          <w:sz w:val="22"/>
          <w:szCs w:val="22"/>
        </w:rPr>
        <w:t>Existing questions are also reviewed each year.  Respondents’ age and their life circumstances change, as does the societal environment in which the survey is conducted.  Reviews of the data help us to identify questions that may cause respondent confusion, require revised response categories, or generate questionable data.  Sources of information for these reviews include the questionnaire response data themselves, comments made by interviewers or respondents during the course of the interview, interviewer remarks after the interview, interviewer inquiries or comments throughout the course of data collection, other-specify coding, and comparison of NLSY7</w:t>
      </w:r>
      <w:r w:rsidRPr="0007563C" w:rsidR="005F7398">
        <w:rPr>
          <w:sz w:val="22"/>
          <w:szCs w:val="22"/>
        </w:rPr>
        <w:t>9</w:t>
      </w:r>
      <w:r w:rsidRPr="0007563C">
        <w:rPr>
          <w:sz w:val="22"/>
          <w:szCs w:val="22"/>
        </w:rPr>
        <w:t xml:space="preserve"> response data to other sources for external validation.  We also watch carefully the “leading edge” respondents, who answer some questions before the bulk of the sample – for </w:t>
      </w:r>
      <w:bookmarkStart w:name="_GoBack" w:id="6"/>
      <w:bookmarkEnd w:id="6"/>
      <w:r w:rsidRPr="0007563C">
        <w:rPr>
          <w:sz w:val="22"/>
          <w:szCs w:val="22"/>
        </w:rPr>
        <w:t>example, the first respon</w:t>
      </w:r>
      <w:r w:rsidRPr="0007563C" w:rsidR="00FE75BB">
        <w:rPr>
          <w:sz w:val="22"/>
          <w:szCs w:val="22"/>
        </w:rPr>
        <w:t xml:space="preserve">dents to attend graduate school, </w:t>
      </w:r>
      <w:r w:rsidRPr="0007563C">
        <w:rPr>
          <w:sz w:val="22"/>
          <w:szCs w:val="22"/>
        </w:rPr>
        <w:t>to get a divorce</w:t>
      </w:r>
      <w:r w:rsidRPr="0007563C" w:rsidR="00FE75BB">
        <w:rPr>
          <w:sz w:val="22"/>
          <w:szCs w:val="22"/>
        </w:rPr>
        <w:t>, or to retire from the labor force</w:t>
      </w:r>
      <w:r w:rsidRPr="0007563C">
        <w:rPr>
          <w:sz w:val="22"/>
          <w:szCs w:val="22"/>
        </w:rPr>
        <w:t>.  These respondents are often atypical, but their interviews can reveal problems in question functionality or comprehensibility.</w:t>
      </w:r>
    </w:p>
    <w:p w:rsidRPr="0007563C" w:rsidR="00F4556E" w:rsidP="00F4556E" w:rsidRDefault="00F4556E" w14:paraId="4A446160" w14:textId="77777777">
      <w:pPr>
        <w:rPr>
          <w:sz w:val="22"/>
          <w:szCs w:val="22"/>
        </w:rPr>
      </w:pPr>
    </w:p>
    <w:p w:rsidRPr="0007563C" w:rsidR="00F4556E" w:rsidP="00F4556E" w:rsidRDefault="00F4556E" w14:paraId="031F7ADD" w14:textId="77777777">
      <w:pPr>
        <w:rPr>
          <w:sz w:val="22"/>
          <w:szCs w:val="22"/>
        </w:rPr>
      </w:pPr>
      <w:r w:rsidRPr="0007563C">
        <w:rPr>
          <w:sz w:val="22"/>
          <w:szCs w:val="22"/>
        </w:rPr>
        <w:t>Although further edits to questionnaire wording are extremely rare, we monitor the first several hundred interviews each round with particular care.  Based on this monitoring, field interviewers receive supplemental training on how best to administer questions that seem to be causing difficulty in the field or generating unexpected discrepancies in the data.</w:t>
      </w:r>
    </w:p>
    <w:p w:rsidRPr="0007563C" w:rsidR="00F4556E" w:rsidRDefault="00F4556E" w14:paraId="69B919DE" w14:textId="77777777">
      <w:pPr>
        <w:rPr>
          <w:sz w:val="22"/>
          <w:szCs w:val="22"/>
        </w:rPr>
      </w:pPr>
    </w:p>
    <w:p w:rsidRPr="0007563C" w:rsidR="00CE4E6C" w:rsidRDefault="00CE4E6C" w14:paraId="7D225295" w14:textId="3D19AEB3">
      <w:pPr>
        <w:pStyle w:val="Heading3"/>
        <w:spacing w:before="0" w:after="0"/>
      </w:pPr>
      <w:bookmarkStart w:name="_Toc374533447" w:id="7"/>
      <w:r w:rsidRPr="0007563C">
        <w:t>5.  Statistical Consultant</w:t>
      </w:r>
      <w:bookmarkEnd w:id="7"/>
      <w:r w:rsidRPr="0007563C" w:rsidR="00C64048">
        <w:t>s</w:t>
      </w:r>
    </w:p>
    <w:p w:rsidRPr="0007563C" w:rsidR="00C64048" w:rsidP="00F76D48" w:rsidRDefault="00C64048" w14:paraId="14673BB9" w14:textId="77777777">
      <w:pPr>
        <w:pStyle w:val="ListParagraph"/>
        <w:rPr>
          <w:rFonts w:ascii="Times New Roman" w:hAnsi="Times New Roman"/>
        </w:rPr>
      </w:pPr>
      <w:r w:rsidRPr="0007563C">
        <w:rPr>
          <w:rFonts w:ascii="Times New Roman" w:hAnsi="Times New Roman"/>
        </w:rPr>
        <w:t xml:space="preserve">Susan Paddock </w:t>
      </w:r>
    </w:p>
    <w:p w:rsidRPr="0007563C" w:rsidR="00C64048" w:rsidP="00F76D48" w:rsidRDefault="00C64048" w14:paraId="6C2B81C7" w14:textId="77777777">
      <w:pPr>
        <w:pStyle w:val="ListParagraph"/>
        <w:rPr>
          <w:rFonts w:ascii="Times New Roman" w:hAnsi="Times New Roman"/>
        </w:rPr>
      </w:pPr>
      <w:r w:rsidRPr="0007563C">
        <w:rPr>
          <w:rFonts w:ascii="Times New Roman" w:hAnsi="Times New Roman"/>
        </w:rPr>
        <w:t xml:space="preserve">Chief </w:t>
      </w:r>
      <w:proofErr w:type="spellStart"/>
      <w:r w:rsidRPr="0007563C">
        <w:rPr>
          <w:rFonts w:ascii="Times New Roman" w:hAnsi="Times New Roman"/>
        </w:rPr>
        <w:t>Statisticisan</w:t>
      </w:r>
      <w:proofErr w:type="spellEnd"/>
    </w:p>
    <w:p w:rsidRPr="0007563C" w:rsidR="00F76D48" w:rsidP="00F76D48" w:rsidRDefault="00C64048" w14:paraId="149CCF11" w14:textId="380BF896">
      <w:pPr>
        <w:pStyle w:val="ListParagraph"/>
        <w:rPr>
          <w:rFonts w:ascii="Times New Roman" w:hAnsi="Times New Roman"/>
        </w:rPr>
      </w:pPr>
      <w:r w:rsidRPr="0007563C">
        <w:rPr>
          <w:rFonts w:ascii="Times New Roman" w:hAnsi="Times New Roman"/>
        </w:rPr>
        <w:t>NORC</w:t>
      </w:r>
      <w:r w:rsidRPr="0007563C" w:rsidR="00F76D48">
        <w:rPr>
          <w:rFonts w:ascii="Times New Roman" w:hAnsi="Times New Roman"/>
        </w:rPr>
        <w:t xml:space="preserve"> </w:t>
      </w:r>
    </w:p>
    <w:p w:rsidRPr="0007563C" w:rsidR="00F76D48" w:rsidP="00F76D48" w:rsidRDefault="00F76D48" w14:paraId="18B33A11" w14:textId="77777777">
      <w:pPr>
        <w:pStyle w:val="ListParagraph"/>
        <w:rPr>
          <w:rFonts w:ascii="Times New Roman" w:hAnsi="Times New Roman"/>
        </w:rPr>
      </w:pPr>
    </w:p>
    <w:p w:rsidRPr="0007563C" w:rsidR="00C64048" w:rsidP="00F76D48" w:rsidRDefault="00C64048" w14:paraId="7B66AA9C" w14:textId="77777777">
      <w:pPr>
        <w:pStyle w:val="ListParagraph"/>
        <w:rPr>
          <w:rFonts w:ascii="Times New Roman" w:hAnsi="Times New Roman"/>
        </w:rPr>
      </w:pPr>
      <w:r w:rsidRPr="0007563C">
        <w:rPr>
          <w:rFonts w:ascii="Times New Roman" w:hAnsi="Times New Roman"/>
        </w:rPr>
        <w:t xml:space="preserve">Elizabeth </w:t>
      </w:r>
      <w:proofErr w:type="spellStart"/>
      <w:r w:rsidRPr="0007563C">
        <w:rPr>
          <w:rFonts w:ascii="Times New Roman" w:hAnsi="Times New Roman"/>
        </w:rPr>
        <w:t>Stasny</w:t>
      </w:r>
      <w:proofErr w:type="spellEnd"/>
    </w:p>
    <w:p w:rsidRPr="0007563C" w:rsidR="00F76D48" w:rsidP="00F76D48" w:rsidRDefault="00F76D48" w14:paraId="62E8B60C" w14:textId="5F0E27CC">
      <w:pPr>
        <w:pStyle w:val="ListParagraph"/>
        <w:rPr>
          <w:rFonts w:ascii="Times New Roman" w:hAnsi="Times New Roman"/>
        </w:rPr>
      </w:pPr>
      <w:r w:rsidRPr="0007563C">
        <w:rPr>
          <w:rFonts w:ascii="Times New Roman" w:hAnsi="Times New Roman"/>
        </w:rPr>
        <w:t>CHRR</w:t>
      </w:r>
    </w:p>
    <w:p w:rsidRPr="0007563C" w:rsidR="00A91E73" w:rsidP="00A91E73" w:rsidRDefault="00A91E73" w14:paraId="2558F348" w14:textId="2FB58CD6">
      <w:pPr>
        <w:ind w:left="720"/>
        <w:rPr>
          <w:sz w:val="22"/>
          <w:szCs w:val="22"/>
        </w:rPr>
      </w:pPr>
    </w:p>
    <w:sectPr w:rsidRPr="0007563C" w:rsidR="00A91E73" w:rsidSect="00E3450E">
      <w:footerReference w:type="even" r:id="rId12"/>
      <w:footerReference w:type="default" r:id="rId13"/>
      <w:footnotePr>
        <w:numRestart w:val="eachSect"/>
      </w:footnotePr>
      <w:type w:val="nextColumn"/>
      <w:pgSz w:w="12240" w:h="15840" w:code="1"/>
      <w:pgMar w:top="1440" w:right="1771" w:bottom="1296" w:left="177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A66086" w14:textId="77777777" w:rsidR="003A21E6" w:rsidRDefault="003A21E6">
      <w:r>
        <w:separator/>
      </w:r>
    </w:p>
  </w:endnote>
  <w:endnote w:type="continuationSeparator" w:id="0">
    <w:p w14:paraId="49F50A17" w14:textId="77777777" w:rsidR="003A21E6" w:rsidRDefault="003A2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34E3E" w14:textId="77777777" w:rsidR="0001219B" w:rsidRDefault="0001219B">
    <w:pPr>
      <w:pStyle w:val="Footer"/>
      <w:framePr w:wrap="around" w:vAnchor="text" w:hAnchor="margin" w:xAlign="center" w:y="1"/>
      <w:ind w:right="360" w:firstLine="360"/>
      <w:rPr>
        <w:rStyle w:val="PageNumber"/>
      </w:rPr>
    </w:pPr>
  </w:p>
  <w:p w14:paraId="21DD7379" w14:textId="77777777" w:rsidR="0001219B" w:rsidRDefault="000121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CA74A" w14:textId="77777777" w:rsidR="00BD5BB4" w:rsidRDefault="00BD5BB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A778E8">
      <w:rPr>
        <w:caps/>
        <w:noProof/>
        <w:color w:val="4F81BD" w:themeColor="accent1"/>
      </w:rPr>
      <w:t>8</w:t>
    </w:r>
    <w:r>
      <w:rPr>
        <w:caps/>
        <w:noProof/>
        <w:color w:val="4F81BD" w:themeColor="accent1"/>
      </w:rPr>
      <w:fldChar w:fldCharType="end"/>
    </w:r>
  </w:p>
  <w:p w14:paraId="0E5374C4" w14:textId="77777777" w:rsidR="0001219B" w:rsidRDefault="000121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40537" w14:textId="77777777" w:rsidR="003A21E6" w:rsidRDefault="003A21E6">
      <w:r>
        <w:separator/>
      </w:r>
    </w:p>
  </w:footnote>
  <w:footnote w:type="continuationSeparator" w:id="0">
    <w:p w14:paraId="1CD00115" w14:textId="77777777" w:rsidR="003A21E6" w:rsidRDefault="003A21E6">
      <w:r>
        <w:continuationSeparator/>
      </w:r>
    </w:p>
  </w:footnote>
  <w:footnote w:id="1">
    <w:p w14:paraId="19F01CC2" w14:textId="77777777" w:rsidR="007F19BF" w:rsidRDefault="007F19BF" w:rsidP="007F19BF">
      <w:pPr>
        <w:pStyle w:val="FootnoteText"/>
      </w:pPr>
      <w:r>
        <w:rPr>
          <w:rStyle w:val="FootnoteReference"/>
        </w:rPr>
        <w:t>[1]</w:t>
      </w:r>
      <w:r>
        <w:t xml:space="preserve"> </w:t>
      </w:r>
      <w:r>
        <w:rPr>
          <w:sz w:val="22"/>
          <w:szCs w:val="22"/>
        </w:rPr>
        <w:t xml:space="preserve">Three series were extracted from the American </w:t>
      </w:r>
      <w:proofErr w:type="spellStart"/>
      <w:r>
        <w:rPr>
          <w:sz w:val="22"/>
          <w:szCs w:val="22"/>
        </w:rPr>
        <w:t>FactFinder</w:t>
      </w:r>
      <w:proofErr w:type="spellEnd"/>
      <w:r>
        <w:rPr>
          <w:sz w:val="22"/>
          <w:szCs w:val="22"/>
        </w:rPr>
        <w:t xml:space="preserve"> website; PCT12, PCT12J, and PCT12H which track the U.S. population’s age by sex and race/ethnicity.  PCT12 tracks the total population, PCT12J tracks black non-Hispanics and PCT12H tracks the Hispanic population.  Nonblack, non-Hispanic figures are computed by subtracting PCT12J and PCT12H from PCT12.  All data come from the Census 2000 Summary File 1 (SF 1), which combines both short and long form answers and does not subsample any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9FEDA" w14:textId="77777777" w:rsidR="0001219B" w:rsidRDefault="0001219B">
    <w:pPr>
      <w:pStyle w:val="Header"/>
      <w:tabs>
        <w:tab w:val="clear" w:pos="4320"/>
        <w:tab w:val="clear" w:pos="8640"/>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74B6" w14:textId="77777777" w:rsidR="001E62B7" w:rsidRDefault="001E62B7" w:rsidP="001E62B7">
    <w:pPr>
      <w:pStyle w:val="Header"/>
    </w:pPr>
    <w:r>
      <w:t>National Longitudinal Survey of Youth 1979</w:t>
    </w:r>
  </w:p>
  <w:p w14:paraId="23624083" w14:textId="77777777" w:rsidR="001E62B7" w:rsidRDefault="001E62B7" w:rsidP="001E62B7">
    <w:pPr>
      <w:pStyle w:val="Header"/>
    </w:pPr>
    <w:r>
      <w:t>1220-0109</w:t>
    </w:r>
  </w:p>
  <w:p w14:paraId="2867DD87" w14:textId="0FC33DEB" w:rsidR="0001219B" w:rsidRDefault="00CE551F">
    <w:pPr>
      <w:pStyle w:val="Header"/>
      <w:tabs>
        <w:tab w:val="clear" w:pos="4320"/>
        <w:tab w:val="clear" w:pos="8640"/>
      </w:tabs>
      <w:spacing w:after="120"/>
    </w:pPr>
    <w:r>
      <w:t>November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3799C"/>
    <w:multiLevelType w:val="hybridMultilevel"/>
    <w:tmpl w:val="5ED0EE76"/>
    <w:lvl w:ilvl="0" w:tplc="04090001">
      <w:start w:val="1"/>
      <w:numFmt w:val="bullet"/>
      <w:lvlText w:val=""/>
      <w:lvlJc w:val="left"/>
      <w:pPr>
        <w:tabs>
          <w:tab w:val="num" w:pos="720"/>
        </w:tabs>
        <w:ind w:left="720" w:hanging="360"/>
      </w:pPr>
      <w:rPr>
        <w:rFonts w:ascii="Symbol" w:hAnsi="Symbol" w:hint="default"/>
      </w:rPr>
    </w:lvl>
    <w:lvl w:ilvl="1" w:tplc="28D281DE">
      <w:start w:val="1"/>
      <w:numFmt w:val="bullet"/>
      <w:pStyle w:val="Achievement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E81FD3"/>
    <w:multiLevelType w:val="multilevel"/>
    <w:tmpl w:val="1722C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316F4E"/>
    <w:multiLevelType w:val="multilevel"/>
    <w:tmpl w:val="B73ACC8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4275C1"/>
    <w:multiLevelType w:val="multilevel"/>
    <w:tmpl w:val="7E70F5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2036A4"/>
    <w:multiLevelType w:val="hybridMultilevel"/>
    <w:tmpl w:val="261A3C88"/>
    <w:lvl w:ilvl="0" w:tplc="4F34E066">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C931638"/>
    <w:multiLevelType w:val="multilevel"/>
    <w:tmpl w:val="0F1C1A9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D979A5"/>
    <w:multiLevelType w:val="multilevel"/>
    <w:tmpl w:val="E9969B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0216BD"/>
    <w:multiLevelType w:val="multilevel"/>
    <w:tmpl w:val="E9FCF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9C0E1E"/>
    <w:multiLevelType w:val="multilevel"/>
    <w:tmpl w:val="ADF87C2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A34AC6"/>
    <w:multiLevelType w:val="hybridMultilevel"/>
    <w:tmpl w:val="8284A560"/>
    <w:lvl w:ilvl="0" w:tplc="9794A280">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077402"/>
    <w:multiLevelType w:val="hybridMultilevel"/>
    <w:tmpl w:val="8E92E6C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1E0F5DC2"/>
    <w:multiLevelType w:val="hybridMultilevel"/>
    <w:tmpl w:val="0A34EBEC"/>
    <w:lvl w:ilvl="0" w:tplc="C68C9864">
      <w:start w:val="1"/>
      <w:numFmt w:val="decimal"/>
      <w:lvlText w:val="%1."/>
      <w:lvlJc w:val="left"/>
      <w:pPr>
        <w:tabs>
          <w:tab w:val="num" w:pos="720"/>
        </w:tabs>
        <w:ind w:left="720" w:hanging="360"/>
      </w:pPr>
    </w:lvl>
    <w:lvl w:ilvl="1" w:tplc="B2A84434" w:tentative="1">
      <w:start w:val="1"/>
      <w:numFmt w:val="bullet"/>
      <w:lvlText w:val="o"/>
      <w:lvlJc w:val="left"/>
      <w:pPr>
        <w:tabs>
          <w:tab w:val="num" w:pos="1440"/>
        </w:tabs>
        <w:ind w:left="1440" w:hanging="360"/>
      </w:pPr>
      <w:rPr>
        <w:rFonts w:ascii="Courier New" w:hAnsi="Courier New" w:hint="default"/>
      </w:rPr>
    </w:lvl>
    <w:lvl w:ilvl="2" w:tplc="DEF88CA4" w:tentative="1">
      <w:start w:val="1"/>
      <w:numFmt w:val="bullet"/>
      <w:lvlText w:val=""/>
      <w:lvlJc w:val="left"/>
      <w:pPr>
        <w:tabs>
          <w:tab w:val="num" w:pos="2160"/>
        </w:tabs>
        <w:ind w:left="2160" w:hanging="360"/>
      </w:pPr>
      <w:rPr>
        <w:rFonts w:ascii="Wingdings" w:hAnsi="Wingdings" w:hint="default"/>
      </w:rPr>
    </w:lvl>
    <w:lvl w:ilvl="3" w:tplc="D110F120" w:tentative="1">
      <w:start w:val="1"/>
      <w:numFmt w:val="bullet"/>
      <w:lvlText w:val=""/>
      <w:lvlJc w:val="left"/>
      <w:pPr>
        <w:tabs>
          <w:tab w:val="num" w:pos="2880"/>
        </w:tabs>
        <w:ind w:left="2880" w:hanging="360"/>
      </w:pPr>
      <w:rPr>
        <w:rFonts w:ascii="Symbol" w:hAnsi="Symbol" w:hint="default"/>
      </w:rPr>
    </w:lvl>
    <w:lvl w:ilvl="4" w:tplc="F3B87C72" w:tentative="1">
      <w:start w:val="1"/>
      <w:numFmt w:val="bullet"/>
      <w:lvlText w:val="o"/>
      <w:lvlJc w:val="left"/>
      <w:pPr>
        <w:tabs>
          <w:tab w:val="num" w:pos="3600"/>
        </w:tabs>
        <w:ind w:left="3600" w:hanging="360"/>
      </w:pPr>
      <w:rPr>
        <w:rFonts w:ascii="Courier New" w:hAnsi="Courier New" w:hint="default"/>
      </w:rPr>
    </w:lvl>
    <w:lvl w:ilvl="5" w:tplc="C91E14E2" w:tentative="1">
      <w:start w:val="1"/>
      <w:numFmt w:val="bullet"/>
      <w:lvlText w:val=""/>
      <w:lvlJc w:val="left"/>
      <w:pPr>
        <w:tabs>
          <w:tab w:val="num" w:pos="4320"/>
        </w:tabs>
        <w:ind w:left="4320" w:hanging="360"/>
      </w:pPr>
      <w:rPr>
        <w:rFonts w:ascii="Wingdings" w:hAnsi="Wingdings" w:hint="default"/>
      </w:rPr>
    </w:lvl>
    <w:lvl w:ilvl="6" w:tplc="6172C412" w:tentative="1">
      <w:start w:val="1"/>
      <w:numFmt w:val="bullet"/>
      <w:lvlText w:val=""/>
      <w:lvlJc w:val="left"/>
      <w:pPr>
        <w:tabs>
          <w:tab w:val="num" w:pos="5040"/>
        </w:tabs>
        <w:ind w:left="5040" w:hanging="360"/>
      </w:pPr>
      <w:rPr>
        <w:rFonts w:ascii="Symbol" w:hAnsi="Symbol" w:hint="default"/>
      </w:rPr>
    </w:lvl>
    <w:lvl w:ilvl="7" w:tplc="899E1D6A" w:tentative="1">
      <w:start w:val="1"/>
      <w:numFmt w:val="bullet"/>
      <w:lvlText w:val="o"/>
      <w:lvlJc w:val="left"/>
      <w:pPr>
        <w:tabs>
          <w:tab w:val="num" w:pos="5760"/>
        </w:tabs>
        <w:ind w:left="5760" w:hanging="360"/>
      </w:pPr>
      <w:rPr>
        <w:rFonts w:ascii="Courier New" w:hAnsi="Courier New" w:hint="default"/>
      </w:rPr>
    </w:lvl>
    <w:lvl w:ilvl="8" w:tplc="E0D4AB5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9037D9"/>
    <w:multiLevelType w:val="singleLevel"/>
    <w:tmpl w:val="A7C4A7A4"/>
    <w:lvl w:ilvl="0">
      <w:start w:val="1"/>
      <w:numFmt w:val="lowerRoman"/>
      <w:lvlText w:val="%1."/>
      <w:lvlJc w:val="left"/>
      <w:pPr>
        <w:tabs>
          <w:tab w:val="num" w:pos="1080"/>
        </w:tabs>
        <w:ind w:left="1080" w:hanging="360"/>
      </w:pPr>
      <w:rPr>
        <w:rFonts w:hint="default"/>
      </w:rPr>
    </w:lvl>
  </w:abstractNum>
  <w:abstractNum w:abstractNumId="14" w15:restartNumberingAfterBreak="0">
    <w:nsid w:val="226C2ECE"/>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267348AD"/>
    <w:multiLevelType w:val="hybridMultilevel"/>
    <w:tmpl w:val="112E901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7F80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BE522B4"/>
    <w:multiLevelType w:val="hybridMultilevel"/>
    <w:tmpl w:val="1AA6D302"/>
    <w:lvl w:ilvl="0" w:tplc="7152DAE2">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2FD81F7E"/>
    <w:multiLevelType w:val="hybridMultilevel"/>
    <w:tmpl w:val="D56055E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3515F2F"/>
    <w:multiLevelType w:val="multilevel"/>
    <w:tmpl w:val="92C869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6616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73403AE"/>
    <w:multiLevelType w:val="hybridMultilevel"/>
    <w:tmpl w:val="49E41BD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422062"/>
    <w:multiLevelType w:val="multilevel"/>
    <w:tmpl w:val="3202C9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A47A51"/>
    <w:multiLevelType w:val="multilevel"/>
    <w:tmpl w:val="7604F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AE799A"/>
    <w:multiLevelType w:val="hybridMultilevel"/>
    <w:tmpl w:val="1AA6D302"/>
    <w:lvl w:ilvl="0" w:tplc="7152DAE2">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480229CD"/>
    <w:multiLevelType w:val="hybridMultilevel"/>
    <w:tmpl w:val="1AA6D302"/>
    <w:lvl w:ilvl="0" w:tplc="7152DAE2">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AE44EA8"/>
    <w:multiLevelType w:val="hybridMultilevel"/>
    <w:tmpl w:val="D548B99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4B1815AB"/>
    <w:multiLevelType w:val="multilevel"/>
    <w:tmpl w:val="01823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262133"/>
    <w:multiLevelType w:val="hybridMultilevel"/>
    <w:tmpl w:val="B9C2CF7A"/>
    <w:lvl w:ilvl="0" w:tplc="B91AA3D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D750EB0"/>
    <w:multiLevelType w:val="hybridMultilevel"/>
    <w:tmpl w:val="6A76A59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06011A4"/>
    <w:multiLevelType w:val="hybridMultilevel"/>
    <w:tmpl w:val="368E599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E836CDA"/>
    <w:multiLevelType w:val="multilevel"/>
    <w:tmpl w:val="5A305E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abstractNumId w:val="20"/>
  </w:num>
  <w:num w:numId="4">
    <w:abstractNumId w:val="16"/>
  </w:num>
  <w:num w:numId="5">
    <w:abstractNumId w:val="11"/>
  </w:num>
  <w:num w:numId="6">
    <w:abstractNumId w:val="1"/>
  </w:num>
  <w:num w:numId="7">
    <w:abstractNumId w:val="13"/>
  </w:num>
  <w:num w:numId="8">
    <w:abstractNumId w:val="28"/>
  </w:num>
  <w:num w:numId="9">
    <w:abstractNumId w:val="6"/>
  </w:num>
  <w:num w:numId="10">
    <w:abstractNumId w:val="2"/>
  </w:num>
  <w:num w:numId="11">
    <w:abstractNumId w:val="19"/>
  </w:num>
  <w:num w:numId="12">
    <w:abstractNumId w:val="19"/>
    <w:lvlOverride w:ilvl="0">
      <w:lvl w:ilvl="0">
        <w:numFmt w:val="decimal"/>
        <w:lvlText w:val=""/>
        <w:lvlJc w:val="left"/>
      </w:lvl>
    </w:lvlOverride>
    <w:lvlOverride w:ilvl="1">
      <w:lvl w:ilvl="1">
        <w:numFmt w:val="lowerRoman"/>
        <w:lvlText w:val="%2."/>
        <w:lvlJc w:val="right"/>
      </w:lvl>
    </w:lvlOverride>
  </w:num>
  <w:num w:numId="13">
    <w:abstractNumId w:val="23"/>
  </w:num>
  <w:num w:numId="14">
    <w:abstractNumId w:val="31"/>
  </w:num>
  <w:num w:numId="15">
    <w:abstractNumId w:val="7"/>
  </w:num>
  <w:num w:numId="16">
    <w:abstractNumId w:val="27"/>
  </w:num>
  <w:num w:numId="17">
    <w:abstractNumId w:val="9"/>
  </w:num>
  <w:num w:numId="18">
    <w:abstractNumId w:val="22"/>
  </w:num>
  <w:num w:numId="19">
    <w:abstractNumId w:val="8"/>
  </w:num>
  <w:num w:numId="20">
    <w:abstractNumId w:val="4"/>
  </w:num>
  <w:num w:numId="21">
    <w:abstractNumId w:val="10"/>
  </w:num>
  <w:num w:numId="22">
    <w:abstractNumId w:val="17"/>
  </w:num>
  <w:num w:numId="23">
    <w:abstractNumId w:val="15"/>
  </w:num>
  <w:num w:numId="24">
    <w:abstractNumId w:val="5"/>
  </w:num>
  <w:num w:numId="25">
    <w:abstractNumId w:val="29"/>
  </w:num>
  <w:num w:numId="26">
    <w:abstractNumId w:val="26"/>
  </w:num>
  <w:num w:numId="27">
    <w:abstractNumId w:val="30"/>
  </w:num>
  <w:num w:numId="28">
    <w:abstractNumId w:val="18"/>
  </w:num>
  <w:num w:numId="29">
    <w:abstractNumId w:val="24"/>
  </w:num>
  <w:num w:numId="30">
    <w:abstractNumId w:val="25"/>
  </w:num>
  <w:num w:numId="31">
    <w:abstractNumId w:val="14"/>
  </w:num>
  <w:num w:numId="32">
    <w:abstractNumId w:val="3"/>
  </w:num>
  <w:num w:numId="33">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7782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A80"/>
    <w:rsid w:val="00000965"/>
    <w:rsid w:val="00000A0B"/>
    <w:rsid w:val="0000106D"/>
    <w:rsid w:val="00004865"/>
    <w:rsid w:val="00007736"/>
    <w:rsid w:val="00007E12"/>
    <w:rsid w:val="0001219B"/>
    <w:rsid w:val="0002239E"/>
    <w:rsid w:val="00030ACA"/>
    <w:rsid w:val="000362B7"/>
    <w:rsid w:val="000369FA"/>
    <w:rsid w:val="00044CCF"/>
    <w:rsid w:val="00044D04"/>
    <w:rsid w:val="00045FBD"/>
    <w:rsid w:val="000555B9"/>
    <w:rsid w:val="00055899"/>
    <w:rsid w:val="00057161"/>
    <w:rsid w:val="00062CF5"/>
    <w:rsid w:val="000637B2"/>
    <w:rsid w:val="00073D66"/>
    <w:rsid w:val="0007563C"/>
    <w:rsid w:val="00081C0F"/>
    <w:rsid w:val="00084DC2"/>
    <w:rsid w:val="00096B60"/>
    <w:rsid w:val="000A226D"/>
    <w:rsid w:val="000A3903"/>
    <w:rsid w:val="000C28A4"/>
    <w:rsid w:val="000D1777"/>
    <w:rsid w:val="000D264D"/>
    <w:rsid w:val="000D7A5F"/>
    <w:rsid w:val="000F0A0B"/>
    <w:rsid w:val="001003E0"/>
    <w:rsid w:val="001035E0"/>
    <w:rsid w:val="00132E4E"/>
    <w:rsid w:val="00135163"/>
    <w:rsid w:val="0013533F"/>
    <w:rsid w:val="00141366"/>
    <w:rsid w:val="00143D96"/>
    <w:rsid w:val="00156CE0"/>
    <w:rsid w:val="001615BD"/>
    <w:rsid w:val="0016512C"/>
    <w:rsid w:val="00165EF6"/>
    <w:rsid w:val="0016693F"/>
    <w:rsid w:val="001748EF"/>
    <w:rsid w:val="001760EF"/>
    <w:rsid w:val="00187923"/>
    <w:rsid w:val="001A4F2C"/>
    <w:rsid w:val="001B41E9"/>
    <w:rsid w:val="001B4BA4"/>
    <w:rsid w:val="001B50A1"/>
    <w:rsid w:val="001B7652"/>
    <w:rsid w:val="001C2959"/>
    <w:rsid w:val="001C79F2"/>
    <w:rsid w:val="001D37C4"/>
    <w:rsid w:val="001E02A3"/>
    <w:rsid w:val="001E0F26"/>
    <w:rsid w:val="001E1DA3"/>
    <w:rsid w:val="001E204E"/>
    <w:rsid w:val="001E4BBA"/>
    <w:rsid w:val="001E62B7"/>
    <w:rsid w:val="001E7718"/>
    <w:rsid w:val="001E784C"/>
    <w:rsid w:val="001F2D4A"/>
    <w:rsid w:val="001F3541"/>
    <w:rsid w:val="001F6A9A"/>
    <w:rsid w:val="002002E9"/>
    <w:rsid w:val="0020065D"/>
    <w:rsid w:val="00206512"/>
    <w:rsid w:val="002106BC"/>
    <w:rsid w:val="00211F2D"/>
    <w:rsid w:val="002135A8"/>
    <w:rsid w:val="002136CB"/>
    <w:rsid w:val="00231C89"/>
    <w:rsid w:val="00233326"/>
    <w:rsid w:val="00241767"/>
    <w:rsid w:val="002452AB"/>
    <w:rsid w:val="00253B25"/>
    <w:rsid w:val="002570B5"/>
    <w:rsid w:val="0026585E"/>
    <w:rsid w:val="00266C28"/>
    <w:rsid w:val="00271A40"/>
    <w:rsid w:val="002730AB"/>
    <w:rsid w:val="00276825"/>
    <w:rsid w:val="002769B4"/>
    <w:rsid w:val="002852CF"/>
    <w:rsid w:val="00294530"/>
    <w:rsid w:val="002B4612"/>
    <w:rsid w:val="002C3489"/>
    <w:rsid w:val="002D3C4B"/>
    <w:rsid w:val="002D4208"/>
    <w:rsid w:val="002D7C64"/>
    <w:rsid w:val="002E1123"/>
    <w:rsid w:val="002F311F"/>
    <w:rsid w:val="002F4E89"/>
    <w:rsid w:val="002F4F10"/>
    <w:rsid w:val="002F5DD8"/>
    <w:rsid w:val="00302589"/>
    <w:rsid w:val="00305443"/>
    <w:rsid w:val="0031529D"/>
    <w:rsid w:val="0032007B"/>
    <w:rsid w:val="003229AB"/>
    <w:rsid w:val="003244D8"/>
    <w:rsid w:val="00325BA5"/>
    <w:rsid w:val="00346A75"/>
    <w:rsid w:val="003526A1"/>
    <w:rsid w:val="003529B2"/>
    <w:rsid w:val="0036265A"/>
    <w:rsid w:val="00373E8E"/>
    <w:rsid w:val="00374F9F"/>
    <w:rsid w:val="003813AB"/>
    <w:rsid w:val="00382A15"/>
    <w:rsid w:val="003844FD"/>
    <w:rsid w:val="00384CEE"/>
    <w:rsid w:val="0039073B"/>
    <w:rsid w:val="003A21E6"/>
    <w:rsid w:val="003A7F78"/>
    <w:rsid w:val="003B0F1A"/>
    <w:rsid w:val="003B2C3B"/>
    <w:rsid w:val="003B6789"/>
    <w:rsid w:val="003C309D"/>
    <w:rsid w:val="003D1F5B"/>
    <w:rsid w:val="003D5C5A"/>
    <w:rsid w:val="003D5E72"/>
    <w:rsid w:val="003D5FE1"/>
    <w:rsid w:val="003E1DCC"/>
    <w:rsid w:val="003E1E0E"/>
    <w:rsid w:val="00400688"/>
    <w:rsid w:val="004211DB"/>
    <w:rsid w:val="00422072"/>
    <w:rsid w:val="004229BE"/>
    <w:rsid w:val="00426576"/>
    <w:rsid w:val="00431F3B"/>
    <w:rsid w:val="004471EC"/>
    <w:rsid w:val="004504BD"/>
    <w:rsid w:val="00450778"/>
    <w:rsid w:val="00451111"/>
    <w:rsid w:val="00461489"/>
    <w:rsid w:val="00467202"/>
    <w:rsid w:val="0047558A"/>
    <w:rsid w:val="00487CCE"/>
    <w:rsid w:val="004934BE"/>
    <w:rsid w:val="00494366"/>
    <w:rsid w:val="00495939"/>
    <w:rsid w:val="004976B0"/>
    <w:rsid w:val="0049791F"/>
    <w:rsid w:val="004A0198"/>
    <w:rsid w:val="004A38AB"/>
    <w:rsid w:val="004B26E9"/>
    <w:rsid w:val="004C54B1"/>
    <w:rsid w:val="004C5EC7"/>
    <w:rsid w:val="004D54E9"/>
    <w:rsid w:val="004E1780"/>
    <w:rsid w:val="004F639E"/>
    <w:rsid w:val="004F74AA"/>
    <w:rsid w:val="005003CF"/>
    <w:rsid w:val="005107AA"/>
    <w:rsid w:val="00520994"/>
    <w:rsid w:val="00520A60"/>
    <w:rsid w:val="00525B82"/>
    <w:rsid w:val="0052620A"/>
    <w:rsid w:val="0052681A"/>
    <w:rsid w:val="005317F3"/>
    <w:rsid w:val="005357CD"/>
    <w:rsid w:val="00545312"/>
    <w:rsid w:val="00553644"/>
    <w:rsid w:val="00553E92"/>
    <w:rsid w:val="00555C35"/>
    <w:rsid w:val="005566E0"/>
    <w:rsid w:val="00564C26"/>
    <w:rsid w:val="005703BE"/>
    <w:rsid w:val="005704C1"/>
    <w:rsid w:val="0057546C"/>
    <w:rsid w:val="00577295"/>
    <w:rsid w:val="0058091E"/>
    <w:rsid w:val="00586CFC"/>
    <w:rsid w:val="0059322A"/>
    <w:rsid w:val="005936DA"/>
    <w:rsid w:val="0059441B"/>
    <w:rsid w:val="00594F71"/>
    <w:rsid w:val="005A1794"/>
    <w:rsid w:val="005A44CC"/>
    <w:rsid w:val="005B73F6"/>
    <w:rsid w:val="005C0179"/>
    <w:rsid w:val="005C2E53"/>
    <w:rsid w:val="005D6946"/>
    <w:rsid w:val="005F0EE1"/>
    <w:rsid w:val="005F2478"/>
    <w:rsid w:val="005F7398"/>
    <w:rsid w:val="006051F3"/>
    <w:rsid w:val="00611C5B"/>
    <w:rsid w:val="0061421C"/>
    <w:rsid w:val="00615613"/>
    <w:rsid w:val="006211ED"/>
    <w:rsid w:val="00622CA8"/>
    <w:rsid w:val="00627F6C"/>
    <w:rsid w:val="006340C6"/>
    <w:rsid w:val="006352C4"/>
    <w:rsid w:val="00635CC9"/>
    <w:rsid w:val="00640B9C"/>
    <w:rsid w:val="006427CA"/>
    <w:rsid w:val="00642F2E"/>
    <w:rsid w:val="006457EB"/>
    <w:rsid w:val="00646089"/>
    <w:rsid w:val="00652A7B"/>
    <w:rsid w:val="00652A90"/>
    <w:rsid w:val="006606D7"/>
    <w:rsid w:val="00660F20"/>
    <w:rsid w:val="00663CC6"/>
    <w:rsid w:val="00674C35"/>
    <w:rsid w:val="00681FD8"/>
    <w:rsid w:val="00694044"/>
    <w:rsid w:val="00696C50"/>
    <w:rsid w:val="00697C68"/>
    <w:rsid w:val="006A1390"/>
    <w:rsid w:val="006A2F69"/>
    <w:rsid w:val="006A4635"/>
    <w:rsid w:val="006B0A77"/>
    <w:rsid w:val="006B3936"/>
    <w:rsid w:val="006B41C2"/>
    <w:rsid w:val="006C0960"/>
    <w:rsid w:val="006C14A8"/>
    <w:rsid w:val="006D462D"/>
    <w:rsid w:val="006E6C06"/>
    <w:rsid w:val="006F439D"/>
    <w:rsid w:val="006F4852"/>
    <w:rsid w:val="00710CE8"/>
    <w:rsid w:val="00712D97"/>
    <w:rsid w:val="007156BF"/>
    <w:rsid w:val="00720152"/>
    <w:rsid w:val="00721D07"/>
    <w:rsid w:val="00724783"/>
    <w:rsid w:val="00725A7A"/>
    <w:rsid w:val="00730BB1"/>
    <w:rsid w:val="00743568"/>
    <w:rsid w:val="00744D51"/>
    <w:rsid w:val="007534E5"/>
    <w:rsid w:val="00761D5B"/>
    <w:rsid w:val="00763729"/>
    <w:rsid w:val="00766619"/>
    <w:rsid w:val="007807EA"/>
    <w:rsid w:val="007929DC"/>
    <w:rsid w:val="00795241"/>
    <w:rsid w:val="0079658F"/>
    <w:rsid w:val="0079782D"/>
    <w:rsid w:val="007978D2"/>
    <w:rsid w:val="007A1821"/>
    <w:rsid w:val="007B3BAC"/>
    <w:rsid w:val="007B5929"/>
    <w:rsid w:val="007B6BE2"/>
    <w:rsid w:val="007C08A7"/>
    <w:rsid w:val="007C1DC7"/>
    <w:rsid w:val="007D31B4"/>
    <w:rsid w:val="007D5115"/>
    <w:rsid w:val="007E3AFA"/>
    <w:rsid w:val="007E7F2B"/>
    <w:rsid w:val="007F19BF"/>
    <w:rsid w:val="007F74CA"/>
    <w:rsid w:val="00803662"/>
    <w:rsid w:val="00814E17"/>
    <w:rsid w:val="008168A0"/>
    <w:rsid w:val="00817254"/>
    <w:rsid w:val="00822803"/>
    <w:rsid w:val="00822D01"/>
    <w:rsid w:val="00823778"/>
    <w:rsid w:val="00833A18"/>
    <w:rsid w:val="008406D6"/>
    <w:rsid w:val="00846E8B"/>
    <w:rsid w:val="00851D8E"/>
    <w:rsid w:val="00855A80"/>
    <w:rsid w:val="00856458"/>
    <w:rsid w:val="0087098A"/>
    <w:rsid w:val="008710C7"/>
    <w:rsid w:val="00884B95"/>
    <w:rsid w:val="00890591"/>
    <w:rsid w:val="008916AD"/>
    <w:rsid w:val="00894561"/>
    <w:rsid w:val="008A7604"/>
    <w:rsid w:val="008A7B99"/>
    <w:rsid w:val="008B38BD"/>
    <w:rsid w:val="008B39D1"/>
    <w:rsid w:val="008B513A"/>
    <w:rsid w:val="008B555B"/>
    <w:rsid w:val="008B6E33"/>
    <w:rsid w:val="008C2358"/>
    <w:rsid w:val="008C398F"/>
    <w:rsid w:val="008D50B7"/>
    <w:rsid w:val="008D5C4F"/>
    <w:rsid w:val="008E0DA8"/>
    <w:rsid w:val="008E5293"/>
    <w:rsid w:val="008E68D4"/>
    <w:rsid w:val="00900809"/>
    <w:rsid w:val="009017CF"/>
    <w:rsid w:val="00902BB8"/>
    <w:rsid w:val="00902DF3"/>
    <w:rsid w:val="009164D7"/>
    <w:rsid w:val="00920BE0"/>
    <w:rsid w:val="00922166"/>
    <w:rsid w:val="00925EBA"/>
    <w:rsid w:val="0094156B"/>
    <w:rsid w:val="009444DA"/>
    <w:rsid w:val="0094786E"/>
    <w:rsid w:val="009506BC"/>
    <w:rsid w:val="0095728A"/>
    <w:rsid w:val="0096160B"/>
    <w:rsid w:val="00964F6F"/>
    <w:rsid w:val="00970813"/>
    <w:rsid w:val="0097234B"/>
    <w:rsid w:val="009759DE"/>
    <w:rsid w:val="00975C81"/>
    <w:rsid w:val="00975FC4"/>
    <w:rsid w:val="009822D7"/>
    <w:rsid w:val="009938A7"/>
    <w:rsid w:val="00995D2A"/>
    <w:rsid w:val="009973D1"/>
    <w:rsid w:val="009B6293"/>
    <w:rsid w:val="009C20C5"/>
    <w:rsid w:val="009C2FE2"/>
    <w:rsid w:val="009D10A0"/>
    <w:rsid w:val="009D5588"/>
    <w:rsid w:val="009D5819"/>
    <w:rsid w:val="009D6717"/>
    <w:rsid w:val="009D697B"/>
    <w:rsid w:val="009E28BE"/>
    <w:rsid w:val="009F5353"/>
    <w:rsid w:val="009F5B6A"/>
    <w:rsid w:val="009F7AA8"/>
    <w:rsid w:val="00A040B1"/>
    <w:rsid w:val="00A11FC0"/>
    <w:rsid w:val="00A1400B"/>
    <w:rsid w:val="00A23CEC"/>
    <w:rsid w:val="00A30F33"/>
    <w:rsid w:val="00A533EE"/>
    <w:rsid w:val="00A5674B"/>
    <w:rsid w:val="00A67E59"/>
    <w:rsid w:val="00A72B9C"/>
    <w:rsid w:val="00A73360"/>
    <w:rsid w:val="00A778E8"/>
    <w:rsid w:val="00A8234C"/>
    <w:rsid w:val="00A82CE2"/>
    <w:rsid w:val="00A83B3A"/>
    <w:rsid w:val="00A91E73"/>
    <w:rsid w:val="00A92C99"/>
    <w:rsid w:val="00AA1202"/>
    <w:rsid w:val="00AA13AF"/>
    <w:rsid w:val="00AA7AFB"/>
    <w:rsid w:val="00AA7E25"/>
    <w:rsid w:val="00AB1E28"/>
    <w:rsid w:val="00AB5B86"/>
    <w:rsid w:val="00AC13B5"/>
    <w:rsid w:val="00AE021F"/>
    <w:rsid w:val="00B028C6"/>
    <w:rsid w:val="00B02D95"/>
    <w:rsid w:val="00B04FFB"/>
    <w:rsid w:val="00B0777D"/>
    <w:rsid w:val="00B1026D"/>
    <w:rsid w:val="00B12625"/>
    <w:rsid w:val="00B14DC9"/>
    <w:rsid w:val="00B17186"/>
    <w:rsid w:val="00B17363"/>
    <w:rsid w:val="00B22C8A"/>
    <w:rsid w:val="00B265B4"/>
    <w:rsid w:val="00B306A7"/>
    <w:rsid w:val="00B33442"/>
    <w:rsid w:val="00B43B95"/>
    <w:rsid w:val="00B468B5"/>
    <w:rsid w:val="00B47DFE"/>
    <w:rsid w:val="00B633BA"/>
    <w:rsid w:val="00B674DE"/>
    <w:rsid w:val="00B71CFC"/>
    <w:rsid w:val="00B80E66"/>
    <w:rsid w:val="00B90C03"/>
    <w:rsid w:val="00B93D30"/>
    <w:rsid w:val="00B96AAA"/>
    <w:rsid w:val="00BB0F5B"/>
    <w:rsid w:val="00BB1859"/>
    <w:rsid w:val="00BB4318"/>
    <w:rsid w:val="00BB7962"/>
    <w:rsid w:val="00BD5BB4"/>
    <w:rsid w:val="00BE146E"/>
    <w:rsid w:val="00BF4A56"/>
    <w:rsid w:val="00C02011"/>
    <w:rsid w:val="00C0212D"/>
    <w:rsid w:val="00C06F97"/>
    <w:rsid w:val="00C1219A"/>
    <w:rsid w:val="00C121A1"/>
    <w:rsid w:val="00C154CA"/>
    <w:rsid w:val="00C2298F"/>
    <w:rsid w:val="00C36DB8"/>
    <w:rsid w:val="00C41BD3"/>
    <w:rsid w:val="00C5362D"/>
    <w:rsid w:val="00C6126E"/>
    <w:rsid w:val="00C64048"/>
    <w:rsid w:val="00C6472E"/>
    <w:rsid w:val="00C64E48"/>
    <w:rsid w:val="00C7762D"/>
    <w:rsid w:val="00C86E40"/>
    <w:rsid w:val="00C87642"/>
    <w:rsid w:val="00C96639"/>
    <w:rsid w:val="00CB36B8"/>
    <w:rsid w:val="00CB54C1"/>
    <w:rsid w:val="00CC1081"/>
    <w:rsid w:val="00CC1523"/>
    <w:rsid w:val="00CC5DD3"/>
    <w:rsid w:val="00CD1C13"/>
    <w:rsid w:val="00CE4E6C"/>
    <w:rsid w:val="00CE551F"/>
    <w:rsid w:val="00CE601C"/>
    <w:rsid w:val="00CF5B38"/>
    <w:rsid w:val="00D05F61"/>
    <w:rsid w:val="00D11B7F"/>
    <w:rsid w:val="00D1434C"/>
    <w:rsid w:val="00D22814"/>
    <w:rsid w:val="00D26123"/>
    <w:rsid w:val="00D45C9C"/>
    <w:rsid w:val="00D734D0"/>
    <w:rsid w:val="00D76A61"/>
    <w:rsid w:val="00D77276"/>
    <w:rsid w:val="00D81B28"/>
    <w:rsid w:val="00D822AD"/>
    <w:rsid w:val="00D831F9"/>
    <w:rsid w:val="00D832FB"/>
    <w:rsid w:val="00D85948"/>
    <w:rsid w:val="00D87D14"/>
    <w:rsid w:val="00D96E24"/>
    <w:rsid w:val="00D97026"/>
    <w:rsid w:val="00DA3FD5"/>
    <w:rsid w:val="00DA7EE7"/>
    <w:rsid w:val="00DB21D0"/>
    <w:rsid w:val="00DB28C9"/>
    <w:rsid w:val="00DC3B22"/>
    <w:rsid w:val="00DC61C9"/>
    <w:rsid w:val="00DD3461"/>
    <w:rsid w:val="00DE4C91"/>
    <w:rsid w:val="00DE4F99"/>
    <w:rsid w:val="00DF38F4"/>
    <w:rsid w:val="00E05E19"/>
    <w:rsid w:val="00E1578E"/>
    <w:rsid w:val="00E20087"/>
    <w:rsid w:val="00E21026"/>
    <w:rsid w:val="00E248F0"/>
    <w:rsid w:val="00E24EB2"/>
    <w:rsid w:val="00E3450E"/>
    <w:rsid w:val="00E40C69"/>
    <w:rsid w:val="00E441BE"/>
    <w:rsid w:val="00E52145"/>
    <w:rsid w:val="00E536B3"/>
    <w:rsid w:val="00E569AA"/>
    <w:rsid w:val="00E611C1"/>
    <w:rsid w:val="00E65BBB"/>
    <w:rsid w:val="00E85F96"/>
    <w:rsid w:val="00E95247"/>
    <w:rsid w:val="00EA6EBB"/>
    <w:rsid w:val="00EB0448"/>
    <w:rsid w:val="00EB1647"/>
    <w:rsid w:val="00EB2F9E"/>
    <w:rsid w:val="00EB6CA1"/>
    <w:rsid w:val="00EC460E"/>
    <w:rsid w:val="00ED5B4E"/>
    <w:rsid w:val="00EE19BD"/>
    <w:rsid w:val="00EE563B"/>
    <w:rsid w:val="00EE58E0"/>
    <w:rsid w:val="00EE6645"/>
    <w:rsid w:val="00EE75DB"/>
    <w:rsid w:val="00EF6CE1"/>
    <w:rsid w:val="00F01860"/>
    <w:rsid w:val="00F01CA8"/>
    <w:rsid w:val="00F10EDD"/>
    <w:rsid w:val="00F24079"/>
    <w:rsid w:val="00F26761"/>
    <w:rsid w:val="00F30359"/>
    <w:rsid w:val="00F31266"/>
    <w:rsid w:val="00F31308"/>
    <w:rsid w:val="00F34104"/>
    <w:rsid w:val="00F352E2"/>
    <w:rsid w:val="00F4556E"/>
    <w:rsid w:val="00F45D3C"/>
    <w:rsid w:val="00F5060A"/>
    <w:rsid w:val="00F516B9"/>
    <w:rsid w:val="00F60F0D"/>
    <w:rsid w:val="00F62E01"/>
    <w:rsid w:val="00F63A5E"/>
    <w:rsid w:val="00F7005C"/>
    <w:rsid w:val="00F76D48"/>
    <w:rsid w:val="00F84ADE"/>
    <w:rsid w:val="00F962C3"/>
    <w:rsid w:val="00F962E1"/>
    <w:rsid w:val="00FA00C8"/>
    <w:rsid w:val="00FA0AA1"/>
    <w:rsid w:val="00FA3DB2"/>
    <w:rsid w:val="00FA75EE"/>
    <w:rsid w:val="00FB08B2"/>
    <w:rsid w:val="00FB4922"/>
    <w:rsid w:val="00FB5F8E"/>
    <w:rsid w:val="00FB684A"/>
    <w:rsid w:val="00FC2B6E"/>
    <w:rsid w:val="00FC674A"/>
    <w:rsid w:val="00FE75BB"/>
    <w:rsid w:val="00FF527D"/>
    <w:rsid w:val="00FF5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77825"/>
    <o:shapelayout v:ext="edit">
      <o:idmap v:ext="edit" data="1"/>
    </o:shapelayout>
  </w:shapeDefaults>
  <w:decimalSymbol w:val="."/>
  <w:listSeparator w:val=","/>
  <w14:docId w14:val="11ABD05A"/>
  <w15:docId w15:val="{EC86FA3C-B11F-4121-B817-EA1B30CFE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2A3"/>
  </w:style>
  <w:style w:type="paragraph" w:styleId="Heading1">
    <w:name w:val="heading 1"/>
    <w:basedOn w:val="Normal"/>
    <w:next w:val="Normal"/>
    <w:qFormat/>
    <w:rsid w:val="001E02A3"/>
    <w:pPr>
      <w:keepNext/>
      <w:spacing w:before="240" w:after="60"/>
      <w:jc w:val="center"/>
      <w:outlineLvl w:val="0"/>
    </w:pPr>
    <w:rPr>
      <w:b/>
      <w:smallCaps/>
      <w:kern w:val="28"/>
      <w:sz w:val="28"/>
    </w:rPr>
  </w:style>
  <w:style w:type="paragraph" w:styleId="Heading2">
    <w:name w:val="heading 2"/>
    <w:basedOn w:val="Normal"/>
    <w:next w:val="Normal"/>
    <w:qFormat/>
    <w:rsid w:val="001E02A3"/>
    <w:pPr>
      <w:keepNext/>
      <w:spacing w:before="60" w:after="60"/>
      <w:outlineLvl w:val="1"/>
    </w:pPr>
    <w:rPr>
      <w:b/>
      <w:i/>
      <w:sz w:val="24"/>
    </w:rPr>
  </w:style>
  <w:style w:type="paragraph" w:styleId="Heading3">
    <w:name w:val="heading 3"/>
    <w:basedOn w:val="Normal"/>
    <w:next w:val="Normal"/>
    <w:qFormat/>
    <w:rsid w:val="001E02A3"/>
    <w:pPr>
      <w:keepNext/>
      <w:spacing w:before="60" w:after="60"/>
      <w:outlineLvl w:val="2"/>
    </w:pPr>
    <w:rPr>
      <w:b/>
      <w:sz w:val="24"/>
    </w:rPr>
  </w:style>
  <w:style w:type="paragraph" w:styleId="Heading4">
    <w:name w:val="heading 4"/>
    <w:basedOn w:val="Normal"/>
    <w:next w:val="Normal"/>
    <w:qFormat/>
    <w:rsid w:val="001E02A3"/>
    <w:pPr>
      <w:keepNext/>
      <w:spacing w:before="60" w:after="60"/>
      <w:outlineLvl w:val="3"/>
    </w:pPr>
    <w:rPr>
      <w:b/>
      <w:sz w:val="22"/>
    </w:rPr>
  </w:style>
  <w:style w:type="paragraph" w:styleId="Heading5">
    <w:name w:val="heading 5"/>
    <w:basedOn w:val="Normal"/>
    <w:next w:val="Normal"/>
    <w:qFormat/>
    <w:rsid w:val="001E02A3"/>
    <w:pPr>
      <w:keepNext/>
      <w:outlineLvl w:val="4"/>
    </w:pPr>
    <w:rPr>
      <w:b/>
      <w:snapToGrid w:val="0"/>
      <w:color w:val="000000"/>
      <w:sz w:val="22"/>
    </w:rPr>
  </w:style>
  <w:style w:type="paragraph" w:styleId="Heading6">
    <w:name w:val="heading 6"/>
    <w:basedOn w:val="Normal"/>
    <w:next w:val="Normal"/>
    <w:qFormat/>
    <w:rsid w:val="001E02A3"/>
    <w:pPr>
      <w:keepNext/>
      <w:jc w:val="center"/>
      <w:outlineLvl w:val="5"/>
    </w:pPr>
    <w:rPr>
      <w:b/>
      <w:i/>
    </w:rPr>
  </w:style>
  <w:style w:type="paragraph" w:styleId="Heading7">
    <w:name w:val="heading 7"/>
    <w:basedOn w:val="Normal"/>
    <w:next w:val="Normal"/>
    <w:qFormat/>
    <w:rsid w:val="001E02A3"/>
    <w:pPr>
      <w:keepNext/>
      <w:jc w:val="center"/>
      <w:outlineLvl w:val="6"/>
    </w:pPr>
    <w:rPr>
      <w:b/>
      <w:sz w:val="18"/>
    </w:rPr>
  </w:style>
  <w:style w:type="paragraph" w:styleId="Heading8">
    <w:name w:val="heading 8"/>
    <w:basedOn w:val="Normal"/>
    <w:next w:val="Normal"/>
    <w:qFormat/>
    <w:rsid w:val="001E02A3"/>
    <w:pPr>
      <w:keepNext/>
      <w:jc w:val="center"/>
      <w:outlineLvl w:val="7"/>
    </w:pPr>
    <w:rPr>
      <w:b/>
      <w:bCs/>
      <w:sz w:val="19"/>
    </w:rPr>
  </w:style>
  <w:style w:type="paragraph" w:styleId="Heading9">
    <w:name w:val="heading 9"/>
    <w:basedOn w:val="Normal"/>
    <w:next w:val="Normal"/>
    <w:qFormat/>
    <w:rsid w:val="001E02A3"/>
    <w:pPr>
      <w:keepNext/>
      <w:jc w:val="center"/>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E02A3"/>
    <w:pPr>
      <w:tabs>
        <w:tab w:val="center" w:pos="4320"/>
        <w:tab w:val="right" w:pos="8640"/>
      </w:tabs>
    </w:pPr>
  </w:style>
  <w:style w:type="paragraph" w:styleId="Footer">
    <w:name w:val="footer"/>
    <w:basedOn w:val="Normal"/>
    <w:link w:val="FooterChar"/>
    <w:uiPriority w:val="99"/>
    <w:rsid w:val="001E02A3"/>
    <w:pPr>
      <w:tabs>
        <w:tab w:val="center" w:pos="4320"/>
        <w:tab w:val="right" w:pos="8640"/>
      </w:tabs>
    </w:pPr>
  </w:style>
  <w:style w:type="character" w:styleId="PageNumber">
    <w:name w:val="page number"/>
    <w:basedOn w:val="DefaultParagraphFont"/>
    <w:rsid w:val="001E02A3"/>
  </w:style>
  <w:style w:type="paragraph" w:styleId="TOC1">
    <w:name w:val="toc 1"/>
    <w:basedOn w:val="Normal"/>
    <w:next w:val="Normal"/>
    <w:uiPriority w:val="39"/>
    <w:rsid w:val="001E02A3"/>
    <w:pPr>
      <w:tabs>
        <w:tab w:val="right" w:leader="dot" w:pos="8668"/>
      </w:tabs>
      <w:spacing w:before="240"/>
    </w:pPr>
    <w:rPr>
      <w:smallCaps/>
      <w:sz w:val="24"/>
    </w:rPr>
  </w:style>
  <w:style w:type="paragraph" w:styleId="TOC2">
    <w:name w:val="toc 2"/>
    <w:basedOn w:val="Normal"/>
    <w:next w:val="Normal"/>
    <w:uiPriority w:val="39"/>
    <w:rsid w:val="001E02A3"/>
    <w:pPr>
      <w:tabs>
        <w:tab w:val="right" w:leader="dot" w:pos="8668"/>
      </w:tabs>
      <w:spacing w:before="40" w:after="40"/>
      <w:ind w:left="634" w:right="432" w:hanging="432"/>
    </w:pPr>
    <w:rPr>
      <w:i/>
      <w:sz w:val="22"/>
    </w:rPr>
  </w:style>
  <w:style w:type="paragraph" w:styleId="TOC3">
    <w:name w:val="toc 3"/>
    <w:basedOn w:val="Normal"/>
    <w:next w:val="Normal"/>
    <w:uiPriority w:val="39"/>
    <w:rsid w:val="001E02A3"/>
    <w:pPr>
      <w:tabs>
        <w:tab w:val="right" w:leader="dot" w:pos="8668"/>
      </w:tabs>
      <w:ind w:left="835" w:right="432" w:hanging="432"/>
    </w:pPr>
  </w:style>
  <w:style w:type="paragraph" w:styleId="TOC4">
    <w:name w:val="toc 4"/>
    <w:basedOn w:val="Normal"/>
    <w:next w:val="Normal"/>
    <w:semiHidden/>
    <w:rsid w:val="001E02A3"/>
    <w:pPr>
      <w:tabs>
        <w:tab w:val="right" w:leader="dot" w:pos="8668"/>
      </w:tabs>
      <w:ind w:left="605"/>
    </w:pPr>
  </w:style>
  <w:style w:type="paragraph" w:styleId="TOC5">
    <w:name w:val="toc 5"/>
    <w:basedOn w:val="Normal"/>
    <w:next w:val="Normal"/>
    <w:semiHidden/>
    <w:rsid w:val="001E02A3"/>
    <w:pPr>
      <w:tabs>
        <w:tab w:val="right" w:leader="dot" w:pos="8668"/>
      </w:tabs>
      <w:ind w:left="800"/>
    </w:pPr>
  </w:style>
  <w:style w:type="paragraph" w:styleId="TOC6">
    <w:name w:val="toc 6"/>
    <w:basedOn w:val="Normal"/>
    <w:next w:val="Normal"/>
    <w:semiHidden/>
    <w:rsid w:val="001E02A3"/>
    <w:pPr>
      <w:tabs>
        <w:tab w:val="right" w:leader="dot" w:pos="8668"/>
      </w:tabs>
      <w:ind w:left="1000"/>
    </w:pPr>
  </w:style>
  <w:style w:type="paragraph" w:styleId="TOC7">
    <w:name w:val="toc 7"/>
    <w:basedOn w:val="Normal"/>
    <w:next w:val="Normal"/>
    <w:semiHidden/>
    <w:rsid w:val="001E02A3"/>
    <w:pPr>
      <w:tabs>
        <w:tab w:val="right" w:leader="dot" w:pos="8668"/>
      </w:tabs>
      <w:ind w:left="1200"/>
    </w:pPr>
  </w:style>
  <w:style w:type="paragraph" w:styleId="TOC8">
    <w:name w:val="toc 8"/>
    <w:basedOn w:val="Normal"/>
    <w:next w:val="Normal"/>
    <w:semiHidden/>
    <w:rsid w:val="001E02A3"/>
    <w:pPr>
      <w:tabs>
        <w:tab w:val="right" w:leader="dot" w:pos="8668"/>
      </w:tabs>
      <w:ind w:left="1400"/>
    </w:pPr>
  </w:style>
  <w:style w:type="paragraph" w:styleId="TOC9">
    <w:name w:val="toc 9"/>
    <w:basedOn w:val="Normal"/>
    <w:next w:val="Normal"/>
    <w:semiHidden/>
    <w:rsid w:val="001E02A3"/>
    <w:pPr>
      <w:tabs>
        <w:tab w:val="right" w:leader="dot" w:pos="8668"/>
      </w:tabs>
      <w:ind w:left="1600"/>
    </w:pPr>
  </w:style>
  <w:style w:type="paragraph" w:styleId="BodyTextIndent">
    <w:name w:val="Body Text Indent"/>
    <w:basedOn w:val="Normal"/>
    <w:rsid w:val="001E02A3"/>
    <w:pPr>
      <w:ind w:firstLine="720"/>
    </w:pPr>
  </w:style>
  <w:style w:type="paragraph" w:customStyle="1" w:styleId="InsideAddress">
    <w:name w:val="Inside Address"/>
    <w:basedOn w:val="Normal"/>
    <w:rsid w:val="001E02A3"/>
  </w:style>
  <w:style w:type="paragraph" w:styleId="BodyTextIndent2">
    <w:name w:val="Body Text Indent 2"/>
    <w:basedOn w:val="Normal"/>
    <w:rsid w:val="001E02A3"/>
    <w:pPr>
      <w:ind w:firstLine="720"/>
    </w:pPr>
    <w:rPr>
      <w:sz w:val="19"/>
    </w:rPr>
  </w:style>
  <w:style w:type="paragraph" w:styleId="BlockText">
    <w:name w:val="Block Text"/>
    <w:basedOn w:val="Normal"/>
    <w:rsid w:val="001E02A3"/>
    <w:pPr>
      <w:ind w:left="720" w:right="748"/>
    </w:pPr>
    <w:rPr>
      <w:i/>
      <w:sz w:val="19"/>
    </w:rPr>
  </w:style>
  <w:style w:type="paragraph" w:styleId="BodyTextIndent3">
    <w:name w:val="Body Text Indent 3"/>
    <w:basedOn w:val="Normal"/>
    <w:rsid w:val="001E02A3"/>
    <w:pPr>
      <w:ind w:left="630" w:hanging="288"/>
    </w:pPr>
    <w:rPr>
      <w:sz w:val="19"/>
    </w:rPr>
  </w:style>
  <w:style w:type="paragraph" w:styleId="BodyText">
    <w:name w:val="Body Text"/>
    <w:basedOn w:val="Normal"/>
    <w:rsid w:val="001E02A3"/>
    <w:rPr>
      <w:sz w:val="19"/>
    </w:rPr>
  </w:style>
  <w:style w:type="paragraph" w:styleId="Title">
    <w:name w:val="Title"/>
    <w:basedOn w:val="Normal"/>
    <w:qFormat/>
    <w:rsid w:val="001E02A3"/>
    <w:pPr>
      <w:pBdr>
        <w:bottom w:val="single" w:sz="4" w:space="6" w:color="auto"/>
      </w:pBdr>
      <w:jc w:val="center"/>
    </w:pPr>
    <w:rPr>
      <w:b/>
      <w:sz w:val="24"/>
    </w:rPr>
  </w:style>
  <w:style w:type="paragraph" w:styleId="BodyText2">
    <w:name w:val="Body Text 2"/>
    <w:basedOn w:val="Normal"/>
    <w:rsid w:val="001E02A3"/>
    <w:rPr>
      <w:sz w:val="22"/>
    </w:rPr>
  </w:style>
  <w:style w:type="paragraph" w:styleId="BodyText3">
    <w:name w:val="Body Text 3"/>
    <w:basedOn w:val="Normal"/>
    <w:rsid w:val="001E02A3"/>
    <w:pPr>
      <w:pBdr>
        <w:top w:val="single" w:sz="6" w:space="6" w:color="auto"/>
        <w:left w:val="single" w:sz="6" w:space="2" w:color="auto"/>
        <w:bottom w:val="single" w:sz="6" w:space="6" w:color="auto"/>
        <w:right w:val="single" w:sz="6" w:space="2" w:color="auto"/>
      </w:pBdr>
    </w:pPr>
    <w:rPr>
      <w:rFonts w:ascii="Arial" w:hAnsi="Arial" w:cs="Arial"/>
      <w:sz w:val="22"/>
    </w:rPr>
  </w:style>
  <w:style w:type="character" w:styleId="Hyperlink">
    <w:name w:val="Hyperlink"/>
    <w:rsid w:val="001E02A3"/>
    <w:rPr>
      <w:color w:val="0000FF"/>
      <w:u w:val="single"/>
    </w:rPr>
  </w:style>
  <w:style w:type="paragraph" w:customStyle="1" w:styleId="HTMLBody">
    <w:name w:val="HTML Body"/>
    <w:rsid w:val="001E02A3"/>
    <w:pPr>
      <w:autoSpaceDE w:val="0"/>
      <w:autoSpaceDN w:val="0"/>
      <w:adjustRightInd w:val="0"/>
    </w:pPr>
  </w:style>
  <w:style w:type="paragraph" w:styleId="FootnoteText">
    <w:name w:val="footnote text"/>
    <w:basedOn w:val="Normal"/>
    <w:link w:val="FootnoteTextChar"/>
    <w:uiPriority w:val="99"/>
    <w:semiHidden/>
    <w:rsid w:val="001E02A3"/>
  </w:style>
  <w:style w:type="character" w:styleId="FootnoteReference">
    <w:name w:val="footnote reference"/>
    <w:uiPriority w:val="99"/>
    <w:semiHidden/>
    <w:rsid w:val="001E02A3"/>
    <w:rPr>
      <w:vertAlign w:val="superscript"/>
    </w:rPr>
  </w:style>
  <w:style w:type="paragraph" w:customStyle="1" w:styleId="xl29">
    <w:name w:val="xl29"/>
    <w:basedOn w:val="Normal"/>
    <w:rsid w:val="001E02A3"/>
    <w:pPr>
      <w:pBdr>
        <w:bottom w:val="double" w:sz="6" w:space="0" w:color="auto"/>
      </w:pBdr>
      <w:spacing w:before="100" w:after="100"/>
    </w:pPr>
    <w:rPr>
      <w:rFonts w:ascii="Arial" w:hAnsi="Arial"/>
      <w:b/>
      <w:sz w:val="24"/>
    </w:rPr>
  </w:style>
  <w:style w:type="paragraph" w:customStyle="1" w:styleId="Table">
    <w:name w:val="Table"/>
    <w:basedOn w:val="BodyText"/>
    <w:rsid w:val="001E02A3"/>
    <w:pPr>
      <w:keepNext/>
      <w:tabs>
        <w:tab w:val="center" w:pos="1224"/>
        <w:tab w:val="center" w:pos="3456"/>
        <w:tab w:val="center" w:pos="5328"/>
        <w:tab w:val="center" w:pos="7200"/>
      </w:tabs>
      <w:spacing w:before="240" w:after="100"/>
      <w:jc w:val="center"/>
    </w:pPr>
    <w:rPr>
      <w:b/>
      <w:color w:val="000000"/>
      <w:sz w:val="24"/>
    </w:rPr>
  </w:style>
  <w:style w:type="paragraph" w:customStyle="1" w:styleId="Tabletext">
    <w:name w:val="Table text"/>
    <w:basedOn w:val="Normal"/>
    <w:rsid w:val="001E02A3"/>
    <w:pPr>
      <w:spacing w:before="20" w:after="20"/>
    </w:pPr>
  </w:style>
  <w:style w:type="paragraph" w:customStyle="1" w:styleId="Address">
    <w:name w:val="Address"/>
    <w:basedOn w:val="Normal"/>
    <w:next w:val="Normal"/>
    <w:rsid w:val="001E02A3"/>
    <w:rPr>
      <w:i/>
      <w:snapToGrid w:val="0"/>
      <w:sz w:val="24"/>
    </w:rPr>
  </w:style>
  <w:style w:type="character" w:styleId="CommentReference">
    <w:name w:val="annotation reference"/>
    <w:semiHidden/>
    <w:rsid w:val="009D6717"/>
    <w:rPr>
      <w:sz w:val="16"/>
      <w:szCs w:val="16"/>
    </w:rPr>
  </w:style>
  <w:style w:type="paragraph" w:styleId="CommentText">
    <w:name w:val="annotation text"/>
    <w:basedOn w:val="Normal"/>
    <w:semiHidden/>
    <w:rsid w:val="009D6717"/>
  </w:style>
  <w:style w:type="paragraph" w:styleId="CommentSubject">
    <w:name w:val="annotation subject"/>
    <w:basedOn w:val="CommentText"/>
    <w:next w:val="CommentText"/>
    <w:semiHidden/>
    <w:rsid w:val="009D6717"/>
    <w:rPr>
      <w:b/>
      <w:bCs/>
    </w:rPr>
  </w:style>
  <w:style w:type="paragraph" w:styleId="BalloonText">
    <w:name w:val="Balloon Text"/>
    <w:basedOn w:val="Normal"/>
    <w:link w:val="BalloonTextChar"/>
    <w:uiPriority w:val="99"/>
    <w:semiHidden/>
    <w:rsid w:val="009D6717"/>
    <w:rPr>
      <w:rFonts w:ascii="Tahoma" w:hAnsi="Tahoma" w:cs="Tahoma"/>
      <w:sz w:val="16"/>
      <w:szCs w:val="16"/>
    </w:rPr>
  </w:style>
  <w:style w:type="paragraph" w:customStyle="1" w:styleId="Normal11pt">
    <w:name w:val="Normal + 11 pt"/>
    <w:basedOn w:val="Normal"/>
    <w:link w:val="Normal11ptChar"/>
    <w:rsid w:val="006457EB"/>
    <w:rPr>
      <w:sz w:val="22"/>
    </w:rPr>
  </w:style>
  <w:style w:type="character" w:customStyle="1" w:styleId="Normal11ptChar">
    <w:name w:val="Normal + 11 pt Char"/>
    <w:link w:val="Normal11pt"/>
    <w:rsid w:val="006457EB"/>
    <w:rPr>
      <w:sz w:val="22"/>
      <w:lang w:val="en-US" w:eastAsia="en-US" w:bidi="ar-SA"/>
    </w:rPr>
  </w:style>
  <w:style w:type="paragraph" w:styleId="PlainText">
    <w:name w:val="Plain Text"/>
    <w:basedOn w:val="Normal"/>
    <w:rsid w:val="00F10EDD"/>
    <w:rPr>
      <w:rFonts w:ascii="Courier New" w:hAnsi="Courier New"/>
    </w:rPr>
  </w:style>
  <w:style w:type="character" w:customStyle="1" w:styleId="QuickFormat2">
    <w:name w:val="QuickFormat2"/>
    <w:rsid w:val="00A8234C"/>
    <w:rPr>
      <w:rFonts w:ascii="Times New Roman" w:hAnsi="Times New Roman" w:cs="Times New Roman"/>
      <w:color w:val="000000"/>
      <w:sz w:val="20"/>
      <w:szCs w:val="20"/>
    </w:rPr>
  </w:style>
  <w:style w:type="paragraph" w:styleId="HTMLPreformatted">
    <w:name w:val="HTML Preformatted"/>
    <w:basedOn w:val="Normal"/>
    <w:link w:val="HTMLPreformattedChar"/>
    <w:uiPriority w:val="99"/>
    <w:rsid w:val="00A82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rsid w:val="00635CC9"/>
    <w:pPr>
      <w:spacing w:before="100" w:beforeAutospacing="1" w:after="100" w:afterAutospacing="1"/>
    </w:pPr>
    <w:rPr>
      <w:sz w:val="24"/>
      <w:szCs w:val="24"/>
    </w:rPr>
  </w:style>
  <w:style w:type="paragraph" w:customStyle="1" w:styleId="Achievementbullet">
    <w:name w:val="Achievement bullet"/>
    <w:basedOn w:val="Normal"/>
    <w:rsid w:val="002D7C64"/>
    <w:pPr>
      <w:numPr>
        <w:ilvl w:val="1"/>
        <w:numId w:val="6"/>
      </w:numPr>
    </w:pPr>
  </w:style>
  <w:style w:type="character" w:customStyle="1" w:styleId="u1">
    <w:name w:val="u1"/>
    <w:rsid w:val="009164D7"/>
    <w:rPr>
      <w:u w:val="single"/>
    </w:rPr>
  </w:style>
  <w:style w:type="table" w:styleId="TableGrid">
    <w:name w:val="Table Grid"/>
    <w:basedOn w:val="TableNormal"/>
    <w:rsid w:val="00950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65EF6"/>
    <w:rPr>
      <w:color w:val="800080"/>
      <w:u w:val="single"/>
    </w:rPr>
  </w:style>
  <w:style w:type="paragraph" w:styleId="ListParagraph">
    <w:name w:val="List Paragraph"/>
    <w:basedOn w:val="Normal"/>
    <w:uiPriority w:val="34"/>
    <w:qFormat/>
    <w:rsid w:val="001B50A1"/>
    <w:pPr>
      <w:spacing w:after="200" w:line="276" w:lineRule="auto"/>
      <w:ind w:left="720"/>
      <w:contextualSpacing/>
    </w:pPr>
    <w:rPr>
      <w:rFonts w:ascii="Calibri" w:eastAsia="Calibri" w:hAnsi="Calibri"/>
      <w:sz w:val="22"/>
      <w:szCs w:val="22"/>
    </w:rPr>
  </w:style>
  <w:style w:type="character" w:customStyle="1" w:styleId="HTMLPreformattedChar">
    <w:name w:val="HTML Preformatted Char"/>
    <w:link w:val="HTMLPreformatted"/>
    <w:uiPriority w:val="99"/>
    <w:rsid w:val="00467202"/>
    <w:rPr>
      <w:rFonts w:ascii="Courier New" w:hAnsi="Courier New" w:cs="Courier New"/>
    </w:rPr>
  </w:style>
  <w:style w:type="paragraph" w:customStyle="1" w:styleId="FormTemplatetext">
    <w:name w:val="Form Template text"/>
    <w:basedOn w:val="BodyText"/>
    <w:rsid w:val="004E1780"/>
    <w:pPr>
      <w:spacing w:after="120"/>
    </w:pPr>
    <w:rPr>
      <w:sz w:val="24"/>
      <w:szCs w:val="24"/>
    </w:rPr>
  </w:style>
  <w:style w:type="character" w:customStyle="1" w:styleId="BalloonTextChar">
    <w:name w:val="Balloon Text Char"/>
    <w:link w:val="BalloonText"/>
    <w:uiPriority w:val="99"/>
    <w:semiHidden/>
    <w:rsid w:val="00132E4E"/>
    <w:rPr>
      <w:rFonts w:ascii="Tahoma" w:hAnsi="Tahoma" w:cs="Tahoma"/>
      <w:sz w:val="16"/>
      <w:szCs w:val="16"/>
    </w:rPr>
  </w:style>
  <w:style w:type="character" w:customStyle="1" w:styleId="HeaderChar">
    <w:name w:val="Header Char"/>
    <w:basedOn w:val="DefaultParagraphFont"/>
    <w:link w:val="Header"/>
    <w:locked/>
    <w:rsid w:val="001E62B7"/>
  </w:style>
  <w:style w:type="character" w:customStyle="1" w:styleId="FootnoteTextChar">
    <w:name w:val="Footnote Text Char"/>
    <w:basedOn w:val="DefaultParagraphFont"/>
    <w:link w:val="FootnoteText"/>
    <w:uiPriority w:val="99"/>
    <w:semiHidden/>
    <w:rsid w:val="007F19BF"/>
  </w:style>
  <w:style w:type="character" w:customStyle="1" w:styleId="FooterChar">
    <w:name w:val="Footer Char"/>
    <w:basedOn w:val="DefaultParagraphFont"/>
    <w:link w:val="Footer"/>
    <w:uiPriority w:val="99"/>
    <w:rsid w:val="00577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455920">
      <w:bodyDiv w:val="1"/>
      <w:marLeft w:val="0"/>
      <w:marRight w:val="0"/>
      <w:marTop w:val="0"/>
      <w:marBottom w:val="0"/>
      <w:divBdr>
        <w:top w:val="none" w:sz="0" w:space="0" w:color="auto"/>
        <w:left w:val="none" w:sz="0" w:space="0" w:color="auto"/>
        <w:bottom w:val="none" w:sz="0" w:space="0" w:color="auto"/>
        <w:right w:val="none" w:sz="0" w:space="0" w:color="auto"/>
      </w:divBdr>
    </w:div>
    <w:div w:id="953712154">
      <w:bodyDiv w:val="1"/>
      <w:marLeft w:val="0"/>
      <w:marRight w:val="0"/>
      <w:marTop w:val="0"/>
      <w:marBottom w:val="0"/>
      <w:divBdr>
        <w:top w:val="none" w:sz="0" w:space="0" w:color="auto"/>
        <w:left w:val="none" w:sz="0" w:space="0" w:color="auto"/>
        <w:bottom w:val="none" w:sz="0" w:space="0" w:color="auto"/>
        <w:right w:val="none" w:sz="0" w:space="0" w:color="auto"/>
      </w:divBdr>
    </w:div>
    <w:div w:id="1087769299">
      <w:bodyDiv w:val="1"/>
      <w:marLeft w:val="0"/>
      <w:marRight w:val="0"/>
      <w:marTop w:val="0"/>
      <w:marBottom w:val="0"/>
      <w:divBdr>
        <w:top w:val="none" w:sz="0" w:space="0" w:color="auto"/>
        <w:left w:val="none" w:sz="0" w:space="0" w:color="auto"/>
        <w:bottom w:val="none" w:sz="0" w:space="0" w:color="auto"/>
        <w:right w:val="none" w:sz="0" w:space="0" w:color="auto"/>
      </w:divBdr>
    </w:div>
    <w:div w:id="1161507226">
      <w:bodyDiv w:val="1"/>
      <w:marLeft w:val="0"/>
      <w:marRight w:val="0"/>
      <w:marTop w:val="0"/>
      <w:marBottom w:val="0"/>
      <w:divBdr>
        <w:top w:val="none" w:sz="0" w:space="0" w:color="auto"/>
        <w:left w:val="none" w:sz="0" w:space="0" w:color="auto"/>
        <w:bottom w:val="none" w:sz="0" w:space="0" w:color="auto"/>
        <w:right w:val="none" w:sz="0" w:space="0" w:color="auto"/>
      </w:divBdr>
    </w:div>
    <w:div w:id="1234506819">
      <w:bodyDiv w:val="1"/>
      <w:marLeft w:val="0"/>
      <w:marRight w:val="0"/>
      <w:marTop w:val="0"/>
      <w:marBottom w:val="0"/>
      <w:divBdr>
        <w:top w:val="none" w:sz="0" w:space="0" w:color="auto"/>
        <w:left w:val="none" w:sz="0" w:space="0" w:color="auto"/>
        <w:bottom w:val="none" w:sz="0" w:space="0" w:color="auto"/>
        <w:right w:val="none" w:sz="0" w:space="0" w:color="auto"/>
      </w:divBdr>
      <w:divsChild>
        <w:div w:id="719019186">
          <w:marLeft w:val="0"/>
          <w:marRight w:val="0"/>
          <w:marTop w:val="0"/>
          <w:marBottom w:val="0"/>
          <w:divBdr>
            <w:top w:val="none" w:sz="0" w:space="0" w:color="auto"/>
            <w:left w:val="none" w:sz="0" w:space="0" w:color="auto"/>
            <w:bottom w:val="none" w:sz="0" w:space="0" w:color="auto"/>
            <w:right w:val="none" w:sz="0" w:space="0" w:color="auto"/>
          </w:divBdr>
        </w:div>
      </w:divsChild>
    </w:div>
    <w:div w:id="145393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actfinder.census.gov/faces/tableservices/jsf/pages/productview.xhtml?pid=PEP_2011_PEPALL6N&amp;prodType=tabl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lsinfo.org/content/cohorts/nlsy79/other-documentation/technical-sampling-repor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27F8BD6-F0EB-4FFF-AD42-34D1E2C06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2519</Words>
  <Characters>14618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Information Collection Request for</vt:lpstr>
    </vt:vector>
  </TitlesOfParts>
  <Company/>
  <LinksUpToDate>false</LinksUpToDate>
  <CharactersWithSpaces>17103</CharactersWithSpaces>
  <SharedDoc>false</SharedDoc>
  <HLinks>
    <vt:vector size="84" baseType="variant">
      <vt:variant>
        <vt:i4>3801110</vt:i4>
      </vt:variant>
      <vt:variant>
        <vt:i4>231</vt:i4>
      </vt:variant>
      <vt:variant>
        <vt:i4>0</vt:i4>
      </vt:variant>
      <vt:variant>
        <vt:i4>5</vt:i4>
      </vt:variant>
      <vt:variant>
        <vt:lpwstr>http://www.factfinder.census.gov/home/saff/main.html?_lang=en</vt:lpwstr>
      </vt:variant>
      <vt:variant>
        <vt:lpwstr/>
      </vt:variant>
      <vt:variant>
        <vt:i4>2162790</vt:i4>
      </vt:variant>
      <vt:variant>
        <vt:i4>228</vt:i4>
      </vt:variant>
      <vt:variant>
        <vt:i4>0</vt:i4>
      </vt:variant>
      <vt:variant>
        <vt:i4>5</vt:i4>
      </vt:variant>
      <vt:variant>
        <vt:lpwstr>http://www.nlsinfo.org/nlsy79/docs/79html/NLSY79 Tech Samp Rpt.pdf</vt:lpwstr>
      </vt:variant>
      <vt:variant>
        <vt:lpwstr/>
      </vt:variant>
      <vt:variant>
        <vt:i4>8192002</vt:i4>
      </vt:variant>
      <vt:variant>
        <vt:i4>222</vt:i4>
      </vt:variant>
      <vt:variant>
        <vt:i4>0</vt:i4>
      </vt:variant>
      <vt:variant>
        <vt:i4>5</vt:i4>
      </vt:variant>
      <vt:variant>
        <vt:lpwstr>mailto:western@wjh.harvard.edu</vt:lpwstr>
      </vt:variant>
      <vt:variant>
        <vt:lpwstr/>
      </vt:variant>
      <vt:variant>
        <vt:i4>131184</vt:i4>
      </vt:variant>
      <vt:variant>
        <vt:i4>219</vt:i4>
      </vt:variant>
      <vt:variant>
        <vt:i4>0</vt:i4>
      </vt:variant>
      <vt:variant>
        <vt:i4>5</vt:i4>
      </vt:variant>
      <vt:variant>
        <vt:lpwstr>mailto:ctaber@ssc.wisc.edu</vt:lpwstr>
      </vt:variant>
      <vt:variant>
        <vt:lpwstr/>
      </vt:variant>
      <vt:variant>
        <vt:i4>8126473</vt:i4>
      </vt:variant>
      <vt:variant>
        <vt:i4>216</vt:i4>
      </vt:variant>
      <vt:variant>
        <vt:i4>0</vt:i4>
      </vt:variant>
      <vt:variant>
        <vt:i4>5</vt:i4>
      </vt:variant>
      <vt:variant>
        <vt:lpwstr>mailto:seth.sanders@duke.edu</vt:lpwstr>
      </vt:variant>
      <vt:variant>
        <vt:lpwstr/>
      </vt:variant>
      <vt:variant>
        <vt:i4>6094909</vt:i4>
      </vt:variant>
      <vt:variant>
        <vt:i4>213</vt:i4>
      </vt:variant>
      <vt:variant>
        <vt:i4>0</vt:i4>
      </vt:variant>
      <vt:variant>
        <vt:i4>5</vt:i4>
      </vt:variant>
      <vt:variant>
        <vt:lpwstr>mailto:d-neal@uchicago.edu</vt:lpwstr>
      </vt:variant>
      <vt:variant>
        <vt:lpwstr/>
      </vt:variant>
      <vt:variant>
        <vt:i4>6357015</vt:i4>
      </vt:variant>
      <vt:variant>
        <vt:i4>210</vt:i4>
      </vt:variant>
      <vt:variant>
        <vt:i4>0</vt:i4>
      </vt:variant>
      <vt:variant>
        <vt:i4>5</vt:i4>
      </vt:variant>
      <vt:variant>
        <vt:lpwstr>mailto:Annamaria.Lusardi@Dartmouth.edu</vt:lpwstr>
      </vt:variant>
      <vt:variant>
        <vt:lpwstr/>
      </vt:variant>
      <vt:variant>
        <vt:i4>3276812</vt:i4>
      </vt:variant>
      <vt:variant>
        <vt:i4>207</vt:i4>
      </vt:variant>
      <vt:variant>
        <vt:i4>0</vt:i4>
      </vt:variant>
      <vt:variant>
        <vt:i4>5</vt:i4>
      </vt:variant>
      <vt:variant>
        <vt:lpwstr>mailto:kapteyn@rand.org</vt:lpwstr>
      </vt:variant>
      <vt:variant>
        <vt:lpwstr/>
      </vt:variant>
      <vt:variant>
        <vt:i4>2883588</vt:i4>
      </vt:variant>
      <vt:variant>
        <vt:i4>204</vt:i4>
      </vt:variant>
      <vt:variant>
        <vt:i4>0</vt:i4>
      </vt:variant>
      <vt:variant>
        <vt:i4>5</vt:i4>
      </vt:variant>
      <vt:variant>
        <vt:lpwstr>mailto:jgrogger@uchicago.edu</vt:lpwstr>
      </vt:variant>
      <vt:variant>
        <vt:lpwstr/>
      </vt:variant>
      <vt:variant>
        <vt:i4>4522093</vt:i4>
      </vt:variant>
      <vt:variant>
        <vt:i4>201</vt:i4>
      </vt:variant>
      <vt:variant>
        <vt:i4>0</vt:i4>
      </vt:variant>
      <vt:variant>
        <vt:i4>5</vt:i4>
      </vt:variant>
      <vt:variant>
        <vt:lpwstr>mailto:jc2663@columbia.edu</vt:lpwstr>
      </vt:variant>
      <vt:variant>
        <vt:lpwstr/>
      </vt:variant>
      <vt:variant>
        <vt:i4>8323153</vt:i4>
      </vt:variant>
      <vt:variant>
        <vt:i4>198</vt:i4>
      </vt:variant>
      <vt:variant>
        <vt:i4>0</vt:i4>
      </vt:variant>
      <vt:variant>
        <vt:i4>5</vt:i4>
      </vt:variant>
      <vt:variant>
        <vt:lpwstr>mailto:dautor@mit.edu</vt:lpwstr>
      </vt:variant>
      <vt:variant>
        <vt:lpwstr/>
      </vt:variant>
      <vt:variant>
        <vt:i4>3670078</vt:i4>
      </vt:variant>
      <vt:variant>
        <vt:i4>195</vt:i4>
      </vt:variant>
      <vt:variant>
        <vt:i4>0</vt:i4>
      </vt:variant>
      <vt:variant>
        <vt:i4>5</vt:i4>
      </vt:variant>
      <vt:variant>
        <vt:lpwstr>http://www.bls.gov/nls/nlsnews.htm</vt:lpwstr>
      </vt:variant>
      <vt:variant>
        <vt:lpwstr/>
      </vt:variant>
      <vt:variant>
        <vt:i4>3080295</vt:i4>
      </vt:variant>
      <vt:variant>
        <vt:i4>192</vt:i4>
      </vt:variant>
      <vt:variant>
        <vt:i4>0</vt:i4>
      </vt:variant>
      <vt:variant>
        <vt:i4>5</vt:i4>
      </vt:variant>
      <vt:variant>
        <vt:lpwstr>http://www.nlsbibliography.org/</vt:lpwstr>
      </vt:variant>
      <vt:variant>
        <vt:lpwstr/>
      </vt:variant>
      <vt:variant>
        <vt:i4>4325468</vt:i4>
      </vt:variant>
      <vt:variant>
        <vt:i4>189</vt:i4>
      </vt:variant>
      <vt:variant>
        <vt:i4>0</vt:i4>
      </vt:variant>
      <vt:variant>
        <vt:i4>5</vt:i4>
      </vt:variant>
      <vt:variant>
        <vt:lpwstr>http://www.bls.gov/news.release/pdf/nlsoy.pdf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for</dc:title>
  <dc:creator>Jay Meisenheimer</dc:creator>
  <cp:lastModifiedBy>Kincaid, Nora - BLS</cp:lastModifiedBy>
  <cp:revision>2</cp:revision>
  <cp:lastPrinted>2009-02-01T19:32:00Z</cp:lastPrinted>
  <dcterms:created xsi:type="dcterms:W3CDTF">2020-04-22T12:45:00Z</dcterms:created>
  <dcterms:modified xsi:type="dcterms:W3CDTF">2020-04-22T12:45:00Z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xtPage ExtendedVersionId">
    <vt:lpwstr>KHJEayoMLk6Pz8kO1WBdaA</vt:lpwstr>
  </property>
  <property fmtid="{D5CDD505-2E9C-101B-9397-08002B2CF9AE}" pid="3" name="NextPage MetadataVersion.KHJEayoMLk6Pz8kO1WBdaA">
    <vt:lpwstr>1.2</vt:lpwstr>
  </property>
  <property fmtid="{D5CDD505-2E9C-101B-9397-08002B2CF9AE}" pid="4" name="NextPage DocumentId.KHJEayoMLk6Pz8kO1WBdaA">
    <vt:lpwstr>rJ6NV+C4gUWaCaeNgfbEpA</vt:lpwstr>
  </property>
  <property fmtid="{D5CDD505-2E9C-101B-9397-08002B2CF9AE}" pid="5" name="NextPage VersionId.KHJEayoMLk6Pz8kO1WBdaA">
    <vt:lpwstr>NlYtKcPNuE+0CSIYlMyxwg</vt:lpwstr>
  </property>
  <property fmtid="{D5CDD505-2E9C-101B-9397-08002B2CF9AE}" pid="6" name="NextPage SequenceNumber.KHJEayoMLk6Pz8kO1WBdaA">
    <vt:lpwstr>18</vt:lpwstr>
  </property>
  <property fmtid="{D5CDD505-2E9C-101B-9397-08002B2CF9AE}" pid="7" name="NextPage AuthorId.KHJEayoMLk6Pz8kO1WBdaA">
    <vt:lpwstr>ccBmvY/ST7qwnmFMiWpHcw</vt:lpwstr>
  </property>
  <property fmtid="{D5CDD505-2E9C-101B-9397-08002B2CF9AE}" pid="8" name="NextPage MasterDocumentId.KHJEayoMLk6Pz8kO1WBdaA">
    <vt:lpwstr>rJ6NV+C4gUWaCaeNgfbEpA</vt:lpwstr>
  </property>
  <property fmtid="{D5CDD505-2E9C-101B-9397-08002B2CF9AE}" pid="9" name="NextPage UrVersionIdsSize.KHJEayoMLk6Pz8kO1WBdaA">
    <vt:lpwstr>17</vt:lpwstr>
  </property>
  <property fmtid="{D5CDD505-2E9C-101B-9397-08002B2CF9AE}" pid="10" name="NextPage UrVersionId1.KHJEayoMLk6Pz8kO1WBdaA">
    <vt:lpwstr>YNVygizIe7MfRHn5Y4Ev0g</vt:lpwstr>
  </property>
  <property fmtid="{D5CDD505-2E9C-101B-9397-08002B2CF9AE}" pid="11" name="NextPage UrVersionId2.KHJEayoMLk6Pz8kO1WBdaA">
    <vt:lpwstr>2V4+jXJ2oUqukRE2O5CNGA</vt:lpwstr>
  </property>
  <property fmtid="{D5CDD505-2E9C-101B-9397-08002B2CF9AE}" pid="12" name="NextPage UrVersionId3.KHJEayoMLk6Pz8kO1WBdaA">
    <vt:lpwstr>nfeyOQraeUmNa1D21vzuwA</vt:lpwstr>
  </property>
  <property fmtid="{D5CDD505-2E9C-101B-9397-08002B2CF9AE}" pid="13" name="NextPage UrVersionId4.KHJEayoMLk6Pz8kO1WBdaA">
    <vt:lpwstr>MjOwTo44R0qfl286WHixxg</vt:lpwstr>
  </property>
  <property fmtid="{D5CDD505-2E9C-101B-9397-08002B2CF9AE}" pid="14" name="NextPage UrVersionId5.KHJEayoMLk6Pz8kO1WBdaA">
    <vt:lpwstr>A2ETlXSEVUCT3Mc2bM9RYA</vt:lpwstr>
  </property>
  <property fmtid="{D5CDD505-2E9C-101B-9397-08002B2CF9AE}" pid="15" name="NextPage UrVersionId6.KHJEayoMLk6Pz8kO1WBdaA">
    <vt:lpwstr>E2PRWgKXnUmidk/xHI2b7w</vt:lpwstr>
  </property>
  <property fmtid="{D5CDD505-2E9C-101B-9397-08002B2CF9AE}" pid="16" name="NextPage UrVersionId7.KHJEayoMLk6Pz8kO1WBdaA">
    <vt:lpwstr>5/VqcUAoOEKG2w8JZf7vXQ</vt:lpwstr>
  </property>
  <property fmtid="{D5CDD505-2E9C-101B-9397-08002B2CF9AE}" pid="17" name="NextPage UrVersionId8.KHJEayoMLk6Pz8kO1WBdaA">
    <vt:lpwstr>WU+acbFpc0GlXQeUoMMDGg</vt:lpwstr>
  </property>
  <property fmtid="{D5CDD505-2E9C-101B-9397-08002B2CF9AE}" pid="18" name="NextPage UrVersionId9.KHJEayoMLk6Pz8kO1WBdaA">
    <vt:lpwstr>2op+NUwMqki0PVejTyYc3g</vt:lpwstr>
  </property>
  <property fmtid="{D5CDD505-2E9C-101B-9397-08002B2CF9AE}" pid="19" name="NextPage UrVersionId10.KHJEayoMLk6Pz8kO1WBdaA">
    <vt:lpwstr>DtdpINxXb02prOu16HKkxg</vt:lpwstr>
  </property>
  <property fmtid="{D5CDD505-2E9C-101B-9397-08002B2CF9AE}" pid="20" name="NextPage UrVersionId11.KHJEayoMLk6Pz8kO1WBdaA">
    <vt:lpwstr>SOBwAQ7xYUKArp61BuwqJw</vt:lpwstr>
  </property>
  <property fmtid="{D5CDD505-2E9C-101B-9397-08002B2CF9AE}" pid="21" name="NextPage UrVersionId12.KHJEayoMLk6Pz8kO1WBdaA">
    <vt:lpwstr>pnaJ5SLtH06Aywlkj7LBZQ</vt:lpwstr>
  </property>
  <property fmtid="{D5CDD505-2E9C-101B-9397-08002B2CF9AE}" pid="22" name="NextPage UrVersionId13.KHJEayoMLk6Pz8kO1WBdaA">
    <vt:lpwstr>k7LrKHgLPEmaxBBhkUdC2w</vt:lpwstr>
  </property>
  <property fmtid="{D5CDD505-2E9C-101B-9397-08002B2CF9AE}" pid="23" name="NextPage UrVersionId14.KHJEayoMLk6Pz8kO1WBdaA">
    <vt:lpwstr>G+udIEgIUUuXBVNi///O/A</vt:lpwstr>
  </property>
  <property fmtid="{D5CDD505-2E9C-101B-9397-08002B2CF9AE}" pid="24" name="NextPage UrVersionId15.KHJEayoMLk6Pz8kO1WBdaA">
    <vt:lpwstr>aZWMmgojE0exDBUpbvnqMw</vt:lpwstr>
  </property>
  <property fmtid="{D5CDD505-2E9C-101B-9397-08002B2CF9AE}" pid="25" name="NextPage UrVersionId16.KHJEayoMLk6Pz8kO1WBdaA">
    <vt:lpwstr>NahftRfIGUi+2Z0vXxf1dQ</vt:lpwstr>
  </property>
  <property fmtid="{D5CDD505-2E9C-101B-9397-08002B2CF9AE}" pid="26" name="NextPage UrVersionId17.KHJEayoMLk6Pz8kO1WBdaA">
    <vt:lpwstr>NlYtKcPNuE+0CSIYlMyxwg</vt:lpwstr>
  </property>
  <property fmtid="{D5CDD505-2E9C-101B-9397-08002B2CF9AE}" pid="27" name="chrome_save">
    <vt:filetime>2007-03-13T22:01:35Z</vt:filetime>
  </property>
  <property fmtid="{D5CDD505-2E9C-101B-9397-08002B2CF9AE}" pid="28" name="NextPage LastSavedBy">
    <vt:lpwstr>mcclain</vt:lpwstr>
  </property>
</Properties>
</file>