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01A0E" w:rsidR="001345A5" w:rsidP="00201A0E" w:rsidRDefault="00C216B6" w14:paraId="39F283DB" w14:textId="36CBC89E">
      <w:pPr>
        <w:pStyle w:val="Heading1"/>
        <w:jc w:val="center"/>
        <w:rPr>
          <w:rFonts w:ascii="Times New Roman" w:hAnsi="Times New Roman" w:cs="Times New Roman"/>
          <w:b/>
          <w:color w:val="auto"/>
          <w:sz w:val="24"/>
        </w:rPr>
      </w:pPr>
      <w:r w:rsidRPr="00201A0E">
        <w:rPr>
          <w:rFonts w:ascii="Times New Roman" w:hAnsi="Times New Roman" w:cs="Times New Roman"/>
          <w:b/>
          <w:color w:val="auto"/>
          <w:sz w:val="24"/>
        </w:rPr>
        <w:t>J</w:t>
      </w:r>
      <w:r w:rsidRPr="00201A0E" w:rsidR="006D4B07">
        <w:rPr>
          <w:rFonts w:ascii="Times New Roman" w:hAnsi="Times New Roman" w:cs="Times New Roman"/>
          <w:b/>
          <w:color w:val="auto"/>
          <w:sz w:val="24"/>
        </w:rPr>
        <w:t xml:space="preserve">ustification </w:t>
      </w:r>
      <w:r w:rsidRPr="00201A0E" w:rsidR="00606E97">
        <w:rPr>
          <w:rFonts w:ascii="Times New Roman" w:hAnsi="Times New Roman" w:cs="Times New Roman"/>
          <w:b/>
          <w:color w:val="auto"/>
          <w:sz w:val="24"/>
        </w:rPr>
        <w:t>for</w:t>
      </w:r>
      <w:r w:rsidRPr="00201A0E" w:rsidR="006D4B07">
        <w:rPr>
          <w:rFonts w:ascii="Times New Roman" w:hAnsi="Times New Roman" w:cs="Times New Roman"/>
          <w:b/>
          <w:color w:val="auto"/>
          <w:sz w:val="24"/>
        </w:rPr>
        <w:t xml:space="preserve"> Nonmaterial/</w:t>
      </w:r>
      <w:proofErr w:type="spellStart"/>
      <w:r w:rsidRPr="00201A0E" w:rsidR="006D4B07">
        <w:rPr>
          <w:rFonts w:ascii="Times New Roman" w:hAnsi="Times New Roman" w:cs="Times New Roman"/>
          <w:b/>
          <w:color w:val="auto"/>
          <w:sz w:val="24"/>
        </w:rPr>
        <w:t>Nonsubstantive</w:t>
      </w:r>
      <w:proofErr w:type="spellEnd"/>
      <w:r w:rsidRPr="00201A0E" w:rsidR="006D4B07">
        <w:rPr>
          <w:rFonts w:ascii="Times New Roman" w:hAnsi="Times New Roman" w:cs="Times New Roman"/>
          <w:b/>
          <w:color w:val="auto"/>
          <w:sz w:val="24"/>
        </w:rPr>
        <w:t xml:space="preserve"> Change</w:t>
      </w:r>
    </w:p>
    <w:p w:rsidRPr="00437695" w:rsidR="00676A82" w:rsidP="00A149E8" w:rsidRDefault="00676A82" w14:paraId="64E98E82" w14:textId="77777777">
      <w:pPr>
        <w:pStyle w:val="Title"/>
        <w:contextualSpacing/>
        <w:rPr>
          <w:rFonts w:ascii="Times New Roman" w:hAnsi="Times New Roman" w:cs="Times New Roman"/>
        </w:rPr>
      </w:pPr>
    </w:p>
    <w:p w:rsidRPr="00437695" w:rsidR="00676A82" w:rsidP="00A149E8" w:rsidRDefault="006D4B07" w14:paraId="5A943CC6" w14:textId="462D0F79">
      <w:pPr>
        <w:contextualSpacing/>
        <w:jc w:val="center"/>
        <w:rPr>
          <w:b/>
        </w:rPr>
      </w:pPr>
      <w:r w:rsidRPr="00437695">
        <w:rPr>
          <w:b/>
        </w:rPr>
        <w:t>Department of Labor</w:t>
      </w:r>
    </w:p>
    <w:p w:rsidRPr="00437695" w:rsidR="00676A82" w:rsidP="00A149E8" w:rsidRDefault="006D4B07" w14:paraId="03EC621B" w14:textId="18A4D2B9">
      <w:pPr>
        <w:contextualSpacing/>
        <w:jc w:val="center"/>
        <w:rPr>
          <w:b/>
        </w:rPr>
      </w:pPr>
      <w:r w:rsidRPr="00437695">
        <w:rPr>
          <w:b/>
        </w:rPr>
        <w:t>Office of Federal Contract Compliance Programs</w:t>
      </w:r>
    </w:p>
    <w:p w:rsidRPr="00437695" w:rsidR="00676A82" w:rsidP="00A149E8" w:rsidRDefault="00676A82" w14:paraId="1E7C680C" w14:textId="77777777">
      <w:pPr>
        <w:contextualSpacing/>
        <w:jc w:val="center"/>
        <w:rPr>
          <w:b/>
        </w:rPr>
      </w:pPr>
    </w:p>
    <w:p w:rsidRPr="00437695" w:rsidR="00676A82" w:rsidP="00A149E8" w:rsidRDefault="00915040" w14:paraId="7A0808A6" w14:textId="3758B112">
      <w:pPr>
        <w:contextualSpacing/>
        <w:jc w:val="center"/>
        <w:rPr>
          <w:b/>
        </w:rPr>
      </w:pPr>
      <w:r w:rsidRPr="00437695">
        <w:rPr>
          <w:rFonts w:eastAsia="Calibri"/>
          <w:b/>
        </w:rPr>
        <w:t>Supply and Service</w:t>
      </w:r>
      <w:r w:rsidR="00680F5C">
        <w:rPr>
          <w:rFonts w:eastAsia="Calibri"/>
          <w:b/>
        </w:rPr>
        <w:t xml:space="preserve"> Program</w:t>
      </w:r>
    </w:p>
    <w:p w:rsidRPr="00437695" w:rsidR="00676A82" w:rsidP="00A149E8" w:rsidRDefault="006D4B07" w14:paraId="2140B9F9" w14:textId="3A67259E">
      <w:pPr>
        <w:contextualSpacing/>
        <w:jc w:val="center"/>
        <w:rPr>
          <w:b/>
          <w:caps/>
        </w:rPr>
      </w:pPr>
      <w:r w:rsidRPr="00437695">
        <w:rPr>
          <w:b/>
        </w:rPr>
        <w:t>OMB Control Number</w:t>
      </w:r>
      <w:r w:rsidRPr="00437695" w:rsidR="00676A82">
        <w:rPr>
          <w:b/>
        </w:rPr>
        <w:t xml:space="preserve"> 1250-</w:t>
      </w:r>
      <w:r w:rsidRPr="00437695" w:rsidR="00915040">
        <w:rPr>
          <w:b/>
        </w:rPr>
        <w:t>0003</w:t>
      </w:r>
    </w:p>
    <w:p w:rsidRPr="00437695" w:rsidR="00C216B6" w:rsidP="00A149E8" w:rsidRDefault="00C216B6" w14:paraId="39F283E0" w14:textId="77777777">
      <w:pPr>
        <w:spacing w:line="480" w:lineRule="auto"/>
        <w:contextualSpacing/>
        <w:jc w:val="both"/>
      </w:pPr>
    </w:p>
    <w:p w:rsidRPr="00437695" w:rsidR="00F50621" w:rsidP="00A149E8" w:rsidRDefault="00F50621" w14:paraId="39F283E5" w14:textId="77777777">
      <w:pPr>
        <w:spacing w:line="480" w:lineRule="auto"/>
        <w:contextualSpacing/>
        <w:jc w:val="both"/>
      </w:pPr>
    </w:p>
    <w:p w:rsidRPr="00437695" w:rsidR="003D7513" w:rsidP="00A149E8" w:rsidRDefault="00F50621" w14:paraId="39F283E7" w14:textId="524C6FE7">
      <w:pPr>
        <w:spacing w:line="480" w:lineRule="auto"/>
        <w:contextualSpacing/>
        <w:jc w:val="both"/>
        <w:rPr>
          <w:u w:val="single"/>
        </w:rPr>
      </w:pPr>
      <w:r w:rsidRPr="00437695">
        <w:rPr>
          <w:u w:val="single"/>
        </w:rPr>
        <w:t>Background</w:t>
      </w:r>
    </w:p>
    <w:p w:rsidRPr="00437695" w:rsidR="00B119FF" w:rsidP="00455F65" w:rsidRDefault="00B119FF" w14:paraId="577148B0" w14:textId="4BD77F95">
      <w:pPr>
        <w:tabs>
          <w:tab w:val="left" w:pos="-720"/>
        </w:tabs>
        <w:spacing w:line="480" w:lineRule="auto"/>
        <w:contextualSpacing/>
      </w:pPr>
      <w:r w:rsidRPr="00437695">
        <w:t xml:space="preserve">In 2018, </w:t>
      </w:r>
      <w:r w:rsidR="00143359">
        <w:t xml:space="preserve">the </w:t>
      </w:r>
      <w:r w:rsidRPr="00437695">
        <w:t>O</w:t>
      </w:r>
      <w:r w:rsidR="00143359">
        <w:t>ffice of Federal Contract Compliance Programs (O</w:t>
      </w:r>
      <w:r w:rsidRPr="00437695">
        <w:t>FCCP</w:t>
      </w:r>
      <w:r w:rsidR="00143359">
        <w:t>)</w:t>
      </w:r>
      <w:r w:rsidRPr="00437695">
        <w:t xml:space="preserve"> issued Directive (DIR) 2018-04</w:t>
      </w:r>
      <w:r w:rsidR="00680F5C">
        <w:t>,</w:t>
      </w:r>
      <w:r w:rsidR="00680F5C">
        <w:rPr>
          <w:rFonts w:ascii="Helvetica" w:hAnsi="Helvetica" w:cs="Helvetica"/>
          <w:color w:val="212121"/>
          <w:sz w:val="26"/>
          <w:szCs w:val="26"/>
          <w:shd w:val="clear" w:color="auto" w:fill="FFFFFF"/>
        </w:rPr>
        <w:t xml:space="preserve"> </w:t>
      </w:r>
      <w:r w:rsidRPr="00201A0E" w:rsidR="00680F5C">
        <w:rPr>
          <w:i/>
        </w:rPr>
        <w:t>Focused reviews of contractor compliance with Executive Order 11246 (E.O.), as amended; Section 503 of the Rehabilitation Act of 1973 (Section 503), as amended; and Vietnam Era Veterans’ Readjustment Assistance Act of 1974 (VEVRAA), as amended</w:t>
      </w:r>
      <w:r w:rsidR="00680F5C">
        <w:t>,</w:t>
      </w:r>
      <w:r w:rsidRPr="00437695">
        <w:t xml:space="preserve"> to introduce a comprehensive initiative aimed at examining compliance with specific portions of contractors’ equal employment opportunity obligations.  </w:t>
      </w:r>
      <w:r w:rsidRPr="00437695" w:rsidR="00A149E8">
        <w:t>OFCCP recently announced that it will begin conducting focused re</w:t>
      </w:r>
      <w:r w:rsidRPr="00437695">
        <w:t xml:space="preserve">views addressing disability and </w:t>
      </w:r>
      <w:r w:rsidRPr="00437695" w:rsidR="00A149E8">
        <w:t>religious accommodations</w:t>
      </w:r>
      <w:r w:rsidRPr="00437695">
        <w:t xml:space="preserve">, </w:t>
      </w:r>
      <w:r w:rsidRPr="00437695" w:rsidR="00A149E8">
        <w:t>as</w:t>
      </w:r>
      <w:r w:rsidRPr="00437695">
        <w:t xml:space="preserve"> well as</w:t>
      </w:r>
      <w:r w:rsidR="00455F65">
        <w:t xml:space="preserve"> focused</w:t>
      </w:r>
      <w:r w:rsidRPr="00437695">
        <w:t xml:space="preserve"> reviews addressing promotions</w:t>
      </w:r>
      <w:r w:rsidRPr="00437695" w:rsidR="00A149E8">
        <w:t xml:space="preserve">.  </w:t>
      </w:r>
      <w:r w:rsidRPr="00437695">
        <w:t>The goal of the accommodations</w:t>
      </w:r>
      <w:r w:rsidRPr="00437695" w:rsidR="00A149E8">
        <w:t xml:space="preserve"> reviews is to ensure that contractors are not discriminating against employees and applicants through denials of accommodation requests and to provide technical assistance and other guidance to contractors so they are better able to provide accommodations in all aspects required by equal employment opportunity laws.</w:t>
      </w:r>
      <w:r w:rsidRPr="00437695">
        <w:t xml:space="preserve">  </w:t>
      </w:r>
      <w:r w:rsidR="00512AEA">
        <w:t xml:space="preserve">The goal of the promotions reviews is </w:t>
      </w:r>
      <w:r w:rsidRPr="00437695">
        <w:t>to examine whether contractors’ promotion practices and procedures comply with their obligations under OFCCP’s laws.  One aspect of these reviews will be to examine whether discrimination occurs at the intersection of race and gender.</w:t>
      </w:r>
    </w:p>
    <w:p w:rsidRPr="00437695" w:rsidR="00A149E8" w:rsidP="00A149E8" w:rsidRDefault="00A149E8" w14:paraId="3FEE0367" w14:textId="77777777">
      <w:pPr>
        <w:tabs>
          <w:tab w:val="left" w:pos="-720"/>
        </w:tabs>
        <w:spacing w:line="480" w:lineRule="auto"/>
        <w:contextualSpacing/>
      </w:pPr>
    </w:p>
    <w:p w:rsidRPr="00437695" w:rsidR="00183B2D" w:rsidP="00A149E8" w:rsidRDefault="00A149E8" w14:paraId="2C8D101A" w14:textId="7C952B85">
      <w:pPr>
        <w:tabs>
          <w:tab w:val="left" w:pos="-720"/>
        </w:tabs>
        <w:spacing w:line="480" w:lineRule="auto"/>
        <w:contextualSpacing/>
      </w:pPr>
      <w:r w:rsidRPr="00437695">
        <w:lastRenderedPageBreak/>
        <w:t xml:space="preserve">In conducting these reviews, Compliance Officers will examine a contractor’s policies and procedures related to </w:t>
      </w:r>
      <w:r w:rsidR="00512AEA">
        <w:t>disability</w:t>
      </w:r>
      <w:r w:rsidRPr="00437695" w:rsidR="00B119FF">
        <w:t xml:space="preserve"> and </w:t>
      </w:r>
      <w:r w:rsidR="00512AEA">
        <w:t>religious</w:t>
      </w:r>
      <w:r w:rsidRPr="00437695" w:rsidR="00B119FF">
        <w:t xml:space="preserve"> accommodations and promotion practices,</w:t>
      </w:r>
      <w:r w:rsidRPr="00437695">
        <w:t xml:space="preserve"> as identified in the </w:t>
      </w:r>
      <w:r w:rsidR="00512AEA">
        <w:t>focused review</w:t>
      </w:r>
      <w:r w:rsidRPr="00437695">
        <w:t xml:space="preserve"> letter</w:t>
      </w:r>
      <w:r w:rsidRPr="00437695" w:rsidR="00B119FF">
        <w:t>s</w:t>
      </w:r>
      <w:r w:rsidRPr="00437695" w:rsidR="005E2802">
        <w:t xml:space="preserve">. </w:t>
      </w:r>
      <w:r w:rsidR="0055469D">
        <w:t xml:space="preserve"> </w:t>
      </w:r>
      <w:r w:rsidR="00512AEA">
        <w:t>For accommodations, t</w:t>
      </w:r>
      <w:r w:rsidRPr="00437695" w:rsidR="005E2802">
        <w:t>hey</w:t>
      </w:r>
      <w:r w:rsidRPr="00437695">
        <w:t xml:space="preserve"> will</w:t>
      </w:r>
      <w:r w:rsidRPr="00437695" w:rsidR="005E2802">
        <w:t xml:space="preserve"> </w:t>
      </w:r>
      <w:r w:rsidRPr="00437695">
        <w:t>specifically review documentation relating to accommodation requests and dispositions, with a particular emphasis on denial(s) of a</w:t>
      </w:r>
      <w:r w:rsidR="00455F65">
        <w:t xml:space="preserve">ccommodation. </w:t>
      </w:r>
      <w:r w:rsidR="0055469D">
        <w:t xml:space="preserve"> </w:t>
      </w:r>
      <w:r w:rsidR="00455F65">
        <w:t xml:space="preserve">Reviews </w:t>
      </w:r>
      <w:r w:rsidRPr="00437695">
        <w:t>will include interviews with managers responsible for or involved in the accommodation process as well as with affected employees and applicants.</w:t>
      </w:r>
      <w:r w:rsidR="00512AEA">
        <w:t xml:space="preserve"> For promotions</w:t>
      </w:r>
      <w:r w:rsidRPr="00437695" w:rsidR="00C223EB">
        <w:t xml:space="preserve">, </w:t>
      </w:r>
      <w:r w:rsidR="0055469D">
        <w:t>Compliance Officers</w:t>
      </w:r>
      <w:r w:rsidRPr="00437695" w:rsidR="00C223EB">
        <w:t xml:space="preserve"> will conduct interviews with managers responsible for promotion decisions and, if applicable, with affected employees. </w:t>
      </w:r>
      <w:r w:rsidR="0055469D">
        <w:t xml:space="preserve"> </w:t>
      </w:r>
      <w:r w:rsidR="00512AEA">
        <w:t>They</w:t>
      </w:r>
      <w:r w:rsidRPr="00437695" w:rsidR="00C223EB">
        <w:t xml:space="preserve"> may also evaluate hiring and compensation policies, procedures, and data, as appropriate, to determine if qualified applicants are being steered into lower paying positions with limited upward mobility or otherwise prevented from advancing professionally.</w:t>
      </w:r>
    </w:p>
    <w:p w:rsidRPr="00437695" w:rsidR="00A6592C" w:rsidP="00A149E8" w:rsidRDefault="00A6592C" w14:paraId="137C3E89" w14:textId="77777777">
      <w:pPr>
        <w:spacing w:line="480" w:lineRule="auto"/>
        <w:contextualSpacing/>
        <w:jc w:val="both"/>
      </w:pPr>
    </w:p>
    <w:p w:rsidRPr="00437695" w:rsidR="00CC53ED" w:rsidP="00594CD8" w:rsidRDefault="00CC53ED" w14:paraId="39F28419" w14:textId="159EE686">
      <w:pPr>
        <w:keepNext/>
        <w:spacing w:line="480" w:lineRule="auto"/>
        <w:contextualSpacing/>
        <w:rPr>
          <w:u w:val="single"/>
        </w:rPr>
      </w:pPr>
      <w:r w:rsidRPr="00437695">
        <w:rPr>
          <w:u w:val="single"/>
        </w:rPr>
        <w:t>Summary of Changes</w:t>
      </w:r>
    </w:p>
    <w:p w:rsidRPr="00437695" w:rsidR="009D33E0" w:rsidP="00594CD8" w:rsidRDefault="00187D2E" w14:paraId="2E475FEB" w14:textId="12F6DDFE">
      <w:pPr>
        <w:spacing w:line="480" w:lineRule="auto"/>
        <w:contextualSpacing/>
      </w:pPr>
      <w:r w:rsidRPr="00437695">
        <w:t>In the c</w:t>
      </w:r>
      <w:r w:rsidRPr="00437695" w:rsidR="005C0F01">
        <w:t xml:space="preserve">urrently approved collection, </w:t>
      </w:r>
      <w:r w:rsidR="00A76692">
        <w:t xml:space="preserve">there are four collection instruments that are used to notify </w:t>
      </w:r>
      <w:r w:rsidRPr="00437695" w:rsidR="00B90898">
        <w:t xml:space="preserve">supply and service contractors </w:t>
      </w:r>
      <w:r w:rsidR="00512AEA">
        <w:t>that they have been selected to undergo a compliance evaluation</w:t>
      </w:r>
      <w:r w:rsidR="00A76692">
        <w:t>: compliance review scheduling letter, compliance check letter, Section 503 focused review letter, and VEVRAA focused review letter</w:t>
      </w:r>
      <w:r w:rsidR="00437695">
        <w:t xml:space="preserve">.  </w:t>
      </w:r>
      <w:r w:rsidRPr="00437695" w:rsidR="00B90898">
        <w:t>OFCCP proposes to</w:t>
      </w:r>
      <w:r w:rsidRPr="00437695" w:rsidR="00830423">
        <w:t xml:space="preserve"> incorporate the accommodations </w:t>
      </w:r>
      <w:r w:rsidR="00A76692">
        <w:t xml:space="preserve">focused review letter </w:t>
      </w:r>
      <w:r w:rsidRPr="00437695" w:rsidR="00830423">
        <w:t>and promotions</w:t>
      </w:r>
      <w:r w:rsidR="00E42698">
        <w:t xml:space="preserve"> focused</w:t>
      </w:r>
      <w:r w:rsidRPr="00437695" w:rsidR="00830423">
        <w:t xml:space="preserve"> </w:t>
      </w:r>
      <w:r w:rsidR="00E42698">
        <w:t>review</w:t>
      </w:r>
      <w:r w:rsidR="00A76692">
        <w:t xml:space="preserve"> letter</w:t>
      </w:r>
      <w:r w:rsidRPr="00437695" w:rsidR="00830423">
        <w:t xml:space="preserve"> into the </w:t>
      </w:r>
      <w:r w:rsidR="00A76692">
        <w:t xml:space="preserve">approved information collection. </w:t>
      </w:r>
      <w:r w:rsidR="0055469D">
        <w:t xml:space="preserve"> </w:t>
      </w:r>
      <w:r w:rsidR="00A76692">
        <w:t>T</w:t>
      </w:r>
      <w:r w:rsidR="00E42698">
        <w:t xml:space="preserve">he </w:t>
      </w:r>
      <w:r w:rsidR="00A76692">
        <w:t xml:space="preserve">accommodations </w:t>
      </w:r>
      <w:r w:rsidR="00E42698">
        <w:t>focused reviews</w:t>
      </w:r>
      <w:r w:rsidR="00A76692">
        <w:t xml:space="preserve"> and promotions focused reviews will be</w:t>
      </w:r>
      <w:r w:rsidRPr="00437695" w:rsidR="00E42698">
        <w:t xml:space="preserve"> </w:t>
      </w:r>
      <w:r w:rsidR="00E42698">
        <w:t xml:space="preserve">scheduled in lieu of </w:t>
      </w:r>
      <w:r w:rsidR="00A76692">
        <w:t xml:space="preserve">some of the 2,500 approved </w:t>
      </w:r>
      <w:r w:rsidR="00E42698">
        <w:t xml:space="preserve">compliance reviews, </w:t>
      </w:r>
      <w:r w:rsidR="0055469D">
        <w:t>which carry a burden of 28 hours.</w:t>
      </w:r>
      <w:r w:rsidRPr="00437695" w:rsidR="00B90898">
        <w:t xml:space="preserve"> </w:t>
      </w:r>
      <w:r w:rsidRPr="00437695" w:rsidR="00893566">
        <w:t xml:space="preserve"> </w:t>
      </w:r>
      <w:r w:rsidR="00E42698">
        <w:t xml:space="preserve">OFCCP </w:t>
      </w:r>
      <w:r w:rsidRPr="00437695" w:rsidR="00437695">
        <w:t xml:space="preserve">estimates the </w:t>
      </w:r>
      <w:r w:rsidR="00A76692">
        <w:t xml:space="preserve">burden for the </w:t>
      </w:r>
      <w:r w:rsidRPr="00437695" w:rsidR="00437695">
        <w:t xml:space="preserve">accommodations letter </w:t>
      </w:r>
      <w:r w:rsidR="00A76692">
        <w:t xml:space="preserve">to be 10 hours </w:t>
      </w:r>
      <w:r w:rsidRPr="00437695" w:rsidR="00437695">
        <w:t xml:space="preserve">and </w:t>
      </w:r>
      <w:r w:rsidR="00A76692">
        <w:t xml:space="preserve">the burden for the </w:t>
      </w:r>
      <w:r w:rsidRPr="00437695" w:rsidR="00437695">
        <w:t xml:space="preserve">promotions letter </w:t>
      </w:r>
      <w:r w:rsidR="00A76692">
        <w:t xml:space="preserve">to be 20 hours, which are both less than the 28 hours it takes for a full compliance review. </w:t>
      </w:r>
    </w:p>
    <w:p w:rsidRPr="00437695" w:rsidR="00DB6D89" w:rsidP="00A149E8" w:rsidRDefault="00232DFB" w14:paraId="2871ACF3" w14:textId="17BB1583">
      <w:pPr>
        <w:spacing w:line="480" w:lineRule="auto"/>
        <w:contextualSpacing/>
        <w:jc w:val="both"/>
        <w:rPr>
          <w:u w:val="single"/>
        </w:rPr>
      </w:pPr>
      <w:r w:rsidRPr="00437695">
        <w:rPr>
          <w:u w:val="single"/>
        </w:rPr>
        <w:lastRenderedPageBreak/>
        <w:t>Change</w:t>
      </w:r>
      <w:r w:rsidRPr="00437695" w:rsidR="00D13265">
        <w:rPr>
          <w:u w:val="single"/>
        </w:rPr>
        <w:t>s</w:t>
      </w:r>
      <w:r w:rsidRPr="00437695">
        <w:rPr>
          <w:u w:val="single"/>
        </w:rPr>
        <w:t xml:space="preserve"> in Burden</w:t>
      </w:r>
    </w:p>
    <w:p w:rsidRPr="00E42698" w:rsidR="00B90898" w:rsidP="00A149E8" w:rsidRDefault="00B90898" w14:paraId="433908AF" w14:textId="0BAF938A">
      <w:pPr>
        <w:spacing w:line="480" w:lineRule="auto"/>
        <w:contextualSpacing/>
        <w:jc w:val="both"/>
      </w:pPr>
      <w:r w:rsidRPr="00437695">
        <w:t xml:space="preserve">There are no anticipated changes in </w:t>
      </w:r>
      <w:r w:rsidR="000604B2">
        <w:t xml:space="preserve">overall reporting </w:t>
      </w:r>
      <w:r w:rsidRPr="00437695">
        <w:t>burden to this collection.</w:t>
      </w:r>
      <w:r w:rsidR="000604B2">
        <w:t xml:space="preserve"> Utilizing the accommodations and promotions focused review letters in lieu of </w:t>
      </w:r>
      <w:r w:rsidR="00D75215">
        <w:t xml:space="preserve">some of </w:t>
      </w:r>
      <w:r w:rsidR="000604B2">
        <w:t>the full compliance review letter</w:t>
      </w:r>
      <w:r w:rsidR="00D75215">
        <w:t>s</w:t>
      </w:r>
      <w:r w:rsidR="000604B2">
        <w:t xml:space="preserve"> will result in a decrease of the overall burden of 70,000 hours (2,500 compliance reviews x 28 hours), which is currently approved</w:t>
      </w:r>
      <w:r w:rsidR="005C3F1B">
        <w:t xml:space="preserve"> (ICR Reference No. 201906-1250-001)</w:t>
      </w:r>
      <w:r w:rsidR="000604B2">
        <w:t>.</w:t>
      </w:r>
    </w:p>
    <w:sectPr w:rsidRPr="00E42698" w:rsidR="00B90898" w:rsidSect="00232DFB">
      <w:footerReference w:type="even" r:id="rId10"/>
      <w:footerReference w:type="default" r:id="rId11"/>
      <w:footerReference w:type="first" r:id="rId1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664751" w14:textId="77777777" w:rsidR="00DF266D" w:rsidRDefault="00DF266D">
      <w:r>
        <w:separator/>
      </w:r>
    </w:p>
  </w:endnote>
  <w:endnote w:type="continuationSeparator" w:id="0">
    <w:p w14:paraId="7CC062F1" w14:textId="77777777" w:rsidR="00DF266D" w:rsidRDefault="00DF2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F2843F" w14:textId="77777777" w:rsidR="00497E58" w:rsidRDefault="00497E5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9F28440" w14:textId="77777777" w:rsidR="00497E58" w:rsidRDefault="00497E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F28441" w14:textId="3403985D" w:rsidR="00497E58" w:rsidRDefault="00497E5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75215">
      <w:rPr>
        <w:rStyle w:val="PageNumber"/>
        <w:noProof/>
      </w:rPr>
      <w:t>3</w:t>
    </w:r>
    <w:r>
      <w:rPr>
        <w:rStyle w:val="PageNumber"/>
      </w:rPr>
      <w:fldChar w:fldCharType="end"/>
    </w:r>
  </w:p>
  <w:p w14:paraId="39F28442" w14:textId="77777777" w:rsidR="00497E58" w:rsidRDefault="00497E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60979637"/>
      <w:docPartObj>
        <w:docPartGallery w:val="Page Numbers (Bottom of Page)"/>
        <w:docPartUnique/>
      </w:docPartObj>
    </w:sdtPr>
    <w:sdtEndPr>
      <w:rPr>
        <w:noProof/>
      </w:rPr>
    </w:sdtEndPr>
    <w:sdtContent>
      <w:p w14:paraId="0FA3B039" w14:textId="5011450C" w:rsidR="00893566" w:rsidRDefault="00893566">
        <w:pPr>
          <w:pStyle w:val="Footer"/>
          <w:jc w:val="center"/>
        </w:pPr>
        <w:r>
          <w:fldChar w:fldCharType="begin"/>
        </w:r>
        <w:r>
          <w:instrText xml:space="preserve"> PAGE   \* MERGEFORMAT </w:instrText>
        </w:r>
        <w:r>
          <w:fldChar w:fldCharType="separate"/>
        </w:r>
        <w:r w:rsidR="000604B2">
          <w:rPr>
            <w:noProof/>
          </w:rPr>
          <w:t>1</w:t>
        </w:r>
        <w:r>
          <w:rPr>
            <w:noProof/>
          </w:rPr>
          <w:fldChar w:fldCharType="end"/>
        </w:r>
      </w:p>
    </w:sdtContent>
  </w:sdt>
  <w:p w14:paraId="3ED5156C" w14:textId="77777777" w:rsidR="00893566" w:rsidRDefault="008935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517E2E" w14:textId="77777777" w:rsidR="00DF266D" w:rsidRDefault="00DF266D">
      <w:r>
        <w:separator/>
      </w:r>
    </w:p>
  </w:footnote>
  <w:footnote w:type="continuationSeparator" w:id="0">
    <w:p w14:paraId="6258C8D5" w14:textId="77777777" w:rsidR="00DF266D" w:rsidRDefault="00DF26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0E4191"/>
    <w:multiLevelType w:val="hybridMultilevel"/>
    <w:tmpl w:val="82BA8242"/>
    <w:lvl w:ilvl="0" w:tplc="2D903430">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90183F"/>
    <w:multiLevelType w:val="singleLevel"/>
    <w:tmpl w:val="78085D3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4FA01BC"/>
    <w:multiLevelType w:val="hybridMultilevel"/>
    <w:tmpl w:val="1E1A4D6C"/>
    <w:lvl w:ilvl="0" w:tplc="4DD44F28">
      <w:start w:val="2"/>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5B21DD7"/>
    <w:multiLevelType w:val="multilevel"/>
    <w:tmpl w:val="82BA8242"/>
    <w:lvl w:ilvl="0">
      <w:numFmt w:val="bullet"/>
      <w:lvlText w:val="-"/>
      <w:lvlJc w:val="left"/>
      <w:pPr>
        <w:tabs>
          <w:tab w:val="num" w:pos="720"/>
        </w:tabs>
        <w:ind w:left="72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9092520"/>
    <w:multiLevelType w:val="hybridMultilevel"/>
    <w:tmpl w:val="C9F67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D8F0CB3"/>
    <w:multiLevelType w:val="hybridMultilevel"/>
    <w:tmpl w:val="9F5638C2"/>
    <w:lvl w:ilvl="0" w:tplc="4DD44F28">
      <w:start w:val="2"/>
      <w:numFmt w:val="upperRoman"/>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65FB22C5"/>
    <w:multiLevelType w:val="hybridMultilevel"/>
    <w:tmpl w:val="397A817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8250E3A"/>
    <w:multiLevelType w:val="hybridMultilevel"/>
    <w:tmpl w:val="08002C32"/>
    <w:lvl w:ilvl="0" w:tplc="2D5ECE6A">
      <w:start w:val="37"/>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370695C"/>
    <w:multiLevelType w:val="hybridMultilevel"/>
    <w:tmpl w:val="984C2C6A"/>
    <w:lvl w:ilvl="0" w:tplc="BB5EA4C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7BCF74E2"/>
    <w:multiLevelType w:val="hybridMultilevel"/>
    <w:tmpl w:val="D19CF8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2"/>
  </w:num>
  <w:num w:numId="3">
    <w:abstractNumId w:val="5"/>
  </w:num>
  <w:num w:numId="4">
    <w:abstractNumId w:val="9"/>
  </w:num>
  <w:num w:numId="5">
    <w:abstractNumId w:val="6"/>
  </w:num>
  <w:num w:numId="6">
    <w:abstractNumId w:val="0"/>
  </w:num>
  <w:num w:numId="7">
    <w:abstractNumId w:val="3"/>
  </w:num>
  <w:num w:numId="8">
    <w:abstractNumId w:val="8"/>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DFB"/>
    <w:rsid w:val="000239FF"/>
    <w:rsid w:val="00031B9A"/>
    <w:rsid w:val="0003208B"/>
    <w:rsid w:val="00033C77"/>
    <w:rsid w:val="00035844"/>
    <w:rsid w:val="00035DC4"/>
    <w:rsid w:val="00047233"/>
    <w:rsid w:val="00047C46"/>
    <w:rsid w:val="0005654F"/>
    <w:rsid w:val="00056E01"/>
    <w:rsid w:val="000604B2"/>
    <w:rsid w:val="000635D7"/>
    <w:rsid w:val="00067B0A"/>
    <w:rsid w:val="00067F43"/>
    <w:rsid w:val="00072128"/>
    <w:rsid w:val="00072B1C"/>
    <w:rsid w:val="00093F72"/>
    <w:rsid w:val="00094522"/>
    <w:rsid w:val="000A747A"/>
    <w:rsid w:val="000B05B7"/>
    <w:rsid w:val="000B1459"/>
    <w:rsid w:val="000B3498"/>
    <w:rsid w:val="000B47CE"/>
    <w:rsid w:val="000B5A72"/>
    <w:rsid w:val="000B5CC6"/>
    <w:rsid w:val="000B6C10"/>
    <w:rsid w:val="000C1D52"/>
    <w:rsid w:val="000C53E8"/>
    <w:rsid w:val="000D1D8C"/>
    <w:rsid w:val="000D4E4B"/>
    <w:rsid w:val="000E1D41"/>
    <w:rsid w:val="000E22D2"/>
    <w:rsid w:val="000E4DCD"/>
    <w:rsid w:val="000E52E7"/>
    <w:rsid w:val="000E538B"/>
    <w:rsid w:val="000F1511"/>
    <w:rsid w:val="000F277F"/>
    <w:rsid w:val="000F3A9B"/>
    <w:rsid w:val="000F60B2"/>
    <w:rsid w:val="001001C1"/>
    <w:rsid w:val="00102343"/>
    <w:rsid w:val="00105FC6"/>
    <w:rsid w:val="00111909"/>
    <w:rsid w:val="001136A2"/>
    <w:rsid w:val="0011418F"/>
    <w:rsid w:val="00115C6C"/>
    <w:rsid w:val="00120FE3"/>
    <w:rsid w:val="00122958"/>
    <w:rsid w:val="001273A3"/>
    <w:rsid w:val="00130C23"/>
    <w:rsid w:val="00132037"/>
    <w:rsid w:val="001345A5"/>
    <w:rsid w:val="001417E0"/>
    <w:rsid w:val="00143359"/>
    <w:rsid w:val="00154BEA"/>
    <w:rsid w:val="00157D32"/>
    <w:rsid w:val="00161C05"/>
    <w:rsid w:val="00164023"/>
    <w:rsid w:val="0016496F"/>
    <w:rsid w:val="001653B5"/>
    <w:rsid w:val="00166B6D"/>
    <w:rsid w:val="00166CB1"/>
    <w:rsid w:val="00167731"/>
    <w:rsid w:val="00174A41"/>
    <w:rsid w:val="00183B2D"/>
    <w:rsid w:val="00183B4F"/>
    <w:rsid w:val="00187D2E"/>
    <w:rsid w:val="00190C79"/>
    <w:rsid w:val="001935B4"/>
    <w:rsid w:val="001961C3"/>
    <w:rsid w:val="001974F1"/>
    <w:rsid w:val="001A3C27"/>
    <w:rsid w:val="001A4912"/>
    <w:rsid w:val="001B018B"/>
    <w:rsid w:val="001B12C9"/>
    <w:rsid w:val="001B2B94"/>
    <w:rsid w:val="001B489B"/>
    <w:rsid w:val="001B5B18"/>
    <w:rsid w:val="001B7303"/>
    <w:rsid w:val="001B76FF"/>
    <w:rsid w:val="001C06EA"/>
    <w:rsid w:val="001C5600"/>
    <w:rsid w:val="001C561B"/>
    <w:rsid w:val="001C5947"/>
    <w:rsid w:val="001C7BC9"/>
    <w:rsid w:val="001D09AF"/>
    <w:rsid w:val="001D1128"/>
    <w:rsid w:val="001D5A26"/>
    <w:rsid w:val="001E255F"/>
    <w:rsid w:val="001E44A1"/>
    <w:rsid w:val="001E5B3E"/>
    <w:rsid w:val="001E5DF3"/>
    <w:rsid w:val="001F292F"/>
    <w:rsid w:val="001F76F9"/>
    <w:rsid w:val="00201A0E"/>
    <w:rsid w:val="00203C0C"/>
    <w:rsid w:val="00203E4F"/>
    <w:rsid w:val="002113EB"/>
    <w:rsid w:val="0021322D"/>
    <w:rsid w:val="002148A2"/>
    <w:rsid w:val="002217D0"/>
    <w:rsid w:val="00227E17"/>
    <w:rsid w:val="00232DFB"/>
    <w:rsid w:val="00232FF7"/>
    <w:rsid w:val="00234605"/>
    <w:rsid w:val="00242C12"/>
    <w:rsid w:val="002435C1"/>
    <w:rsid w:val="00250119"/>
    <w:rsid w:val="002553AF"/>
    <w:rsid w:val="00272324"/>
    <w:rsid w:val="00274CA5"/>
    <w:rsid w:val="00275E3F"/>
    <w:rsid w:val="002760FB"/>
    <w:rsid w:val="00276933"/>
    <w:rsid w:val="0028276E"/>
    <w:rsid w:val="002852A4"/>
    <w:rsid w:val="0029148F"/>
    <w:rsid w:val="00293BAA"/>
    <w:rsid w:val="00293E29"/>
    <w:rsid w:val="00294842"/>
    <w:rsid w:val="002972C9"/>
    <w:rsid w:val="00297E6C"/>
    <w:rsid w:val="002A271C"/>
    <w:rsid w:val="002A298A"/>
    <w:rsid w:val="002C0B96"/>
    <w:rsid w:val="002C1DDB"/>
    <w:rsid w:val="002C2A66"/>
    <w:rsid w:val="002D0C8E"/>
    <w:rsid w:val="002D1000"/>
    <w:rsid w:val="002D2D0E"/>
    <w:rsid w:val="002D6846"/>
    <w:rsid w:val="002D694C"/>
    <w:rsid w:val="002E400A"/>
    <w:rsid w:val="002E4E2C"/>
    <w:rsid w:val="002F1501"/>
    <w:rsid w:val="002F2D2C"/>
    <w:rsid w:val="002F74C4"/>
    <w:rsid w:val="002F7EBA"/>
    <w:rsid w:val="00302331"/>
    <w:rsid w:val="00304446"/>
    <w:rsid w:val="00307DF7"/>
    <w:rsid w:val="00312B63"/>
    <w:rsid w:val="003139BF"/>
    <w:rsid w:val="00316D0E"/>
    <w:rsid w:val="0032535B"/>
    <w:rsid w:val="0032623E"/>
    <w:rsid w:val="003271C1"/>
    <w:rsid w:val="0033336A"/>
    <w:rsid w:val="00334EEB"/>
    <w:rsid w:val="003405C0"/>
    <w:rsid w:val="0034469C"/>
    <w:rsid w:val="00357272"/>
    <w:rsid w:val="00357DD5"/>
    <w:rsid w:val="00362A33"/>
    <w:rsid w:val="0036701B"/>
    <w:rsid w:val="003673B4"/>
    <w:rsid w:val="003729B7"/>
    <w:rsid w:val="00374A1E"/>
    <w:rsid w:val="00376F37"/>
    <w:rsid w:val="003923C0"/>
    <w:rsid w:val="003927EA"/>
    <w:rsid w:val="003953BA"/>
    <w:rsid w:val="00395D86"/>
    <w:rsid w:val="00396783"/>
    <w:rsid w:val="003A25AB"/>
    <w:rsid w:val="003A69B9"/>
    <w:rsid w:val="003B7203"/>
    <w:rsid w:val="003C0632"/>
    <w:rsid w:val="003C20A3"/>
    <w:rsid w:val="003D311F"/>
    <w:rsid w:val="003D33D2"/>
    <w:rsid w:val="003D5A70"/>
    <w:rsid w:val="003D634F"/>
    <w:rsid w:val="003D7513"/>
    <w:rsid w:val="003E0189"/>
    <w:rsid w:val="003E0E95"/>
    <w:rsid w:val="003E38B3"/>
    <w:rsid w:val="003E72E1"/>
    <w:rsid w:val="003F657F"/>
    <w:rsid w:val="003F6592"/>
    <w:rsid w:val="003F6E1E"/>
    <w:rsid w:val="0040165A"/>
    <w:rsid w:val="00410CC2"/>
    <w:rsid w:val="00413846"/>
    <w:rsid w:val="004140C6"/>
    <w:rsid w:val="00414834"/>
    <w:rsid w:val="00415FA0"/>
    <w:rsid w:val="00420C2B"/>
    <w:rsid w:val="00423AF2"/>
    <w:rsid w:val="004255F7"/>
    <w:rsid w:val="00426778"/>
    <w:rsid w:val="00426825"/>
    <w:rsid w:val="004303BF"/>
    <w:rsid w:val="0043699D"/>
    <w:rsid w:val="00437695"/>
    <w:rsid w:val="00444405"/>
    <w:rsid w:val="00455F65"/>
    <w:rsid w:val="00464007"/>
    <w:rsid w:val="00466DDA"/>
    <w:rsid w:val="0047170B"/>
    <w:rsid w:val="00472F2F"/>
    <w:rsid w:val="00473D38"/>
    <w:rsid w:val="004841F3"/>
    <w:rsid w:val="004855A2"/>
    <w:rsid w:val="0048792A"/>
    <w:rsid w:val="00493F30"/>
    <w:rsid w:val="00497E58"/>
    <w:rsid w:val="004A303C"/>
    <w:rsid w:val="004A5EE1"/>
    <w:rsid w:val="004B4D69"/>
    <w:rsid w:val="004B6FFD"/>
    <w:rsid w:val="004C26A6"/>
    <w:rsid w:val="004C6DA9"/>
    <w:rsid w:val="004D3C16"/>
    <w:rsid w:val="004D41F3"/>
    <w:rsid w:val="004D46A9"/>
    <w:rsid w:val="004D5049"/>
    <w:rsid w:val="004D555A"/>
    <w:rsid w:val="004D5614"/>
    <w:rsid w:val="004D79B4"/>
    <w:rsid w:val="004E2198"/>
    <w:rsid w:val="004E6054"/>
    <w:rsid w:val="004E6CBD"/>
    <w:rsid w:val="004F1D14"/>
    <w:rsid w:val="00501947"/>
    <w:rsid w:val="00504CF4"/>
    <w:rsid w:val="005065CC"/>
    <w:rsid w:val="00507B14"/>
    <w:rsid w:val="00512AEA"/>
    <w:rsid w:val="0051537B"/>
    <w:rsid w:val="00521CEB"/>
    <w:rsid w:val="00522B16"/>
    <w:rsid w:val="00525A71"/>
    <w:rsid w:val="00533CB7"/>
    <w:rsid w:val="00535981"/>
    <w:rsid w:val="00536F2B"/>
    <w:rsid w:val="005416AC"/>
    <w:rsid w:val="00543982"/>
    <w:rsid w:val="00544D36"/>
    <w:rsid w:val="00544F67"/>
    <w:rsid w:val="005478DE"/>
    <w:rsid w:val="00552061"/>
    <w:rsid w:val="005545B1"/>
    <w:rsid w:val="0055469D"/>
    <w:rsid w:val="00554E18"/>
    <w:rsid w:val="0057032F"/>
    <w:rsid w:val="00571FA3"/>
    <w:rsid w:val="0057235E"/>
    <w:rsid w:val="005875B9"/>
    <w:rsid w:val="00591546"/>
    <w:rsid w:val="00591DBD"/>
    <w:rsid w:val="00594CD8"/>
    <w:rsid w:val="0059599E"/>
    <w:rsid w:val="00595E21"/>
    <w:rsid w:val="005973E5"/>
    <w:rsid w:val="005A44DE"/>
    <w:rsid w:val="005A6A4B"/>
    <w:rsid w:val="005B0DB2"/>
    <w:rsid w:val="005C0980"/>
    <w:rsid w:val="005C0F01"/>
    <w:rsid w:val="005C1C08"/>
    <w:rsid w:val="005C3F1B"/>
    <w:rsid w:val="005C5BEF"/>
    <w:rsid w:val="005E159B"/>
    <w:rsid w:val="005E1F00"/>
    <w:rsid w:val="005E240D"/>
    <w:rsid w:val="005E2802"/>
    <w:rsid w:val="005E62D6"/>
    <w:rsid w:val="005E6BBF"/>
    <w:rsid w:val="005F1219"/>
    <w:rsid w:val="005F1F2D"/>
    <w:rsid w:val="005F4366"/>
    <w:rsid w:val="006008A0"/>
    <w:rsid w:val="00604900"/>
    <w:rsid w:val="0060518C"/>
    <w:rsid w:val="00606E97"/>
    <w:rsid w:val="00612DC9"/>
    <w:rsid w:val="00613918"/>
    <w:rsid w:val="00614B55"/>
    <w:rsid w:val="006202DF"/>
    <w:rsid w:val="00621768"/>
    <w:rsid w:val="00621D9F"/>
    <w:rsid w:val="00627E6B"/>
    <w:rsid w:val="00637D60"/>
    <w:rsid w:val="00637E5F"/>
    <w:rsid w:val="00642380"/>
    <w:rsid w:val="0064404E"/>
    <w:rsid w:val="00651B0B"/>
    <w:rsid w:val="006529CE"/>
    <w:rsid w:val="00655494"/>
    <w:rsid w:val="006574A6"/>
    <w:rsid w:val="0066178A"/>
    <w:rsid w:val="00666EC3"/>
    <w:rsid w:val="00676A82"/>
    <w:rsid w:val="0068010F"/>
    <w:rsid w:val="00680F5C"/>
    <w:rsid w:val="00681725"/>
    <w:rsid w:val="00684D03"/>
    <w:rsid w:val="006850A4"/>
    <w:rsid w:val="00686EF8"/>
    <w:rsid w:val="006911A7"/>
    <w:rsid w:val="00694640"/>
    <w:rsid w:val="006960F9"/>
    <w:rsid w:val="006A3C5E"/>
    <w:rsid w:val="006A466C"/>
    <w:rsid w:val="006B3A26"/>
    <w:rsid w:val="006B3C74"/>
    <w:rsid w:val="006B3E63"/>
    <w:rsid w:val="006B6966"/>
    <w:rsid w:val="006B7F07"/>
    <w:rsid w:val="006C2A22"/>
    <w:rsid w:val="006C5E59"/>
    <w:rsid w:val="006C62B8"/>
    <w:rsid w:val="006D16CC"/>
    <w:rsid w:val="006D4AD5"/>
    <w:rsid w:val="006D4B07"/>
    <w:rsid w:val="006D4F6D"/>
    <w:rsid w:val="006D7E0A"/>
    <w:rsid w:val="006E1F93"/>
    <w:rsid w:val="006E73AA"/>
    <w:rsid w:val="006E7671"/>
    <w:rsid w:val="006E7E19"/>
    <w:rsid w:val="006F194F"/>
    <w:rsid w:val="006F2051"/>
    <w:rsid w:val="006F4E33"/>
    <w:rsid w:val="006F5D6F"/>
    <w:rsid w:val="006F6E62"/>
    <w:rsid w:val="0070048E"/>
    <w:rsid w:val="007054D3"/>
    <w:rsid w:val="007137D6"/>
    <w:rsid w:val="00716B80"/>
    <w:rsid w:val="0072139C"/>
    <w:rsid w:val="0072455C"/>
    <w:rsid w:val="00724A2A"/>
    <w:rsid w:val="007259D3"/>
    <w:rsid w:val="00725A07"/>
    <w:rsid w:val="00733DDD"/>
    <w:rsid w:val="00734829"/>
    <w:rsid w:val="00737404"/>
    <w:rsid w:val="00740F88"/>
    <w:rsid w:val="00742B08"/>
    <w:rsid w:val="00743DB7"/>
    <w:rsid w:val="0074688E"/>
    <w:rsid w:val="00752128"/>
    <w:rsid w:val="007627E1"/>
    <w:rsid w:val="00770D6E"/>
    <w:rsid w:val="00782998"/>
    <w:rsid w:val="00783485"/>
    <w:rsid w:val="00786FDF"/>
    <w:rsid w:val="00790C99"/>
    <w:rsid w:val="00793EEA"/>
    <w:rsid w:val="007A3884"/>
    <w:rsid w:val="007A62C9"/>
    <w:rsid w:val="007B0323"/>
    <w:rsid w:val="007D03E0"/>
    <w:rsid w:val="007D371A"/>
    <w:rsid w:val="007D6022"/>
    <w:rsid w:val="007D7371"/>
    <w:rsid w:val="007D7ADD"/>
    <w:rsid w:val="007F20AA"/>
    <w:rsid w:val="007F507A"/>
    <w:rsid w:val="00813FB5"/>
    <w:rsid w:val="00816B75"/>
    <w:rsid w:val="00816E4B"/>
    <w:rsid w:val="00820025"/>
    <w:rsid w:val="00820566"/>
    <w:rsid w:val="008206C1"/>
    <w:rsid w:val="00822140"/>
    <w:rsid w:val="00826CC2"/>
    <w:rsid w:val="00830423"/>
    <w:rsid w:val="00832E17"/>
    <w:rsid w:val="008377C5"/>
    <w:rsid w:val="00837B94"/>
    <w:rsid w:val="00840532"/>
    <w:rsid w:val="0084193D"/>
    <w:rsid w:val="008446C7"/>
    <w:rsid w:val="00847B79"/>
    <w:rsid w:val="00852751"/>
    <w:rsid w:val="00852A7F"/>
    <w:rsid w:val="00854255"/>
    <w:rsid w:val="008602DE"/>
    <w:rsid w:val="00860604"/>
    <w:rsid w:val="008654A1"/>
    <w:rsid w:val="00867F0E"/>
    <w:rsid w:val="0087340D"/>
    <w:rsid w:val="0087379D"/>
    <w:rsid w:val="00873F88"/>
    <w:rsid w:val="0087462E"/>
    <w:rsid w:val="008804CD"/>
    <w:rsid w:val="00881B45"/>
    <w:rsid w:val="008826EE"/>
    <w:rsid w:val="00883175"/>
    <w:rsid w:val="00883939"/>
    <w:rsid w:val="00884971"/>
    <w:rsid w:val="00893566"/>
    <w:rsid w:val="008956B2"/>
    <w:rsid w:val="008A3510"/>
    <w:rsid w:val="008A42EC"/>
    <w:rsid w:val="008A4646"/>
    <w:rsid w:val="008A780B"/>
    <w:rsid w:val="008B3B84"/>
    <w:rsid w:val="008C4DE6"/>
    <w:rsid w:val="008C5000"/>
    <w:rsid w:val="008C56FA"/>
    <w:rsid w:val="008C77E4"/>
    <w:rsid w:val="008C7CC5"/>
    <w:rsid w:val="008D01CB"/>
    <w:rsid w:val="008D1DFD"/>
    <w:rsid w:val="008D51A7"/>
    <w:rsid w:val="008D6D25"/>
    <w:rsid w:val="008E0219"/>
    <w:rsid w:val="008E272B"/>
    <w:rsid w:val="008E2AA1"/>
    <w:rsid w:val="008E3DCF"/>
    <w:rsid w:val="008F0CD1"/>
    <w:rsid w:val="008F75BB"/>
    <w:rsid w:val="00905935"/>
    <w:rsid w:val="00906039"/>
    <w:rsid w:val="009068E8"/>
    <w:rsid w:val="00906A21"/>
    <w:rsid w:val="00907678"/>
    <w:rsid w:val="00914983"/>
    <w:rsid w:val="00915040"/>
    <w:rsid w:val="0091606A"/>
    <w:rsid w:val="0092048F"/>
    <w:rsid w:val="009246BA"/>
    <w:rsid w:val="00924B2E"/>
    <w:rsid w:val="00933345"/>
    <w:rsid w:val="0093486B"/>
    <w:rsid w:val="00934A51"/>
    <w:rsid w:val="00935F8A"/>
    <w:rsid w:val="009368F8"/>
    <w:rsid w:val="009378B3"/>
    <w:rsid w:val="0094103C"/>
    <w:rsid w:val="009452A8"/>
    <w:rsid w:val="00947FA0"/>
    <w:rsid w:val="00951430"/>
    <w:rsid w:val="00953EFE"/>
    <w:rsid w:val="009560D2"/>
    <w:rsid w:val="009613C7"/>
    <w:rsid w:val="00985326"/>
    <w:rsid w:val="00990802"/>
    <w:rsid w:val="00994E74"/>
    <w:rsid w:val="00994F4D"/>
    <w:rsid w:val="009A2490"/>
    <w:rsid w:val="009A44E1"/>
    <w:rsid w:val="009A653F"/>
    <w:rsid w:val="009B231C"/>
    <w:rsid w:val="009B466A"/>
    <w:rsid w:val="009B5FEC"/>
    <w:rsid w:val="009B635D"/>
    <w:rsid w:val="009C0591"/>
    <w:rsid w:val="009D33E0"/>
    <w:rsid w:val="009D5822"/>
    <w:rsid w:val="009D7441"/>
    <w:rsid w:val="009E3396"/>
    <w:rsid w:val="009F05B9"/>
    <w:rsid w:val="009F1DA0"/>
    <w:rsid w:val="009F2A45"/>
    <w:rsid w:val="00A007BD"/>
    <w:rsid w:val="00A036B4"/>
    <w:rsid w:val="00A05130"/>
    <w:rsid w:val="00A05DDE"/>
    <w:rsid w:val="00A06FAB"/>
    <w:rsid w:val="00A11E9E"/>
    <w:rsid w:val="00A12106"/>
    <w:rsid w:val="00A13A85"/>
    <w:rsid w:val="00A149E8"/>
    <w:rsid w:val="00A228DA"/>
    <w:rsid w:val="00A25F25"/>
    <w:rsid w:val="00A31EC9"/>
    <w:rsid w:val="00A33FA9"/>
    <w:rsid w:val="00A34207"/>
    <w:rsid w:val="00A356F6"/>
    <w:rsid w:val="00A44EC4"/>
    <w:rsid w:val="00A52816"/>
    <w:rsid w:val="00A55A0E"/>
    <w:rsid w:val="00A63034"/>
    <w:rsid w:val="00A6592C"/>
    <w:rsid w:val="00A7306C"/>
    <w:rsid w:val="00A73CEF"/>
    <w:rsid w:val="00A74755"/>
    <w:rsid w:val="00A765E0"/>
    <w:rsid w:val="00A76692"/>
    <w:rsid w:val="00A805FA"/>
    <w:rsid w:val="00A81D20"/>
    <w:rsid w:val="00A9161D"/>
    <w:rsid w:val="00A94343"/>
    <w:rsid w:val="00A96722"/>
    <w:rsid w:val="00AA3152"/>
    <w:rsid w:val="00AA4CFC"/>
    <w:rsid w:val="00AB6E22"/>
    <w:rsid w:val="00AB6E8C"/>
    <w:rsid w:val="00AC0C6F"/>
    <w:rsid w:val="00AC1D57"/>
    <w:rsid w:val="00AD04C9"/>
    <w:rsid w:val="00AD1243"/>
    <w:rsid w:val="00AD4C4F"/>
    <w:rsid w:val="00AD50F6"/>
    <w:rsid w:val="00AD6D2F"/>
    <w:rsid w:val="00AD7C57"/>
    <w:rsid w:val="00AE6EB7"/>
    <w:rsid w:val="00AF429A"/>
    <w:rsid w:val="00AF4A90"/>
    <w:rsid w:val="00AF6DFC"/>
    <w:rsid w:val="00B05C0A"/>
    <w:rsid w:val="00B07575"/>
    <w:rsid w:val="00B119FF"/>
    <w:rsid w:val="00B13F45"/>
    <w:rsid w:val="00B15D94"/>
    <w:rsid w:val="00B22150"/>
    <w:rsid w:val="00B2318B"/>
    <w:rsid w:val="00B27D2F"/>
    <w:rsid w:val="00B543C9"/>
    <w:rsid w:val="00B55C8D"/>
    <w:rsid w:val="00B62200"/>
    <w:rsid w:val="00B67A4D"/>
    <w:rsid w:val="00B74125"/>
    <w:rsid w:val="00B81BCE"/>
    <w:rsid w:val="00B82DFE"/>
    <w:rsid w:val="00B8464E"/>
    <w:rsid w:val="00B84ED3"/>
    <w:rsid w:val="00B90898"/>
    <w:rsid w:val="00B91079"/>
    <w:rsid w:val="00BA23AC"/>
    <w:rsid w:val="00BA4796"/>
    <w:rsid w:val="00BA6138"/>
    <w:rsid w:val="00BB1036"/>
    <w:rsid w:val="00BB3592"/>
    <w:rsid w:val="00BC2B68"/>
    <w:rsid w:val="00BC7132"/>
    <w:rsid w:val="00BD03CF"/>
    <w:rsid w:val="00BD2783"/>
    <w:rsid w:val="00BD2AA4"/>
    <w:rsid w:val="00BD707B"/>
    <w:rsid w:val="00BE1262"/>
    <w:rsid w:val="00BE34EC"/>
    <w:rsid w:val="00BE3554"/>
    <w:rsid w:val="00BE5C9A"/>
    <w:rsid w:val="00BF4185"/>
    <w:rsid w:val="00BF61C6"/>
    <w:rsid w:val="00BF7AB0"/>
    <w:rsid w:val="00C00216"/>
    <w:rsid w:val="00C03291"/>
    <w:rsid w:val="00C10F31"/>
    <w:rsid w:val="00C116B9"/>
    <w:rsid w:val="00C16617"/>
    <w:rsid w:val="00C17145"/>
    <w:rsid w:val="00C216B6"/>
    <w:rsid w:val="00C223EB"/>
    <w:rsid w:val="00C23A5D"/>
    <w:rsid w:val="00C332D0"/>
    <w:rsid w:val="00C4166B"/>
    <w:rsid w:val="00C449A9"/>
    <w:rsid w:val="00C630CE"/>
    <w:rsid w:val="00C646CB"/>
    <w:rsid w:val="00C65B81"/>
    <w:rsid w:val="00C65BBE"/>
    <w:rsid w:val="00C6750C"/>
    <w:rsid w:val="00C70289"/>
    <w:rsid w:val="00C71842"/>
    <w:rsid w:val="00C731B8"/>
    <w:rsid w:val="00C7365F"/>
    <w:rsid w:val="00C74257"/>
    <w:rsid w:val="00C75EFF"/>
    <w:rsid w:val="00C770E9"/>
    <w:rsid w:val="00C80C7A"/>
    <w:rsid w:val="00C817EA"/>
    <w:rsid w:val="00C9250C"/>
    <w:rsid w:val="00C94A29"/>
    <w:rsid w:val="00C94E4B"/>
    <w:rsid w:val="00CA78A9"/>
    <w:rsid w:val="00CA7C13"/>
    <w:rsid w:val="00CA7C74"/>
    <w:rsid w:val="00CC060E"/>
    <w:rsid w:val="00CC49A1"/>
    <w:rsid w:val="00CC53ED"/>
    <w:rsid w:val="00CC7489"/>
    <w:rsid w:val="00CD0C18"/>
    <w:rsid w:val="00CD4D7D"/>
    <w:rsid w:val="00CD5BAA"/>
    <w:rsid w:val="00CD75F8"/>
    <w:rsid w:val="00CE1108"/>
    <w:rsid w:val="00CF42CA"/>
    <w:rsid w:val="00CF5FA3"/>
    <w:rsid w:val="00CF7CDD"/>
    <w:rsid w:val="00D02E63"/>
    <w:rsid w:val="00D11643"/>
    <w:rsid w:val="00D116E9"/>
    <w:rsid w:val="00D13265"/>
    <w:rsid w:val="00D14437"/>
    <w:rsid w:val="00D178C5"/>
    <w:rsid w:val="00D22131"/>
    <w:rsid w:val="00D30FE8"/>
    <w:rsid w:val="00D31ECE"/>
    <w:rsid w:val="00D32141"/>
    <w:rsid w:val="00D41370"/>
    <w:rsid w:val="00D4281B"/>
    <w:rsid w:val="00D43C8C"/>
    <w:rsid w:val="00D5161E"/>
    <w:rsid w:val="00D65A82"/>
    <w:rsid w:val="00D70FEF"/>
    <w:rsid w:val="00D73129"/>
    <w:rsid w:val="00D743F5"/>
    <w:rsid w:val="00D75215"/>
    <w:rsid w:val="00D770E7"/>
    <w:rsid w:val="00D81FC2"/>
    <w:rsid w:val="00D876E7"/>
    <w:rsid w:val="00D943D3"/>
    <w:rsid w:val="00D94F15"/>
    <w:rsid w:val="00D95682"/>
    <w:rsid w:val="00D97618"/>
    <w:rsid w:val="00DA0AD2"/>
    <w:rsid w:val="00DA11BD"/>
    <w:rsid w:val="00DA4EDB"/>
    <w:rsid w:val="00DB0355"/>
    <w:rsid w:val="00DB2EBA"/>
    <w:rsid w:val="00DB33AC"/>
    <w:rsid w:val="00DB5068"/>
    <w:rsid w:val="00DB5F8A"/>
    <w:rsid w:val="00DB6D89"/>
    <w:rsid w:val="00DC2225"/>
    <w:rsid w:val="00DC28CE"/>
    <w:rsid w:val="00DC4673"/>
    <w:rsid w:val="00DC6C91"/>
    <w:rsid w:val="00DD1A0E"/>
    <w:rsid w:val="00DD4CD8"/>
    <w:rsid w:val="00DD7BF9"/>
    <w:rsid w:val="00DE0DFF"/>
    <w:rsid w:val="00DE0F31"/>
    <w:rsid w:val="00DE1DF0"/>
    <w:rsid w:val="00DE34FA"/>
    <w:rsid w:val="00DE3D7D"/>
    <w:rsid w:val="00DE68AC"/>
    <w:rsid w:val="00DF1501"/>
    <w:rsid w:val="00DF266D"/>
    <w:rsid w:val="00DF79FA"/>
    <w:rsid w:val="00E027E7"/>
    <w:rsid w:val="00E04225"/>
    <w:rsid w:val="00E075FE"/>
    <w:rsid w:val="00E07AA3"/>
    <w:rsid w:val="00E13A2A"/>
    <w:rsid w:val="00E14B49"/>
    <w:rsid w:val="00E15662"/>
    <w:rsid w:val="00E2001F"/>
    <w:rsid w:val="00E20CAF"/>
    <w:rsid w:val="00E21D55"/>
    <w:rsid w:val="00E233E4"/>
    <w:rsid w:val="00E240EB"/>
    <w:rsid w:val="00E26D72"/>
    <w:rsid w:val="00E27A1B"/>
    <w:rsid w:val="00E30721"/>
    <w:rsid w:val="00E31AC4"/>
    <w:rsid w:val="00E32138"/>
    <w:rsid w:val="00E32CDA"/>
    <w:rsid w:val="00E37BA8"/>
    <w:rsid w:val="00E42698"/>
    <w:rsid w:val="00E46402"/>
    <w:rsid w:val="00E51568"/>
    <w:rsid w:val="00E51A68"/>
    <w:rsid w:val="00E51BC8"/>
    <w:rsid w:val="00E55252"/>
    <w:rsid w:val="00E566DE"/>
    <w:rsid w:val="00E57181"/>
    <w:rsid w:val="00E6202E"/>
    <w:rsid w:val="00E64A64"/>
    <w:rsid w:val="00E83E0D"/>
    <w:rsid w:val="00E84E74"/>
    <w:rsid w:val="00E854CD"/>
    <w:rsid w:val="00E939A8"/>
    <w:rsid w:val="00EA5178"/>
    <w:rsid w:val="00EA778A"/>
    <w:rsid w:val="00EB272D"/>
    <w:rsid w:val="00EB46D3"/>
    <w:rsid w:val="00EB654C"/>
    <w:rsid w:val="00EC6F90"/>
    <w:rsid w:val="00ED1B27"/>
    <w:rsid w:val="00ED20A0"/>
    <w:rsid w:val="00EE1EAF"/>
    <w:rsid w:val="00EE304D"/>
    <w:rsid w:val="00EE3D33"/>
    <w:rsid w:val="00EE4275"/>
    <w:rsid w:val="00EE4C70"/>
    <w:rsid w:val="00EE4D6A"/>
    <w:rsid w:val="00EE53D3"/>
    <w:rsid w:val="00EE6500"/>
    <w:rsid w:val="00EF091C"/>
    <w:rsid w:val="00EF115B"/>
    <w:rsid w:val="00F02CF5"/>
    <w:rsid w:val="00F02E36"/>
    <w:rsid w:val="00F07716"/>
    <w:rsid w:val="00F11FDF"/>
    <w:rsid w:val="00F13274"/>
    <w:rsid w:val="00F1693E"/>
    <w:rsid w:val="00F17D7D"/>
    <w:rsid w:val="00F23EC5"/>
    <w:rsid w:val="00F24EDD"/>
    <w:rsid w:val="00F27BA4"/>
    <w:rsid w:val="00F313DC"/>
    <w:rsid w:val="00F36245"/>
    <w:rsid w:val="00F403E5"/>
    <w:rsid w:val="00F4212D"/>
    <w:rsid w:val="00F47E34"/>
    <w:rsid w:val="00F50621"/>
    <w:rsid w:val="00F64598"/>
    <w:rsid w:val="00F65F69"/>
    <w:rsid w:val="00F6651A"/>
    <w:rsid w:val="00F71477"/>
    <w:rsid w:val="00F718BB"/>
    <w:rsid w:val="00F7246B"/>
    <w:rsid w:val="00F749F1"/>
    <w:rsid w:val="00F751BF"/>
    <w:rsid w:val="00F758C2"/>
    <w:rsid w:val="00F8074D"/>
    <w:rsid w:val="00F81024"/>
    <w:rsid w:val="00F81ABA"/>
    <w:rsid w:val="00F8320F"/>
    <w:rsid w:val="00F83C6E"/>
    <w:rsid w:val="00F83E0F"/>
    <w:rsid w:val="00F84391"/>
    <w:rsid w:val="00F86F5B"/>
    <w:rsid w:val="00F87E4D"/>
    <w:rsid w:val="00F91B48"/>
    <w:rsid w:val="00F978BC"/>
    <w:rsid w:val="00FA07A3"/>
    <w:rsid w:val="00FB3ACF"/>
    <w:rsid w:val="00FB4F53"/>
    <w:rsid w:val="00FB7812"/>
    <w:rsid w:val="00FC14A9"/>
    <w:rsid w:val="00FC38CB"/>
    <w:rsid w:val="00FC52AB"/>
    <w:rsid w:val="00FD5079"/>
    <w:rsid w:val="00FE319B"/>
    <w:rsid w:val="00FF51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F28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2DFB"/>
    <w:rPr>
      <w:sz w:val="24"/>
      <w:szCs w:val="24"/>
    </w:rPr>
  </w:style>
  <w:style w:type="paragraph" w:styleId="Heading1">
    <w:name w:val="heading 1"/>
    <w:basedOn w:val="Normal"/>
    <w:next w:val="Normal"/>
    <w:link w:val="Heading1Char"/>
    <w:qFormat/>
    <w:rsid w:val="00201A0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32DFB"/>
    <w:pPr>
      <w:jc w:val="center"/>
    </w:pPr>
    <w:rPr>
      <w:rFonts w:ascii="Arial" w:hAnsi="Arial" w:cs="Arial"/>
      <w:b/>
      <w:bCs/>
    </w:rPr>
  </w:style>
  <w:style w:type="paragraph" w:styleId="BodyText2">
    <w:name w:val="Body Text 2"/>
    <w:basedOn w:val="Normal"/>
    <w:rsid w:val="00232DFB"/>
    <w:rPr>
      <w:rFonts w:ascii="Arial" w:hAnsi="Arial" w:cs="Arial"/>
      <w:sz w:val="22"/>
    </w:rPr>
  </w:style>
  <w:style w:type="paragraph" w:styleId="Footer">
    <w:name w:val="footer"/>
    <w:basedOn w:val="Normal"/>
    <w:link w:val="FooterChar"/>
    <w:uiPriority w:val="99"/>
    <w:rsid w:val="00232DFB"/>
    <w:pPr>
      <w:tabs>
        <w:tab w:val="center" w:pos="4320"/>
        <w:tab w:val="right" w:pos="8640"/>
      </w:tabs>
    </w:pPr>
  </w:style>
  <w:style w:type="character" w:styleId="PageNumber">
    <w:name w:val="page number"/>
    <w:basedOn w:val="DefaultParagraphFont"/>
    <w:rsid w:val="00232DFB"/>
  </w:style>
  <w:style w:type="paragraph" w:styleId="BalloonText">
    <w:name w:val="Balloon Text"/>
    <w:basedOn w:val="Normal"/>
    <w:semiHidden/>
    <w:rsid w:val="00F64598"/>
    <w:rPr>
      <w:rFonts w:ascii="Tahoma" w:hAnsi="Tahoma" w:cs="Tahoma"/>
      <w:sz w:val="16"/>
      <w:szCs w:val="16"/>
    </w:rPr>
  </w:style>
  <w:style w:type="paragraph" w:styleId="Header">
    <w:name w:val="header"/>
    <w:basedOn w:val="Normal"/>
    <w:rsid w:val="00242C12"/>
    <w:pPr>
      <w:tabs>
        <w:tab w:val="center" w:pos="4320"/>
        <w:tab w:val="right" w:pos="8640"/>
      </w:tabs>
    </w:pPr>
  </w:style>
  <w:style w:type="table" w:styleId="TableGrid">
    <w:name w:val="Table Grid"/>
    <w:basedOn w:val="TableNormal"/>
    <w:rsid w:val="00571F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0E95"/>
    <w:pPr>
      <w:ind w:left="720"/>
    </w:pPr>
  </w:style>
  <w:style w:type="character" w:styleId="Hyperlink">
    <w:name w:val="Hyperlink"/>
    <w:rsid w:val="00DE0F31"/>
    <w:rPr>
      <w:color w:val="0000FF"/>
      <w:u w:val="single"/>
    </w:rPr>
  </w:style>
  <w:style w:type="character" w:styleId="FollowedHyperlink">
    <w:name w:val="FollowedHyperlink"/>
    <w:basedOn w:val="DefaultParagraphFont"/>
    <w:rsid w:val="00CD5BAA"/>
    <w:rPr>
      <w:color w:val="800080" w:themeColor="followedHyperlink"/>
      <w:u w:val="single"/>
    </w:rPr>
  </w:style>
  <w:style w:type="character" w:styleId="CommentReference">
    <w:name w:val="annotation reference"/>
    <w:basedOn w:val="DefaultParagraphFont"/>
    <w:rsid w:val="00E51A68"/>
    <w:rPr>
      <w:sz w:val="16"/>
      <w:szCs w:val="16"/>
    </w:rPr>
  </w:style>
  <w:style w:type="paragraph" w:styleId="CommentText">
    <w:name w:val="annotation text"/>
    <w:basedOn w:val="Normal"/>
    <w:link w:val="CommentTextChar"/>
    <w:rsid w:val="00E51A68"/>
    <w:rPr>
      <w:sz w:val="20"/>
      <w:szCs w:val="20"/>
    </w:rPr>
  </w:style>
  <w:style w:type="character" w:customStyle="1" w:styleId="CommentTextChar">
    <w:name w:val="Comment Text Char"/>
    <w:basedOn w:val="DefaultParagraphFont"/>
    <w:link w:val="CommentText"/>
    <w:rsid w:val="00E51A68"/>
  </w:style>
  <w:style w:type="paragraph" w:styleId="CommentSubject">
    <w:name w:val="annotation subject"/>
    <w:basedOn w:val="CommentText"/>
    <w:next w:val="CommentText"/>
    <w:link w:val="CommentSubjectChar"/>
    <w:rsid w:val="00E51A68"/>
    <w:rPr>
      <w:b/>
      <w:bCs/>
    </w:rPr>
  </w:style>
  <w:style w:type="character" w:customStyle="1" w:styleId="CommentSubjectChar">
    <w:name w:val="Comment Subject Char"/>
    <w:basedOn w:val="CommentTextChar"/>
    <w:link w:val="CommentSubject"/>
    <w:rsid w:val="00E51A68"/>
    <w:rPr>
      <w:b/>
      <w:bCs/>
    </w:rPr>
  </w:style>
  <w:style w:type="character" w:styleId="FootnoteReference">
    <w:name w:val="footnote reference"/>
    <w:uiPriority w:val="99"/>
    <w:semiHidden/>
    <w:rsid w:val="00E07AA3"/>
  </w:style>
  <w:style w:type="paragraph" w:styleId="FootnoteText">
    <w:name w:val="footnote text"/>
    <w:basedOn w:val="Normal"/>
    <w:link w:val="FootnoteTextChar"/>
    <w:uiPriority w:val="99"/>
    <w:rsid w:val="00E07AA3"/>
    <w:pPr>
      <w:widowControl w:val="0"/>
    </w:pPr>
    <w:rPr>
      <w:snapToGrid w:val="0"/>
      <w:sz w:val="20"/>
      <w:szCs w:val="20"/>
    </w:rPr>
  </w:style>
  <w:style w:type="character" w:customStyle="1" w:styleId="FootnoteTextChar">
    <w:name w:val="Footnote Text Char"/>
    <w:basedOn w:val="DefaultParagraphFont"/>
    <w:link w:val="FootnoteText"/>
    <w:uiPriority w:val="99"/>
    <w:semiHidden/>
    <w:rsid w:val="00E07AA3"/>
    <w:rPr>
      <w:snapToGrid w:val="0"/>
    </w:rPr>
  </w:style>
  <w:style w:type="character" w:customStyle="1" w:styleId="FootnoteTextChar1">
    <w:name w:val="Footnote Text Char1"/>
    <w:basedOn w:val="DefaultParagraphFont"/>
    <w:uiPriority w:val="99"/>
    <w:rsid w:val="00E07AA3"/>
    <w:rPr>
      <w:rFonts w:ascii="Times New Roman" w:hAnsi="Times New Roman" w:cs="Times New Roman"/>
      <w:sz w:val="20"/>
      <w:szCs w:val="20"/>
    </w:rPr>
  </w:style>
  <w:style w:type="character" w:customStyle="1" w:styleId="FooterChar">
    <w:name w:val="Footer Char"/>
    <w:basedOn w:val="DefaultParagraphFont"/>
    <w:link w:val="Footer"/>
    <w:uiPriority w:val="99"/>
    <w:rsid w:val="00893566"/>
    <w:rPr>
      <w:sz w:val="24"/>
      <w:szCs w:val="24"/>
    </w:rPr>
  </w:style>
  <w:style w:type="character" w:customStyle="1" w:styleId="Heading1Char">
    <w:name w:val="Heading 1 Char"/>
    <w:basedOn w:val="DefaultParagraphFont"/>
    <w:link w:val="Heading1"/>
    <w:rsid w:val="00201A0E"/>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1660486">
      <w:bodyDiv w:val="1"/>
      <w:marLeft w:val="0"/>
      <w:marRight w:val="0"/>
      <w:marTop w:val="0"/>
      <w:marBottom w:val="0"/>
      <w:divBdr>
        <w:top w:val="none" w:sz="0" w:space="0" w:color="auto"/>
        <w:left w:val="none" w:sz="0" w:space="0" w:color="auto"/>
        <w:bottom w:val="none" w:sz="0" w:space="0" w:color="auto"/>
        <w:right w:val="none" w:sz="0" w:space="0" w:color="auto"/>
      </w:divBdr>
    </w:div>
    <w:div w:id="1099175375">
      <w:bodyDiv w:val="1"/>
      <w:marLeft w:val="0"/>
      <w:marRight w:val="0"/>
      <w:marTop w:val="0"/>
      <w:marBottom w:val="0"/>
      <w:divBdr>
        <w:top w:val="none" w:sz="0" w:space="0" w:color="auto"/>
        <w:left w:val="none" w:sz="0" w:space="0" w:color="auto"/>
        <w:bottom w:val="none" w:sz="0" w:space="0" w:color="auto"/>
        <w:right w:val="none" w:sz="0" w:space="0" w:color="auto"/>
      </w:divBdr>
    </w:div>
    <w:div w:id="1215432653">
      <w:bodyDiv w:val="1"/>
      <w:marLeft w:val="0"/>
      <w:marRight w:val="0"/>
      <w:marTop w:val="0"/>
      <w:marBottom w:val="0"/>
      <w:divBdr>
        <w:top w:val="none" w:sz="0" w:space="0" w:color="auto"/>
        <w:left w:val="none" w:sz="0" w:space="0" w:color="auto"/>
        <w:bottom w:val="none" w:sz="0" w:space="0" w:color="auto"/>
        <w:right w:val="none" w:sz="0" w:space="0" w:color="auto"/>
      </w:divBdr>
    </w:div>
    <w:div w:id="1508206480">
      <w:bodyDiv w:val="1"/>
      <w:marLeft w:val="0"/>
      <w:marRight w:val="0"/>
      <w:marTop w:val="0"/>
      <w:marBottom w:val="0"/>
      <w:divBdr>
        <w:top w:val="none" w:sz="0" w:space="0" w:color="auto"/>
        <w:left w:val="none" w:sz="0" w:space="0" w:color="auto"/>
        <w:bottom w:val="none" w:sz="0" w:space="0" w:color="auto"/>
        <w:right w:val="none" w:sz="0" w:space="0" w:color="auto"/>
      </w:divBdr>
    </w:div>
    <w:div w:id="1647272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F900BE9B8FC54B84C621599FCE2CC4" ma:contentTypeVersion="9" ma:contentTypeDescription="Create a new document." ma:contentTypeScope="" ma:versionID="0ce2515910ffa6728293bd1e831a7537">
  <xsd:schema xmlns:xsd="http://www.w3.org/2001/XMLSchema" xmlns:xs="http://www.w3.org/2001/XMLSchema" xmlns:p="http://schemas.microsoft.com/office/2006/metadata/properties" xmlns:ns3="2ac81ab6-9b6b-4c82-ac3e-a653b27a920f" xmlns:ns4="347adfa2-07e6-4b03-adca-63adf46977e4" targetNamespace="http://schemas.microsoft.com/office/2006/metadata/properties" ma:root="true" ma:fieldsID="86998d8af741eba2fb5d142c51c08a5c" ns3:_="" ns4:_="">
    <xsd:import namespace="2ac81ab6-9b6b-4c82-ac3e-a653b27a920f"/>
    <xsd:import namespace="347adfa2-07e6-4b03-adca-63adf46977e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c81ab6-9b6b-4c82-ac3e-a653b27a92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7adfa2-07e6-4b03-adca-63adf46977e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B1283B-AB93-4A3B-8FEB-5AC96F6182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c81ab6-9b6b-4c82-ac3e-a653b27a920f"/>
    <ds:schemaRef ds:uri="347adfa2-07e6-4b03-adca-63adf46977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D59E70-0716-4EA4-9A50-FE87926895C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2EAE116-C5F8-472F-97DD-658C23AE1F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556</Words>
  <Characters>3170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2020-11-17T21:52:00Z</dcterms:created>
  <dcterms:modified xsi:type="dcterms:W3CDTF">2020-11-17T21:52:00Z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0x01010043F900BE9B8FC54B84C621599FCE2CC4</vt:lpwstr>
  </property>
</Properties>
</file>