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837E8" w:rsidR="00954864" w:rsidP="00DA7ACC" w:rsidRDefault="00EB2598" w14:paraId="7E707E09" w14:textId="6237755B">
      <w:pPr>
        <w:spacing w:after="0"/>
        <w:jc w:val="center"/>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SUPPORTING STATEMENT </w:t>
      </w:r>
      <w:r w:rsidR="00664D19">
        <w:rPr>
          <w:rFonts w:ascii="Times New Roman" w:hAnsi="Times New Roman" w:eastAsia="Times New Roman" w:cs="Times New Roman"/>
          <w:bCs/>
          <w:szCs w:val="24"/>
        </w:rPr>
        <w:t>FOR</w:t>
      </w:r>
      <w:r w:rsidRPr="001837E8">
        <w:rPr>
          <w:rFonts w:ascii="Times New Roman" w:hAnsi="Times New Roman" w:eastAsia="Times New Roman" w:cs="Times New Roman"/>
          <w:bCs/>
          <w:szCs w:val="24"/>
        </w:rPr>
        <w:br/>
        <w:t>PAPERWORK REDUCTION ACT SUBMISSION</w:t>
      </w:r>
      <w:r w:rsidRPr="001837E8">
        <w:rPr>
          <w:rFonts w:ascii="Times New Roman" w:hAnsi="Times New Roman" w:eastAsia="Times New Roman" w:cs="Times New Roman"/>
          <w:bCs/>
          <w:szCs w:val="24"/>
        </w:rPr>
        <w:br/>
      </w:r>
      <w:r w:rsidRPr="001837E8">
        <w:rPr>
          <w:rFonts w:ascii="Times New Roman" w:hAnsi="Times New Roman" w:eastAsia="Times New Roman" w:cs="Times New Roman"/>
          <w:bCs/>
          <w:szCs w:val="24"/>
        </w:rPr>
        <w:br/>
      </w:r>
      <w:r w:rsidRPr="001837E8" w:rsidR="00954864">
        <w:rPr>
          <w:rFonts w:ascii="Times New Roman" w:hAnsi="Times New Roman" w:eastAsia="Times New Roman" w:cs="Times New Roman"/>
          <w:bCs/>
          <w:szCs w:val="24"/>
        </w:rPr>
        <w:t>OMB Number 1405-0208, DS- 4213</w:t>
      </w:r>
    </w:p>
    <w:p w:rsidRPr="001837E8" w:rsidR="00954864" w:rsidP="00954864" w:rsidRDefault="00954864" w14:paraId="3CA00B2B" w14:textId="77777777">
      <w:pPr>
        <w:spacing w:after="0" w:line="240" w:lineRule="auto"/>
        <w:jc w:val="center"/>
        <w:rPr>
          <w:rFonts w:ascii="Times New Roman" w:hAnsi="Times New Roman" w:eastAsia="Times New Roman" w:cs="Times New Roman"/>
          <w:bCs/>
          <w:szCs w:val="24"/>
        </w:rPr>
      </w:pPr>
      <w:r w:rsidRPr="001837E8">
        <w:rPr>
          <w:rFonts w:ascii="Times New Roman" w:hAnsi="Times New Roman" w:eastAsia="Times New Roman" w:cs="Times New Roman"/>
          <w:bCs/>
          <w:szCs w:val="24"/>
        </w:rPr>
        <w:t>PEPFAR Program Expenditures</w:t>
      </w:r>
    </w:p>
    <w:p w:rsidRPr="001837E8" w:rsidR="00EB2598" w:rsidP="00EB2598" w:rsidRDefault="00EB2598" w14:paraId="62D939AD" w14:textId="77777777">
      <w:pPr>
        <w:spacing w:after="360"/>
        <w:jc w:val="center"/>
        <w:rPr>
          <w:rFonts w:ascii="Times New Roman" w:hAnsi="Times New Roman" w:eastAsia="Times New Roman" w:cs="Times New Roman"/>
          <w:bCs/>
          <w:i/>
          <w:szCs w:val="24"/>
        </w:rPr>
      </w:pPr>
    </w:p>
    <w:p w:rsidRPr="001837E8" w:rsidR="00EB2598" w:rsidP="00EB2598" w:rsidRDefault="00EB2598" w14:paraId="42867F82" w14:textId="2ADF6BB9">
      <w:pPr>
        <w:keepNext/>
        <w:spacing w:after="120" w:line="240" w:lineRule="auto"/>
        <w:outlineLvl w:val="0"/>
        <w:rPr>
          <w:rFonts w:ascii="Times New Roman" w:hAnsi="Times New Roman" w:eastAsia="Times New Roman" w:cs="Times New Roman"/>
          <w:bCs/>
          <w:szCs w:val="24"/>
        </w:rPr>
      </w:pPr>
      <w:r w:rsidRPr="001837E8">
        <w:rPr>
          <w:rFonts w:ascii="Times New Roman" w:hAnsi="Times New Roman" w:eastAsia="Times New Roman" w:cs="Times New Roman"/>
          <w:bCs/>
          <w:szCs w:val="24"/>
        </w:rPr>
        <w:t>A.</w:t>
      </w:r>
      <w:r w:rsidRPr="001837E8">
        <w:rPr>
          <w:rFonts w:ascii="Times New Roman" w:hAnsi="Times New Roman" w:eastAsia="Times New Roman" w:cs="Times New Roman"/>
          <w:bCs/>
          <w:szCs w:val="24"/>
        </w:rPr>
        <w:tab/>
        <w:t>JUSTIFICATION</w:t>
      </w:r>
    </w:p>
    <w:p w:rsidRPr="001837E8" w:rsidR="008655CE" w:rsidP="00EB2598" w:rsidRDefault="008655CE" w14:paraId="58346156" w14:textId="77777777">
      <w:pPr>
        <w:keepNext/>
        <w:spacing w:after="120" w:line="240" w:lineRule="auto"/>
        <w:outlineLvl w:val="0"/>
        <w:rPr>
          <w:rFonts w:ascii="Times New Roman" w:hAnsi="Times New Roman" w:eastAsia="Times New Roman" w:cs="Times New Roman"/>
          <w:bCs/>
          <w:szCs w:val="24"/>
        </w:rPr>
      </w:pPr>
    </w:p>
    <w:p w:rsidRPr="00C83ED0" w:rsidR="00EB2598" w:rsidP="00EB2598" w:rsidRDefault="00EB2598" w14:paraId="3CD67A04" w14:textId="77777777">
      <w:pPr>
        <w:numPr>
          <w:ilvl w:val="0"/>
          <w:numId w:val="1"/>
        </w:numPr>
        <w:spacing w:after="120" w:line="240" w:lineRule="auto"/>
        <w:rPr>
          <w:rFonts w:ascii="Times New Roman" w:hAnsi="Times New Roman" w:eastAsia="Times New Roman" w:cs="Times New Roman"/>
          <w:bCs/>
          <w:i/>
          <w:szCs w:val="24"/>
        </w:rPr>
      </w:pPr>
      <w:r w:rsidRPr="00C83ED0">
        <w:rPr>
          <w:rFonts w:ascii="Times New Roman" w:hAnsi="Times New Roman" w:eastAsia="Times New Roman" w:cs="Times New Roman"/>
          <w:bCs/>
          <w:i/>
          <w:szCs w:val="24"/>
        </w:rPr>
        <w:t>Why is this collection necessary and what are the legal statutes that allow this?</w:t>
      </w:r>
    </w:p>
    <w:p w:rsidRPr="00517CEE" w:rsidR="00F4641B" w:rsidP="00954864" w:rsidRDefault="00954864" w14:paraId="0B13B27D" w14:textId="463C74D2">
      <w:pPr>
        <w:spacing w:after="120" w:line="240" w:lineRule="auto"/>
        <w:ind w:left="360"/>
        <w:rPr>
          <w:rFonts w:ascii="Times New Roman" w:hAnsi="Times New Roman" w:eastAsia="Times New Roman" w:cs="Times New Roman"/>
          <w:bCs/>
          <w:szCs w:val="24"/>
        </w:rPr>
      </w:pPr>
      <w:r w:rsidRPr="007E5CB4">
        <w:rPr>
          <w:rFonts w:ascii="Times New Roman" w:hAnsi="Times New Roman" w:eastAsia="Times New Roman" w:cs="Times New Roman"/>
          <w:bCs/>
          <w:szCs w:val="24"/>
        </w:rPr>
        <w:t xml:space="preserve">The U.S. President’s Emergency Plan for AIDS Relief (PEPFAR) was established through enactment of the United States Leadership Against HIV/AIDS, Tuberculosis, and Malaria Act (P.L. 108-25), as amended by the Tom Lantos and Henry J. Hyde United States Global Leadership Against HIV/AIDS, Tuberculosis, and Malaria Reauthorization Act </w:t>
      </w:r>
      <w:r w:rsidR="00751011">
        <w:rPr>
          <w:rFonts w:ascii="Times New Roman" w:hAnsi="Times New Roman" w:eastAsia="Times New Roman" w:cs="Times New Roman"/>
          <w:bCs/>
          <w:szCs w:val="24"/>
        </w:rPr>
        <w:t xml:space="preserve">(P.L. 110-293), as amended by </w:t>
      </w:r>
      <w:r w:rsidRPr="00751011" w:rsidR="00751011">
        <w:rPr>
          <w:rFonts w:ascii="Times New Roman" w:hAnsi="Times New Roman" w:eastAsia="Times New Roman" w:cs="Times New Roman"/>
          <w:bCs/>
          <w:szCs w:val="24"/>
        </w:rPr>
        <w:t>PEPFAR Stewardship and Oversight Act</w:t>
      </w:r>
      <w:r w:rsidR="00751011">
        <w:rPr>
          <w:rFonts w:ascii="Times New Roman" w:hAnsi="Times New Roman" w:eastAsia="Times New Roman" w:cs="Times New Roman"/>
          <w:bCs/>
          <w:szCs w:val="24"/>
        </w:rPr>
        <w:t xml:space="preserve"> (P.L. 113-56), and </w:t>
      </w:r>
      <w:r w:rsidRPr="007E5CB4">
        <w:rPr>
          <w:rFonts w:ascii="Times New Roman" w:hAnsi="Times New Roman" w:eastAsia="Times New Roman" w:cs="Times New Roman"/>
          <w:bCs/>
          <w:szCs w:val="24"/>
        </w:rPr>
        <w:t xml:space="preserve">as amended and reauthorized for a third time by the PEPFAR Extension Act (P.L. 115-305) to support the global response to HIV/AIDS.  Continued authorization includes a plan for conducting cost studies in partner countries, as well as conducting a comprehensive and harmonized expenditure analysis by partner country.  Treatment and other services for HIV/AIDS provided by PEPFAR through implementing partners who receive their funds via the U.S. Agency for International Development, the Department of Health and Human Services, the Department of Defense, Peace Corps, and the Department of State (DOS).  The Office of the U.S. Global AIDS Coordinator and Health Diplomacy (S/GAC) within DOS leads, funds, and oversees the coordination and implementation of this interagency Presidential initiative.  </w:t>
      </w:r>
    </w:p>
    <w:p w:rsidRPr="007E5CB4" w:rsidR="00954864" w:rsidP="00954864" w:rsidRDefault="00954864" w14:paraId="0DB32062" w14:textId="1C375944">
      <w:pPr>
        <w:spacing w:after="120" w:line="240" w:lineRule="auto"/>
        <w:ind w:left="360"/>
        <w:rPr>
          <w:rFonts w:ascii="Times New Roman" w:hAnsi="Times New Roman" w:eastAsia="Times New Roman" w:cs="Times New Roman"/>
          <w:bCs/>
          <w:szCs w:val="24"/>
        </w:rPr>
      </w:pPr>
      <w:r w:rsidRPr="00517CEE">
        <w:rPr>
          <w:rFonts w:ascii="Times New Roman" w:hAnsi="Times New Roman" w:eastAsia="Times New Roman" w:cs="Times New Roman"/>
          <w:bCs/>
          <w:szCs w:val="24"/>
        </w:rPr>
        <w:t xml:space="preserve">Funding for global HIV/AIDS programs are appropriated at approximately $6 billion </w:t>
      </w:r>
      <w:r w:rsidRPr="00C83ED0">
        <w:rPr>
          <w:rFonts w:ascii="Times New Roman" w:hAnsi="Times New Roman" w:eastAsia="Times New Roman" w:cs="Times New Roman"/>
          <w:bCs/>
          <w:szCs w:val="24"/>
        </w:rPr>
        <w:t>per Fiscal Year and</w:t>
      </w:r>
      <w:r w:rsidRPr="007E5CB4">
        <w:rPr>
          <w:rFonts w:ascii="Times New Roman" w:hAnsi="Times New Roman" w:eastAsia="Times New Roman" w:cs="Times New Roman"/>
          <w:bCs/>
          <w:szCs w:val="24"/>
        </w:rPr>
        <w:t xml:space="preserve"> the legislation includes a mandate to report results by defined program areas to S/GAC.  In particular, the HIV/AIDS Leadership Act authorizes the collection and analysis of program data, including data relevant to program costs, through “program monitoring.”  Section 3(11) defines “program monitoring” as the “collection, analysis, and use of routine program data to determine . . . [among other issues] program costs.”  Section 101(a)(8) specifies that PEPFAR’s coordinated annual plans for oversight activity in each of the fiscal years </w:t>
      </w:r>
      <w:r w:rsidRPr="00D47A0A">
        <w:rPr>
          <w:rFonts w:ascii="Times New Roman" w:hAnsi="Times New Roman" w:eastAsia="Times New Roman" w:cs="Times New Roman"/>
          <w:bCs/>
          <w:szCs w:val="24"/>
        </w:rPr>
        <w:t>2009 through 2018</w:t>
      </w:r>
      <w:r w:rsidRPr="007E5CB4">
        <w:rPr>
          <w:rFonts w:ascii="Times New Roman" w:hAnsi="Times New Roman" w:eastAsia="Times New Roman" w:cs="Times New Roman"/>
          <w:bCs/>
          <w:szCs w:val="24"/>
        </w:rPr>
        <w:t xml:space="preserve"> must include “a plan for program monitoring, operations research, and impact evaluation.” </w:t>
      </w:r>
      <w:r w:rsidRPr="00C83ED0">
        <w:rPr>
          <w:rFonts w:ascii="Times New Roman" w:hAnsi="Times New Roman" w:eastAsia="Times New Roman" w:cs="Times New Roman"/>
          <w:bCs/>
          <w:szCs w:val="24"/>
        </w:rPr>
        <w:t xml:space="preserve"> Section 104A(d)(4) of the Foreign Assistance Act (FAA) of 1961, as amended, a provision added to the FAA by sectio</w:t>
      </w:r>
      <w:r w:rsidRPr="007E5CB4">
        <w:rPr>
          <w:rFonts w:ascii="Times New Roman" w:hAnsi="Times New Roman" w:eastAsia="Times New Roman" w:cs="Times New Roman"/>
          <w:bCs/>
          <w:szCs w:val="24"/>
        </w:rPr>
        <w:t xml:space="preserve">n 301(a) of the Leadership Act, authorizes the use of program funds for “program monitoring” and related activities.  Finally, FAA Section 104A(f), also added by the Leadership Act, requires an annual report to specified Congressional Committees that includes “a detailed description of program monitoring” including “an analysis of cost-effectiveness models.”  Excerpts of these Leadership Act provisions are included in the Statement of Legal Authorities. The data collection is mandatory based on the authorities above and </w:t>
      </w:r>
      <w:r w:rsidR="00D47A0A">
        <w:rPr>
          <w:rFonts w:ascii="Times New Roman" w:hAnsi="Times New Roman" w:eastAsia="Times New Roman" w:cs="Times New Roman"/>
          <w:bCs/>
          <w:szCs w:val="24"/>
        </w:rPr>
        <w:t xml:space="preserve">initial </w:t>
      </w:r>
      <w:r w:rsidRPr="007E5CB4">
        <w:rPr>
          <w:rFonts w:ascii="Times New Roman" w:hAnsi="Times New Roman" w:eastAsia="Times New Roman" w:cs="Times New Roman"/>
          <w:bCs/>
          <w:szCs w:val="24"/>
        </w:rPr>
        <w:t>approval provided by the Office of Management and Budget (OMB) in November 2012.  From 2013 and thereafter all PEPFAR funding agreements (grants, cooperative agreements, contracts) will contain explicit reporting requirements for th</w:t>
      </w:r>
      <w:r w:rsidRPr="007E5CB4" w:rsidR="00F4641B">
        <w:rPr>
          <w:rFonts w:ascii="Times New Roman" w:hAnsi="Times New Roman" w:eastAsia="Times New Roman" w:cs="Times New Roman"/>
          <w:bCs/>
          <w:szCs w:val="24"/>
        </w:rPr>
        <w:t>is</w:t>
      </w:r>
      <w:r w:rsidRPr="007E5CB4">
        <w:rPr>
          <w:rFonts w:ascii="Times New Roman" w:hAnsi="Times New Roman" w:eastAsia="Times New Roman" w:cs="Times New Roman"/>
          <w:bCs/>
          <w:szCs w:val="24"/>
        </w:rPr>
        <w:t xml:space="preserve"> data</w:t>
      </w:r>
      <w:r w:rsidRPr="00C83ED0">
        <w:rPr>
          <w:rFonts w:ascii="Times New Roman" w:hAnsi="Times New Roman" w:eastAsia="Times New Roman" w:cs="Times New Roman"/>
          <w:bCs/>
          <w:szCs w:val="24"/>
        </w:rPr>
        <w:t xml:space="preserve">.  </w:t>
      </w:r>
    </w:p>
    <w:p w:rsidRPr="007E5CB4" w:rsidR="00954864" w:rsidP="00954864" w:rsidRDefault="00954864" w14:paraId="2BEE0135" w14:textId="77777777">
      <w:pPr>
        <w:spacing w:after="120" w:line="240" w:lineRule="auto"/>
        <w:ind w:left="360"/>
        <w:rPr>
          <w:rFonts w:ascii="Times New Roman" w:hAnsi="Times New Roman" w:eastAsia="Times New Roman" w:cs="Times New Roman"/>
          <w:bCs/>
          <w:szCs w:val="24"/>
        </w:rPr>
      </w:pPr>
    </w:p>
    <w:p w:rsidRPr="00CC3DFC" w:rsidR="007A4C92" w:rsidP="6F83A5B1" w:rsidRDefault="6F83A5B1" w14:paraId="64B10B2B" w14:textId="5C74EB30">
      <w:pPr>
        <w:spacing w:after="120" w:line="240" w:lineRule="auto"/>
        <w:ind w:left="360"/>
        <w:rPr>
          <w:rFonts w:ascii="Times New Roman" w:hAnsi="Times New Roman" w:eastAsia="Times New Roman" w:cs="Times New Roman"/>
        </w:rPr>
      </w:pPr>
      <w:r w:rsidRPr="6F83A5B1">
        <w:rPr>
          <w:rFonts w:ascii="Times New Roman" w:hAnsi="Times New Roman" w:eastAsia="Times New Roman" w:cs="Times New Roman"/>
        </w:rPr>
        <w:t xml:space="preserve">In order to improve program effectiveness, PEPFAR reviews reporting of expenditure data by program area in conjunction with routine reporting of performance targets. Data collected from implementing partners, i.e., all entities receiving PEPFAR funds through contracts, grants, and cooperative agreements, in countries with PEPFAR programs using a standard tool (DS-4213) via an electronic interface.  A phased rollout for collecting expenditure data began in 2012 and extended to all PEPFAR countries and regional programs in 2014.  In 2018, a complete review was conducted of the expenditure reporting structure, content, and process, which resulted in a substantial simplification of the data collection. In 2020 data collection will be extended to </w:t>
      </w:r>
      <w:proofErr w:type="spellStart"/>
      <w:r w:rsidRPr="6F83A5B1">
        <w:rPr>
          <w:rFonts w:ascii="Times New Roman" w:hAnsi="Times New Roman" w:eastAsia="Times New Roman" w:cs="Times New Roman"/>
        </w:rPr>
        <w:t>subrecipients</w:t>
      </w:r>
      <w:proofErr w:type="spellEnd"/>
      <w:r w:rsidRPr="6F83A5B1">
        <w:rPr>
          <w:rFonts w:ascii="Times New Roman" w:hAnsi="Times New Roman" w:eastAsia="Times New Roman" w:cs="Times New Roman"/>
        </w:rPr>
        <w:t xml:space="preserve"> of implementing partners. The results of the 2018 analysis and impact of extending the data collection to </w:t>
      </w:r>
      <w:proofErr w:type="spellStart"/>
      <w:r w:rsidRPr="6F83A5B1">
        <w:rPr>
          <w:rFonts w:ascii="Times New Roman" w:hAnsi="Times New Roman" w:eastAsia="Times New Roman" w:cs="Times New Roman"/>
        </w:rPr>
        <w:t>subrecipients</w:t>
      </w:r>
      <w:proofErr w:type="spellEnd"/>
      <w:r w:rsidRPr="6F83A5B1">
        <w:rPr>
          <w:rFonts w:ascii="Times New Roman" w:hAnsi="Times New Roman" w:eastAsia="Times New Roman" w:cs="Times New Roman"/>
        </w:rPr>
        <w:t xml:space="preserve"> are discussed in Section 15.  </w:t>
      </w:r>
    </w:p>
    <w:p w:rsidRPr="00BC12A8" w:rsidR="00F4641B" w:rsidP="00954864" w:rsidRDefault="00F4641B" w14:paraId="4B4315EC" w14:textId="0E301483">
      <w:pPr>
        <w:spacing w:after="120" w:line="240" w:lineRule="auto"/>
        <w:ind w:left="360"/>
        <w:rPr>
          <w:rFonts w:ascii="Times New Roman" w:hAnsi="Times New Roman" w:eastAsia="Times New Roman" w:cs="Times New Roman"/>
          <w:bCs/>
          <w:i/>
          <w:szCs w:val="24"/>
        </w:rPr>
      </w:pPr>
    </w:p>
    <w:p w:rsidRPr="00BC12A8" w:rsidR="00EB2598" w:rsidP="00EB2598" w:rsidRDefault="00EB2598" w14:paraId="67ACD5E0" w14:textId="77777777">
      <w:pPr>
        <w:numPr>
          <w:ilvl w:val="0"/>
          <w:numId w:val="1"/>
        </w:numPr>
        <w:spacing w:after="120" w:line="240" w:lineRule="auto"/>
        <w:rPr>
          <w:rFonts w:ascii="Times New Roman" w:hAnsi="Times New Roman" w:eastAsia="Times New Roman" w:cs="Times New Roman"/>
          <w:bCs/>
          <w:i/>
          <w:szCs w:val="24"/>
        </w:rPr>
      </w:pPr>
      <w:r w:rsidRPr="00BC12A8">
        <w:rPr>
          <w:rFonts w:ascii="Times New Roman" w:hAnsi="Times New Roman" w:eastAsia="Times New Roman" w:cs="Times New Roman"/>
          <w:bCs/>
          <w:i/>
          <w:szCs w:val="24"/>
        </w:rPr>
        <w:t>What business purpose is the information gathered going to be used for?</w:t>
      </w:r>
    </w:p>
    <w:p w:rsidRPr="00BF2C51" w:rsidR="00EB2598" w:rsidP="6F83A5B1" w:rsidRDefault="6F83A5B1" w14:paraId="6C95D5BA" w14:textId="415C2732">
      <w:pPr>
        <w:spacing w:after="120" w:line="240" w:lineRule="auto"/>
        <w:ind w:left="360"/>
        <w:rPr>
          <w:rFonts w:ascii="Times New Roman" w:hAnsi="Times New Roman" w:eastAsia="Times New Roman" w:cs="Times New Roman"/>
        </w:rPr>
      </w:pPr>
      <w:r w:rsidRPr="6F83A5B1">
        <w:rPr>
          <w:rFonts w:ascii="Times New Roman" w:hAnsi="Times New Roman" w:eastAsia="Times New Roman" w:cs="Times New Roman"/>
        </w:rPr>
        <w:t xml:space="preserve">The data collected is from all PEPFAR-funded implementing partners (non-governmental organizations, universities, contractors, </w:t>
      </w:r>
      <w:proofErr w:type="spellStart"/>
      <w:r w:rsidRPr="6F83A5B1">
        <w:rPr>
          <w:rFonts w:ascii="Times New Roman" w:hAnsi="Times New Roman" w:eastAsia="Times New Roman" w:cs="Times New Roman"/>
        </w:rPr>
        <w:t>subrecipients</w:t>
      </w:r>
      <w:proofErr w:type="spellEnd"/>
      <w:r w:rsidRPr="6F83A5B1">
        <w:rPr>
          <w:rFonts w:ascii="Times New Roman" w:hAnsi="Times New Roman" w:eastAsia="Times New Roman" w:cs="Times New Roman"/>
        </w:rPr>
        <w:t>, multilateral organizations, host nation government departments, and others) that receive funds through the PEPFAR program.  These entities receive funds through contracts, sub-awards, grants, or cooperative agreements with the PEPFAR funded U.S. government agencies listed in Section 1</w:t>
      </w:r>
      <w:r w:rsidR="001F7F8F">
        <w:rPr>
          <w:rFonts w:ascii="Times New Roman" w:hAnsi="Times New Roman" w:eastAsia="Times New Roman" w:cs="Times New Roman"/>
        </w:rPr>
        <w:t>,</w:t>
      </w:r>
      <w:r w:rsidRPr="6F83A5B1">
        <w:rPr>
          <w:rFonts w:ascii="Times New Roman" w:hAnsi="Times New Roman" w:eastAsia="Times New Roman" w:cs="Times New Roman"/>
        </w:rPr>
        <w:t xml:space="preserve"> above.  The data collected </w:t>
      </w:r>
      <w:proofErr w:type="spellStart"/>
      <w:r w:rsidR="00A75D3C">
        <w:rPr>
          <w:rFonts w:ascii="Times New Roman" w:hAnsi="Times New Roman" w:eastAsia="Times New Roman" w:cs="Times New Roman"/>
        </w:rPr>
        <w:t>are</w:t>
      </w:r>
      <w:r w:rsidRPr="6F83A5B1">
        <w:rPr>
          <w:rFonts w:ascii="Times New Roman" w:hAnsi="Times New Roman" w:eastAsia="Times New Roman" w:cs="Times New Roman"/>
        </w:rPr>
        <w:t>used</w:t>
      </w:r>
      <w:proofErr w:type="spellEnd"/>
      <w:r w:rsidRPr="6F83A5B1">
        <w:rPr>
          <w:rFonts w:ascii="Times New Roman" w:hAnsi="Times New Roman" w:eastAsia="Times New Roman" w:cs="Times New Roman"/>
        </w:rPr>
        <w:t xml:space="preserve"> to improve program efficiency, strategic budgeting and long-term planning for sustainable transition of HIV/AIDS services to host countries.</w:t>
      </w:r>
    </w:p>
    <w:p w:rsidRPr="00C83ED0" w:rsidR="00954864" w:rsidP="6F83A5B1" w:rsidRDefault="6F83A5B1" w14:paraId="4B353B3A" w14:textId="7F0457C1">
      <w:pPr>
        <w:spacing w:after="120" w:line="240" w:lineRule="auto"/>
        <w:ind w:left="360"/>
        <w:rPr>
          <w:rFonts w:ascii="Times New Roman" w:hAnsi="Times New Roman" w:eastAsia="Times New Roman" w:cs="Times New Roman"/>
        </w:rPr>
      </w:pPr>
      <w:r w:rsidRPr="6F83A5B1">
        <w:rPr>
          <w:rFonts w:ascii="Times New Roman" w:hAnsi="Times New Roman" w:eastAsia="Times New Roman" w:cs="Times New Roman"/>
        </w:rPr>
        <w:t xml:space="preserve">Collected expenditure data </w:t>
      </w:r>
      <w:r w:rsidR="00A75D3C">
        <w:rPr>
          <w:rFonts w:ascii="Times New Roman" w:hAnsi="Times New Roman" w:eastAsia="Times New Roman" w:cs="Times New Roman"/>
        </w:rPr>
        <w:t>are</w:t>
      </w:r>
      <w:r w:rsidRPr="6F83A5B1" w:rsidR="00A75D3C">
        <w:rPr>
          <w:rFonts w:ascii="Times New Roman" w:hAnsi="Times New Roman" w:eastAsia="Times New Roman" w:cs="Times New Roman"/>
        </w:rPr>
        <w:t xml:space="preserve"> </w:t>
      </w:r>
      <w:r w:rsidRPr="6F83A5B1">
        <w:rPr>
          <w:rFonts w:ascii="Times New Roman" w:hAnsi="Times New Roman" w:eastAsia="Times New Roman" w:cs="Times New Roman"/>
        </w:rPr>
        <w:t xml:space="preserve">used across all countries and regional programs to inform the formulation of the country operational plan/regional operational plan (COP/ROP) and assists countries in evidence-based budgeting. </w:t>
      </w:r>
      <w:r w:rsidRPr="00A75D3C" w:rsidR="00A75D3C">
        <w:rPr>
          <w:rFonts w:ascii="Times New Roman" w:hAnsi="Times New Roman" w:eastAsia="Times New Roman" w:cs="Times New Roman"/>
        </w:rPr>
        <w:t>These</w:t>
      </w:r>
      <w:r w:rsidRPr="00A75D3C">
        <w:rPr>
          <w:rFonts w:ascii="Times New Roman" w:hAnsi="Times New Roman" w:eastAsia="Times New Roman" w:cs="Times New Roman"/>
        </w:rPr>
        <w:t xml:space="preserve"> data promote program management using expenditures linked to results and thus maximizes</w:t>
      </w:r>
      <w:r w:rsidRPr="6F83A5B1">
        <w:rPr>
          <w:rFonts w:ascii="Times New Roman" w:hAnsi="Times New Roman" w:eastAsia="Times New Roman" w:cs="Times New Roman"/>
        </w:rPr>
        <w:t xml:space="preserve"> value for investment of public funds. In instances where responsibility of services transition to partner countries and their governments, costs of individual services are used to inform partner government of costs that will be needed to be absorbed through domestic sources</w:t>
      </w:r>
    </w:p>
    <w:p w:rsidRPr="007E5CB4" w:rsidR="00954864" w:rsidP="00EB2598" w:rsidRDefault="00954864" w14:paraId="732097FC" w14:textId="77777777">
      <w:pPr>
        <w:spacing w:after="120" w:line="240" w:lineRule="auto"/>
        <w:ind w:left="360"/>
        <w:rPr>
          <w:rFonts w:ascii="Times New Roman" w:hAnsi="Times New Roman" w:eastAsia="Times New Roman" w:cs="Times New Roman"/>
          <w:bCs/>
          <w:i/>
          <w:szCs w:val="24"/>
        </w:rPr>
      </w:pPr>
    </w:p>
    <w:p w:rsidRPr="00C83ED0" w:rsidR="00EB2598" w:rsidP="00EB2598" w:rsidRDefault="00EB2598" w14:paraId="04D8DA4D" w14:textId="77777777">
      <w:pPr>
        <w:numPr>
          <w:ilvl w:val="0"/>
          <w:numId w:val="1"/>
        </w:numPr>
        <w:spacing w:after="120" w:line="240" w:lineRule="auto"/>
        <w:rPr>
          <w:rFonts w:ascii="Times New Roman" w:hAnsi="Times New Roman" w:eastAsia="Times New Roman" w:cs="Times New Roman"/>
          <w:bCs/>
          <w:i/>
          <w:szCs w:val="24"/>
        </w:rPr>
      </w:pPr>
      <w:r w:rsidRPr="007E5CB4">
        <w:rPr>
          <w:rFonts w:ascii="Times New Roman" w:hAnsi="Times New Roman" w:eastAsia="Times New Roman" w:cs="Times New Roman"/>
          <w:bCs/>
          <w:i/>
          <w:szCs w:val="24"/>
        </w:rPr>
        <w:t>Is this collection able to be completed electronically (e.g. through a website or application)?</w:t>
      </w:r>
    </w:p>
    <w:p w:rsidRPr="004B37D3" w:rsidR="00BA5672" w:rsidP="004B37D3" w:rsidRDefault="004B37D3" w14:paraId="1FC2711D" w14:textId="150B799F">
      <w:pPr>
        <w:pStyle w:val="NoSpacing"/>
        <w:ind w:left="360"/>
        <w:rPr>
          <w:rFonts w:ascii="Times New Roman" w:hAnsi="Times New Roman" w:cs="Times New Roman"/>
          <w:b/>
          <w:bCs/>
          <w:iCs/>
        </w:rPr>
      </w:pPr>
      <w:r>
        <w:rPr>
          <w:rFonts w:ascii="Times New Roman" w:hAnsi="Times New Roman" w:cs="Times New Roman"/>
        </w:rPr>
        <w:t xml:space="preserve">Expenditure </w:t>
      </w:r>
      <w:r w:rsidRPr="00A75D3C">
        <w:rPr>
          <w:rFonts w:ascii="Times New Roman" w:hAnsi="Times New Roman" w:cs="Times New Roman"/>
        </w:rPr>
        <w:t xml:space="preserve">data </w:t>
      </w:r>
      <w:r w:rsidRPr="00A75D3C" w:rsidR="00A75D3C">
        <w:rPr>
          <w:rFonts w:ascii="Times New Roman" w:hAnsi="Times New Roman" w:cs="Times New Roman"/>
        </w:rPr>
        <w:t>are</w:t>
      </w:r>
      <w:r w:rsidRPr="00A75D3C" w:rsidR="00B948DE">
        <w:rPr>
          <w:rFonts w:ascii="Times New Roman" w:hAnsi="Times New Roman" w:cs="Times New Roman"/>
        </w:rPr>
        <w:t xml:space="preserve"> collected</w:t>
      </w:r>
      <w:r w:rsidR="00B948DE">
        <w:rPr>
          <w:rFonts w:ascii="Times New Roman" w:hAnsi="Times New Roman" w:cs="Times New Roman"/>
        </w:rPr>
        <w:t xml:space="preserve"> via a web-based interface (</w:t>
      </w:r>
      <w:hyperlink w:history="1" r:id="rId11">
        <w:r w:rsidRPr="00EA0534" w:rsidR="00B948DE">
          <w:rPr>
            <w:rStyle w:val="Hyperlink"/>
            <w:rFonts w:ascii="Times New Roman" w:hAnsi="Times New Roman" w:eastAsia="Times New Roman" w:cs="Times New Roman"/>
            <w:bCs/>
            <w:szCs w:val="24"/>
          </w:rPr>
          <w:t>https://datim.org</w:t>
        </w:r>
      </w:hyperlink>
      <w:r w:rsidRPr="00517CEE" w:rsidR="00B948DE">
        <w:rPr>
          <w:rFonts w:ascii="Times New Roman" w:hAnsi="Times New Roman" w:eastAsia="Times New Roman" w:cs="Times New Roman"/>
          <w:bCs/>
          <w:szCs w:val="24"/>
        </w:rPr>
        <w:t>)</w:t>
      </w:r>
      <w:r w:rsidR="00B948DE">
        <w:rPr>
          <w:rFonts w:ascii="Times New Roman" w:hAnsi="Times New Roman" w:eastAsia="Times New Roman" w:cs="Times New Roman"/>
          <w:bCs/>
          <w:szCs w:val="24"/>
        </w:rPr>
        <w:t xml:space="preserve"> </w:t>
      </w:r>
      <w:r>
        <w:rPr>
          <w:rFonts w:ascii="Times New Roman" w:hAnsi="Times New Roman" w:cs="Times New Roman"/>
        </w:rPr>
        <w:t>, which is</w:t>
      </w:r>
      <w:r w:rsidRPr="004B37D3" w:rsidR="00B948DE">
        <w:rPr>
          <w:rFonts w:ascii="Times New Roman" w:hAnsi="Times New Roman" w:cs="Times New Roman"/>
        </w:rPr>
        <w:t xml:space="preserve"> available to all </w:t>
      </w:r>
      <w:r w:rsidR="00B948DE">
        <w:rPr>
          <w:rFonts w:ascii="Times New Roman" w:hAnsi="Times New Roman" w:cs="Times New Roman"/>
        </w:rPr>
        <w:t xml:space="preserve">implementing </w:t>
      </w:r>
      <w:r w:rsidRPr="004B37D3" w:rsidR="00B948DE">
        <w:rPr>
          <w:rFonts w:ascii="Times New Roman" w:hAnsi="Times New Roman" w:cs="Times New Roman"/>
        </w:rPr>
        <w:t xml:space="preserve">partners receiving funds under PEPFAR. After implementing Expenditure Reporting since 2012, we learned that implementing partners prefer the </w:t>
      </w:r>
      <w:r w:rsidR="00A46E44">
        <w:rPr>
          <w:rFonts w:ascii="Times New Roman" w:hAnsi="Times New Roman" w:cs="Times New Roman"/>
        </w:rPr>
        <w:t>Microsoft E</w:t>
      </w:r>
      <w:r w:rsidRPr="004B37D3" w:rsidR="00B948DE">
        <w:rPr>
          <w:rFonts w:ascii="Times New Roman" w:hAnsi="Times New Roman" w:cs="Times New Roman"/>
        </w:rPr>
        <w:t xml:space="preserve">xcel </w:t>
      </w:r>
      <w:r w:rsidRPr="00B948DE" w:rsidR="00B948DE">
        <w:rPr>
          <w:rFonts w:ascii="Times New Roman" w:hAnsi="Times New Roman" w:cs="Times New Roman"/>
        </w:rPr>
        <w:t>template-based</w:t>
      </w:r>
      <w:r w:rsidRPr="004B37D3" w:rsidR="00B948DE">
        <w:rPr>
          <w:rFonts w:ascii="Times New Roman" w:hAnsi="Times New Roman" w:cs="Times New Roman"/>
        </w:rPr>
        <w:t xml:space="preserve"> data collection process. The requirements in the </w:t>
      </w:r>
      <w:r w:rsidR="00A46E44">
        <w:rPr>
          <w:rFonts w:ascii="Times New Roman" w:hAnsi="Times New Roman" w:cs="Times New Roman"/>
        </w:rPr>
        <w:t>E</w:t>
      </w:r>
      <w:r w:rsidRPr="004B37D3" w:rsidR="00B948DE">
        <w:rPr>
          <w:rFonts w:ascii="Times New Roman" w:hAnsi="Times New Roman" w:cs="Times New Roman"/>
        </w:rPr>
        <w:t xml:space="preserve">xcel template have been reduced with </w:t>
      </w:r>
      <w:r w:rsidR="00B948DE">
        <w:rPr>
          <w:rFonts w:ascii="Times New Roman" w:hAnsi="Times New Roman" w:cs="Times New Roman"/>
        </w:rPr>
        <w:t>implementing partners</w:t>
      </w:r>
      <w:r w:rsidRPr="004B37D3" w:rsidR="00B948DE">
        <w:rPr>
          <w:rFonts w:ascii="Times New Roman" w:hAnsi="Times New Roman" w:cs="Times New Roman"/>
        </w:rPr>
        <w:t xml:space="preserve"> input to only request critical information.  By being able to download a template, </w:t>
      </w:r>
      <w:r w:rsidR="00B948DE">
        <w:rPr>
          <w:rFonts w:ascii="Times New Roman" w:hAnsi="Times New Roman" w:cs="Times New Roman"/>
        </w:rPr>
        <w:t>implementing partners</w:t>
      </w:r>
      <w:r w:rsidRPr="004B37D3" w:rsidR="00B948DE">
        <w:rPr>
          <w:rFonts w:ascii="Times New Roman" w:hAnsi="Times New Roman" w:cs="Times New Roman"/>
        </w:rPr>
        <w:t xml:space="preserve"> responsible to complete the submission are more effectively able to collaborate quickly with other key personnel and coordinate with their </w:t>
      </w:r>
      <w:proofErr w:type="spellStart"/>
      <w:r w:rsidRPr="004B37D3" w:rsidR="00B948DE">
        <w:rPr>
          <w:rFonts w:ascii="Times New Roman" w:hAnsi="Times New Roman" w:cs="Times New Roman"/>
        </w:rPr>
        <w:t>subrecipients</w:t>
      </w:r>
      <w:proofErr w:type="spellEnd"/>
      <w:r w:rsidRPr="004B37D3" w:rsidR="00B948DE">
        <w:rPr>
          <w:rFonts w:ascii="Times New Roman" w:hAnsi="Times New Roman" w:cs="Times New Roman"/>
        </w:rPr>
        <w:t xml:space="preserve"> to enter the data for the full amount of PEPFAR funding expended during the prior fiscal year.  This approach also proves helpful where internet connectivity is not strong. After completing the </w:t>
      </w:r>
      <w:r w:rsidR="00A46E44">
        <w:rPr>
          <w:rFonts w:ascii="Times New Roman" w:hAnsi="Times New Roman" w:cs="Times New Roman"/>
        </w:rPr>
        <w:t>E</w:t>
      </w:r>
      <w:r w:rsidRPr="004B37D3" w:rsidR="00B948DE">
        <w:rPr>
          <w:rFonts w:ascii="Times New Roman" w:hAnsi="Times New Roman" w:cs="Times New Roman"/>
        </w:rPr>
        <w:t xml:space="preserve">xcel template, </w:t>
      </w:r>
      <w:r w:rsidR="00B948DE">
        <w:rPr>
          <w:rFonts w:ascii="Times New Roman" w:hAnsi="Times New Roman" w:cs="Times New Roman"/>
        </w:rPr>
        <w:t>implementing partners</w:t>
      </w:r>
      <w:r w:rsidRPr="004B37D3" w:rsidR="00B948DE">
        <w:rPr>
          <w:rFonts w:ascii="Times New Roman" w:hAnsi="Times New Roman" w:cs="Times New Roman"/>
        </w:rPr>
        <w:t xml:space="preserve"> upload the data to an automated system that further checks the data entered for quality and completeness.  Automated checks reduce the time needed by IPs to complete the data cleaning process. </w:t>
      </w:r>
      <w:r w:rsidRPr="00A75D3C" w:rsidR="00B948DE">
        <w:rPr>
          <w:rFonts w:ascii="Times New Roman" w:hAnsi="Times New Roman" w:cs="Times New Roman"/>
        </w:rPr>
        <w:t xml:space="preserve">Aggregate data </w:t>
      </w:r>
      <w:r w:rsidRPr="00A75D3C" w:rsidR="00A75D3C">
        <w:rPr>
          <w:rFonts w:ascii="Times New Roman" w:hAnsi="Times New Roman" w:cs="Times New Roman"/>
        </w:rPr>
        <w:t>are</w:t>
      </w:r>
      <w:r w:rsidRPr="00A75D3C" w:rsidR="00B948DE">
        <w:rPr>
          <w:rFonts w:ascii="Times New Roman" w:hAnsi="Times New Roman" w:cs="Times New Roman"/>
        </w:rPr>
        <w:t xml:space="preserve"> available</w:t>
      </w:r>
      <w:r w:rsidRPr="004B37D3" w:rsidR="00B948DE">
        <w:rPr>
          <w:rFonts w:ascii="Times New Roman" w:hAnsi="Times New Roman" w:cs="Times New Roman"/>
        </w:rPr>
        <w:t xml:space="preserve"> in a central system for analysis. </w:t>
      </w:r>
    </w:p>
    <w:p w:rsidRPr="00517CEE" w:rsidR="008655CE" w:rsidP="00EB2598" w:rsidRDefault="008655CE" w14:paraId="164DF65B" w14:textId="2C2D4D0B">
      <w:pPr>
        <w:spacing w:after="120" w:line="240" w:lineRule="auto"/>
        <w:ind w:left="360"/>
        <w:rPr>
          <w:rFonts w:ascii="Times New Roman" w:hAnsi="Times New Roman" w:eastAsia="Times New Roman" w:cs="Times New Roman"/>
          <w:bCs/>
          <w:szCs w:val="24"/>
        </w:rPr>
      </w:pPr>
    </w:p>
    <w:p w:rsidRPr="00CC3DFC" w:rsidR="00EB2598" w:rsidP="00EB2598" w:rsidRDefault="00EB2598" w14:paraId="186BE93F" w14:textId="77777777">
      <w:pPr>
        <w:numPr>
          <w:ilvl w:val="0"/>
          <w:numId w:val="1"/>
        </w:numPr>
        <w:spacing w:after="120" w:line="240" w:lineRule="auto"/>
        <w:rPr>
          <w:rFonts w:ascii="Times New Roman" w:hAnsi="Times New Roman" w:eastAsia="Times New Roman" w:cs="Times New Roman"/>
          <w:bCs/>
          <w:i/>
          <w:szCs w:val="24"/>
        </w:rPr>
      </w:pPr>
      <w:r w:rsidRPr="00517CEE">
        <w:rPr>
          <w:rFonts w:ascii="Times New Roman" w:hAnsi="Times New Roman" w:eastAsia="Times New Roman" w:cs="Times New Roman"/>
          <w:bCs/>
          <w:i/>
          <w:szCs w:val="24"/>
        </w:rPr>
        <w:t>Does this collection duplicate any other collection of information?</w:t>
      </w:r>
    </w:p>
    <w:p w:rsidRPr="00BF2C51" w:rsidR="00110A23" w:rsidP="008655CE" w:rsidRDefault="00326397" w14:paraId="7D335C96" w14:textId="77777777">
      <w:pPr>
        <w:spacing w:after="120" w:line="240" w:lineRule="auto"/>
        <w:ind w:left="360"/>
        <w:rPr>
          <w:rFonts w:ascii="Times New Roman" w:hAnsi="Times New Roman" w:eastAsia="Times New Roman" w:cs="Times New Roman"/>
          <w:bCs/>
          <w:szCs w:val="24"/>
        </w:rPr>
      </w:pPr>
      <w:r w:rsidRPr="00CC3DFC">
        <w:rPr>
          <w:rFonts w:ascii="Times New Roman" w:hAnsi="Times New Roman" w:eastAsia="Times New Roman" w:cs="Times New Roman"/>
          <w:bCs/>
          <w:szCs w:val="24"/>
        </w:rPr>
        <w:t xml:space="preserve">The collection of </w:t>
      </w:r>
      <w:r w:rsidRPr="00AA5C90">
        <w:rPr>
          <w:rFonts w:ascii="Times New Roman" w:hAnsi="Times New Roman" w:eastAsia="Times New Roman" w:cs="Times New Roman"/>
          <w:bCs/>
          <w:szCs w:val="24"/>
        </w:rPr>
        <w:t>expenditure data does not duplicate any other collection of information</w:t>
      </w:r>
    </w:p>
    <w:p w:rsidRPr="00BF2C51" w:rsidR="008655CE" w:rsidP="008655CE" w:rsidRDefault="008655CE" w14:paraId="543E267D" w14:textId="69BE4CDD">
      <w:pPr>
        <w:spacing w:after="120" w:line="240" w:lineRule="auto"/>
        <w:ind w:left="360"/>
        <w:rPr>
          <w:rFonts w:ascii="Times New Roman" w:hAnsi="Times New Roman" w:eastAsia="Times New Roman" w:cs="Times New Roman"/>
          <w:bCs/>
          <w:szCs w:val="24"/>
        </w:rPr>
      </w:pPr>
    </w:p>
    <w:p w:rsidRPr="00BC12A8" w:rsidR="00EB2598" w:rsidP="00EB2598" w:rsidRDefault="00EB2598" w14:paraId="6BEBF30E" w14:textId="22A94EBB">
      <w:pPr>
        <w:numPr>
          <w:ilvl w:val="0"/>
          <w:numId w:val="1"/>
        </w:numPr>
        <w:spacing w:after="120" w:line="240" w:lineRule="auto"/>
        <w:rPr>
          <w:rFonts w:ascii="Times New Roman" w:hAnsi="Times New Roman" w:eastAsia="Times New Roman" w:cs="Times New Roman"/>
          <w:bCs/>
          <w:i/>
          <w:szCs w:val="24"/>
        </w:rPr>
      </w:pPr>
      <w:r w:rsidRPr="00BC12A8">
        <w:rPr>
          <w:rFonts w:ascii="Times New Roman" w:hAnsi="Times New Roman" w:eastAsia="Times New Roman" w:cs="Times New Roman"/>
          <w:bCs/>
          <w:i/>
          <w:szCs w:val="24"/>
        </w:rPr>
        <w:t>Describe any impacts on small business.</w:t>
      </w:r>
    </w:p>
    <w:p w:rsidRPr="00BC12A8" w:rsidR="00EB2598" w:rsidP="00EB2598" w:rsidRDefault="00954864" w14:paraId="55D85B7E" w14:textId="0E1D32EF">
      <w:pPr>
        <w:spacing w:after="120" w:line="240" w:lineRule="auto"/>
        <w:ind w:left="360"/>
        <w:rPr>
          <w:rFonts w:ascii="Times New Roman" w:hAnsi="Times New Roman" w:eastAsia="Times New Roman" w:cs="Times New Roman"/>
          <w:bCs/>
          <w:szCs w:val="24"/>
        </w:rPr>
      </w:pPr>
      <w:r w:rsidRPr="00BC12A8">
        <w:rPr>
          <w:rFonts w:ascii="Times New Roman" w:hAnsi="Times New Roman" w:eastAsia="Times New Roman" w:cs="Times New Roman"/>
          <w:bCs/>
          <w:szCs w:val="24"/>
        </w:rPr>
        <w:t xml:space="preserve">There will be no impact to small businesses in the United States.  </w:t>
      </w:r>
    </w:p>
    <w:p w:rsidRPr="00BC12A8" w:rsidR="008655CE" w:rsidP="00EB2598" w:rsidRDefault="008655CE" w14:paraId="091B53CA" w14:textId="77777777">
      <w:pPr>
        <w:spacing w:after="120" w:line="240" w:lineRule="auto"/>
        <w:ind w:left="360"/>
        <w:rPr>
          <w:rFonts w:ascii="Times New Roman" w:hAnsi="Times New Roman" w:eastAsia="Times New Roman" w:cs="Times New Roman"/>
          <w:bCs/>
          <w:szCs w:val="24"/>
        </w:rPr>
      </w:pPr>
    </w:p>
    <w:p w:rsidRPr="00BC12A8" w:rsidR="00EB2598" w:rsidP="00EB2598" w:rsidRDefault="00EB2598" w14:paraId="683AD0E8" w14:textId="77777777">
      <w:pPr>
        <w:numPr>
          <w:ilvl w:val="0"/>
          <w:numId w:val="1"/>
        </w:numPr>
        <w:spacing w:after="120" w:line="240" w:lineRule="auto"/>
        <w:rPr>
          <w:rFonts w:ascii="Times New Roman" w:hAnsi="Times New Roman" w:eastAsia="Times New Roman" w:cs="Times New Roman"/>
          <w:bCs/>
          <w:i/>
          <w:szCs w:val="24"/>
        </w:rPr>
      </w:pPr>
      <w:r w:rsidRPr="00BC12A8">
        <w:rPr>
          <w:rFonts w:ascii="Times New Roman" w:hAnsi="Times New Roman" w:eastAsia="Times New Roman" w:cs="Times New Roman"/>
          <w:bCs/>
          <w:i/>
          <w:szCs w:val="24"/>
        </w:rPr>
        <w:t>What are consequences if this collection is not done?</w:t>
      </w:r>
    </w:p>
    <w:p w:rsidRPr="007E5CB4" w:rsidR="00EB2598" w:rsidP="6F83A5B1" w:rsidRDefault="6F83A5B1" w14:paraId="336D2FD8" w14:textId="1E9983F5">
      <w:pPr>
        <w:spacing w:after="120" w:line="240" w:lineRule="auto"/>
        <w:ind w:left="360"/>
        <w:rPr>
          <w:rFonts w:ascii="Times New Roman" w:hAnsi="Times New Roman" w:eastAsia="Times New Roman" w:cs="Times New Roman"/>
        </w:rPr>
      </w:pPr>
      <w:r w:rsidRPr="6F83A5B1">
        <w:rPr>
          <w:rFonts w:ascii="Times New Roman" w:hAnsi="Times New Roman" w:eastAsia="Times New Roman" w:cs="Times New Roman"/>
        </w:rPr>
        <w:t xml:space="preserve">PEPFAR is committed to the goal of accelerating HIV/AIDS epidemic control through strategic investments and partnerships with other donors and affected countries throughout the world. The provision of patient-centered HIV treatment and prevention services and careful monitoring of the PEPFAR investment requires sound data collection systems to ensure our resources are spent effectively and lead to better health outcomes for beneficiary patients. Data collected through expenditure reporting provides the basis for strategies to increase return on PEPFAR’s investment and are essential for effective management and policy decision-making on a global level. Furthermore, our reporting of expenditures coincides with the reporting of program monitoring results. Without understanding expenditures at the </w:t>
      </w:r>
      <w:proofErr w:type="spellStart"/>
      <w:r w:rsidRPr="6F83A5B1">
        <w:rPr>
          <w:rFonts w:ascii="Times New Roman" w:hAnsi="Times New Roman" w:eastAsia="Times New Roman" w:cs="Times New Roman"/>
        </w:rPr>
        <w:t>subrecipient</w:t>
      </w:r>
      <w:proofErr w:type="spellEnd"/>
      <w:r w:rsidRPr="6F83A5B1">
        <w:rPr>
          <w:rFonts w:ascii="Times New Roman" w:hAnsi="Times New Roman" w:eastAsia="Times New Roman" w:cs="Times New Roman"/>
        </w:rPr>
        <w:t xml:space="preserve"> level where large portions of service delivery occur, program efficiency and effectiveness analysis and program transition activities are hampered by incomplete data.</w:t>
      </w:r>
    </w:p>
    <w:p w:rsidRPr="007E5CB4" w:rsidR="008655CE" w:rsidP="008655CE" w:rsidRDefault="008655CE" w14:paraId="2DFA86B0" w14:textId="77777777">
      <w:pPr>
        <w:spacing w:after="120" w:line="240" w:lineRule="auto"/>
        <w:ind w:left="360"/>
        <w:rPr>
          <w:rFonts w:ascii="Times New Roman" w:hAnsi="Times New Roman" w:eastAsia="Times New Roman" w:cs="Times New Roman"/>
          <w:bCs/>
          <w:i/>
          <w:szCs w:val="24"/>
        </w:rPr>
      </w:pPr>
    </w:p>
    <w:p w:rsidRPr="007E5CB4" w:rsidR="00EB2598" w:rsidP="00EB2598" w:rsidRDefault="00EB2598" w14:paraId="7ED149F5" w14:textId="782E9441">
      <w:pPr>
        <w:numPr>
          <w:ilvl w:val="0"/>
          <w:numId w:val="1"/>
        </w:numPr>
        <w:spacing w:after="120" w:line="240" w:lineRule="auto"/>
        <w:rPr>
          <w:rFonts w:ascii="Times New Roman" w:hAnsi="Times New Roman" w:eastAsia="Times New Roman" w:cs="Times New Roman"/>
          <w:bCs/>
          <w:i/>
          <w:szCs w:val="24"/>
        </w:rPr>
      </w:pPr>
      <w:r w:rsidRPr="007E5CB4">
        <w:rPr>
          <w:rFonts w:ascii="Times New Roman" w:hAnsi="Times New Roman" w:eastAsia="Times New Roman" w:cs="Times New Roman"/>
          <w:bCs/>
          <w:i/>
          <w:szCs w:val="24"/>
        </w:rPr>
        <w:t>Are there any special collection circumstances?</w:t>
      </w:r>
    </w:p>
    <w:p w:rsidRPr="00C83ED0" w:rsidR="00954864" w:rsidP="00EB2598" w:rsidRDefault="00954864" w14:paraId="3E0F29B3" w14:textId="77777777">
      <w:pPr>
        <w:spacing w:before="60" w:after="60" w:line="240" w:lineRule="auto"/>
        <w:ind w:left="360"/>
        <w:rPr>
          <w:rFonts w:ascii="Times New Roman" w:hAnsi="Times New Roman" w:eastAsia="Arial Unicode MS" w:cs="Times New Roman"/>
          <w:bCs/>
          <w:szCs w:val="24"/>
        </w:rPr>
      </w:pPr>
      <w:r w:rsidRPr="00C83ED0">
        <w:rPr>
          <w:rFonts w:ascii="Times New Roman" w:hAnsi="Times New Roman" w:eastAsia="Arial Unicode MS" w:cs="Times New Roman"/>
          <w:bCs/>
          <w:szCs w:val="24"/>
        </w:rPr>
        <w:t>There are no special circumstances.</w:t>
      </w:r>
    </w:p>
    <w:p w:rsidRPr="00C83ED0" w:rsidR="00954864" w:rsidP="00EB2598" w:rsidRDefault="00954864" w14:paraId="66BF8EDE" w14:textId="77777777">
      <w:pPr>
        <w:spacing w:before="60" w:after="60" w:line="240" w:lineRule="auto"/>
        <w:ind w:left="360"/>
        <w:rPr>
          <w:rFonts w:ascii="Times New Roman" w:hAnsi="Times New Roman" w:eastAsia="Arial Unicode MS" w:cs="Times New Roman"/>
          <w:bCs/>
          <w:szCs w:val="24"/>
        </w:rPr>
      </w:pPr>
    </w:p>
    <w:p w:rsidRPr="00517CEE" w:rsidR="00EB2598" w:rsidP="00EB2598" w:rsidRDefault="00EB2598" w14:paraId="5DD8C87E" w14:textId="77777777">
      <w:pPr>
        <w:numPr>
          <w:ilvl w:val="0"/>
          <w:numId w:val="1"/>
        </w:numPr>
        <w:spacing w:after="120" w:line="240" w:lineRule="auto"/>
        <w:rPr>
          <w:rFonts w:ascii="Times New Roman" w:hAnsi="Times New Roman" w:eastAsia="Times New Roman" w:cs="Times New Roman"/>
          <w:bCs/>
          <w:i/>
          <w:szCs w:val="24"/>
        </w:rPr>
      </w:pPr>
      <w:r w:rsidRPr="00517CEE">
        <w:rPr>
          <w:rFonts w:ascii="Times New Roman" w:hAnsi="Times New Roman" w:eastAsia="Times New Roman" w:cs="Times New Roman"/>
          <w:bCs/>
          <w:i/>
          <w:szCs w:val="24"/>
        </w:rPr>
        <w:t>Document publication (or intent to publish) a request for public comments in the Federal Register</w:t>
      </w:r>
    </w:p>
    <w:p w:rsidR="008E34E0" w:rsidP="00EB2598" w:rsidRDefault="001F7F8F" w14:paraId="0A12BB20" w14:textId="3D357C0A">
      <w:pPr>
        <w:spacing w:after="120" w:line="240" w:lineRule="auto"/>
        <w:ind w:left="360"/>
        <w:rPr>
          <w:rFonts w:ascii="Times New Roman" w:hAnsi="Times New Roman" w:eastAsia="Times New Roman" w:cs="Times New Roman"/>
          <w:bCs/>
          <w:szCs w:val="24"/>
        </w:rPr>
      </w:pPr>
      <w:r>
        <w:rPr>
          <w:rFonts w:ascii="Times New Roman" w:hAnsi="Times New Roman" w:eastAsia="Times New Roman" w:cs="Times New Roman"/>
          <w:bCs/>
          <w:szCs w:val="24"/>
        </w:rPr>
        <w:t xml:space="preserve">The Department will publish a </w:t>
      </w:r>
      <w:r>
        <w:rPr>
          <w:rFonts w:ascii="Times New Roman" w:hAnsi="Times New Roman" w:eastAsia="Times New Roman" w:cs="Times New Roman"/>
          <w:bCs/>
          <w:i/>
          <w:szCs w:val="24"/>
        </w:rPr>
        <w:t xml:space="preserve">Federal Register </w:t>
      </w:r>
      <w:r>
        <w:rPr>
          <w:rFonts w:ascii="Times New Roman" w:hAnsi="Times New Roman" w:eastAsia="Times New Roman" w:cs="Times New Roman"/>
          <w:bCs/>
          <w:szCs w:val="24"/>
        </w:rPr>
        <w:t>notice,</w:t>
      </w:r>
      <w:r w:rsidR="00630D6C">
        <w:rPr>
          <w:rFonts w:ascii="Times New Roman" w:hAnsi="Times New Roman" w:eastAsia="Times New Roman" w:cs="Times New Roman"/>
          <w:bCs/>
          <w:szCs w:val="24"/>
        </w:rPr>
        <w:t xml:space="preserve"> soliciting public comment for 3</w:t>
      </w:r>
      <w:r>
        <w:rPr>
          <w:rFonts w:ascii="Times New Roman" w:hAnsi="Times New Roman" w:eastAsia="Times New Roman" w:cs="Times New Roman"/>
          <w:bCs/>
          <w:szCs w:val="24"/>
        </w:rPr>
        <w:t>0 days.</w:t>
      </w:r>
    </w:p>
    <w:p w:rsidRPr="001E6403" w:rsidR="00A1674A" w:rsidP="00EB2598" w:rsidRDefault="00A1674A" w14:paraId="47E45E21" w14:textId="28A938BE">
      <w:pPr>
        <w:spacing w:after="120" w:line="240" w:lineRule="auto"/>
        <w:ind w:left="360"/>
        <w:rPr>
          <w:rFonts w:ascii="Times New Roman" w:hAnsi="Times New Roman" w:cs="Times New Roman"/>
          <w:szCs w:val="24"/>
        </w:rPr>
      </w:pPr>
      <w:r w:rsidRPr="001E6403">
        <w:rPr>
          <w:rFonts w:ascii="Times New Roman" w:hAnsi="Times New Roman" w:cs="Times New Roman"/>
          <w:szCs w:val="24"/>
        </w:rPr>
        <w:t xml:space="preserve">On </w:t>
      </w:r>
      <w:hyperlink w:history="1" r:id="rId12">
        <w:r w:rsidRPr="001E6403">
          <w:rPr>
            <w:rStyle w:val="Hyperlink"/>
            <w:rFonts w:ascii="Times New Roman" w:hAnsi="Times New Roman" w:cs="Times New Roman"/>
            <w:color w:val="auto"/>
            <w:szCs w:val="24"/>
            <w:bdr w:val="none" w:color="auto" w:sz="0" w:space="0" w:frame="1"/>
          </w:rPr>
          <w:t>July 17, 2020</w:t>
        </w:r>
      </w:hyperlink>
      <w:r w:rsidRPr="001E6403">
        <w:rPr>
          <w:rFonts w:ascii="Times New Roman" w:hAnsi="Times New Roman" w:cs="Times New Roman"/>
          <w:szCs w:val="24"/>
        </w:rPr>
        <w:t xml:space="preserve">., the Department of State published a 60-day notice in the Federal Register (Federal Register Number: </w:t>
      </w:r>
      <w:r w:rsidR="001E6403">
        <w:rPr>
          <w:rFonts w:ascii="Times New Roman" w:hAnsi="Times New Roman" w:cs="Times New Roman"/>
          <w:szCs w:val="24"/>
        </w:rPr>
        <w:t>2020-20180)</w:t>
      </w:r>
      <w:r w:rsidRPr="001E6403">
        <w:rPr>
          <w:rFonts w:ascii="Times New Roman" w:hAnsi="Times New Roman" w:cs="Times New Roman"/>
          <w:szCs w:val="24"/>
        </w:rPr>
        <w:t xml:space="preserve"> to solicit public comments.  </w:t>
      </w:r>
      <w:r w:rsidRPr="001E6403">
        <w:rPr>
          <w:rFonts w:ascii="Times New Roman" w:hAnsi="Times New Roman" w:cs="Times New Roman"/>
          <w:szCs w:val="24"/>
        </w:rPr>
        <w:t>Two comments were received.</w:t>
      </w:r>
    </w:p>
    <w:p w:rsidR="00A1674A" w:rsidP="00EB2598" w:rsidRDefault="00A1674A" w14:paraId="355AA687" w14:textId="533250E8">
      <w:pPr>
        <w:spacing w:after="120" w:line="240" w:lineRule="auto"/>
        <w:ind w:left="360"/>
        <w:rPr>
          <w:rFonts w:ascii="Calibri" w:hAnsi="Calibri"/>
          <w:color w:val="1F497D"/>
          <w:sz w:val="22"/>
        </w:rPr>
      </w:pPr>
    </w:p>
    <w:p w:rsidR="00A1674A" w:rsidP="00A1674A" w:rsidRDefault="00A1674A" w14:paraId="4DD96E6C" w14:textId="5061AEF6">
      <w:pPr>
        <w:pStyle w:val="null"/>
        <w:shd w:val="clear" w:color="auto" w:fill="FFFFFF"/>
        <w:spacing w:before="0" w:beforeAutospacing="0" w:after="0" w:afterAutospacing="0"/>
        <w:ind w:left="360"/>
      </w:pPr>
      <w:r>
        <w:rPr>
          <w:rStyle w:val="null1"/>
          <w:rFonts w:ascii="Helvetica" w:hAnsi="Helvetica" w:cs="Helvetica"/>
          <w:b/>
          <w:bCs/>
          <w:color w:val="333333"/>
          <w:u w:val="single"/>
          <w:shd w:val="clear" w:color="auto" w:fill="FFFFFF"/>
        </w:rPr>
        <w:t xml:space="preserve">COMMENT </w:t>
      </w:r>
      <w:r>
        <w:rPr>
          <w:rStyle w:val="null1"/>
          <w:rFonts w:ascii="Helvetica" w:hAnsi="Helvetica" w:cs="Helvetica"/>
          <w:b/>
          <w:bCs/>
          <w:color w:val="333333"/>
          <w:u w:val="single"/>
          <w:shd w:val="clear" w:color="auto" w:fill="FFFFFF"/>
        </w:rPr>
        <w:t>1</w:t>
      </w:r>
      <w:r>
        <w:rPr>
          <w:rStyle w:val="null1"/>
          <w:rFonts w:ascii="Helvetica" w:hAnsi="Helvetica" w:cs="Helvetica"/>
          <w:b/>
          <w:bCs/>
          <w:color w:val="333333"/>
          <w:u w:val="single"/>
          <w:shd w:val="clear" w:color="auto" w:fill="FFFFFF"/>
        </w:rPr>
        <w:t xml:space="preserve"> RECEIVED:</w:t>
      </w:r>
      <w:r>
        <w:rPr>
          <w:rStyle w:val="null1"/>
          <w:rFonts w:ascii="Calibri" w:hAnsi="Calibri"/>
          <w:color w:val="000000"/>
        </w:rPr>
        <w:t> </w:t>
      </w:r>
      <w:r w:rsidRPr="00A1674A">
        <w:rPr>
          <w:rStyle w:val="null1"/>
          <w:rFonts w:ascii="Calibri" w:hAnsi="Calibri"/>
          <w:color w:val="000000"/>
        </w:rPr>
        <w:t> </w:t>
      </w:r>
      <w:r>
        <w:rPr>
          <w:rStyle w:val="null1"/>
          <w:rFonts w:ascii="Calibri" w:hAnsi="Calibri"/>
          <w:color w:val="000000"/>
        </w:rPr>
        <w:t>‘’</w:t>
      </w:r>
      <w:r w:rsidRPr="00A1674A">
        <w:rPr>
          <w:rStyle w:val="null1"/>
          <w:rFonts w:ascii="Helvetica" w:hAnsi="Helvetica" w:cs="Helvetica"/>
          <w:b/>
          <w:bCs/>
          <w:color w:val="333333"/>
          <w:shd w:val="clear" w:color="auto" w:fill="FFFFFF"/>
        </w:rPr>
        <w:t>PEPFAR has had an enormous impact in reducing transmission of AIDS in Africa. Eliminating prostitutes as candidates for assistance, however, makes no sense, particularly if you look at one of the ways AIDS is transmitted. Please do not make this change in how PEPFAR works.</w:t>
      </w:r>
      <w:r>
        <w:rPr>
          <w:rStyle w:val="null1"/>
          <w:rFonts w:ascii="Helvetica" w:hAnsi="Helvetica" w:cs="Helvetica"/>
          <w:b/>
          <w:bCs/>
          <w:color w:val="333333"/>
          <w:shd w:val="clear" w:color="auto" w:fill="FFFFFF"/>
        </w:rPr>
        <w:t>’’</w:t>
      </w:r>
    </w:p>
    <w:p w:rsidR="00A1674A" w:rsidP="00A1674A" w:rsidRDefault="00A1674A" w14:paraId="296DF2F0" w14:textId="77777777">
      <w:pPr>
        <w:pStyle w:val="null"/>
        <w:shd w:val="clear" w:color="auto" w:fill="FFFFFF"/>
        <w:spacing w:before="0" w:beforeAutospacing="0" w:after="0" w:afterAutospacing="0"/>
        <w:ind w:left="360"/>
      </w:pPr>
      <w:r>
        <w:rPr>
          <w:rStyle w:val="null1"/>
          <w:rFonts w:ascii="Calibri" w:hAnsi="Calibri"/>
          <w:color w:val="000000"/>
        </w:rPr>
        <w:t> </w:t>
      </w:r>
    </w:p>
    <w:p w:rsidRPr="001E6403" w:rsidR="00A1674A" w:rsidP="00A1674A" w:rsidRDefault="00A1674A" w14:paraId="7A0DA286" w14:textId="6DB00085">
      <w:pPr>
        <w:pStyle w:val="null"/>
        <w:shd w:val="clear" w:color="auto" w:fill="FFFFFF"/>
        <w:spacing w:before="0" w:beforeAutospacing="0" w:after="0" w:afterAutospacing="0"/>
        <w:ind w:left="360"/>
      </w:pPr>
      <w:r w:rsidRPr="001E6403">
        <w:rPr>
          <w:rStyle w:val="null1"/>
          <w:b/>
          <w:color w:val="000000"/>
          <w:u w:val="single"/>
        </w:rPr>
        <w:lastRenderedPageBreak/>
        <w:t xml:space="preserve">S/GAC </w:t>
      </w:r>
      <w:r w:rsidRPr="001E6403">
        <w:rPr>
          <w:rStyle w:val="null1"/>
          <w:b/>
          <w:color w:val="000000"/>
          <w:u w:val="single"/>
        </w:rPr>
        <w:t>Response</w:t>
      </w:r>
      <w:r w:rsidRPr="001E6403">
        <w:rPr>
          <w:rStyle w:val="null1"/>
          <w:b/>
          <w:color w:val="000000"/>
        </w:rPr>
        <w:t>:</w:t>
      </w:r>
      <w:r w:rsidRPr="001E6403">
        <w:rPr>
          <w:rStyle w:val="null1"/>
          <w:color w:val="000000"/>
        </w:rPr>
        <w:t xml:space="preserve"> Af</w:t>
      </w:r>
      <w:r w:rsidRPr="001E6403">
        <w:rPr>
          <w:rStyle w:val="null1"/>
          <w:color w:val="000000"/>
        </w:rPr>
        <w:t>ter reviewing the comment, the D</w:t>
      </w:r>
      <w:r w:rsidRPr="001E6403">
        <w:rPr>
          <w:rStyle w:val="null1"/>
          <w:color w:val="000000"/>
        </w:rPr>
        <w:t>epartment concurs that sex workers are a key part of the HIV epidemic response.  PEPFAR does not have any intention of eliminating sex workers as candidates for assistance.  Indeed, sex workers are defined by PEPFAR and many other donors and multilateral organizations as a "key population," and key populations continue to be a prominent part of HIV epidemic and response.  PEPFAR programs for key populations seek to optimize programs and policies that maximize access to convenient treatment and prevention services, and reduce stigma and discrimination. </w:t>
      </w:r>
    </w:p>
    <w:p w:rsidRPr="001E6403" w:rsidR="00A1674A" w:rsidP="00EB2598" w:rsidRDefault="00A1674A" w14:paraId="4C56C3B3" w14:textId="77777777">
      <w:pPr>
        <w:spacing w:after="120" w:line="240" w:lineRule="auto"/>
        <w:ind w:left="360"/>
        <w:rPr>
          <w:rFonts w:ascii="Times New Roman" w:hAnsi="Times New Roman" w:eastAsia="Times New Roman" w:cs="Times New Roman"/>
          <w:bCs/>
          <w:szCs w:val="24"/>
        </w:rPr>
      </w:pPr>
    </w:p>
    <w:p w:rsidR="00A1674A" w:rsidP="00A1674A" w:rsidRDefault="00A1674A" w14:paraId="60F05DE5" w14:textId="77777777">
      <w:pPr>
        <w:pStyle w:val="null"/>
        <w:shd w:val="clear" w:color="auto" w:fill="FFFFFF"/>
        <w:spacing w:before="0" w:beforeAutospacing="0" w:after="0" w:afterAutospacing="0"/>
        <w:rPr>
          <w:rStyle w:val="null1"/>
          <w:rFonts w:ascii="Helvetica" w:hAnsi="Helvetica" w:cs="Helvetica"/>
          <w:b/>
          <w:bCs/>
          <w:color w:val="333333"/>
          <w:u w:val="single"/>
          <w:shd w:val="clear" w:color="auto" w:fill="FFFFFF"/>
        </w:rPr>
      </w:pPr>
    </w:p>
    <w:p w:rsidR="00A1674A" w:rsidP="00A1674A" w:rsidRDefault="00A1674A" w14:paraId="004F1767" w14:textId="75344317">
      <w:pPr>
        <w:pStyle w:val="null"/>
        <w:shd w:val="clear" w:color="auto" w:fill="FFFFFF"/>
        <w:spacing w:before="0" w:beforeAutospacing="0" w:after="0" w:afterAutospacing="0"/>
        <w:ind w:left="360"/>
      </w:pPr>
      <w:r>
        <w:rPr>
          <w:rStyle w:val="null1"/>
          <w:rFonts w:ascii="Helvetica" w:hAnsi="Helvetica" w:cs="Helvetica"/>
          <w:b/>
          <w:bCs/>
          <w:color w:val="333333"/>
          <w:u w:val="single"/>
          <w:shd w:val="clear" w:color="auto" w:fill="FFFFFF"/>
        </w:rPr>
        <w:t xml:space="preserve">COMMENT </w:t>
      </w:r>
      <w:r>
        <w:rPr>
          <w:rStyle w:val="null1"/>
          <w:rFonts w:ascii="Helvetica" w:hAnsi="Helvetica" w:cs="Helvetica"/>
          <w:b/>
          <w:bCs/>
          <w:color w:val="333333"/>
          <w:u w:val="single"/>
          <w:shd w:val="clear" w:color="auto" w:fill="FFFFFF"/>
        </w:rPr>
        <w:t>2 RECEIVED:</w:t>
      </w:r>
      <w:r w:rsidRPr="001E6403">
        <w:rPr>
          <w:rStyle w:val="null1"/>
          <w:rFonts w:ascii="Helvetica" w:hAnsi="Helvetica" w:cs="Helvetica"/>
          <w:b/>
          <w:bCs/>
          <w:color w:val="333333"/>
          <w:shd w:val="clear" w:color="auto" w:fill="FFFFFF"/>
        </w:rPr>
        <w:t xml:space="preserve"> ‘’</w:t>
      </w:r>
      <w:r w:rsidRPr="001E6403">
        <w:rPr>
          <w:rStyle w:val="null1"/>
          <w:rFonts w:ascii="Helvetica" w:hAnsi="Helvetica" w:cs="Helvetica"/>
          <w:b/>
          <w:bCs/>
          <w:color w:val="333333"/>
          <w:shd w:val="clear" w:color="auto" w:fill="FFFFFF"/>
        </w:rPr>
        <w:t xml:space="preserve">Collecting expenditure data is useful and admirable. It may be worth considering if the 4,000+ required number of submissions can be reduced by a threshold dollar amount or percentage of total award rather than requiring data from all </w:t>
      </w:r>
      <w:proofErr w:type="spellStart"/>
      <w:r w:rsidRPr="001E6403">
        <w:rPr>
          <w:rStyle w:val="null1"/>
          <w:rFonts w:ascii="Helvetica" w:hAnsi="Helvetica" w:cs="Helvetica"/>
          <w:b/>
          <w:bCs/>
          <w:color w:val="333333"/>
          <w:shd w:val="clear" w:color="auto" w:fill="FFFFFF"/>
        </w:rPr>
        <w:t>subrecipients</w:t>
      </w:r>
      <w:proofErr w:type="spellEnd"/>
      <w:r w:rsidRPr="001E6403">
        <w:rPr>
          <w:rStyle w:val="null1"/>
          <w:rFonts w:ascii="Helvetica" w:hAnsi="Helvetica" w:cs="Helvetica"/>
          <w:b/>
          <w:bCs/>
          <w:color w:val="333333"/>
          <w:shd w:val="clear" w:color="auto" w:fill="FFFFFF"/>
        </w:rPr>
        <w:t xml:space="preserve">. There should also be a justification for why a grantee having a </w:t>
      </w:r>
      <w:proofErr w:type="spellStart"/>
      <w:r w:rsidRPr="001E6403">
        <w:rPr>
          <w:rStyle w:val="null1"/>
          <w:rFonts w:ascii="Helvetica" w:hAnsi="Helvetica" w:cs="Helvetica"/>
          <w:b/>
          <w:bCs/>
          <w:color w:val="333333"/>
          <w:shd w:val="clear" w:color="auto" w:fill="FFFFFF"/>
        </w:rPr>
        <w:t>subrecipient</w:t>
      </w:r>
      <w:proofErr w:type="spellEnd"/>
      <w:r w:rsidRPr="001E6403">
        <w:rPr>
          <w:rStyle w:val="null1"/>
          <w:rFonts w:ascii="Helvetica" w:hAnsi="Helvetica" w:cs="Helvetica"/>
          <w:b/>
          <w:bCs/>
          <w:color w:val="333333"/>
          <w:shd w:val="clear" w:color="auto" w:fill="FFFFFF"/>
        </w:rPr>
        <w:t xml:space="preserve"> requires additional reporting but not contractual or fee-for-service relationships. It is unclear if the expansion of data collection will require organizations to register for the System for Award Management (SAM) if otherwise not required to. There should be consideration if other federal standards, such as Circular No. A-122, should be incorporated into this data collection to avoid duplication of efforts. The existing data collection also includes definitions that appear needlessly different from USG-wide concepts, such as training, transportation, and travel under 2 CFR 472-474. It should also be considered if these requirements go beyond the Financial and Program Management requirements of OMB Circular A-110.It is also unclear if this proposed collection is in alignment with the rest of the U.S. Department of State. For example, 4 FAH-3 H-631 requires use of the SF-424, which uses completely different financial categories. An important foreign policy issue is “Anti-Corruption and Transparency,” so it should be considered if the proposed financial reporting should be changed to better benefit US interests, such as through alignment of the financial reporting with approaches and definitions of the Financial Accounting Standards Board and/or the World Health Organization’s Global Health Expenditure Database.</w:t>
      </w:r>
      <w:r w:rsidRPr="001E6403">
        <w:rPr>
          <w:rStyle w:val="null1"/>
          <w:rFonts w:ascii="Helvetica" w:hAnsi="Helvetica" w:cs="Helvetica"/>
          <w:b/>
          <w:bCs/>
          <w:color w:val="333333"/>
          <w:shd w:val="clear" w:color="auto" w:fill="FFFFFF"/>
        </w:rPr>
        <w:t>’’</w:t>
      </w:r>
    </w:p>
    <w:p w:rsidR="00A1674A" w:rsidP="00A1674A" w:rsidRDefault="00A1674A" w14:paraId="75416B89" w14:textId="77777777">
      <w:pPr>
        <w:pStyle w:val="null"/>
        <w:shd w:val="clear" w:color="auto" w:fill="FFFFFF"/>
        <w:spacing w:before="0" w:beforeAutospacing="0" w:after="0" w:afterAutospacing="0"/>
      </w:pPr>
      <w:r>
        <w:rPr>
          <w:rStyle w:val="null1"/>
          <w:rFonts w:ascii="Calibri" w:hAnsi="Calibri"/>
          <w:color w:val="000000"/>
        </w:rPr>
        <w:t> </w:t>
      </w:r>
    </w:p>
    <w:p w:rsidRPr="001E6403" w:rsidR="00A1674A" w:rsidP="00A1674A" w:rsidRDefault="00A1674A" w14:paraId="69C74B8C" w14:textId="7F357AE2">
      <w:pPr>
        <w:pStyle w:val="null"/>
        <w:shd w:val="clear" w:color="auto" w:fill="FFFFFF"/>
        <w:spacing w:before="0" w:beforeAutospacing="0" w:after="0" w:afterAutospacing="0"/>
        <w:ind w:left="360"/>
      </w:pPr>
      <w:r w:rsidRPr="001E6403">
        <w:rPr>
          <w:rStyle w:val="null1"/>
          <w:b/>
          <w:color w:val="333333"/>
          <w:u w:val="single"/>
          <w:shd w:val="clear" w:color="auto" w:fill="FFFFFF"/>
        </w:rPr>
        <w:t xml:space="preserve">S/GAC </w:t>
      </w:r>
      <w:r w:rsidRPr="001E6403">
        <w:rPr>
          <w:rStyle w:val="null1"/>
          <w:b/>
          <w:color w:val="333333"/>
          <w:u w:val="single"/>
          <w:shd w:val="clear" w:color="auto" w:fill="FFFFFF"/>
        </w:rPr>
        <w:t>Response</w:t>
      </w:r>
      <w:r w:rsidRPr="001E6403">
        <w:rPr>
          <w:rStyle w:val="null1"/>
          <w:b/>
          <w:color w:val="333333"/>
          <w:shd w:val="clear" w:color="auto" w:fill="FFFFFF"/>
        </w:rPr>
        <w:t>:</w:t>
      </w:r>
      <w:r w:rsidRPr="001E6403">
        <w:rPr>
          <w:rStyle w:val="null1"/>
          <w:color w:val="333333"/>
          <w:shd w:val="clear" w:color="auto" w:fill="FFFFFF"/>
        </w:rPr>
        <w:t xml:space="preserve">  After reviewing the comment, the </w:t>
      </w:r>
      <w:r w:rsidRPr="001E6403">
        <w:rPr>
          <w:rStyle w:val="null1"/>
        </w:rPr>
        <w:t>D</w:t>
      </w:r>
      <w:r w:rsidRPr="001E6403">
        <w:rPr>
          <w:rStyle w:val="null1"/>
          <w:color w:val="333333"/>
          <w:shd w:val="clear" w:color="auto" w:fill="FFFFFF"/>
        </w:rPr>
        <w:t xml:space="preserve">epartment concurs with the initial suggestion in this comment and has decided to create a threshold dollar amount under which </w:t>
      </w:r>
      <w:proofErr w:type="spellStart"/>
      <w:r w:rsidRPr="001E6403">
        <w:rPr>
          <w:rStyle w:val="null1"/>
          <w:color w:val="333333"/>
          <w:shd w:val="clear" w:color="auto" w:fill="FFFFFF"/>
        </w:rPr>
        <w:t>subrecipients</w:t>
      </w:r>
      <w:proofErr w:type="spellEnd"/>
      <w:r w:rsidRPr="001E6403">
        <w:rPr>
          <w:rStyle w:val="null1"/>
          <w:color w:val="333333"/>
          <w:shd w:val="clear" w:color="auto" w:fill="FFFFFF"/>
        </w:rPr>
        <w:t xml:space="preserve"> will not be required to submit a separate expenditure template.  After careful analysis, we have determined that any </w:t>
      </w:r>
      <w:proofErr w:type="spellStart"/>
      <w:r w:rsidRPr="001E6403">
        <w:rPr>
          <w:rStyle w:val="null1"/>
          <w:color w:val="333333"/>
          <w:shd w:val="clear" w:color="auto" w:fill="FFFFFF"/>
        </w:rPr>
        <w:t>subrecipient</w:t>
      </w:r>
      <w:proofErr w:type="spellEnd"/>
      <w:r w:rsidRPr="001E6403">
        <w:rPr>
          <w:rStyle w:val="null1"/>
          <w:color w:val="333333"/>
          <w:shd w:val="clear" w:color="auto" w:fill="FFFFFF"/>
        </w:rPr>
        <w:t xml:space="preserve"> with an annual expenditure of less than $25,000 will not be required to submit a separate template detailing the cost category expenditures for each of their interventions.  Instead, </w:t>
      </w:r>
      <w:proofErr w:type="spellStart"/>
      <w:r w:rsidRPr="001E6403">
        <w:rPr>
          <w:rStyle w:val="null1"/>
          <w:color w:val="333333"/>
          <w:shd w:val="clear" w:color="auto" w:fill="FFFFFF"/>
        </w:rPr>
        <w:t>subrecipients</w:t>
      </w:r>
      <w:proofErr w:type="spellEnd"/>
      <w:r w:rsidRPr="001E6403">
        <w:rPr>
          <w:rStyle w:val="null1"/>
          <w:color w:val="333333"/>
          <w:shd w:val="clear" w:color="auto" w:fill="FFFFFF"/>
        </w:rPr>
        <w:t xml:space="preserve"> with annual expenditures of less </w:t>
      </w:r>
      <w:proofErr w:type="spellStart"/>
      <w:r w:rsidRPr="001E6403">
        <w:rPr>
          <w:rStyle w:val="null1"/>
          <w:color w:val="333333"/>
          <w:shd w:val="clear" w:color="auto" w:fill="FFFFFF"/>
        </w:rPr>
        <w:t>that</w:t>
      </w:r>
      <w:proofErr w:type="spellEnd"/>
      <w:r w:rsidRPr="001E6403">
        <w:rPr>
          <w:rStyle w:val="null1"/>
          <w:color w:val="333333"/>
          <w:shd w:val="clear" w:color="auto" w:fill="FFFFFF"/>
        </w:rPr>
        <w:t xml:space="preserve"> $25,000 will be reported by the prime recipient in the same template that the prime recipient uses to report their expenditures (this would be the same process that was used for reporting </w:t>
      </w:r>
      <w:proofErr w:type="spellStart"/>
      <w:r w:rsidRPr="001E6403">
        <w:rPr>
          <w:rStyle w:val="null1"/>
          <w:color w:val="333333"/>
          <w:shd w:val="clear" w:color="auto" w:fill="FFFFFF"/>
        </w:rPr>
        <w:t>subrecipient</w:t>
      </w:r>
      <w:proofErr w:type="spellEnd"/>
      <w:r w:rsidRPr="001E6403">
        <w:rPr>
          <w:rStyle w:val="null1"/>
          <w:color w:val="333333"/>
          <w:shd w:val="clear" w:color="auto" w:fill="FFFFFF"/>
        </w:rPr>
        <w:t xml:space="preserve"> expenditures in FY19 and FY20).  In taking this approach, we would still account for all dollars expended by all </w:t>
      </w:r>
      <w:proofErr w:type="spellStart"/>
      <w:r w:rsidRPr="001E6403">
        <w:rPr>
          <w:rStyle w:val="null1"/>
          <w:color w:val="333333"/>
          <w:shd w:val="clear" w:color="auto" w:fill="FFFFFF"/>
        </w:rPr>
        <w:t>subrecipients</w:t>
      </w:r>
      <w:proofErr w:type="spellEnd"/>
      <w:r w:rsidRPr="001E6403">
        <w:rPr>
          <w:rStyle w:val="null1"/>
          <w:color w:val="333333"/>
          <w:shd w:val="clear" w:color="auto" w:fill="FFFFFF"/>
        </w:rPr>
        <w:t xml:space="preserve">, however, only </w:t>
      </w:r>
      <w:proofErr w:type="spellStart"/>
      <w:r w:rsidRPr="001E6403">
        <w:rPr>
          <w:rStyle w:val="null1"/>
          <w:color w:val="333333"/>
          <w:shd w:val="clear" w:color="auto" w:fill="FFFFFF"/>
        </w:rPr>
        <w:t>subrecipients</w:t>
      </w:r>
      <w:proofErr w:type="spellEnd"/>
      <w:r w:rsidRPr="001E6403">
        <w:rPr>
          <w:rStyle w:val="null1"/>
          <w:color w:val="333333"/>
          <w:shd w:val="clear" w:color="auto" w:fill="FFFFFF"/>
        </w:rPr>
        <w:t xml:space="preserve"> with expenditures greater than $25,000 during the fiscal year would provide a separate and more detailed expenditure template that provided cost category detail.</w:t>
      </w:r>
    </w:p>
    <w:p w:rsidRPr="001E6403" w:rsidR="00A1674A" w:rsidP="00A1674A" w:rsidRDefault="00A1674A" w14:paraId="1DAA2DED" w14:textId="77777777">
      <w:pPr>
        <w:pStyle w:val="null"/>
        <w:shd w:val="clear" w:color="auto" w:fill="FFFFFF"/>
        <w:spacing w:before="0" w:beforeAutospacing="0" w:after="0" w:afterAutospacing="0"/>
      </w:pPr>
      <w:r w:rsidRPr="001E6403">
        <w:rPr>
          <w:rStyle w:val="null1"/>
          <w:color w:val="000000"/>
        </w:rPr>
        <w:t> </w:t>
      </w:r>
    </w:p>
    <w:p w:rsidRPr="001E6403" w:rsidR="00A1674A" w:rsidP="001E6403" w:rsidRDefault="00A1674A" w14:paraId="24B09E70" w14:textId="77777777">
      <w:pPr>
        <w:pStyle w:val="null"/>
        <w:shd w:val="clear" w:color="auto" w:fill="FFFFFF"/>
        <w:spacing w:before="0" w:beforeAutospacing="0" w:after="0" w:afterAutospacing="0"/>
        <w:ind w:left="360"/>
      </w:pPr>
      <w:r w:rsidRPr="001E6403">
        <w:rPr>
          <w:rStyle w:val="null1"/>
          <w:color w:val="333333"/>
          <w:shd w:val="clear" w:color="auto" w:fill="FFFFFF"/>
        </w:rPr>
        <w:lastRenderedPageBreak/>
        <w:t xml:space="preserve">The general principle of a </w:t>
      </w:r>
      <w:proofErr w:type="spellStart"/>
      <w:r w:rsidRPr="001E6403">
        <w:rPr>
          <w:rStyle w:val="null1"/>
          <w:color w:val="333333"/>
          <w:shd w:val="clear" w:color="auto" w:fill="FFFFFF"/>
        </w:rPr>
        <w:t>subrecipient</w:t>
      </w:r>
      <w:proofErr w:type="spellEnd"/>
      <w:r w:rsidRPr="001E6403">
        <w:rPr>
          <w:rStyle w:val="null1"/>
          <w:color w:val="333333"/>
          <w:shd w:val="clear" w:color="auto" w:fill="FFFFFF"/>
        </w:rPr>
        <w:t xml:space="preserve"> being subject to additional reporting and regulatory requirements beyond what a contractor is subject to, is well established in the CFR, specifically 2 CFR § 200.330, 2 CFR § 200.331, and 2 CFR Part 25.  Contractors are "not subject to compliance requirements of the Federal program as a result of the agreement" whereas </w:t>
      </w:r>
      <w:proofErr w:type="spellStart"/>
      <w:r w:rsidRPr="001E6403">
        <w:rPr>
          <w:rStyle w:val="null1"/>
          <w:color w:val="333333"/>
          <w:shd w:val="clear" w:color="auto" w:fill="FFFFFF"/>
        </w:rPr>
        <w:t>subrecipients</w:t>
      </w:r>
      <w:proofErr w:type="spellEnd"/>
      <w:r w:rsidRPr="001E6403">
        <w:rPr>
          <w:rStyle w:val="null1"/>
          <w:color w:val="333333"/>
          <w:shd w:val="clear" w:color="auto" w:fill="FFFFFF"/>
        </w:rPr>
        <w:t xml:space="preserve"> are "responsible for adherence to applicable Federal program requirements"  The justification for these separate requirements is based on the nature of the work and the relationship with the prime recipient of a federal award.  Specifically, </w:t>
      </w:r>
      <w:proofErr w:type="spellStart"/>
      <w:r w:rsidRPr="001E6403">
        <w:rPr>
          <w:rStyle w:val="null1"/>
          <w:color w:val="333333"/>
          <w:shd w:val="clear" w:color="auto" w:fill="FFFFFF"/>
        </w:rPr>
        <w:t>subrecipients</w:t>
      </w:r>
      <w:proofErr w:type="spellEnd"/>
      <w:r w:rsidRPr="001E6403">
        <w:rPr>
          <w:rStyle w:val="null1"/>
          <w:color w:val="333333"/>
          <w:shd w:val="clear" w:color="auto" w:fill="FFFFFF"/>
        </w:rPr>
        <w:t xml:space="preserve"> have their "performance measured in relation to whether objectives of a Federal program were met," and have "responsibility for programmatic decision making." Contractors, by contrast</w:t>
      </w:r>
      <w:r w:rsidRPr="001E6403">
        <w:rPr>
          <w:rStyle w:val="null1"/>
        </w:rPr>
        <w:t>,</w:t>
      </w:r>
      <w:r w:rsidRPr="001E6403">
        <w:rPr>
          <w:rStyle w:val="null1"/>
          <w:color w:val="333333"/>
          <w:shd w:val="clear" w:color="auto" w:fill="FFFFFF"/>
        </w:rPr>
        <w:t xml:space="preserve"> are not held to these standards.  Thus, since </w:t>
      </w:r>
      <w:proofErr w:type="spellStart"/>
      <w:r w:rsidRPr="001E6403">
        <w:rPr>
          <w:rStyle w:val="null1"/>
          <w:color w:val="333333"/>
          <w:shd w:val="clear" w:color="auto" w:fill="FFFFFF"/>
        </w:rPr>
        <w:t>subrecipients</w:t>
      </w:r>
      <w:proofErr w:type="spellEnd"/>
      <w:r w:rsidRPr="001E6403">
        <w:rPr>
          <w:rStyle w:val="null1"/>
          <w:color w:val="333333"/>
          <w:shd w:val="clear" w:color="auto" w:fill="FFFFFF"/>
        </w:rPr>
        <w:t xml:space="preserve"> are substantially involved in the programmatic work on the award, and share in the responsibility of the completion of the work of the award, PEPFAR believes the </w:t>
      </w:r>
      <w:proofErr w:type="spellStart"/>
      <w:r w:rsidRPr="001E6403">
        <w:rPr>
          <w:rStyle w:val="null1"/>
          <w:color w:val="333333"/>
          <w:shd w:val="clear" w:color="auto" w:fill="FFFFFF"/>
        </w:rPr>
        <w:t>subrecipient</w:t>
      </w:r>
      <w:proofErr w:type="spellEnd"/>
      <w:r w:rsidRPr="001E6403">
        <w:rPr>
          <w:rStyle w:val="null1"/>
          <w:color w:val="333333"/>
          <w:shd w:val="clear" w:color="auto" w:fill="FFFFFF"/>
        </w:rPr>
        <w:t xml:space="preserve"> expenditures are essential to understanding the complete picture of the expenditures that were made to accomplish the programmatic and epidemiological targets and strategies for each award. Additionally, while </w:t>
      </w:r>
      <w:proofErr w:type="spellStart"/>
      <w:r w:rsidRPr="001E6403">
        <w:rPr>
          <w:rStyle w:val="null1"/>
          <w:color w:val="333333"/>
          <w:shd w:val="clear" w:color="auto" w:fill="FFFFFF"/>
        </w:rPr>
        <w:t>subrecipients</w:t>
      </w:r>
      <w:proofErr w:type="spellEnd"/>
      <w:r w:rsidRPr="001E6403">
        <w:rPr>
          <w:rStyle w:val="null1"/>
          <w:color w:val="333333"/>
          <w:shd w:val="clear" w:color="auto" w:fill="FFFFFF"/>
        </w:rPr>
        <w:t xml:space="preserve"> are not disaggregated further in the cost categories, contractors are.  Currently, there are three sub cost categories under contractors which provide additional detail around the nature of the expenditure.  The three cost categories are: contracted healthcare workers, contracted interventions, and other.  The other contractor category is indeed opaque, but it accounts for less tha</w:t>
      </w:r>
      <w:r w:rsidRPr="001E6403">
        <w:rPr>
          <w:rStyle w:val="null1"/>
        </w:rPr>
        <w:t>n</w:t>
      </w:r>
      <w:r w:rsidRPr="001E6403">
        <w:rPr>
          <w:rStyle w:val="null1"/>
          <w:color w:val="333333"/>
          <w:shd w:val="clear" w:color="auto" w:fill="FFFFFF"/>
        </w:rPr>
        <w:t xml:space="preserve"> 8% of all spending, whereas </w:t>
      </w:r>
      <w:proofErr w:type="spellStart"/>
      <w:r w:rsidRPr="001E6403">
        <w:rPr>
          <w:rStyle w:val="null1"/>
          <w:color w:val="333333"/>
          <w:shd w:val="clear" w:color="auto" w:fill="FFFFFF"/>
        </w:rPr>
        <w:t>subrecipients</w:t>
      </w:r>
      <w:proofErr w:type="spellEnd"/>
      <w:r w:rsidRPr="001E6403">
        <w:rPr>
          <w:rStyle w:val="null1"/>
          <w:color w:val="333333"/>
          <w:shd w:val="clear" w:color="auto" w:fill="FFFFFF"/>
        </w:rPr>
        <w:t xml:space="preserve"> account for between 17-18%.  For all of these reasons, it is critically important that we get additional detail on </w:t>
      </w:r>
      <w:proofErr w:type="spellStart"/>
      <w:r w:rsidRPr="001E6403">
        <w:rPr>
          <w:rStyle w:val="null1"/>
          <w:color w:val="333333"/>
          <w:shd w:val="clear" w:color="auto" w:fill="FFFFFF"/>
        </w:rPr>
        <w:t>subrecipients</w:t>
      </w:r>
      <w:proofErr w:type="spellEnd"/>
      <w:r w:rsidRPr="001E6403">
        <w:rPr>
          <w:rStyle w:val="null1"/>
          <w:color w:val="333333"/>
          <w:shd w:val="clear" w:color="auto" w:fill="FFFFFF"/>
        </w:rPr>
        <w:t>.</w:t>
      </w:r>
    </w:p>
    <w:p w:rsidRPr="001E6403" w:rsidR="00A1674A" w:rsidP="001E6403" w:rsidRDefault="00A1674A" w14:paraId="26BAF127" w14:textId="77777777">
      <w:pPr>
        <w:pStyle w:val="null"/>
        <w:shd w:val="clear" w:color="auto" w:fill="FFFFFF"/>
        <w:spacing w:before="0" w:beforeAutospacing="0" w:after="0" w:afterAutospacing="0"/>
        <w:ind w:left="360"/>
      </w:pPr>
      <w:r w:rsidRPr="001E6403">
        <w:rPr>
          <w:rStyle w:val="null1"/>
          <w:color w:val="333333"/>
          <w:shd w:val="clear" w:color="auto" w:fill="FFFFFF"/>
        </w:rPr>
        <w:t> </w:t>
      </w:r>
    </w:p>
    <w:p w:rsidRPr="001E6403" w:rsidR="00A1674A" w:rsidP="001E6403" w:rsidRDefault="00A1674A" w14:paraId="6CC21D10" w14:textId="77777777">
      <w:pPr>
        <w:pStyle w:val="null"/>
        <w:shd w:val="clear" w:color="auto" w:fill="FFFFFF"/>
        <w:spacing w:before="0" w:beforeAutospacing="0" w:after="0" w:afterAutospacing="0"/>
        <w:ind w:left="360"/>
      </w:pPr>
      <w:r w:rsidRPr="001E6403">
        <w:rPr>
          <w:rStyle w:val="null1"/>
          <w:color w:val="333333"/>
          <w:shd w:val="clear" w:color="auto" w:fill="FFFFFF"/>
        </w:rPr>
        <w:t xml:space="preserve">This process would not require any organization-either a Prime or Sub award recipient- who is not already required to register at SAM to do so.  According to 2 CFR </w:t>
      </w:r>
      <w:r w:rsidRPr="001E6403">
        <w:rPr>
          <w:rStyle w:val="null1"/>
        </w:rPr>
        <w:t>Part</w:t>
      </w:r>
      <w:r w:rsidRPr="001E6403">
        <w:rPr>
          <w:rStyle w:val="null1"/>
          <w:shd w:val="clear" w:color="auto" w:fill="FFFFFF"/>
        </w:rPr>
        <w:t xml:space="preserve"> </w:t>
      </w:r>
      <w:r w:rsidRPr="001E6403">
        <w:rPr>
          <w:rStyle w:val="null1"/>
          <w:color w:val="333333"/>
          <w:shd w:val="clear" w:color="auto" w:fill="FFFFFF"/>
        </w:rPr>
        <w:t xml:space="preserve">25, all entities applying for or receiving federal awards, including </w:t>
      </w:r>
      <w:proofErr w:type="spellStart"/>
      <w:r w:rsidRPr="001E6403">
        <w:rPr>
          <w:rStyle w:val="null1"/>
          <w:color w:val="333333"/>
          <w:shd w:val="clear" w:color="auto" w:fill="FFFFFF"/>
        </w:rPr>
        <w:t>subrecipients</w:t>
      </w:r>
      <w:proofErr w:type="spellEnd"/>
      <w:r w:rsidRPr="001E6403">
        <w:rPr>
          <w:rStyle w:val="null1"/>
          <w:color w:val="333333"/>
          <w:shd w:val="clear" w:color="auto" w:fill="FFFFFF"/>
        </w:rPr>
        <w:t>, must register in SAM, however there are certain situation where some organizations may be exempt from this requirement. Specifically, </w:t>
      </w:r>
      <w:r w:rsidRPr="001E6403">
        <w:rPr>
          <w:rStyle w:val="null1"/>
          <w:shd w:val="clear" w:color="auto" w:fill="FFFFFF"/>
        </w:rPr>
        <w:t xml:space="preserve">a </w:t>
      </w:r>
      <w:r w:rsidRPr="001E6403">
        <w:rPr>
          <w:rStyle w:val="null1"/>
          <w:color w:val="333333"/>
          <w:shd w:val="clear" w:color="auto" w:fill="FFFFFF"/>
        </w:rPr>
        <w:t xml:space="preserve">foreign entity applying for or receiving an award or </w:t>
      </w:r>
      <w:proofErr w:type="spellStart"/>
      <w:r w:rsidRPr="001E6403">
        <w:rPr>
          <w:rStyle w:val="null1"/>
          <w:color w:val="333333"/>
          <w:shd w:val="clear" w:color="auto" w:fill="FFFFFF"/>
        </w:rPr>
        <w:t>subaward</w:t>
      </w:r>
      <w:proofErr w:type="spellEnd"/>
      <w:r w:rsidRPr="001E6403">
        <w:rPr>
          <w:rStyle w:val="null1"/>
          <w:color w:val="333333"/>
          <w:shd w:val="clear" w:color="auto" w:fill="FFFFFF"/>
        </w:rPr>
        <w:t xml:space="preserve"> for a project or program outside the United States valued at less than $25,000 may be exempt from this requirement.  This collection would apply these same standards in determining which entities were required to register on Sam.gov and would make no additional requirements.</w:t>
      </w:r>
    </w:p>
    <w:p w:rsidRPr="001E6403" w:rsidR="00A1674A" w:rsidP="00A1674A" w:rsidRDefault="00A1674A" w14:paraId="6DE1DBFB" w14:textId="77777777">
      <w:pPr>
        <w:pStyle w:val="null"/>
        <w:shd w:val="clear" w:color="auto" w:fill="FFFFFF"/>
        <w:spacing w:before="0" w:beforeAutospacing="0" w:after="0" w:afterAutospacing="0"/>
      </w:pPr>
      <w:r w:rsidRPr="001E6403">
        <w:rPr>
          <w:rStyle w:val="null1"/>
          <w:color w:val="000000"/>
        </w:rPr>
        <w:t> </w:t>
      </w:r>
    </w:p>
    <w:p w:rsidRPr="001E6403" w:rsidR="00A1674A" w:rsidP="001E6403" w:rsidRDefault="00A1674A" w14:paraId="0CC11F0D" w14:textId="648B930D">
      <w:pPr>
        <w:pStyle w:val="null"/>
        <w:shd w:val="clear" w:color="auto" w:fill="FFFFFF"/>
        <w:spacing w:before="0" w:beforeAutospacing="0" w:after="0" w:afterAutospacing="0"/>
        <w:ind w:left="360"/>
      </w:pPr>
      <w:r w:rsidRPr="001E6403">
        <w:rPr>
          <w:rStyle w:val="null1"/>
          <w:color w:val="333333"/>
          <w:shd w:val="clear" w:color="auto" w:fill="FFFFFF"/>
        </w:rPr>
        <w:t>Circular A-122 as well as Circular A-21 were reviewed in the development of this proposal, and in the original expenditure reporting proposal, and we agree that all federal standards and cost principles outlined in these circulars as well as those outlin</w:t>
      </w:r>
      <w:r w:rsidRPr="001E6403">
        <w:rPr>
          <w:rStyle w:val="null1"/>
          <w:color w:val="333333"/>
          <w:shd w:val="clear" w:color="auto" w:fill="FFFFFF"/>
        </w:rPr>
        <w:t xml:space="preserve">ed in 2 CFR Subpart E should be </w:t>
      </w:r>
      <w:r w:rsidRPr="001E6403">
        <w:rPr>
          <w:rStyle w:val="null1"/>
          <w:color w:val="333333"/>
          <w:shd w:val="clear" w:color="auto" w:fill="FFFFFF"/>
        </w:rPr>
        <w:t xml:space="preserve">followed in the PEPFAR expenditure reporting process.  Indeed, in our current Expenditure Reporting instructions to implementing partners, it states: "All submissions should comply with federal cost regulations, as outlined in Part 200, Subpart E of the Code of Federal Regulations. This section of the CFR describes cost principles for non-federal entities receiving federal awards, including cost principles related to the classification of direct and indirect costs, the </w:t>
      </w:r>
      <w:proofErr w:type="spellStart"/>
      <w:r w:rsidRPr="001E6403">
        <w:rPr>
          <w:rStyle w:val="null1"/>
          <w:color w:val="333333"/>
          <w:shd w:val="clear" w:color="auto" w:fill="FFFFFF"/>
        </w:rPr>
        <w:t>allowability</w:t>
      </w:r>
      <w:proofErr w:type="spellEnd"/>
      <w:r w:rsidRPr="001E6403">
        <w:rPr>
          <w:rStyle w:val="null1"/>
          <w:color w:val="333333"/>
          <w:shd w:val="clear" w:color="auto" w:fill="FFFFFF"/>
        </w:rPr>
        <w:t xml:space="preserve">, reasonability and </w:t>
      </w:r>
      <w:proofErr w:type="spellStart"/>
      <w:r w:rsidRPr="001E6403">
        <w:rPr>
          <w:rStyle w:val="null1"/>
          <w:color w:val="333333"/>
          <w:shd w:val="clear" w:color="auto" w:fill="FFFFFF"/>
        </w:rPr>
        <w:t>allocability</w:t>
      </w:r>
      <w:proofErr w:type="spellEnd"/>
      <w:r w:rsidRPr="001E6403">
        <w:rPr>
          <w:rStyle w:val="null1"/>
          <w:color w:val="333333"/>
          <w:shd w:val="clear" w:color="auto" w:fill="FFFFFF"/>
        </w:rPr>
        <w:t xml:space="preserve"> of costs, as well as other cost principles."  Going forward, we will expand this statement to specifically reference the relevant circulars and reaffirm our commitment to partners following these directives.</w:t>
      </w:r>
    </w:p>
    <w:p w:rsidRPr="001E6403" w:rsidR="00A1674A" w:rsidP="00A1674A" w:rsidRDefault="00A1674A" w14:paraId="67D0FABB" w14:textId="77777777">
      <w:pPr>
        <w:pStyle w:val="null"/>
        <w:shd w:val="clear" w:color="auto" w:fill="FFFFFF"/>
        <w:spacing w:before="0" w:beforeAutospacing="0" w:after="0" w:afterAutospacing="0"/>
      </w:pPr>
      <w:r w:rsidRPr="001E6403">
        <w:rPr>
          <w:rStyle w:val="null1"/>
          <w:color w:val="000000"/>
        </w:rPr>
        <w:t> </w:t>
      </w:r>
    </w:p>
    <w:p w:rsidRPr="001E6403" w:rsidR="00A1674A" w:rsidP="001E6403" w:rsidRDefault="00A1674A" w14:paraId="572FBCF0" w14:textId="77777777">
      <w:pPr>
        <w:pStyle w:val="null"/>
        <w:shd w:val="clear" w:color="auto" w:fill="FFFFFF"/>
        <w:spacing w:before="0" w:beforeAutospacing="0" w:after="0" w:afterAutospacing="0"/>
        <w:ind w:left="360"/>
      </w:pPr>
      <w:r w:rsidRPr="001E6403">
        <w:rPr>
          <w:rStyle w:val="null1"/>
          <w:color w:val="333333"/>
          <w:shd w:val="clear" w:color="auto" w:fill="FFFFFF"/>
        </w:rPr>
        <w:t xml:space="preserve">The cost categories/object classes utilized in expenditure reporting are designed to align as closely as possible with the object classes utilized in the standardized SF424a </w:t>
      </w:r>
      <w:r w:rsidRPr="001E6403">
        <w:rPr>
          <w:rStyle w:val="null1"/>
          <w:color w:val="333333"/>
          <w:shd w:val="clear" w:color="auto" w:fill="FFFFFF"/>
        </w:rPr>
        <w:lastRenderedPageBreak/>
        <w:t>form.  However, as is customary in many agencies and government programs, PEPFAR has slightly modified the standardized object classes to enable additional detail and visibility into the cost categories that are especially relevant for understanding how spending aligns to the unique programmatic work of our program and organization.  By adding the object class of trainings, a critical cost for PEPFAR and one that is essential to understanding the strategy and programmatic approach taken by our implementing partners, and in adding customized disaggregates to travel and transportation, we enable greater transparency and accountability in tracking our program spending.  Indeed, some of these modifications are already utilized by some of our implementing agencies in their agency-specific budget reporting requirements.  Finally, these specialized cost categories have been utilized for the last three years in PEPFAR expenditure reporting, and thus PEPFAR partners are already using them and changing them would actually require additional work to accommodate new requirements on behalf of our partner organizations.</w:t>
      </w:r>
    </w:p>
    <w:p w:rsidRPr="001E6403" w:rsidR="00A1674A" w:rsidP="001E6403" w:rsidRDefault="00A1674A" w14:paraId="5D701755" w14:textId="77777777">
      <w:pPr>
        <w:pStyle w:val="null"/>
        <w:shd w:val="clear" w:color="auto" w:fill="FFFFFF"/>
        <w:spacing w:before="0" w:beforeAutospacing="0" w:after="0" w:afterAutospacing="0"/>
        <w:ind w:left="360"/>
      </w:pPr>
      <w:r w:rsidRPr="001E6403">
        <w:rPr>
          <w:rStyle w:val="null1"/>
          <w:color w:val="000000"/>
        </w:rPr>
        <w:t> </w:t>
      </w:r>
    </w:p>
    <w:p w:rsidRPr="001E6403" w:rsidR="00A1674A" w:rsidP="001E6403" w:rsidRDefault="00A1674A" w14:paraId="303BF10B" w14:textId="77777777">
      <w:pPr>
        <w:pStyle w:val="null"/>
        <w:shd w:val="clear" w:color="auto" w:fill="FFFFFF"/>
        <w:spacing w:before="0" w:beforeAutospacing="0" w:after="0" w:afterAutospacing="0"/>
        <w:ind w:left="360"/>
      </w:pPr>
      <w:r w:rsidRPr="001E6403">
        <w:rPr>
          <w:rStyle w:val="null1"/>
          <w:color w:val="000000"/>
        </w:rPr>
        <w:t>We have reviewed the OMB Circular A-110 and do not believe there are any inconsistencies with this collection.</w:t>
      </w:r>
    </w:p>
    <w:p w:rsidRPr="001E6403" w:rsidR="00A1674A" w:rsidP="001E6403" w:rsidRDefault="00A1674A" w14:paraId="069B12AF" w14:textId="77777777">
      <w:pPr>
        <w:pStyle w:val="null"/>
        <w:shd w:val="clear" w:color="auto" w:fill="FFFFFF"/>
        <w:spacing w:before="0" w:beforeAutospacing="0" w:after="0" w:afterAutospacing="0"/>
        <w:ind w:left="360"/>
      </w:pPr>
      <w:r w:rsidRPr="001E6403">
        <w:rPr>
          <w:rStyle w:val="null1"/>
          <w:color w:val="000000"/>
        </w:rPr>
        <w:t> </w:t>
      </w:r>
    </w:p>
    <w:p w:rsidRPr="001E6403" w:rsidR="00A1674A" w:rsidP="001E6403" w:rsidRDefault="00A1674A" w14:paraId="06287555" w14:textId="77777777">
      <w:pPr>
        <w:pStyle w:val="null"/>
        <w:shd w:val="clear" w:color="auto" w:fill="FFFFFF"/>
        <w:spacing w:before="0" w:beforeAutospacing="0" w:after="0" w:afterAutospacing="0"/>
        <w:ind w:left="360"/>
      </w:pPr>
      <w:r w:rsidRPr="001E6403">
        <w:rPr>
          <w:rStyle w:val="null1"/>
          <w:color w:val="333333"/>
          <w:shd w:val="clear" w:color="auto" w:fill="FFFFFF"/>
        </w:rPr>
        <w:t xml:space="preserve">The 4 FAH-3 H-631 establishes principles for accounting when the </w:t>
      </w:r>
      <w:r w:rsidRPr="001E6403">
        <w:rPr>
          <w:rStyle w:val="null1"/>
        </w:rPr>
        <w:t>D</w:t>
      </w:r>
      <w:r w:rsidRPr="001E6403">
        <w:rPr>
          <w:rStyle w:val="null1"/>
          <w:color w:val="333333"/>
        </w:rPr>
        <w:t>epartment of State</w:t>
      </w:r>
      <w:r w:rsidRPr="001E6403">
        <w:rPr>
          <w:rStyle w:val="null1"/>
          <w:color w:val="333333"/>
          <w:shd w:val="clear" w:color="auto" w:fill="FFFFFF"/>
        </w:rPr>
        <w:t xml:space="preserve"> is the awarding agency.  In most cases, in PEPFAR's expenditure reporting, the </w:t>
      </w:r>
      <w:r w:rsidRPr="001E6403">
        <w:rPr>
          <w:rStyle w:val="null1"/>
        </w:rPr>
        <w:t>D</w:t>
      </w:r>
      <w:r w:rsidRPr="001E6403">
        <w:rPr>
          <w:rStyle w:val="null1"/>
          <w:color w:val="333333"/>
        </w:rPr>
        <w:t>epartment of state</w:t>
      </w:r>
      <w:r w:rsidRPr="001E6403">
        <w:rPr>
          <w:rStyle w:val="null1"/>
          <w:color w:val="333333"/>
          <w:shd w:val="clear" w:color="auto" w:fill="FFFFFF"/>
        </w:rPr>
        <w:t xml:space="preserve"> is not the awarding agency, and thus the principles stated in that document would not apply.  For those awards where the Department of State is the awarding agency, the 4 FAH-3 H-361 states: </w:t>
      </w:r>
      <w:r w:rsidRPr="001E6403">
        <w:rPr>
          <w:rStyle w:val="null1"/>
          <w:color w:val="333333"/>
        </w:rPr>
        <w:t> "Offices and bureaus will require that applicants use the Form SF-424, Application for Federal Assistance, or alternative forms approved by the Office of Management and Budget (OMB) when applying for grants and cooperative agreements."  The decision about whether to require the SF-424 form, or other alternative forms, would be made by the Department of State contracting officer, as deemed appropriate for each award.</w:t>
      </w:r>
    </w:p>
    <w:p w:rsidRPr="001E6403" w:rsidR="00A1674A" w:rsidP="001E6403" w:rsidRDefault="00A1674A" w14:paraId="5929E25E" w14:textId="77777777">
      <w:pPr>
        <w:pStyle w:val="null"/>
        <w:shd w:val="clear" w:color="auto" w:fill="FFFFFF"/>
        <w:spacing w:before="0" w:beforeAutospacing="0" w:after="0" w:afterAutospacing="0"/>
        <w:ind w:left="360"/>
      </w:pPr>
      <w:r w:rsidRPr="001E6403">
        <w:rPr>
          <w:rStyle w:val="null1"/>
          <w:color w:val="000000"/>
        </w:rPr>
        <w:t> </w:t>
      </w:r>
    </w:p>
    <w:p w:rsidRPr="001E6403" w:rsidR="00A1674A" w:rsidP="001E6403" w:rsidRDefault="00A1674A" w14:paraId="36DE1B99" w14:textId="77777777">
      <w:pPr>
        <w:pStyle w:val="null"/>
        <w:shd w:val="clear" w:color="auto" w:fill="FFFFFF"/>
        <w:spacing w:before="0" w:beforeAutospacing="0" w:after="0" w:afterAutospacing="0"/>
        <w:ind w:left="360"/>
      </w:pPr>
      <w:r w:rsidRPr="001E6403">
        <w:rPr>
          <w:rStyle w:val="null1"/>
          <w:color w:val="333333"/>
          <w:shd w:val="clear" w:color="auto" w:fill="FFFFFF"/>
        </w:rPr>
        <w:t>Finally, an extensive alignment process was undertaken with the global fund and other key players in the HIV response when defining the PEPFAR financial classifications.  The financial classifications were intended to provide a standardized set of HIV-specific reporting classifications that would best enable programmatic understanding and analysis of the effectiveness of PEPFAR's epidemic response.</w:t>
      </w:r>
    </w:p>
    <w:p w:rsidR="00A1674A" w:rsidP="00EB2598" w:rsidRDefault="00A1674A" w14:paraId="41F86592" w14:textId="30DB7B63">
      <w:pPr>
        <w:spacing w:after="120" w:line="240" w:lineRule="auto"/>
        <w:ind w:left="360"/>
        <w:rPr>
          <w:rFonts w:ascii="Times New Roman" w:hAnsi="Times New Roman" w:eastAsia="Times New Roman" w:cs="Times New Roman"/>
          <w:bCs/>
          <w:szCs w:val="24"/>
        </w:rPr>
      </w:pPr>
    </w:p>
    <w:p w:rsidR="001E6403" w:rsidP="00EB2598" w:rsidRDefault="001E6403" w14:paraId="6F1958CF" w14:textId="77777777">
      <w:pPr>
        <w:spacing w:after="120" w:line="240" w:lineRule="auto"/>
        <w:ind w:left="360"/>
        <w:rPr>
          <w:rFonts w:ascii="Times New Roman" w:hAnsi="Times New Roman" w:eastAsia="Times New Roman" w:cs="Times New Roman"/>
          <w:bCs/>
          <w:szCs w:val="24"/>
        </w:rPr>
      </w:pPr>
      <w:bookmarkStart w:name="_GoBack" w:id="0"/>
      <w:bookmarkEnd w:id="0"/>
    </w:p>
    <w:p w:rsidRPr="00BC12A8" w:rsidR="00EB2598" w:rsidP="00EB2598" w:rsidRDefault="00EB2598" w14:paraId="1FEDFCD4" w14:textId="77777777">
      <w:pPr>
        <w:numPr>
          <w:ilvl w:val="0"/>
          <w:numId w:val="1"/>
        </w:numPr>
        <w:spacing w:after="120" w:line="240" w:lineRule="auto"/>
        <w:rPr>
          <w:rFonts w:ascii="Times New Roman" w:hAnsi="Times New Roman" w:eastAsia="Times New Roman" w:cs="Times New Roman"/>
          <w:bCs/>
          <w:i/>
          <w:szCs w:val="24"/>
        </w:rPr>
      </w:pPr>
      <w:r w:rsidRPr="00BC12A8">
        <w:rPr>
          <w:rFonts w:ascii="Times New Roman" w:hAnsi="Times New Roman" w:eastAsia="Times New Roman" w:cs="Times New Roman"/>
          <w:bCs/>
          <w:i/>
          <w:szCs w:val="24"/>
        </w:rPr>
        <w:t>Are payments or gifts given to the respondents?</w:t>
      </w:r>
    </w:p>
    <w:p w:rsidRPr="00BC12A8" w:rsidR="008655CE" w:rsidP="00C63FC2" w:rsidRDefault="00954864" w14:paraId="350B05D6" w14:textId="1D0D53B7">
      <w:pPr>
        <w:spacing w:after="120" w:line="240" w:lineRule="auto"/>
        <w:ind w:left="360"/>
        <w:rPr>
          <w:rFonts w:ascii="Times New Roman" w:hAnsi="Times New Roman" w:eastAsia="Times New Roman" w:cs="Times New Roman"/>
          <w:bCs/>
          <w:i/>
          <w:szCs w:val="24"/>
        </w:rPr>
      </w:pPr>
      <w:r w:rsidRPr="00BC12A8">
        <w:rPr>
          <w:rFonts w:ascii="Times New Roman" w:hAnsi="Times New Roman" w:eastAsia="Times New Roman" w:cs="Times New Roman"/>
          <w:bCs/>
          <w:szCs w:val="24"/>
        </w:rPr>
        <w:t>There are no payments or gifts provided to respondents.</w:t>
      </w:r>
    </w:p>
    <w:p w:rsidRPr="00BC12A8" w:rsidR="00C63FC2" w:rsidP="00C63FC2" w:rsidRDefault="00C63FC2" w14:paraId="23515F29" w14:textId="77777777">
      <w:pPr>
        <w:spacing w:after="120" w:line="240" w:lineRule="auto"/>
        <w:ind w:left="360"/>
        <w:rPr>
          <w:rFonts w:ascii="Times New Roman" w:hAnsi="Times New Roman" w:eastAsia="Times New Roman" w:cs="Times New Roman"/>
          <w:bCs/>
          <w:i/>
          <w:szCs w:val="24"/>
        </w:rPr>
      </w:pPr>
    </w:p>
    <w:p w:rsidRPr="00BC12A8" w:rsidR="00EB2598" w:rsidP="00EB2598" w:rsidRDefault="00EB2598" w14:paraId="5EBE9345" w14:textId="4315C3F2">
      <w:pPr>
        <w:numPr>
          <w:ilvl w:val="0"/>
          <w:numId w:val="1"/>
        </w:numPr>
        <w:spacing w:after="120" w:line="240" w:lineRule="auto"/>
        <w:rPr>
          <w:rFonts w:ascii="Times New Roman" w:hAnsi="Times New Roman" w:eastAsia="Times New Roman" w:cs="Times New Roman"/>
          <w:bCs/>
          <w:i/>
          <w:szCs w:val="24"/>
        </w:rPr>
      </w:pPr>
      <w:r w:rsidRPr="00BC12A8">
        <w:rPr>
          <w:rFonts w:ascii="Times New Roman" w:hAnsi="Times New Roman" w:eastAsia="Times New Roman" w:cs="Times New Roman"/>
          <w:bCs/>
          <w:i/>
          <w:szCs w:val="24"/>
        </w:rPr>
        <w:t xml:space="preserve"> Describe assurances of privacy/confidentiality</w:t>
      </w:r>
    </w:p>
    <w:p w:rsidRPr="00BC12A8" w:rsidR="00954864" w:rsidP="008655CE" w:rsidRDefault="00110A23" w14:paraId="1272E061" w14:textId="75CF0FEE">
      <w:pPr>
        <w:spacing w:after="120" w:line="240" w:lineRule="auto"/>
        <w:ind w:left="360"/>
        <w:contextualSpacing/>
        <w:rPr>
          <w:rFonts w:ascii="Times New Roman" w:hAnsi="Times New Roman" w:eastAsia="Times New Roman" w:cs="Times New Roman"/>
          <w:bCs/>
          <w:szCs w:val="24"/>
        </w:rPr>
      </w:pPr>
      <w:r w:rsidRPr="00BC12A8">
        <w:rPr>
          <w:rFonts w:ascii="Times New Roman" w:hAnsi="Times New Roman" w:eastAsia="Times New Roman" w:cs="Times New Roman"/>
          <w:bCs/>
          <w:szCs w:val="24"/>
        </w:rPr>
        <w:t>T</w:t>
      </w:r>
      <w:r w:rsidRPr="00BC12A8" w:rsidR="00954864">
        <w:rPr>
          <w:rFonts w:ascii="Times New Roman" w:hAnsi="Times New Roman" w:eastAsia="Times New Roman" w:cs="Times New Roman"/>
          <w:bCs/>
          <w:szCs w:val="24"/>
        </w:rPr>
        <w:t xml:space="preserve">here have been no assurances of confidentiality provided to respondents.  </w:t>
      </w:r>
    </w:p>
    <w:p w:rsidRPr="00BC12A8" w:rsidR="008655CE" w:rsidP="008655CE" w:rsidRDefault="008655CE" w14:paraId="4F2A822B" w14:textId="77777777">
      <w:pPr>
        <w:spacing w:after="120" w:line="240" w:lineRule="auto"/>
        <w:ind w:left="360"/>
        <w:contextualSpacing/>
        <w:rPr>
          <w:rFonts w:ascii="Times New Roman" w:hAnsi="Times New Roman" w:eastAsia="Times New Roman" w:cs="Times New Roman"/>
          <w:bCs/>
          <w:szCs w:val="24"/>
        </w:rPr>
      </w:pPr>
    </w:p>
    <w:p w:rsidRPr="00BC12A8" w:rsidR="00EB2598" w:rsidP="00EB2598" w:rsidRDefault="00EB2598" w14:paraId="7942E920" w14:textId="77777777">
      <w:pPr>
        <w:numPr>
          <w:ilvl w:val="0"/>
          <w:numId w:val="1"/>
        </w:numPr>
        <w:spacing w:after="120" w:line="240" w:lineRule="auto"/>
        <w:rPr>
          <w:rFonts w:ascii="Times New Roman" w:hAnsi="Times New Roman" w:eastAsia="Times New Roman" w:cs="Times New Roman"/>
          <w:bCs/>
          <w:i/>
          <w:szCs w:val="24"/>
        </w:rPr>
      </w:pPr>
      <w:r w:rsidRPr="00BC12A8">
        <w:rPr>
          <w:rFonts w:ascii="Times New Roman" w:hAnsi="Times New Roman" w:eastAsia="Times New Roman" w:cs="Times New Roman"/>
          <w:bCs/>
          <w:i/>
          <w:szCs w:val="24"/>
        </w:rPr>
        <w:t xml:space="preserve"> Are any questions of a sensitive nature asked?</w:t>
      </w:r>
    </w:p>
    <w:p w:rsidRPr="00BC12A8" w:rsidR="00EB2598" w:rsidP="00EB2598" w:rsidRDefault="00954864" w14:paraId="16F66B10" w14:textId="77777777">
      <w:pPr>
        <w:spacing w:after="120" w:line="240" w:lineRule="auto"/>
        <w:ind w:left="360"/>
        <w:rPr>
          <w:rFonts w:ascii="Times New Roman" w:hAnsi="Times New Roman" w:eastAsia="Times New Roman" w:cs="Times New Roman"/>
          <w:bCs/>
          <w:i/>
          <w:szCs w:val="24"/>
        </w:rPr>
      </w:pPr>
      <w:r w:rsidRPr="00BC12A8">
        <w:rPr>
          <w:rFonts w:ascii="Times New Roman" w:hAnsi="Times New Roman" w:eastAsia="Times New Roman" w:cs="Times New Roman"/>
          <w:bCs/>
          <w:szCs w:val="24"/>
        </w:rPr>
        <w:t>There are no questions of a sensitive nature.</w:t>
      </w:r>
    </w:p>
    <w:p w:rsidRPr="00BC12A8" w:rsidR="00824112" w:rsidP="00824112" w:rsidRDefault="00824112" w14:paraId="10C3B5AB" w14:textId="75D264F5">
      <w:pPr>
        <w:rPr>
          <w:rFonts w:ascii="Times New Roman" w:hAnsi="Times New Roman" w:eastAsia="Times New Roman" w:cs="Times New Roman"/>
          <w:bCs/>
          <w:i/>
          <w:szCs w:val="24"/>
        </w:rPr>
      </w:pPr>
    </w:p>
    <w:p w:rsidRPr="00BC12A8" w:rsidR="00A127CF" w:rsidP="00824112" w:rsidRDefault="00A127CF" w14:paraId="237806A3" w14:textId="77777777">
      <w:pPr>
        <w:rPr>
          <w:rFonts w:ascii="Times New Roman" w:hAnsi="Times New Roman" w:eastAsia="Times New Roman" w:cs="Times New Roman"/>
          <w:bCs/>
          <w:i/>
          <w:szCs w:val="24"/>
        </w:rPr>
      </w:pPr>
    </w:p>
    <w:p w:rsidRPr="00BC12A8" w:rsidR="00EB2598" w:rsidP="00824112" w:rsidRDefault="00EB2598" w14:paraId="0675F0CD" w14:textId="53DF314D">
      <w:pPr>
        <w:pStyle w:val="ListParagraph"/>
        <w:numPr>
          <w:ilvl w:val="0"/>
          <w:numId w:val="1"/>
        </w:numPr>
        <w:rPr>
          <w:rFonts w:ascii="Times New Roman" w:hAnsi="Times New Roman" w:eastAsia="Times New Roman" w:cs="Times New Roman"/>
          <w:bCs/>
          <w:i/>
          <w:szCs w:val="24"/>
        </w:rPr>
      </w:pPr>
      <w:r w:rsidRPr="00BC12A8">
        <w:rPr>
          <w:rFonts w:ascii="Times New Roman" w:hAnsi="Times New Roman" w:eastAsia="Times New Roman" w:cs="Times New Roman"/>
          <w:bCs/>
          <w:i/>
          <w:szCs w:val="24"/>
        </w:rPr>
        <w:t xml:space="preserve"> Describe the hour time burden and the hour cost burden on the respondent needed to complete this collection</w:t>
      </w:r>
    </w:p>
    <w:p w:rsidRPr="00C83ED0" w:rsidR="00E62049" w:rsidP="005B3F09" w:rsidRDefault="0072462A" w14:paraId="4CA01C42" w14:textId="65C59759">
      <w:pPr>
        <w:spacing w:after="120" w:line="240" w:lineRule="auto"/>
        <w:ind w:left="360"/>
        <w:rPr>
          <w:rFonts w:ascii="Times New Roman" w:hAnsi="Times New Roman" w:eastAsia="Times New Roman" w:cs="Times New Roman"/>
          <w:bCs/>
          <w:iCs/>
          <w:szCs w:val="24"/>
        </w:rPr>
      </w:pPr>
      <w:r>
        <w:rPr>
          <w:rFonts w:ascii="Times New Roman" w:hAnsi="Times New Roman" w:eastAsia="Times New Roman" w:cs="Times New Roman"/>
          <w:bCs/>
          <w:iCs/>
          <w:szCs w:val="24"/>
        </w:rPr>
        <w:t>E</w:t>
      </w:r>
      <w:r w:rsidRPr="0072462A" w:rsidR="00E62049">
        <w:rPr>
          <w:rFonts w:ascii="Times New Roman" w:hAnsi="Times New Roman" w:eastAsia="Times New Roman" w:cs="Times New Roman"/>
          <w:bCs/>
          <w:iCs/>
          <w:szCs w:val="24"/>
        </w:rPr>
        <w:t xml:space="preserve">xpenditure reporting data is collected from </w:t>
      </w:r>
      <w:r w:rsidRPr="0072462A" w:rsidR="00824112">
        <w:rPr>
          <w:rFonts w:ascii="Times New Roman" w:hAnsi="Times New Roman" w:eastAsia="Times New Roman" w:cs="Times New Roman"/>
          <w:bCs/>
          <w:iCs/>
          <w:szCs w:val="24"/>
        </w:rPr>
        <w:t xml:space="preserve">PEPFAR-funded </w:t>
      </w:r>
      <w:r w:rsidRPr="0072462A" w:rsidR="007C1002">
        <w:rPr>
          <w:rFonts w:ascii="Times New Roman" w:hAnsi="Times New Roman" w:eastAsia="Times New Roman" w:cs="Times New Roman"/>
          <w:bCs/>
          <w:iCs/>
          <w:szCs w:val="24"/>
        </w:rPr>
        <w:t>implementing p</w:t>
      </w:r>
      <w:r w:rsidRPr="0072462A" w:rsidR="00E62049">
        <w:rPr>
          <w:rFonts w:ascii="Times New Roman" w:hAnsi="Times New Roman" w:eastAsia="Times New Roman" w:cs="Times New Roman"/>
          <w:bCs/>
          <w:iCs/>
          <w:szCs w:val="24"/>
        </w:rPr>
        <w:t>artners</w:t>
      </w:r>
      <w:r>
        <w:rPr>
          <w:rFonts w:ascii="Times New Roman" w:hAnsi="Times New Roman" w:eastAsia="Times New Roman" w:cs="Times New Roman"/>
          <w:bCs/>
          <w:iCs/>
          <w:szCs w:val="24"/>
        </w:rPr>
        <w:t xml:space="preserve"> and </w:t>
      </w:r>
      <w:proofErr w:type="spellStart"/>
      <w:r>
        <w:rPr>
          <w:rFonts w:ascii="Times New Roman" w:hAnsi="Times New Roman" w:eastAsia="Times New Roman" w:cs="Times New Roman"/>
          <w:bCs/>
          <w:iCs/>
          <w:szCs w:val="24"/>
        </w:rPr>
        <w:t>subrecipient</w:t>
      </w:r>
      <w:proofErr w:type="spellEnd"/>
      <w:r w:rsidRPr="0072462A" w:rsidR="00824112">
        <w:rPr>
          <w:rFonts w:ascii="Times New Roman" w:hAnsi="Times New Roman" w:eastAsia="Times New Roman" w:cs="Times New Roman"/>
          <w:bCs/>
          <w:iCs/>
          <w:szCs w:val="24"/>
        </w:rPr>
        <w:t xml:space="preserve">. </w:t>
      </w:r>
      <w:r w:rsidRPr="0072462A" w:rsidR="00B64BC0">
        <w:rPr>
          <w:rFonts w:ascii="Times New Roman" w:hAnsi="Times New Roman" w:eastAsia="Times New Roman" w:cs="Times New Roman"/>
          <w:bCs/>
          <w:iCs/>
          <w:szCs w:val="24"/>
        </w:rPr>
        <w:t>Based on the most recent expenditure reporting submissions</w:t>
      </w:r>
      <w:r w:rsidRPr="00BC12A8" w:rsidR="00DA7F85">
        <w:rPr>
          <w:rFonts w:ascii="Times New Roman" w:hAnsi="Times New Roman" w:eastAsia="Times New Roman" w:cs="Times New Roman"/>
          <w:bCs/>
          <w:iCs/>
          <w:szCs w:val="24"/>
        </w:rPr>
        <w:t xml:space="preserve"> </w:t>
      </w:r>
      <w:r w:rsidRPr="00BC12A8" w:rsidR="00E62049">
        <w:rPr>
          <w:rFonts w:ascii="Times New Roman" w:hAnsi="Times New Roman" w:eastAsia="Times New Roman" w:cs="Times New Roman"/>
          <w:bCs/>
          <w:iCs/>
          <w:szCs w:val="24"/>
        </w:rPr>
        <w:t xml:space="preserve">we estimate </w:t>
      </w:r>
      <w:r w:rsidRPr="00BC12A8" w:rsidR="007C1002">
        <w:rPr>
          <w:rFonts w:ascii="Times New Roman" w:hAnsi="Times New Roman" w:eastAsia="Times New Roman" w:cs="Times New Roman"/>
          <w:bCs/>
          <w:iCs/>
          <w:szCs w:val="24"/>
        </w:rPr>
        <w:t>11</w:t>
      </w:r>
      <w:r w:rsidRPr="00BC12A8" w:rsidR="00DD02C7">
        <w:rPr>
          <w:rFonts w:ascii="Times New Roman" w:hAnsi="Times New Roman" w:eastAsia="Times New Roman" w:cs="Times New Roman"/>
          <w:bCs/>
          <w:iCs/>
          <w:szCs w:val="24"/>
        </w:rPr>
        <w:t>00</w:t>
      </w:r>
      <w:r w:rsidRPr="00BC12A8" w:rsidR="00954864">
        <w:rPr>
          <w:rFonts w:ascii="Times New Roman" w:hAnsi="Times New Roman" w:eastAsia="Times New Roman" w:cs="Times New Roman"/>
          <w:bCs/>
          <w:iCs/>
          <w:szCs w:val="24"/>
        </w:rPr>
        <w:t xml:space="preserve"> </w:t>
      </w:r>
      <w:r w:rsidRPr="00BC12A8" w:rsidR="00DA7F85">
        <w:rPr>
          <w:rFonts w:ascii="Times New Roman" w:hAnsi="Times New Roman" w:eastAsia="Times New Roman" w:cs="Times New Roman"/>
          <w:bCs/>
          <w:iCs/>
          <w:szCs w:val="24"/>
        </w:rPr>
        <w:t>implementing partner</w:t>
      </w:r>
      <w:r w:rsidR="001F7F8F">
        <w:rPr>
          <w:rFonts w:ascii="Times New Roman" w:hAnsi="Times New Roman" w:eastAsia="Times New Roman" w:cs="Times New Roman"/>
          <w:bCs/>
          <w:iCs/>
          <w:szCs w:val="24"/>
        </w:rPr>
        <w:t>s</w:t>
      </w:r>
      <w:r w:rsidRPr="00BC12A8" w:rsidR="00DA7F85">
        <w:rPr>
          <w:rFonts w:ascii="Times New Roman" w:hAnsi="Times New Roman" w:eastAsia="Times New Roman" w:cs="Times New Roman"/>
          <w:bCs/>
          <w:iCs/>
          <w:szCs w:val="24"/>
        </w:rPr>
        <w:t xml:space="preserve"> </w:t>
      </w:r>
      <w:r>
        <w:rPr>
          <w:rFonts w:ascii="Times New Roman" w:hAnsi="Times New Roman" w:eastAsia="Times New Roman" w:cs="Times New Roman"/>
          <w:bCs/>
          <w:iCs/>
          <w:szCs w:val="24"/>
        </w:rPr>
        <w:t xml:space="preserve">and 2,945 </w:t>
      </w:r>
      <w:proofErr w:type="spellStart"/>
      <w:r>
        <w:rPr>
          <w:rFonts w:ascii="Times New Roman" w:hAnsi="Times New Roman" w:eastAsia="Times New Roman" w:cs="Times New Roman"/>
          <w:bCs/>
          <w:iCs/>
          <w:szCs w:val="24"/>
        </w:rPr>
        <w:t>subrecipients</w:t>
      </w:r>
      <w:proofErr w:type="spellEnd"/>
      <w:r>
        <w:rPr>
          <w:rFonts w:ascii="Times New Roman" w:hAnsi="Times New Roman" w:eastAsia="Times New Roman" w:cs="Times New Roman"/>
          <w:bCs/>
          <w:iCs/>
          <w:szCs w:val="24"/>
        </w:rPr>
        <w:t xml:space="preserve"> for a total of 4,045 entities </w:t>
      </w:r>
      <w:r w:rsidRPr="0072462A" w:rsidR="00954864">
        <w:rPr>
          <w:rFonts w:ascii="Times New Roman" w:hAnsi="Times New Roman" w:eastAsia="Times New Roman" w:cs="Times New Roman"/>
          <w:bCs/>
          <w:iCs/>
          <w:szCs w:val="24"/>
        </w:rPr>
        <w:t>will respond to this collection</w:t>
      </w:r>
      <w:r w:rsidRPr="00C83ED0" w:rsidR="00954864">
        <w:rPr>
          <w:rFonts w:ascii="Times New Roman" w:hAnsi="Times New Roman" w:eastAsia="Times New Roman" w:cs="Times New Roman"/>
          <w:bCs/>
          <w:iCs/>
          <w:szCs w:val="24"/>
        </w:rPr>
        <w:t xml:space="preserve">.  </w:t>
      </w:r>
    </w:p>
    <w:p w:rsidRPr="00C62D46" w:rsidR="00DD02C7" w:rsidP="005B3F09" w:rsidRDefault="00954864" w14:paraId="1E77C3E9" w14:textId="20B6BFA3">
      <w:pPr>
        <w:spacing w:after="120" w:line="240" w:lineRule="auto"/>
        <w:ind w:left="360"/>
        <w:rPr>
          <w:rFonts w:ascii="Times New Roman" w:hAnsi="Times New Roman" w:eastAsia="Times New Roman" w:cs="Times New Roman"/>
          <w:bCs/>
          <w:iCs/>
          <w:szCs w:val="24"/>
        </w:rPr>
      </w:pPr>
      <w:r w:rsidRPr="007E5CB4">
        <w:rPr>
          <w:rFonts w:ascii="Times New Roman" w:hAnsi="Times New Roman" w:eastAsia="Times New Roman" w:cs="Times New Roman"/>
          <w:bCs/>
          <w:iCs/>
          <w:szCs w:val="24"/>
        </w:rPr>
        <w:t xml:space="preserve">The data </w:t>
      </w:r>
      <w:r w:rsidR="00C62D46">
        <w:rPr>
          <w:rFonts w:ascii="Times New Roman" w:hAnsi="Times New Roman" w:eastAsia="Times New Roman" w:cs="Times New Roman"/>
          <w:bCs/>
          <w:iCs/>
          <w:szCs w:val="24"/>
        </w:rPr>
        <w:t>obtained</w:t>
      </w:r>
      <w:r w:rsidRPr="007E5CB4" w:rsidR="00C62D46">
        <w:rPr>
          <w:rFonts w:ascii="Times New Roman" w:hAnsi="Times New Roman" w:eastAsia="Times New Roman" w:cs="Times New Roman"/>
          <w:bCs/>
          <w:iCs/>
          <w:szCs w:val="24"/>
        </w:rPr>
        <w:t xml:space="preserve"> </w:t>
      </w:r>
      <w:r w:rsidRPr="007E5CB4">
        <w:rPr>
          <w:rFonts w:ascii="Times New Roman" w:hAnsi="Times New Roman" w:eastAsia="Times New Roman" w:cs="Times New Roman"/>
          <w:bCs/>
          <w:iCs/>
          <w:szCs w:val="24"/>
        </w:rPr>
        <w:t>under this collection are already maintained by these entities as part of routine program monitoring and routine accounting</w:t>
      </w:r>
      <w:r w:rsidRPr="007E5CB4" w:rsidR="0070195A">
        <w:rPr>
          <w:rFonts w:ascii="Times New Roman" w:hAnsi="Times New Roman" w:eastAsia="Times New Roman" w:cs="Times New Roman"/>
          <w:bCs/>
          <w:iCs/>
          <w:szCs w:val="24"/>
        </w:rPr>
        <w:t xml:space="preserve">. </w:t>
      </w:r>
      <w:r w:rsidRPr="007E5CB4" w:rsidR="00122E93">
        <w:rPr>
          <w:rFonts w:ascii="Times New Roman" w:hAnsi="Times New Roman" w:eastAsia="Times New Roman" w:cs="Times New Roman"/>
          <w:bCs/>
          <w:iCs/>
          <w:szCs w:val="24"/>
        </w:rPr>
        <w:t xml:space="preserve">It is estimated that the number of hours </w:t>
      </w:r>
      <w:r w:rsidR="00C62D46">
        <w:rPr>
          <w:rFonts w:ascii="Times New Roman" w:hAnsi="Times New Roman" w:eastAsia="Times New Roman" w:cs="Times New Roman"/>
          <w:bCs/>
          <w:iCs/>
          <w:szCs w:val="24"/>
        </w:rPr>
        <w:t xml:space="preserve">needed </w:t>
      </w:r>
      <w:r w:rsidRPr="00517CEE" w:rsidR="00766710">
        <w:rPr>
          <w:rFonts w:ascii="Times New Roman" w:hAnsi="Times New Roman" w:eastAsia="Times New Roman" w:cs="Times New Roman"/>
          <w:bCs/>
          <w:iCs/>
          <w:szCs w:val="24"/>
        </w:rPr>
        <w:t xml:space="preserve">to complete </w:t>
      </w:r>
      <w:r w:rsidR="00C62D46">
        <w:rPr>
          <w:rFonts w:ascii="Times New Roman" w:hAnsi="Times New Roman" w:eastAsia="Times New Roman" w:cs="Times New Roman"/>
          <w:bCs/>
          <w:iCs/>
          <w:szCs w:val="24"/>
        </w:rPr>
        <w:t>this data collection</w:t>
      </w:r>
      <w:r w:rsidRPr="00517CEE" w:rsidR="00766710">
        <w:rPr>
          <w:rFonts w:ascii="Times New Roman" w:hAnsi="Times New Roman" w:eastAsia="Times New Roman" w:cs="Times New Roman"/>
          <w:bCs/>
          <w:iCs/>
          <w:szCs w:val="24"/>
        </w:rPr>
        <w:t xml:space="preserve"> </w:t>
      </w:r>
      <w:r w:rsidRPr="00517CEE" w:rsidR="00122E93">
        <w:rPr>
          <w:rFonts w:ascii="Times New Roman" w:hAnsi="Times New Roman" w:eastAsia="Times New Roman" w:cs="Times New Roman"/>
          <w:bCs/>
          <w:iCs/>
          <w:szCs w:val="24"/>
        </w:rPr>
        <w:t>range from 8 to 24 with an average of 16 hours per respondent per year</w:t>
      </w:r>
      <w:r w:rsidRPr="00517CEE" w:rsidR="00110A23">
        <w:rPr>
          <w:rFonts w:ascii="Times New Roman" w:hAnsi="Times New Roman" w:eastAsia="Times New Roman" w:cs="Times New Roman"/>
          <w:bCs/>
          <w:iCs/>
          <w:szCs w:val="24"/>
        </w:rPr>
        <w:t xml:space="preserve">, yielding an hour burden </w:t>
      </w:r>
      <w:r w:rsidRPr="001837E8" w:rsidR="00110A23">
        <w:rPr>
          <w:rFonts w:ascii="Times New Roman" w:hAnsi="Times New Roman" w:eastAsia="Times New Roman" w:cs="Times New Roman"/>
          <w:bCs/>
          <w:iCs/>
          <w:szCs w:val="24"/>
        </w:rPr>
        <w:t xml:space="preserve">of </w:t>
      </w:r>
      <w:r w:rsidRPr="001837E8" w:rsidR="00F41613">
        <w:rPr>
          <w:rFonts w:ascii="Times New Roman" w:hAnsi="Times New Roman" w:eastAsia="Times New Roman" w:cs="Times New Roman"/>
          <w:bCs/>
          <w:iCs/>
          <w:szCs w:val="24"/>
        </w:rPr>
        <w:t>64,720</w:t>
      </w:r>
      <w:r w:rsidRPr="00C83ED0" w:rsidR="00571EFC">
        <w:rPr>
          <w:rFonts w:ascii="Times New Roman" w:hAnsi="Times New Roman" w:eastAsia="Times New Roman" w:cs="Times New Roman"/>
          <w:bCs/>
          <w:iCs/>
          <w:szCs w:val="24"/>
        </w:rPr>
        <w:t xml:space="preserve"> </w:t>
      </w:r>
      <w:r w:rsidRPr="007E5CB4" w:rsidR="00110A23">
        <w:rPr>
          <w:rFonts w:ascii="Times New Roman" w:hAnsi="Times New Roman" w:eastAsia="Times New Roman" w:cs="Times New Roman"/>
          <w:bCs/>
          <w:iCs/>
          <w:szCs w:val="24"/>
        </w:rPr>
        <w:t>hours per year.</w:t>
      </w:r>
      <w:r w:rsidRPr="007E5CB4" w:rsidR="00122E93">
        <w:rPr>
          <w:rFonts w:ascii="Times New Roman" w:hAnsi="Times New Roman" w:eastAsia="Times New Roman" w:cs="Times New Roman"/>
          <w:bCs/>
          <w:iCs/>
          <w:szCs w:val="24"/>
        </w:rPr>
        <w:t xml:space="preserve"> </w:t>
      </w:r>
      <w:r w:rsidRPr="007E5CB4" w:rsidR="00824112">
        <w:rPr>
          <w:rFonts w:ascii="Times New Roman" w:hAnsi="Times New Roman" w:eastAsia="Times New Roman" w:cs="Times New Roman"/>
          <w:bCs/>
          <w:iCs/>
          <w:szCs w:val="24"/>
        </w:rPr>
        <w:t xml:space="preserve">This estimate </w:t>
      </w:r>
      <w:r w:rsidRPr="007E5CB4">
        <w:rPr>
          <w:rFonts w:ascii="Times New Roman" w:hAnsi="Times New Roman" w:eastAsia="Times New Roman" w:cs="Times New Roman"/>
          <w:bCs/>
          <w:iCs/>
          <w:szCs w:val="24"/>
        </w:rPr>
        <w:t>depend</w:t>
      </w:r>
      <w:r w:rsidR="00C62D46">
        <w:rPr>
          <w:rFonts w:ascii="Times New Roman" w:hAnsi="Times New Roman" w:eastAsia="Times New Roman" w:cs="Times New Roman"/>
          <w:bCs/>
          <w:iCs/>
          <w:szCs w:val="24"/>
        </w:rPr>
        <w:t>s</w:t>
      </w:r>
      <w:r w:rsidRPr="007E5CB4">
        <w:rPr>
          <w:rFonts w:ascii="Times New Roman" w:hAnsi="Times New Roman" w:eastAsia="Times New Roman" w:cs="Times New Roman"/>
          <w:bCs/>
          <w:iCs/>
          <w:szCs w:val="24"/>
        </w:rPr>
        <w:t xml:space="preserve"> on the amount of funding and number of program areas for whic</w:t>
      </w:r>
      <w:r w:rsidRPr="00517CEE" w:rsidR="00824112">
        <w:rPr>
          <w:rFonts w:ascii="Times New Roman" w:hAnsi="Times New Roman" w:eastAsia="Times New Roman" w:cs="Times New Roman"/>
          <w:bCs/>
          <w:iCs/>
          <w:szCs w:val="24"/>
        </w:rPr>
        <w:t>h the respondent receives funding</w:t>
      </w:r>
      <w:r w:rsidRPr="00517CEE">
        <w:rPr>
          <w:rFonts w:ascii="Times New Roman" w:hAnsi="Times New Roman" w:eastAsia="Times New Roman" w:cs="Times New Roman"/>
          <w:bCs/>
          <w:iCs/>
          <w:szCs w:val="24"/>
        </w:rPr>
        <w:t xml:space="preserve">.  The </w:t>
      </w:r>
      <w:r w:rsidR="00C62D46">
        <w:rPr>
          <w:rFonts w:ascii="Times New Roman" w:hAnsi="Times New Roman" w:eastAsia="Times New Roman" w:cs="Times New Roman"/>
          <w:bCs/>
          <w:iCs/>
          <w:szCs w:val="24"/>
        </w:rPr>
        <w:t>associated</w:t>
      </w:r>
      <w:r w:rsidRPr="00517CEE" w:rsidR="00C62D46">
        <w:rPr>
          <w:rFonts w:ascii="Times New Roman" w:hAnsi="Times New Roman" w:eastAsia="Times New Roman" w:cs="Times New Roman"/>
          <w:bCs/>
          <w:iCs/>
          <w:szCs w:val="24"/>
        </w:rPr>
        <w:t xml:space="preserve"> </w:t>
      </w:r>
      <w:r w:rsidRPr="00517CEE">
        <w:rPr>
          <w:rFonts w:ascii="Times New Roman" w:hAnsi="Times New Roman" w:eastAsia="Times New Roman" w:cs="Times New Roman"/>
          <w:bCs/>
          <w:iCs/>
          <w:szCs w:val="24"/>
        </w:rPr>
        <w:t xml:space="preserve">costs </w:t>
      </w:r>
      <w:r w:rsidR="00C62D46">
        <w:rPr>
          <w:rFonts w:ascii="Times New Roman" w:hAnsi="Times New Roman" w:eastAsia="Times New Roman" w:cs="Times New Roman"/>
          <w:bCs/>
          <w:iCs/>
          <w:szCs w:val="24"/>
        </w:rPr>
        <w:t xml:space="preserve">for completing this collection are </w:t>
      </w:r>
      <w:r w:rsidR="00AC0150">
        <w:rPr>
          <w:rFonts w:ascii="Times New Roman" w:hAnsi="Times New Roman" w:eastAsia="Times New Roman" w:cs="Times New Roman"/>
          <w:bCs/>
          <w:iCs/>
          <w:szCs w:val="24"/>
        </w:rPr>
        <w:t>from the</w:t>
      </w:r>
      <w:r w:rsidRPr="00517CEE" w:rsidR="00824112">
        <w:rPr>
          <w:rFonts w:ascii="Times New Roman" w:hAnsi="Times New Roman" w:eastAsia="Times New Roman" w:cs="Times New Roman"/>
          <w:bCs/>
          <w:iCs/>
          <w:szCs w:val="24"/>
        </w:rPr>
        <w:t xml:space="preserve"> </w:t>
      </w:r>
      <w:r w:rsidR="00AC0150">
        <w:rPr>
          <w:rFonts w:ascii="Times New Roman" w:hAnsi="Times New Roman" w:eastAsia="Times New Roman" w:cs="Times New Roman"/>
          <w:bCs/>
          <w:iCs/>
          <w:szCs w:val="24"/>
        </w:rPr>
        <w:t>hourly cost of</w:t>
      </w:r>
      <w:r w:rsidRPr="00517CEE">
        <w:rPr>
          <w:rFonts w:ascii="Times New Roman" w:hAnsi="Times New Roman" w:eastAsia="Times New Roman" w:cs="Times New Roman"/>
          <w:bCs/>
          <w:iCs/>
          <w:szCs w:val="24"/>
        </w:rPr>
        <w:t xml:space="preserve"> </w:t>
      </w:r>
      <w:r w:rsidR="00AC0150">
        <w:rPr>
          <w:rFonts w:ascii="Times New Roman" w:hAnsi="Times New Roman" w:eastAsia="Times New Roman" w:cs="Times New Roman"/>
          <w:bCs/>
          <w:iCs/>
          <w:szCs w:val="24"/>
        </w:rPr>
        <w:t xml:space="preserve">the </w:t>
      </w:r>
      <w:r w:rsidRPr="00517CEE">
        <w:rPr>
          <w:rFonts w:ascii="Times New Roman" w:hAnsi="Times New Roman" w:eastAsia="Times New Roman" w:cs="Times New Roman"/>
          <w:bCs/>
          <w:iCs/>
          <w:szCs w:val="24"/>
        </w:rPr>
        <w:t>finance staff</w:t>
      </w:r>
      <w:r w:rsidRPr="00CC3DFC" w:rsidR="00824112">
        <w:rPr>
          <w:rFonts w:ascii="Times New Roman" w:hAnsi="Times New Roman" w:eastAsia="Times New Roman" w:cs="Times New Roman"/>
          <w:bCs/>
          <w:iCs/>
          <w:szCs w:val="24"/>
        </w:rPr>
        <w:t xml:space="preserve"> </w:t>
      </w:r>
      <w:r w:rsidR="00AC0150">
        <w:rPr>
          <w:rFonts w:ascii="Times New Roman" w:hAnsi="Times New Roman" w:eastAsia="Times New Roman" w:cs="Times New Roman"/>
          <w:bCs/>
          <w:iCs/>
          <w:szCs w:val="24"/>
        </w:rPr>
        <w:t>of</w:t>
      </w:r>
      <w:r w:rsidRPr="00CC3DFC" w:rsidR="00AC0150">
        <w:rPr>
          <w:rFonts w:ascii="Times New Roman" w:hAnsi="Times New Roman" w:eastAsia="Times New Roman" w:cs="Times New Roman"/>
          <w:bCs/>
          <w:iCs/>
          <w:szCs w:val="24"/>
        </w:rPr>
        <w:t xml:space="preserve"> </w:t>
      </w:r>
      <w:r w:rsidRPr="00CC3DFC" w:rsidR="00824112">
        <w:rPr>
          <w:rFonts w:ascii="Times New Roman" w:hAnsi="Times New Roman" w:eastAsia="Times New Roman" w:cs="Times New Roman"/>
          <w:bCs/>
          <w:iCs/>
          <w:szCs w:val="24"/>
        </w:rPr>
        <w:t>PEPFAR-funded implementing partner</w:t>
      </w:r>
      <w:r w:rsidRPr="00CC3DFC" w:rsidR="00571EFC">
        <w:rPr>
          <w:rFonts w:ascii="Times New Roman" w:hAnsi="Times New Roman" w:eastAsia="Times New Roman" w:cs="Times New Roman"/>
          <w:bCs/>
          <w:iCs/>
          <w:szCs w:val="24"/>
        </w:rPr>
        <w:t xml:space="preserve"> </w:t>
      </w:r>
      <w:r w:rsidRPr="00BF2C51" w:rsidR="00571EFC">
        <w:rPr>
          <w:rFonts w:ascii="Times New Roman" w:hAnsi="Times New Roman" w:eastAsia="Times New Roman" w:cs="Times New Roman"/>
          <w:bCs/>
          <w:iCs/>
          <w:szCs w:val="24"/>
        </w:rPr>
        <w:t xml:space="preserve">and </w:t>
      </w:r>
      <w:proofErr w:type="spellStart"/>
      <w:r w:rsidRPr="00BF2C51" w:rsidR="00571EFC">
        <w:rPr>
          <w:rFonts w:ascii="Times New Roman" w:hAnsi="Times New Roman" w:eastAsia="Times New Roman" w:cs="Times New Roman"/>
          <w:bCs/>
          <w:iCs/>
          <w:szCs w:val="24"/>
        </w:rPr>
        <w:t>subrecipients</w:t>
      </w:r>
      <w:proofErr w:type="spellEnd"/>
      <w:r w:rsidRPr="006B2110" w:rsidR="00824112">
        <w:rPr>
          <w:rFonts w:ascii="Times New Roman" w:hAnsi="Times New Roman" w:eastAsia="Times New Roman" w:cs="Times New Roman"/>
          <w:bCs/>
          <w:iCs/>
          <w:szCs w:val="24"/>
        </w:rPr>
        <w:t>.</w:t>
      </w:r>
      <w:r w:rsidRPr="006B2110">
        <w:rPr>
          <w:rFonts w:ascii="Times New Roman" w:hAnsi="Times New Roman" w:eastAsia="Times New Roman" w:cs="Times New Roman"/>
          <w:bCs/>
          <w:iCs/>
          <w:szCs w:val="24"/>
        </w:rPr>
        <w:t xml:space="preserve"> While these staff are already employed for this type of activity under their general scope of work, there are potential opportunity costs due to time spent responding to this requirement.  </w:t>
      </w:r>
    </w:p>
    <w:p w:rsidRPr="00BC12A8" w:rsidR="00824112" w:rsidP="00954864" w:rsidRDefault="00DD02C7" w14:paraId="73A390D7" w14:textId="1610ECE8">
      <w:pPr>
        <w:spacing w:after="120" w:line="240" w:lineRule="auto"/>
        <w:ind w:left="360"/>
        <w:rPr>
          <w:rFonts w:ascii="Times New Roman" w:hAnsi="Times New Roman" w:eastAsia="Times New Roman" w:cs="Times New Roman"/>
          <w:bCs/>
          <w:iCs/>
          <w:szCs w:val="24"/>
        </w:rPr>
      </w:pPr>
      <w:r w:rsidRPr="00BC12A8">
        <w:rPr>
          <w:rFonts w:ascii="Times New Roman" w:hAnsi="Times New Roman" w:eastAsia="Times New Roman" w:cs="Times New Roman"/>
          <w:bCs/>
          <w:iCs/>
          <w:szCs w:val="24"/>
        </w:rPr>
        <w:t>T</w:t>
      </w:r>
      <w:r w:rsidRPr="00BC12A8" w:rsidR="00D85F45">
        <w:rPr>
          <w:rFonts w:ascii="Times New Roman" w:hAnsi="Times New Roman" w:eastAsia="Times New Roman" w:cs="Times New Roman"/>
          <w:bCs/>
          <w:iCs/>
          <w:szCs w:val="24"/>
        </w:rPr>
        <w:t>he actual cost of staff</w:t>
      </w:r>
      <w:r w:rsidRPr="00BC12A8" w:rsidR="00954864">
        <w:rPr>
          <w:rFonts w:ascii="Times New Roman" w:hAnsi="Times New Roman" w:eastAsia="Times New Roman" w:cs="Times New Roman"/>
          <w:bCs/>
          <w:iCs/>
          <w:szCs w:val="24"/>
        </w:rPr>
        <w:t xml:space="preserve"> hours depend</w:t>
      </w:r>
      <w:r w:rsidRPr="00BC12A8" w:rsidR="007C1002">
        <w:rPr>
          <w:rFonts w:ascii="Times New Roman" w:hAnsi="Times New Roman" w:eastAsia="Times New Roman" w:cs="Times New Roman"/>
          <w:bCs/>
          <w:iCs/>
          <w:szCs w:val="24"/>
        </w:rPr>
        <w:t>s</w:t>
      </w:r>
      <w:r w:rsidRPr="00BC12A8" w:rsidR="00954864">
        <w:rPr>
          <w:rFonts w:ascii="Times New Roman" w:hAnsi="Times New Roman" w:eastAsia="Times New Roman" w:cs="Times New Roman"/>
          <w:bCs/>
          <w:iCs/>
          <w:szCs w:val="24"/>
        </w:rPr>
        <w:t xml:space="preserve"> on the country of employment</w:t>
      </w:r>
      <w:r w:rsidRPr="00BC12A8">
        <w:rPr>
          <w:rFonts w:ascii="Times New Roman" w:hAnsi="Times New Roman" w:eastAsia="Times New Roman" w:cs="Times New Roman"/>
          <w:bCs/>
          <w:iCs/>
          <w:szCs w:val="24"/>
        </w:rPr>
        <w:t xml:space="preserve">.  To </w:t>
      </w:r>
      <w:r w:rsidRPr="00BC12A8" w:rsidR="004D7DA2">
        <w:rPr>
          <w:rFonts w:ascii="Times New Roman" w:hAnsi="Times New Roman" w:eastAsia="Times New Roman" w:cs="Times New Roman"/>
          <w:bCs/>
          <w:iCs/>
          <w:szCs w:val="24"/>
        </w:rPr>
        <w:t xml:space="preserve">get a sense of the hourly </w:t>
      </w:r>
      <w:r w:rsidRPr="00BC12A8" w:rsidR="00571EFC">
        <w:rPr>
          <w:rFonts w:ascii="Times New Roman" w:hAnsi="Times New Roman" w:eastAsia="Times New Roman" w:cs="Times New Roman"/>
          <w:bCs/>
          <w:iCs/>
          <w:szCs w:val="24"/>
        </w:rPr>
        <w:t xml:space="preserve">rate </w:t>
      </w:r>
      <w:r w:rsidRPr="00BC12A8" w:rsidR="004D7DA2">
        <w:rPr>
          <w:rFonts w:ascii="Times New Roman" w:hAnsi="Times New Roman" w:eastAsia="Times New Roman" w:cs="Times New Roman"/>
          <w:bCs/>
          <w:iCs/>
          <w:szCs w:val="24"/>
        </w:rPr>
        <w:t>of project accountants,</w:t>
      </w:r>
      <w:r w:rsidRPr="00BC12A8">
        <w:rPr>
          <w:rFonts w:ascii="Times New Roman" w:hAnsi="Times New Roman" w:eastAsia="Times New Roman" w:cs="Times New Roman"/>
          <w:bCs/>
          <w:iCs/>
          <w:szCs w:val="24"/>
        </w:rPr>
        <w:t xml:space="preserve"> </w:t>
      </w:r>
      <w:r w:rsidRPr="00BC12A8" w:rsidR="004D7DA2">
        <w:rPr>
          <w:rFonts w:ascii="Times New Roman" w:hAnsi="Times New Roman" w:eastAsia="Times New Roman" w:cs="Times New Roman"/>
          <w:bCs/>
          <w:iCs/>
          <w:szCs w:val="24"/>
        </w:rPr>
        <w:t xml:space="preserve">samples </w:t>
      </w:r>
      <w:r w:rsidRPr="00BC12A8" w:rsidR="007C1002">
        <w:rPr>
          <w:rFonts w:ascii="Times New Roman" w:hAnsi="Times New Roman" w:eastAsia="Times New Roman" w:cs="Times New Roman"/>
          <w:bCs/>
          <w:iCs/>
          <w:szCs w:val="24"/>
        </w:rPr>
        <w:t xml:space="preserve">were </w:t>
      </w:r>
      <w:r w:rsidRPr="00BC12A8" w:rsidR="008A6750">
        <w:rPr>
          <w:rFonts w:ascii="Times New Roman" w:hAnsi="Times New Roman" w:eastAsia="Times New Roman" w:cs="Times New Roman"/>
          <w:bCs/>
          <w:iCs/>
          <w:szCs w:val="24"/>
        </w:rPr>
        <w:t xml:space="preserve">taken from </w:t>
      </w:r>
      <w:r w:rsidRPr="00BC12A8" w:rsidR="00571EFC">
        <w:rPr>
          <w:rFonts w:ascii="Times New Roman" w:hAnsi="Times New Roman" w:eastAsia="Times New Roman" w:cs="Times New Roman"/>
          <w:bCs/>
          <w:iCs/>
          <w:szCs w:val="24"/>
        </w:rPr>
        <w:t>FY2020</w:t>
      </w:r>
      <w:r w:rsidRPr="00BC12A8" w:rsidR="00D85F45">
        <w:rPr>
          <w:rFonts w:ascii="Times New Roman" w:hAnsi="Times New Roman" w:eastAsia="Times New Roman" w:cs="Times New Roman"/>
          <w:bCs/>
          <w:iCs/>
          <w:szCs w:val="24"/>
        </w:rPr>
        <w:t xml:space="preserve"> </w:t>
      </w:r>
      <w:r w:rsidRPr="00BC12A8">
        <w:rPr>
          <w:rFonts w:ascii="Times New Roman" w:hAnsi="Times New Roman" w:eastAsia="Times New Roman" w:cs="Times New Roman"/>
          <w:bCs/>
          <w:iCs/>
          <w:szCs w:val="24"/>
        </w:rPr>
        <w:t>work plan budget</w:t>
      </w:r>
      <w:r w:rsidRPr="00BC12A8" w:rsidR="004D7DA2">
        <w:rPr>
          <w:rFonts w:ascii="Times New Roman" w:hAnsi="Times New Roman" w:eastAsia="Times New Roman" w:cs="Times New Roman"/>
          <w:bCs/>
          <w:iCs/>
          <w:szCs w:val="24"/>
        </w:rPr>
        <w:t xml:space="preserve">s </w:t>
      </w:r>
      <w:r w:rsidRPr="00BC12A8" w:rsidR="00D85F45">
        <w:rPr>
          <w:rFonts w:ascii="Times New Roman" w:hAnsi="Times New Roman" w:eastAsia="Times New Roman" w:cs="Times New Roman"/>
          <w:bCs/>
          <w:iCs/>
          <w:szCs w:val="24"/>
        </w:rPr>
        <w:t xml:space="preserve">for PEPFAR funded implementing partners </w:t>
      </w:r>
      <w:r w:rsidRPr="00BC12A8" w:rsidR="004D7DA2">
        <w:rPr>
          <w:rFonts w:ascii="Times New Roman" w:hAnsi="Times New Roman" w:eastAsia="Times New Roman" w:cs="Times New Roman"/>
          <w:bCs/>
          <w:iCs/>
          <w:szCs w:val="24"/>
        </w:rPr>
        <w:t xml:space="preserve">in four geographically disbursed countries </w:t>
      </w:r>
      <w:r w:rsidRPr="00BC12A8" w:rsidR="008A6750">
        <w:rPr>
          <w:rFonts w:ascii="Times New Roman" w:hAnsi="Times New Roman" w:eastAsia="Times New Roman" w:cs="Times New Roman"/>
          <w:bCs/>
          <w:iCs/>
          <w:szCs w:val="24"/>
        </w:rPr>
        <w:t>–</w:t>
      </w:r>
      <w:r w:rsidRPr="00BC12A8" w:rsidR="004D7DA2">
        <w:rPr>
          <w:rFonts w:ascii="Times New Roman" w:hAnsi="Times New Roman" w:eastAsia="Times New Roman" w:cs="Times New Roman"/>
          <w:bCs/>
          <w:iCs/>
          <w:szCs w:val="24"/>
        </w:rPr>
        <w:t xml:space="preserve"> </w:t>
      </w:r>
      <w:r w:rsidRPr="00BC12A8" w:rsidR="008A6750">
        <w:rPr>
          <w:rFonts w:ascii="Times New Roman" w:hAnsi="Times New Roman" w:eastAsia="Times New Roman" w:cs="Times New Roman"/>
          <w:bCs/>
          <w:iCs/>
          <w:szCs w:val="24"/>
        </w:rPr>
        <w:t>Nigeria, Cambodia, Kenya, El Salvador, and US</w:t>
      </w:r>
      <w:r w:rsidRPr="00BC12A8" w:rsidR="009F089E">
        <w:rPr>
          <w:rFonts w:ascii="Times New Roman" w:hAnsi="Times New Roman" w:eastAsia="Times New Roman" w:cs="Times New Roman"/>
          <w:bCs/>
          <w:iCs/>
          <w:szCs w:val="24"/>
        </w:rPr>
        <w:t>G</w:t>
      </w:r>
      <w:r w:rsidRPr="00BC12A8" w:rsidR="008A6750">
        <w:rPr>
          <w:rFonts w:ascii="Times New Roman" w:hAnsi="Times New Roman" w:eastAsia="Times New Roman" w:cs="Times New Roman"/>
          <w:bCs/>
          <w:iCs/>
          <w:szCs w:val="24"/>
        </w:rPr>
        <w:t xml:space="preserve"> based headquarters offices.</w:t>
      </w:r>
      <w:r w:rsidRPr="00BC12A8" w:rsidR="00937EBB">
        <w:rPr>
          <w:rFonts w:ascii="Times New Roman" w:hAnsi="Times New Roman" w:eastAsia="Times New Roman" w:cs="Times New Roman"/>
          <w:bCs/>
          <w:iCs/>
          <w:szCs w:val="24"/>
        </w:rPr>
        <w:t xml:space="preserve"> Staff completing this exercise are employees of USG agencies or PEPFAR-funded implementing partners. </w:t>
      </w:r>
      <w:r w:rsidRPr="00BC12A8" w:rsidR="008A6750">
        <w:rPr>
          <w:rFonts w:ascii="Times New Roman" w:hAnsi="Times New Roman" w:eastAsia="Times New Roman" w:cs="Times New Roman"/>
          <w:bCs/>
          <w:iCs/>
          <w:szCs w:val="24"/>
        </w:rPr>
        <w:t xml:space="preserve"> </w:t>
      </w:r>
    </w:p>
    <w:p w:rsidRPr="00BC12A8" w:rsidR="00824112" w:rsidRDefault="00824112" w14:paraId="4F92EF62" w14:textId="274472F8">
      <w:pPr>
        <w:rPr>
          <w:rFonts w:ascii="Times New Roman" w:hAnsi="Times New Roman" w:eastAsia="Times New Roman" w:cs="Times New Roman"/>
          <w:bCs/>
          <w:iCs/>
          <w:szCs w:val="24"/>
        </w:rPr>
      </w:pPr>
    </w:p>
    <w:tbl>
      <w:tblPr>
        <w:tblW w:w="7350" w:type="dxa"/>
        <w:jc w:val="center"/>
        <w:tblLook w:val="04A0" w:firstRow="1" w:lastRow="0" w:firstColumn="1" w:lastColumn="0" w:noHBand="0" w:noVBand="1"/>
      </w:tblPr>
      <w:tblGrid>
        <w:gridCol w:w="3540"/>
        <w:gridCol w:w="960"/>
        <w:gridCol w:w="1320"/>
        <w:gridCol w:w="1530"/>
      </w:tblGrid>
      <w:tr w:rsidRPr="00312EBE" w:rsidR="00A127CF" w:rsidTr="00824112" w14:paraId="7CBDAC88" w14:textId="77777777">
        <w:trPr>
          <w:trHeight w:val="300"/>
          <w:jc w:val="center"/>
        </w:trPr>
        <w:tc>
          <w:tcPr>
            <w:tcW w:w="7350" w:type="dxa"/>
            <w:gridSpan w:val="4"/>
            <w:tcBorders>
              <w:top w:val="nil"/>
              <w:left w:val="nil"/>
              <w:bottom w:val="nil"/>
              <w:right w:val="nil"/>
            </w:tcBorders>
            <w:shd w:val="clear" w:color="auto" w:fill="auto"/>
            <w:noWrap/>
            <w:vAlign w:val="bottom"/>
          </w:tcPr>
          <w:p w:rsidRPr="0051647F" w:rsidR="00521BB4" w:rsidP="008A6750" w:rsidRDefault="00521BB4" w14:paraId="2D8970C3" w14:textId="63E66249">
            <w:pPr>
              <w:spacing w:after="0" w:line="240" w:lineRule="auto"/>
              <w:jc w:val="center"/>
              <w:rPr>
                <w:rFonts w:ascii="Times New Roman" w:hAnsi="Times New Roman" w:eastAsia="Times New Roman" w:cs="Times New Roman"/>
                <w:bCs/>
                <w:szCs w:val="24"/>
              </w:rPr>
            </w:pPr>
            <w:r w:rsidRPr="0051647F">
              <w:rPr>
                <w:rFonts w:ascii="Times New Roman" w:hAnsi="Times New Roman" w:eastAsia="Times New Roman" w:cs="Times New Roman"/>
                <w:bCs/>
                <w:szCs w:val="24"/>
              </w:rPr>
              <w:t xml:space="preserve">Sample of </w:t>
            </w:r>
            <w:r w:rsidRPr="0051647F" w:rsidR="00571EFC">
              <w:rPr>
                <w:rFonts w:ascii="Times New Roman" w:hAnsi="Times New Roman" w:eastAsia="Times New Roman" w:cs="Times New Roman"/>
                <w:bCs/>
                <w:szCs w:val="24"/>
              </w:rPr>
              <w:t xml:space="preserve">Primary </w:t>
            </w:r>
            <w:r w:rsidRPr="0051647F">
              <w:rPr>
                <w:rFonts w:ascii="Times New Roman" w:hAnsi="Times New Roman" w:eastAsia="Times New Roman" w:cs="Times New Roman"/>
                <w:bCs/>
                <w:szCs w:val="24"/>
              </w:rPr>
              <w:t>Implementing Partner Account</w:t>
            </w:r>
            <w:r w:rsidRPr="0051647F" w:rsidR="00571EFC">
              <w:rPr>
                <w:rFonts w:ascii="Times New Roman" w:hAnsi="Times New Roman" w:eastAsia="Times New Roman" w:cs="Times New Roman"/>
                <w:bCs/>
                <w:szCs w:val="24"/>
              </w:rPr>
              <w:t>ing</w:t>
            </w:r>
            <w:r w:rsidRPr="0051647F">
              <w:rPr>
                <w:rFonts w:ascii="Times New Roman" w:hAnsi="Times New Roman" w:eastAsia="Times New Roman" w:cs="Times New Roman"/>
                <w:bCs/>
                <w:szCs w:val="24"/>
              </w:rPr>
              <w:t xml:space="preserve"> Staff Salaries</w:t>
            </w:r>
            <w:r w:rsidRPr="0051647F" w:rsidR="001F4808">
              <w:rPr>
                <w:rFonts w:ascii="Times New Roman" w:hAnsi="Times New Roman" w:eastAsia="Times New Roman" w:cs="Times New Roman"/>
                <w:bCs/>
                <w:szCs w:val="24"/>
              </w:rPr>
              <w:t xml:space="preserve"> </w:t>
            </w:r>
            <w:r w:rsidRPr="0051647F" w:rsidR="001F4808">
              <w:rPr>
                <w:rStyle w:val="FootnoteReference"/>
                <w:rFonts w:ascii="Times New Roman" w:hAnsi="Times New Roman" w:eastAsia="Times New Roman" w:cs="Times New Roman"/>
                <w:bCs/>
                <w:szCs w:val="24"/>
              </w:rPr>
              <w:footnoteReference w:id="1"/>
            </w:r>
          </w:p>
          <w:p w:rsidRPr="00312EBE" w:rsidR="00521BB4" w:rsidP="008A6750" w:rsidRDefault="00521BB4" w14:paraId="0CB7A83C" w14:textId="77777777">
            <w:pPr>
              <w:spacing w:after="0" w:line="240" w:lineRule="auto"/>
              <w:jc w:val="center"/>
              <w:rPr>
                <w:rFonts w:ascii="Times New Roman" w:hAnsi="Times New Roman" w:eastAsia="Times New Roman" w:cs="Times New Roman"/>
                <w:bCs/>
                <w:szCs w:val="24"/>
                <w:highlight w:val="cyan"/>
              </w:rPr>
            </w:pPr>
            <w:r w:rsidRPr="00312EBE">
              <w:rPr>
                <w:rFonts w:ascii="Times New Roman" w:hAnsi="Times New Roman" w:eastAsia="Times New Roman" w:cs="Times New Roman"/>
                <w:bCs/>
                <w:szCs w:val="24"/>
                <w:highlight w:val="cyan"/>
              </w:rPr>
              <w:t xml:space="preserve"> </w:t>
            </w:r>
          </w:p>
        </w:tc>
      </w:tr>
      <w:tr w:rsidRPr="00C83ED0" w:rsidR="00A127CF" w:rsidTr="00824112" w14:paraId="4CBB74B7" w14:textId="77777777">
        <w:trPr>
          <w:trHeight w:val="300"/>
          <w:jc w:val="center"/>
        </w:trPr>
        <w:tc>
          <w:tcPr>
            <w:tcW w:w="3540" w:type="dxa"/>
            <w:tcBorders>
              <w:top w:val="nil"/>
              <w:left w:val="nil"/>
              <w:bottom w:val="nil"/>
              <w:right w:val="nil"/>
            </w:tcBorders>
            <w:shd w:val="clear" w:color="auto" w:fill="auto"/>
            <w:noWrap/>
            <w:vAlign w:val="bottom"/>
            <w:hideMark/>
          </w:tcPr>
          <w:p w:rsidRPr="001837E8" w:rsidR="008A6750" w:rsidP="008A6750" w:rsidRDefault="008A6750" w14:paraId="1390DA17" w14:textId="77777777">
            <w:pPr>
              <w:spacing w:after="0" w:line="240" w:lineRule="auto"/>
              <w:rPr>
                <w:rFonts w:ascii="Times New Roman" w:hAnsi="Times New Roman" w:eastAsia="Times New Roman" w:cs="Times New Roman"/>
                <w:bCs/>
                <w:szCs w:val="24"/>
              </w:rPr>
            </w:pPr>
          </w:p>
        </w:tc>
        <w:tc>
          <w:tcPr>
            <w:tcW w:w="960" w:type="dxa"/>
            <w:tcBorders>
              <w:top w:val="nil"/>
              <w:left w:val="nil"/>
              <w:bottom w:val="nil"/>
              <w:right w:val="nil"/>
            </w:tcBorders>
            <w:shd w:val="clear" w:color="auto" w:fill="auto"/>
            <w:noWrap/>
            <w:vAlign w:val="bottom"/>
            <w:hideMark/>
          </w:tcPr>
          <w:p w:rsidRPr="001837E8" w:rsidR="008A6750" w:rsidP="008A6750" w:rsidRDefault="008A6750" w14:paraId="370B616C" w14:textId="77777777">
            <w:pPr>
              <w:spacing w:after="0" w:line="240" w:lineRule="auto"/>
              <w:jc w:val="center"/>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Salary </w:t>
            </w:r>
          </w:p>
        </w:tc>
        <w:tc>
          <w:tcPr>
            <w:tcW w:w="1320" w:type="dxa"/>
            <w:tcBorders>
              <w:top w:val="nil"/>
              <w:left w:val="nil"/>
              <w:bottom w:val="nil"/>
              <w:right w:val="nil"/>
            </w:tcBorders>
            <w:shd w:val="clear" w:color="auto" w:fill="auto"/>
            <w:noWrap/>
            <w:vAlign w:val="bottom"/>
            <w:hideMark/>
          </w:tcPr>
          <w:p w:rsidRPr="001837E8" w:rsidR="008A6750" w:rsidP="008A6750" w:rsidRDefault="008A6750" w14:paraId="4AA5477F" w14:textId="77777777">
            <w:pPr>
              <w:spacing w:after="0" w:line="240" w:lineRule="auto"/>
              <w:jc w:val="center"/>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Fringe </w:t>
            </w:r>
          </w:p>
        </w:tc>
        <w:tc>
          <w:tcPr>
            <w:tcW w:w="1530" w:type="dxa"/>
            <w:tcBorders>
              <w:top w:val="nil"/>
              <w:left w:val="nil"/>
              <w:bottom w:val="nil"/>
              <w:right w:val="nil"/>
            </w:tcBorders>
            <w:shd w:val="clear" w:color="auto" w:fill="auto"/>
            <w:noWrap/>
            <w:vAlign w:val="bottom"/>
            <w:hideMark/>
          </w:tcPr>
          <w:p w:rsidRPr="001837E8" w:rsidR="008A6750" w:rsidP="008A6750" w:rsidRDefault="008A6750" w14:paraId="41B4B61E" w14:textId="77777777">
            <w:pPr>
              <w:spacing w:after="0" w:line="240" w:lineRule="auto"/>
              <w:jc w:val="center"/>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Total </w:t>
            </w:r>
          </w:p>
        </w:tc>
      </w:tr>
      <w:tr w:rsidRPr="00C83ED0" w:rsidR="00A127CF" w:rsidTr="00824112" w14:paraId="20C89F81" w14:textId="77777777">
        <w:trPr>
          <w:trHeight w:val="300"/>
          <w:jc w:val="center"/>
        </w:trPr>
        <w:tc>
          <w:tcPr>
            <w:tcW w:w="3540" w:type="dxa"/>
            <w:tcBorders>
              <w:top w:val="nil"/>
              <w:left w:val="nil"/>
              <w:bottom w:val="nil"/>
              <w:right w:val="nil"/>
            </w:tcBorders>
            <w:shd w:val="clear" w:color="auto" w:fill="auto"/>
            <w:noWrap/>
            <w:vAlign w:val="bottom"/>
            <w:hideMark/>
          </w:tcPr>
          <w:p w:rsidRPr="001837E8" w:rsidR="008A6750" w:rsidP="008A6750" w:rsidRDefault="008A6750" w14:paraId="4E7965D3"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Nigeria</w:t>
            </w:r>
          </w:p>
        </w:tc>
        <w:tc>
          <w:tcPr>
            <w:tcW w:w="960" w:type="dxa"/>
            <w:tcBorders>
              <w:top w:val="nil"/>
              <w:left w:val="nil"/>
              <w:bottom w:val="nil"/>
              <w:right w:val="nil"/>
            </w:tcBorders>
            <w:shd w:val="clear" w:color="auto" w:fill="auto"/>
            <w:noWrap/>
            <w:vAlign w:val="bottom"/>
            <w:hideMark/>
          </w:tcPr>
          <w:p w:rsidRPr="001837E8" w:rsidR="008A6750" w:rsidP="008A6750" w:rsidRDefault="008A6750" w14:paraId="22442539"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18.77</w:t>
            </w:r>
          </w:p>
        </w:tc>
        <w:tc>
          <w:tcPr>
            <w:tcW w:w="1320" w:type="dxa"/>
            <w:tcBorders>
              <w:top w:val="nil"/>
              <w:left w:val="nil"/>
              <w:bottom w:val="nil"/>
              <w:right w:val="nil"/>
            </w:tcBorders>
            <w:shd w:val="clear" w:color="auto" w:fill="auto"/>
            <w:noWrap/>
            <w:vAlign w:val="bottom"/>
            <w:hideMark/>
          </w:tcPr>
          <w:p w:rsidRPr="001837E8" w:rsidR="008A6750" w:rsidP="008A6750" w:rsidRDefault="008A6750" w14:paraId="2B54BFD2"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3.78</w:t>
            </w:r>
          </w:p>
        </w:tc>
        <w:tc>
          <w:tcPr>
            <w:tcW w:w="1530" w:type="dxa"/>
            <w:tcBorders>
              <w:top w:val="nil"/>
              <w:left w:val="nil"/>
              <w:bottom w:val="nil"/>
              <w:right w:val="nil"/>
            </w:tcBorders>
            <w:shd w:val="clear" w:color="auto" w:fill="auto"/>
            <w:noWrap/>
            <w:vAlign w:val="bottom"/>
            <w:hideMark/>
          </w:tcPr>
          <w:p w:rsidRPr="001837E8" w:rsidR="008A6750" w:rsidP="008A6750" w:rsidRDefault="008A6750" w14:paraId="6D4F9309"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22.55</w:t>
            </w:r>
          </w:p>
        </w:tc>
      </w:tr>
      <w:tr w:rsidRPr="00C83ED0" w:rsidR="00A127CF" w:rsidTr="00824112" w14:paraId="46AAD98F" w14:textId="77777777">
        <w:trPr>
          <w:trHeight w:val="300"/>
          <w:jc w:val="center"/>
        </w:trPr>
        <w:tc>
          <w:tcPr>
            <w:tcW w:w="3540" w:type="dxa"/>
            <w:tcBorders>
              <w:top w:val="nil"/>
              <w:left w:val="nil"/>
              <w:bottom w:val="nil"/>
              <w:right w:val="nil"/>
            </w:tcBorders>
            <w:shd w:val="clear" w:color="auto" w:fill="auto"/>
            <w:noWrap/>
            <w:vAlign w:val="bottom"/>
            <w:hideMark/>
          </w:tcPr>
          <w:p w:rsidRPr="001837E8" w:rsidR="008A6750" w:rsidP="008A6750" w:rsidRDefault="008A6750" w14:paraId="4B9BEC9B"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Cambodia</w:t>
            </w:r>
          </w:p>
        </w:tc>
        <w:tc>
          <w:tcPr>
            <w:tcW w:w="960" w:type="dxa"/>
            <w:tcBorders>
              <w:top w:val="nil"/>
              <w:left w:val="nil"/>
              <w:bottom w:val="nil"/>
              <w:right w:val="nil"/>
            </w:tcBorders>
            <w:shd w:val="clear" w:color="auto" w:fill="auto"/>
            <w:noWrap/>
            <w:vAlign w:val="bottom"/>
            <w:hideMark/>
          </w:tcPr>
          <w:p w:rsidRPr="001837E8" w:rsidR="008A6750" w:rsidP="008A6750" w:rsidRDefault="008A6750" w14:paraId="37D0E0DC"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7.01</w:t>
            </w:r>
          </w:p>
        </w:tc>
        <w:tc>
          <w:tcPr>
            <w:tcW w:w="1320" w:type="dxa"/>
            <w:tcBorders>
              <w:top w:val="nil"/>
              <w:left w:val="nil"/>
              <w:bottom w:val="nil"/>
              <w:right w:val="nil"/>
            </w:tcBorders>
            <w:shd w:val="clear" w:color="auto" w:fill="auto"/>
            <w:noWrap/>
            <w:vAlign w:val="bottom"/>
            <w:hideMark/>
          </w:tcPr>
          <w:p w:rsidRPr="001837E8" w:rsidR="008A6750" w:rsidP="008A6750" w:rsidRDefault="008A6750" w14:paraId="634F16A3"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1</w:t>
            </w:r>
            <w:r w:rsidRPr="001837E8" w:rsidR="007B265E">
              <w:rPr>
                <w:rFonts w:ascii="Times New Roman" w:hAnsi="Times New Roman" w:eastAsia="Times New Roman" w:cs="Times New Roman"/>
                <w:bCs/>
                <w:szCs w:val="24"/>
              </w:rPr>
              <w:t>.00</w:t>
            </w:r>
          </w:p>
        </w:tc>
        <w:tc>
          <w:tcPr>
            <w:tcW w:w="1530" w:type="dxa"/>
            <w:tcBorders>
              <w:top w:val="nil"/>
              <w:left w:val="nil"/>
              <w:bottom w:val="nil"/>
              <w:right w:val="nil"/>
            </w:tcBorders>
            <w:shd w:val="clear" w:color="auto" w:fill="auto"/>
            <w:noWrap/>
            <w:vAlign w:val="bottom"/>
            <w:hideMark/>
          </w:tcPr>
          <w:p w:rsidRPr="001837E8" w:rsidR="008A6750" w:rsidP="008A6750" w:rsidRDefault="008A6750" w14:paraId="6C244653"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8.01</w:t>
            </w:r>
          </w:p>
        </w:tc>
      </w:tr>
      <w:tr w:rsidRPr="00C83ED0" w:rsidR="00A127CF" w:rsidTr="00824112" w14:paraId="6EC0C09B" w14:textId="77777777">
        <w:trPr>
          <w:trHeight w:val="300"/>
          <w:jc w:val="center"/>
        </w:trPr>
        <w:tc>
          <w:tcPr>
            <w:tcW w:w="3540" w:type="dxa"/>
            <w:tcBorders>
              <w:top w:val="nil"/>
              <w:left w:val="nil"/>
              <w:bottom w:val="nil"/>
              <w:right w:val="nil"/>
            </w:tcBorders>
            <w:shd w:val="clear" w:color="auto" w:fill="auto"/>
            <w:noWrap/>
            <w:vAlign w:val="bottom"/>
            <w:hideMark/>
          </w:tcPr>
          <w:p w:rsidRPr="001837E8" w:rsidR="008A6750" w:rsidP="008A6750" w:rsidRDefault="008A6750" w14:paraId="23692316"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Kenya</w:t>
            </w:r>
          </w:p>
        </w:tc>
        <w:tc>
          <w:tcPr>
            <w:tcW w:w="960" w:type="dxa"/>
            <w:tcBorders>
              <w:top w:val="nil"/>
              <w:left w:val="nil"/>
              <w:bottom w:val="nil"/>
              <w:right w:val="nil"/>
            </w:tcBorders>
            <w:shd w:val="clear" w:color="auto" w:fill="auto"/>
            <w:noWrap/>
            <w:vAlign w:val="bottom"/>
            <w:hideMark/>
          </w:tcPr>
          <w:p w:rsidRPr="001837E8" w:rsidR="008A6750" w:rsidP="008A6750" w:rsidRDefault="008A6750" w14:paraId="1373B832"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11.87</w:t>
            </w:r>
          </w:p>
        </w:tc>
        <w:tc>
          <w:tcPr>
            <w:tcW w:w="1320" w:type="dxa"/>
            <w:tcBorders>
              <w:top w:val="nil"/>
              <w:left w:val="nil"/>
              <w:bottom w:val="nil"/>
              <w:right w:val="nil"/>
            </w:tcBorders>
            <w:shd w:val="clear" w:color="auto" w:fill="auto"/>
            <w:noWrap/>
            <w:vAlign w:val="bottom"/>
            <w:hideMark/>
          </w:tcPr>
          <w:p w:rsidRPr="001837E8" w:rsidR="008A6750" w:rsidP="008A6750" w:rsidRDefault="008A6750" w14:paraId="596E084A"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2.66</w:t>
            </w:r>
          </w:p>
        </w:tc>
        <w:tc>
          <w:tcPr>
            <w:tcW w:w="1530" w:type="dxa"/>
            <w:tcBorders>
              <w:top w:val="nil"/>
              <w:left w:val="nil"/>
              <w:bottom w:val="nil"/>
              <w:right w:val="nil"/>
            </w:tcBorders>
            <w:shd w:val="clear" w:color="auto" w:fill="auto"/>
            <w:noWrap/>
            <w:vAlign w:val="bottom"/>
            <w:hideMark/>
          </w:tcPr>
          <w:p w:rsidRPr="001837E8" w:rsidR="008A6750" w:rsidP="008A6750" w:rsidRDefault="008A6750" w14:paraId="6D40EC93"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14.53</w:t>
            </w:r>
          </w:p>
        </w:tc>
      </w:tr>
      <w:tr w:rsidRPr="00C83ED0" w:rsidR="00A127CF" w:rsidTr="00824112" w14:paraId="6C09FCDA" w14:textId="77777777">
        <w:trPr>
          <w:trHeight w:val="300"/>
          <w:jc w:val="center"/>
        </w:trPr>
        <w:tc>
          <w:tcPr>
            <w:tcW w:w="3540" w:type="dxa"/>
            <w:tcBorders>
              <w:top w:val="nil"/>
              <w:left w:val="nil"/>
              <w:bottom w:val="nil"/>
              <w:right w:val="nil"/>
            </w:tcBorders>
            <w:shd w:val="clear" w:color="auto" w:fill="auto"/>
            <w:noWrap/>
            <w:vAlign w:val="bottom"/>
            <w:hideMark/>
          </w:tcPr>
          <w:p w:rsidRPr="001837E8" w:rsidR="008A6750" w:rsidP="008A6750" w:rsidRDefault="008A6750" w14:paraId="73A9E83A"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El Salvador</w:t>
            </w:r>
          </w:p>
        </w:tc>
        <w:tc>
          <w:tcPr>
            <w:tcW w:w="960" w:type="dxa"/>
            <w:tcBorders>
              <w:top w:val="nil"/>
              <w:left w:val="nil"/>
              <w:bottom w:val="nil"/>
              <w:right w:val="nil"/>
            </w:tcBorders>
            <w:shd w:val="clear" w:color="auto" w:fill="auto"/>
            <w:noWrap/>
            <w:vAlign w:val="bottom"/>
            <w:hideMark/>
          </w:tcPr>
          <w:p w:rsidRPr="001837E8" w:rsidR="008A6750" w:rsidP="008A6750" w:rsidRDefault="008A6750" w14:paraId="583EE4E4"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16.85</w:t>
            </w:r>
          </w:p>
        </w:tc>
        <w:tc>
          <w:tcPr>
            <w:tcW w:w="1320" w:type="dxa"/>
            <w:tcBorders>
              <w:top w:val="nil"/>
              <w:left w:val="nil"/>
              <w:bottom w:val="nil"/>
              <w:right w:val="nil"/>
            </w:tcBorders>
            <w:shd w:val="clear" w:color="auto" w:fill="auto"/>
            <w:noWrap/>
            <w:vAlign w:val="bottom"/>
            <w:hideMark/>
          </w:tcPr>
          <w:p w:rsidRPr="001837E8" w:rsidR="008A6750" w:rsidP="008A6750" w:rsidRDefault="008A6750" w14:paraId="7FDFE759"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4.21</w:t>
            </w:r>
          </w:p>
        </w:tc>
        <w:tc>
          <w:tcPr>
            <w:tcW w:w="1530" w:type="dxa"/>
            <w:tcBorders>
              <w:top w:val="nil"/>
              <w:left w:val="nil"/>
              <w:bottom w:val="nil"/>
              <w:right w:val="nil"/>
            </w:tcBorders>
            <w:shd w:val="clear" w:color="auto" w:fill="auto"/>
            <w:noWrap/>
            <w:vAlign w:val="bottom"/>
            <w:hideMark/>
          </w:tcPr>
          <w:p w:rsidRPr="001837E8" w:rsidR="008A6750" w:rsidP="008A6750" w:rsidRDefault="008A6750" w14:paraId="4BBB5072"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21.06</w:t>
            </w:r>
          </w:p>
        </w:tc>
      </w:tr>
      <w:tr w:rsidRPr="00C83ED0" w:rsidR="00A127CF" w:rsidTr="00824112" w14:paraId="33150353" w14:textId="77777777">
        <w:trPr>
          <w:trHeight w:val="300"/>
          <w:jc w:val="center"/>
        </w:trPr>
        <w:tc>
          <w:tcPr>
            <w:tcW w:w="3540" w:type="dxa"/>
            <w:tcBorders>
              <w:top w:val="nil"/>
              <w:left w:val="nil"/>
              <w:bottom w:val="nil"/>
              <w:right w:val="nil"/>
            </w:tcBorders>
            <w:shd w:val="clear" w:color="auto" w:fill="auto"/>
            <w:noWrap/>
            <w:vAlign w:val="bottom"/>
            <w:hideMark/>
          </w:tcPr>
          <w:p w:rsidRPr="001837E8" w:rsidR="008A6750" w:rsidP="008A6750" w:rsidRDefault="008A6750" w14:paraId="5636366C"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Headquarters (15/4 equivalent)</w:t>
            </w:r>
          </w:p>
        </w:tc>
        <w:tc>
          <w:tcPr>
            <w:tcW w:w="960" w:type="dxa"/>
            <w:tcBorders>
              <w:top w:val="nil"/>
              <w:left w:val="nil"/>
              <w:bottom w:val="nil"/>
              <w:right w:val="nil"/>
            </w:tcBorders>
            <w:shd w:val="clear" w:color="auto" w:fill="auto"/>
            <w:noWrap/>
            <w:vAlign w:val="bottom"/>
            <w:hideMark/>
          </w:tcPr>
          <w:p w:rsidRPr="001837E8" w:rsidR="008A6750" w:rsidP="008A6750" w:rsidRDefault="008A6750" w14:paraId="78D2B78E"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72.90</w:t>
            </w:r>
          </w:p>
        </w:tc>
        <w:tc>
          <w:tcPr>
            <w:tcW w:w="1320" w:type="dxa"/>
            <w:tcBorders>
              <w:top w:val="nil"/>
              <w:left w:val="nil"/>
              <w:bottom w:val="nil"/>
              <w:right w:val="nil"/>
            </w:tcBorders>
            <w:shd w:val="clear" w:color="auto" w:fill="auto"/>
            <w:noWrap/>
            <w:vAlign w:val="bottom"/>
            <w:hideMark/>
          </w:tcPr>
          <w:p w:rsidRPr="001837E8" w:rsidR="008A6750" w:rsidP="008A6750" w:rsidRDefault="008A6750" w14:paraId="46D8B91F"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18.23</w:t>
            </w:r>
          </w:p>
        </w:tc>
        <w:tc>
          <w:tcPr>
            <w:tcW w:w="1530" w:type="dxa"/>
            <w:tcBorders>
              <w:top w:val="nil"/>
              <w:left w:val="nil"/>
              <w:bottom w:val="nil"/>
              <w:right w:val="nil"/>
            </w:tcBorders>
            <w:shd w:val="clear" w:color="auto" w:fill="auto"/>
            <w:noWrap/>
            <w:vAlign w:val="bottom"/>
            <w:hideMark/>
          </w:tcPr>
          <w:p w:rsidRPr="001837E8" w:rsidR="008A6750" w:rsidP="008A6750" w:rsidRDefault="008A6750" w14:paraId="0342C1E4"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91.13</w:t>
            </w:r>
          </w:p>
        </w:tc>
      </w:tr>
      <w:tr w:rsidRPr="00C83ED0" w:rsidR="00A127CF" w:rsidTr="00824112" w14:paraId="649C0974" w14:textId="77777777">
        <w:trPr>
          <w:trHeight w:val="300"/>
          <w:jc w:val="center"/>
        </w:trPr>
        <w:tc>
          <w:tcPr>
            <w:tcW w:w="3540" w:type="dxa"/>
            <w:tcBorders>
              <w:top w:val="nil"/>
              <w:left w:val="nil"/>
              <w:bottom w:val="nil"/>
              <w:right w:val="nil"/>
            </w:tcBorders>
            <w:shd w:val="clear" w:color="auto" w:fill="auto"/>
            <w:noWrap/>
            <w:vAlign w:val="bottom"/>
            <w:hideMark/>
          </w:tcPr>
          <w:p w:rsidRPr="001837E8" w:rsidR="008A6750" w:rsidP="008A6750" w:rsidRDefault="008A6750" w14:paraId="482D432C" w14:textId="77777777">
            <w:pPr>
              <w:spacing w:after="0" w:line="240" w:lineRule="auto"/>
              <w:jc w:val="right"/>
              <w:rPr>
                <w:rFonts w:ascii="Times New Roman" w:hAnsi="Times New Roman" w:eastAsia="Times New Roman" w:cs="Times New Roman"/>
                <w:bCs/>
                <w:szCs w:val="24"/>
              </w:rPr>
            </w:pPr>
          </w:p>
        </w:tc>
        <w:tc>
          <w:tcPr>
            <w:tcW w:w="960" w:type="dxa"/>
            <w:tcBorders>
              <w:top w:val="nil"/>
              <w:left w:val="nil"/>
              <w:bottom w:val="nil"/>
              <w:right w:val="nil"/>
            </w:tcBorders>
            <w:shd w:val="clear" w:color="auto" w:fill="auto"/>
            <w:noWrap/>
            <w:vAlign w:val="bottom"/>
            <w:hideMark/>
          </w:tcPr>
          <w:p w:rsidRPr="001837E8" w:rsidR="008A6750" w:rsidP="008A6750" w:rsidRDefault="008A6750" w14:paraId="0B76CC6C" w14:textId="77777777">
            <w:pPr>
              <w:spacing w:after="0" w:line="240" w:lineRule="auto"/>
              <w:rPr>
                <w:rFonts w:ascii="Times New Roman" w:hAnsi="Times New Roman" w:eastAsia="Times New Roman" w:cs="Times New Roman"/>
                <w:bCs/>
                <w:szCs w:val="24"/>
              </w:rPr>
            </w:pPr>
          </w:p>
        </w:tc>
        <w:tc>
          <w:tcPr>
            <w:tcW w:w="1320" w:type="dxa"/>
            <w:tcBorders>
              <w:top w:val="nil"/>
              <w:left w:val="nil"/>
              <w:bottom w:val="nil"/>
              <w:right w:val="nil"/>
            </w:tcBorders>
            <w:shd w:val="clear" w:color="auto" w:fill="auto"/>
            <w:noWrap/>
            <w:vAlign w:val="bottom"/>
            <w:hideMark/>
          </w:tcPr>
          <w:p w:rsidRPr="001837E8" w:rsidR="008A6750" w:rsidP="008A6750" w:rsidRDefault="008A6750" w14:paraId="678D121D" w14:textId="77777777">
            <w:pPr>
              <w:spacing w:after="0" w:line="240" w:lineRule="auto"/>
              <w:rPr>
                <w:rFonts w:ascii="Times New Roman" w:hAnsi="Times New Roman" w:eastAsia="Times New Roman" w:cs="Times New Roman"/>
                <w:bCs/>
                <w:szCs w:val="24"/>
              </w:rPr>
            </w:pPr>
          </w:p>
        </w:tc>
        <w:tc>
          <w:tcPr>
            <w:tcW w:w="1530" w:type="dxa"/>
            <w:tcBorders>
              <w:top w:val="nil"/>
              <w:left w:val="nil"/>
              <w:bottom w:val="nil"/>
              <w:right w:val="nil"/>
            </w:tcBorders>
            <w:shd w:val="clear" w:color="auto" w:fill="auto"/>
            <w:noWrap/>
            <w:vAlign w:val="bottom"/>
            <w:hideMark/>
          </w:tcPr>
          <w:p w:rsidRPr="001837E8" w:rsidR="008A6750" w:rsidP="008A6750" w:rsidRDefault="008A6750" w14:paraId="29FCDC4C" w14:textId="77777777">
            <w:pPr>
              <w:spacing w:after="0" w:line="240" w:lineRule="auto"/>
              <w:rPr>
                <w:rFonts w:ascii="Times New Roman" w:hAnsi="Times New Roman" w:eastAsia="Times New Roman" w:cs="Times New Roman"/>
                <w:bCs/>
                <w:szCs w:val="24"/>
              </w:rPr>
            </w:pPr>
          </w:p>
        </w:tc>
      </w:tr>
      <w:tr w:rsidRPr="00C83ED0" w:rsidR="008A6750" w:rsidTr="00824112" w14:paraId="4CF72F6B" w14:textId="77777777">
        <w:trPr>
          <w:trHeight w:val="300"/>
          <w:jc w:val="center"/>
        </w:trPr>
        <w:tc>
          <w:tcPr>
            <w:tcW w:w="3540" w:type="dxa"/>
            <w:tcBorders>
              <w:top w:val="nil"/>
              <w:left w:val="nil"/>
              <w:bottom w:val="nil"/>
              <w:right w:val="nil"/>
            </w:tcBorders>
            <w:shd w:val="clear" w:color="auto" w:fill="auto"/>
            <w:noWrap/>
            <w:vAlign w:val="bottom"/>
            <w:hideMark/>
          </w:tcPr>
          <w:p w:rsidRPr="001837E8" w:rsidR="008A6750" w:rsidP="008A6750" w:rsidRDefault="008A6750" w14:paraId="512389AC"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Average</w:t>
            </w:r>
          </w:p>
        </w:tc>
        <w:tc>
          <w:tcPr>
            <w:tcW w:w="960" w:type="dxa"/>
            <w:tcBorders>
              <w:top w:val="nil"/>
              <w:left w:val="nil"/>
              <w:bottom w:val="nil"/>
              <w:right w:val="nil"/>
            </w:tcBorders>
            <w:shd w:val="clear" w:color="auto" w:fill="auto"/>
            <w:noWrap/>
            <w:vAlign w:val="bottom"/>
            <w:hideMark/>
          </w:tcPr>
          <w:p w:rsidRPr="001837E8" w:rsidR="008A6750" w:rsidP="001837E8" w:rsidRDefault="008A6750" w14:paraId="5B655FDA"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25.48 </w:t>
            </w:r>
          </w:p>
        </w:tc>
        <w:tc>
          <w:tcPr>
            <w:tcW w:w="1320" w:type="dxa"/>
            <w:tcBorders>
              <w:top w:val="nil"/>
              <w:left w:val="nil"/>
              <w:bottom w:val="nil"/>
              <w:right w:val="nil"/>
            </w:tcBorders>
            <w:shd w:val="clear" w:color="auto" w:fill="auto"/>
            <w:noWrap/>
            <w:vAlign w:val="bottom"/>
            <w:hideMark/>
          </w:tcPr>
          <w:p w:rsidRPr="001837E8" w:rsidR="008A6750" w:rsidP="001837E8" w:rsidRDefault="008A6750" w14:paraId="5B1B1C43"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5.98 </w:t>
            </w:r>
          </w:p>
        </w:tc>
        <w:tc>
          <w:tcPr>
            <w:tcW w:w="1530" w:type="dxa"/>
            <w:tcBorders>
              <w:top w:val="nil"/>
              <w:left w:val="nil"/>
              <w:bottom w:val="nil"/>
              <w:right w:val="nil"/>
            </w:tcBorders>
            <w:shd w:val="clear" w:color="auto" w:fill="auto"/>
            <w:noWrap/>
            <w:vAlign w:val="bottom"/>
            <w:hideMark/>
          </w:tcPr>
          <w:p w:rsidRPr="001837E8" w:rsidR="008A6750" w:rsidP="001837E8" w:rsidRDefault="008A6750" w14:paraId="3A183006"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31.46 </w:t>
            </w:r>
          </w:p>
        </w:tc>
      </w:tr>
      <w:tr w:rsidRPr="00C83ED0" w:rsidR="00DD3190" w:rsidTr="00824112" w14:paraId="202FCDB2" w14:textId="77777777">
        <w:trPr>
          <w:trHeight w:val="300"/>
          <w:jc w:val="center"/>
        </w:trPr>
        <w:tc>
          <w:tcPr>
            <w:tcW w:w="3540" w:type="dxa"/>
            <w:tcBorders>
              <w:top w:val="nil"/>
              <w:left w:val="nil"/>
              <w:bottom w:val="nil"/>
              <w:right w:val="nil"/>
            </w:tcBorders>
            <w:shd w:val="clear" w:color="auto" w:fill="auto"/>
            <w:noWrap/>
            <w:vAlign w:val="bottom"/>
          </w:tcPr>
          <w:p w:rsidRPr="00517CEE" w:rsidR="00DD3190" w:rsidP="008A6750" w:rsidRDefault="00DD3190" w14:paraId="2A269C08" w14:textId="77777777">
            <w:pPr>
              <w:spacing w:after="0" w:line="240" w:lineRule="auto"/>
              <w:rPr>
                <w:rFonts w:ascii="Times New Roman" w:hAnsi="Times New Roman" w:eastAsia="Times New Roman" w:cs="Times New Roman"/>
                <w:bCs/>
                <w:szCs w:val="24"/>
              </w:rPr>
            </w:pPr>
          </w:p>
        </w:tc>
        <w:tc>
          <w:tcPr>
            <w:tcW w:w="960" w:type="dxa"/>
            <w:tcBorders>
              <w:top w:val="nil"/>
              <w:left w:val="nil"/>
              <w:bottom w:val="nil"/>
              <w:right w:val="nil"/>
            </w:tcBorders>
            <w:shd w:val="clear" w:color="auto" w:fill="auto"/>
            <w:noWrap/>
            <w:vAlign w:val="bottom"/>
          </w:tcPr>
          <w:p w:rsidRPr="00517CEE" w:rsidR="00DD3190" w:rsidP="008A6750" w:rsidRDefault="00DD3190" w14:paraId="263CB23A" w14:textId="77777777">
            <w:pPr>
              <w:spacing w:after="0" w:line="240" w:lineRule="auto"/>
              <w:rPr>
                <w:rFonts w:ascii="Times New Roman" w:hAnsi="Times New Roman" w:eastAsia="Times New Roman" w:cs="Times New Roman"/>
                <w:bCs/>
                <w:szCs w:val="24"/>
              </w:rPr>
            </w:pPr>
          </w:p>
        </w:tc>
        <w:tc>
          <w:tcPr>
            <w:tcW w:w="1320" w:type="dxa"/>
            <w:tcBorders>
              <w:top w:val="nil"/>
              <w:left w:val="nil"/>
              <w:bottom w:val="nil"/>
              <w:right w:val="nil"/>
            </w:tcBorders>
            <w:shd w:val="clear" w:color="auto" w:fill="auto"/>
            <w:noWrap/>
            <w:vAlign w:val="bottom"/>
          </w:tcPr>
          <w:p w:rsidRPr="00517CEE" w:rsidR="00DD3190" w:rsidP="008A6750" w:rsidRDefault="00DD3190" w14:paraId="018E3450" w14:textId="77777777">
            <w:pPr>
              <w:spacing w:after="0" w:line="240" w:lineRule="auto"/>
              <w:rPr>
                <w:rFonts w:ascii="Times New Roman" w:hAnsi="Times New Roman" w:eastAsia="Times New Roman" w:cs="Times New Roman"/>
                <w:bCs/>
                <w:szCs w:val="24"/>
              </w:rPr>
            </w:pPr>
          </w:p>
        </w:tc>
        <w:tc>
          <w:tcPr>
            <w:tcW w:w="1530" w:type="dxa"/>
            <w:tcBorders>
              <w:top w:val="nil"/>
              <w:left w:val="nil"/>
              <w:bottom w:val="nil"/>
              <w:right w:val="nil"/>
            </w:tcBorders>
            <w:shd w:val="clear" w:color="auto" w:fill="auto"/>
            <w:noWrap/>
            <w:vAlign w:val="bottom"/>
          </w:tcPr>
          <w:p w:rsidRPr="001837E8" w:rsidR="00DD3190" w:rsidP="008A6750" w:rsidRDefault="00DD3190" w14:paraId="4779A15A" w14:textId="77777777">
            <w:pPr>
              <w:spacing w:after="0" w:line="240" w:lineRule="auto"/>
              <w:rPr>
                <w:rFonts w:ascii="Times New Roman" w:hAnsi="Times New Roman" w:eastAsia="Times New Roman" w:cs="Times New Roman"/>
                <w:bCs/>
                <w:szCs w:val="24"/>
              </w:rPr>
            </w:pPr>
          </w:p>
        </w:tc>
      </w:tr>
    </w:tbl>
    <w:p w:rsidRPr="00517CEE" w:rsidR="008A6750" w:rsidP="00954864" w:rsidRDefault="008A6750" w14:paraId="41E30286" w14:textId="77777777">
      <w:pPr>
        <w:spacing w:after="120" w:line="240" w:lineRule="auto"/>
        <w:ind w:left="360"/>
        <w:rPr>
          <w:rFonts w:ascii="Times New Roman" w:hAnsi="Times New Roman" w:eastAsia="Times New Roman" w:cs="Times New Roman"/>
          <w:bCs/>
          <w:iCs/>
          <w:szCs w:val="24"/>
        </w:rPr>
      </w:pPr>
    </w:p>
    <w:p w:rsidR="00571EFC" w:rsidP="00954864" w:rsidRDefault="007C1002" w14:paraId="7204F388" w14:textId="192F262B">
      <w:pPr>
        <w:spacing w:after="120" w:line="240" w:lineRule="auto"/>
        <w:ind w:left="360"/>
        <w:rPr>
          <w:rFonts w:ascii="Times New Roman" w:hAnsi="Times New Roman" w:eastAsia="Times New Roman" w:cs="Times New Roman"/>
          <w:bCs/>
          <w:iCs/>
          <w:szCs w:val="24"/>
        </w:rPr>
      </w:pPr>
      <w:r w:rsidRPr="00BC12A8">
        <w:rPr>
          <w:rFonts w:ascii="Times New Roman" w:hAnsi="Times New Roman" w:eastAsia="Times New Roman" w:cs="Times New Roman"/>
          <w:bCs/>
          <w:iCs/>
          <w:szCs w:val="24"/>
        </w:rPr>
        <w:lastRenderedPageBreak/>
        <w:t xml:space="preserve"> </w:t>
      </w:r>
      <w:r w:rsidRPr="00BC12A8" w:rsidR="00B64BC0">
        <w:rPr>
          <w:rFonts w:ascii="Times New Roman" w:hAnsi="Times New Roman" w:eastAsia="Times New Roman" w:cs="Times New Roman"/>
          <w:bCs/>
          <w:iCs/>
          <w:szCs w:val="24"/>
        </w:rPr>
        <w:t xml:space="preserve">Using </w:t>
      </w:r>
      <w:r w:rsidRPr="00BC12A8">
        <w:rPr>
          <w:rFonts w:ascii="Times New Roman" w:hAnsi="Times New Roman" w:eastAsia="Times New Roman" w:cs="Times New Roman"/>
          <w:bCs/>
          <w:iCs/>
          <w:szCs w:val="24"/>
        </w:rPr>
        <w:t xml:space="preserve">the average staff salary of </w:t>
      </w:r>
      <w:r w:rsidRPr="00BC12A8" w:rsidR="0043094F">
        <w:rPr>
          <w:rFonts w:ascii="Times New Roman" w:hAnsi="Times New Roman" w:eastAsia="Times New Roman" w:cs="Times New Roman"/>
          <w:bCs/>
          <w:iCs/>
          <w:szCs w:val="24"/>
        </w:rPr>
        <w:t>$31.46 and approximate</w:t>
      </w:r>
      <w:r w:rsidRPr="00BC12A8" w:rsidR="00122E93">
        <w:rPr>
          <w:rFonts w:ascii="Times New Roman" w:hAnsi="Times New Roman" w:eastAsia="Times New Roman" w:cs="Times New Roman"/>
          <w:bCs/>
          <w:iCs/>
          <w:szCs w:val="24"/>
        </w:rPr>
        <w:t xml:space="preserve"> 16 hours per respondent </w:t>
      </w:r>
      <w:r w:rsidRPr="00BC12A8" w:rsidR="00BF3816">
        <w:rPr>
          <w:rFonts w:ascii="Times New Roman" w:hAnsi="Times New Roman" w:eastAsia="Times New Roman" w:cs="Times New Roman"/>
          <w:bCs/>
          <w:iCs/>
          <w:szCs w:val="24"/>
        </w:rPr>
        <w:t>to complete the re</w:t>
      </w:r>
      <w:r w:rsidRPr="00BC12A8" w:rsidR="00824112">
        <w:rPr>
          <w:rFonts w:ascii="Times New Roman" w:hAnsi="Times New Roman" w:eastAsia="Times New Roman" w:cs="Times New Roman"/>
          <w:bCs/>
          <w:iCs/>
          <w:szCs w:val="24"/>
        </w:rPr>
        <w:t xml:space="preserve">porting </w:t>
      </w:r>
      <w:r w:rsidRPr="00BC12A8" w:rsidR="00122E93">
        <w:rPr>
          <w:rFonts w:ascii="Times New Roman" w:hAnsi="Times New Roman" w:eastAsia="Times New Roman" w:cs="Times New Roman"/>
          <w:bCs/>
          <w:iCs/>
          <w:szCs w:val="24"/>
        </w:rPr>
        <w:t xml:space="preserve">the resulting cost </w:t>
      </w:r>
      <w:r w:rsidRPr="00BC12A8" w:rsidR="00824112">
        <w:rPr>
          <w:rFonts w:ascii="Times New Roman" w:hAnsi="Times New Roman" w:eastAsia="Times New Roman" w:cs="Times New Roman"/>
          <w:bCs/>
          <w:iCs/>
          <w:szCs w:val="24"/>
        </w:rPr>
        <w:t xml:space="preserve">is </w:t>
      </w:r>
      <w:r w:rsidRPr="00BC12A8" w:rsidR="00122E93">
        <w:rPr>
          <w:rFonts w:ascii="Times New Roman" w:hAnsi="Times New Roman" w:eastAsia="Times New Roman" w:cs="Times New Roman"/>
          <w:bCs/>
          <w:iCs/>
          <w:szCs w:val="24"/>
        </w:rPr>
        <w:t>$503.36</w:t>
      </w:r>
      <w:r w:rsidRPr="00BC12A8" w:rsidR="00824112">
        <w:rPr>
          <w:rFonts w:ascii="Times New Roman" w:hAnsi="Times New Roman" w:eastAsia="Times New Roman" w:cs="Times New Roman"/>
          <w:bCs/>
          <w:iCs/>
          <w:szCs w:val="24"/>
        </w:rPr>
        <w:t xml:space="preserve">. </w:t>
      </w:r>
      <w:r w:rsidRPr="00BC12A8" w:rsidR="00BF3816">
        <w:rPr>
          <w:rFonts w:ascii="Times New Roman" w:hAnsi="Times New Roman" w:eastAsia="Times New Roman" w:cs="Times New Roman"/>
          <w:bCs/>
          <w:iCs/>
          <w:szCs w:val="24"/>
        </w:rPr>
        <w:t xml:space="preserve">With 1,100 </w:t>
      </w:r>
      <w:r w:rsidRPr="00BC12A8" w:rsidR="0043094F">
        <w:rPr>
          <w:rFonts w:ascii="Times New Roman" w:hAnsi="Times New Roman" w:eastAsia="Times New Roman" w:cs="Times New Roman"/>
          <w:bCs/>
          <w:iCs/>
          <w:szCs w:val="24"/>
        </w:rPr>
        <w:t xml:space="preserve">PEPFAR-funded </w:t>
      </w:r>
      <w:r w:rsidRPr="00BC12A8" w:rsidR="00331933">
        <w:rPr>
          <w:rFonts w:ascii="Times New Roman" w:hAnsi="Times New Roman" w:eastAsia="Times New Roman" w:cs="Times New Roman"/>
          <w:bCs/>
          <w:iCs/>
          <w:szCs w:val="24"/>
        </w:rPr>
        <w:t xml:space="preserve">primary </w:t>
      </w:r>
      <w:r w:rsidRPr="00BC12A8" w:rsidR="00BF3816">
        <w:rPr>
          <w:rFonts w:ascii="Times New Roman" w:hAnsi="Times New Roman" w:eastAsia="Times New Roman" w:cs="Times New Roman"/>
          <w:bCs/>
          <w:iCs/>
          <w:szCs w:val="24"/>
        </w:rPr>
        <w:t xml:space="preserve">implementing </w:t>
      </w:r>
      <w:r w:rsidRPr="00BC12A8" w:rsidR="0043094F">
        <w:rPr>
          <w:rFonts w:ascii="Times New Roman" w:hAnsi="Times New Roman" w:eastAsia="Times New Roman" w:cs="Times New Roman"/>
          <w:bCs/>
          <w:iCs/>
          <w:szCs w:val="24"/>
        </w:rPr>
        <w:t xml:space="preserve">partners, </w:t>
      </w:r>
      <w:r w:rsidRPr="00BC12A8" w:rsidR="00122E93">
        <w:rPr>
          <w:rFonts w:ascii="Times New Roman" w:hAnsi="Times New Roman" w:eastAsia="Times New Roman" w:cs="Times New Roman"/>
          <w:bCs/>
          <w:iCs/>
          <w:szCs w:val="24"/>
        </w:rPr>
        <w:t xml:space="preserve">the total cost burden </w:t>
      </w:r>
      <w:r w:rsidRPr="00BC12A8" w:rsidR="00BF3816">
        <w:rPr>
          <w:rFonts w:ascii="Times New Roman" w:hAnsi="Times New Roman" w:eastAsia="Times New Roman" w:cs="Times New Roman"/>
          <w:bCs/>
          <w:iCs/>
          <w:szCs w:val="24"/>
        </w:rPr>
        <w:t>is $55</w:t>
      </w:r>
      <w:r w:rsidRPr="00BC12A8" w:rsidR="0043094F">
        <w:rPr>
          <w:rFonts w:ascii="Times New Roman" w:hAnsi="Times New Roman" w:eastAsia="Times New Roman" w:cs="Times New Roman"/>
          <w:bCs/>
          <w:iCs/>
          <w:szCs w:val="24"/>
        </w:rPr>
        <w:t>3</w:t>
      </w:r>
      <w:r w:rsidRPr="00BC12A8" w:rsidR="00BF3816">
        <w:rPr>
          <w:rFonts w:ascii="Times New Roman" w:hAnsi="Times New Roman" w:eastAsia="Times New Roman" w:cs="Times New Roman"/>
          <w:bCs/>
          <w:iCs/>
          <w:szCs w:val="24"/>
        </w:rPr>
        <w:t>,</w:t>
      </w:r>
      <w:r w:rsidRPr="00BC12A8" w:rsidR="0043094F">
        <w:rPr>
          <w:rFonts w:ascii="Times New Roman" w:hAnsi="Times New Roman" w:eastAsia="Times New Roman" w:cs="Times New Roman"/>
          <w:bCs/>
          <w:iCs/>
          <w:szCs w:val="24"/>
        </w:rPr>
        <w:t>696</w:t>
      </w:r>
      <w:r w:rsidRPr="00BC12A8" w:rsidR="00BF3816">
        <w:rPr>
          <w:rFonts w:ascii="Times New Roman" w:hAnsi="Times New Roman" w:eastAsia="Times New Roman" w:cs="Times New Roman"/>
          <w:bCs/>
          <w:iCs/>
          <w:szCs w:val="24"/>
        </w:rPr>
        <w:t>.</w:t>
      </w:r>
    </w:p>
    <w:p w:rsidRPr="00BC12A8" w:rsidR="00A75D3C" w:rsidP="00954864" w:rsidRDefault="00A75D3C" w14:paraId="40D7F0D9" w14:textId="77777777">
      <w:pPr>
        <w:spacing w:after="120" w:line="240" w:lineRule="auto"/>
        <w:ind w:left="360"/>
        <w:rPr>
          <w:rFonts w:ascii="Times New Roman" w:hAnsi="Times New Roman" w:eastAsia="Times New Roman" w:cs="Times New Roman"/>
          <w:bCs/>
          <w:iCs/>
          <w:szCs w:val="24"/>
        </w:rPr>
      </w:pPr>
    </w:p>
    <w:p w:rsidRPr="00BC12A8" w:rsidR="00D37793" w:rsidP="00954864" w:rsidRDefault="00BF3816" w14:paraId="242A95E4" w14:textId="77777777">
      <w:pPr>
        <w:spacing w:after="120" w:line="240" w:lineRule="auto"/>
        <w:ind w:left="360"/>
        <w:rPr>
          <w:rFonts w:ascii="Times New Roman" w:hAnsi="Times New Roman" w:eastAsia="Times New Roman" w:cs="Times New Roman"/>
          <w:bCs/>
          <w:iCs/>
          <w:szCs w:val="24"/>
        </w:rPr>
      </w:pPr>
      <w:r w:rsidRPr="00BC12A8">
        <w:rPr>
          <w:rFonts w:ascii="Times New Roman" w:hAnsi="Times New Roman" w:eastAsia="Times New Roman" w:cs="Times New Roman"/>
          <w:bCs/>
          <w:iCs/>
          <w:szCs w:val="24"/>
        </w:rPr>
        <w:t xml:space="preserve">  </w:t>
      </w:r>
    </w:p>
    <w:tbl>
      <w:tblPr>
        <w:tblStyle w:val="TableGridLight"/>
        <w:tblW w:w="6185" w:type="dxa"/>
        <w:tblInd w:w="1165" w:type="dxa"/>
        <w:tblLook w:val="04A0" w:firstRow="1" w:lastRow="0" w:firstColumn="1" w:lastColumn="0" w:noHBand="0" w:noVBand="1"/>
      </w:tblPr>
      <w:tblGrid>
        <w:gridCol w:w="2375"/>
        <w:gridCol w:w="960"/>
        <w:gridCol w:w="1320"/>
        <w:gridCol w:w="1530"/>
      </w:tblGrid>
      <w:tr w:rsidRPr="00C83ED0" w:rsidR="00D37793" w:rsidTr="001837E8" w14:paraId="57E187E5" w14:textId="77777777">
        <w:trPr>
          <w:trHeight w:val="300"/>
        </w:trPr>
        <w:tc>
          <w:tcPr>
            <w:tcW w:w="6185" w:type="dxa"/>
            <w:gridSpan w:val="4"/>
            <w:shd w:val="clear" w:color="auto" w:fill="auto"/>
            <w:noWrap/>
          </w:tcPr>
          <w:p w:rsidRPr="001837E8" w:rsidR="00D37793" w:rsidP="0040488C" w:rsidRDefault="00D37793" w14:paraId="10C51B8E" w14:textId="77777777">
            <w:pPr>
              <w:jc w:val="center"/>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Sample of </w:t>
            </w:r>
            <w:proofErr w:type="spellStart"/>
            <w:r w:rsidRPr="001837E8">
              <w:rPr>
                <w:rFonts w:ascii="Times New Roman" w:hAnsi="Times New Roman" w:eastAsia="Times New Roman" w:cs="Times New Roman"/>
                <w:bCs/>
                <w:szCs w:val="24"/>
              </w:rPr>
              <w:t>Subrecipient</w:t>
            </w:r>
            <w:proofErr w:type="spellEnd"/>
            <w:r w:rsidRPr="001837E8">
              <w:rPr>
                <w:rFonts w:ascii="Times New Roman" w:hAnsi="Times New Roman" w:eastAsia="Times New Roman" w:cs="Times New Roman"/>
                <w:bCs/>
                <w:szCs w:val="24"/>
              </w:rPr>
              <w:t xml:space="preserve"> Accounting Staff Salaries</w:t>
            </w:r>
          </w:p>
          <w:p w:rsidRPr="001837E8" w:rsidR="00D37793" w:rsidP="0040488C" w:rsidRDefault="00D37793" w14:paraId="74BED440" w14:textId="77777777">
            <w:pPr>
              <w:jc w:val="center"/>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w:t>
            </w:r>
          </w:p>
        </w:tc>
      </w:tr>
      <w:tr w:rsidRPr="00C83ED0" w:rsidR="00D37793" w:rsidTr="001837E8" w14:paraId="44ABFFD9" w14:textId="77777777">
        <w:trPr>
          <w:trHeight w:val="300"/>
        </w:trPr>
        <w:tc>
          <w:tcPr>
            <w:tcW w:w="2375" w:type="dxa"/>
            <w:shd w:val="clear" w:color="auto" w:fill="auto"/>
            <w:noWrap/>
            <w:hideMark/>
          </w:tcPr>
          <w:p w:rsidRPr="001837E8" w:rsidR="00D37793" w:rsidP="0040488C" w:rsidRDefault="00D37793" w14:paraId="022744B8" w14:textId="77777777">
            <w:pPr>
              <w:rPr>
                <w:rFonts w:ascii="Times New Roman" w:hAnsi="Times New Roman" w:eastAsia="Times New Roman" w:cs="Times New Roman"/>
                <w:bCs/>
                <w:szCs w:val="24"/>
              </w:rPr>
            </w:pPr>
          </w:p>
        </w:tc>
        <w:tc>
          <w:tcPr>
            <w:tcW w:w="960" w:type="dxa"/>
            <w:shd w:val="clear" w:color="auto" w:fill="auto"/>
            <w:noWrap/>
            <w:hideMark/>
          </w:tcPr>
          <w:p w:rsidRPr="001837E8" w:rsidR="00D37793" w:rsidP="0040488C" w:rsidRDefault="00D37793" w14:paraId="3784093B" w14:textId="77777777">
            <w:pPr>
              <w:jc w:val="center"/>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Salary </w:t>
            </w:r>
          </w:p>
        </w:tc>
        <w:tc>
          <w:tcPr>
            <w:tcW w:w="1320" w:type="dxa"/>
            <w:shd w:val="clear" w:color="auto" w:fill="auto"/>
            <w:noWrap/>
            <w:hideMark/>
          </w:tcPr>
          <w:p w:rsidRPr="001837E8" w:rsidR="00D37793" w:rsidP="0040488C" w:rsidRDefault="00D37793" w14:paraId="5F62F3BA" w14:textId="77777777">
            <w:pPr>
              <w:jc w:val="center"/>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Fringe </w:t>
            </w:r>
          </w:p>
        </w:tc>
        <w:tc>
          <w:tcPr>
            <w:tcW w:w="1530" w:type="dxa"/>
            <w:shd w:val="clear" w:color="auto" w:fill="auto"/>
            <w:noWrap/>
            <w:hideMark/>
          </w:tcPr>
          <w:p w:rsidRPr="001837E8" w:rsidR="00D37793" w:rsidP="0040488C" w:rsidRDefault="00D37793" w14:paraId="722D0880" w14:textId="77777777">
            <w:pPr>
              <w:jc w:val="center"/>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Total </w:t>
            </w:r>
          </w:p>
        </w:tc>
      </w:tr>
      <w:tr w:rsidRPr="00C83ED0" w:rsidR="00D37793" w:rsidTr="001837E8" w14:paraId="3F1D21EB" w14:textId="77777777">
        <w:trPr>
          <w:trHeight w:val="300"/>
        </w:trPr>
        <w:tc>
          <w:tcPr>
            <w:tcW w:w="2375" w:type="dxa"/>
            <w:shd w:val="clear" w:color="auto" w:fill="auto"/>
            <w:noWrap/>
            <w:hideMark/>
          </w:tcPr>
          <w:p w:rsidRPr="001837E8" w:rsidR="00D37793" w:rsidP="0040488C" w:rsidRDefault="00D37793" w14:paraId="158310A9" w14:textId="77777777">
            <w:pPr>
              <w:rPr>
                <w:rFonts w:ascii="Times New Roman" w:hAnsi="Times New Roman" w:eastAsia="Times New Roman" w:cs="Times New Roman"/>
                <w:bCs/>
                <w:szCs w:val="24"/>
              </w:rPr>
            </w:pPr>
            <w:r w:rsidRPr="001837E8">
              <w:rPr>
                <w:rFonts w:ascii="Times New Roman" w:hAnsi="Times New Roman" w:eastAsia="Times New Roman" w:cs="Times New Roman"/>
                <w:bCs/>
                <w:szCs w:val="24"/>
              </w:rPr>
              <w:t>Nigeria</w:t>
            </w:r>
          </w:p>
        </w:tc>
        <w:tc>
          <w:tcPr>
            <w:tcW w:w="960" w:type="dxa"/>
            <w:shd w:val="clear" w:color="auto" w:fill="auto"/>
            <w:noWrap/>
            <w:hideMark/>
          </w:tcPr>
          <w:p w:rsidRPr="001837E8" w:rsidR="00D37793" w:rsidP="0040488C" w:rsidRDefault="00D37793" w14:paraId="6022DB4A" w14:textId="77777777">
            <w:pPr>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18.77</w:t>
            </w:r>
          </w:p>
        </w:tc>
        <w:tc>
          <w:tcPr>
            <w:tcW w:w="1320" w:type="dxa"/>
            <w:shd w:val="clear" w:color="auto" w:fill="auto"/>
            <w:noWrap/>
            <w:hideMark/>
          </w:tcPr>
          <w:p w:rsidRPr="001837E8" w:rsidR="00D37793" w:rsidP="0040488C" w:rsidRDefault="00D37793" w14:paraId="3443930E" w14:textId="77777777">
            <w:pPr>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3.78</w:t>
            </w:r>
          </w:p>
        </w:tc>
        <w:tc>
          <w:tcPr>
            <w:tcW w:w="1530" w:type="dxa"/>
            <w:shd w:val="clear" w:color="auto" w:fill="auto"/>
            <w:noWrap/>
            <w:hideMark/>
          </w:tcPr>
          <w:p w:rsidRPr="001837E8" w:rsidR="00D37793" w:rsidP="0040488C" w:rsidRDefault="00D37793" w14:paraId="1F6D4C84" w14:textId="77777777">
            <w:pPr>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22.55</w:t>
            </w:r>
          </w:p>
        </w:tc>
      </w:tr>
      <w:tr w:rsidRPr="00C83ED0" w:rsidR="00D37793" w:rsidTr="001837E8" w14:paraId="1B3004BF" w14:textId="77777777">
        <w:trPr>
          <w:trHeight w:val="300"/>
        </w:trPr>
        <w:tc>
          <w:tcPr>
            <w:tcW w:w="2375" w:type="dxa"/>
            <w:shd w:val="clear" w:color="auto" w:fill="auto"/>
            <w:noWrap/>
            <w:hideMark/>
          </w:tcPr>
          <w:p w:rsidRPr="001837E8" w:rsidR="00D37793" w:rsidP="0040488C" w:rsidRDefault="00D37793" w14:paraId="5BAB1687" w14:textId="77777777">
            <w:pPr>
              <w:rPr>
                <w:rFonts w:ascii="Times New Roman" w:hAnsi="Times New Roman" w:eastAsia="Times New Roman" w:cs="Times New Roman"/>
                <w:bCs/>
                <w:szCs w:val="24"/>
              </w:rPr>
            </w:pPr>
            <w:r w:rsidRPr="001837E8">
              <w:rPr>
                <w:rFonts w:ascii="Times New Roman" w:hAnsi="Times New Roman" w:eastAsia="Times New Roman" w:cs="Times New Roman"/>
                <w:bCs/>
                <w:szCs w:val="24"/>
              </w:rPr>
              <w:t>Cambodia</w:t>
            </w:r>
          </w:p>
        </w:tc>
        <w:tc>
          <w:tcPr>
            <w:tcW w:w="960" w:type="dxa"/>
            <w:shd w:val="clear" w:color="auto" w:fill="auto"/>
            <w:noWrap/>
            <w:hideMark/>
          </w:tcPr>
          <w:p w:rsidRPr="001837E8" w:rsidR="00D37793" w:rsidP="0040488C" w:rsidRDefault="00D37793" w14:paraId="4D8C10EF" w14:textId="77777777">
            <w:pPr>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7.01</w:t>
            </w:r>
          </w:p>
        </w:tc>
        <w:tc>
          <w:tcPr>
            <w:tcW w:w="1320" w:type="dxa"/>
            <w:shd w:val="clear" w:color="auto" w:fill="auto"/>
            <w:noWrap/>
            <w:hideMark/>
          </w:tcPr>
          <w:p w:rsidRPr="001837E8" w:rsidR="00D37793" w:rsidP="0040488C" w:rsidRDefault="00D37793" w14:paraId="11727D24" w14:textId="77777777">
            <w:pPr>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1.00</w:t>
            </w:r>
          </w:p>
        </w:tc>
        <w:tc>
          <w:tcPr>
            <w:tcW w:w="1530" w:type="dxa"/>
            <w:shd w:val="clear" w:color="auto" w:fill="auto"/>
            <w:noWrap/>
            <w:hideMark/>
          </w:tcPr>
          <w:p w:rsidRPr="001837E8" w:rsidR="00D37793" w:rsidP="0040488C" w:rsidRDefault="00D37793" w14:paraId="70377929" w14:textId="77777777">
            <w:pPr>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8.01</w:t>
            </w:r>
          </w:p>
        </w:tc>
      </w:tr>
      <w:tr w:rsidRPr="00C83ED0" w:rsidR="00D37793" w:rsidTr="001837E8" w14:paraId="6575AC8D" w14:textId="77777777">
        <w:trPr>
          <w:trHeight w:val="300"/>
        </w:trPr>
        <w:tc>
          <w:tcPr>
            <w:tcW w:w="2375" w:type="dxa"/>
            <w:shd w:val="clear" w:color="auto" w:fill="auto"/>
            <w:noWrap/>
            <w:hideMark/>
          </w:tcPr>
          <w:p w:rsidRPr="001837E8" w:rsidR="00D37793" w:rsidP="0040488C" w:rsidRDefault="00D37793" w14:paraId="1C32C7C4" w14:textId="77777777">
            <w:pPr>
              <w:rPr>
                <w:rFonts w:ascii="Times New Roman" w:hAnsi="Times New Roman" w:eastAsia="Times New Roman" w:cs="Times New Roman"/>
                <w:bCs/>
                <w:szCs w:val="24"/>
              </w:rPr>
            </w:pPr>
            <w:r w:rsidRPr="001837E8">
              <w:rPr>
                <w:rFonts w:ascii="Times New Roman" w:hAnsi="Times New Roman" w:eastAsia="Times New Roman" w:cs="Times New Roman"/>
                <w:bCs/>
                <w:szCs w:val="24"/>
              </w:rPr>
              <w:t>Kenya</w:t>
            </w:r>
          </w:p>
        </w:tc>
        <w:tc>
          <w:tcPr>
            <w:tcW w:w="960" w:type="dxa"/>
            <w:shd w:val="clear" w:color="auto" w:fill="auto"/>
            <w:noWrap/>
            <w:hideMark/>
          </w:tcPr>
          <w:p w:rsidRPr="001837E8" w:rsidR="00D37793" w:rsidP="0040488C" w:rsidRDefault="00D37793" w14:paraId="63265C67" w14:textId="77777777">
            <w:pPr>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11.87</w:t>
            </w:r>
          </w:p>
        </w:tc>
        <w:tc>
          <w:tcPr>
            <w:tcW w:w="1320" w:type="dxa"/>
            <w:shd w:val="clear" w:color="auto" w:fill="auto"/>
            <w:noWrap/>
            <w:hideMark/>
          </w:tcPr>
          <w:p w:rsidRPr="001837E8" w:rsidR="00D37793" w:rsidP="0040488C" w:rsidRDefault="00D37793" w14:paraId="51B3D015" w14:textId="77777777">
            <w:pPr>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2.66</w:t>
            </w:r>
          </w:p>
        </w:tc>
        <w:tc>
          <w:tcPr>
            <w:tcW w:w="1530" w:type="dxa"/>
            <w:shd w:val="clear" w:color="auto" w:fill="auto"/>
            <w:noWrap/>
            <w:hideMark/>
          </w:tcPr>
          <w:p w:rsidRPr="001837E8" w:rsidR="00D37793" w:rsidP="0040488C" w:rsidRDefault="00D37793" w14:paraId="7A428859" w14:textId="77777777">
            <w:pPr>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14.53</w:t>
            </w:r>
          </w:p>
        </w:tc>
      </w:tr>
      <w:tr w:rsidRPr="00C83ED0" w:rsidR="00D37793" w:rsidTr="001837E8" w14:paraId="10B6E772" w14:textId="77777777">
        <w:trPr>
          <w:trHeight w:val="300"/>
        </w:trPr>
        <w:tc>
          <w:tcPr>
            <w:tcW w:w="2375" w:type="dxa"/>
            <w:shd w:val="clear" w:color="auto" w:fill="auto"/>
            <w:noWrap/>
            <w:hideMark/>
          </w:tcPr>
          <w:p w:rsidRPr="001837E8" w:rsidR="00D37793" w:rsidP="0040488C" w:rsidRDefault="00D37793" w14:paraId="6E697E8D" w14:textId="77777777">
            <w:pPr>
              <w:rPr>
                <w:rFonts w:ascii="Times New Roman" w:hAnsi="Times New Roman" w:eastAsia="Times New Roman" w:cs="Times New Roman"/>
                <w:bCs/>
                <w:szCs w:val="24"/>
              </w:rPr>
            </w:pPr>
            <w:r w:rsidRPr="001837E8">
              <w:rPr>
                <w:rFonts w:ascii="Times New Roman" w:hAnsi="Times New Roman" w:eastAsia="Times New Roman" w:cs="Times New Roman"/>
                <w:bCs/>
                <w:szCs w:val="24"/>
              </w:rPr>
              <w:t>El Salvador</w:t>
            </w:r>
          </w:p>
        </w:tc>
        <w:tc>
          <w:tcPr>
            <w:tcW w:w="960" w:type="dxa"/>
            <w:shd w:val="clear" w:color="auto" w:fill="auto"/>
            <w:noWrap/>
            <w:hideMark/>
          </w:tcPr>
          <w:p w:rsidRPr="001837E8" w:rsidR="00D37793" w:rsidP="0040488C" w:rsidRDefault="00D37793" w14:paraId="6028E58D" w14:textId="77777777">
            <w:pPr>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16.85</w:t>
            </w:r>
          </w:p>
        </w:tc>
        <w:tc>
          <w:tcPr>
            <w:tcW w:w="1320" w:type="dxa"/>
            <w:shd w:val="clear" w:color="auto" w:fill="auto"/>
            <w:noWrap/>
            <w:hideMark/>
          </w:tcPr>
          <w:p w:rsidRPr="001837E8" w:rsidR="00D37793" w:rsidP="0040488C" w:rsidRDefault="00D37793" w14:paraId="1BFB35A8" w14:textId="77777777">
            <w:pPr>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4.21</w:t>
            </w:r>
          </w:p>
        </w:tc>
        <w:tc>
          <w:tcPr>
            <w:tcW w:w="1530" w:type="dxa"/>
            <w:shd w:val="clear" w:color="auto" w:fill="auto"/>
            <w:noWrap/>
            <w:hideMark/>
          </w:tcPr>
          <w:p w:rsidRPr="001837E8" w:rsidR="00D37793" w:rsidP="0040488C" w:rsidRDefault="00D37793" w14:paraId="0F4622EF" w14:textId="77777777">
            <w:pPr>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21.06</w:t>
            </w:r>
          </w:p>
        </w:tc>
      </w:tr>
      <w:tr w:rsidRPr="00C83ED0" w:rsidR="00D37793" w:rsidTr="001837E8" w14:paraId="47FA30F3" w14:textId="77777777">
        <w:trPr>
          <w:trHeight w:val="300"/>
        </w:trPr>
        <w:tc>
          <w:tcPr>
            <w:tcW w:w="2375" w:type="dxa"/>
            <w:shd w:val="clear" w:color="auto" w:fill="auto"/>
            <w:noWrap/>
            <w:hideMark/>
          </w:tcPr>
          <w:p w:rsidRPr="001837E8" w:rsidR="00D37793" w:rsidP="0040488C" w:rsidRDefault="00D37793" w14:paraId="53D9B1DE" w14:textId="77777777">
            <w:pPr>
              <w:rPr>
                <w:rFonts w:ascii="Times New Roman" w:hAnsi="Times New Roman" w:eastAsia="Times New Roman" w:cs="Times New Roman"/>
                <w:bCs/>
                <w:szCs w:val="24"/>
              </w:rPr>
            </w:pPr>
            <w:r w:rsidRPr="001837E8">
              <w:rPr>
                <w:rFonts w:ascii="Times New Roman" w:hAnsi="Times New Roman" w:eastAsia="Times New Roman" w:cs="Times New Roman"/>
                <w:bCs/>
                <w:szCs w:val="24"/>
              </w:rPr>
              <w:t>Average</w:t>
            </w:r>
          </w:p>
        </w:tc>
        <w:tc>
          <w:tcPr>
            <w:tcW w:w="960" w:type="dxa"/>
            <w:shd w:val="clear" w:color="auto" w:fill="auto"/>
            <w:noWrap/>
            <w:hideMark/>
          </w:tcPr>
          <w:p w:rsidRPr="001837E8" w:rsidR="00D37793" w:rsidP="001837E8" w:rsidRDefault="00D37793" w14:paraId="618966FD" w14:textId="2319092F">
            <w:pPr>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13.63 </w:t>
            </w:r>
          </w:p>
        </w:tc>
        <w:tc>
          <w:tcPr>
            <w:tcW w:w="1320" w:type="dxa"/>
            <w:shd w:val="clear" w:color="auto" w:fill="auto"/>
            <w:noWrap/>
            <w:hideMark/>
          </w:tcPr>
          <w:p w:rsidRPr="001837E8" w:rsidR="00D37793" w:rsidP="001837E8" w:rsidRDefault="00D37793" w14:paraId="6F40F3D7" w14:textId="77777777">
            <w:pPr>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2.91 </w:t>
            </w:r>
          </w:p>
        </w:tc>
        <w:tc>
          <w:tcPr>
            <w:tcW w:w="1530" w:type="dxa"/>
            <w:shd w:val="clear" w:color="auto" w:fill="auto"/>
            <w:noWrap/>
            <w:hideMark/>
          </w:tcPr>
          <w:p w:rsidRPr="001837E8" w:rsidR="00D37793" w:rsidP="001837E8" w:rsidRDefault="00D37793" w14:paraId="29D76995" w14:textId="77777777">
            <w:pPr>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16.54 </w:t>
            </w:r>
          </w:p>
        </w:tc>
      </w:tr>
    </w:tbl>
    <w:p w:rsidRPr="00517CEE" w:rsidR="004D7A93" w:rsidP="00954864" w:rsidRDefault="004D7A93" w14:paraId="3CE4A2AD" w14:textId="3C3AF782">
      <w:pPr>
        <w:spacing w:after="120" w:line="240" w:lineRule="auto"/>
        <w:ind w:left="360"/>
        <w:rPr>
          <w:rFonts w:ascii="Times New Roman" w:hAnsi="Times New Roman" w:eastAsia="Times New Roman" w:cs="Times New Roman"/>
          <w:bCs/>
          <w:iCs/>
          <w:szCs w:val="24"/>
        </w:rPr>
      </w:pPr>
    </w:p>
    <w:p w:rsidRPr="00CC3DFC" w:rsidR="00766710" w:rsidP="6F83A5B1" w:rsidRDefault="6F83A5B1" w14:paraId="5BD72795" w14:textId="66EE88C7">
      <w:pPr>
        <w:spacing w:after="120" w:line="240" w:lineRule="auto"/>
        <w:ind w:left="360"/>
        <w:rPr>
          <w:rFonts w:ascii="Times New Roman" w:hAnsi="Times New Roman" w:eastAsia="Times New Roman" w:cs="Times New Roman"/>
        </w:rPr>
      </w:pPr>
      <w:r w:rsidRPr="6F83A5B1">
        <w:rPr>
          <w:rFonts w:ascii="Times New Roman" w:hAnsi="Times New Roman" w:eastAsia="Times New Roman" w:cs="Times New Roman"/>
        </w:rPr>
        <w:t xml:space="preserve">The calculation of the hourly rate of </w:t>
      </w:r>
      <w:proofErr w:type="spellStart"/>
      <w:r w:rsidRPr="6F83A5B1">
        <w:rPr>
          <w:rFonts w:ascii="Times New Roman" w:hAnsi="Times New Roman" w:eastAsia="Times New Roman" w:cs="Times New Roman"/>
        </w:rPr>
        <w:t>subrecipient</w:t>
      </w:r>
      <w:proofErr w:type="spellEnd"/>
      <w:r w:rsidRPr="6F83A5B1">
        <w:rPr>
          <w:rFonts w:ascii="Times New Roman" w:hAnsi="Times New Roman" w:eastAsia="Times New Roman" w:cs="Times New Roman"/>
        </w:rPr>
        <w:t xml:space="preserve"> accountants is based on the sample used to determine primary implementing partner accounting staff salaries. Given that </w:t>
      </w:r>
      <w:proofErr w:type="spellStart"/>
      <w:r w:rsidRPr="6F83A5B1">
        <w:rPr>
          <w:rFonts w:ascii="Times New Roman" w:hAnsi="Times New Roman" w:eastAsia="Times New Roman" w:cs="Times New Roman"/>
        </w:rPr>
        <w:t>subrecipients</w:t>
      </w:r>
      <w:proofErr w:type="spellEnd"/>
      <w:r w:rsidRPr="6F83A5B1">
        <w:rPr>
          <w:rFonts w:ascii="Times New Roman" w:hAnsi="Times New Roman" w:eastAsia="Times New Roman" w:cs="Times New Roman"/>
        </w:rPr>
        <w:t xml:space="preserve"> are primarily indigenous entities in the countries where PEPFAR works, the cost of headquarters staff is removed from the calculation.  </w:t>
      </w:r>
    </w:p>
    <w:p w:rsidRPr="00BC12A8" w:rsidR="00766710" w:rsidP="6F83A5B1" w:rsidRDefault="6F83A5B1" w14:paraId="681666FA" w14:textId="6C9E5EDC">
      <w:pPr>
        <w:spacing w:after="120" w:line="240" w:lineRule="auto"/>
        <w:ind w:left="360"/>
        <w:rPr>
          <w:rFonts w:ascii="Times New Roman" w:hAnsi="Times New Roman" w:eastAsia="Times New Roman" w:cs="Times New Roman"/>
        </w:rPr>
      </w:pPr>
      <w:r w:rsidRPr="6F83A5B1">
        <w:rPr>
          <w:rFonts w:ascii="Times New Roman" w:hAnsi="Times New Roman" w:eastAsia="Times New Roman" w:cs="Times New Roman"/>
        </w:rPr>
        <w:t xml:space="preserve">Using the average staff salary of $16.54 and approximate 16 hours per respondent to complete the reporting the resulting cost is $264.46. The total cost burden for 2,945 </w:t>
      </w:r>
      <w:proofErr w:type="spellStart"/>
      <w:r w:rsidRPr="6F83A5B1">
        <w:rPr>
          <w:rFonts w:ascii="Times New Roman" w:hAnsi="Times New Roman" w:eastAsia="Times New Roman" w:cs="Times New Roman"/>
        </w:rPr>
        <w:t>subrecipients</w:t>
      </w:r>
      <w:proofErr w:type="spellEnd"/>
      <w:r w:rsidRPr="6F83A5B1">
        <w:rPr>
          <w:rFonts w:ascii="Times New Roman" w:hAnsi="Times New Roman" w:eastAsia="Times New Roman" w:cs="Times New Roman"/>
        </w:rPr>
        <w:t xml:space="preserve"> is $778,835.</w:t>
      </w:r>
    </w:p>
    <w:p w:rsidRPr="00BC12A8" w:rsidR="00EB2598" w:rsidP="00EB2598" w:rsidRDefault="00EB2598" w14:paraId="4AAAFE62" w14:textId="77777777">
      <w:pPr>
        <w:numPr>
          <w:ilvl w:val="0"/>
          <w:numId w:val="1"/>
        </w:numPr>
        <w:spacing w:after="120" w:line="240" w:lineRule="auto"/>
        <w:rPr>
          <w:rFonts w:ascii="Times New Roman" w:hAnsi="Times New Roman" w:eastAsia="Times New Roman" w:cs="Times New Roman"/>
          <w:bCs/>
          <w:i/>
          <w:szCs w:val="24"/>
        </w:rPr>
      </w:pPr>
      <w:r w:rsidRPr="00BC12A8">
        <w:rPr>
          <w:rFonts w:ascii="Times New Roman" w:hAnsi="Times New Roman" w:eastAsia="Times New Roman" w:cs="Times New Roman"/>
          <w:bCs/>
          <w:i/>
          <w:szCs w:val="24"/>
        </w:rPr>
        <w:t xml:space="preserve"> Describe the monetary burden to respondents (out of pocket costs) needed to complete this collection.</w:t>
      </w:r>
    </w:p>
    <w:p w:rsidRPr="00BC12A8" w:rsidR="00954864" w:rsidP="00954864" w:rsidRDefault="00F60D98" w14:paraId="1CEDC780" w14:textId="77777777">
      <w:pPr>
        <w:spacing w:after="120" w:line="240" w:lineRule="auto"/>
        <w:ind w:left="360"/>
        <w:rPr>
          <w:rFonts w:ascii="Times New Roman" w:hAnsi="Times New Roman" w:eastAsia="Times New Roman" w:cs="Times New Roman"/>
          <w:bCs/>
          <w:iCs/>
          <w:szCs w:val="24"/>
        </w:rPr>
      </w:pPr>
      <w:r w:rsidRPr="00BC12A8">
        <w:rPr>
          <w:rFonts w:ascii="Times New Roman" w:hAnsi="Times New Roman" w:eastAsia="Times New Roman" w:cs="Times New Roman"/>
          <w:bCs/>
          <w:iCs/>
          <w:szCs w:val="24"/>
        </w:rPr>
        <w:t xml:space="preserve">There are no costs to respondents beyond normal and customary business practices. </w:t>
      </w:r>
    </w:p>
    <w:p w:rsidRPr="00BC12A8" w:rsidR="00F60D98" w:rsidP="00954864" w:rsidRDefault="00F60D98" w14:paraId="690B416E" w14:textId="77777777">
      <w:pPr>
        <w:spacing w:after="120" w:line="240" w:lineRule="auto"/>
        <w:ind w:left="360"/>
        <w:rPr>
          <w:rFonts w:ascii="Times New Roman" w:hAnsi="Times New Roman" w:eastAsia="Times New Roman" w:cs="Times New Roman"/>
          <w:bCs/>
          <w:iCs/>
          <w:szCs w:val="24"/>
        </w:rPr>
      </w:pPr>
    </w:p>
    <w:p w:rsidRPr="00BC12A8" w:rsidR="00EB2598" w:rsidP="00EB2598" w:rsidRDefault="00EB2598" w14:paraId="6FDA012F" w14:textId="77777777">
      <w:pPr>
        <w:numPr>
          <w:ilvl w:val="0"/>
          <w:numId w:val="1"/>
        </w:numPr>
        <w:spacing w:after="120" w:line="240" w:lineRule="auto"/>
        <w:rPr>
          <w:rFonts w:ascii="Times New Roman" w:hAnsi="Times New Roman" w:eastAsia="Times New Roman" w:cs="Times New Roman"/>
          <w:bCs/>
          <w:i/>
          <w:szCs w:val="24"/>
        </w:rPr>
      </w:pPr>
      <w:r w:rsidRPr="00BC12A8">
        <w:rPr>
          <w:rFonts w:ascii="Times New Roman" w:hAnsi="Times New Roman" w:eastAsia="Times New Roman" w:cs="Times New Roman"/>
          <w:bCs/>
          <w:i/>
          <w:szCs w:val="24"/>
        </w:rPr>
        <w:t>Describe the cost incurred by the Federal Government to complete this collection.</w:t>
      </w:r>
    </w:p>
    <w:p w:rsidRPr="007E5CB4" w:rsidR="00EB2598" w:rsidP="00EB2598" w:rsidRDefault="00F60D98" w14:paraId="196C5B51" w14:textId="50E5B8DB">
      <w:pPr>
        <w:spacing w:after="120" w:line="240" w:lineRule="auto"/>
        <w:ind w:left="360"/>
        <w:rPr>
          <w:rFonts w:ascii="Times New Roman" w:hAnsi="Times New Roman" w:eastAsia="Times New Roman" w:cs="Times New Roman"/>
          <w:bCs/>
          <w:szCs w:val="24"/>
        </w:rPr>
      </w:pPr>
      <w:r w:rsidRPr="00BC12A8">
        <w:rPr>
          <w:rFonts w:ascii="Times New Roman" w:hAnsi="Times New Roman" w:eastAsia="Times New Roman" w:cs="Times New Roman"/>
          <w:bCs/>
          <w:szCs w:val="24"/>
        </w:rPr>
        <w:t xml:space="preserve">Based upon the actual annualized cost to the Federal Government </w:t>
      </w:r>
      <w:r w:rsidRPr="00BC12A8" w:rsidR="00D63697">
        <w:rPr>
          <w:rFonts w:ascii="Times New Roman" w:hAnsi="Times New Roman" w:eastAsia="Times New Roman" w:cs="Times New Roman"/>
          <w:bCs/>
          <w:szCs w:val="24"/>
        </w:rPr>
        <w:t xml:space="preserve">in </w:t>
      </w:r>
      <w:r w:rsidRPr="00BC12A8" w:rsidR="00EB30FF">
        <w:rPr>
          <w:rFonts w:ascii="Times New Roman" w:hAnsi="Times New Roman" w:eastAsia="Times New Roman" w:cs="Times New Roman"/>
          <w:bCs/>
          <w:szCs w:val="24"/>
        </w:rPr>
        <w:t>FY2019</w:t>
      </w:r>
      <w:r w:rsidRPr="00BC12A8">
        <w:rPr>
          <w:rFonts w:ascii="Times New Roman" w:hAnsi="Times New Roman" w:eastAsia="Times New Roman" w:cs="Times New Roman"/>
          <w:bCs/>
          <w:szCs w:val="24"/>
        </w:rPr>
        <w:t xml:space="preserve">, </w:t>
      </w:r>
      <w:r w:rsidRPr="00BC12A8" w:rsidR="007733BC">
        <w:rPr>
          <w:rFonts w:ascii="Times New Roman" w:hAnsi="Times New Roman" w:eastAsia="Times New Roman" w:cs="Times New Roman"/>
          <w:bCs/>
          <w:szCs w:val="24"/>
        </w:rPr>
        <w:t>the</w:t>
      </w:r>
      <w:r w:rsidRPr="00BC12A8" w:rsidR="00EB30FF">
        <w:rPr>
          <w:rFonts w:ascii="Times New Roman" w:hAnsi="Times New Roman" w:eastAsia="Times New Roman" w:cs="Times New Roman"/>
          <w:bCs/>
          <w:szCs w:val="24"/>
        </w:rPr>
        <w:t xml:space="preserve"> </w:t>
      </w:r>
      <w:r w:rsidRPr="00BC12A8">
        <w:rPr>
          <w:rFonts w:ascii="Times New Roman" w:hAnsi="Times New Roman" w:eastAsia="Times New Roman" w:cs="Times New Roman"/>
          <w:bCs/>
          <w:szCs w:val="24"/>
        </w:rPr>
        <w:t>FY 2020 to F</w:t>
      </w:r>
      <w:r w:rsidRPr="00BC12A8" w:rsidR="007733BC">
        <w:rPr>
          <w:rFonts w:ascii="Times New Roman" w:hAnsi="Times New Roman" w:eastAsia="Times New Roman" w:cs="Times New Roman"/>
          <w:bCs/>
          <w:szCs w:val="24"/>
        </w:rPr>
        <w:t xml:space="preserve">Y 2022 projected annual cost is </w:t>
      </w:r>
      <w:r w:rsidRPr="00BC12A8" w:rsidR="00D63697">
        <w:rPr>
          <w:rFonts w:ascii="Times New Roman" w:hAnsi="Times New Roman" w:eastAsia="Times New Roman" w:cs="Times New Roman"/>
          <w:bCs/>
          <w:szCs w:val="24"/>
        </w:rPr>
        <w:t>approximately</w:t>
      </w:r>
      <w:r w:rsidRPr="00BC12A8" w:rsidR="00EB30FF">
        <w:rPr>
          <w:rFonts w:ascii="Times New Roman" w:hAnsi="Times New Roman" w:eastAsia="Times New Roman" w:cs="Times New Roman"/>
          <w:bCs/>
          <w:szCs w:val="24"/>
        </w:rPr>
        <w:t xml:space="preserve"> </w:t>
      </w:r>
      <w:r w:rsidRPr="001837E8">
        <w:rPr>
          <w:rFonts w:ascii="Times New Roman" w:hAnsi="Times New Roman" w:eastAsia="Times New Roman" w:cs="Times New Roman"/>
          <w:bCs/>
          <w:szCs w:val="24"/>
        </w:rPr>
        <w:t>$</w:t>
      </w:r>
      <w:r w:rsidRPr="001837E8" w:rsidR="00DA054D">
        <w:rPr>
          <w:rFonts w:ascii="Times New Roman" w:hAnsi="Times New Roman" w:eastAsia="Times New Roman" w:cs="Times New Roman"/>
          <w:bCs/>
          <w:szCs w:val="24"/>
        </w:rPr>
        <w:t>4,544,076</w:t>
      </w:r>
      <w:r w:rsidRPr="001837E8">
        <w:rPr>
          <w:rFonts w:ascii="Times New Roman" w:hAnsi="Times New Roman" w:eastAsia="Times New Roman" w:cs="Times New Roman"/>
          <w:bCs/>
          <w:szCs w:val="24"/>
        </w:rPr>
        <w:t>.</w:t>
      </w:r>
      <w:r w:rsidRPr="00C83ED0">
        <w:rPr>
          <w:rFonts w:ascii="Times New Roman" w:hAnsi="Times New Roman" w:eastAsia="Times New Roman" w:cs="Times New Roman"/>
          <w:bCs/>
          <w:szCs w:val="24"/>
        </w:rPr>
        <w:t xml:space="preserve">  These estimates are based on the costs of activities conducted during the past fiscal year.  While implementing partners have gained a lot of experience reporting expenditures since 2012, the continued investment in technical support and assistan</w:t>
      </w:r>
      <w:r w:rsidRPr="007E5CB4">
        <w:rPr>
          <w:rFonts w:ascii="Times New Roman" w:hAnsi="Times New Roman" w:eastAsia="Times New Roman" w:cs="Times New Roman"/>
          <w:bCs/>
          <w:szCs w:val="24"/>
        </w:rPr>
        <w:t>ce for implementing partners has proved highly valuable for execution and acceptability of the data collection and supported local capacity building and ownership.</w:t>
      </w:r>
    </w:p>
    <w:p w:rsidRPr="007E5CB4" w:rsidR="00331933" w:rsidP="00F60D98" w:rsidRDefault="00EB30FF" w14:paraId="2215FB95" w14:textId="17F19861">
      <w:pPr>
        <w:spacing w:after="120" w:line="240" w:lineRule="auto"/>
        <w:ind w:left="360"/>
        <w:rPr>
          <w:rFonts w:ascii="Times New Roman" w:hAnsi="Times New Roman" w:eastAsia="Times New Roman" w:cs="Times New Roman"/>
          <w:bCs/>
          <w:szCs w:val="24"/>
        </w:rPr>
      </w:pPr>
      <w:r w:rsidRPr="007E5CB4">
        <w:rPr>
          <w:rFonts w:ascii="Times New Roman" w:hAnsi="Times New Roman" w:eastAsia="Times New Roman" w:cs="Times New Roman"/>
          <w:bCs/>
          <w:szCs w:val="24"/>
        </w:rPr>
        <w:t>The cost incurred by the Federal Government has three components –</w:t>
      </w:r>
      <w:r w:rsidRPr="007E5CB4" w:rsidR="00521BB4">
        <w:rPr>
          <w:rFonts w:ascii="Times New Roman" w:hAnsi="Times New Roman" w:eastAsia="Times New Roman" w:cs="Times New Roman"/>
          <w:bCs/>
          <w:szCs w:val="24"/>
        </w:rPr>
        <w:t xml:space="preserve"> a</w:t>
      </w:r>
      <w:r w:rsidRPr="00517CEE">
        <w:rPr>
          <w:rFonts w:ascii="Times New Roman" w:hAnsi="Times New Roman" w:eastAsia="Times New Roman" w:cs="Times New Roman"/>
          <w:bCs/>
          <w:szCs w:val="24"/>
        </w:rPr>
        <w:t xml:space="preserve">gency </w:t>
      </w:r>
      <w:r w:rsidRPr="00517CEE" w:rsidR="00521BB4">
        <w:rPr>
          <w:rFonts w:ascii="Times New Roman" w:hAnsi="Times New Roman" w:eastAsia="Times New Roman" w:cs="Times New Roman"/>
          <w:bCs/>
          <w:szCs w:val="24"/>
        </w:rPr>
        <w:t>field staff review, agency headquarter s</w:t>
      </w:r>
      <w:r w:rsidRPr="00517CEE" w:rsidR="007733BC">
        <w:rPr>
          <w:rFonts w:ascii="Times New Roman" w:hAnsi="Times New Roman" w:eastAsia="Times New Roman" w:cs="Times New Roman"/>
          <w:bCs/>
          <w:szCs w:val="24"/>
        </w:rPr>
        <w:t xml:space="preserve">taff review, and </w:t>
      </w:r>
      <w:r w:rsidRPr="00CC3DFC">
        <w:rPr>
          <w:rFonts w:ascii="Times New Roman" w:hAnsi="Times New Roman" w:eastAsia="Times New Roman" w:cs="Times New Roman"/>
          <w:bCs/>
          <w:szCs w:val="24"/>
        </w:rPr>
        <w:t>S/GAC management of the reporting process and system maintenance.  The level of effort for agency field staff is estimated to be about half that of the implementing partners</w:t>
      </w:r>
      <w:r w:rsidRPr="00CC3DFC" w:rsidR="00521BB4">
        <w:rPr>
          <w:rFonts w:ascii="Times New Roman" w:hAnsi="Times New Roman" w:eastAsia="Times New Roman" w:cs="Times New Roman"/>
          <w:bCs/>
          <w:szCs w:val="24"/>
        </w:rPr>
        <w:t xml:space="preserve"> at an approximate cost of $</w:t>
      </w:r>
      <w:r w:rsidRPr="001837E8" w:rsidR="001C02B1">
        <w:rPr>
          <w:rFonts w:ascii="Times New Roman" w:hAnsi="Times New Roman" w:eastAsia="Times New Roman" w:cs="Times New Roman"/>
          <w:bCs/>
          <w:szCs w:val="24"/>
        </w:rPr>
        <w:t>1,141,661</w:t>
      </w:r>
      <w:r w:rsidRPr="00C83ED0" w:rsidR="00521BB4">
        <w:rPr>
          <w:rFonts w:ascii="Times New Roman" w:hAnsi="Times New Roman" w:eastAsia="Times New Roman" w:cs="Times New Roman"/>
          <w:bCs/>
          <w:szCs w:val="24"/>
        </w:rPr>
        <w:t xml:space="preserve">.  </w:t>
      </w:r>
    </w:p>
    <w:p w:rsidRPr="00BC12A8" w:rsidR="00824112" w:rsidP="00F60D98" w:rsidRDefault="00521BB4" w14:paraId="6CF7F3FC" w14:textId="2A6F8D84">
      <w:pPr>
        <w:spacing w:after="120" w:line="240" w:lineRule="auto"/>
        <w:ind w:left="360"/>
        <w:rPr>
          <w:rFonts w:ascii="Times New Roman" w:hAnsi="Times New Roman" w:eastAsia="Times New Roman" w:cs="Times New Roman"/>
          <w:bCs/>
          <w:szCs w:val="24"/>
        </w:rPr>
      </w:pPr>
      <w:r w:rsidRPr="007E5CB4">
        <w:rPr>
          <w:rFonts w:ascii="Times New Roman" w:hAnsi="Times New Roman" w:eastAsia="Times New Roman" w:cs="Times New Roman"/>
          <w:bCs/>
          <w:szCs w:val="24"/>
        </w:rPr>
        <w:t xml:space="preserve">The table below </w:t>
      </w:r>
      <w:r w:rsidRPr="007E5CB4" w:rsidR="007733BC">
        <w:rPr>
          <w:rFonts w:ascii="Times New Roman" w:hAnsi="Times New Roman" w:eastAsia="Times New Roman" w:cs="Times New Roman"/>
          <w:bCs/>
          <w:szCs w:val="24"/>
        </w:rPr>
        <w:t xml:space="preserve">describes </w:t>
      </w:r>
      <w:r w:rsidRPr="007E5CB4">
        <w:rPr>
          <w:rFonts w:ascii="Times New Roman" w:hAnsi="Times New Roman" w:eastAsia="Times New Roman" w:cs="Times New Roman"/>
          <w:bCs/>
          <w:szCs w:val="24"/>
        </w:rPr>
        <w:t xml:space="preserve">how </w:t>
      </w:r>
      <w:r w:rsidRPr="00BC12A8" w:rsidR="00331933">
        <w:rPr>
          <w:rFonts w:ascii="Times New Roman" w:hAnsi="Times New Roman" w:eastAsia="Times New Roman" w:cs="Times New Roman"/>
          <w:bCs/>
          <w:szCs w:val="24"/>
        </w:rPr>
        <w:t xml:space="preserve">the agency field staff reviewer </w:t>
      </w:r>
      <w:r w:rsidRPr="00BC12A8">
        <w:rPr>
          <w:rFonts w:ascii="Times New Roman" w:hAnsi="Times New Roman" w:eastAsia="Times New Roman" w:cs="Times New Roman"/>
          <w:bCs/>
          <w:szCs w:val="24"/>
        </w:rPr>
        <w:t>cost</w:t>
      </w:r>
      <w:r w:rsidRPr="00BC12A8" w:rsidR="007733BC">
        <w:rPr>
          <w:rFonts w:ascii="Times New Roman" w:hAnsi="Times New Roman" w:eastAsia="Times New Roman" w:cs="Times New Roman"/>
          <w:bCs/>
          <w:szCs w:val="24"/>
        </w:rPr>
        <w:t>s</w:t>
      </w:r>
      <w:r w:rsidRPr="00BC12A8">
        <w:rPr>
          <w:rFonts w:ascii="Times New Roman" w:hAnsi="Times New Roman" w:eastAsia="Times New Roman" w:cs="Times New Roman"/>
          <w:bCs/>
          <w:szCs w:val="24"/>
        </w:rPr>
        <w:t xml:space="preserve"> were derived.</w:t>
      </w:r>
    </w:p>
    <w:p w:rsidRPr="00BC12A8" w:rsidR="00521BB4" w:rsidP="00F60D98" w:rsidRDefault="00521BB4" w14:paraId="7F580846" w14:textId="77777777">
      <w:pPr>
        <w:spacing w:after="120" w:line="240" w:lineRule="auto"/>
        <w:ind w:left="360"/>
        <w:rPr>
          <w:rFonts w:ascii="Times New Roman" w:hAnsi="Times New Roman" w:eastAsia="Times New Roman" w:cs="Times New Roman"/>
          <w:bCs/>
          <w:szCs w:val="24"/>
        </w:rPr>
      </w:pPr>
    </w:p>
    <w:tbl>
      <w:tblPr>
        <w:tblW w:w="6915" w:type="dxa"/>
        <w:tblInd w:w="450" w:type="dxa"/>
        <w:tblLook w:val="04A0" w:firstRow="1" w:lastRow="0" w:firstColumn="1" w:lastColumn="0" w:noHBand="0" w:noVBand="1"/>
      </w:tblPr>
      <w:tblGrid>
        <w:gridCol w:w="4001"/>
        <w:gridCol w:w="836"/>
        <w:gridCol w:w="2150"/>
      </w:tblGrid>
      <w:tr w:rsidRPr="00C83ED0" w:rsidR="00A127CF" w:rsidTr="00F4641B" w14:paraId="6744CE62" w14:textId="77777777">
        <w:trPr>
          <w:trHeight w:val="300"/>
        </w:trPr>
        <w:tc>
          <w:tcPr>
            <w:tcW w:w="6915" w:type="dxa"/>
            <w:gridSpan w:val="3"/>
            <w:tcBorders>
              <w:top w:val="nil"/>
              <w:left w:val="nil"/>
              <w:bottom w:val="nil"/>
              <w:right w:val="nil"/>
            </w:tcBorders>
            <w:shd w:val="clear" w:color="auto" w:fill="auto"/>
            <w:noWrap/>
            <w:vAlign w:val="bottom"/>
            <w:hideMark/>
          </w:tcPr>
          <w:p w:rsidRPr="00196363" w:rsidR="00521BB4" w:rsidP="00521BB4" w:rsidRDefault="00521BB4" w14:paraId="6F425DD6" w14:textId="4721BC24">
            <w:pPr>
              <w:spacing w:after="0" w:line="240" w:lineRule="auto"/>
              <w:jc w:val="center"/>
              <w:rPr>
                <w:rFonts w:ascii="Times New Roman" w:hAnsi="Times New Roman" w:eastAsia="Times New Roman" w:cs="Times New Roman"/>
                <w:bCs/>
                <w:szCs w:val="24"/>
                <w:vertAlign w:val="superscript"/>
              </w:rPr>
            </w:pPr>
            <w:r w:rsidRPr="0051647F">
              <w:rPr>
                <w:rFonts w:ascii="Times New Roman" w:hAnsi="Times New Roman" w:eastAsia="Times New Roman" w:cs="Times New Roman"/>
                <w:bCs/>
                <w:szCs w:val="24"/>
              </w:rPr>
              <w:lastRenderedPageBreak/>
              <w:t>Agency Field Staff Reviewers</w:t>
            </w:r>
          </w:p>
          <w:p w:rsidRPr="001837E8" w:rsidR="00521BB4" w:rsidP="00521BB4" w:rsidRDefault="00521BB4" w14:paraId="6016D70C" w14:textId="77777777">
            <w:pPr>
              <w:spacing w:after="0" w:line="240" w:lineRule="auto"/>
              <w:jc w:val="center"/>
              <w:rPr>
                <w:rFonts w:ascii="Times New Roman" w:hAnsi="Times New Roman" w:eastAsia="Times New Roman" w:cs="Times New Roman"/>
                <w:bCs/>
                <w:szCs w:val="24"/>
              </w:rPr>
            </w:pPr>
          </w:p>
        </w:tc>
      </w:tr>
      <w:tr w:rsidRPr="00C83ED0" w:rsidR="00A127CF" w:rsidTr="00F4641B" w14:paraId="2FA59F47" w14:textId="77777777">
        <w:trPr>
          <w:trHeight w:val="300"/>
        </w:trPr>
        <w:tc>
          <w:tcPr>
            <w:tcW w:w="4001" w:type="dxa"/>
            <w:tcBorders>
              <w:top w:val="nil"/>
              <w:left w:val="nil"/>
              <w:bottom w:val="nil"/>
              <w:right w:val="nil"/>
            </w:tcBorders>
            <w:shd w:val="clear" w:color="auto" w:fill="auto"/>
            <w:noWrap/>
            <w:vAlign w:val="bottom"/>
            <w:hideMark/>
          </w:tcPr>
          <w:p w:rsidRPr="001837E8" w:rsidR="00521BB4" w:rsidP="00521BB4" w:rsidRDefault="00521BB4" w14:paraId="55AE7C70" w14:textId="77777777">
            <w:pPr>
              <w:spacing w:after="0" w:line="240" w:lineRule="auto"/>
              <w:jc w:val="center"/>
              <w:rPr>
                <w:rFonts w:ascii="Times New Roman" w:hAnsi="Times New Roman" w:eastAsia="Times New Roman" w:cs="Times New Roman"/>
                <w:bCs/>
                <w:szCs w:val="24"/>
              </w:rPr>
            </w:pPr>
          </w:p>
        </w:tc>
        <w:tc>
          <w:tcPr>
            <w:tcW w:w="764" w:type="dxa"/>
            <w:tcBorders>
              <w:top w:val="nil"/>
              <w:left w:val="nil"/>
              <w:bottom w:val="nil"/>
              <w:right w:val="nil"/>
            </w:tcBorders>
            <w:shd w:val="clear" w:color="auto" w:fill="auto"/>
            <w:noWrap/>
            <w:vAlign w:val="bottom"/>
            <w:hideMark/>
          </w:tcPr>
          <w:p w:rsidRPr="001837E8" w:rsidR="00521BB4" w:rsidP="00521BB4" w:rsidRDefault="00521BB4" w14:paraId="21E8B1AD" w14:textId="77777777">
            <w:pPr>
              <w:spacing w:after="0" w:line="240" w:lineRule="auto"/>
              <w:jc w:val="center"/>
              <w:rPr>
                <w:rFonts w:ascii="Times New Roman" w:hAnsi="Times New Roman" w:eastAsia="Times New Roman" w:cs="Times New Roman"/>
                <w:bCs/>
                <w:szCs w:val="24"/>
              </w:rPr>
            </w:pPr>
            <w:r w:rsidRPr="001837E8">
              <w:rPr>
                <w:rFonts w:ascii="Times New Roman" w:hAnsi="Times New Roman" w:eastAsia="Times New Roman" w:cs="Times New Roman"/>
                <w:bCs/>
                <w:szCs w:val="24"/>
              </w:rPr>
              <w:t>%</w:t>
            </w:r>
          </w:p>
        </w:tc>
        <w:tc>
          <w:tcPr>
            <w:tcW w:w="2150" w:type="dxa"/>
            <w:tcBorders>
              <w:top w:val="nil"/>
              <w:left w:val="nil"/>
              <w:bottom w:val="nil"/>
              <w:right w:val="nil"/>
            </w:tcBorders>
            <w:shd w:val="clear" w:color="auto" w:fill="auto"/>
            <w:noWrap/>
            <w:vAlign w:val="bottom"/>
            <w:hideMark/>
          </w:tcPr>
          <w:p w:rsidRPr="001837E8" w:rsidR="00521BB4" w:rsidP="00521BB4" w:rsidRDefault="00521BB4" w14:paraId="76F4FD48" w14:textId="77777777">
            <w:pPr>
              <w:spacing w:after="0" w:line="240" w:lineRule="auto"/>
              <w:jc w:val="center"/>
              <w:rPr>
                <w:rFonts w:ascii="Times New Roman" w:hAnsi="Times New Roman" w:eastAsia="Times New Roman" w:cs="Times New Roman"/>
                <w:bCs/>
                <w:szCs w:val="24"/>
              </w:rPr>
            </w:pPr>
            <w:r w:rsidRPr="001837E8">
              <w:rPr>
                <w:rFonts w:ascii="Times New Roman" w:hAnsi="Times New Roman" w:eastAsia="Times New Roman" w:cs="Times New Roman"/>
                <w:bCs/>
                <w:szCs w:val="24"/>
              </w:rPr>
              <w:t>Average burden</w:t>
            </w:r>
          </w:p>
        </w:tc>
      </w:tr>
      <w:tr w:rsidRPr="00C83ED0" w:rsidR="00A127CF" w:rsidTr="00F4641B" w14:paraId="7E3659DB" w14:textId="77777777">
        <w:trPr>
          <w:trHeight w:val="300"/>
        </w:trPr>
        <w:tc>
          <w:tcPr>
            <w:tcW w:w="4001" w:type="dxa"/>
            <w:tcBorders>
              <w:top w:val="nil"/>
              <w:left w:val="nil"/>
              <w:bottom w:val="nil"/>
              <w:right w:val="nil"/>
            </w:tcBorders>
            <w:shd w:val="clear" w:color="auto" w:fill="auto"/>
            <w:noWrap/>
            <w:vAlign w:val="bottom"/>
            <w:hideMark/>
          </w:tcPr>
          <w:p w:rsidRPr="001837E8" w:rsidR="00521BB4" w:rsidP="00521BB4" w:rsidRDefault="00521BB4" w14:paraId="7FDC44D3"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Salary -- Locally Employed Staff</w:t>
            </w:r>
          </w:p>
        </w:tc>
        <w:tc>
          <w:tcPr>
            <w:tcW w:w="764" w:type="dxa"/>
            <w:tcBorders>
              <w:top w:val="nil"/>
              <w:left w:val="nil"/>
              <w:bottom w:val="nil"/>
              <w:right w:val="nil"/>
            </w:tcBorders>
            <w:shd w:val="clear" w:color="auto" w:fill="auto"/>
            <w:noWrap/>
            <w:vAlign w:val="bottom"/>
            <w:hideMark/>
          </w:tcPr>
          <w:p w:rsidRPr="001837E8" w:rsidR="00521BB4" w:rsidP="00521BB4" w:rsidRDefault="00521BB4" w14:paraId="40495148" w14:textId="77777777">
            <w:pPr>
              <w:spacing w:after="0" w:line="240" w:lineRule="auto"/>
              <w:rPr>
                <w:rFonts w:ascii="Times New Roman" w:hAnsi="Times New Roman" w:eastAsia="Times New Roman" w:cs="Times New Roman"/>
                <w:bCs/>
                <w:szCs w:val="24"/>
              </w:rPr>
            </w:pPr>
          </w:p>
        </w:tc>
        <w:tc>
          <w:tcPr>
            <w:tcW w:w="2150" w:type="dxa"/>
            <w:tcBorders>
              <w:top w:val="nil"/>
              <w:left w:val="nil"/>
              <w:bottom w:val="nil"/>
              <w:right w:val="nil"/>
            </w:tcBorders>
            <w:shd w:val="clear" w:color="auto" w:fill="auto"/>
            <w:noWrap/>
            <w:vAlign w:val="bottom"/>
            <w:hideMark/>
          </w:tcPr>
          <w:p w:rsidRPr="001837E8" w:rsidR="00521BB4" w:rsidP="00521BB4" w:rsidRDefault="00521BB4" w14:paraId="57C01018"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                   25.00 </w:t>
            </w:r>
          </w:p>
        </w:tc>
      </w:tr>
      <w:tr w:rsidRPr="00C83ED0" w:rsidR="00A127CF" w:rsidTr="00F4641B" w14:paraId="7C743C17" w14:textId="77777777">
        <w:trPr>
          <w:trHeight w:val="300"/>
        </w:trPr>
        <w:tc>
          <w:tcPr>
            <w:tcW w:w="4001" w:type="dxa"/>
            <w:tcBorders>
              <w:top w:val="nil"/>
              <w:left w:val="nil"/>
              <w:bottom w:val="nil"/>
              <w:right w:val="nil"/>
            </w:tcBorders>
            <w:shd w:val="clear" w:color="auto" w:fill="auto"/>
            <w:noWrap/>
            <w:vAlign w:val="bottom"/>
            <w:hideMark/>
          </w:tcPr>
          <w:p w:rsidRPr="001837E8" w:rsidR="00521BB4" w:rsidP="00521BB4" w:rsidRDefault="00521BB4" w14:paraId="06223168"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Fringe benefits as % of compensation</w:t>
            </w:r>
          </w:p>
        </w:tc>
        <w:tc>
          <w:tcPr>
            <w:tcW w:w="764" w:type="dxa"/>
            <w:tcBorders>
              <w:top w:val="nil"/>
              <w:left w:val="nil"/>
              <w:bottom w:val="nil"/>
              <w:right w:val="nil"/>
            </w:tcBorders>
            <w:shd w:val="clear" w:color="auto" w:fill="auto"/>
            <w:noWrap/>
            <w:vAlign w:val="bottom"/>
            <w:hideMark/>
          </w:tcPr>
          <w:p w:rsidRPr="001837E8" w:rsidR="00521BB4" w:rsidP="00521BB4" w:rsidRDefault="00521BB4" w14:paraId="68CE0638"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20.0%</w:t>
            </w:r>
          </w:p>
        </w:tc>
        <w:tc>
          <w:tcPr>
            <w:tcW w:w="2150" w:type="dxa"/>
            <w:tcBorders>
              <w:top w:val="nil"/>
              <w:left w:val="nil"/>
              <w:bottom w:val="nil"/>
              <w:right w:val="nil"/>
            </w:tcBorders>
            <w:shd w:val="clear" w:color="auto" w:fill="auto"/>
            <w:noWrap/>
            <w:vAlign w:val="bottom"/>
            <w:hideMark/>
          </w:tcPr>
          <w:p w:rsidRPr="001837E8" w:rsidR="00521BB4" w:rsidP="00521BB4" w:rsidRDefault="00521BB4" w14:paraId="42D18F53"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                     5.00 </w:t>
            </w:r>
          </w:p>
        </w:tc>
      </w:tr>
      <w:tr w:rsidRPr="00C83ED0" w:rsidR="00A127CF" w:rsidTr="00F4641B" w14:paraId="7B87076A" w14:textId="77777777">
        <w:trPr>
          <w:trHeight w:val="300"/>
        </w:trPr>
        <w:tc>
          <w:tcPr>
            <w:tcW w:w="4001" w:type="dxa"/>
            <w:tcBorders>
              <w:top w:val="nil"/>
              <w:left w:val="nil"/>
              <w:bottom w:val="nil"/>
              <w:right w:val="nil"/>
            </w:tcBorders>
            <w:shd w:val="clear" w:color="auto" w:fill="auto"/>
            <w:noWrap/>
            <w:vAlign w:val="bottom"/>
            <w:hideMark/>
          </w:tcPr>
          <w:p w:rsidRPr="001837E8" w:rsidR="00521BB4" w:rsidP="00521BB4" w:rsidRDefault="00521BB4" w14:paraId="12322F80"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Total Compensation</w:t>
            </w:r>
          </w:p>
        </w:tc>
        <w:tc>
          <w:tcPr>
            <w:tcW w:w="764" w:type="dxa"/>
            <w:tcBorders>
              <w:top w:val="nil"/>
              <w:left w:val="nil"/>
              <w:bottom w:val="nil"/>
              <w:right w:val="nil"/>
            </w:tcBorders>
            <w:shd w:val="clear" w:color="auto" w:fill="auto"/>
            <w:noWrap/>
            <w:vAlign w:val="bottom"/>
            <w:hideMark/>
          </w:tcPr>
          <w:p w:rsidRPr="001837E8" w:rsidR="00521BB4" w:rsidP="00521BB4" w:rsidRDefault="00521BB4" w14:paraId="2A54FFC4" w14:textId="77777777">
            <w:pPr>
              <w:spacing w:after="0" w:line="240" w:lineRule="auto"/>
              <w:rPr>
                <w:rFonts w:ascii="Times New Roman" w:hAnsi="Times New Roman" w:eastAsia="Times New Roman" w:cs="Times New Roman"/>
                <w:bCs/>
                <w:szCs w:val="24"/>
              </w:rPr>
            </w:pPr>
          </w:p>
        </w:tc>
        <w:tc>
          <w:tcPr>
            <w:tcW w:w="2150" w:type="dxa"/>
            <w:tcBorders>
              <w:top w:val="nil"/>
              <w:left w:val="nil"/>
              <w:bottom w:val="nil"/>
              <w:right w:val="nil"/>
            </w:tcBorders>
            <w:shd w:val="clear" w:color="auto" w:fill="auto"/>
            <w:noWrap/>
            <w:vAlign w:val="bottom"/>
            <w:hideMark/>
          </w:tcPr>
          <w:p w:rsidRPr="001837E8" w:rsidR="00521BB4" w:rsidP="00521BB4" w:rsidRDefault="00521BB4" w14:paraId="19E4D9DF"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                   30.00 </w:t>
            </w:r>
          </w:p>
        </w:tc>
      </w:tr>
      <w:tr w:rsidRPr="00C83ED0" w:rsidR="00A127CF" w:rsidTr="00F4641B" w14:paraId="0EB82AE8" w14:textId="77777777">
        <w:trPr>
          <w:trHeight w:val="300"/>
        </w:trPr>
        <w:tc>
          <w:tcPr>
            <w:tcW w:w="4001" w:type="dxa"/>
            <w:tcBorders>
              <w:top w:val="nil"/>
              <w:left w:val="nil"/>
              <w:bottom w:val="nil"/>
              <w:right w:val="nil"/>
            </w:tcBorders>
            <w:shd w:val="clear" w:color="auto" w:fill="auto"/>
            <w:noWrap/>
            <w:vAlign w:val="bottom"/>
            <w:hideMark/>
          </w:tcPr>
          <w:p w:rsidRPr="001837E8" w:rsidR="00521BB4" w:rsidP="00521BB4" w:rsidRDefault="00521BB4" w14:paraId="063471AF"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ICASS cost</w:t>
            </w:r>
          </w:p>
        </w:tc>
        <w:tc>
          <w:tcPr>
            <w:tcW w:w="764" w:type="dxa"/>
            <w:tcBorders>
              <w:top w:val="nil"/>
              <w:left w:val="nil"/>
              <w:bottom w:val="nil"/>
              <w:right w:val="nil"/>
            </w:tcBorders>
            <w:shd w:val="clear" w:color="auto" w:fill="auto"/>
            <w:noWrap/>
            <w:vAlign w:val="bottom"/>
            <w:hideMark/>
          </w:tcPr>
          <w:p w:rsidRPr="001837E8" w:rsidR="00521BB4" w:rsidP="00521BB4" w:rsidRDefault="00521BB4" w14:paraId="24FA09F0"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17.6%</w:t>
            </w:r>
          </w:p>
        </w:tc>
        <w:tc>
          <w:tcPr>
            <w:tcW w:w="2150" w:type="dxa"/>
            <w:tcBorders>
              <w:top w:val="nil"/>
              <w:left w:val="nil"/>
              <w:bottom w:val="nil"/>
              <w:right w:val="nil"/>
            </w:tcBorders>
            <w:shd w:val="clear" w:color="auto" w:fill="auto"/>
            <w:noWrap/>
            <w:vAlign w:val="bottom"/>
            <w:hideMark/>
          </w:tcPr>
          <w:p w:rsidRPr="001837E8" w:rsidR="00521BB4" w:rsidP="00521BB4" w:rsidRDefault="00521BB4" w14:paraId="275BFAFB"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                     5.28 </w:t>
            </w:r>
          </w:p>
        </w:tc>
      </w:tr>
      <w:tr w:rsidRPr="00C83ED0" w:rsidR="00A127CF" w:rsidTr="00F4641B" w14:paraId="15572443" w14:textId="77777777">
        <w:trPr>
          <w:trHeight w:val="300"/>
        </w:trPr>
        <w:tc>
          <w:tcPr>
            <w:tcW w:w="4001" w:type="dxa"/>
            <w:tcBorders>
              <w:top w:val="nil"/>
              <w:left w:val="nil"/>
              <w:bottom w:val="nil"/>
              <w:right w:val="nil"/>
            </w:tcBorders>
            <w:shd w:val="clear" w:color="auto" w:fill="auto"/>
            <w:noWrap/>
            <w:vAlign w:val="bottom"/>
            <w:hideMark/>
          </w:tcPr>
          <w:p w:rsidRPr="001837E8" w:rsidR="00521BB4" w:rsidP="00521BB4" w:rsidRDefault="00521BB4" w14:paraId="4A52B0D7"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Fully loaded hourly rate</w:t>
            </w:r>
          </w:p>
        </w:tc>
        <w:tc>
          <w:tcPr>
            <w:tcW w:w="764" w:type="dxa"/>
            <w:tcBorders>
              <w:top w:val="nil"/>
              <w:left w:val="nil"/>
              <w:bottom w:val="nil"/>
              <w:right w:val="nil"/>
            </w:tcBorders>
            <w:shd w:val="clear" w:color="auto" w:fill="auto"/>
            <w:noWrap/>
            <w:vAlign w:val="bottom"/>
            <w:hideMark/>
          </w:tcPr>
          <w:p w:rsidRPr="001837E8" w:rsidR="00521BB4" w:rsidP="00521BB4" w:rsidRDefault="00521BB4" w14:paraId="61570889" w14:textId="77777777">
            <w:pPr>
              <w:spacing w:after="0" w:line="240" w:lineRule="auto"/>
              <w:rPr>
                <w:rFonts w:ascii="Times New Roman" w:hAnsi="Times New Roman" w:eastAsia="Times New Roman" w:cs="Times New Roman"/>
                <w:bCs/>
                <w:szCs w:val="24"/>
              </w:rPr>
            </w:pPr>
          </w:p>
        </w:tc>
        <w:tc>
          <w:tcPr>
            <w:tcW w:w="2150" w:type="dxa"/>
            <w:tcBorders>
              <w:top w:val="nil"/>
              <w:left w:val="nil"/>
              <w:bottom w:val="nil"/>
              <w:right w:val="nil"/>
            </w:tcBorders>
            <w:shd w:val="clear" w:color="auto" w:fill="auto"/>
            <w:noWrap/>
            <w:vAlign w:val="bottom"/>
            <w:hideMark/>
          </w:tcPr>
          <w:p w:rsidRPr="001837E8" w:rsidR="00521BB4" w:rsidP="00521BB4" w:rsidRDefault="00521BB4" w14:paraId="62EF6734"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                   35.28 </w:t>
            </w:r>
          </w:p>
        </w:tc>
      </w:tr>
      <w:tr w:rsidRPr="00C83ED0" w:rsidR="00A127CF" w:rsidTr="00F4641B" w14:paraId="08C2E679" w14:textId="77777777">
        <w:trPr>
          <w:trHeight w:val="300"/>
        </w:trPr>
        <w:tc>
          <w:tcPr>
            <w:tcW w:w="4001" w:type="dxa"/>
            <w:tcBorders>
              <w:top w:val="nil"/>
              <w:left w:val="nil"/>
              <w:bottom w:val="nil"/>
              <w:right w:val="nil"/>
            </w:tcBorders>
            <w:shd w:val="clear" w:color="auto" w:fill="auto"/>
            <w:noWrap/>
            <w:vAlign w:val="bottom"/>
            <w:hideMark/>
          </w:tcPr>
          <w:p w:rsidRPr="001837E8" w:rsidR="00521BB4" w:rsidP="00521BB4" w:rsidRDefault="00521BB4" w14:paraId="4B16E72B" w14:textId="77777777">
            <w:pPr>
              <w:spacing w:after="0" w:line="240" w:lineRule="auto"/>
              <w:rPr>
                <w:rFonts w:ascii="Times New Roman" w:hAnsi="Times New Roman" w:eastAsia="Times New Roman" w:cs="Times New Roman"/>
                <w:bCs/>
                <w:szCs w:val="24"/>
              </w:rPr>
            </w:pPr>
          </w:p>
        </w:tc>
        <w:tc>
          <w:tcPr>
            <w:tcW w:w="764" w:type="dxa"/>
            <w:tcBorders>
              <w:top w:val="nil"/>
              <w:left w:val="nil"/>
              <w:bottom w:val="nil"/>
              <w:right w:val="nil"/>
            </w:tcBorders>
            <w:shd w:val="clear" w:color="auto" w:fill="auto"/>
            <w:noWrap/>
            <w:vAlign w:val="bottom"/>
            <w:hideMark/>
          </w:tcPr>
          <w:p w:rsidRPr="001837E8" w:rsidR="00521BB4" w:rsidP="00521BB4" w:rsidRDefault="00521BB4" w14:paraId="48AF4BBD" w14:textId="77777777">
            <w:pPr>
              <w:spacing w:after="0" w:line="240" w:lineRule="auto"/>
              <w:rPr>
                <w:rFonts w:ascii="Times New Roman" w:hAnsi="Times New Roman" w:eastAsia="Times New Roman" w:cs="Times New Roman"/>
                <w:bCs/>
                <w:szCs w:val="24"/>
              </w:rPr>
            </w:pPr>
          </w:p>
        </w:tc>
        <w:tc>
          <w:tcPr>
            <w:tcW w:w="2150" w:type="dxa"/>
            <w:tcBorders>
              <w:top w:val="nil"/>
              <w:left w:val="nil"/>
              <w:bottom w:val="nil"/>
              <w:right w:val="nil"/>
            </w:tcBorders>
            <w:shd w:val="clear" w:color="auto" w:fill="auto"/>
            <w:noWrap/>
            <w:vAlign w:val="bottom"/>
            <w:hideMark/>
          </w:tcPr>
          <w:p w:rsidRPr="001837E8" w:rsidR="00521BB4" w:rsidP="00521BB4" w:rsidRDefault="00521BB4" w14:paraId="07F979D0" w14:textId="77777777">
            <w:pPr>
              <w:spacing w:after="0" w:line="240" w:lineRule="auto"/>
              <w:rPr>
                <w:rFonts w:ascii="Times New Roman" w:hAnsi="Times New Roman" w:eastAsia="Times New Roman" w:cs="Times New Roman"/>
                <w:bCs/>
                <w:szCs w:val="24"/>
              </w:rPr>
            </w:pPr>
          </w:p>
        </w:tc>
      </w:tr>
      <w:tr w:rsidRPr="00C83ED0" w:rsidR="00A127CF" w:rsidTr="00F4641B" w14:paraId="7F8265A2" w14:textId="77777777">
        <w:trPr>
          <w:trHeight w:val="300"/>
        </w:trPr>
        <w:tc>
          <w:tcPr>
            <w:tcW w:w="4001" w:type="dxa"/>
            <w:tcBorders>
              <w:top w:val="nil"/>
              <w:left w:val="nil"/>
              <w:bottom w:val="nil"/>
              <w:right w:val="nil"/>
            </w:tcBorders>
            <w:shd w:val="clear" w:color="auto" w:fill="auto"/>
            <w:noWrap/>
            <w:vAlign w:val="bottom"/>
            <w:hideMark/>
          </w:tcPr>
          <w:p w:rsidRPr="001837E8" w:rsidR="00521BB4" w:rsidP="00521BB4" w:rsidRDefault="00521BB4" w14:paraId="3810757E"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Hours of effort 50% of average IP LOE</w:t>
            </w:r>
          </w:p>
        </w:tc>
        <w:tc>
          <w:tcPr>
            <w:tcW w:w="764" w:type="dxa"/>
            <w:tcBorders>
              <w:top w:val="nil"/>
              <w:left w:val="nil"/>
              <w:bottom w:val="nil"/>
              <w:right w:val="nil"/>
            </w:tcBorders>
            <w:shd w:val="clear" w:color="auto" w:fill="auto"/>
            <w:noWrap/>
            <w:vAlign w:val="bottom"/>
            <w:hideMark/>
          </w:tcPr>
          <w:p w:rsidRPr="001837E8" w:rsidR="00521BB4" w:rsidP="00521BB4" w:rsidRDefault="00521BB4" w14:paraId="6A782BD4" w14:textId="77777777">
            <w:pPr>
              <w:spacing w:after="0" w:line="240" w:lineRule="auto"/>
              <w:rPr>
                <w:rFonts w:ascii="Times New Roman" w:hAnsi="Times New Roman" w:eastAsia="Times New Roman" w:cs="Times New Roman"/>
                <w:bCs/>
                <w:szCs w:val="24"/>
              </w:rPr>
            </w:pPr>
          </w:p>
        </w:tc>
        <w:tc>
          <w:tcPr>
            <w:tcW w:w="2150" w:type="dxa"/>
            <w:tcBorders>
              <w:top w:val="nil"/>
              <w:left w:val="nil"/>
              <w:bottom w:val="nil"/>
              <w:right w:val="nil"/>
            </w:tcBorders>
            <w:shd w:val="clear" w:color="auto" w:fill="auto"/>
            <w:noWrap/>
            <w:vAlign w:val="bottom"/>
            <w:hideMark/>
          </w:tcPr>
          <w:p w:rsidRPr="001837E8" w:rsidR="00521BB4" w:rsidP="001837E8" w:rsidRDefault="00521BB4" w14:paraId="1F3641AE"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8.00</w:t>
            </w:r>
          </w:p>
        </w:tc>
      </w:tr>
      <w:tr w:rsidRPr="00C83ED0" w:rsidR="00A127CF" w:rsidTr="00F4641B" w14:paraId="2A3960FB" w14:textId="77777777">
        <w:trPr>
          <w:trHeight w:val="300"/>
        </w:trPr>
        <w:tc>
          <w:tcPr>
            <w:tcW w:w="4001" w:type="dxa"/>
            <w:tcBorders>
              <w:top w:val="nil"/>
              <w:left w:val="nil"/>
              <w:bottom w:val="nil"/>
              <w:right w:val="nil"/>
            </w:tcBorders>
            <w:shd w:val="clear" w:color="auto" w:fill="auto"/>
            <w:noWrap/>
            <w:vAlign w:val="bottom"/>
            <w:hideMark/>
          </w:tcPr>
          <w:p w:rsidRPr="001837E8" w:rsidR="00521BB4" w:rsidP="00521BB4" w:rsidRDefault="00521BB4" w14:paraId="4881E53F"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Cost of Agency Field Staff LOE </w:t>
            </w:r>
          </w:p>
        </w:tc>
        <w:tc>
          <w:tcPr>
            <w:tcW w:w="764" w:type="dxa"/>
            <w:tcBorders>
              <w:top w:val="nil"/>
              <w:left w:val="nil"/>
              <w:bottom w:val="nil"/>
              <w:right w:val="nil"/>
            </w:tcBorders>
            <w:shd w:val="clear" w:color="auto" w:fill="auto"/>
            <w:noWrap/>
            <w:vAlign w:val="bottom"/>
            <w:hideMark/>
          </w:tcPr>
          <w:p w:rsidRPr="001837E8" w:rsidR="00521BB4" w:rsidP="00521BB4" w:rsidRDefault="00521BB4" w14:paraId="3A448338" w14:textId="77777777">
            <w:pPr>
              <w:spacing w:after="0" w:line="240" w:lineRule="auto"/>
              <w:rPr>
                <w:rFonts w:ascii="Times New Roman" w:hAnsi="Times New Roman" w:eastAsia="Times New Roman" w:cs="Times New Roman"/>
                <w:bCs/>
                <w:szCs w:val="24"/>
              </w:rPr>
            </w:pPr>
          </w:p>
        </w:tc>
        <w:tc>
          <w:tcPr>
            <w:tcW w:w="2150" w:type="dxa"/>
            <w:tcBorders>
              <w:top w:val="nil"/>
              <w:left w:val="nil"/>
              <w:bottom w:val="nil"/>
              <w:right w:val="nil"/>
            </w:tcBorders>
            <w:shd w:val="clear" w:color="auto" w:fill="auto"/>
            <w:noWrap/>
            <w:vAlign w:val="bottom"/>
            <w:hideMark/>
          </w:tcPr>
          <w:p w:rsidRPr="001837E8" w:rsidR="00521BB4" w:rsidP="001837E8" w:rsidRDefault="00521BB4" w14:paraId="716AD34F"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                282.24 </w:t>
            </w:r>
          </w:p>
        </w:tc>
      </w:tr>
      <w:tr w:rsidRPr="00C83ED0" w:rsidR="00A127CF" w:rsidTr="00F4641B" w14:paraId="18139D10" w14:textId="77777777">
        <w:trPr>
          <w:trHeight w:val="300"/>
        </w:trPr>
        <w:tc>
          <w:tcPr>
            <w:tcW w:w="4001" w:type="dxa"/>
            <w:tcBorders>
              <w:top w:val="nil"/>
              <w:left w:val="nil"/>
              <w:bottom w:val="nil"/>
              <w:right w:val="nil"/>
            </w:tcBorders>
            <w:shd w:val="clear" w:color="auto" w:fill="auto"/>
            <w:noWrap/>
            <w:vAlign w:val="bottom"/>
            <w:hideMark/>
          </w:tcPr>
          <w:p w:rsidRPr="001837E8" w:rsidR="00521BB4" w:rsidP="00521BB4" w:rsidRDefault="00521BB4" w14:paraId="764A4A95"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Number of reporting mechanisms</w:t>
            </w:r>
          </w:p>
        </w:tc>
        <w:tc>
          <w:tcPr>
            <w:tcW w:w="764" w:type="dxa"/>
            <w:tcBorders>
              <w:top w:val="nil"/>
              <w:left w:val="nil"/>
              <w:bottom w:val="nil"/>
              <w:right w:val="nil"/>
            </w:tcBorders>
            <w:shd w:val="clear" w:color="auto" w:fill="auto"/>
            <w:noWrap/>
            <w:vAlign w:val="bottom"/>
            <w:hideMark/>
          </w:tcPr>
          <w:p w:rsidRPr="001837E8" w:rsidR="00521BB4" w:rsidP="00521BB4" w:rsidRDefault="00521BB4" w14:paraId="1B1C2852" w14:textId="77777777">
            <w:pPr>
              <w:spacing w:after="0" w:line="240" w:lineRule="auto"/>
              <w:rPr>
                <w:rFonts w:ascii="Times New Roman" w:hAnsi="Times New Roman" w:eastAsia="Times New Roman" w:cs="Times New Roman"/>
                <w:bCs/>
                <w:szCs w:val="24"/>
              </w:rPr>
            </w:pPr>
          </w:p>
        </w:tc>
        <w:tc>
          <w:tcPr>
            <w:tcW w:w="2150" w:type="dxa"/>
            <w:tcBorders>
              <w:top w:val="nil"/>
              <w:left w:val="nil"/>
              <w:bottom w:val="nil"/>
              <w:right w:val="nil"/>
            </w:tcBorders>
            <w:shd w:val="clear" w:color="auto" w:fill="auto"/>
            <w:noWrap/>
            <w:vAlign w:val="bottom"/>
            <w:hideMark/>
          </w:tcPr>
          <w:p w:rsidRPr="001837E8" w:rsidR="00521BB4" w:rsidP="001837E8" w:rsidRDefault="00521BB4" w14:paraId="2243A4BD" w14:textId="1494D759">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w:t>
            </w:r>
            <w:r w:rsidRPr="00C83ED0" w:rsidR="001C02B1">
              <w:rPr>
                <w:rFonts w:ascii="Times New Roman" w:hAnsi="Times New Roman" w:eastAsia="Times New Roman" w:cs="Times New Roman"/>
                <w:bCs/>
                <w:szCs w:val="24"/>
              </w:rPr>
              <w:t>4,045</w:t>
            </w:r>
            <w:r w:rsidRPr="001837E8">
              <w:rPr>
                <w:rFonts w:ascii="Times New Roman" w:hAnsi="Times New Roman" w:eastAsia="Times New Roman" w:cs="Times New Roman"/>
                <w:bCs/>
                <w:szCs w:val="24"/>
              </w:rPr>
              <w:t xml:space="preserve"> </w:t>
            </w:r>
          </w:p>
        </w:tc>
      </w:tr>
      <w:tr w:rsidRPr="00C83ED0" w:rsidR="00A127CF" w:rsidTr="00F4641B" w14:paraId="4BBA09AA" w14:textId="77777777">
        <w:trPr>
          <w:trHeight w:val="300"/>
        </w:trPr>
        <w:tc>
          <w:tcPr>
            <w:tcW w:w="4001" w:type="dxa"/>
            <w:tcBorders>
              <w:top w:val="nil"/>
              <w:left w:val="nil"/>
              <w:bottom w:val="nil"/>
              <w:right w:val="nil"/>
            </w:tcBorders>
            <w:shd w:val="clear" w:color="auto" w:fill="auto"/>
            <w:noWrap/>
            <w:vAlign w:val="bottom"/>
            <w:hideMark/>
          </w:tcPr>
          <w:p w:rsidRPr="001837E8" w:rsidR="00521BB4" w:rsidP="00521BB4" w:rsidRDefault="00521BB4" w14:paraId="437D1D58" w14:textId="77777777">
            <w:pPr>
              <w:spacing w:after="0" w:line="240" w:lineRule="auto"/>
              <w:rPr>
                <w:rFonts w:ascii="Times New Roman" w:hAnsi="Times New Roman" w:eastAsia="Times New Roman" w:cs="Times New Roman"/>
                <w:bCs/>
                <w:szCs w:val="24"/>
              </w:rPr>
            </w:pPr>
          </w:p>
        </w:tc>
        <w:tc>
          <w:tcPr>
            <w:tcW w:w="764" w:type="dxa"/>
            <w:tcBorders>
              <w:top w:val="nil"/>
              <w:left w:val="nil"/>
              <w:bottom w:val="nil"/>
              <w:right w:val="nil"/>
            </w:tcBorders>
            <w:shd w:val="clear" w:color="auto" w:fill="auto"/>
            <w:noWrap/>
            <w:vAlign w:val="bottom"/>
            <w:hideMark/>
          </w:tcPr>
          <w:p w:rsidRPr="001837E8" w:rsidR="00521BB4" w:rsidP="00521BB4" w:rsidRDefault="00521BB4" w14:paraId="31DB8B17" w14:textId="77777777">
            <w:pPr>
              <w:spacing w:after="0" w:line="240" w:lineRule="auto"/>
              <w:rPr>
                <w:rFonts w:ascii="Times New Roman" w:hAnsi="Times New Roman" w:eastAsia="Times New Roman" w:cs="Times New Roman"/>
                <w:bCs/>
                <w:szCs w:val="24"/>
              </w:rPr>
            </w:pPr>
          </w:p>
        </w:tc>
        <w:tc>
          <w:tcPr>
            <w:tcW w:w="2150" w:type="dxa"/>
            <w:tcBorders>
              <w:top w:val="nil"/>
              <w:left w:val="nil"/>
              <w:bottom w:val="nil"/>
              <w:right w:val="nil"/>
            </w:tcBorders>
            <w:shd w:val="clear" w:color="auto" w:fill="auto"/>
            <w:noWrap/>
            <w:vAlign w:val="bottom"/>
            <w:hideMark/>
          </w:tcPr>
          <w:p w:rsidRPr="001837E8" w:rsidR="00521BB4" w:rsidP="00521BB4" w:rsidRDefault="00521BB4" w14:paraId="4E73CE31" w14:textId="77777777">
            <w:pPr>
              <w:spacing w:after="0" w:line="240" w:lineRule="auto"/>
              <w:rPr>
                <w:rFonts w:ascii="Times New Roman" w:hAnsi="Times New Roman" w:eastAsia="Times New Roman" w:cs="Times New Roman"/>
                <w:bCs/>
                <w:szCs w:val="24"/>
              </w:rPr>
            </w:pPr>
          </w:p>
        </w:tc>
      </w:tr>
      <w:tr w:rsidRPr="001837E8" w:rsidR="00521BB4" w:rsidTr="00F4641B" w14:paraId="25BE3E8E" w14:textId="77777777">
        <w:trPr>
          <w:trHeight w:val="300"/>
        </w:trPr>
        <w:tc>
          <w:tcPr>
            <w:tcW w:w="4001" w:type="dxa"/>
            <w:tcBorders>
              <w:top w:val="nil"/>
              <w:left w:val="nil"/>
              <w:bottom w:val="nil"/>
              <w:right w:val="nil"/>
            </w:tcBorders>
            <w:shd w:val="clear" w:color="auto" w:fill="auto"/>
            <w:noWrap/>
            <w:vAlign w:val="bottom"/>
            <w:hideMark/>
          </w:tcPr>
          <w:p w:rsidRPr="001837E8" w:rsidR="00521BB4" w:rsidP="00521BB4" w:rsidRDefault="00521BB4" w14:paraId="3B118CC2"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Total cost of Agency Field Staff </w:t>
            </w:r>
          </w:p>
        </w:tc>
        <w:tc>
          <w:tcPr>
            <w:tcW w:w="764" w:type="dxa"/>
            <w:tcBorders>
              <w:top w:val="nil"/>
              <w:left w:val="nil"/>
              <w:bottom w:val="nil"/>
              <w:right w:val="nil"/>
            </w:tcBorders>
            <w:shd w:val="clear" w:color="auto" w:fill="auto"/>
            <w:noWrap/>
            <w:vAlign w:val="bottom"/>
            <w:hideMark/>
          </w:tcPr>
          <w:p w:rsidRPr="001837E8" w:rsidR="00521BB4" w:rsidP="00521BB4" w:rsidRDefault="00521BB4" w14:paraId="2B51CBB0" w14:textId="77777777">
            <w:pPr>
              <w:spacing w:after="0" w:line="240" w:lineRule="auto"/>
              <w:rPr>
                <w:rFonts w:ascii="Times New Roman" w:hAnsi="Times New Roman" w:eastAsia="Times New Roman" w:cs="Times New Roman"/>
                <w:bCs/>
                <w:szCs w:val="24"/>
              </w:rPr>
            </w:pPr>
          </w:p>
        </w:tc>
        <w:tc>
          <w:tcPr>
            <w:tcW w:w="2150" w:type="dxa"/>
            <w:tcBorders>
              <w:top w:val="nil"/>
              <w:left w:val="nil"/>
              <w:bottom w:val="nil"/>
              <w:right w:val="nil"/>
            </w:tcBorders>
            <w:shd w:val="clear" w:color="auto" w:fill="auto"/>
            <w:noWrap/>
            <w:vAlign w:val="bottom"/>
            <w:hideMark/>
          </w:tcPr>
          <w:p w:rsidRPr="001837E8" w:rsidR="00521BB4" w:rsidP="001837E8" w:rsidRDefault="00521BB4" w14:paraId="7BFFF746" w14:textId="480A2E4A">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        </w:t>
            </w:r>
            <w:r w:rsidRPr="001837E8" w:rsidR="001C02B1">
              <w:rPr>
                <w:rFonts w:ascii="Times New Roman" w:hAnsi="Times New Roman" w:eastAsia="Times New Roman" w:cs="Times New Roman"/>
                <w:bCs/>
                <w:szCs w:val="24"/>
              </w:rPr>
              <w:t>1,141,661</w:t>
            </w:r>
          </w:p>
        </w:tc>
      </w:tr>
      <w:tr w:rsidRPr="00C83ED0" w:rsidR="00331933" w:rsidTr="00F4641B" w14:paraId="04891C5F" w14:textId="77777777">
        <w:trPr>
          <w:trHeight w:val="300"/>
        </w:trPr>
        <w:tc>
          <w:tcPr>
            <w:tcW w:w="4001" w:type="dxa"/>
            <w:tcBorders>
              <w:top w:val="nil"/>
              <w:left w:val="nil"/>
              <w:bottom w:val="nil"/>
              <w:right w:val="nil"/>
            </w:tcBorders>
            <w:shd w:val="clear" w:color="auto" w:fill="auto"/>
            <w:noWrap/>
            <w:vAlign w:val="bottom"/>
          </w:tcPr>
          <w:p w:rsidRPr="00517CEE" w:rsidR="00331933" w:rsidP="00521BB4" w:rsidRDefault="00331933" w14:paraId="043419CF" w14:textId="77777777">
            <w:pPr>
              <w:spacing w:after="0" w:line="240" w:lineRule="auto"/>
              <w:rPr>
                <w:rFonts w:ascii="Calibri" w:hAnsi="Calibri" w:eastAsia="Times New Roman" w:cs="Calibri"/>
                <w:bCs/>
                <w:sz w:val="22"/>
              </w:rPr>
            </w:pPr>
          </w:p>
        </w:tc>
        <w:tc>
          <w:tcPr>
            <w:tcW w:w="764" w:type="dxa"/>
            <w:tcBorders>
              <w:top w:val="nil"/>
              <w:left w:val="nil"/>
              <w:bottom w:val="nil"/>
              <w:right w:val="nil"/>
            </w:tcBorders>
            <w:shd w:val="clear" w:color="auto" w:fill="auto"/>
            <w:noWrap/>
            <w:vAlign w:val="bottom"/>
          </w:tcPr>
          <w:p w:rsidRPr="00517CEE" w:rsidR="00331933" w:rsidP="00521BB4" w:rsidRDefault="00331933" w14:paraId="5DCEBAB7" w14:textId="77777777">
            <w:pPr>
              <w:spacing w:after="0" w:line="240" w:lineRule="auto"/>
              <w:rPr>
                <w:rFonts w:ascii="Calibri" w:hAnsi="Calibri" w:eastAsia="Times New Roman" w:cs="Calibri"/>
                <w:bCs/>
                <w:sz w:val="22"/>
              </w:rPr>
            </w:pPr>
          </w:p>
        </w:tc>
        <w:tc>
          <w:tcPr>
            <w:tcW w:w="2150" w:type="dxa"/>
            <w:tcBorders>
              <w:top w:val="nil"/>
              <w:left w:val="nil"/>
              <w:bottom w:val="nil"/>
              <w:right w:val="nil"/>
            </w:tcBorders>
            <w:shd w:val="clear" w:color="auto" w:fill="auto"/>
            <w:noWrap/>
            <w:vAlign w:val="bottom"/>
          </w:tcPr>
          <w:p w:rsidRPr="001837E8" w:rsidR="00331933" w:rsidRDefault="00331933" w14:paraId="5EDDF83D" w14:textId="77777777">
            <w:pPr>
              <w:spacing w:after="0" w:line="240" w:lineRule="auto"/>
              <w:rPr>
                <w:rFonts w:ascii="Calibri" w:hAnsi="Calibri" w:eastAsia="Times New Roman" w:cs="Calibri"/>
                <w:bCs/>
                <w:sz w:val="22"/>
              </w:rPr>
            </w:pPr>
          </w:p>
        </w:tc>
      </w:tr>
    </w:tbl>
    <w:p w:rsidRPr="00517CEE" w:rsidR="00521BB4" w:rsidP="0051647F" w:rsidRDefault="00521BB4" w14:paraId="0E728676" w14:textId="77777777">
      <w:pPr>
        <w:spacing w:after="120" w:line="240" w:lineRule="auto"/>
        <w:rPr>
          <w:rFonts w:ascii="Times New Roman" w:hAnsi="Times New Roman" w:eastAsia="Times New Roman" w:cs="Times New Roman"/>
          <w:bCs/>
          <w:szCs w:val="24"/>
        </w:rPr>
      </w:pPr>
    </w:p>
    <w:p w:rsidRPr="00BC12A8" w:rsidR="0051647F" w:rsidP="0051647F" w:rsidRDefault="00521BB4" w14:paraId="0B067756" w14:textId="23F9D420">
      <w:pPr>
        <w:spacing w:after="120" w:line="240" w:lineRule="auto"/>
        <w:ind w:left="360"/>
        <w:rPr>
          <w:rFonts w:ascii="Times New Roman" w:hAnsi="Times New Roman" w:eastAsia="Times New Roman" w:cs="Times New Roman"/>
          <w:bCs/>
          <w:szCs w:val="24"/>
        </w:rPr>
      </w:pPr>
      <w:r w:rsidRPr="00517CEE">
        <w:rPr>
          <w:rFonts w:ascii="Times New Roman" w:hAnsi="Times New Roman" w:eastAsia="Times New Roman" w:cs="Times New Roman"/>
          <w:bCs/>
          <w:szCs w:val="24"/>
        </w:rPr>
        <w:t>The agency headquarters assigned 14 staff members to serve a</w:t>
      </w:r>
      <w:r w:rsidRPr="00CC3DFC" w:rsidR="00715F4D">
        <w:rPr>
          <w:rFonts w:ascii="Times New Roman" w:hAnsi="Times New Roman" w:eastAsia="Times New Roman" w:cs="Times New Roman"/>
          <w:bCs/>
          <w:szCs w:val="24"/>
        </w:rPr>
        <w:t>s</w:t>
      </w:r>
      <w:r w:rsidRPr="00CC3DFC">
        <w:rPr>
          <w:rFonts w:ascii="Times New Roman" w:hAnsi="Times New Roman" w:eastAsia="Times New Roman" w:cs="Times New Roman"/>
          <w:bCs/>
          <w:szCs w:val="24"/>
        </w:rPr>
        <w:t xml:space="preserve"> expenditure reporting points of contact.  </w:t>
      </w:r>
      <w:r w:rsidRPr="00BF2C51" w:rsidR="00715F4D">
        <w:rPr>
          <w:rFonts w:ascii="Times New Roman" w:hAnsi="Times New Roman" w:eastAsia="Times New Roman" w:cs="Times New Roman"/>
          <w:bCs/>
          <w:szCs w:val="24"/>
        </w:rPr>
        <w:t>These individuals</w:t>
      </w:r>
      <w:r w:rsidRPr="00BF2C51">
        <w:rPr>
          <w:rFonts w:ascii="Times New Roman" w:hAnsi="Times New Roman" w:eastAsia="Times New Roman" w:cs="Times New Roman"/>
          <w:bCs/>
          <w:szCs w:val="24"/>
        </w:rPr>
        <w:t xml:space="preserve"> assist</w:t>
      </w:r>
      <w:r w:rsidRPr="00BC12A8">
        <w:rPr>
          <w:rFonts w:ascii="Times New Roman" w:hAnsi="Times New Roman" w:eastAsia="Times New Roman" w:cs="Times New Roman"/>
          <w:bCs/>
          <w:szCs w:val="24"/>
        </w:rPr>
        <w:t xml:space="preserve"> their field colleagues and implementing partners in complying with the expenditure reporting requirements.  The expenditure reporting process take</w:t>
      </w:r>
      <w:r w:rsidRPr="00BC12A8" w:rsidR="007733BC">
        <w:rPr>
          <w:rFonts w:ascii="Times New Roman" w:hAnsi="Times New Roman" w:eastAsia="Times New Roman" w:cs="Times New Roman"/>
          <w:bCs/>
          <w:szCs w:val="24"/>
        </w:rPr>
        <w:t>s</w:t>
      </w:r>
      <w:r w:rsidRPr="00BC12A8">
        <w:rPr>
          <w:rFonts w:ascii="Times New Roman" w:hAnsi="Times New Roman" w:eastAsia="Times New Roman" w:cs="Times New Roman"/>
          <w:bCs/>
          <w:szCs w:val="24"/>
        </w:rPr>
        <w:t xml:space="preserve"> about three months, from September 15 to December 20 when the data is completely loaded in the DATIM system. </w:t>
      </w:r>
      <w:r w:rsidRPr="00BC12A8" w:rsidR="00715F4D">
        <w:rPr>
          <w:rFonts w:ascii="Times New Roman" w:hAnsi="Times New Roman" w:eastAsia="Times New Roman" w:cs="Times New Roman"/>
          <w:bCs/>
          <w:szCs w:val="24"/>
        </w:rPr>
        <w:t xml:space="preserve"> The estimated cost for the agency points of contact during this period is approximately $376,000.</w:t>
      </w:r>
      <w:r w:rsidRPr="00BC12A8">
        <w:rPr>
          <w:rFonts w:ascii="Times New Roman" w:hAnsi="Times New Roman" w:eastAsia="Times New Roman" w:cs="Times New Roman"/>
          <w:bCs/>
          <w:szCs w:val="24"/>
        </w:rPr>
        <w:t xml:space="preserve">  </w:t>
      </w:r>
    </w:p>
    <w:tbl>
      <w:tblPr>
        <w:tblW w:w="9583" w:type="dxa"/>
        <w:tblInd w:w="540" w:type="dxa"/>
        <w:tblLook w:val="04A0" w:firstRow="1" w:lastRow="0" w:firstColumn="1" w:lastColumn="0" w:noHBand="0" w:noVBand="1"/>
      </w:tblPr>
      <w:tblGrid>
        <w:gridCol w:w="1217"/>
        <w:gridCol w:w="1110"/>
        <w:gridCol w:w="1314"/>
        <w:gridCol w:w="964"/>
        <w:gridCol w:w="910"/>
        <w:gridCol w:w="1039"/>
        <w:gridCol w:w="1039"/>
        <w:gridCol w:w="1270"/>
        <w:gridCol w:w="720"/>
      </w:tblGrid>
      <w:tr w:rsidRPr="00C83ED0" w:rsidR="00A127CF" w:rsidTr="00196363" w14:paraId="04F9AF55" w14:textId="77777777">
        <w:trPr>
          <w:gridAfter w:val="1"/>
          <w:wAfter w:w="720" w:type="dxa"/>
          <w:trHeight w:val="360"/>
        </w:trPr>
        <w:tc>
          <w:tcPr>
            <w:tcW w:w="8863" w:type="dxa"/>
            <w:gridSpan w:val="8"/>
            <w:tcBorders>
              <w:top w:val="nil"/>
              <w:left w:val="nil"/>
              <w:bottom w:val="nil"/>
              <w:right w:val="nil"/>
            </w:tcBorders>
            <w:shd w:val="clear" w:color="auto" w:fill="auto"/>
            <w:noWrap/>
            <w:vAlign w:val="bottom"/>
            <w:hideMark/>
          </w:tcPr>
          <w:p w:rsidRPr="0051647F" w:rsidR="00715F4D" w:rsidP="00715F4D" w:rsidRDefault="00E47B70" w14:paraId="20E4CF84" w14:textId="37608527">
            <w:pPr>
              <w:spacing w:after="0" w:line="240" w:lineRule="auto"/>
              <w:jc w:val="center"/>
              <w:rPr>
                <w:rFonts w:ascii="Times New Roman" w:hAnsi="Times New Roman" w:eastAsia="Times New Roman" w:cs="Times New Roman"/>
                <w:bCs/>
                <w:szCs w:val="24"/>
                <w:vertAlign w:val="superscript"/>
              </w:rPr>
            </w:pPr>
            <w:r w:rsidRPr="001837E8">
              <w:rPr>
                <w:rFonts w:ascii="Times New Roman" w:hAnsi="Times New Roman" w:eastAsia="Times New Roman" w:cs="Times New Roman"/>
                <w:bCs/>
                <w:szCs w:val="24"/>
              </w:rPr>
              <w:t>A</w:t>
            </w:r>
            <w:r w:rsidRPr="001837E8" w:rsidR="00715F4D">
              <w:rPr>
                <w:rFonts w:ascii="Times New Roman" w:hAnsi="Times New Roman" w:eastAsia="Times New Roman" w:cs="Times New Roman"/>
                <w:bCs/>
                <w:szCs w:val="24"/>
              </w:rPr>
              <w:t>gency Headquarters' Points of Contact</w:t>
            </w:r>
            <w:r w:rsidR="0051647F">
              <w:rPr>
                <w:rFonts w:ascii="Times New Roman" w:hAnsi="Times New Roman" w:eastAsia="Times New Roman" w:cs="Times New Roman"/>
                <w:bCs/>
                <w:szCs w:val="24"/>
                <w:vertAlign w:val="superscript"/>
              </w:rPr>
              <w:t>2</w:t>
            </w:r>
          </w:p>
        </w:tc>
      </w:tr>
      <w:tr w:rsidRPr="00C83ED0" w:rsidR="00A127CF" w:rsidTr="00196363" w14:paraId="5436263F" w14:textId="77777777">
        <w:trPr>
          <w:trHeight w:val="900"/>
        </w:trPr>
        <w:tc>
          <w:tcPr>
            <w:tcW w:w="1217" w:type="dxa"/>
            <w:tcBorders>
              <w:top w:val="nil"/>
              <w:left w:val="nil"/>
              <w:bottom w:val="nil"/>
              <w:right w:val="nil"/>
            </w:tcBorders>
            <w:shd w:val="clear" w:color="auto" w:fill="auto"/>
            <w:noWrap/>
            <w:vAlign w:val="bottom"/>
            <w:hideMark/>
          </w:tcPr>
          <w:p w:rsidRPr="001837E8" w:rsidR="00715F4D" w:rsidP="00715F4D" w:rsidRDefault="00715F4D" w14:paraId="79C80214" w14:textId="77777777">
            <w:pPr>
              <w:spacing w:after="0" w:line="240" w:lineRule="auto"/>
              <w:jc w:val="center"/>
              <w:rPr>
                <w:rFonts w:ascii="Times New Roman" w:hAnsi="Times New Roman" w:eastAsia="Times New Roman" w:cs="Times New Roman"/>
                <w:bCs/>
                <w:szCs w:val="24"/>
              </w:rPr>
            </w:pPr>
          </w:p>
        </w:tc>
        <w:tc>
          <w:tcPr>
            <w:tcW w:w="1110" w:type="dxa"/>
            <w:tcBorders>
              <w:top w:val="nil"/>
              <w:left w:val="nil"/>
              <w:bottom w:val="nil"/>
              <w:right w:val="nil"/>
            </w:tcBorders>
            <w:shd w:val="clear" w:color="auto" w:fill="auto"/>
            <w:vAlign w:val="bottom"/>
            <w:hideMark/>
          </w:tcPr>
          <w:p w:rsidRPr="001837E8" w:rsidR="00715F4D" w:rsidP="00715F4D" w:rsidRDefault="00715F4D" w14:paraId="0904ADEF" w14:textId="77777777">
            <w:pPr>
              <w:spacing w:after="0" w:line="240" w:lineRule="auto"/>
              <w:jc w:val="center"/>
              <w:rPr>
                <w:rFonts w:ascii="Times New Roman" w:hAnsi="Times New Roman" w:eastAsia="Times New Roman" w:cs="Times New Roman"/>
                <w:bCs/>
                <w:szCs w:val="24"/>
              </w:rPr>
            </w:pPr>
            <w:r w:rsidRPr="001837E8">
              <w:rPr>
                <w:rFonts w:ascii="Times New Roman" w:hAnsi="Times New Roman" w:eastAsia="Times New Roman" w:cs="Times New Roman"/>
                <w:bCs/>
                <w:szCs w:val="24"/>
              </w:rPr>
              <w:t>Number of Staff</w:t>
            </w:r>
          </w:p>
        </w:tc>
        <w:tc>
          <w:tcPr>
            <w:tcW w:w="1314" w:type="dxa"/>
            <w:tcBorders>
              <w:top w:val="nil"/>
              <w:left w:val="nil"/>
              <w:bottom w:val="nil"/>
              <w:right w:val="nil"/>
            </w:tcBorders>
            <w:shd w:val="clear" w:color="auto" w:fill="auto"/>
            <w:vAlign w:val="bottom"/>
            <w:hideMark/>
          </w:tcPr>
          <w:p w:rsidRPr="001837E8" w:rsidR="00715F4D" w:rsidP="00715F4D" w:rsidRDefault="004502D2" w14:paraId="13915642" w14:textId="7A71913D">
            <w:pPr>
              <w:spacing w:after="0" w:line="240" w:lineRule="auto"/>
              <w:jc w:val="center"/>
              <w:rPr>
                <w:rFonts w:ascii="Times New Roman" w:hAnsi="Times New Roman" w:eastAsia="Times New Roman" w:cs="Times New Roman"/>
                <w:bCs/>
                <w:szCs w:val="24"/>
              </w:rPr>
            </w:pPr>
            <w:r w:rsidRPr="001837E8">
              <w:rPr>
                <w:rFonts w:ascii="Times New Roman" w:hAnsi="Times New Roman" w:eastAsia="Times New Roman" w:cs="Times New Roman"/>
                <w:bCs/>
                <w:szCs w:val="24"/>
              </w:rPr>
              <w:t>Hourly rate</w:t>
            </w:r>
            <w:r w:rsidRPr="001837E8" w:rsidR="00715F4D">
              <w:rPr>
                <w:rFonts w:ascii="Times New Roman" w:hAnsi="Times New Roman" w:eastAsia="Times New Roman" w:cs="Times New Roman"/>
                <w:bCs/>
                <w:szCs w:val="24"/>
              </w:rPr>
              <w:t xml:space="preserve">   (Grade 13/1)</w:t>
            </w:r>
            <w:r w:rsidRPr="001837E8" w:rsidR="00E94922">
              <w:rPr>
                <w:rFonts w:ascii="Times New Roman" w:hAnsi="Times New Roman" w:eastAsia="Times New Roman" w:cs="Times New Roman"/>
                <w:bCs/>
                <w:szCs w:val="24"/>
              </w:rPr>
              <w:t>*</w:t>
            </w:r>
          </w:p>
        </w:tc>
        <w:tc>
          <w:tcPr>
            <w:tcW w:w="964" w:type="dxa"/>
            <w:tcBorders>
              <w:top w:val="nil"/>
              <w:left w:val="nil"/>
              <w:bottom w:val="nil"/>
              <w:right w:val="nil"/>
            </w:tcBorders>
            <w:shd w:val="clear" w:color="auto" w:fill="auto"/>
            <w:noWrap/>
            <w:vAlign w:val="bottom"/>
            <w:hideMark/>
          </w:tcPr>
          <w:p w:rsidRPr="001837E8" w:rsidR="00715F4D" w:rsidP="00715F4D" w:rsidRDefault="00715F4D" w14:paraId="49A6F0CD" w14:textId="77777777">
            <w:pPr>
              <w:spacing w:after="0" w:line="240" w:lineRule="auto"/>
              <w:jc w:val="center"/>
              <w:rPr>
                <w:rFonts w:ascii="Times New Roman" w:hAnsi="Times New Roman" w:eastAsia="Times New Roman" w:cs="Times New Roman"/>
                <w:bCs/>
                <w:szCs w:val="24"/>
              </w:rPr>
            </w:pPr>
            <w:r w:rsidRPr="001837E8">
              <w:rPr>
                <w:rFonts w:ascii="Times New Roman" w:hAnsi="Times New Roman" w:eastAsia="Times New Roman" w:cs="Times New Roman"/>
                <w:bCs/>
                <w:szCs w:val="24"/>
              </w:rPr>
              <w:t># Hours</w:t>
            </w:r>
          </w:p>
        </w:tc>
        <w:tc>
          <w:tcPr>
            <w:tcW w:w="910" w:type="dxa"/>
            <w:tcBorders>
              <w:top w:val="nil"/>
              <w:left w:val="nil"/>
              <w:bottom w:val="nil"/>
              <w:right w:val="nil"/>
            </w:tcBorders>
            <w:shd w:val="clear" w:color="auto" w:fill="auto"/>
            <w:noWrap/>
            <w:vAlign w:val="bottom"/>
            <w:hideMark/>
          </w:tcPr>
          <w:p w:rsidRPr="001837E8" w:rsidR="00715F4D" w:rsidP="00715F4D" w:rsidRDefault="00715F4D" w14:paraId="2470C59C" w14:textId="77777777">
            <w:pPr>
              <w:spacing w:after="0" w:line="240" w:lineRule="auto"/>
              <w:jc w:val="center"/>
              <w:rPr>
                <w:rFonts w:ascii="Times New Roman" w:hAnsi="Times New Roman" w:eastAsia="Times New Roman" w:cs="Times New Roman"/>
                <w:bCs/>
                <w:szCs w:val="24"/>
              </w:rPr>
            </w:pPr>
            <w:r w:rsidRPr="001837E8">
              <w:rPr>
                <w:rFonts w:ascii="Times New Roman" w:hAnsi="Times New Roman" w:eastAsia="Times New Roman" w:cs="Times New Roman"/>
                <w:bCs/>
                <w:szCs w:val="24"/>
              </w:rPr>
              <w:t>Salary</w:t>
            </w:r>
          </w:p>
        </w:tc>
        <w:tc>
          <w:tcPr>
            <w:tcW w:w="1039" w:type="dxa"/>
            <w:tcBorders>
              <w:top w:val="nil"/>
              <w:left w:val="nil"/>
              <w:bottom w:val="nil"/>
              <w:right w:val="nil"/>
            </w:tcBorders>
            <w:shd w:val="clear" w:color="auto" w:fill="auto"/>
            <w:noWrap/>
            <w:vAlign w:val="bottom"/>
            <w:hideMark/>
          </w:tcPr>
          <w:p w:rsidRPr="001837E8" w:rsidR="00715F4D" w:rsidP="00715F4D" w:rsidRDefault="00715F4D" w14:paraId="1559C30C" w14:textId="77777777">
            <w:pPr>
              <w:spacing w:after="0" w:line="240" w:lineRule="auto"/>
              <w:jc w:val="center"/>
              <w:rPr>
                <w:rFonts w:ascii="Times New Roman" w:hAnsi="Times New Roman" w:eastAsia="Times New Roman" w:cs="Times New Roman"/>
                <w:bCs/>
                <w:szCs w:val="24"/>
              </w:rPr>
            </w:pPr>
            <w:r w:rsidRPr="001837E8">
              <w:rPr>
                <w:rFonts w:ascii="Times New Roman" w:hAnsi="Times New Roman" w:eastAsia="Times New Roman" w:cs="Times New Roman"/>
                <w:bCs/>
                <w:szCs w:val="24"/>
              </w:rPr>
              <w:t>Fringe</w:t>
            </w:r>
          </w:p>
        </w:tc>
        <w:tc>
          <w:tcPr>
            <w:tcW w:w="1039" w:type="dxa"/>
            <w:tcBorders>
              <w:top w:val="nil"/>
              <w:left w:val="nil"/>
              <w:bottom w:val="nil"/>
              <w:right w:val="nil"/>
            </w:tcBorders>
            <w:shd w:val="clear" w:color="auto" w:fill="auto"/>
            <w:noWrap/>
            <w:vAlign w:val="bottom"/>
            <w:hideMark/>
          </w:tcPr>
          <w:p w:rsidRPr="001837E8" w:rsidR="00715F4D" w:rsidP="00715F4D" w:rsidRDefault="00715F4D" w14:paraId="2F9C60E0" w14:textId="77777777">
            <w:pPr>
              <w:spacing w:after="0" w:line="240" w:lineRule="auto"/>
              <w:jc w:val="center"/>
              <w:rPr>
                <w:rFonts w:ascii="Times New Roman" w:hAnsi="Times New Roman" w:eastAsia="Times New Roman" w:cs="Times New Roman"/>
                <w:bCs/>
                <w:szCs w:val="24"/>
              </w:rPr>
            </w:pPr>
            <w:r w:rsidRPr="001837E8">
              <w:rPr>
                <w:rFonts w:ascii="Times New Roman" w:hAnsi="Times New Roman" w:eastAsia="Times New Roman" w:cs="Times New Roman"/>
                <w:bCs/>
                <w:szCs w:val="24"/>
              </w:rPr>
              <w:t>Travel</w:t>
            </w:r>
          </w:p>
        </w:tc>
        <w:tc>
          <w:tcPr>
            <w:tcW w:w="1990" w:type="dxa"/>
            <w:gridSpan w:val="2"/>
            <w:tcBorders>
              <w:top w:val="nil"/>
              <w:left w:val="nil"/>
              <w:bottom w:val="nil"/>
              <w:right w:val="nil"/>
            </w:tcBorders>
            <w:shd w:val="clear" w:color="auto" w:fill="auto"/>
            <w:noWrap/>
            <w:vAlign w:val="bottom"/>
            <w:hideMark/>
          </w:tcPr>
          <w:p w:rsidRPr="001837E8" w:rsidR="00715F4D" w:rsidP="00715F4D" w:rsidRDefault="00715F4D" w14:paraId="1D3D5016" w14:textId="77777777">
            <w:pPr>
              <w:spacing w:after="0" w:line="240" w:lineRule="auto"/>
              <w:jc w:val="center"/>
              <w:rPr>
                <w:rFonts w:ascii="Times New Roman" w:hAnsi="Times New Roman" w:eastAsia="Times New Roman" w:cs="Times New Roman"/>
                <w:bCs/>
                <w:szCs w:val="24"/>
              </w:rPr>
            </w:pPr>
            <w:r w:rsidRPr="001837E8">
              <w:rPr>
                <w:rFonts w:ascii="Times New Roman" w:hAnsi="Times New Roman" w:eastAsia="Times New Roman" w:cs="Times New Roman"/>
                <w:bCs/>
                <w:szCs w:val="24"/>
              </w:rPr>
              <w:t>Total</w:t>
            </w:r>
          </w:p>
        </w:tc>
      </w:tr>
      <w:tr w:rsidRPr="00C83ED0" w:rsidR="00A127CF" w:rsidTr="00196363" w14:paraId="6B62210B" w14:textId="77777777">
        <w:trPr>
          <w:gridAfter w:val="1"/>
          <w:wAfter w:w="720" w:type="dxa"/>
          <w:trHeight w:val="300"/>
        </w:trPr>
        <w:tc>
          <w:tcPr>
            <w:tcW w:w="1217" w:type="dxa"/>
            <w:tcBorders>
              <w:top w:val="nil"/>
              <w:left w:val="nil"/>
              <w:bottom w:val="nil"/>
              <w:right w:val="nil"/>
            </w:tcBorders>
            <w:shd w:val="clear" w:color="auto" w:fill="auto"/>
            <w:noWrap/>
            <w:vAlign w:val="bottom"/>
            <w:hideMark/>
          </w:tcPr>
          <w:p w:rsidRPr="001837E8" w:rsidR="00715F4D" w:rsidP="00715F4D" w:rsidRDefault="00715F4D" w14:paraId="3C6618F3"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HHS-HRSA</w:t>
            </w:r>
          </w:p>
        </w:tc>
        <w:tc>
          <w:tcPr>
            <w:tcW w:w="1110" w:type="dxa"/>
            <w:tcBorders>
              <w:top w:val="nil"/>
              <w:left w:val="nil"/>
              <w:bottom w:val="nil"/>
              <w:right w:val="nil"/>
            </w:tcBorders>
            <w:shd w:val="clear" w:color="auto" w:fill="auto"/>
            <w:noWrap/>
            <w:vAlign w:val="bottom"/>
            <w:hideMark/>
          </w:tcPr>
          <w:p w:rsidRPr="001837E8" w:rsidR="00715F4D" w:rsidP="00715F4D" w:rsidRDefault="00715F4D" w14:paraId="33D808DB"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1</w:t>
            </w:r>
          </w:p>
        </w:tc>
        <w:tc>
          <w:tcPr>
            <w:tcW w:w="1314" w:type="dxa"/>
            <w:tcBorders>
              <w:top w:val="nil"/>
              <w:left w:val="nil"/>
              <w:bottom w:val="nil"/>
              <w:right w:val="nil"/>
            </w:tcBorders>
            <w:shd w:val="clear" w:color="auto" w:fill="auto"/>
            <w:noWrap/>
            <w:vAlign w:val="bottom"/>
            <w:hideMark/>
          </w:tcPr>
          <w:p w:rsidRPr="001837E8" w:rsidR="00715F4D" w:rsidP="00715F4D" w:rsidRDefault="00715F4D" w14:paraId="01D88697"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47.52</w:t>
            </w:r>
          </w:p>
        </w:tc>
        <w:tc>
          <w:tcPr>
            <w:tcW w:w="964" w:type="dxa"/>
            <w:tcBorders>
              <w:top w:val="nil"/>
              <w:left w:val="nil"/>
              <w:bottom w:val="nil"/>
              <w:right w:val="nil"/>
            </w:tcBorders>
            <w:shd w:val="clear" w:color="auto" w:fill="auto"/>
            <w:noWrap/>
            <w:vAlign w:val="bottom"/>
            <w:hideMark/>
          </w:tcPr>
          <w:p w:rsidRPr="001837E8" w:rsidR="00715F4D" w:rsidP="00715F4D" w:rsidRDefault="00715F4D" w14:paraId="6AAFF7D7"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480</w:t>
            </w:r>
          </w:p>
        </w:tc>
        <w:tc>
          <w:tcPr>
            <w:tcW w:w="910" w:type="dxa"/>
            <w:tcBorders>
              <w:top w:val="nil"/>
              <w:left w:val="nil"/>
              <w:bottom w:val="nil"/>
              <w:right w:val="nil"/>
            </w:tcBorders>
            <w:shd w:val="clear" w:color="auto" w:fill="auto"/>
            <w:noWrap/>
            <w:vAlign w:val="bottom"/>
            <w:hideMark/>
          </w:tcPr>
          <w:p w:rsidRPr="001837E8" w:rsidR="00715F4D" w:rsidP="00715F4D" w:rsidRDefault="00715F4D" w14:paraId="7BC3DAA8"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22,810 </w:t>
            </w:r>
          </w:p>
        </w:tc>
        <w:tc>
          <w:tcPr>
            <w:tcW w:w="1039" w:type="dxa"/>
            <w:tcBorders>
              <w:top w:val="nil"/>
              <w:left w:val="nil"/>
              <w:bottom w:val="nil"/>
              <w:right w:val="nil"/>
            </w:tcBorders>
            <w:shd w:val="clear" w:color="auto" w:fill="auto"/>
            <w:noWrap/>
            <w:vAlign w:val="bottom"/>
            <w:hideMark/>
          </w:tcPr>
          <w:p w:rsidRPr="001837E8" w:rsidR="00715F4D" w:rsidP="00715F4D" w:rsidRDefault="00715F4D" w14:paraId="23A850ED"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5,018 </w:t>
            </w:r>
          </w:p>
        </w:tc>
        <w:tc>
          <w:tcPr>
            <w:tcW w:w="1039" w:type="dxa"/>
            <w:tcBorders>
              <w:top w:val="nil"/>
              <w:left w:val="nil"/>
              <w:bottom w:val="nil"/>
              <w:right w:val="nil"/>
            </w:tcBorders>
            <w:shd w:val="clear" w:color="auto" w:fill="auto"/>
            <w:noWrap/>
            <w:vAlign w:val="bottom"/>
            <w:hideMark/>
          </w:tcPr>
          <w:p w:rsidRPr="001837E8" w:rsidR="00715F4D" w:rsidP="00715F4D" w:rsidRDefault="00715F4D" w14:paraId="0B354B2C"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3,500 </w:t>
            </w:r>
          </w:p>
        </w:tc>
        <w:tc>
          <w:tcPr>
            <w:tcW w:w="1270" w:type="dxa"/>
            <w:tcBorders>
              <w:top w:val="nil"/>
              <w:left w:val="nil"/>
              <w:bottom w:val="nil"/>
              <w:right w:val="nil"/>
            </w:tcBorders>
            <w:shd w:val="clear" w:color="auto" w:fill="auto"/>
            <w:noWrap/>
            <w:vAlign w:val="bottom"/>
            <w:hideMark/>
          </w:tcPr>
          <w:p w:rsidRPr="001837E8" w:rsidR="00715F4D" w:rsidP="001837E8" w:rsidRDefault="00715F4D" w14:paraId="16919DDF" w14:textId="71DDCEF6">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w:t>
            </w:r>
            <w:r w:rsidRPr="00C83ED0" w:rsidR="004502D2">
              <w:rPr>
                <w:rFonts w:ascii="Times New Roman" w:hAnsi="Times New Roman" w:eastAsia="Times New Roman" w:cs="Times New Roman"/>
                <w:bCs/>
                <w:szCs w:val="24"/>
              </w:rPr>
              <w:t>$</w:t>
            </w:r>
            <w:r w:rsidRPr="001837E8">
              <w:rPr>
                <w:rFonts w:ascii="Times New Roman" w:hAnsi="Times New Roman" w:eastAsia="Times New Roman" w:cs="Times New Roman"/>
                <w:bCs/>
                <w:szCs w:val="24"/>
              </w:rPr>
              <w:t xml:space="preserve">31,328 </w:t>
            </w:r>
          </w:p>
        </w:tc>
      </w:tr>
      <w:tr w:rsidRPr="00C83ED0" w:rsidR="00A127CF" w:rsidTr="00196363" w14:paraId="152B4A0C" w14:textId="77777777">
        <w:trPr>
          <w:gridAfter w:val="1"/>
          <w:wAfter w:w="720" w:type="dxa"/>
          <w:trHeight w:val="300"/>
        </w:trPr>
        <w:tc>
          <w:tcPr>
            <w:tcW w:w="1217" w:type="dxa"/>
            <w:tcBorders>
              <w:top w:val="nil"/>
              <w:left w:val="nil"/>
              <w:bottom w:val="nil"/>
              <w:right w:val="nil"/>
            </w:tcBorders>
            <w:shd w:val="clear" w:color="auto" w:fill="auto"/>
            <w:noWrap/>
            <w:vAlign w:val="bottom"/>
            <w:hideMark/>
          </w:tcPr>
          <w:p w:rsidRPr="001837E8" w:rsidR="00715F4D" w:rsidP="00715F4D" w:rsidRDefault="00715F4D" w14:paraId="2E9A8335"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CDC</w:t>
            </w:r>
          </w:p>
        </w:tc>
        <w:tc>
          <w:tcPr>
            <w:tcW w:w="1110" w:type="dxa"/>
            <w:tcBorders>
              <w:top w:val="nil"/>
              <w:left w:val="nil"/>
              <w:bottom w:val="nil"/>
              <w:right w:val="nil"/>
            </w:tcBorders>
            <w:shd w:val="clear" w:color="auto" w:fill="auto"/>
            <w:noWrap/>
            <w:vAlign w:val="bottom"/>
            <w:hideMark/>
          </w:tcPr>
          <w:p w:rsidRPr="001837E8" w:rsidR="00715F4D" w:rsidP="00715F4D" w:rsidRDefault="00715F4D" w14:paraId="78A8446B"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2</w:t>
            </w:r>
          </w:p>
        </w:tc>
        <w:tc>
          <w:tcPr>
            <w:tcW w:w="1314" w:type="dxa"/>
            <w:tcBorders>
              <w:top w:val="nil"/>
              <w:left w:val="nil"/>
              <w:bottom w:val="nil"/>
              <w:right w:val="nil"/>
            </w:tcBorders>
            <w:shd w:val="clear" w:color="auto" w:fill="auto"/>
            <w:noWrap/>
            <w:vAlign w:val="bottom"/>
            <w:hideMark/>
          </w:tcPr>
          <w:p w:rsidRPr="001837E8" w:rsidR="00715F4D" w:rsidP="00715F4D" w:rsidRDefault="00715F4D" w14:paraId="6A55B79A"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47.52</w:t>
            </w:r>
          </w:p>
        </w:tc>
        <w:tc>
          <w:tcPr>
            <w:tcW w:w="964" w:type="dxa"/>
            <w:tcBorders>
              <w:top w:val="nil"/>
              <w:left w:val="nil"/>
              <w:bottom w:val="nil"/>
              <w:right w:val="nil"/>
            </w:tcBorders>
            <w:shd w:val="clear" w:color="auto" w:fill="auto"/>
            <w:noWrap/>
            <w:vAlign w:val="bottom"/>
            <w:hideMark/>
          </w:tcPr>
          <w:p w:rsidRPr="001837E8" w:rsidR="00715F4D" w:rsidP="00715F4D" w:rsidRDefault="00715F4D" w14:paraId="75717D29"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480</w:t>
            </w:r>
          </w:p>
        </w:tc>
        <w:tc>
          <w:tcPr>
            <w:tcW w:w="910" w:type="dxa"/>
            <w:tcBorders>
              <w:top w:val="nil"/>
              <w:left w:val="nil"/>
              <w:bottom w:val="nil"/>
              <w:right w:val="nil"/>
            </w:tcBorders>
            <w:shd w:val="clear" w:color="auto" w:fill="auto"/>
            <w:noWrap/>
            <w:vAlign w:val="bottom"/>
            <w:hideMark/>
          </w:tcPr>
          <w:p w:rsidRPr="001837E8" w:rsidR="00715F4D" w:rsidP="00715F4D" w:rsidRDefault="00715F4D" w14:paraId="1DDB9584"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45,619 </w:t>
            </w:r>
          </w:p>
        </w:tc>
        <w:tc>
          <w:tcPr>
            <w:tcW w:w="1039" w:type="dxa"/>
            <w:tcBorders>
              <w:top w:val="nil"/>
              <w:left w:val="nil"/>
              <w:bottom w:val="nil"/>
              <w:right w:val="nil"/>
            </w:tcBorders>
            <w:shd w:val="clear" w:color="auto" w:fill="auto"/>
            <w:noWrap/>
            <w:vAlign w:val="bottom"/>
            <w:hideMark/>
          </w:tcPr>
          <w:p w:rsidRPr="001837E8" w:rsidR="00715F4D" w:rsidP="00715F4D" w:rsidRDefault="00715F4D" w14:paraId="0C03BA1B"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10,036 </w:t>
            </w:r>
          </w:p>
        </w:tc>
        <w:tc>
          <w:tcPr>
            <w:tcW w:w="1039" w:type="dxa"/>
            <w:tcBorders>
              <w:top w:val="nil"/>
              <w:left w:val="nil"/>
              <w:bottom w:val="nil"/>
              <w:right w:val="nil"/>
            </w:tcBorders>
            <w:shd w:val="clear" w:color="auto" w:fill="auto"/>
            <w:noWrap/>
            <w:vAlign w:val="bottom"/>
            <w:hideMark/>
          </w:tcPr>
          <w:p w:rsidRPr="001837E8" w:rsidR="00715F4D" w:rsidP="00715F4D" w:rsidRDefault="00715F4D" w14:paraId="0607466C"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7,000 </w:t>
            </w:r>
          </w:p>
        </w:tc>
        <w:tc>
          <w:tcPr>
            <w:tcW w:w="1270" w:type="dxa"/>
            <w:tcBorders>
              <w:top w:val="nil"/>
              <w:left w:val="nil"/>
              <w:bottom w:val="nil"/>
              <w:right w:val="nil"/>
            </w:tcBorders>
            <w:shd w:val="clear" w:color="auto" w:fill="auto"/>
            <w:noWrap/>
            <w:vAlign w:val="bottom"/>
            <w:hideMark/>
          </w:tcPr>
          <w:p w:rsidRPr="001837E8" w:rsidR="00715F4D" w:rsidP="001837E8" w:rsidRDefault="00715F4D" w14:paraId="602561F1" w14:textId="6559B2AB">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w:t>
            </w:r>
            <w:r w:rsidRPr="00C83ED0" w:rsidR="004502D2">
              <w:rPr>
                <w:rFonts w:ascii="Times New Roman" w:hAnsi="Times New Roman" w:eastAsia="Times New Roman" w:cs="Times New Roman"/>
                <w:bCs/>
                <w:szCs w:val="24"/>
              </w:rPr>
              <w:t>$</w:t>
            </w:r>
            <w:r w:rsidRPr="001837E8">
              <w:rPr>
                <w:rFonts w:ascii="Times New Roman" w:hAnsi="Times New Roman" w:eastAsia="Times New Roman" w:cs="Times New Roman"/>
                <w:bCs/>
                <w:szCs w:val="24"/>
              </w:rPr>
              <w:t xml:space="preserve">62,655 </w:t>
            </w:r>
          </w:p>
        </w:tc>
      </w:tr>
      <w:tr w:rsidRPr="00C83ED0" w:rsidR="00A127CF" w:rsidTr="00196363" w14:paraId="524CF2AE" w14:textId="77777777">
        <w:trPr>
          <w:gridAfter w:val="1"/>
          <w:wAfter w:w="720" w:type="dxa"/>
          <w:trHeight w:val="300"/>
        </w:trPr>
        <w:tc>
          <w:tcPr>
            <w:tcW w:w="1217" w:type="dxa"/>
            <w:tcBorders>
              <w:top w:val="nil"/>
              <w:left w:val="nil"/>
              <w:bottom w:val="nil"/>
              <w:right w:val="nil"/>
            </w:tcBorders>
            <w:shd w:val="clear" w:color="auto" w:fill="auto"/>
            <w:noWrap/>
            <w:vAlign w:val="bottom"/>
            <w:hideMark/>
          </w:tcPr>
          <w:p w:rsidRPr="001837E8" w:rsidR="00715F4D" w:rsidP="00715F4D" w:rsidRDefault="00715F4D" w14:paraId="38C46CA0"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DOD</w:t>
            </w:r>
          </w:p>
        </w:tc>
        <w:tc>
          <w:tcPr>
            <w:tcW w:w="1110" w:type="dxa"/>
            <w:tcBorders>
              <w:top w:val="nil"/>
              <w:left w:val="nil"/>
              <w:bottom w:val="nil"/>
              <w:right w:val="nil"/>
            </w:tcBorders>
            <w:shd w:val="clear" w:color="auto" w:fill="auto"/>
            <w:noWrap/>
            <w:vAlign w:val="bottom"/>
            <w:hideMark/>
          </w:tcPr>
          <w:p w:rsidRPr="001837E8" w:rsidR="00715F4D" w:rsidP="00715F4D" w:rsidRDefault="00715F4D" w14:paraId="62880DCA"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2</w:t>
            </w:r>
          </w:p>
        </w:tc>
        <w:tc>
          <w:tcPr>
            <w:tcW w:w="1314" w:type="dxa"/>
            <w:tcBorders>
              <w:top w:val="nil"/>
              <w:left w:val="nil"/>
              <w:bottom w:val="nil"/>
              <w:right w:val="nil"/>
            </w:tcBorders>
            <w:shd w:val="clear" w:color="auto" w:fill="auto"/>
            <w:noWrap/>
            <w:vAlign w:val="bottom"/>
            <w:hideMark/>
          </w:tcPr>
          <w:p w:rsidRPr="001837E8" w:rsidR="00715F4D" w:rsidP="00715F4D" w:rsidRDefault="00715F4D" w14:paraId="1885EC28"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47.52</w:t>
            </w:r>
          </w:p>
        </w:tc>
        <w:tc>
          <w:tcPr>
            <w:tcW w:w="964" w:type="dxa"/>
            <w:tcBorders>
              <w:top w:val="nil"/>
              <w:left w:val="nil"/>
              <w:bottom w:val="nil"/>
              <w:right w:val="nil"/>
            </w:tcBorders>
            <w:shd w:val="clear" w:color="auto" w:fill="auto"/>
            <w:noWrap/>
            <w:vAlign w:val="bottom"/>
            <w:hideMark/>
          </w:tcPr>
          <w:p w:rsidRPr="001837E8" w:rsidR="00715F4D" w:rsidP="00715F4D" w:rsidRDefault="00715F4D" w14:paraId="64C171FA"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480</w:t>
            </w:r>
          </w:p>
        </w:tc>
        <w:tc>
          <w:tcPr>
            <w:tcW w:w="910" w:type="dxa"/>
            <w:tcBorders>
              <w:top w:val="nil"/>
              <w:left w:val="nil"/>
              <w:bottom w:val="nil"/>
              <w:right w:val="nil"/>
            </w:tcBorders>
            <w:shd w:val="clear" w:color="auto" w:fill="auto"/>
            <w:noWrap/>
            <w:vAlign w:val="bottom"/>
            <w:hideMark/>
          </w:tcPr>
          <w:p w:rsidRPr="001837E8" w:rsidR="00715F4D" w:rsidP="00715F4D" w:rsidRDefault="00715F4D" w14:paraId="6C3E6D8B"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45,619 </w:t>
            </w:r>
          </w:p>
        </w:tc>
        <w:tc>
          <w:tcPr>
            <w:tcW w:w="1039" w:type="dxa"/>
            <w:tcBorders>
              <w:top w:val="nil"/>
              <w:left w:val="nil"/>
              <w:bottom w:val="nil"/>
              <w:right w:val="nil"/>
            </w:tcBorders>
            <w:shd w:val="clear" w:color="auto" w:fill="auto"/>
            <w:noWrap/>
            <w:vAlign w:val="bottom"/>
            <w:hideMark/>
          </w:tcPr>
          <w:p w:rsidRPr="001837E8" w:rsidR="00715F4D" w:rsidP="00715F4D" w:rsidRDefault="00715F4D" w14:paraId="31FD52A7"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10,036 </w:t>
            </w:r>
          </w:p>
        </w:tc>
        <w:tc>
          <w:tcPr>
            <w:tcW w:w="1039" w:type="dxa"/>
            <w:tcBorders>
              <w:top w:val="nil"/>
              <w:left w:val="nil"/>
              <w:bottom w:val="nil"/>
              <w:right w:val="nil"/>
            </w:tcBorders>
            <w:shd w:val="clear" w:color="auto" w:fill="auto"/>
            <w:noWrap/>
            <w:vAlign w:val="bottom"/>
            <w:hideMark/>
          </w:tcPr>
          <w:p w:rsidRPr="001837E8" w:rsidR="00715F4D" w:rsidP="00715F4D" w:rsidRDefault="00715F4D" w14:paraId="5E588C89"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7,000 </w:t>
            </w:r>
          </w:p>
        </w:tc>
        <w:tc>
          <w:tcPr>
            <w:tcW w:w="1270" w:type="dxa"/>
            <w:tcBorders>
              <w:top w:val="nil"/>
              <w:left w:val="nil"/>
              <w:bottom w:val="nil"/>
              <w:right w:val="nil"/>
            </w:tcBorders>
            <w:shd w:val="clear" w:color="auto" w:fill="auto"/>
            <w:noWrap/>
            <w:vAlign w:val="bottom"/>
            <w:hideMark/>
          </w:tcPr>
          <w:p w:rsidRPr="001837E8" w:rsidR="00715F4D" w:rsidP="001837E8" w:rsidRDefault="00715F4D" w14:paraId="061442A2" w14:textId="3D283B5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w:t>
            </w:r>
            <w:r w:rsidRPr="00C83ED0" w:rsidR="004502D2">
              <w:rPr>
                <w:rFonts w:ascii="Times New Roman" w:hAnsi="Times New Roman" w:eastAsia="Times New Roman" w:cs="Times New Roman"/>
                <w:bCs/>
                <w:szCs w:val="24"/>
              </w:rPr>
              <w:t>$</w:t>
            </w:r>
            <w:r w:rsidRPr="001837E8">
              <w:rPr>
                <w:rFonts w:ascii="Times New Roman" w:hAnsi="Times New Roman" w:eastAsia="Times New Roman" w:cs="Times New Roman"/>
                <w:bCs/>
                <w:szCs w:val="24"/>
              </w:rPr>
              <w:t xml:space="preserve">62,655 </w:t>
            </w:r>
          </w:p>
        </w:tc>
      </w:tr>
      <w:tr w:rsidRPr="00C83ED0" w:rsidR="00A127CF" w:rsidTr="00196363" w14:paraId="6790AF63" w14:textId="77777777">
        <w:trPr>
          <w:gridAfter w:val="1"/>
          <w:wAfter w:w="720" w:type="dxa"/>
          <w:trHeight w:val="300"/>
        </w:trPr>
        <w:tc>
          <w:tcPr>
            <w:tcW w:w="1217" w:type="dxa"/>
            <w:tcBorders>
              <w:top w:val="nil"/>
              <w:left w:val="nil"/>
              <w:bottom w:val="nil"/>
              <w:right w:val="nil"/>
            </w:tcBorders>
            <w:shd w:val="clear" w:color="auto" w:fill="auto"/>
            <w:noWrap/>
            <w:vAlign w:val="bottom"/>
            <w:hideMark/>
          </w:tcPr>
          <w:p w:rsidRPr="001837E8" w:rsidR="00715F4D" w:rsidP="00715F4D" w:rsidRDefault="00715F4D" w14:paraId="6D06CF08"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USAID</w:t>
            </w:r>
          </w:p>
        </w:tc>
        <w:tc>
          <w:tcPr>
            <w:tcW w:w="1110" w:type="dxa"/>
            <w:tcBorders>
              <w:top w:val="nil"/>
              <w:left w:val="nil"/>
              <w:bottom w:val="nil"/>
              <w:right w:val="nil"/>
            </w:tcBorders>
            <w:shd w:val="clear" w:color="auto" w:fill="auto"/>
            <w:noWrap/>
            <w:vAlign w:val="bottom"/>
            <w:hideMark/>
          </w:tcPr>
          <w:p w:rsidRPr="001837E8" w:rsidR="00715F4D" w:rsidP="00715F4D" w:rsidRDefault="00715F4D" w14:paraId="39414D3C"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4</w:t>
            </w:r>
          </w:p>
        </w:tc>
        <w:tc>
          <w:tcPr>
            <w:tcW w:w="1314" w:type="dxa"/>
            <w:tcBorders>
              <w:top w:val="nil"/>
              <w:left w:val="nil"/>
              <w:bottom w:val="nil"/>
              <w:right w:val="nil"/>
            </w:tcBorders>
            <w:shd w:val="clear" w:color="auto" w:fill="auto"/>
            <w:noWrap/>
            <w:vAlign w:val="bottom"/>
            <w:hideMark/>
          </w:tcPr>
          <w:p w:rsidRPr="001837E8" w:rsidR="00715F4D" w:rsidP="00715F4D" w:rsidRDefault="00715F4D" w14:paraId="193CBCDC"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47.52</w:t>
            </w:r>
          </w:p>
        </w:tc>
        <w:tc>
          <w:tcPr>
            <w:tcW w:w="964" w:type="dxa"/>
            <w:tcBorders>
              <w:top w:val="nil"/>
              <w:left w:val="nil"/>
              <w:bottom w:val="nil"/>
              <w:right w:val="nil"/>
            </w:tcBorders>
            <w:shd w:val="clear" w:color="auto" w:fill="auto"/>
            <w:noWrap/>
            <w:vAlign w:val="bottom"/>
            <w:hideMark/>
          </w:tcPr>
          <w:p w:rsidRPr="001837E8" w:rsidR="00715F4D" w:rsidP="00715F4D" w:rsidRDefault="00715F4D" w14:paraId="4A25F107"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480</w:t>
            </w:r>
          </w:p>
        </w:tc>
        <w:tc>
          <w:tcPr>
            <w:tcW w:w="910" w:type="dxa"/>
            <w:tcBorders>
              <w:top w:val="nil"/>
              <w:left w:val="nil"/>
              <w:bottom w:val="nil"/>
              <w:right w:val="nil"/>
            </w:tcBorders>
            <w:shd w:val="clear" w:color="auto" w:fill="auto"/>
            <w:noWrap/>
            <w:vAlign w:val="bottom"/>
            <w:hideMark/>
          </w:tcPr>
          <w:p w:rsidRPr="001837E8" w:rsidR="00715F4D" w:rsidP="00715F4D" w:rsidRDefault="00715F4D" w14:paraId="2C9C80B9"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91,238 </w:t>
            </w:r>
          </w:p>
        </w:tc>
        <w:tc>
          <w:tcPr>
            <w:tcW w:w="1039" w:type="dxa"/>
            <w:tcBorders>
              <w:top w:val="nil"/>
              <w:left w:val="nil"/>
              <w:bottom w:val="nil"/>
              <w:right w:val="nil"/>
            </w:tcBorders>
            <w:shd w:val="clear" w:color="auto" w:fill="auto"/>
            <w:noWrap/>
            <w:vAlign w:val="bottom"/>
            <w:hideMark/>
          </w:tcPr>
          <w:p w:rsidRPr="001837E8" w:rsidR="00715F4D" w:rsidP="00715F4D" w:rsidRDefault="00715F4D" w14:paraId="0B02F142"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20,072 </w:t>
            </w:r>
          </w:p>
        </w:tc>
        <w:tc>
          <w:tcPr>
            <w:tcW w:w="1039" w:type="dxa"/>
            <w:tcBorders>
              <w:top w:val="nil"/>
              <w:left w:val="nil"/>
              <w:bottom w:val="nil"/>
              <w:right w:val="nil"/>
            </w:tcBorders>
            <w:shd w:val="clear" w:color="auto" w:fill="auto"/>
            <w:noWrap/>
            <w:vAlign w:val="bottom"/>
            <w:hideMark/>
          </w:tcPr>
          <w:p w:rsidRPr="001837E8" w:rsidR="00715F4D" w:rsidP="00715F4D" w:rsidRDefault="00715F4D" w14:paraId="0AEE1F5C"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14,000 </w:t>
            </w:r>
          </w:p>
        </w:tc>
        <w:tc>
          <w:tcPr>
            <w:tcW w:w="1270" w:type="dxa"/>
            <w:tcBorders>
              <w:top w:val="nil"/>
              <w:left w:val="nil"/>
              <w:bottom w:val="nil"/>
              <w:right w:val="nil"/>
            </w:tcBorders>
            <w:shd w:val="clear" w:color="auto" w:fill="auto"/>
            <w:noWrap/>
            <w:vAlign w:val="bottom"/>
            <w:hideMark/>
          </w:tcPr>
          <w:p w:rsidRPr="001837E8" w:rsidR="00715F4D" w:rsidP="001837E8" w:rsidRDefault="00715F4D" w14:paraId="6C35D09B" w14:textId="4B793DB0">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w:t>
            </w:r>
            <w:r w:rsidRPr="00C83ED0" w:rsidR="004502D2">
              <w:rPr>
                <w:rFonts w:ascii="Times New Roman" w:hAnsi="Times New Roman" w:eastAsia="Times New Roman" w:cs="Times New Roman"/>
                <w:bCs/>
                <w:szCs w:val="24"/>
              </w:rPr>
              <w:t>$</w:t>
            </w:r>
            <w:r w:rsidRPr="001837E8">
              <w:rPr>
                <w:rFonts w:ascii="Times New Roman" w:hAnsi="Times New Roman" w:eastAsia="Times New Roman" w:cs="Times New Roman"/>
                <w:bCs/>
                <w:szCs w:val="24"/>
              </w:rPr>
              <w:t xml:space="preserve">125,311 </w:t>
            </w:r>
          </w:p>
        </w:tc>
      </w:tr>
      <w:tr w:rsidRPr="00C83ED0" w:rsidR="00A127CF" w:rsidTr="00196363" w14:paraId="5FCA108B" w14:textId="77777777">
        <w:trPr>
          <w:gridAfter w:val="1"/>
          <w:wAfter w:w="720" w:type="dxa"/>
          <w:trHeight w:val="300"/>
        </w:trPr>
        <w:tc>
          <w:tcPr>
            <w:tcW w:w="1217" w:type="dxa"/>
            <w:tcBorders>
              <w:top w:val="nil"/>
              <w:left w:val="nil"/>
              <w:bottom w:val="nil"/>
              <w:right w:val="nil"/>
            </w:tcBorders>
            <w:shd w:val="clear" w:color="auto" w:fill="auto"/>
            <w:noWrap/>
            <w:vAlign w:val="bottom"/>
            <w:hideMark/>
          </w:tcPr>
          <w:p w:rsidRPr="001837E8" w:rsidR="00715F4D" w:rsidP="00715F4D" w:rsidRDefault="00715F4D" w14:paraId="34A54427"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Peace Corp</w:t>
            </w:r>
          </w:p>
        </w:tc>
        <w:tc>
          <w:tcPr>
            <w:tcW w:w="1110" w:type="dxa"/>
            <w:tcBorders>
              <w:top w:val="nil"/>
              <w:left w:val="nil"/>
              <w:bottom w:val="nil"/>
              <w:right w:val="nil"/>
            </w:tcBorders>
            <w:shd w:val="clear" w:color="auto" w:fill="auto"/>
            <w:noWrap/>
            <w:vAlign w:val="bottom"/>
            <w:hideMark/>
          </w:tcPr>
          <w:p w:rsidRPr="001837E8" w:rsidR="00715F4D" w:rsidP="00715F4D" w:rsidRDefault="00715F4D" w14:paraId="4334682E"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2</w:t>
            </w:r>
          </w:p>
        </w:tc>
        <w:tc>
          <w:tcPr>
            <w:tcW w:w="1314" w:type="dxa"/>
            <w:tcBorders>
              <w:top w:val="nil"/>
              <w:left w:val="nil"/>
              <w:bottom w:val="nil"/>
              <w:right w:val="nil"/>
            </w:tcBorders>
            <w:shd w:val="clear" w:color="auto" w:fill="auto"/>
            <w:noWrap/>
            <w:vAlign w:val="bottom"/>
            <w:hideMark/>
          </w:tcPr>
          <w:p w:rsidRPr="001837E8" w:rsidR="00715F4D" w:rsidP="00715F4D" w:rsidRDefault="00715F4D" w14:paraId="4C8D88A6"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47.52</w:t>
            </w:r>
          </w:p>
        </w:tc>
        <w:tc>
          <w:tcPr>
            <w:tcW w:w="964" w:type="dxa"/>
            <w:tcBorders>
              <w:top w:val="nil"/>
              <w:left w:val="nil"/>
              <w:bottom w:val="nil"/>
              <w:right w:val="nil"/>
            </w:tcBorders>
            <w:shd w:val="clear" w:color="auto" w:fill="auto"/>
            <w:noWrap/>
            <w:vAlign w:val="bottom"/>
            <w:hideMark/>
          </w:tcPr>
          <w:p w:rsidRPr="001837E8" w:rsidR="00715F4D" w:rsidP="00715F4D" w:rsidRDefault="00715F4D" w14:paraId="6CC01D45"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480</w:t>
            </w:r>
          </w:p>
        </w:tc>
        <w:tc>
          <w:tcPr>
            <w:tcW w:w="910" w:type="dxa"/>
            <w:tcBorders>
              <w:top w:val="nil"/>
              <w:left w:val="nil"/>
              <w:bottom w:val="nil"/>
              <w:right w:val="nil"/>
            </w:tcBorders>
            <w:shd w:val="clear" w:color="auto" w:fill="auto"/>
            <w:noWrap/>
            <w:vAlign w:val="bottom"/>
            <w:hideMark/>
          </w:tcPr>
          <w:p w:rsidRPr="001837E8" w:rsidR="00715F4D" w:rsidP="00715F4D" w:rsidRDefault="00715F4D" w14:paraId="212FDF86"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45,619 </w:t>
            </w:r>
          </w:p>
        </w:tc>
        <w:tc>
          <w:tcPr>
            <w:tcW w:w="1039" w:type="dxa"/>
            <w:tcBorders>
              <w:top w:val="nil"/>
              <w:left w:val="nil"/>
              <w:bottom w:val="nil"/>
              <w:right w:val="nil"/>
            </w:tcBorders>
            <w:shd w:val="clear" w:color="auto" w:fill="auto"/>
            <w:noWrap/>
            <w:vAlign w:val="bottom"/>
            <w:hideMark/>
          </w:tcPr>
          <w:p w:rsidRPr="001837E8" w:rsidR="00715F4D" w:rsidP="00715F4D" w:rsidRDefault="00715F4D" w14:paraId="449ECA1B"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10,036 </w:t>
            </w:r>
          </w:p>
        </w:tc>
        <w:tc>
          <w:tcPr>
            <w:tcW w:w="1039" w:type="dxa"/>
            <w:tcBorders>
              <w:top w:val="nil"/>
              <w:left w:val="nil"/>
              <w:bottom w:val="nil"/>
              <w:right w:val="nil"/>
            </w:tcBorders>
            <w:shd w:val="clear" w:color="auto" w:fill="auto"/>
            <w:noWrap/>
            <w:vAlign w:val="bottom"/>
            <w:hideMark/>
          </w:tcPr>
          <w:p w:rsidRPr="001837E8" w:rsidR="00715F4D" w:rsidP="00715F4D" w:rsidRDefault="007733BC" w14:paraId="1ABC5104" w14:textId="49B50CC6">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w:t>
            </w:r>
            <w:r w:rsidRPr="001837E8" w:rsidR="00715F4D">
              <w:rPr>
                <w:rFonts w:ascii="Times New Roman" w:hAnsi="Times New Roman" w:eastAsia="Times New Roman" w:cs="Times New Roman"/>
                <w:bCs/>
                <w:szCs w:val="24"/>
              </w:rPr>
              <w:t xml:space="preserve">7,000 </w:t>
            </w:r>
          </w:p>
        </w:tc>
        <w:tc>
          <w:tcPr>
            <w:tcW w:w="1270" w:type="dxa"/>
            <w:tcBorders>
              <w:top w:val="nil"/>
              <w:left w:val="nil"/>
              <w:bottom w:val="nil"/>
              <w:right w:val="nil"/>
            </w:tcBorders>
            <w:shd w:val="clear" w:color="auto" w:fill="auto"/>
            <w:noWrap/>
            <w:vAlign w:val="bottom"/>
            <w:hideMark/>
          </w:tcPr>
          <w:p w:rsidRPr="001837E8" w:rsidR="00715F4D" w:rsidP="001837E8" w:rsidRDefault="00715F4D" w14:paraId="457CCCD0" w14:textId="054074EA">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w:t>
            </w:r>
            <w:r w:rsidRPr="00C83ED0" w:rsidR="004502D2">
              <w:rPr>
                <w:rFonts w:ascii="Times New Roman" w:hAnsi="Times New Roman" w:eastAsia="Times New Roman" w:cs="Times New Roman"/>
                <w:bCs/>
                <w:szCs w:val="24"/>
              </w:rPr>
              <w:t>$</w:t>
            </w:r>
            <w:r w:rsidRPr="001837E8">
              <w:rPr>
                <w:rFonts w:ascii="Times New Roman" w:hAnsi="Times New Roman" w:eastAsia="Times New Roman" w:cs="Times New Roman"/>
                <w:bCs/>
                <w:szCs w:val="24"/>
              </w:rPr>
              <w:t xml:space="preserve">62,655 </w:t>
            </w:r>
          </w:p>
        </w:tc>
      </w:tr>
      <w:tr w:rsidRPr="00C83ED0" w:rsidR="00A127CF" w:rsidTr="00196363" w14:paraId="5F242C01" w14:textId="77777777">
        <w:trPr>
          <w:gridAfter w:val="1"/>
          <w:wAfter w:w="720" w:type="dxa"/>
          <w:trHeight w:val="300"/>
        </w:trPr>
        <w:tc>
          <w:tcPr>
            <w:tcW w:w="1217" w:type="dxa"/>
            <w:tcBorders>
              <w:top w:val="nil"/>
              <w:left w:val="nil"/>
              <w:bottom w:val="nil"/>
              <w:right w:val="nil"/>
            </w:tcBorders>
            <w:shd w:val="clear" w:color="auto" w:fill="auto"/>
            <w:noWrap/>
            <w:vAlign w:val="bottom"/>
            <w:hideMark/>
          </w:tcPr>
          <w:p w:rsidRPr="001837E8" w:rsidR="00715F4D" w:rsidP="00715F4D" w:rsidRDefault="00715F4D" w14:paraId="65E97B30"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SAMHSA</w:t>
            </w:r>
          </w:p>
        </w:tc>
        <w:tc>
          <w:tcPr>
            <w:tcW w:w="1110" w:type="dxa"/>
            <w:tcBorders>
              <w:top w:val="nil"/>
              <w:left w:val="nil"/>
              <w:bottom w:val="nil"/>
              <w:right w:val="nil"/>
            </w:tcBorders>
            <w:shd w:val="clear" w:color="auto" w:fill="auto"/>
            <w:noWrap/>
            <w:vAlign w:val="bottom"/>
            <w:hideMark/>
          </w:tcPr>
          <w:p w:rsidRPr="001837E8" w:rsidR="00715F4D" w:rsidP="00715F4D" w:rsidRDefault="00715F4D" w14:paraId="4927C058"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1</w:t>
            </w:r>
          </w:p>
        </w:tc>
        <w:tc>
          <w:tcPr>
            <w:tcW w:w="1314" w:type="dxa"/>
            <w:tcBorders>
              <w:top w:val="nil"/>
              <w:left w:val="nil"/>
              <w:bottom w:val="nil"/>
              <w:right w:val="nil"/>
            </w:tcBorders>
            <w:shd w:val="clear" w:color="auto" w:fill="auto"/>
            <w:noWrap/>
            <w:vAlign w:val="bottom"/>
            <w:hideMark/>
          </w:tcPr>
          <w:p w:rsidRPr="001837E8" w:rsidR="00715F4D" w:rsidP="00715F4D" w:rsidRDefault="00715F4D" w14:paraId="150ADCFE"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47.52</w:t>
            </w:r>
          </w:p>
        </w:tc>
        <w:tc>
          <w:tcPr>
            <w:tcW w:w="964" w:type="dxa"/>
            <w:tcBorders>
              <w:top w:val="nil"/>
              <w:left w:val="nil"/>
              <w:bottom w:val="nil"/>
              <w:right w:val="nil"/>
            </w:tcBorders>
            <w:shd w:val="clear" w:color="auto" w:fill="auto"/>
            <w:noWrap/>
            <w:vAlign w:val="bottom"/>
            <w:hideMark/>
          </w:tcPr>
          <w:p w:rsidRPr="001837E8" w:rsidR="00715F4D" w:rsidP="00715F4D" w:rsidRDefault="00715F4D" w14:paraId="5CCCBAC3" w14:textId="77777777">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480</w:t>
            </w:r>
          </w:p>
        </w:tc>
        <w:tc>
          <w:tcPr>
            <w:tcW w:w="910" w:type="dxa"/>
            <w:tcBorders>
              <w:top w:val="nil"/>
              <w:left w:val="nil"/>
              <w:bottom w:val="nil"/>
              <w:right w:val="nil"/>
            </w:tcBorders>
            <w:shd w:val="clear" w:color="auto" w:fill="auto"/>
            <w:noWrap/>
            <w:vAlign w:val="bottom"/>
            <w:hideMark/>
          </w:tcPr>
          <w:p w:rsidRPr="001837E8" w:rsidR="00715F4D" w:rsidP="00715F4D" w:rsidRDefault="00715F4D" w14:paraId="3525B769"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22,810 </w:t>
            </w:r>
          </w:p>
        </w:tc>
        <w:tc>
          <w:tcPr>
            <w:tcW w:w="1039" w:type="dxa"/>
            <w:tcBorders>
              <w:top w:val="nil"/>
              <w:left w:val="nil"/>
              <w:bottom w:val="nil"/>
              <w:right w:val="nil"/>
            </w:tcBorders>
            <w:shd w:val="clear" w:color="auto" w:fill="auto"/>
            <w:noWrap/>
            <w:vAlign w:val="bottom"/>
            <w:hideMark/>
          </w:tcPr>
          <w:p w:rsidRPr="001837E8" w:rsidR="00715F4D" w:rsidP="00715F4D" w:rsidRDefault="00715F4D" w14:paraId="02FA188E" w14:textId="77777777">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5,018 </w:t>
            </w:r>
          </w:p>
        </w:tc>
        <w:tc>
          <w:tcPr>
            <w:tcW w:w="1039" w:type="dxa"/>
            <w:tcBorders>
              <w:top w:val="nil"/>
              <w:left w:val="nil"/>
              <w:bottom w:val="nil"/>
              <w:right w:val="nil"/>
            </w:tcBorders>
            <w:shd w:val="clear" w:color="auto" w:fill="auto"/>
            <w:noWrap/>
            <w:vAlign w:val="bottom"/>
            <w:hideMark/>
          </w:tcPr>
          <w:p w:rsidRPr="001837E8" w:rsidR="00715F4D" w:rsidP="00715F4D" w:rsidRDefault="007733BC" w14:paraId="4F8CB828" w14:textId="5BA35445">
            <w:pPr>
              <w:spacing w:after="0" w:line="240" w:lineRule="auto"/>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w:t>
            </w:r>
            <w:r w:rsidRPr="001837E8" w:rsidR="00715F4D">
              <w:rPr>
                <w:rFonts w:ascii="Times New Roman" w:hAnsi="Times New Roman" w:eastAsia="Times New Roman" w:cs="Times New Roman"/>
                <w:bCs/>
                <w:szCs w:val="24"/>
              </w:rPr>
              <w:t xml:space="preserve">3,500 </w:t>
            </w:r>
          </w:p>
        </w:tc>
        <w:tc>
          <w:tcPr>
            <w:tcW w:w="1270" w:type="dxa"/>
            <w:tcBorders>
              <w:top w:val="nil"/>
              <w:left w:val="nil"/>
              <w:bottom w:val="nil"/>
              <w:right w:val="nil"/>
            </w:tcBorders>
            <w:shd w:val="clear" w:color="auto" w:fill="auto"/>
            <w:noWrap/>
            <w:vAlign w:val="bottom"/>
            <w:hideMark/>
          </w:tcPr>
          <w:p w:rsidRPr="001837E8" w:rsidR="00715F4D" w:rsidP="001837E8" w:rsidRDefault="00715F4D" w14:paraId="6481B5B1" w14:textId="14D1DEAC">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w:t>
            </w:r>
            <w:r w:rsidRPr="00C83ED0" w:rsidR="004502D2">
              <w:rPr>
                <w:rFonts w:ascii="Times New Roman" w:hAnsi="Times New Roman" w:eastAsia="Times New Roman" w:cs="Times New Roman"/>
                <w:bCs/>
                <w:szCs w:val="24"/>
              </w:rPr>
              <w:t>$</w:t>
            </w:r>
            <w:r w:rsidRPr="001837E8">
              <w:rPr>
                <w:rFonts w:ascii="Times New Roman" w:hAnsi="Times New Roman" w:eastAsia="Times New Roman" w:cs="Times New Roman"/>
                <w:bCs/>
                <w:szCs w:val="24"/>
              </w:rPr>
              <w:t xml:space="preserve">31,328 </w:t>
            </w:r>
          </w:p>
        </w:tc>
      </w:tr>
      <w:tr w:rsidRPr="00C83ED0" w:rsidR="00A127CF" w:rsidTr="00196363" w14:paraId="317D940F" w14:textId="77777777">
        <w:trPr>
          <w:gridAfter w:val="1"/>
          <w:wAfter w:w="720" w:type="dxa"/>
          <w:trHeight w:val="300"/>
        </w:trPr>
        <w:tc>
          <w:tcPr>
            <w:tcW w:w="1217" w:type="dxa"/>
            <w:tcBorders>
              <w:top w:val="nil"/>
              <w:left w:val="nil"/>
              <w:bottom w:val="nil"/>
              <w:right w:val="nil"/>
            </w:tcBorders>
            <w:shd w:val="clear" w:color="auto" w:fill="auto"/>
            <w:noWrap/>
            <w:vAlign w:val="bottom"/>
            <w:hideMark/>
          </w:tcPr>
          <w:p w:rsidRPr="001837E8" w:rsidR="00715F4D" w:rsidP="00715F4D" w:rsidRDefault="00715F4D" w14:paraId="09B90100" w14:textId="77777777">
            <w:pPr>
              <w:spacing w:after="0" w:line="240" w:lineRule="auto"/>
              <w:rPr>
                <w:rFonts w:ascii="Times New Roman" w:hAnsi="Times New Roman" w:eastAsia="Times New Roman" w:cs="Times New Roman"/>
                <w:bCs/>
                <w:szCs w:val="24"/>
              </w:rPr>
            </w:pPr>
          </w:p>
        </w:tc>
        <w:tc>
          <w:tcPr>
            <w:tcW w:w="1110" w:type="dxa"/>
            <w:tcBorders>
              <w:top w:val="nil"/>
              <w:left w:val="nil"/>
              <w:bottom w:val="nil"/>
              <w:right w:val="nil"/>
            </w:tcBorders>
            <w:shd w:val="clear" w:color="auto" w:fill="auto"/>
            <w:noWrap/>
            <w:vAlign w:val="bottom"/>
            <w:hideMark/>
          </w:tcPr>
          <w:p w:rsidRPr="001837E8" w:rsidR="00715F4D" w:rsidP="00715F4D" w:rsidRDefault="00715F4D" w14:paraId="1968204A" w14:textId="77777777">
            <w:pPr>
              <w:spacing w:after="0" w:line="240" w:lineRule="auto"/>
              <w:rPr>
                <w:rFonts w:ascii="Times New Roman" w:hAnsi="Times New Roman" w:eastAsia="Times New Roman" w:cs="Times New Roman"/>
                <w:bCs/>
                <w:szCs w:val="24"/>
              </w:rPr>
            </w:pPr>
          </w:p>
        </w:tc>
        <w:tc>
          <w:tcPr>
            <w:tcW w:w="1314" w:type="dxa"/>
            <w:tcBorders>
              <w:top w:val="nil"/>
              <w:left w:val="nil"/>
              <w:bottom w:val="nil"/>
              <w:right w:val="nil"/>
            </w:tcBorders>
            <w:shd w:val="clear" w:color="auto" w:fill="auto"/>
            <w:noWrap/>
            <w:vAlign w:val="bottom"/>
            <w:hideMark/>
          </w:tcPr>
          <w:p w:rsidRPr="001837E8" w:rsidR="00715F4D" w:rsidP="00715F4D" w:rsidRDefault="00715F4D" w14:paraId="4AAB6EB4" w14:textId="77777777">
            <w:pPr>
              <w:spacing w:after="0" w:line="240" w:lineRule="auto"/>
              <w:rPr>
                <w:rFonts w:ascii="Times New Roman" w:hAnsi="Times New Roman" w:eastAsia="Times New Roman" w:cs="Times New Roman"/>
                <w:bCs/>
                <w:szCs w:val="24"/>
              </w:rPr>
            </w:pPr>
          </w:p>
        </w:tc>
        <w:tc>
          <w:tcPr>
            <w:tcW w:w="964" w:type="dxa"/>
            <w:tcBorders>
              <w:top w:val="nil"/>
              <w:left w:val="nil"/>
              <w:bottom w:val="nil"/>
              <w:right w:val="nil"/>
            </w:tcBorders>
            <w:shd w:val="clear" w:color="auto" w:fill="auto"/>
            <w:noWrap/>
            <w:vAlign w:val="bottom"/>
            <w:hideMark/>
          </w:tcPr>
          <w:p w:rsidRPr="001837E8" w:rsidR="00715F4D" w:rsidP="00715F4D" w:rsidRDefault="00715F4D" w14:paraId="2DC2D598" w14:textId="77777777">
            <w:pPr>
              <w:spacing w:after="0" w:line="240" w:lineRule="auto"/>
              <w:rPr>
                <w:rFonts w:ascii="Times New Roman" w:hAnsi="Times New Roman" w:eastAsia="Times New Roman" w:cs="Times New Roman"/>
                <w:bCs/>
                <w:szCs w:val="24"/>
              </w:rPr>
            </w:pPr>
          </w:p>
        </w:tc>
        <w:tc>
          <w:tcPr>
            <w:tcW w:w="910" w:type="dxa"/>
            <w:tcBorders>
              <w:top w:val="nil"/>
              <w:left w:val="nil"/>
              <w:bottom w:val="nil"/>
              <w:right w:val="nil"/>
            </w:tcBorders>
            <w:shd w:val="clear" w:color="auto" w:fill="auto"/>
            <w:noWrap/>
            <w:vAlign w:val="bottom"/>
            <w:hideMark/>
          </w:tcPr>
          <w:p w:rsidRPr="001837E8" w:rsidR="00715F4D" w:rsidP="00715F4D" w:rsidRDefault="00715F4D" w14:paraId="2688F8C5" w14:textId="77777777">
            <w:pPr>
              <w:spacing w:after="0" w:line="240" w:lineRule="auto"/>
              <w:rPr>
                <w:rFonts w:ascii="Times New Roman" w:hAnsi="Times New Roman" w:eastAsia="Times New Roman" w:cs="Times New Roman"/>
                <w:bCs/>
                <w:szCs w:val="24"/>
              </w:rPr>
            </w:pPr>
          </w:p>
        </w:tc>
        <w:tc>
          <w:tcPr>
            <w:tcW w:w="1039" w:type="dxa"/>
            <w:tcBorders>
              <w:top w:val="nil"/>
              <w:left w:val="nil"/>
              <w:bottom w:val="nil"/>
              <w:right w:val="nil"/>
            </w:tcBorders>
            <w:shd w:val="clear" w:color="auto" w:fill="auto"/>
            <w:noWrap/>
            <w:vAlign w:val="bottom"/>
            <w:hideMark/>
          </w:tcPr>
          <w:p w:rsidRPr="001837E8" w:rsidR="00715F4D" w:rsidP="00715F4D" w:rsidRDefault="00715F4D" w14:paraId="6FBC5B28" w14:textId="77777777">
            <w:pPr>
              <w:spacing w:after="0" w:line="240" w:lineRule="auto"/>
              <w:rPr>
                <w:rFonts w:ascii="Times New Roman" w:hAnsi="Times New Roman" w:eastAsia="Times New Roman" w:cs="Times New Roman"/>
                <w:bCs/>
                <w:szCs w:val="24"/>
              </w:rPr>
            </w:pPr>
          </w:p>
        </w:tc>
        <w:tc>
          <w:tcPr>
            <w:tcW w:w="1039" w:type="dxa"/>
            <w:tcBorders>
              <w:top w:val="nil"/>
              <w:left w:val="nil"/>
              <w:bottom w:val="nil"/>
              <w:right w:val="nil"/>
            </w:tcBorders>
            <w:shd w:val="clear" w:color="auto" w:fill="auto"/>
            <w:noWrap/>
            <w:vAlign w:val="bottom"/>
            <w:hideMark/>
          </w:tcPr>
          <w:p w:rsidRPr="001837E8" w:rsidR="00715F4D" w:rsidP="00715F4D" w:rsidRDefault="00715F4D" w14:paraId="2801F336" w14:textId="77777777">
            <w:pPr>
              <w:spacing w:after="0" w:line="240" w:lineRule="auto"/>
              <w:rPr>
                <w:rFonts w:ascii="Times New Roman" w:hAnsi="Times New Roman" w:eastAsia="Times New Roman" w:cs="Times New Roman"/>
                <w:bCs/>
                <w:szCs w:val="24"/>
              </w:rPr>
            </w:pPr>
          </w:p>
        </w:tc>
        <w:tc>
          <w:tcPr>
            <w:tcW w:w="1270" w:type="dxa"/>
            <w:tcBorders>
              <w:top w:val="nil"/>
              <w:left w:val="nil"/>
              <w:bottom w:val="nil"/>
              <w:right w:val="nil"/>
            </w:tcBorders>
            <w:shd w:val="clear" w:color="auto" w:fill="auto"/>
            <w:noWrap/>
            <w:vAlign w:val="bottom"/>
            <w:hideMark/>
          </w:tcPr>
          <w:p w:rsidRPr="001837E8" w:rsidR="00715F4D" w:rsidP="00681CE8" w:rsidRDefault="00715F4D" w14:paraId="6DDC24D3" w14:textId="77777777">
            <w:pPr>
              <w:spacing w:after="0" w:line="240" w:lineRule="auto"/>
              <w:rPr>
                <w:rFonts w:ascii="Times New Roman" w:hAnsi="Times New Roman" w:eastAsia="Times New Roman" w:cs="Times New Roman"/>
                <w:bCs/>
                <w:szCs w:val="24"/>
              </w:rPr>
            </w:pPr>
          </w:p>
        </w:tc>
      </w:tr>
      <w:tr w:rsidRPr="00C83ED0" w:rsidR="00F12DA6" w:rsidTr="00196363" w14:paraId="5C081DDE" w14:textId="77777777">
        <w:trPr>
          <w:gridAfter w:val="1"/>
          <w:wAfter w:w="720" w:type="dxa"/>
          <w:trHeight w:val="300"/>
        </w:trPr>
        <w:tc>
          <w:tcPr>
            <w:tcW w:w="1217" w:type="dxa"/>
            <w:tcBorders>
              <w:top w:val="nil"/>
              <w:left w:val="nil"/>
              <w:bottom w:val="nil"/>
              <w:right w:val="nil"/>
            </w:tcBorders>
            <w:shd w:val="clear" w:color="auto" w:fill="auto"/>
            <w:noWrap/>
            <w:vAlign w:val="bottom"/>
            <w:hideMark/>
          </w:tcPr>
          <w:p w:rsidRPr="001837E8" w:rsidR="00715F4D" w:rsidP="00715F4D" w:rsidRDefault="00715F4D" w14:paraId="39A5E262" w14:textId="77777777">
            <w:pPr>
              <w:spacing w:after="0" w:line="240" w:lineRule="auto"/>
              <w:rPr>
                <w:rFonts w:ascii="Times New Roman" w:hAnsi="Times New Roman" w:eastAsia="Times New Roman" w:cs="Times New Roman"/>
                <w:bCs/>
                <w:szCs w:val="24"/>
              </w:rPr>
            </w:pPr>
          </w:p>
        </w:tc>
        <w:tc>
          <w:tcPr>
            <w:tcW w:w="1110" w:type="dxa"/>
            <w:tcBorders>
              <w:top w:val="nil"/>
              <w:left w:val="nil"/>
              <w:bottom w:val="nil"/>
              <w:right w:val="nil"/>
            </w:tcBorders>
            <w:shd w:val="clear" w:color="auto" w:fill="auto"/>
            <w:noWrap/>
            <w:vAlign w:val="bottom"/>
            <w:hideMark/>
          </w:tcPr>
          <w:p w:rsidRPr="001837E8" w:rsidR="00715F4D" w:rsidP="00715F4D" w:rsidRDefault="00715F4D" w14:paraId="2BEAA8C3" w14:textId="77777777">
            <w:pPr>
              <w:spacing w:after="0" w:line="240" w:lineRule="auto"/>
              <w:rPr>
                <w:rFonts w:ascii="Times New Roman" w:hAnsi="Times New Roman" w:eastAsia="Times New Roman" w:cs="Times New Roman"/>
                <w:bCs/>
                <w:szCs w:val="24"/>
              </w:rPr>
            </w:pPr>
          </w:p>
        </w:tc>
        <w:tc>
          <w:tcPr>
            <w:tcW w:w="1314" w:type="dxa"/>
            <w:tcBorders>
              <w:top w:val="nil"/>
              <w:left w:val="nil"/>
              <w:bottom w:val="nil"/>
              <w:right w:val="nil"/>
            </w:tcBorders>
            <w:shd w:val="clear" w:color="auto" w:fill="auto"/>
            <w:noWrap/>
            <w:vAlign w:val="bottom"/>
            <w:hideMark/>
          </w:tcPr>
          <w:p w:rsidRPr="001837E8" w:rsidR="00715F4D" w:rsidP="00715F4D" w:rsidRDefault="00715F4D" w14:paraId="64590E8A" w14:textId="77777777">
            <w:pPr>
              <w:spacing w:after="0" w:line="240" w:lineRule="auto"/>
              <w:rPr>
                <w:rFonts w:ascii="Times New Roman" w:hAnsi="Times New Roman" w:eastAsia="Times New Roman" w:cs="Times New Roman"/>
                <w:bCs/>
                <w:szCs w:val="24"/>
              </w:rPr>
            </w:pPr>
          </w:p>
        </w:tc>
        <w:tc>
          <w:tcPr>
            <w:tcW w:w="964" w:type="dxa"/>
            <w:tcBorders>
              <w:top w:val="nil"/>
              <w:left w:val="nil"/>
              <w:bottom w:val="nil"/>
              <w:right w:val="nil"/>
            </w:tcBorders>
            <w:shd w:val="clear" w:color="auto" w:fill="auto"/>
            <w:noWrap/>
            <w:vAlign w:val="bottom"/>
            <w:hideMark/>
          </w:tcPr>
          <w:p w:rsidRPr="001837E8" w:rsidR="00715F4D" w:rsidP="00715F4D" w:rsidRDefault="00715F4D" w14:paraId="478FABD5" w14:textId="77777777">
            <w:pPr>
              <w:spacing w:after="0" w:line="240" w:lineRule="auto"/>
              <w:rPr>
                <w:rFonts w:ascii="Times New Roman" w:hAnsi="Times New Roman" w:eastAsia="Times New Roman" w:cs="Times New Roman"/>
                <w:bCs/>
                <w:szCs w:val="24"/>
              </w:rPr>
            </w:pPr>
          </w:p>
        </w:tc>
        <w:tc>
          <w:tcPr>
            <w:tcW w:w="910" w:type="dxa"/>
            <w:tcBorders>
              <w:top w:val="nil"/>
              <w:left w:val="nil"/>
              <w:bottom w:val="nil"/>
              <w:right w:val="nil"/>
            </w:tcBorders>
            <w:shd w:val="clear" w:color="auto" w:fill="auto"/>
            <w:noWrap/>
            <w:vAlign w:val="bottom"/>
            <w:hideMark/>
          </w:tcPr>
          <w:p w:rsidRPr="001837E8" w:rsidR="00715F4D" w:rsidP="00715F4D" w:rsidRDefault="00715F4D" w14:paraId="6DBFF333" w14:textId="77777777">
            <w:pPr>
              <w:spacing w:after="0" w:line="240" w:lineRule="auto"/>
              <w:rPr>
                <w:rFonts w:ascii="Times New Roman" w:hAnsi="Times New Roman" w:eastAsia="Times New Roman" w:cs="Times New Roman"/>
                <w:bCs/>
                <w:szCs w:val="24"/>
              </w:rPr>
            </w:pPr>
          </w:p>
        </w:tc>
        <w:tc>
          <w:tcPr>
            <w:tcW w:w="1039" w:type="dxa"/>
            <w:tcBorders>
              <w:top w:val="nil"/>
              <w:left w:val="nil"/>
              <w:bottom w:val="nil"/>
              <w:right w:val="nil"/>
            </w:tcBorders>
            <w:shd w:val="clear" w:color="auto" w:fill="auto"/>
            <w:noWrap/>
            <w:vAlign w:val="bottom"/>
            <w:hideMark/>
          </w:tcPr>
          <w:p w:rsidRPr="001837E8" w:rsidR="00715F4D" w:rsidP="00715F4D" w:rsidRDefault="00715F4D" w14:paraId="77E1F026" w14:textId="77777777">
            <w:pPr>
              <w:spacing w:after="0" w:line="240" w:lineRule="auto"/>
              <w:rPr>
                <w:rFonts w:ascii="Times New Roman" w:hAnsi="Times New Roman" w:eastAsia="Times New Roman" w:cs="Times New Roman"/>
                <w:bCs/>
                <w:szCs w:val="24"/>
              </w:rPr>
            </w:pPr>
          </w:p>
        </w:tc>
        <w:tc>
          <w:tcPr>
            <w:tcW w:w="1039" w:type="dxa"/>
            <w:tcBorders>
              <w:top w:val="nil"/>
              <w:left w:val="nil"/>
              <w:bottom w:val="nil"/>
              <w:right w:val="nil"/>
            </w:tcBorders>
            <w:shd w:val="clear" w:color="auto" w:fill="auto"/>
            <w:noWrap/>
            <w:vAlign w:val="bottom"/>
            <w:hideMark/>
          </w:tcPr>
          <w:p w:rsidRPr="001837E8" w:rsidR="00715F4D" w:rsidP="00715F4D" w:rsidRDefault="00715F4D" w14:paraId="31C6CF20" w14:textId="77777777">
            <w:pPr>
              <w:spacing w:after="0" w:line="240" w:lineRule="auto"/>
              <w:rPr>
                <w:rFonts w:ascii="Times New Roman" w:hAnsi="Times New Roman" w:eastAsia="Times New Roman" w:cs="Times New Roman"/>
                <w:bCs/>
                <w:szCs w:val="24"/>
              </w:rPr>
            </w:pPr>
          </w:p>
        </w:tc>
        <w:tc>
          <w:tcPr>
            <w:tcW w:w="1270" w:type="dxa"/>
            <w:tcBorders>
              <w:top w:val="nil"/>
              <w:left w:val="nil"/>
              <w:bottom w:val="nil"/>
              <w:right w:val="nil"/>
            </w:tcBorders>
            <w:shd w:val="clear" w:color="auto" w:fill="auto"/>
            <w:noWrap/>
            <w:vAlign w:val="bottom"/>
            <w:hideMark/>
          </w:tcPr>
          <w:p w:rsidRPr="001837E8" w:rsidR="00715F4D" w:rsidP="001837E8" w:rsidRDefault="00715F4D" w14:paraId="3304D911" w14:textId="52581FA9">
            <w:pPr>
              <w:spacing w:after="0" w:line="240" w:lineRule="auto"/>
              <w:jc w:val="right"/>
              <w:rPr>
                <w:rFonts w:ascii="Times New Roman" w:hAnsi="Times New Roman" w:eastAsia="Times New Roman" w:cs="Times New Roman"/>
                <w:bCs/>
                <w:szCs w:val="24"/>
              </w:rPr>
            </w:pPr>
            <w:r w:rsidRPr="001837E8">
              <w:rPr>
                <w:rFonts w:ascii="Times New Roman" w:hAnsi="Times New Roman" w:eastAsia="Times New Roman" w:cs="Times New Roman"/>
                <w:bCs/>
                <w:szCs w:val="24"/>
              </w:rPr>
              <w:t xml:space="preserve">     </w:t>
            </w:r>
            <w:r w:rsidRPr="001837E8" w:rsidR="004502D2">
              <w:rPr>
                <w:rFonts w:ascii="Times New Roman" w:hAnsi="Times New Roman" w:eastAsia="Times New Roman" w:cs="Times New Roman"/>
                <w:bCs/>
                <w:szCs w:val="24"/>
              </w:rPr>
              <w:t>$</w:t>
            </w:r>
            <w:r w:rsidRPr="001837E8">
              <w:rPr>
                <w:rFonts w:ascii="Times New Roman" w:hAnsi="Times New Roman" w:eastAsia="Times New Roman" w:cs="Times New Roman"/>
                <w:bCs/>
                <w:szCs w:val="24"/>
              </w:rPr>
              <w:t xml:space="preserve">375,933 </w:t>
            </w:r>
          </w:p>
        </w:tc>
      </w:tr>
    </w:tbl>
    <w:p w:rsidRPr="0051647F" w:rsidR="0051647F" w:rsidP="00E94922" w:rsidRDefault="0051647F" w14:paraId="56F36441" w14:textId="25068ED4">
      <w:pPr>
        <w:pStyle w:val="Default"/>
        <w:rPr>
          <w:bCs/>
          <w:sz w:val="20"/>
          <w:szCs w:val="20"/>
        </w:rPr>
      </w:pPr>
    </w:p>
    <w:p w:rsidRPr="0051647F" w:rsidR="00521BB4" w:rsidP="00E94922" w:rsidRDefault="0051647F" w14:paraId="3E6EAC6F" w14:textId="0A82BF4C">
      <w:pPr>
        <w:pStyle w:val="Default"/>
        <w:numPr>
          <w:ilvl w:val="0"/>
          <w:numId w:val="9"/>
        </w:numPr>
        <w:rPr>
          <w:bCs/>
          <w:sz w:val="20"/>
          <w:szCs w:val="20"/>
        </w:rPr>
      </w:pPr>
      <w:r>
        <w:rPr>
          <w:bCs/>
          <w:sz w:val="20"/>
          <w:szCs w:val="20"/>
          <w:vertAlign w:val="superscript"/>
        </w:rPr>
        <w:lastRenderedPageBreak/>
        <w:t xml:space="preserve">2 </w:t>
      </w:r>
      <w:r w:rsidRPr="0051647F" w:rsidR="00E94922">
        <w:rPr>
          <w:bCs/>
          <w:sz w:val="20"/>
          <w:szCs w:val="20"/>
        </w:rPr>
        <w:t>SALARY TABLE 2020-DCB INCORPORATING THE 2.6% GENERAL SCHEDULE INCREASE AND A LOCALITY PAYMENT OF 30.48% FOR THE LOCALITY PAY AREA OF WASHINGTON-BALTIMORE-ARLINGTON, DC-MD-VA-WV-PA TOTAL INCREASE: 3.52% EFFECTIVE JANUARY 2020</w:t>
      </w:r>
    </w:p>
    <w:p w:rsidRPr="00C83ED0" w:rsidR="00E94922" w:rsidP="00F60D98" w:rsidRDefault="00E94922" w14:paraId="501D95A2" w14:textId="77777777">
      <w:pPr>
        <w:spacing w:after="120" w:line="240" w:lineRule="auto"/>
        <w:ind w:left="360"/>
        <w:rPr>
          <w:rFonts w:ascii="Times New Roman" w:hAnsi="Times New Roman" w:eastAsia="Times New Roman" w:cs="Times New Roman"/>
          <w:bCs/>
          <w:szCs w:val="24"/>
        </w:rPr>
      </w:pPr>
    </w:p>
    <w:p w:rsidRPr="00BC12A8" w:rsidR="00715F4D" w:rsidP="00F60D98" w:rsidRDefault="00D63697" w14:paraId="36D9EF8C" w14:textId="19C3728F">
      <w:pPr>
        <w:spacing w:after="120" w:line="240" w:lineRule="auto"/>
        <w:ind w:left="360"/>
        <w:rPr>
          <w:rFonts w:ascii="Times New Roman" w:hAnsi="Times New Roman" w:eastAsia="Times New Roman" w:cs="Times New Roman"/>
          <w:bCs/>
          <w:szCs w:val="24"/>
        </w:rPr>
      </w:pPr>
      <w:r w:rsidRPr="007E5CB4">
        <w:rPr>
          <w:rFonts w:ascii="Times New Roman" w:hAnsi="Times New Roman" w:eastAsia="Times New Roman" w:cs="Times New Roman"/>
          <w:bCs/>
          <w:szCs w:val="24"/>
        </w:rPr>
        <w:t>Finally, are the cost incurred by S/GAC to plan and manage the expenditure reporting proce</w:t>
      </w:r>
      <w:r w:rsidRPr="007E5CB4" w:rsidR="007733BC">
        <w:rPr>
          <w:rFonts w:ascii="Times New Roman" w:hAnsi="Times New Roman" w:eastAsia="Times New Roman" w:cs="Times New Roman"/>
          <w:bCs/>
          <w:szCs w:val="24"/>
        </w:rPr>
        <w:t>ss and maintenance the system</w:t>
      </w:r>
      <w:r w:rsidRPr="007E5CB4" w:rsidR="00331933">
        <w:rPr>
          <w:rFonts w:ascii="Times New Roman" w:hAnsi="Times New Roman" w:eastAsia="Times New Roman" w:cs="Times New Roman"/>
          <w:bCs/>
          <w:szCs w:val="24"/>
        </w:rPr>
        <w:t>.</w:t>
      </w:r>
      <w:r w:rsidRPr="00BC12A8" w:rsidR="007733BC">
        <w:rPr>
          <w:rFonts w:ascii="Times New Roman" w:hAnsi="Times New Roman" w:eastAsia="Times New Roman" w:cs="Times New Roman"/>
          <w:bCs/>
          <w:szCs w:val="24"/>
        </w:rPr>
        <w:t xml:space="preserve"> </w:t>
      </w:r>
    </w:p>
    <w:p w:rsidRPr="00BC12A8" w:rsidR="007733BC" w:rsidP="00F60D98" w:rsidRDefault="007733BC" w14:paraId="4D3BD2E2" w14:textId="77777777">
      <w:pPr>
        <w:spacing w:after="120" w:line="240" w:lineRule="auto"/>
        <w:ind w:left="360"/>
        <w:rPr>
          <w:rFonts w:ascii="Times New Roman" w:hAnsi="Times New Roman" w:eastAsia="Times New Roman" w:cs="Times New Roman"/>
          <w:bCs/>
          <w:szCs w:val="24"/>
        </w:rPr>
      </w:pPr>
    </w:p>
    <w:tbl>
      <w:tblPr>
        <w:tblW w:w="7560" w:type="dxa"/>
        <w:jc w:val="center"/>
        <w:tblLayout w:type="fixed"/>
        <w:tblLook w:val="04A0" w:firstRow="1" w:lastRow="0" w:firstColumn="1" w:lastColumn="0" w:noHBand="0" w:noVBand="1"/>
      </w:tblPr>
      <w:tblGrid>
        <w:gridCol w:w="4402"/>
        <w:gridCol w:w="3158"/>
      </w:tblGrid>
      <w:tr w:rsidRPr="00C83ED0" w:rsidR="00BC12A8" w:rsidTr="004B37D3" w14:paraId="41620C17" w14:textId="1B140818">
        <w:trPr>
          <w:jc w:val="center"/>
        </w:trPr>
        <w:tc>
          <w:tcPr>
            <w:tcW w:w="4402" w:type="dxa"/>
          </w:tcPr>
          <w:p w:rsidRPr="00517CEE" w:rsidR="00BC12A8" w:rsidP="00F4641B" w:rsidRDefault="00BC12A8" w14:paraId="39A5DD1A" w14:textId="77777777">
            <w:pPr>
              <w:spacing w:after="0" w:line="240" w:lineRule="auto"/>
              <w:ind w:left="360"/>
              <w:rPr>
                <w:rFonts w:ascii="Times New Roman" w:hAnsi="Times New Roman" w:eastAsia="Times New Roman" w:cs="Times New Roman"/>
                <w:bCs/>
                <w:szCs w:val="24"/>
              </w:rPr>
            </w:pPr>
          </w:p>
          <w:p w:rsidRPr="00517CEE" w:rsidR="00BC12A8" w:rsidP="00D63697" w:rsidRDefault="00BC12A8" w14:paraId="2B200F8E" w14:textId="77777777">
            <w:pPr>
              <w:spacing w:after="120" w:line="240" w:lineRule="auto"/>
              <w:ind w:left="360"/>
              <w:rPr>
                <w:rFonts w:ascii="Times New Roman" w:hAnsi="Times New Roman" w:eastAsia="Times New Roman" w:cs="Times New Roman"/>
                <w:bCs/>
                <w:szCs w:val="24"/>
              </w:rPr>
            </w:pPr>
            <w:r w:rsidRPr="00517CEE">
              <w:rPr>
                <w:rFonts w:ascii="Times New Roman" w:hAnsi="Times New Roman" w:eastAsia="Times New Roman" w:cs="Times New Roman"/>
                <w:bCs/>
                <w:szCs w:val="24"/>
              </w:rPr>
              <w:t> Contactor</w:t>
            </w:r>
          </w:p>
        </w:tc>
        <w:tc>
          <w:tcPr>
            <w:tcW w:w="3158" w:type="dxa"/>
          </w:tcPr>
          <w:p w:rsidRPr="00BC12A8" w:rsidR="00BC12A8" w:rsidP="00F4641B" w:rsidRDefault="00BC12A8" w14:paraId="6A873431" w14:textId="10F4989D">
            <w:pPr>
              <w:spacing w:after="120" w:line="240" w:lineRule="auto"/>
              <w:jc w:val="center"/>
              <w:rPr>
                <w:rFonts w:ascii="Times New Roman" w:hAnsi="Times New Roman" w:eastAsia="Times New Roman" w:cs="Times New Roman"/>
                <w:bCs/>
                <w:szCs w:val="24"/>
              </w:rPr>
            </w:pPr>
            <w:r w:rsidRPr="00BC12A8">
              <w:rPr>
                <w:rFonts w:ascii="Times New Roman" w:hAnsi="Times New Roman" w:eastAsia="Times New Roman" w:cs="Times New Roman"/>
                <w:bCs/>
                <w:szCs w:val="24"/>
              </w:rPr>
              <w:t>January-December 2020 (actual and projected)</w:t>
            </w:r>
          </w:p>
        </w:tc>
      </w:tr>
      <w:tr w:rsidRPr="00C83ED0" w:rsidR="00BC12A8" w:rsidTr="004B37D3" w14:paraId="07C1A4BA" w14:textId="5FEA33D6">
        <w:trPr>
          <w:jc w:val="center"/>
        </w:trPr>
        <w:tc>
          <w:tcPr>
            <w:tcW w:w="4402" w:type="dxa"/>
          </w:tcPr>
          <w:p w:rsidRPr="00517CEE" w:rsidR="00BC12A8" w:rsidP="00F4641B" w:rsidRDefault="00BC12A8" w14:paraId="69769682" w14:textId="77777777">
            <w:pPr>
              <w:spacing w:after="120" w:line="240" w:lineRule="auto"/>
              <w:rPr>
                <w:rFonts w:ascii="Times New Roman" w:hAnsi="Times New Roman" w:eastAsia="Times New Roman" w:cs="Times New Roman"/>
                <w:bCs/>
                <w:szCs w:val="24"/>
              </w:rPr>
            </w:pPr>
            <w:r w:rsidRPr="00517CEE">
              <w:rPr>
                <w:rFonts w:ascii="Times New Roman" w:hAnsi="Times New Roman" w:eastAsia="Times New Roman" w:cs="Times New Roman"/>
                <w:bCs/>
                <w:szCs w:val="24"/>
              </w:rPr>
              <w:t>Accenture - Personnel</w:t>
            </w:r>
          </w:p>
        </w:tc>
        <w:tc>
          <w:tcPr>
            <w:tcW w:w="3158" w:type="dxa"/>
          </w:tcPr>
          <w:p w:rsidRPr="00BA5672" w:rsidR="00BC12A8" w:rsidP="001837E8" w:rsidRDefault="00BC12A8" w14:paraId="36D37222" w14:textId="629C2EEE">
            <w:pPr>
              <w:spacing w:after="120" w:line="240" w:lineRule="auto"/>
              <w:ind w:left="360"/>
              <w:jc w:val="right"/>
              <w:rPr>
                <w:rFonts w:ascii="Times New Roman" w:hAnsi="Times New Roman" w:eastAsia="Times New Roman" w:cs="Times New Roman"/>
                <w:bCs/>
                <w:szCs w:val="24"/>
              </w:rPr>
            </w:pPr>
            <w:r w:rsidRPr="00BF2C51">
              <w:rPr>
                <w:rFonts w:ascii="Times New Roman" w:hAnsi="Times New Roman" w:eastAsia="Times New Roman" w:cs="Times New Roman"/>
                <w:bCs/>
                <w:szCs w:val="24"/>
              </w:rPr>
              <w:t>$1,558,784</w:t>
            </w:r>
          </w:p>
        </w:tc>
      </w:tr>
      <w:tr w:rsidRPr="00C83ED0" w:rsidR="00BC12A8" w:rsidTr="004B37D3" w14:paraId="071FFDA9" w14:textId="68CE5093">
        <w:trPr>
          <w:jc w:val="center"/>
        </w:trPr>
        <w:tc>
          <w:tcPr>
            <w:tcW w:w="4402" w:type="dxa"/>
          </w:tcPr>
          <w:p w:rsidRPr="00517CEE" w:rsidR="00BC12A8" w:rsidP="00F4641B" w:rsidRDefault="00BC12A8" w14:paraId="2AD93270" w14:textId="77777777">
            <w:pPr>
              <w:spacing w:after="120" w:line="240" w:lineRule="auto"/>
              <w:rPr>
                <w:rFonts w:ascii="Times New Roman" w:hAnsi="Times New Roman" w:eastAsia="Times New Roman" w:cs="Times New Roman"/>
                <w:bCs/>
                <w:szCs w:val="24"/>
              </w:rPr>
            </w:pPr>
            <w:r w:rsidRPr="00517CEE">
              <w:rPr>
                <w:rFonts w:ascii="Times New Roman" w:hAnsi="Times New Roman" w:eastAsia="Times New Roman" w:cs="Times New Roman"/>
                <w:bCs/>
                <w:szCs w:val="24"/>
              </w:rPr>
              <w:t>Accenture - Hosting</w:t>
            </w:r>
          </w:p>
        </w:tc>
        <w:tc>
          <w:tcPr>
            <w:tcW w:w="3158" w:type="dxa"/>
          </w:tcPr>
          <w:p w:rsidRPr="00BF2C51" w:rsidR="00BC12A8" w:rsidP="001837E8" w:rsidRDefault="00BC12A8" w14:paraId="4DF60985" w14:textId="05B906DF">
            <w:pPr>
              <w:spacing w:after="120" w:line="240" w:lineRule="auto"/>
              <w:ind w:left="360"/>
              <w:jc w:val="right"/>
              <w:rPr>
                <w:rFonts w:ascii="Times New Roman" w:hAnsi="Times New Roman" w:eastAsia="Times New Roman" w:cs="Times New Roman"/>
                <w:bCs/>
                <w:szCs w:val="24"/>
              </w:rPr>
            </w:pPr>
            <w:r w:rsidRPr="00BF2C51">
              <w:rPr>
                <w:rFonts w:ascii="Times New Roman" w:hAnsi="Times New Roman" w:eastAsia="Times New Roman" w:cs="Times New Roman"/>
                <w:bCs/>
                <w:szCs w:val="24"/>
              </w:rPr>
              <w:t>$10,500</w:t>
            </w:r>
          </w:p>
        </w:tc>
      </w:tr>
      <w:tr w:rsidRPr="00C83ED0" w:rsidR="00BC12A8" w:rsidTr="004B37D3" w14:paraId="64218171" w14:textId="72D7FF4A">
        <w:trPr>
          <w:jc w:val="center"/>
        </w:trPr>
        <w:tc>
          <w:tcPr>
            <w:tcW w:w="4402" w:type="dxa"/>
          </w:tcPr>
          <w:p w:rsidRPr="00517CEE" w:rsidR="00BC12A8" w:rsidP="00F4641B" w:rsidRDefault="00BC12A8" w14:paraId="7152E394" w14:textId="77777777">
            <w:pPr>
              <w:spacing w:after="120" w:line="240" w:lineRule="auto"/>
              <w:rPr>
                <w:rFonts w:ascii="Times New Roman" w:hAnsi="Times New Roman" w:eastAsia="Times New Roman" w:cs="Times New Roman"/>
                <w:bCs/>
                <w:szCs w:val="24"/>
              </w:rPr>
            </w:pPr>
            <w:proofErr w:type="spellStart"/>
            <w:r w:rsidRPr="00517CEE">
              <w:rPr>
                <w:rFonts w:ascii="Times New Roman" w:hAnsi="Times New Roman" w:eastAsia="Times New Roman" w:cs="Times New Roman"/>
                <w:bCs/>
                <w:szCs w:val="24"/>
              </w:rPr>
              <w:t>Guidehouse</w:t>
            </w:r>
            <w:proofErr w:type="spellEnd"/>
          </w:p>
        </w:tc>
        <w:tc>
          <w:tcPr>
            <w:tcW w:w="3158" w:type="dxa"/>
          </w:tcPr>
          <w:p w:rsidRPr="00BF2C51" w:rsidR="00BC12A8" w:rsidP="001837E8" w:rsidRDefault="00BC12A8" w14:paraId="6369C120" w14:textId="18727E31">
            <w:pPr>
              <w:spacing w:after="120" w:line="240" w:lineRule="auto"/>
              <w:ind w:left="360"/>
              <w:jc w:val="right"/>
              <w:rPr>
                <w:rFonts w:ascii="Times New Roman" w:hAnsi="Times New Roman" w:eastAsia="Times New Roman" w:cs="Times New Roman"/>
                <w:bCs/>
                <w:szCs w:val="24"/>
              </w:rPr>
            </w:pPr>
            <w:r w:rsidRPr="00BF2C51">
              <w:rPr>
                <w:rFonts w:ascii="Times New Roman" w:hAnsi="Times New Roman" w:eastAsia="Times New Roman" w:cs="Times New Roman"/>
                <w:bCs/>
                <w:szCs w:val="24"/>
              </w:rPr>
              <w:t>$1,605,657</w:t>
            </w:r>
          </w:p>
        </w:tc>
      </w:tr>
      <w:tr w:rsidRPr="00C83ED0" w:rsidR="00BC12A8" w:rsidTr="004B37D3" w14:paraId="5F056A32" w14:textId="6B22E394">
        <w:trPr>
          <w:jc w:val="center"/>
        </w:trPr>
        <w:tc>
          <w:tcPr>
            <w:tcW w:w="4402" w:type="dxa"/>
          </w:tcPr>
          <w:p w:rsidRPr="00517CEE" w:rsidR="00BC12A8" w:rsidP="00F4641B" w:rsidRDefault="00BC12A8" w14:paraId="746FB805" w14:textId="77777777">
            <w:pPr>
              <w:spacing w:after="120" w:line="240" w:lineRule="auto"/>
              <w:rPr>
                <w:rFonts w:ascii="Times New Roman" w:hAnsi="Times New Roman" w:eastAsia="Times New Roman" w:cs="Times New Roman"/>
                <w:bCs/>
                <w:szCs w:val="24"/>
              </w:rPr>
            </w:pPr>
            <w:r w:rsidRPr="00517CEE">
              <w:rPr>
                <w:rFonts w:ascii="Times New Roman" w:hAnsi="Times New Roman" w:eastAsia="Times New Roman" w:cs="Times New Roman"/>
                <w:bCs/>
                <w:szCs w:val="24"/>
              </w:rPr>
              <w:t>TOTAL</w:t>
            </w:r>
          </w:p>
        </w:tc>
        <w:tc>
          <w:tcPr>
            <w:tcW w:w="3158" w:type="dxa"/>
          </w:tcPr>
          <w:p w:rsidRPr="007E5CB4" w:rsidR="00BC12A8" w:rsidP="001837E8" w:rsidRDefault="00BC12A8" w14:paraId="3481A7BE" w14:textId="3D1A7C15">
            <w:pPr>
              <w:spacing w:after="120" w:line="240" w:lineRule="auto"/>
              <w:ind w:left="360"/>
              <w:jc w:val="right"/>
              <w:rPr>
                <w:rFonts w:ascii="Times New Roman" w:hAnsi="Times New Roman" w:eastAsia="Times New Roman" w:cs="Times New Roman"/>
                <w:bCs/>
                <w:szCs w:val="24"/>
              </w:rPr>
            </w:pPr>
            <w:r w:rsidRPr="00C83ED0">
              <w:rPr>
                <w:rFonts w:ascii="Times New Roman" w:hAnsi="Times New Roman" w:eastAsia="Times New Roman" w:cs="Times New Roman"/>
                <w:bCs/>
                <w:szCs w:val="24"/>
              </w:rPr>
              <w:t>$3,174,941</w:t>
            </w:r>
          </w:p>
        </w:tc>
      </w:tr>
    </w:tbl>
    <w:p w:rsidRPr="00517CEE" w:rsidR="00F60D98" w:rsidP="00EB2598" w:rsidRDefault="00F60D98" w14:paraId="34810B24" w14:textId="77777777">
      <w:pPr>
        <w:spacing w:after="120" w:line="240" w:lineRule="auto"/>
        <w:ind w:left="360"/>
        <w:rPr>
          <w:rFonts w:ascii="Times New Roman" w:hAnsi="Times New Roman" w:eastAsia="Times New Roman" w:cs="Times New Roman"/>
          <w:bCs/>
          <w:szCs w:val="24"/>
        </w:rPr>
      </w:pPr>
    </w:p>
    <w:p w:rsidRPr="00CC3D98" w:rsidR="001837E8" w:rsidP="00EB2598" w:rsidRDefault="007733BC" w14:paraId="7DBF8166" w14:textId="77777777">
      <w:pPr>
        <w:spacing w:after="120" w:line="240" w:lineRule="auto"/>
        <w:ind w:left="360"/>
        <w:rPr>
          <w:rFonts w:ascii="Times New Roman" w:hAnsi="Times New Roman" w:eastAsia="Times New Roman" w:cs="Times New Roman"/>
          <w:bCs/>
          <w:szCs w:val="24"/>
        </w:rPr>
      </w:pPr>
      <w:r w:rsidRPr="001837E8">
        <w:rPr>
          <w:rFonts w:ascii="Times New Roman" w:hAnsi="Times New Roman" w:eastAsia="Times New Roman" w:cs="Times New Roman"/>
          <w:bCs/>
          <w:szCs w:val="24"/>
        </w:rPr>
        <w:t>In summary, the estimated total costs to conduct expenditure reporting is</w:t>
      </w:r>
      <w:r w:rsidRPr="001837E8" w:rsidR="00C77449">
        <w:rPr>
          <w:rFonts w:ascii="Times New Roman" w:hAnsi="Times New Roman" w:eastAsia="Times New Roman" w:cs="Times New Roman"/>
          <w:bCs/>
          <w:szCs w:val="24"/>
        </w:rPr>
        <w:t xml:space="preserve"> estimated at:</w:t>
      </w:r>
    </w:p>
    <w:p w:rsidRPr="00C83ED0" w:rsidR="007733BC" w:rsidP="00EB2598" w:rsidRDefault="007733BC" w14:paraId="4F7A3A38" w14:textId="6367204B">
      <w:pPr>
        <w:spacing w:after="120" w:line="240" w:lineRule="auto"/>
        <w:ind w:left="360"/>
        <w:rPr>
          <w:rFonts w:ascii="Times New Roman" w:hAnsi="Times New Roman" w:eastAsia="Times New Roman" w:cs="Times New Roman"/>
          <w:bCs/>
          <w:szCs w:val="24"/>
        </w:rPr>
      </w:pPr>
      <w:r w:rsidRPr="001837E8">
        <w:rPr>
          <w:rFonts w:ascii="Times New Roman" w:hAnsi="Times New Roman" w:eastAsia="Times New Roman" w:cs="Times New Roman"/>
          <w:bCs/>
          <w:szCs w:val="24"/>
        </w:rPr>
        <w:t>$</w:t>
      </w:r>
      <w:r w:rsidRPr="001837E8" w:rsidR="00C77449">
        <w:rPr>
          <w:rFonts w:ascii="Times New Roman" w:hAnsi="Times New Roman" w:eastAsia="Times New Roman" w:cs="Times New Roman"/>
          <w:bCs/>
          <w:szCs w:val="24"/>
        </w:rPr>
        <w:t xml:space="preserve"> </w:t>
      </w:r>
      <w:r w:rsidRPr="001837E8" w:rsidR="000D1AA2">
        <w:rPr>
          <w:rFonts w:ascii="Times New Roman" w:hAnsi="Times New Roman" w:eastAsia="Times New Roman" w:cs="Times New Roman"/>
          <w:bCs/>
          <w:szCs w:val="24"/>
        </w:rPr>
        <w:t>6</w:t>
      </w:r>
      <w:r w:rsidRPr="001837E8" w:rsidR="00DA054D">
        <w:rPr>
          <w:rFonts w:ascii="Times New Roman" w:hAnsi="Times New Roman" w:eastAsia="Times New Roman" w:cs="Times New Roman"/>
          <w:bCs/>
          <w:szCs w:val="24"/>
        </w:rPr>
        <w:t xml:space="preserve"> </w:t>
      </w:r>
      <w:r w:rsidRPr="001837E8" w:rsidR="00C77449">
        <w:rPr>
          <w:rFonts w:ascii="Times New Roman" w:hAnsi="Times New Roman" w:eastAsia="Times New Roman" w:cs="Times New Roman"/>
          <w:bCs/>
          <w:szCs w:val="24"/>
        </w:rPr>
        <w:t xml:space="preserve">million annually </w:t>
      </w:r>
    </w:p>
    <w:p w:rsidRPr="007E5CB4" w:rsidR="00C77449" w:rsidP="00EB2598" w:rsidRDefault="00C77449" w14:paraId="16EDF6C6" w14:textId="77777777">
      <w:pPr>
        <w:spacing w:after="120" w:line="240" w:lineRule="auto"/>
        <w:ind w:left="360"/>
        <w:rPr>
          <w:rFonts w:ascii="Times New Roman" w:hAnsi="Times New Roman" w:eastAsia="Times New Roman" w:cs="Times New Roman"/>
          <w:bCs/>
          <w:szCs w:val="24"/>
        </w:rPr>
      </w:pPr>
      <w:r w:rsidRPr="007E5CB4">
        <w:rPr>
          <w:rFonts w:ascii="Times New Roman" w:hAnsi="Times New Roman" w:eastAsia="Times New Roman" w:cs="Times New Roman"/>
          <w:bCs/>
          <w:szCs w:val="24"/>
        </w:rPr>
        <w:t xml:space="preserve">Cost breakdown: </w:t>
      </w:r>
    </w:p>
    <w:p w:rsidRPr="007E5CB4" w:rsidR="00D63697" w:rsidP="00EB2598" w:rsidRDefault="00C77449" w14:paraId="5595421D" w14:textId="4037F0EA">
      <w:pPr>
        <w:spacing w:after="120" w:line="240" w:lineRule="auto"/>
        <w:ind w:left="360"/>
        <w:rPr>
          <w:rFonts w:ascii="Times New Roman" w:hAnsi="Times New Roman" w:eastAsia="Times New Roman" w:cs="Times New Roman"/>
          <w:bCs/>
          <w:szCs w:val="24"/>
        </w:rPr>
      </w:pPr>
      <w:r w:rsidRPr="007E5CB4">
        <w:rPr>
          <w:rFonts w:ascii="Times New Roman" w:hAnsi="Times New Roman" w:eastAsia="Times New Roman" w:cs="Times New Roman"/>
          <w:bCs/>
          <w:szCs w:val="24"/>
        </w:rPr>
        <w:t>PEPFAR-funded Implementing Partner Review: $553,696</w:t>
      </w:r>
    </w:p>
    <w:p w:rsidRPr="00B948DE" w:rsidR="00646BD3" w:rsidP="00EB2598" w:rsidRDefault="00646BD3" w14:paraId="3D22269C" w14:textId="254AC3D0">
      <w:pPr>
        <w:spacing w:after="120" w:line="240" w:lineRule="auto"/>
        <w:ind w:left="360"/>
        <w:rPr>
          <w:rFonts w:ascii="Times New Roman" w:hAnsi="Times New Roman" w:eastAsia="Times New Roman" w:cs="Times New Roman"/>
          <w:bCs/>
          <w:szCs w:val="24"/>
        </w:rPr>
      </w:pPr>
      <w:r w:rsidRPr="00517CEE">
        <w:rPr>
          <w:rFonts w:ascii="Times New Roman" w:hAnsi="Times New Roman" w:eastAsia="Times New Roman" w:cs="Times New Roman"/>
          <w:bCs/>
          <w:szCs w:val="24"/>
        </w:rPr>
        <w:t xml:space="preserve">PEPFAR-funded </w:t>
      </w:r>
      <w:proofErr w:type="spellStart"/>
      <w:r w:rsidRPr="00517CEE">
        <w:rPr>
          <w:rFonts w:ascii="Times New Roman" w:hAnsi="Times New Roman" w:eastAsia="Times New Roman" w:cs="Times New Roman"/>
          <w:bCs/>
          <w:szCs w:val="24"/>
        </w:rPr>
        <w:t>Subrecipients</w:t>
      </w:r>
      <w:proofErr w:type="spellEnd"/>
      <w:r w:rsidRPr="00B948DE">
        <w:rPr>
          <w:rFonts w:ascii="Times New Roman" w:hAnsi="Times New Roman" w:eastAsia="Times New Roman" w:cs="Times New Roman"/>
          <w:bCs/>
          <w:szCs w:val="24"/>
        </w:rPr>
        <w:t xml:space="preserve">: </w:t>
      </w:r>
      <w:r w:rsidRPr="004B37D3">
        <w:rPr>
          <w:rFonts w:ascii="Times New Roman" w:hAnsi="Times New Roman" w:eastAsia="Times New Roman" w:cs="Times New Roman"/>
          <w:bCs/>
          <w:szCs w:val="24"/>
        </w:rPr>
        <w:t>$</w:t>
      </w:r>
      <w:r w:rsidRPr="004B37D3" w:rsidR="000D1AA2">
        <w:rPr>
          <w:rFonts w:ascii="Times New Roman" w:hAnsi="Times New Roman" w:eastAsia="Times New Roman" w:cs="Times New Roman"/>
          <w:bCs/>
          <w:szCs w:val="24"/>
        </w:rPr>
        <w:t>778,835</w:t>
      </w:r>
    </w:p>
    <w:p w:rsidRPr="00B948DE" w:rsidR="00C77449" w:rsidP="00EB2598" w:rsidRDefault="00C77449" w14:paraId="34931C4F" w14:textId="3E5F030F">
      <w:pPr>
        <w:spacing w:after="120" w:line="240" w:lineRule="auto"/>
        <w:ind w:left="360"/>
        <w:rPr>
          <w:rFonts w:ascii="Times New Roman" w:hAnsi="Times New Roman" w:eastAsia="Times New Roman" w:cs="Times New Roman"/>
          <w:bCs/>
          <w:szCs w:val="24"/>
        </w:rPr>
      </w:pPr>
      <w:r w:rsidRPr="00B948DE">
        <w:rPr>
          <w:rFonts w:ascii="Times New Roman" w:hAnsi="Times New Roman" w:eastAsia="Times New Roman" w:cs="Times New Roman"/>
          <w:bCs/>
          <w:szCs w:val="24"/>
        </w:rPr>
        <w:t>USG Agency Field Staff Reviewers: $</w:t>
      </w:r>
      <w:r w:rsidRPr="004B37D3" w:rsidR="000D1AA2">
        <w:rPr>
          <w:rFonts w:ascii="Times New Roman" w:hAnsi="Times New Roman" w:eastAsia="Times New Roman" w:cs="Times New Roman"/>
          <w:bCs/>
          <w:szCs w:val="24"/>
        </w:rPr>
        <w:t>1,141,661</w:t>
      </w:r>
    </w:p>
    <w:p w:rsidRPr="004B37D3" w:rsidR="00C77449" w:rsidP="00EB2598" w:rsidRDefault="00C77449" w14:paraId="45A5208D" w14:textId="5E05281F">
      <w:pPr>
        <w:spacing w:after="120" w:line="240" w:lineRule="auto"/>
        <w:ind w:left="360"/>
        <w:rPr>
          <w:rFonts w:ascii="Times New Roman" w:hAnsi="Times New Roman" w:eastAsia="Times New Roman" w:cs="Times New Roman"/>
          <w:bCs/>
          <w:szCs w:val="24"/>
        </w:rPr>
      </w:pPr>
      <w:r w:rsidRPr="004B37D3">
        <w:rPr>
          <w:rFonts w:ascii="Times New Roman" w:hAnsi="Times New Roman" w:eastAsia="Times New Roman" w:cs="Times New Roman"/>
          <w:bCs/>
          <w:szCs w:val="24"/>
        </w:rPr>
        <w:t xml:space="preserve">USG Agency HQ Staff Review: 375,933 </w:t>
      </w:r>
    </w:p>
    <w:p w:rsidR="00C77449" w:rsidP="00EB2598" w:rsidRDefault="00C77449" w14:paraId="1FB54356" w14:textId="52868B19">
      <w:pPr>
        <w:spacing w:after="120" w:line="240" w:lineRule="auto"/>
        <w:ind w:left="360"/>
        <w:rPr>
          <w:rFonts w:ascii="Times New Roman" w:hAnsi="Times New Roman" w:eastAsia="Times New Roman" w:cs="Times New Roman"/>
          <w:bCs/>
          <w:szCs w:val="24"/>
        </w:rPr>
      </w:pPr>
      <w:r w:rsidRPr="004B37D3">
        <w:rPr>
          <w:rFonts w:ascii="Times New Roman" w:hAnsi="Times New Roman" w:eastAsia="Times New Roman" w:cs="Times New Roman"/>
          <w:bCs/>
          <w:szCs w:val="24"/>
        </w:rPr>
        <w:t xml:space="preserve">S/GAC Cost for Expenditure Reporting: $ </w:t>
      </w:r>
      <w:r w:rsidRPr="004B37D3" w:rsidR="00DA054D">
        <w:rPr>
          <w:rFonts w:ascii="Times New Roman" w:hAnsi="Times New Roman" w:eastAsia="Times New Roman" w:cs="Times New Roman"/>
          <w:bCs/>
          <w:szCs w:val="24"/>
        </w:rPr>
        <w:t>3,174,941</w:t>
      </w:r>
    </w:p>
    <w:p w:rsidRPr="00C83ED0" w:rsidR="00681CE8" w:rsidP="00EB2598" w:rsidRDefault="00681CE8" w14:paraId="0E932AE2" w14:textId="77777777">
      <w:pPr>
        <w:spacing w:after="120" w:line="240" w:lineRule="auto"/>
        <w:ind w:left="360"/>
        <w:rPr>
          <w:rFonts w:ascii="Times New Roman" w:hAnsi="Times New Roman" w:eastAsia="Times New Roman" w:cs="Times New Roman"/>
          <w:bCs/>
          <w:szCs w:val="24"/>
        </w:rPr>
      </w:pPr>
    </w:p>
    <w:p w:rsidRPr="007E5CB4" w:rsidR="00EB2598" w:rsidP="00EB2598" w:rsidRDefault="00EB2598" w14:paraId="5FD9948B" w14:textId="77777777">
      <w:pPr>
        <w:numPr>
          <w:ilvl w:val="0"/>
          <w:numId w:val="1"/>
        </w:numPr>
        <w:spacing w:after="120" w:line="240" w:lineRule="auto"/>
        <w:rPr>
          <w:rFonts w:ascii="Times New Roman" w:hAnsi="Times New Roman" w:eastAsia="Times New Roman" w:cs="Times New Roman"/>
          <w:bCs/>
          <w:i/>
          <w:szCs w:val="24"/>
        </w:rPr>
      </w:pPr>
      <w:r w:rsidRPr="007E5CB4">
        <w:rPr>
          <w:rFonts w:ascii="Times New Roman" w:hAnsi="Times New Roman" w:eastAsia="Times New Roman" w:cs="Times New Roman"/>
          <w:bCs/>
          <w:i/>
          <w:szCs w:val="24"/>
        </w:rPr>
        <w:t>Explain any changes/adjustments to this collection since the previous submission</w:t>
      </w:r>
    </w:p>
    <w:p w:rsidRPr="00664D19" w:rsidR="00901E70" w:rsidP="6F83A5B1" w:rsidRDefault="00067C01" w14:paraId="44D97644" w14:textId="5937233E">
      <w:pPr>
        <w:spacing w:after="120" w:line="240" w:lineRule="auto"/>
        <w:ind w:left="360"/>
        <w:rPr>
          <w:rFonts w:ascii="Times New Roman" w:hAnsi="Times New Roman" w:eastAsia="Times New Roman" w:cs="Times New Roman"/>
        </w:rPr>
      </w:pPr>
      <w:r w:rsidRPr="6F83A5B1">
        <w:rPr>
          <w:rFonts w:ascii="Times New Roman" w:hAnsi="Times New Roman" w:eastAsia="Times New Roman" w:cs="Times New Roman"/>
        </w:rPr>
        <w:t xml:space="preserve">In 2018, a complete review was conducted of the expenditure reporting structure, content, and </w:t>
      </w:r>
      <w:r w:rsidRPr="00664D19">
        <w:rPr>
          <w:rFonts w:ascii="Times New Roman" w:hAnsi="Times New Roman" w:eastAsia="Times New Roman" w:cs="Times New Roman"/>
        </w:rPr>
        <w:t>process.  Th</w:t>
      </w:r>
      <w:r w:rsidRPr="00664D19" w:rsidR="00EC3680">
        <w:rPr>
          <w:rFonts w:ascii="Times New Roman" w:hAnsi="Times New Roman" w:eastAsia="Times New Roman" w:cs="Times New Roman"/>
        </w:rPr>
        <w:t>e review</w:t>
      </w:r>
      <w:r w:rsidRPr="00664D19">
        <w:rPr>
          <w:rFonts w:ascii="Times New Roman" w:hAnsi="Times New Roman" w:eastAsia="Times New Roman" w:cs="Times New Roman"/>
        </w:rPr>
        <w:t xml:space="preserve"> resulted in the development of:  </w:t>
      </w:r>
      <w:r w:rsidRPr="00664D19" w:rsidR="00901E70">
        <w:rPr>
          <w:rFonts w:ascii="Times New Roman" w:hAnsi="Times New Roman" w:eastAsia="Times New Roman" w:cs="Times New Roman"/>
        </w:rPr>
        <w:t xml:space="preserve">(1) </w:t>
      </w:r>
      <w:r w:rsidRPr="00664D19">
        <w:rPr>
          <w:rFonts w:ascii="Times New Roman" w:hAnsi="Times New Roman" w:eastAsia="Times New Roman" w:cs="Times New Roman"/>
        </w:rPr>
        <w:t xml:space="preserve">a standard financial classification </w:t>
      </w:r>
      <w:r w:rsidRPr="00664D19" w:rsidR="004573DC">
        <w:rPr>
          <w:rFonts w:ascii="Times New Roman" w:hAnsi="Times New Roman" w:eastAsia="Times New Roman" w:cs="Times New Roman"/>
        </w:rPr>
        <w:t xml:space="preserve">structure </w:t>
      </w:r>
      <w:r w:rsidRPr="00664D19">
        <w:rPr>
          <w:rFonts w:ascii="Times New Roman" w:hAnsi="Times New Roman" w:eastAsia="Times New Roman" w:cs="Times New Roman"/>
        </w:rPr>
        <w:t xml:space="preserve">used </w:t>
      </w:r>
      <w:r w:rsidRPr="00664D19" w:rsidR="00EC3680">
        <w:rPr>
          <w:rFonts w:ascii="Times New Roman" w:hAnsi="Times New Roman" w:eastAsia="Times New Roman" w:cs="Times New Roman"/>
        </w:rPr>
        <w:t>across</w:t>
      </w:r>
      <w:r w:rsidRPr="00664D19">
        <w:rPr>
          <w:rFonts w:ascii="Times New Roman" w:hAnsi="Times New Roman" w:eastAsia="Times New Roman" w:cs="Times New Roman"/>
        </w:rPr>
        <w:t xml:space="preserve"> budget formulation, execution and expenditure reporting; </w:t>
      </w:r>
      <w:r w:rsidRPr="00664D19" w:rsidR="00901E70">
        <w:rPr>
          <w:rFonts w:ascii="Times New Roman" w:hAnsi="Times New Roman" w:eastAsia="Times New Roman" w:cs="Times New Roman"/>
        </w:rPr>
        <w:t xml:space="preserve">(2) </w:t>
      </w:r>
      <w:r w:rsidRPr="00664D19">
        <w:rPr>
          <w:rFonts w:ascii="Times New Roman" w:hAnsi="Times New Roman" w:eastAsia="Times New Roman" w:cs="Times New Roman"/>
        </w:rPr>
        <w:t xml:space="preserve">a simplified </w:t>
      </w:r>
      <w:r w:rsidRPr="00664D19" w:rsidR="00EC3680">
        <w:rPr>
          <w:rFonts w:ascii="Times New Roman" w:hAnsi="Times New Roman" w:eastAsia="Times New Roman" w:cs="Times New Roman"/>
        </w:rPr>
        <w:t xml:space="preserve">data collection template; </w:t>
      </w:r>
      <w:r w:rsidRPr="00664D19" w:rsidR="00901E70">
        <w:rPr>
          <w:rFonts w:ascii="Times New Roman" w:hAnsi="Times New Roman" w:eastAsia="Times New Roman" w:cs="Times New Roman"/>
        </w:rPr>
        <w:t xml:space="preserve">(3) the consolidation of the collection of expenditure reporting in the DATIM system that is used for the collection of program performance data; and (4) </w:t>
      </w:r>
      <w:r w:rsidRPr="00664D19" w:rsidR="00930715">
        <w:rPr>
          <w:rFonts w:ascii="Times New Roman" w:hAnsi="Times New Roman" w:eastAsia="Times New Roman" w:cs="Times New Roman"/>
        </w:rPr>
        <w:t xml:space="preserve">the expansion of expenditure data collection to </w:t>
      </w:r>
      <w:proofErr w:type="spellStart"/>
      <w:r w:rsidRPr="00664D19" w:rsidR="00930715">
        <w:rPr>
          <w:rFonts w:ascii="Times New Roman" w:hAnsi="Times New Roman" w:eastAsia="Times New Roman" w:cs="Times New Roman"/>
        </w:rPr>
        <w:t>subrecipients</w:t>
      </w:r>
      <w:proofErr w:type="spellEnd"/>
      <w:r w:rsidRPr="00664D19" w:rsidR="00AB6CEC">
        <w:rPr>
          <w:rFonts w:ascii="Times New Roman" w:hAnsi="Times New Roman" w:eastAsia="Times New Roman" w:cs="Times New Roman"/>
        </w:rPr>
        <w:t>, defined as</w:t>
      </w:r>
      <w:r w:rsidRPr="00664D19" w:rsidR="005B3F09">
        <w:rPr>
          <w:rFonts w:ascii="Times New Roman" w:hAnsi="Times New Roman" w:eastAsia="Times New Roman" w:cs="Times New Roman"/>
        </w:rPr>
        <w:t xml:space="preserve"> “</w:t>
      </w:r>
      <w:r w:rsidRPr="00250C8C" w:rsidR="00AB6CEC">
        <w:rPr>
          <w:rFonts w:ascii="Times New Roman" w:hAnsi="Times New Roman" w:cs="Times New Roman"/>
          <w:shd w:val="clear" w:color="auto" w:fill="FFFFFF"/>
        </w:rPr>
        <w:t xml:space="preserve">A non-federal entity that receives a </w:t>
      </w:r>
      <w:proofErr w:type="spellStart"/>
      <w:r w:rsidRPr="00250C8C" w:rsidR="00AB6CEC">
        <w:rPr>
          <w:rFonts w:ascii="Times New Roman" w:hAnsi="Times New Roman" w:cs="Times New Roman"/>
          <w:shd w:val="clear" w:color="auto" w:fill="FFFFFF"/>
        </w:rPr>
        <w:t>subaward</w:t>
      </w:r>
      <w:proofErr w:type="spellEnd"/>
      <w:r w:rsidRPr="00250C8C" w:rsidR="00AB6CEC">
        <w:rPr>
          <w:rFonts w:ascii="Times New Roman" w:hAnsi="Times New Roman" w:cs="Times New Roman"/>
          <w:shd w:val="clear" w:color="auto" w:fill="FFFFFF"/>
        </w:rPr>
        <w:t xml:space="preserve"> from a pass-through entity to carry out part of a federal program; but does not include </w:t>
      </w:r>
      <w:r w:rsidRPr="00250C8C" w:rsidR="003821FE">
        <w:rPr>
          <w:rFonts w:ascii="Times New Roman" w:hAnsi="Times New Roman" w:cs="Times New Roman"/>
          <w:shd w:val="clear" w:color="auto" w:fill="FFFFFF"/>
        </w:rPr>
        <w:t>transformation</w:t>
      </w:r>
      <w:r w:rsidRPr="00250C8C" w:rsidR="004573DC">
        <w:rPr>
          <w:rFonts w:ascii="Times New Roman" w:hAnsi="Times New Roman" w:cs="Times New Roman"/>
          <w:shd w:val="clear" w:color="auto" w:fill="FFFFFF"/>
        </w:rPr>
        <w:t xml:space="preserve"> </w:t>
      </w:r>
      <w:r w:rsidRPr="00250C8C" w:rsidR="00AB6CEC">
        <w:rPr>
          <w:rFonts w:ascii="Times New Roman" w:hAnsi="Times New Roman" w:cs="Times New Roman"/>
          <w:shd w:val="clear" w:color="auto" w:fill="FFFFFF"/>
        </w:rPr>
        <w:t xml:space="preserve">an individual that is a beneficiary of such program.  A </w:t>
      </w:r>
      <w:proofErr w:type="spellStart"/>
      <w:r w:rsidRPr="00250C8C" w:rsidR="00AB6CEC">
        <w:rPr>
          <w:rFonts w:ascii="Times New Roman" w:hAnsi="Times New Roman" w:cs="Times New Roman"/>
          <w:shd w:val="clear" w:color="auto" w:fill="FFFFFF"/>
        </w:rPr>
        <w:t>subrecipient</w:t>
      </w:r>
      <w:proofErr w:type="spellEnd"/>
      <w:r w:rsidRPr="00250C8C" w:rsidR="00AB6CEC">
        <w:rPr>
          <w:rFonts w:ascii="Times New Roman" w:hAnsi="Times New Roman" w:cs="Times New Roman"/>
          <w:shd w:val="clear" w:color="auto" w:fill="FFFFFF"/>
        </w:rPr>
        <w:t xml:space="preserve"> may also be a recipient of other federal awards directly from a federal awarding agency.</w:t>
      </w:r>
      <w:r w:rsidRPr="00250C8C" w:rsidR="005B3F09">
        <w:rPr>
          <w:rFonts w:ascii="Times New Roman" w:hAnsi="Times New Roman" w:cs="Times New Roman"/>
          <w:shd w:val="clear" w:color="auto" w:fill="FFFFFF"/>
        </w:rPr>
        <w:t>”</w:t>
      </w:r>
      <w:r w:rsidRPr="00664D19" w:rsidR="00901E70">
        <w:rPr>
          <w:rFonts w:ascii="Times New Roman" w:hAnsi="Times New Roman" w:eastAsia="Times New Roman" w:cs="Times New Roman"/>
        </w:rPr>
        <w:t xml:space="preserve">  </w:t>
      </w:r>
    </w:p>
    <w:p w:rsidR="004573DC" w:rsidP="004573DC" w:rsidRDefault="007C46B7" w14:paraId="4A909CF1" w14:textId="5F67DB98">
      <w:pPr>
        <w:spacing w:after="120" w:line="240" w:lineRule="auto"/>
        <w:ind w:left="360"/>
        <w:rPr>
          <w:rFonts w:ascii="Times New Roman" w:hAnsi="Times New Roman" w:eastAsia="Times New Roman" w:cs="Times New Roman"/>
          <w:bCs/>
          <w:szCs w:val="24"/>
        </w:rPr>
      </w:pPr>
      <w:r w:rsidRPr="00664D19">
        <w:rPr>
          <w:rFonts w:ascii="Times New Roman" w:hAnsi="Times New Roman" w:eastAsia="Times New Roman" w:cs="Times New Roman"/>
          <w:bCs/>
          <w:szCs w:val="24"/>
        </w:rPr>
        <w:t>Revising</w:t>
      </w:r>
      <w:r w:rsidRPr="00664D19" w:rsidR="004573DC">
        <w:rPr>
          <w:rFonts w:ascii="Times New Roman" w:hAnsi="Times New Roman" w:eastAsia="Times New Roman" w:cs="Times New Roman"/>
          <w:bCs/>
          <w:szCs w:val="24"/>
        </w:rPr>
        <w:t xml:space="preserve"> expenditure data collection has taken place in two stages.  The first stage included </w:t>
      </w:r>
      <w:r w:rsidR="004573DC">
        <w:rPr>
          <w:rFonts w:ascii="Times New Roman" w:hAnsi="Times New Roman" w:eastAsia="Times New Roman" w:cs="Times New Roman"/>
          <w:bCs/>
          <w:szCs w:val="24"/>
        </w:rPr>
        <w:t xml:space="preserve">the introduction of the financial classification structure, the collection template and </w:t>
      </w:r>
      <w:r w:rsidR="006A1B09">
        <w:rPr>
          <w:rFonts w:ascii="Times New Roman" w:hAnsi="Times New Roman" w:eastAsia="Times New Roman" w:cs="Times New Roman"/>
          <w:bCs/>
          <w:szCs w:val="24"/>
        </w:rPr>
        <w:t>moving</w:t>
      </w:r>
      <w:r w:rsidR="004573DC">
        <w:rPr>
          <w:rFonts w:ascii="Times New Roman" w:hAnsi="Times New Roman" w:eastAsia="Times New Roman" w:cs="Times New Roman"/>
          <w:bCs/>
          <w:szCs w:val="24"/>
        </w:rPr>
        <w:t xml:space="preserve"> </w:t>
      </w:r>
      <w:r w:rsidR="004573DC">
        <w:rPr>
          <w:rFonts w:ascii="Times New Roman" w:hAnsi="Times New Roman" w:eastAsia="Times New Roman" w:cs="Times New Roman"/>
          <w:bCs/>
          <w:szCs w:val="24"/>
        </w:rPr>
        <w:lastRenderedPageBreak/>
        <w:t xml:space="preserve">the </w:t>
      </w:r>
      <w:r w:rsidR="006A1B09">
        <w:rPr>
          <w:rFonts w:ascii="Times New Roman" w:hAnsi="Times New Roman" w:eastAsia="Times New Roman" w:cs="Times New Roman"/>
          <w:bCs/>
          <w:szCs w:val="24"/>
        </w:rPr>
        <w:t xml:space="preserve">data collection to the </w:t>
      </w:r>
      <w:r w:rsidR="004573DC">
        <w:rPr>
          <w:rFonts w:ascii="Times New Roman" w:hAnsi="Times New Roman" w:eastAsia="Times New Roman" w:cs="Times New Roman"/>
          <w:bCs/>
          <w:szCs w:val="24"/>
        </w:rPr>
        <w:t>existing DATIM system</w:t>
      </w:r>
      <w:r w:rsidR="006A1B09">
        <w:rPr>
          <w:rFonts w:ascii="Times New Roman" w:hAnsi="Times New Roman" w:eastAsia="Times New Roman" w:cs="Times New Roman"/>
          <w:bCs/>
          <w:szCs w:val="24"/>
        </w:rPr>
        <w:t xml:space="preserve">.  The second stage expands the collection to include </w:t>
      </w:r>
      <w:proofErr w:type="spellStart"/>
      <w:r w:rsidR="006A1B09">
        <w:rPr>
          <w:rFonts w:ascii="Times New Roman" w:hAnsi="Times New Roman" w:eastAsia="Times New Roman" w:cs="Times New Roman"/>
          <w:bCs/>
          <w:szCs w:val="24"/>
        </w:rPr>
        <w:t>subrecipients</w:t>
      </w:r>
      <w:proofErr w:type="spellEnd"/>
      <w:r w:rsidR="006A1B09">
        <w:rPr>
          <w:rFonts w:ascii="Times New Roman" w:hAnsi="Times New Roman" w:eastAsia="Times New Roman" w:cs="Times New Roman"/>
          <w:bCs/>
          <w:szCs w:val="24"/>
        </w:rPr>
        <w:t>.</w:t>
      </w:r>
    </w:p>
    <w:p w:rsidR="0040488C" w:rsidP="0040488C" w:rsidRDefault="003821FE" w14:paraId="42F0A8F6" w14:textId="4EC51566">
      <w:pPr>
        <w:spacing w:after="120" w:line="240" w:lineRule="auto"/>
        <w:ind w:left="360"/>
        <w:rPr>
          <w:rFonts w:ascii="Times New Roman" w:hAnsi="Times New Roman" w:eastAsia="Times New Roman" w:cs="Times New Roman"/>
          <w:bCs/>
          <w:szCs w:val="24"/>
        </w:rPr>
      </w:pPr>
      <w:r>
        <w:rPr>
          <w:rFonts w:ascii="Times New Roman" w:hAnsi="Times New Roman" w:eastAsia="Times New Roman" w:cs="Times New Roman"/>
          <w:bCs/>
          <w:szCs w:val="24"/>
        </w:rPr>
        <w:t xml:space="preserve">In the first stage a seven-tab data entry data collection template with over 2,800 data entry elements was replaced with a single template with a maximum of 460 data entry elements.  This reduced the amount of data collected by over 83%.  We estimated this simplification of the data collection template reduced the level of effort by a minimum of 50%.  </w:t>
      </w:r>
      <w:r w:rsidR="00976CEF">
        <w:rPr>
          <w:rFonts w:ascii="Times New Roman" w:hAnsi="Times New Roman" w:eastAsia="Times New Roman" w:cs="Times New Roman"/>
          <w:bCs/>
          <w:szCs w:val="24"/>
        </w:rPr>
        <w:t xml:space="preserve">In </w:t>
      </w:r>
      <w:r w:rsidR="0040488C">
        <w:rPr>
          <w:rFonts w:ascii="Times New Roman" w:hAnsi="Times New Roman" w:eastAsia="Times New Roman" w:cs="Times New Roman"/>
          <w:bCs/>
          <w:szCs w:val="24"/>
        </w:rPr>
        <w:t>this</w:t>
      </w:r>
      <w:r w:rsidR="00976CEF">
        <w:rPr>
          <w:rFonts w:ascii="Times New Roman" w:hAnsi="Times New Roman" w:eastAsia="Times New Roman" w:cs="Times New Roman"/>
          <w:bCs/>
          <w:szCs w:val="24"/>
        </w:rPr>
        <w:t xml:space="preserve"> stage we also determined the number of respondents was approximate</w:t>
      </w:r>
      <w:r w:rsidR="007E55B1">
        <w:rPr>
          <w:rFonts w:ascii="Times New Roman" w:hAnsi="Times New Roman" w:eastAsia="Times New Roman" w:cs="Times New Roman"/>
          <w:bCs/>
          <w:szCs w:val="24"/>
        </w:rPr>
        <w:t>ly</w:t>
      </w:r>
      <w:r w:rsidR="00976CEF">
        <w:rPr>
          <w:rFonts w:ascii="Times New Roman" w:hAnsi="Times New Roman" w:eastAsia="Times New Roman" w:cs="Times New Roman"/>
          <w:bCs/>
          <w:szCs w:val="24"/>
        </w:rPr>
        <w:t xml:space="preserve"> 1,100 rather than the original estimate of 1,600.  This resulted in the hourly burden decreasing from 39,048 to 17,600.  As described in Section 12</w:t>
      </w:r>
      <w:r w:rsidR="007E55B1">
        <w:rPr>
          <w:rFonts w:ascii="Times New Roman" w:hAnsi="Times New Roman" w:eastAsia="Times New Roman" w:cs="Times New Roman"/>
          <w:bCs/>
          <w:szCs w:val="24"/>
        </w:rPr>
        <w:t>,</w:t>
      </w:r>
      <w:r w:rsidR="00976CEF">
        <w:rPr>
          <w:rFonts w:ascii="Times New Roman" w:hAnsi="Times New Roman" w:eastAsia="Times New Roman" w:cs="Times New Roman"/>
          <w:bCs/>
          <w:szCs w:val="24"/>
        </w:rPr>
        <w:t xml:space="preserve"> the hourly rates of the staff completing and uploading to DATIM the expenditure data template were recalculated.  The average</w:t>
      </w:r>
      <w:r w:rsidR="002C1585">
        <w:rPr>
          <w:rFonts w:ascii="Times New Roman" w:hAnsi="Times New Roman" w:eastAsia="Times New Roman" w:cs="Times New Roman"/>
          <w:bCs/>
          <w:szCs w:val="24"/>
        </w:rPr>
        <w:t xml:space="preserve">, fully loaded hourly rate is $31.46 for primary implementing partners and $16.54 for </w:t>
      </w:r>
      <w:proofErr w:type="spellStart"/>
      <w:r w:rsidR="002C1585">
        <w:rPr>
          <w:rFonts w:ascii="Times New Roman" w:hAnsi="Times New Roman" w:eastAsia="Times New Roman" w:cs="Times New Roman"/>
          <w:bCs/>
          <w:szCs w:val="24"/>
        </w:rPr>
        <w:t>subrecipients</w:t>
      </w:r>
      <w:proofErr w:type="spellEnd"/>
      <w:r w:rsidR="002C1585">
        <w:rPr>
          <w:rFonts w:ascii="Times New Roman" w:hAnsi="Times New Roman" w:eastAsia="Times New Roman" w:cs="Times New Roman"/>
          <w:bCs/>
          <w:szCs w:val="24"/>
        </w:rPr>
        <w:t xml:space="preserve"> for a weighted average hourly rate of $20.59.  </w:t>
      </w:r>
      <w:r w:rsidR="0040488C">
        <w:rPr>
          <w:rFonts w:ascii="Times New Roman" w:hAnsi="Times New Roman" w:eastAsia="Times New Roman" w:cs="Times New Roman"/>
          <w:bCs/>
          <w:szCs w:val="24"/>
        </w:rPr>
        <w:t xml:space="preserve">This is a 64% reduction from the previous hourly rate of $57.11.  Overall, the cost of responding to the annual expenditure reporting requirement in the first stage resulted in a decrease from over $6 million to about $2.7 million. </w:t>
      </w:r>
      <w:r w:rsidR="00AA0A39">
        <w:rPr>
          <w:rFonts w:ascii="Times New Roman" w:hAnsi="Times New Roman" w:eastAsia="Times New Roman" w:cs="Times New Roman"/>
          <w:bCs/>
          <w:szCs w:val="24"/>
        </w:rPr>
        <w:t xml:space="preserve">The </w:t>
      </w:r>
      <w:r w:rsidR="00280937">
        <w:rPr>
          <w:rFonts w:ascii="Times New Roman" w:hAnsi="Times New Roman" w:eastAsia="Times New Roman" w:cs="Times New Roman"/>
          <w:bCs/>
          <w:szCs w:val="24"/>
        </w:rPr>
        <w:t xml:space="preserve">Office of Management and Budget approved the information collection </w:t>
      </w:r>
      <w:r w:rsidR="00AA0A39">
        <w:rPr>
          <w:rFonts w:ascii="Times New Roman" w:hAnsi="Times New Roman" w:eastAsia="Times New Roman" w:cs="Times New Roman"/>
          <w:bCs/>
          <w:szCs w:val="24"/>
        </w:rPr>
        <w:t xml:space="preserve">for the first stage </w:t>
      </w:r>
      <w:r w:rsidR="00280937">
        <w:rPr>
          <w:rFonts w:ascii="Times New Roman" w:hAnsi="Times New Roman" w:eastAsia="Times New Roman" w:cs="Times New Roman"/>
          <w:bCs/>
          <w:szCs w:val="24"/>
        </w:rPr>
        <w:t>on</w:t>
      </w:r>
      <w:r w:rsidR="00AA0A39">
        <w:rPr>
          <w:rFonts w:ascii="Times New Roman" w:hAnsi="Times New Roman" w:eastAsia="Times New Roman" w:cs="Times New Roman"/>
          <w:bCs/>
          <w:szCs w:val="24"/>
        </w:rPr>
        <w:t xml:space="preserve"> June 1, 2020.</w:t>
      </w:r>
    </w:p>
    <w:p w:rsidR="00901E70" w:rsidP="6F83A5B1" w:rsidRDefault="6F83A5B1" w14:paraId="1614A311" w14:textId="284CDBDD">
      <w:pPr>
        <w:spacing w:after="120" w:line="240" w:lineRule="auto"/>
        <w:ind w:left="360"/>
        <w:rPr>
          <w:rFonts w:ascii="Times New Roman" w:hAnsi="Times New Roman" w:eastAsia="Times New Roman" w:cs="Times New Roman"/>
        </w:rPr>
      </w:pPr>
      <w:r w:rsidRPr="6F83A5B1">
        <w:rPr>
          <w:rFonts w:ascii="Times New Roman" w:hAnsi="Times New Roman" w:eastAsia="Times New Roman" w:cs="Times New Roman"/>
        </w:rPr>
        <w:t>In the second stage</w:t>
      </w:r>
      <w:r w:rsidR="00280937">
        <w:rPr>
          <w:rFonts w:ascii="Times New Roman" w:hAnsi="Times New Roman" w:eastAsia="Times New Roman" w:cs="Times New Roman"/>
        </w:rPr>
        <w:t xml:space="preserve"> of this information collection</w:t>
      </w:r>
      <w:r w:rsidRPr="6F83A5B1">
        <w:rPr>
          <w:rFonts w:ascii="Times New Roman" w:hAnsi="Times New Roman" w:eastAsia="Times New Roman" w:cs="Times New Roman"/>
        </w:rPr>
        <w:t xml:space="preserve">, PEPFAR will expand the expenditure data collection requirement to entities that are </w:t>
      </w:r>
      <w:proofErr w:type="spellStart"/>
      <w:r w:rsidRPr="6F83A5B1">
        <w:rPr>
          <w:rFonts w:ascii="Times New Roman" w:hAnsi="Times New Roman" w:eastAsia="Times New Roman" w:cs="Times New Roman"/>
        </w:rPr>
        <w:t>subrecipients</w:t>
      </w:r>
      <w:proofErr w:type="spellEnd"/>
      <w:r w:rsidRPr="6F83A5B1">
        <w:rPr>
          <w:rFonts w:ascii="Times New Roman" w:hAnsi="Times New Roman" w:eastAsia="Times New Roman" w:cs="Times New Roman"/>
        </w:rPr>
        <w:t xml:space="preserve"> of the primary implementing partners.  </w:t>
      </w:r>
      <w:proofErr w:type="spellStart"/>
      <w:r w:rsidRPr="6F83A5B1">
        <w:rPr>
          <w:rFonts w:ascii="Times New Roman" w:hAnsi="Times New Roman" w:eastAsia="Times New Roman" w:cs="Times New Roman"/>
        </w:rPr>
        <w:t>Subrecipients</w:t>
      </w:r>
      <w:proofErr w:type="spellEnd"/>
      <w:r w:rsidRPr="6F83A5B1">
        <w:rPr>
          <w:rFonts w:ascii="Times New Roman" w:hAnsi="Times New Roman" w:eastAsia="Times New Roman" w:cs="Times New Roman"/>
        </w:rPr>
        <w:t xml:space="preserve"> are usually indigenous entities contracted by the primary implementing partners to administer services directly to the HIV/AIDS patients at the site level. At this point the primary implementing partners must identify </w:t>
      </w:r>
      <w:r w:rsidR="00280937">
        <w:rPr>
          <w:rFonts w:ascii="Times New Roman" w:hAnsi="Times New Roman" w:eastAsia="Times New Roman" w:cs="Times New Roman"/>
        </w:rPr>
        <w:t>their</w:t>
      </w:r>
      <w:r w:rsidRPr="6F83A5B1" w:rsidR="00280937">
        <w:rPr>
          <w:rFonts w:ascii="Times New Roman" w:hAnsi="Times New Roman" w:eastAsia="Times New Roman" w:cs="Times New Roman"/>
        </w:rPr>
        <w:t xml:space="preserve"> </w:t>
      </w:r>
      <w:proofErr w:type="spellStart"/>
      <w:r w:rsidRPr="6F83A5B1">
        <w:rPr>
          <w:rFonts w:ascii="Times New Roman" w:hAnsi="Times New Roman" w:eastAsia="Times New Roman" w:cs="Times New Roman"/>
        </w:rPr>
        <w:t>subrecipients</w:t>
      </w:r>
      <w:proofErr w:type="spellEnd"/>
      <w:r w:rsidRPr="6F83A5B1">
        <w:rPr>
          <w:rFonts w:ascii="Times New Roman" w:hAnsi="Times New Roman" w:eastAsia="Times New Roman" w:cs="Times New Roman"/>
        </w:rPr>
        <w:t xml:space="preserve"> and their spending by intervention, which is a combination of program area and targeted beneficiary population.  Going forward, PEPFAR wants to get more detailed expenditure data on the </w:t>
      </w:r>
      <w:proofErr w:type="spellStart"/>
      <w:r w:rsidRPr="6F83A5B1">
        <w:rPr>
          <w:rFonts w:ascii="Times New Roman" w:hAnsi="Times New Roman" w:eastAsia="Times New Roman" w:cs="Times New Roman"/>
        </w:rPr>
        <w:t>subrecipients</w:t>
      </w:r>
      <w:proofErr w:type="spellEnd"/>
      <w:r w:rsidRPr="6F83A5B1">
        <w:rPr>
          <w:rFonts w:ascii="Times New Roman" w:hAnsi="Times New Roman" w:eastAsia="Times New Roman" w:cs="Times New Roman"/>
        </w:rPr>
        <w:t xml:space="preserve"> at the cost category.  The classification cost category captures information on what is being purchased, including: personnel, travel, equipment, supplies, contractual services, construction, training, </w:t>
      </w:r>
      <w:proofErr w:type="spellStart"/>
      <w:r w:rsidRPr="6F83A5B1">
        <w:rPr>
          <w:rFonts w:ascii="Times New Roman" w:hAnsi="Times New Roman" w:eastAsia="Times New Roman" w:cs="Times New Roman"/>
        </w:rPr>
        <w:t>subrecipient</w:t>
      </w:r>
      <w:proofErr w:type="spellEnd"/>
      <w:r w:rsidRPr="6F83A5B1">
        <w:rPr>
          <w:rFonts w:ascii="Times New Roman" w:hAnsi="Times New Roman" w:eastAsia="Times New Roman" w:cs="Times New Roman"/>
        </w:rPr>
        <w:t xml:space="preserve">, other costs, and indirect cost.  </w:t>
      </w:r>
      <w:r w:rsidR="00B948DE">
        <w:rPr>
          <w:rFonts w:ascii="Times New Roman" w:hAnsi="Times New Roman" w:eastAsia="Times New Roman" w:cs="Times New Roman"/>
        </w:rPr>
        <w:t>Given</w:t>
      </w:r>
      <w:r w:rsidRPr="6F83A5B1">
        <w:rPr>
          <w:rFonts w:ascii="Times New Roman" w:hAnsi="Times New Roman" w:eastAsia="Times New Roman" w:cs="Times New Roman"/>
        </w:rPr>
        <w:t xml:space="preserve"> most </w:t>
      </w:r>
      <w:proofErr w:type="spellStart"/>
      <w:r w:rsidRPr="6F83A5B1">
        <w:rPr>
          <w:rFonts w:ascii="Times New Roman" w:hAnsi="Times New Roman" w:eastAsia="Times New Roman" w:cs="Times New Roman"/>
        </w:rPr>
        <w:t>subrecipients</w:t>
      </w:r>
      <w:proofErr w:type="spellEnd"/>
      <w:r w:rsidRPr="6F83A5B1">
        <w:rPr>
          <w:rFonts w:ascii="Times New Roman" w:hAnsi="Times New Roman" w:eastAsia="Times New Roman" w:cs="Times New Roman"/>
        </w:rPr>
        <w:t xml:space="preserve"> deliver ongoing program services, collecting this data on the direct cost of the indigenous </w:t>
      </w:r>
      <w:proofErr w:type="spellStart"/>
      <w:r w:rsidRPr="6F83A5B1">
        <w:rPr>
          <w:rFonts w:ascii="Times New Roman" w:hAnsi="Times New Roman" w:eastAsia="Times New Roman" w:cs="Times New Roman"/>
        </w:rPr>
        <w:t>subrecipients</w:t>
      </w:r>
      <w:proofErr w:type="spellEnd"/>
      <w:r w:rsidRPr="6F83A5B1">
        <w:rPr>
          <w:rFonts w:ascii="Times New Roman" w:hAnsi="Times New Roman" w:eastAsia="Times New Roman" w:cs="Times New Roman"/>
        </w:rPr>
        <w:t xml:space="preserve"> will be used by PEPFAR to eventually plan for and transition the delivery of HIV/AIDS services to the host countries, which is its ultimate goal.      </w:t>
      </w:r>
    </w:p>
    <w:p w:rsidRPr="00CC3DFC" w:rsidR="00D458A7" w:rsidP="6F83A5B1" w:rsidRDefault="6F83A5B1" w14:paraId="2BE1EA5F" w14:textId="62EA64C5">
      <w:pPr>
        <w:spacing w:after="120" w:line="240" w:lineRule="auto"/>
        <w:ind w:left="360"/>
        <w:rPr>
          <w:rFonts w:ascii="Times New Roman" w:hAnsi="Times New Roman" w:eastAsia="Times New Roman" w:cs="Times New Roman"/>
        </w:rPr>
      </w:pPr>
      <w:r w:rsidRPr="6F83A5B1">
        <w:rPr>
          <w:rFonts w:ascii="Times New Roman" w:hAnsi="Times New Roman" w:eastAsia="Times New Roman" w:cs="Times New Roman"/>
        </w:rPr>
        <w:t xml:space="preserve">The cost of complying with this expenditure reporting requirement will </w:t>
      </w:r>
      <w:r w:rsidR="00280937">
        <w:rPr>
          <w:rFonts w:ascii="Times New Roman" w:hAnsi="Times New Roman" w:eastAsia="Times New Roman" w:cs="Times New Roman"/>
        </w:rPr>
        <w:t>be</w:t>
      </w:r>
      <w:r w:rsidR="00144D12">
        <w:rPr>
          <w:rFonts w:ascii="Times New Roman" w:hAnsi="Times New Roman" w:eastAsia="Times New Roman" w:cs="Times New Roman"/>
        </w:rPr>
        <w:t xml:space="preserve"> </w:t>
      </w:r>
      <w:r w:rsidRPr="6F83A5B1">
        <w:rPr>
          <w:rFonts w:ascii="Times New Roman" w:hAnsi="Times New Roman" w:eastAsia="Times New Roman" w:cs="Times New Roman"/>
        </w:rPr>
        <w:t xml:space="preserve">approximately $6 million. The transitional first stage of revising expenditure data collection briefly reduced the cost of this collection to $2.7 million.  Extending the expenditure data collection to </w:t>
      </w:r>
      <w:proofErr w:type="spellStart"/>
      <w:r w:rsidRPr="6F83A5B1">
        <w:rPr>
          <w:rFonts w:ascii="Times New Roman" w:hAnsi="Times New Roman" w:eastAsia="Times New Roman" w:cs="Times New Roman"/>
        </w:rPr>
        <w:t>subrecipients</w:t>
      </w:r>
      <w:proofErr w:type="spellEnd"/>
      <w:r w:rsidRPr="6F83A5B1">
        <w:rPr>
          <w:rFonts w:ascii="Times New Roman" w:hAnsi="Times New Roman" w:eastAsia="Times New Roman" w:cs="Times New Roman"/>
        </w:rPr>
        <w:t xml:space="preserve"> increases the number of respondents from 1,100 to 4,045.  This will increase the hour burden from 17,600 hours to 56,304 and the respondents’ costs from $553,696 to $1,332,531.  Assuming no efficiencies in reporting, review and oversight, the </w:t>
      </w:r>
      <w:r w:rsidRPr="6F83A5B1" w:rsidR="00B948DE">
        <w:rPr>
          <w:rFonts w:ascii="Times New Roman" w:hAnsi="Times New Roman" w:eastAsia="Times New Roman" w:cs="Times New Roman"/>
        </w:rPr>
        <w:t>increases</w:t>
      </w:r>
      <w:r w:rsidRPr="6F83A5B1">
        <w:rPr>
          <w:rFonts w:ascii="Times New Roman" w:hAnsi="Times New Roman" w:eastAsia="Times New Roman" w:cs="Times New Roman"/>
        </w:rPr>
        <w:t xml:space="preserve"> in the number of expenditure reporting submissions will increase the hour</w:t>
      </w:r>
      <w:r w:rsidR="00B948DE">
        <w:rPr>
          <w:rFonts w:ascii="Times New Roman" w:hAnsi="Times New Roman" w:eastAsia="Times New Roman" w:cs="Times New Roman"/>
        </w:rPr>
        <w:t>ly</w:t>
      </w:r>
      <w:r w:rsidRPr="6F83A5B1">
        <w:rPr>
          <w:rFonts w:ascii="Times New Roman" w:hAnsi="Times New Roman" w:eastAsia="Times New Roman" w:cs="Times New Roman"/>
        </w:rPr>
        <w:t xml:space="preserve"> burden of agency field staff from 8,800 hours to 32,360 hours and the respondents’ costs from $310,464 to $1,141,661. Finally, S/GAC costs to plan for and manage the increased number of submissions will increase from $1,4 million to $3.2 million.</w:t>
      </w:r>
    </w:p>
    <w:p w:rsidR="00E877E5" w:rsidP="00C77449" w:rsidRDefault="00E877E5" w14:paraId="4F8242EE" w14:textId="773765E0">
      <w:pPr>
        <w:spacing w:after="120" w:line="240" w:lineRule="auto"/>
        <w:ind w:left="360"/>
        <w:rPr>
          <w:rFonts w:ascii="Times New Roman" w:hAnsi="Times New Roman" w:eastAsia="Times New Roman" w:cs="Times New Roman"/>
          <w:bCs/>
          <w:iCs/>
          <w:szCs w:val="24"/>
        </w:rPr>
      </w:pPr>
    </w:p>
    <w:p w:rsidR="00681CE8" w:rsidP="00C77449" w:rsidRDefault="00681CE8" w14:paraId="234C3817" w14:textId="47C80F56">
      <w:pPr>
        <w:spacing w:after="120" w:line="240" w:lineRule="auto"/>
        <w:ind w:left="360"/>
        <w:rPr>
          <w:rFonts w:ascii="Times New Roman" w:hAnsi="Times New Roman" w:eastAsia="Times New Roman" w:cs="Times New Roman"/>
          <w:bCs/>
          <w:iCs/>
          <w:szCs w:val="24"/>
        </w:rPr>
      </w:pPr>
    </w:p>
    <w:p w:rsidRPr="0072462A" w:rsidR="00681CE8" w:rsidP="00C77449" w:rsidRDefault="00681CE8" w14:paraId="61012417" w14:textId="77777777">
      <w:pPr>
        <w:spacing w:after="120" w:line="240" w:lineRule="auto"/>
        <w:ind w:left="360"/>
        <w:rPr>
          <w:rFonts w:ascii="Times New Roman" w:hAnsi="Times New Roman" w:eastAsia="Times New Roman" w:cs="Times New Roman"/>
          <w:bCs/>
          <w:iCs/>
          <w:szCs w:val="24"/>
        </w:rPr>
      </w:pPr>
    </w:p>
    <w:p w:rsidRPr="0072462A" w:rsidR="00EB2598" w:rsidP="00E877E5" w:rsidRDefault="00EB2598" w14:paraId="39248538" w14:textId="543292F9">
      <w:pPr>
        <w:pStyle w:val="ListParagraph"/>
        <w:numPr>
          <w:ilvl w:val="0"/>
          <w:numId w:val="1"/>
        </w:numPr>
        <w:spacing w:after="120" w:line="240" w:lineRule="auto"/>
        <w:rPr>
          <w:rFonts w:ascii="Times New Roman" w:hAnsi="Times New Roman" w:eastAsia="Times New Roman" w:cs="Times New Roman"/>
          <w:bCs/>
          <w:i/>
          <w:szCs w:val="24"/>
        </w:rPr>
      </w:pPr>
      <w:r w:rsidRPr="0072462A">
        <w:rPr>
          <w:rFonts w:ascii="Times New Roman" w:hAnsi="Times New Roman" w:eastAsia="Times New Roman" w:cs="Times New Roman"/>
          <w:bCs/>
          <w:i/>
          <w:szCs w:val="24"/>
        </w:rPr>
        <w:t>Specify if the data gathered by this collection will be published.</w:t>
      </w:r>
    </w:p>
    <w:p w:rsidRPr="007E5CB4" w:rsidR="00EB2598" w:rsidP="00EB2598" w:rsidRDefault="00F60D98" w14:paraId="49177E53" w14:textId="6DB87828">
      <w:pPr>
        <w:spacing w:after="120" w:line="240" w:lineRule="auto"/>
        <w:ind w:left="360"/>
        <w:rPr>
          <w:rFonts w:ascii="Times New Roman" w:hAnsi="Times New Roman" w:eastAsia="Times New Roman" w:cs="Times New Roman"/>
          <w:bCs/>
          <w:szCs w:val="24"/>
        </w:rPr>
      </w:pPr>
      <w:r w:rsidRPr="0072462A">
        <w:rPr>
          <w:rFonts w:ascii="Times New Roman" w:hAnsi="Times New Roman" w:eastAsia="Times New Roman" w:cs="Times New Roman"/>
          <w:bCs/>
          <w:szCs w:val="24"/>
        </w:rPr>
        <w:lastRenderedPageBreak/>
        <w:t>Data collection occurs at the end of the U.S. government fiscal year and all data are reported by November 21</w:t>
      </w:r>
      <w:r w:rsidRPr="00C83ED0">
        <w:rPr>
          <w:rFonts w:ascii="Times New Roman" w:hAnsi="Times New Roman" w:eastAsia="Times New Roman" w:cs="Times New Roman"/>
          <w:bCs/>
          <w:szCs w:val="24"/>
        </w:rPr>
        <w:t>.  Submission deadlines allow for a reasonable amount of time to reconcile accounts at the end of the fiscal year.  Compilation of the data into stan</w:t>
      </w:r>
      <w:r w:rsidRPr="007E5CB4">
        <w:rPr>
          <w:rFonts w:ascii="Times New Roman" w:hAnsi="Times New Roman" w:eastAsia="Times New Roman" w:cs="Times New Roman"/>
          <w:bCs/>
          <w:szCs w:val="24"/>
        </w:rPr>
        <w:t xml:space="preserve">dardized reports by country occurs in December.  Reports will be utilized by S/GAC, its implementing agencies, and U.S. government country teams for the applications listed in </w:t>
      </w:r>
      <w:r w:rsidR="004C6FA3">
        <w:rPr>
          <w:rFonts w:ascii="Times New Roman" w:hAnsi="Times New Roman" w:eastAsia="Times New Roman" w:cs="Times New Roman"/>
          <w:bCs/>
          <w:szCs w:val="24"/>
        </w:rPr>
        <w:t>Section 2.</w:t>
      </w:r>
      <w:r w:rsidRPr="007E5CB4">
        <w:rPr>
          <w:rFonts w:ascii="Times New Roman" w:hAnsi="Times New Roman" w:eastAsia="Times New Roman" w:cs="Times New Roman"/>
          <w:bCs/>
          <w:szCs w:val="24"/>
        </w:rPr>
        <w:t xml:space="preserve"> above.  Summary reports will be posted to www.state.gov/pepfar for public access.</w:t>
      </w:r>
    </w:p>
    <w:p w:rsidRPr="007E5CB4" w:rsidR="00C77449" w:rsidP="00EB2598" w:rsidRDefault="00C77449" w14:paraId="3B0234F4" w14:textId="77777777">
      <w:pPr>
        <w:spacing w:after="120" w:line="240" w:lineRule="auto"/>
        <w:ind w:left="360"/>
        <w:rPr>
          <w:rFonts w:ascii="Times New Roman" w:hAnsi="Times New Roman" w:eastAsia="Times New Roman" w:cs="Times New Roman"/>
          <w:bCs/>
          <w:i/>
          <w:szCs w:val="24"/>
        </w:rPr>
      </w:pPr>
    </w:p>
    <w:p w:rsidRPr="00517CEE" w:rsidR="00F60D98" w:rsidP="00EB2598" w:rsidRDefault="00EB2598" w14:paraId="25560CD9" w14:textId="77777777">
      <w:pPr>
        <w:numPr>
          <w:ilvl w:val="0"/>
          <w:numId w:val="1"/>
        </w:numPr>
        <w:spacing w:after="120" w:line="240" w:lineRule="auto"/>
        <w:rPr>
          <w:rFonts w:ascii="Times New Roman" w:hAnsi="Times New Roman" w:eastAsia="Times New Roman" w:cs="Times New Roman"/>
          <w:bCs/>
          <w:i/>
          <w:szCs w:val="24"/>
        </w:rPr>
      </w:pPr>
      <w:r w:rsidRPr="00517CEE">
        <w:rPr>
          <w:rFonts w:ascii="Times New Roman" w:hAnsi="Times New Roman" w:eastAsia="Times New Roman" w:cs="Times New Roman"/>
          <w:bCs/>
          <w:i/>
          <w:szCs w:val="24"/>
        </w:rPr>
        <w:t xml:space="preserve">If applicable, explain the reason(s) for seeking approval to not display the OMB expiration date.  </w:t>
      </w:r>
    </w:p>
    <w:p w:rsidRPr="00CC3DFC" w:rsidR="00EB2598" w:rsidP="00F60D98" w:rsidRDefault="00F60D98" w14:paraId="71379A60" w14:textId="32C3B644">
      <w:pPr>
        <w:spacing w:after="120" w:line="240" w:lineRule="auto"/>
        <w:ind w:left="360"/>
        <w:rPr>
          <w:rFonts w:ascii="Times New Roman" w:hAnsi="Times New Roman" w:eastAsia="Times New Roman" w:cs="Times New Roman"/>
          <w:bCs/>
          <w:iCs/>
          <w:szCs w:val="24"/>
        </w:rPr>
      </w:pPr>
      <w:r w:rsidRPr="00517CEE">
        <w:rPr>
          <w:rFonts w:ascii="Times New Roman" w:hAnsi="Times New Roman" w:eastAsia="Times New Roman" w:cs="Times New Roman"/>
          <w:bCs/>
          <w:iCs/>
          <w:szCs w:val="24"/>
        </w:rPr>
        <w:t>S/GAC will display the OMB expiration date.</w:t>
      </w:r>
    </w:p>
    <w:p w:rsidRPr="00CC3DFC" w:rsidR="00C77449" w:rsidP="00F60D98" w:rsidRDefault="00C77449" w14:paraId="19341F41" w14:textId="77777777">
      <w:pPr>
        <w:spacing w:after="120" w:line="240" w:lineRule="auto"/>
        <w:ind w:left="360"/>
        <w:rPr>
          <w:rFonts w:ascii="Times New Roman" w:hAnsi="Times New Roman" w:eastAsia="Times New Roman" w:cs="Times New Roman"/>
          <w:bCs/>
          <w:iCs/>
          <w:szCs w:val="24"/>
        </w:rPr>
      </w:pPr>
    </w:p>
    <w:p w:rsidRPr="00BF2C51" w:rsidR="00EB2598" w:rsidP="00EB2598" w:rsidRDefault="00EB2598" w14:paraId="7D2A41E4" w14:textId="77777777">
      <w:pPr>
        <w:numPr>
          <w:ilvl w:val="0"/>
          <w:numId w:val="1"/>
        </w:numPr>
        <w:spacing w:after="120" w:line="240" w:lineRule="auto"/>
        <w:rPr>
          <w:rFonts w:ascii="Times New Roman" w:hAnsi="Times New Roman" w:eastAsia="Times New Roman" w:cs="Times New Roman"/>
          <w:bCs/>
          <w:i/>
          <w:szCs w:val="24"/>
        </w:rPr>
      </w:pPr>
      <w:r w:rsidRPr="00CC3DFC">
        <w:rPr>
          <w:rFonts w:ascii="Times New Roman" w:hAnsi="Times New Roman" w:eastAsia="Times New Roman" w:cs="Times New Roman"/>
          <w:bCs/>
          <w:i/>
          <w:szCs w:val="24"/>
        </w:rPr>
        <w:t>Explain any exceptions to the OMB certification statement below.</w:t>
      </w:r>
    </w:p>
    <w:p w:rsidRPr="006B2110" w:rsidR="00F60D98" w:rsidP="00F60D98" w:rsidRDefault="00F60D98" w14:paraId="592ED31E" w14:textId="079625F0">
      <w:pPr>
        <w:spacing w:after="120" w:line="240" w:lineRule="auto"/>
        <w:ind w:left="360"/>
        <w:rPr>
          <w:rFonts w:ascii="Times New Roman" w:hAnsi="Times New Roman" w:eastAsia="Times New Roman" w:cs="Times New Roman"/>
          <w:bCs/>
          <w:iCs/>
          <w:szCs w:val="24"/>
        </w:rPr>
      </w:pPr>
      <w:r w:rsidRPr="00BF2C51">
        <w:rPr>
          <w:rFonts w:ascii="Times New Roman" w:hAnsi="Times New Roman" w:eastAsia="Times New Roman" w:cs="Times New Roman"/>
          <w:bCs/>
          <w:iCs/>
          <w:szCs w:val="24"/>
        </w:rPr>
        <w:t>There are no exceptions to the certification statement.</w:t>
      </w:r>
    </w:p>
    <w:p w:rsidRPr="00BC12A8" w:rsidR="007733BC" w:rsidP="00F60D98" w:rsidRDefault="007733BC" w14:paraId="263A1C44" w14:textId="77777777">
      <w:pPr>
        <w:spacing w:after="120" w:line="240" w:lineRule="auto"/>
        <w:ind w:left="360"/>
        <w:rPr>
          <w:rFonts w:ascii="Times New Roman" w:hAnsi="Times New Roman" w:eastAsia="Times New Roman" w:cs="Times New Roman"/>
          <w:bCs/>
          <w:iCs/>
          <w:szCs w:val="24"/>
        </w:rPr>
      </w:pPr>
    </w:p>
    <w:p w:rsidRPr="001837E8" w:rsidR="00EB2598" w:rsidP="00EB2598" w:rsidRDefault="00EB2598" w14:paraId="74661983" w14:textId="77777777">
      <w:pPr>
        <w:keepNext/>
        <w:spacing w:after="120" w:line="240" w:lineRule="auto"/>
        <w:outlineLvl w:val="0"/>
        <w:rPr>
          <w:rFonts w:ascii="Times New Roman" w:hAnsi="Times New Roman" w:eastAsia="Times New Roman" w:cs="Times New Roman"/>
          <w:bCs/>
          <w:szCs w:val="24"/>
        </w:rPr>
      </w:pPr>
      <w:r w:rsidRPr="001837E8">
        <w:rPr>
          <w:rFonts w:ascii="Times New Roman" w:hAnsi="Times New Roman" w:eastAsia="Times New Roman" w:cs="Times New Roman"/>
          <w:bCs/>
          <w:szCs w:val="24"/>
        </w:rPr>
        <w:t>B.</w:t>
      </w:r>
      <w:r w:rsidRPr="001837E8">
        <w:rPr>
          <w:rFonts w:ascii="Times New Roman" w:hAnsi="Times New Roman" w:eastAsia="Times New Roman" w:cs="Times New Roman"/>
          <w:bCs/>
          <w:szCs w:val="24"/>
        </w:rPr>
        <w:tab/>
        <w:t>COLLECTION OF INFORMATION EMPLOYING STATISTICAL METHODS</w:t>
      </w:r>
    </w:p>
    <w:p w:rsidRPr="001837E8" w:rsidR="00EB1B69" w:rsidP="00F60D98" w:rsidRDefault="00EB2598" w14:paraId="0BED9AD9" w14:textId="77777777">
      <w:pPr>
        <w:spacing w:after="120" w:line="240" w:lineRule="auto"/>
        <w:rPr>
          <w:rFonts w:ascii="Times New Roman" w:hAnsi="Times New Roman" w:cs="Times New Roman"/>
          <w:bCs/>
          <w:szCs w:val="24"/>
        </w:rPr>
      </w:pPr>
      <w:r w:rsidRPr="00C83ED0">
        <w:rPr>
          <w:rFonts w:ascii="Times New Roman" w:hAnsi="Times New Roman" w:eastAsia="Times New Roman" w:cs="Times New Roman"/>
          <w:bCs/>
          <w:szCs w:val="24"/>
        </w:rPr>
        <w:t xml:space="preserve">This collection does not employ statistical methods. </w:t>
      </w:r>
    </w:p>
    <w:sectPr w:rsidRPr="001837E8" w:rsidR="00EB1B69" w:rsidSect="00EB2598">
      <w:footerReference w:type="default" r:id="rId13"/>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6D538" w16cex:dateUtc="2020-07-01T13:26:00Z"/>
  <w16cex:commentExtensible w16cex:durableId="22A6D57F" w16cex:dateUtc="2020-07-01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B978AC" w16cid:durableId="22A6D538"/>
  <w16cid:commentId w16cid:paraId="2BC6A350" w16cid:durableId="22A6D5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F0B1C" w14:textId="77777777" w:rsidR="008B3B98" w:rsidRDefault="008B3B98">
      <w:pPr>
        <w:spacing w:after="0" w:line="240" w:lineRule="auto"/>
      </w:pPr>
      <w:r>
        <w:separator/>
      </w:r>
    </w:p>
  </w:endnote>
  <w:endnote w:type="continuationSeparator" w:id="0">
    <w:p w14:paraId="33767896" w14:textId="77777777" w:rsidR="008B3B98" w:rsidRDefault="008B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747266"/>
      <w:docPartObj>
        <w:docPartGallery w:val="Page Numbers (Bottom of Page)"/>
        <w:docPartUnique/>
      </w:docPartObj>
    </w:sdtPr>
    <w:sdtEndPr>
      <w:rPr>
        <w:noProof/>
      </w:rPr>
    </w:sdtEndPr>
    <w:sdtContent>
      <w:p w14:paraId="129BAD28" w14:textId="742CC5C5" w:rsidR="0040488C" w:rsidRDefault="0040488C">
        <w:pPr>
          <w:pStyle w:val="Footer"/>
          <w:jc w:val="right"/>
        </w:pPr>
        <w:r>
          <w:fldChar w:fldCharType="begin"/>
        </w:r>
        <w:r>
          <w:instrText xml:space="preserve"> PAGE   \* MERGEFORMAT </w:instrText>
        </w:r>
        <w:r>
          <w:fldChar w:fldCharType="separate"/>
        </w:r>
        <w:r w:rsidR="001E6403">
          <w:rPr>
            <w:noProof/>
          </w:rPr>
          <w:t>2</w:t>
        </w:r>
        <w:r>
          <w:rPr>
            <w:noProof/>
          </w:rPr>
          <w:fldChar w:fldCharType="end"/>
        </w:r>
      </w:p>
    </w:sdtContent>
  </w:sdt>
  <w:p w14:paraId="794E9665" w14:textId="77777777" w:rsidR="0040488C" w:rsidRDefault="00404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270E8" w14:textId="77777777" w:rsidR="008B3B98" w:rsidRDefault="008B3B98">
      <w:pPr>
        <w:spacing w:after="0" w:line="240" w:lineRule="auto"/>
      </w:pPr>
      <w:r>
        <w:separator/>
      </w:r>
    </w:p>
  </w:footnote>
  <w:footnote w:type="continuationSeparator" w:id="0">
    <w:p w14:paraId="3617A997" w14:textId="77777777" w:rsidR="008B3B98" w:rsidRDefault="008B3B98">
      <w:pPr>
        <w:spacing w:after="0" w:line="240" w:lineRule="auto"/>
      </w:pPr>
      <w:r>
        <w:continuationSeparator/>
      </w:r>
    </w:p>
  </w:footnote>
  <w:footnote w:id="1">
    <w:p w14:paraId="185578BE" w14:textId="40666389" w:rsidR="001F4808" w:rsidRDefault="001F4808">
      <w:pPr>
        <w:pStyle w:val="FootnoteText"/>
      </w:pPr>
      <w:r w:rsidRPr="0051647F">
        <w:rPr>
          <w:rStyle w:val="FootnoteReference"/>
        </w:rPr>
        <w:footnoteRef/>
      </w:r>
      <w:r w:rsidRPr="0051647F">
        <w:t xml:space="preserve"> </w:t>
      </w:r>
      <w:r w:rsidRPr="0051647F">
        <w:rPr>
          <w:rFonts w:ascii="Times New Roman" w:hAnsi="Times New Roman" w:cs="Times New Roman"/>
          <w:sz w:val="24"/>
          <w:szCs w:val="24"/>
        </w:rPr>
        <w:t>Country Operational Plan (COP</w:t>
      </w:r>
      <w:r w:rsidR="000D41B9" w:rsidRPr="0051647F">
        <w:rPr>
          <w:rFonts w:ascii="Times New Roman" w:hAnsi="Times New Roman" w:cs="Times New Roman"/>
          <w:sz w:val="24"/>
          <w:szCs w:val="24"/>
        </w:rPr>
        <w:t xml:space="preserve"> 19</w:t>
      </w:r>
      <w:r w:rsidRPr="0051647F">
        <w:rPr>
          <w:rFonts w:ascii="Times New Roman" w:hAnsi="Times New Roman" w:cs="Times New Roman"/>
          <w:sz w:val="24"/>
          <w:szCs w:val="24"/>
        </w:rPr>
        <w:t xml:space="preserve">) data of implementing partners in </w:t>
      </w:r>
      <w:r w:rsidRPr="0051647F">
        <w:rPr>
          <w:rFonts w:ascii="Times New Roman" w:eastAsia="Times New Roman" w:hAnsi="Times New Roman" w:cs="Times New Roman"/>
          <w:bCs/>
          <w:iCs/>
          <w:sz w:val="24"/>
          <w:szCs w:val="24"/>
        </w:rPr>
        <w:t>Nigeria, Cambodia, Kenya, El Salvador, and USG based headquarters offices.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A55BC2"/>
    <w:multiLevelType w:val="hybridMultilevel"/>
    <w:tmpl w:val="C77EBF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8644A1"/>
    <w:multiLevelType w:val="hybridMultilevel"/>
    <w:tmpl w:val="BF7CAEF2"/>
    <w:lvl w:ilvl="0" w:tplc="A3489B4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404617F"/>
    <w:multiLevelType w:val="hybridMultilevel"/>
    <w:tmpl w:val="1DC0B0A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7"/>
  </w:num>
  <w:num w:numId="4">
    <w:abstractNumId w:val="4"/>
  </w:num>
  <w:num w:numId="5">
    <w:abstractNumId w:val="1"/>
  </w:num>
  <w:num w:numId="6">
    <w:abstractNumId w:val="8"/>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598"/>
    <w:rsid w:val="00013409"/>
    <w:rsid w:val="0004466A"/>
    <w:rsid w:val="00067C01"/>
    <w:rsid w:val="000877C7"/>
    <w:rsid w:val="000A798A"/>
    <w:rsid w:val="000D1AA2"/>
    <w:rsid w:val="000D41B9"/>
    <w:rsid w:val="000E759B"/>
    <w:rsid w:val="0010250E"/>
    <w:rsid w:val="00110A23"/>
    <w:rsid w:val="001120AB"/>
    <w:rsid w:val="00122E93"/>
    <w:rsid w:val="00125971"/>
    <w:rsid w:val="00130479"/>
    <w:rsid w:val="00144D12"/>
    <w:rsid w:val="00172111"/>
    <w:rsid w:val="001837E8"/>
    <w:rsid w:val="00193338"/>
    <w:rsid w:val="00193A12"/>
    <w:rsid w:val="00196363"/>
    <w:rsid w:val="001C02B1"/>
    <w:rsid w:val="001C5919"/>
    <w:rsid w:val="001E6403"/>
    <w:rsid w:val="001F4808"/>
    <w:rsid w:val="001F7F8F"/>
    <w:rsid w:val="00201206"/>
    <w:rsid w:val="002111A3"/>
    <w:rsid w:val="00240B6F"/>
    <w:rsid w:val="00250C8C"/>
    <w:rsid w:val="00280937"/>
    <w:rsid w:val="002C1585"/>
    <w:rsid w:val="002E797A"/>
    <w:rsid w:val="003111F4"/>
    <w:rsid w:val="00312EBE"/>
    <w:rsid w:val="00326397"/>
    <w:rsid w:val="00331933"/>
    <w:rsid w:val="00366189"/>
    <w:rsid w:val="003821FE"/>
    <w:rsid w:val="003830A1"/>
    <w:rsid w:val="00387797"/>
    <w:rsid w:val="003B62F2"/>
    <w:rsid w:val="003D1931"/>
    <w:rsid w:val="0040488C"/>
    <w:rsid w:val="004228E6"/>
    <w:rsid w:val="00425430"/>
    <w:rsid w:val="0043094F"/>
    <w:rsid w:val="0043500F"/>
    <w:rsid w:val="00441BC0"/>
    <w:rsid w:val="004502D2"/>
    <w:rsid w:val="00456DD2"/>
    <w:rsid w:val="004573DC"/>
    <w:rsid w:val="0046568E"/>
    <w:rsid w:val="004B37D3"/>
    <w:rsid w:val="004C6FA3"/>
    <w:rsid w:val="004D3F33"/>
    <w:rsid w:val="004D7A93"/>
    <w:rsid w:val="004D7DA2"/>
    <w:rsid w:val="004E2B36"/>
    <w:rsid w:val="004E428B"/>
    <w:rsid w:val="004F156E"/>
    <w:rsid w:val="0050325B"/>
    <w:rsid w:val="00511A04"/>
    <w:rsid w:val="00515ADD"/>
    <w:rsid w:val="0051647F"/>
    <w:rsid w:val="00517CEE"/>
    <w:rsid w:val="00521BB4"/>
    <w:rsid w:val="00541D98"/>
    <w:rsid w:val="00571EFC"/>
    <w:rsid w:val="00573DF3"/>
    <w:rsid w:val="005A2E56"/>
    <w:rsid w:val="005B129A"/>
    <w:rsid w:val="005B3F09"/>
    <w:rsid w:val="005C0E2A"/>
    <w:rsid w:val="005E0C28"/>
    <w:rsid w:val="00613E85"/>
    <w:rsid w:val="0061727F"/>
    <w:rsid w:val="00630D6C"/>
    <w:rsid w:val="00646BD3"/>
    <w:rsid w:val="00647788"/>
    <w:rsid w:val="00652F47"/>
    <w:rsid w:val="00664D19"/>
    <w:rsid w:val="0067306B"/>
    <w:rsid w:val="00681CE8"/>
    <w:rsid w:val="006A1B09"/>
    <w:rsid w:val="006B2110"/>
    <w:rsid w:val="006E6531"/>
    <w:rsid w:val="0070195A"/>
    <w:rsid w:val="00715F4D"/>
    <w:rsid w:val="0072462A"/>
    <w:rsid w:val="00725197"/>
    <w:rsid w:val="007363A3"/>
    <w:rsid w:val="00751011"/>
    <w:rsid w:val="00756885"/>
    <w:rsid w:val="00766710"/>
    <w:rsid w:val="007733BC"/>
    <w:rsid w:val="007A4C92"/>
    <w:rsid w:val="007B265E"/>
    <w:rsid w:val="007B4E1E"/>
    <w:rsid w:val="007C1002"/>
    <w:rsid w:val="007C46B7"/>
    <w:rsid w:val="007E55B1"/>
    <w:rsid w:val="007E5CB4"/>
    <w:rsid w:val="007F5394"/>
    <w:rsid w:val="00824112"/>
    <w:rsid w:val="00833250"/>
    <w:rsid w:val="00840177"/>
    <w:rsid w:val="00840FF7"/>
    <w:rsid w:val="008655CE"/>
    <w:rsid w:val="008A6750"/>
    <w:rsid w:val="008B3B98"/>
    <w:rsid w:val="008E34E0"/>
    <w:rsid w:val="00901E70"/>
    <w:rsid w:val="00930715"/>
    <w:rsid w:val="009327F3"/>
    <w:rsid w:val="00937EBB"/>
    <w:rsid w:val="00954864"/>
    <w:rsid w:val="00964021"/>
    <w:rsid w:val="00976CEF"/>
    <w:rsid w:val="009C578B"/>
    <w:rsid w:val="009F089E"/>
    <w:rsid w:val="00A07679"/>
    <w:rsid w:val="00A10601"/>
    <w:rsid w:val="00A127CF"/>
    <w:rsid w:val="00A1674A"/>
    <w:rsid w:val="00A205BE"/>
    <w:rsid w:val="00A24E50"/>
    <w:rsid w:val="00A34F07"/>
    <w:rsid w:val="00A3683E"/>
    <w:rsid w:val="00A46E44"/>
    <w:rsid w:val="00A64EDA"/>
    <w:rsid w:val="00A75D3C"/>
    <w:rsid w:val="00AA0A39"/>
    <w:rsid w:val="00AA5C90"/>
    <w:rsid w:val="00AB6CEC"/>
    <w:rsid w:val="00AC0150"/>
    <w:rsid w:val="00AE2570"/>
    <w:rsid w:val="00B00E5F"/>
    <w:rsid w:val="00B01C33"/>
    <w:rsid w:val="00B21438"/>
    <w:rsid w:val="00B329A2"/>
    <w:rsid w:val="00B37834"/>
    <w:rsid w:val="00B417C9"/>
    <w:rsid w:val="00B57ABD"/>
    <w:rsid w:val="00B64BC0"/>
    <w:rsid w:val="00B948DE"/>
    <w:rsid w:val="00BA5672"/>
    <w:rsid w:val="00BB3B48"/>
    <w:rsid w:val="00BC12A8"/>
    <w:rsid w:val="00BD4257"/>
    <w:rsid w:val="00BF2641"/>
    <w:rsid w:val="00BF2C51"/>
    <w:rsid w:val="00BF3816"/>
    <w:rsid w:val="00C04D93"/>
    <w:rsid w:val="00C23640"/>
    <w:rsid w:val="00C30CDD"/>
    <w:rsid w:val="00C5101E"/>
    <w:rsid w:val="00C57A8C"/>
    <w:rsid w:val="00C62D46"/>
    <w:rsid w:val="00C63F65"/>
    <w:rsid w:val="00C63FC2"/>
    <w:rsid w:val="00C77449"/>
    <w:rsid w:val="00C83E77"/>
    <w:rsid w:val="00C83ED0"/>
    <w:rsid w:val="00C87AED"/>
    <w:rsid w:val="00CB1E4E"/>
    <w:rsid w:val="00CC3DFC"/>
    <w:rsid w:val="00CF59CA"/>
    <w:rsid w:val="00D041FE"/>
    <w:rsid w:val="00D052B5"/>
    <w:rsid w:val="00D3439A"/>
    <w:rsid w:val="00D37793"/>
    <w:rsid w:val="00D45874"/>
    <w:rsid w:val="00D458A7"/>
    <w:rsid w:val="00D47A0A"/>
    <w:rsid w:val="00D51C12"/>
    <w:rsid w:val="00D63697"/>
    <w:rsid w:val="00D85F45"/>
    <w:rsid w:val="00D9310E"/>
    <w:rsid w:val="00D97A12"/>
    <w:rsid w:val="00DA054D"/>
    <w:rsid w:val="00DA7ACC"/>
    <w:rsid w:val="00DA7F85"/>
    <w:rsid w:val="00DC1CB8"/>
    <w:rsid w:val="00DD02C7"/>
    <w:rsid w:val="00DD3190"/>
    <w:rsid w:val="00E134A7"/>
    <w:rsid w:val="00E47B70"/>
    <w:rsid w:val="00E62049"/>
    <w:rsid w:val="00E72AE3"/>
    <w:rsid w:val="00E877E5"/>
    <w:rsid w:val="00E94922"/>
    <w:rsid w:val="00EA6736"/>
    <w:rsid w:val="00EB1B69"/>
    <w:rsid w:val="00EB2598"/>
    <w:rsid w:val="00EB30FF"/>
    <w:rsid w:val="00EC3680"/>
    <w:rsid w:val="00F05E43"/>
    <w:rsid w:val="00F12DA6"/>
    <w:rsid w:val="00F14407"/>
    <w:rsid w:val="00F41613"/>
    <w:rsid w:val="00F4641B"/>
    <w:rsid w:val="00F57445"/>
    <w:rsid w:val="00F60D98"/>
    <w:rsid w:val="00F71CEC"/>
    <w:rsid w:val="00F823DD"/>
    <w:rsid w:val="00F872BA"/>
    <w:rsid w:val="00FA0AC8"/>
    <w:rsid w:val="00FB47F6"/>
    <w:rsid w:val="00FD606D"/>
    <w:rsid w:val="00FD6AD0"/>
    <w:rsid w:val="6F83A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35E6A6"/>
  <w15:docId w15:val="{53DA1FE3-7A44-41C5-8953-B41AEDEF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598"/>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98"/>
    <w:rPr>
      <w:rFonts w:ascii="Verdana" w:hAnsi="Verdana"/>
      <w:sz w:val="24"/>
    </w:rPr>
  </w:style>
  <w:style w:type="paragraph" w:styleId="BalloonText">
    <w:name w:val="Balloon Text"/>
    <w:basedOn w:val="Normal"/>
    <w:link w:val="BalloonTextChar"/>
    <w:uiPriority w:val="99"/>
    <w:semiHidden/>
    <w:unhideWhenUsed/>
    <w:rsid w:val="00701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95A"/>
    <w:rPr>
      <w:rFonts w:ascii="Segoe UI" w:hAnsi="Segoe UI" w:cs="Segoe UI"/>
      <w:sz w:val="18"/>
      <w:szCs w:val="18"/>
    </w:rPr>
  </w:style>
  <w:style w:type="character" w:styleId="CommentReference">
    <w:name w:val="annotation reference"/>
    <w:basedOn w:val="DefaultParagraphFont"/>
    <w:uiPriority w:val="99"/>
    <w:semiHidden/>
    <w:unhideWhenUsed/>
    <w:rsid w:val="0070195A"/>
    <w:rPr>
      <w:sz w:val="16"/>
      <w:szCs w:val="16"/>
    </w:rPr>
  </w:style>
  <w:style w:type="paragraph" w:styleId="CommentText">
    <w:name w:val="annotation text"/>
    <w:basedOn w:val="Normal"/>
    <w:link w:val="CommentTextChar"/>
    <w:uiPriority w:val="99"/>
    <w:unhideWhenUsed/>
    <w:rsid w:val="0070195A"/>
    <w:pPr>
      <w:spacing w:line="240" w:lineRule="auto"/>
    </w:pPr>
    <w:rPr>
      <w:sz w:val="20"/>
      <w:szCs w:val="20"/>
    </w:rPr>
  </w:style>
  <w:style w:type="character" w:customStyle="1" w:styleId="CommentTextChar">
    <w:name w:val="Comment Text Char"/>
    <w:basedOn w:val="DefaultParagraphFont"/>
    <w:link w:val="CommentText"/>
    <w:uiPriority w:val="99"/>
    <w:rsid w:val="0070195A"/>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70195A"/>
    <w:rPr>
      <w:b/>
      <w:bCs/>
    </w:rPr>
  </w:style>
  <w:style w:type="character" w:customStyle="1" w:styleId="CommentSubjectChar">
    <w:name w:val="Comment Subject Char"/>
    <w:basedOn w:val="CommentTextChar"/>
    <w:link w:val="CommentSubject"/>
    <w:uiPriority w:val="99"/>
    <w:semiHidden/>
    <w:rsid w:val="0070195A"/>
    <w:rPr>
      <w:rFonts w:ascii="Verdana" w:hAnsi="Verdana"/>
      <w:b/>
      <w:bCs/>
      <w:sz w:val="20"/>
      <w:szCs w:val="20"/>
    </w:rPr>
  </w:style>
  <w:style w:type="paragraph" w:styleId="Revision">
    <w:name w:val="Revision"/>
    <w:hidden/>
    <w:uiPriority w:val="99"/>
    <w:semiHidden/>
    <w:rsid w:val="000A798A"/>
    <w:pPr>
      <w:spacing w:after="0" w:line="240" w:lineRule="auto"/>
    </w:pPr>
    <w:rPr>
      <w:rFonts w:ascii="Verdana" w:hAnsi="Verdana"/>
      <w:sz w:val="24"/>
    </w:rPr>
  </w:style>
  <w:style w:type="paragraph" w:styleId="ListParagraph">
    <w:name w:val="List Paragraph"/>
    <w:basedOn w:val="Normal"/>
    <w:uiPriority w:val="34"/>
    <w:qFormat/>
    <w:rsid w:val="008655CE"/>
    <w:pPr>
      <w:ind w:left="720"/>
      <w:contextualSpacing/>
    </w:pPr>
  </w:style>
  <w:style w:type="paragraph" w:customStyle="1" w:styleId="Default">
    <w:name w:val="Default"/>
    <w:rsid w:val="00E94922"/>
    <w:pPr>
      <w:autoSpaceDE w:val="0"/>
      <w:autoSpaceDN w:val="0"/>
      <w:adjustRightInd w:val="0"/>
      <w:spacing w:after="0" w:line="240" w:lineRule="auto"/>
    </w:pPr>
    <w:rPr>
      <w:rFonts w:ascii="Times New Roman" w:hAnsi="Times New Roman" w:cs="Times New Roman"/>
      <w:color w:val="000000"/>
      <w:sz w:val="24"/>
      <w:szCs w:val="24"/>
    </w:rPr>
  </w:style>
  <w:style w:type="table" w:styleId="TableGridLight">
    <w:name w:val="Grid Table Light"/>
    <w:basedOn w:val="TableNormal"/>
    <w:uiPriority w:val="40"/>
    <w:rsid w:val="00B417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B41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Notice2">
    <w:name w:val="FR Notice 2"/>
    <w:basedOn w:val="Normal"/>
    <w:rsid w:val="00B948DE"/>
    <w:pPr>
      <w:spacing w:after="0" w:line="360" w:lineRule="auto"/>
      <w:ind w:firstLine="360"/>
    </w:pPr>
    <w:rPr>
      <w:rFonts w:ascii="Times New Roman" w:eastAsia="Times New Roman" w:hAnsi="Times New Roman" w:cs="Times New Roman"/>
      <w:szCs w:val="20"/>
    </w:rPr>
  </w:style>
  <w:style w:type="paragraph" w:styleId="NoSpacing">
    <w:name w:val="No Spacing"/>
    <w:uiPriority w:val="1"/>
    <w:qFormat/>
    <w:rsid w:val="00B948DE"/>
    <w:pPr>
      <w:spacing w:after="0" w:line="240" w:lineRule="auto"/>
    </w:pPr>
    <w:rPr>
      <w:rFonts w:ascii="Verdana" w:hAnsi="Verdana"/>
      <w:sz w:val="24"/>
    </w:rPr>
  </w:style>
  <w:style w:type="character" w:styleId="Hyperlink">
    <w:name w:val="Hyperlink"/>
    <w:basedOn w:val="DefaultParagraphFont"/>
    <w:uiPriority w:val="99"/>
    <w:unhideWhenUsed/>
    <w:rsid w:val="00B948DE"/>
    <w:rPr>
      <w:color w:val="0000FF" w:themeColor="hyperlink"/>
      <w:u w:val="single"/>
    </w:rPr>
  </w:style>
  <w:style w:type="character" w:customStyle="1" w:styleId="UnresolvedMention1">
    <w:name w:val="Unresolved Mention1"/>
    <w:basedOn w:val="DefaultParagraphFont"/>
    <w:uiPriority w:val="99"/>
    <w:semiHidden/>
    <w:unhideWhenUsed/>
    <w:rsid w:val="00B948DE"/>
    <w:rPr>
      <w:color w:val="605E5C"/>
      <w:shd w:val="clear" w:color="auto" w:fill="E1DFDD"/>
    </w:rPr>
  </w:style>
  <w:style w:type="paragraph" w:styleId="FootnoteText">
    <w:name w:val="footnote text"/>
    <w:basedOn w:val="Normal"/>
    <w:link w:val="FootnoteTextChar"/>
    <w:uiPriority w:val="99"/>
    <w:semiHidden/>
    <w:unhideWhenUsed/>
    <w:rsid w:val="001F48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4808"/>
    <w:rPr>
      <w:rFonts w:ascii="Verdana" w:hAnsi="Verdana"/>
      <w:sz w:val="20"/>
      <w:szCs w:val="20"/>
    </w:rPr>
  </w:style>
  <w:style w:type="character" w:styleId="FootnoteReference">
    <w:name w:val="footnote reference"/>
    <w:basedOn w:val="DefaultParagraphFont"/>
    <w:uiPriority w:val="99"/>
    <w:semiHidden/>
    <w:unhideWhenUsed/>
    <w:rsid w:val="001F4808"/>
    <w:rPr>
      <w:vertAlign w:val="superscript"/>
    </w:rPr>
  </w:style>
  <w:style w:type="paragraph" w:customStyle="1" w:styleId="null">
    <w:name w:val="null"/>
    <w:basedOn w:val="Normal"/>
    <w:rsid w:val="00A1674A"/>
    <w:pPr>
      <w:spacing w:before="100" w:beforeAutospacing="1" w:after="100" w:afterAutospacing="1" w:line="240" w:lineRule="auto"/>
    </w:pPr>
    <w:rPr>
      <w:rFonts w:ascii="Times New Roman" w:hAnsi="Times New Roman" w:cs="Times New Roman"/>
      <w:szCs w:val="24"/>
    </w:rPr>
  </w:style>
  <w:style w:type="character" w:customStyle="1" w:styleId="null1">
    <w:name w:val="null1"/>
    <w:basedOn w:val="DefaultParagraphFont"/>
    <w:rsid w:val="00A16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67221">
      <w:bodyDiv w:val="1"/>
      <w:marLeft w:val="0"/>
      <w:marRight w:val="0"/>
      <w:marTop w:val="0"/>
      <w:marBottom w:val="0"/>
      <w:divBdr>
        <w:top w:val="none" w:sz="0" w:space="0" w:color="auto"/>
        <w:left w:val="none" w:sz="0" w:space="0" w:color="auto"/>
        <w:bottom w:val="none" w:sz="0" w:space="0" w:color="auto"/>
        <w:right w:val="none" w:sz="0" w:space="0" w:color="auto"/>
      </w:divBdr>
    </w:div>
    <w:div w:id="711806418">
      <w:bodyDiv w:val="1"/>
      <w:marLeft w:val="0"/>
      <w:marRight w:val="0"/>
      <w:marTop w:val="0"/>
      <w:marBottom w:val="0"/>
      <w:divBdr>
        <w:top w:val="none" w:sz="0" w:space="0" w:color="auto"/>
        <w:left w:val="none" w:sz="0" w:space="0" w:color="auto"/>
        <w:bottom w:val="none" w:sz="0" w:space="0" w:color="auto"/>
        <w:right w:val="none" w:sz="0" w:space="0" w:color="auto"/>
      </w:divBdr>
    </w:div>
    <w:div w:id="803279181">
      <w:bodyDiv w:val="1"/>
      <w:marLeft w:val="0"/>
      <w:marRight w:val="0"/>
      <w:marTop w:val="0"/>
      <w:marBottom w:val="0"/>
      <w:divBdr>
        <w:top w:val="none" w:sz="0" w:space="0" w:color="auto"/>
        <w:left w:val="none" w:sz="0" w:space="0" w:color="auto"/>
        <w:bottom w:val="none" w:sz="0" w:space="0" w:color="auto"/>
        <w:right w:val="none" w:sz="0" w:space="0" w:color="auto"/>
      </w:divBdr>
    </w:div>
    <w:div w:id="886798293">
      <w:bodyDiv w:val="1"/>
      <w:marLeft w:val="0"/>
      <w:marRight w:val="0"/>
      <w:marTop w:val="0"/>
      <w:marBottom w:val="0"/>
      <w:divBdr>
        <w:top w:val="none" w:sz="0" w:space="0" w:color="auto"/>
        <w:left w:val="none" w:sz="0" w:space="0" w:color="auto"/>
        <w:bottom w:val="none" w:sz="0" w:space="0" w:color="auto"/>
        <w:right w:val="none" w:sz="0" w:space="0" w:color="auto"/>
      </w:divBdr>
    </w:div>
    <w:div w:id="1282343891">
      <w:bodyDiv w:val="1"/>
      <w:marLeft w:val="0"/>
      <w:marRight w:val="0"/>
      <w:marTop w:val="0"/>
      <w:marBottom w:val="0"/>
      <w:divBdr>
        <w:top w:val="none" w:sz="0" w:space="0" w:color="auto"/>
        <w:left w:val="none" w:sz="0" w:space="0" w:color="auto"/>
        <w:bottom w:val="none" w:sz="0" w:space="0" w:color="auto"/>
        <w:right w:val="none" w:sz="0" w:space="0" w:color="auto"/>
      </w:divBdr>
    </w:div>
    <w:div w:id="1309944408">
      <w:bodyDiv w:val="1"/>
      <w:marLeft w:val="0"/>
      <w:marRight w:val="0"/>
      <w:marTop w:val="0"/>
      <w:marBottom w:val="0"/>
      <w:divBdr>
        <w:top w:val="none" w:sz="0" w:space="0" w:color="auto"/>
        <w:left w:val="none" w:sz="0" w:space="0" w:color="auto"/>
        <w:bottom w:val="none" w:sz="0" w:space="0" w:color="auto"/>
        <w:right w:val="none" w:sz="0" w:space="0" w:color="auto"/>
      </w:divBdr>
    </w:div>
    <w:div w:id="201314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1.safelinks.protection.outlook.com/?url=https%3A%2F%2Fwww.federalregister.gov%2Fdocuments%2F2020%2F07%2F17&amp;data=02%7C01%7CMillerT2%40state.gov%7C4ff3f87aac024ffd82f608d85e618d7d%7C66cf50745afe48d1a691a12b2121f44b%7C0%7C0%7C637363120361785693&amp;sdata=Io%2FkDGb9ZXo8bGeSp0Wcxq9NTg%2Fy%2Bf4xTwXggju0dGE%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im.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4B01F029692041A7486645BF369C0F" ma:contentTypeVersion="6" ma:contentTypeDescription="Create a new document." ma:contentTypeScope="" ma:versionID="c1275dbb85d9162f1f906609d04b9c5d">
  <xsd:schema xmlns:xsd="http://www.w3.org/2001/XMLSchema" xmlns:xs="http://www.w3.org/2001/XMLSchema" xmlns:p="http://schemas.microsoft.com/office/2006/metadata/properties" xmlns:ns3="f9ed9578-d32b-44f4-833c-23a98eae8c72" targetNamespace="http://schemas.microsoft.com/office/2006/metadata/properties" ma:root="true" ma:fieldsID="051384569328c71ba61b3c9132313d96" ns3:_="">
    <xsd:import namespace="f9ed9578-d32b-44f4-833c-23a98eae8c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d9578-d32b-44f4-833c-23a98eae8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D1AE1-4ECF-40DE-ACD7-A07959893ECA}">
  <ds:schemaRefs>
    <ds:schemaRef ds:uri="http://schemas.microsoft.com/sharepoint/v3/contenttype/forms"/>
  </ds:schemaRefs>
</ds:datastoreItem>
</file>

<file path=customXml/itemProps2.xml><?xml version="1.0" encoding="utf-8"?>
<ds:datastoreItem xmlns:ds="http://schemas.openxmlformats.org/officeDocument/2006/customXml" ds:itemID="{A31BC217-1082-4C0D-A5FC-969C17E86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d9578-d32b-44f4-833c-23a98eae8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34B2C7-C992-4D66-B8CD-F98E292E2EF0}">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9ed9578-d32b-44f4-833c-23a98eae8c72"/>
    <ds:schemaRef ds:uri="http://www.w3.org/XML/1998/namespace"/>
  </ds:schemaRefs>
</ds:datastoreItem>
</file>

<file path=customXml/itemProps4.xml><?xml version="1.0" encoding="utf-8"?>
<ds:datastoreItem xmlns:ds="http://schemas.openxmlformats.org/officeDocument/2006/customXml" ds:itemID="{7F3899DF-A256-43E4-9413-6DE95F8AB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4643</Words>
  <Characters>26470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31051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Miller, Todd</cp:lastModifiedBy>
  <cp:revision>2</cp:revision>
  <cp:lastPrinted>2020-07-13T16:15:00Z</cp:lastPrinted>
  <dcterms:created xsi:type="dcterms:W3CDTF">2020-10-29T18:45:00Z</dcterms:created>
  <dcterms:modified xsi:type="dcterms:W3CDTF">2020-10-29T18:45:00Z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WatkinsPK@state.gov</vt:lpwstr>
  </property>
  <property fmtid="{D5CDD505-2E9C-101B-9397-08002B2CF9AE}" pid="5" name="MSIP_Label_1665d9ee-429a-4d5f-97cc-cfb56e044a6e_SetDate">
    <vt:lpwstr>2019-11-14T20:02:14.3559482Z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47cc267e-1182-45da-b00d-af97b6b24832</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0x010100AF4B01F029692041A7486645BF369C0F</vt:lpwstr>
  </property>
</Properties>
</file>