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4D52" w:rsidR="00AD0461" w:rsidP="00AD0461" w:rsidRDefault="00AD0461" w14:paraId="5B24AFE0" w14:textId="432DE6DC">
      <w:pPr>
        <w:pStyle w:val="Heading1"/>
        <w:jc w:val="right"/>
        <w:rPr>
          <w:rFonts w:ascii="Times New Roman" w:hAnsi="Times New Roman" w:cs="Times New Roman"/>
          <w:b/>
          <w:bCs/>
          <w:sz w:val="24"/>
          <w:szCs w:val="24"/>
        </w:rPr>
      </w:pPr>
      <w:r w:rsidRPr="007C4D52">
        <w:rPr>
          <w:rFonts w:ascii="Times New Roman" w:hAnsi="Times New Roman" w:cs="Times New Roman"/>
          <w:b/>
          <w:bCs/>
          <w:sz w:val="24"/>
          <w:szCs w:val="24"/>
        </w:rPr>
        <w:t>OMB Control Number: 1505-0231</w:t>
      </w:r>
    </w:p>
    <w:p w:rsidRPr="007C4D52" w:rsidR="00AD0461" w:rsidP="00AD0461" w:rsidRDefault="00AD0461" w14:paraId="52FE4E60" w14:textId="2F9918DF">
      <w:pPr>
        <w:jc w:val="right"/>
        <w:rPr>
          <w:rFonts w:ascii="Times New Roman" w:hAnsi="Times New Roman" w:cs="Times New Roman" w:eastAsiaTheme="majorEastAsia"/>
          <w:b/>
          <w:bCs/>
          <w:color w:val="2F5496" w:themeColor="accent1" w:themeShade="BF"/>
          <w:sz w:val="24"/>
          <w:szCs w:val="24"/>
        </w:rPr>
      </w:pPr>
      <w:r w:rsidRPr="007C4D52">
        <w:rPr>
          <w:rFonts w:ascii="Times New Roman" w:hAnsi="Times New Roman" w:cs="Times New Roman" w:eastAsiaTheme="majorEastAsia"/>
          <w:b/>
          <w:bCs/>
          <w:color w:val="2F5496" w:themeColor="accent1" w:themeShade="BF"/>
          <w:sz w:val="24"/>
          <w:szCs w:val="24"/>
        </w:rPr>
        <w:t>OMB Expiration Date: 02/29/2024</w:t>
      </w:r>
    </w:p>
    <w:p w:rsidRPr="007C4D52" w:rsidR="00FF612B" w:rsidP="002226FB" w:rsidRDefault="002226FB" w14:paraId="0E22774E" w14:textId="39372E1A">
      <w:pPr>
        <w:pStyle w:val="Heading1"/>
        <w:rPr>
          <w:rFonts w:ascii="Times New Roman" w:hAnsi="Times New Roman" w:cs="Times New Roman"/>
          <w:b/>
          <w:bCs/>
          <w:sz w:val="24"/>
          <w:szCs w:val="24"/>
        </w:rPr>
      </w:pPr>
      <w:r w:rsidRPr="007C4D52">
        <w:rPr>
          <w:rFonts w:ascii="Times New Roman" w:hAnsi="Times New Roman" w:cs="Times New Roman"/>
          <w:b/>
          <w:bCs/>
          <w:sz w:val="24"/>
          <w:szCs w:val="24"/>
        </w:rPr>
        <w:t>Data Collection Effort for EO 13985</w:t>
      </w:r>
      <w:r w:rsidR="00E5597C">
        <w:rPr>
          <w:rFonts w:ascii="Times New Roman" w:hAnsi="Times New Roman" w:cs="Times New Roman"/>
          <w:b/>
          <w:bCs/>
          <w:sz w:val="24"/>
          <w:szCs w:val="24"/>
        </w:rPr>
        <w:t xml:space="preserve"> – Increasing Equity in Procurement Spending Barrier Assessment</w:t>
      </w:r>
    </w:p>
    <w:p w:rsidRPr="007C4D52" w:rsidR="00660C9F" w:rsidP="00660C9F" w:rsidRDefault="00660C9F" w14:paraId="1B33CC00" w14:textId="77777777"/>
    <w:p w:rsidRPr="007C4D52" w:rsidR="00660C9F" w:rsidP="00660C9F" w:rsidRDefault="00660C9F" w14:paraId="779DA823" w14:textId="7FAF86F9">
      <w:pPr>
        <w:rPr>
          <w:rFonts w:ascii="Times New Roman" w:hAnsi="Times New Roman" w:cs="Times New Roman"/>
          <w:sz w:val="20"/>
          <w:szCs w:val="20"/>
          <w:u w:val="single"/>
        </w:rPr>
      </w:pPr>
      <w:r w:rsidRPr="007C4D52">
        <w:rPr>
          <w:rFonts w:ascii="Times New Roman" w:hAnsi="Times New Roman" w:cs="Times New Roman"/>
          <w:sz w:val="20"/>
          <w:szCs w:val="20"/>
          <w:u w:val="single"/>
        </w:rPr>
        <w:t xml:space="preserve">Paperwork Reduction Act Statement: </w:t>
      </w:r>
    </w:p>
    <w:p w:rsidRPr="007C4D52" w:rsidR="00660C9F" w:rsidP="00660C9F" w:rsidRDefault="00660C9F" w14:paraId="4A4D1FDD" w14:textId="01C26026">
      <w:pPr>
        <w:spacing w:before="90"/>
        <w:rPr>
          <w:rFonts w:ascii="Times New Roman" w:hAnsi="Times New Roman" w:cs="Times New Roman"/>
          <w:sz w:val="20"/>
          <w:szCs w:val="20"/>
        </w:rPr>
      </w:pPr>
      <w:r w:rsidRPr="007C4D52">
        <w:rPr>
          <w:rFonts w:ascii="Times New Roman" w:hAnsi="Times New Roman" w:cs="Times New Roman"/>
          <w:sz w:val="20"/>
          <w:szCs w:val="20"/>
        </w:rPr>
        <w:t>The estimated burden associated with this collection of information is 10 minutes per response. Comments concerning the accuracy of this burden estimate and suggestions for reducing this burden should be directed to the Office of Privacy, Transparency and Records, Department of Treasury, 1500 Pennsylvania Ave. N.W., Washington, D.C. 20220.  DO NOT send the form to this address. An agency may not conduct or sponsor, and a person is not required to respond to, a collection of information unless it displays a valid control number assigned by OMB.</w:t>
      </w:r>
    </w:p>
    <w:p w:rsidR="001E23F6" w:rsidP="001E23F6" w:rsidRDefault="001E23F6" w14:paraId="177F0357" w14:textId="77777777"/>
    <w:p w:rsidRPr="00FF612B" w:rsidR="001E23F6" w:rsidP="001E23F6" w:rsidRDefault="001E23F6" w14:paraId="481258F6" w14:textId="69CDCEAF">
      <w:r w:rsidRPr="00FF612B">
        <w:t>In the Department of Treasury’s (Treasury) efforts to comply with the Executive Order 13995 of January 20, 2021 “Advancing Racial Equity and Support for Underserved Communities Through the Federal Government,” we are seeking your help to gather input on the barriers that prevent small businesses in underserved communities from assessing or using Treasury’s benefits or services. We would like your thoughts in five areas:</w:t>
      </w:r>
    </w:p>
    <w:p w:rsidRPr="00FF612B" w:rsidR="001E23F6" w:rsidP="001E23F6" w:rsidRDefault="001E23F6" w14:paraId="02EBB67A" w14:textId="77777777">
      <w:pPr>
        <w:numPr>
          <w:ilvl w:val="0"/>
          <w:numId w:val="1"/>
        </w:numPr>
      </w:pPr>
      <w:r w:rsidRPr="00FF612B">
        <w:t>Access to Information (e.g., via the Website or other platforms, including in-person or telephone)</w:t>
      </w:r>
    </w:p>
    <w:p w:rsidRPr="00FF612B" w:rsidR="001E23F6" w:rsidP="001E23F6" w:rsidRDefault="001E23F6" w14:paraId="27C42962" w14:textId="77777777">
      <w:pPr>
        <w:numPr>
          <w:ilvl w:val="0"/>
          <w:numId w:val="1"/>
        </w:numPr>
      </w:pPr>
      <w:r w:rsidRPr="00FF612B">
        <w:t>Access to Expertise (e.g., such as people with the right information or knowledge to access, enroll or participate in Treasury programs)</w:t>
      </w:r>
    </w:p>
    <w:p w:rsidRPr="00FF612B" w:rsidR="001E23F6" w:rsidP="001E23F6" w:rsidRDefault="001E23F6" w14:paraId="2B745DE3" w14:textId="77777777">
      <w:pPr>
        <w:numPr>
          <w:ilvl w:val="0"/>
          <w:numId w:val="1"/>
        </w:numPr>
      </w:pPr>
      <w:r w:rsidRPr="00FF612B">
        <w:t>Access to Capital (e.g., for small businesses to launch or grow their businesses)</w:t>
      </w:r>
    </w:p>
    <w:p w:rsidRPr="00FF612B" w:rsidR="001E23F6" w:rsidP="001E23F6" w:rsidRDefault="001E23F6" w14:paraId="2A428A4F" w14:textId="77777777">
      <w:pPr>
        <w:numPr>
          <w:ilvl w:val="0"/>
          <w:numId w:val="1"/>
        </w:numPr>
      </w:pPr>
      <w:r w:rsidRPr="00FF612B">
        <w:t>Roadblocks to Policy (e.g., eligibility may be restricted due to certain constraints or limitations)</w:t>
      </w:r>
    </w:p>
    <w:p w:rsidRPr="001E23F6" w:rsidR="007C4D52" w:rsidP="00FF612B" w:rsidRDefault="001E23F6" w14:paraId="4479BB79" w14:textId="2E47F93E">
      <w:pPr>
        <w:numPr>
          <w:ilvl w:val="0"/>
          <w:numId w:val="1"/>
        </w:numPr>
      </w:pPr>
      <w:r w:rsidRPr="00FF612B">
        <w:t>Lack of Responsiveness (e.g., for additional information, requests or clarifications, follow-up or feedback)</w:t>
      </w:r>
    </w:p>
    <w:p w:rsidRPr="007C4D52" w:rsidR="00FF612B" w:rsidP="00FF612B" w:rsidRDefault="00FF612B" w14:paraId="36A4CD8E" w14:textId="42515013">
      <w:pPr>
        <w:rPr>
          <w:rFonts w:ascii="Times New Roman" w:hAnsi="Times New Roman" w:cs="Times New Roman"/>
          <w:sz w:val="24"/>
          <w:szCs w:val="24"/>
        </w:rPr>
      </w:pPr>
      <w:r w:rsidRPr="007C4D52">
        <w:rPr>
          <w:rFonts w:ascii="Times New Roman" w:hAnsi="Times New Roman" w:cs="Times New Roman"/>
          <w:sz w:val="24"/>
          <w:szCs w:val="24"/>
        </w:rPr>
        <w:t xml:space="preserve">Your input will help our programs work more effectively for those they’re intended to serve. Please respond by </w:t>
      </w:r>
      <w:r w:rsidRPr="007C4D52" w:rsidR="002226FB">
        <w:rPr>
          <w:rFonts w:ascii="Times New Roman" w:hAnsi="Times New Roman" w:cs="Times New Roman"/>
          <w:sz w:val="24"/>
          <w:szCs w:val="24"/>
        </w:rPr>
        <w:t xml:space="preserve">date </w:t>
      </w:r>
      <w:r w:rsidRPr="007C4D52">
        <w:rPr>
          <w:rFonts w:ascii="Times New Roman" w:hAnsi="Times New Roman" w:cs="Times New Roman"/>
          <w:sz w:val="24"/>
          <w:szCs w:val="24"/>
        </w:rPr>
        <w:t xml:space="preserve">X. </w:t>
      </w:r>
    </w:p>
    <w:p w:rsidRPr="007C4D52" w:rsidR="00FF612B" w:rsidRDefault="00FF612B" w14:paraId="59C7DF0D" w14:textId="525D3B2B">
      <w:pPr>
        <w:rPr>
          <w:rFonts w:ascii="Times New Roman" w:hAnsi="Times New Roman" w:cs="Times New Roman"/>
          <w:sz w:val="24"/>
          <w:szCs w:val="24"/>
        </w:rPr>
      </w:pPr>
      <w:r w:rsidRPr="007C4D52">
        <w:rPr>
          <w:rFonts w:ascii="Times New Roman" w:hAnsi="Times New Roman" w:cs="Times New Roman"/>
          <w:sz w:val="24"/>
          <w:szCs w:val="24"/>
        </w:rPr>
        <w:t xml:space="preserve">The following questions provide a scale of 1 to 5 for your responses, with 5 being “strongly agree” and 1 representing “strongly disagree.” We encourage you to complete the comment section to provide further explanation or context to your responses, or if we didn’t ask something you think we should have. </w:t>
      </w:r>
    </w:p>
    <w:tbl>
      <w:tblPr>
        <w:tblW w:w="0" w:type="auto"/>
        <w:tblCellMar>
          <w:left w:w="0" w:type="dxa"/>
          <w:right w:w="0" w:type="dxa"/>
        </w:tblCellMar>
        <w:tblLook w:val="0420" w:firstRow="1" w:lastRow="0" w:firstColumn="0" w:lastColumn="0" w:noHBand="0" w:noVBand="1"/>
      </w:tblPr>
      <w:tblGrid>
        <w:gridCol w:w="2281"/>
        <w:gridCol w:w="4805"/>
        <w:gridCol w:w="1357"/>
        <w:gridCol w:w="1181"/>
        <w:gridCol w:w="1120"/>
        <w:gridCol w:w="901"/>
        <w:gridCol w:w="1295"/>
      </w:tblGrid>
      <w:tr w:rsidRPr="007C4D52" w:rsidR="0097558A" w:rsidTr="00FF612B" w14:paraId="664FE3D4" w14:textId="77777777">
        <w:trPr>
          <w:trHeight w:val="641"/>
        </w:trPr>
        <w:tc>
          <w:tcPr>
            <w:tcW w:w="0" w:type="auto"/>
            <w:tcBorders>
              <w:top w:val="single" w:color="FFFFFF" w:sz="8" w:space="0"/>
              <w:left w:val="single" w:color="FFFFFF" w:sz="8" w:space="0"/>
              <w:bottom w:val="single" w:color="FFFFFF" w:sz="24" w:space="0"/>
              <w:right w:val="single" w:color="FFFFFF" w:sz="8" w:space="0"/>
            </w:tcBorders>
            <w:shd w:val="clear" w:color="auto" w:fill="4472C4"/>
            <w:tcMar>
              <w:top w:w="72" w:type="dxa"/>
              <w:left w:w="144" w:type="dxa"/>
              <w:bottom w:w="72" w:type="dxa"/>
              <w:right w:w="144" w:type="dxa"/>
            </w:tcMar>
            <w:hideMark/>
          </w:tcPr>
          <w:p w:rsidRPr="007C4D52" w:rsidR="00FF612B" w:rsidP="00FF612B" w:rsidRDefault="00FF612B" w14:paraId="0526262D" w14:textId="77777777">
            <w:pPr>
              <w:rPr>
                <w:rFonts w:ascii="Times New Roman" w:hAnsi="Times New Roman" w:cs="Times New Roman"/>
                <w:sz w:val="24"/>
                <w:szCs w:val="24"/>
              </w:rPr>
            </w:pPr>
            <w:r w:rsidRPr="007C4D52">
              <w:rPr>
                <w:rFonts w:ascii="Times New Roman" w:hAnsi="Times New Roman" w:cs="Times New Roman"/>
                <w:b/>
                <w:bCs/>
                <w:sz w:val="24"/>
                <w:szCs w:val="24"/>
              </w:rPr>
              <w:t xml:space="preserve">Category </w:t>
            </w:r>
          </w:p>
        </w:tc>
        <w:tc>
          <w:tcPr>
            <w:tcW w:w="0" w:type="auto"/>
            <w:tcBorders>
              <w:top w:val="single" w:color="FFFFFF" w:sz="8" w:space="0"/>
              <w:left w:val="single" w:color="FFFFFF" w:sz="8" w:space="0"/>
              <w:bottom w:val="single" w:color="FFFFFF" w:sz="24" w:space="0"/>
              <w:right w:val="single" w:color="FFFFFF" w:sz="8" w:space="0"/>
            </w:tcBorders>
            <w:shd w:val="clear" w:color="auto" w:fill="4472C4"/>
            <w:tcMar>
              <w:top w:w="72" w:type="dxa"/>
              <w:left w:w="144" w:type="dxa"/>
              <w:bottom w:w="72" w:type="dxa"/>
              <w:right w:w="144" w:type="dxa"/>
            </w:tcMar>
            <w:hideMark/>
          </w:tcPr>
          <w:p w:rsidRPr="007C4D52" w:rsidR="00FF612B" w:rsidP="00FF612B" w:rsidRDefault="00FF612B" w14:paraId="2393459D" w14:textId="77777777">
            <w:pPr>
              <w:rPr>
                <w:rFonts w:ascii="Times New Roman" w:hAnsi="Times New Roman" w:cs="Times New Roman"/>
                <w:sz w:val="24"/>
                <w:szCs w:val="24"/>
              </w:rPr>
            </w:pPr>
            <w:r w:rsidRPr="007C4D52">
              <w:rPr>
                <w:rFonts w:ascii="Times New Roman" w:hAnsi="Times New Roman" w:cs="Times New Roman"/>
                <w:b/>
                <w:bCs/>
                <w:sz w:val="24"/>
                <w:szCs w:val="24"/>
              </w:rPr>
              <w:t>Questions</w:t>
            </w:r>
          </w:p>
        </w:tc>
        <w:tc>
          <w:tcPr>
            <w:tcW w:w="0" w:type="auto"/>
            <w:tcBorders>
              <w:top w:val="single" w:color="FFFFFF" w:sz="8" w:space="0"/>
              <w:left w:val="single" w:color="FFFFFF" w:sz="8" w:space="0"/>
              <w:bottom w:val="single" w:color="FFFFFF" w:sz="24" w:space="0"/>
              <w:right w:val="single" w:color="FFFFFF" w:sz="8" w:space="0"/>
            </w:tcBorders>
            <w:shd w:val="clear" w:color="auto" w:fill="4472C4"/>
            <w:tcMar>
              <w:top w:w="72" w:type="dxa"/>
              <w:left w:w="144" w:type="dxa"/>
              <w:bottom w:w="72" w:type="dxa"/>
              <w:right w:w="144" w:type="dxa"/>
            </w:tcMar>
            <w:hideMark/>
          </w:tcPr>
          <w:p w:rsidRPr="007C4D52" w:rsidR="00FF612B" w:rsidP="00FF612B" w:rsidRDefault="00FF612B" w14:paraId="63E26155" w14:textId="77777777">
            <w:pPr>
              <w:rPr>
                <w:rFonts w:ascii="Times New Roman" w:hAnsi="Times New Roman" w:cs="Times New Roman"/>
                <w:sz w:val="24"/>
                <w:szCs w:val="24"/>
              </w:rPr>
            </w:pPr>
            <w:r w:rsidRPr="007C4D52">
              <w:rPr>
                <w:rFonts w:ascii="Times New Roman" w:hAnsi="Times New Roman" w:cs="Times New Roman"/>
                <w:b/>
                <w:bCs/>
                <w:sz w:val="24"/>
                <w:szCs w:val="24"/>
              </w:rPr>
              <w:t>Strongly Disagree</w:t>
            </w:r>
          </w:p>
        </w:tc>
        <w:tc>
          <w:tcPr>
            <w:tcW w:w="0" w:type="auto"/>
            <w:tcBorders>
              <w:top w:val="single" w:color="FFFFFF" w:sz="8" w:space="0"/>
              <w:left w:val="single" w:color="FFFFFF" w:sz="8" w:space="0"/>
              <w:bottom w:val="single" w:color="FFFFFF" w:sz="24" w:space="0"/>
              <w:right w:val="single" w:color="FFFFFF" w:sz="8" w:space="0"/>
            </w:tcBorders>
            <w:shd w:val="clear" w:color="auto" w:fill="4472C4"/>
            <w:tcMar>
              <w:top w:w="72" w:type="dxa"/>
              <w:left w:w="144" w:type="dxa"/>
              <w:bottom w:w="72" w:type="dxa"/>
              <w:right w:w="144" w:type="dxa"/>
            </w:tcMar>
            <w:hideMark/>
          </w:tcPr>
          <w:p w:rsidRPr="007C4D52" w:rsidR="00FF612B" w:rsidP="00FF612B" w:rsidRDefault="00FF612B" w14:paraId="7EBCE493" w14:textId="77777777">
            <w:pPr>
              <w:rPr>
                <w:rFonts w:ascii="Times New Roman" w:hAnsi="Times New Roman" w:cs="Times New Roman"/>
                <w:sz w:val="24"/>
                <w:szCs w:val="24"/>
              </w:rPr>
            </w:pPr>
            <w:r w:rsidRPr="007C4D52">
              <w:rPr>
                <w:rFonts w:ascii="Times New Roman" w:hAnsi="Times New Roman" w:cs="Times New Roman"/>
                <w:b/>
                <w:bCs/>
                <w:sz w:val="24"/>
                <w:szCs w:val="24"/>
              </w:rPr>
              <w:t>Disagree</w:t>
            </w:r>
          </w:p>
        </w:tc>
        <w:tc>
          <w:tcPr>
            <w:tcW w:w="0" w:type="auto"/>
            <w:tcBorders>
              <w:top w:val="single" w:color="FFFFFF" w:sz="8" w:space="0"/>
              <w:left w:val="single" w:color="FFFFFF" w:sz="8" w:space="0"/>
              <w:bottom w:val="single" w:color="FFFFFF" w:sz="24" w:space="0"/>
              <w:right w:val="single" w:color="FFFFFF" w:sz="8" w:space="0"/>
            </w:tcBorders>
            <w:shd w:val="clear" w:color="auto" w:fill="4472C4"/>
            <w:tcMar>
              <w:top w:w="72" w:type="dxa"/>
              <w:left w:w="144" w:type="dxa"/>
              <w:bottom w:w="72" w:type="dxa"/>
              <w:right w:w="144" w:type="dxa"/>
            </w:tcMar>
            <w:hideMark/>
          </w:tcPr>
          <w:p w:rsidRPr="007C4D52" w:rsidR="00FF612B" w:rsidP="00FF612B" w:rsidRDefault="00FF612B" w14:paraId="2F99CE6B" w14:textId="77777777">
            <w:pPr>
              <w:rPr>
                <w:rFonts w:ascii="Times New Roman" w:hAnsi="Times New Roman" w:cs="Times New Roman"/>
                <w:sz w:val="24"/>
                <w:szCs w:val="24"/>
              </w:rPr>
            </w:pPr>
            <w:r w:rsidRPr="007C4D52">
              <w:rPr>
                <w:rFonts w:ascii="Times New Roman" w:hAnsi="Times New Roman" w:cs="Times New Roman"/>
                <w:b/>
                <w:bCs/>
                <w:sz w:val="24"/>
                <w:szCs w:val="24"/>
              </w:rPr>
              <w:t>In the middle</w:t>
            </w:r>
          </w:p>
        </w:tc>
        <w:tc>
          <w:tcPr>
            <w:tcW w:w="0" w:type="auto"/>
            <w:tcBorders>
              <w:top w:val="single" w:color="FFFFFF" w:sz="8" w:space="0"/>
              <w:left w:val="single" w:color="FFFFFF" w:sz="8" w:space="0"/>
              <w:bottom w:val="single" w:color="FFFFFF" w:sz="24" w:space="0"/>
              <w:right w:val="single" w:color="FFFFFF" w:sz="8" w:space="0"/>
            </w:tcBorders>
            <w:shd w:val="clear" w:color="auto" w:fill="4472C4"/>
            <w:tcMar>
              <w:top w:w="72" w:type="dxa"/>
              <w:left w:w="144" w:type="dxa"/>
              <w:bottom w:w="72" w:type="dxa"/>
              <w:right w:w="144" w:type="dxa"/>
            </w:tcMar>
            <w:hideMark/>
          </w:tcPr>
          <w:p w:rsidRPr="007C4D52" w:rsidR="00FF612B" w:rsidP="00FF612B" w:rsidRDefault="00FF612B" w14:paraId="3A90B1D1" w14:textId="77777777">
            <w:pPr>
              <w:rPr>
                <w:rFonts w:ascii="Times New Roman" w:hAnsi="Times New Roman" w:cs="Times New Roman"/>
                <w:sz w:val="24"/>
                <w:szCs w:val="24"/>
              </w:rPr>
            </w:pPr>
            <w:r w:rsidRPr="007C4D52">
              <w:rPr>
                <w:rFonts w:ascii="Times New Roman" w:hAnsi="Times New Roman" w:cs="Times New Roman"/>
                <w:b/>
                <w:bCs/>
                <w:sz w:val="24"/>
                <w:szCs w:val="24"/>
              </w:rPr>
              <w:t>Agree</w:t>
            </w:r>
          </w:p>
        </w:tc>
        <w:tc>
          <w:tcPr>
            <w:tcW w:w="0" w:type="auto"/>
            <w:tcBorders>
              <w:top w:val="single" w:color="FFFFFF" w:sz="8" w:space="0"/>
              <w:left w:val="single" w:color="FFFFFF" w:sz="8" w:space="0"/>
              <w:bottom w:val="single" w:color="FFFFFF" w:sz="24" w:space="0"/>
              <w:right w:val="single" w:color="FFFFFF" w:sz="8" w:space="0"/>
            </w:tcBorders>
            <w:shd w:val="clear" w:color="auto" w:fill="4472C4"/>
            <w:tcMar>
              <w:top w:w="72" w:type="dxa"/>
              <w:left w:w="144" w:type="dxa"/>
              <w:bottom w:w="72" w:type="dxa"/>
              <w:right w:w="144" w:type="dxa"/>
            </w:tcMar>
            <w:hideMark/>
          </w:tcPr>
          <w:p w:rsidRPr="007C4D52" w:rsidR="00FF612B" w:rsidP="00FF612B" w:rsidRDefault="00FF612B" w14:paraId="5C027BB0" w14:textId="77777777">
            <w:pPr>
              <w:rPr>
                <w:rFonts w:ascii="Times New Roman" w:hAnsi="Times New Roman" w:cs="Times New Roman"/>
                <w:sz w:val="24"/>
                <w:szCs w:val="24"/>
              </w:rPr>
            </w:pPr>
            <w:r w:rsidRPr="007C4D52">
              <w:rPr>
                <w:rFonts w:ascii="Times New Roman" w:hAnsi="Times New Roman" w:cs="Times New Roman"/>
                <w:b/>
                <w:bCs/>
                <w:sz w:val="24"/>
                <w:szCs w:val="24"/>
              </w:rPr>
              <w:t>Strongly Agree</w:t>
            </w:r>
          </w:p>
        </w:tc>
      </w:tr>
      <w:tr w:rsidRPr="007C4D52" w:rsidR="0097558A" w:rsidTr="00FF612B" w14:paraId="70EFD2EB" w14:textId="77777777">
        <w:trPr>
          <w:trHeight w:val="393"/>
        </w:trPr>
        <w:tc>
          <w:tcPr>
            <w:tcW w:w="0" w:type="auto"/>
            <w:vMerge w:val="restart"/>
            <w:tcBorders>
              <w:top w:val="single" w:color="FFFFFF" w:sz="24"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1E43481" w14:textId="77777777">
            <w:pPr>
              <w:rPr>
                <w:rFonts w:ascii="Times New Roman" w:hAnsi="Times New Roman" w:cs="Times New Roman"/>
                <w:sz w:val="24"/>
                <w:szCs w:val="24"/>
              </w:rPr>
            </w:pPr>
            <w:r w:rsidRPr="007C4D52">
              <w:rPr>
                <w:rFonts w:ascii="Times New Roman" w:hAnsi="Times New Roman" w:cs="Times New Roman"/>
                <w:b/>
                <w:bCs/>
                <w:sz w:val="24"/>
                <w:szCs w:val="24"/>
              </w:rPr>
              <w:t>Access to Information</w:t>
            </w:r>
          </w:p>
        </w:tc>
        <w:tc>
          <w:tcPr>
            <w:tcW w:w="0" w:type="auto"/>
            <w:tcBorders>
              <w:top w:val="single" w:color="FFFFFF" w:sz="24"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ABEEF56" w14:textId="277CB4F3">
            <w:pPr>
              <w:rPr>
                <w:rFonts w:ascii="Times New Roman" w:hAnsi="Times New Roman" w:cs="Times New Roman"/>
                <w:sz w:val="24"/>
                <w:szCs w:val="24"/>
              </w:rPr>
            </w:pPr>
            <w:r w:rsidRPr="007C4D52">
              <w:rPr>
                <w:rFonts w:ascii="Times New Roman" w:hAnsi="Times New Roman" w:cs="Times New Roman"/>
                <w:sz w:val="24"/>
                <w:szCs w:val="24"/>
              </w:rPr>
              <w:t>The Department of Treasury’s website provides adequate information for small businesses</w:t>
            </w:r>
            <w:r w:rsidRPr="007C4D52" w:rsidR="001769FC">
              <w:rPr>
                <w:rFonts w:ascii="Times New Roman" w:hAnsi="Times New Roman" w:cs="Times New Roman"/>
                <w:sz w:val="24"/>
                <w:szCs w:val="24"/>
              </w:rPr>
              <w:t>,</w:t>
            </w:r>
            <w:r w:rsidRPr="007C4D52">
              <w:rPr>
                <w:rFonts w:ascii="Times New Roman" w:hAnsi="Times New Roman" w:cs="Times New Roman"/>
                <w:sz w:val="24"/>
                <w:szCs w:val="24"/>
              </w:rPr>
              <w:t xml:space="preserve"> </w:t>
            </w:r>
            <w:r w:rsidRPr="007C4D52" w:rsidR="001769FC">
              <w:rPr>
                <w:rFonts w:ascii="Times New Roman" w:hAnsi="Times New Roman" w:cs="Times New Roman"/>
                <w:sz w:val="24"/>
                <w:szCs w:val="24"/>
              </w:rPr>
              <w:t xml:space="preserve">HBCUS and MSIs </w:t>
            </w:r>
            <w:r w:rsidRPr="007C4D52">
              <w:rPr>
                <w:rFonts w:ascii="Times New Roman" w:hAnsi="Times New Roman" w:cs="Times New Roman"/>
                <w:sz w:val="24"/>
                <w:szCs w:val="24"/>
              </w:rPr>
              <w:t xml:space="preserve">access </w:t>
            </w:r>
            <w:r w:rsidRPr="007C4D52" w:rsidR="001769FC">
              <w:rPr>
                <w:rFonts w:ascii="Times New Roman" w:hAnsi="Times New Roman" w:cs="Times New Roman"/>
                <w:sz w:val="24"/>
                <w:szCs w:val="24"/>
              </w:rPr>
              <w:t xml:space="preserve">to </w:t>
            </w:r>
            <w:r w:rsidRPr="007C4D52">
              <w:rPr>
                <w:rFonts w:ascii="Times New Roman" w:hAnsi="Times New Roman" w:cs="Times New Roman"/>
                <w:sz w:val="24"/>
                <w:szCs w:val="24"/>
              </w:rPr>
              <w:t>programs</w:t>
            </w:r>
          </w:p>
        </w:tc>
        <w:tc>
          <w:tcPr>
            <w:tcW w:w="0" w:type="auto"/>
            <w:tcBorders>
              <w:top w:val="single" w:color="FFFFFF" w:sz="24"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9F0921B"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24"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D21E3CF"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24"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582D5969"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24"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5ECBE97C"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24"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FC919CE"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6B3D3C46" w14:textId="77777777">
        <w:trPr>
          <w:trHeight w:val="392"/>
        </w:trPr>
        <w:tc>
          <w:tcPr>
            <w:tcW w:w="0" w:type="auto"/>
            <w:vMerge/>
            <w:tcBorders>
              <w:top w:val="single" w:color="FFFFFF" w:sz="24" w:space="0"/>
              <w:left w:val="single" w:color="FFFFFF" w:sz="8" w:space="0"/>
              <w:bottom w:val="single" w:color="FFFFFF" w:sz="8" w:space="0"/>
              <w:right w:val="single" w:color="FFFFFF" w:sz="8" w:space="0"/>
            </w:tcBorders>
            <w:vAlign w:val="center"/>
            <w:hideMark/>
          </w:tcPr>
          <w:p w:rsidRPr="007C4D52" w:rsidR="00FF612B" w:rsidP="00FF612B" w:rsidRDefault="00FF612B" w14:paraId="3B7B6E78"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949B70E" w14:textId="0697FBB6">
            <w:pPr>
              <w:rPr>
                <w:rFonts w:ascii="Times New Roman" w:hAnsi="Times New Roman" w:cs="Times New Roman"/>
                <w:sz w:val="24"/>
                <w:szCs w:val="24"/>
              </w:rPr>
            </w:pPr>
            <w:r w:rsidRPr="007C4D52">
              <w:rPr>
                <w:rFonts w:ascii="Times New Roman" w:hAnsi="Times New Roman" w:cs="Times New Roman"/>
                <w:sz w:val="24"/>
                <w:szCs w:val="24"/>
              </w:rPr>
              <w:t>The Department of Treasury’s website is easy to navigate to find what small businesses</w:t>
            </w:r>
            <w:r w:rsidRPr="007C4D52" w:rsidR="001769FC">
              <w:rPr>
                <w:rFonts w:ascii="Times New Roman" w:hAnsi="Times New Roman" w:cs="Times New Roman"/>
                <w:sz w:val="24"/>
                <w:szCs w:val="24"/>
              </w:rPr>
              <w:t>, HBCUs, and MSIs</w:t>
            </w:r>
            <w:r w:rsidRPr="007C4D52">
              <w:rPr>
                <w:rFonts w:ascii="Times New Roman" w:hAnsi="Times New Roman" w:cs="Times New Roman"/>
                <w:sz w:val="24"/>
                <w:szCs w:val="24"/>
              </w:rPr>
              <w:t xml:space="preserve"> need to know to access programs</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C00562C"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3F6B7C4"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AF4B5B2"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8EB18D2"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E24221C"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6C4CF12A" w14:textId="77777777">
        <w:trPr>
          <w:trHeight w:val="641"/>
        </w:trPr>
        <w:tc>
          <w:tcPr>
            <w:tcW w:w="0" w:type="auto"/>
            <w:vMerge/>
            <w:tcBorders>
              <w:top w:val="single" w:color="FFFFFF" w:sz="24" w:space="0"/>
              <w:left w:val="single" w:color="FFFFFF" w:sz="8" w:space="0"/>
              <w:bottom w:val="single" w:color="FFFFFF" w:sz="8" w:space="0"/>
              <w:right w:val="single" w:color="FFFFFF" w:sz="8" w:space="0"/>
            </w:tcBorders>
            <w:vAlign w:val="center"/>
            <w:hideMark/>
          </w:tcPr>
          <w:p w:rsidRPr="007C4D52" w:rsidR="00FF612B" w:rsidP="00FF612B" w:rsidRDefault="00FF612B" w14:paraId="273E3ACC"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9627735" w14:textId="5AE79F76">
            <w:pPr>
              <w:rPr>
                <w:rFonts w:ascii="Times New Roman" w:hAnsi="Times New Roman" w:cs="Times New Roman"/>
                <w:sz w:val="24"/>
                <w:szCs w:val="24"/>
              </w:rPr>
            </w:pPr>
            <w:r w:rsidRPr="007C4D52">
              <w:rPr>
                <w:rFonts w:ascii="Times New Roman" w:hAnsi="Times New Roman" w:cs="Times New Roman"/>
                <w:sz w:val="24"/>
                <w:szCs w:val="24"/>
              </w:rPr>
              <w:t>The Department of Treasury’s website provides small businesses</w:t>
            </w:r>
            <w:r w:rsidRPr="007C4D52" w:rsidR="0097558A">
              <w:rPr>
                <w:rFonts w:ascii="Times New Roman" w:hAnsi="Times New Roman" w:cs="Times New Roman"/>
                <w:sz w:val="24"/>
                <w:szCs w:val="24"/>
              </w:rPr>
              <w:t>, HBCUs and MSIs</w:t>
            </w:r>
            <w:r w:rsidRPr="007C4D52">
              <w:rPr>
                <w:rFonts w:ascii="Times New Roman" w:hAnsi="Times New Roman" w:cs="Times New Roman"/>
                <w:sz w:val="24"/>
                <w:szCs w:val="24"/>
              </w:rPr>
              <w:t xml:space="preserve"> with the right information at the right time to access programs</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183F096"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6DB19D81"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51F4572C"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5C10FD3"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A88C726"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70730B92" w14:textId="77777777">
        <w:trPr>
          <w:trHeight w:val="387"/>
        </w:trPr>
        <w:tc>
          <w:tcPr>
            <w:tcW w:w="0" w:type="auto"/>
            <w:vMerge/>
            <w:tcBorders>
              <w:top w:val="single" w:color="FFFFFF" w:sz="24" w:space="0"/>
              <w:left w:val="single" w:color="FFFFFF" w:sz="8" w:space="0"/>
              <w:bottom w:val="single" w:color="FFFFFF" w:sz="8" w:space="0"/>
              <w:right w:val="single" w:color="FFFFFF" w:sz="8" w:space="0"/>
            </w:tcBorders>
            <w:vAlign w:val="center"/>
            <w:hideMark/>
          </w:tcPr>
          <w:p w:rsidRPr="007C4D52" w:rsidR="00FF612B" w:rsidP="00FF612B" w:rsidRDefault="00FF612B" w14:paraId="5ECCDBE8"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41D32AA" w14:textId="77777777">
            <w:pPr>
              <w:rPr>
                <w:rFonts w:ascii="Times New Roman" w:hAnsi="Times New Roman" w:cs="Times New Roman"/>
                <w:sz w:val="24"/>
                <w:szCs w:val="24"/>
              </w:rPr>
            </w:pPr>
            <w:r w:rsidRPr="007C4D52">
              <w:rPr>
                <w:rFonts w:ascii="Times New Roman" w:hAnsi="Times New Roman" w:cs="Times New Roman"/>
                <w:sz w:val="24"/>
                <w:szCs w:val="24"/>
              </w:rPr>
              <w:t>Additional Comments for Clarification:</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F2D865E"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30887920"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E9B8435"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F2BDF50"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4122D5DB"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516880F3" w14:textId="77777777">
        <w:trPr>
          <w:trHeight w:val="641"/>
        </w:trPr>
        <w:tc>
          <w:tcPr>
            <w:tcW w:w="0" w:type="auto"/>
            <w:vMerge w:val="restart"/>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088FD827" w14:textId="77777777">
            <w:pPr>
              <w:rPr>
                <w:rFonts w:ascii="Times New Roman" w:hAnsi="Times New Roman" w:cs="Times New Roman"/>
                <w:sz w:val="24"/>
                <w:szCs w:val="24"/>
              </w:rPr>
            </w:pPr>
            <w:r w:rsidRPr="007C4D52">
              <w:rPr>
                <w:rFonts w:ascii="Times New Roman" w:hAnsi="Times New Roman" w:cs="Times New Roman"/>
                <w:b/>
                <w:bCs/>
                <w:sz w:val="24"/>
                <w:szCs w:val="24"/>
              </w:rPr>
              <w:t>Access to Expertise</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97558A" w14:paraId="11640A3E" w14:textId="2B66F2DB">
            <w:pPr>
              <w:rPr>
                <w:rFonts w:ascii="Times New Roman" w:hAnsi="Times New Roman" w:cs="Times New Roman"/>
                <w:sz w:val="24"/>
                <w:szCs w:val="24"/>
              </w:rPr>
            </w:pPr>
            <w:r w:rsidRPr="007C4D52">
              <w:rPr>
                <w:rFonts w:ascii="Times New Roman" w:hAnsi="Times New Roman" w:cs="Times New Roman"/>
                <w:sz w:val="24"/>
                <w:szCs w:val="24"/>
              </w:rPr>
              <w:t xml:space="preserve">My small business, HBCU or MSI </w:t>
            </w:r>
            <w:r w:rsidRPr="007C4D52" w:rsidR="00FF612B">
              <w:rPr>
                <w:rFonts w:ascii="Times New Roman" w:hAnsi="Times New Roman" w:cs="Times New Roman"/>
                <w:sz w:val="24"/>
                <w:szCs w:val="24"/>
              </w:rPr>
              <w:t xml:space="preserve"> </w:t>
            </w:r>
            <w:r w:rsidRPr="007C4D52">
              <w:rPr>
                <w:rFonts w:ascii="Times New Roman" w:hAnsi="Times New Roman" w:cs="Times New Roman"/>
                <w:sz w:val="24"/>
                <w:szCs w:val="24"/>
              </w:rPr>
              <w:t xml:space="preserve">is </w:t>
            </w:r>
            <w:r w:rsidRPr="007C4D52" w:rsidR="00FF612B">
              <w:rPr>
                <w:rFonts w:ascii="Times New Roman" w:hAnsi="Times New Roman" w:cs="Times New Roman"/>
                <w:sz w:val="24"/>
                <w:szCs w:val="24"/>
              </w:rPr>
              <w:t xml:space="preserve">aware of the options available to access expertise that can assist with competing for </w:t>
            </w:r>
            <w:r w:rsidRPr="007C4D52">
              <w:rPr>
                <w:rFonts w:ascii="Times New Roman" w:hAnsi="Times New Roman" w:cs="Times New Roman"/>
                <w:sz w:val="24"/>
                <w:szCs w:val="24"/>
              </w:rPr>
              <w:t xml:space="preserve">the U.S. </w:t>
            </w:r>
            <w:r w:rsidRPr="007C4D52" w:rsidR="00FF612B">
              <w:rPr>
                <w:rFonts w:ascii="Times New Roman" w:hAnsi="Times New Roman" w:cs="Times New Roman"/>
                <w:sz w:val="24"/>
                <w:szCs w:val="24"/>
              </w:rPr>
              <w:t>Department of Treasury</w:t>
            </w:r>
            <w:r w:rsidRPr="007C4D52">
              <w:rPr>
                <w:rFonts w:ascii="Times New Roman" w:hAnsi="Times New Roman" w:cs="Times New Roman"/>
                <w:sz w:val="24"/>
                <w:szCs w:val="24"/>
              </w:rPr>
              <w:t xml:space="preserve"> contracts and grants opportunities</w:t>
            </w:r>
            <w:r w:rsidRPr="007C4D52" w:rsidR="00FF612B">
              <w:rPr>
                <w:rFonts w:ascii="Times New Roman" w:hAnsi="Times New Roman" w:cs="Times New Roman"/>
                <w:sz w:val="24"/>
                <w:szCs w:val="24"/>
              </w:rPr>
              <w:t xml:space="preserve">  </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5E9973C"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D5BA0CE"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F34C7AB"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6DCB3E1"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BED8087"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5F216B94" w14:textId="77777777">
        <w:trPr>
          <w:trHeight w:val="392"/>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3127D62D"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0504567" w14:textId="68A5130D">
            <w:pPr>
              <w:rPr>
                <w:rFonts w:ascii="Times New Roman" w:hAnsi="Times New Roman" w:cs="Times New Roman"/>
                <w:sz w:val="24"/>
                <w:szCs w:val="24"/>
              </w:rPr>
            </w:pPr>
            <w:r w:rsidRPr="007C4D52">
              <w:rPr>
                <w:rFonts w:ascii="Times New Roman" w:hAnsi="Times New Roman" w:cs="Times New Roman"/>
                <w:sz w:val="24"/>
                <w:szCs w:val="24"/>
              </w:rPr>
              <w:t xml:space="preserve">There are resources in my community that can help me </w:t>
            </w:r>
            <w:r w:rsidRPr="007C4D52" w:rsidR="0097558A">
              <w:rPr>
                <w:rFonts w:ascii="Times New Roman" w:hAnsi="Times New Roman" w:cs="Times New Roman"/>
                <w:sz w:val="24"/>
                <w:szCs w:val="24"/>
              </w:rPr>
              <w:t>get procurement ready to pursue Treasury contract and grant opportunities</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2835E15"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4BD010F"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1DE3D1E"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5DBA03A"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59E90AE"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3353920E" w14:textId="77777777">
        <w:trPr>
          <w:trHeight w:val="387"/>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2028FD16"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5F81F32E" w14:textId="77777777">
            <w:pPr>
              <w:rPr>
                <w:rFonts w:ascii="Times New Roman" w:hAnsi="Times New Roman" w:cs="Times New Roman"/>
                <w:sz w:val="24"/>
                <w:szCs w:val="24"/>
              </w:rPr>
            </w:pPr>
            <w:r w:rsidRPr="007C4D52">
              <w:rPr>
                <w:rFonts w:ascii="Times New Roman" w:hAnsi="Times New Roman" w:cs="Times New Roman"/>
                <w:sz w:val="24"/>
                <w:szCs w:val="24"/>
              </w:rPr>
              <w:t>Additional Comments for Clarification:</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75B22C6"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E51D176"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3DD52F1"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CC3AE6F"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A07ABB9"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0B209260" w14:textId="77777777">
        <w:trPr>
          <w:trHeight w:val="392"/>
        </w:trPr>
        <w:tc>
          <w:tcPr>
            <w:tcW w:w="0" w:type="auto"/>
            <w:vMerge w:val="restart"/>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816DF41" w14:textId="77777777">
            <w:pPr>
              <w:rPr>
                <w:rFonts w:ascii="Times New Roman" w:hAnsi="Times New Roman" w:cs="Times New Roman"/>
                <w:sz w:val="24"/>
                <w:szCs w:val="24"/>
              </w:rPr>
            </w:pPr>
            <w:r w:rsidRPr="007C4D52">
              <w:rPr>
                <w:rFonts w:ascii="Times New Roman" w:hAnsi="Times New Roman" w:cs="Times New Roman"/>
                <w:b/>
                <w:bCs/>
                <w:sz w:val="24"/>
                <w:szCs w:val="24"/>
              </w:rPr>
              <w:t>Access to Capital</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07F94FC" w14:textId="49C263E9">
            <w:pPr>
              <w:rPr>
                <w:rFonts w:ascii="Times New Roman" w:hAnsi="Times New Roman" w:cs="Times New Roman"/>
                <w:sz w:val="24"/>
                <w:szCs w:val="24"/>
              </w:rPr>
            </w:pPr>
            <w:r w:rsidRPr="007C4D52">
              <w:rPr>
                <w:rFonts w:ascii="Times New Roman" w:hAnsi="Times New Roman" w:cs="Times New Roman"/>
                <w:sz w:val="24"/>
                <w:szCs w:val="24"/>
              </w:rPr>
              <w:t xml:space="preserve">Small businesses </w:t>
            </w:r>
            <w:r w:rsidRPr="007C4D52" w:rsidR="0097558A">
              <w:rPr>
                <w:rFonts w:ascii="Times New Roman" w:hAnsi="Times New Roman" w:cs="Times New Roman"/>
                <w:sz w:val="24"/>
                <w:szCs w:val="24"/>
              </w:rPr>
              <w:t xml:space="preserve">located </w:t>
            </w:r>
            <w:r w:rsidRPr="007C4D52">
              <w:rPr>
                <w:rFonts w:ascii="Times New Roman" w:hAnsi="Times New Roman" w:cs="Times New Roman"/>
                <w:sz w:val="24"/>
                <w:szCs w:val="24"/>
              </w:rPr>
              <w:t>in underserved communities are aware of the options to access capital</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9834F42"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D8443F0"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62F0111"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448A976"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29A0E3A"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6F55AD16" w14:textId="77777777">
        <w:trPr>
          <w:trHeight w:val="392"/>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7B9C3567"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2B9AA07" w14:textId="77777777">
            <w:pPr>
              <w:rPr>
                <w:rFonts w:ascii="Times New Roman" w:hAnsi="Times New Roman" w:cs="Times New Roman"/>
                <w:sz w:val="24"/>
                <w:szCs w:val="24"/>
              </w:rPr>
            </w:pPr>
            <w:r w:rsidRPr="007C4D52">
              <w:rPr>
                <w:rFonts w:ascii="Times New Roman" w:hAnsi="Times New Roman" w:cs="Times New Roman"/>
                <w:sz w:val="24"/>
                <w:szCs w:val="24"/>
              </w:rPr>
              <w:t>The options available address the need</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7BCA0E4"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A751635"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8E1BEC1"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75FC13D"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F8513CE"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2F18E665" w14:textId="77777777">
        <w:trPr>
          <w:trHeight w:val="392"/>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44DE0A5F"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540AF36" w14:textId="638DCE59">
            <w:pPr>
              <w:rPr>
                <w:rFonts w:ascii="Times New Roman" w:hAnsi="Times New Roman" w:cs="Times New Roman"/>
                <w:sz w:val="24"/>
                <w:szCs w:val="24"/>
              </w:rPr>
            </w:pPr>
            <w:r w:rsidRPr="007C4D52">
              <w:rPr>
                <w:rFonts w:ascii="Times New Roman" w:hAnsi="Times New Roman" w:cs="Times New Roman"/>
                <w:sz w:val="24"/>
                <w:szCs w:val="24"/>
              </w:rPr>
              <w:t xml:space="preserve">I have confidence in the options for </w:t>
            </w:r>
            <w:r w:rsidRPr="007C4D52" w:rsidR="0097558A">
              <w:rPr>
                <w:rFonts w:ascii="Times New Roman" w:hAnsi="Times New Roman" w:cs="Times New Roman"/>
                <w:sz w:val="24"/>
                <w:szCs w:val="24"/>
              </w:rPr>
              <w:t xml:space="preserve">access to </w:t>
            </w:r>
            <w:r w:rsidRPr="007C4D52">
              <w:rPr>
                <w:rFonts w:ascii="Times New Roman" w:hAnsi="Times New Roman" w:cs="Times New Roman"/>
                <w:sz w:val="24"/>
                <w:szCs w:val="24"/>
              </w:rPr>
              <w:t>capital</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D8E7624"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D5746E1"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846ECB1"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3F34308"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65F3FA2"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17CFDDAF" w14:textId="77777777">
        <w:trPr>
          <w:trHeight w:val="387"/>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694B8189"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0B5649A" w14:textId="77777777">
            <w:pPr>
              <w:rPr>
                <w:rFonts w:ascii="Times New Roman" w:hAnsi="Times New Roman" w:cs="Times New Roman"/>
                <w:sz w:val="24"/>
                <w:szCs w:val="24"/>
              </w:rPr>
            </w:pPr>
            <w:r w:rsidRPr="007C4D52">
              <w:rPr>
                <w:rFonts w:ascii="Times New Roman" w:hAnsi="Times New Roman" w:cs="Times New Roman"/>
                <w:sz w:val="24"/>
                <w:szCs w:val="24"/>
              </w:rPr>
              <w:t>Additional Comments for Clarification:</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9E116C7"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6B3397EC"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5582B73"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287B837"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BB2DCDC"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1B3EB6DD" w14:textId="77777777">
        <w:trPr>
          <w:trHeight w:val="536"/>
        </w:trPr>
        <w:tc>
          <w:tcPr>
            <w:tcW w:w="0" w:type="auto"/>
            <w:vMerge w:val="restart"/>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C783C7F" w14:textId="77777777">
            <w:pPr>
              <w:rPr>
                <w:rFonts w:ascii="Times New Roman" w:hAnsi="Times New Roman" w:cs="Times New Roman"/>
                <w:sz w:val="24"/>
                <w:szCs w:val="24"/>
              </w:rPr>
            </w:pPr>
            <w:r w:rsidRPr="007C4D52">
              <w:rPr>
                <w:rFonts w:ascii="Times New Roman" w:hAnsi="Times New Roman" w:cs="Times New Roman"/>
                <w:b/>
                <w:bCs/>
                <w:sz w:val="24"/>
                <w:szCs w:val="24"/>
              </w:rPr>
              <w:t>Roadblocks with Policy</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4BB59746" w14:textId="372E1C9C">
            <w:pPr>
              <w:rPr>
                <w:rFonts w:ascii="Times New Roman" w:hAnsi="Times New Roman" w:cs="Times New Roman"/>
                <w:sz w:val="24"/>
                <w:szCs w:val="24"/>
              </w:rPr>
            </w:pPr>
            <w:r w:rsidRPr="007C4D52">
              <w:rPr>
                <w:rFonts w:ascii="Times New Roman" w:hAnsi="Times New Roman" w:cs="Times New Roman"/>
                <w:sz w:val="24"/>
                <w:szCs w:val="24"/>
              </w:rPr>
              <w:t xml:space="preserve">The Department of Treasury has provided clear guidance about how to promote my </w:t>
            </w:r>
            <w:r w:rsidRPr="007C4D52" w:rsidR="0097558A">
              <w:rPr>
                <w:rFonts w:ascii="Times New Roman" w:hAnsi="Times New Roman" w:cs="Times New Roman"/>
                <w:sz w:val="24"/>
                <w:szCs w:val="24"/>
              </w:rPr>
              <w:t xml:space="preserve">small </w:t>
            </w:r>
            <w:r w:rsidRPr="007C4D52">
              <w:rPr>
                <w:rFonts w:ascii="Times New Roman" w:hAnsi="Times New Roman" w:cs="Times New Roman"/>
                <w:sz w:val="24"/>
                <w:szCs w:val="24"/>
              </w:rPr>
              <w:t>business</w:t>
            </w:r>
            <w:r w:rsidRPr="007C4D52" w:rsidR="0097558A">
              <w:rPr>
                <w:rFonts w:ascii="Times New Roman" w:hAnsi="Times New Roman" w:cs="Times New Roman"/>
                <w:sz w:val="24"/>
                <w:szCs w:val="24"/>
              </w:rPr>
              <w:t>, HBCU or MSI</w:t>
            </w:r>
            <w:r w:rsidRPr="007C4D52">
              <w:rPr>
                <w:rFonts w:ascii="Times New Roman" w:hAnsi="Times New Roman" w:cs="Times New Roman"/>
                <w:sz w:val="24"/>
                <w:szCs w:val="24"/>
              </w:rPr>
              <w:t xml:space="preserve"> services and products</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07928AE"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31A634C"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660040B"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5C8804FE"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9346CCC"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1D1F77E9" w14:textId="77777777">
        <w:trPr>
          <w:trHeight w:val="392"/>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4FF9ED36"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20E21E9" w14:textId="152F0EBE">
            <w:pPr>
              <w:rPr>
                <w:rFonts w:ascii="Times New Roman" w:hAnsi="Times New Roman" w:cs="Times New Roman"/>
                <w:sz w:val="24"/>
                <w:szCs w:val="24"/>
              </w:rPr>
            </w:pPr>
            <w:r w:rsidRPr="007C4D52">
              <w:rPr>
                <w:rFonts w:ascii="Times New Roman" w:hAnsi="Times New Roman" w:cs="Times New Roman"/>
                <w:sz w:val="24"/>
                <w:szCs w:val="24"/>
              </w:rPr>
              <w:t xml:space="preserve">The </w:t>
            </w:r>
            <w:r w:rsidRPr="007C4D52" w:rsidR="0097558A">
              <w:rPr>
                <w:rFonts w:ascii="Times New Roman" w:hAnsi="Times New Roman" w:cs="Times New Roman"/>
                <w:sz w:val="24"/>
                <w:szCs w:val="24"/>
              </w:rPr>
              <w:t xml:space="preserve">U.S. </w:t>
            </w:r>
            <w:r w:rsidRPr="007C4D52">
              <w:rPr>
                <w:rFonts w:ascii="Times New Roman" w:hAnsi="Times New Roman" w:cs="Times New Roman"/>
                <w:sz w:val="24"/>
                <w:szCs w:val="24"/>
              </w:rPr>
              <w:t xml:space="preserve">Department of Treasury has clearly explained the procedures to compete for </w:t>
            </w:r>
            <w:r w:rsidRPr="007C4D52" w:rsidR="0097558A">
              <w:rPr>
                <w:rFonts w:ascii="Times New Roman" w:hAnsi="Times New Roman" w:cs="Times New Roman"/>
                <w:sz w:val="24"/>
                <w:szCs w:val="24"/>
              </w:rPr>
              <w:t>contracts and grants opportunities.</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337B3B3"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AF59B83"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3B5BE75A"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FC73DCA"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99A3CE9"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68E5B497" w14:textId="77777777">
        <w:trPr>
          <w:trHeight w:val="392"/>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5B47E123"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F94DE18" w14:textId="6DE647F1">
            <w:pPr>
              <w:rPr>
                <w:rFonts w:ascii="Times New Roman" w:hAnsi="Times New Roman" w:cs="Times New Roman"/>
                <w:sz w:val="24"/>
                <w:szCs w:val="24"/>
              </w:rPr>
            </w:pPr>
            <w:r w:rsidRPr="007C4D52">
              <w:rPr>
                <w:rFonts w:ascii="Times New Roman" w:hAnsi="Times New Roman" w:cs="Times New Roman"/>
                <w:sz w:val="24"/>
                <w:szCs w:val="24"/>
              </w:rPr>
              <w:t xml:space="preserve">The </w:t>
            </w:r>
            <w:r w:rsidRPr="007C4D52" w:rsidR="0097558A">
              <w:rPr>
                <w:rFonts w:ascii="Times New Roman" w:hAnsi="Times New Roman" w:cs="Times New Roman"/>
                <w:sz w:val="24"/>
                <w:szCs w:val="24"/>
              </w:rPr>
              <w:t>U.S.</w:t>
            </w:r>
            <w:r w:rsidRPr="007C4D52" w:rsidR="00C553B1">
              <w:rPr>
                <w:rFonts w:ascii="Times New Roman" w:hAnsi="Times New Roman" w:cs="Times New Roman"/>
                <w:sz w:val="24"/>
                <w:szCs w:val="24"/>
              </w:rPr>
              <w:t xml:space="preserve"> </w:t>
            </w:r>
            <w:r w:rsidRPr="007C4D52">
              <w:rPr>
                <w:rFonts w:ascii="Times New Roman" w:hAnsi="Times New Roman" w:cs="Times New Roman"/>
                <w:sz w:val="24"/>
                <w:szCs w:val="24"/>
              </w:rPr>
              <w:t>Department of Treasury has designed its programs to effectively eliminate barriers to entry</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3D192B84"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09A736E8"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EF20E7D"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5722B1B1"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907BCDF"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37B88C8E" w14:textId="77777777">
        <w:trPr>
          <w:trHeight w:val="633"/>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4F4DEF2E"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BDD87E2" w14:textId="77777777">
            <w:pPr>
              <w:rPr>
                <w:rFonts w:ascii="Times New Roman" w:hAnsi="Times New Roman" w:cs="Times New Roman"/>
                <w:sz w:val="24"/>
                <w:szCs w:val="24"/>
              </w:rPr>
            </w:pPr>
            <w:r w:rsidRPr="007C4D52">
              <w:rPr>
                <w:rFonts w:ascii="Times New Roman" w:hAnsi="Times New Roman" w:cs="Times New Roman"/>
                <w:sz w:val="24"/>
                <w:szCs w:val="24"/>
              </w:rPr>
              <w:t>Additional Comments for Clarification:</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CB2D093"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2F891C2"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4FCB125"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D24A10C"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1432392"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25859F74" w14:textId="77777777">
        <w:trPr>
          <w:trHeight w:val="536"/>
        </w:trPr>
        <w:tc>
          <w:tcPr>
            <w:tcW w:w="0" w:type="auto"/>
            <w:vMerge w:val="restart"/>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3DF4E872" w14:textId="77777777">
            <w:pPr>
              <w:rPr>
                <w:rFonts w:ascii="Times New Roman" w:hAnsi="Times New Roman" w:cs="Times New Roman"/>
                <w:sz w:val="24"/>
                <w:szCs w:val="24"/>
              </w:rPr>
            </w:pPr>
            <w:r w:rsidRPr="007C4D52">
              <w:rPr>
                <w:rFonts w:ascii="Times New Roman" w:hAnsi="Times New Roman" w:cs="Times New Roman"/>
                <w:b/>
                <w:bCs/>
                <w:sz w:val="24"/>
                <w:szCs w:val="24"/>
              </w:rPr>
              <w:t>Responsiveness/ Customer Service</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786347A" w14:textId="5DEDEA70">
            <w:pPr>
              <w:rPr>
                <w:rFonts w:ascii="Times New Roman" w:hAnsi="Times New Roman" w:cs="Times New Roman"/>
                <w:sz w:val="24"/>
                <w:szCs w:val="24"/>
              </w:rPr>
            </w:pPr>
            <w:r w:rsidRPr="007C4D52">
              <w:rPr>
                <w:rFonts w:ascii="Times New Roman" w:hAnsi="Times New Roman" w:cs="Times New Roman"/>
                <w:sz w:val="24"/>
                <w:szCs w:val="24"/>
              </w:rPr>
              <w:t>When I need more information or explanation</w:t>
            </w:r>
            <w:r w:rsidRPr="007C4D52" w:rsidR="0097558A">
              <w:rPr>
                <w:rFonts w:ascii="Times New Roman" w:hAnsi="Times New Roman" w:cs="Times New Roman"/>
                <w:sz w:val="24"/>
                <w:szCs w:val="24"/>
              </w:rPr>
              <w:t xml:space="preserve"> on contract or gran</w:t>
            </w:r>
            <w:r w:rsidRPr="007C4D52" w:rsidR="00166C48">
              <w:rPr>
                <w:rFonts w:ascii="Times New Roman" w:hAnsi="Times New Roman" w:cs="Times New Roman"/>
                <w:sz w:val="24"/>
                <w:szCs w:val="24"/>
              </w:rPr>
              <w:t>t requirement</w:t>
            </w:r>
            <w:r w:rsidRPr="007C4D52">
              <w:rPr>
                <w:rFonts w:ascii="Times New Roman" w:hAnsi="Times New Roman" w:cs="Times New Roman"/>
                <w:sz w:val="24"/>
                <w:szCs w:val="24"/>
              </w:rPr>
              <w:t xml:space="preserve"> I know who to contact</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2982F11"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53529E07"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3856051"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4ECCBADF"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1F29E6BD"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7C4D52" w:rsidR="0097558A" w:rsidTr="00FF612B" w14:paraId="580101E8" w14:textId="77777777">
        <w:trPr>
          <w:trHeight w:val="392"/>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1242E0DD"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2AB928D9" w14:textId="131FC161">
            <w:pPr>
              <w:rPr>
                <w:rFonts w:ascii="Times New Roman" w:hAnsi="Times New Roman" w:cs="Times New Roman"/>
                <w:sz w:val="24"/>
                <w:szCs w:val="24"/>
              </w:rPr>
            </w:pPr>
            <w:r w:rsidRPr="007C4D52">
              <w:rPr>
                <w:rFonts w:ascii="Times New Roman" w:hAnsi="Times New Roman" w:cs="Times New Roman"/>
                <w:sz w:val="24"/>
                <w:szCs w:val="24"/>
              </w:rPr>
              <w:t>When I reach out for help, I get a timely response</w:t>
            </w:r>
            <w:r w:rsidRPr="007C4D52" w:rsidR="0097558A">
              <w:rPr>
                <w:rFonts w:ascii="Times New Roman" w:hAnsi="Times New Roman" w:cs="Times New Roman"/>
                <w:sz w:val="24"/>
                <w:szCs w:val="24"/>
              </w:rPr>
              <w:t xml:space="preserve"> from the Point of Contact shown in the Forecast of Contracting Opportunities or the </w:t>
            </w:r>
            <w:r w:rsidRPr="007C4D52" w:rsidR="00C553B1">
              <w:rPr>
                <w:rFonts w:ascii="Times New Roman" w:hAnsi="Times New Roman" w:cs="Times New Roman"/>
                <w:sz w:val="24"/>
                <w:szCs w:val="24"/>
              </w:rPr>
              <w:t>Grant Point of Contact shown on the Grant Opportunity.</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C60C6E7"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47BB5CFE"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79EB4447"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51A746FC"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CFD5EA"/>
            <w:tcMar>
              <w:top w:w="72" w:type="dxa"/>
              <w:left w:w="144" w:type="dxa"/>
              <w:bottom w:w="72" w:type="dxa"/>
              <w:right w:w="144" w:type="dxa"/>
            </w:tcMar>
            <w:hideMark/>
          </w:tcPr>
          <w:p w:rsidRPr="007C4D52" w:rsidR="00FF612B" w:rsidP="00FF612B" w:rsidRDefault="00FF612B" w14:paraId="195B20AB"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r w:rsidRPr="009A3FAD" w:rsidR="0097558A" w:rsidTr="00FF612B" w14:paraId="78AD8307" w14:textId="77777777">
        <w:trPr>
          <w:trHeight w:val="641"/>
        </w:trPr>
        <w:tc>
          <w:tcPr>
            <w:tcW w:w="0" w:type="auto"/>
            <w:vMerge/>
            <w:tcBorders>
              <w:top w:val="single" w:color="FFFFFF" w:sz="8" w:space="0"/>
              <w:left w:val="single" w:color="FFFFFF" w:sz="8" w:space="0"/>
              <w:bottom w:val="single" w:color="FFFFFF" w:sz="8" w:space="0"/>
              <w:right w:val="single" w:color="FFFFFF" w:sz="8" w:space="0"/>
            </w:tcBorders>
            <w:vAlign w:val="center"/>
            <w:hideMark/>
          </w:tcPr>
          <w:p w:rsidRPr="007C4D52" w:rsidR="00FF612B" w:rsidP="00FF612B" w:rsidRDefault="00FF612B" w14:paraId="39B30D8E" w14:textId="77777777">
            <w:pPr>
              <w:rPr>
                <w:rFonts w:ascii="Times New Roman" w:hAnsi="Times New Roman" w:cs="Times New Roman"/>
                <w:sz w:val="24"/>
                <w:szCs w:val="24"/>
              </w:rPr>
            </w:pP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251BC61F" w14:textId="77777777">
            <w:pPr>
              <w:rPr>
                <w:rFonts w:ascii="Times New Roman" w:hAnsi="Times New Roman" w:cs="Times New Roman"/>
                <w:sz w:val="24"/>
                <w:szCs w:val="24"/>
              </w:rPr>
            </w:pPr>
            <w:r w:rsidRPr="007C4D52">
              <w:rPr>
                <w:rFonts w:ascii="Times New Roman" w:hAnsi="Times New Roman" w:cs="Times New Roman"/>
                <w:sz w:val="24"/>
                <w:szCs w:val="24"/>
              </w:rPr>
              <w:t>Additional Comments for Clarification:</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358C5C51" w14:textId="77777777">
            <w:pPr>
              <w:rPr>
                <w:rFonts w:ascii="Times New Roman" w:hAnsi="Times New Roman" w:cs="Times New Roman"/>
                <w:sz w:val="24"/>
                <w:szCs w:val="24"/>
              </w:rPr>
            </w:pPr>
            <w:r w:rsidRPr="007C4D52">
              <w:rPr>
                <w:rFonts w:ascii="Times New Roman" w:hAnsi="Times New Roman" w:cs="Times New Roman"/>
                <w:sz w:val="24"/>
                <w:szCs w:val="24"/>
              </w:rPr>
              <w:t>1</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64BE6D16" w14:textId="77777777">
            <w:pPr>
              <w:rPr>
                <w:rFonts w:ascii="Times New Roman" w:hAnsi="Times New Roman" w:cs="Times New Roman"/>
                <w:sz w:val="24"/>
                <w:szCs w:val="24"/>
              </w:rPr>
            </w:pPr>
            <w:r w:rsidRPr="007C4D52">
              <w:rPr>
                <w:rFonts w:ascii="Times New Roman" w:hAnsi="Times New Roman" w:cs="Times New Roman"/>
                <w:sz w:val="24"/>
                <w:szCs w:val="24"/>
              </w:rPr>
              <w:t>2</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786BC0C7" w14:textId="77777777">
            <w:pPr>
              <w:rPr>
                <w:rFonts w:ascii="Times New Roman" w:hAnsi="Times New Roman" w:cs="Times New Roman"/>
                <w:sz w:val="24"/>
                <w:szCs w:val="24"/>
              </w:rPr>
            </w:pPr>
            <w:r w:rsidRPr="007C4D52">
              <w:rPr>
                <w:rFonts w:ascii="Times New Roman" w:hAnsi="Times New Roman" w:cs="Times New Roman"/>
                <w:sz w:val="24"/>
                <w:szCs w:val="24"/>
              </w:rPr>
              <w:t>3</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7C4D52" w:rsidR="00FF612B" w:rsidP="00FF612B" w:rsidRDefault="00FF612B" w14:paraId="58CF7FB0" w14:textId="77777777">
            <w:pPr>
              <w:rPr>
                <w:rFonts w:ascii="Times New Roman" w:hAnsi="Times New Roman" w:cs="Times New Roman"/>
                <w:sz w:val="24"/>
                <w:szCs w:val="24"/>
              </w:rPr>
            </w:pPr>
            <w:r w:rsidRPr="007C4D52">
              <w:rPr>
                <w:rFonts w:ascii="Times New Roman" w:hAnsi="Times New Roman" w:cs="Times New Roman"/>
                <w:sz w:val="24"/>
                <w:szCs w:val="24"/>
              </w:rPr>
              <w:t>4</w:t>
            </w:r>
          </w:p>
        </w:tc>
        <w:tc>
          <w:tcPr>
            <w:tcW w:w="0" w:type="auto"/>
            <w:tcBorders>
              <w:top w:val="single" w:color="FFFFFF" w:sz="8" w:space="0"/>
              <w:left w:val="single" w:color="FFFFFF" w:sz="8" w:space="0"/>
              <w:bottom w:val="single" w:color="FFFFFF" w:sz="8" w:space="0"/>
              <w:right w:val="single" w:color="FFFFFF" w:sz="8" w:space="0"/>
            </w:tcBorders>
            <w:shd w:val="clear" w:color="auto" w:fill="E9EBF5"/>
            <w:tcMar>
              <w:top w:w="72" w:type="dxa"/>
              <w:left w:w="144" w:type="dxa"/>
              <w:bottom w:w="72" w:type="dxa"/>
              <w:right w:w="144" w:type="dxa"/>
            </w:tcMar>
            <w:hideMark/>
          </w:tcPr>
          <w:p w:rsidRPr="009A3FAD" w:rsidR="00FF612B" w:rsidP="00FF612B" w:rsidRDefault="00FF612B" w14:paraId="2B626445" w14:textId="77777777">
            <w:pPr>
              <w:rPr>
                <w:rFonts w:ascii="Times New Roman" w:hAnsi="Times New Roman" w:cs="Times New Roman"/>
                <w:sz w:val="24"/>
                <w:szCs w:val="24"/>
              </w:rPr>
            </w:pPr>
            <w:r w:rsidRPr="007C4D52">
              <w:rPr>
                <w:rFonts w:ascii="Times New Roman" w:hAnsi="Times New Roman" w:cs="Times New Roman"/>
                <w:sz w:val="24"/>
                <w:szCs w:val="24"/>
              </w:rPr>
              <w:t>5</w:t>
            </w:r>
          </w:p>
        </w:tc>
      </w:tr>
    </w:tbl>
    <w:p w:rsidRPr="009A3FAD" w:rsidR="00FF612B" w:rsidRDefault="00FF612B" w14:paraId="101C5BD5" w14:textId="77777777">
      <w:pPr>
        <w:rPr>
          <w:rFonts w:ascii="Times New Roman" w:hAnsi="Times New Roman" w:cs="Times New Roman"/>
          <w:sz w:val="24"/>
          <w:szCs w:val="24"/>
        </w:rPr>
      </w:pPr>
    </w:p>
    <w:sectPr w:rsidRPr="009A3FAD" w:rsidR="00FF612B" w:rsidSect="00FF612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51190"/>
    <w:multiLevelType w:val="hybridMultilevel"/>
    <w:tmpl w:val="EA60E8D0"/>
    <w:lvl w:ilvl="0" w:tplc="0C5ED28C">
      <w:start w:val="1"/>
      <w:numFmt w:val="bullet"/>
      <w:lvlText w:val="-"/>
      <w:lvlJc w:val="left"/>
      <w:pPr>
        <w:tabs>
          <w:tab w:val="num" w:pos="720"/>
        </w:tabs>
        <w:ind w:left="720" w:hanging="360"/>
      </w:pPr>
      <w:rPr>
        <w:rFonts w:ascii="Calibri" w:hAnsi="Calibri" w:hint="default"/>
      </w:rPr>
    </w:lvl>
    <w:lvl w:ilvl="1" w:tplc="D6005600" w:tentative="1">
      <w:start w:val="1"/>
      <w:numFmt w:val="bullet"/>
      <w:lvlText w:val="-"/>
      <w:lvlJc w:val="left"/>
      <w:pPr>
        <w:tabs>
          <w:tab w:val="num" w:pos="1440"/>
        </w:tabs>
        <w:ind w:left="1440" w:hanging="360"/>
      </w:pPr>
      <w:rPr>
        <w:rFonts w:ascii="Calibri" w:hAnsi="Calibri" w:hint="default"/>
      </w:rPr>
    </w:lvl>
    <w:lvl w:ilvl="2" w:tplc="D4ECE39C" w:tentative="1">
      <w:start w:val="1"/>
      <w:numFmt w:val="bullet"/>
      <w:lvlText w:val="-"/>
      <w:lvlJc w:val="left"/>
      <w:pPr>
        <w:tabs>
          <w:tab w:val="num" w:pos="2160"/>
        </w:tabs>
        <w:ind w:left="2160" w:hanging="360"/>
      </w:pPr>
      <w:rPr>
        <w:rFonts w:ascii="Calibri" w:hAnsi="Calibri" w:hint="default"/>
      </w:rPr>
    </w:lvl>
    <w:lvl w:ilvl="3" w:tplc="65DC44E0" w:tentative="1">
      <w:start w:val="1"/>
      <w:numFmt w:val="bullet"/>
      <w:lvlText w:val="-"/>
      <w:lvlJc w:val="left"/>
      <w:pPr>
        <w:tabs>
          <w:tab w:val="num" w:pos="2880"/>
        </w:tabs>
        <w:ind w:left="2880" w:hanging="360"/>
      </w:pPr>
      <w:rPr>
        <w:rFonts w:ascii="Calibri" w:hAnsi="Calibri" w:hint="default"/>
      </w:rPr>
    </w:lvl>
    <w:lvl w:ilvl="4" w:tplc="C640FED6" w:tentative="1">
      <w:start w:val="1"/>
      <w:numFmt w:val="bullet"/>
      <w:lvlText w:val="-"/>
      <w:lvlJc w:val="left"/>
      <w:pPr>
        <w:tabs>
          <w:tab w:val="num" w:pos="3600"/>
        </w:tabs>
        <w:ind w:left="3600" w:hanging="360"/>
      </w:pPr>
      <w:rPr>
        <w:rFonts w:ascii="Calibri" w:hAnsi="Calibri" w:hint="default"/>
      </w:rPr>
    </w:lvl>
    <w:lvl w:ilvl="5" w:tplc="24DC6D9A" w:tentative="1">
      <w:start w:val="1"/>
      <w:numFmt w:val="bullet"/>
      <w:lvlText w:val="-"/>
      <w:lvlJc w:val="left"/>
      <w:pPr>
        <w:tabs>
          <w:tab w:val="num" w:pos="4320"/>
        </w:tabs>
        <w:ind w:left="4320" w:hanging="360"/>
      </w:pPr>
      <w:rPr>
        <w:rFonts w:ascii="Calibri" w:hAnsi="Calibri" w:hint="default"/>
      </w:rPr>
    </w:lvl>
    <w:lvl w:ilvl="6" w:tplc="445E3F48" w:tentative="1">
      <w:start w:val="1"/>
      <w:numFmt w:val="bullet"/>
      <w:lvlText w:val="-"/>
      <w:lvlJc w:val="left"/>
      <w:pPr>
        <w:tabs>
          <w:tab w:val="num" w:pos="5040"/>
        </w:tabs>
        <w:ind w:left="5040" w:hanging="360"/>
      </w:pPr>
      <w:rPr>
        <w:rFonts w:ascii="Calibri" w:hAnsi="Calibri" w:hint="default"/>
      </w:rPr>
    </w:lvl>
    <w:lvl w:ilvl="7" w:tplc="375A0552" w:tentative="1">
      <w:start w:val="1"/>
      <w:numFmt w:val="bullet"/>
      <w:lvlText w:val="-"/>
      <w:lvlJc w:val="left"/>
      <w:pPr>
        <w:tabs>
          <w:tab w:val="num" w:pos="5760"/>
        </w:tabs>
        <w:ind w:left="5760" w:hanging="360"/>
      </w:pPr>
      <w:rPr>
        <w:rFonts w:ascii="Calibri" w:hAnsi="Calibri" w:hint="default"/>
      </w:rPr>
    </w:lvl>
    <w:lvl w:ilvl="8" w:tplc="6FFCA01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30112CD0"/>
    <w:multiLevelType w:val="hybridMultilevel"/>
    <w:tmpl w:val="BD9C9F3A"/>
    <w:lvl w:ilvl="0" w:tplc="1062E3F0">
      <w:start w:val="1"/>
      <w:numFmt w:val="bullet"/>
      <w:lvlText w:val="-"/>
      <w:lvlJc w:val="left"/>
      <w:pPr>
        <w:tabs>
          <w:tab w:val="num" w:pos="720"/>
        </w:tabs>
        <w:ind w:left="720" w:hanging="360"/>
      </w:pPr>
      <w:rPr>
        <w:rFonts w:ascii="Times New Roman" w:hAnsi="Times New Roman" w:hint="default"/>
      </w:rPr>
    </w:lvl>
    <w:lvl w:ilvl="1" w:tplc="177099A2" w:tentative="1">
      <w:start w:val="1"/>
      <w:numFmt w:val="bullet"/>
      <w:lvlText w:val="-"/>
      <w:lvlJc w:val="left"/>
      <w:pPr>
        <w:tabs>
          <w:tab w:val="num" w:pos="1440"/>
        </w:tabs>
        <w:ind w:left="1440" w:hanging="360"/>
      </w:pPr>
      <w:rPr>
        <w:rFonts w:ascii="Times New Roman" w:hAnsi="Times New Roman" w:hint="default"/>
      </w:rPr>
    </w:lvl>
    <w:lvl w:ilvl="2" w:tplc="407E900A" w:tentative="1">
      <w:start w:val="1"/>
      <w:numFmt w:val="bullet"/>
      <w:lvlText w:val="-"/>
      <w:lvlJc w:val="left"/>
      <w:pPr>
        <w:tabs>
          <w:tab w:val="num" w:pos="2160"/>
        </w:tabs>
        <w:ind w:left="2160" w:hanging="360"/>
      </w:pPr>
      <w:rPr>
        <w:rFonts w:ascii="Times New Roman" w:hAnsi="Times New Roman" w:hint="default"/>
      </w:rPr>
    </w:lvl>
    <w:lvl w:ilvl="3" w:tplc="6358AFAA" w:tentative="1">
      <w:start w:val="1"/>
      <w:numFmt w:val="bullet"/>
      <w:lvlText w:val="-"/>
      <w:lvlJc w:val="left"/>
      <w:pPr>
        <w:tabs>
          <w:tab w:val="num" w:pos="2880"/>
        </w:tabs>
        <w:ind w:left="2880" w:hanging="360"/>
      </w:pPr>
      <w:rPr>
        <w:rFonts w:ascii="Times New Roman" w:hAnsi="Times New Roman" w:hint="default"/>
      </w:rPr>
    </w:lvl>
    <w:lvl w:ilvl="4" w:tplc="A30EBDE8" w:tentative="1">
      <w:start w:val="1"/>
      <w:numFmt w:val="bullet"/>
      <w:lvlText w:val="-"/>
      <w:lvlJc w:val="left"/>
      <w:pPr>
        <w:tabs>
          <w:tab w:val="num" w:pos="3600"/>
        </w:tabs>
        <w:ind w:left="3600" w:hanging="360"/>
      </w:pPr>
      <w:rPr>
        <w:rFonts w:ascii="Times New Roman" w:hAnsi="Times New Roman" w:hint="default"/>
      </w:rPr>
    </w:lvl>
    <w:lvl w:ilvl="5" w:tplc="076C2EC4" w:tentative="1">
      <w:start w:val="1"/>
      <w:numFmt w:val="bullet"/>
      <w:lvlText w:val="-"/>
      <w:lvlJc w:val="left"/>
      <w:pPr>
        <w:tabs>
          <w:tab w:val="num" w:pos="4320"/>
        </w:tabs>
        <w:ind w:left="4320" w:hanging="360"/>
      </w:pPr>
      <w:rPr>
        <w:rFonts w:ascii="Times New Roman" w:hAnsi="Times New Roman" w:hint="default"/>
      </w:rPr>
    </w:lvl>
    <w:lvl w:ilvl="6" w:tplc="8208EC20" w:tentative="1">
      <w:start w:val="1"/>
      <w:numFmt w:val="bullet"/>
      <w:lvlText w:val="-"/>
      <w:lvlJc w:val="left"/>
      <w:pPr>
        <w:tabs>
          <w:tab w:val="num" w:pos="5040"/>
        </w:tabs>
        <w:ind w:left="5040" w:hanging="360"/>
      </w:pPr>
      <w:rPr>
        <w:rFonts w:ascii="Times New Roman" w:hAnsi="Times New Roman" w:hint="default"/>
      </w:rPr>
    </w:lvl>
    <w:lvl w:ilvl="7" w:tplc="0A20A7DE" w:tentative="1">
      <w:start w:val="1"/>
      <w:numFmt w:val="bullet"/>
      <w:lvlText w:val="-"/>
      <w:lvlJc w:val="left"/>
      <w:pPr>
        <w:tabs>
          <w:tab w:val="num" w:pos="5760"/>
        </w:tabs>
        <w:ind w:left="5760" w:hanging="360"/>
      </w:pPr>
      <w:rPr>
        <w:rFonts w:ascii="Times New Roman" w:hAnsi="Times New Roman" w:hint="default"/>
      </w:rPr>
    </w:lvl>
    <w:lvl w:ilvl="8" w:tplc="901C009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83450C8"/>
    <w:multiLevelType w:val="hybridMultilevel"/>
    <w:tmpl w:val="A0403B24"/>
    <w:lvl w:ilvl="0" w:tplc="26B44E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85B53"/>
    <w:multiLevelType w:val="hybridMultilevel"/>
    <w:tmpl w:val="B4942A94"/>
    <w:lvl w:ilvl="0" w:tplc="26B44E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B05D8"/>
    <w:multiLevelType w:val="hybridMultilevel"/>
    <w:tmpl w:val="9EC2E13A"/>
    <w:lvl w:ilvl="0" w:tplc="26B44E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2B"/>
    <w:rsid w:val="000248BB"/>
    <w:rsid w:val="00166C48"/>
    <w:rsid w:val="001769FC"/>
    <w:rsid w:val="001E23F6"/>
    <w:rsid w:val="002226FB"/>
    <w:rsid w:val="00287E50"/>
    <w:rsid w:val="00293513"/>
    <w:rsid w:val="003A435A"/>
    <w:rsid w:val="005332B5"/>
    <w:rsid w:val="0056263F"/>
    <w:rsid w:val="00575359"/>
    <w:rsid w:val="00660C9F"/>
    <w:rsid w:val="007C4D52"/>
    <w:rsid w:val="007F4323"/>
    <w:rsid w:val="0097558A"/>
    <w:rsid w:val="009A3FAD"/>
    <w:rsid w:val="00AB4C20"/>
    <w:rsid w:val="00AD0461"/>
    <w:rsid w:val="00C553B1"/>
    <w:rsid w:val="00D3423A"/>
    <w:rsid w:val="00E5597C"/>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7BE0"/>
  <w15:chartTrackingRefBased/>
  <w15:docId w15:val="{46A7B7C0-58FA-4756-AEE3-7F5BC211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6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26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12B"/>
    <w:pPr>
      <w:ind w:left="720"/>
      <w:contextualSpacing/>
    </w:pPr>
  </w:style>
  <w:style w:type="character" w:customStyle="1" w:styleId="Heading2Char">
    <w:name w:val="Heading 2 Char"/>
    <w:basedOn w:val="DefaultParagraphFont"/>
    <w:link w:val="Heading2"/>
    <w:uiPriority w:val="9"/>
    <w:rsid w:val="002226F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226F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9A3F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4706">
      <w:bodyDiv w:val="1"/>
      <w:marLeft w:val="0"/>
      <w:marRight w:val="0"/>
      <w:marTop w:val="0"/>
      <w:marBottom w:val="0"/>
      <w:divBdr>
        <w:top w:val="none" w:sz="0" w:space="0" w:color="auto"/>
        <w:left w:val="none" w:sz="0" w:space="0" w:color="auto"/>
        <w:bottom w:val="none" w:sz="0" w:space="0" w:color="auto"/>
        <w:right w:val="none" w:sz="0" w:space="0" w:color="auto"/>
      </w:divBdr>
      <w:divsChild>
        <w:div w:id="90517673">
          <w:marLeft w:val="360"/>
          <w:marRight w:val="0"/>
          <w:marTop w:val="200"/>
          <w:marBottom w:val="0"/>
          <w:divBdr>
            <w:top w:val="none" w:sz="0" w:space="0" w:color="auto"/>
            <w:left w:val="none" w:sz="0" w:space="0" w:color="auto"/>
            <w:bottom w:val="none" w:sz="0" w:space="0" w:color="auto"/>
            <w:right w:val="none" w:sz="0" w:space="0" w:color="auto"/>
          </w:divBdr>
        </w:div>
        <w:div w:id="652681410">
          <w:marLeft w:val="360"/>
          <w:marRight w:val="0"/>
          <w:marTop w:val="200"/>
          <w:marBottom w:val="0"/>
          <w:divBdr>
            <w:top w:val="none" w:sz="0" w:space="0" w:color="auto"/>
            <w:left w:val="none" w:sz="0" w:space="0" w:color="auto"/>
            <w:bottom w:val="none" w:sz="0" w:space="0" w:color="auto"/>
            <w:right w:val="none" w:sz="0" w:space="0" w:color="auto"/>
          </w:divBdr>
        </w:div>
        <w:div w:id="1871648170">
          <w:marLeft w:val="360"/>
          <w:marRight w:val="0"/>
          <w:marTop w:val="200"/>
          <w:marBottom w:val="0"/>
          <w:divBdr>
            <w:top w:val="none" w:sz="0" w:space="0" w:color="auto"/>
            <w:left w:val="none" w:sz="0" w:space="0" w:color="auto"/>
            <w:bottom w:val="none" w:sz="0" w:space="0" w:color="auto"/>
            <w:right w:val="none" w:sz="0" w:space="0" w:color="auto"/>
          </w:divBdr>
        </w:div>
        <w:div w:id="174273426">
          <w:marLeft w:val="360"/>
          <w:marRight w:val="0"/>
          <w:marTop w:val="200"/>
          <w:marBottom w:val="0"/>
          <w:divBdr>
            <w:top w:val="none" w:sz="0" w:space="0" w:color="auto"/>
            <w:left w:val="none" w:sz="0" w:space="0" w:color="auto"/>
            <w:bottom w:val="none" w:sz="0" w:space="0" w:color="auto"/>
            <w:right w:val="none" w:sz="0" w:space="0" w:color="auto"/>
          </w:divBdr>
        </w:div>
        <w:div w:id="822890685">
          <w:marLeft w:val="360"/>
          <w:marRight w:val="0"/>
          <w:marTop w:val="200"/>
          <w:marBottom w:val="0"/>
          <w:divBdr>
            <w:top w:val="none" w:sz="0" w:space="0" w:color="auto"/>
            <w:left w:val="none" w:sz="0" w:space="0" w:color="auto"/>
            <w:bottom w:val="none" w:sz="0" w:space="0" w:color="auto"/>
            <w:right w:val="none" w:sz="0" w:space="0" w:color="auto"/>
          </w:divBdr>
        </w:div>
      </w:divsChild>
    </w:div>
    <w:div w:id="186717332">
      <w:bodyDiv w:val="1"/>
      <w:marLeft w:val="0"/>
      <w:marRight w:val="0"/>
      <w:marTop w:val="0"/>
      <w:marBottom w:val="0"/>
      <w:divBdr>
        <w:top w:val="none" w:sz="0" w:space="0" w:color="auto"/>
        <w:left w:val="none" w:sz="0" w:space="0" w:color="auto"/>
        <w:bottom w:val="none" w:sz="0" w:space="0" w:color="auto"/>
        <w:right w:val="none" w:sz="0" w:space="0" w:color="auto"/>
      </w:divBdr>
    </w:div>
    <w:div w:id="570238676">
      <w:bodyDiv w:val="1"/>
      <w:marLeft w:val="0"/>
      <w:marRight w:val="0"/>
      <w:marTop w:val="0"/>
      <w:marBottom w:val="0"/>
      <w:divBdr>
        <w:top w:val="none" w:sz="0" w:space="0" w:color="auto"/>
        <w:left w:val="none" w:sz="0" w:space="0" w:color="auto"/>
        <w:bottom w:val="none" w:sz="0" w:space="0" w:color="auto"/>
        <w:right w:val="none" w:sz="0" w:space="0" w:color="auto"/>
      </w:divBdr>
    </w:div>
    <w:div w:id="751703461">
      <w:bodyDiv w:val="1"/>
      <w:marLeft w:val="0"/>
      <w:marRight w:val="0"/>
      <w:marTop w:val="0"/>
      <w:marBottom w:val="0"/>
      <w:divBdr>
        <w:top w:val="none" w:sz="0" w:space="0" w:color="auto"/>
        <w:left w:val="none" w:sz="0" w:space="0" w:color="auto"/>
        <w:bottom w:val="none" w:sz="0" w:space="0" w:color="auto"/>
        <w:right w:val="none" w:sz="0" w:space="0" w:color="auto"/>
      </w:divBdr>
      <w:divsChild>
        <w:div w:id="1300767322">
          <w:marLeft w:val="547"/>
          <w:marRight w:val="0"/>
          <w:marTop w:val="0"/>
          <w:marBottom w:val="0"/>
          <w:divBdr>
            <w:top w:val="none" w:sz="0" w:space="0" w:color="auto"/>
            <w:left w:val="none" w:sz="0" w:space="0" w:color="auto"/>
            <w:bottom w:val="none" w:sz="0" w:space="0" w:color="auto"/>
            <w:right w:val="none" w:sz="0" w:space="0" w:color="auto"/>
          </w:divBdr>
        </w:div>
        <w:div w:id="1476489998">
          <w:marLeft w:val="547"/>
          <w:marRight w:val="0"/>
          <w:marTop w:val="0"/>
          <w:marBottom w:val="0"/>
          <w:divBdr>
            <w:top w:val="none" w:sz="0" w:space="0" w:color="auto"/>
            <w:left w:val="none" w:sz="0" w:space="0" w:color="auto"/>
            <w:bottom w:val="none" w:sz="0" w:space="0" w:color="auto"/>
            <w:right w:val="none" w:sz="0" w:space="0" w:color="auto"/>
          </w:divBdr>
        </w:div>
        <w:div w:id="622007619">
          <w:marLeft w:val="547"/>
          <w:marRight w:val="0"/>
          <w:marTop w:val="0"/>
          <w:marBottom w:val="0"/>
          <w:divBdr>
            <w:top w:val="none" w:sz="0" w:space="0" w:color="auto"/>
            <w:left w:val="none" w:sz="0" w:space="0" w:color="auto"/>
            <w:bottom w:val="none" w:sz="0" w:space="0" w:color="auto"/>
            <w:right w:val="none" w:sz="0" w:space="0" w:color="auto"/>
          </w:divBdr>
        </w:div>
        <w:div w:id="407961621">
          <w:marLeft w:val="547"/>
          <w:marRight w:val="0"/>
          <w:marTop w:val="0"/>
          <w:marBottom w:val="0"/>
          <w:divBdr>
            <w:top w:val="none" w:sz="0" w:space="0" w:color="auto"/>
            <w:left w:val="none" w:sz="0" w:space="0" w:color="auto"/>
            <w:bottom w:val="none" w:sz="0" w:space="0" w:color="auto"/>
            <w:right w:val="none" w:sz="0" w:space="0" w:color="auto"/>
          </w:divBdr>
        </w:div>
        <w:div w:id="1447508709">
          <w:marLeft w:val="547"/>
          <w:marRight w:val="0"/>
          <w:marTop w:val="0"/>
          <w:marBottom w:val="0"/>
          <w:divBdr>
            <w:top w:val="none" w:sz="0" w:space="0" w:color="auto"/>
            <w:left w:val="none" w:sz="0" w:space="0" w:color="auto"/>
            <w:bottom w:val="none" w:sz="0" w:space="0" w:color="auto"/>
            <w:right w:val="none" w:sz="0" w:space="0" w:color="auto"/>
          </w:divBdr>
        </w:div>
        <w:div w:id="1734693508">
          <w:marLeft w:val="547"/>
          <w:marRight w:val="0"/>
          <w:marTop w:val="0"/>
          <w:marBottom w:val="160"/>
          <w:divBdr>
            <w:top w:val="none" w:sz="0" w:space="0" w:color="auto"/>
            <w:left w:val="none" w:sz="0" w:space="0" w:color="auto"/>
            <w:bottom w:val="none" w:sz="0" w:space="0" w:color="auto"/>
            <w:right w:val="none" w:sz="0" w:space="0" w:color="auto"/>
          </w:divBdr>
        </w:div>
      </w:divsChild>
    </w:div>
    <w:div w:id="17639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Melissa</dc:creator>
  <cp:keywords/>
  <dc:description/>
  <cp:lastModifiedBy>Stasko, Molly</cp:lastModifiedBy>
  <cp:revision>17</cp:revision>
  <dcterms:created xsi:type="dcterms:W3CDTF">2021-06-09T17:16:00Z</dcterms:created>
  <dcterms:modified xsi:type="dcterms:W3CDTF">2021-08-27T18:21:00Z</dcterms:modified>
</cp:coreProperties>
</file>