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D8" w:rsidP="00841F50" w:rsidRDefault="00841F50">
      <w:pPr>
        <w:jc w:val="center"/>
        <w:rPr>
          <w:b/>
          <w:bCs/>
        </w:rPr>
      </w:pPr>
      <w:bookmarkStart w:name="_GoBack" w:id="0"/>
      <w:bookmarkEnd w:id="0"/>
      <w:r>
        <w:rPr>
          <w:b/>
          <w:bCs/>
        </w:rPr>
        <w:t>Supporting Statement</w:t>
      </w:r>
    </w:p>
    <w:p w:rsidR="002B529D" w:rsidP="00841F50" w:rsidRDefault="002B529D">
      <w:pPr>
        <w:jc w:val="center"/>
        <w:rPr>
          <w:b/>
          <w:bCs/>
        </w:rPr>
      </w:pPr>
      <w:r>
        <w:rPr>
          <w:b/>
          <w:bCs/>
        </w:rPr>
        <w:t>Internal Revenue Service</w:t>
      </w:r>
    </w:p>
    <w:p w:rsidR="00841F50" w:rsidP="00841F50" w:rsidRDefault="002B101C">
      <w:pPr>
        <w:jc w:val="center"/>
        <w:rPr>
          <w:b/>
          <w:bCs/>
        </w:rPr>
      </w:pPr>
      <w:r>
        <w:rPr>
          <w:b/>
          <w:bCs/>
        </w:rPr>
        <w:t>TD 9734 (</w:t>
      </w:r>
      <w:r w:rsidR="00DA717A">
        <w:rPr>
          <w:b/>
          <w:bCs/>
        </w:rPr>
        <w:t>REG-120282-10</w:t>
      </w:r>
      <w:r>
        <w:rPr>
          <w:b/>
          <w:bCs/>
        </w:rPr>
        <w:t>)</w:t>
      </w:r>
      <w:r w:rsidR="00BF2148">
        <w:rPr>
          <w:b/>
          <w:bCs/>
        </w:rPr>
        <w:t xml:space="preserve"> and </w:t>
      </w:r>
      <w:r w:rsidR="00C43285">
        <w:rPr>
          <w:b/>
          <w:bCs/>
        </w:rPr>
        <w:t>Form 1042, Form 1042-</w:t>
      </w:r>
      <w:r w:rsidR="000E142A">
        <w:rPr>
          <w:b/>
          <w:bCs/>
        </w:rPr>
        <w:t>S</w:t>
      </w:r>
      <w:r>
        <w:rPr>
          <w:b/>
          <w:bCs/>
        </w:rPr>
        <w:t>,</w:t>
      </w:r>
      <w:r w:rsidR="00C43285">
        <w:rPr>
          <w:b/>
          <w:bCs/>
        </w:rPr>
        <w:t xml:space="preserve"> and</w:t>
      </w:r>
      <w:r w:rsidR="00395BFE">
        <w:rPr>
          <w:b/>
          <w:bCs/>
        </w:rPr>
        <w:t xml:space="preserve"> </w:t>
      </w:r>
      <w:r w:rsidR="00C43285">
        <w:rPr>
          <w:b/>
          <w:bCs/>
        </w:rPr>
        <w:t>Form 1042-T</w:t>
      </w:r>
    </w:p>
    <w:p w:rsidR="00465139" w:rsidP="00841F50" w:rsidRDefault="00465139">
      <w:pPr>
        <w:jc w:val="center"/>
        <w:rPr>
          <w:b/>
          <w:bCs/>
        </w:rPr>
      </w:pPr>
      <w:r w:rsidRPr="00465139">
        <w:rPr>
          <w:b/>
          <w:bCs/>
        </w:rPr>
        <w:t>Dividend Equivalents from Sources within the United States</w:t>
      </w:r>
    </w:p>
    <w:p w:rsidR="00841F50" w:rsidP="00841F50" w:rsidRDefault="00C43285">
      <w:pPr>
        <w:jc w:val="center"/>
        <w:rPr>
          <w:b/>
          <w:bCs/>
        </w:rPr>
      </w:pPr>
      <w:r>
        <w:rPr>
          <w:b/>
          <w:bCs/>
        </w:rPr>
        <w:t xml:space="preserve">OMB Control Number </w:t>
      </w:r>
      <w:r w:rsidR="00A66806">
        <w:rPr>
          <w:b/>
          <w:bCs/>
        </w:rPr>
        <w:t>1545-0096</w:t>
      </w:r>
    </w:p>
    <w:p w:rsidR="00841F50" w:rsidP="00841F50" w:rsidRDefault="00841F50">
      <w:pPr>
        <w:jc w:val="center"/>
        <w:rPr>
          <w:b/>
          <w:bCs/>
        </w:rPr>
      </w:pPr>
    </w:p>
    <w:p w:rsidRPr="000C5B54" w:rsidR="00841F50" w:rsidP="00841F50" w:rsidRDefault="00841F50">
      <w:pPr>
        <w:rPr>
          <w:b/>
          <w:u w:val="single"/>
        </w:rPr>
      </w:pPr>
      <w:r>
        <w:t xml:space="preserve">1. </w:t>
      </w:r>
      <w:r w:rsidR="007C25C7">
        <w:t xml:space="preserve">      </w:t>
      </w:r>
      <w:r>
        <w:t xml:space="preserve"> </w:t>
      </w:r>
      <w:r w:rsidRPr="000C5B54">
        <w:rPr>
          <w:b/>
          <w:u w:val="single"/>
        </w:rPr>
        <w:t>CIRCUMSTANCES NECESSITATING COLLECTION OF INFORMATION</w:t>
      </w:r>
    </w:p>
    <w:p w:rsidR="00841F50" w:rsidP="00841F50" w:rsidRDefault="00841F50"/>
    <w:p w:rsidR="00BF2148" w:rsidP="000C5B54" w:rsidRDefault="00BF2148">
      <w:pPr>
        <w:ind w:left="720"/>
      </w:pPr>
      <w:r w:rsidRPr="00BF2148">
        <w:t>On March 18, 2010, the HIRE Act, Pub. L. No. 111-147, 124 Stat. 71 (2010) was enacted.  The HIRE Act added new § 871(m) to the Internal Revenue Code, which provides that certain dividend equivalent payments are treated as U.S.-source dividends that are FDAP payments.  Se</w:t>
      </w:r>
      <w:r>
        <w:t>c</w:t>
      </w:r>
      <w:r w:rsidRPr="00BF2148">
        <w:t>t</w:t>
      </w:r>
      <w:r>
        <w:t>ions 1441 and 1442 require payers of FDAP to nonresident aliens, foreign partnerships, and foreign corporations to deduct and withhold this tax.  Withholding agents use Form 1042 to report tax withheld at source and deposited for foreign payees, if such withholdings are reported to the payee on Form 1042-S.  Form 1042-S is an informati</w:t>
      </w:r>
      <w:r w:rsidR="00E661E3">
        <w:t>on return that withholding agent</w:t>
      </w:r>
      <w:r>
        <w:t>s use to report certain income and tax withheld at the source to foreign payees</w:t>
      </w:r>
      <w:r w:rsidR="00E63EE8">
        <w:t xml:space="preserve"> and</w:t>
      </w:r>
      <w:r>
        <w:t xml:space="preserve"> </w:t>
      </w:r>
      <w:r w:rsidR="00E63EE8">
        <w:t>Form 1042-T is used to transmit Forms 1042-S to the IRS.</w:t>
      </w:r>
      <w:r w:rsidR="007C25C7">
        <w:t xml:space="preserve"> </w:t>
      </w:r>
      <w:r w:rsidRPr="00BF2148">
        <w:t xml:space="preserve">This </w:t>
      </w:r>
      <w:r>
        <w:t xml:space="preserve">final </w:t>
      </w:r>
      <w:r w:rsidRPr="00BF2148">
        <w:t xml:space="preserve">regulation clarifies how withholding agents must determine the amount of a dividend equivalent and collect information regarding those payments made to foreign taxpayers.  </w:t>
      </w:r>
      <w:r>
        <w:t>The information needed for this final regulation is</w:t>
      </w:r>
      <w:r w:rsidRPr="00BF2148">
        <w:t xml:space="preserve"> </w:t>
      </w:r>
      <w:proofErr w:type="gramStart"/>
      <w:r w:rsidRPr="00BF2148">
        <w:t>similar to</w:t>
      </w:r>
      <w:proofErr w:type="gramEnd"/>
      <w:r w:rsidRPr="00BF2148">
        <w:t xml:space="preserve"> the information being collected with respect to other types of FDAP payments. </w:t>
      </w:r>
    </w:p>
    <w:p w:rsidR="00BF2148" w:rsidP="00F326E3" w:rsidRDefault="00BF2148"/>
    <w:p w:rsidR="00891896" w:rsidP="00E63EE8" w:rsidRDefault="007E33BB">
      <w:pPr>
        <w:ind w:left="720"/>
      </w:pPr>
      <w:r w:rsidRPr="00F42235">
        <w:t>These final r</w:t>
      </w:r>
      <w:r w:rsidRPr="00F42235" w:rsidR="00BF2148">
        <w:t xml:space="preserve">egulations also </w:t>
      </w:r>
      <w:r w:rsidRPr="00F42235" w:rsidR="00E661E3">
        <w:t>provide</w:t>
      </w:r>
      <w:r w:rsidRPr="00F42235" w:rsidR="00BF2148">
        <w:t xml:space="preserve"> rules that relate to a collection of information pursuant to </w:t>
      </w:r>
      <w:r w:rsidRPr="00F42235">
        <w:t>the Qualified Intermediary Agreement (QI agreement)</w:t>
      </w:r>
      <w:r w:rsidRPr="00F42235" w:rsidR="00BF2148">
        <w:t xml:space="preserve">.  </w:t>
      </w:r>
      <w:r w:rsidRPr="009975C6" w:rsidR="00BF2148">
        <w:t>These regulation</w:t>
      </w:r>
      <w:r w:rsidRPr="009975C6" w:rsidR="00E661E3">
        <w:t>s provide that</w:t>
      </w:r>
      <w:r w:rsidRPr="009975C6" w:rsidR="00BF2148">
        <w:t xml:space="preserve"> </w:t>
      </w:r>
      <w:r w:rsidRPr="009975C6">
        <w:t xml:space="preserve">the QI agreement in </w:t>
      </w:r>
      <w:r w:rsidRPr="002E29D8" w:rsidR="00BF2148">
        <w:t xml:space="preserve">Rev. Proc. 2014-39 will be revised to accommodate qualified intermediaries who will be treated </w:t>
      </w:r>
      <w:r w:rsidRPr="002E29D8" w:rsidR="00D47B92">
        <w:t>as qualified derivatives dealers</w:t>
      </w:r>
      <w:r w:rsidRPr="00F42235" w:rsidR="00BF2148">
        <w:t xml:space="preserve"> (QDD).</w:t>
      </w:r>
      <w:r w:rsidR="00BF2148">
        <w:t xml:space="preserve">  To become a QDD, a foreign person must amend or enter into a </w:t>
      </w:r>
      <w:r>
        <w:t>QI agreement</w:t>
      </w:r>
      <w:r w:rsidR="00BF7285">
        <w:t xml:space="preserve"> with the IRS, as described in Rev. Proc. 2014-39.</w:t>
      </w:r>
      <w:r w:rsidR="00E661E3">
        <w:t xml:space="preserve">  </w:t>
      </w:r>
      <w:r w:rsidR="00BF7285">
        <w:t>A</w:t>
      </w:r>
      <w:r w:rsidR="00E661E3">
        <w:t xml:space="preserve"> foreign person who becomes a</w:t>
      </w:r>
      <w:r w:rsidR="00BF7285">
        <w:t xml:space="preserve"> QDD will be required to</w:t>
      </w:r>
      <w:r w:rsidRPr="00BF2148" w:rsidR="00BF2148">
        <w:t xml:space="preserve"> collect</w:t>
      </w:r>
      <w:r w:rsidR="000E142A">
        <w:t xml:space="preserve"> </w:t>
      </w:r>
      <w:r w:rsidRPr="00BF2148" w:rsidR="00BF2148">
        <w:t xml:space="preserve">information and </w:t>
      </w:r>
      <w:r w:rsidR="00BF7285">
        <w:t>perform</w:t>
      </w:r>
      <w:r w:rsidRPr="00BF2148" w:rsidR="00BF2148">
        <w:t xml:space="preserve"> information reporting</w:t>
      </w:r>
      <w:r w:rsidR="00BF7285">
        <w:t>;</w:t>
      </w:r>
      <w:r w:rsidRPr="00BF2148" w:rsidR="00BF2148">
        <w:t xml:space="preserve"> this collection is voluntary for entities seeking the benefits of the QDD regime.</w:t>
      </w:r>
      <w:r w:rsidR="00BF7285">
        <w:t xml:space="preserve">  </w:t>
      </w:r>
      <w:r>
        <w:t xml:space="preserve">The requirements of the QDD regime were incorporated into the QI agreement that was most recently published in Rev. Proc. 2017-15. </w:t>
      </w:r>
      <w:r w:rsidR="002B529D">
        <w:t>T</w:t>
      </w:r>
      <w:r w:rsidR="00BF7285">
        <w:t xml:space="preserve">he addition of the QDD </w:t>
      </w:r>
      <w:r>
        <w:t>regime was</w:t>
      </w:r>
      <w:r w:rsidR="00BF7285">
        <w:t xml:space="preserve"> made in response to </w:t>
      </w:r>
      <w:r w:rsidR="00E661E3">
        <w:t xml:space="preserve">public </w:t>
      </w:r>
      <w:r w:rsidR="00BF7285">
        <w:t>comments.</w:t>
      </w:r>
      <w:r w:rsidR="00465139">
        <w:t xml:space="preserve"> The burden associated with </w:t>
      </w:r>
      <w:r>
        <w:t xml:space="preserve">the </w:t>
      </w:r>
      <w:r w:rsidRPr="00F42235">
        <w:t>QI agreement</w:t>
      </w:r>
      <w:r>
        <w:t xml:space="preserve"> </w:t>
      </w:r>
      <w:r w:rsidR="00465139">
        <w:t>is reflected in OMB # 1545-1597.</w:t>
      </w:r>
    </w:p>
    <w:p w:rsidR="00FF316D" w:rsidP="00FF316D" w:rsidRDefault="00FF316D">
      <w:pPr>
        <w:ind w:firstLine="720"/>
      </w:pPr>
    </w:p>
    <w:p w:rsidR="00FF316D" w:rsidP="00E63EE8" w:rsidRDefault="00FF316D">
      <w:pPr>
        <w:ind w:left="720"/>
      </w:pPr>
      <w:r w:rsidRPr="00FF316D">
        <w:t xml:space="preserve">With respect to section 1.871-15(p), </w:t>
      </w:r>
      <w:r>
        <w:t>any party to a section 871(m) transaction may r</w:t>
      </w:r>
      <w:r w:rsidR="00323E42">
        <w:t xml:space="preserve">equest information regarding that transaction from another </w:t>
      </w:r>
      <w:r>
        <w:t>party to that transaction.  T</w:t>
      </w:r>
      <w:r w:rsidRPr="00FF316D">
        <w:t>here is no prescribed form required.  An</w:t>
      </w:r>
      <w:r>
        <w:t>y</w:t>
      </w:r>
      <w:r w:rsidRPr="00FF316D">
        <w:t xml:space="preserve"> statement required by section 1.871-15(p) may be</w:t>
      </w:r>
      <w:r w:rsidR="00323E42">
        <w:t xml:space="preserve"> provided in </w:t>
      </w:r>
      <w:r w:rsidRPr="00FF316D">
        <w:t>paper or electronic</w:t>
      </w:r>
      <w:r w:rsidR="00323E42">
        <w:t xml:space="preserve"> form</w:t>
      </w:r>
      <w:r w:rsidRPr="00FF316D">
        <w:t xml:space="preserve">.  The rule allows taxpayers to share information in any reasonable manner.  See 1.815-15(p)(3)(i) (providing that information may be provided “(A) By telephone, and confirmed in writing; (B) By written statement sent by first class mail to the address provided by the requesting party; (C) By electronic publication available to all persons </w:t>
      </w:r>
      <w:r w:rsidRPr="00FF316D">
        <w:lastRenderedPageBreak/>
        <w:t>entitled to request information; or (D) By any other method agreed to by the parties, and confirmed in writing.” ).</w:t>
      </w:r>
    </w:p>
    <w:p w:rsidR="00601B9F" w:rsidP="00E63EE8" w:rsidRDefault="00601B9F">
      <w:pPr>
        <w:ind w:left="720"/>
      </w:pPr>
    </w:p>
    <w:p w:rsidRPr="009F3E61" w:rsidR="00FF316D" w:rsidP="00CA7DA8" w:rsidRDefault="00601B9F">
      <w:pPr>
        <w:ind w:left="720"/>
        <w:rPr>
          <w:rFonts w:cs="Arial"/>
        </w:rPr>
      </w:pPr>
      <w:r w:rsidRPr="009F3E61">
        <w:rPr>
          <w:rFonts w:cs="Arial"/>
          <w:color w:val="01203B"/>
          <w:lang w:val="en"/>
        </w:rPr>
        <w:t xml:space="preserve">On May 13, 2019, REG-105476-18 (84 FR 21198) was released to the public.  This document contains proposed regulations implementing certain sections of the Internal </w:t>
      </w:r>
      <w:r w:rsidRPr="009F3E61">
        <w:rPr>
          <w:rFonts w:cs="Arial"/>
          <w:lang w:val="en"/>
        </w:rPr>
        <w:t>Revenue</w:t>
      </w:r>
      <w:r w:rsidRPr="009F3E61">
        <w:rPr>
          <w:rFonts w:cs="Arial"/>
          <w:color w:val="01203B"/>
          <w:lang w:val="en"/>
        </w:rPr>
        <w:t xml:space="preserve"> Code, including sections added to the Internal Revenue Code by the Tax Cuts and Jobs Act, that relate to the withholding of tax and information reporting with respect to certain dispositions of interests in partnerships engaged in the conduct of a trade or business within the United States. The proposed regulations affect certain foreign persons that recognize gain or loss from the sale or exchange of an interest in a partnership that is engaged in the conduct of a trade or business within the United States, and persons that acquire those interests. The proposed regulations also affect partnerships that, directly or indirectly, have foreign persons as partners.</w:t>
      </w:r>
    </w:p>
    <w:p w:rsidR="00891896" w:rsidP="00891896" w:rsidRDefault="00891896"/>
    <w:p w:rsidR="002A1F18" w:rsidP="00891896" w:rsidRDefault="002A1F18">
      <w:r>
        <w:t>2.</w:t>
      </w:r>
      <w:r>
        <w:tab/>
      </w:r>
      <w:r w:rsidRPr="00B614C5">
        <w:rPr>
          <w:b/>
          <w:u w:val="single"/>
        </w:rPr>
        <w:t>USE OF DATA</w:t>
      </w:r>
    </w:p>
    <w:p w:rsidR="00AA7CFE" w:rsidP="00841F50" w:rsidRDefault="00AA7CFE"/>
    <w:p w:rsidR="00AA7CFE" w:rsidP="00B614C5" w:rsidRDefault="00B614C5">
      <w:pPr>
        <w:ind w:left="720"/>
      </w:pPr>
      <w:r>
        <w:t>T</w:t>
      </w:r>
      <w:r w:rsidR="00BF7285">
        <w:t>he information will be used by the IRS to ensure compliance with the U.S. withholding system under the 1441 and 1442 regulations.</w:t>
      </w:r>
      <w:r w:rsidR="00FF316D">
        <w:t xml:space="preserve">  The collection of information also will be used by withholding agents to determine the amount, if any, of U.S. withholding tax to collect and pay.  </w:t>
      </w:r>
    </w:p>
    <w:p w:rsidR="002A1F18" w:rsidP="00841F50" w:rsidRDefault="002A1F18"/>
    <w:p w:rsidR="002A1F18" w:rsidP="008317B7" w:rsidRDefault="002A1F18">
      <w:r>
        <w:t>3.</w:t>
      </w:r>
      <w:r>
        <w:tab/>
      </w:r>
      <w:r w:rsidRPr="007C25C7">
        <w:rPr>
          <w:b/>
          <w:u w:val="single"/>
        </w:rPr>
        <w:t>USE OF IMP</w:t>
      </w:r>
      <w:r w:rsidRPr="007C25C7" w:rsidR="008317B7">
        <w:rPr>
          <w:b/>
          <w:u w:val="single"/>
        </w:rPr>
        <w:t>R</w:t>
      </w:r>
      <w:r w:rsidRPr="007C25C7">
        <w:rPr>
          <w:b/>
          <w:u w:val="single"/>
        </w:rPr>
        <w:t>OVED INFORMATION TECHNOLOGY TO REDUCE BURDEN</w:t>
      </w:r>
    </w:p>
    <w:p w:rsidR="006207C0" w:rsidP="007C25C7" w:rsidRDefault="007C25C7">
      <w:pPr>
        <w:tabs>
          <w:tab w:val="left" w:pos="6770"/>
        </w:tabs>
      </w:pPr>
      <w:r>
        <w:tab/>
      </w:r>
    </w:p>
    <w:p w:rsidR="002A1F18" w:rsidP="007C25C7" w:rsidRDefault="00F31B70">
      <w:pPr>
        <w:autoSpaceDE w:val="0"/>
        <w:autoSpaceDN w:val="0"/>
        <w:adjustRightInd w:val="0"/>
        <w:ind w:left="720"/>
        <w:rPr>
          <w:rFonts w:eastAsia="MS Mincho" w:cs="Arial"/>
          <w:lang w:eastAsia="ja-JP"/>
        </w:rPr>
      </w:pPr>
      <w:r w:rsidRPr="00F31B70">
        <w:rPr>
          <w:rFonts w:eastAsia="MS Mincho" w:cs="Arial"/>
          <w:lang w:eastAsia="ja-JP"/>
        </w:rPr>
        <w:t>IRS publication, regulati</w:t>
      </w:r>
      <w:r>
        <w:rPr>
          <w:rFonts w:eastAsia="MS Mincho" w:cs="Arial"/>
          <w:lang w:eastAsia="ja-JP"/>
        </w:rPr>
        <w:t xml:space="preserve">ons, notices and letters are to </w:t>
      </w:r>
      <w:r w:rsidRPr="00F31B70">
        <w:rPr>
          <w:rFonts w:eastAsia="MS Mincho" w:cs="Arial"/>
          <w:lang w:eastAsia="ja-JP"/>
        </w:rPr>
        <w:t>be electronically enabled on an as practicable basis in accordance with the IRS Reform and</w:t>
      </w:r>
      <w:r>
        <w:rPr>
          <w:rFonts w:eastAsia="MS Mincho" w:cs="Arial"/>
          <w:lang w:eastAsia="ja-JP"/>
        </w:rPr>
        <w:t xml:space="preserve"> </w:t>
      </w:r>
      <w:r w:rsidRPr="00F31B70">
        <w:rPr>
          <w:rFonts w:eastAsia="MS Mincho" w:cs="Arial"/>
          <w:lang w:eastAsia="ja-JP"/>
        </w:rPr>
        <w:t>Restructuring Act of 1998.</w:t>
      </w:r>
      <w:r w:rsidR="00BF7285">
        <w:rPr>
          <w:rFonts w:eastAsia="MS Mincho" w:cs="Arial"/>
          <w:lang w:eastAsia="ja-JP"/>
        </w:rPr>
        <w:t xml:space="preserve"> </w:t>
      </w:r>
      <w:r w:rsidR="007C25C7">
        <w:rPr>
          <w:rFonts w:eastAsia="MS Mincho" w:cs="Arial"/>
          <w:lang w:eastAsia="ja-JP"/>
        </w:rPr>
        <w:t xml:space="preserve">Forms 1042, 1042-S, and 1042-T can be filled out and filed online. </w:t>
      </w:r>
    </w:p>
    <w:p w:rsidRPr="00F31B70" w:rsidR="00F31B70" w:rsidP="00F31B70" w:rsidRDefault="00F31B70">
      <w:pPr>
        <w:autoSpaceDE w:val="0"/>
        <w:autoSpaceDN w:val="0"/>
        <w:adjustRightInd w:val="0"/>
        <w:ind w:firstLine="720"/>
      </w:pPr>
    </w:p>
    <w:p w:rsidRPr="007C25C7" w:rsidR="002A1F18" w:rsidP="00841F50" w:rsidRDefault="002A1F18">
      <w:pPr>
        <w:rPr>
          <w:b/>
          <w:u w:val="single"/>
        </w:rPr>
      </w:pPr>
      <w:r>
        <w:t>4.</w:t>
      </w:r>
      <w:r>
        <w:tab/>
      </w:r>
      <w:r w:rsidRPr="007C25C7">
        <w:rPr>
          <w:b/>
          <w:u w:val="single"/>
        </w:rPr>
        <w:t>EFFORTS TO IDENTIFY DUPLICATION</w:t>
      </w:r>
    </w:p>
    <w:p w:rsidR="00AA7CFE" w:rsidP="00841F50" w:rsidRDefault="00AA7CFE"/>
    <w:p w:rsidRPr="00AA7CFE" w:rsidR="00AA7CFE" w:rsidP="002B529D" w:rsidRDefault="007638DF">
      <w:pPr>
        <w:ind w:left="720"/>
      </w:pPr>
      <w:r w:rsidRPr="007638DF">
        <w:rPr>
          <w:iCs/>
        </w:rPr>
        <w:t>The information obtained through this collection is unique and is not already available for use or adaptation from another source.</w:t>
      </w:r>
    </w:p>
    <w:p w:rsidR="002A1F18" w:rsidP="00841F50" w:rsidRDefault="002A1F18"/>
    <w:p w:rsidRPr="007C25C7" w:rsidR="00AA7CFE" w:rsidP="002A1F18" w:rsidRDefault="002A1F18">
      <w:pPr>
        <w:ind w:left="720" w:hanging="720"/>
        <w:rPr>
          <w:b/>
          <w:u w:val="single"/>
        </w:rPr>
      </w:pPr>
      <w:r>
        <w:t>5.</w:t>
      </w:r>
      <w:r>
        <w:tab/>
      </w:r>
      <w:r w:rsidRPr="007C25C7">
        <w:rPr>
          <w:b/>
          <w:u w:val="single"/>
        </w:rPr>
        <w:t>METHODS TO MINIMIZE BURDEN ON SMALL BUSINESSES OR OTHER SMALL ENTITIES</w:t>
      </w:r>
    </w:p>
    <w:p w:rsidR="007E33BB" w:rsidP="00EF7B35" w:rsidRDefault="00AA7CFE">
      <w:pPr>
        <w:ind w:left="720" w:hanging="720"/>
      </w:pPr>
      <w:r>
        <w:tab/>
      </w:r>
      <w:bookmarkStart w:name="_Hlk10106053" w:id="1"/>
    </w:p>
    <w:p w:rsidR="007E33BB" w:rsidP="002B529D" w:rsidRDefault="007E33BB">
      <w:pPr>
        <w:ind w:left="720"/>
        <w:rPr>
          <w:rFonts w:ascii="Calibri" w:hAnsi="Calibri"/>
          <w:sz w:val="22"/>
          <w:szCs w:val="22"/>
        </w:rPr>
      </w:pPr>
      <w:r>
        <w:t xml:space="preserve">It is hereby certified that these final regulations will not have a significant economic impact on a substantial number of small entities within the meaning of section 601(6) of the Regulatory Flexibility Act (RFA) (5 U.S.C. chapter 6).  </w:t>
      </w:r>
    </w:p>
    <w:p w:rsidR="00EF7B35" w:rsidP="002B529D" w:rsidRDefault="00EF7B35">
      <w:pPr>
        <w:ind w:left="720"/>
      </w:pPr>
      <w:r w:rsidRPr="007E33BB">
        <w:t xml:space="preserve">es. This certification is </w:t>
      </w:r>
      <w:proofErr w:type="gramStart"/>
      <w:r w:rsidRPr="007E33BB">
        <w:t>based on the fact that</w:t>
      </w:r>
      <w:proofErr w:type="gramEnd"/>
      <w:r w:rsidRPr="007E33BB">
        <w:t xml:space="preserve"> few, if any, small entities will be affected by these regulations. The regulations will primarily affect multinational financial institutions, which tend to be larger businesses, and foreign entities. Therefore, a Regulatory Flexibility Analysis is not required. Pursuant to section 7805(f) of the Code, these regulations have been submitted to the Chief Counsel for Advocacy of the Small Business Administration for comment on its impact on small business.</w:t>
      </w:r>
    </w:p>
    <w:p w:rsidR="00EF7B35" w:rsidP="00EF7B35" w:rsidRDefault="00EF7B35">
      <w:pPr>
        <w:ind w:left="720" w:hanging="720"/>
      </w:pPr>
    </w:p>
    <w:bookmarkEnd w:id="1"/>
    <w:p w:rsidRPr="007C25C7" w:rsidR="002A1F18" w:rsidP="002A1F18" w:rsidRDefault="002A1F18">
      <w:pPr>
        <w:ind w:left="720" w:hanging="720"/>
        <w:rPr>
          <w:b/>
          <w:u w:val="single"/>
        </w:rPr>
      </w:pPr>
      <w:r>
        <w:t>6.</w:t>
      </w:r>
      <w:r>
        <w:tab/>
      </w:r>
      <w:r w:rsidRPr="007C25C7">
        <w:rPr>
          <w:b/>
          <w:u w:val="single"/>
        </w:rPr>
        <w:t>CONSEQUENCES OF LESS FREQUENT COLLECTION ON FEDERAL PROGRAMS OR POLICY ACTIVITIES</w:t>
      </w:r>
    </w:p>
    <w:p w:rsidRPr="007C25C7" w:rsidR="00AA7CFE" w:rsidP="002A1F18" w:rsidRDefault="00AA7CFE">
      <w:pPr>
        <w:ind w:left="720" w:hanging="720"/>
        <w:rPr>
          <w:b/>
          <w:u w:val="single"/>
        </w:rPr>
      </w:pPr>
    </w:p>
    <w:p w:rsidR="00850D3A" w:rsidP="007C25C7" w:rsidRDefault="00850D3A">
      <w:pPr>
        <w:ind w:left="720"/>
      </w:pPr>
      <w:r w:rsidRPr="00F42235">
        <w:t xml:space="preserve">The requirements of the collections of information required in the final regulations </w:t>
      </w:r>
      <w:r w:rsidRPr="00F42235" w:rsidR="00902A20">
        <w:t xml:space="preserve">described in section 1 above </w:t>
      </w:r>
      <w:r w:rsidRPr="00F42235" w:rsidR="00CF4C56">
        <w:t xml:space="preserve">are </w:t>
      </w:r>
      <w:r w:rsidRPr="00F42235">
        <w:t>necessary to determine when withholding at source requirements apply</w:t>
      </w:r>
      <w:r w:rsidRPr="00F42235" w:rsidR="00CF4C56">
        <w:t>, which</w:t>
      </w:r>
      <w:r w:rsidRPr="00F42235" w:rsidR="00902A20">
        <w:t>,</w:t>
      </w:r>
      <w:r w:rsidRPr="00F42235" w:rsidR="00CF4C56">
        <w:t xml:space="preserve"> in turn</w:t>
      </w:r>
      <w:r w:rsidRPr="00F42235" w:rsidR="00902A20">
        <w:t>,</w:t>
      </w:r>
      <w:r w:rsidRPr="00F42235" w:rsidR="00CF4C56">
        <w:t xml:space="preserve"> relates to when the payments subject to withholding are to be reflected on Forms 1042 and 1042-S.  As a result, less frequent collections of information were not deemed feasible based on the requirements of the final regulations.</w:t>
      </w:r>
      <w:r w:rsidR="00CF4C56">
        <w:t xml:space="preserve">  </w:t>
      </w:r>
      <w:r>
        <w:t xml:space="preserve"> </w:t>
      </w:r>
    </w:p>
    <w:p w:rsidRPr="00850D3A" w:rsidR="002A1F18" w:rsidP="00841F50" w:rsidRDefault="002A1F18"/>
    <w:p w:rsidRPr="007C25C7" w:rsidR="002A1F18" w:rsidP="002A1F18" w:rsidRDefault="002A1F18">
      <w:pPr>
        <w:ind w:left="720" w:hanging="720"/>
        <w:rPr>
          <w:b/>
          <w:u w:val="single"/>
        </w:rPr>
      </w:pPr>
      <w:r>
        <w:t>7.</w:t>
      </w:r>
      <w:r>
        <w:tab/>
      </w:r>
      <w:r w:rsidRPr="007C25C7">
        <w:rPr>
          <w:b/>
          <w:u w:val="single"/>
        </w:rPr>
        <w:t>SPECIAL CIRCUMSTANCES REQUIRING DATA COLLECTION TO BE INCONSISTENT WITH GUIDELINES IN 5 CFR 1320.5(d)(2)</w:t>
      </w:r>
    </w:p>
    <w:p w:rsidRPr="007C25C7" w:rsidR="00AA7CFE" w:rsidP="002A1F18" w:rsidRDefault="00AA7CFE">
      <w:pPr>
        <w:ind w:left="720" w:hanging="720"/>
        <w:rPr>
          <w:b/>
          <w:u w:val="single"/>
        </w:rPr>
      </w:pPr>
    </w:p>
    <w:p w:rsidR="00AA7CFE" w:rsidP="002A1F18" w:rsidRDefault="00AA7CFE">
      <w:pPr>
        <w:ind w:left="720" w:hanging="720"/>
      </w:pPr>
      <w:r>
        <w:tab/>
      </w:r>
      <w:r w:rsidRPr="00877029" w:rsidR="00787CB3">
        <w:t>There are no special circumstances requiring data collection to be inconsistent with Guidelines in 5 CFR 1320.5(d)(2).</w:t>
      </w:r>
    </w:p>
    <w:p w:rsidR="002A1F18" w:rsidP="00841F50" w:rsidRDefault="002A1F18"/>
    <w:p w:rsidRPr="00787CB3" w:rsidR="00AA7CFE" w:rsidP="002A1F18" w:rsidRDefault="002A1F18">
      <w:pPr>
        <w:ind w:left="720" w:hanging="720"/>
        <w:rPr>
          <w:b/>
          <w:u w:val="single"/>
        </w:rPr>
      </w:pPr>
      <w:r>
        <w:t>8.</w:t>
      </w:r>
      <w:r>
        <w:tab/>
      </w:r>
      <w:r w:rsidRPr="00787CB3">
        <w:rPr>
          <w:b/>
          <w:u w:val="single"/>
        </w:rPr>
        <w:t>CONSULTATION WITH INDIVIDENALS OUTSIDE OF THE AGENCY ON AVAILABILITY OF DATA, FREQUENCY OF COLLECTION, CLARITY OF INSTRUCTIONS AND FORMS, AND DATA ELEMENTS</w:t>
      </w:r>
    </w:p>
    <w:p w:rsidR="00794D21" w:rsidP="00794D21" w:rsidRDefault="00794D21">
      <w:pPr>
        <w:rPr>
          <w:rFonts w:eastAsia="MS Mincho" w:cs="Arial"/>
          <w:lang w:eastAsia="ja-JP"/>
        </w:rPr>
      </w:pPr>
    </w:p>
    <w:p w:rsidR="007B3704" w:rsidP="00DB249D" w:rsidRDefault="009F3E61">
      <w:pPr>
        <w:ind w:left="720"/>
        <w:rPr>
          <w:rFonts w:eastAsia="MS Mincho" w:cs="Arial"/>
          <w:lang w:eastAsia="ja-JP"/>
        </w:rPr>
      </w:pPr>
      <w:r>
        <w:rPr>
          <w:rFonts w:eastAsia="MS Mincho" w:cs="Arial"/>
          <w:lang w:eastAsia="ja-JP"/>
        </w:rPr>
        <w:t>The proposed regulations</w:t>
      </w:r>
      <w:r w:rsidRPr="009F3E61">
        <w:rPr>
          <w:rFonts w:cs="Arial"/>
          <w:color w:val="01203B"/>
          <w:lang w:val="en"/>
        </w:rPr>
        <w:t xml:space="preserve"> </w:t>
      </w:r>
      <w:r>
        <w:rPr>
          <w:rFonts w:cs="Arial"/>
          <w:color w:val="01203B"/>
          <w:lang w:val="en"/>
        </w:rPr>
        <w:t>(</w:t>
      </w:r>
      <w:r w:rsidRPr="009F3E61">
        <w:rPr>
          <w:rFonts w:cs="Arial"/>
          <w:color w:val="01203B"/>
          <w:lang w:val="en"/>
        </w:rPr>
        <w:t>REG-105476-18</w:t>
      </w:r>
      <w:r>
        <w:rPr>
          <w:rFonts w:cs="Arial"/>
          <w:color w:val="01203B"/>
          <w:lang w:val="en"/>
        </w:rPr>
        <w:t>)</w:t>
      </w:r>
      <w:r>
        <w:rPr>
          <w:rFonts w:eastAsia="MS Mincho" w:cs="Arial"/>
          <w:lang w:eastAsia="ja-JP"/>
        </w:rPr>
        <w:t xml:space="preserve">, released </w:t>
      </w:r>
      <w:r w:rsidRPr="009F3E61">
        <w:rPr>
          <w:rFonts w:cs="Arial"/>
          <w:color w:val="01203B"/>
          <w:lang w:val="en"/>
        </w:rPr>
        <w:t>May 13, 2019</w:t>
      </w:r>
      <w:r>
        <w:rPr>
          <w:rFonts w:cs="Arial"/>
          <w:color w:val="01203B"/>
          <w:lang w:val="en"/>
        </w:rPr>
        <w:t xml:space="preserve"> </w:t>
      </w:r>
      <w:r w:rsidRPr="009F3E61">
        <w:rPr>
          <w:rFonts w:cs="Arial"/>
          <w:color w:val="01203B"/>
          <w:lang w:val="en"/>
        </w:rPr>
        <w:t>(84 FR 21198)</w:t>
      </w:r>
      <w:r>
        <w:rPr>
          <w:rFonts w:cs="Arial"/>
          <w:color w:val="01203B"/>
          <w:lang w:val="en"/>
        </w:rPr>
        <w:t xml:space="preserve">, provided for written </w:t>
      </w:r>
      <w:r w:rsidRPr="007B3704" w:rsidR="007B3704">
        <w:rPr>
          <w:rFonts w:eastAsia="MS Mincho" w:cs="Arial"/>
          <w:lang w:eastAsia="ja-JP"/>
        </w:rPr>
        <w:t>or electronic comments</w:t>
      </w:r>
      <w:r>
        <w:rPr>
          <w:rFonts w:eastAsia="MS Mincho" w:cs="Arial"/>
          <w:lang w:eastAsia="ja-JP"/>
        </w:rPr>
        <w:t xml:space="preserve">.  Any comments </w:t>
      </w:r>
      <w:r w:rsidRPr="007B3704" w:rsidR="007B3704">
        <w:rPr>
          <w:rFonts w:eastAsia="MS Mincho" w:cs="Arial"/>
          <w:lang w:eastAsia="ja-JP"/>
        </w:rPr>
        <w:t xml:space="preserve">and requests for a public hearing </w:t>
      </w:r>
      <w:r>
        <w:rPr>
          <w:rFonts w:eastAsia="MS Mincho" w:cs="Arial"/>
          <w:lang w:eastAsia="ja-JP"/>
        </w:rPr>
        <w:t xml:space="preserve">had to </w:t>
      </w:r>
      <w:r w:rsidRPr="007B3704" w:rsidR="007B3704">
        <w:rPr>
          <w:rFonts w:eastAsia="MS Mincho" w:cs="Arial"/>
          <w:lang w:eastAsia="ja-JP"/>
        </w:rPr>
        <w:t>be received by July 12, 2019.</w:t>
      </w:r>
      <w:r w:rsidRPr="009F3E61">
        <w:rPr>
          <w:rFonts w:eastAsia="MS Mincho" w:cs="Arial"/>
          <w:lang w:eastAsia="ja-JP"/>
        </w:rPr>
        <w:t xml:space="preserve"> </w:t>
      </w:r>
      <w:r>
        <w:rPr>
          <w:rFonts w:eastAsia="MS Mincho" w:cs="Arial"/>
          <w:lang w:eastAsia="ja-JP"/>
        </w:rPr>
        <w:t xml:space="preserve">A summary of these comments or requests will be included with the release of any final regulations.  </w:t>
      </w:r>
    </w:p>
    <w:p w:rsidR="00BF7285" w:rsidP="00CA7DA8" w:rsidRDefault="00794D21">
      <w:r>
        <w:rPr>
          <w:rFonts w:eastAsia="MS Mincho" w:cs="Arial"/>
          <w:lang w:eastAsia="ja-JP"/>
        </w:rPr>
        <w:t xml:space="preserve">           </w:t>
      </w:r>
    </w:p>
    <w:p w:rsidR="002A1F18" w:rsidP="002A1F18" w:rsidRDefault="002A1F18">
      <w:pPr>
        <w:ind w:left="720" w:hanging="720"/>
      </w:pPr>
      <w:r>
        <w:t>9.</w:t>
      </w:r>
      <w:r>
        <w:tab/>
      </w:r>
      <w:r w:rsidRPr="00787CB3">
        <w:rPr>
          <w:b/>
          <w:u w:val="single"/>
        </w:rPr>
        <w:t>EXPLANATION OF DECISION TO PROVIDE ANY PAYMENT OR GIFT TO RESPONDENTS</w:t>
      </w:r>
    </w:p>
    <w:p w:rsidR="00AA7CFE" w:rsidP="002A1F18" w:rsidRDefault="00AA7CFE">
      <w:pPr>
        <w:ind w:left="720" w:hanging="720"/>
      </w:pPr>
    </w:p>
    <w:p w:rsidRPr="002A1F18" w:rsidR="00AA7CFE" w:rsidP="00AA7CFE" w:rsidRDefault="00AA7CFE">
      <w:pPr>
        <w:ind w:left="720" w:hanging="720"/>
      </w:pPr>
      <w:r>
        <w:tab/>
      </w:r>
      <w:r w:rsidRPr="00877029" w:rsidR="00787CB3">
        <w:t>No payment or gift has been provided to any respondents</w:t>
      </w:r>
    </w:p>
    <w:p w:rsidR="002A1F18" w:rsidP="00841F50" w:rsidRDefault="002A1F18"/>
    <w:p w:rsidR="002A1F18" w:rsidP="00841F50" w:rsidRDefault="002A1F18">
      <w:r>
        <w:t>10.</w:t>
      </w:r>
      <w:r>
        <w:tab/>
      </w:r>
      <w:r w:rsidRPr="00787CB3">
        <w:rPr>
          <w:b/>
          <w:u w:val="single"/>
        </w:rPr>
        <w:t>ASSURANCE OF CONFIDENTIALITY OF RESPONSES</w:t>
      </w:r>
    </w:p>
    <w:p w:rsidR="00AA7CFE" w:rsidP="00841F50" w:rsidRDefault="00AA7CFE"/>
    <w:p w:rsidR="00787CB3" w:rsidP="00AA7CFE" w:rsidRDefault="00AA7CFE">
      <w:pPr>
        <w:ind w:firstLine="720"/>
      </w:pPr>
      <w:r w:rsidRPr="00AA7CFE">
        <w:t xml:space="preserve">Generally, tax returns and tax return information are confidential as required by </w:t>
      </w:r>
    </w:p>
    <w:p w:rsidRPr="00AA7CFE" w:rsidR="00AA7CFE" w:rsidP="00AA7CFE" w:rsidRDefault="00AA7CFE">
      <w:pPr>
        <w:ind w:firstLine="720"/>
      </w:pPr>
      <w:r w:rsidRPr="00AA7CFE">
        <w:t>26 USC 6103.</w:t>
      </w:r>
    </w:p>
    <w:p w:rsidR="002A1F18" w:rsidP="00841F50" w:rsidRDefault="002A1F18"/>
    <w:p w:rsidR="002A1F18" w:rsidP="00841F50" w:rsidRDefault="002A1F18">
      <w:pPr>
        <w:rPr>
          <w:b/>
          <w:u w:val="single"/>
        </w:rPr>
      </w:pPr>
      <w:r>
        <w:t>11.</w:t>
      </w:r>
      <w:r>
        <w:tab/>
      </w:r>
      <w:r w:rsidRPr="00787CB3">
        <w:rPr>
          <w:b/>
          <w:u w:val="single"/>
        </w:rPr>
        <w:t>JUSTIFICATION OF SENSITIVE QUESTIONS</w:t>
      </w:r>
    </w:p>
    <w:p w:rsidR="00465139" w:rsidP="00841F50" w:rsidRDefault="00465139"/>
    <w:p w:rsidR="00856445" w:rsidP="00203784" w:rsidRDefault="00465139">
      <w:pPr>
        <w:ind w:left="720"/>
      </w:pPr>
      <w:r>
        <w:t>A privacy impact assessment (PIA) has been conducted for information collected under this request as part of the</w:t>
      </w:r>
      <w:r w:rsidR="00B30305">
        <w:t xml:space="preserve"> following systems</w:t>
      </w:r>
      <w:r w:rsidR="00856445">
        <w:t>:</w:t>
      </w:r>
    </w:p>
    <w:p w:rsidR="00856445" w:rsidP="00203784" w:rsidRDefault="00465139">
      <w:pPr>
        <w:ind w:left="720"/>
      </w:pPr>
      <w:r>
        <w:t>“Business Master File (BMF)”</w:t>
      </w:r>
      <w:r w:rsidR="00856445">
        <w:t xml:space="preserve"> </w:t>
      </w:r>
      <w:r w:rsidR="00203784">
        <w:t xml:space="preserve"> </w:t>
      </w:r>
    </w:p>
    <w:p w:rsidR="00856445" w:rsidP="00203784" w:rsidRDefault="00203784">
      <w:pPr>
        <w:ind w:left="720"/>
      </w:pPr>
      <w:r>
        <w:t xml:space="preserve"> “</w:t>
      </w:r>
      <w:r w:rsidRPr="00203784">
        <w:t>Withholding &amp; Refund</w:t>
      </w:r>
      <w:r w:rsidR="00856445">
        <w:t xml:space="preserve"> </w:t>
      </w:r>
      <w:proofErr w:type="gramStart"/>
      <w:r w:rsidR="00856445">
        <w:t>(</w:t>
      </w:r>
      <w:r w:rsidRPr="00203784">
        <w:t xml:space="preserve"> W</w:t>
      </w:r>
      <w:proofErr w:type="gramEnd"/>
      <w:r w:rsidRPr="00203784">
        <w:t>&amp;R</w:t>
      </w:r>
      <w:r w:rsidR="00856445">
        <w:t>)</w:t>
      </w:r>
      <w:r>
        <w:t>”</w:t>
      </w:r>
    </w:p>
    <w:p w:rsidR="00856445" w:rsidP="00856445" w:rsidRDefault="00856445">
      <w:pPr>
        <w:ind w:left="720"/>
      </w:pPr>
      <w:r>
        <w:t>“</w:t>
      </w:r>
      <w:r w:rsidRPr="00856445">
        <w:t>Payer Master File (PMF)</w:t>
      </w:r>
      <w:r>
        <w:t xml:space="preserve">” </w:t>
      </w:r>
    </w:p>
    <w:p w:rsidR="00856445" w:rsidP="00856445" w:rsidRDefault="00856445">
      <w:pPr>
        <w:ind w:left="720"/>
      </w:pPr>
      <w:r>
        <w:t>“</w:t>
      </w:r>
      <w:r w:rsidRPr="00856445">
        <w:t>FATCA Withholding &amp; Refund, FATCA W&amp;R</w:t>
      </w:r>
      <w:r>
        <w:t>”</w:t>
      </w:r>
    </w:p>
    <w:p w:rsidR="00B30305" w:rsidP="00856445" w:rsidRDefault="00B30305">
      <w:pPr>
        <w:ind w:left="720"/>
      </w:pPr>
      <w:r>
        <w:t>“</w:t>
      </w:r>
      <w:r w:rsidRPr="00B30305">
        <w:t>International Compliance Management Model, ICMM</w:t>
      </w:r>
      <w:r>
        <w:t>”</w:t>
      </w:r>
    </w:p>
    <w:p w:rsidR="00856445" w:rsidP="00856445" w:rsidRDefault="00856445">
      <w:pPr>
        <w:ind w:left="720"/>
      </w:pPr>
    </w:p>
    <w:p w:rsidR="00856445" w:rsidP="00203784" w:rsidRDefault="00465139">
      <w:pPr>
        <w:ind w:left="720"/>
      </w:pPr>
      <w:r>
        <w:t>Privacy Act System of Records notice (SORN) ha</w:t>
      </w:r>
      <w:r w:rsidR="00856445">
        <w:t>ve</w:t>
      </w:r>
      <w:r>
        <w:t xml:space="preserve"> been issued for th</w:t>
      </w:r>
      <w:r w:rsidR="00042E1B">
        <w:t>ese</w:t>
      </w:r>
      <w:r>
        <w:t xml:space="preserve"> system</w:t>
      </w:r>
      <w:r w:rsidR="00042E1B">
        <w:t>s</w:t>
      </w:r>
      <w:r>
        <w:t xml:space="preserve"> under</w:t>
      </w:r>
      <w:r w:rsidR="00B30305">
        <w:t>:</w:t>
      </w:r>
    </w:p>
    <w:p w:rsidR="00856445" w:rsidP="00203784" w:rsidRDefault="00465139">
      <w:pPr>
        <w:ind w:left="720"/>
      </w:pPr>
      <w:r>
        <w:t xml:space="preserve"> IRS 24.046-Customer Account Data Engine Business Master File</w:t>
      </w:r>
    </w:p>
    <w:p w:rsidR="00856445" w:rsidP="00203784" w:rsidRDefault="00203784">
      <w:pPr>
        <w:ind w:left="720"/>
      </w:pPr>
      <w:r>
        <w:t xml:space="preserve"> IRS</w:t>
      </w:r>
      <w:r w:rsidRPr="00203784">
        <w:t xml:space="preserve"> </w:t>
      </w:r>
      <w:r>
        <w:t>2.017-International Enforcement Program File</w:t>
      </w:r>
    </w:p>
    <w:p w:rsidR="00856445" w:rsidP="00203784" w:rsidRDefault="00203784">
      <w:pPr>
        <w:ind w:left="720"/>
      </w:pPr>
      <w:r>
        <w:t xml:space="preserve"> IRS 2.021-Compliance Programs and Project Files</w:t>
      </w:r>
    </w:p>
    <w:p w:rsidR="00856445" w:rsidP="00203784" w:rsidRDefault="00203784">
      <w:pPr>
        <w:ind w:left="720"/>
      </w:pPr>
      <w:r>
        <w:t xml:space="preserve"> IRS</w:t>
      </w:r>
      <w:r w:rsidR="00856445">
        <w:t xml:space="preserve"> 2</w:t>
      </w:r>
      <w:r>
        <w:t>4.030-Customer Account Data Engine Individual Master File</w:t>
      </w:r>
    </w:p>
    <w:p w:rsidR="00856445" w:rsidP="00203784" w:rsidRDefault="00203784">
      <w:pPr>
        <w:ind w:left="720"/>
      </w:pPr>
      <w:r>
        <w:t xml:space="preserve"> IRS </w:t>
      </w:r>
      <w:r w:rsidR="00856445">
        <w:t>3</w:t>
      </w:r>
      <w:r>
        <w:t>4.037-IRS Audit Trail and Security Records System</w:t>
      </w:r>
    </w:p>
    <w:p w:rsidR="00B30305" w:rsidP="00203784" w:rsidRDefault="00203784">
      <w:pPr>
        <w:ind w:left="720"/>
      </w:pPr>
      <w:r>
        <w:t xml:space="preserve"> IRS 22.026-Form 1042 Name Directory</w:t>
      </w:r>
    </w:p>
    <w:p w:rsidR="00856445" w:rsidP="00203784" w:rsidRDefault="00465139">
      <w:pPr>
        <w:ind w:left="720"/>
      </w:pPr>
      <w:r>
        <w:t xml:space="preserve"> </w:t>
      </w:r>
    </w:p>
    <w:p w:rsidR="00465139" w:rsidP="00203784" w:rsidRDefault="00465139">
      <w:pPr>
        <w:ind w:left="720"/>
      </w:pPr>
      <w:r>
        <w:t xml:space="preserve">The Internal Revenue Service PIAs can be found at </w:t>
      </w:r>
      <w:hyperlink w:history="1" r:id="rId6">
        <w:r w:rsidRPr="00D05676" w:rsidR="000E142A">
          <w:rPr>
            <w:rStyle w:val="Hyperlink"/>
          </w:rPr>
          <w:t>https://www.irs.gov/uac/Privacy-Impact-Assessments-PIA</w:t>
        </w:r>
      </w:hyperlink>
      <w:r>
        <w:t xml:space="preserve">. </w:t>
      </w:r>
    </w:p>
    <w:p w:rsidR="00465139" w:rsidP="00465139" w:rsidRDefault="00465139">
      <w:pPr>
        <w:ind w:left="720"/>
      </w:pPr>
    </w:p>
    <w:p w:rsidRPr="002A1F18" w:rsidR="00AA7CFE" w:rsidP="00465139" w:rsidRDefault="00465139">
      <w:pPr>
        <w:ind w:left="720"/>
      </w:pPr>
      <w: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00AA7CFE">
        <w:tab/>
      </w:r>
    </w:p>
    <w:p w:rsidR="002A1F18" w:rsidP="00841F50" w:rsidRDefault="002A1F18"/>
    <w:p w:rsidRPr="00787CB3" w:rsidR="002A1F18" w:rsidP="00841F50" w:rsidRDefault="002A1F18">
      <w:pPr>
        <w:rPr>
          <w:u w:val="single"/>
        </w:rPr>
      </w:pPr>
      <w:r>
        <w:t>12.</w:t>
      </w:r>
      <w:r>
        <w:tab/>
      </w:r>
      <w:r w:rsidRPr="00787CB3">
        <w:rPr>
          <w:b/>
          <w:u w:val="single"/>
        </w:rPr>
        <w:t>ESTIMATED BURDEN OF INFORMATION COLLECTION</w:t>
      </w:r>
    </w:p>
    <w:p w:rsidR="002A4A24" w:rsidP="00841F50" w:rsidRDefault="002A4A24">
      <w:pPr>
        <w:rPr>
          <w:b/>
          <w:bCs/>
        </w:rPr>
      </w:pPr>
    </w:p>
    <w:p w:rsidRPr="007638DF" w:rsidR="007638DF" w:rsidP="007638DF" w:rsidRDefault="007638DF">
      <w:pPr>
        <w:ind w:left="720"/>
      </w:pPr>
      <w:r w:rsidRPr="007638DF">
        <w:t xml:space="preserve">The information will be used by the IRS to ensure compliance with the U.S. withholding system under the 1441 and 1442 regulations.  The collection of information also will be used by </w:t>
      </w:r>
      <w:r>
        <w:t>approximately 3,61</w:t>
      </w:r>
      <w:r w:rsidR="00CA7DA8">
        <w:t>7</w:t>
      </w:r>
      <w:r>
        <w:t xml:space="preserve">,200 </w:t>
      </w:r>
      <w:r w:rsidRPr="007638DF">
        <w:t>withholding agents to determine the amount, if any, of U.S. withholding tax to collect and pay</w:t>
      </w:r>
      <w:r>
        <w:t xml:space="preserve"> totaling 2,94</w:t>
      </w:r>
      <w:r w:rsidR="00CA7DA8">
        <w:t>9</w:t>
      </w:r>
      <w:r>
        <w:t>,</w:t>
      </w:r>
      <w:r w:rsidR="00CA7DA8">
        <w:t>07</w:t>
      </w:r>
      <w:r>
        <w:t>4 hours of burden</w:t>
      </w:r>
      <w:r w:rsidRPr="007638DF">
        <w:t xml:space="preserve">.  </w:t>
      </w:r>
    </w:p>
    <w:p w:rsidR="00EF7B35" w:rsidP="00B34776" w:rsidRDefault="00EF7B35">
      <w:pPr>
        <w:rPr>
          <w:b/>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EF7B35" w:rsidTr="004E01A9">
        <w:tc>
          <w:tcPr>
            <w:tcW w:w="1258" w:type="dxa"/>
            <w:shd w:val="clear" w:color="auto" w:fill="auto"/>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EF7B35" w:rsidTr="004E01A9">
        <w:tc>
          <w:tcPr>
            <w:tcW w:w="1258" w:type="dxa"/>
            <w:shd w:val="clear" w:color="auto" w:fill="auto"/>
            <w:vAlign w:val="bottom"/>
          </w:tcPr>
          <w:p w:rsidRPr="00C94E69" w:rsidR="00EF7B35" w:rsidP="004E01A9" w:rsidRDefault="00EE7FFE">
            <w:pPr>
              <w:keepNext/>
              <w:keepLines/>
              <w:numPr>
                <w:ilvl w:val="12"/>
                <w:numId w:val="0"/>
              </w:numPr>
              <w:jc w:val="center"/>
              <w:rPr>
                <w:rFonts w:ascii="Arial Narrow" w:hAnsi="Arial Narrow"/>
                <w:sz w:val="18"/>
                <w:szCs w:val="18"/>
              </w:rPr>
            </w:pPr>
            <w:r>
              <w:rPr>
                <w:rFonts w:ascii="Arial Narrow" w:hAnsi="Arial Narrow"/>
                <w:sz w:val="18"/>
                <w:szCs w:val="18"/>
              </w:rPr>
              <w:t>IRC 1441 1442</w:t>
            </w:r>
          </w:p>
        </w:tc>
        <w:tc>
          <w:tcPr>
            <w:tcW w:w="1916"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Form 1042</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36,400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36,400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18.05</w:t>
            </w: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657,020</w:t>
            </w:r>
          </w:p>
        </w:tc>
      </w:tr>
      <w:tr w:rsidRPr="00C94E69" w:rsidR="00EF7B35" w:rsidTr="004E01A9">
        <w:tc>
          <w:tcPr>
            <w:tcW w:w="1258" w:type="dxa"/>
            <w:shd w:val="clear" w:color="auto" w:fill="auto"/>
            <w:vAlign w:val="bottom"/>
          </w:tcPr>
          <w:p w:rsidRPr="00C94E69" w:rsidR="00EF7B35" w:rsidP="004E01A9" w:rsidRDefault="00EE7FFE">
            <w:pPr>
              <w:keepNext/>
              <w:keepLines/>
              <w:numPr>
                <w:ilvl w:val="12"/>
                <w:numId w:val="0"/>
              </w:numPr>
              <w:jc w:val="center"/>
              <w:rPr>
                <w:rFonts w:ascii="Arial Narrow" w:hAnsi="Arial Narrow"/>
                <w:sz w:val="18"/>
                <w:szCs w:val="18"/>
              </w:rPr>
            </w:pPr>
            <w:r>
              <w:rPr>
                <w:rFonts w:ascii="Arial Narrow" w:hAnsi="Arial Narrow"/>
                <w:sz w:val="18"/>
                <w:szCs w:val="18"/>
              </w:rPr>
              <w:t>IRC 1441 1442</w:t>
            </w:r>
          </w:p>
        </w:tc>
        <w:tc>
          <w:tcPr>
            <w:tcW w:w="1916"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Form 1042-S</w:t>
            </w:r>
          </w:p>
        </w:tc>
        <w:tc>
          <w:tcPr>
            <w:tcW w:w="1170" w:type="dxa"/>
            <w:vAlign w:val="bottom"/>
          </w:tcPr>
          <w:p w:rsidRPr="00C94E69" w:rsidR="00EF7B35" w:rsidP="004E01A9" w:rsidRDefault="00CA7DA8">
            <w:pPr>
              <w:keepNext/>
              <w:keepLines/>
              <w:numPr>
                <w:ilvl w:val="12"/>
                <w:numId w:val="0"/>
              </w:numPr>
              <w:jc w:val="center"/>
              <w:rPr>
                <w:rFonts w:ascii="Arial Narrow" w:hAnsi="Arial Narrow"/>
                <w:sz w:val="18"/>
                <w:szCs w:val="18"/>
              </w:rPr>
            </w:pPr>
            <w:r>
              <w:rPr>
                <w:rFonts w:ascii="Arial Narrow" w:hAnsi="Arial Narrow"/>
                <w:sz w:val="18"/>
                <w:szCs w:val="18"/>
              </w:rPr>
              <w:t>3,531,300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3,5</w:t>
            </w:r>
            <w:r w:rsidR="00CA7DA8">
              <w:rPr>
                <w:rFonts w:ascii="Arial Narrow" w:hAnsi="Arial Narrow"/>
                <w:sz w:val="18"/>
                <w:szCs w:val="18"/>
              </w:rPr>
              <w:t>31,300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.58</w:t>
            </w: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2,04</w:t>
            </w:r>
            <w:r w:rsidR="00CA7DA8">
              <w:rPr>
                <w:rFonts w:ascii="Arial Narrow" w:hAnsi="Arial Narrow"/>
                <w:sz w:val="18"/>
                <w:szCs w:val="18"/>
              </w:rPr>
              <w:t>8</w:t>
            </w:r>
            <w:r>
              <w:rPr>
                <w:rFonts w:ascii="Arial Narrow" w:hAnsi="Arial Narrow"/>
                <w:sz w:val="18"/>
                <w:szCs w:val="18"/>
              </w:rPr>
              <w:t>,</w:t>
            </w:r>
            <w:r w:rsidR="00CA7DA8">
              <w:rPr>
                <w:rFonts w:ascii="Arial Narrow" w:hAnsi="Arial Narrow"/>
                <w:sz w:val="18"/>
                <w:szCs w:val="18"/>
              </w:rPr>
              <w:t>154</w:t>
            </w:r>
          </w:p>
        </w:tc>
      </w:tr>
      <w:tr w:rsidRPr="00C94E69" w:rsidR="00EF7B35" w:rsidTr="004E01A9">
        <w:tc>
          <w:tcPr>
            <w:tcW w:w="1258" w:type="dxa"/>
            <w:shd w:val="clear" w:color="auto" w:fill="auto"/>
            <w:vAlign w:val="bottom"/>
          </w:tcPr>
          <w:p w:rsidRPr="00C94E69" w:rsidR="00EF7B35" w:rsidP="004E01A9" w:rsidRDefault="00EE7FFE">
            <w:pPr>
              <w:keepNext/>
              <w:keepLines/>
              <w:numPr>
                <w:ilvl w:val="12"/>
                <w:numId w:val="0"/>
              </w:numPr>
              <w:jc w:val="center"/>
              <w:rPr>
                <w:rFonts w:ascii="Arial Narrow" w:hAnsi="Arial Narrow"/>
                <w:sz w:val="18"/>
                <w:szCs w:val="18"/>
              </w:rPr>
            </w:pPr>
            <w:r>
              <w:rPr>
                <w:rFonts w:ascii="Arial Narrow" w:hAnsi="Arial Narrow"/>
                <w:sz w:val="18"/>
                <w:szCs w:val="18"/>
              </w:rPr>
              <w:t>IRC 1441 1442</w:t>
            </w:r>
          </w:p>
        </w:tc>
        <w:tc>
          <w:tcPr>
            <w:tcW w:w="1916"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Form 1042-T</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19,500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19,500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3,900</w:t>
            </w:r>
          </w:p>
        </w:tc>
      </w:tr>
      <w:tr w:rsidRPr="00C94E69" w:rsidR="00EF7B35" w:rsidTr="004E01A9">
        <w:tc>
          <w:tcPr>
            <w:tcW w:w="1258" w:type="dxa"/>
            <w:shd w:val="clear" w:color="auto" w:fill="auto"/>
            <w:vAlign w:val="bottom"/>
          </w:tcPr>
          <w:p w:rsidRPr="00C94E69" w:rsidR="00EF7B35" w:rsidP="004E01A9" w:rsidRDefault="00EE7FFE">
            <w:pPr>
              <w:keepNext/>
              <w:keepLines/>
              <w:numPr>
                <w:ilvl w:val="12"/>
                <w:numId w:val="0"/>
              </w:numPr>
              <w:jc w:val="center"/>
              <w:rPr>
                <w:rFonts w:ascii="Arial Narrow" w:hAnsi="Arial Narrow"/>
                <w:sz w:val="18"/>
                <w:szCs w:val="18"/>
              </w:rPr>
            </w:pPr>
            <w:r>
              <w:rPr>
                <w:rFonts w:ascii="Arial Narrow" w:hAnsi="Arial Narrow"/>
                <w:sz w:val="18"/>
                <w:szCs w:val="18"/>
              </w:rPr>
              <w:t>IRC 1441 1442</w:t>
            </w:r>
          </w:p>
        </w:tc>
        <w:tc>
          <w:tcPr>
            <w:tcW w:w="1916"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REG-120282-10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30,000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30,000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8.00</w:t>
            </w: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240,000</w:t>
            </w:r>
          </w:p>
        </w:tc>
      </w:tr>
      <w:tr w:rsidRPr="00C94E69" w:rsidR="00EF7B35" w:rsidTr="004E01A9">
        <w:tc>
          <w:tcPr>
            <w:tcW w:w="1258"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EF7B35" w:rsidP="004E01A9" w:rsidRDefault="00EF7B35">
            <w:pPr>
              <w:keepNext/>
              <w:keepLines/>
              <w:numPr>
                <w:ilvl w:val="12"/>
                <w:numId w:val="0"/>
              </w:numPr>
              <w:jc w:val="center"/>
              <w:rPr>
                <w:rFonts w:ascii="Arial Narrow" w:hAnsi="Arial Narrow"/>
                <w:sz w:val="18"/>
                <w:szCs w:val="18"/>
              </w:rPr>
            </w:pP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3,61</w:t>
            </w:r>
            <w:r w:rsidR="00CA7DA8">
              <w:rPr>
                <w:rFonts w:ascii="Arial Narrow" w:hAnsi="Arial Narrow"/>
                <w:sz w:val="18"/>
                <w:szCs w:val="18"/>
              </w:rPr>
              <w:t>7</w:t>
            </w:r>
            <w:r>
              <w:rPr>
                <w:rFonts w:ascii="Arial Narrow" w:hAnsi="Arial Narrow"/>
                <w:sz w:val="18"/>
                <w:szCs w:val="18"/>
              </w:rPr>
              <w:t>,200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3,61</w:t>
            </w:r>
            <w:r w:rsidR="00CA7DA8">
              <w:rPr>
                <w:rFonts w:ascii="Arial Narrow" w:hAnsi="Arial Narrow"/>
                <w:sz w:val="18"/>
                <w:szCs w:val="18"/>
              </w:rPr>
              <w:t>7</w:t>
            </w:r>
            <w:r>
              <w:rPr>
                <w:rFonts w:ascii="Arial Narrow" w:hAnsi="Arial Narrow"/>
                <w:sz w:val="18"/>
                <w:szCs w:val="18"/>
              </w:rPr>
              <w:t>,200</w:t>
            </w:r>
          </w:p>
        </w:tc>
        <w:tc>
          <w:tcPr>
            <w:tcW w:w="1170" w:type="dxa"/>
            <w:vAlign w:val="bottom"/>
          </w:tcPr>
          <w:p w:rsidRPr="00C94E69" w:rsidR="00EF7B35" w:rsidP="004E01A9" w:rsidRDefault="00EF7B35">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EF7B35" w:rsidP="004E01A9" w:rsidRDefault="00EF7B35">
            <w:pPr>
              <w:keepNext/>
              <w:keepLines/>
              <w:numPr>
                <w:ilvl w:val="12"/>
                <w:numId w:val="0"/>
              </w:numPr>
              <w:jc w:val="center"/>
              <w:rPr>
                <w:rFonts w:ascii="Arial Narrow" w:hAnsi="Arial Narrow"/>
                <w:sz w:val="18"/>
                <w:szCs w:val="18"/>
              </w:rPr>
            </w:pPr>
            <w:r>
              <w:rPr>
                <w:rFonts w:ascii="Arial Narrow" w:hAnsi="Arial Narrow"/>
                <w:sz w:val="18"/>
                <w:szCs w:val="18"/>
              </w:rPr>
              <w:t>2,94</w:t>
            </w:r>
            <w:r w:rsidR="00CA7DA8">
              <w:rPr>
                <w:rFonts w:ascii="Arial Narrow" w:hAnsi="Arial Narrow"/>
                <w:sz w:val="18"/>
                <w:szCs w:val="18"/>
              </w:rPr>
              <w:t>9</w:t>
            </w:r>
            <w:r>
              <w:rPr>
                <w:rFonts w:ascii="Arial Narrow" w:hAnsi="Arial Narrow"/>
                <w:sz w:val="18"/>
                <w:szCs w:val="18"/>
              </w:rPr>
              <w:t>,</w:t>
            </w:r>
            <w:r w:rsidR="00CA7DA8">
              <w:rPr>
                <w:rFonts w:ascii="Arial Narrow" w:hAnsi="Arial Narrow"/>
                <w:sz w:val="18"/>
                <w:szCs w:val="18"/>
              </w:rPr>
              <w:t>07</w:t>
            </w:r>
            <w:r>
              <w:rPr>
                <w:rFonts w:ascii="Arial Narrow" w:hAnsi="Arial Narrow"/>
                <w:sz w:val="18"/>
                <w:szCs w:val="18"/>
              </w:rPr>
              <w:t>4</w:t>
            </w:r>
          </w:p>
        </w:tc>
      </w:tr>
    </w:tbl>
    <w:p w:rsidR="00465139" w:rsidP="00CA7DA8" w:rsidRDefault="00465139">
      <w:r w:rsidRPr="00794D21">
        <w:rPr>
          <w:b/>
        </w:rPr>
        <w:t xml:space="preserve">    </w:t>
      </w:r>
    </w:p>
    <w:p w:rsidR="00891896" w:rsidP="00787CB3" w:rsidRDefault="00A50527">
      <w:pPr>
        <w:ind w:left="720"/>
      </w:pPr>
      <w:r>
        <w:t>With respect to the withholding agreements pursuant to Rev. Proc. 2014-39, we estimate that the QDD requirement will affect 1,000 respondents (this total includes new qualified intermediaries and existing qualified intermediaries amending an existing agreement to become a QDD</w:t>
      </w:r>
      <w:r w:rsidR="00CA7DA8">
        <w:t>) and</w:t>
      </w:r>
      <w:r w:rsidR="00465139">
        <w:t xml:space="preserve"> is estimated to</w:t>
      </w:r>
      <w:r>
        <w:t xml:space="preserve"> take 1 hour for a total of 1,000.</w:t>
      </w:r>
      <w:r w:rsidR="00465139">
        <w:t xml:space="preserve"> This burden is currently being reflected in OMB #1545-1597.</w:t>
      </w:r>
      <w:r w:rsidR="00891896">
        <w:t xml:space="preserve">    </w:t>
      </w:r>
    </w:p>
    <w:p w:rsidR="009F3E61" w:rsidP="00787CB3" w:rsidRDefault="009F3E61">
      <w:pPr>
        <w:ind w:left="720"/>
      </w:pPr>
    </w:p>
    <w:p w:rsidRPr="002A1F18" w:rsidR="009F3E61" w:rsidP="00787CB3" w:rsidRDefault="009F3E61">
      <w:pPr>
        <w:ind w:left="720"/>
      </w:pPr>
    </w:p>
    <w:p w:rsidR="002A1F18" w:rsidP="00787CB3" w:rsidRDefault="002A1F18">
      <w:pPr>
        <w:ind w:left="720"/>
      </w:pPr>
    </w:p>
    <w:p w:rsidRPr="00787CB3" w:rsidR="002A1F18" w:rsidP="00841F50" w:rsidRDefault="002A1F18">
      <w:pPr>
        <w:rPr>
          <w:b/>
          <w:u w:val="single"/>
        </w:rPr>
      </w:pPr>
      <w:r>
        <w:t>13.</w:t>
      </w:r>
      <w:r>
        <w:tab/>
      </w:r>
      <w:r w:rsidRPr="00787CB3">
        <w:rPr>
          <w:b/>
          <w:u w:val="single"/>
        </w:rPr>
        <w:t>ESTIMATED TOTAL ANNUAL COST BURDEN TO RESPONDENTS</w:t>
      </w:r>
    </w:p>
    <w:p w:rsidR="00092BAE" w:rsidP="00841F50" w:rsidRDefault="00092BAE"/>
    <w:p w:rsidR="00EF7B35" w:rsidP="00EF7B35" w:rsidRDefault="00EF7B35">
      <w:pPr>
        <w:ind w:left="720"/>
      </w:pPr>
      <w:r w:rsidRPr="00EF7B35">
        <w:t xml:space="preserve">To ensure more accuracy and consistency across its information collections, IRS is currently in the process of revising the methodology it uses to estimate burden </w:t>
      </w:r>
      <w:r w:rsidRPr="00EF7B35">
        <w:lastRenderedPageBreak/>
        <w:t>and costs. Once this methodology is complete, IRS will update this information collection to reflect a more precise estimate of burden and costs</w:t>
      </w:r>
      <w:r>
        <w:t>.</w:t>
      </w:r>
    </w:p>
    <w:p w:rsidR="00EF7B35" w:rsidP="00841F50" w:rsidRDefault="00EF7B35"/>
    <w:p w:rsidR="002A1F18" w:rsidP="00841F50" w:rsidRDefault="002A1F18">
      <w:pPr>
        <w:rPr>
          <w:b/>
          <w:u w:val="single"/>
        </w:rPr>
      </w:pPr>
      <w:r>
        <w:t>14.</w:t>
      </w:r>
      <w:r>
        <w:tab/>
      </w:r>
      <w:r w:rsidRPr="00787CB3">
        <w:rPr>
          <w:b/>
          <w:u w:val="single"/>
        </w:rPr>
        <w:t>ESTIMATED ANNUALIZED COST TO THE FEDERAL GOVERNMENT</w:t>
      </w:r>
    </w:p>
    <w:p w:rsidR="00F160EB" w:rsidP="00841F50" w:rsidRDefault="00F160EB">
      <w:pPr>
        <w:rPr>
          <w:b/>
          <w:u w:val="single"/>
        </w:rPr>
      </w:pPr>
    </w:p>
    <w:p w:rsidR="00F160EB" w:rsidP="00841F50" w:rsidRDefault="00F160EB">
      <w:pPr>
        <w:rPr>
          <w:b/>
          <w:u w:val="single"/>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E4D11" w:rsidR="00F160EB" w:rsidTr="004E01A9">
        <w:tc>
          <w:tcPr>
            <w:tcW w:w="2358" w:type="dxa"/>
            <w:shd w:val="clear" w:color="auto" w:fill="auto"/>
            <w:vAlign w:val="bottom"/>
          </w:tcPr>
          <w:p w:rsidRPr="004E01A9" w:rsidR="00F160EB" w:rsidP="004E01A9" w:rsidRDefault="00F160EB">
            <w:pPr>
              <w:keepNext/>
              <w:keepLines/>
              <w:jc w:val="center"/>
              <w:rPr>
                <w:rFonts w:ascii="Arial Narrow" w:hAnsi="Arial Narrow"/>
                <w:b/>
                <w:sz w:val="18"/>
                <w:szCs w:val="18"/>
                <w:u w:val="single"/>
              </w:rPr>
            </w:pPr>
            <w:r w:rsidRPr="004E01A9">
              <w:rPr>
                <w:rFonts w:ascii="Arial Narrow" w:hAnsi="Arial Narrow"/>
                <w:b/>
                <w:sz w:val="18"/>
                <w:szCs w:val="18"/>
                <w:u w:val="single"/>
              </w:rPr>
              <w:t>Product</w:t>
            </w:r>
          </w:p>
        </w:tc>
        <w:tc>
          <w:tcPr>
            <w:tcW w:w="1980" w:type="dxa"/>
            <w:shd w:val="clear" w:color="auto" w:fill="auto"/>
            <w:vAlign w:val="bottom"/>
          </w:tcPr>
          <w:p w:rsidRPr="004E01A9" w:rsidR="00F160EB" w:rsidP="004E01A9" w:rsidRDefault="00F160EB">
            <w:pPr>
              <w:keepNext/>
              <w:keepLines/>
              <w:jc w:val="center"/>
              <w:rPr>
                <w:rFonts w:ascii="Arial Narrow" w:hAnsi="Arial Narrow"/>
                <w:b/>
                <w:sz w:val="18"/>
                <w:szCs w:val="18"/>
                <w:u w:val="single"/>
              </w:rPr>
            </w:pPr>
            <w:r w:rsidRPr="004E01A9">
              <w:rPr>
                <w:rFonts w:ascii="Arial Narrow" w:hAnsi="Arial Narrow"/>
                <w:b/>
                <w:sz w:val="18"/>
                <w:szCs w:val="18"/>
                <w:u w:val="single"/>
              </w:rPr>
              <w:t>Aggregate Cost per Product (factor applied)</w:t>
            </w:r>
          </w:p>
        </w:tc>
        <w:tc>
          <w:tcPr>
            <w:tcW w:w="303" w:type="dxa"/>
            <w:shd w:val="clear" w:color="auto" w:fill="auto"/>
          </w:tcPr>
          <w:p w:rsidRPr="004E01A9" w:rsidR="00F160EB" w:rsidP="004E01A9" w:rsidRDefault="00F160EB">
            <w:pPr>
              <w:keepNext/>
              <w:keepLines/>
              <w:jc w:val="center"/>
              <w:rPr>
                <w:rFonts w:ascii="Arial Narrow" w:hAnsi="Arial Narrow"/>
                <w:b/>
                <w:sz w:val="18"/>
                <w:szCs w:val="18"/>
                <w:u w:val="single"/>
              </w:rPr>
            </w:pPr>
          </w:p>
        </w:tc>
        <w:tc>
          <w:tcPr>
            <w:tcW w:w="1745" w:type="dxa"/>
            <w:shd w:val="clear" w:color="auto" w:fill="auto"/>
            <w:vAlign w:val="bottom"/>
          </w:tcPr>
          <w:p w:rsidRPr="004E01A9" w:rsidR="00F160EB" w:rsidP="004E01A9" w:rsidRDefault="00F160EB">
            <w:pPr>
              <w:keepNext/>
              <w:keepLines/>
              <w:jc w:val="center"/>
              <w:rPr>
                <w:rFonts w:ascii="Arial Narrow" w:hAnsi="Arial Narrow"/>
                <w:b/>
                <w:sz w:val="18"/>
                <w:szCs w:val="18"/>
                <w:u w:val="single"/>
              </w:rPr>
            </w:pPr>
            <w:r w:rsidRPr="004E01A9">
              <w:rPr>
                <w:rFonts w:ascii="Arial Narrow" w:hAnsi="Arial Narrow"/>
                <w:b/>
                <w:sz w:val="18"/>
                <w:szCs w:val="18"/>
                <w:u w:val="single"/>
              </w:rPr>
              <w:t>Printing and Distribution</w:t>
            </w:r>
          </w:p>
        </w:tc>
        <w:tc>
          <w:tcPr>
            <w:tcW w:w="387" w:type="dxa"/>
            <w:shd w:val="clear" w:color="auto" w:fill="auto"/>
          </w:tcPr>
          <w:p w:rsidRPr="004E01A9" w:rsidR="00F160EB" w:rsidP="004E01A9" w:rsidRDefault="00F160EB">
            <w:pPr>
              <w:keepNext/>
              <w:keepLines/>
              <w:jc w:val="center"/>
              <w:rPr>
                <w:rFonts w:ascii="Arial Narrow" w:hAnsi="Arial Narrow"/>
                <w:b/>
                <w:sz w:val="18"/>
                <w:szCs w:val="18"/>
                <w:u w:val="single"/>
              </w:rPr>
            </w:pPr>
          </w:p>
        </w:tc>
        <w:tc>
          <w:tcPr>
            <w:tcW w:w="1582" w:type="dxa"/>
            <w:shd w:val="clear" w:color="auto" w:fill="auto"/>
            <w:vAlign w:val="bottom"/>
          </w:tcPr>
          <w:p w:rsidRPr="004E01A9" w:rsidR="00F160EB" w:rsidP="004E01A9" w:rsidRDefault="00F160EB">
            <w:pPr>
              <w:keepNext/>
              <w:keepLines/>
              <w:jc w:val="center"/>
              <w:rPr>
                <w:rFonts w:ascii="Arial Narrow" w:hAnsi="Arial Narrow"/>
                <w:b/>
                <w:sz w:val="18"/>
                <w:szCs w:val="18"/>
                <w:u w:val="single"/>
              </w:rPr>
            </w:pPr>
            <w:r w:rsidRPr="004E01A9">
              <w:rPr>
                <w:rFonts w:ascii="Arial Narrow" w:hAnsi="Arial Narrow"/>
                <w:b/>
                <w:sz w:val="18"/>
                <w:szCs w:val="18"/>
                <w:u w:val="single"/>
              </w:rPr>
              <w:t>Government Cost Estimate per Product</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Form 1042</w:t>
            </w:r>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35,750</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3,717</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40,411</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 xml:space="preserve">Form </w:t>
            </w:r>
            <w:proofErr w:type="gramStart"/>
            <w:r w:rsidRPr="004E01A9" w:rsidR="00D769A2">
              <w:rPr>
                <w:rFonts w:ascii="Arial Narrow" w:hAnsi="Arial Narrow"/>
                <w:sz w:val="18"/>
                <w:szCs w:val="18"/>
              </w:rPr>
              <w:t xml:space="preserve">1042 </w:t>
            </w:r>
            <w:r w:rsidRPr="004E01A9">
              <w:rPr>
                <w:rFonts w:ascii="Arial Narrow" w:hAnsi="Arial Narrow"/>
                <w:sz w:val="18"/>
                <w:szCs w:val="18"/>
              </w:rPr>
              <w:t xml:space="preserve"> Instructions</w:t>
            </w:r>
            <w:proofErr w:type="gramEnd"/>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5,958</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1,243</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7,202</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 xml:space="preserve">Form </w:t>
            </w:r>
            <w:r w:rsidRPr="004E01A9" w:rsidR="00D769A2">
              <w:rPr>
                <w:rFonts w:ascii="Arial Narrow" w:hAnsi="Arial Narrow"/>
                <w:sz w:val="18"/>
                <w:szCs w:val="18"/>
              </w:rPr>
              <w:t>1042-S</w:t>
            </w:r>
            <w:r w:rsidRPr="004E01A9">
              <w:rPr>
                <w:rFonts w:ascii="Arial Narrow" w:hAnsi="Arial Narrow"/>
                <w:sz w:val="18"/>
                <w:szCs w:val="18"/>
              </w:rPr>
              <w:t xml:space="preserve"> </w:t>
            </w:r>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35,750</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0</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35,750</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 xml:space="preserve">Form </w:t>
            </w:r>
            <w:r w:rsidRPr="004E01A9" w:rsidR="00D769A2">
              <w:rPr>
                <w:rFonts w:ascii="Arial Narrow" w:hAnsi="Arial Narrow"/>
                <w:sz w:val="18"/>
                <w:szCs w:val="18"/>
              </w:rPr>
              <w:t>1042-S</w:t>
            </w:r>
            <w:r w:rsidRPr="004E01A9">
              <w:rPr>
                <w:rFonts w:ascii="Arial Narrow" w:hAnsi="Arial Narrow"/>
                <w:sz w:val="18"/>
                <w:szCs w:val="18"/>
              </w:rPr>
              <w:t xml:space="preserve"> Instructions</w:t>
            </w:r>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5,958</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0</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5,958</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 xml:space="preserve">Form </w:t>
            </w:r>
            <w:r w:rsidRPr="004E01A9" w:rsidR="00D769A2">
              <w:rPr>
                <w:rFonts w:ascii="Arial Narrow" w:hAnsi="Arial Narrow"/>
                <w:sz w:val="18"/>
                <w:szCs w:val="18"/>
              </w:rPr>
              <w:t>1042-T</w:t>
            </w:r>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11,917</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0</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11,917</w:t>
            </w:r>
          </w:p>
        </w:tc>
      </w:tr>
      <w:tr w:rsidRPr="008E4D11" w:rsidR="00F160EB" w:rsidTr="004E01A9">
        <w:tc>
          <w:tcPr>
            <w:tcW w:w="2358" w:type="dxa"/>
            <w:shd w:val="clear" w:color="auto" w:fill="auto"/>
            <w:vAlign w:val="bottom"/>
          </w:tcPr>
          <w:p w:rsidRPr="004E01A9" w:rsidR="00F160EB" w:rsidP="004E01A9" w:rsidRDefault="00F160EB">
            <w:pPr>
              <w:keepNext/>
              <w:keepLines/>
              <w:numPr>
                <w:ilvl w:val="12"/>
                <w:numId w:val="0"/>
              </w:numPr>
              <w:rPr>
                <w:rFonts w:ascii="Arial Narrow" w:hAnsi="Arial Narrow"/>
                <w:sz w:val="18"/>
                <w:szCs w:val="18"/>
              </w:rPr>
            </w:pPr>
            <w:r w:rsidRPr="004E01A9">
              <w:rPr>
                <w:rFonts w:ascii="Arial Narrow" w:hAnsi="Arial Narrow"/>
                <w:sz w:val="18"/>
                <w:szCs w:val="18"/>
              </w:rPr>
              <w:t xml:space="preserve">Form </w:t>
            </w:r>
            <w:r w:rsidRPr="004E01A9" w:rsidR="00D769A2">
              <w:rPr>
                <w:rFonts w:ascii="Arial Narrow" w:hAnsi="Arial Narrow"/>
                <w:sz w:val="18"/>
                <w:szCs w:val="18"/>
              </w:rPr>
              <w:t>1042-T Instructions</w:t>
            </w:r>
          </w:p>
        </w:tc>
        <w:tc>
          <w:tcPr>
            <w:tcW w:w="1980"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11,917</w:t>
            </w:r>
          </w:p>
        </w:tc>
        <w:tc>
          <w:tcPr>
            <w:tcW w:w="303"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745"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0</w:t>
            </w:r>
          </w:p>
        </w:tc>
        <w:tc>
          <w:tcPr>
            <w:tcW w:w="387"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w:t>
            </w:r>
          </w:p>
        </w:tc>
        <w:tc>
          <w:tcPr>
            <w:tcW w:w="1582" w:type="dxa"/>
            <w:shd w:val="clear" w:color="auto" w:fill="auto"/>
          </w:tcPr>
          <w:p w:rsidRPr="004E01A9" w:rsidR="00F160EB" w:rsidP="004E01A9" w:rsidRDefault="00F160EB">
            <w:pPr>
              <w:keepNext/>
              <w:keepLines/>
              <w:jc w:val="center"/>
              <w:rPr>
                <w:rFonts w:ascii="Arial Narrow" w:hAnsi="Arial Narrow"/>
                <w:sz w:val="18"/>
                <w:szCs w:val="18"/>
              </w:rPr>
            </w:pPr>
            <w:r w:rsidRPr="004E01A9">
              <w:rPr>
                <w:rFonts w:ascii="Arial Narrow" w:hAnsi="Arial Narrow"/>
                <w:sz w:val="18"/>
                <w:szCs w:val="18"/>
              </w:rPr>
              <w:t>11,917</w:t>
            </w:r>
          </w:p>
        </w:tc>
      </w:tr>
      <w:tr w:rsidRPr="00062DB4" w:rsidR="00F160EB" w:rsidTr="004E01A9">
        <w:tc>
          <w:tcPr>
            <w:tcW w:w="2358" w:type="dxa"/>
            <w:shd w:val="clear" w:color="auto" w:fill="auto"/>
          </w:tcPr>
          <w:p w:rsidRPr="004E01A9" w:rsidR="00F160EB" w:rsidP="004E01A9" w:rsidRDefault="00F160EB">
            <w:pPr>
              <w:keepNext/>
              <w:keepLines/>
              <w:rPr>
                <w:rFonts w:ascii="Arial Narrow" w:hAnsi="Arial Narrow"/>
                <w:b/>
                <w:sz w:val="18"/>
                <w:szCs w:val="18"/>
              </w:rPr>
            </w:pPr>
            <w:r w:rsidRPr="004E01A9">
              <w:rPr>
                <w:rFonts w:ascii="Arial Narrow" w:hAnsi="Arial Narrow"/>
                <w:b/>
                <w:sz w:val="18"/>
                <w:szCs w:val="18"/>
              </w:rPr>
              <w:t>Grand Total</w:t>
            </w:r>
          </w:p>
        </w:tc>
        <w:tc>
          <w:tcPr>
            <w:tcW w:w="1980" w:type="dxa"/>
            <w:shd w:val="clear" w:color="auto" w:fill="auto"/>
          </w:tcPr>
          <w:p w:rsidRPr="004E01A9" w:rsidR="00F160EB" w:rsidP="004E01A9" w:rsidRDefault="00F160EB">
            <w:pPr>
              <w:keepNext/>
              <w:keepLines/>
              <w:jc w:val="center"/>
              <w:rPr>
                <w:rFonts w:ascii="Arial Narrow" w:hAnsi="Arial Narrow"/>
                <w:b/>
                <w:sz w:val="18"/>
                <w:szCs w:val="18"/>
              </w:rPr>
            </w:pPr>
            <w:r w:rsidRPr="004E01A9">
              <w:rPr>
                <w:rFonts w:ascii="Arial Narrow" w:hAnsi="Arial Narrow"/>
                <w:b/>
                <w:sz w:val="18"/>
                <w:szCs w:val="18"/>
              </w:rPr>
              <w:fldChar w:fldCharType="begin"/>
            </w:r>
            <w:r w:rsidRPr="004E01A9">
              <w:rPr>
                <w:rFonts w:ascii="Arial Narrow" w:hAnsi="Arial Narrow"/>
                <w:b/>
                <w:sz w:val="18"/>
                <w:szCs w:val="18"/>
              </w:rPr>
              <w:instrText xml:space="preserve"> =SUM(ABOVE) </w:instrText>
            </w:r>
            <w:r w:rsidRPr="004E01A9">
              <w:rPr>
                <w:rFonts w:ascii="Arial Narrow" w:hAnsi="Arial Narrow"/>
                <w:b/>
                <w:sz w:val="18"/>
                <w:szCs w:val="18"/>
              </w:rPr>
              <w:fldChar w:fldCharType="separate"/>
            </w:r>
            <w:r w:rsidRPr="004E01A9">
              <w:rPr>
                <w:rFonts w:ascii="Arial Narrow" w:hAnsi="Arial Narrow"/>
                <w:b/>
                <w:noProof/>
                <w:sz w:val="18"/>
                <w:szCs w:val="18"/>
              </w:rPr>
              <w:t>145,980</w:t>
            </w:r>
            <w:r w:rsidRPr="004E01A9">
              <w:rPr>
                <w:rFonts w:ascii="Arial Narrow" w:hAnsi="Arial Narrow"/>
                <w:b/>
                <w:sz w:val="18"/>
                <w:szCs w:val="18"/>
              </w:rPr>
              <w:fldChar w:fldCharType="end"/>
            </w:r>
          </w:p>
        </w:tc>
        <w:tc>
          <w:tcPr>
            <w:tcW w:w="303" w:type="dxa"/>
            <w:shd w:val="clear" w:color="auto" w:fill="auto"/>
          </w:tcPr>
          <w:p w:rsidRPr="004E01A9" w:rsidR="00F160EB" w:rsidP="004E01A9" w:rsidRDefault="00F160EB">
            <w:pPr>
              <w:keepNext/>
              <w:keepLines/>
              <w:jc w:val="center"/>
              <w:rPr>
                <w:rFonts w:ascii="Arial Narrow" w:hAnsi="Arial Narrow"/>
                <w:b/>
                <w:sz w:val="18"/>
                <w:szCs w:val="18"/>
              </w:rPr>
            </w:pPr>
          </w:p>
        </w:tc>
        <w:tc>
          <w:tcPr>
            <w:tcW w:w="1745" w:type="dxa"/>
            <w:shd w:val="clear" w:color="auto" w:fill="auto"/>
          </w:tcPr>
          <w:p w:rsidRPr="004E01A9" w:rsidR="00F160EB" w:rsidP="004E01A9" w:rsidRDefault="00F160EB">
            <w:pPr>
              <w:keepNext/>
              <w:keepLines/>
              <w:jc w:val="center"/>
              <w:rPr>
                <w:rFonts w:ascii="Arial Narrow" w:hAnsi="Arial Narrow"/>
                <w:b/>
                <w:sz w:val="18"/>
                <w:szCs w:val="18"/>
              </w:rPr>
            </w:pPr>
            <w:r w:rsidRPr="004E01A9">
              <w:rPr>
                <w:rFonts w:ascii="Arial Narrow" w:hAnsi="Arial Narrow"/>
                <w:b/>
                <w:sz w:val="18"/>
                <w:szCs w:val="18"/>
              </w:rPr>
              <w:fldChar w:fldCharType="begin"/>
            </w:r>
            <w:r w:rsidRPr="004E01A9">
              <w:rPr>
                <w:rFonts w:ascii="Arial Narrow" w:hAnsi="Arial Narrow"/>
                <w:b/>
                <w:sz w:val="18"/>
                <w:szCs w:val="18"/>
              </w:rPr>
              <w:instrText xml:space="preserve"> =SUM(ABOVE) </w:instrText>
            </w:r>
            <w:r w:rsidRPr="004E01A9">
              <w:rPr>
                <w:rFonts w:ascii="Arial Narrow" w:hAnsi="Arial Narrow"/>
                <w:b/>
                <w:sz w:val="18"/>
                <w:szCs w:val="18"/>
              </w:rPr>
              <w:fldChar w:fldCharType="separate"/>
            </w:r>
            <w:r w:rsidRPr="004E01A9">
              <w:rPr>
                <w:rFonts w:ascii="Arial Narrow" w:hAnsi="Arial Narrow"/>
                <w:b/>
                <w:noProof/>
                <w:sz w:val="18"/>
                <w:szCs w:val="18"/>
              </w:rPr>
              <w:t>4,960</w:t>
            </w:r>
            <w:r w:rsidRPr="004E01A9">
              <w:rPr>
                <w:rFonts w:ascii="Arial Narrow" w:hAnsi="Arial Narrow"/>
                <w:b/>
                <w:sz w:val="18"/>
                <w:szCs w:val="18"/>
              </w:rPr>
              <w:fldChar w:fldCharType="end"/>
            </w:r>
          </w:p>
        </w:tc>
        <w:tc>
          <w:tcPr>
            <w:tcW w:w="387" w:type="dxa"/>
            <w:shd w:val="clear" w:color="auto" w:fill="auto"/>
          </w:tcPr>
          <w:p w:rsidRPr="004E01A9" w:rsidR="00F160EB" w:rsidP="004E01A9" w:rsidRDefault="00F160EB">
            <w:pPr>
              <w:keepNext/>
              <w:keepLines/>
              <w:jc w:val="center"/>
              <w:rPr>
                <w:rFonts w:ascii="Arial Narrow" w:hAnsi="Arial Narrow"/>
                <w:b/>
                <w:sz w:val="18"/>
                <w:szCs w:val="18"/>
              </w:rPr>
            </w:pPr>
          </w:p>
        </w:tc>
        <w:tc>
          <w:tcPr>
            <w:tcW w:w="1582" w:type="dxa"/>
            <w:shd w:val="clear" w:color="auto" w:fill="auto"/>
          </w:tcPr>
          <w:p w:rsidRPr="004E01A9" w:rsidR="00F160EB" w:rsidP="004E01A9" w:rsidRDefault="00F160EB">
            <w:pPr>
              <w:keepNext/>
              <w:keepLines/>
              <w:jc w:val="center"/>
              <w:rPr>
                <w:rFonts w:ascii="Arial Narrow" w:hAnsi="Arial Narrow"/>
                <w:b/>
                <w:sz w:val="18"/>
                <w:szCs w:val="18"/>
              </w:rPr>
            </w:pPr>
            <w:r w:rsidRPr="004E01A9">
              <w:rPr>
                <w:rFonts w:ascii="Arial Narrow" w:hAnsi="Arial Narrow"/>
                <w:b/>
                <w:sz w:val="18"/>
                <w:szCs w:val="18"/>
              </w:rPr>
              <w:fldChar w:fldCharType="begin"/>
            </w:r>
            <w:r w:rsidRPr="004E01A9">
              <w:rPr>
                <w:rFonts w:ascii="Arial Narrow" w:hAnsi="Arial Narrow"/>
                <w:b/>
                <w:sz w:val="18"/>
                <w:szCs w:val="18"/>
              </w:rPr>
              <w:instrText xml:space="preserve"> =SUM(ABOVE) </w:instrText>
            </w:r>
            <w:r w:rsidRPr="004E01A9">
              <w:rPr>
                <w:rFonts w:ascii="Arial Narrow" w:hAnsi="Arial Narrow"/>
                <w:b/>
                <w:sz w:val="18"/>
                <w:szCs w:val="18"/>
              </w:rPr>
              <w:fldChar w:fldCharType="separate"/>
            </w:r>
            <w:r w:rsidRPr="004E01A9">
              <w:rPr>
                <w:rFonts w:ascii="Arial Narrow" w:hAnsi="Arial Narrow"/>
                <w:b/>
                <w:noProof/>
                <w:sz w:val="18"/>
                <w:szCs w:val="18"/>
              </w:rPr>
              <w:t>151,885</w:t>
            </w:r>
            <w:r w:rsidRPr="004E01A9">
              <w:rPr>
                <w:rFonts w:ascii="Arial Narrow" w:hAnsi="Arial Narrow"/>
                <w:b/>
                <w:sz w:val="18"/>
                <w:szCs w:val="18"/>
              </w:rPr>
              <w:fldChar w:fldCharType="end"/>
            </w:r>
          </w:p>
        </w:tc>
      </w:tr>
      <w:tr w:rsidRPr="0055550C" w:rsidR="00F160EB" w:rsidTr="004E01A9">
        <w:tc>
          <w:tcPr>
            <w:tcW w:w="8355" w:type="dxa"/>
            <w:gridSpan w:val="6"/>
            <w:shd w:val="clear" w:color="auto" w:fill="auto"/>
          </w:tcPr>
          <w:p w:rsidRPr="004E01A9" w:rsidR="00F160EB" w:rsidP="004E01A9" w:rsidRDefault="00F160EB">
            <w:pPr>
              <w:keepNext/>
              <w:keepLines/>
              <w:rPr>
                <w:rFonts w:ascii="Arial Narrow" w:hAnsi="Arial Narrow"/>
                <w:sz w:val="18"/>
                <w:szCs w:val="18"/>
              </w:rPr>
            </w:pPr>
            <w:r w:rsidRPr="004E01A9">
              <w:rPr>
                <w:rFonts w:ascii="Arial Narrow" w:hAnsi="Arial Narrow"/>
                <w:sz w:val="18"/>
                <w:szCs w:val="18"/>
              </w:rPr>
              <w:t xml:space="preserve">Table costs are based on 2018 actuals obtained from IRS Chief Financial </w:t>
            </w:r>
            <w:proofErr w:type="spellStart"/>
            <w:r w:rsidRPr="004E01A9">
              <w:rPr>
                <w:rFonts w:ascii="Arial Narrow" w:hAnsi="Arial Narrow"/>
                <w:sz w:val="18"/>
                <w:szCs w:val="18"/>
              </w:rPr>
              <w:t>Office</w:t>
            </w:r>
            <w:proofErr w:type="spellEnd"/>
            <w:r w:rsidRPr="004E01A9">
              <w:rPr>
                <w:rFonts w:ascii="Arial Narrow" w:hAnsi="Arial Narrow"/>
                <w:sz w:val="18"/>
                <w:szCs w:val="18"/>
              </w:rPr>
              <w:t xml:space="preserve"> and Media and Publications</w:t>
            </w:r>
          </w:p>
        </w:tc>
      </w:tr>
      <w:tr w:rsidRPr="0055550C" w:rsidR="00F160EB" w:rsidTr="004E01A9">
        <w:tc>
          <w:tcPr>
            <w:tcW w:w="8355" w:type="dxa"/>
            <w:gridSpan w:val="6"/>
            <w:shd w:val="clear" w:color="auto" w:fill="auto"/>
          </w:tcPr>
          <w:p w:rsidRPr="004E01A9" w:rsidR="00F160EB" w:rsidP="004E01A9" w:rsidRDefault="00F160EB">
            <w:pPr>
              <w:keepNext/>
              <w:keepLines/>
              <w:rPr>
                <w:rFonts w:ascii="Arial Narrow" w:hAnsi="Arial Narrow"/>
                <w:sz w:val="18"/>
                <w:szCs w:val="18"/>
              </w:rPr>
            </w:pPr>
            <w:r w:rsidRPr="004E01A9">
              <w:rPr>
                <w:rFonts w:ascii="Arial Narrow" w:hAnsi="Arial Narrow"/>
                <w:sz w:val="18"/>
                <w:szCs w:val="18"/>
              </w:rPr>
              <w:t xml:space="preserve">* New product costs will be included in the next collection update. </w:t>
            </w:r>
          </w:p>
        </w:tc>
      </w:tr>
    </w:tbl>
    <w:p w:rsidR="00F160EB" w:rsidP="00841F50" w:rsidRDefault="00F160EB">
      <w:pPr>
        <w:rPr>
          <w:b/>
          <w:u w:val="single"/>
        </w:rPr>
      </w:pPr>
    </w:p>
    <w:p w:rsidR="002A1F18" w:rsidP="00841F50" w:rsidRDefault="002A1F18"/>
    <w:p w:rsidRPr="00787CB3" w:rsidR="002A1F18" w:rsidP="00841F50" w:rsidRDefault="002A1F18">
      <w:pPr>
        <w:rPr>
          <w:b/>
          <w:u w:val="single"/>
        </w:rPr>
      </w:pPr>
      <w:r>
        <w:t>15.</w:t>
      </w:r>
      <w:r>
        <w:tab/>
      </w:r>
      <w:r w:rsidRPr="00787CB3">
        <w:rPr>
          <w:b/>
          <w:u w:val="single"/>
        </w:rPr>
        <w:t>REASONS FOR CHANGE IN BURDEN</w:t>
      </w:r>
    </w:p>
    <w:p w:rsidR="008317B7" w:rsidP="00092BAE" w:rsidRDefault="00092BAE">
      <w:r>
        <w:tab/>
      </w:r>
    </w:p>
    <w:p w:rsidR="00543763" w:rsidP="00543763" w:rsidRDefault="00543763">
      <w:pPr>
        <w:ind w:left="630"/>
      </w:pPr>
      <w:r w:rsidRPr="00543763">
        <w:t>REG-105476-18 (84 FR 21198)</w:t>
      </w:r>
      <w:r w:rsidR="00637A8A">
        <w:t>,</w:t>
      </w:r>
      <w:r>
        <w:t xml:space="preserve"> </w:t>
      </w:r>
      <w:r w:rsidRPr="00543763">
        <w:t>propose</w:t>
      </w:r>
      <w:r w:rsidR="00637A8A">
        <w:t>s</w:t>
      </w:r>
      <w:r w:rsidRPr="00543763">
        <w:t xml:space="preserve"> regulations implementing certain sections of the Internal Revenue Code, including sections added to the Internal Revenue Code by the Tax Cuts and Jobs Act, that relate to the withholding of tax and information reporting with respect to certain dispositions of interests in partnerships engaged in the conduct of a trade or business within the United States.</w:t>
      </w:r>
    </w:p>
    <w:p w:rsidR="00543763" w:rsidP="00543763" w:rsidRDefault="00543763">
      <w:pPr>
        <w:ind w:left="720"/>
      </w:pPr>
    </w:p>
    <w:p w:rsidR="00543763" w:rsidP="00543763" w:rsidRDefault="00543763">
      <w:pPr>
        <w:ind w:left="630"/>
      </w:pPr>
      <w:r>
        <w:t xml:space="preserve">The information in proposed § 1.1446(f)–4(d) will be provided on Forms 1042 and 1042–S submitted by the broker to the IRS and is mandatory if the broker  </w:t>
      </w:r>
      <w:r w:rsidR="00637A8A">
        <w:t>w</w:t>
      </w:r>
      <w:r>
        <w:t>ithholds tax under section 1446(f)(1) or if it applies the exception described in proposed § 1.1446(f)–4(b)(6). These forms will be used to report and pay any tax under section 1446(f)(1) and proposed § 1.1446(f)–4.</w:t>
      </w:r>
    </w:p>
    <w:p w:rsidR="00543763" w:rsidP="00543763" w:rsidRDefault="00543763">
      <w:pPr>
        <w:ind w:left="630"/>
      </w:pPr>
    </w:p>
    <w:p w:rsidR="00543763" w:rsidP="00543763" w:rsidRDefault="00543763">
      <w:pPr>
        <w:ind w:left="630"/>
      </w:pPr>
      <w:r>
        <w:t>The information in proposed § 1.1446(f)–4(e)(2) provided by the transferor to the IRS will be used to claim a credit for an amount withheld under section 1446(f)(1) and proposed § 1.1446(f)–4, and will be satisfied by submitting Form 1042–S with an income tax return (Form 1040NR or 1120–F) to the IRS</w:t>
      </w:r>
      <w:r w:rsidR="00F1463F">
        <w:t>.</w:t>
      </w:r>
    </w:p>
    <w:p w:rsidR="00543763" w:rsidP="00543763" w:rsidRDefault="00543763">
      <w:pPr>
        <w:ind w:left="630"/>
      </w:pPr>
    </w:p>
    <w:p w:rsidR="00543763" w:rsidP="00637A8A" w:rsidRDefault="00637A8A">
      <w:pPr>
        <w:ind w:left="630"/>
      </w:pPr>
      <w:r>
        <w:t xml:space="preserve">Data for Form 1042–S represent preliminary estimates of the total number of interests in publicly traded partnership engaged in the conduct of a trade or business in the United States that will be transferred by foreign persons.  This will increase the </w:t>
      </w:r>
      <w:r w:rsidR="00CA7DA8">
        <w:t xml:space="preserve">1042-S </w:t>
      </w:r>
      <w:r>
        <w:t>estimate</w:t>
      </w:r>
      <w:r w:rsidR="00CA7DA8">
        <w:t xml:space="preserve">d returns by </w:t>
      </w:r>
      <w:r>
        <w:t>6,000</w:t>
      </w:r>
      <w:r w:rsidR="00CA7DA8">
        <w:t xml:space="preserve"> and the estimated annual burden by 3,480 hours.  </w:t>
      </w:r>
      <w:r w:rsidR="00C77C5A">
        <w:t>Forms will be updated in the next revision cycle.</w:t>
      </w:r>
      <w:r>
        <w:t xml:space="preserve"> </w:t>
      </w:r>
      <w:r w:rsidR="00543763">
        <w:t xml:space="preserve"> </w:t>
      </w:r>
    </w:p>
    <w:p w:rsidR="009F7C03" w:rsidP="00637A8A" w:rsidRDefault="009F7C03">
      <w:pPr>
        <w:ind w:left="630"/>
      </w:pPr>
    </w:p>
    <w:p w:rsidR="009F7C03" w:rsidP="00637A8A" w:rsidRDefault="009F7C03">
      <w:pPr>
        <w:ind w:left="630"/>
      </w:pPr>
    </w:p>
    <w:p w:rsidR="009F7C03" w:rsidP="00637A8A" w:rsidRDefault="009F7C03">
      <w:pPr>
        <w:ind w:left="630"/>
      </w:pPr>
    </w:p>
    <w:p w:rsidR="009F7C03" w:rsidP="00637A8A" w:rsidRDefault="009F7C03">
      <w:pPr>
        <w:ind w:left="630"/>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6"/>
        <w:gridCol w:w="1308"/>
        <w:gridCol w:w="1308"/>
        <w:gridCol w:w="1308"/>
        <w:gridCol w:w="1308"/>
        <w:gridCol w:w="1308"/>
        <w:gridCol w:w="1308"/>
      </w:tblGrid>
      <w:tr w:rsidRPr="0093657A" w:rsidR="009F7C03" w:rsidTr="000E6CA4">
        <w:tc>
          <w:tcPr>
            <w:tcW w:w="8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lastRenderedPageBreak/>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93657A" w:rsidR="009F7C03" w:rsidP="000E6CA4" w:rsidRDefault="009F7C03">
            <w:pPr>
              <w:jc w:val="center"/>
              <w:rPr>
                <w:rFonts w:ascii="Arial Narrow" w:hAnsi="Arial Narrow" w:cs="Arial"/>
                <w:b/>
                <w:bCs/>
                <w:color w:val="000000"/>
                <w:sz w:val="18"/>
                <w:szCs w:val="18"/>
              </w:rPr>
            </w:pPr>
            <w:r w:rsidRPr="0093657A">
              <w:rPr>
                <w:rFonts w:ascii="Arial Narrow" w:hAnsi="Arial Narrow" w:cs="Arial"/>
                <w:b/>
                <w:bCs/>
                <w:color w:val="000000"/>
                <w:sz w:val="18"/>
                <w:szCs w:val="18"/>
              </w:rPr>
              <w:t>Previously Approved</w:t>
            </w:r>
          </w:p>
        </w:tc>
      </w:tr>
      <w:tr w:rsidRPr="0093657A" w:rsidR="009F7C03" w:rsidTr="000E6CA4">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Pr>
                <w:rFonts w:ascii="Arial Narrow" w:hAnsi="Arial Narrow" w:cs="Arial"/>
                <w:color w:val="000000"/>
                <w:sz w:val="18"/>
                <w:szCs w:val="18"/>
              </w:rPr>
              <w:t>3,617,200</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6,000</w:t>
            </w:r>
            <w:r w:rsidRPr="0093657A">
              <w:rPr>
                <w:rFonts w:ascii="Arial Narrow" w:hAnsi="Arial Narrow" w:cs="Arial"/>
                <w:color w:val="000000"/>
                <w:sz w:val="18"/>
                <w:szCs w:val="18"/>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1in;height:18pt" o:ole="" type="#_x0000_t75">
                  <v:imagedata o:title="" r:id="rId7"/>
                </v:shape>
                <w:control w:name="DefaultOcxName1" w:shapeid="_x0000_i1042" r:id="rId8"/>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41" style="width:1in;height:18pt" o:ole="" type="#_x0000_t75">
                  <v:imagedata o:title="" r:id="rId9"/>
                </v:shape>
                <w:control w:name="DefaultOcxName3" w:shapeid="_x0000_i1041" r:id="rId10"/>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40" style="width:1in;height:18pt" o:ole="" type="#_x0000_t75">
                  <v:imagedata o:title="" r:id="rId11"/>
                </v:shape>
                <w:control w:name="DefaultOcxName4" w:shapeid="_x0000_i1040" r:id="rId12"/>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3,611,200</w:t>
            </w:r>
          </w:p>
        </w:tc>
      </w:tr>
      <w:tr w:rsidRPr="0093657A" w:rsidR="009F7C03" w:rsidTr="000E6CA4">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Annual Time Burden (</w:t>
            </w:r>
            <w:proofErr w:type="spellStart"/>
            <w:r w:rsidRPr="0093657A">
              <w:rPr>
                <w:rFonts w:ascii="Arial Narrow" w:hAnsi="Arial Narrow" w:cs="Arial"/>
                <w:color w:val="000000"/>
                <w:sz w:val="18"/>
                <w:szCs w:val="18"/>
              </w:rPr>
              <w:t>Hr</w:t>
            </w:r>
            <w:proofErr w:type="spellEnd"/>
            <w:r w:rsidRPr="0093657A">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2,949,074</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3,480</w:t>
            </w:r>
            <w:r w:rsidRPr="0093657A">
              <w:rPr>
                <w:rFonts w:ascii="Arial Narrow" w:hAnsi="Arial Narrow" w:cs="Arial"/>
                <w:color w:val="000000"/>
                <w:sz w:val="18"/>
                <w:szCs w:val="18"/>
              </w:rPr>
              <w:object w:dxaOrig="225" w:dyaOrig="225">
                <v:shape id="_x0000_i1039" style="width:1in;height:18pt" o:ole="" type="#_x0000_t75">
                  <v:imagedata o:title="" r:id="rId13"/>
                </v:shape>
                <w:control w:name="DefaultOcxName7" w:shapeid="_x0000_i1039" r:id="rId14"/>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38" style="width:1in;height:18pt" o:ole="" type="#_x0000_t75">
                  <v:imagedata o:title="" r:id="rId15"/>
                </v:shape>
                <w:control w:name="DefaultOcxName9" w:shapeid="_x0000_i1038" r:id="rId16"/>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0</w:t>
            </w:r>
            <w:r w:rsidRPr="0093657A">
              <w:rPr>
                <w:rFonts w:ascii="Arial Narrow" w:hAnsi="Arial Narrow" w:cs="Arial"/>
                <w:color w:val="000000"/>
                <w:sz w:val="18"/>
                <w:szCs w:val="18"/>
              </w:rPr>
              <w:object w:dxaOrig="225" w:dyaOrig="225">
                <v:shape id="_x0000_i1037" style="width:1in;height:18pt" o:ole="" type="#_x0000_t75">
                  <v:imagedata o:title="" r:id="rId17"/>
                </v:shape>
                <w:control w:name="DefaultOcxName10" w:shapeid="_x0000_i1037" r:id="rId18"/>
              </w:object>
            </w:r>
          </w:p>
        </w:tc>
        <w:tc>
          <w:tcPr>
            <w:tcW w:w="0" w:type="auto"/>
            <w:tcBorders>
              <w:top w:val="outset" w:color="auto" w:sz="6" w:space="0"/>
              <w:left w:val="outset" w:color="auto" w:sz="6" w:space="0"/>
              <w:bottom w:val="outset" w:color="auto" w:sz="6" w:space="0"/>
              <w:right w:val="outset" w:color="auto" w:sz="6" w:space="0"/>
            </w:tcBorders>
            <w:hideMark/>
          </w:tcPr>
          <w:p w:rsidRPr="0093657A" w:rsidR="009F7C03" w:rsidP="000E6CA4" w:rsidRDefault="009F7C03">
            <w:pPr>
              <w:rPr>
                <w:rFonts w:ascii="Arial Narrow" w:hAnsi="Arial Narrow" w:cs="Arial"/>
                <w:color w:val="000000"/>
                <w:sz w:val="18"/>
                <w:szCs w:val="18"/>
              </w:rPr>
            </w:pPr>
            <w:r w:rsidRPr="0093657A">
              <w:rPr>
                <w:rFonts w:ascii="Arial Narrow" w:hAnsi="Arial Narrow" w:cs="Arial"/>
                <w:color w:val="000000"/>
                <w:sz w:val="18"/>
                <w:szCs w:val="18"/>
              </w:rPr>
              <w:t xml:space="preserve">  </w:t>
            </w:r>
            <w:r>
              <w:rPr>
                <w:rFonts w:ascii="Arial Narrow" w:hAnsi="Arial Narrow" w:cs="Arial"/>
                <w:color w:val="000000"/>
                <w:sz w:val="18"/>
                <w:szCs w:val="18"/>
              </w:rPr>
              <w:t>2,945,594</w:t>
            </w:r>
          </w:p>
        </w:tc>
      </w:tr>
    </w:tbl>
    <w:p w:rsidR="00794D21" w:rsidP="00841F50" w:rsidRDefault="00794D21"/>
    <w:p w:rsidRPr="00787CB3" w:rsidR="002A1F18" w:rsidP="00841F50" w:rsidRDefault="002A1F18">
      <w:pPr>
        <w:rPr>
          <w:b/>
          <w:u w:val="single"/>
        </w:rPr>
      </w:pPr>
      <w:r>
        <w:t>16.</w:t>
      </w:r>
      <w:r>
        <w:tab/>
      </w:r>
      <w:r w:rsidRPr="00787CB3">
        <w:rPr>
          <w:b/>
          <w:u w:val="single"/>
        </w:rPr>
        <w:t>PLANS FOR TABULATION, STATISTICAL ANALYSIS AND PUBLICATION</w:t>
      </w:r>
    </w:p>
    <w:p w:rsidR="00092BAE" w:rsidP="00841F50" w:rsidRDefault="00092BAE"/>
    <w:p w:rsidRPr="002A1F18" w:rsidR="00092BAE" w:rsidP="00841F50" w:rsidRDefault="00092BAE">
      <w:r>
        <w:tab/>
      </w:r>
      <w:r w:rsidRPr="00877029" w:rsidR="00787CB3">
        <w:t>There are no plans for tabulation, statistical analysis and publication.</w:t>
      </w:r>
    </w:p>
    <w:p w:rsidR="002A1F18" w:rsidP="00841F50" w:rsidRDefault="002A1F18"/>
    <w:p w:rsidRPr="00787CB3" w:rsidR="002A1F18" w:rsidP="002A1F18" w:rsidRDefault="002A1F18">
      <w:pPr>
        <w:ind w:left="720" w:hanging="720"/>
        <w:rPr>
          <w:b/>
          <w:u w:val="single"/>
        </w:rPr>
      </w:pPr>
      <w:r>
        <w:t>17.</w:t>
      </w:r>
      <w:r>
        <w:tab/>
      </w:r>
      <w:r w:rsidRPr="00787CB3">
        <w:rPr>
          <w:b/>
          <w:u w:val="single"/>
        </w:rPr>
        <w:t>REASONS WHY DISPLAYING THE OMB EXPIRATION DATE IS INAPPROPRIATE</w:t>
      </w:r>
    </w:p>
    <w:p w:rsidRPr="00787CB3" w:rsidR="00092BAE" w:rsidP="002A1F18" w:rsidRDefault="00092BAE">
      <w:pPr>
        <w:ind w:left="720" w:hanging="720"/>
        <w:rPr>
          <w:b/>
          <w:u w:val="single"/>
        </w:rPr>
      </w:pPr>
    </w:p>
    <w:p w:rsidR="002A1F18" w:rsidP="00F160EB" w:rsidRDefault="00F160EB">
      <w:pPr>
        <w:ind w:left="720" w:firstLine="15"/>
      </w:pPr>
      <w:r w:rsidRPr="00F160EB">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787CB3" w:rsidP="00841F50" w:rsidRDefault="00787CB3"/>
    <w:p w:rsidR="00092BAE" w:rsidP="00841F50" w:rsidRDefault="002A1F18">
      <w:pPr>
        <w:rPr>
          <w:b/>
          <w:u w:val="single"/>
        </w:rPr>
      </w:pPr>
      <w:r>
        <w:t>18.</w:t>
      </w:r>
      <w:r>
        <w:tab/>
      </w:r>
      <w:r w:rsidRPr="00787CB3">
        <w:rPr>
          <w:b/>
          <w:u w:val="single"/>
        </w:rPr>
        <w:t>EXCEPTIONS TO THE CERTIFICATION STATEMENT</w:t>
      </w:r>
    </w:p>
    <w:p w:rsidR="00787CB3" w:rsidP="00841F50" w:rsidRDefault="00787CB3"/>
    <w:p w:rsidR="00092BAE" w:rsidP="00841F50" w:rsidRDefault="00092BAE">
      <w:r>
        <w:tab/>
      </w:r>
      <w:r w:rsidRPr="00F160EB" w:rsidR="00F160EB">
        <w:t>There are no exceptions to the certification statement.</w:t>
      </w:r>
    </w:p>
    <w:p w:rsidR="002A1F18" w:rsidP="00841F50" w:rsidRDefault="002A1F18"/>
    <w:p w:rsidR="00787CB3" w:rsidP="00787CB3" w:rsidRDefault="00787CB3">
      <w:r w:rsidRPr="00C70882">
        <w:rPr>
          <w:b/>
        </w:rPr>
        <w:t>Note:</w:t>
      </w:r>
      <w:r>
        <w:t xml:space="preserve"> The following paragraph applies to </w:t>
      </w:r>
      <w:proofErr w:type="gramStart"/>
      <w:r>
        <w:t>all of</w:t>
      </w:r>
      <w:proofErr w:type="gramEnd"/>
      <w:r>
        <w:t xml:space="preserve"> the collections of information in this submission:</w:t>
      </w:r>
    </w:p>
    <w:p w:rsidR="00787CB3" w:rsidP="00787CB3" w:rsidRDefault="00787CB3">
      <w: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009F7C03">
        <w:t>if</w:t>
      </w:r>
      <w:r>
        <w:t xml:space="preserve"> their contents may become material in the administration of any internal revenue law.  Generally, tax returns and tax return information are confidential, as required by 26 U.S.C. 6103.</w:t>
      </w:r>
    </w:p>
    <w:p w:rsidR="00787CB3" w:rsidP="00787CB3" w:rsidRDefault="00787CB3"/>
    <w:p w:rsidRPr="002A1F18" w:rsidR="00787CB3" w:rsidP="00787CB3" w:rsidRDefault="00787CB3"/>
    <w:p w:rsidR="00262154" w:rsidP="00787CB3" w:rsidRDefault="00262154"/>
    <w:sectPr w:rsidR="00262154" w:rsidSect="00177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99" w:rsidRDefault="00F83099" w:rsidP="000156CD">
      <w:r>
        <w:separator/>
      </w:r>
    </w:p>
  </w:endnote>
  <w:endnote w:type="continuationSeparator" w:id="0">
    <w:p w:rsidR="00F83099" w:rsidRDefault="00F83099" w:rsidP="0001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99" w:rsidRDefault="00F83099" w:rsidP="000156CD">
      <w:r>
        <w:separator/>
      </w:r>
    </w:p>
  </w:footnote>
  <w:footnote w:type="continuationSeparator" w:id="0">
    <w:p w:rsidR="00F83099" w:rsidRDefault="00F83099" w:rsidP="00015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50"/>
    <w:rsid w:val="000156CD"/>
    <w:rsid w:val="00027BAE"/>
    <w:rsid w:val="00042E1B"/>
    <w:rsid w:val="00085AF3"/>
    <w:rsid w:val="00092BAE"/>
    <w:rsid w:val="000C5B54"/>
    <w:rsid w:val="000E142A"/>
    <w:rsid w:val="000F260C"/>
    <w:rsid w:val="00177D74"/>
    <w:rsid w:val="001C1C0E"/>
    <w:rsid w:val="00203784"/>
    <w:rsid w:val="00262154"/>
    <w:rsid w:val="002727BA"/>
    <w:rsid w:val="002A1F18"/>
    <w:rsid w:val="002A4A24"/>
    <w:rsid w:val="002B101C"/>
    <w:rsid w:val="002B529D"/>
    <w:rsid w:val="002E29D8"/>
    <w:rsid w:val="00323E42"/>
    <w:rsid w:val="00337BF4"/>
    <w:rsid w:val="003527B3"/>
    <w:rsid w:val="003861F1"/>
    <w:rsid w:val="0039032F"/>
    <w:rsid w:val="00395BFE"/>
    <w:rsid w:val="00421EC5"/>
    <w:rsid w:val="004232D8"/>
    <w:rsid w:val="0042778D"/>
    <w:rsid w:val="00442BE1"/>
    <w:rsid w:val="00465139"/>
    <w:rsid w:val="00491187"/>
    <w:rsid w:val="004E01A9"/>
    <w:rsid w:val="004F34E0"/>
    <w:rsid w:val="00543763"/>
    <w:rsid w:val="00597837"/>
    <w:rsid w:val="00601B9F"/>
    <w:rsid w:val="006207C0"/>
    <w:rsid w:val="00637A8A"/>
    <w:rsid w:val="00663C2D"/>
    <w:rsid w:val="0068571B"/>
    <w:rsid w:val="006B1517"/>
    <w:rsid w:val="006B75EF"/>
    <w:rsid w:val="00734B4E"/>
    <w:rsid w:val="007638DF"/>
    <w:rsid w:val="007703A0"/>
    <w:rsid w:val="0078260A"/>
    <w:rsid w:val="00787CB3"/>
    <w:rsid w:val="00794D21"/>
    <w:rsid w:val="007B3704"/>
    <w:rsid w:val="007C25C7"/>
    <w:rsid w:val="007D23A3"/>
    <w:rsid w:val="007E33BB"/>
    <w:rsid w:val="008317B7"/>
    <w:rsid w:val="00841F50"/>
    <w:rsid w:val="00850D3A"/>
    <w:rsid w:val="008552CF"/>
    <w:rsid w:val="00856445"/>
    <w:rsid w:val="008607B8"/>
    <w:rsid w:val="00891896"/>
    <w:rsid w:val="008D27AF"/>
    <w:rsid w:val="00902A20"/>
    <w:rsid w:val="009561EF"/>
    <w:rsid w:val="009975C6"/>
    <w:rsid w:val="009A704B"/>
    <w:rsid w:val="009F3E61"/>
    <w:rsid w:val="009F7C03"/>
    <w:rsid w:val="00A36B0B"/>
    <w:rsid w:val="00A43D15"/>
    <w:rsid w:val="00A50527"/>
    <w:rsid w:val="00A66806"/>
    <w:rsid w:val="00A867E2"/>
    <w:rsid w:val="00AA5332"/>
    <w:rsid w:val="00AA6236"/>
    <w:rsid w:val="00AA7CFE"/>
    <w:rsid w:val="00AE3D73"/>
    <w:rsid w:val="00B22FEB"/>
    <w:rsid w:val="00B30305"/>
    <w:rsid w:val="00B34776"/>
    <w:rsid w:val="00B504BD"/>
    <w:rsid w:val="00B614C5"/>
    <w:rsid w:val="00BC177C"/>
    <w:rsid w:val="00BD45FC"/>
    <w:rsid w:val="00BD7B8D"/>
    <w:rsid w:val="00BF2148"/>
    <w:rsid w:val="00BF2217"/>
    <w:rsid w:val="00BF7285"/>
    <w:rsid w:val="00C43285"/>
    <w:rsid w:val="00C77C5A"/>
    <w:rsid w:val="00CA7DA8"/>
    <w:rsid w:val="00CC4657"/>
    <w:rsid w:val="00CC5069"/>
    <w:rsid w:val="00CF4C56"/>
    <w:rsid w:val="00D47B92"/>
    <w:rsid w:val="00D53EDE"/>
    <w:rsid w:val="00D67568"/>
    <w:rsid w:val="00D769A2"/>
    <w:rsid w:val="00DA717A"/>
    <w:rsid w:val="00DB249D"/>
    <w:rsid w:val="00DC35F5"/>
    <w:rsid w:val="00E21CAD"/>
    <w:rsid w:val="00E63EE8"/>
    <w:rsid w:val="00E661E3"/>
    <w:rsid w:val="00E83B52"/>
    <w:rsid w:val="00EA2619"/>
    <w:rsid w:val="00EA34C5"/>
    <w:rsid w:val="00ED4EAB"/>
    <w:rsid w:val="00ED6A64"/>
    <w:rsid w:val="00EE00D7"/>
    <w:rsid w:val="00EE7FFE"/>
    <w:rsid w:val="00EF7B35"/>
    <w:rsid w:val="00F1463F"/>
    <w:rsid w:val="00F15A75"/>
    <w:rsid w:val="00F160EB"/>
    <w:rsid w:val="00F31B70"/>
    <w:rsid w:val="00F326E3"/>
    <w:rsid w:val="00F42235"/>
    <w:rsid w:val="00F60B8E"/>
    <w:rsid w:val="00F67526"/>
    <w:rsid w:val="00F83099"/>
    <w:rsid w:val="00F84FB2"/>
    <w:rsid w:val="00FE16BA"/>
    <w:rsid w:val="00FF316D"/>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1C890"/>
  <w15:chartTrackingRefBased/>
  <w15:docId w15:val="{F65769FF-B299-474F-A0B7-AD99D3DE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65139"/>
    <w:rPr>
      <w:color w:val="0000FF"/>
      <w:u w:val="single"/>
    </w:rPr>
  </w:style>
  <w:style w:type="paragraph" w:styleId="FootnoteText">
    <w:name w:val="footnote text"/>
    <w:basedOn w:val="Normal"/>
    <w:link w:val="FootnoteTextChar"/>
    <w:uiPriority w:val="99"/>
    <w:unhideWhenUsed/>
    <w:rsid w:val="00262154"/>
    <w:pPr>
      <w:widowControl w:val="0"/>
      <w:autoSpaceDE w:val="0"/>
      <w:autoSpaceDN w:val="0"/>
      <w:adjustRightInd w:val="0"/>
    </w:pPr>
    <w:rPr>
      <w:sz w:val="20"/>
      <w:szCs w:val="20"/>
    </w:rPr>
  </w:style>
  <w:style w:type="character" w:customStyle="1" w:styleId="FootnoteTextChar">
    <w:name w:val="Footnote Text Char"/>
    <w:link w:val="FootnoteText"/>
    <w:uiPriority w:val="99"/>
    <w:rsid w:val="00262154"/>
    <w:rPr>
      <w:rFonts w:ascii="Arial" w:hAnsi="Arial"/>
    </w:rPr>
  </w:style>
  <w:style w:type="character" w:styleId="FootnoteReference">
    <w:name w:val="footnote reference"/>
    <w:uiPriority w:val="99"/>
    <w:unhideWhenUsed/>
    <w:rsid w:val="00262154"/>
    <w:rPr>
      <w:vertAlign w:val="superscript"/>
    </w:rPr>
  </w:style>
  <w:style w:type="paragraph" w:styleId="ListParagraph">
    <w:name w:val="List Paragraph"/>
    <w:basedOn w:val="Normal"/>
    <w:uiPriority w:val="34"/>
    <w:qFormat/>
    <w:rsid w:val="00262154"/>
    <w:pPr>
      <w:widowControl w:val="0"/>
      <w:autoSpaceDE w:val="0"/>
      <w:autoSpaceDN w:val="0"/>
      <w:adjustRightInd w:val="0"/>
      <w:ind w:left="720"/>
      <w:contextualSpacing/>
    </w:pPr>
    <w:rPr>
      <w:rFonts w:ascii="Times New Roman" w:hAnsi="Times New Roman"/>
      <w:sz w:val="20"/>
      <w:szCs w:val="20"/>
    </w:rPr>
  </w:style>
  <w:style w:type="table" w:styleId="TableGrid">
    <w:name w:val="Table Grid"/>
    <w:basedOn w:val="TableNormal"/>
    <w:uiPriority w:val="59"/>
    <w:rsid w:val="00F1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5332"/>
    <w:rPr>
      <w:rFonts w:ascii="Segoe UI" w:hAnsi="Segoe UI" w:cs="Segoe UI"/>
      <w:sz w:val="18"/>
      <w:szCs w:val="18"/>
    </w:rPr>
  </w:style>
  <w:style w:type="character" w:customStyle="1" w:styleId="BalloonTextChar">
    <w:name w:val="Balloon Text Char"/>
    <w:link w:val="BalloonText"/>
    <w:rsid w:val="00AA5332"/>
    <w:rPr>
      <w:rFonts w:ascii="Segoe UI" w:hAnsi="Segoe UI" w:cs="Segoe UI"/>
      <w:sz w:val="18"/>
      <w:szCs w:val="18"/>
    </w:rPr>
  </w:style>
  <w:style w:type="character" w:styleId="CommentReference">
    <w:name w:val="annotation reference"/>
    <w:rsid w:val="002E29D8"/>
    <w:rPr>
      <w:sz w:val="16"/>
      <w:szCs w:val="16"/>
    </w:rPr>
  </w:style>
  <w:style w:type="paragraph" w:styleId="CommentText">
    <w:name w:val="annotation text"/>
    <w:basedOn w:val="Normal"/>
    <w:link w:val="CommentTextChar"/>
    <w:rsid w:val="002E29D8"/>
    <w:rPr>
      <w:sz w:val="20"/>
      <w:szCs w:val="20"/>
    </w:rPr>
  </w:style>
  <w:style w:type="character" w:customStyle="1" w:styleId="CommentTextChar">
    <w:name w:val="Comment Text Char"/>
    <w:link w:val="CommentText"/>
    <w:rsid w:val="002E29D8"/>
    <w:rPr>
      <w:rFonts w:ascii="Arial" w:hAnsi="Arial"/>
    </w:rPr>
  </w:style>
  <w:style w:type="paragraph" w:styleId="CommentSubject">
    <w:name w:val="annotation subject"/>
    <w:basedOn w:val="CommentText"/>
    <w:next w:val="CommentText"/>
    <w:link w:val="CommentSubjectChar"/>
    <w:rsid w:val="002E29D8"/>
    <w:rPr>
      <w:b/>
      <w:bCs/>
    </w:rPr>
  </w:style>
  <w:style w:type="character" w:customStyle="1" w:styleId="CommentSubjectChar">
    <w:name w:val="Comment Subject Char"/>
    <w:link w:val="CommentSubject"/>
    <w:rsid w:val="002E29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8891">
      <w:bodyDiv w:val="1"/>
      <w:marLeft w:val="0"/>
      <w:marRight w:val="0"/>
      <w:marTop w:val="0"/>
      <w:marBottom w:val="0"/>
      <w:divBdr>
        <w:top w:val="none" w:sz="0" w:space="0" w:color="auto"/>
        <w:left w:val="none" w:sz="0" w:space="0" w:color="auto"/>
        <w:bottom w:val="none" w:sz="0" w:space="0" w:color="auto"/>
        <w:right w:val="none" w:sz="0" w:space="0" w:color="auto"/>
      </w:divBdr>
    </w:div>
    <w:div w:id="365369897">
      <w:bodyDiv w:val="1"/>
      <w:marLeft w:val="0"/>
      <w:marRight w:val="0"/>
      <w:marTop w:val="0"/>
      <w:marBottom w:val="0"/>
      <w:divBdr>
        <w:top w:val="none" w:sz="0" w:space="0" w:color="auto"/>
        <w:left w:val="none" w:sz="0" w:space="0" w:color="auto"/>
        <w:bottom w:val="none" w:sz="0" w:space="0" w:color="auto"/>
        <w:right w:val="none" w:sz="0" w:space="0" w:color="auto"/>
      </w:divBdr>
    </w:div>
    <w:div w:id="392512854">
      <w:bodyDiv w:val="1"/>
      <w:marLeft w:val="0"/>
      <w:marRight w:val="0"/>
      <w:marTop w:val="0"/>
      <w:marBottom w:val="0"/>
      <w:divBdr>
        <w:top w:val="none" w:sz="0" w:space="0" w:color="auto"/>
        <w:left w:val="none" w:sz="0" w:space="0" w:color="auto"/>
        <w:bottom w:val="none" w:sz="0" w:space="0" w:color="auto"/>
        <w:right w:val="none" w:sz="0" w:space="0" w:color="auto"/>
      </w:divBdr>
    </w:div>
    <w:div w:id="764420530">
      <w:bodyDiv w:val="1"/>
      <w:marLeft w:val="0"/>
      <w:marRight w:val="0"/>
      <w:marTop w:val="0"/>
      <w:marBottom w:val="0"/>
      <w:divBdr>
        <w:top w:val="none" w:sz="0" w:space="0" w:color="auto"/>
        <w:left w:val="none" w:sz="0" w:space="0" w:color="auto"/>
        <w:bottom w:val="none" w:sz="0" w:space="0" w:color="auto"/>
        <w:right w:val="none" w:sz="0" w:space="0" w:color="auto"/>
      </w:divBdr>
    </w:div>
    <w:div w:id="881014627">
      <w:bodyDiv w:val="1"/>
      <w:marLeft w:val="0"/>
      <w:marRight w:val="0"/>
      <w:marTop w:val="0"/>
      <w:marBottom w:val="0"/>
      <w:divBdr>
        <w:top w:val="none" w:sz="0" w:space="0" w:color="auto"/>
        <w:left w:val="none" w:sz="0" w:space="0" w:color="auto"/>
        <w:bottom w:val="none" w:sz="0" w:space="0" w:color="auto"/>
        <w:right w:val="none" w:sz="0" w:space="0" w:color="auto"/>
      </w:divBdr>
    </w:div>
    <w:div w:id="1104611382">
      <w:bodyDiv w:val="1"/>
      <w:marLeft w:val="0"/>
      <w:marRight w:val="0"/>
      <w:marTop w:val="0"/>
      <w:marBottom w:val="0"/>
      <w:divBdr>
        <w:top w:val="none" w:sz="0" w:space="0" w:color="auto"/>
        <w:left w:val="none" w:sz="0" w:space="0" w:color="auto"/>
        <w:bottom w:val="none" w:sz="0" w:space="0" w:color="auto"/>
        <w:right w:val="none" w:sz="0" w:space="0" w:color="auto"/>
      </w:divBdr>
    </w:div>
    <w:div w:id="1577280952">
      <w:bodyDiv w:val="1"/>
      <w:marLeft w:val="0"/>
      <w:marRight w:val="0"/>
      <w:marTop w:val="0"/>
      <w:marBottom w:val="0"/>
      <w:divBdr>
        <w:top w:val="none" w:sz="0" w:space="0" w:color="auto"/>
        <w:left w:val="none" w:sz="0" w:space="0" w:color="auto"/>
        <w:bottom w:val="none" w:sz="0" w:space="0" w:color="auto"/>
        <w:right w:val="none" w:sz="0" w:space="0" w:color="auto"/>
      </w:divBdr>
    </w:div>
    <w:div w:id="1840849771">
      <w:bodyDiv w:val="1"/>
      <w:marLeft w:val="0"/>
      <w:marRight w:val="0"/>
      <w:marTop w:val="0"/>
      <w:marBottom w:val="0"/>
      <w:divBdr>
        <w:top w:val="none" w:sz="0" w:space="0" w:color="auto"/>
        <w:left w:val="none" w:sz="0" w:space="0" w:color="auto"/>
        <w:bottom w:val="none" w:sz="0" w:space="0" w:color="auto"/>
        <w:right w:val="none" w:sz="0" w:space="0" w:color="auto"/>
      </w:divBdr>
    </w:div>
    <w:div w:id="19071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rs.gov/uac/Privacy-Impact-Assessments-PIA"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2062</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Office of Chief Counsel</Company>
  <LinksUpToDate>false</LinksUpToDate>
  <CharactersWithSpaces>13712</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LocalUser</dc:creator>
  <cp:keywords/>
  <cp:lastModifiedBy>Durbala R Joseph</cp:lastModifiedBy>
  <cp:revision>9</cp:revision>
  <dcterms:created xsi:type="dcterms:W3CDTF">2020-05-15T18:25:00Z</dcterms:created>
  <dcterms:modified xsi:type="dcterms:W3CDTF">2020-08-01T13:18:00Z</dcterms:modified>
</cp:coreProperties>
</file>