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bookmarkStart w:name="_GoBack" w:id="0"/>
      <w:bookmarkEnd w:id="0"/>
      <w:r w:rsidRPr="00A05B27">
        <w:rPr>
          <w:rFonts w:ascii="Times New Roman" w:hAnsi="Times New Roman"/>
          <w:b/>
          <w:bCs/>
        </w:rPr>
        <w:t xml:space="preserve">SUPPORTING STATEMENT FOR </w:t>
      </w:r>
    </w:p>
    <w:p w:rsidR="00515E8C" w:rsidP="00515E8C" w:rsidRDefault="00515E8C" w14:paraId="64065EBB" w14:textId="77777777">
      <w:pPr>
        <w:jc w:val="center"/>
        <w:rPr>
          <w:rFonts w:ascii="Times New Roman" w:hAnsi="Times New Roman"/>
          <w:b/>
        </w:rPr>
      </w:pPr>
      <w:r>
        <w:rPr>
          <w:rFonts w:ascii="Times New Roman" w:hAnsi="Times New Roman"/>
          <w:b/>
        </w:rPr>
        <w:t>Petition for Nonimmigrant Worker</w:t>
      </w:r>
    </w:p>
    <w:p w:rsidR="00515E8C" w:rsidP="00515E8C" w:rsidRDefault="00515E8C" w14:paraId="636D0519" w14:textId="77777777">
      <w:pPr>
        <w:jc w:val="center"/>
        <w:rPr>
          <w:rFonts w:ascii="Times New Roman" w:hAnsi="Times New Roman"/>
          <w:b/>
          <w:bCs/>
          <w:color w:val="FF0000"/>
        </w:rPr>
      </w:pPr>
      <w:r>
        <w:rPr>
          <w:rFonts w:ascii="Times New Roman" w:hAnsi="Times New Roman"/>
          <w:b/>
          <w:bCs/>
        </w:rPr>
        <w:t>OMB Control No.: 1615-0009</w:t>
      </w:r>
    </w:p>
    <w:p w:rsidR="00515E8C" w:rsidP="00515E8C" w:rsidRDefault="00515E8C" w14:paraId="68696FC3"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15E8C" w:rsidP="00515E8C" w:rsidRDefault="00515E8C" w14:paraId="2BC623A5" w14:textId="248F484F">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is (are) eligible for the nonimmigrant classification.  The statutory authority is section 101(a)(15)</w:t>
      </w:r>
      <w:r w:rsidR="002648DB">
        <w:rPr>
          <w:rFonts w:ascii="Times New Roman" w:hAnsi="Times New Roman"/>
        </w:rPr>
        <w:t xml:space="preserve">, </w:t>
      </w:r>
      <w:r w:rsidR="002469D3">
        <w:rPr>
          <w:rFonts w:ascii="Times New Roman" w:hAnsi="Times New Roman"/>
        </w:rPr>
        <w:t xml:space="preserve">103, </w:t>
      </w:r>
      <w:r w:rsidR="002648DB">
        <w:rPr>
          <w:rFonts w:ascii="Times New Roman" w:hAnsi="Times New Roman"/>
        </w:rPr>
        <w:t>214(a),</w:t>
      </w:r>
      <w:r w:rsidDel="002648DB">
        <w:rPr>
          <w:rFonts w:ascii="Times New Roman" w:hAnsi="Times New Roman"/>
        </w:rPr>
        <w:t xml:space="preserve"> </w:t>
      </w:r>
      <w:r>
        <w:rPr>
          <w:rFonts w:ascii="Times New Roman" w:hAnsi="Times New Roman"/>
        </w:rPr>
        <w:t>214(c)(1);</w:t>
      </w:r>
      <w:r w:rsidR="002648DB">
        <w:rPr>
          <w:rFonts w:ascii="Times New Roman" w:hAnsi="Times New Roman"/>
        </w:rPr>
        <w:t xml:space="preserve"> and 214(i)</w:t>
      </w:r>
      <w:r w:rsidR="003F1609">
        <w:rPr>
          <w:rFonts w:ascii="Times New Roman" w:hAnsi="Times New Roman"/>
        </w:rPr>
        <w:t>, and 248</w:t>
      </w:r>
      <w:r>
        <w:rPr>
          <w:rFonts w:ascii="Times New Roman" w:hAnsi="Times New Roman"/>
        </w:rPr>
        <w:t xml:space="preserve"> of the Immigration and Nationality Act (Act)</w:t>
      </w:r>
      <w:r w:rsidR="002648DB">
        <w:rPr>
          <w:rFonts w:ascii="Times New Roman" w:hAnsi="Times New Roman"/>
        </w:rPr>
        <w:t>, codified at</w:t>
      </w:r>
      <w:r>
        <w:rPr>
          <w:rFonts w:ascii="Times New Roman" w:hAnsi="Times New Roman"/>
        </w:rPr>
        <w:t xml:space="preserve"> </w:t>
      </w:r>
      <w:r w:rsidR="002648DB">
        <w:rPr>
          <w:rFonts w:ascii="Times New Roman" w:hAnsi="Times New Roman"/>
        </w:rPr>
        <w:t xml:space="preserve">8 U.S.C. 1101(a)(15), </w:t>
      </w:r>
      <w:r w:rsidR="002469D3">
        <w:rPr>
          <w:rFonts w:ascii="Times New Roman" w:hAnsi="Times New Roman"/>
        </w:rPr>
        <w:t xml:space="preserve">1103, </w:t>
      </w:r>
      <w:r w:rsidR="002648DB">
        <w:rPr>
          <w:rFonts w:ascii="Times New Roman" w:hAnsi="Times New Roman"/>
        </w:rPr>
        <w:t xml:space="preserve">8 U.S.C. 1184(a), 8 U.S.C. 1184(c)(1), </w:t>
      </w:r>
      <w:r w:rsidRPr="002648DB" w:rsidR="002648DB">
        <w:rPr>
          <w:rFonts w:ascii="Times New Roman" w:hAnsi="Times New Roman"/>
        </w:rPr>
        <w:t>8 U.S.C. 1184(i)</w:t>
      </w:r>
      <w:r w:rsidR="002648DB">
        <w:rPr>
          <w:rFonts w:ascii="Times New Roman" w:hAnsi="Times New Roman"/>
        </w:rPr>
        <w:t xml:space="preserve">, </w:t>
      </w:r>
      <w:r w:rsidR="003F1609">
        <w:rPr>
          <w:rFonts w:ascii="Times New Roman" w:hAnsi="Times New Roman"/>
        </w:rPr>
        <w:t>and 8 U.S.C. 12</w:t>
      </w:r>
      <w:r w:rsidR="00794F73">
        <w:rPr>
          <w:rFonts w:ascii="Times New Roman" w:hAnsi="Times New Roman"/>
        </w:rPr>
        <w:t>5</w:t>
      </w:r>
      <w:r w:rsidR="003F1609">
        <w:rPr>
          <w:rFonts w:ascii="Times New Roman" w:hAnsi="Times New Roman"/>
        </w:rPr>
        <w:t xml:space="preserve">8, </w:t>
      </w:r>
      <w:r>
        <w:rPr>
          <w:rFonts w:ascii="Times New Roman" w:hAnsi="Times New Roman"/>
        </w:rPr>
        <w:t xml:space="preserve">and the regulatory authority is </w:t>
      </w:r>
      <w:r w:rsidR="003F1609">
        <w:rPr>
          <w:rFonts w:ascii="Times New Roman" w:hAnsi="Times New Roman"/>
        </w:rPr>
        <w:t xml:space="preserve">8 CFR 214.1, </w:t>
      </w:r>
      <w:r>
        <w:rPr>
          <w:rFonts w:ascii="Times New Roman" w:hAnsi="Times New Roman"/>
        </w:rPr>
        <w:t>8 CFR 214.2</w:t>
      </w:r>
      <w:r w:rsidR="002469D3">
        <w:rPr>
          <w:rFonts w:ascii="Times New Roman" w:hAnsi="Times New Roman"/>
        </w:rPr>
        <w:t xml:space="preserve">(h)(1)(ii)(B), </w:t>
      </w:r>
      <w:r>
        <w:rPr>
          <w:rFonts w:ascii="Times New Roman" w:hAnsi="Times New Roman"/>
        </w:rPr>
        <w:t>(h)(2)(i)(A),</w:t>
      </w:r>
      <w:r w:rsidR="00212C8B">
        <w:rPr>
          <w:rFonts w:ascii="Times New Roman" w:hAnsi="Times New Roman"/>
        </w:rPr>
        <w:t xml:space="preserve"> </w:t>
      </w:r>
      <w:r w:rsidR="002648DB">
        <w:rPr>
          <w:rFonts w:ascii="Times New Roman" w:hAnsi="Times New Roman"/>
        </w:rPr>
        <w:t>(h)(4),</w:t>
      </w:r>
      <w:r w:rsidR="00212C8B">
        <w:rPr>
          <w:rFonts w:ascii="Times New Roman" w:hAnsi="Times New Roman"/>
        </w:rPr>
        <w:t xml:space="preserve"> </w:t>
      </w:r>
      <w:r w:rsidR="00A13DCB">
        <w:rPr>
          <w:rFonts w:ascii="Times New Roman" w:hAnsi="Times New Roman"/>
        </w:rPr>
        <w:t xml:space="preserve">(h)(8) through </w:t>
      </w:r>
      <w:r w:rsidR="00212C8B">
        <w:rPr>
          <w:rFonts w:ascii="Times New Roman" w:hAnsi="Times New Roman"/>
        </w:rPr>
        <w:t>(h)(19),</w:t>
      </w:r>
      <w:r>
        <w:rPr>
          <w:rFonts w:ascii="Times New Roman" w:hAnsi="Times New Roman"/>
        </w:rPr>
        <w:t xml:space="preserve"> </w:t>
      </w:r>
      <w:r w:rsidR="0060085B">
        <w:rPr>
          <w:rFonts w:ascii="Times New Roman" w:hAnsi="Times New Roman"/>
        </w:rPr>
        <w:t>8 CFR 214.2</w:t>
      </w:r>
      <w:r w:rsidDel="0060085B">
        <w:rPr>
          <w:rFonts w:ascii="Times New Roman" w:hAnsi="Times New Roman"/>
        </w:rPr>
        <w:t>(</w:t>
      </w:r>
      <w:r>
        <w:rPr>
          <w:rFonts w:ascii="Times New Roman" w:hAnsi="Times New Roman"/>
        </w:rPr>
        <w:t>l</w:t>
      </w:r>
      <w:r w:rsidDel="0060085B">
        <w:rPr>
          <w:rFonts w:ascii="Times New Roman" w:hAnsi="Times New Roman"/>
        </w:rPr>
        <w:t>),</w:t>
      </w:r>
      <w:r>
        <w:rPr>
          <w:rFonts w:ascii="Times New Roman" w:hAnsi="Times New Roman"/>
        </w:rPr>
        <w:t xml:space="preserve"> (o</w:t>
      </w:r>
      <w:r w:rsidR="0060085B">
        <w:rPr>
          <w:rFonts w:ascii="Times New Roman" w:hAnsi="Times New Roman"/>
        </w:rPr>
        <w:t>)</w:t>
      </w:r>
      <w:r>
        <w:rPr>
          <w:rFonts w:ascii="Times New Roman" w:hAnsi="Times New Roman"/>
        </w:rPr>
        <w:t xml:space="preserve"> (p)</w:t>
      </w:r>
      <w:r w:rsidR="0060085B">
        <w:rPr>
          <w:rFonts w:ascii="Times New Roman" w:hAnsi="Times New Roman"/>
        </w:rPr>
        <w:t xml:space="preserve">, (q), and </w:t>
      </w:r>
      <w:r w:rsidDel="0060085B">
        <w:rPr>
          <w:rFonts w:ascii="Times New Roman" w:hAnsi="Times New Roman"/>
        </w:rPr>
        <w:t>(</w:t>
      </w:r>
      <w:r>
        <w:rPr>
          <w:rFonts w:ascii="Times New Roman" w:hAnsi="Times New Roman"/>
        </w:rPr>
        <w:t>r)</w:t>
      </w:r>
      <w:r w:rsidR="0060085B">
        <w:rPr>
          <w:rFonts w:ascii="Times New Roman" w:hAnsi="Times New Roman"/>
        </w:rPr>
        <w:t>,</w:t>
      </w:r>
      <w:r w:rsidR="003F1609">
        <w:rPr>
          <w:rFonts w:ascii="Times New Roman" w:hAnsi="Times New Roman"/>
        </w:rPr>
        <w:t xml:space="preserve"> and </w:t>
      </w:r>
      <w:r w:rsidR="0060085B">
        <w:rPr>
          <w:rFonts w:ascii="Times New Roman" w:hAnsi="Times New Roman"/>
        </w:rPr>
        <w:t xml:space="preserve">8 CFR </w:t>
      </w:r>
      <w:r w:rsidR="003F1609">
        <w:rPr>
          <w:rFonts w:ascii="Times New Roman" w:hAnsi="Times New Roman"/>
        </w:rPr>
        <w:t>248.1</w:t>
      </w:r>
      <w:r>
        <w:rPr>
          <w:rFonts w:ascii="Times New Roman" w:hAnsi="Times New Roman"/>
        </w:rPr>
        <w:t xml:space="preserve">.  A U.S. employer, or agent in some instances, may file a petition for nonimmigrant worker to employ foreign nationals under the following nonimmigrant classifications:  H-1B, H-2A, H-2B, H-3, L-1, O-1, O-2, P-1, P-2, P-3, P-1S, P-2S, P-3S, Q-1, or R-1 nonimmigrant worker.  </w:t>
      </w:r>
    </w:p>
    <w:p w:rsidR="00515E8C" w:rsidP="00515E8C" w:rsidRDefault="00515E8C" w14:paraId="6B523F2A" w14:textId="77777777">
      <w:pPr>
        <w:ind w:left="720"/>
        <w:rPr>
          <w:rFonts w:ascii="Times New Roman" w:hAnsi="Times New Roman"/>
        </w:rPr>
      </w:pPr>
    </w:p>
    <w:p w:rsidR="00515E8C" w:rsidP="00515E8C" w:rsidRDefault="00515E8C" w14:paraId="4D4E2060"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proofErr w:type="gramStart"/>
      <w:r>
        <w:rPr>
          <w:rFonts w:ascii="Times New Roman" w:hAnsi="Times New Roman"/>
        </w:rPr>
        <w:t>i)(</w:t>
      </w:r>
      <w:proofErr w:type="gramEnd"/>
      <w:r>
        <w:rPr>
          <w:rFonts w:ascii="Times New Roman" w:hAnsi="Times New Roman"/>
        </w:rPr>
        <w:t xml:space="preserve">b1) of the Act.  The additional regulatory authority for collection of this information for E-1s, E-2s, and TNs is found in 8 CFR 214.2(e)(1) and 8 CFR 214.6.   </w:t>
      </w:r>
    </w:p>
    <w:p w:rsidR="00515E8C" w:rsidP="00515E8C" w:rsidRDefault="00515E8C" w14:paraId="493CCEED"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515E8C" w:rsidP="00515E8C" w:rsidRDefault="00515E8C" w14:paraId="3CDB41F3" w14:textId="4EAC97B6">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lastRenderedPageBreak/>
        <w:t xml:space="preserve">adjudicate the nonimmigrant petition, and perform other functions related to administering and enforcing the immigrant and nationality laws. </w:t>
      </w:r>
    </w:p>
    <w:p w:rsidR="00515E8C" w:rsidP="00515E8C" w:rsidRDefault="00515E8C" w14:paraId="4E450991" w14:textId="498CE175">
      <w:pPr>
        <w:ind w:left="720"/>
        <w:rPr>
          <w:rFonts w:ascii="Times New Roman" w:hAnsi="Times New Roman"/>
        </w:rPr>
      </w:pPr>
    </w:p>
    <w:p w:rsidR="00515E8C" w:rsidP="00515E8C" w:rsidRDefault="00515E8C" w14:paraId="54107C69" w14:textId="520626CA">
      <w:pPr>
        <w:ind w:left="720"/>
        <w:rPr>
          <w:rFonts w:ascii="Times New Roman" w:hAnsi="Times New Roman"/>
        </w:rPr>
      </w:pPr>
      <w:r>
        <w:rPr>
          <w:rFonts w:ascii="Times New Roman" w:hAnsi="Times New Roman"/>
        </w:rPr>
        <w:t>DHS requires</w:t>
      </w:r>
      <w:r w:rsidDel="003F1609">
        <w:rPr>
          <w:rFonts w:ascii="Times New Roman" w:hAnsi="Times New Roman"/>
        </w:rPr>
        <w:t xml:space="preserve"> </w:t>
      </w:r>
      <w:r w:rsidR="003F1609">
        <w:rPr>
          <w:rFonts w:ascii="Times New Roman" w:hAnsi="Times New Roman"/>
        </w:rPr>
        <w:t xml:space="preserve">most </w:t>
      </w:r>
      <w:r>
        <w:rPr>
          <w:rFonts w:ascii="Times New Roman" w:hAnsi="Times New Roman"/>
        </w:rPr>
        <w:t xml:space="preserve">aliens seeking an extension of stay or change of status to demonstrate that they have not, since obtaining the nonimmigrant status they wish to extend or change, received public benefits, as defined in </w:t>
      </w:r>
      <w:r w:rsidR="003F1609">
        <w:rPr>
          <w:rFonts w:ascii="Times New Roman" w:hAnsi="Times New Roman"/>
        </w:rPr>
        <w:t xml:space="preserve">the Inadmissibility on Public Charge Grounds, </w:t>
      </w:r>
      <w:r w:rsidR="00D87264">
        <w:rPr>
          <w:rFonts w:ascii="Times New Roman" w:hAnsi="Times New Roman"/>
        </w:rPr>
        <w:t xml:space="preserve">final rule </w:t>
      </w:r>
      <w:r w:rsidR="003F1609">
        <w:rPr>
          <w:rFonts w:ascii="Times New Roman" w:hAnsi="Times New Roman"/>
        </w:rPr>
        <w:t>84 F</w:t>
      </w:r>
      <w:r w:rsidR="00275F4E">
        <w:rPr>
          <w:rFonts w:ascii="Times New Roman" w:hAnsi="Times New Roman"/>
        </w:rPr>
        <w:t>R</w:t>
      </w:r>
      <w:r w:rsidR="003F1609">
        <w:rPr>
          <w:rFonts w:ascii="Times New Roman" w:hAnsi="Times New Roman"/>
        </w:rPr>
        <w:t xml:space="preserve"> 41292 (Aug. 14, 2019) final </w:t>
      </w:r>
      <w:r>
        <w:rPr>
          <w:rFonts w:ascii="Times New Roman" w:hAnsi="Times New Roman"/>
        </w:rPr>
        <w:t>rule, for more than 12 months in the aggregate within any 36-month period unless the nonimmigrant classification that they seek to extend, or to which they seek to change, is exempt from the public charge ground of inadmissibility.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15E8C" w:rsidP="00515E8C" w:rsidRDefault="00515E8C" w14:paraId="2F2CC961" w14:textId="5153AB4D">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922C62" w:rsidP="00515E8C" w:rsidRDefault="00922C62" w14:paraId="11DF995E" w14:textId="4A0B704F">
      <w:pPr>
        <w:ind w:left="720"/>
        <w:rPr>
          <w:rFonts w:ascii="Times New Roman" w:hAnsi="Times New Roman"/>
        </w:rPr>
      </w:pPr>
    </w:p>
    <w:p w:rsidR="00922C62" w:rsidP="00515E8C" w:rsidRDefault="00922C62" w14:paraId="33E05347" w14:textId="321D0049">
      <w:pPr>
        <w:ind w:left="720"/>
        <w:rPr>
          <w:rFonts w:ascii="Times New Roman" w:hAnsi="Times New Roman"/>
        </w:rPr>
      </w:pPr>
      <w:r>
        <w:rPr>
          <w:rFonts w:ascii="Times New Roman" w:hAnsi="Times New Roman"/>
        </w:rPr>
        <w:t xml:space="preserve">USCIS also uses the data to determine continued eligibility.  For example, the data collected is used in compliance reviews and other inspections </w:t>
      </w:r>
      <w:r w:rsidRPr="00710A04">
        <w:rPr>
          <w:rFonts w:ascii="Times New Roman" w:hAnsi="Times New Roman"/>
        </w:rPr>
        <w:t>to ensure that all program requirements are being met</w:t>
      </w:r>
      <w:r>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515E8C" w:rsidP="00515E8C" w:rsidRDefault="00515E8C" w14:paraId="596899F8" w14:textId="29BE11B5">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w:t>
      </w:r>
      <w:r w:rsidR="00407FDF">
        <w:rPr>
          <w:rFonts w:ascii="Times New Roman" w:hAnsi="Times New Roman"/>
        </w:rPr>
        <w:t xml:space="preserve">can be accessed </w:t>
      </w:r>
      <w:r>
        <w:rPr>
          <w:rFonts w:ascii="Times New Roman" w:hAnsi="Times New Roman"/>
        </w:rPr>
        <w:t xml:space="preserve">on the USCIS website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w:t>
      </w:r>
      <w:r w:rsidR="00407FDF">
        <w:rPr>
          <w:rFonts w:ascii="Times New Roman" w:hAnsi="Times New Roman"/>
        </w:rPr>
        <w:t xml:space="preserve">filled out, </w:t>
      </w:r>
      <w:r>
        <w:rPr>
          <w:rFonts w:ascii="Times New Roman" w:hAnsi="Times New Roman"/>
        </w:rPr>
        <w:t>and saved electronically, but must be printed</w:t>
      </w:r>
      <w:r w:rsidR="00407FDF">
        <w:rPr>
          <w:rFonts w:ascii="Times New Roman" w:hAnsi="Times New Roman"/>
        </w:rPr>
        <w:t>, signed,</w:t>
      </w:r>
      <w:r>
        <w:rPr>
          <w:rFonts w:ascii="Times New Roman" w:hAnsi="Times New Roman"/>
        </w:rPr>
        <w:t xml:space="preserve">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15E8C" w:rsidP="00515E8C" w:rsidRDefault="00515E8C" w14:paraId="2D9A98FB"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515E8C" w:rsidP="00515E8C" w:rsidRDefault="00515E8C" w14:paraId="704FA049"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15E8C" w:rsidP="00515E8C" w:rsidRDefault="00A03E3A" w14:paraId="21C0F59C" w14:textId="3AD5E552">
      <w:pPr>
        <w:tabs>
          <w:tab w:val="left" w:pos="-1440"/>
        </w:tabs>
        <w:ind w:left="720"/>
        <w:rPr>
          <w:rFonts w:ascii="Times New Roman" w:hAnsi="Times New Roman"/>
          <w:color w:val="FF0000"/>
        </w:rPr>
      </w:pPr>
      <w:r>
        <w:rPr>
          <w:rFonts w:ascii="Times New Roman" w:hAnsi="Times New Roman"/>
        </w:rPr>
        <w:t>This information collection is</w:t>
      </w:r>
      <w:r w:rsidR="009759C7">
        <w:rPr>
          <w:rFonts w:ascii="Times New Roman" w:hAnsi="Times New Roman"/>
        </w:rPr>
        <w:t xml:space="preserve"> only</w:t>
      </w:r>
      <w:r>
        <w:rPr>
          <w:rFonts w:ascii="Times New Roman" w:hAnsi="Times New Roman"/>
        </w:rPr>
        <w:t xml:space="preserve"> conducted whenever a form is filed seeking a nonimmigrant classification for a foreign worker. </w:t>
      </w:r>
      <w:r w:rsidR="00407FDF">
        <w:rPr>
          <w:rFonts w:ascii="Times New Roman" w:hAnsi="Times New Roman"/>
        </w:rPr>
        <w:t xml:space="preserve">Without this information collection, USCIS would not have the information needed to make </w:t>
      </w:r>
      <w:r w:rsidR="009759C7">
        <w:rPr>
          <w:rFonts w:ascii="Times New Roman" w:hAnsi="Times New Roman"/>
        </w:rPr>
        <w:t xml:space="preserve">eligibility </w:t>
      </w:r>
      <w:r w:rsidR="00407FDF">
        <w:rPr>
          <w:rFonts w:ascii="Times New Roman" w:hAnsi="Times New Roman"/>
        </w:rPr>
        <w:t>determinations under sections 101</w:t>
      </w:r>
      <w:r>
        <w:rPr>
          <w:rFonts w:ascii="Times New Roman" w:hAnsi="Times New Roman"/>
        </w:rPr>
        <w:t>(a)(15)</w:t>
      </w:r>
      <w:r w:rsidR="00794F73">
        <w:rPr>
          <w:rFonts w:ascii="Times New Roman" w:hAnsi="Times New Roman"/>
        </w:rPr>
        <w:t>,</w:t>
      </w:r>
      <w:r w:rsidR="00407FDF">
        <w:rPr>
          <w:rFonts w:ascii="Times New Roman" w:hAnsi="Times New Roman"/>
        </w:rPr>
        <w:t xml:space="preserve"> 214 </w:t>
      </w:r>
      <w:r w:rsidR="00794F73">
        <w:rPr>
          <w:rFonts w:ascii="Times New Roman" w:hAnsi="Times New Roman"/>
        </w:rPr>
        <w:t xml:space="preserve">and 248 </w:t>
      </w:r>
      <w:r w:rsidR="00407FDF">
        <w:rPr>
          <w:rFonts w:ascii="Times New Roman" w:hAnsi="Times New Roman"/>
        </w:rPr>
        <w:t>of the INA</w:t>
      </w:r>
      <w:r>
        <w:rPr>
          <w:rFonts w:ascii="Times New Roman" w:hAnsi="Times New Roman"/>
        </w:rPr>
        <w:t>, 8 U.S.C. 1101(a)(15)</w:t>
      </w:r>
      <w:r w:rsidR="00794F73">
        <w:rPr>
          <w:rFonts w:ascii="Times New Roman" w:hAnsi="Times New Roman"/>
        </w:rPr>
        <w:t>,</w:t>
      </w:r>
      <w:r>
        <w:rPr>
          <w:rFonts w:ascii="Times New Roman" w:hAnsi="Times New Roman"/>
        </w:rPr>
        <w:t xml:space="preserve"> 1184</w:t>
      </w:r>
      <w:r w:rsidR="00794F73">
        <w:rPr>
          <w:rFonts w:ascii="Times New Roman" w:hAnsi="Times New Roman"/>
        </w:rPr>
        <w:t xml:space="preserve"> and 1258</w:t>
      </w:r>
      <w:r w:rsidR="00407FDF">
        <w:rPr>
          <w:rFonts w:ascii="Times New Roman" w:hAnsi="Times New Roman"/>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94557" w:rsidP="00914A5D" w:rsidRDefault="0077176B" w14:paraId="723038E9" w14:textId="00B9E78A">
      <w:pPr>
        <w:tabs>
          <w:tab w:val="left" w:pos="-1440"/>
        </w:tabs>
        <w:ind w:left="720"/>
        <w:rPr>
          <w:rFonts w:ascii="Times New Roman" w:hAnsi="Times New Roman"/>
        </w:rPr>
      </w:pPr>
      <w:r>
        <w:rPr>
          <w:rFonts w:ascii="Times New Roman" w:hAnsi="Times New Roman"/>
        </w:rPr>
        <w:t xml:space="preserve">On October 8, 2020, </w:t>
      </w:r>
      <w:r w:rsidR="00746A66">
        <w:rPr>
          <w:rFonts w:ascii="Times New Roman" w:hAnsi="Times New Roman"/>
        </w:rPr>
        <w:t>USCIS publish</w:t>
      </w:r>
      <w:r>
        <w:rPr>
          <w:rFonts w:ascii="Times New Roman" w:hAnsi="Times New Roman"/>
        </w:rPr>
        <w:t>ed</w:t>
      </w:r>
      <w:r w:rsidR="00746A66">
        <w:rPr>
          <w:rFonts w:ascii="Times New Roman" w:hAnsi="Times New Roman"/>
        </w:rPr>
        <w:t xml:space="preserve"> an Interim Final Rule</w:t>
      </w:r>
      <w:r w:rsidR="00407FDF">
        <w:rPr>
          <w:rFonts w:ascii="Times New Roman" w:hAnsi="Times New Roman"/>
        </w:rPr>
        <w:t xml:space="preserve"> </w:t>
      </w:r>
      <w:r>
        <w:rPr>
          <w:rFonts w:ascii="Times New Roman" w:hAnsi="Times New Roman"/>
        </w:rPr>
        <w:t xml:space="preserve">at 85 FR </w:t>
      </w:r>
      <w:r w:rsidR="001E3EA3">
        <w:rPr>
          <w:rFonts w:ascii="Times New Roman" w:hAnsi="Times New Roman"/>
        </w:rPr>
        <w:t xml:space="preserve">63918 </w:t>
      </w:r>
      <w:r w:rsidR="00407FDF">
        <w:rPr>
          <w:rFonts w:ascii="Times New Roman" w:hAnsi="Times New Roman"/>
        </w:rPr>
        <w:t>and</w:t>
      </w:r>
      <w:r>
        <w:rPr>
          <w:rFonts w:ascii="Times New Roman" w:hAnsi="Times New Roman"/>
        </w:rPr>
        <w:t xml:space="preserve"> is</w:t>
      </w:r>
      <w:r w:rsidR="00407FDF">
        <w:rPr>
          <w:rFonts w:ascii="Times New Roman" w:hAnsi="Times New Roman"/>
        </w:rPr>
        <w:t xml:space="preserve"> taking comments on the rule and this related information collection as required by 5 CFR 1320.11.</w:t>
      </w:r>
      <w:r w:rsidR="008C5E87">
        <w:rPr>
          <w:rFonts w:ascii="Times New Roman" w:hAnsi="Times New Roman"/>
        </w:rPr>
        <w:t xml:space="preserve"> The interim final rule is effective on December 7, 2020.</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515E8C" w:rsidP="00515E8C" w:rsidRDefault="00515E8C" w14:paraId="2DA0C16F"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15E8C" w:rsidP="00515E8C" w:rsidRDefault="00515E8C" w14:paraId="0B297CB2" w14:textId="77777777">
      <w:pPr>
        <w:tabs>
          <w:tab w:val="left" w:pos="-1440"/>
        </w:tabs>
        <w:ind w:left="720"/>
        <w:rPr>
          <w:rFonts w:ascii="Times New Roman" w:hAnsi="Times New Roman"/>
        </w:rPr>
      </w:pPr>
    </w:p>
    <w:p w:rsidR="00515E8C" w:rsidP="00515E8C" w:rsidRDefault="00515E8C" w14:paraId="51A1631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D21EB4" w:rsidR="00515E8C" w:rsidP="00515E8C" w:rsidRDefault="00515E8C" w14:paraId="3762A266" w14:textId="77777777">
      <w:pPr>
        <w:pStyle w:val="ListParagraph"/>
        <w:numPr>
          <w:ilvl w:val="0"/>
          <w:numId w:val="9"/>
        </w:numPr>
        <w:tabs>
          <w:tab w:val="left" w:pos="-1440"/>
        </w:tabs>
        <w:rPr>
          <w:rFonts w:ascii="Times New Roman" w:hAnsi="Times New Roman"/>
        </w:rPr>
      </w:pPr>
      <w:r w:rsidRPr="00D21EB4">
        <w:rPr>
          <w:rFonts w:ascii="Times New Roman" w:hAnsi="Times New Roman"/>
        </w:rPr>
        <w:t xml:space="preserve">DHS/USCIS/PIA-003 Integrated Digitization Document Management Program; and </w:t>
      </w:r>
    </w:p>
    <w:p w:rsidRPr="00D21EB4" w:rsidR="00515E8C" w:rsidP="00515E8C" w:rsidRDefault="00515E8C" w14:paraId="5DFCFC5E"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DHS/USCIS/PIA 016(a) Computer Linked Application Information Management System (CLAIMS 3) and Associated Systems.</w:t>
      </w:r>
    </w:p>
    <w:p w:rsidR="00515E8C" w:rsidP="00515E8C" w:rsidRDefault="00515E8C" w14:paraId="4D6A8FC5" w14:textId="77777777">
      <w:pPr>
        <w:tabs>
          <w:tab w:val="left" w:pos="-1440"/>
        </w:tabs>
        <w:ind w:left="720"/>
        <w:rPr>
          <w:rFonts w:ascii="Times New Roman" w:hAnsi="Times New Roman"/>
        </w:rPr>
      </w:pPr>
    </w:p>
    <w:p w:rsidR="00515E8C" w:rsidP="00515E8C" w:rsidRDefault="00515E8C" w14:paraId="0C1A4872"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D21EB4" w:rsidR="00515E8C" w:rsidP="00515E8C" w:rsidRDefault="00515E8C" w14:paraId="6759E2A7"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DHS/USCIS/ICE/CBP-001 Alien File, Index, and National File Tracking System of Records, September 18, 2017, 82 FR 43556;</w:t>
      </w:r>
    </w:p>
    <w:p w:rsidRPr="00D21EB4" w:rsidR="00515E8C" w:rsidP="00515E8C" w:rsidRDefault="00515E8C" w14:paraId="7E590512" w14:textId="77777777">
      <w:pPr>
        <w:pStyle w:val="ListParagraph"/>
        <w:numPr>
          <w:ilvl w:val="0"/>
          <w:numId w:val="9"/>
        </w:numPr>
        <w:tabs>
          <w:tab w:val="left" w:pos="-1440"/>
        </w:tabs>
        <w:rPr>
          <w:rFonts w:ascii="Times New Roman" w:hAnsi="Times New Roman"/>
        </w:rPr>
      </w:pPr>
      <w:r w:rsidRPr="00D21EB4">
        <w:rPr>
          <w:rFonts w:ascii="Times New Roman" w:hAnsi="Times New Roman"/>
        </w:rPr>
        <w:t>DHS/USCIS-007 Benefits Information System, October 19, 2016 81 FR 72069; and</w:t>
      </w:r>
    </w:p>
    <w:p w:rsidRPr="00515E8C" w:rsidR="00EC5F60" w:rsidP="00515E8C" w:rsidRDefault="00515E8C" w14:paraId="5E3A935B" w14:textId="064A0846">
      <w:pPr>
        <w:pStyle w:val="ListParagraph"/>
        <w:numPr>
          <w:ilvl w:val="0"/>
          <w:numId w:val="9"/>
        </w:numPr>
        <w:tabs>
          <w:tab w:val="left" w:pos="-1440"/>
        </w:tabs>
        <w:rPr>
          <w:rFonts w:ascii="Times New Roman" w:hAnsi="Times New Roman"/>
        </w:rPr>
      </w:pPr>
      <w:r w:rsidRPr="00D21EB4">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515E8C" w:rsidP="00515E8C" w:rsidRDefault="00515E8C" w14:paraId="779C7DD3" w14:textId="77777777">
      <w:pPr>
        <w:tabs>
          <w:tab w:val="left" w:pos="-1440"/>
        </w:tabs>
        <w:ind w:left="720"/>
        <w:rPr>
          <w:rFonts w:ascii="Times New Roman" w:hAnsi="Times New Roman"/>
          <w:color w:val="FF0000"/>
        </w:rPr>
      </w:pPr>
      <w:r>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checking the background information of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 xml:space="preserve">of </w:t>
      </w:r>
      <w:r w:rsidRPr="005B6129">
        <w:rPr>
          <w:rFonts w:ascii="Times New Roman" w:hAnsi="Times New Roman"/>
          <w:b/>
        </w:rPr>
        <w:lastRenderedPageBreak/>
        <w:t>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3F98072C">
      <w:pPr>
        <w:tabs>
          <w:tab w:val="left" w:pos="-1440"/>
          <w:tab w:val="left" w:pos="1080"/>
        </w:tabs>
        <w:ind w:left="1080" w:hanging="360"/>
        <w:rPr>
          <w:rFonts w:ascii="Times New Roman" w:hAnsi="Times New Roman"/>
          <w:b/>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Pr="002143F2" w:rsidR="00515E8C" w:rsidTr="002143F2" w14:paraId="3B11E6A9" w14:textId="77777777">
        <w:trPr>
          <w:trHeight w:val="315"/>
        </w:trPr>
        <w:tc>
          <w:tcPr>
            <w:tcW w:w="134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143F2" w:rsidR="00515E8C" w:rsidP="002143F2" w:rsidRDefault="00515E8C" w14:paraId="11D81B49" w14:textId="77777777">
            <w:pPr>
              <w:widowControl/>
              <w:autoSpaceDE/>
              <w:autoSpaceDN/>
              <w:adjustRightInd/>
              <w:jc w:val="center"/>
              <w:rPr>
                <w:rFonts w:ascii="Times New Roman" w:hAnsi="Times New Roman"/>
                <w:color w:val="000000"/>
                <w:sz w:val="20"/>
                <w:szCs w:val="20"/>
              </w:rPr>
            </w:pPr>
          </w:p>
        </w:tc>
        <w:tc>
          <w:tcPr>
            <w:tcW w:w="1461"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2A9B8129" w14:textId="77777777">
            <w:pPr>
              <w:widowControl/>
              <w:autoSpaceDE/>
              <w:autoSpaceDN/>
              <w:adjustRightInd/>
              <w:jc w:val="center"/>
              <w:rPr>
                <w:rFonts w:ascii="Times New Roman" w:hAnsi="Times New Roman"/>
                <w:color w:val="000000"/>
                <w:sz w:val="20"/>
                <w:szCs w:val="20"/>
              </w:rPr>
            </w:pP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2AB6B9DE"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3F05476D"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4891E8E7"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C (=</w:t>
            </w:r>
            <w:proofErr w:type="spellStart"/>
            <w:r w:rsidRPr="002143F2">
              <w:rPr>
                <w:rFonts w:ascii="Times New Roman" w:hAnsi="Times New Roman"/>
                <w:color w:val="000000"/>
                <w:sz w:val="20"/>
                <w:szCs w:val="20"/>
              </w:rPr>
              <w:t>AxB</w:t>
            </w:r>
            <w:proofErr w:type="spellEnd"/>
            <w:r w:rsidRPr="002143F2">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20A0CAA0"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538A1465"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E (=</w:t>
            </w:r>
            <w:proofErr w:type="spellStart"/>
            <w:r w:rsidRPr="002143F2">
              <w:rPr>
                <w:rFonts w:ascii="Times New Roman" w:hAnsi="Times New Roman"/>
                <w:color w:val="000000"/>
                <w:sz w:val="20"/>
                <w:szCs w:val="20"/>
              </w:rPr>
              <w:t>CxD</w:t>
            </w:r>
            <w:proofErr w:type="spellEnd"/>
            <w:r w:rsidRPr="002143F2">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733D5056"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2143F2" w:rsidR="00515E8C" w:rsidP="002143F2" w:rsidRDefault="00515E8C" w14:paraId="123FF7CB"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w:t>
            </w:r>
            <w:proofErr w:type="spellStart"/>
            <w:r w:rsidRPr="002143F2">
              <w:rPr>
                <w:rFonts w:ascii="Times New Roman" w:hAnsi="Times New Roman"/>
                <w:color w:val="000000"/>
                <w:sz w:val="20"/>
                <w:szCs w:val="20"/>
              </w:rPr>
              <w:t>ExF</w:t>
            </w:r>
            <w:proofErr w:type="spellEnd"/>
            <w:r w:rsidRPr="002143F2">
              <w:rPr>
                <w:rFonts w:ascii="Times New Roman" w:hAnsi="Times New Roman"/>
                <w:color w:val="000000"/>
                <w:sz w:val="20"/>
                <w:szCs w:val="20"/>
              </w:rPr>
              <w:t>)</w:t>
            </w:r>
          </w:p>
        </w:tc>
      </w:tr>
      <w:tr w:rsidRPr="002143F2" w:rsidR="00515E8C" w:rsidTr="002143F2" w14:paraId="453D9E3C" w14:textId="77777777">
        <w:trPr>
          <w:trHeight w:val="1290"/>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2143F2" w:rsidR="00515E8C" w:rsidP="002143F2" w:rsidRDefault="00515E8C" w14:paraId="38CAB8E9"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Type of Respondent</w:t>
            </w:r>
          </w:p>
        </w:tc>
        <w:tc>
          <w:tcPr>
            <w:tcW w:w="1461"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5424A27A"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1C7A0860" w14:textId="398EDD18">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10A00D7D"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67323A3E"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0CF14175"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1E68CC52"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35731CB6"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2143F2" w:rsidR="00515E8C" w:rsidP="002143F2" w:rsidRDefault="00515E8C" w14:paraId="1C21516E"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Total Annual Respondent Cost</w:t>
            </w:r>
          </w:p>
        </w:tc>
      </w:tr>
      <w:tr w:rsidRPr="002143F2" w:rsidR="002143F2" w:rsidTr="002143F2" w14:paraId="5DB71CE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2143F2" w:rsidR="002143F2" w:rsidP="002143F2" w:rsidRDefault="002143F2" w14:paraId="67EC4341" w14:textId="77777777">
            <w:pPr>
              <w:widowControl/>
              <w:autoSpaceDE/>
              <w:autoSpaceDN/>
              <w:adjustRightInd/>
              <w:jc w:val="center"/>
              <w:rPr>
                <w:rFonts w:ascii="Times New Roman" w:hAnsi="Times New Roman"/>
                <w:color w:val="000000"/>
                <w:sz w:val="20"/>
                <w:szCs w:val="20"/>
              </w:rPr>
            </w:pPr>
            <w:bookmarkStart w:name="_Hlk42596801" w:id="1"/>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6DDCFE2F"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bCs/>
                <w:color w:val="000000"/>
                <w:sz w:val="20"/>
                <w:szCs w:val="20"/>
              </w:rPr>
              <w:t>Petition for Nonimmigrant Worker (Form I-129)</w:t>
            </w:r>
            <w:r w:rsidRPr="002143F2">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52104EA7" w14:textId="0A295EBA">
            <w:pPr>
              <w:widowControl/>
              <w:autoSpaceDE/>
              <w:autoSpaceDN/>
              <w:adjustRightInd/>
              <w:jc w:val="center"/>
              <w:rPr>
                <w:rFonts w:ascii="Times New Roman" w:hAnsi="Times New Roman"/>
                <w:color w:val="000000"/>
                <w:sz w:val="20"/>
                <w:szCs w:val="20"/>
              </w:rPr>
            </w:pPr>
            <w:r w:rsidRPr="002143F2">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56A646FD"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43FE4E72"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0E1452E5" w14:textId="30D8D9D4">
            <w:pPr>
              <w:widowControl/>
              <w:autoSpaceDE/>
              <w:autoSpaceDN/>
              <w:adjustRightInd/>
              <w:jc w:val="center"/>
              <w:rPr>
                <w:rFonts w:ascii="Times New Roman" w:hAnsi="Times New Roman"/>
                <w:color w:val="000000"/>
                <w:sz w:val="20"/>
                <w:szCs w:val="20"/>
              </w:rPr>
            </w:pPr>
            <w:r w:rsidRPr="002143F2">
              <w:rPr>
                <w:rFonts w:ascii="Times New Roman" w:hAnsi="Times New Roman"/>
                <w:bCs/>
                <w:color w:val="000000"/>
                <w:sz w:val="20"/>
                <w:szCs w:val="20"/>
              </w:rPr>
              <w:t>2.84</w:t>
            </w:r>
          </w:p>
        </w:tc>
        <w:tc>
          <w:tcPr>
            <w:tcW w:w="1127"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3CBCC8C0" w14:textId="11D69B56">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837,093</w:t>
            </w:r>
          </w:p>
        </w:tc>
        <w:tc>
          <w:tcPr>
            <w:tcW w:w="900" w:type="dxa"/>
            <w:tcBorders>
              <w:top w:val="nil"/>
              <w:left w:val="nil"/>
              <w:bottom w:val="single" w:color="auto" w:sz="8" w:space="0"/>
              <w:right w:val="single" w:color="auto" w:sz="8" w:space="0"/>
            </w:tcBorders>
            <w:shd w:val="clear" w:color="auto" w:fill="auto"/>
            <w:vAlign w:val="center"/>
            <w:hideMark/>
          </w:tcPr>
          <w:p w:rsidRPr="002143F2" w:rsidR="002143F2" w:rsidP="002143F2" w:rsidRDefault="002143F2" w14:paraId="316E3203" w14:textId="011E78E0">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B8162C5" w14:textId="336FFBA9">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$45,906,171</w:t>
            </w:r>
          </w:p>
        </w:tc>
      </w:tr>
      <w:tr w:rsidRPr="002143F2" w:rsidR="002143F2" w:rsidTr="002143F2" w14:paraId="221BE7F5"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54DD5F3A"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4B9B1793"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bCs/>
                <w:color w:val="000000"/>
                <w:sz w:val="20"/>
                <w:szCs w:val="20"/>
              </w:rPr>
              <w:t>E-1/E-2 Classification Supplement to Form I-129</w:t>
            </w:r>
            <w:r w:rsidRPr="002143F2">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17E444A3"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B29D9B6"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F91F34E"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1D2FEF86"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304A8A4" w14:textId="5883C00C">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3,189</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4C687EC" w14:textId="787493AB">
            <w:pPr>
              <w:widowControl/>
              <w:autoSpaceDE/>
              <w:autoSpaceDN/>
              <w:adjustRightInd/>
              <w:jc w:val="center"/>
              <w:rPr>
                <w:rFonts w:ascii="Times New Roman" w:hAnsi="Times New Roman"/>
                <w:color w:val="FF0000"/>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F595B99" w14:textId="6A1654F7">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$174,896</w:t>
            </w:r>
          </w:p>
        </w:tc>
      </w:tr>
      <w:tr w:rsidRPr="002143F2" w:rsidR="002143F2" w:rsidTr="002143F2" w14:paraId="544E6ED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239E60B9"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DF14DF6"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Trade Agreement Supplement to Form I-129</w:t>
            </w:r>
            <w:r w:rsidRPr="002143F2">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D48850B" w14:textId="28BD8DA8">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224FD6A"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401AC69E"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E425F95"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359BC35" w14:textId="212279DB">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2,048</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1496185F" w14:textId="08AE0BFB">
            <w:pPr>
              <w:widowControl/>
              <w:autoSpaceDE/>
              <w:autoSpaceDN/>
              <w:adjustRightInd/>
              <w:jc w:val="center"/>
              <w:rPr>
                <w:rFonts w:ascii="Times New Roman" w:hAnsi="Times New Roman"/>
                <w:color w:val="FF0000"/>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D31A331" w14:textId="75C66803">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$112,323</w:t>
            </w:r>
          </w:p>
        </w:tc>
      </w:tr>
      <w:tr w:rsidRPr="002143F2" w:rsidR="002143F2" w:rsidTr="002143F2" w14:paraId="56090049"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5FFFC284" w14:textId="77777777">
            <w:pPr>
              <w:widowControl/>
              <w:autoSpaceDE/>
              <w:autoSpaceDN/>
              <w:adjustRightInd/>
              <w:jc w:val="center"/>
              <w:rPr>
                <w:rFonts w:ascii="Times New Roman" w:hAnsi="Times New Roman"/>
                <w:bCs/>
                <w:color w:val="000000"/>
                <w:sz w:val="20"/>
                <w:szCs w:val="20"/>
              </w:rPr>
            </w:pPr>
            <w:bookmarkStart w:name="_Hlk42596809" w:id="2"/>
            <w:bookmarkEnd w:id="1"/>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1D61E90"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 xml:space="preserve">H Classification </w:t>
            </w:r>
            <w:r w:rsidRPr="002143F2">
              <w:rPr>
                <w:rFonts w:ascii="Times New Roman" w:hAnsi="Times New Roman"/>
                <w:bCs/>
                <w:color w:val="000000"/>
                <w:sz w:val="20"/>
                <w:szCs w:val="20"/>
              </w:rPr>
              <w:lastRenderedPageBreak/>
              <w:t>Supplement to Form I-129</w:t>
            </w:r>
            <w:r w:rsidRPr="002143F2">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E5F67A2" w14:textId="3D7EA34E">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lastRenderedPageBreak/>
              <w:t>96,291</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D178C4A"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B6DD5F0"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FB5371E" w14:textId="08B383CD">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2.5</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6107F6B" w14:textId="7D0022D0">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240,728</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1F52016" w14:textId="6E8EFD2F">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3DCBB44" w14:textId="57912496">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$13,201,496</w:t>
            </w:r>
          </w:p>
        </w:tc>
      </w:tr>
      <w:tr w:rsidRPr="002143F2" w:rsidR="002143F2" w:rsidTr="002143F2" w14:paraId="7E12309A"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325CCF88"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D92542C"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H-1B and H-1B1 Data Collection and Filing Fee Exemption Supplement</w:t>
            </w:r>
            <w:r w:rsidRPr="002143F2">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1B3E590"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4D7AAD63"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65A9444"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BF6E4B9"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19B155F7" w14:textId="2675EED0">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96,291</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433BA685" w14:textId="4465FA46">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2700239" w14:textId="7635851A">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$5,280,598</w:t>
            </w:r>
          </w:p>
        </w:tc>
      </w:tr>
      <w:tr w:rsidRPr="002143F2" w:rsidR="002143F2" w:rsidTr="002143F2" w14:paraId="7BE7467B"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1ADF735E"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9599486"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L Classification Supplement to Form I-129</w:t>
            </w:r>
            <w:r w:rsidRPr="002143F2">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4CA39512" w14:textId="59B01DB8">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A9ABCD0"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D4A5944"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84F8084"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D01F043" w14:textId="53F5C054">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50,694</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E6B2FE6" w14:textId="7472A085">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1198A9B" w14:textId="7E4024E3">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$2,780,034</w:t>
            </w:r>
          </w:p>
        </w:tc>
      </w:tr>
      <w:tr w:rsidRPr="002143F2" w:rsidR="002143F2" w:rsidTr="002143F2" w14:paraId="67095D5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7287C55B"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DAB2AD2"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O and P Classifications Supplement to Form I-129</w:t>
            </w:r>
            <w:r w:rsidRPr="002143F2">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A969063" w14:textId="5470FFB9">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4D2DCE20"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1498940"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D233E1C"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C127457" w14:textId="54FF40FB">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22,710</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B0601FA" w14:textId="53143EBA">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0869B87" w14:textId="7DD40EC6">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$1,245,416</w:t>
            </w:r>
          </w:p>
        </w:tc>
      </w:tr>
      <w:tr w:rsidRPr="002143F2" w:rsidR="002143F2" w:rsidTr="002143F2" w14:paraId="39F568A8"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6D4F9206"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0A1D6D5"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Q-1 Classification Supplement to Form I-129</w:t>
            </w:r>
            <w:r w:rsidRPr="002143F2">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BBB7D85"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2CB56D8"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2DCF7C4E"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BE07C07"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E02DB28" w14:textId="67FB5B41">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53</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E9E535E" w14:textId="367A4ED2">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AF0FBB6" w14:textId="4B47BAF0">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$2,890</w:t>
            </w:r>
          </w:p>
        </w:tc>
      </w:tr>
      <w:tr w:rsidRPr="002143F2" w:rsidR="002143F2" w:rsidTr="002143F2" w14:paraId="4E2F1662"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2143F2" w:rsidR="002143F2" w:rsidP="002143F2" w:rsidRDefault="002143F2" w14:paraId="16BCD278"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64E30C79"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R-1 Classification Supplement to Form I-129</w:t>
            </w:r>
            <w:r w:rsidRPr="002143F2">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756277B6"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D9787B0"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193D4D79"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FD1C8F6" w14:textId="77777777">
            <w:pPr>
              <w:widowControl/>
              <w:autoSpaceDE/>
              <w:autoSpaceDN/>
              <w:adjustRightInd/>
              <w:jc w:val="center"/>
              <w:rPr>
                <w:rFonts w:ascii="Times New Roman" w:hAnsi="Times New Roman"/>
                <w:bCs/>
                <w:color w:val="000000"/>
                <w:sz w:val="20"/>
                <w:szCs w:val="20"/>
              </w:rPr>
            </w:pPr>
            <w:r w:rsidRPr="002143F2">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E177371" w14:textId="6DDB2189">
            <w:pPr>
              <w:widowControl/>
              <w:autoSpaceDE/>
              <w:autoSpaceDN/>
              <w:adjustRightInd/>
              <w:jc w:val="center"/>
              <w:rPr>
                <w:rFonts w:ascii="Times New Roman" w:hAnsi="Times New Roman"/>
                <w:bCs/>
                <w:color w:val="000000"/>
                <w:sz w:val="20"/>
                <w:szCs w:val="20"/>
              </w:rPr>
            </w:pPr>
            <w:r w:rsidRPr="002143F2">
              <w:rPr>
                <w:rFonts w:ascii="Times New Roman" w:hAnsi="Times New Roman"/>
                <w:sz w:val="20"/>
                <w:szCs w:val="20"/>
              </w:rPr>
              <w:t>15,526</w:t>
            </w:r>
          </w:p>
        </w:tc>
        <w:tc>
          <w:tcPr>
            <w:tcW w:w="90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4B46302" w14:textId="2DBD2DA1">
            <w:pPr>
              <w:widowControl/>
              <w:autoSpaceDE/>
              <w:autoSpaceDN/>
              <w:adjustRightInd/>
              <w:jc w:val="center"/>
              <w:rPr>
                <w:rFonts w:ascii="Times New Roman" w:hAnsi="Times New Roman"/>
                <w:sz w:val="20"/>
                <w:szCs w:val="20"/>
              </w:rPr>
            </w:pPr>
            <w:r w:rsidRPr="002143F2">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7471CF8" w14:textId="19DB7084">
            <w:pPr>
              <w:widowControl/>
              <w:autoSpaceDE/>
              <w:autoSpaceDN/>
              <w:adjustRightInd/>
              <w:jc w:val="center"/>
              <w:rPr>
                <w:rFonts w:ascii="Times New Roman" w:hAnsi="Times New Roman"/>
                <w:color w:val="000000"/>
                <w:sz w:val="20"/>
                <w:szCs w:val="20"/>
              </w:rPr>
            </w:pPr>
            <w:r w:rsidRPr="002143F2">
              <w:rPr>
                <w:rFonts w:ascii="Times New Roman" w:hAnsi="Times New Roman"/>
                <w:sz w:val="20"/>
                <w:szCs w:val="20"/>
              </w:rPr>
              <w:t>$851,440</w:t>
            </w:r>
          </w:p>
        </w:tc>
      </w:tr>
      <w:bookmarkEnd w:id="2"/>
      <w:tr w:rsidRPr="002143F2" w:rsidR="002143F2" w:rsidTr="002143F2" w14:paraId="56A1194A"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2143F2" w:rsidR="002143F2" w:rsidP="002143F2" w:rsidRDefault="002143F2" w14:paraId="7F7A8198" w14:textId="77777777">
            <w:pPr>
              <w:widowControl/>
              <w:autoSpaceDE/>
              <w:autoSpaceDN/>
              <w:adjustRightInd/>
              <w:jc w:val="center"/>
              <w:rPr>
                <w:rFonts w:ascii="Times New Roman" w:hAnsi="Times New Roman"/>
                <w:color w:val="000000"/>
                <w:sz w:val="20"/>
                <w:szCs w:val="20"/>
              </w:rPr>
            </w:pPr>
            <w:r w:rsidRPr="002143F2">
              <w:rPr>
                <w:rFonts w:ascii="Times New Roman" w:hAnsi="Times New Roman"/>
                <w:color w:val="000000"/>
                <w:sz w:val="20"/>
                <w:szCs w:val="20"/>
              </w:rPr>
              <w:t>Total</w:t>
            </w:r>
          </w:p>
        </w:tc>
        <w:tc>
          <w:tcPr>
            <w:tcW w:w="1461" w:type="dxa"/>
            <w:tcBorders>
              <w:top w:val="nil"/>
              <w:left w:val="nil"/>
              <w:bottom w:val="single" w:color="auto" w:sz="8" w:space="0"/>
              <w:right w:val="single" w:color="auto" w:sz="8" w:space="0"/>
            </w:tcBorders>
            <w:shd w:val="clear" w:color="000000" w:fill="000000"/>
            <w:vAlign w:val="center"/>
            <w:hideMark/>
          </w:tcPr>
          <w:p w:rsidRPr="002143F2" w:rsidR="002143F2" w:rsidP="002143F2" w:rsidRDefault="002143F2" w14:paraId="19CA95D0" w14:textId="77777777">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0BE20E21" w14:textId="70F70729">
            <w:pPr>
              <w:widowControl/>
              <w:autoSpaceDE/>
              <w:autoSpaceDN/>
              <w:adjustRightInd/>
              <w:jc w:val="center"/>
              <w:rPr>
                <w:rFonts w:ascii="Times New Roman" w:hAnsi="Times New Roman"/>
                <w:b/>
                <w:color w:val="FF0000"/>
                <w:sz w:val="20"/>
                <w:szCs w:val="20"/>
              </w:rPr>
            </w:pPr>
            <w:r w:rsidRPr="002143F2">
              <w:rPr>
                <w:rFonts w:ascii="Times New Roman" w:hAnsi="Times New Roman"/>
                <w:b/>
                <w:bCs/>
                <w:sz w:val="20"/>
                <w:szCs w:val="20"/>
              </w:rPr>
              <w:t>294,751</w:t>
            </w:r>
          </w:p>
        </w:tc>
        <w:tc>
          <w:tcPr>
            <w:tcW w:w="1170" w:type="dxa"/>
            <w:tcBorders>
              <w:top w:val="nil"/>
              <w:left w:val="nil"/>
              <w:bottom w:val="single" w:color="auto" w:sz="8" w:space="0"/>
              <w:right w:val="single" w:color="auto" w:sz="8" w:space="0"/>
            </w:tcBorders>
            <w:shd w:val="clear" w:color="auto" w:fill="000000" w:themeFill="text1"/>
            <w:vAlign w:val="center"/>
          </w:tcPr>
          <w:p w:rsidRPr="002143F2" w:rsidR="002143F2" w:rsidP="002143F2" w:rsidRDefault="002143F2" w14:paraId="7A44B8FD" w14:textId="77777777">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3979BA2C" w14:textId="2E03ED76">
            <w:pPr>
              <w:widowControl/>
              <w:autoSpaceDE/>
              <w:autoSpaceDN/>
              <w:adjustRightInd/>
              <w:jc w:val="center"/>
              <w:rPr>
                <w:rFonts w:ascii="Times New Roman" w:hAnsi="Times New Roman"/>
                <w:b/>
                <w:bCs/>
                <w:color w:val="000000"/>
                <w:sz w:val="20"/>
                <w:szCs w:val="20"/>
              </w:rPr>
            </w:pPr>
            <w:r w:rsidRPr="002143F2">
              <w:rPr>
                <w:rFonts w:ascii="Times New Roman" w:hAnsi="Times New Roman"/>
                <w:b/>
                <w:bCs/>
                <w:color w:val="000000"/>
                <w:sz w:val="20"/>
                <w:szCs w:val="20"/>
              </w:rPr>
              <w:t>562,481</w:t>
            </w:r>
          </w:p>
        </w:tc>
        <w:tc>
          <w:tcPr>
            <w:tcW w:w="1080" w:type="dxa"/>
            <w:tcBorders>
              <w:top w:val="nil"/>
              <w:left w:val="nil"/>
              <w:bottom w:val="single" w:color="auto" w:sz="8" w:space="0"/>
              <w:right w:val="single" w:color="auto" w:sz="8" w:space="0"/>
            </w:tcBorders>
            <w:shd w:val="clear" w:color="000000" w:fill="000000"/>
            <w:vAlign w:val="center"/>
          </w:tcPr>
          <w:p w:rsidRPr="002143F2" w:rsidR="002143F2" w:rsidP="002143F2" w:rsidRDefault="002143F2" w14:paraId="0DE7F1FE" w14:textId="77777777">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163B661B" w14:textId="1586D0CB">
            <w:pPr>
              <w:widowControl/>
              <w:autoSpaceDE/>
              <w:autoSpaceDN/>
              <w:adjustRightInd/>
              <w:jc w:val="center"/>
              <w:rPr>
                <w:rFonts w:ascii="Times New Roman" w:hAnsi="Times New Roman"/>
                <w:b/>
                <w:bCs/>
                <w:color w:val="000000"/>
                <w:sz w:val="20"/>
                <w:szCs w:val="20"/>
              </w:rPr>
            </w:pPr>
            <w:bookmarkStart w:name="_Hlk46213240" w:id="3"/>
            <w:r w:rsidRPr="002143F2">
              <w:rPr>
                <w:rFonts w:ascii="Times New Roman" w:hAnsi="Times New Roman"/>
                <w:b/>
                <w:bCs/>
                <w:sz w:val="20"/>
                <w:szCs w:val="20"/>
              </w:rPr>
              <w:t>1,268,331</w:t>
            </w:r>
            <w:bookmarkEnd w:id="3"/>
          </w:p>
        </w:tc>
        <w:tc>
          <w:tcPr>
            <w:tcW w:w="900" w:type="dxa"/>
            <w:tcBorders>
              <w:top w:val="nil"/>
              <w:left w:val="nil"/>
              <w:bottom w:val="single" w:color="auto" w:sz="8" w:space="0"/>
              <w:right w:val="single" w:color="auto" w:sz="8" w:space="0"/>
            </w:tcBorders>
            <w:shd w:val="clear" w:color="000000" w:fill="000000"/>
            <w:vAlign w:val="center"/>
          </w:tcPr>
          <w:p w:rsidRPr="002143F2" w:rsidR="002143F2" w:rsidP="002143F2" w:rsidRDefault="002143F2" w14:paraId="7FC8E28F" w14:textId="77777777">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tcPr>
          <w:p w:rsidRPr="002143F2" w:rsidR="002143F2" w:rsidP="002143F2" w:rsidRDefault="002143F2" w14:paraId="58A89676" w14:textId="12783DF0">
            <w:pPr>
              <w:widowControl/>
              <w:autoSpaceDE/>
              <w:autoSpaceDN/>
              <w:adjustRightInd/>
              <w:jc w:val="center"/>
              <w:rPr>
                <w:rFonts w:ascii="Times New Roman" w:hAnsi="Times New Roman"/>
                <w:b/>
                <w:bCs/>
                <w:color w:val="000000"/>
                <w:sz w:val="20"/>
                <w:szCs w:val="20"/>
              </w:rPr>
            </w:pPr>
            <w:r w:rsidRPr="002143F2">
              <w:rPr>
                <w:rFonts w:ascii="Times New Roman" w:hAnsi="Times New Roman"/>
                <w:b/>
                <w:bCs/>
                <w:sz w:val="20"/>
                <w:szCs w:val="20"/>
              </w:rPr>
              <w:t>$69,555,265</w:t>
            </w:r>
          </w:p>
        </w:tc>
      </w:tr>
    </w:tbl>
    <w:p w:rsidR="009556EE" w:rsidP="00515E8C" w:rsidRDefault="009556EE" w14:paraId="3447BB81" w14:textId="77777777">
      <w:pPr>
        <w:jc w:val="both"/>
        <w:rPr>
          <w:i/>
          <w:iCs/>
          <w:sz w:val="20"/>
          <w:szCs w:val="20"/>
        </w:rPr>
      </w:pPr>
    </w:p>
    <w:p w:rsidRPr="00515E8C" w:rsidR="00515E8C" w:rsidP="00515E8C" w:rsidRDefault="00515E8C" w14:paraId="6B8F7EFC" w14:textId="492AC177">
      <w:pPr>
        <w:ind w:left="720"/>
        <w:jc w:val="both"/>
        <w:rPr>
          <w:rFonts w:ascii="Times New Roman" w:hAnsi="Times New Roman"/>
          <w:i/>
          <w:iCs/>
          <w:sz w:val="20"/>
          <w:szCs w:val="20"/>
        </w:rPr>
      </w:pPr>
      <w:bookmarkStart w:name="_Hlk39049463" w:id="4"/>
      <w:r>
        <w:rPr>
          <w:i/>
          <w:iCs/>
          <w:sz w:val="20"/>
          <w:szCs w:val="20"/>
        </w:rPr>
        <w:t xml:space="preserve">* </w:t>
      </w:r>
      <w:r>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bookmarkEnd w:id="4"/>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137BC" w:rsidP="001137BC" w:rsidRDefault="001137BC" w14:paraId="7BCFB255" w14:textId="2DB2828C">
      <w:pPr>
        <w:ind w:left="720"/>
        <w:rPr>
          <w:rFonts w:ascii="Times New Roman" w:hAnsi="Times New Roman"/>
        </w:rPr>
      </w:pPr>
      <w:r>
        <w:rPr>
          <w:rFonts w:ascii="Times New Roman" w:hAnsi="Times New Roman"/>
        </w:rPr>
        <w:t xml:space="preserve">There are no </w:t>
      </w:r>
      <w:r w:rsidR="00407FDF">
        <w:rPr>
          <w:rFonts w:ascii="Times New Roman" w:hAnsi="Times New Roman"/>
        </w:rPr>
        <w:t xml:space="preserve">start-up, maintenance, and operating </w:t>
      </w:r>
      <w:r>
        <w:rPr>
          <w:rFonts w:ascii="Times New Roman" w:hAnsi="Times New Roman"/>
        </w:rPr>
        <w:t xml:space="preserve">costs associated with this information collection. </w:t>
      </w:r>
      <w:r w:rsidR="00407FDF">
        <w:rPr>
          <w:rFonts w:ascii="Times New Roman" w:hAnsi="Times New Roman"/>
        </w:rPr>
        <w:t>For informational purpose: there</w:t>
      </w:r>
      <w:r w:rsidDel="00407FDF">
        <w:rPr>
          <w:rFonts w:ascii="Times New Roman" w:hAnsi="Times New Roman"/>
        </w:rPr>
        <w:t xml:space="preserve"> </w:t>
      </w:r>
      <w:r>
        <w:rPr>
          <w:rFonts w:ascii="Times New Roman" w:hAnsi="Times New Roman"/>
        </w:rPr>
        <w:t>is a $460 fee for this information collection.</w:t>
      </w:r>
      <w:r>
        <w:rPr>
          <w:rFonts w:ascii="Times New Roman" w:hAnsi="Times New Roman"/>
          <w:vertAlign w:val="superscript"/>
        </w:rPr>
        <w:footnoteReference w:id="11"/>
      </w:r>
      <w:r w:rsidR="00407FDF">
        <w:rPr>
          <w:rFonts w:ascii="Times New Roman" w:hAnsi="Times New Roman"/>
        </w:rPr>
        <w:t xml:space="preserve"> </w:t>
      </w:r>
    </w:p>
    <w:p w:rsidR="001137BC" w:rsidP="001137BC" w:rsidRDefault="001137BC" w14:paraId="69F96056" w14:textId="77777777">
      <w:pPr>
        <w:ind w:left="1440" w:hanging="720"/>
        <w:rPr>
          <w:rFonts w:ascii="Times New Roman" w:hAnsi="Times New Roman"/>
        </w:rPr>
      </w:pPr>
    </w:p>
    <w:p w:rsidRPr="000B00D2" w:rsidR="000D6A0C" w:rsidP="002143F2" w:rsidRDefault="001137BC" w14:paraId="3C760F75" w14:textId="4D5DF3C3">
      <w:pPr>
        <w:ind w:left="720"/>
        <w:rPr>
          <w:rFonts w:ascii="Times New Roman" w:hAnsi="Times New Roman"/>
        </w:rPr>
      </w:pPr>
      <w:r w:rsidRPr="0092575E">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sidRPr="0092575E">
        <w:rPr>
          <w:rFonts w:ascii="Times New Roman" w:hAnsi="Times New Roman"/>
          <w:bCs/>
          <w:color w:val="000000"/>
        </w:rPr>
        <w:t>294,751</w:t>
      </w:r>
      <w:r w:rsidRPr="0092575E">
        <w:rPr>
          <w:rFonts w:ascii="Times New Roman" w:hAnsi="Times New Roman"/>
        </w:rPr>
        <w:t xml:space="preserve">) by the estimated cost per response ($239.80), which equals </w:t>
      </w:r>
      <w:r w:rsidRPr="0092575E">
        <w:rPr>
          <w:rFonts w:ascii="Times New Roman" w:hAnsi="Times New Roman"/>
          <w:b/>
        </w:rPr>
        <w:t>$70,681,290.</w:t>
      </w:r>
      <w:r w:rsidRPr="0092575E">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137BC" w:rsidP="001137BC" w:rsidRDefault="001137BC" w14:paraId="50378D36"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1137BC" w:rsidP="001137BC" w:rsidRDefault="001137BC" w14:paraId="7E31401B" w14:textId="77777777">
      <w:pPr>
        <w:tabs>
          <w:tab w:val="left" w:pos="-1440"/>
        </w:tabs>
        <w:ind w:left="720"/>
        <w:rPr>
          <w:rFonts w:ascii="Times New Roman" w:hAnsi="Times New Roman"/>
        </w:rPr>
      </w:pPr>
    </w:p>
    <w:p w:rsidR="001137BC" w:rsidP="001137BC" w:rsidRDefault="001137BC" w14:paraId="427556CD" w14:textId="6F2F30B5">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1137BC" w:rsidP="001137BC" w:rsidRDefault="001137BC" w14:paraId="2A8FCE37" w14:textId="77777777">
      <w:pPr>
        <w:tabs>
          <w:tab w:val="left" w:pos="-1440"/>
        </w:tabs>
        <w:ind w:left="720"/>
        <w:rPr>
          <w:rFonts w:ascii="Times New Roman" w:hAnsi="Times New Roman"/>
        </w:rPr>
      </w:pPr>
    </w:p>
    <w:p w:rsidR="001137BC" w:rsidP="001137BC" w:rsidRDefault="001137BC" w14:paraId="69E6E25A"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sidRPr="00A57AB4">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1D974094">
      <w:pPr>
        <w:tabs>
          <w:tab w:val="left" w:pos="-1440"/>
        </w:tabs>
        <w:ind w:left="720"/>
        <w:rPr>
          <w:rFonts w:ascii="Times New Roman" w:hAnsi="Times New Roman"/>
        </w:rPr>
      </w:pPr>
    </w:p>
    <w:p w:rsidR="00D95459" w:rsidP="00914A5D" w:rsidRDefault="00D95459" w14:paraId="4E952A88" w14:textId="009BBDC5">
      <w:pPr>
        <w:tabs>
          <w:tab w:val="left" w:pos="-1440"/>
        </w:tabs>
        <w:ind w:left="720"/>
        <w:rPr>
          <w:rFonts w:ascii="Times New Roman" w:hAnsi="Times New Roman"/>
        </w:rPr>
      </w:pPr>
      <w:r>
        <w:rPr>
          <w:rFonts w:ascii="Times New Roman" w:hAnsi="Times New Roman"/>
        </w:rPr>
        <w:t>USCIS increased the estimated hour burden per response for the H Classification Supplement to Form I-129 from 2 hours to 2.5 hours. USCIS also made edits to Form I-129 Form and its Instructions to align with the new requirements articulated in the</w:t>
      </w:r>
      <w:r w:rsidR="0077176B">
        <w:rPr>
          <w:rFonts w:ascii="Times New Roman" w:hAnsi="Times New Roman"/>
        </w:rPr>
        <w:t xml:space="preserve"> Strengthening the H-1B Nonimmigration Visa Classification Program interim final rule (RIN 1615-AC13). </w:t>
      </w:r>
      <w:r w:rsidR="0077176B">
        <w:rPr>
          <w:rFonts w:ascii="Times New Roman" w:hAnsi="Times New Roman"/>
          <w:bCs/>
        </w:rPr>
        <w:t xml:space="preserve">The Tables of Changes submitted with this information collection request describe the full scope of changes resulting from </w:t>
      </w:r>
      <w:r w:rsidRPr="00D63DE3" w:rsidR="0077176B">
        <w:rPr>
          <w:rFonts w:ascii="Times New Roman" w:hAnsi="Times New Roman"/>
          <w:bCs/>
        </w:rPr>
        <w:t>RIN 1615-AC</w:t>
      </w:r>
      <w:r w:rsidR="0077176B">
        <w:rPr>
          <w:rFonts w:ascii="Times New Roman" w:hAnsi="Times New Roman"/>
          <w:bCs/>
        </w:rPr>
        <w:t>13.</w:t>
      </w:r>
    </w:p>
    <w:p w:rsidRPr="00914A5D" w:rsidR="00D95459" w:rsidP="00914A5D" w:rsidRDefault="00D95459" w14:paraId="26960E4B"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63778A" w:rsidRDefault="008A4764" w14:paraId="244E4A96" w14:textId="68E5246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574056" w14:paraId="04D276B2" w14:textId="7E40E7B4">
            <w:pPr>
              <w:widowControl/>
              <w:autoSpaceDE/>
              <w:autoSpaceDN/>
              <w:adjustRightInd/>
              <w:jc w:val="center"/>
              <w:rPr>
                <w:rFonts w:ascii="Times New Roman" w:hAnsi="Times New Roman"/>
                <w:color w:val="000000"/>
              </w:rPr>
            </w:pPr>
            <w:r>
              <w:rPr>
                <w:rFonts w:ascii="Times New Roman" w:hAnsi="Times New Roman"/>
                <w:color w:val="000000"/>
              </w:rPr>
              <w:t>I-129</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6AA74A7C">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574056" w14:paraId="0D76B394" w14:textId="24233435">
            <w:pPr>
              <w:widowControl/>
              <w:autoSpaceDE/>
              <w:autoSpaceDN/>
              <w:adjustRightInd/>
              <w:jc w:val="center"/>
              <w:rPr>
                <w:rFonts w:ascii="Times New Roman" w:hAnsi="Times New Roman"/>
                <w:color w:val="000000"/>
              </w:rPr>
            </w:pPr>
            <w:r w:rsidRPr="00574056">
              <w:rPr>
                <w:rFonts w:ascii="Times New Roman" w:hAnsi="Times New Roman"/>
                <w:color w:val="000000"/>
              </w:rPr>
              <w:t>1,608,136</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574056" w14:paraId="1DD3F4C2" w14:textId="2BBEC765">
            <w:pPr>
              <w:widowControl/>
              <w:autoSpaceDE/>
              <w:autoSpaceDN/>
              <w:adjustRightInd/>
              <w:jc w:val="center"/>
              <w:rPr>
                <w:rFonts w:ascii="Times New Roman" w:hAnsi="Times New Roman"/>
                <w:color w:val="000000"/>
              </w:rPr>
            </w:pPr>
            <w:r w:rsidRPr="00574056">
              <w:rPr>
                <w:rFonts w:ascii="Times New Roman" w:hAnsi="Times New Roman"/>
                <w:color w:val="000000"/>
              </w:rPr>
              <w:t>1,268,331</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574056" w14:paraId="67616E99" w14:textId="50F43ACB">
            <w:pPr>
              <w:widowControl/>
              <w:autoSpaceDE/>
              <w:autoSpaceDN/>
              <w:adjustRightInd/>
              <w:jc w:val="center"/>
              <w:rPr>
                <w:rFonts w:ascii="Times New Roman" w:hAnsi="Times New Roman"/>
                <w:color w:val="000000"/>
              </w:rPr>
            </w:pPr>
            <w:r w:rsidRPr="00574056">
              <w:rPr>
                <w:rFonts w:ascii="Times New Roman" w:hAnsi="Times New Roman"/>
                <w:color w:val="000000"/>
              </w:rPr>
              <w:t>-339,805</w:t>
            </w: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574056" w14:paraId="05E89823" w14:textId="769023C3">
            <w:pPr>
              <w:widowControl/>
              <w:autoSpaceDE/>
              <w:autoSpaceDN/>
              <w:adjustRightInd/>
              <w:jc w:val="center"/>
              <w:rPr>
                <w:rFonts w:ascii="Times New Roman" w:hAnsi="Times New Roman"/>
                <w:b/>
                <w:bCs/>
                <w:color w:val="000000"/>
              </w:rPr>
            </w:pPr>
            <w:r w:rsidRPr="00574056">
              <w:rPr>
                <w:rFonts w:ascii="Times New Roman" w:hAnsi="Times New Roman"/>
                <w:b/>
                <w:bCs/>
                <w:color w:val="000000"/>
              </w:rPr>
              <w:t>1,608,136</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574056" w14:paraId="47211B81" w14:textId="12B8D4FF">
            <w:pPr>
              <w:widowControl/>
              <w:autoSpaceDE/>
              <w:autoSpaceDN/>
              <w:adjustRightInd/>
              <w:jc w:val="center"/>
              <w:rPr>
                <w:rFonts w:ascii="Times New Roman" w:hAnsi="Times New Roman"/>
                <w:b/>
                <w:bCs/>
                <w:color w:val="000000"/>
              </w:rPr>
            </w:pPr>
            <w:r w:rsidRPr="00574056">
              <w:rPr>
                <w:rFonts w:ascii="Times New Roman" w:hAnsi="Times New Roman"/>
                <w:b/>
                <w:bCs/>
                <w:color w:val="000000"/>
              </w:rPr>
              <w:t>1,268,331</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574056" w14:paraId="5C2904D2" w14:textId="57CFF681">
            <w:pPr>
              <w:widowControl/>
              <w:autoSpaceDE/>
              <w:autoSpaceDN/>
              <w:adjustRightInd/>
              <w:jc w:val="center"/>
              <w:rPr>
                <w:rFonts w:ascii="Times New Roman" w:hAnsi="Times New Roman"/>
                <w:b/>
                <w:bCs/>
                <w:color w:val="000000"/>
              </w:rPr>
            </w:pPr>
            <w:r w:rsidRPr="00574056">
              <w:rPr>
                <w:rFonts w:ascii="Times New Roman" w:hAnsi="Times New Roman"/>
                <w:b/>
                <w:bCs/>
                <w:color w:val="000000"/>
              </w:rPr>
              <w:t>-339,805</w:t>
            </w:r>
          </w:p>
        </w:tc>
      </w:tr>
    </w:tbl>
    <w:p w:rsidR="008A4764" w:rsidP="003338D4" w:rsidRDefault="008A4764" w14:paraId="6DDC9360" w14:textId="35D417E0">
      <w:pPr>
        <w:tabs>
          <w:tab w:val="left" w:pos="-1440"/>
        </w:tabs>
        <w:rPr>
          <w:rFonts w:ascii="Times New Roman" w:hAnsi="Times New Roman"/>
          <w:color w:val="FF0000"/>
        </w:rPr>
      </w:pPr>
    </w:p>
    <w:p w:rsidRPr="008A4764" w:rsidR="001A595D" w:rsidP="00914A5D" w:rsidRDefault="00574056" w14:paraId="420EC6B5" w14:textId="1ED4AC3C">
      <w:pPr>
        <w:tabs>
          <w:tab w:val="left" w:pos="-1440"/>
        </w:tabs>
        <w:ind w:left="720"/>
        <w:rPr>
          <w:rFonts w:ascii="Times New Roman" w:hAnsi="Times New Roman"/>
        </w:rPr>
      </w:pPr>
      <w:r>
        <w:rPr>
          <w:rFonts w:ascii="Times New Roman" w:hAnsi="Times New Roman"/>
        </w:rPr>
        <w:t xml:space="preserve">USCIS is reporting a decrease in the estimated total annual hour burden to respondents </w:t>
      </w:r>
      <w:r>
        <w:rPr>
          <w:rFonts w:ascii="Times New Roman" w:hAnsi="Times New Roman"/>
        </w:rPr>
        <w:lastRenderedPageBreak/>
        <w:t xml:space="preserve">for this collection of information. </w:t>
      </w:r>
      <w:r w:rsidR="0077176B">
        <w:rPr>
          <w:rFonts w:ascii="Times New Roman" w:hAnsi="Times New Roman"/>
        </w:rPr>
        <w:t>Form I-129H1 was replacing Form I-129 under OMB control number 1615-0009 as a result of USCIS’s Final Fee Rule, which had an effective date of October 2, 2020. The rule, however, is currently enjoined and therefore USCIS</w:t>
      </w:r>
      <w:r w:rsidR="00D95459">
        <w:rPr>
          <w:rFonts w:ascii="Times New Roman" w:hAnsi="Times New Roman"/>
        </w:rPr>
        <w:t xml:space="preserve"> is reverting to the previously approved respondent estimate for Form I-129, which was lower than the respondent estimate reported for the Form I-129H1 created by the Fee Rule. This decrease in the estimated number of respondents as a result of the reversion to the pre-Fee Rule Form I-129 </w:t>
      </w:r>
      <w:r w:rsidR="00DD3EA3">
        <w:rPr>
          <w:rFonts w:ascii="Times New Roman" w:hAnsi="Times New Roman"/>
        </w:rPr>
        <w:t xml:space="preserve">estimates </w:t>
      </w:r>
      <w:r w:rsidR="00D95459">
        <w:rPr>
          <w:rFonts w:ascii="Times New Roman" w:hAnsi="Times New Roman"/>
        </w:rPr>
        <w:t>result</w:t>
      </w:r>
      <w:r w:rsidR="0077176B">
        <w:rPr>
          <w:rFonts w:ascii="Times New Roman" w:hAnsi="Times New Roman"/>
        </w:rPr>
        <w:t>s</w:t>
      </w:r>
      <w:r w:rsidR="00D95459">
        <w:rPr>
          <w:rFonts w:ascii="Times New Roman" w:hAnsi="Times New Roman"/>
        </w:rPr>
        <w:t xml:space="preserve"> in a decrease in the total annual hour burden. </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536"/>
        <w:gridCol w:w="1430"/>
        <w:gridCol w:w="1696"/>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63778A" w:rsidP="0063778A" w:rsidRDefault="005B6129" w14:paraId="4C489A84" w14:textId="4A48EF9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3AADA981" w14:textId="77777777">
            <w:pPr>
              <w:widowControl/>
              <w:autoSpaceDE/>
              <w:autoSpaceDN/>
              <w:adjustRightInd/>
              <w:jc w:val="center"/>
              <w:rPr>
                <w:rFonts w:ascii="Times New Roman" w:hAnsi="Times New Roman"/>
                <w:color w:val="000000"/>
              </w:rPr>
            </w:pP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74056" w14:paraId="33254BE3" w14:textId="0872E880">
            <w:pPr>
              <w:widowControl/>
              <w:autoSpaceDE/>
              <w:autoSpaceDN/>
              <w:adjustRightInd/>
              <w:jc w:val="center"/>
              <w:rPr>
                <w:rFonts w:ascii="Times New Roman" w:hAnsi="Times New Roman"/>
                <w:color w:val="000000"/>
              </w:rPr>
            </w:pPr>
            <w:r w:rsidRPr="00574056">
              <w:rPr>
                <w:rFonts w:ascii="Times New Roman" w:hAnsi="Times New Roman"/>
              </w:rPr>
              <w:t>$207,047,510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74056" w14:paraId="38DD0F98" w14:textId="3E854653">
            <w:pPr>
              <w:widowControl/>
              <w:autoSpaceDE/>
              <w:autoSpaceDN/>
              <w:adjustRightInd/>
              <w:jc w:val="center"/>
              <w:rPr>
                <w:rFonts w:ascii="Times New Roman" w:hAnsi="Times New Roman"/>
                <w:color w:val="000000"/>
              </w:rPr>
            </w:pPr>
            <w:r w:rsidRPr="00574056">
              <w:rPr>
                <w:rFonts w:ascii="Times New Roman" w:hAnsi="Times New Roman"/>
              </w:rPr>
              <w:t>$70,681,290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74056" w14:paraId="13AC02AD" w14:textId="19E7A929">
            <w:pPr>
              <w:widowControl/>
              <w:autoSpaceDE/>
              <w:autoSpaceDN/>
              <w:adjustRightInd/>
              <w:jc w:val="center"/>
              <w:rPr>
                <w:rFonts w:ascii="Times New Roman" w:hAnsi="Times New Roman"/>
                <w:color w:val="000000"/>
              </w:rPr>
            </w:pPr>
            <w:r w:rsidRPr="00574056">
              <w:rPr>
                <w:rFonts w:ascii="Times New Roman" w:hAnsi="Times New Roman"/>
              </w:rPr>
              <w:t>$(136,366,220)</w:t>
            </w:r>
          </w:p>
        </w:tc>
      </w:tr>
      <w:tr w:rsidRPr="00920D27" w:rsidR="005B6129"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74056" w14:paraId="68596D36" w14:textId="31A6A2F4">
            <w:pPr>
              <w:widowControl/>
              <w:autoSpaceDE/>
              <w:autoSpaceDN/>
              <w:adjustRightInd/>
              <w:jc w:val="center"/>
              <w:rPr>
                <w:rFonts w:ascii="Times New Roman" w:hAnsi="Times New Roman"/>
                <w:b/>
                <w:bCs/>
                <w:color w:val="000000"/>
              </w:rPr>
            </w:pPr>
            <w:r w:rsidRPr="00574056">
              <w:rPr>
                <w:rFonts w:ascii="Times New Roman" w:hAnsi="Times New Roman"/>
                <w:b/>
                <w:bCs/>
              </w:rPr>
              <w:t>$207,047,510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74056" w14:paraId="49BFA162" w14:textId="2FE22401">
            <w:pPr>
              <w:widowControl/>
              <w:autoSpaceDE/>
              <w:autoSpaceDN/>
              <w:adjustRightInd/>
              <w:jc w:val="center"/>
              <w:rPr>
                <w:rFonts w:ascii="Times New Roman" w:hAnsi="Times New Roman"/>
                <w:b/>
                <w:bCs/>
                <w:color w:val="000000"/>
              </w:rPr>
            </w:pPr>
            <w:r w:rsidRPr="00574056">
              <w:rPr>
                <w:rFonts w:ascii="Times New Roman" w:hAnsi="Times New Roman"/>
                <w:b/>
                <w:bCs/>
              </w:rPr>
              <w:t>$70,681,290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74056" w14:paraId="579F149A" w14:textId="118C13AE">
            <w:pPr>
              <w:widowControl/>
              <w:autoSpaceDE/>
              <w:autoSpaceDN/>
              <w:adjustRightInd/>
              <w:jc w:val="center"/>
              <w:rPr>
                <w:rFonts w:ascii="Times New Roman" w:hAnsi="Times New Roman"/>
                <w:b/>
                <w:bCs/>
                <w:color w:val="000000"/>
              </w:rPr>
            </w:pPr>
            <w:r w:rsidRPr="00574056">
              <w:rPr>
                <w:rFonts w:ascii="Times New Roman" w:hAnsi="Times New Roman"/>
                <w:b/>
                <w:bCs/>
              </w:rPr>
              <w:t>$(136,366,220)</w:t>
            </w:r>
          </w:p>
        </w:tc>
      </w:tr>
    </w:tbl>
    <w:p w:rsidRPr="0081460B" w:rsidR="0081460B" w:rsidP="005B6129" w:rsidRDefault="0081460B" w14:paraId="4112589A" w14:textId="77777777">
      <w:pPr>
        <w:tabs>
          <w:tab w:val="left" w:pos="-1440"/>
        </w:tabs>
        <w:ind w:left="720"/>
        <w:rPr>
          <w:rFonts w:ascii="Times New Roman" w:hAnsi="Times New Roman"/>
        </w:rPr>
      </w:pPr>
    </w:p>
    <w:p w:rsidRPr="0029577A" w:rsidR="005B6129" w:rsidP="00914A5D" w:rsidRDefault="0077176B" w14:paraId="53CADA21" w14:textId="6CCA5290">
      <w:pPr>
        <w:ind w:left="720"/>
        <w:rPr>
          <w:rFonts w:ascii="Times New Roman" w:hAnsi="Times New Roman"/>
        </w:rPr>
      </w:pPr>
      <w:r>
        <w:rPr>
          <w:rFonts w:ascii="Times New Roman" w:hAnsi="Times New Roman"/>
        </w:rPr>
        <w:t xml:space="preserve">USCIS is reporting a decrease in the estimated total annual cost burden to respondents for this collection of information. Form I-129H1 was replacing Form I-129 under OMB control number 1615-0009 as a result of USCIS’s Final Fee Rule, which had an effective date of October 2, 2020. The rule, however, is currently enjoined and therefore USCIS is reverting to the previously approved respondent estimate for Form I-129, which was lower than the respondent estimate reported for the Form I-129H1 created by the Fee Rule. This decrease in the estimated number of respondents as a result of the reversion to the pre-Fee Rule Form I-129 </w:t>
      </w:r>
      <w:r w:rsidR="00DD3EA3">
        <w:rPr>
          <w:rFonts w:ascii="Times New Roman" w:hAnsi="Times New Roman"/>
        </w:rPr>
        <w:t>estimates</w:t>
      </w:r>
      <w:r>
        <w:rPr>
          <w:rFonts w:ascii="Times New Roman" w:hAnsi="Times New Roman"/>
        </w:rPr>
        <w:t xml:space="preserve"> results in a decrease in the total annual cost burden.</w:t>
      </w:r>
    </w:p>
    <w:p w:rsidRPr="0029577A" w:rsidR="0077176B" w:rsidP="00914A5D" w:rsidRDefault="0077176B" w14:paraId="0503D9A9"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BB73" w14:textId="77777777" w:rsidR="00DB5089" w:rsidRDefault="00DB5089">
      <w:r>
        <w:separator/>
      </w:r>
    </w:p>
  </w:endnote>
  <w:endnote w:type="continuationSeparator" w:id="0">
    <w:p w14:paraId="6347CFD6" w14:textId="77777777" w:rsidR="00DB5089" w:rsidRDefault="00DB5089">
      <w:r>
        <w:continuationSeparator/>
      </w:r>
    </w:p>
  </w:endnote>
  <w:endnote w:type="continuationNotice" w:id="1">
    <w:p w14:paraId="0F4897C2" w14:textId="77777777" w:rsidR="00DB5089" w:rsidRDefault="00DB5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DB5089" w:rsidRDefault="00DB508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DB5089" w:rsidRDefault="00DB5089"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DB5089" w:rsidRDefault="00DB5089">
    <w:pPr>
      <w:spacing w:line="240" w:lineRule="exact"/>
    </w:pPr>
  </w:p>
  <w:p w14:paraId="466800C6" w14:textId="5271C627" w:rsidR="00DB5089" w:rsidRPr="000712DA" w:rsidRDefault="00DB5089"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DB5089" w:rsidRDefault="00DB5089"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1B82F" w14:textId="77777777" w:rsidR="00DB5089" w:rsidRDefault="00DB5089">
      <w:r>
        <w:separator/>
      </w:r>
    </w:p>
  </w:footnote>
  <w:footnote w:type="continuationSeparator" w:id="0">
    <w:p w14:paraId="1683CC2B" w14:textId="77777777" w:rsidR="00DB5089" w:rsidRDefault="00DB5089">
      <w:r>
        <w:continuationSeparator/>
      </w:r>
    </w:p>
  </w:footnote>
  <w:footnote w:type="continuationNotice" w:id="1">
    <w:p w14:paraId="7A630DAE" w14:textId="77777777" w:rsidR="00DB5089" w:rsidRDefault="00DB5089"/>
  </w:footnote>
  <w:footnote w:id="2">
    <w:p w14:paraId="1A7806E0" w14:textId="77777777" w:rsidR="00DB5089" w:rsidRPr="00904E97" w:rsidRDefault="00DB5089" w:rsidP="002143F2">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09AC7780" w14:textId="77777777" w:rsidR="00DB5089" w:rsidRPr="00904E97" w:rsidRDefault="00DB5089" w:rsidP="002143F2">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38711EDA" w14:textId="77777777" w:rsidR="00DB5089" w:rsidRPr="00904E97" w:rsidRDefault="00DB5089" w:rsidP="002143F2">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66B95142" w14:textId="77777777" w:rsidR="00DB5089" w:rsidRPr="00904E97" w:rsidRDefault="00DB5089" w:rsidP="002143F2">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6E6F366D" w14:textId="77777777" w:rsidR="00DB5089" w:rsidRDefault="00DB5089" w:rsidP="002143F2">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3B87F18D" w14:textId="77777777" w:rsidR="00DB5089" w:rsidRPr="00904E97" w:rsidRDefault="00DB5089" w:rsidP="002143F2">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694A9519" w14:textId="77777777" w:rsidR="00DB5089" w:rsidRPr="00904E97" w:rsidRDefault="00DB5089" w:rsidP="002143F2">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6D46C8FB" w14:textId="77777777" w:rsidR="00DB5089" w:rsidRPr="00904E97" w:rsidRDefault="00DB5089" w:rsidP="002143F2">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4F992A69" w14:textId="77777777" w:rsidR="00DB5089" w:rsidRDefault="00DB5089" w:rsidP="002143F2">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38ADA313" w14:textId="77777777" w:rsidR="00DB5089" w:rsidRDefault="00DB5089" w:rsidP="001137BC">
      <w:pPr>
        <w:pStyle w:val="FootnoteText"/>
        <w:rPr>
          <w:rFonts w:ascii="Times New Roman" w:hAnsi="Times New Roman"/>
        </w:rPr>
      </w:pPr>
      <w:r w:rsidRPr="00753A10">
        <w:rPr>
          <w:rStyle w:val="FootnoteReference"/>
          <w:rFonts w:ascii="Times New Roman" w:hAnsi="Times New Roman"/>
          <w:vertAlign w:val="superscript"/>
        </w:rPr>
        <w:footnoteRef/>
      </w:r>
      <w:r w:rsidRPr="00753A10">
        <w:rPr>
          <w:rFonts w:ascii="Times New Roman" w:hAnsi="Times New Roman"/>
          <w:vertAlign w:val="superscript"/>
        </w:rPr>
        <w:t xml:space="preserve"> </w:t>
      </w:r>
      <w:r>
        <w:rPr>
          <w:rFonts w:ascii="Times New Roman" w:hAnsi="Times New Roman"/>
        </w:rPr>
        <w:t>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sidRPr="00DD3EA3">
        <w:rPr>
          <w:rFonts w:ascii="Times New Roman" w:hAnsi="Times New Roman"/>
        </w:rPr>
        <w:t>$1,500</w:t>
      </w:r>
      <w:r>
        <w:rPr>
          <w:rFonts w:ascii="Times New Roman" w:hAnsi="Times New Roman"/>
        </w:rPr>
        <w:t xml:space="preserve"> or </w:t>
      </w:r>
      <w:r w:rsidRPr="00DD3EA3">
        <w:rPr>
          <w:rFonts w:ascii="Times New Roman" w:hAnsi="Times New Roman"/>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F50"/>
    <w:rsid w:val="0000315F"/>
    <w:rsid w:val="000361B0"/>
    <w:rsid w:val="0006370C"/>
    <w:rsid w:val="000712DA"/>
    <w:rsid w:val="00080CE0"/>
    <w:rsid w:val="00093DB1"/>
    <w:rsid w:val="000A42FA"/>
    <w:rsid w:val="000B00D2"/>
    <w:rsid w:val="000C3216"/>
    <w:rsid w:val="000D6A0C"/>
    <w:rsid w:val="000F1A9A"/>
    <w:rsid w:val="0010769F"/>
    <w:rsid w:val="001137BC"/>
    <w:rsid w:val="0013276E"/>
    <w:rsid w:val="00145DA1"/>
    <w:rsid w:val="0019320E"/>
    <w:rsid w:val="001A595D"/>
    <w:rsid w:val="001A6D21"/>
    <w:rsid w:val="001E3EA3"/>
    <w:rsid w:val="001F67BB"/>
    <w:rsid w:val="0020110E"/>
    <w:rsid w:val="00212C8B"/>
    <w:rsid w:val="002143F2"/>
    <w:rsid w:val="00215244"/>
    <w:rsid w:val="002469D3"/>
    <w:rsid w:val="00254B3E"/>
    <w:rsid w:val="002648DB"/>
    <w:rsid w:val="00275F4E"/>
    <w:rsid w:val="00291DA2"/>
    <w:rsid w:val="0029577A"/>
    <w:rsid w:val="002A4A73"/>
    <w:rsid w:val="002B6812"/>
    <w:rsid w:val="002C3934"/>
    <w:rsid w:val="002E199D"/>
    <w:rsid w:val="002E7594"/>
    <w:rsid w:val="002F368F"/>
    <w:rsid w:val="002F7ADE"/>
    <w:rsid w:val="003338D4"/>
    <w:rsid w:val="0039427E"/>
    <w:rsid w:val="003A0F52"/>
    <w:rsid w:val="003B2303"/>
    <w:rsid w:val="003C688D"/>
    <w:rsid w:val="003F1609"/>
    <w:rsid w:val="00407FDF"/>
    <w:rsid w:val="00414F1D"/>
    <w:rsid w:val="00420481"/>
    <w:rsid w:val="00423200"/>
    <w:rsid w:val="004549CD"/>
    <w:rsid w:val="00494557"/>
    <w:rsid w:val="004A2AED"/>
    <w:rsid w:val="004C6F07"/>
    <w:rsid w:val="004D3AE9"/>
    <w:rsid w:val="004F3779"/>
    <w:rsid w:val="00515E8C"/>
    <w:rsid w:val="00525E40"/>
    <w:rsid w:val="005423DD"/>
    <w:rsid w:val="0054585A"/>
    <w:rsid w:val="005543AD"/>
    <w:rsid w:val="00574056"/>
    <w:rsid w:val="00590B61"/>
    <w:rsid w:val="005A378F"/>
    <w:rsid w:val="005B6129"/>
    <w:rsid w:val="005C146D"/>
    <w:rsid w:val="005C3DD7"/>
    <w:rsid w:val="0060085B"/>
    <w:rsid w:val="00603702"/>
    <w:rsid w:val="006049A7"/>
    <w:rsid w:val="00607E59"/>
    <w:rsid w:val="0063778A"/>
    <w:rsid w:val="00662686"/>
    <w:rsid w:val="00663D52"/>
    <w:rsid w:val="006A0CC6"/>
    <w:rsid w:val="006B0B31"/>
    <w:rsid w:val="006B38F6"/>
    <w:rsid w:val="006C726B"/>
    <w:rsid w:val="006C79B6"/>
    <w:rsid w:val="006E606E"/>
    <w:rsid w:val="006E6672"/>
    <w:rsid w:val="006E678F"/>
    <w:rsid w:val="006F083F"/>
    <w:rsid w:val="0070166B"/>
    <w:rsid w:val="00703B09"/>
    <w:rsid w:val="0071391D"/>
    <w:rsid w:val="007312F9"/>
    <w:rsid w:val="00746A66"/>
    <w:rsid w:val="00753A10"/>
    <w:rsid w:val="00765E88"/>
    <w:rsid w:val="0077176B"/>
    <w:rsid w:val="00792B9D"/>
    <w:rsid w:val="00794F73"/>
    <w:rsid w:val="007B32A5"/>
    <w:rsid w:val="007C03A1"/>
    <w:rsid w:val="007D6E29"/>
    <w:rsid w:val="007E6F17"/>
    <w:rsid w:val="007F5988"/>
    <w:rsid w:val="007F70DB"/>
    <w:rsid w:val="00807BA2"/>
    <w:rsid w:val="0081460B"/>
    <w:rsid w:val="008255EE"/>
    <w:rsid w:val="00833B6C"/>
    <w:rsid w:val="00847763"/>
    <w:rsid w:val="00896DD0"/>
    <w:rsid w:val="008A42B6"/>
    <w:rsid w:val="008A4764"/>
    <w:rsid w:val="008C5E87"/>
    <w:rsid w:val="008D0F4C"/>
    <w:rsid w:val="008D7291"/>
    <w:rsid w:val="008F233F"/>
    <w:rsid w:val="008F74F4"/>
    <w:rsid w:val="009147A2"/>
    <w:rsid w:val="00914A5D"/>
    <w:rsid w:val="00921351"/>
    <w:rsid w:val="00922C62"/>
    <w:rsid w:val="00944A8A"/>
    <w:rsid w:val="009556EE"/>
    <w:rsid w:val="00974223"/>
    <w:rsid w:val="009759C7"/>
    <w:rsid w:val="009D1DF6"/>
    <w:rsid w:val="009D2D1B"/>
    <w:rsid w:val="009D3B71"/>
    <w:rsid w:val="009D5D2B"/>
    <w:rsid w:val="009F15D0"/>
    <w:rsid w:val="00A03E3A"/>
    <w:rsid w:val="00A05B27"/>
    <w:rsid w:val="00A13DCB"/>
    <w:rsid w:val="00A3466A"/>
    <w:rsid w:val="00A447D7"/>
    <w:rsid w:val="00A5237F"/>
    <w:rsid w:val="00A56B2D"/>
    <w:rsid w:val="00A847D1"/>
    <w:rsid w:val="00AC4E66"/>
    <w:rsid w:val="00AD206B"/>
    <w:rsid w:val="00AE1898"/>
    <w:rsid w:val="00AF32A6"/>
    <w:rsid w:val="00AF45F2"/>
    <w:rsid w:val="00B0571D"/>
    <w:rsid w:val="00B1471A"/>
    <w:rsid w:val="00B27061"/>
    <w:rsid w:val="00B27953"/>
    <w:rsid w:val="00B31EBB"/>
    <w:rsid w:val="00B57151"/>
    <w:rsid w:val="00B635A9"/>
    <w:rsid w:val="00B7349D"/>
    <w:rsid w:val="00BD3260"/>
    <w:rsid w:val="00BE3C63"/>
    <w:rsid w:val="00C04531"/>
    <w:rsid w:val="00C177EE"/>
    <w:rsid w:val="00C3345E"/>
    <w:rsid w:val="00C62A1F"/>
    <w:rsid w:val="00C9224C"/>
    <w:rsid w:val="00C97339"/>
    <w:rsid w:val="00CA3233"/>
    <w:rsid w:val="00CC76AE"/>
    <w:rsid w:val="00CD6D53"/>
    <w:rsid w:val="00CE2CFC"/>
    <w:rsid w:val="00D0120D"/>
    <w:rsid w:val="00D049AD"/>
    <w:rsid w:val="00D118B8"/>
    <w:rsid w:val="00D15779"/>
    <w:rsid w:val="00D15877"/>
    <w:rsid w:val="00D22B13"/>
    <w:rsid w:val="00D3403B"/>
    <w:rsid w:val="00D70CBC"/>
    <w:rsid w:val="00D80E94"/>
    <w:rsid w:val="00D87264"/>
    <w:rsid w:val="00D95459"/>
    <w:rsid w:val="00DA2D6B"/>
    <w:rsid w:val="00DB0CFE"/>
    <w:rsid w:val="00DB5089"/>
    <w:rsid w:val="00DD3EA3"/>
    <w:rsid w:val="00DE08FF"/>
    <w:rsid w:val="00DE7738"/>
    <w:rsid w:val="00E15619"/>
    <w:rsid w:val="00E37754"/>
    <w:rsid w:val="00E61E1B"/>
    <w:rsid w:val="00E77B24"/>
    <w:rsid w:val="00E85D6D"/>
    <w:rsid w:val="00E91139"/>
    <w:rsid w:val="00EA1FB2"/>
    <w:rsid w:val="00EA2995"/>
    <w:rsid w:val="00EC3504"/>
    <w:rsid w:val="00EC5F60"/>
    <w:rsid w:val="00ED4E0C"/>
    <w:rsid w:val="00EE157A"/>
    <w:rsid w:val="00F03D95"/>
    <w:rsid w:val="00F060EC"/>
    <w:rsid w:val="00F412A1"/>
    <w:rsid w:val="00F414F1"/>
    <w:rsid w:val="00F424E7"/>
    <w:rsid w:val="00F616FE"/>
    <w:rsid w:val="00F91400"/>
    <w:rsid w:val="00FA76F3"/>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unhideWhenUsed/>
    <w:rsid w:val="00515E8C"/>
    <w:rPr>
      <w:sz w:val="20"/>
      <w:szCs w:val="20"/>
    </w:rPr>
  </w:style>
  <w:style w:type="character" w:customStyle="1" w:styleId="FootnoteTextChar">
    <w:name w:val="Footnote Text Char"/>
    <w:basedOn w:val="DefaultParagraphFont"/>
    <w:link w:val="FootnoteText"/>
    <w:rsid w:val="00515E8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63962829">
      <w:bodyDiv w:val="1"/>
      <w:marLeft w:val="0"/>
      <w:marRight w:val="0"/>
      <w:marTop w:val="0"/>
      <w:marBottom w:val="0"/>
      <w:divBdr>
        <w:top w:val="none" w:sz="0" w:space="0" w:color="auto"/>
        <w:left w:val="none" w:sz="0" w:space="0" w:color="auto"/>
        <w:bottom w:val="none" w:sz="0" w:space="0" w:color="auto"/>
        <w:right w:val="none" w:sz="0" w:space="0" w:color="auto"/>
      </w:divBdr>
    </w:div>
    <w:div w:id="148781915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18762951">
      <w:bodyDiv w:val="1"/>
      <w:marLeft w:val="0"/>
      <w:marRight w:val="0"/>
      <w:marTop w:val="0"/>
      <w:marBottom w:val="0"/>
      <w:divBdr>
        <w:top w:val="none" w:sz="0" w:space="0" w:color="auto"/>
        <w:left w:val="none" w:sz="0" w:space="0" w:color="auto"/>
        <w:bottom w:val="none" w:sz="0" w:space="0" w:color="auto"/>
        <w:right w:val="none" w:sz="0" w:space="0" w:color="auto"/>
      </w:divBdr>
    </w:div>
    <w:div w:id="182427126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F96F-23BF-4140-814D-2D2281D56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5EEEB-63CB-4746-A2EA-BAC81C947011}">
  <ds:schemaRefs>
    <ds:schemaRef ds:uri="http://schemas.microsoft.com/sharepoint/v3/contenttype/forms"/>
  </ds:schemaRefs>
</ds:datastoreItem>
</file>

<file path=customXml/itemProps3.xml><?xml version="1.0" encoding="utf-8"?>
<ds:datastoreItem xmlns:ds="http://schemas.openxmlformats.org/officeDocument/2006/customXml" ds:itemID="{1EDBED51-30E9-4167-ABD5-967A0B484C3D}">
  <ds:schemaRef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2589310c-5316-40b3-b68d-4735ac72f265"/>
    <ds:schemaRef ds:uri="http://purl.org/dc/dcmitype/"/>
    <ds:schemaRef ds:uri="http://schemas.microsoft.com/office/2006/documentManagement/types"/>
    <ds:schemaRef ds:uri="http://schemas.microsoft.com/office/infopath/2007/PartnerControls"/>
    <ds:schemaRef ds:uri="bf094c2b-8036-49e0-a2b2-a973ea273ca5"/>
  </ds:schemaRefs>
</ds:datastoreItem>
</file>

<file path=customXml/itemProps4.xml><?xml version="1.0" encoding="utf-8"?>
<ds:datastoreItem xmlns:ds="http://schemas.openxmlformats.org/officeDocument/2006/customXml" ds:itemID="{22967F6C-CB01-4FAC-9BE3-0222FC5D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24393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FDNS edit</cp:lastModifiedBy>
  <cp:revision>2</cp:revision>
  <cp:lastPrinted>2010-05-14T16:20:00Z</cp:lastPrinted>
  <dcterms:created xsi:type="dcterms:W3CDTF">2020-10-08T22:10:00Z</dcterms:created>
  <dcterms:modified xsi:type="dcterms:W3CDTF">2020-10-08T22:10:00Z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