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721E0" w:rsidR="00010973" w:rsidRDefault="00010973">
      <w:pPr>
        <w:pStyle w:val="c1"/>
        <w:tabs>
          <w:tab w:val="left" w:pos="4000"/>
          <w:tab w:val="left" w:pos="6200"/>
          <w:tab w:val="left" w:pos="8360"/>
        </w:tabs>
        <w:spacing w:line="240" w:lineRule="auto"/>
        <w:rPr>
          <w:rFonts w:ascii="Arial" w:hAnsi="Arial" w:cs="Arial"/>
          <w:b/>
          <w:szCs w:val="24"/>
        </w:rPr>
      </w:pPr>
      <w:r w:rsidRPr="002721E0">
        <w:rPr>
          <w:rFonts w:ascii="Arial" w:hAnsi="Arial" w:cs="Arial"/>
          <w:b/>
          <w:szCs w:val="24"/>
        </w:rPr>
        <w:t>Supporting Statement</w:t>
      </w:r>
    </w:p>
    <w:p w:rsidRPr="002721E0" w:rsidR="00010973" w:rsidRDefault="00010973">
      <w:pPr>
        <w:pStyle w:val="c1"/>
        <w:tabs>
          <w:tab w:val="left" w:pos="4000"/>
          <w:tab w:val="left" w:pos="6200"/>
          <w:tab w:val="left" w:pos="8360"/>
        </w:tabs>
        <w:spacing w:line="240" w:lineRule="auto"/>
        <w:rPr>
          <w:rFonts w:ascii="Arial" w:hAnsi="Arial" w:cs="Arial"/>
          <w:b/>
          <w:szCs w:val="24"/>
        </w:rPr>
      </w:pPr>
      <w:r w:rsidRPr="002721E0">
        <w:rPr>
          <w:rFonts w:ascii="Arial" w:hAnsi="Arial" w:cs="Arial"/>
          <w:b/>
          <w:szCs w:val="24"/>
        </w:rPr>
        <w:t>for</w:t>
      </w:r>
    </w:p>
    <w:p w:rsidRPr="002721E0" w:rsidR="00010973" w:rsidRDefault="00010973">
      <w:pPr>
        <w:pStyle w:val="c1"/>
        <w:tabs>
          <w:tab w:val="left" w:pos="4000"/>
          <w:tab w:val="left" w:pos="6200"/>
          <w:tab w:val="left" w:pos="8360"/>
        </w:tabs>
        <w:spacing w:line="240" w:lineRule="auto"/>
        <w:rPr>
          <w:rFonts w:ascii="Arial" w:hAnsi="Arial" w:cs="Arial"/>
          <w:b/>
          <w:szCs w:val="24"/>
        </w:rPr>
      </w:pPr>
      <w:r w:rsidRPr="002721E0">
        <w:rPr>
          <w:rFonts w:ascii="Arial" w:hAnsi="Arial" w:cs="Arial"/>
          <w:b/>
          <w:szCs w:val="24"/>
        </w:rPr>
        <w:t xml:space="preserve">Plan Approval and Records for Subdivision and </w:t>
      </w:r>
      <w:r w:rsidRPr="002721E0">
        <w:rPr>
          <w:rFonts w:ascii="Arial" w:hAnsi="Arial" w:cs="Arial"/>
          <w:b/>
          <w:szCs w:val="24"/>
        </w:rPr>
        <w:br/>
        <w:t>Stability Regulations -- Title 46 Subchapter S</w:t>
      </w:r>
    </w:p>
    <w:p w:rsidRPr="00760A79" w:rsidR="002721E0" w:rsidRDefault="002721E0">
      <w:pPr>
        <w:pStyle w:val="c1"/>
        <w:tabs>
          <w:tab w:val="left" w:pos="4000"/>
          <w:tab w:val="left" w:pos="6200"/>
          <w:tab w:val="left" w:pos="8360"/>
        </w:tabs>
        <w:spacing w:line="240" w:lineRule="auto"/>
        <w:rPr>
          <w:rFonts w:ascii="Arial" w:hAnsi="Arial" w:cs="Arial"/>
          <w:sz w:val="16"/>
          <w:szCs w:val="16"/>
        </w:rPr>
      </w:pPr>
    </w:p>
    <w:p w:rsidRPr="00F70205" w:rsidR="002721E0" w:rsidP="002721E0" w:rsidRDefault="002721E0">
      <w:pPr>
        <w:pStyle w:val="Subtitle"/>
        <w:tabs>
          <w:tab w:val="left" w:pos="540"/>
        </w:tabs>
        <w:rPr>
          <w:rFonts w:ascii="Arial" w:hAnsi="Arial" w:cs="Arial"/>
          <w:b w:val="0"/>
          <w:sz w:val="20"/>
        </w:rPr>
      </w:pPr>
      <w:r w:rsidRPr="00F70205">
        <w:rPr>
          <w:rFonts w:ascii="Arial" w:hAnsi="Arial" w:cs="Arial"/>
          <w:b w:val="0"/>
          <w:sz w:val="20"/>
        </w:rPr>
        <w:t xml:space="preserve">OMB No.: </w:t>
      </w:r>
      <w:r w:rsidRPr="00F70205" w:rsidR="00F70205">
        <w:rPr>
          <w:rFonts w:ascii="Arial" w:hAnsi="Arial" w:cs="Arial"/>
          <w:b w:val="0"/>
          <w:sz w:val="20"/>
        </w:rPr>
        <w:t xml:space="preserve"> </w:t>
      </w:r>
      <w:r w:rsidRPr="00F70205">
        <w:rPr>
          <w:rFonts w:ascii="Arial" w:hAnsi="Arial" w:cs="Arial"/>
          <w:b w:val="0"/>
          <w:sz w:val="20"/>
        </w:rPr>
        <w:t>1625-0064</w:t>
      </w:r>
    </w:p>
    <w:p w:rsidRPr="00F70205" w:rsidR="002721E0" w:rsidP="002721E0" w:rsidRDefault="002721E0">
      <w:pPr>
        <w:pStyle w:val="Subtitle"/>
        <w:tabs>
          <w:tab w:val="left" w:pos="540"/>
        </w:tabs>
        <w:rPr>
          <w:rFonts w:ascii="Arial" w:hAnsi="Arial" w:cs="Arial"/>
          <w:b w:val="0"/>
          <w:sz w:val="20"/>
        </w:rPr>
      </w:pPr>
      <w:r w:rsidRPr="00F70205">
        <w:rPr>
          <w:rFonts w:ascii="Arial" w:hAnsi="Arial" w:cs="Arial"/>
          <w:b w:val="0"/>
          <w:sz w:val="20"/>
        </w:rPr>
        <w:t xml:space="preserve">COLLECTION INSTRUMENTS: </w:t>
      </w:r>
      <w:r w:rsidRPr="00F70205" w:rsidR="00F70205">
        <w:rPr>
          <w:rFonts w:ascii="Arial" w:hAnsi="Arial" w:cs="Arial"/>
          <w:b w:val="0"/>
          <w:sz w:val="20"/>
        </w:rPr>
        <w:t xml:space="preserve"> Instruction</w:t>
      </w:r>
      <w:r w:rsidRPr="00F70205">
        <w:rPr>
          <w:rFonts w:ascii="Arial" w:hAnsi="Arial" w:cs="Arial"/>
          <w:b w:val="0"/>
          <w:sz w:val="20"/>
        </w:rPr>
        <w:t>.</w:t>
      </w:r>
      <w:r w:rsidR="00F70205">
        <w:rPr>
          <w:rFonts w:ascii="Arial" w:hAnsi="Arial" w:cs="Arial"/>
          <w:b w:val="0"/>
          <w:sz w:val="20"/>
        </w:rPr>
        <w:t xml:space="preserve">  </w:t>
      </w:r>
    </w:p>
    <w:p w:rsidRPr="00760A79" w:rsidR="002721E0" w:rsidP="002721E0" w:rsidRDefault="002721E0">
      <w:pPr>
        <w:pStyle w:val="p8"/>
        <w:tabs>
          <w:tab w:val="clear" w:pos="0"/>
          <w:tab w:val="clear" w:pos="660"/>
        </w:tabs>
        <w:spacing w:line="240" w:lineRule="auto"/>
        <w:ind w:left="0" w:firstLine="0"/>
        <w:rPr>
          <w:rFonts w:ascii="Arial" w:hAnsi="Arial" w:cs="Arial"/>
          <w:sz w:val="16"/>
          <w:szCs w:val="16"/>
        </w:rPr>
      </w:pPr>
    </w:p>
    <w:p w:rsidRPr="002721E0" w:rsidR="00010973" w:rsidRDefault="00010973">
      <w:pPr>
        <w:pStyle w:val="p3"/>
        <w:spacing w:line="240" w:lineRule="auto"/>
        <w:rPr>
          <w:rFonts w:ascii="Arial" w:hAnsi="Arial" w:cs="Arial"/>
          <w:b/>
          <w:bCs/>
          <w:sz w:val="20"/>
        </w:rPr>
      </w:pPr>
      <w:r w:rsidRPr="002721E0">
        <w:rPr>
          <w:rFonts w:ascii="Arial" w:hAnsi="Arial" w:cs="Arial"/>
          <w:b/>
          <w:bCs/>
          <w:sz w:val="20"/>
        </w:rPr>
        <w:t xml:space="preserve">A.  </w:t>
      </w:r>
      <w:r w:rsidRPr="0038661C">
        <w:rPr>
          <w:rFonts w:ascii="Arial" w:hAnsi="Arial" w:cs="Arial"/>
          <w:b/>
          <w:bCs/>
          <w:sz w:val="20"/>
        </w:rPr>
        <w:t>Justification</w:t>
      </w:r>
      <w:r w:rsidR="0038661C">
        <w:rPr>
          <w:rFonts w:ascii="Arial" w:hAnsi="Arial" w:cs="Arial"/>
          <w:b/>
          <w:bCs/>
          <w:sz w:val="20"/>
        </w:rPr>
        <w:t xml:space="preserve">  </w:t>
      </w:r>
    </w:p>
    <w:p w:rsidRPr="002721E0" w:rsidR="00010973" w:rsidRDefault="00010973">
      <w:pPr>
        <w:pStyle w:val="p3"/>
        <w:spacing w:line="240" w:lineRule="auto"/>
        <w:rPr>
          <w:rFonts w:ascii="Arial" w:hAnsi="Arial" w:cs="Arial"/>
          <w:sz w:val="20"/>
        </w:rPr>
      </w:pPr>
    </w:p>
    <w:p w:rsidRPr="002721E0" w:rsidR="00010973" w:rsidRDefault="00010973">
      <w:pPr>
        <w:rPr>
          <w:rFonts w:ascii="Arial" w:hAnsi="Arial" w:cs="Arial"/>
          <w:bCs/>
          <w:sz w:val="20"/>
        </w:rPr>
      </w:pPr>
      <w:r w:rsidRPr="002721E0">
        <w:rPr>
          <w:rFonts w:ascii="Arial" w:hAnsi="Arial" w:cs="Arial"/>
          <w:bCs/>
          <w:sz w:val="20"/>
        </w:rPr>
        <w:t xml:space="preserve">1)  </w:t>
      </w:r>
      <w:r w:rsidRPr="002721E0">
        <w:rPr>
          <w:rFonts w:ascii="Arial" w:hAnsi="Arial" w:cs="Arial"/>
          <w:bCs/>
          <w:sz w:val="20"/>
          <w:u w:val="single"/>
        </w:rPr>
        <w:t>Circumstances that make the collection of information necessary</w:t>
      </w:r>
      <w:r w:rsidRPr="002721E0">
        <w:rPr>
          <w:rFonts w:ascii="Arial" w:hAnsi="Arial" w:cs="Arial"/>
          <w:bCs/>
          <w:sz w:val="20"/>
        </w:rPr>
        <w:t>.</w:t>
      </w:r>
      <w:r w:rsidR="00F70205">
        <w:rPr>
          <w:rFonts w:ascii="Arial" w:hAnsi="Arial" w:cs="Arial"/>
          <w:bCs/>
          <w:sz w:val="20"/>
        </w:rPr>
        <w:t xml:space="preserve">  </w:t>
      </w:r>
    </w:p>
    <w:p w:rsidRPr="002721E0" w:rsidR="00010973" w:rsidRDefault="00010973">
      <w:pPr>
        <w:pStyle w:val="p4"/>
        <w:tabs>
          <w:tab w:val="left" w:pos="580"/>
        </w:tabs>
        <w:spacing w:line="240" w:lineRule="auto"/>
        <w:ind w:left="0"/>
        <w:rPr>
          <w:rFonts w:ascii="Arial" w:hAnsi="Arial" w:cs="Arial"/>
          <w:sz w:val="20"/>
        </w:rPr>
      </w:pPr>
    </w:p>
    <w:p w:rsidRPr="002721E0" w:rsidR="00010973" w:rsidRDefault="00010973">
      <w:pPr>
        <w:pStyle w:val="p4"/>
        <w:tabs>
          <w:tab w:val="left" w:pos="580"/>
        </w:tabs>
        <w:spacing w:line="240" w:lineRule="auto"/>
        <w:ind w:left="0"/>
        <w:rPr>
          <w:rFonts w:ascii="Arial" w:hAnsi="Arial" w:cs="Arial"/>
          <w:sz w:val="20"/>
        </w:rPr>
      </w:pPr>
      <w:r w:rsidRPr="002721E0">
        <w:rPr>
          <w:rFonts w:ascii="Arial" w:hAnsi="Arial" w:cs="Arial"/>
          <w:sz w:val="20"/>
        </w:rPr>
        <w:t>Under the authority of the Secretary in the department in which the U. S. Coast Guard is operating, the Coast Guard administers and enforces the laws and regulations promoting the safety of life and property in marine transportation.  Title 46 U</w:t>
      </w:r>
      <w:r w:rsidR="0007433E">
        <w:rPr>
          <w:rFonts w:ascii="Arial" w:hAnsi="Arial" w:cs="Arial"/>
          <w:sz w:val="20"/>
        </w:rPr>
        <w:t>.</w:t>
      </w:r>
      <w:r w:rsidRPr="002721E0">
        <w:rPr>
          <w:rFonts w:ascii="Arial" w:hAnsi="Arial" w:cs="Arial"/>
          <w:sz w:val="20"/>
        </w:rPr>
        <w:t>S</w:t>
      </w:r>
      <w:r w:rsidR="0007433E">
        <w:rPr>
          <w:rFonts w:ascii="Arial" w:hAnsi="Arial" w:cs="Arial"/>
          <w:sz w:val="20"/>
        </w:rPr>
        <w:t>.</w:t>
      </w:r>
      <w:r w:rsidRPr="002721E0">
        <w:rPr>
          <w:rFonts w:ascii="Arial" w:hAnsi="Arial" w:cs="Arial"/>
          <w:sz w:val="20"/>
        </w:rPr>
        <w:t>C</w:t>
      </w:r>
      <w:r w:rsidR="0007433E">
        <w:rPr>
          <w:rFonts w:ascii="Arial" w:hAnsi="Arial" w:cs="Arial"/>
          <w:sz w:val="20"/>
        </w:rPr>
        <w:t>.</w:t>
      </w:r>
      <w:r w:rsidRPr="002721E0">
        <w:rPr>
          <w:rFonts w:ascii="Arial" w:hAnsi="Arial" w:cs="Arial"/>
          <w:sz w:val="20"/>
        </w:rPr>
        <w:t xml:space="preserve"> 3301 and 3305 require that every freight, seagoing motor, and steam vessel, and every seagoing barge, including a mobile offshore drilling unit be inspected to determine that it is in full compliance with applicable marine safety regulations.  Title 46 U</w:t>
      </w:r>
      <w:r w:rsidR="0007433E">
        <w:rPr>
          <w:rFonts w:ascii="Arial" w:hAnsi="Arial" w:cs="Arial"/>
          <w:sz w:val="20"/>
        </w:rPr>
        <w:t>.</w:t>
      </w:r>
      <w:r w:rsidRPr="002721E0">
        <w:rPr>
          <w:rFonts w:ascii="Arial" w:hAnsi="Arial" w:cs="Arial"/>
          <w:sz w:val="20"/>
        </w:rPr>
        <w:t>S</w:t>
      </w:r>
      <w:r w:rsidR="0007433E">
        <w:rPr>
          <w:rFonts w:ascii="Arial" w:hAnsi="Arial" w:cs="Arial"/>
          <w:sz w:val="20"/>
        </w:rPr>
        <w:t>.</w:t>
      </w:r>
      <w:r w:rsidRPr="002721E0">
        <w:rPr>
          <w:rFonts w:ascii="Arial" w:hAnsi="Arial" w:cs="Arial"/>
          <w:sz w:val="20"/>
        </w:rPr>
        <w:t>C</w:t>
      </w:r>
      <w:r w:rsidR="0007433E">
        <w:rPr>
          <w:rFonts w:ascii="Arial" w:hAnsi="Arial" w:cs="Arial"/>
          <w:sz w:val="20"/>
        </w:rPr>
        <w:t>.</w:t>
      </w:r>
      <w:r w:rsidRPr="002721E0">
        <w:rPr>
          <w:rFonts w:ascii="Arial" w:hAnsi="Arial" w:cs="Arial"/>
          <w:sz w:val="20"/>
        </w:rPr>
        <w:t xml:space="preserve"> 3306 directs the Secretary to make appropriate regulations, including standards for vessel stability.  Title 46 U</w:t>
      </w:r>
      <w:r w:rsidR="0007433E">
        <w:rPr>
          <w:rFonts w:ascii="Arial" w:hAnsi="Arial" w:cs="Arial"/>
          <w:sz w:val="20"/>
        </w:rPr>
        <w:t>.</w:t>
      </w:r>
      <w:r w:rsidRPr="002721E0">
        <w:rPr>
          <w:rFonts w:ascii="Arial" w:hAnsi="Arial" w:cs="Arial"/>
          <w:sz w:val="20"/>
        </w:rPr>
        <w:t>S</w:t>
      </w:r>
      <w:r w:rsidR="0007433E">
        <w:rPr>
          <w:rFonts w:ascii="Arial" w:hAnsi="Arial" w:cs="Arial"/>
          <w:sz w:val="20"/>
        </w:rPr>
        <w:t>.</w:t>
      </w:r>
      <w:r w:rsidRPr="002721E0">
        <w:rPr>
          <w:rFonts w:ascii="Arial" w:hAnsi="Arial" w:cs="Arial"/>
          <w:sz w:val="20"/>
        </w:rPr>
        <w:t>C</w:t>
      </w:r>
      <w:r w:rsidR="0007433E">
        <w:rPr>
          <w:rFonts w:ascii="Arial" w:hAnsi="Arial" w:cs="Arial"/>
          <w:sz w:val="20"/>
        </w:rPr>
        <w:t>.</w:t>
      </w:r>
      <w:r w:rsidRPr="002721E0">
        <w:rPr>
          <w:rFonts w:ascii="Arial" w:hAnsi="Arial" w:cs="Arial"/>
          <w:sz w:val="20"/>
        </w:rPr>
        <w:t xml:space="preserve"> 3703 directs the Secretary to prescribe additional regulations for vessels which carry liquid bulk dangerous cargoes.  In addition, certain vessels must meet the standards of the Safety of Life at Sea Convention (SOLAS).  Plan and vessel characteristics submissions by builders/designers and logging requirements by owners/operators are needed to assure the regulations are met.</w:t>
      </w:r>
    </w:p>
    <w:p w:rsidRPr="002721E0" w:rsidR="00010973" w:rsidRDefault="00010973">
      <w:pPr>
        <w:rPr>
          <w:rFonts w:ascii="Arial" w:hAnsi="Arial" w:cs="Arial"/>
          <w:sz w:val="20"/>
        </w:rPr>
      </w:pPr>
    </w:p>
    <w:p w:rsidRPr="002721E0" w:rsidR="00010973" w:rsidRDefault="00010973">
      <w:pPr>
        <w:rPr>
          <w:rFonts w:ascii="Arial" w:hAnsi="Arial" w:cs="Arial"/>
          <w:bCs/>
          <w:sz w:val="20"/>
        </w:rPr>
      </w:pPr>
      <w:r w:rsidRPr="002721E0">
        <w:rPr>
          <w:rFonts w:ascii="Arial" w:hAnsi="Arial" w:cs="Arial"/>
          <w:bCs/>
          <w:sz w:val="20"/>
        </w:rPr>
        <w:t xml:space="preserve">2)  </w:t>
      </w:r>
      <w:r w:rsidRPr="002721E0" w:rsidR="002721E0">
        <w:rPr>
          <w:rFonts w:ascii="Arial" w:hAnsi="Arial" w:cs="Arial"/>
          <w:bCs/>
          <w:sz w:val="20"/>
          <w:u w:val="single"/>
        </w:rPr>
        <w:t>Purposes of the information collection</w:t>
      </w:r>
      <w:r w:rsidRPr="002721E0">
        <w:rPr>
          <w:rFonts w:ascii="Arial" w:hAnsi="Arial" w:cs="Arial"/>
          <w:bCs/>
          <w:sz w:val="20"/>
        </w:rPr>
        <w:t>.</w:t>
      </w:r>
      <w:r w:rsidR="00F70205">
        <w:rPr>
          <w:rFonts w:ascii="Arial" w:hAnsi="Arial" w:cs="Arial"/>
          <w:bCs/>
          <w:sz w:val="20"/>
        </w:rPr>
        <w:t xml:space="preserve">  </w:t>
      </w:r>
    </w:p>
    <w:p w:rsidRPr="002721E0" w:rsidR="00010973" w:rsidRDefault="00010973">
      <w:pPr>
        <w:pStyle w:val="p4"/>
        <w:tabs>
          <w:tab w:val="left" w:pos="900"/>
        </w:tabs>
        <w:spacing w:line="240" w:lineRule="auto"/>
        <w:ind w:left="0"/>
        <w:rPr>
          <w:rFonts w:ascii="Arial" w:hAnsi="Arial" w:cs="Arial"/>
          <w:sz w:val="20"/>
        </w:rPr>
      </w:pPr>
    </w:p>
    <w:p w:rsidRPr="002721E0" w:rsidR="00010973" w:rsidRDefault="00010973">
      <w:pPr>
        <w:pStyle w:val="p4"/>
        <w:tabs>
          <w:tab w:val="left" w:pos="900"/>
        </w:tabs>
        <w:spacing w:line="240" w:lineRule="auto"/>
        <w:ind w:left="0"/>
        <w:rPr>
          <w:rFonts w:ascii="Arial" w:hAnsi="Arial" w:cs="Arial"/>
          <w:sz w:val="20"/>
        </w:rPr>
      </w:pPr>
      <w:r w:rsidRPr="002721E0">
        <w:rPr>
          <w:rFonts w:ascii="Arial" w:hAnsi="Arial" w:cs="Arial"/>
          <w:sz w:val="20"/>
          <w:u w:val="single"/>
        </w:rPr>
        <w:t>Requirements for the submission of plans, technical information, or operating instructions</w:t>
      </w:r>
      <w:r w:rsidRPr="002721E0">
        <w:rPr>
          <w:rFonts w:ascii="Arial" w:hAnsi="Arial" w:cs="Arial"/>
          <w:sz w:val="20"/>
        </w:rPr>
        <w:t xml:space="preserve">:  This information is required by the Coast Guard in order to assure that a vessel meets the applicable stability standards.  Plans and other information submitted are normally developed by the shipyard, designer, or manufacturer to assure the construction and safe operation of a vessel.  The material and information required is not solely for Coast Guard use, although the material does contain the information necessary to meet Coast Guard regulations.  Part of the submissions are nonrecurring; they are made only once at or prior to vessel construction or alteration.  </w:t>
      </w:r>
      <w:r w:rsidRPr="002721E0" w:rsidR="00BB4A07">
        <w:rPr>
          <w:rFonts w:ascii="Arial" w:hAnsi="Arial" w:cs="Arial"/>
          <w:sz w:val="20"/>
        </w:rPr>
        <w:t xml:space="preserve">Resubmission of plans is not required </w:t>
      </w:r>
      <w:r w:rsidRPr="002721E0">
        <w:rPr>
          <w:rFonts w:ascii="Arial" w:hAnsi="Arial" w:cs="Arial"/>
          <w:sz w:val="20"/>
        </w:rPr>
        <w:t xml:space="preserve">when more than one vessel is constructed to the same plans, nor is a stability </w:t>
      </w:r>
      <w:r w:rsidRPr="002721E0" w:rsidR="00BB4A07">
        <w:rPr>
          <w:rFonts w:ascii="Arial" w:hAnsi="Arial" w:cs="Arial"/>
          <w:sz w:val="20"/>
        </w:rPr>
        <w:t xml:space="preserve">generally </w:t>
      </w:r>
      <w:r w:rsidRPr="002721E0">
        <w:rPr>
          <w:rFonts w:ascii="Arial" w:hAnsi="Arial" w:cs="Arial"/>
          <w:sz w:val="20"/>
        </w:rPr>
        <w:t>test required.  In this case, only a certification of sister</w:t>
      </w:r>
      <w:r w:rsidR="0007433E">
        <w:rPr>
          <w:rFonts w:ascii="Arial" w:hAnsi="Arial" w:cs="Arial"/>
          <w:sz w:val="20"/>
        </w:rPr>
        <w:t xml:space="preserve"> </w:t>
      </w:r>
      <w:r w:rsidRPr="002721E0">
        <w:rPr>
          <w:rFonts w:ascii="Arial" w:hAnsi="Arial" w:cs="Arial"/>
          <w:sz w:val="20"/>
        </w:rPr>
        <w:t>ship status by an authorized officer of the shipbuilding company is needed.</w:t>
      </w:r>
      <w:r w:rsidRPr="002721E0" w:rsidR="00BB4A07">
        <w:rPr>
          <w:rFonts w:ascii="Arial" w:hAnsi="Arial" w:cs="Arial"/>
          <w:sz w:val="20"/>
        </w:rPr>
        <w:t xml:space="preserve">  Operators may elect to have a </w:t>
      </w:r>
      <w:r w:rsidRPr="002721E0" w:rsidR="00BB4A07">
        <w:rPr>
          <w:rFonts w:ascii="Arial" w:hAnsi="Arial" w:cs="Arial"/>
          <w:sz w:val="20"/>
        </w:rPr>
        <w:lastRenderedPageBreak/>
        <w:t>classification society, the American Bureau of Shipping</w:t>
      </w:r>
      <w:r w:rsidRPr="002721E0" w:rsidR="006D0B53">
        <w:rPr>
          <w:rFonts w:ascii="Arial" w:hAnsi="Arial" w:cs="Arial"/>
          <w:sz w:val="20"/>
        </w:rPr>
        <w:t xml:space="preserve"> (ABS)</w:t>
      </w:r>
      <w:r w:rsidRPr="002721E0" w:rsidR="00BB4A07">
        <w:rPr>
          <w:rFonts w:ascii="Arial" w:hAnsi="Arial" w:cs="Arial"/>
          <w:sz w:val="20"/>
        </w:rPr>
        <w:t>, review their plans on the Coast Guard’s behalf.</w:t>
      </w:r>
    </w:p>
    <w:p w:rsidRPr="002721E0" w:rsidR="00010973" w:rsidP="002721E0" w:rsidRDefault="00010973">
      <w:pPr>
        <w:pStyle w:val="p4"/>
        <w:spacing w:line="240" w:lineRule="auto"/>
        <w:ind w:left="0"/>
        <w:rPr>
          <w:rFonts w:ascii="Arial" w:hAnsi="Arial" w:cs="Arial"/>
          <w:sz w:val="20"/>
        </w:rPr>
      </w:pPr>
    </w:p>
    <w:p w:rsidRPr="002721E0" w:rsidR="00010973" w:rsidRDefault="00010973">
      <w:pPr>
        <w:pStyle w:val="p4"/>
        <w:tabs>
          <w:tab w:val="left" w:pos="580"/>
        </w:tabs>
        <w:spacing w:line="240" w:lineRule="auto"/>
        <w:ind w:left="0"/>
        <w:rPr>
          <w:rFonts w:ascii="Arial" w:hAnsi="Arial" w:cs="Arial"/>
          <w:sz w:val="20"/>
        </w:rPr>
      </w:pPr>
      <w:r w:rsidRPr="002721E0">
        <w:rPr>
          <w:rFonts w:ascii="Arial" w:hAnsi="Arial" w:cs="Arial"/>
          <w:sz w:val="20"/>
          <w:u w:val="single"/>
        </w:rPr>
        <w:t>Requirements for the stability information to be available to vessel operating personnel and for the logging of stability verification</w:t>
      </w:r>
      <w:r w:rsidRPr="002721E0">
        <w:rPr>
          <w:rFonts w:ascii="Arial" w:hAnsi="Arial" w:cs="Arial"/>
          <w:sz w:val="20"/>
        </w:rPr>
        <w:t>:  These requi</w:t>
      </w:r>
      <w:r w:rsidRPr="002721E0" w:rsidR="00BB4A07">
        <w:rPr>
          <w:rFonts w:ascii="Arial" w:hAnsi="Arial" w:cs="Arial"/>
          <w:sz w:val="20"/>
        </w:rPr>
        <w:t>rements are necessary to help en</w:t>
      </w:r>
      <w:r w:rsidRPr="002721E0">
        <w:rPr>
          <w:rFonts w:ascii="Arial" w:hAnsi="Arial" w:cs="Arial"/>
          <w:sz w:val="20"/>
        </w:rPr>
        <w:t xml:space="preserve">sure the safe operation of each vessel.  There are specific requirements for the content of the stability booklet and operating manuals; however, the format will vary with vessel type.  Many vessel operators provide manuals to their vessels which meet or exceed any requirements of the Coast Guard.  Most, though not all of the information, is reviewed by the Coast Guard.  The required operating information is required to be on board the vessel as long as the vessel remains subject to </w:t>
      </w:r>
      <w:r w:rsidRPr="002721E0" w:rsidR="00BB4A07">
        <w:rPr>
          <w:rFonts w:ascii="Arial" w:hAnsi="Arial" w:cs="Arial"/>
          <w:sz w:val="20"/>
        </w:rPr>
        <w:t>inspection</w:t>
      </w:r>
      <w:r w:rsidRPr="002721E0">
        <w:rPr>
          <w:rFonts w:ascii="Arial" w:hAnsi="Arial" w:cs="Arial"/>
          <w:sz w:val="20"/>
        </w:rPr>
        <w:t>.  Recordkeeping requirements will vary for each vessel type and operation and are required by the Coast Guard in order to determine if a vessel meets the appropriate stability and subdivision requirements.</w:t>
      </w:r>
    </w:p>
    <w:p w:rsidRPr="002721E0" w:rsidR="00010973" w:rsidP="002721E0" w:rsidRDefault="00010973">
      <w:pPr>
        <w:pStyle w:val="p9"/>
        <w:tabs>
          <w:tab w:val="clear" w:pos="0"/>
          <w:tab w:val="clear" w:pos="1200"/>
        </w:tabs>
        <w:spacing w:line="240" w:lineRule="auto"/>
        <w:ind w:firstLine="0"/>
        <w:rPr>
          <w:rFonts w:ascii="Arial" w:hAnsi="Arial" w:cs="Arial"/>
          <w:sz w:val="20"/>
        </w:rPr>
      </w:pPr>
    </w:p>
    <w:p w:rsidRPr="002721E0" w:rsidR="00010973" w:rsidRDefault="00010973">
      <w:pPr>
        <w:rPr>
          <w:rFonts w:ascii="Arial" w:hAnsi="Arial" w:cs="Arial"/>
          <w:sz w:val="20"/>
        </w:rPr>
      </w:pPr>
      <w:r w:rsidRPr="002721E0">
        <w:rPr>
          <w:rFonts w:ascii="Arial" w:hAnsi="Arial" w:cs="Arial"/>
          <w:bCs/>
          <w:sz w:val="20"/>
        </w:rPr>
        <w:t xml:space="preserve">3)  </w:t>
      </w:r>
      <w:r w:rsidRPr="002721E0">
        <w:rPr>
          <w:rFonts w:ascii="Arial" w:hAnsi="Arial" w:cs="Arial"/>
          <w:bCs/>
          <w:sz w:val="20"/>
          <w:u w:val="single"/>
        </w:rPr>
        <w:t>Consideration of the use of improved information technology</w:t>
      </w:r>
      <w:r w:rsidRPr="002721E0">
        <w:rPr>
          <w:rFonts w:ascii="Arial" w:hAnsi="Arial" w:cs="Arial"/>
          <w:sz w:val="20"/>
        </w:rPr>
        <w:t>.</w:t>
      </w:r>
      <w:r w:rsidR="00F70205">
        <w:rPr>
          <w:rFonts w:ascii="Arial" w:hAnsi="Arial" w:cs="Arial"/>
          <w:sz w:val="20"/>
        </w:rPr>
        <w:t xml:space="preserve">  </w:t>
      </w:r>
    </w:p>
    <w:p w:rsidRPr="002721E0" w:rsidR="00010973" w:rsidRDefault="00010973">
      <w:pPr>
        <w:rPr>
          <w:rFonts w:ascii="Arial" w:hAnsi="Arial" w:cs="Arial"/>
          <w:sz w:val="20"/>
        </w:rPr>
      </w:pPr>
    </w:p>
    <w:p w:rsidRPr="00D25E89" w:rsidR="00010973" w:rsidRDefault="009639C8">
      <w:pPr>
        <w:rPr>
          <w:rFonts w:ascii="Arial" w:hAnsi="Arial" w:cs="Arial"/>
          <w:sz w:val="20"/>
        </w:rPr>
      </w:pPr>
      <w:r w:rsidRPr="00D25E89">
        <w:rPr>
          <w:rFonts w:ascii="Arial" w:hAnsi="Arial" w:cs="Arial"/>
          <w:sz w:val="20"/>
        </w:rPr>
        <w:t>Information may be submitted in writing or electronically via e-mail, to the CG Officer in Charge, Marine Inspection (OCMI) at the local Sector Office, or the CG Marine Safety Center (MSC).  Contact info for CG OCMIs can be found at—</w:t>
      </w:r>
      <w:hyperlink w:history="1" r:id="rId8">
        <w:r w:rsidRPr="00760A79" w:rsidR="00D25E89">
          <w:rPr>
            <w:rStyle w:val="Hyperlink"/>
            <w:rFonts w:ascii="Arial" w:hAnsi="Arial" w:cs="Arial"/>
            <w:sz w:val="20"/>
          </w:rPr>
          <w:t>https://www.uscg.mil/Units/Organization/</w:t>
        </w:r>
      </w:hyperlink>
      <w:r w:rsidRPr="00D25E89">
        <w:rPr>
          <w:rFonts w:ascii="Arial" w:hAnsi="Arial" w:cs="Arial"/>
          <w:color w:val="000000"/>
          <w:sz w:val="20"/>
        </w:rPr>
        <w:t xml:space="preserve">.  </w:t>
      </w:r>
      <w:r w:rsidRPr="00D25E89">
        <w:rPr>
          <w:rFonts w:ascii="Arial" w:hAnsi="Arial" w:cs="Arial"/>
          <w:sz w:val="20"/>
        </w:rPr>
        <w:t>For information on submitting information to the CG MSC, go to</w:t>
      </w:r>
      <w:r w:rsidRPr="00D25E89">
        <w:rPr>
          <w:rFonts w:ascii="Arial" w:hAnsi="Arial" w:cs="Arial"/>
          <w:color w:val="000000"/>
          <w:sz w:val="20"/>
        </w:rPr>
        <w:t xml:space="preserve">— </w:t>
      </w:r>
      <w:hyperlink w:history="1" r:id="rId9">
        <w:r w:rsidRPr="00760A79" w:rsidR="00D25E89">
          <w:rPr>
            <w:rStyle w:val="Hyperlink"/>
            <w:rFonts w:ascii="Arial" w:hAnsi="Arial" w:cs="Arial"/>
            <w:sz w:val="20"/>
          </w:rPr>
          <w:t>https://www.dco.uscg.mil/msc</w:t>
        </w:r>
      </w:hyperlink>
      <w:r w:rsidRPr="00760A79" w:rsidR="00D25E89">
        <w:rPr>
          <w:rFonts w:ascii="Arial" w:hAnsi="Arial" w:cs="Arial"/>
          <w:sz w:val="20"/>
        </w:rPr>
        <w:t xml:space="preserve"> &gt; E-Submittals</w:t>
      </w:r>
      <w:r w:rsidRPr="00D25E89">
        <w:rPr>
          <w:rFonts w:ascii="Arial" w:hAnsi="Arial" w:cs="Arial"/>
          <w:color w:val="000000"/>
          <w:sz w:val="20"/>
        </w:rPr>
        <w:t xml:space="preserve">.  </w:t>
      </w:r>
      <w:r w:rsidRPr="00D25E89" w:rsidR="00010973">
        <w:rPr>
          <w:rFonts w:ascii="Arial" w:hAnsi="Arial" w:cs="Arial"/>
          <w:sz w:val="20"/>
        </w:rPr>
        <w:t xml:space="preserve">We estimate that 100% of the reporting requirements can be done electronically.  </w:t>
      </w:r>
      <w:r w:rsidRPr="00D25E89" w:rsidR="009A6FE9">
        <w:rPr>
          <w:rFonts w:ascii="Arial" w:hAnsi="Arial" w:cs="Arial"/>
          <w:sz w:val="20"/>
        </w:rPr>
        <w:t xml:space="preserve">At this time, we estimate that </w:t>
      </w:r>
      <w:r w:rsidRPr="00D25E89" w:rsidR="00F70205">
        <w:rPr>
          <w:rFonts w:ascii="Arial" w:hAnsi="Arial" w:cs="Arial"/>
          <w:sz w:val="20"/>
        </w:rPr>
        <w:t>95</w:t>
      </w:r>
      <w:r w:rsidRPr="00D25E89" w:rsidR="00010973">
        <w:rPr>
          <w:rFonts w:ascii="Arial" w:hAnsi="Arial" w:cs="Arial"/>
          <w:sz w:val="20"/>
        </w:rPr>
        <w:t xml:space="preserve">% of responses </w:t>
      </w:r>
      <w:r w:rsidRPr="00D25E89" w:rsidR="009A6FE9">
        <w:rPr>
          <w:rFonts w:ascii="Arial" w:hAnsi="Arial" w:cs="Arial"/>
          <w:sz w:val="20"/>
        </w:rPr>
        <w:t xml:space="preserve">are </w:t>
      </w:r>
      <w:r w:rsidRPr="00D25E89" w:rsidR="00010973">
        <w:rPr>
          <w:rFonts w:ascii="Arial" w:hAnsi="Arial" w:cs="Arial"/>
          <w:sz w:val="20"/>
        </w:rPr>
        <w:t>collected electronically.</w:t>
      </w:r>
      <w:r w:rsidRPr="00D25E89" w:rsidR="00B60645">
        <w:rPr>
          <w:rFonts w:ascii="Arial" w:hAnsi="Arial" w:cs="Arial"/>
          <w:sz w:val="20"/>
        </w:rPr>
        <w:t xml:space="preserve">  </w:t>
      </w:r>
    </w:p>
    <w:p w:rsidRPr="002721E0" w:rsidR="00B60645" w:rsidRDefault="00B60645">
      <w:pPr>
        <w:rPr>
          <w:rFonts w:ascii="Arial" w:hAnsi="Arial" w:cs="Arial"/>
          <w:sz w:val="20"/>
        </w:rPr>
      </w:pPr>
    </w:p>
    <w:p w:rsidRPr="002721E0" w:rsidR="00010973" w:rsidRDefault="00010973">
      <w:pPr>
        <w:rPr>
          <w:rFonts w:ascii="Arial" w:hAnsi="Arial" w:cs="Arial"/>
          <w:bCs/>
          <w:sz w:val="20"/>
        </w:rPr>
      </w:pPr>
      <w:r w:rsidRPr="002721E0">
        <w:rPr>
          <w:rFonts w:ascii="Arial" w:hAnsi="Arial" w:cs="Arial"/>
          <w:bCs/>
          <w:sz w:val="20"/>
        </w:rPr>
        <w:t xml:space="preserve">4)  </w:t>
      </w:r>
      <w:r w:rsidRPr="002721E0">
        <w:rPr>
          <w:rFonts w:ascii="Arial" w:hAnsi="Arial" w:cs="Arial"/>
          <w:bCs/>
          <w:sz w:val="20"/>
          <w:u w:val="single"/>
        </w:rPr>
        <w:t>Efforts to identify duplication</w:t>
      </w:r>
      <w:r w:rsidRPr="002721E0">
        <w:rPr>
          <w:rFonts w:ascii="Arial" w:hAnsi="Arial" w:cs="Arial"/>
          <w:bCs/>
          <w:sz w:val="20"/>
        </w:rPr>
        <w:t>.</w:t>
      </w:r>
      <w:r w:rsidR="00F70205">
        <w:rPr>
          <w:rFonts w:ascii="Arial" w:hAnsi="Arial" w:cs="Arial"/>
          <w:bCs/>
          <w:sz w:val="20"/>
        </w:rPr>
        <w:t xml:space="preserve">  </w:t>
      </w:r>
    </w:p>
    <w:p w:rsidRPr="002721E0" w:rsidR="00010973" w:rsidRDefault="00010973">
      <w:pPr>
        <w:rPr>
          <w:rFonts w:ascii="Arial" w:hAnsi="Arial" w:cs="Arial"/>
          <w:b/>
          <w:sz w:val="20"/>
        </w:rPr>
      </w:pPr>
    </w:p>
    <w:p w:rsidRPr="002721E0" w:rsidR="00010973" w:rsidRDefault="00010973">
      <w:pPr>
        <w:rPr>
          <w:rFonts w:ascii="Arial" w:hAnsi="Arial" w:cs="Arial"/>
          <w:sz w:val="20"/>
        </w:rPr>
      </w:pPr>
      <w:r w:rsidRPr="002721E0">
        <w:rPr>
          <w:rFonts w:ascii="Arial" w:hAnsi="Arial" w:cs="Arial"/>
          <w:sz w:val="20"/>
        </w:rPr>
        <w:t xml:space="preserve">The Coast Guard monitors State and local regulatory activity in this field.  To date no equivalent </w:t>
      </w:r>
      <w:r w:rsidRPr="002721E0" w:rsidR="00C56AA4">
        <w:rPr>
          <w:rFonts w:ascii="Arial" w:hAnsi="Arial" w:cs="Arial"/>
          <w:sz w:val="20"/>
        </w:rPr>
        <w:t>S</w:t>
      </w:r>
      <w:r w:rsidRPr="002721E0">
        <w:rPr>
          <w:rFonts w:ascii="Arial" w:hAnsi="Arial" w:cs="Arial"/>
          <w:sz w:val="20"/>
        </w:rPr>
        <w:t>tate and local programs have been identified that require equivalent information, and no other federal agencies have similar or equivalent regulatory requirements.</w:t>
      </w:r>
    </w:p>
    <w:p w:rsidRPr="002721E0" w:rsidR="00010973" w:rsidRDefault="00010973">
      <w:pPr>
        <w:rPr>
          <w:rFonts w:ascii="Arial" w:hAnsi="Arial" w:cs="Arial"/>
          <w:sz w:val="20"/>
        </w:rPr>
      </w:pPr>
    </w:p>
    <w:p w:rsidRPr="002721E0" w:rsidR="00010973" w:rsidRDefault="00010973">
      <w:pPr>
        <w:rPr>
          <w:rFonts w:ascii="Arial" w:hAnsi="Arial" w:cs="Arial"/>
          <w:bCs/>
          <w:sz w:val="20"/>
        </w:rPr>
      </w:pPr>
      <w:r w:rsidRPr="002721E0">
        <w:rPr>
          <w:rFonts w:ascii="Arial" w:hAnsi="Arial" w:cs="Arial"/>
          <w:bCs/>
          <w:sz w:val="20"/>
        </w:rPr>
        <w:t xml:space="preserve">5)  </w:t>
      </w:r>
      <w:r w:rsidRPr="002721E0">
        <w:rPr>
          <w:rFonts w:ascii="Arial" w:hAnsi="Arial" w:cs="Arial"/>
          <w:bCs/>
          <w:sz w:val="20"/>
          <w:u w:val="single"/>
        </w:rPr>
        <w:t>Methods to minimize the burden to small business if involved</w:t>
      </w:r>
      <w:r w:rsidRPr="002721E0">
        <w:rPr>
          <w:rFonts w:ascii="Arial" w:hAnsi="Arial" w:cs="Arial"/>
          <w:bCs/>
          <w:sz w:val="20"/>
        </w:rPr>
        <w:t>.</w:t>
      </w:r>
      <w:r w:rsidR="00F70205">
        <w:rPr>
          <w:rFonts w:ascii="Arial" w:hAnsi="Arial" w:cs="Arial"/>
          <w:bCs/>
          <w:sz w:val="20"/>
        </w:rPr>
        <w:t xml:space="preserve">  </w:t>
      </w:r>
    </w:p>
    <w:p w:rsidRPr="002721E0" w:rsidR="00010973" w:rsidRDefault="00010973">
      <w:pPr>
        <w:rPr>
          <w:rFonts w:ascii="Arial" w:hAnsi="Arial" w:cs="Arial"/>
          <w:b/>
          <w:bCs/>
          <w:sz w:val="20"/>
          <w:u w:val="single"/>
        </w:rPr>
      </w:pPr>
    </w:p>
    <w:p w:rsidRPr="002721E0" w:rsidR="00010973" w:rsidRDefault="00010973">
      <w:pPr>
        <w:rPr>
          <w:rFonts w:ascii="Arial" w:hAnsi="Arial" w:cs="Arial"/>
          <w:sz w:val="20"/>
        </w:rPr>
      </w:pPr>
      <w:r w:rsidRPr="002721E0">
        <w:rPr>
          <w:rFonts w:ascii="Arial" w:hAnsi="Arial" w:cs="Arial"/>
          <w:sz w:val="20"/>
        </w:rPr>
        <w:t xml:space="preserve">It is likely that some of the companies in question would be considered small </w:t>
      </w:r>
      <w:r w:rsidRPr="002721E0" w:rsidR="00E80682">
        <w:rPr>
          <w:rFonts w:ascii="Arial" w:hAnsi="Arial" w:cs="Arial"/>
          <w:sz w:val="20"/>
        </w:rPr>
        <w:t>entities;</w:t>
      </w:r>
      <w:r w:rsidRPr="002721E0">
        <w:rPr>
          <w:rFonts w:ascii="Arial" w:hAnsi="Arial" w:cs="Arial"/>
          <w:sz w:val="20"/>
        </w:rPr>
        <w:t xml:space="preserve"> however the overall impact of the requirement is minimal.  Small businesses, such as independent naval architects, vessel owners and small shipyards, are favorably affected by these regulations.  Subchapter S consolidates standards for all types of vessels into one set of regulations.  In addition, these regulations provide clarifications to and interpretations of the previous regulations, as well </w:t>
      </w:r>
      <w:r w:rsidRPr="002721E0">
        <w:rPr>
          <w:rFonts w:ascii="Arial" w:hAnsi="Arial" w:cs="Arial"/>
          <w:sz w:val="20"/>
        </w:rPr>
        <w:lastRenderedPageBreak/>
        <w:t>as policy statements made by the Coast Guard relating to stability standards for specific vessel types, and new stability standards set by SOLAS</w:t>
      </w:r>
      <w:r w:rsidRPr="002721E0" w:rsidR="00C56AA4">
        <w:rPr>
          <w:rStyle w:val="FootnoteReference"/>
          <w:rFonts w:ascii="Arial" w:hAnsi="Arial" w:cs="Arial"/>
          <w:sz w:val="20"/>
        </w:rPr>
        <w:footnoteReference w:id="1"/>
      </w:r>
      <w:r w:rsidRPr="002721E0">
        <w:rPr>
          <w:rFonts w:ascii="Arial" w:hAnsi="Arial" w:cs="Arial"/>
          <w:sz w:val="20"/>
        </w:rPr>
        <w:t>.  This enables smaller firms, such as independent naval architects, vessel owners, and smaller shipyards, to better prepare stability plans because they will have a better knowledge and understanding of the requirements.  Smaller firms will also be better informed of Coast Guard policy and regulation interpretations, in the absence of the large staff available to major organizations.</w:t>
      </w:r>
    </w:p>
    <w:p w:rsidRPr="002721E0" w:rsidR="00010973" w:rsidRDefault="00010973">
      <w:pPr>
        <w:rPr>
          <w:rFonts w:ascii="Arial" w:hAnsi="Arial" w:cs="Arial"/>
          <w:sz w:val="20"/>
        </w:rPr>
      </w:pPr>
    </w:p>
    <w:p w:rsidRPr="002721E0" w:rsidR="00010973" w:rsidRDefault="00010973">
      <w:pPr>
        <w:rPr>
          <w:rFonts w:ascii="Arial" w:hAnsi="Arial" w:cs="Arial"/>
          <w:bCs/>
          <w:sz w:val="20"/>
        </w:rPr>
      </w:pPr>
      <w:r w:rsidRPr="002721E0">
        <w:rPr>
          <w:rFonts w:ascii="Arial" w:hAnsi="Arial" w:cs="Arial"/>
          <w:bCs/>
          <w:sz w:val="20"/>
        </w:rPr>
        <w:t xml:space="preserve">6)  </w:t>
      </w:r>
      <w:r w:rsidRPr="002721E0">
        <w:rPr>
          <w:rFonts w:ascii="Arial" w:hAnsi="Arial" w:cs="Arial"/>
          <w:bCs/>
          <w:sz w:val="20"/>
          <w:u w:val="single"/>
        </w:rPr>
        <w:t>Consequences to the Federal program if collection were conducted less frequently</w:t>
      </w:r>
      <w:r w:rsidRPr="002721E0">
        <w:rPr>
          <w:rFonts w:ascii="Arial" w:hAnsi="Arial" w:cs="Arial"/>
          <w:bCs/>
          <w:sz w:val="20"/>
        </w:rPr>
        <w:t>.</w:t>
      </w:r>
      <w:r w:rsidR="00F70205">
        <w:rPr>
          <w:rFonts w:ascii="Arial" w:hAnsi="Arial" w:cs="Arial"/>
          <w:bCs/>
          <w:sz w:val="20"/>
        </w:rPr>
        <w:t xml:space="preserve">  </w:t>
      </w:r>
    </w:p>
    <w:p w:rsidRPr="002721E0" w:rsidR="00010973" w:rsidRDefault="00010973">
      <w:pPr>
        <w:rPr>
          <w:rFonts w:ascii="Arial" w:hAnsi="Arial" w:cs="Arial"/>
          <w:bCs/>
          <w:sz w:val="20"/>
          <w:u w:val="single"/>
        </w:rPr>
      </w:pPr>
    </w:p>
    <w:p w:rsidRPr="002721E0" w:rsidR="00010973" w:rsidRDefault="00010973">
      <w:pPr>
        <w:rPr>
          <w:rFonts w:ascii="Arial" w:hAnsi="Arial" w:cs="Arial"/>
          <w:sz w:val="20"/>
        </w:rPr>
      </w:pPr>
      <w:r w:rsidRPr="002721E0">
        <w:rPr>
          <w:rFonts w:ascii="Arial" w:hAnsi="Arial" w:cs="Arial"/>
          <w:sz w:val="20"/>
        </w:rPr>
        <w:t>If information was submitted or recorded less frequently, no assurance could be given that vessels are operating within the applicable stability requirements that ensure marine safety.</w:t>
      </w:r>
    </w:p>
    <w:p w:rsidRPr="002721E0" w:rsidR="00010973" w:rsidRDefault="00010973">
      <w:pPr>
        <w:rPr>
          <w:rFonts w:ascii="Arial" w:hAnsi="Arial" w:cs="Arial"/>
          <w:sz w:val="20"/>
        </w:rPr>
      </w:pPr>
    </w:p>
    <w:p w:rsidRPr="00497218" w:rsidR="00010973" w:rsidRDefault="00010973">
      <w:pPr>
        <w:pStyle w:val="BodyText"/>
        <w:ind w:left="360" w:hanging="360"/>
        <w:rPr>
          <w:rFonts w:ascii="Arial" w:hAnsi="Arial" w:cs="Arial"/>
          <w:b w:val="0"/>
          <w:sz w:val="20"/>
          <w:u w:val="none"/>
        </w:rPr>
      </w:pPr>
      <w:r w:rsidRPr="00497218">
        <w:rPr>
          <w:rFonts w:ascii="Arial" w:hAnsi="Arial" w:cs="Arial"/>
          <w:b w:val="0"/>
          <w:sz w:val="20"/>
          <w:u w:val="none"/>
        </w:rPr>
        <w:t xml:space="preserve">7)  </w:t>
      </w:r>
      <w:r w:rsidRPr="00497218" w:rsidR="00497218">
        <w:rPr>
          <w:rFonts w:ascii="Arial" w:hAnsi="Arial" w:cs="Arial"/>
          <w:b w:val="0"/>
          <w:sz w:val="20"/>
        </w:rPr>
        <w:t>Special collection circumstances</w:t>
      </w:r>
      <w:r w:rsidRPr="00497218">
        <w:rPr>
          <w:rFonts w:ascii="Arial" w:hAnsi="Arial" w:cs="Arial"/>
          <w:b w:val="0"/>
          <w:sz w:val="20"/>
          <w:u w:val="none"/>
        </w:rPr>
        <w:t>.</w:t>
      </w:r>
      <w:r w:rsidR="00F70205">
        <w:rPr>
          <w:rFonts w:ascii="Arial" w:hAnsi="Arial" w:cs="Arial"/>
          <w:b w:val="0"/>
          <w:sz w:val="20"/>
          <w:u w:val="none"/>
        </w:rPr>
        <w:t xml:space="preserve">  </w:t>
      </w:r>
    </w:p>
    <w:p w:rsidRPr="00497218" w:rsidR="00010973" w:rsidRDefault="00010973">
      <w:pPr>
        <w:rPr>
          <w:rFonts w:ascii="Arial" w:hAnsi="Arial" w:cs="Arial"/>
          <w:sz w:val="20"/>
        </w:rPr>
      </w:pPr>
    </w:p>
    <w:p w:rsidRPr="002721E0" w:rsidR="00137390" w:rsidP="00137390" w:rsidRDefault="009639C8">
      <w:pPr>
        <w:widowControl/>
        <w:autoSpaceDE w:val="0"/>
        <w:autoSpaceDN w:val="0"/>
        <w:adjustRightInd w:val="0"/>
        <w:rPr>
          <w:rFonts w:ascii="Arial" w:hAnsi="Arial" w:cs="Arial"/>
          <w:sz w:val="20"/>
        </w:rPr>
      </w:pPr>
      <w:r w:rsidRPr="002721E0">
        <w:rPr>
          <w:rFonts w:ascii="Arial" w:hAnsi="Arial" w:cs="Arial"/>
          <w:sz w:val="20"/>
        </w:rPr>
        <w:t>This information collection is conducted in manner consistent with the guidelines in 5 CFR 1320.5(d)(2)</w:t>
      </w:r>
      <w:r w:rsidRPr="002721E0" w:rsidR="00137390">
        <w:rPr>
          <w:rFonts w:ascii="Arial" w:hAnsi="Arial" w:cs="Arial"/>
          <w:sz w:val="20"/>
        </w:rPr>
        <w:t>.</w:t>
      </w:r>
    </w:p>
    <w:p w:rsidRPr="002721E0" w:rsidR="00137390" w:rsidRDefault="00137390">
      <w:pPr>
        <w:pStyle w:val="p11"/>
        <w:tabs>
          <w:tab w:val="left" w:pos="90"/>
        </w:tabs>
        <w:spacing w:line="240" w:lineRule="auto"/>
        <w:ind w:left="0"/>
        <w:rPr>
          <w:rFonts w:ascii="Arial" w:hAnsi="Arial" w:cs="Arial"/>
          <w:sz w:val="20"/>
        </w:rPr>
      </w:pPr>
    </w:p>
    <w:p w:rsidRPr="00497218" w:rsidR="00010973" w:rsidRDefault="00010973">
      <w:pPr>
        <w:pStyle w:val="BodyText"/>
        <w:rPr>
          <w:rFonts w:ascii="Arial" w:hAnsi="Arial" w:cs="Arial"/>
          <w:b w:val="0"/>
          <w:sz w:val="20"/>
          <w:u w:val="none"/>
        </w:rPr>
      </w:pPr>
      <w:r w:rsidRPr="00497218">
        <w:rPr>
          <w:rFonts w:ascii="Arial" w:hAnsi="Arial" w:cs="Arial"/>
          <w:b w:val="0"/>
          <w:sz w:val="20"/>
          <w:u w:val="none"/>
        </w:rPr>
        <w:t xml:space="preserve">8)  </w:t>
      </w:r>
      <w:r w:rsidRPr="00497218">
        <w:rPr>
          <w:rFonts w:ascii="Arial" w:hAnsi="Arial" w:cs="Arial"/>
          <w:b w:val="0"/>
          <w:sz w:val="20"/>
        </w:rPr>
        <w:t>Consultation</w:t>
      </w:r>
      <w:r w:rsidRPr="00497218">
        <w:rPr>
          <w:rFonts w:ascii="Arial" w:hAnsi="Arial" w:cs="Arial"/>
          <w:b w:val="0"/>
          <w:sz w:val="20"/>
          <w:u w:val="none"/>
        </w:rPr>
        <w:t>.</w:t>
      </w:r>
    </w:p>
    <w:p w:rsidR="006F0AAA" w:rsidRDefault="006F0AAA">
      <w:pPr>
        <w:rPr>
          <w:rFonts w:ascii="Arial" w:hAnsi="Arial" w:cs="Arial"/>
          <w:sz w:val="20"/>
        </w:rPr>
      </w:pPr>
    </w:p>
    <w:p w:rsidRPr="002721E0" w:rsidR="00010973" w:rsidRDefault="006F0AAA">
      <w:pPr>
        <w:rPr>
          <w:rFonts w:ascii="Arial" w:hAnsi="Arial" w:cs="Arial"/>
          <w:sz w:val="20"/>
        </w:rPr>
      </w:pPr>
      <w:bookmarkStart w:name="_GoBack" w:id="0"/>
      <w:bookmarkEnd w:id="0"/>
      <w:r w:rsidRPr="006F0AAA">
        <w:rPr>
          <w:rFonts w:ascii="Arial" w:hAnsi="Arial" w:cs="Arial"/>
          <w:sz w:val="20"/>
        </w:rPr>
        <w:t xml:space="preserve">A 60-day Notice was published in the Federal Register to obtain public comment on this collection (See [USCG-2020-0100]; July 24, 2020, 85 FR 44914) and 30-Day Notice (October 5, 2020, 85 FR 62752) were published in the Federal Register to obtain public comment on this collection.  The Coast Guard has not received any comments on this information collection.     </w:t>
      </w:r>
    </w:p>
    <w:p w:rsidRPr="002721E0" w:rsidR="00010973" w:rsidRDefault="00010973">
      <w:pPr>
        <w:rPr>
          <w:rFonts w:ascii="Arial" w:hAnsi="Arial" w:cs="Arial"/>
          <w:sz w:val="20"/>
        </w:rPr>
      </w:pPr>
    </w:p>
    <w:p w:rsidRPr="00497218" w:rsidR="00010973" w:rsidRDefault="00010973">
      <w:pPr>
        <w:pStyle w:val="BodyText"/>
        <w:rPr>
          <w:rFonts w:ascii="Arial" w:hAnsi="Arial" w:cs="Arial"/>
          <w:b w:val="0"/>
          <w:sz w:val="20"/>
          <w:u w:val="none"/>
        </w:rPr>
      </w:pPr>
      <w:r w:rsidRPr="00497218">
        <w:rPr>
          <w:rFonts w:ascii="Arial" w:hAnsi="Arial" w:cs="Arial"/>
          <w:b w:val="0"/>
          <w:sz w:val="20"/>
          <w:u w:val="none"/>
        </w:rPr>
        <w:t xml:space="preserve">9)  </w:t>
      </w:r>
      <w:r w:rsidRPr="00497218" w:rsidR="00497218">
        <w:rPr>
          <w:rFonts w:ascii="Arial" w:hAnsi="Arial" w:cs="Arial"/>
          <w:b w:val="0"/>
          <w:sz w:val="20"/>
        </w:rPr>
        <w:t>Provide any payments or gifts to respondents</w:t>
      </w:r>
      <w:r w:rsidRPr="00497218">
        <w:rPr>
          <w:rFonts w:ascii="Arial" w:hAnsi="Arial" w:cs="Arial"/>
          <w:b w:val="0"/>
          <w:sz w:val="20"/>
          <w:u w:val="none"/>
        </w:rPr>
        <w:t>.</w:t>
      </w:r>
      <w:r w:rsidR="00F70205">
        <w:rPr>
          <w:rFonts w:ascii="Arial" w:hAnsi="Arial" w:cs="Arial"/>
          <w:b w:val="0"/>
          <w:sz w:val="20"/>
          <w:u w:val="none"/>
        </w:rPr>
        <w:t xml:space="preserve">  </w:t>
      </w:r>
    </w:p>
    <w:p w:rsidRPr="002721E0" w:rsidR="00010973" w:rsidRDefault="00010973">
      <w:pPr>
        <w:rPr>
          <w:rFonts w:ascii="Arial" w:hAnsi="Arial" w:cs="Arial"/>
          <w:sz w:val="20"/>
        </w:rPr>
      </w:pPr>
    </w:p>
    <w:p w:rsidRPr="002721E0" w:rsidR="00137390" w:rsidP="00137390" w:rsidRDefault="00404703">
      <w:pPr>
        <w:widowControl/>
        <w:autoSpaceDE w:val="0"/>
        <w:autoSpaceDN w:val="0"/>
        <w:adjustRightInd w:val="0"/>
        <w:rPr>
          <w:rFonts w:ascii="Arial" w:hAnsi="Arial" w:cs="Arial"/>
          <w:sz w:val="20"/>
        </w:rPr>
      </w:pPr>
      <w:r w:rsidRPr="002721E0">
        <w:rPr>
          <w:rFonts w:ascii="Arial" w:hAnsi="Arial" w:cs="Arial"/>
          <w:sz w:val="20"/>
        </w:rPr>
        <w:t>There is no offer of monetary or material value for this information collection</w:t>
      </w:r>
      <w:r w:rsidRPr="002721E0" w:rsidR="00137390">
        <w:rPr>
          <w:rFonts w:ascii="Arial" w:hAnsi="Arial" w:cs="Arial"/>
          <w:sz w:val="20"/>
        </w:rPr>
        <w:t>.</w:t>
      </w:r>
    </w:p>
    <w:p w:rsidRPr="002721E0" w:rsidR="00010973" w:rsidRDefault="00010973">
      <w:pPr>
        <w:rPr>
          <w:rFonts w:ascii="Arial" w:hAnsi="Arial" w:cs="Arial"/>
          <w:sz w:val="20"/>
        </w:rPr>
      </w:pPr>
    </w:p>
    <w:p w:rsidRPr="00497218" w:rsidR="00010973" w:rsidRDefault="00010973">
      <w:pPr>
        <w:pStyle w:val="BodyText"/>
        <w:rPr>
          <w:rFonts w:ascii="Arial" w:hAnsi="Arial" w:cs="Arial"/>
          <w:b w:val="0"/>
          <w:sz w:val="20"/>
          <w:u w:val="none"/>
        </w:rPr>
      </w:pPr>
      <w:r w:rsidRPr="00497218">
        <w:rPr>
          <w:rFonts w:ascii="Arial" w:hAnsi="Arial" w:cs="Arial"/>
          <w:b w:val="0"/>
          <w:sz w:val="20"/>
          <w:u w:val="none"/>
        </w:rPr>
        <w:t xml:space="preserve">10)  </w:t>
      </w:r>
      <w:r w:rsidRPr="00497218">
        <w:rPr>
          <w:rFonts w:ascii="Arial" w:hAnsi="Arial" w:cs="Arial"/>
          <w:b w:val="0"/>
          <w:sz w:val="20"/>
        </w:rPr>
        <w:t>Describe any assurance of confidentiality provided to respondents</w:t>
      </w:r>
      <w:r w:rsidRPr="00497218">
        <w:rPr>
          <w:rFonts w:ascii="Arial" w:hAnsi="Arial" w:cs="Arial"/>
          <w:b w:val="0"/>
          <w:sz w:val="20"/>
          <w:u w:val="none"/>
        </w:rPr>
        <w:t>.</w:t>
      </w:r>
    </w:p>
    <w:p w:rsidRPr="002721E0" w:rsidR="00010973" w:rsidRDefault="00010973">
      <w:pPr>
        <w:rPr>
          <w:rFonts w:ascii="Arial" w:hAnsi="Arial" w:cs="Arial"/>
          <w:sz w:val="20"/>
        </w:rPr>
      </w:pPr>
    </w:p>
    <w:p w:rsidRPr="00760A79" w:rsidR="00F70205" w:rsidP="00F70205" w:rsidRDefault="009639C8">
      <w:pPr>
        <w:pStyle w:val="BodyText"/>
        <w:rPr>
          <w:rFonts w:ascii="Arial" w:hAnsi="Arial" w:cs="Arial"/>
          <w:b w:val="0"/>
          <w:sz w:val="20"/>
          <w:u w:val="none"/>
        </w:rPr>
      </w:pPr>
      <w:r w:rsidRPr="00E07C08">
        <w:rPr>
          <w:rFonts w:ascii="Arial" w:hAnsi="Arial" w:cs="Arial"/>
          <w:b w:val="0"/>
          <w:sz w:val="20"/>
          <w:u w:val="none"/>
        </w:rPr>
        <w:t>There are no assurances of confidentiality provided to the respondents for this information collection</w:t>
      </w:r>
      <w:r w:rsidRPr="00E07C08" w:rsidR="00137390">
        <w:rPr>
          <w:rFonts w:ascii="Arial" w:hAnsi="Arial" w:cs="Arial"/>
          <w:b w:val="0"/>
          <w:sz w:val="20"/>
          <w:u w:val="none"/>
        </w:rPr>
        <w:t>.</w:t>
      </w:r>
      <w:r w:rsidRPr="00E07C08" w:rsidR="00F70205">
        <w:rPr>
          <w:rFonts w:ascii="Arial" w:hAnsi="Arial" w:cs="Arial"/>
          <w:b w:val="0"/>
          <w:sz w:val="20"/>
          <w:u w:val="none"/>
        </w:rPr>
        <w:t xml:space="preserve">  This information collection request is covered by the Marine Information for Safety and Law Enforcement (MISLE) Privacy Impact Assessment (PIA) and System of Records Notice (SORN).  Links to the MISLE PIA and SORN are provided below:</w:t>
      </w:r>
    </w:p>
    <w:p w:rsidRPr="00E07C08" w:rsidR="00F70205" w:rsidP="00760A79" w:rsidRDefault="006F0AAA">
      <w:pPr>
        <w:pStyle w:val="BodyText"/>
        <w:numPr>
          <w:ilvl w:val="0"/>
          <w:numId w:val="15"/>
        </w:numPr>
        <w:rPr>
          <w:rFonts w:ascii="Arial" w:hAnsi="Arial" w:cs="Arial"/>
          <w:b w:val="0"/>
          <w:sz w:val="20"/>
          <w:u w:val="none"/>
        </w:rPr>
      </w:pPr>
      <w:hyperlink w:history="1" r:id="rId10">
        <w:r w:rsidRPr="00760A79" w:rsidR="00F70205">
          <w:rPr>
            <w:rStyle w:val="Hyperlink"/>
            <w:rFonts w:ascii="Arial" w:hAnsi="Arial" w:cs="Arial"/>
            <w:b w:val="0"/>
            <w:sz w:val="20"/>
          </w:rPr>
          <w:t>https://www.dhs.gov/sites/default/files/publications/privacy_pia_uscg_misle.pdf</w:t>
        </w:r>
      </w:hyperlink>
      <w:r w:rsidRPr="00E07C08" w:rsidR="00F70205">
        <w:rPr>
          <w:rFonts w:ascii="Arial" w:hAnsi="Arial" w:cs="Arial"/>
          <w:b w:val="0"/>
          <w:sz w:val="20"/>
        </w:rPr>
        <w:t xml:space="preserve">  </w:t>
      </w:r>
    </w:p>
    <w:p w:rsidRPr="00E07C08" w:rsidR="00F70205" w:rsidP="00760A79" w:rsidRDefault="006F0AAA">
      <w:pPr>
        <w:pStyle w:val="BodyText"/>
        <w:numPr>
          <w:ilvl w:val="0"/>
          <w:numId w:val="15"/>
        </w:numPr>
        <w:rPr>
          <w:rFonts w:ascii="Arial" w:hAnsi="Arial" w:cs="Arial"/>
          <w:b w:val="0"/>
          <w:sz w:val="20"/>
          <w:u w:val="none"/>
        </w:rPr>
      </w:pPr>
      <w:hyperlink w:history="1" r:id="rId11">
        <w:r w:rsidRPr="00E07C08" w:rsidR="00FB483C">
          <w:rPr>
            <w:rStyle w:val="Hyperlink"/>
            <w:rFonts w:ascii="Arial" w:hAnsi="Arial" w:cs="Arial"/>
            <w:b w:val="0"/>
            <w:sz w:val="20"/>
          </w:rPr>
          <w:t>https://www.gpo.gov/</w:t>
        </w:r>
        <w:r w:rsidRPr="00760A79" w:rsidR="00FB483C">
          <w:rPr>
            <w:rStyle w:val="Hyperlink"/>
            <w:rFonts w:ascii="Arial" w:hAnsi="Arial" w:cs="Arial"/>
            <w:b w:val="0"/>
            <w:sz w:val="20"/>
          </w:rPr>
          <w:t>fdsys/pkg/FR-2009-06-25/html/E9-14906.htm</w:t>
        </w:r>
      </w:hyperlink>
      <w:r w:rsidRPr="00E07C08" w:rsidR="00F70205">
        <w:rPr>
          <w:rFonts w:ascii="Arial" w:hAnsi="Arial" w:cs="Arial"/>
          <w:b w:val="0"/>
          <w:sz w:val="20"/>
        </w:rPr>
        <w:t xml:space="preserve">   </w:t>
      </w:r>
    </w:p>
    <w:p w:rsidRPr="00760A79" w:rsidR="00137390" w:rsidRDefault="00137390">
      <w:pPr>
        <w:pStyle w:val="p11"/>
        <w:tabs>
          <w:tab w:val="left" w:pos="90"/>
        </w:tabs>
        <w:spacing w:line="240" w:lineRule="auto"/>
        <w:ind w:left="0"/>
        <w:rPr>
          <w:rFonts w:ascii="Arial" w:hAnsi="Arial" w:cs="Arial"/>
          <w:sz w:val="20"/>
        </w:rPr>
      </w:pPr>
    </w:p>
    <w:p w:rsidRPr="00497218" w:rsidR="00010973" w:rsidRDefault="00010973">
      <w:pPr>
        <w:pStyle w:val="BodyText"/>
        <w:rPr>
          <w:rFonts w:ascii="Arial" w:hAnsi="Arial" w:cs="Arial"/>
          <w:b w:val="0"/>
          <w:sz w:val="20"/>
          <w:u w:val="none"/>
        </w:rPr>
      </w:pPr>
      <w:r w:rsidRPr="00497218">
        <w:rPr>
          <w:rFonts w:ascii="Arial" w:hAnsi="Arial" w:cs="Arial"/>
          <w:b w:val="0"/>
          <w:sz w:val="20"/>
          <w:u w:val="none"/>
        </w:rPr>
        <w:t xml:space="preserve">11)  </w:t>
      </w:r>
      <w:r w:rsidRPr="00497218">
        <w:rPr>
          <w:rFonts w:ascii="Arial" w:hAnsi="Arial" w:cs="Arial"/>
          <w:b w:val="0"/>
          <w:sz w:val="20"/>
        </w:rPr>
        <w:t>Additional justification for any questions of a sensitive nature</w:t>
      </w:r>
      <w:r w:rsidRPr="00497218">
        <w:rPr>
          <w:rFonts w:ascii="Arial" w:hAnsi="Arial" w:cs="Arial"/>
          <w:b w:val="0"/>
          <w:sz w:val="20"/>
          <w:u w:val="none"/>
        </w:rPr>
        <w:t>.</w:t>
      </w:r>
      <w:r w:rsidR="00F70205">
        <w:rPr>
          <w:rFonts w:ascii="Arial" w:hAnsi="Arial" w:cs="Arial"/>
          <w:b w:val="0"/>
          <w:sz w:val="20"/>
          <w:u w:val="none"/>
        </w:rPr>
        <w:t xml:space="preserve">  </w:t>
      </w:r>
    </w:p>
    <w:p w:rsidRPr="002721E0" w:rsidR="00010973" w:rsidRDefault="00010973">
      <w:pPr>
        <w:rPr>
          <w:rFonts w:ascii="Arial" w:hAnsi="Arial" w:cs="Arial"/>
          <w:sz w:val="20"/>
        </w:rPr>
      </w:pPr>
    </w:p>
    <w:p w:rsidRPr="002721E0" w:rsidR="00137390" w:rsidP="00137390" w:rsidRDefault="009639C8">
      <w:pPr>
        <w:widowControl/>
        <w:autoSpaceDE w:val="0"/>
        <w:autoSpaceDN w:val="0"/>
        <w:adjustRightInd w:val="0"/>
        <w:rPr>
          <w:rFonts w:ascii="Arial" w:hAnsi="Arial" w:cs="Arial"/>
          <w:sz w:val="20"/>
        </w:rPr>
      </w:pPr>
      <w:r w:rsidRPr="002721E0">
        <w:rPr>
          <w:rFonts w:ascii="Arial" w:hAnsi="Arial" w:cs="Arial"/>
          <w:sz w:val="20"/>
        </w:rPr>
        <w:t>There are no questions of sensitive language</w:t>
      </w:r>
      <w:r w:rsidRPr="002721E0" w:rsidR="00137390">
        <w:rPr>
          <w:rFonts w:ascii="Arial" w:hAnsi="Arial" w:cs="Arial"/>
          <w:sz w:val="20"/>
        </w:rPr>
        <w:t>.</w:t>
      </w:r>
    </w:p>
    <w:p w:rsidRPr="002721E0" w:rsidR="0080769C" w:rsidRDefault="0080769C">
      <w:pPr>
        <w:rPr>
          <w:rFonts w:ascii="Arial" w:hAnsi="Arial" w:cs="Arial"/>
          <w:sz w:val="20"/>
        </w:rPr>
      </w:pPr>
    </w:p>
    <w:p w:rsidRPr="00497218" w:rsidR="00497218" w:rsidP="00497218" w:rsidRDefault="00010973">
      <w:pPr>
        <w:rPr>
          <w:rFonts w:ascii="Arial" w:hAnsi="Arial" w:cs="Arial"/>
          <w:sz w:val="20"/>
        </w:rPr>
      </w:pPr>
      <w:r w:rsidRPr="00497218">
        <w:rPr>
          <w:rFonts w:ascii="Arial" w:hAnsi="Arial" w:cs="Arial"/>
          <w:sz w:val="20"/>
        </w:rPr>
        <w:t xml:space="preserve">12)  </w:t>
      </w:r>
      <w:r w:rsidRPr="00497218" w:rsidR="00497218">
        <w:rPr>
          <w:rFonts w:ascii="Arial" w:hAnsi="Arial" w:cs="Arial"/>
          <w:sz w:val="20"/>
          <w:u w:val="single"/>
        </w:rPr>
        <w:t>Estimate of annual hour and cost burdens to respondents</w:t>
      </w:r>
      <w:r w:rsidRPr="00497218" w:rsidR="00497218">
        <w:rPr>
          <w:rFonts w:ascii="Arial" w:hAnsi="Arial" w:cs="Arial"/>
          <w:sz w:val="20"/>
        </w:rPr>
        <w:t xml:space="preserve">. </w:t>
      </w:r>
      <w:r w:rsidR="00F70205">
        <w:rPr>
          <w:rFonts w:ascii="Arial" w:hAnsi="Arial" w:cs="Arial"/>
          <w:sz w:val="20"/>
        </w:rPr>
        <w:t xml:space="preserve"> </w:t>
      </w:r>
    </w:p>
    <w:p w:rsidRPr="00497218" w:rsidR="00497218" w:rsidP="00497218" w:rsidRDefault="00497218">
      <w:pPr>
        <w:rPr>
          <w:rFonts w:ascii="Arial" w:hAnsi="Arial" w:cs="Arial"/>
          <w:sz w:val="20"/>
        </w:rPr>
      </w:pPr>
    </w:p>
    <w:p w:rsidRPr="00760A79" w:rsidR="00497218" w:rsidP="00497218" w:rsidRDefault="00497218">
      <w:pPr>
        <w:pStyle w:val="p10"/>
        <w:numPr>
          <w:ilvl w:val="0"/>
          <w:numId w:val="13"/>
        </w:numPr>
        <w:rPr>
          <w:rFonts w:ascii="Arial" w:hAnsi="Arial" w:cs="Arial"/>
          <w:sz w:val="20"/>
        </w:rPr>
      </w:pPr>
      <w:r w:rsidRPr="00E07C08">
        <w:rPr>
          <w:rFonts w:ascii="Arial" w:hAnsi="Arial" w:cs="Arial"/>
          <w:sz w:val="20"/>
        </w:rPr>
        <w:t xml:space="preserve">The estimated number of annual respondents is </w:t>
      </w:r>
      <w:r w:rsidRPr="00E07C08" w:rsidR="00FB483C">
        <w:rPr>
          <w:rFonts w:ascii="Arial" w:hAnsi="Arial" w:cs="Arial"/>
          <w:sz w:val="20"/>
        </w:rPr>
        <w:t>192</w:t>
      </w:r>
      <w:r w:rsidRPr="00760A79">
        <w:rPr>
          <w:rFonts w:ascii="Arial" w:hAnsi="Arial" w:cs="Arial"/>
          <w:sz w:val="20"/>
        </w:rPr>
        <w:t xml:space="preserve">.  </w:t>
      </w:r>
    </w:p>
    <w:p w:rsidRPr="00760A79" w:rsidR="00497218" w:rsidP="00497218" w:rsidRDefault="00497218">
      <w:pPr>
        <w:pStyle w:val="p10"/>
        <w:numPr>
          <w:ilvl w:val="0"/>
          <w:numId w:val="13"/>
        </w:numPr>
        <w:rPr>
          <w:rFonts w:ascii="Arial" w:hAnsi="Arial" w:cs="Arial"/>
          <w:sz w:val="20"/>
        </w:rPr>
      </w:pPr>
      <w:r w:rsidRPr="00760A79">
        <w:rPr>
          <w:rFonts w:ascii="Arial" w:hAnsi="Arial" w:cs="Arial"/>
          <w:sz w:val="20"/>
        </w:rPr>
        <w:t xml:space="preserve">The estimated number of annual responses is </w:t>
      </w:r>
      <w:r w:rsidRPr="00760A79" w:rsidR="00FB483C">
        <w:rPr>
          <w:rFonts w:ascii="Arial" w:hAnsi="Arial" w:cs="Arial"/>
          <w:sz w:val="20"/>
        </w:rPr>
        <w:t>1,998</w:t>
      </w:r>
      <w:r w:rsidRPr="00760A79">
        <w:rPr>
          <w:rFonts w:ascii="Arial" w:hAnsi="Arial" w:cs="Arial"/>
          <w:sz w:val="20"/>
        </w:rPr>
        <w:t xml:space="preserve">.  </w:t>
      </w:r>
    </w:p>
    <w:p w:rsidRPr="00760A79" w:rsidR="00497218" w:rsidP="00497218" w:rsidRDefault="00497218">
      <w:pPr>
        <w:pStyle w:val="p10"/>
        <w:numPr>
          <w:ilvl w:val="0"/>
          <w:numId w:val="13"/>
        </w:numPr>
        <w:rPr>
          <w:rFonts w:ascii="Arial" w:hAnsi="Arial" w:cs="Arial"/>
          <w:sz w:val="20"/>
        </w:rPr>
      </w:pPr>
      <w:r w:rsidRPr="00760A79">
        <w:rPr>
          <w:rFonts w:ascii="Arial" w:hAnsi="Arial" w:cs="Arial"/>
          <w:sz w:val="20"/>
        </w:rPr>
        <w:t xml:space="preserve">The estimated hour burden is </w:t>
      </w:r>
      <w:r w:rsidRPr="00760A79" w:rsidR="00F70205">
        <w:rPr>
          <w:rFonts w:ascii="Arial" w:hAnsi="Arial" w:cs="Arial"/>
          <w:sz w:val="20"/>
        </w:rPr>
        <w:t>7</w:t>
      </w:r>
      <w:r w:rsidRPr="00760A79" w:rsidR="00FB483C">
        <w:rPr>
          <w:rFonts w:ascii="Arial" w:hAnsi="Arial" w:cs="Arial"/>
          <w:sz w:val="20"/>
        </w:rPr>
        <w:t xml:space="preserve">,193 </w:t>
      </w:r>
      <w:r w:rsidRPr="00760A79">
        <w:rPr>
          <w:rFonts w:ascii="Arial" w:hAnsi="Arial" w:cs="Arial"/>
          <w:sz w:val="20"/>
        </w:rPr>
        <w:t xml:space="preserve">hours.  </w:t>
      </w:r>
    </w:p>
    <w:p w:rsidRPr="00760A79" w:rsidR="00497218" w:rsidP="00497218" w:rsidRDefault="00497218">
      <w:pPr>
        <w:pStyle w:val="p10"/>
        <w:numPr>
          <w:ilvl w:val="0"/>
          <w:numId w:val="13"/>
        </w:numPr>
        <w:rPr>
          <w:rFonts w:ascii="Arial" w:hAnsi="Arial" w:cs="Arial"/>
          <w:sz w:val="20"/>
        </w:rPr>
      </w:pPr>
      <w:r w:rsidRPr="00760A79">
        <w:rPr>
          <w:rFonts w:ascii="Arial" w:hAnsi="Arial" w:cs="Arial"/>
          <w:sz w:val="20"/>
        </w:rPr>
        <w:t>The estimated cost burden is $</w:t>
      </w:r>
      <w:r w:rsidRPr="00760A79" w:rsidR="004F715C">
        <w:rPr>
          <w:rFonts w:ascii="Arial" w:hAnsi="Arial" w:cs="Arial"/>
          <w:sz w:val="20"/>
        </w:rPr>
        <w:t>1,</w:t>
      </w:r>
      <w:r w:rsidRPr="00760A79" w:rsidR="00F70205">
        <w:rPr>
          <w:rFonts w:ascii="Arial" w:hAnsi="Arial" w:cs="Arial"/>
          <w:sz w:val="20"/>
        </w:rPr>
        <w:t>2</w:t>
      </w:r>
      <w:r w:rsidRPr="00760A79" w:rsidR="00FB483C">
        <w:rPr>
          <w:rFonts w:ascii="Arial" w:hAnsi="Arial" w:cs="Arial"/>
          <w:sz w:val="20"/>
        </w:rPr>
        <w:t>94,740</w:t>
      </w:r>
      <w:r w:rsidRPr="00E07C08">
        <w:rPr>
          <w:rFonts w:ascii="Arial" w:hAnsi="Arial" w:cs="Arial"/>
          <w:sz w:val="20"/>
        </w:rPr>
        <w:t xml:space="preserve">.  </w:t>
      </w:r>
    </w:p>
    <w:p w:rsidRPr="003C29E1" w:rsidR="00497218" w:rsidP="00497218" w:rsidRDefault="00497218">
      <w:pPr>
        <w:pStyle w:val="BodyText"/>
        <w:rPr>
          <w:rFonts w:ascii="Arial" w:hAnsi="Arial" w:cs="Arial"/>
          <w:b w:val="0"/>
          <w:sz w:val="20"/>
        </w:rPr>
      </w:pPr>
    </w:p>
    <w:p w:rsidRPr="00F70205" w:rsidR="00F70205" w:rsidP="00F70205" w:rsidRDefault="00F70205">
      <w:pPr>
        <w:pStyle w:val="BodyText"/>
        <w:rPr>
          <w:rFonts w:ascii="Arial" w:hAnsi="Arial" w:cs="Arial"/>
          <w:b w:val="0"/>
          <w:sz w:val="20"/>
          <w:u w:val="none"/>
        </w:rPr>
      </w:pPr>
      <w:r w:rsidRPr="00F70205">
        <w:rPr>
          <w:rFonts w:ascii="Arial" w:hAnsi="Arial" w:cs="Arial"/>
          <w:b w:val="0"/>
          <w:sz w:val="20"/>
          <w:u w:val="none"/>
        </w:rPr>
        <w:t xml:space="preserve">The burden to respondents is provided in Appendix A.  We estimate that it takes a </w:t>
      </w:r>
      <w:r>
        <w:rPr>
          <w:rFonts w:ascii="Arial" w:hAnsi="Arial" w:cs="Arial"/>
          <w:b w:val="0"/>
          <w:sz w:val="20"/>
          <w:u w:val="none"/>
        </w:rPr>
        <w:t>senior technical expert</w:t>
      </w:r>
      <w:r w:rsidRPr="00F70205">
        <w:rPr>
          <w:rFonts w:ascii="Arial" w:hAnsi="Arial" w:cs="Arial"/>
          <w:b w:val="0"/>
          <w:sz w:val="20"/>
          <w:u w:val="none"/>
        </w:rPr>
        <w:t xml:space="preserve"> about </w:t>
      </w:r>
      <w:r>
        <w:rPr>
          <w:rFonts w:ascii="Arial" w:hAnsi="Arial" w:cs="Arial"/>
          <w:b w:val="0"/>
          <w:sz w:val="20"/>
          <w:u w:val="none"/>
        </w:rPr>
        <w:t xml:space="preserve">3.6 </w:t>
      </w:r>
      <w:r w:rsidRPr="00F70205">
        <w:rPr>
          <w:rFonts w:ascii="Arial" w:hAnsi="Arial" w:cs="Arial"/>
          <w:b w:val="0"/>
          <w:sz w:val="20"/>
          <w:u w:val="none"/>
        </w:rPr>
        <w:t xml:space="preserve">hours to prepare a vessel’s </w:t>
      </w:r>
      <w:r>
        <w:rPr>
          <w:rFonts w:ascii="Arial" w:hAnsi="Arial" w:cs="Arial"/>
          <w:b w:val="0"/>
          <w:sz w:val="20"/>
          <w:u w:val="none"/>
        </w:rPr>
        <w:t>plan submission (3.5 hrs) and for recordkeeping (0.1 hrs)</w:t>
      </w:r>
      <w:r w:rsidRPr="00F70205">
        <w:rPr>
          <w:rFonts w:ascii="Arial" w:hAnsi="Arial" w:cs="Arial"/>
          <w:b w:val="0"/>
          <w:sz w:val="20"/>
          <w:u w:val="none"/>
        </w:rPr>
        <w:t>.</w:t>
      </w:r>
      <w:r w:rsidR="008B5FBF">
        <w:rPr>
          <w:rStyle w:val="FootnoteReference"/>
          <w:rFonts w:ascii="Arial" w:hAnsi="Arial" w:cs="Arial"/>
          <w:b w:val="0"/>
          <w:sz w:val="20"/>
          <w:u w:val="none"/>
        </w:rPr>
        <w:footnoteReference w:id="2"/>
      </w:r>
      <w:r w:rsidRPr="00F70205">
        <w:rPr>
          <w:rFonts w:ascii="Arial" w:hAnsi="Arial" w:cs="Arial"/>
          <w:b w:val="0"/>
          <w:sz w:val="20"/>
          <w:u w:val="none"/>
        </w:rPr>
        <w:t xml:space="preserve">  The position of a </w:t>
      </w:r>
      <w:r>
        <w:rPr>
          <w:rFonts w:ascii="Arial" w:hAnsi="Arial" w:cs="Arial"/>
          <w:b w:val="0"/>
          <w:sz w:val="20"/>
          <w:u w:val="none"/>
        </w:rPr>
        <w:t>senior technical expert</w:t>
      </w:r>
      <w:r w:rsidRPr="00F70205">
        <w:rPr>
          <w:rFonts w:ascii="Arial" w:hAnsi="Arial" w:cs="Arial"/>
          <w:b w:val="0"/>
          <w:sz w:val="20"/>
          <w:u w:val="none"/>
        </w:rPr>
        <w:t xml:space="preserve"> is analogous to a </w:t>
      </w:r>
      <w:r>
        <w:rPr>
          <w:rFonts w:ascii="Arial" w:hAnsi="Arial" w:cs="Arial"/>
          <w:b w:val="0"/>
          <w:sz w:val="20"/>
          <w:u w:val="none"/>
        </w:rPr>
        <w:t>Captain</w:t>
      </w:r>
      <w:r w:rsidRPr="00F70205">
        <w:rPr>
          <w:rFonts w:ascii="Arial" w:hAnsi="Arial" w:cs="Arial"/>
          <w:b w:val="0"/>
          <w:sz w:val="20"/>
          <w:u w:val="none"/>
        </w:rPr>
        <w:t xml:space="preserve"> (</w:t>
      </w:r>
      <w:r>
        <w:rPr>
          <w:rFonts w:ascii="Arial" w:hAnsi="Arial" w:cs="Arial"/>
          <w:b w:val="0"/>
          <w:sz w:val="20"/>
          <w:u w:val="none"/>
        </w:rPr>
        <w:t>CAPT, O-6</w:t>
      </w:r>
      <w:r w:rsidRPr="00F70205">
        <w:rPr>
          <w:rFonts w:ascii="Arial" w:hAnsi="Arial" w:cs="Arial"/>
          <w:b w:val="0"/>
          <w:sz w:val="20"/>
          <w:u w:val="none"/>
        </w:rPr>
        <w:t xml:space="preserve">).  The wage rate used is in accordance with the current edition of COMDTINST 7310.1(series) for “Out-Government” personnel.  </w:t>
      </w:r>
    </w:p>
    <w:p w:rsidRPr="00F70205" w:rsidR="00F70205" w:rsidP="00F70205" w:rsidRDefault="00F70205">
      <w:pPr>
        <w:pStyle w:val="BodyText"/>
        <w:rPr>
          <w:rFonts w:ascii="Arial" w:hAnsi="Arial" w:cs="Arial"/>
          <w:b w:val="0"/>
          <w:sz w:val="20"/>
          <w:u w:val="none"/>
        </w:rPr>
      </w:pPr>
    </w:p>
    <w:p w:rsidRPr="002721E0" w:rsidR="00137390" w:rsidRDefault="00F70205">
      <w:pPr>
        <w:pStyle w:val="p17"/>
        <w:spacing w:line="240" w:lineRule="auto"/>
        <w:ind w:firstLine="0"/>
        <w:rPr>
          <w:rFonts w:ascii="Arial" w:hAnsi="Arial" w:cs="Arial"/>
          <w:sz w:val="20"/>
        </w:rPr>
      </w:pPr>
      <w:r w:rsidRPr="00021F1A">
        <w:rPr>
          <w:rFonts w:ascii="Arial" w:hAnsi="Arial" w:cs="Arial"/>
          <w:sz w:val="20"/>
        </w:rPr>
        <w:t xml:space="preserve">The frequency of response is not on a set schedule, but happens whenever </w:t>
      </w:r>
      <w:r w:rsidR="008B5FBF">
        <w:rPr>
          <w:rFonts w:ascii="Arial" w:hAnsi="Arial" w:cs="Arial"/>
          <w:sz w:val="20"/>
        </w:rPr>
        <w:t xml:space="preserve">an existing vessel’s subdivision/stability is modified or a new vessel is constructed.  </w:t>
      </w:r>
      <w:r w:rsidRPr="002721E0" w:rsidR="00010973">
        <w:rPr>
          <w:rFonts w:ascii="Arial" w:hAnsi="Arial" w:cs="Arial"/>
          <w:sz w:val="20"/>
        </w:rPr>
        <w:t xml:space="preserve">The U.S. Coast Guard Marine Safety Center (MSC) </w:t>
      </w:r>
      <w:r w:rsidRPr="002721E0" w:rsidR="00137390">
        <w:rPr>
          <w:rFonts w:ascii="Arial" w:hAnsi="Arial" w:cs="Arial"/>
          <w:sz w:val="20"/>
        </w:rPr>
        <w:t>maintains two databases</w:t>
      </w:r>
      <w:r w:rsidR="00497218">
        <w:rPr>
          <w:rStyle w:val="FootnoteReference"/>
          <w:rFonts w:ascii="Arial" w:hAnsi="Arial" w:cs="Arial"/>
          <w:sz w:val="20"/>
        </w:rPr>
        <w:footnoteReference w:id="3"/>
      </w:r>
      <w:r w:rsidRPr="002721E0" w:rsidR="00137390">
        <w:rPr>
          <w:rFonts w:ascii="Arial" w:hAnsi="Arial" w:cs="Arial"/>
          <w:sz w:val="20"/>
        </w:rPr>
        <w:t xml:space="preserve"> to track plan review information. </w:t>
      </w:r>
      <w:r w:rsidR="00497218">
        <w:rPr>
          <w:rFonts w:ascii="Arial" w:hAnsi="Arial" w:cs="Arial"/>
          <w:sz w:val="20"/>
        </w:rPr>
        <w:t xml:space="preserve"> </w:t>
      </w:r>
      <w:r w:rsidRPr="002721E0" w:rsidR="007452E3">
        <w:rPr>
          <w:rFonts w:ascii="Arial" w:hAnsi="Arial" w:cs="Arial"/>
          <w:sz w:val="20"/>
        </w:rPr>
        <w:t>The average annual number of plans submitted (responses) to either the MSC or Authorized Classification Societies (ACS) was derived from these databases by taking a multi-year average of plans received.</w:t>
      </w:r>
    </w:p>
    <w:p w:rsidRPr="002721E0" w:rsidR="008E1333" w:rsidRDefault="008E1333">
      <w:pPr>
        <w:pStyle w:val="p17"/>
        <w:spacing w:line="240" w:lineRule="auto"/>
        <w:ind w:firstLine="0"/>
        <w:rPr>
          <w:rFonts w:ascii="Arial" w:hAnsi="Arial" w:cs="Arial"/>
          <w:sz w:val="20"/>
        </w:rPr>
      </w:pPr>
    </w:p>
    <w:p w:rsidRPr="004F715C" w:rsidR="00010973" w:rsidP="008B5FBF" w:rsidRDefault="00010973">
      <w:pPr>
        <w:pStyle w:val="p2"/>
        <w:spacing w:line="240" w:lineRule="auto"/>
        <w:rPr>
          <w:rFonts w:ascii="Arial" w:hAnsi="Arial" w:cs="Arial"/>
          <w:bCs/>
          <w:sz w:val="20"/>
        </w:rPr>
      </w:pPr>
      <w:r w:rsidRPr="004F715C">
        <w:rPr>
          <w:rFonts w:ascii="Arial" w:hAnsi="Arial" w:cs="Arial"/>
          <w:bCs/>
          <w:sz w:val="20"/>
        </w:rPr>
        <w:t xml:space="preserve">13)  </w:t>
      </w:r>
      <w:r w:rsidRPr="004F715C" w:rsidR="004F715C">
        <w:rPr>
          <w:rFonts w:ascii="Arial" w:hAnsi="Arial" w:cs="Arial"/>
          <w:bCs/>
          <w:sz w:val="20"/>
          <w:u w:val="single"/>
        </w:rPr>
        <w:t>Total annualized capital and start-up costs</w:t>
      </w:r>
      <w:r w:rsidRPr="004F715C">
        <w:rPr>
          <w:rFonts w:ascii="Arial" w:hAnsi="Arial" w:cs="Arial"/>
          <w:bCs/>
          <w:sz w:val="20"/>
        </w:rPr>
        <w:t>.</w:t>
      </w:r>
      <w:r w:rsidR="008B5FBF">
        <w:rPr>
          <w:rFonts w:ascii="Arial" w:hAnsi="Arial" w:cs="Arial"/>
          <w:bCs/>
          <w:sz w:val="20"/>
        </w:rPr>
        <w:t xml:space="preserve">  </w:t>
      </w:r>
    </w:p>
    <w:p w:rsidRPr="004F715C" w:rsidR="00010973" w:rsidRDefault="00010973">
      <w:pPr>
        <w:rPr>
          <w:rFonts w:ascii="Arial" w:hAnsi="Arial" w:cs="Arial"/>
          <w:bCs/>
          <w:sz w:val="20"/>
          <w:u w:val="single"/>
        </w:rPr>
      </w:pPr>
    </w:p>
    <w:p w:rsidRPr="002721E0" w:rsidR="00010973" w:rsidRDefault="00404703">
      <w:pPr>
        <w:rPr>
          <w:rFonts w:ascii="Arial" w:hAnsi="Arial" w:cs="Arial"/>
          <w:sz w:val="20"/>
        </w:rPr>
      </w:pPr>
      <w:r w:rsidRPr="002721E0">
        <w:rPr>
          <w:rFonts w:ascii="Arial" w:hAnsi="Arial" w:cs="Arial"/>
          <w:sz w:val="20"/>
        </w:rPr>
        <w:t>There are no capital, start-up or maintenance costs associated with this information collection</w:t>
      </w:r>
      <w:r w:rsidRPr="002721E0" w:rsidR="00010973">
        <w:rPr>
          <w:rFonts w:ascii="Arial" w:hAnsi="Arial" w:cs="Arial"/>
          <w:sz w:val="20"/>
        </w:rPr>
        <w:t xml:space="preserve">. </w:t>
      </w:r>
    </w:p>
    <w:p w:rsidRPr="002721E0" w:rsidR="00010973" w:rsidRDefault="00010973">
      <w:pPr>
        <w:rPr>
          <w:rFonts w:ascii="Arial" w:hAnsi="Arial" w:cs="Arial"/>
          <w:sz w:val="20"/>
        </w:rPr>
      </w:pPr>
    </w:p>
    <w:p w:rsidRPr="004F715C" w:rsidR="00010973" w:rsidRDefault="00010973">
      <w:pPr>
        <w:pStyle w:val="BodyText"/>
        <w:rPr>
          <w:rFonts w:ascii="Arial" w:hAnsi="Arial" w:cs="Arial"/>
          <w:b w:val="0"/>
          <w:sz w:val="20"/>
          <w:u w:val="none"/>
        </w:rPr>
      </w:pPr>
      <w:r w:rsidRPr="004F715C">
        <w:rPr>
          <w:rFonts w:ascii="Arial" w:hAnsi="Arial" w:cs="Arial"/>
          <w:b w:val="0"/>
          <w:sz w:val="20"/>
          <w:u w:val="none"/>
        </w:rPr>
        <w:t xml:space="preserve">14)  </w:t>
      </w:r>
      <w:r w:rsidRPr="004F715C">
        <w:rPr>
          <w:rFonts w:ascii="Arial" w:hAnsi="Arial" w:cs="Arial"/>
          <w:b w:val="0"/>
          <w:sz w:val="20"/>
        </w:rPr>
        <w:t>Estimates of annualized Federal Government costs</w:t>
      </w:r>
      <w:r w:rsidRPr="004F715C">
        <w:rPr>
          <w:rFonts w:ascii="Arial" w:hAnsi="Arial" w:cs="Arial"/>
          <w:b w:val="0"/>
          <w:sz w:val="20"/>
          <w:u w:val="none"/>
        </w:rPr>
        <w:t>.</w:t>
      </w:r>
      <w:r w:rsidR="008B5FBF">
        <w:rPr>
          <w:rFonts w:ascii="Arial" w:hAnsi="Arial" w:cs="Arial"/>
          <w:b w:val="0"/>
          <w:sz w:val="20"/>
          <w:u w:val="none"/>
        </w:rPr>
        <w:t xml:space="preserve">  </w:t>
      </w:r>
    </w:p>
    <w:p w:rsidRPr="004F715C" w:rsidR="00010973" w:rsidRDefault="00010973">
      <w:pPr>
        <w:pStyle w:val="p2"/>
        <w:numPr>
          <w:ilvl w:val="12"/>
          <w:numId w:val="0"/>
        </w:numPr>
        <w:spacing w:line="240" w:lineRule="auto"/>
        <w:rPr>
          <w:rFonts w:ascii="Arial" w:hAnsi="Arial" w:cs="Arial"/>
          <w:sz w:val="20"/>
        </w:rPr>
      </w:pPr>
    </w:p>
    <w:p w:rsidRPr="00760A79" w:rsidR="0080769C" w:rsidRDefault="004F715C">
      <w:pPr>
        <w:pStyle w:val="p2"/>
        <w:spacing w:line="240" w:lineRule="auto"/>
        <w:rPr>
          <w:rFonts w:ascii="Arial" w:hAnsi="Arial" w:cs="Arial"/>
          <w:sz w:val="20"/>
        </w:rPr>
      </w:pPr>
      <w:r w:rsidRPr="004F715C">
        <w:rPr>
          <w:rFonts w:ascii="Arial" w:hAnsi="Arial" w:cs="Arial"/>
          <w:sz w:val="20"/>
        </w:rPr>
        <w:t xml:space="preserve">The estimated annual Federal Government cost is </w:t>
      </w:r>
      <w:r w:rsidRPr="00E07C08">
        <w:rPr>
          <w:rFonts w:ascii="Arial" w:hAnsi="Arial" w:cs="Arial"/>
          <w:sz w:val="20"/>
        </w:rPr>
        <w:t>$1</w:t>
      </w:r>
      <w:r w:rsidRPr="00760A79" w:rsidR="00FB483C">
        <w:rPr>
          <w:rFonts w:ascii="Arial" w:hAnsi="Arial" w:cs="Arial"/>
          <w:sz w:val="20"/>
        </w:rPr>
        <w:t>41,540</w:t>
      </w:r>
      <w:r w:rsidRPr="00E07C08">
        <w:rPr>
          <w:rFonts w:ascii="Arial" w:hAnsi="Arial" w:cs="Arial"/>
          <w:sz w:val="20"/>
        </w:rPr>
        <w:t xml:space="preserve"> (see Appendix B).  </w:t>
      </w:r>
      <w:r w:rsidRPr="00760A79" w:rsidR="008B5FBF">
        <w:rPr>
          <w:rFonts w:ascii="Arial" w:hAnsi="Arial" w:cs="Arial"/>
          <w:sz w:val="20"/>
        </w:rPr>
        <w:t xml:space="preserve">We estimate that is will take a Coast Guard plan reviewer about 1 hour to conduct a review, and that the review is typically done by a </w:t>
      </w:r>
      <w:r w:rsidRPr="00760A79" w:rsidR="00E92F03">
        <w:rPr>
          <w:rFonts w:ascii="Arial" w:hAnsi="Arial" w:cs="Arial"/>
          <w:sz w:val="20"/>
        </w:rPr>
        <w:t xml:space="preserve">Lieutenant </w:t>
      </w:r>
      <w:r w:rsidRPr="00760A79" w:rsidR="008B5FBF">
        <w:rPr>
          <w:rFonts w:ascii="Arial" w:hAnsi="Arial" w:cs="Arial"/>
          <w:sz w:val="20"/>
        </w:rPr>
        <w:t xml:space="preserve">(LT, </w:t>
      </w:r>
      <w:r w:rsidRPr="00760A79" w:rsidR="00E92F03">
        <w:rPr>
          <w:rFonts w:ascii="Arial" w:hAnsi="Arial" w:cs="Arial"/>
          <w:sz w:val="20"/>
        </w:rPr>
        <w:t>O-3</w:t>
      </w:r>
      <w:r w:rsidRPr="00760A79" w:rsidR="008B5FBF">
        <w:rPr>
          <w:rFonts w:ascii="Arial" w:hAnsi="Arial" w:cs="Arial"/>
          <w:sz w:val="20"/>
        </w:rPr>
        <w:t xml:space="preserve">).  The wage rate used is in accordance with the current edition of COMDTINST 7310.1(series) for “In-Government” personnel.  </w:t>
      </w:r>
    </w:p>
    <w:p w:rsidRPr="00760A79" w:rsidR="00171A0D" w:rsidRDefault="00171A0D">
      <w:pPr>
        <w:pStyle w:val="p2"/>
        <w:spacing w:line="240" w:lineRule="auto"/>
        <w:rPr>
          <w:rFonts w:ascii="Arial" w:hAnsi="Arial" w:cs="Arial"/>
          <w:sz w:val="20"/>
        </w:rPr>
      </w:pPr>
    </w:p>
    <w:p w:rsidRPr="00760A79" w:rsidR="00010973" w:rsidRDefault="00010973">
      <w:pPr>
        <w:pStyle w:val="BodyText"/>
        <w:rPr>
          <w:rFonts w:ascii="Arial" w:hAnsi="Arial" w:cs="Arial"/>
          <w:b w:val="0"/>
          <w:sz w:val="20"/>
          <w:u w:val="none"/>
        </w:rPr>
      </w:pPr>
      <w:r w:rsidRPr="00760A79">
        <w:rPr>
          <w:rFonts w:ascii="Arial" w:hAnsi="Arial" w:cs="Arial"/>
          <w:b w:val="0"/>
          <w:sz w:val="20"/>
          <w:u w:val="none"/>
        </w:rPr>
        <w:t xml:space="preserve">15)  </w:t>
      </w:r>
      <w:r w:rsidRPr="00760A79" w:rsidR="004F715C">
        <w:rPr>
          <w:rFonts w:ascii="Arial" w:hAnsi="Arial" w:cs="Arial"/>
          <w:b w:val="0"/>
          <w:sz w:val="20"/>
        </w:rPr>
        <w:t>R</w:t>
      </w:r>
      <w:r w:rsidRPr="00760A79">
        <w:rPr>
          <w:rFonts w:ascii="Arial" w:hAnsi="Arial" w:cs="Arial"/>
          <w:b w:val="0"/>
          <w:sz w:val="20"/>
        </w:rPr>
        <w:t>easons for the change in burden</w:t>
      </w:r>
      <w:r w:rsidRPr="00760A79">
        <w:rPr>
          <w:rFonts w:ascii="Arial" w:hAnsi="Arial" w:cs="Arial"/>
          <w:b w:val="0"/>
          <w:sz w:val="20"/>
          <w:u w:val="none"/>
        </w:rPr>
        <w:t>.</w:t>
      </w:r>
      <w:r w:rsidRPr="00760A79" w:rsidR="008B5FBF">
        <w:rPr>
          <w:rFonts w:ascii="Arial" w:hAnsi="Arial" w:cs="Arial"/>
          <w:b w:val="0"/>
          <w:sz w:val="20"/>
          <w:u w:val="none"/>
        </w:rPr>
        <w:t xml:space="preserve">  </w:t>
      </w:r>
    </w:p>
    <w:p w:rsidRPr="00760A79" w:rsidR="00010973" w:rsidRDefault="00010973">
      <w:pPr>
        <w:rPr>
          <w:rFonts w:ascii="Arial" w:hAnsi="Arial" w:cs="Arial"/>
          <w:sz w:val="20"/>
        </w:rPr>
      </w:pPr>
    </w:p>
    <w:p w:rsidRPr="002721E0" w:rsidR="005F570E" w:rsidP="00592D12" w:rsidRDefault="001C01DC">
      <w:pPr>
        <w:pStyle w:val="p17"/>
        <w:spacing w:line="240" w:lineRule="auto"/>
        <w:ind w:firstLine="0"/>
        <w:rPr>
          <w:rFonts w:ascii="Arial" w:hAnsi="Arial" w:cs="Arial"/>
          <w:sz w:val="20"/>
        </w:rPr>
      </w:pPr>
      <w:r w:rsidRPr="00760A79">
        <w:rPr>
          <w:rFonts w:ascii="Arial" w:hAnsi="Arial" w:cs="Arial"/>
          <w:sz w:val="20"/>
        </w:rPr>
        <w:t>The change in burden is an ADJUSTMENT</w:t>
      </w:r>
      <w:r w:rsidRPr="00760A79" w:rsidR="00A3283B">
        <w:rPr>
          <w:rFonts w:ascii="Arial" w:hAnsi="Arial" w:cs="Arial"/>
          <w:sz w:val="20"/>
        </w:rPr>
        <w:t xml:space="preserve"> due to </w:t>
      </w:r>
      <w:r w:rsidRPr="00760A79" w:rsidR="00640B96">
        <w:rPr>
          <w:rFonts w:ascii="Arial" w:hAnsi="Arial" w:cs="Arial"/>
          <w:sz w:val="20"/>
        </w:rPr>
        <w:t>a</w:t>
      </w:r>
      <w:r w:rsidRPr="00760A79" w:rsidR="00687288">
        <w:rPr>
          <w:rFonts w:ascii="Arial" w:hAnsi="Arial" w:cs="Arial"/>
          <w:sz w:val="20"/>
        </w:rPr>
        <w:t xml:space="preserve"> </w:t>
      </w:r>
      <w:r w:rsidRPr="00760A79" w:rsidR="00D25E89">
        <w:rPr>
          <w:rFonts w:ascii="Arial" w:hAnsi="Arial" w:cs="Arial"/>
          <w:sz w:val="20"/>
        </w:rPr>
        <w:t>change (i.e., decrease)</w:t>
      </w:r>
      <w:r w:rsidRPr="00760A79" w:rsidR="00A3283B">
        <w:rPr>
          <w:rFonts w:ascii="Arial" w:hAnsi="Arial" w:cs="Arial"/>
          <w:sz w:val="20"/>
        </w:rPr>
        <w:t xml:space="preserve"> in</w:t>
      </w:r>
      <w:r w:rsidRPr="00687288" w:rsidR="00A3283B">
        <w:rPr>
          <w:rFonts w:ascii="Arial" w:hAnsi="Arial" w:cs="Arial"/>
          <w:sz w:val="20"/>
        </w:rPr>
        <w:t xml:space="preserve"> the </w:t>
      </w:r>
      <w:r w:rsidR="0038661C">
        <w:rPr>
          <w:rFonts w:ascii="Arial" w:hAnsi="Arial" w:cs="Arial"/>
          <w:sz w:val="20"/>
        </w:rPr>
        <w:t>estimated</w:t>
      </w:r>
      <w:r w:rsidRPr="00687288" w:rsidR="0038661C">
        <w:rPr>
          <w:rFonts w:ascii="Arial" w:hAnsi="Arial" w:cs="Arial"/>
          <w:sz w:val="20"/>
        </w:rPr>
        <w:t xml:space="preserve"> </w:t>
      </w:r>
      <w:r w:rsidRPr="00687288" w:rsidR="00A3283B">
        <w:rPr>
          <w:rFonts w:ascii="Arial" w:hAnsi="Arial" w:cs="Arial"/>
          <w:sz w:val="20"/>
        </w:rPr>
        <w:t>annual number of respon</w:t>
      </w:r>
      <w:r w:rsidR="008B5FBF">
        <w:rPr>
          <w:rFonts w:ascii="Arial" w:hAnsi="Arial" w:cs="Arial"/>
          <w:sz w:val="20"/>
        </w:rPr>
        <w:t>ses</w:t>
      </w:r>
      <w:r w:rsidRPr="00687288">
        <w:rPr>
          <w:rFonts w:ascii="Arial" w:hAnsi="Arial" w:cs="Arial"/>
          <w:sz w:val="20"/>
        </w:rPr>
        <w:t>.</w:t>
      </w:r>
      <w:r w:rsidR="008B5FBF">
        <w:rPr>
          <w:rFonts w:ascii="Arial" w:hAnsi="Arial" w:cs="Arial"/>
          <w:sz w:val="20"/>
        </w:rPr>
        <w:t xml:space="preserve">  </w:t>
      </w:r>
      <w:r w:rsidRPr="00DF2672" w:rsidR="008B5FBF">
        <w:rPr>
          <w:rFonts w:ascii="Arial" w:hAnsi="Arial"/>
          <w:sz w:val="20"/>
        </w:rPr>
        <w:t xml:space="preserve">The </w:t>
      </w:r>
      <w:r w:rsidR="008B5FBF">
        <w:rPr>
          <w:rFonts w:ascii="Arial" w:hAnsi="Arial"/>
          <w:sz w:val="20"/>
        </w:rPr>
        <w:t xml:space="preserve">reporting and </w:t>
      </w:r>
      <w:r w:rsidRPr="00DF2672" w:rsidR="008B5FBF">
        <w:rPr>
          <w:rFonts w:ascii="Arial" w:hAnsi="Arial"/>
          <w:sz w:val="20"/>
        </w:rPr>
        <w:t>recordkeeping</w:t>
      </w:r>
      <w:r w:rsidRPr="0012134A" w:rsidR="008B5FBF">
        <w:rPr>
          <w:rFonts w:ascii="Arial" w:hAnsi="Arial"/>
          <w:sz w:val="20"/>
        </w:rPr>
        <w:t xml:space="preserve"> requirements, and methodology for calculating burden, remain unchanged.  </w:t>
      </w:r>
    </w:p>
    <w:p w:rsidRPr="002721E0" w:rsidR="002927A1" w:rsidRDefault="002927A1">
      <w:pPr>
        <w:pStyle w:val="p17"/>
        <w:spacing w:line="240" w:lineRule="auto"/>
        <w:ind w:firstLine="0"/>
        <w:rPr>
          <w:rFonts w:ascii="Arial" w:hAnsi="Arial" w:cs="Arial"/>
          <w:sz w:val="20"/>
        </w:rPr>
      </w:pPr>
    </w:p>
    <w:p w:rsidRPr="004F715C" w:rsidR="00010973" w:rsidRDefault="00010973">
      <w:pPr>
        <w:pStyle w:val="BodyText"/>
        <w:ind w:left="450" w:hanging="450"/>
        <w:rPr>
          <w:rFonts w:ascii="Arial" w:hAnsi="Arial" w:cs="Arial"/>
          <w:b w:val="0"/>
          <w:sz w:val="20"/>
          <w:u w:val="none"/>
        </w:rPr>
      </w:pPr>
      <w:r w:rsidRPr="004F715C">
        <w:rPr>
          <w:rFonts w:ascii="Arial" w:hAnsi="Arial" w:cs="Arial"/>
          <w:b w:val="0"/>
          <w:sz w:val="20"/>
          <w:u w:val="none"/>
        </w:rPr>
        <w:t xml:space="preserve">16)  </w:t>
      </w:r>
      <w:r w:rsidRPr="004F715C" w:rsidR="004F715C">
        <w:rPr>
          <w:rFonts w:ascii="Arial" w:hAnsi="Arial" w:cs="Arial"/>
          <w:b w:val="0"/>
          <w:sz w:val="20"/>
        </w:rPr>
        <w:t>Plans for tabulation, statistical analysis, and publication</w:t>
      </w:r>
      <w:r w:rsidRPr="004F715C">
        <w:rPr>
          <w:rFonts w:ascii="Arial" w:hAnsi="Arial" w:cs="Arial"/>
          <w:b w:val="0"/>
          <w:sz w:val="20"/>
          <w:u w:val="none"/>
        </w:rPr>
        <w:t>.</w:t>
      </w:r>
      <w:r w:rsidR="0038661C">
        <w:rPr>
          <w:rFonts w:ascii="Arial" w:hAnsi="Arial" w:cs="Arial"/>
          <w:b w:val="0"/>
          <w:sz w:val="20"/>
          <w:u w:val="none"/>
        </w:rPr>
        <w:t xml:space="preserve">  </w:t>
      </w:r>
    </w:p>
    <w:p w:rsidRPr="004F715C" w:rsidR="00010973" w:rsidRDefault="00010973">
      <w:pPr>
        <w:rPr>
          <w:rFonts w:ascii="Arial" w:hAnsi="Arial" w:cs="Arial"/>
          <w:sz w:val="20"/>
        </w:rPr>
      </w:pPr>
    </w:p>
    <w:p w:rsidRPr="002721E0" w:rsidR="00010973" w:rsidRDefault="00404703">
      <w:pPr>
        <w:rPr>
          <w:rFonts w:ascii="Arial" w:hAnsi="Arial" w:cs="Arial"/>
          <w:sz w:val="20"/>
        </w:rPr>
      </w:pPr>
      <w:r w:rsidRPr="002721E0">
        <w:rPr>
          <w:rFonts w:ascii="Arial" w:hAnsi="Arial" w:cs="Arial"/>
          <w:sz w:val="20"/>
        </w:rPr>
        <w:t>This information collection will not be published for statistical purposes.</w:t>
      </w:r>
      <w:r w:rsidRPr="002721E0" w:rsidR="00171A0D">
        <w:rPr>
          <w:rFonts w:ascii="Arial" w:hAnsi="Arial" w:cs="Arial"/>
          <w:sz w:val="20"/>
        </w:rPr>
        <w:t xml:space="preserve">  </w:t>
      </w:r>
    </w:p>
    <w:p w:rsidRPr="002721E0" w:rsidR="00010973" w:rsidRDefault="00010973">
      <w:pPr>
        <w:rPr>
          <w:rFonts w:ascii="Arial" w:hAnsi="Arial" w:cs="Arial"/>
          <w:sz w:val="20"/>
        </w:rPr>
      </w:pPr>
    </w:p>
    <w:p w:rsidRPr="004F715C" w:rsidR="00010973" w:rsidRDefault="00010973">
      <w:pPr>
        <w:pStyle w:val="BodyText"/>
        <w:ind w:left="450" w:hanging="450"/>
        <w:rPr>
          <w:rFonts w:ascii="Arial" w:hAnsi="Arial" w:cs="Arial"/>
          <w:b w:val="0"/>
          <w:sz w:val="20"/>
          <w:u w:val="none"/>
        </w:rPr>
      </w:pPr>
      <w:r w:rsidRPr="004F715C">
        <w:rPr>
          <w:rFonts w:ascii="Arial" w:hAnsi="Arial" w:cs="Arial"/>
          <w:b w:val="0"/>
          <w:sz w:val="20"/>
          <w:u w:val="none"/>
        </w:rPr>
        <w:t xml:space="preserve">17)  </w:t>
      </w:r>
      <w:r w:rsidRPr="004F715C" w:rsidR="004F715C">
        <w:rPr>
          <w:rFonts w:ascii="Arial" w:hAnsi="Arial" w:cs="Arial"/>
          <w:b w:val="0"/>
          <w:sz w:val="20"/>
        </w:rPr>
        <w:t>Approval for not explaining the expiration date for OMB approval</w:t>
      </w:r>
      <w:r w:rsidRPr="004F715C">
        <w:rPr>
          <w:rFonts w:ascii="Arial" w:hAnsi="Arial" w:cs="Arial"/>
          <w:b w:val="0"/>
          <w:sz w:val="20"/>
          <w:u w:val="none"/>
        </w:rPr>
        <w:t>.</w:t>
      </w:r>
      <w:r w:rsidR="0038661C">
        <w:rPr>
          <w:rFonts w:ascii="Arial" w:hAnsi="Arial" w:cs="Arial"/>
          <w:b w:val="0"/>
          <w:sz w:val="20"/>
          <w:u w:val="none"/>
        </w:rPr>
        <w:t xml:space="preserve">  </w:t>
      </w:r>
    </w:p>
    <w:p w:rsidRPr="004F715C" w:rsidR="00010973" w:rsidRDefault="00010973">
      <w:pPr>
        <w:rPr>
          <w:rFonts w:ascii="Arial" w:hAnsi="Arial" w:cs="Arial"/>
          <w:sz w:val="20"/>
        </w:rPr>
      </w:pPr>
    </w:p>
    <w:p w:rsidRPr="002721E0" w:rsidR="00010973" w:rsidRDefault="002927A1">
      <w:pPr>
        <w:rPr>
          <w:rFonts w:ascii="Arial" w:hAnsi="Arial" w:cs="Arial"/>
          <w:sz w:val="20"/>
        </w:rPr>
      </w:pPr>
      <w:r w:rsidRPr="002721E0">
        <w:rPr>
          <w:rFonts w:ascii="Arial" w:hAnsi="Arial" w:cs="Arial"/>
          <w:sz w:val="20"/>
        </w:rPr>
        <w:t>The Coast Guard will display the expiration date for OMB approval of this information collection</w:t>
      </w:r>
      <w:r w:rsidRPr="002721E0" w:rsidR="00EA2DA1">
        <w:rPr>
          <w:rFonts w:ascii="Arial" w:hAnsi="Arial" w:cs="Arial"/>
          <w:sz w:val="20"/>
        </w:rPr>
        <w:t>.</w:t>
      </w:r>
    </w:p>
    <w:p w:rsidRPr="002721E0" w:rsidR="00010973" w:rsidRDefault="00010973">
      <w:pPr>
        <w:rPr>
          <w:rFonts w:ascii="Arial" w:hAnsi="Arial" w:cs="Arial"/>
          <w:sz w:val="20"/>
        </w:rPr>
      </w:pPr>
    </w:p>
    <w:p w:rsidRPr="004F715C" w:rsidR="00010973" w:rsidRDefault="00010973">
      <w:pPr>
        <w:pStyle w:val="BodyText"/>
        <w:rPr>
          <w:rFonts w:ascii="Arial" w:hAnsi="Arial" w:cs="Arial"/>
          <w:b w:val="0"/>
          <w:sz w:val="20"/>
          <w:u w:val="none"/>
        </w:rPr>
      </w:pPr>
      <w:r w:rsidRPr="004F715C">
        <w:rPr>
          <w:rFonts w:ascii="Arial" w:hAnsi="Arial" w:cs="Arial"/>
          <w:b w:val="0"/>
          <w:sz w:val="20"/>
          <w:u w:val="none"/>
        </w:rPr>
        <w:t xml:space="preserve">18)  </w:t>
      </w:r>
      <w:r w:rsidRPr="004F715C">
        <w:rPr>
          <w:rFonts w:ascii="Arial" w:hAnsi="Arial" w:cs="Arial"/>
          <w:b w:val="0"/>
          <w:sz w:val="20"/>
        </w:rPr>
        <w:t>Explain each exception to the certification statement</w:t>
      </w:r>
      <w:r w:rsidRPr="004F715C">
        <w:rPr>
          <w:rFonts w:ascii="Arial" w:hAnsi="Arial" w:cs="Arial"/>
          <w:b w:val="0"/>
          <w:sz w:val="20"/>
          <w:u w:val="none"/>
        </w:rPr>
        <w:t>.</w:t>
      </w:r>
      <w:r w:rsidR="0038661C">
        <w:rPr>
          <w:rFonts w:ascii="Arial" w:hAnsi="Arial" w:cs="Arial"/>
          <w:b w:val="0"/>
          <w:sz w:val="20"/>
          <w:u w:val="none"/>
        </w:rPr>
        <w:t xml:space="preserve">  </w:t>
      </w:r>
    </w:p>
    <w:p w:rsidRPr="004F715C" w:rsidR="00010973" w:rsidRDefault="00010973">
      <w:pPr>
        <w:rPr>
          <w:rFonts w:ascii="Arial" w:hAnsi="Arial" w:cs="Arial"/>
          <w:sz w:val="20"/>
        </w:rPr>
      </w:pPr>
    </w:p>
    <w:p w:rsidRPr="002721E0" w:rsidR="00010973" w:rsidRDefault="002927A1">
      <w:pPr>
        <w:rPr>
          <w:rFonts w:ascii="Arial" w:hAnsi="Arial" w:cs="Arial"/>
          <w:sz w:val="20"/>
        </w:rPr>
      </w:pPr>
      <w:r w:rsidRPr="002721E0">
        <w:rPr>
          <w:rFonts w:ascii="Arial" w:hAnsi="Arial" w:cs="Arial"/>
          <w:sz w:val="20"/>
        </w:rPr>
        <w:t>The Coast Guard does not request an exception to the certification of this information collection</w:t>
      </w:r>
      <w:r w:rsidRPr="002721E0" w:rsidR="00EA2DA1">
        <w:rPr>
          <w:rFonts w:ascii="Arial" w:hAnsi="Arial" w:cs="Arial"/>
          <w:sz w:val="20"/>
        </w:rPr>
        <w:t xml:space="preserve">.  </w:t>
      </w:r>
    </w:p>
    <w:p w:rsidRPr="002721E0" w:rsidR="00010973" w:rsidRDefault="00010973">
      <w:pPr>
        <w:rPr>
          <w:rFonts w:ascii="Arial" w:hAnsi="Arial" w:cs="Arial"/>
          <w:sz w:val="20"/>
        </w:rPr>
      </w:pPr>
    </w:p>
    <w:p w:rsidRPr="002721E0" w:rsidR="00C56AA4" w:rsidRDefault="00C56AA4">
      <w:pPr>
        <w:rPr>
          <w:rFonts w:ascii="Arial" w:hAnsi="Arial" w:cs="Arial"/>
          <w:sz w:val="20"/>
        </w:rPr>
      </w:pPr>
    </w:p>
    <w:p w:rsidRPr="002721E0" w:rsidR="00010973" w:rsidRDefault="00010973">
      <w:pPr>
        <w:pStyle w:val="p3"/>
        <w:rPr>
          <w:rFonts w:ascii="Arial" w:hAnsi="Arial" w:cs="Arial"/>
          <w:b/>
          <w:bCs/>
          <w:sz w:val="20"/>
        </w:rPr>
      </w:pPr>
      <w:r w:rsidRPr="002721E0">
        <w:rPr>
          <w:rFonts w:ascii="Arial" w:hAnsi="Arial" w:cs="Arial"/>
          <w:b/>
          <w:bCs/>
          <w:sz w:val="20"/>
        </w:rPr>
        <w:t xml:space="preserve">B.  </w:t>
      </w:r>
      <w:r w:rsidRPr="0038661C">
        <w:rPr>
          <w:rFonts w:ascii="Arial" w:hAnsi="Arial" w:cs="Arial"/>
          <w:b/>
          <w:bCs/>
          <w:sz w:val="20"/>
        </w:rPr>
        <w:t>Collection of Information Employing Statistical Methods</w:t>
      </w:r>
      <w:r w:rsidR="0038661C">
        <w:rPr>
          <w:rFonts w:ascii="Arial" w:hAnsi="Arial" w:cs="Arial"/>
          <w:b/>
          <w:bCs/>
          <w:sz w:val="20"/>
        </w:rPr>
        <w:t xml:space="preserve">  </w:t>
      </w:r>
    </w:p>
    <w:p w:rsidRPr="002721E0" w:rsidR="00010973" w:rsidRDefault="00010973">
      <w:pPr>
        <w:rPr>
          <w:rFonts w:ascii="Arial" w:hAnsi="Arial" w:cs="Arial"/>
          <w:sz w:val="20"/>
        </w:rPr>
      </w:pPr>
    </w:p>
    <w:p w:rsidRPr="002721E0" w:rsidR="00010973" w:rsidRDefault="00EA2DA1">
      <w:pPr>
        <w:rPr>
          <w:rFonts w:ascii="Arial" w:hAnsi="Arial" w:cs="Arial"/>
          <w:sz w:val="20"/>
        </w:rPr>
      </w:pPr>
      <w:r w:rsidRPr="002721E0">
        <w:rPr>
          <w:rFonts w:ascii="Arial" w:hAnsi="Arial" w:cs="Arial"/>
          <w:sz w:val="20"/>
        </w:rPr>
        <w:t>The information collection does not employ statistical methods</w:t>
      </w:r>
      <w:r w:rsidRPr="002721E0" w:rsidR="00010973">
        <w:rPr>
          <w:rFonts w:ascii="Arial" w:hAnsi="Arial" w:cs="Arial"/>
          <w:sz w:val="20"/>
        </w:rPr>
        <w:t>.</w:t>
      </w:r>
    </w:p>
    <w:p w:rsidRPr="002721E0" w:rsidR="00010973" w:rsidRDefault="00010973">
      <w:pPr>
        <w:rPr>
          <w:rFonts w:ascii="Arial" w:hAnsi="Arial" w:cs="Arial"/>
          <w:sz w:val="20"/>
        </w:rPr>
      </w:pPr>
    </w:p>
    <w:sectPr w:rsidRPr="002721E0" w:rsidR="00010973">
      <w:headerReference w:type="default" r:id="rId12"/>
      <w:footerReference w:type="default" r:id="rId13"/>
      <w:type w:val="continuous"/>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3365" w:rsidRDefault="00FE3365">
      <w:r>
        <w:separator/>
      </w:r>
    </w:p>
  </w:endnote>
  <w:endnote w:type="continuationSeparator" w:id="0">
    <w:p w:rsidR="00FE3365" w:rsidRDefault="00FE3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5FBF" w:rsidRPr="002721E0" w:rsidRDefault="008B5FBF">
    <w:pPr>
      <w:pStyle w:val="Footer"/>
      <w:jc w:val="center"/>
      <w:rPr>
        <w:rFonts w:ascii="Arial" w:hAnsi="Arial" w:cs="Arial"/>
        <w:sz w:val="20"/>
      </w:rPr>
    </w:pPr>
    <w:r w:rsidRPr="002721E0">
      <w:rPr>
        <w:rStyle w:val="PageNumber"/>
        <w:rFonts w:ascii="Arial" w:hAnsi="Arial" w:cs="Arial"/>
        <w:sz w:val="20"/>
      </w:rPr>
      <w:fldChar w:fldCharType="begin"/>
    </w:r>
    <w:r w:rsidRPr="002721E0">
      <w:rPr>
        <w:rStyle w:val="PageNumber"/>
        <w:rFonts w:ascii="Arial" w:hAnsi="Arial" w:cs="Arial"/>
        <w:sz w:val="20"/>
      </w:rPr>
      <w:instrText xml:space="preserve"> PAGE </w:instrText>
    </w:r>
    <w:r w:rsidRPr="002721E0">
      <w:rPr>
        <w:rStyle w:val="PageNumber"/>
        <w:rFonts w:ascii="Arial" w:hAnsi="Arial" w:cs="Arial"/>
        <w:sz w:val="20"/>
      </w:rPr>
      <w:fldChar w:fldCharType="separate"/>
    </w:r>
    <w:r w:rsidR="006F0AAA">
      <w:rPr>
        <w:rStyle w:val="PageNumber"/>
        <w:rFonts w:ascii="Arial" w:hAnsi="Arial" w:cs="Arial"/>
        <w:noProof/>
        <w:sz w:val="20"/>
      </w:rPr>
      <w:t>3</w:t>
    </w:r>
    <w:r w:rsidRPr="002721E0">
      <w:rPr>
        <w:rStyle w:val="PageNumber"/>
        <w:rFonts w:ascii="Arial" w:hAnsi="Arial" w:cs="Arial"/>
        <w:sz w:val="20"/>
      </w:rPr>
      <w:fldChar w:fldCharType="end"/>
    </w:r>
    <w:r w:rsidRPr="002721E0">
      <w:rPr>
        <w:rStyle w:val="PageNumber"/>
        <w:rFonts w:ascii="Arial" w:hAnsi="Arial" w:cs="Arial"/>
        <w:sz w:val="20"/>
      </w:rPr>
      <w:t xml:space="preserve"> of </w:t>
    </w:r>
    <w:r w:rsidRPr="002721E0">
      <w:rPr>
        <w:rStyle w:val="PageNumber"/>
        <w:rFonts w:ascii="Arial" w:hAnsi="Arial" w:cs="Arial"/>
        <w:sz w:val="20"/>
      </w:rPr>
      <w:fldChar w:fldCharType="begin"/>
    </w:r>
    <w:r w:rsidRPr="002721E0">
      <w:rPr>
        <w:rStyle w:val="PageNumber"/>
        <w:rFonts w:ascii="Arial" w:hAnsi="Arial" w:cs="Arial"/>
        <w:sz w:val="20"/>
      </w:rPr>
      <w:instrText xml:space="preserve"> NUMPAGES </w:instrText>
    </w:r>
    <w:r w:rsidRPr="002721E0">
      <w:rPr>
        <w:rStyle w:val="PageNumber"/>
        <w:rFonts w:ascii="Arial" w:hAnsi="Arial" w:cs="Arial"/>
        <w:sz w:val="20"/>
      </w:rPr>
      <w:fldChar w:fldCharType="separate"/>
    </w:r>
    <w:r w:rsidR="006F0AAA">
      <w:rPr>
        <w:rStyle w:val="PageNumber"/>
        <w:rFonts w:ascii="Arial" w:hAnsi="Arial" w:cs="Arial"/>
        <w:noProof/>
        <w:sz w:val="20"/>
      </w:rPr>
      <w:t>4</w:t>
    </w:r>
    <w:r w:rsidRPr="002721E0">
      <w:rPr>
        <w:rStyle w:val="PageNumber"/>
        <w:rFonts w:ascii="Arial" w:hAnsi="Arial"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3365" w:rsidRDefault="00FE3365">
      <w:r>
        <w:separator/>
      </w:r>
    </w:p>
  </w:footnote>
  <w:footnote w:type="continuationSeparator" w:id="0">
    <w:p w:rsidR="00FE3365" w:rsidRDefault="00FE3365">
      <w:r>
        <w:continuationSeparator/>
      </w:r>
    </w:p>
  </w:footnote>
  <w:footnote w:id="1">
    <w:p w:rsidR="008B5FBF" w:rsidRPr="002721E0" w:rsidRDefault="008B5FBF">
      <w:pPr>
        <w:pStyle w:val="FootnoteText"/>
        <w:rPr>
          <w:rFonts w:ascii="Arial" w:hAnsi="Arial" w:cs="Arial"/>
        </w:rPr>
      </w:pPr>
      <w:r w:rsidRPr="002721E0">
        <w:rPr>
          <w:rStyle w:val="FootnoteReference"/>
          <w:rFonts w:ascii="Arial" w:hAnsi="Arial" w:cs="Arial"/>
        </w:rPr>
        <w:footnoteRef/>
      </w:r>
      <w:r w:rsidRPr="002721E0">
        <w:rPr>
          <w:rFonts w:ascii="Arial" w:hAnsi="Arial" w:cs="Arial"/>
        </w:rPr>
        <w:t xml:space="preserve">  SOLAS -- International Convention for Safety of Life at Sea, 1974.  </w:t>
      </w:r>
    </w:p>
  </w:footnote>
  <w:footnote w:id="2">
    <w:p w:rsidR="008B5FBF" w:rsidRPr="008B5FBF" w:rsidRDefault="008B5FBF">
      <w:pPr>
        <w:pStyle w:val="FootnoteText"/>
        <w:rPr>
          <w:rFonts w:ascii="Arial" w:hAnsi="Arial" w:cs="Arial"/>
          <w:sz w:val="16"/>
          <w:szCs w:val="16"/>
        </w:rPr>
      </w:pPr>
      <w:r w:rsidRPr="008B5FBF">
        <w:rPr>
          <w:rStyle w:val="FootnoteReference"/>
          <w:rFonts w:ascii="Arial" w:hAnsi="Arial" w:cs="Arial"/>
          <w:sz w:val="16"/>
          <w:szCs w:val="16"/>
        </w:rPr>
        <w:footnoteRef/>
      </w:r>
      <w:r w:rsidRPr="008B5FBF">
        <w:rPr>
          <w:rFonts w:ascii="Arial" w:hAnsi="Arial" w:cs="Arial"/>
          <w:sz w:val="16"/>
          <w:szCs w:val="16"/>
        </w:rPr>
        <w:t xml:space="preserve">  To determine the time required to submit plans and technical documents, a percentage of the time to develop such plans is used.  This is because most of the documents required by the Coast Guard for stability review are prepared by the vessel designer or builder as part of the shipbuilding process.</w:t>
      </w:r>
      <w:r w:rsidR="0007433E">
        <w:rPr>
          <w:rFonts w:ascii="Arial" w:hAnsi="Arial" w:cs="Arial"/>
          <w:sz w:val="16"/>
          <w:szCs w:val="16"/>
        </w:rPr>
        <w:t xml:space="preserve"> </w:t>
      </w:r>
      <w:r w:rsidRPr="008B5FBF">
        <w:rPr>
          <w:rFonts w:ascii="Arial" w:hAnsi="Arial" w:cs="Arial"/>
          <w:sz w:val="16"/>
          <w:szCs w:val="16"/>
        </w:rPr>
        <w:t xml:space="preserve"> However, some changes and additions are necessary to comply with the Coast Guard requirements.</w:t>
      </w:r>
    </w:p>
  </w:footnote>
  <w:footnote w:id="3">
    <w:p w:rsidR="008B5FBF" w:rsidRPr="008B5FBF" w:rsidRDefault="008B5FBF">
      <w:pPr>
        <w:pStyle w:val="FootnoteText"/>
        <w:rPr>
          <w:rFonts w:ascii="Arial" w:hAnsi="Arial" w:cs="Arial"/>
          <w:sz w:val="16"/>
          <w:szCs w:val="16"/>
        </w:rPr>
      </w:pPr>
      <w:r w:rsidRPr="008B5FBF">
        <w:rPr>
          <w:rStyle w:val="FootnoteReference"/>
          <w:rFonts w:ascii="Arial" w:hAnsi="Arial" w:cs="Arial"/>
          <w:sz w:val="16"/>
          <w:szCs w:val="16"/>
        </w:rPr>
        <w:footnoteRef/>
      </w:r>
      <w:r w:rsidRPr="008B5FBF">
        <w:rPr>
          <w:rFonts w:ascii="Arial" w:hAnsi="Arial" w:cs="Arial"/>
          <w:sz w:val="16"/>
          <w:szCs w:val="16"/>
        </w:rPr>
        <w:t xml:space="preserve">  MASCOT (for internal work done at the MSC) and PRAS (for work done by classification societies on behalf of the Coast Guard).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5FBF" w:rsidRPr="002721E0" w:rsidRDefault="008B5FBF">
    <w:pPr>
      <w:pStyle w:val="Header"/>
      <w:rPr>
        <w:rFonts w:ascii="Arial" w:hAnsi="Arial" w:cs="Arial"/>
        <w:sz w:val="20"/>
      </w:rPr>
    </w:pPr>
    <w:r w:rsidRPr="002721E0">
      <w:rPr>
        <w:rFonts w:ascii="Arial" w:hAnsi="Arial" w:cs="Arial"/>
        <w:sz w:val="20"/>
      </w:rPr>
      <w:t>1625-0064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D200A"/>
    <w:multiLevelType w:val="hybridMultilevel"/>
    <w:tmpl w:val="2E6C7318"/>
    <w:lvl w:ilvl="0" w:tplc="86A86DA8">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8657DC"/>
    <w:multiLevelType w:val="singleLevel"/>
    <w:tmpl w:val="C8CE377E"/>
    <w:lvl w:ilvl="0">
      <w:start w:val="1"/>
      <w:numFmt w:val="decimal"/>
      <w:lvlText w:val="%1."/>
      <w:lvlJc w:val="left"/>
      <w:pPr>
        <w:tabs>
          <w:tab w:val="num" w:pos="1020"/>
        </w:tabs>
        <w:ind w:left="1020" w:hanging="360"/>
      </w:pPr>
      <w:rPr>
        <w:rFonts w:hint="default"/>
      </w:rPr>
    </w:lvl>
  </w:abstractNum>
  <w:abstractNum w:abstractNumId="2" w15:restartNumberingAfterBreak="0">
    <w:nsid w:val="1C897C01"/>
    <w:multiLevelType w:val="hybridMultilevel"/>
    <w:tmpl w:val="12A489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1C31BA"/>
    <w:multiLevelType w:val="hybridMultilevel"/>
    <w:tmpl w:val="C1F20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65768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06408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E45604D"/>
    <w:multiLevelType w:val="hybridMultilevel"/>
    <w:tmpl w:val="64F8DE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F442264"/>
    <w:multiLevelType w:val="hybridMultilevel"/>
    <w:tmpl w:val="0776B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9E1EA5"/>
    <w:multiLevelType w:val="hybridMultilevel"/>
    <w:tmpl w:val="A2D2C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067B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1AD6911"/>
    <w:multiLevelType w:val="hybridMultilevel"/>
    <w:tmpl w:val="FB929DC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39758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0716D3C"/>
    <w:multiLevelType w:val="hybridMultilevel"/>
    <w:tmpl w:val="7A4C1D00"/>
    <w:lvl w:ilvl="0" w:tplc="84A88B18">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9"/>
  </w:num>
  <w:num w:numId="4">
    <w:abstractNumId w:val="4"/>
  </w:num>
  <w:num w:numId="5">
    <w:abstractNumId w:val="5"/>
  </w:num>
  <w:num w:numId="6">
    <w:abstractNumId w:val="9"/>
  </w:num>
  <w:num w:numId="7">
    <w:abstractNumId w:val="11"/>
  </w:num>
  <w:num w:numId="8">
    <w:abstractNumId w:val="2"/>
  </w:num>
  <w:num w:numId="9">
    <w:abstractNumId w:val="10"/>
  </w:num>
  <w:num w:numId="10">
    <w:abstractNumId w:val="6"/>
  </w:num>
  <w:num w:numId="11">
    <w:abstractNumId w:val="0"/>
  </w:num>
  <w:num w:numId="12">
    <w:abstractNumId w:val="8"/>
  </w:num>
  <w:num w:numId="13">
    <w:abstractNumId w:val="7"/>
  </w:num>
  <w:num w:numId="14">
    <w:abstractNumId w:val="12"/>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24A"/>
    <w:rsid w:val="00010973"/>
    <w:rsid w:val="0003719F"/>
    <w:rsid w:val="0007433E"/>
    <w:rsid w:val="000A7E67"/>
    <w:rsid w:val="000E4999"/>
    <w:rsid w:val="000F7842"/>
    <w:rsid w:val="00133331"/>
    <w:rsid w:val="00137390"/>
    <w:rsid w:val="00154463"/>
    <w:rsid w:val="00160890"/>
    <w:rsid w:val="001713D3"/>
    <w:rsid w:val="00171679"/>
    <w:rsid w:val="00171A0D"/>
    <w:rsid w:val="001C01DC"/>
    <w:rsid w:val="001D1ACC"/>
    <w:rsid w:val="001D3B2F"/>
    <w:rsid w:val="001E0C40"/>
    <w:rsid w:val="00206377"/>
    <w:rsid w:val="002253AB"/>
    <w:rsid w:val="00235E30"/>
    <w:rsid w:val="002655E6"/>
    <w:rsid w:val="002721E0"/>
    <w:rsid w:val="002927A1"/>
    <w:rsid w:val="0029541E"/>
    <w:rsid w:val="00297050"/>
    <w:rsid w:val="002D23FC"/>
    <w:rsid w:val="002E3E10"/>
    <w:rsid w:val="002F3268"/>
    <w:rsid w:val="00320575"/>
    <w:rsid w:val="0032350B"/>
    <w:rsid w:val="003340CD"/>
    <w:rsid w:val="00375100"/>
    <w:rsid w:val="003823DC"/>
    <w:rsid w:val="0038661C"/>
    <w:rsid w:val="00391056"/>
    <w:rsid w:val="003C7FC1"/>
    <w:rsid w:val="003F0D9B"/>
    <w:rsid w:val="003F2B4E"/>
    <w:rsid w:val="00404703"/>
    <w:rsid w:val="00421616"/>
    <w:rsid w:val="004447AB"/>
    <w:rsid w:val="00491FDD"/>
    <w:rsid w:val="00492420"/>
    <w:rsid w:val="00497218"/>
    <w:rsid w:val="004F647F"/>
    <w:rsid w:val="004F715C"/>
    <w:rsid w:val="005137C9"/>
    <w:rsid w:val="005535EF"/>
    <w:rsid w:val="0056377A"/>
    <w:rsid w:val="00583477"/>
    <w:rsid w:val="00587836"/>
    <w:rsid w:val="00591DA0"/>
    <w:rsid w:val="00592D12"/>
    <w:rsid w:val="005A5D7E"/>
    <w:rsid w:val="005B2469"/>
    <w:rsid w:val="005C0569"/>
    <w:rsid w:val="005C18D9"/>
    <w:rsid w:val="005F570E"/>
    <w:rsid w:val="0061160F"/>
    <w:rsid w:val="0062384C"/>
    <w:rsid w:val="00640B96"/>
    <w:rsid w:val="006420CF"/>
    <w:rsid w:val="00653E25"/>
    <w:rsid w:val="00673386"/>
    <w:rsid w:val="0068328C"/>
    <w:rsid w:val="00687288"/>
    <w:rsid w:val="006A1FA3"/>
    <w:rsid w:val="006A41F8"/>
    <w:rsid w:val="006B19C0"/>
    <w:rsid w:val="006D0B53"/>
    <w:rsid w:val="006F0AAA"/>
    <w:rsid w:val="006F34C7"/>
    <w:rsid w:val="006F7C6A"/>
    <w:rsid w:val="006F7EA2"/>
    <w:rsid w:val="00705E4E"/>
    <w:rsid w:val="007452E3"/>
    <w:rsid w:val="00760A79"/>
    <w:rsid w:val="00770D49"/>
    <w:rsid w:val="007B6296"/>
    <w:rsid w:val="007D57E6"/>
    <w:rsid w:val="007E37C4"/>
    <w:rsid w:val="007F00F3"/>
    <w:rsid w:val="007F3063"/>
    <w:rsid w:val="007F4315"/>
    <w:rsid w:val="007F7338"/>
    <w:rsid w:val="00802B6D"/>
    <w:rsid w:val="0080769C"/>
    <w:rsid w:val="0081494F"/>
    <w:rsid w:val="008212F3"/>
    <w:rsid w:val="008420DC"/>
    <w:rsid w:val="008514B6"/>
    <w:rsid w:val="00855FA9"/>
    <w:rsid w:val="00872EC0"/>
    <w:rsid w:val="008A4BC6"/>
    <w:rsid w:val="008B5FBF"/>
    <w:rsid w:val="008C495F"/>
    <w:rsid w:val="008C53CA"/>
    <w:rsid w:val="008E1333"/>
    <w:rsid w:val="008E558D"/>
    <w:rsid w:val="00902973"/>
    <w:rsid w:val="0090362B"/>
    <w:rsid w:val="00916375"/>
    <w:rsid w:val="0091637E"/>
    <w:rsid w:val="00934428"/>
    <w:rsid w:val="00940F65"/>
    <w:rsid w:val="00942D56"/>
    <w:rsid w:val="00945270"/>
    <w:rsid w:val="009639C8"/>
    <w:rsid w:val="00973424"/>
    <w:rsid w:val="00993757"/>
    <w:rsid w:val="009A6FE9"/>
    <w:rsid w:val="009C1605"/>
    <w:rsid w:val="00A04951"/>
    <w:rsid w:val="00A121C7"/>
    <w:rsid w:val="00A3283B"/>
    <w:rsid w:val="00A77245"/>
    <w:rsid w:val="00A969A9"/>
    <w:rsid w:val="00AC49E4"/>
    <w:rsid w:val="00AE3002"/>
    <w:rsid w:val="00AF46EC"/>
    <w:rsid w:val="00B4462A"/>
    <w:rsid w:val="00B51301"/>
    <w:rsid w:val="00B60645"/>
    <w:rsid w:val="00BB4A07"/>
    <w:rsid w:val="00BB57F0"/>
    <w:rsid w:val="00BC1879"/>
    <w:rsid w:val="00C43D0C"/>
    <w:rsid w:val="00C56AA4"/>
    <w:rsid w:val="00C5733E"/>
    <w:rsid w:val="00C60716"/>
    <w:rsid w:val="00C609D1"/>
    <w:rsid w:val="00C6312C"/>
    <w:rsid w:val="00CA024A"/>
    <w:rsid w:val="00CA1BF5"/>
    <w:rsid w:val="00CC61C4"/>
    <w:rsid w:val="00CD6F62"/>
    <w:rsid w:val="00D14D34"/>
    <w:rsid w:val="00D25E89"/>
    <w:rsid w:val="00D53988"/>
    <w:rsid w:val="00DC1F33"/>
    <w:rsid w:val="00DD3B6A"/>
    <w:rsid w:val="00DF2D65"/>
    <w:rsid w:val="00E07C08"/>
    <w:rsid w:val="00E13E1F"/>
    <w:rsid w:val="00E25120"/>
    <w:rsid w:val="00E30252"/>
    <w:rsid w:val="00E55B6F"/>
    <w:rsid w:val="00E61050"/>
    <w:rsid w:val="00E67929"/>
    <w:rsid w:val="00E67DAF"/>
    <w:rsid w:val="00E80288"/>
    <w:rsid w:val="00E80682"/>
    <w:rsid w:val="00E92F03"/>
    <w:rsid w:val="00EA2DA1"/>
    <w:rsid w:val="00EB0A7B"/>
    <w:rsid w:val="00EB2806"/>
    <w:rsid w:val="00F338C5"/>
    <w:rsid w:val="00F434D2"/>
    <w:rsid w:val="00F4676A"/>
    <w:rsid w:val="00F70205"/>
    <w:rsid w:val="00FA0A08"/>
    <w:rsid w:val="00FB483C"/>
    <w:rsid w:val="00FE3365"/>
    <w:rsid w:val="00FE5CAE"/>
    <w:rsid w:val="00FF32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802877"/>
  <w15:chartTrackingRefBased/>
  <w15:docId w15:val="{C604166C-9F8B-44C3-962B-347F82BDD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Times" w:hAnsi="Times"/>
      <w:sz w:val="24"/>
    </w:rPr>
  </w:style>
  <w:style w:type="paragraph" w:styleId="Heading1">
    <w:name w:val="heading 1"/>
    <w:basedOn w:val="Normal"/>
    <w:next w:val="Normal"/>
    <w:qFormat/>
    <w:pPr>
      <w:keepNext/>
      <w:ind w:left="360"/>
      <w:outlineLvl w:val="0"/>
    </w:pPr>
    <w:rPr>
      <w:rFonts w:ascii="Times New Roman" w:hAnsi="Times New Roman"/>
      <w:u w:val="single"/>
    </w:rPr>
  </w:style>
  <w:style w:type="paragraph" w:styleId="Heading2">
    <w:name w:val="heading 2"/>
    <w:basedOn w:val="Normal"/>
    <w:next w:val="Normal"/>
    <w:qFormat/>
    <w:pPr>
      <w:keepNext/>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0">
    <w:name w:val="p0"/>
    <w:basedOn w:val="Normal"/>
    <w:pPr>
      <w:tabs>
        <w:tab w:val="left" w:pos="720"/>
      </w:tabs>
      <w:spacing w:line="240" w:lineRule="atLeast"/>
      <w:jc w:val="both"/>
    </w:pPr>
  </w:style>
  <w:style w:type="paragraph" w:customStyle="1" w:styleId="c1">
    <w:name w:val="c1"/>
    <w:basedOn w:val="Normal"/>
    <w:pPr>
      <w:spacing w:line="240" w:lineRule="atLeast"/>
      <w:jc w:val="center"/>
    </w:pPr>
  </w:style>
  <w:style w:type="paragraph" w:customStyle="1" w:styleId="p2">
    <w:name w:val="p2"/>
    <w:basedOn w:val="Normal"/>
    <w:pPr>
      <w:tabs>
        <w:tab w:val="left" w:pos="720"/>
      </w:tabs>
      <w:spacing w:line="240" w:lineRule="atLeast"/>
    </w:pPr>
  </w:style>
  <w:style w:type="paragraph" w:customStyle="1" w:styleId="p3">
    <w:name w:val="p3"/>
    <w:basedOn w:val="Normal"/>
    <w:pPr>
      <w:tabs>
        <w:tab w:val="left" w:pos="580"/>
      </w:tabs>
      <w:spacing w:line="240" w:lineRule="atLeast"/>
    </w:pPr>
  </w:style>
  <w:style w:type="paragraph" w:customStyle="1" w:styleId="p4">
    <w:name w:val="p4"/>
    <w:basedOn w:val="Normal"/>
    <w:pPr>
      <w:tabs>
        <w:tab w:val="left" w:pos="1200"/>
      </w:tabs>
      <w:spacing w:line="240" w:lineRule="atLeast"/>
      <w:ind w:left="580"/>
    </w:pPr>
  </w:style>
  <w:style w:type="paragraph" w:customStyle="1" w:styleId="p5">
    <w:name w:val="p5"/>
    <w:basedOn w:val="Normal"/>
    <w:pPr>
      <w:spacing w:line="240" w:lineRule="atLeast"/>
      <w:ind w:left="580"/>
    </w:pPr>
  </w:style>
  <w:style w:type="paragraph" w:customStyle="1" w:styleId="p6">
    <w:name w:val="p6"/>
    <w:basedOn w:val="Normal"/>
    <w:pPr>
      <w:tabs>
        <w:tab w:val="left" w:pos="0"/>
        <w:tab w:val="left" w:pos="1200"/>
        <w:tab w:val="left" w:pos="1720"/>
      </w:tabs>
      <w:spacing w:line="240" w:lineRule="atLeast"/>
      <w:ind w:left="580" w:firstLine="620"/>
    </w:pPr>
  </w:style>
  <w:style w:type="paragraph" w:customStyle="1" w:styleId="c7">
    <w:name w:val="c7"/>
    <w:basedOn w:val="Normal"/>
    <w:pPr>
      <w:spacing w:line="240" w:lineRule="atLeast"/>
      <w:jc w:val="center"/>
    </w:pPr>
  </w:style>
  <w:style w:type="paragraph" w:customStyle="1" w:styleId="p8">
    <w:name w:val="p8"/>
    <w:basedOn w:val="Normal"/>
    <w:pPr>
      <w:tabs>
        <w:tab w:val="left" w:pos="0"/>
        <w:tab w:val="left" w:pos="660"/>
      </w:tabs>
      <w:spacing w:line="240" w:lineRule="atLeast"/>
      <w:ind w:left="580" w:firstLine="80"/>
    </w:pPr>
  </w:style>
  <w:style w:type="paragraph" w:customStyle="1" w:styleId="p9">
    <w:name w:val="p9"/>
    <w:basedOn w:val="Normal"/>
    <w:pPr>
      <w:tabs>
        <w:tab w:val="left" w:pos="0"/>
        <w:tab w:val="left" w:pos="1200"/>
      </w:tabs>
      <w:spacing w:line="240" w:lineRule="atLeast"/>
      <w:ind w:firstLine="660"/>
    </w:pPr>
  </w:style>
  <w:style w:type="paragraph" w:customStyle="1" w:styleId="c10">
    <w:name w:val="c10"/>
    <w:basedOn w:val="Normal"/>
    <w:pPr>
      <w:spacing w:line="240" w:lineRule="atLeast"/>
      <w:jc w:val="center"/>
    </w:pPr>
  </w:style>
  <w:style w:type="paragraph" w:customStyle="1" w:styleId="p11">
    <w:name w:val="p11"/>
    <w:basedOn w:val="Normal"/>
    <w:pPr>
      <w:tabs>
        <w:tab w:val="left" w:pos="940"/>
      </w:tabs>
      <w:spacing w:line="240" w:lineRule="atLeast"/>
      <w:ind w:left="280"/>
    </w:pPr>
  </w:style>
  <w:style w:type="paragraph" w:customStyle="1" w:styleId="p12">
    <w:name w:val="p12"/>
    <w:basedOn w:val="Normal"/>
    <w:pPr>
      <w:tabs>
        <w:tab w:val="left" w:pos="660"/>
      </w:tabs>
      <w:spacing w:line="240" w:lineRule="atLeast"/>
      <w:ind w:left="280"/>
    </w:pPr>
  </w:style>
  <w:style w:type="paragraph" w:customStyle="1" w:styleId="p13">
    <w:name w:val="p13"/>
    <w:basedOn w:val="Normal"/>
    <w:pPr>
      <w:spacing w:line="240" w:lineRule="atLeast"/>
      <w:ind w:left="280" w:hanging="280"/>
    </w:pPr>
  </w:style>
  <w:style w:type="paragraph" w:customStyle="1" w:styleId="p14">
    <w:name w:val="p14"/>
    <w:basedOn w:val="Normal"/>
    <w:pPr>
      <w:tabs>
        <w:tab w:val="left" w:pos="0"/>
        <w:tab w:val="left" w:pos="940"/>
        <w:tab w:val="left" w:pos="1360"/>
      </w:tabs>
      <w:spacing w:line="240" w:lineRule="atLeast"/>
      <w:ind w:left="280" w:firstLine="660"/>
    </w:pPr>
  </w:style>
  <w:style w:type="paragraph" w:customStyle="1" w:styleId="p15">
    <w:name w:val="p15"/>
    <w:basedOn w:val="Normal"/>
    <w:pPr>
      <w:tabs>
        <w:tab w:val="left" w:pos="0"/>
        <w:tab w:val="left" w:pos="940"/>
      </w:tabs>
      <w:spacing w:line="240" w:lineRule="atLeast"/>
      <w:ind w:left="280" w:firstLine="660"/>
    </w:pPr>
  </w:style>
  <w:style w:type="paragraph" w:customStyle="1" w:styleId="p16">
    <w:name w:val="p16"/>
    <w:basedOn w:val="Normal"/>
    <w:pPr>
      <w:tabs>
        <w:tab w:val="left" w:pos="940"/>
      </w:tabs>
      <w:spacing w:line="240" w:lineRule="atLeast"/>
      <w:ind w:firstLine="940"/>
    </w:pPr>
  </w:style>
  <w:style w:type="paragraph" w:customStyle="1" w:styleId="p17">
    <w:name w:val="p17"/>
    <w:basedOn w:val="Normal"/>
    <w:pPr>
      <w:tabs>
        <w:tab w:val="left" w:pos="660"/>
      </w:tabs>
      <w:spacing w:line="240" w:lineRule="atLeast"/>
      <w:ind w:firstLine="660"/>
    </w:pPr>
  </w:style>
  <w:style w:type="paragraph" w:customStyle="1" w:styleId="t18">
    <w:name w:val="t18"/>
    <w:basedOn w:val="Normal"/>
    <w:pPr>
      <w:tabs>
        <w:tab w:val="left" w:pos="0"/>
        <w:tab w:val="left" w:pos="4560"/>
      </w:tabs>
      <w:spacing w:line="240" w:lineRule="atLeast"/>
    </w:pPr>
  </w:style>
  <w:style w:type="paragraph" w:customStyle="1" w:styleId="t19">
    <w:name w:val="t19"/>
    <w:basedOn w:val="Normal"/>
    <w:pPr>
      <w:tabs>
        <w:tab w:val="left" w:pos="4560"/>
        <w:tab w:val="left" w:pos="6540"/>
      </w:tabs>
      <w:spacing w:line="240" w:lineRule="atLeast"/>
    </w:pPr>
  </w:style>
  <w:style w:type="paragraph" w:customStyle="1" w:styleId="t20">
    <w:name w:val="t20"/>
    <w:basedOn w:val="Normal"/>
    <w:pPr>
      <w:tabs>
        <w:tab w:val="left" w:pos="0"/>
        <w:tab w:val="decimal" w:pos="5420"/>
        <w:tab w:val="decimal" w:pos="7040"/>
        <w:tab w:val="decimal" w:pos="9000"/>
      </w:tabs>
      <w:spacing w:line="240" w:lineRule="atLeast"/>
    </w:pPr>
  </w:style>
  <w:style w:type="paragraph" w:customStyle="1" w:styleId="t21">
    <w:name w:val="t21"/>
    <w:basedOn w:val="Normal"/>
    <w:pPr>
      <w:tabs>
        <w:tab w:val="left" w:pos="2180"/>
        <w:tab w:val="left" w:pos="3260"/>
        <w:tab w:val="left" w:pos="5300"/>
      </w:tabs>
      <w:spacing w:line="240" w:lineRule="atLeast"/>
    </w:pPr>
  </w:style>
  <w:style w:type="paragraph" w:customStyle="1" w:styleId="t22">
    <w:name w:val="t22"/>
    <w:basedOn w:val="Normal"/>
    <w:pPr>
      <w:tabs>
        <w:tab w:val="left" w:pos="0"/>
        <w:tab w:val="decimal" w:pos="4520"/>
        <w:tab w:val="left" w:pos="5000"/>
        <w:tab w:val="left" w:pos="5580"/>
      </w:tabs>
      <w:spacing w:line="240" w:lineRule="atLeast"/>
    </w:pPr>
  </w:style>
  <w:style w:type="paragraph" w:customStyle="1" w:styleId="p23">
    <w:name w:val="p23"/>
    <w:basedOn w:val="Normal"/>
    <w:pPr>
      <w:spacing w:line="240" w:lineRule="atLeast"/>
      <w:ind w:left="6220"/>
    </w:pPr>
  </w:style>
  <w:style w:type="paragraph" w:customStyle="1" w:styleId="p24">
    <w:name w:val="p24"/>
    <w:basedOn w:val="Normal"/>
    <w:pPr>
      <w:spacing w:line="240" w:lineRule="atLeast"/>
      <w:ind w:left="660" w:hanging="660"/>
    </w:pPr>
  </w:style>
  <w:style w:type="paragraph" w:customStyle="1" w:styleId="t25">
    <w:name w:val="t25"/>
    <w:basedOn w:val="Normal"/>
    <w:pPr>
      <w:tabs>
        <w:tab w:val="left" w:pos="6200"/>
      </w:tabs>
      <w:spacing w:line="240" w:lineRule="atLeast"/>
    </w:pPr>
  </w:style>
  <w:style w:type="paragraph" w:customStyle="1" w:styleId="t26">
    <w:name w:val="t26"/>
    <w:basedOn w:val="Normal"/>
    <w:pPr>
      <w:tabs>
        <w:tab w:val="right" w:pos="6420"/>
        <w:tab w:val="left" w:pos="6780"/>
        <w:tab w:val="decimal" w:pos="9260"/>
      </w:tabs>
      <w:spacing w:line="240" w:lineRule="atLeast"/>
    </w:pPr>
  </w:style>
  <w:style w:type="paragraph" w:customStyle="1" w:styleId="t27">
    <w:name w:val="t27"/>
    <w:basedOn w:val="Normal"/>
    <w:pPr>
      <w:tabs>
        <w:tab w:val="decimal" w:pos="5420"/>
        <w:tab w:val="left" w:pos="5920"/>
        <w:tab w:val="decimal" w:pos="7220"/>
        <w:tab w:val="decimal" w:pos="8200"/>
        <w:tab w:val="decimal" w:pos="9260"/>
      </w:tabs>
      <w:spacing w:line="240" w:lineRule="atLeast"/>
    </w:pPr>
  </w:style>
  <w:style w:type="paragraph" w:customStyle="1" w:styleId="p28">
    <w:name w:val="p28"/>
    <w:basedOn w:val="Normal"/>
    <w:pPr>
      <w:tabs>
        <w:tab w:val="left" w:pos="660"/>
      </w:tabs>
      <w:spacing w:line="240" w:lineRule="atLeast"/>
    </w:pPr>
  </w:style>
  <w:style w:type="paragraph" w:customStyle="1" w:styleId="t29">
    <w:name w:val="t29"/>
    <w:basedOn w:val="Normal"/>
    <w:pPr>
      <w:tabs>
        <w:tab w:val="left" w:pos="4300"/>
        <w:tab w:val="left" w:pos="6200"/>
      </w:tabs>
      <w:spacing w:line="240" w:lineRule="atLeast"/>
    </w:pPr>
  </w:style>
  <w:style w:type="paragraph" w:customStyle="1" w:styleId="t30">
    <w:name w:val="t30"/>
    <w:basedOn w:val="Normal"/>
    <w:pPr>
      <w:tabs>
        <w:tab w:val="left" w:pos="640"/>
        <w:tab w:val="decimal" w:pos="5120"/>
        <w:tab w:val="decimal" w:pos="7220"/>
        <w:tab w:val="decimal" w:pos="9000"/>
      </w:tabs>
      <w:spacing w:line="240" w:lineRule="atLeast"/>
    </w:pPr>
  </w:style>
  <w:style w:type="paragraph" w:customStyle="1" w:styleId="p31">
    <w:name w:val="p31"/>
    <w:basedOn w:val="Normal"/>
    <w:pPr>
      <w:spacing w:line="240" w:lineRule="atLeast"/>
      <w:ind w:left="4000"/>
    </w:pPr>
  </w:style>
  <w:style w:type="paragraph" w:customStyle="1" w:styleId="p32">
    <w:name w:val="p32"/>
    <w:basedOn w:val="Normal"/>
    <w:pPr>
      <w:tabs>
        <w:tab w:val="left" w:pos="1360"/>
      </w:tabs>
      <w:spacing w:line="240" w:lineRule="atLeast"/>
      <w:ind w:left="660"/>
    </w:pPr>
  </w:style>
  <w:style w:type="paragraph" w:customStyle="1" w:styleId="t33">
    <w:name w:val="t33"/>
    <w:basedOn w:val="Normal"/>
    <w:pPr>
      <w:tabs>
        <w:tab w:val="left" w:pos="4000"/>
        <w:tab w:val="left" w:pos="6200"/>
        <w:tab w:val="left" w:pos="8360"/>
      </w:tabs>
      <w:spacing w:line="240" w:lineRule="atLeast"/>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widowControl/>
      <w:ind w:left="360"/>
    </w:pPr>
    <w:rPr>
      <w:rFonts w:ascii="Courier New" w:hAnsi="Courier New"/>
      <w:u w:val="single"/>
    </w:rPr>
  </w:style>
  <w:style w:type="paragraph" w:styleId="BodyText">
    <w:name w:val="Body Text"/>
    <w:basedOn w:val="Normal"/>
    <w:rPr>
      <w:rFonts w:ascii="Times New Roman" w:hAnsi="Times New Roman"/>
      <w:b/>
      <w:bCs/>
      <w:u w:val="single"/>
    </w:rPr>
  </w:style>
  <w:style w:type="paragraph" w:styleId="BalloonText">
    <w:name w:val="Balloon Text"/>
    <w:basedOn w:val="Normal"/>
    <w:semiHidden/>
    <w:rsid w:val="00942D56"/>
    <w:rPr>
      <w:rFonts w:ascii="Tahoma" w:hAnsi="Tahoma" w:cs="Tahoma"/>
      <w:sz w:val="16"/>
      <w:szCs w:val="16"/>
    </w:rPr>
  </w:style>
  <w:style w:type="paragraph" w:styleId="FootnoteText">
    <w:name w:val="footnote text"/>
    <w:basedOn w:val="Normal"/>
    <w:semiHidden/>
    <w:rsid w:val="00C56AA4"/>
    <w:rPr>
      <w:sz w:val="20"/>
    </w:rPr>
  </w:style>
  <w:style w:type="character" w:styleId="FootnoteReference">
    <w:name w:val="footnote reference"/>
    <w:basedOn w:val="DefaultParagraphFont"/>
    <w:semiHidden/>
    <w:rsid w:val="00C56AA4"/>
    <w:rPr>
      <w:vertAlign w:val="superscript"/>
    </w:rPr>
  </w:style>
  <w:style w:type="character" w:styleId="Hyperlink">
    <w:name w:val="Hyperlink"/>
    <w:basedOn w:val="DefaultParagraphFont"/>
    <w:rsid w:val="00B60645"/>
    <w:rPr>
      <w:color w:val="0000FF"/>
      <w:u w:val="single"/>
    </w:rPr>
  </w:style>
  <w:style w:type="character" w:styleId="FollowedHyperlink">
    <w:name w:val="FollowedHyperlink"/>
    <w:basedOn w:val="DefaultParagraphFont"/>
    <w:rsid w:val="00DF2D65"/>
    <w:rPr>
      <w:color w:val="606420"/>
      <w:u w:val="single"/>
    </w:rPr>
  </w:style>
  <w:style w:type="table" w:styleId="TableGrid">
    <w:name w:val="Table Grid"/>
    <w:basedOn w:val="TableNormal"/>
    <w:rsid w:val="00AF46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rsid w:val="0029541E"/>
    <w:rPr>
      <w:sz w:val="16"/>
      <w:szCs w:val="16"/>
    </w:rPr>
  </w:style>
  <w:style w:type="paragraph" w:styleId="CommentText">
    <w:name w:val="annotation text"/>
    <w:basedOn w:val="Normal"/>
    <w:link w:val="CommentTextChar"/>
    <w:rsid w:val="0029541E"/>
    <w:rPr>
      <w:sz w:val="20"/>
    </w:rPr>
  </w:style>
  <w:style w:type="character" w:customStyle="1" w:styleId="CommentTextChar">
    <w:name w:val="Comment Text Char"/>
    <w:basedOn w:val="DefaultParagraphFont"/>
    <w:link w:val="CommentText"/>
    <w:rsid w:val="0029541E"/>
    <w:rPr>
      <w:rFonts w:ascii="Times" w:hAnsi="Times"/>
    </w:rPr>
  </w:style>
  <w:style w:type="paragraph" w:styleId="CommentSubject">
    <w:name w:val="annotation subject"/>
    <w:basedOn w:val="CommentText"/>
    <w:next w:val="CommentText"/>
    <w:link w:val="CommentSubjectChar"/>
    <w:rsid w:val="0029541E"/>
    <w:rPr>
      <w:b/>
      <w:bCs/>
    </w:rPr>
  </w:style>
  <w:style w:type="character" w:customStyle="1" w:styleId="CommentSubjectChar">
    <w:name w:val="Comment Subject Char"/>
    <w:basedOn w:val="CommentTextChar"/>
    <w:link w:val="CommentSubject"/>
    <w:rsid w:val="0029541E"/>
    <w:rPr>
      <w:rFonts w:ascii="Times" w:hAnsi="Times"/>
      <w:b/>
      <w:bCs/>
    </w:rPr>
  </w:style>
  <w:style w:type="paragraph" w:styleId="Revision">
    <w:name w:val="Revision"/>
    <w:hidden/>
    <w:uiPriority w:val="99"/>
    <w:semiHidden/>
    <w:rsid w:val="0029541E"/>
    <w:rPr>
      <w:rFonts w:ascii="Times" w:hAnsi="Times"/>
      <w:sz w:val="24"/>
    </w:rPr>
  </w:style>
  <w:style w:type="paragraph" w:styleId="Subtitle">
    <w:name w:val="Subtitle"/>
    <w:basedOn w:val="Normal"/>
    <w:link w:val="SubtitleChar"/>
    <w:qFormat/>
    <w:rsid w:val="002721E0"/>
    <w:pPr>
      <w:widowControl/>
      <w:jc w:val="center"/>
    </w:pPr>
    <w:rPr>
      <w:rFonts w:ascii="Courier New" w:hAnsi="Courier New"/>
      <w:b/>
      <w:sz w:val="28"/>
    </w:rPr>
  </w:style>
  <w:style w:type="character" w:customStyle="1" w:styleId="SubtitleChar">
    <w:name w:val="Subtitle Char"/>
    <w:basedOn w:val="DefaultParagraphFont"/>
    <w:link w:val="Subtitle"/>
    <w:rsid w:val="002721E0"/>
    <w:rPr>
      <w:rFonts w:ascii="Courier New" w:hAnsi="Courier New"/>
      <w:b/>
      <w:sz w:val="28"/>
    </w:rPr>
  </w:style>
  <w:style w:type="paragraph" w:customStyle="1" w:styleId="p10">
    <w:name w:val="p10"/>
    <w:basedOn w:val="Normal"/>
    <w:rsid w:val="00497218"/>
    <w:pPr>
      <w:tabs>
        <w:tab w:val="left" w:pos="760"/>
      </w:tabs>
      <w:spacing w:line="240" w:lineRule="atLeas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68584">
      <w:bodyDiv w:val="1"/>
      <w:marLeft w:val="0"/>
      <w:marRight w:val="0"/>
      <w:marTop w:val="0"/>
      <w:marBottom w:val="0"/>
      <w:divBdr>
        <w:top w:val="none" w:sz="0" w:space="0" w:color="auto"/>
        <w:left w:val="none" w:sz="0" w:space="0" w:color="auto"/>
        <w:bottom w:val="none" w:sz="0" w:space="0" w:color="auto"/>
        <w:right w:val="none" w:sz="0" w:space="0" w:color="auto"/>
      </w:divBdr>
    </w:div>
    <w:div w:id="845511220">
      <w:bodyDiv w:val="1"/>
      <w:marLeft w:val="0"/>
      <w:marRight w:val="0"/>
      <w:marTop w:val="0"/>
      <w:marBottom w:val="0"/>
      <w:divBdr>
        <w:top w:val="none" w:sz="0" w:space="0" w:color="auto"/>
        <w:left w:val="none" w:sz="0" w:space="0" w:color="auto"/>
        <w:bottom w:val="none" w:sz="0" w:space="0" w:color="auto"/>
        <w:right w:val="none" w:sz="0" w:space="0" w:color="auto"/>
      </w:divBdr>
    </w:div>
    <w:div w:id="900020006">
      <w:bodyDiv w:val="1"/>
      <w:marLeft w:val="0"/>
      <w:marRight w:val="0"/>
      <w:marTop w:val="0"/>
      <w:marBottom w:val="0"/>
      <w:divBdr>
        <w:top w:val="none" w:sz="0" w:space="0" w:color="auto"/>
        <w:left w:val="none" w:sz="0" w:space="0" w:color="auto"/>
        <w:bottom w:val="none" w:sz="0" w:space="0" w:color="auto"/>
        <w:right w:val="none" w:sz="0" w:space="0" w:color="auto"/>
      </w:divBdr>
    </w:div>
    <w:div w:id="1279215555">
      <w:bodyDiv w:val="1"/>
      <w:marLeft w:val="0"/>
      <w:marRight w:val="0"/>
      <w:marTop w:val="0"/>
      <w:marBottom w:val="0"/>
      <w:divBdr>
        <w:top w:val="none" w:sz="0" w:space="0" w:color="auto"/>
        <w:left w:val="none" w:sz="0" w:space="0" w:color="auto"/>
        <w:bottom w:val="none" w:sz="0" w:space="0" w:color="auto"/>
        <w:right w:val="none" w:sz="0" w:space="0" w:color="auto"/>
      </w:divBdr>
    </w:div>
    <w:div w:id="1390425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scg.mil/Units/Organization/"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po.gov/fdsys/pkg/FR-2009-06-25/html/E9-14906.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dhs.gov/sites/default/files/publications/privacy_pia_uscg_misle.pdf" TargetMode="External"/><Relationship Id="rId4" Type="http://schemas.openxmlformats.org/officeDocument/2006/relationships/settings" Target="settings.xml"/><Relationship Id="rId9" Type="http://schemas.openxmlformats.org/officeDocument/2006/relationships/hyperlink" Target="https://www.dco.uscg.mil/msc"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A98B5E-6EF2-4E0A-A257-E6CA5215C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1382</Words>
  <Characters>8412</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United States Coast Guard</Company>
  <LinksUpToDate>false</LinksUpToDate>
  <CharactersWithSpaces>9775</CharactersWithSpaces>
  <SharedDoc>false</SharedDoc>
  <HLinks>
    <vt:vector size="24" baseType="variant">
      <vt:variant>
        <vt:i4>5767175</vt:i4>
      </vt:variant>
      <vt:variant>
        <vt:i4>9</vt:i4>
      </vt:variant>
      <vt:variant>
        <vt:i4>0</vt:i4>
      </vt:variant>
      <vt:variant>
        <vt:i4>5</vt:i4>
      </vt:variant>
      <vt:variant>
        <vt:lpwstr>https://www.gpo.gov/fdsys/pkg/FR-2009-06-25/html/E9-14906.htm</vt:lpwstr>
      </vt:variant>
      <vt:variant>
        <vt:lpwstr/>
      </vt:variant>
      <vt:variant>
        <vt:i4>852075</vt:i4>
      </vt:variant>
      <vt:variant>
        <vt:i4>6</vt:i4>
      </vt:variant>
      <vt:variant>
        <vt:i4>0</vt:i4>
      </vt:variant>
      <vt:variant>
        <vt:i4>5</vt:i4>
      </vt:variant>
      <vt:variant>
        <vt:lpwstr>https://www.dhs.gov/sites/default/files/publications/privacy_pia_uscg_misle.pdf</vt:lpwstr>
      </vt:variant>
      <vt:variant>
        <vt:lpwstr/>
      </vt:variant>
      <vt:variant>
        <vt:i4>851985</vt:i4>
      </vt:variant>
      <vt:variant>
        <vt:i4>3</vt:i4>
      </vt:variant>
      <vt:variant>
        <vt:i4>0</vt:i4>
      </vt:variant>
      <vt:variant>
        <vt:i4>5</vt:i4>
      </vt:variant>
      <vt:variant>
        <vt:lpwstr>https://homeport.uscg.mil/msc</vt:lpwstr>
      </vt:variant>
      <vt:variant>
        <vt:lpwstr/>
      </vt:variant>
      <vt:variant>
        <vt:i4>2097198</vt:i4>
      </vt:variant>
      <vt:variant>
        <vt:i4>0</vt:i4>
      </vt:variant>
      <vt:variant>
        <vt:i4>0</vt:i4>
      </vt:variant>
      <vt:variant>
        <vt:i4>5</vt:i4>
      </vt:variant>
      <vt:variant>
        <vt:lpwstr>http://www.uscg.mil/top/units/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USCG</dc:creator>
  <cp:keywords/>
  <cp:lastModifiedBy>Craig, Albert L CIV</cp:lastModifiedBy>
  <cp:revision>2</cp:revision>
  <cp:lastPrinted>2017-02-13T15:40:00Z</cp:lastPrinted>
  <dcterms:created xsi:type="dcterms:W3CDTF">2020-11-19T13:39:00Z</dcterms:created>
  <dcterms:modified xsi:type="dcterms:W3CDTF">2020-11-19T13:39:00Z</dcterms:modified>
</cp:coreProperties>
</file>