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5B1" w:rsidRDefault="00E56B8E" w14:paraId="58CFCCFE" w14:textId="77777777">
      <w:pPr>
        <w:tabs>
          <w:tab w:val="center" w:pos="4824"/>
        </w:tabs>
        <w:rPr>
          <w:rFonts w:ascii="Arial" w:hAnsi="Arial"/>
          <w:b/>
          <w:sz w:val="28"/>
        </w:rPr>
      </w:pPr>
      <w:r>
        <w:rPr>
          <w:rFonts w:ascii="Arial" w:hAnsi="Arial"/>
          <w:b/>
          <w:sz w:val="28"/>
        </w:rPr>
        <w:t xml:space="preserve"> </w:t>
      </w:r>
      <w:r w:rsidR="007655B1">
        <w:rPr>
          <w:rFonts w:ascii="Arial" w:hAnsi="Arial"/>
          <w:b/>
          <w:sz w:val="28"/>
        </w:rPr>
        <w:tab/>
        <w:t>Supporting Statement</w:t>
      </w:r>
    </w:p>
    <w:p w:rsidR="007655B1" w:rsidRDefault="007655B1" w14:paraId="36F80A89" w14:textId="005C9AF1">
      <w:pPr>
        <w:tabs>
          <w:tab w:val="center" w:pos="4824"/>
        </w:tabs>
        <w:rPr>
          <w:rFonts w:ascii="Arial" w:hAnsi="Arial"/>
          <w:b/>
          <w:sz w:val="28"/>
        </w:rPr>
      </w:pPr>
      <w:r>
        <w:rPr>
          <w:rFonts w:ascii="Arial" w:hAnsi="Arial"/>
          <w:b/>
          <w:sz w:val="28"/>
        </w:rPr>
        <w:tab/>
      </w:r>
      <w:r w:rsidR="00B3728F">
        <w:rPr>
          <w:rFonts w:ascii="Arial" w:hAnsi="Arial"/>
          <w:b/>
          <w:sz w:val="28"/>
        </w:rPr>
        <w:t>Create/Update Importer Identity Form</w:t>
      </w:r>
      <w:r w:rsidR="00EC0FB1">
        <w:rPr>
          <w:rFonts w:ascii="Arial" w:hAnsi="Arial"/>
          <w:b/>
          <w:sz w:val="28"/>
        </w:rPr>
        <w:t xml:space="preserve"> (CBP Form 5106)</w:t>
      </w:r>
    </w:p>
    <w:p w:rsidR="007655B1" w:rsidRDefault="007655B1" w14:paraId="64B8F093" w14:textId="77777777">
      <w:pPr>
        <w:tabs>
          <w:tab w:val="center" w:pos="4824"/>
        </w:tabs>
        <w:rPr>
          <w:rFonts w:ascii="Arial" w:hAnsi="Arial"/>
          <w:b/>
          <w:sz w:val="28"/>
        </w:rPr>
      </w:pPr>
      <w:r>
        <w:rPr>
          <w:rFonts w:ascii="Arial" w:hAnsi="Arial"/>
          <w:b/>
          <w:sz w:val="28"/>
        </w:rPr>
        <w:tab/>
        <w:t>1651-00</w:t>
      </w:r>
      <w:r w:rsidR="00601346">
        <w:rPr>
          <w:rFonts w:ascii="Arial" w:hAnsi="Arial"/>
          <w:b/>
          <w:sz w:val="28"/>
        </w:rPr>
        <w:t>64</w:t>
      </w:r>
    </w:p>
    <w:p w:rsidR="007655B1" w:rsidRDefault="007655B1" w14:paraId="25F22A32" w14:textId="77777777">
      <w:pPr>
        <w:rPr>
          <w:rFonts w:ascii="Arial" w:hAnsi="Arial"/>
        </w:rPr>
      </w:pPr>
    </w:p>
    <w:p w:rsidRPr="006F0AEE" w:rsidR="002B54B0" w:rsidP="002B54B0" w:rsidRDefault="002B54B0" w14:paraId="56497E21" w14:textId="77777777">
      <w:pPr>
        <w:rPr>
          <w:rFonts w:ascii="Arial" w:hAnsi="Arial" w:cs="Arial"/>
          <w:b/>
        </w:rPr>
      </w:pPr>
      <w:r>
        <w:rPr>
          <w:rFonts w:ascii="Arial" w:hAnsi="Arial" w:cs="Arial"/>
          <w:b/>
        </w:rPr>
        <w:t xml:space="preserve">A.  </w:t>
      </w:r>
      <w:r w:rsidRPr="006F0AEE">
        <w:rPr>
          <w:rFonts w:ascii="Arial" w:hAnsi="Arial" w:cs="Arial"/>
          <w:b/>
        </w:rPr>
        <w:t>Justification:</w:t>
      </w:r>
    </w:p>
    <w:p w:rsidRPr="006F0AEE" w:rsidR="002B54B0" w:rsidP="002B54B0" w:rsidRDefault="002B54B0" w14:paraId="5C789A25" w14:textId="77777777"/>
    <w:p w:rsidR="002B54B0" w:rsidP="00117114" w:rsidRDefault="002B54B0" w14:paraId="19BE5556" w14:textId="7C7E3449">
      <w:pPr>
        <w:numPr>
          <w:ilvl w:val="0"/>
          <w:numId w:val="2"/>
        </w:numPr>
        <w:rPr>
          <w:rFonts w:ascii="Arial" w:hAnsi="Arial" w:cs="Arial"/>
          <w:b/>
          <w:bCs/>
        </w:rPr>
      </w:pPr>
      <w:r>
        <w:rPr>
          <w:rFonts w:ascii="Arial" w:hAnsi="Arial" w:cs="Arial"/>
          <w:b/>
          <w:bCs/>
        </w:rPr>
        <w:t>Explain the circumstances that make the collection of information necessary.  Identify any legal or administrative requirements that necessitate the collection.  Attach a copy of the appropriate section of each statu</w:t>
      </w:r>
      <w:r w:rsidR="00AC0AA4">
        <w:rPr>
          <w:rFonts w:ascii="Arial" w:hAnsi="Arial" w:cs="Arial"/>
          <w:b/>
          <w:bCs/>
        </w:rPr>
        <w:t>t</w:t>
      </w:r>
      <w:r>
        <w:rPr>
          <w:rFonts w:ascii="Arial" w:hAnsi="Arial" w:cs="Arial"/>
          <w:b/>
          <w:bCs/>
        </w:rPr>
        <w:t>e and regulation mandating or authorizi</w:t>
      </w:r>
      <w:r w:rsidR="00312C3D">
        <w:rPr>
          <w:rFonts w:ascii="Arial" w:hAnsi="Arial" w:cs="Arial"/>
          <w:b/>
          <w:bCs/>
        </w:rPr>
        <w:t>ng the collection of informatio</w:t>
      </w:r>
      <w:r w:rsidR="00AC0AA4">
        <w:rPr>
          <w:rFonts w:ascii="Arial" w:hAnsi="Arial" w:cs="Arial"/>
          <w:b/>
          <w:bCs/>
        </w:rPr>
        <w:t>n</w:t>
      </w:r>
      <w:r w:rsidR="00471C01">
        <w:rPr>
          <w:rFonts w:ascii="Arial" w:hAnsi="Arial" w:cs="Arial"/>
          <w:b/>
          <w:bCs/>
        </w:rPr>
        <w:t>.</w:t>
      </w:r>
    </w:p>
    <w:p w:rsidR="00347CBE" w:rsidP="00347CBE" w:rsidRDefault="00347CBE" w14:paraId="35DC7A31" w14:textId="77777777">
      <w:pPr>
        <w:pStyle w:val="Default"/>
        <w:ind w:left="720"/>
        <w:rPr>
          <w:rFonts w:ascii="Arial" w:hAnsi="Arial"/>
        </w:rPr>
      </w:pPr>
    </w:p>
    <w:p w:rsidRPr="008154B1" w:rsidR="008154B1" w:rsidP="008154B1" w:rsidRDefault="008154B1" w14:paraId="4B094AF9" w14:textId="6FD6BF99">
      <w:pPr>
        <w:widowControl/>
        <w:ind w:left="720"/>
        <w:rPr>
          <w:rFonts w:ascii="Arial" w:hAnsi="Arial" w:cs="Arial"/>
          <w:szCs w:val="24"/>
        </w:rPr>
      </w:pPr>
      <w:r w:rsidRPr="008154B1">
        <w:rPr>
          <w:rFonts w:ascii="Arial" w:hAnsi="Arial" w:cs="Arial"/>
          <w:szCs w:val="24"/>
        </w:rPr>
        <w:t>The collection of the information on the “Create/Update Importer Identity Form”, commonly referred to as the “</w:t>
      </w:r>
      <w:hyperlink w:history="1" r:id="rId11">
        <w:r w:rsidRPr="008154B1">
          <w:rPr>
            <w:rStyle w:val="Hyperlink"/>
            <w:rFonts w:ascii="Arial" w:hAnsi="Arial" w:cs="Arial"/>
            <w:szCs w:val="24"/>
          </w:rPr>
          <w:t>CBP Form 5106</w:t>
        </w:r>
      </w:hyperlink>
      <w:r w:rsidRPr="008154B1">
        <w:rPr>
          <w:rFonts w:ascii="Arial" w:hAnsi="Arial" w:cs="Arial"/>
          <w:szCs w:val="24"/>
        </w:rPr>
        <w:t xml:space="preserve">” is the basis for establishing bond coverage, release and entry of merchandise, liquidation and the issuance of bills and refunds.  Members of the trade community use the Create/Update Importer Identification Form to register an entity as an Importer of Record (IOR) on the Automated Commercial Environment.  Registering as IOR with CBP is required if an entity intends to transact Customs business and be involved as an importer, consignee/ultimate consignee, </w:t>
      </w:r>
      <w:r w:rsidRPr="008154B1">
        <w:rPr>
          <w:rFonts w:ascii="Arial" w:hAnsi="Arial" w:cs="Arial"/>
          <w:szCs w:val="24"/>
          <w:lang w:val="en"/>
        </w:rPr>
        <w:t xml:space="preserve">any individual or organization involved as a party, such as 4811 party, </w:t>
      </w:r>
      <w:r w:rsidRPr="008154B1">
        <w:rPr>
          <w:rFonts w:ascii="Arial" w:hAnsi="Arial" w:cs="Arial"/>
          <w:szCs w:val="24"/>
        </w:rPr>
        <w:t>or sold to party on an informal or formal entry.  The number used to identify an IOR is either an Internal Revenue Service (IRS) Employer Identification Number (EIN), a Social Security Number (SSN), or a CBP-Assigned Number.  By collecting, certain information from the importer enables CBP to verify the identity of the importers, meeting IOR regulatory requirements for collecting information.  19 CFR 24.5.</w:t>
      </w:r>
    </w:p>
    <w:p w:rsidRPr="008154B1" w:rsidR="008154B1" w:rsidP="008154B1" w:rsidRDefault="008154B1" w14:paraId="3E8E191C" w14:textId="77777777">
      <w:pPr>
        <w:widowControl/>
        <w:ind w:left="720"/>
        <w:rPr>
          <w:rFonts w:ascii="Arial" w:hAnsi="Arial" w:cs="Arial"/>
          <w:szCs w:val="24"/>
        </w:rPr>
      </w:pPr>
    </w:p>
    <w:p w:rsidRPr="008154B1" w:rsidR="008154B1" w:rsidP="008154B1" w:rsidRDefault="008154B1" w14:paraId="6C661B2A" w14:textId="77777777">
      <w:pPr>
        <w:widowControl/>
        <w:ind w:left="720"/>
        <w:rPr>
          <w:rFonts w:ascii="Arial" w:hAnsi="Arial" w:cs="Arial"/>
          <w:szCs w:val="24"/>
        </w:rPr>
      </w:pPr>
      <w:r w:rsidRPr="008154B1">
        <w:rPr>
          <w:rFonts w:ascii="Arial" w:hAnsi="Arial" w:cs="Arial"/>
          <w:szCs w:val="24"/>
        </w:rPr>
        <w:t xml:space="preserve">Importers, each person, business firm, government agency, or other organization that intends to file an import entry shall file CBP Form 5106 with the first formal entry or request for services that will result in the issuance of a bill or a refund check upon adjustment of a cash collection.  This form is also filed for the ultimate consignee for whom an entry is being made.  </w:t>
      </w:r>
    </w:p>
    <w:p w:rsidRPr="008154B1" w:rsidR="008154B1" w:rsidP="008154B1" w:rsidRDefault="008154B1" w14:paraId="242D0BDA" w14:textId="77777777">
      <w:pPr>
        <w:widowControl/>
        <w:ind w:left="720"/>
        <w:rPr>
          <w:rFonts w:ascii="Arial" w:hAnsi="Arial" w:cs="Arial"/>
          <w:szCs w:val="24"/>
        </w:rPr>
      </w:pPr>
    </w:p>
    <w:p w:rsidRPr="001D1573" w:rsidR="001D1573" w:rsidP="008154B1" w:rsidRDefault="008154B1" w14:paraId="56116B2A" w14:textId="77777777">
      <w:pPr>
        <w:widowControl/>
        <w:ind w:left="720"/>
        <w:rPr>
          <w:rFonts w:ascii="Arial" w:hAnsi="Arial" w:cs="Arial"/>
          <w:szCs w:val="24"/>
        </w:rPr>
      </w:pPr>
      <w:r w:rsidRPr="008154B1">
        <w:rPr>
          <w:rFonts w:ascii="Arial" w:hAnsi="Arial" w:cs="Arial"/>
          <w:szCs w:val="24"/>
        </w:rPr>
        <w:t xml:space="preserve">CBP Form 5106 is authorized by 19 U.S.C 1484 and 31 U.S.C. 7701, and provided for by 19 CFR 24.5.  The current version of the form is accessible at: </w:t>
      </w:r>
      <w:r w:rsidR="001D1573">
        <w:rPr>
          <w:rFonts w:ascii="Arial" w:hAnsi="Arial" w:cs="Arial"/>
          <w:szCs w:val="24"/>
        </w:rPr>
        <w:fldChar w:fldCharType="begin"/>
      </w:r>
      <w:r w:rsidR="001D1573">
        <w:rPr>
          <w:rFonts w:ascii="Arial" w:hAnsi="Arial" w:cs="Arial"/>
          <w:szCs w:val="24"/>
        </w:rPr>
        <w:instrText xml:space="preserve"> HYPERLINK "</w:instrText>
      </w:r>
      <w:r w:rsidRPr="001D1573" w:rsidR="001D1573">
        <w:rPr>
          <w:rFonts w:ascii="Arial" w:hAnsi="Arial" w:cs="Arial"/>
          <w:szCs w:val="24"/>
        </w:rPr>
        <w:instrText xml:space="preserve">  https://www.cbp.gov/newsroom/publications/forms?title=5106</w:instrText>
      </w:r>
    </w:p>
    <w:p w:rsidRPr="001D1573" w:rsidR="001D1573" w:rsidP="008154B1" w:rsidRDefault="001D1573" w14:paraId="754913AE" w14:textId="77777777">
      <w:pPr>
        <w:widowControl/>
        <w:ind w:left="720"/>
        <w:rPr>
          <w:rFonts w:ascii="Arial" w:hAnsi="Arial" w:cs="Arial"/>
          <w:szCs w:val="24"/>
        </w:rPr>
      </w:pPr>
    </w:p>
    <w:p w:rsidRPr="0040086B" w:rsidR="001D1573" w:rsidP="008154B1" w:rsidRDefault="001D1573" w14:paraId="0F84E9DB" w14:textId="77777777">
      <w:pPr>
        <w:widowControl/>
        <w:ind w:left="720"/>
        <w:rPr>
          <w:rStyle w:val="Hyperlink"/>
          <w:rFonts w:ascii="Arial" w:hAnsi="Arial" w:cs="Arial"/>
          <w:szCs w:val="24"/>
        </w:rPr>
      </w:pPr>
      <w:r>
        <w:rPr>
          <w:rFonts w:ascii="Arial" w:hAnsi="Arial" w:cs="Arial"/>
          <w:szCs w:val="24"/>
        </w:rPr>
        <w:instrText xml:space="preserve">" </w:instrText>
      </w:r>
      <w:r>
        <w:rPr>
          <w:rFonts w:ascii="Arial" w:hAnsi="Arial" w:cs="Arial"/>
          <w:szCs w:val="24"/>
        </w:rPr>
        <w:fldChar w:fldCharType="separate"/>
      </w:r>
      <w:r w:rsidRPr="0040086B">
        <w:rPr>
          <w:rStyle w:val="Hyperlink"/>
          <w:rFonts w:ascii="Arial" w:hAnsi="Arial" w:cs="Arial"/>
          <w:szCs w:val="24"/>
        </w:rPr>
        <w:t xml:space="preserve">  https://www.cbp.gov/newsroom/publications/forms?title=5106</w:t>
      </w:r>
      <w:bookmarkStart w:name="_GoBack" w:id="0"/>
      <w:bookmarkEnd w:id="0"/>
    </w:p>
    <w:p w:rsidRPr="0040086B" w:rsidR="001D1573" w:rsidP="008154B1" w:rsidRDefault="001D1573" w14:paraId="790C42E8" w14:textId="77777777">
      <w:pPr>
        <w:widowControl/>
        <w:ind w:left="720"/>
        <w:rPr>
          <w:rStyle w:val="Hyperlink"/>
          <w:rFonts w:ascii="Arial" w:hAnsi="Arial" w:cs="Arial"/>
          <w:szCs w:val="24"/>
        </w:rPr>
      </w:pPr>
    </w:p>
    <w:p w:rsidR="008F5E61" w:rsidP="008154B1" w:rsidRDefault="001D1573" w14:paraId="643F046A" w14:textId="666FC201">
      <w:pPr>
        <w:widowControl/>
        <w:ind w:left="720"/>
      </w:pPr>
      <w:r>
        <w:rPr>
          <w:rFonts w:ascii="Arial" w:hAnsi="Arial" w:cs="Arial"/>
          <w:szCs w:val="24"/>
        </w:rPr>
        <w:fldChar w:fldCharType="end"/>
      </w:r>
    </w:p>
    <w:p w:rsidR="006D73CE" w:rsidP="00117114" w:rsidRDefault="006D73CE" w14:paraId="60993285" w14:textId="77777777">
      <w:pPr>
        <w:ind w:left="720" w:hanging="360"/>
      </w:pPr>
      <w:r>
        <w:rPr>
          <w:rFonts w:ascii="Arial" w:hAnsi="Arial" w:cs="Arial"/>
          <w:b/>
          <w:bCs/>
        </w:rPr>
        <w:t>2.</w:t>
      </w:r>
      <w:r>
        <w:tab/>
      </w: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2B54B0" w:rsidRDefault="002B54B0" w14:paraId="7033F440" w14:textId="77777777">
      <w:pPr>
        <w:jc w:val="both"/>
        <w:rPr>
          <w:rFonts w:ascii="Arial" w:hAnsi="Arial"/>
        </w:rPr>
      </w:pPr>
    </w:p>
    <w:p w:rsidR="000E5C96" w:rsidP="000E5C96" w:rsidRDefault="000E5C96" w14:paraId="142E3696" w14:textId="4E993D9C">
      <w:pPr>
        <w:widowControl/>
        <w:ind w:left="720"/>
        <w:rPr>
          <w:rFonts w:ascii="Arial" w:hAnsi="Arial" w:cs="Arial"/>
        </w:rPr>
      </w:pPr>
      <w:r w:rsidRPr="000E5C96">
        <w:rPr>
          <w:rFonts w:ascii="Arial" w:hAnsi="Arial" w:cs="Arial"/>
        </w:rPr>
        <w:t>CBP Form 5106 is used to establish records for bond coverage, release and entry of merchandise, liquidation and issuance of bills and refunds</w:t>
      </w:r>
      <w:r w:rsidR="009C58DF">
        <w:rPr>
          <w:rFonts w:ascii="Arial" w:hAnsi="Arial" w:cs="Arial"/>
        </w:rPr>
        <w:t xml:space="preserve">.  </w:t>
      </w:r>
      <w:r w:rsidRPr="00532768" w:rsidR="00532768">
        <w:rPr>
          <w:rFonts w:ascii="Arial" w:hAnsi="Arial" w:cs="Arial"/>
        </w:rPr>
        <w:t>Information on this form supports the Automated Commercial Environment’s (ACE</w:t>
      </w:r>
      <w:r w:rsidRPr="00532768" w:rsidR="009C58DF">
        <w:rPr>
          <w:rFonts w:ascii="Arial" w:hAnsi="Arial" w:cs="Arial"/>
        </w:rPr>
        <w:t xml:space="preserve">) </w:t>
      </w:r>
      <w:r w:rsidR="009C58DF">
        <w:rPr>
          <w:rFonts w:ascii="Arial" w:hAnsi="Arial" w:cs="Arial"/>
        </w:rPr>
        <w:t>IOR</w:t>
      </w:r>
      <w:r w:rsidR="000A6AA9">
        <w:rPr>
          <w:rFonts w:ascii="Arial" w:hAnsi="Arial" w:cs="Arial"/>
        </w:rPr>
        <w:t xml:space="preserve"> </w:t>
      </w:r>
      <w:r w:rsidRPr="00532768" w:rsidR="00532768">
        <w:rPr>
          <w:rFonts w:ascii="Arial" w:hAnsi="Arial" w:cs="Arial"/>
        </w:rPr>
        <w:t>information</w:t>
      </w:r>
      <w:r w:rsidR="000A6AA9">
        <w:rPr>
          <w:rFonts w:ascii="Arial" w:hAnsi="Arial" w:cs="Arial"/>
        </w:rPr>
        <w:t xml:space="preserve"> program</w:t>
      </w:r>
      <w:r w:rsidRPr="00532768" w:rsidR="00532768">
        <w:rPr>
          <w:rFonts w:ascii="Arial" w:hAnsi="Arial" w:cs="Arial"/>
        </w:rPr>
        <w:t xml:space="preserve">, </w:t>
      </w:r>
      <w:r w:rsidR="00532768">
        <w:rPr>
          <w:rFonts w:ascii="Arial" w:hAnsi="Arial" w:cs="Arial"/>
        </w:rPr>
        <w:t xml:space="preserve">and the importer vetting process </w:t>
      </w:r>
      <w:r w:rsidR="009C58DF">
        <w:rPr>
          <w:rFonts w:ascii="Arial" w:hAnsi="Arial" w:cs="Arial"/>
        </w:rPr>
        <w:t>by allowing</w:t>
      </w:r>
      <w:r w:rsidR="000A6AA9">
        <w:rPr>
          <w:rFonts w:ascii="Arial" w:hAnsi="Arial" w:cs="Arial"/>
        </w:rPr>
        <w:t xml:space="preserve"> for</w:t>
      </w:r>
      <w:r w:rsidR="00532768">
        <w:rPr>
          <w:rFonts w:ascii="Arial" w:hAnsi="Arial" w:cs="Arial"/>
        </w:rPr>
        <w:t xml:space="preserve"> more in-depth review and </w:t>
      </w:r>
      <w:r w:rsidR="00532768">
        <w:rPr>
          <w:rFonts w:ascii="Arial" w:hAnsi="Arial" w:cs="Arial"/>
        </w:rPr>
        <w:lastRenderedPageBreak/>
        <w:t xml:space="preserve">analysis to establish the </w:t>
      </w:r>
      <w:r w:rsidR="00672141">
        <w:rPr>
          <w:rFonts w:ascii="Arial" w:hAnsi="Arial" w:cs="Arial"/>
        </w:rPr>
        <w:t>IOR’s identity</w:t>
      </w:r>
      <w:r w:rsidRPr="000E5C96">
        <w:rPr>
          <w:rFonts w:ascii="Arial" w:hAnsi="Arial" w:cs="Arial"/>
        </w:rPr>
        <w:t xml:space="preserve">.  </w:t>
      </w:r>
      <w:r w:rsidRPr="0034365C" w:rsidR="0034365C">
        <w:rPr>
          <w:rFonts w:ascii="Arial" w:hAnsi="Arial" w:cs="Arial"/>
        </w:rPr>
        <w:t>The information provided on the 5106 is the basis for entering a new importer/ principal into CBP’s ACE database, which will provide for subsequent customs transactions</w:t>
      </w:r>
      <w:r w:rsidR="009C58DF">
        <w:rPr>
          <w:rFonts w:ascii="Arial" w:hAnsi="Arial" w:cs="Arial"/>
        </w:rPr>
        <w:t xml:space="preserve">.  These include </w:t>
      </w:r>
      <w:r w:rsidR="000A6AA9">
        <w:rPr>
          <w:rFonts w:ascii="Arial" w:hAnsi="Arial" w:cs="Arial"/>
        </w:rPr>
        <w:t>the entry and release</w:t>
      </w:r>
      <w:r w:rsidRPr="0034365C" w:rsidR="0034365C">
        <w:rPr>
          <w:rFonts w:ascii="Arial" w:hAnsi="Arial" w:cs="Arial"/>
        </w:rPr>
        <w:t xml:space="preserve"> of merchandise, liquidation</w:t>
      </w:r>
      <w:r w:rsidR="00EA0D88">
        <w:rPr>
          <w:rFonts w:ascii="Arial" w:hAnsi="Arial" w:cs="Arial"/>
        </w:rPr>
        <w:t>,</w:t>
      </w:r>
      <w:r w:rsidRPr="0034365C" w:rsidR="0034365C">
        <w:rPr>
          <w:rFonts w:ascii="Arial" w:hAnsi="Arial" w:cs="Arial"/>
        </w:rPr>
        <w:t xml:space="preserve"> and issuance of bills and refunds</w:t>
      </w:r>
      <w:r w:rsidRPr="0034365C" w:rsidR="005B07A6">
        <w:rPr>
          <w:rFonts w:ascii="Arial" w:hAnsi="Arial" w:cs="Arial"/>
        </w:rPr>
        <w:t xml:space="preserve">.  </w:t>
      </w:r>
      <w:r w:rsidRPr="000E5C96">
        <w:rPr>
          <w:rFonts w:ascii="Arial" w:hAnsi="Arial" w:cs="Arial"/>
        </w:rPr>
        <w:t xml:space="preserve">The </w:t>
      </w:r>
      <w:r w:rsidR="00532768">
        <w:rPr>
          <w:rFonts w:ascii="Arial" w:hAnsi="Arial" w:cs="Arial"/>
        </w:rPr>
        <w:t xml:space="preserve">information collected </w:t>
      </w:r>
      <w:r w:rsidR="009C58DF">
        <w:rPr>
          <w:rFonts w:ascii="Arial" w:hAnsi="Arial" w:cs="Arial"/>
        </w:rPr>
        <w:t xml:space="preserve">is </w:t>
      </w:r>
      <w:r w:rsidRPr="000E5C96" w:rsidR="009C58DF">
        <w:rPr>
          <w:rFonts w:ascii="Arial" w:hAnsi="Arial" w:cs="Arial"/>
        </w:rPr>
        <w:t>intended</w:t>
      </w:r>
      <w:r w:rsidRPr="000E5C96">
        <w:rPr>
          <w:rFonts w:ascii="Arial" w:hAnsi="Arial" w:cs="Arial"/>
        </w:rPr>
        <w:t xml:space="preserve"> to help</w:t>
      </w:r>
      <w:r w:rsidRPr="000E5C96">
        <w:rPr>
          <w:rFonts w:ascii="Arial" w:hAnsi="Arial" w:cs="Arial"/>
          <w:snapToGrid/>
          <w:szCs w:val="24"/>
        </w:rPr>
        <w:t xml:space="preserve"> CBP ensure that importers and consignees are engaged in legitimate import practices and to help CBP </w:t>
      </w:r>
      <w:r>
        <w:rPr>
          <w:rFonts w:ascii="Arial" w:hAnsi="Arial" w:cs="Arial"/>
          <w:snapToGrid/>
          <w:szCs w:val="24"/>
        </w:rPr>
        <w:t>work with companies to resolve</w:t>
      </w:r>
      <w:r w:rsidRPr="000E5C96">
        <w:rPr>
          <w:rFonts w:ascii="Arial" w:hAnsi="Arial" w:cs="Arial"/>
        </w:rPr>
        <w:t xml:space="preserve"> outstanding financial obligations</w:t>
      </w:r>
      <w:r w:rsidR="009C58DF">
        <w:rPr>
          <w:rFonts w:ascii="Arial" w:hAnsi="Arial" w:cs="Arial"/>
        </w:rPr>
        <w:t>.</w:t>
      </w:r>
      <w:r w:rsidRPr="000E5C96" w:rsidR="009C58DF">
        <w:rPr>
          <w:rFonts w:ascii="Arial" w:hAnsi="Arial" w:cs="Arial"/>
        </w:rPr>
        <w:t xml:space="preserve">  </w:t>
      </w:r>
    </w:p>
    <w:p w:rsidR="00056B7B" w:rsidP="000E5C96" w:rsidRDefault="00056B7B" w14:paraId="4BF0CB5E" w14:textId="77777777">
      <w:pPr>
        <w:widowControl/>
        <w:ind w:left="720"/>
        <w:rPr>
          <w:rFonts w:ascii="Arial" w:hAnsi="Arial" w:cs="Arial"/>
        </w:rPr>
      </w:pPr>
    </w:p>
    <w:p w:rsidR="00056B7B" w:rsidP="00CD4B6B" w:rsidRDefault="00056B7B" w14:paraId="504F7B77" w14:textId="246B7033">
      <w:pPr>
        <w:ind w:left="720"/>
        <w:jc w:val="both"/>
        <w:rPr>
          <w:rFonts w:ascii="Arial" w:hAnsi="Arial" w:cs="Arial"/>
          <w:bCs/>
          <w:szCs w:val="24"/>
        </w:rPr>
      </w:pPr>
      <w:r>
        <w:rPr>
          <w:rFonts w:ascii="Arial" w:hAnsi="Arial" w:cs="Arial"/>
          <w:bCs/>
          <w:szCs w:val="24"/>
        </w:rPr>
        <w:t xml:space="preserve">A study that was conducted by the United States Government Accountability Office (GAO) on Antidumping and Countervailing Duties in May 2012 determined that between the fiscal years of 2007 and 2011, CBP assessed civil penalties in the amount of $208 million against importers who had evaded the payment of ADD/CVD duties.  Since CBP is responsible for the enforcement of the scope of the dumping orders and the collection of the ADD/CVD duties, it is imperative that CBP is able to enhance its’ ability to make a determination of </w:t>
      </w:r>
      <w:r w:rsidRPr="006422A0">
        <w:rPr>
          <w:rFonts w:ascii="Arial" w:hAnsi="Arial" w:cs="Arial"/>
          <w:snapToGrid/>
          <w:szCs w:val="24"/>
        </w:rPr>
        <w:t>risk prior to the initial importation</w:t>
      </w:r>
      <w:r w:rsidR="000627BB">
        <w:rPr>
          <w:rFonts w:ascii="Arial" w:hAnsi="Arial" w:cs="Arial"/>
          <w:snapToGrid/>
          <w:szCs w:val="24"/>
        </w:rPr>
        <w:t xml:space="preserve"> and protect the Revenue</w:t>
      </w:r>
      <w:r>
        <w:rPr>
          <w:rFonts w:ascii="Arial" w:hAnsi="Arial" w:cs="Arial"/>
          <w:bCs/>
          <w:szCs w:val="24"/>
        </w:rPr>
        <w:t>.</w:t>
      </w:r>
    </w:p>
    <w:p w:rsidR="007655B1" w:rsidRDefault="007655B1" w14:paraId="07F7C117" w14:textId="77777777">
      <w:pPr>
        <w:jc w:val="both"/>
        <w:rPr>
          <w:rFonts w:ascii="Arial" w:hAnsi="Arial"/>
        </w:rPr>
      </w:pPr>
    </w:p>
    <w:p w:rsidR="007A3A68" w:rsidP="00117114" w:rsidRDefault="007A3A68" w14:paraId="46B73C3D" w14:textId="77777777">
      <w:pPr>
        <w:numPr>
          <w:ilvl w:val="0"/>
          <w:numId w:val="5"/>
        </w:numPr>
        <w:jc w:val="both"/>
      </w:pP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616FDE" w:rsidP="005A4599" w:rsidRDefault="00E26565" w14:paraId="7E8EC26E" w14:textId="77777777">
      <w:pPr>
        <w:tabs>
          <w:tab w:val="left" w:pos="2340"/>
        </w:tabs>
        <w:ind w:left="360"/>
        <w:jc w:val="both"/>
      </w:pPr>
      <w:r>
        <w:tab/>
      </w:r>
    </w:p>
    <w:p w:rsidR="00766068" w:rsidP="00766068" w:rsidRDefault="00E26565" w14:paraId="45C5E0BC" w14:textId="0F7AB5D5">
      <w:pPr>
        <w:tabs>
          <w:tab w:val="left" w:pos="-1440"/>
        </w:tabs>
        <w:ind w:left="720" w:hanging="720"/>
        <w:rPr>
          <w:rFonts w:ascii="Arial" w:hAnsi="Arial"/>
        </w:rPr>
      </w:pPr>
      <w:r>
        <w:t xml:space="preserve">     </w:t>
      </w:r>
      <w:r>
        <w:tab/>
      </w:r>
      <w:r>
        <w:rPr>
          <w:rFonts w:ascii="Arial" w:hAnsi="Arial"/>
        </w:rPr>
        <w:t>This information can be transmitted electronically via the Automated Broker Interface</w:t>
      </w:r>
      <w:r w:rsidR="00704C2A">
        <w:rPr>
          <w:rFonts w:ascii="Arial" w:hAnsi="Arial"/>
        </w:rPr>
        <w:t xml:space="preserve"> (ABI)</w:t>
      </w:r>
      <w:r>
        <w:rPr>
          <w:rFonts w:ascii="Arial" w:hAnsi="Arial"/>
        </w:rPr>
        <w:t xml:space="preserve"> syste</w:t>
      </w:r>
      <w:r w:rsidR="00EA0D88">
        <w:rPr>
          <w:rFonts w:ascii="Arial" w:hAnsi="Arial"/>
        </w:rPr>
        <w:t>m</w:t>
      </w:r>
      <w:r w:rsidR="009C58DF">
        <w:rPr>
          <w:rFonts w:ascii="Arial" w:hAnsi="Arial"/>
        </w:rPr>
        <w:t xml:space="preserve">.  </w:t>
      </w:r>
      <w:r w:rsidR="00EA0D88">
        <w:rPr>
          <w:rFonts w:ascii="Arial" w:hAnsi="Arial"/>
        </w:rPr>
        <w:t>A completed CBP Form 5106 can also be submitted</w:t>
      </w:r>
      <w:r w:rsidR="003901EC">
        <w:rPr>
          <w:rFonts w:ascii="Arial" w:hAnsi="Arial"/>
        </w:rPr>
        <w:t xml:space="preserve"> by </w:t>
      </w:r>
      <w:r w:rsidR="009C58DF">
        <w:rPr>
          <w:rFonts w:ascii="Arial" w:hAnsi="Arial"/>
        </w:rPr>
        <w:t xml:space="preserve">email </w:t>
      </w:r>
      <w:r w:rsidRPr="0034365C" w:rsidR="009C58DF">
        <w:rPr>
          <w:rFonts w:ascii="Arial" w:hAnsi="Arial"/>
        </w:rPr>
        <w:t>to</w:t>
      </w:r>
      <w:r w:rsidRPr="0034365C" w:rsidR="0034365C">
        <w:rPr>
          <w:rFonts w:ascii="Arial" w:hAnsi="Arial"/>
        </w:rPr>
        <w:t xml:space="preserve"> </w:t>
      </w:r>
      <w:hyperlink w:history="1" r:id="rId12">
        <w:r w:rsidRPr="00253286" w:rsidR="00EA0D88">
          <w:rPr>
            <w:rStyle w:val="Hyperlink"/>
            <w:rFonts w:ascii="Arial" w:hAnsi="Arial"/>
          </w:rPr>
          <w:t>cbp.bondquestions@dhs.gov</w:t>
        </w:r>
      </w:hyperlink>
      <w:r w:rsidR="00EA0D88">
        <w:rPr>
          <w:rFonts w:ascii="Arial" w:hAnsi="Arial"/>
        </w:rPr>
        <w:t xml:space="preserve"> or to the Entry Division at the importer’s local port of entry</w:t>
      </w:r>
      <w:r>
        <w:rPr>
          <w:rFonts w:ascii="Arial" w:hAnsi="Arial"/>
        </w:rPr>
        <w:t xml:space="preserve">.  </w:t>
      </w:r>
      <w:r w:rsidR="003901EC">
        <w:rPr>
          <w:rFonts w:ascii="Arial" w:hAnsi="Arial"/>
        </w:rPr>
        <w:t>However, a</w:t>
      </w:r>
      <w:r>
        <w:rPr>
          <w:rFonts w:ascii="Arial" w:hAnsi="Arial"/>
        </w:rPr>
        <w:t>pproximately 95 percent of Importer ID Input Records are transmitted electronically</w:t>
      </w:r>
      <w:r w:rsidR="009C58DF">
        <w:rPr>
          <w:rFonts w:ascii="Arial" w:hAnsi="Arial"/>
        </w:rPr>
        <w:t xml:space="preserve">.  </w:t>
      </w:r>
      <w:r w:rsidR="00B702ED">
        <w:rPr>
          <w:rFonts w:ascii="Arial" w:hAnsi="Arial"/>
        </w:rPr>
        <w:t>Automated CBP Form 5106 capability was deployed on March 16, 2019</w:t>
      </w:r>
      <w:r w:rsidR="009C58DF">
        <w:rPr>
          <w:rFonts w:ascii="Arial" w:hAnsi="Arial"/>
        </w:rPr>
        <w:t xml:space="preserve">.  </w:t>
      </w:r>
      <w:r w:rsidRPr="00B702ED" w:rsidR="00B702ED">
        <w:rPr>
          <w:rFonts w:ascii="Arial" w:hAnsi="Arial"/>
        </w:rPr>
        <w:t xml:space="preserve">Licensed Customs Brokers who have access to the CBP Form 5106 ABI functionality </w:t>
      </w:r>
      <w:r w:rsidR="00B702ED">
        <w:rPr>
          <w:rFonts w:ascii="Arial" w:hAnsi="Arial"/>
        </w:rPr>
        <w:t>are</w:t>
      </w:r>
      <w:r w:rsidRPr="00B702ED" w:rsidR="00B702ED">
        <w:rPr>
          <w:rFonts w:ascii="Arial" w:hAnsi="Arial"/>
        </w:rPr>
        <w:t xml:space="preserve"> able to request and update CBP-Assigned Numbers.  Self-Filers are also able to use the 5106 ABI functionality to create or update IORs that are connected to their entity, including IORs associated with CBP-Assigned Number</w:t>
      </w:r>
      <w:r w:rsidR="00EA0D88">
        <w:rPr>
          <w:rFonts w:ascii="Arial" w:hAnsi="Arial"/>
        </w:rPr>
        <w:t>s</w:t>
      </w:r>
      <w:r w:rsidRPr="00B702ED" w:rsidR="009C58DF">
        <w:rPr>
          <w:rFonts w:ascii="Arial" w:hAnsi="Arial"/>
        </w:rPr>
        <w:t>.</w:t>
      </w:r>
      <w:r w:rsidR="009C58DF">
        <w:rPr>
          <w:rFonts w:ascii="Arial" w:hAnsi="Arial"/>
        </w:rPr>
        <w:t xml:space="preserve">  </w:t>
      </w:r>
    </w:p>
    <w:p w:rsidR="002569D4" w:rsidP="00E26565" w:rsidRDefault="002569D4" w14:paraId="534B5FFE" w14:textId="77777777">
      <w:pPr>
        <w:tabs>
          <w:tab w:val="left" w:pos="-1440"/>
        </w:tabs>
        <w:ind w:left="720" w:hanging="720"/>
        <w:rPr>
          <w:rFonts w:ascii="Arial" w:hAnsi="Arial"/>
        </w:rPr>
      </w:pPr>
    </w:p>
    <w:p w:rsidRPr="00704C2A" w:rsidR="00704C2A" w:rsidP="00704C2A" w:rsidRDefault="00704C2A" w14:paraId="0DAE68FF" w14:textId="77777777">
      <w:pPr>
        <w:ind w:left="720"/>
        <w:rPr>
          <w:rFonts w:ascii="Arial" w:hAnsi="Arial" w:cs="Arial"/>
          <w:snapToGrid/>
          <w:sz w:val="22"/>
        </w:rPr>
      </w:pPr>
      <w:r w:rsidRPr="00704C2A">
        <w:rPr>
          <w:rFonts w:ascii="Arial" w:hAnsi="Arial" w:cs="Arial"/>
        </w:rPr>
        <w:t>In addition to electronic submission through ABI, which is done by a broker</w:t>
      </w:r>
      <w:r>
        <w:rPr>
          <w:rFonts w:ascii="Arial" w:hAnsi="Arial" w:cs="Arial"/>
        </w:rPr>
        <w:t xml:space="preserve"> for an importer</w:t>
      </w:r>
      <w:r w:rsidRPr="00704C2A">
        <w:rPr>
          <w:rFonts w:ascii="Arial" w:hAnsi="Arial" w:cs="Arial"/>
        </w:rPr>
        <w:t>, CBP also developed a mobile application allowing the submission of a 5106 form directly to CBP from the importer in response to concerns raised by the customs broker and express carrier communities.  The revisions to the form include additional data elements and Personally Identifiable Information (PII) that importers may not want to reveal to a broker, or that a broker may not want to handle and store.  The app also allows importers to submit data quickly, when needed, without affecting the flow of shipments into the US, especially in express environments.</w:t>
      </w:r>
      <w:r w:rsidR="003007B5">
        <w:rPr>
          <w:rFonts w:ascii="Arial" w:hAnsi="Arial" w:cs="Arial"/>
        </w:rPr>
        <w:t xml:space="preserve">  </w:t>
      </w:r>
    </w:p>
    <w:p w:rsidR="00CC413E" w:rsidP="00704C2A" w:rsidRDefault="00704C2A" w14:paraId="76FEAA51" w14:textId="77777777">
      <w:pPr>
        <w:tabs>
          <w:tab w:val="left" w:pos="-1440"/>
        </w:tabs>
        <w:ind w:left="720" w:hanging="720"/>
        <w:rPr>
          <w:rFonts w:ascii="Arial" w:hAnsi="Arial"/>
        </w:rPr>
      </w:pPr>
      <w:r>
        <w:rPr>
          <w:rFonts w:ascii="Arial" w:hAnsi="Arial"/>
        </w:rPr>
        <w:t xml:space="preserve"> </w:t>
      </w:r>
    </w:p>
    <w:p w:rsidR="00282F99" w:rsidP="00117114" w:rsidRDefault="00282F99" w14:paraId="22D8E1A9" w14:textId="77777777">
      <w:pPr>
        <w:ind w:left="720" w:hanging="360"/>
        <w:jc w:val="both"/>
        <w:rPr>
          <w:rFonts w:ascii="Arial" w:hAnsi="Arial" w:cs="Arial"/>
          <w:b/>
          <w:bCs/>
        </w:rPr>
      </w:pPr>
      <w:r>
        <w:rPr>
          <w:rFonts w:ascii="Arial" w:hAnsi="Arial"/>
          <w:b/>
          <w:bCs/>
        </w:rPr>
        <w:t>4.</w:t>
      </w:r>
      <w:r>
        <w:rPr>
          <w:rFonts w:ascii="Arial" w:hAnsi="Arial"/>
        </w:rPr>
        <w:tab/>
      </w:r>
      <w:r>
        <w:rPr>
          <w:rFonts w:ascii="Arial" w:hAnsi="Arial" w:cs="Arial"/>
          <w:b/>
          <w:bCs/>
        </w:rPr>
        <w:t xml:space="preserve">Describe efforts to identify duplication.  Show specifically why any similar information already available cannot be used or modified for use for the </w:t>
      </w:r>
      <w:r>
        <w:rPr>
          <w:rFonts w:ascii="Arial" w:hAnsi="Arial" w:cs="Arial"/>
          <w:b/>
          <w:bCs/>
        </w:rPr>
        <w:lastRenderedPageBreak/>
        <w:t xml:space="preserve">purposes described in Item 2 above.  </w:t>
      </w:r>
    </w:p>
    <w:p w:rsidR="007A3A68" w:rsidRDefault="007A3A68" w14:paraId="7555CA29" w14:textId="77777777">
      <w:pPr>
        <w:tabs>
          <w:tab w:val="left" w:pos="-1440"/>
        </w:tabs>
        <w:ind w:left="720" w:hanging="720"/>
        <w:jc w:val="both"/>
        <w:rPr>
          <w:rFonts w:ascii="Arial" w:hAnsi="Arial"/>
        </w:rPr>
      </w:pPr>
    </w:p>
    <w:p w:rsidR="007655B1" w:rsidRDefault="007655B1" w14:paraId="773988D1" w14:textId="77777777">
      <w:pPr>
        <w:tabs>
          <w:tab w:val="left" w:pos="-1440"/>
        </w:tabs>
        <w:ind w:left="720" w:hanging="720"/>
        <w:jc w:val="both"/>
        <w:rPr>
          <w:rFonts w:ascii="Arial" w:hAnsi="Arial"/>
        </w:rPr>
      </w:pPr>
      <w:r>
        <w:rPr>
          <w:rFonts w:ascii="Arial" w:hAnsi="Arial"/>
        </w:rPr>
        <w:tab/>
        <w:t xml:space="preserve">This information is not duplicated elsewhere.  </w:t>
      </w:r>
    </w:p>
    <w:p w:rsidR="007655B1" w:rsidRDefault="007655B1" w14:paraId="7542B8ED" w14:textId="77777777">
      <w:pPr>
        <w:jc w:val="both"/>
        <w:rPr>
          <w:rFonts w:ascii="Arial" w:hAnsi="Arial"/>
        </w:rPr>
      </w:pPr>
    </w:p>
    <w:p w:rsidR="00E1721E" w:rsidP="00117114" w:rsidRDefault="00E1721E" w14:paraId="1BBD57CF" w14:textId="77777777">
      <w:pPr>
        <w:ind w:left="720" w:hanging="36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w:t>
      </w:r>
      <w:r w:rsidR="007C2F5A">
        <w:rPr>
          <w:rFonts w:ascii="Arial" w:hAnsi="Arial" w:cs="Arial"/>
          <w:b/>
          <w:bCs/>
        </w:rPr>
        <w:t>entities,</w:t>
      </w:r>
      <w:r>
        <w:rPr>
          <w:rFonts w:ascii="Arial" w:hAnsi="Arial" w:cs="Arial"/>
          <w:b/>
          <w:bCs/>
        </w:rPr>
        <w:t xml:space="preserve"> describe any methods used to minimize burden.  </w:t>
      </w:r>
    </w:p>
    <w:p w:rsidR="00282F99" w:rsidRDefault="00282F99" w14:paraId="49DE4F7B" w14:textId="77777777">
      <w:pPr>
        <w:tabs>
          <w:tab w:val="left" w:pos="-1440"/>
        </w:tabs>
        <w:ind w:left="720" w:hanging="720"/>
        <w:jc w:val="both"/>
        <w:rPr>
          <w:rFonts w:ascii="Arial" w:hAnsi="Arial"/>
        </w:rPr>
      </w:pPr>
    </w:p>
    <w:p w:rsidR="007655B1" w:rsidRDefault="007655B1" w14:paraId="709BECC2" w14:textId="77777777">
      <w:pPr>
        <w:tabs>
          <w:tab w:val="left" w:pos="-1440"/>
        </w:tabs>
        <w:ind w:left="720" w:hanging="720"/>
        <w:jc w:val="both"/>
        <w:rPr>
          <w:rFonts w:ascii="Arial" w:hAnsi="Arial"/>
        </w:rPr>
      </w:pPr>
      <w:r>
        <w:rPr>
          <w:rFonts w:ascii="Arial" w:hAnsi="Arial"/>
        </w:rPr>
        <w:tab/>
        <w:t xml:space="preserve">This information collection does not </w:t>
      </w:r>
      <w:r w:rsidR="00E26565">
        <w:rPr>
          <w:rFonts w:ascii="Arial" w:hAnsi="Arial"/>
        </w:rPr>
        <w:t xml:space="preserve">have a significant impact on </w:t>
      </w:r>
      <w:r>
        <w:rPr>
          <w:rFonts w:ascii="Arial" w:hAnsi="Arial"/>
        </w:rPr>
        <w:t>small businesses.</w:t>
      </w:r>
    </w:p>
    <w:p w:rsidR="007655B1" w:rsidRDefault="007655B1" w14:paraId="28D6CED5" w14:textId="77777777">
      <w:pPr>
        <w:jc w:val="both"/>
        <w:rPr>
          <w:rFonts w:ascii="Arial" w:hAnsi="Arial"/>
        </w:rPr>
      </w:pPr>
    </w:p>
    <w:p w:rsidR="002A2656" w:rsidP="00117114" w:rsidRDefault="00117114" w14:paraId="53C97AB3" w14:textId="0646EB8F">
      <w:pPr>
        <w:ind w:firstLine="360"/>
        <w:jc w:val="both"/>
        <w:rPr>
          <w:rFonts w:ascii="Arial" w:hAnsi="Arial"/>
        </w:rPr>
      </w:pPr>
      <w:r>
        <w:rPr>
          <w:rFonts w:ascii="Arial" w:hAnsi="Arial" w:cs="Arial"/>
          <w:b/>
          <w:bCs/>
        </w:rPr>
        <w:t xml:space="preserve">6. </w:t>
      </w:r>
      <w:r w:rsidR="002A2656">
        <w:rPr>
          <w:rFonts w:ascii="Arial" w:hAnsi="Arial" w:cs="Arial"/>
          <w:b/>
          <w:bCs/>
        </w:rPr>
        <w:t xml:space="preserve">Describe consequences to Federal program or policy activities if the                           </w:t>
      </w:r>
      <w:r w:rsidR="002A2656">
        <w:rPr>
          <w:rFonts w:ascii="Arial" w:hAnsi="Arial" w:cs="Arial"/>
          <w:b/>
          <w:bCs/>
        </w:rPr>
        <w:tab/>
        <w:t xml:space="preserve">collection is not conducted or is conducted less frequently, as well as any                  </w:t>
      </w:r>
      <w:r w:rsidR="002A2656">
        <w:rPr>
          <w:rFonts w:ascii="Arial" w:hAnsi="Arial" w:cs="Arial"/>
          <w:b/>
          <w:bCs/>
        </w:rPr>
        <w:tab/>
        <w:t>technical or legal obstacles to reducing burden.</w:t>
      </w:r>
    </w:p>
    <w:p w:rsidR="00E1721E" w:rsidRDefault="00E1721E" w14:paraId="7374FD24" w14:textId="77777777">
      <w:pPr>
        <w:tabs>
          <w:tab w:val="left" w:pos="-1440"/>
        </w:tabs>
        <w:ind w:left="720" w:hanging="720"/>
        <w:jc w:val="both"/>
        <w:rPr>
          <w:rFonts w:ascii="Arial" w:hAnsi="Arial"/>
        </w:rPr>
      </w:pPr>
    </w:p>
    <w:p w:rsidR="007655B1" w:rsidRDefault="002A2656" w14:paraId="6A203F4B" w14:textId="2F1AB627">
      <w:pPr>
        <w:tabs>
          <w:tab w:val="left" w:pos="-1440"/>
        </w:tabs>
        <w:ind w:left="720" w:hanging="720"/>
        <w:jc w:val="both"/>
        <w:rPr>
          <w:rFonts w:ascii="Arial" w:hAnsi="Arial"/>
        </w:rPr>
      </w:pPr>
      <w:r>
        <w:rPr>
          <w:rFonts w:ascii="Arial" w:hAnsi="Arial"/>
        </w:rPr>
        <w:tab/>
      </w:r>
      <w:r w:rsidR="007655B1">
        <w:rPr>
          <w:rFonts w:ascii="Arial" w:hAnsi="Arial"/>
        </w:rPr>
        <w:t>If the information was collected less frequently</w:t>
      </w:r>
      <w:r w:rsidR="00817354">
        <w:rPr>
          <w:rFonts w:ascii="Arial" w:hAnsi="Arial"/>
        </w:rPr>
        <w:t>,</w:t>
      </w:r>
      <w:r w:rsidR="007655B1">
        <w:rPr>
          <w:rFonts w:ascii="Arial" w:hAnsi="Arial"/>
        </w:rPr>
        <w:t xml:space="preserve"> </w:t>
      </w:r>
      <w:r w:rsidRPr="00366431" w:rsidR="00817354">
        <w:rPr>
          <w:rFonts w:ascii="Arial" w:hAnsi="Arial"/>
        </w:rPr>
        <w:t xml:space="preserve">CBP would not be able to enforce </w:t>
      </w:r>
      <w:r w:rsidRPr="00EC0FB1" w:rsidR="00470B2D">
        <w:rPr>
          <w:rFonts w:ascii="Arial" w:hAnsi="Arial"/>
        </w:rPr>
        <w:t>regulatory requir</w:t>
      </w:r>
      <w:r w:rsidRPr="00EC0FB1" w:rsidR="00373D4A">
        <w:rPr>
          <w:rFonts w:ascii="Arial" w:hAnsi="Arial"/>
        </w:rPr>
        <w:t>e</w:t>
      </w:r>
      <w:r w:rsidRPr="00EC0FB1" w:rsidR="00470B2D">
        <w:rPr>
          <w:rFonts w:ascii="Arial" w:hAnsi="Arial"/>
        </w:rPr>
        <w:t>ments</w:t>
      </w:r>
      <w:r w:rsidR="00EC0FB1">
        <w:rPr>
          <w:rFonts w:ascii="Arial" w:hAnsi="Arial"/>
        </w:rPr>
        <w:t xml:space="preserve"> and protect the Revenue</w:t>
      </w:r>
      <w:r w:rsidRPr="00EC0FB1" w:rsidR="00470B2D">
        <w:rPr>
          <w:rFonts w:ascii="Arial" w:hAnsi="Arial"/>
        </w:rPr>
        <w:t>.</w:t>
      </w:r>
    </w:p>
    <w:p w:rsidR="00085E1A" w:rsidRDefault="00085E1A" w14:paraId="72290BC4" w14:textId="77777777">
      <w:pPr>
        <w:tabs>
          <w:tab w:val="left" w:pos="-1440"/>
        </w:tabs>
        <w:ind w:left="720" w:hanging="720"/>
        <w:jc w:val="both"/>
        <w:rPr>
          <w:rFonts w:ascii="Arial" w:hAnsi="Arial"/>
        </w:rPr>
      </w:pPr>
    </w:p>
    <w:p w:rsidR="00085E1A" w:rsidP="00117114" w:rsidRDefault="00085E1A" w14:paraId="2BB55125" w14:textId="77777777">
      <w:pPr>
        <w:tabs>
          <w:tab w:val="left" w:pos="-1440"/>
        </w:tabs>
        <w:ind w:left="720" w:hanging="360"/>
        <w:jc w:val="both"/>
        <w:rPr>
          <w:rFonts w:ascii="Arial" w:hAnsi="Arial"/>
        </w:rPr>
      </w:pPr>
      <w:r>
        <w:rPr>
          <w:rFonts w:ascii="Arial" w:hAnsi="Arial"/>
          <w:b/>
          <w:bCs/>
        </w:rPr>
        <w:t>7.</w:t>
      </w:r>
      <w:r>
        <w:rPr>
          <w:rFonts w:ascii="Arial" w:hAnsi="Arial"/>
        </w:rPr>
        <w:tab/>
      </w:r>
      <w:r>
        <w:rPr>
          <w:rFonts w:ascii="Arial" w:hAnsi="Arial" w:cs="Arial"/>
          <w:b/>
          <w:bCs/>
        </w:rPr>
        <w:t>Explain any special circumstances</w:t>
      </w:r>
    </w:p>
    <w:p w:rsidR="00085E1A" w:rsidRDefault="00085E1A" w14:paraId="65F6C47E" w14:textId="77777777">
      <w:pPr>
        <w:tabs>
          <w:tab w:val="left" w:pos="-1440"/>
        </w:tabs>
        <w:ind w:left="720" w:hanging="720"/>
        <w:jc w:val="both"/>
        <w:rPr>
          <w:rFonts w:ascii="Arial" w:hAnsi="Arial"/>
        </w:rPr>
      </w:pPr>
    </w:p>
    <w:p w:rsidR="007655B1" w:rsidRDefault="00085E1A" w14:paraId="46DCFDA0" w14:textId="77777777">
      <w:pPr>
        <w:tabs>
          <w:tab w:val="left" w:pos="-1440"/>
        </w:tabs>
        <w:ind w:left="720" w:hanging="720"/>
        <w:jc w:val="both"/>
        <w:rPr>
          <w:rFonts w:ascii="Arial" w:hAnsi="Arial"/>
        </w:rPr>
      </w:pPr>
      <w:r>
        <w:rPr>
          <w:rFonts w:ascii="Arial" w:hAnsi="Arial"/>
        </w:rPr>
        <w:tab/>
      </w:r>
      <w:r w:rsidR="007655B1">
        <w:rPr>
          <w:rFonts w:ascii="Arial" w:hAnsi="Arial"/>
        </w:rPr>
        <w:t>This information collection is conducted in a manner consistent with the guidelines in 5 CFR 1320.5(c)(2).</w:t>
      </w:r>
    </w:p>
    <w:p w:rsidR="00373D4A" w:rsidRDefault="00373D4A" w14:paraId="26FAB386" w14:textId="77777777">
      <w:pPr>
        <w:jc w:val="both"/>
        <w:rPr>
          <w:rFonts w:ascii="Arial" w:hAnsi="Arial"/>
        </w:rPr>
      </w:pPr>
    </w:p>
    <w:p w:rsidR="00D90437" w:rsidP="00117114" w:rsidRDefault="00D90437" w14:paraId="7AC5F1B2" w14:textId="77777777">
      <w:pPr>
        <w:ind w:left="720" w:hanging="36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3671A" w:rsidR="00373D4A" w:rsidRDefault="0013671A" w14:paraId="16D62796" w14:textId="29701D4B">
      <w:pPr>
        <w:jc w:val="both"/>
        <w:rPr>
          <w:rFonts w:ascii="Arial" w:hAnsi="Arial"/>
          <w:color w:val="FF0000"/>
        </w:rPr>
      </w:pPr>
      <w:r>
        <w:rPr>
          <w:rFonts w:ascii="Arial" w:hAnsi="Arial"/>
          <w:color w:val="FF0000"/>
        </w:rPr>
        <w:tab/>
      </w:r>
    </w:p>
    <w:p w:rsidRPr="00F270DF" w:rsidR="0082153C" w:rsidP="0013671A" w:rsidRDefault="007655B1" w14:paraId="30B96AF4" w14:textId="38473C86">
      <w:pPr>
        <w:tabs>
          <w:tab w:val="left" w:pos="-1440"/>
        </w:tabs>
        <w:ind w:left="720" w:hanging="720"/>
        <w:jc w:val="both"/>
        <w:rPr>
          <w:rFonts w:ascii="Arial" w:hAnsi="Arial" w:cs="Arial"/>
          <w:szCs w:val="24"/>
        </w:rPr>
      </w:pPr>
      <w:r w:rsidRPr="00924434">
        <w:rPr>
          <w:rFonts w:ascii="Arial" w:hAnsi="Arial"/>
        </w:rPr>
        <w:tab/>
        <w:t>Public comments were solicited through</w:t>
      </w:r>
      <w:r w:rsidRPr="00924434" w:rsidR="0032779F">
        <w:rPr>
          <w:rFonts w:ascii="Arial" w:hAnsi="Arial"/>
        </w:rPr>
        <w:t xml:space="preserve"> two </w:t>
      </w:r>
      <w:r w:rsidRPr="00924434">
        <w:rPr>
          <w:rFonts w:ascii="Arial" w:hAnsi="Arial"/>
        </w:rPr>
        <w:t>Federal Register notice</w:t>
      </w:r>
      <w:r w:rsidRPr="00924434" w:rsidR="0032779F">
        <w:rPr>
          <w:rFonts w:ascii="Arial" w:hAnsi="Arial"/>
        </w:rPr>
        <w:t>s</w:t>
      </w:r>
      <w:r w:rsidRPr="00924434">
        <w:rPr>
          <w:rFonts w:ascii="Arial" w:hAnsi="Arial"/>
        </w:rPr>
        <w:t xml:space="preserve"> dated</w:t>
      </w:r>
      <w:r w:rsidRPr="00924434" w:rsidR="00683C40">
        <w:rPr>
          <w:rFonts w:ascii="Arial" w:hAnsi="Arial"/>
        </w:rPr>
        <w:t xml:space="preserve"> </w:t>
      </w:r>
      <w:r w:rsidRPr="00924434" w:rsidR="005B07A6">
        <w:rPr>
          <w:rFonts w:ascii="Arial" w:hAnsi="Arial"/>
        </w:rPr>
        <w:t>September</w:t>
      </w:r>
      <w:r w:rsidRPr="00924434" w:rsidR="00BB4F5B">
        <w:rPr>
          <w:rFonts w:ascii="Arial" w:hAnsi="Arial"/>
        </w:rPr>
        <w:t xml:space="preserve"> </w:t>
      </w:r>
      <w:r w:rsidRPr="00924434" w:rsidR="00924434">
        <w:rPr>
          <w:rFonts w:ascii="Arial" w:hAnsi="Arial"/>
        </w:rPr>
        <w:t>23</w:t>
      </w:r>
      <w:r w:rsidRPr="00924434">
        <w:rPr>
          <w:rFonts w:ascii="Arial" w:hAnsi="Arial"/>
        </w:rPr>
        <w:t>, 20</w:t>
      </w:r>
      <w:r w:rsidRPr="00924434" w:rsidR="005B07A6">
        <w:rPr>
          <w:rFonts w:ascii="Arial" w:hAnsi="Arial"/>
        </w:rPr>
        <w:t>20</w:t>
      </w:r>
      <w:r w:rsidRPr="00924434" w:rsidR="0032779F">
        <w:rPr>
          <w:rFonts w:ascii="Arial" w:hAnsi="Arial"/>
        </w:rPr>
        <w:t xml:space="preserve"> (</w:t>
      </w:r>
      <w:r w:rsidRPr="00C956FB" w:rsidR="00924434">
        <w:rPr>
          <w:rFonts w:ascii="Arial" w:hAnsi="Arial" w:cs="Arial"/>
        </w:rPr>
        <w:t>85 FR 59815</w:t>
      </w:r>
      <w:r w:rsidRPr="005B07A6" w:rsidR="0032779F">
        <w:rPr>
          <w:rFonts w:ascii="Arial" w:hAnsi="Arial"/>
        </w:rPr>
        <w:t xml:space="preserve">) and </w:t>
      </w:r>
      <w:r w:rsidRPr="005B07A6" w:rsidR="00D47FF8">
        <w:rPr>
          <w:rFonts w:ascii="Arial" w:hAnsi="Arial"/>
        </w:rPr>
        <w:t xml:space="preserve">on </w:t>
      </w:r>
      <w:r w:rsidR="008A4D47">
        <w:rPr>
          <w:rFonts w:ascii="Arial" w:hAnsi="Arial"/>
        </w:rPr>
        <w:t>December</w:t>
      </w:r>
      <w:r w:rsidRPr="008A4D47" w:rsidR="00367C01">
        <w:rPr>
          <w:rFonts w:ascii="Arial" w:hAnsi="Arial"/>
        </w:rPr>
        <w:t xml:space="preserve"> </w:t>
      </w:r>
      <w:r w:rsidR="008A4D47">
        <w:rPr>
          <w:rFonts w:ascii="Arial" w:hAnsi="Arial"/>
        </w:rPr>
        <w:t>03</w:t>
      </w:r>
      <w:r w:rsidRPr="008A4D47" w:rsidR="00D47FF8">
        <w:rPr>
          <w:rFonts w:ascii="Arial" w:hAnsi="Arial"/>
        </w:rPr>
        <w:t>, 20</w:t>
      </w:r>
      <w:r w:rsidRPr="008A4D47" w:rsidR="005B07A6">
        <w:rPr>
          <w:rFonts w:ascii="Arial" w:hAnsi="Arial"/>
        </w:rPr>
        <w:t>20</w:t>
      </w:r>
      <w:r w:rsidRPr="008A4D47" w:rsidR="00604BEF">
        <w:rPr>
          <w:rFonts w:ascii="Arial" w:hAnsi="Arial"/>
        </w:rPr>
        <w:t xml:space="preserve"> </w:t>
      </w:r>
      <w:r w:rsidRPr="008A4D47" w:rsidR="00D47FF8">
        <w:rPr>
          <w:rFonts w:ascii="Arial" w:hAnsi="Arial"/>
        </w:rPr>
        <w:t>(</w:t>
      </w:r>
      <w:r w:rsidR="008A4D47">
        <w:rPr>
          <w:rFonts w:ascii="Arial" w:hAnsi="Arial"/>
        </w:rPr>
        <w:t>85</w:t>
      </w:r>
      <w:r w:rsidRPr="008A4D47" w:rsidR="00604BEF">
        <w:rPr>
          <w:rFonts w:ascii="Arial" w:hAnsi="Arial"/>
        </w:rPr>
        <w:t xml:space="preserve"> FR</w:t>
      </w:r>
      <w:r w:rsidRPr="008A4D47" w:rsidR="00D47FF8">
        <w:rPr>
          <w:rFonts w:ascii="Arial" w:hAnsi="Arial"/>
        </w:rPr>
        <w:t xml:space="preserve"> </w:t>
      </w:r>
      <w:r w:rsidR="008A4D47">
        <w:rPr>
          <w:rFonts w:ascii="Arial" w:hAnsi="Arial"/>
        </w:rPr>
        <w:t>78142</w:t>
      </w:r>
      <w:r w:rsidRPr="008A4D47" w:rsidR="00D47FF8">
        <w:rPr>
          <w:rFonts w:ascii="Arial" w:hAnsi="Arial"/>
        </w:rPr>
        <w:t>)</w:t>
      </w:r>
      <w:r w:rsidRPr="005B07A6" w:rsidR="002C1235">
        <w:rPr>
          <w:rFonts w:ascii="Arial" w:hAnsi="Arial"/>
        </w:rPr>
        <w:t xml:space="preserve"> on which </w:t>
      </w:r>
      <w:r w:rsidR="005B07A6">
        <w:rPr>
          <w:rFonts w:ascii="Arial" w:hAnsi="Arial"/>
        </w:rPr>
        <w:t>no</w:t>
      </w:r>
      <w:r w:rsidRPr="005B07A6" w:rsidR="002C1235">
        <w:rPr>
          <w:rFonts w:ascii="Arial" w:hAnsi="Arial"/>
        </w:rPr>
        <w:t xml:space="preserve"> comment</w:t>
      </w:r>
      <w:r w:rsidR="005B07A6">
        <w:rPr>
          <w:rFonts w:ascii="Arial" w:hAnsi="Arial"/>
        </w:rPr>
        <w:t>s</w:t>
      </w:r>
      <w:r w:rsidRPr="005B07A6" w:rsidR="002C1235">
        <w:rPr>
          <w:rFonts w:ascii="Arial" w:hAnsi="Arial"/>
        </w:rPr>
        <w:t xml:space="preserve"> </w:t>
      </w:r>
      <w:r w:rsidRPr="005B07A6" w:rsidR="0082153C">
        <w:rPr>
          <w:rFonts w:ascii="Arial" w:hAnsi="Arial"/>
        </w:rPr>
        <w:t>w</w:t>
      </w:r>
      <w:r w:rsidR="005B07A6">
        <w:rPr>
          <w:rFonts w:ascii="Arial" w:hAnsi="Arial"/>
        </w:rPr>
        <w:t>ere</w:t>
      </w:r>
      <w:r w:rsidRPr="005B07A6" w:rsidR="0082153C">
        <w:rPr>
          <w:rFonts w:ascii="Arial" w:hAnsi="Arial"/>
        </w:rPr>
        <w:t xml:space="preserve"> received</w:t>
      </w:r>
      <w:r w:rsidRPr="005B07A6" w:rsidR="00D47FF8">
        <w:rPr>
          <w:rFonts w:ascii="Arial" w:hAnsi="Arial"/>
        </w:rPr>
        <w:t>.</w:t>
      </w:r>
      <w:r w:rsidR="0082153C">
        <w:rPr>
          <w:rFonts w:ascii="Arial" w:hAnsi="Arial"/>
        </w:rPr>
        <w:tab/>
      </w:r>
    </w:p>
    <w:p w:rsidR="007655B1" w:rsidP="0082153C" w:rsidRDefault="007655B1" w14:paraId="5448D4BA" w14:textId="77777777">
      <w:pPr>
        <w:tabs>
          <w:tab w:val="left" w:pos="-1440"/>
        </w:tabs>
        <w:ind w:left="720" w:hanging="720"/>
        <w:jc w:val="both"/>
        <w:rPr>
          <w:rFonts w:ascii="Arial" w:hAnsi="Arial"/>
        </w:rPr>
      </w:pPr>
    </w:p>
    <w:p w:rsidR="0019357D" w:rsidP="00117114" w:rsidRDefault="0019357D" w14:paraId="0915C55B" w14:textId="77777777">
      <w:pPr>
        <w:ind w:left="720" w:hanging="36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7655B1" w:rsidRDefault="007655B1" w14:paraId="2340E91C" w14:textId="77777777">
      <w:pPr>
        <w:jc w:val="both"/>
        <w:rPr>
          <w:rFonts w:ascii="Arial" w:hAnsi="Arial"/>
        </w:rPr>
      </w:pPr>
    </w:p>
    <w:p w:rsidR="007655B1" w:rsidRDefault="007655B1" w14:paraId="0C3BA1BB" w14:textId="77777777">
      <w:pPr>
        <w:tabs>
          <w:tab w:val="left" w:pos="-1440"/>
        </w:tabs>
        <w:ind w:left="720" w:hanging="720"/>
        <w:jc w:val="both"/>
        <w:rPr>
          <w:rFonts w:ascii="Arial" w:hAnsi="Arial"/>
        </w:rPr>
      </w:pPr>
      <w:r>
        <w:rPr>
          <w:rFonts w:ascii="Arial" w:hAnsi="Arial"/>
        </w:rPr>
        <w:t xml:space="preserve">  </w:t>
      </w:r>
      <w:r>
        <w:rPr>
          <w:rFonts w:ascii="Arial" w:hAnsi="Arial"/>
        </w:rPr>
        <w:tab/>
        <w:t>There is no offer of a monetary or material value for this information collection.</w:t>
      </w:r>
    </w:p>
    <w:p w:rsidR="007655B1" w:rsidRDefault="007655B1" w14:paraId="66B82C24" w14:textId="77777777">
      <w:pPr>
        <w:jc w:val="both"/>
        <w:rPr>
          <w:rFonts w:ascii="Arial" w:hAnsi="Arial"/>
        </w:rPr>
      </w:pPr>
    </w:p>
    <w:p w:rsidR="00AF1FAD" w:rsidP="00117114" w:rsidRDefault="00AF1FAD" w14:paraId="42825D89" w14:textId="07677109">
      <w:pPr>
        <w:numPr>
          <w:ilvl w:val="0"/>
          <w:numId w:val="6"/>
        </w:numPr>
        <w:ind w:hanging="540"/>
        <w:jc w:val="both"/>
        <w:rPr>
          <w:rFonts w:ascii="Arial" w:hAnsi="Arial" w:cs="Arial"/>
          <w:b/>
          <w:bCs/>
        </w:rPr>
      </w:pPr>
      <w:r>
        <w:rPr>
          <w:rFonts w:ascii="Arial" w:hAnsi="Arial" w:cs="Arial"/>
          <w:b/>
          <w:bCs/>
        </w:rPr>
        <w:t>Describe any assurance of confidentiality provided to respondents and the basis for the assurance in statute, regulation, or agency policy.</w:t>
      </w:r>
    </w:p>
    <w:p w:rsidR="001649D1" w:rsidP="00593731" w:rsidRDefault="001649D1" w14:paraId="6168944D" w14:textId="77777777">
      <w:pPr>
        <w:ind w:left="720"/>
        <w:rPr>
          <w:rFonts w:ascii="Arial" w:hAnsi="Arial"/>
          <w:color w:val="FF0000"/>
        </w:rPr>
      </w:pPr>
    </w:p>
    <w:p w:rsidRPr="00593731" w:rsidR="00593731" w:rsidP="00593731" w:rsidRDefault="00593731" w14:paraId="42FC67DF" w14:textId="0B48CB22">
      <w:pPr>
        <w:ind w:left="720"/>
        <w:rPr>
          <w:rFonts w:ascii="Arial" w:hAnsi="Arial" w:cs="Arial"/>
          <w:iCs/>
          <w:szCs w:val="24"/>
        </w:rPr>
      </w:pPr>
      <w:r w:rsidRPr="001649D1">
        <w:rPr>
          <w:rFonts w:ascii="Arial" w:hAnsi="Arial" w:cs="Arial"/>
          <w:bCs/>
          <w:szCs w:val="24"/>
        </w:rPr>
        <w:t xml:space="preserve">A PIA for the Automated Commercial Environment (ACE) dated July 31, 2015, and a SORN for </w:t>
      </w:r>
      <w:r w:rsidRPr="001649D1" w:rsidR="00A6757B">
        <w:rPr>
          <w:rFonts w:ascii="Arial" w:hAnsi="Arial" w:cs="Arial"/>
          <w:bCs/>
          <w:szCs w:val="24"/>
        </w:rPr>
        <w:t>the Import Information System</w:t>
      </w:r>
      <w:r w:rsidRPr="001649D1">
        <w:rPr>
          <w:rFonts w:ascii="Arial" w:hAnsi="Arial" w:cs="Arial"/>
          <w:bCs/>
          <w:szCs w:val="24"/>
        </w:rPr>
        <w:t xml:space="preserve">, dated </w:t>
      </w:r>
      <w:r w:rsidR="001649D1">
        <w:rPr>
          <w:rFonts w:ascii="Arial" w:hAnsi="Arial" w:cs="Arial"/>
          <w:bCs/>
          <w:szCs w:val="24"/>
        </w:rPr>
        <w:t>July</w:t>
      </w:r>
      <w:r w:rsidRPr="001649D1">
        <w:rPr>
          <w:rFonts w:ascii="Arial" w:hAnsi="Arial" w:cs="Arial"/>
          <w:bCs/>
          <w:szCs w:val="24"/>
        </w:rPr>
        <w:t xml:space="preserve"> </w:t>
      </w:r>
      <w:r w:rsidR="001649D1">
        <w:rPr>
          <w:rFonts w:ascii="Arial" w:hAnsi="Arial" w:cs="Arial"/>
          <w:bCs/>
          <w:szCs w:val="24"/>
        </w:rPr>
        <w:t>26</w:t>
      </w:r>
      <w:r w:rsidRPr="001649D1">
        <w:rPr>
          <w:rFonts w:ascii="Arial" w:hAnsi="Arial" w:cs="Arial"/>
          <w:bCs/>
          <w:szCs w:val="24"/>
        </w:rPr>
        <w:t>, 20</w:t>
      </w:r>
      <w:r w:rsidRPr="001649D1" w:rsidR="00A6757B">
        <w:rPr>
          <w:rFonts w:ascii="Arial" w:hAnsi="Arial" w:cs="Arial"/>
          <w:bCs/>
          <w:szCs w:val="24"/>
        </w:rPr>
        <w:t>1</w:t>
      </w:r>
      <w:r w:rsidR="001649D1">
        <w:rPr>
          <w:rFonts w:ascii="Arial" w:hAnsi="Arial" w:cs="Arial"/>
          <w:bCs/>
          <w:szCs w:val="24"/>
        </w:rPr>
        <w:t>6</w:t>
      </w:r>
      <w:r w:rsidRPr="001649D1">
        <w:rPr>
          <w:rFonts w:ascii="Arial" w:hAnsi="Arial" w:cs="Arial"/>
          <w:bCs/>
          <w:szCs w:val="24"/>
        </w:rPr>
        <w:t xml:space="preserve"> (Vol</w:t>
      </w:r>
      <w:r w:rsidRPr="001649D1" w:rsidR="00A6757B">
        <w:rPr>
          <w:rFonts w:ascii="Arial" w:hAnsi="Arial" w:cs="Arial"/>
          <w:bCs/>
          <w:szCs w:val="24"/>
        </w:rPr>
        <w:t>ume</w:t>
      </w:r>
      <w:r w:rsidRPr="001649D1">
        <w:rPr>
          <w:rFonts w:ascii="Arial" w:hAnsi="Arial" w:cs="Arial"/>
          <w:bCs/>
          <w:szCs w:val="24"/>
        </w:rPr>
        <w:t xml:space="preserve"> </w:t>
      </w:r>
      <w:r w:rsidR="001649D1">
        <w:rPr>
          <w:rFonts w:ascii="Arial" w:hAnsi="Arial" w:cs="Arial"/>
          <w:bCs/>
          <w:szCs w:val="24"/>
        </w:rPr>
        <w:t>81</w:t>
      </w:r>
      <w:r w:rsidRPr="001649D1">
        <w:rPr>
          <w:rFonts w:ascii="Arial" w:hAnsi="Arial" w:cs="Arial"/>
          <w:bCs/>
          <w:szCs w:val="24"/>
        </w:rPr>
        <w:t xml:space="preserve">, Page </w:t>
      </w:r>
      <w:r w:rsidRPr="001649D1" w:rsidR="00A6757B">
        <w:rPr>
          <w:rFonts w:ascii="Arial" w:hAnsi="Arial" w:cs="Arial"/>
          <w:bCs/>
          <w:szCs w:val="24"/>
        </w:rPr>
        <w:t>4</w:t>
      </w:r>
      <w:r w:rsidR="001649D1">
        <w:rPr>
          <w:rFonts w:ascii="Arial" w:hAnsi="Arial" w:cs="Arial"/>
          <w:bCs/>
          <w:szCs w:val="24"/>
        </w:rPr>
        <w:t>8826</w:t>
      </w:r>
      <w:r w:rsidRPr="001649D1">
        <w:rPr>
          <w:rFonts w:ascii="Arial" w:hAnsi="Arial" w:cs="Arial"/>
          <w:bCs/>
          <w:szCs w:val="24"/>
        </w:rPr>
        <w:t xml:space="preserve">) will be included in this ICR. </w:t>
      </w:r>
      <w:r w:rsidRPr="001649D1">
        <w:rPr>
          <w:rFonts w:ascii="Arial" w:hAnsi="Arial" w:cs="Arial"/>
          <w:iCs/>
          <w:szCs w:val="24"/>
        </w:rPr>
        <w:t xml:space="preserve"> </w:t>
      </w:r>
      <w:r w:rsidRPr="001649D1" w:rsidR="00C92CF3">
        <w:rPr>
          <w:rFonts w:ascii="Arial" w:hAnsi="Arial" w:cs="Arial"/>
          <w:iCs/>
          <w:szCs w:val="24"/>
        </w:rPr>
        <w:t>No assurances of confidentiality are provided to respondents.</w:t>
      </w:r>
    </w:p>
    <w:p w:rsidR="007655B1" w:rsidRDefault="007655B1" w14:paraId="6829B7DE" w14:textId="77777777">
      <w:pPr>
        <w:jc w:val="both"/>
        <w:rPr>
          <w:rFonts w:ascii="Arial" w:hAnsi="Arial"/>
        </w:rPr>
      </w:pPr>
    </w:p>
    <w:p w:rsidRPr="00117114" w:rsidR="00A265EB" w:rsidP="00117114" w:rsidRDefault="00A265EB" w14:paraId="237FA208" w14:textId="467D81B2">
      <w:pPr>
        <w:pStyle w:val="ListParagraph"/>
        <w:numPr>
          <w:ilvl w:val="0"/>
          <w:numId w:val="6"/>
        </w:numPr>
        <w:ind w:hanging="540"/>
        <w:jc w:val="both"/>
        <w:rPr>
          <w:rFonts w:ascii="Arial" w:hAnsi="Arial" w:cs="Arial"/>
          <w:b/>
          <w:bCs/>
        </w:rPr>
      </w:pPr>
      <w:r w:rsidRPr="00117114">
        <w:rPr>
          <w:rFonts w:ascii="Arial" w:hAnsi="Arial" w:cs="Arial"/>
          <w:b/>
          <w:bCs/>
        </w:rPr>
        <w:t xml:space="preserve">Provide additional justification for any questions of a sensitive nature, such as </w:t>
      </w:r>
      <w:r w:rsidRPr="00117114">
        <w:rPr>
          <w:rFonts w:ascii="Arial" w:hAnsi="Arial" w:cs="Arial"/>
          <w:b/>
          <w:bCs/>
        </w:rPr>
        <w:lastRenderedPageBreak/>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F1FAD" w:rsidRDefault="00AF1FAD" w14:paraId="7277D356" w14:textId="77777777">
      <w:pPr>
        <w:tabs>
          <w:tab w:val="left" w:pos="-1440"/>
        </w:tabs>
        <w:ind w:left="720" w:hanging="720"/>
        <w:jc w:val="both"/>
        <w:rPr>
          <w:rFonts w:ascii="Arial" w:hAnsi="Arial"/>
        </w:rPr>
      </w:pPr>
    </w:p>
    <w:p w:rsidR="00413108" w:rsidRDefault="007655B1" w14:paraId="79F3808D" w14:textId="77777777">
      <w:pPr>
        <w:tabs>
          <w:tab w:val="left" w:pos="-1440"/>
        </w:tabs>
        <w:ind w:left="720" w:hanging="720"/>
        <w:jc w:val="both"/>
        <w:rPr>
          <w:rFonts w:ascii="Arial" w:hAnsi="Arial"/>
        </w:rPr>
      </w:pPr>
      <w:r>
        <w:rPr>
          <w:rFonts w:ascii="Arial" w:hAnsi="Arial"/>
        </w:rPr>
        <w:tab/>
        <w:t>There are no questions of a personal or sensitive nature.</w:t>
      </w:r>
    </w:p>
    <w:p w:rsidR="00413108" w:rsidRDefault="00413108" w14:paraId="0D979A3C" w14:textId="77777777">
      <w:pPr>
        <w:tabs>
          <w:tab w:val="left" w:pos="-1440"/>
        </w:tabs>
        <w:ind w:left="720" w:hanging="720"/>
        <w:jc w:val="both"/>
        <w:rPr>
          <w:rFonts w:ascii="Arial" w:hAnsi="Arial"/>
        </w:rPr>
      </w:pPr>
    </w:p>
    <w:p w:rsidR="00A5704F" w:rsidP="00117114" w:rsidRDefault="00A5704F" w14:paraId="0C04B0C3" w14:textId="77777777">
      <w:pPr>
        <w:tabs>
          <w:tab w:val="left" w:pos="-1440"/>
        </w:tabs>
        <w:ind w:left="720" w:hanging="540"/>
        <w:jc w:val="both"/>
        <w:rPr>
          <w:rFonts w:ascii="Arial" w:hAnsi="Arial"/>
        </w:rPr>
      </w:pPr>
      <w:r>
        <w:rPr>
          <w:rFonts w:ascii="Arial" w:hAnsi="Arial"/>
          <w:b/>
          <w:bCs/>
        </w:rPr>
        <w:t>12.</w:t>
      </w:r>
      <w:r>
        <w:rPr>
          <w:rFonts w:ascii="Arial" w:hAnsi="Arial"/>
        </w:rPr>
        <w:tab/>
      </w:r>
      <w:r>
        <w:rPr>
          <w:rFonts w:ascii="Arial" w:hAnsi="Arial" w:cs="Arial"/>
          <w:b/>
          <w:bCs/>
        </w:rPr>
        <w:t>Provide estimates of the hour burden of the collection of information.</w:t>
      </w:r>
      <w:r>
        <w:rPr>
          <w:rFonts w:ascii="Arial" w:hAnsi="Arial"/>
        </w:rPr>
        <w:tab/>
      </w:r>
    </w:p>
    <w:p w:rsidRPr="0013671A" w:rsidR="0013671A" w:rsidP="00A5704F" w:rsidRDefault="0013671A" w14:paraId="2AFDEED3" w14:textId="2D4957E5">
      <w:pPr>
        <w:tabs>
          <w:tab w:val="left" w:pos="-1440"/>
        </w:tabs>
        <w:ind w:left="720" w:hanging="720"/>
        <w:jc w:val="both"/>
        <w:rPr>
          <w:rFonts w:ascii="Arial" w:hAnsi="Arial"/>
          <w:color w:val="FF0000"/>
        </w:rPr>
      </w:pPr>
    </w:p>
    <w:tbl>
      <w:tblPr>
        <w:tblW w:w="957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77"/>
        <w:gridCol w:w="1193"/>
        <w:gridCol w:w="1957"/>
        <w:gridCol w:w="1643"/>
        <w:gridCol w:w="1530"/>
        <w:gridCol w:w="1476"/>
      </w:tblGrid>
      <w:tr w:rsidRPr="0013671A" w:rsidR="008E1868" w:rsidTr="00195291" w14:paraId="25663307" w14:textId="77777777">
        <w:tc>
          <w:tcPr>
            <w:tcW w:w="1777" w:type="dxa"/>
            <w:shd w:val="clear" w:color="auto" w:fill="auto"/>
          </w:tcPr>
          <w:p w:rsidRPr="00BD06DE" w:rsidR="008E1868" w:rsidP="00D43606" w:rsidRDefault="008E1868" w14:paraId="6ABFE127" w14:textId="77777777">
            <w:pPr>
              <w:pStyle w:val="Style"/>
              <w:tabs>
                <w:tab w:val="left" w:pos="-1440"/>
              </w:tabs>
              <w:ind w:left="0" w:firstLine="0"/>
              <w:jc w:val="both"/>
              <w:rPr>
                <w:rFonts w:ascii="Arial" w:hAnsi="Arial"/>
              </w:rPr>
            </w:pPr>
          </w:p>
          <w:p w:rsidRPr="00BD06DE" w:rsidR="008E1868" w:rsidP="00D43606" w:rsidRDefault="008E1868" w14:paraId="5E2D8077" w14:textId="77777777">
            <w:pPr>
              <w:pStyle w:val="Style"/>
              <w:tabs>
                <w:tab w:val="left" w:pos="-1440"/>
              </w:tabs>
              <w:ind w:left="0" w:firstLine="0"/>
              <w:jc w:val="both"/>
              <w:rPr>
                <w:rFonts w:ascii="Arial" w:hAnsi="Arial"/>
                <w:sz w:val="22"/>
                <w:szCs w:val="22"/>
              </w:rPr>
            </w:pPr>
            <w:r w:rsidRPr="00BD06DE">
              <w:rPr>
                <w:rFonts w:ascii="Arial" w:hAnsi="Arial"/>
                <w:b/>
                <w:sz w:val="22"/>
                <w:szCs w:val="22"/>
              </w:rPr>
              <w:t xml:space="preserve">INFORMATION COLLECTION </w:t>
            </w:r>
          </w:p>
        </w:tc>
        <w:tc>
          <w:tcPr>
            <w:tcW w:w="1193" w:type="dxa"/>
            <w:shd w:val="clear" w:color="auto" w:fill="auto"/>
          </w:tcPr>
          <w:p w:rsidRPr="00BD06DE" w:rsidR="008E1868" w:rsidP="00D43606" w:rsidRDefault="008E1868" w14:paraId="12A63345" w14:textId="77777777">
            <w:pPr>
              <w:pStyle w:val="Style"/>
              <w:tabs>
                <w:tab w:val="left" w:pos="-1440"/>
              </w:tabs>
              <w:ind w:left="0" w:firstLine="0"/>
              <w:jc w:val="both"/>
              <w:rPr>
                <w:rFonts w:ascii="Arial" w:hAnsi="Arial"/>
                <w:b/>
                <w:sz w:val="22"/>
                <w:szCs w:val="22"/>
              </w:rPr>
            </w:pPr>
            <w:r w:rsidRPr="00BD06DE">
              <w:rPr>
                <w:rFonts w:ascii="Arial" w:hAnsi="Arial"/>
                <w:b/>
                <w:sz w:val="22"/>
                <w:szCs w:val="22"/>
              </w:rPr>
              <w:t>TOTAL ANNUAL BURDEN HOURS</w:t>
            </w:r>
          </w:p>
        </w:tc>
        <w:tc>
          <w:tcPr>
            <w:tcW w:w="1957" w:type="dxa"/>
            <w:shd w:val="clear" w:color="auto" w:fill="auto"/>
          </w:tcPr>
          <w:p w:rsidRPr="00BD06DE" w:rsidR="008E1868" w:rsidP="00D43606" w:rsidRDefault="008E1868" w14:paraId="0D098FF9" w14:textId="77777777">
            <w:pPr>
              <w:pStyle w:val="Style"/>
              <w:tabs>
                <w:tab w:val="left" w:pos="-1440"/>
              </w:tabs>
              <w:ind w:left="0" w:firstLine="0"/>
              <w:jc w:val="both"/>
              <w:rPr>
                <w:rFonts w:ascii="Arial" w:hAnsi="Arial"/>
                <w:b/>
                <w:sz w:val="22"/>
                <w:szCs w:val="22"/>
              </w:rPr>
            </w:pPr>
            <w:r w:rsidRPr="00BD06DE">
              <w:rPr>
                <w:rFonts w:ascii="Arial" w:hAnsi="Arial"/>
                <w:b/>
                <w:sz w:val="22"/>
                <w:szCs w:val="22"/>
              </w:rPr>
              <w:t>NO. OF</w:t>
            </w:r>
          </w:p>
          <w:p w:rsidRPr="00BD06DE" w:rsidR="008E1868" w:rsidP="00D43606" w:rsidRDefault="008E1868" w14:paraId="42E4F5E2" w14:textId="77777777">
            <w:pPr>
              <w:pStyle w:val="Style"/>
              <w:tabs>
                <w:tab w:val="left" w:pos="-1440"/>
              </w:tabs>
              <w:ind w:left="0" w:firstLine="0"/>
              <w:jc w:val="both"/>
              <w:rPr>
                <w:rFonts w:ascii="Arial" w:hAnsi="Arial"/>
                <w:b/>
                <w:sz w:val="22"/>
                <w:szCs w:val="22"/>
              </w:rPr>
            </w:pPr>
            <w:r w:rsidRPr="00BD06DE">
              <w:rPr>
                <w:rFonts w:ascii="Arial" w:hAnsi="Arial"/>
                <w:b/>
                <w:sz w:val="22"/>
                <w:szCs w:val="22"/>
              </w:rPr>
              <w:t>RESPONDENTS</w:t>
            </w:r>
          </w:p>
        </w:tc>
        <w:tc>
          <w:tcPr>
            <w:tcW w:w="1643" w:type="dxa"/>
            <w:shd w:val="clear" w:color="auto" w:fill="auto"/>
          </w:tcPr>
          <w:p w:rsidRPr="00BD06DE" w:rsidR="008E1868" w:rsidP="00D43606" w:rsidRDefault="008E1868" w14:paraId="64B9C24E" w14:textId="77777777">
            <w:pPr>
              <w:pStyle w:val="Style"/>
              <w:tabs>
                <w:tab w:val="left" w:pos="-1440"/>
              </w:tabs>
              <w:ind w:left="0" w:firstLine="0"/>
              <w:rPr>
                <w:rFonts w:ascii="Arial" w:hAnsi="Arial"/>
                <w:b/>
                <w:sz w:val="20"/>
              </w:rPr>
            </w:pPr>
            <w:r w:rsidRPr="00BD06DE">
              <w:rPr>
                <w:rFonts w:ascii="Arial" w:hAnsi="Arial"/>
                <w:b/>
                <w:sz w:val="20"/>
              </w:rPr>
              <w:t>NO. OF RESPONSES PER RESPONDENT</w:t>
            </w:r>
          </w:p>
        </w:tc>
        <w:tc>
          <w:tcPr>
            <w:tcW w:w="1530" w:type="dxa"/>
            <w:shd w:val="clear" w:color="auto" w:fill="auto"/>
          </w:tcPr>
          <w:p w:rsidRPr="00BD06DE" w:rsidR="008E1868" w:rsidP="00D43606" w:rsidRDefault="008E1868" w14:paraId="4560170F" w14:textId="77777777">
            <w:pPr>
              <w:pStyle w:val="Style"/>
              <w:tabs>
                <w:tab w:val="left" w:pos="-1440"/>
              </w:tabs>
              <w:ind w:left="0" w:firstLine="0"/>
              <w:jc w:val="both"/>
              <w:rPr>
                <w:rFonts w:ascii="Arial" w:hAnsi="Arial"/>
              </w:rPr>
            </w:pPr>
          </w:p>
          <w:p w:rsidRPr="00BD06DE" w:rsidR="008E1868" w:rsidP="00D43606" w:rsidRDefault="008E1868" w14:paraId="1261636F" w14:textId="77777777">
            <w:pPr>
              <w:pStyle w:val="Style"/>
              <w:tabs>
                <w:tab w:val="left" w:pos="-1440"/>
              </w:tabs>
              <w:ind w:left="0" w:firstLine="0"/>
              <w:jc w:val="both"/>
              <w:rPr>
                <w:rFonts w:ascii="Arial" w:hAnsi="Arial"/>
                <w:b/>
                <w:sz w:val="20"/>
              </w:rPr>
            </w:pPr>
            <w:r w:rsidRPr="00BD06DE">
              <w:rPr>
                <w:rFonts w:ascii="Arial" w:hAnsi="Arial"/>
                <w:b/>
                <w:sz w:val="20"/>
              </w:rPr>
              <w:t>TOTAL</w:t>
            </w:r>
          </w:p>
          <w:p w:rsidRPr="00BD06DE" w:rsidR="008E1868" w:rsidP="00D43606" w:rsidRDefault="008E1868" w14:paraId="3D3049A7" w14:textId="77777777">
            <w:pPr>
              <w:pStyle w:val="Style"/>
              <w:tabs>
                <w:tab w:val="left" w:pos="-1440"/>
              </w:tabs>
              <w:ind w:left="0" w:firstLine="0"/>
              <w:jc w:val="both"/>
              <w:rPr>
                <w:rFonts w:ascii="Arial" w:hAnsi="Arial"/>
              </w:rPr>
            </w:pPr>
            <w:r w:rsidRPr="00BD06DE">
              <w:rPr>
                <w:rFonts w:ascii="Arial" w:hAnsi="Arial"/>
                <w:b/>
                <w:sz w:val="20"/>
              </w:rPr>
              <w:t>RESPONSES</w:t>
            </w:r>
          </w:p>
        </w:tc>
        <w:tc>
          <w:tcPr>
            <w:tcW w:w="1476" w:type="dxa"/>
            <w:shd w:val="clear" w:color="auto" w:fill="auto"/>
          </w:tcPr>
          <w:p w:rsidRPr="00BD06DE" w:rsidR="008E1868" w:rsidP="00D43606" w:rsidRDefault="008E1868" w14:paraId="00866B95" w14:textId="77777777">
            <w:pPr>
              <w:pStyle w:val="Style"/>
              <w:tabs>
                <w:tab w:val="left" w:pos="-1440"/>
              </w:tabs>
              <w:ind w:left="0" w:firstLine="0"/>
              <w:jc w:val="both"/>
              <w:rPr>
                <w:rFonts w:ascii="Arial" w:hAnsi="Arial"/>
              </w:rPr>
            </w:pPr>
          </w:p>
          <w:p w:rsidRPr="00BD06DE" w:rsidR="008E1868" w:rsidP="00D43606" w:rsidRDefault="008E1868" w14:paraId="3FD9D36C" w14:textId="77777777">
            <w:pPr>
              <w:pStyle w:val="Style"/>
              <w:tabs>
                <w:tab w:val="left" w:pos="-1440"/>
              </w:tabs>
              <w:ind w:left="0" w:firstLine="0"/>
              <w:jc w:val="both"/>
              <w:rPr>
                <w:rFonts w:ascii="Arial" w:hAnsi="Arial"/>
                <w:b/>
                <w:sz w:val="22"/>
                <w:szCs w:val="22"/>
              </w:rPr>
            </w:pPr>
            <w:r w:rsidRPr="00BD06DE">
              <w:rPr>
                <w:rFonts w:ascii="Arial" w:hAnsi="Arial"/>
                <w:b/>
                <w:sz w:val="22"/>
                <w:szCs w:val="22"/>
              </w:rPr>
              <w:t>TIME PER</w:t>
            </w:r>
          </w:p>
          <w:p w:rsidRPr="00BD06DE" w:rsidR="008E1868" w:rsidP="00D43606" w:rsidRDefault="008E1868" w14:paraId="2290BB17" w14:textId="77777777">
            <w:pPr>
              <w:pStyle w:val="Style"/>
              <w:tabs>
                <w:tab w:val="left" w:pos="-1440"/>
              </w:tabs>
              <w:ind w:left="0" w:firstLine="0"/>
              <w:jc w:val="both"/>
              <w:rPr>
                <w:rFonts w:ascii="Arial" w:hAnsi="Arial"/>
              </w:rPr>
            </w:pPr>
            <w:r w:rsidRPr="00BD06DE">
              <w:rPr>
                <w:rFonts w:ascii="Arial" w:hAnsi="Arial"/>
                <w:b/>
                <w:sz w:val="22"/>
                <w:szCs w:val="22"/>
              </w:rPr>
              <w:t>RESPONSE</w:t>
            </w:r>
          </w:p>
        </w:tc>
      </w:tr>
      <w:tr w:rsidRPr="00D43606" w:rsidR="008E1868" w:rsidTr="00195291" w14:paraId="504698FA" w14:textId="77777777">
        <w:tc>
          <w:tcPr>
            <w:tcW w:w="1777" w:type="dxa"/>
            <w:shd w:val="clear" w:color="auto" w:fill="auto"/>
          </w:tcPr>
          <w:p w:rsidRPr="00BD06DE" w:rsidR="008E1868" w:rsidP="00D43606" w:rsidRDefault="008E1868" w14:paraId="5CC06CEE" w14:textId="77777777">
            <w:pPr>
              <w:pStyle w:val="Style"/>
              <w:tabs>
                <w:tab w:val="left" w:pos="-1440"/>
              </w:tabs>
              <w:ind w:left="0" w:firstLine="0"/>
              <w:rPr>
                <w:rFonts w:ascii="Arial" w:hAnsi="Arial"/>
                <w:b/>
                <w:sz w:val="20"/>
              </w:rPr>
            </w:pPr>
            <w:r w:rsidRPr="00BD06DE">
              <w:rPr>
                <w:rFonts w:ascii="Arial" w:hAnsi="Arial"/>
                <w:b/>
                <w:sz w:val="20"/>
              </w:rPr>
              <w:t>Importer ID Import Record</w:t>
            </w:r>
          </w:p>
          <w:p w:rsidRPr="00BD06DE" w:rsidR="008E1868" w:rsidP="00D43606" w:rsidRDefault="008E1868" w14:paraId="5D1FDB0C" w14:textId="77777777">
            <w:pPr>
              <w:pStyle w:val="Style"/>
              <w:tabs>
                <w:tab w:val="left" w:pos="-1440"/>
              </w:tabs>
              <w:ind w:left="0" w:firstLine="0"/>
              <w:rPr>
                <w:rFonts w:ascii="Arial" w:hAnsi="Arial"/>
                <w:b/>
                <w:sz w:val="22"/>
                <w:szCs w:val="22"/>
              </w:rPr>
            </w:pPr>
            <w:r w:rsidRPr="00BD06DE">
              <w:rPr>
                <w:rFonts w:ascii="Arial" w:hAnsi="Arial"/>
                <w:b/>
                <w:sz w:val="20"/>
              </w:rPr>
              <w:t>(Form 5106)</w:t>
            </w:r>
          </w:p>
        </w:tc>
        <w:tc>
          <w:tcPr>
            <w:tcW w:w="1193" w:type="dxa"/>
            <w:shd w:val="clear" w:color="auto" w:fill="auto"/>
          </w:tcPr>
          <w:p w:rsidRPr="00BD06DE" w:rsidR="008E1868" w:rsidP="00D43606" w:rsidRDefault="008E1868" w14:paraId="2A234D7A" w14:textId="77777777">
            <w:pPr>
              <w:pStyle w:val="Style"/>
              <w:tabs>
                <w:tab w:val="left" w:pos="-1440"/>
              </w:tabs>
              <w:ind w:left="0" w:firstLine="0"/>
              <w:jc w:val="both"/>
              <w:rPr>
                <w:rFonts w:ascii="Arial" w:hAnsi="Arial"/>
              </w:rPr>
            </w:pPr>
          </w:p>
          <w:p w:rsidRPr="00BD06DE" w:rsidR="008E1868" w:rsidP="00832911" w:rsidRDefault="008E1868" w14:paraId="27600D4D" w14:textId="77777777">
            <w:pPr>
              <w:pStyle w:val="Style"/>
              <w:tabs>
                <w:tab w:val="left" w:pos="-1440"/>
              </w:tabs>
              <w:ind w:left="0" w:firstLine="0"/>
              <w:jc w:val="both"/>
              <w:rPr>
                <w:rFonts w:ascii="Arial" w:hAnsi="Arial"/>
                <w:b/>
              </w:rPr>
            </w:pPr>
            <w:r w:rsidRPr="00BD06DE">
              <w:rPr>
                <w:rFonts w:ascii="Arial" w:hAnsi="Arial"/>
              </w:rPr>
              <w:t xml:space="preserve"> </w:t>
            </w:r>
            <w:r w:rsidRPr="00BD06DE" w:rsidR="00832911">
              <w:rPr>
                <w:rFonts w:ascii="Arial" w:hAnsi="Arial"/>
              </w:rPr>
              <w:t>225</w:t>
            </w:r>
            <w:r w:rsidRPr="00BD06DE" w:rsidR="005320C0">
              <w:rPr>
                <w:rFonts w:ascii="Arial" w:hAnsi="Arial"/>
              </w:rPr>
              <w:t>,000</w:t>
            </w:r>
          </w:p>
        </w:tc>
        <w:tc>
          <w:tcPr>
            <w:tcW w:w="1957" w:type="dxa"/>
            <w:shd w:val="clear" w:color="auto" w:fill="auto"/>
          </w:tcPr>
          <w:p w:rsidRPr="00BD06DE" w:rsidR="008E1868" w:rsidP="00D43606" w:rsidRDefault="008E1868" w14:paraId="2AEAFD7E" w14:textId="77777777">
            <w:pPr>
              <w:pStyle w:val="Style"/>
              <w:tabs>
                <w:tab w:val="left" w:pos="-1440"/>
              </w:tabs>
              <w:ind w:left="0" w:firstLine="0"/>
              <w:jc w:val="both"/>
              <w:rPr>
                <w:rFonts w:ascii="Arial" w:hAnsi="Arial"/>
              </w:rPr>
            </w:pPr>
          </w:p>
          <w:p w:rsidRPr="00BD06DE" w:rsidR="008E1868" w:rsidP="00D43606" w:rsidRDefault="008E1868" w14:paraId="140B9F4C" w14:textId="77777777">
            <w:pPr>
              <w:pStyle w:val="Style"/>
              <w:tabs>
                <w:tab w:val="left" w:pos="-1440"/>
              </w:tabs>
              <w:ind w:left="0" w:firstLine="0"/>
              <w:jc w:val="both"/>
              <w:rPr>
                <w:rFonts w:ascii="Arial" w:hAnsi="Arial"/>
              </w:rPr>
            </w:pPr>
            <w:r w:rsidRPr="00BD06DE">
              <w:rPr>
                <w:rFonts w:ascii="Arial" w:hAnsi="Arial"/>
              </w:rPr>
              <w:t xml:space="preserve">      </w:t>
            </w:r>
            <w:r w:rsidRPr="00BD06DE" w:rsidR="0065089F">
              <w:rPr>
                <w:rFonts w:ascii="Arial" w:hAnsi="Arial"/>
              </w:rPr>
              <w:t>300,0</w:t>
            </w:r>
            <w:r w:rsidRPr="00BD06DE">
              <w:rPr>
                <w:rFonts w:ascii="Arial" w:hAnsi="Arial"/>
              </w:rPr>
              <w:t>00</w:t>
            </w:r>
          </w:p>
        </w:tc>
        <w:tc>
          <w:tcPr>
            <w:tcW w:w="1643" w:type="dxa"/>
            <w:shd w:val="clear" w:color="auto" w:fill="auto"/>
          </w:tcPr>
          <w:p w:rsidRPr="00BD06DE" w:rsidR="008E1868" w:rsidP="00D43606" w:rsidRDefault="008E1868" w14:paraId="1CEAD5E4" w14:textId="77777777">
            <w:pPr>
              <w:pStyle w:val="Style"/>
              <w:tabs>
                <w:tab w:val="left" w:pos="-1440"/>
              </w:tabs>
              <w:ind w:left="0" w:firstLine="0"/>
              <w:jc w:val="both"/>
              <w:rPr>
                <w:rFonts w:ascii="Arial" w:hAnsi="Arial"/>
              </w:rPr>
            </w:pPr>
          </w:p>
          <w:p w:rsidRPr="00BD06DE" w:rsidR="008E1868" w:rsidP="00D43606" w:rsidRDefault="008E1868" w14:paraId="781C56E7" w14:textId="77777777">
            <w:pPr>
              <w:pStyle w:val="Style"/>
              <w:tabs>
                <w:tab w:val="left" w:pos="-1440"/>
              </w:tabs>
              <w:ind w:left="0" w:firstLine="0"/>
              <w:jc w:val="both"/>
              <w:rPr>
                <w:rFonts w:ascii="Arial" w:hAnsi="Arial"/>
              </w:rPr>
            </w:pPr>
            <w:r w:rsidRPr="00BD06DE">
              <w:rPr>
                <w:rFonts w:ascii="Arial" w:hAnsi="Arial"/>
              </w:rPr>
              <w:t xml:space="preserve">       </w:t>
            </w:r>
            <w:r w:rsidRPr="00BD06DE" w:rsidR="0065089F">
              <w:rPr>
                <w:rFonts w:ascii="Arial" w:hAnsi="Arial"/>
              </w:rPr>
              <w:t>1</w:t>
            </w:r>
          </w:p>
        </w:tc>
        <w:tc>
          <w:tcPr>
            <w:tcW w:w="1530" w:type="dxa"/>
            <w:shd w:val="clear" w:color="auto" w:fill="auto"/>
          </w:tcPr>
          <w:p w:rsidRPr="00BD06DE" w:rsidR="008E1868" w:rsidP="00D43606" w:rsidRDefault="008E1868" w14:paraId="723EDC44" w14:textId="77777777">
            <w:pPr>
              <w:pStyle w:val="Style"/>
              <w:tabs>
                <w:tab w:val="left" w:pos="-1440"/>
              </w:tabs>
              <w:ind w:left="0" w:firstLine="0"/>
              <w:jc w:val="both"/>
              <w:rPr>
                <w:rFonts w:ascii="Arial" w:hAnsi="Arial"/>
              </w:rPr>
            </w:pPr>
          </w:p>
          <w:p w:rsidRPr="00BD06DE" w:rsidR="008E1868" w:rsidP="00D43606" w:rsidRDefault="008E1868" w14:paraId="709522BF" w14:textId="77777777">
            <w:pPr>
              <w:pStyle w:val="Style"/>
              <w:tabs>
                <w:tab w:val="left" w:pos="-1440"/>
              </w:tabs>
              <w:ind w:left="0" w:firstLine="0"/>
              <w:jc w:val="both"/>
              <w:rPr>
                <w:rFonts w:ascii="Arial" w:hAnsi="Arial"/>
              </w:rPr>
            </w:pPr>
            <w:r w:rsidRPr="00BD06DE">
              <w:rPr>
                <w:rFonts w:ascii="Arial" w:hAnsi="Arial"/>
              </w:rPr>
              <w:t xml:space="preserve">   </w:t>
            </w:r>
            <w:r w:rsidRPr="00BD06DE" w:rsidR="0065089F">
              <w:rPr>
                <w:rFonts w:ascii="Arial" w:hAnsi="Arial"/>
              </w:rPr>
              <w:t>300</w:t>
            </w:r>
            <w:r w:rsidRPr="00BD06DE">
              <w:rPr>
                <w:rFonts w:ascii="Arial" w:hAnsi="Arial"/>
              </w:rPr>
              <w:t>,000</w:t>
            </w:r>
          </w:p>
        </w:tc>
        <w:tc>
          <w:tcPr>
            <w:tcW w:w="1476" w:type="dxa"/>
            <w:shd w:val="clear" w:color="auto" w:fill="auto"/>
          </w:tcPr>
          <w:p w:rsidRPr="00BD06DE" w:rsidR="008E1868" w:rsidP="00D43606" w:rsidRDefault="008E1868" w14:paraId="2462F7F1" w14:textId="77777777">
            <w:pPr>
              <w:pStyle w:val="Style"/>
              <w:tabs>
                <w:tab w:val="left" w:pos="-1440"/>
              </w:tabs>
              <w:ind w:left="0" w:firstLine="0"/>
              <w:jc w:val="both"/>
              <w:rPr>
                <w:rFonts w:ascii="Arial" w:hAnsi="Arial"/>
                <w:sz w:val="22"/>
                <w:szCs w:val="22"/>
              </w:rPr>
            </w:pPr>
          </w:p>
          <w:p w:rsidRPr="00BD06DE" w:rsidR="008E1868" w:rsidP="00D43606" w:rsidRDefault="00832911" w14:paraId="03CEAA74" w14:textId="2E33D6F4">
            <w:pPr>
              <w:pStyle w:val="Style"/>
              <w:tabs>
                <w:tab w:val="left" w:pos="-1440"/>
              </w:tabs>
              <w:ind w:left="0" w:firstLine="0"/>
              <w:jc w:val="both"/>
              <w:rPr>
                <w:rFonts w:ascii="Arial" w:hAnsi="Arial"/>
                <w:sz w:val="22"/>
                <w:szCs w:val="22"/>
              </w:rPr>
            </w:pPr>
            <w:r w:rsidRPr="00BD06DE">
              <w:rPr>
                <w:rFonts w:ascii="Arial" w:hAnsi="Arial"/>
                <w:sz w:val="22"/>
                <w:szCs w:val="22"/>
              </w:rPr>
              <w:t>45</w:t>
            </w:r>
            <w:r w:rsidRPr="00BD06DE" w:rsidR="004B504D">
              <w:rPr>
                <w:rFonts w:ascii="Arial" w:hAnsi="Arial"/>
                <w:sz w:val="22"/>
                <w:szCs w:val="22"/>
              </w:rPr>
              <w:t xml:space="preserve"> </w:t>
            </w:r>
            <w:r w:rsidRPr="00BD06DE" w:rsidR="008E1868">
              <w:rPr>
                <w:rFonts w:ascii="Arial" w:hAnsi="Arial"/>
                <w:sz w:val="22"/>
                <w:szCs w:val="22"/>
              </w:rPr>
              <w:t xml:space="preserve">minutes </w:t>
            </w:r>
          </w:p>
          <w:p w:rsidRPr="00BD06DE" w:rsidR="008E1868" w:rsidP="00D43606" w:rsidRDefault="008E1868" w14:paraId="2A6DC5B6" w14:textId="77777777">
            <w:pPr>
              <w:pStyle w:val="Style"/>
              <w:tabs>
                <w:tab w:val="left" w:pos="-1440"/>
              </w:tabs>
              <w:ind w:left="0" w:firstLine="0"/>
              <w:jc w:val="both"/>
              <w:rPr>
                <w:rFonts w:ascii="Arial" w:hAnsi="Arial"/>
                <w:sz w:val="22"/>
                <w:szCs w:val="22"/>
              </w:rPr>
            </w:pPr>
          </w:p>
        </w:tc>
      </w:tr>
    </w:tbl>
    <w:p w:rsidR="00A5704F" w:rsidP="00A5704F" w:rsidRDefault="00A5704F" w14:paraId="3F67A20F" w14:textId="77777777">
      <w:pPr>
        <w:jc w:val="both"/>
        <w:rPr>
          <w:rFonts w:ascii="Arial" w:hAnsi="Arial"/>
        </w:rPr>
      </w:pPr>
      <w:r>
        <w:rPr>
          <w:rFonts w:ascii="Arial" w:hAnsi="Arial"/>
        </w:rPr>
        <w:t xml:space="preserve">     </w:t>
      </w:r>
    </w:p>
    <w:p w:rsidR="00A5704F" w:rsidP="00A5704F" w:rsidRDefault="00A5704F" w14:paraId="05C1013B" w14:textId="77777777">
      <w:pPr>
        <w:tabs>
          <w:tab w:val="left" w:pos="-1440"/>
        </w:tabs>
        <w:ind w:left="720" w:hanging="720"/>
        <w:jc w:val="both"/>
        <w:rPr>
          <w:rFonts w:ascii="Arial" w:hAnsi="Arial"/>
          <w:b/>
          <w:bCs/>
          <w:szCs w:val="24"/>
        </w:rPr>
      </w:pPr>
      <w:r>
        <w:rPr>
          <w:rFonts w:ascii="Arial" w:hAnsi="Arial" w:cs="Arial"/>
          <w:b/>
          <w:bCs/>
          <w:color w:val="000000"/>
        </w:rPr>
        <w:tab/>
      </w:r>
      <w:r>
        <w:rPr>
          <w:rFonts w:ascii="Arial" w:hAnsi="Arial"/>
          <w:b/>
          <w:bCs/>
          <w:szCs w:val="24"/>
        </w:rPr>
        <w:t>Public Cost</w:t>
      </w:r>
    </w:p>
    <w:p w:rsidRPr="0013671A" w:rsidR="00A5704F" w:rsidP="00A5704F" w:rsidRDefault="00A5704F" w14:paraId="5858D780" w14:textId="749DBC51">
      <w:pPr>
        <w:tabs>
          <w:tab w:val="left" w:pos="-1440"/>
        </w:tabs>
        <w:ind w:left="720" w:hanging="720"/>
        <w:jc w:val="both"/>
        <w:rPr>
          <w:rFonts w:ascii="Arial" w:hAnsi="Arial"/>
          <w:b/>
          <w:bCs/>
          <w:color w:val="FF0000"/>
          <w:szCs w:val="24"/>
        </w:rPr>
      </w:pPr>
      <w:r>
        <w:rPr>
          <w:rFonts w:ascii="Arial" w:hAnsi="Arial"/>
          <w:b/>
          <w:bCs/>
          <w:szCs w:val="24"/>
        </w:rPr>
        <w:tab/>
      </w:r>
    </w:p>
    <w:p w:rsidRPr="00BD06DE" w:rsidR="00BD06DE" w:rsidP="00BD06DE" w:rsidRDefault="00BD06DE" w14:paraId="357E7908" w14:textId="37903527">
      <w:pPr>
        <w:ind w:left="720"/>
        <w:rPr>
          <w:rFonts w:ascii="Arial" w:hAnsi="Arial" w:cs="Arial"/>
          <w:b/>
          <w:szCs w:val="24"/>
        </w:rPr>
      </w:pPr>
      <w:r w:rsidRPr="00BD06DE">
        <w:rPr>
          <w:rFonts w:ascii="Arial" w:hAnsi="Arial" w:cs="Arial"/>
          <w:szCs w:val="24"/>
        </w:rPr>
        <w:t>The estimated cost to the respondents is $7,035,750.  This is based on the estimated burden hours (225,000) multiplied by</w:t>
      </w:r>
      <w:r w:rsidR="00CC164E">
        <w:rPr>
          <w:rFonts w:ascii="Arial" w:hAnsi="Arial" w:cs="Arial"/>
          <w:szCs w:val="24"/>
        </w:rPr>
        <w:t xml:space="preserve"> </w:t>
      </w:r>
      <w:r w:rsidRPr="00BD06DE">
        <w:rPr>
          <w:rFonts w:ascii="Arial" w:hAnsi="Arial" w:cs="Arial"/>
          <w:szCs w:val="24"/>
        </w:rPr>
        <w:t>the average loaded hourly wage rate for brokers ($31.27).  CBP calculated this loaded wage rate by first multiplying the Bureau of Labor Statistics’ (BLS) 2019 median hourly wage rate for Cargo and Freight Agents ($21.03), which CBP assumes best represents the wage for brokers, by the ratio of BLS’ average 2019 total compensation to wages and salaries for Office and Administrative Support occupations (1.4869), the assumed occupational group for brokers, to account for non-salary employee benefits.</w:t>
      </w:r>
      <w:r w:rsidRPr="00503C4E">
        <w:rPr>
          <w:rStyle w:val="FootnoteReference"/>
          <w:rFonts w:ascii="Arial" w:hAnsi="Arial" w:cs="Arial"/>
          <w:szCs w:val="24"/>
          <w:vertAlign w:val="superscript"/>
        </w:rPr>
        <w:footnoteReference w:id="1"/>
      </w:r>
      <w:r w:rsidRPr="00503C4E">
        <w:rPr>
          <w:rFonts w:ascii="Arial" w:hAnsi="Arial" w:cs="Arial"/>
          <w:szCs w:val="24"/>
          <w:vertAlign w:val="superscript"/>
        </w:rPr>
        <w:t xml:space="preserve"> </w:t>
      </w:r>
      <w:r w:rsidRPr="00BD06DE">
        <w:rPr>
          <w:rFonts w:ascii="Arial" w:hAnsi="Arial" w:cs="Arial"/>
          <w:szCs w:val="24"/>
          <w:vertAlign w:val="superscript"/>
        </w:rPr>
        <w:t xml:space="preserve"> </w:t>
      </w:r>
      <w:r w:rsidRPr="00BD06DE">
        <w:rPr>
          <w:rFonts w:ascii="Arial" w:hAnsi="Arial" w:cs="Arial"/>
          <w:szCs w:val="24"/>
        </w:rPr>
        <w:t>This figure is in 2019 U.S. dollars and CBP assumes an annual growth rate of 0 percent; the 2019 U.S. dollar value is equal to the 2020 U.S. dollar value.</w:t>
      </w:r>
    </w:p>
    <w:p w:rsidR="00413108" w:rsidRDefault="00413108" w14:paraId="147411C3" w14:textId="77777777">
      <w:pPr>
        <w:tabs>
          <w:tab w:val="left" w:pos="-1440"/>
        </w:tabs>
        <w:ind w:left="720" w:hanging="720"/>
        <w:jc w:val="both"/>
        <w:rPr>
          <w:rFonts w:ascii="Arial" w:hAnsi="Arial"/>
        </w:rPr>
      </w:pPr>
    </w:p>
    <w:p w:rsidR="008C03E0" w:rsidP="00117114" w:rsidRDefault="008C03E0" w14:paraId="43DA2EBF" w14:textId="77777777">
      <w:pPr>
        <w:tabs>
          <w:tab w:val="left" w:pos="-1440"/>
        </w:tabs>
        <w:ind w:left="720" w:hanging="540"/>
        <w:jc w:val="both"/>
        <w:rPr>
          <w:rFonts w:ascii="Arial" w:hAnsi="Arial"/>
        </w:rPr>
      </w:pPr>
      <w:r>
        <w:rPr>
          <w:rFonts w:ascii="Arial" w:hAnsi="Arial"/>
          <w:b/>
          <w:bCs/>
        </w:rPr>
        <w:t>13.</w:t>
      </w:r>
      <w:r>
        <w:rPr>
          <w:rFonts w:ascii="Arial" w:hAnsi="Arial"/>
        </w:rPr>
        <w:tab/>
      </w:r>
      <w:r>
        <w:rPr>
          <w:rFonts w:ascii="Arial" w:hAnsi="Arial" w:cs="Arial"/>
          <w:b/>
          <w:bCs/>
        </w:rPr>
        <w:t>Provide an estimate of the total annual cost burden to respondents or recordkeepers resulting from the collection of information.</w:t>
      </w:r>
      <w:r>
        <w:rPr>
          <w:rFonts w:ascii="Arial" w:hAnsi="Arial"/>
        </w:rPr>
        <w:tab/>
      </w:r>
    </w:p>
    <w:p w:rsidR="008C03E0" w:rsidP="008C03E0" w:rsidRDefault="008C03E0" w14:paraId="2440251D" w14:textId="77777777">
      <w:pPr>
        <w:ind w:left="720"/>
        <w:jc w:val="both"/>
        <w:rPr>
          <w:rFonts w:ascii="Arial" w:hAnsi="Arial"/>
        </w:rPr>
      </w:pPr>
    </w:p>
    <w:p w:rsidR="008C03E0" w:rsidP="008C03E0" w:rsidRDefault="008C03E0" w14:paraId="4BDC8733" w14:textId="77777777">
      <w:pPr>
        <w:ind w:left="720"/>
        <w:jc w:val="both"/>
        <w:rPr>
          <w:rFonts w:ascii="Arial" w:hAnsi="Arial"/>
        </w:rPr>
      </w:pPr>
      <w:r>
        <w:rPr>
          <w:rFonts w:ascii="Arial" w:hAnsi="Arial"/>
        </w:rPr>
        <w:t>There are no recordkeeping, capitalization or start-up costs associated with this collection.</w:t>
      </w:r>
    </w:p>
    <w:p w:rsidR="007655B1" w:rsidRDefault="007655B1" w14:paraId="663B9C2C" w14:textId="77777777">
      <w:pPr>
        <w:jc w:val="both"/>
        <w:rPr>
          <w:rFonts w:ascii="Arial" w:hAnsi="Arial"/>
        </w:rPr>
      </w:pPr>
    </w:p>
    <w:p w:rsidR="00711C39" w:rsidP="00117114" w:rsidRDefault="00711C39" w14:paraId="17E32C5D" w14:textId="7DF7F02A">
      <w:pPr>
        <w:numPr>
          <w:ilvl w:val="0"/>
          <w:numId w:val="3"/>
        </w:numPr>
        <w:tabs>
          <w:tab w:val="left" w:pos="-1440"/>
        </w:tabs>
        <w:ind w:hanging="540"/>
        <w:jc w:val="both"/>
        <w:rPr>
          <w:rFonts w:ascii="Arial" w:hAnsi="Arial" w:cs="Arial"/>
          <w:b/>
          <w:bCs/>
        </w:rPr>
      </w:pP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873C8" w:rsidP="007873C8" w:rsidRDefault="007873C8" w14:paraId="3ABEACD4" w14:textId="77777777">
      <w:pPr>
        <w:tabs>
          <w:tab w:val="left" w:pos="-1440"/>
        </w:tabs>
        <w:ind w:left="720" w:hanging="720"/>
        <w:jc w:val="both"/>
        <w:rPr>
          <w:rFonts w:ascii="Arial" w:hAnsi="Arial" w:cs="Arial"/>
        </w:rPr>
      </w:pPr>
    </w:p>
    <w:p w:rsidRPr="007873C8" w:rsidR="007873C8" w:rsidP="007873C8" w:rsidRDefault="00711C39" w14:paraId="7188ECEB" w14:textId="4E370C36">
      <w:pPr>
        <w:tabs>
          <w:tab w:val="left" w:pos="-1440"/>
        </w:tabs>
        <w:ind w:left="720" w:hanging="720"/>
        <w:jc w:val="both"/>
        <w:rPr>
          <w:rFonts w:ascii="Arial" w:hAnsi="Arial" w:cs="Arial"/>
          <w:szCs w:val="24"/>
        </w:rPr>
      </w:pPr>
      <w:r>
        <w:rPr>
          <w:rFonts w:ascii="Arial" w:hAnsi="Arial"/>
        </w:rPr>
        <w:tab/>
      </w:r>
      <w:r w:rsidRPr="007873C8" w:rsidR="007873C8">
        <w:rPr>
          <w:rFonts w:ascii="Arial" w:hAnsi="Arial" w:cs="Arial"/>
          <w:szCs w:val="24"/>
        </w:rPr>
        <w:t>The estimated annual cost to the Federal Government associated with the review of these records is $8,677,500.  This is based on the number of responses that must be reviewed (300,000) multiplied by</w:t>
      </w:r>
      <w:r w:rsidR="00CC164E">
        <w:rPr>
          <w:rFonts w:ascii="Arial" w:hAnsi="Arial" w:cs="Arial"/>
          <w:szCs w:val="24"/>
        </w:rPr>
        <w:t xml:space="preserve"> </w:t>
      </w:r>
      <w:r w:rsidRPr="007873C8" w:rsidR="007873C8">
        <w:rPr>
          <w:rFonts w:ascii="Arial" w:hAnsi="Arial" w:cs="Arial"/>
          <w:szCs w:val="24"/>
        </w:rPr>
        <w:t>the time burden to review and process each response (0.5 hours) = 150,000 hours multiplied by</w:t>
      </w:r>
      <w:r w:rsidR="00CC164E">
        <w:rPr>
          <w:rFonts w:ascii="Arial" w:hAnsi="Arial" w:cs="Arial"/>
          <w:szCs w:val="24"/>
        </w:rPr>
        <w:t xml:space="preserve"> </w:t>
      </w:r>
      <w:r w:rsidRPr="007873C8" w:rsidR="007873C8">
        <w:rPr>
          <w:rFonts w:ascii="Arial" w:hAnsi="Arial" w:cs="Arial"/>
          <w:szCs w:val="24"/>
        </w:rPr>
        <w:t>the average hourly loaded rate for other CBP employees ($57.85)</w:t>
      </w:r>
      <w:r w:rsidRPr="007873C8" w:rsidR="007873C8">
        <w:rPr>
          <w:rStyle w:val="FootnoteReference"/>
          <w:rFonts w:ascii="Arial" w:hAnsi="Arial" w:cs="Arial"/>
          <w:szCs w:val="24"/>
          <w:vertAlign w:val="superscript"/>
        </w:rPr>
        <w:footnoteReference w:id="2"/>
      </w:r>
      <w:r w:rsidRPr="007873C8" w:rsidR="007873C8">
        <w:rPr>
          <w:rFonts w:ascii="Arial" w:hAnsi="Arial" w:cs="Arial"/>
          <w:szCs w:val="24"/>
        </w:rPr>
        <w:t xml:space="preserve"> = $8,677,500.</w:t>
      </w:r>
    </w:p>
    <w:p w:rsidR="00711C39" w:rsidRDefault="00291DC4" w14:paraId="35A7700F" w14:textId="77777777">
      <w:pPr>
        <w:tabs>
          <w:tab w:val="left" w:pos="-1440"/>
        </w:tabs>
        <w:ind w:left="720" w:hanging="720"/>
        <w:jc w:val="both"/>
        <w:rPr>
          <w:rFonts w:ascii="Arial" w:hAnsi="Arial"/>
        </w:rPr>
      </w:pPr>
      <w:r>
        <w:rPr>
          <w:rFonts w:ascii="Arial" w:hAnsi="Arial"/>
        </w:rPr>
        <w:tab/>
      </w:r>
    </w:p>
    <w:p w:rsidR="0011507E" w:rsidP="00117114" w:rsidRDefault="0011507E" w14:paraId="7382CE0B" w14:textId="77777777">
      <w:pPr>
        <w:ind w:left="720" w:hanging="540"/>
        <w:jc w:val="both"/>
        <w:rPr>
          <w:rFonts w:ascii="Arial" w:hAnsi="Arial" w:cs="Arial"/>
          <w:b/>
          <w:bCs/>
        </w:rPr>
      </w:pPr>
      <w:r>
        <w:rPr>
          <w:rFonts w:ascii="Arial" w:hAnsi="Arial"/>
          <w:b/>
          <w:bCs/>
        </w:rPr>
        <w:t>15.</w:t>
      </w:r>
      <w:r>
        <w:rPr>
          <w:rFonts w:ascii="Arial" w:hAnsi="Arial"/>
        </w:rPr>
        <w:tab/>
      </w:r>
      <w:r>
        <w:rPr>
          <w:rFonts w:ascii="Arial" w:hAnsi="Arial" w:cs="Arial"/>
          <w:b/>
          <w:bCs/>
        </w:rPr>
        <w:t xml:space="preserve">Explain the reasons for any program changes or adjustments reported in Items 12 or 13 of this Statement.  </w:t>
      </w:r>
    </w:p>
    <w:p w:rsidRPr="0013671A" w:rsidR="0011507E" w:rsidP="0011507E" w:rsidRDefault="0013671A" w14:paraId="7C277560" w14:textId="4E1708FF">
      <w:pPr>
        <w:tabs>
          <w:tab w:val="left" w:pos="-1440"/>
        </w:tabs>
        <w:ind w:left="720" w:hanging="720"/>
        <w:jc w:val="both"/>
        <w:rPr>
          <w:rFonts w:ascii="Arial" w:hAnsi="Arial"/>
          <w:color w:val="FF0000"/>
        </w:rPr>
      </w:pPr>
      <w:r>
        <w:rPr>
          <w:rFonts w:ascii="Arial" w:hAnsi="Arial"/>
        </w:rPr>
        <w:tab/>
      </w:r>
    </w:p>
    <w:p w:rsidR="003A376D" w:rsidP="003A376D" w:rsidRDefault="003A376D" w14:paraId="46323840" w14:textId="6A3E8738">
      <w:pPr>
        <w:ind w:left="720"/>
        <w:jc w:val="both"/>
        <w:rPr>
          <w:rFonts w:ascii="Arial" w:hAnsi="Arial" w:cs="Arial"/>
        </w:rPr>
      </w:pPr>
      <w:r w:rsidRPr="005F3D02">
        <w:rPr>
          <w:rFonts w:ascii="Arial" w:hAnsi="Arial" w:cs="Arial"/>
        </w:rPr>
        <w:t>There has been no increase or decrease in the estimated annual burden hours previously reported for this information collection, and no changes to the information collected.</w:t>
      </w:r>
      <w:r>
        <w:rPr>
          <w:rFonts w:ascii="Arial" w:hAnsi="Arial" w:cs="Arial"/>
        </w:rPr>
        <w:t xml:space="preserve">  </w:t>
      </w:r>
    </w:p>
    <w:p w:rsidR="003A376D" w:rsidP="0011507E" w:rsidRDefault="003A376D" w14:paraId="4AF551A3" w14:textId="77777777">
      <w:pPr>
        <w:autoSpaceDE w:val="0"/>
        <w:autoSpaceDN w:val="0"/>
        <w:adjustRightInd w:val="0"/>
        <w:spacing w:line="240" w:lineRule="atLeast"/>
        <w:ind w:left="720" w:hanging="720"/>
        <w:jc w:val="both"/>
        <w:rPr>
          <w:rFonts w:ascii="Arial" w:hAnsi="Arial"/>
        </w:rPr>
      </w:pPr>
    </w:p>
    <w:p w:rsidR="0011507E" w:rsidP="00117114" w:rsidRDefault="0011507E" w14:paraId="31E5DE04" w14:textId="45A8A25D">
      <w:pPr>
        <w:autoSpaceDE w:val="0"/>
        <w:autoSpaceDN w:val="0"/>
        <w:adjustRightInd w:val="0"/>
        <w:spacing w:line="240" w:lineRule="atLeast"/>
        <w:ind w:left="720" w:hanging="540"/>
        <w:jc w:val="both"/>
        <w:rPr>
          <w:rFonts w:ascii="Arial" w:hAnsi="Arial"/>
        </w:rPr>
      </w:pP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11507E" w:rsidP="0011507E" w:rsidRDefault="0011507E" w14:paraId="5A8314CC" w14:textId="77777777">
      <w:pPr>
        <w:jc w:val="both"/>
        <w:rPr>
          <w:rFonts w:ascii="Arial" w:hAnsi="Arial"/>
        </w:rPr>
      </w:pPr>
    </w:p>
    <w:p w:rsidR="0011507E" w:rsidP="0011507E" w:rsidRDefault="0011507E" w14:paraId="71C1ABAD" w14:textId="77777777">
      <w:pPr>
        <w:ind w:firstLine="720"/>
        <w:jc w:val="both"/>
        <w:rPr>
          <w:rFonts w:ascii="Arial" w:hAnsi="Arial"/>
        </w:rPr>
      </w:pPr>
      <w:r>
        <w:rPr>
          <w:rFonts w:ascii="Arial" w:hAnsi="Arial"/>
        </w:rPr>
        <w:t>This information collection will not be published for statistical purposes.</w:t>
      </w:r>
    </w:p>
    <w:p w:rsidR="0011507E" w:rsidP="0011507E" w:rsidRDefault="0011507E" w14:paraId="2DE3F652" w14:textId="77777777">
      <w:pPr>
        <w:jc w:val="both"/>
        <w:rPr>
          <w:rFonts w:ascii="Arial" w:hAnsi="Arial"/>
          <w:b/>
        </w:rPr>
      </w:pPr>
    </w:p>
    <w:p w:rsidR="0011507E" w:rsidP="00117114" w:rsidRDefault="0011507E" w14:paraId="1D6D85FA" w14:textId="4BDE2925">
      <w:pPr>
        <w:ind w:left="720" w:hanging="540"/>
        <w:jc w:val="both"/>
        <w:rPr>
          <w:rFonts w:ascii="Arial" w:hAnsi="Arial" w:cs="Arial"/>
          <w:b/>
          <w:bCs/>
        </w:rPr>
      </w:pPr>
      <w:r w:rsidRPr="00AC141A">
        <w:rPr>
          <w:rFonts w:ascii="Arial" w:hAnsi="Arial"/>
          <w:b/>
        </w:rPr>
        <w:t xml:space="preserve"> 17.</w:t>
      </w:r>
      <w:r w:rsidR="00117114">
        <w:rPr>
          <w:rFonts w:ascii="Arial" w:hAnsi="Arial" w:cs="Arial"/>
          <w:b/>
          <w:bCs/>
        </w:rPr>
        <w:t xml:space="preserve">  </w:t>
      </w:r>
      <w:r>
        <w:rPr>
          <w:rFonts w:ascii="Arial" w:hAnsi="Arial" w:cs="Arial"/>
          <w:b/>
          <w:bCs/>
        </w:rPr>
        <w:t>If seeking approval to not display the expiration date</w:t>
      </w:r>
      <w:r w:rsidR="00117114">
        <w:rPr>
          <w:rFonts w:ascii="Arial" w:hAnsi="Arial" w:cs="Arial"/>
          <w:b/>
          <w:bCs/>
        </w:rPr>
        <w:t xml:space="preserve"> for OMB approval of the     </w:t>
      </w:r>
      <w:r>
        <w:rPr>
          <w:rFonts w:ascii="Arial" w:hAnsi="Arial" w:cs="Arial"/>
          <w:b/>
          <w:bCs/>
        </w:rPr>
        <w:t>information collection, explain the reasons that display would</w:t>
      </w:r>
      <w:r w:rsidR="00117114">
        <w:rPr>
          <w:rFonts w:ascii="Arial" w:hAnsi="Arial" w:cs="Arial"/>
          <w:b/>
          <w:bCs/>
        </w:rPr>
        <w:t xml:space="preserve"> be                         </w:t>
      </w:r>
      <w:r>
        <w:rPr>
          <w:rFonts w:ascii="Arial" w:hAnsi="Arial" w:cs="Arial"/>
          <w:b/>
          <w:bCs/>
        </w:rPr>
        <w:t>inappropriate.</w:t>
      </w:r>
    </w:p>
    <w:p w:rsidR="0011507E" w:rsidP="0011507E" w:rsidRDefault="0011507E" w14:paraId="0DB987AA" w14:textId="77777777">
      <w:pPr>
        <w:jc w:val="both"/>
        <w:rPr>
          <w:rFonts w:ascii="Arial" w:hAnsi="Arial" w:cs="Arial"/>
          <w:b/>
          <w:bCs/>
        </w:rPr>
      </w:pPr>
    </w:p>
    <w:p w:rsidR="0011507E" w:rsidP="0011507E" w:rsidRDefault="0011507E" w14:paraId="21962EF2" w14:textId="77777777">
      <w:pPr>
        <w:tabs>
          <w:tab w:val="left" w:pos="-1440"/>
        </w:tabs>
        <w:ind w:left="720" w:hanging="720"/>
        <w:jc w:val="both"/>
        <w:rPr>
          <w:rFonts w:ascii="Arial" w:hAnsi="Arial"/>
        </w:rPr>
      </w:pPr>
      <w:r>
        <w:rPr>
          <w:rFonts w:ascii="Arial" w:hAnsi="Arial"/>
        </w:rPr>
        <w:tab/>
      </w:r>
      <w:r>
        <w:rPr>
          <w:rFonts w:ascii="Arial" w:hAnsi="Arial" w:cs="Arial"/>
        </w:rPr>
        <w:t>CBP will display the expiration date for OMB approval of this information collection.</w:t>
      </w:r>
      <w:r>
        <w:rPr>
          <w:rFonts w:ascii="Arial" w:hAnsi="Arial"/>
        </w:rPr>
        <w:t xml:space="preserve"> </w:t>
      </w:r>
    </w:p>
    <w:p w:rsidR="0011507E" w:rsidP="0011507E" w:rsidRDefault="0011507E" w14:paraId="1993B782" w14:textId="77777777">
      <w:pPr>
        <w:tabs>
          <w:tab w:val="left" w:pos="-1440"/>
        </w:tabs>
        <w:ind w:left="720" w:hanging="720"/>
        <w:jc w:val="both"/>
        <w:rPr>
          <w:rFonts w:ascii="Arial" w:hAnsi="Arial"/>
        </w:rPr>
      </w:pPr>
      <w:r>
        <w:rPr>
          <w:rFonts w:ascii="Arial" w:hAnsi="Arial"/>
        </w:rPr>
        <w:t xml:space="preserve">                      </w:t>
      </w:r>
    </w:p>
    <w:p w:rsidR="0011507E" w:rsidP="00117114" w:rsidRDefault="0011507E" w14:paraId="52F3B58A" w14:textId="34011C1C">
      <w:pPr>
        <w:ind w:left="720" w:hanging="540"/>
        <w:jc w:val="both"/>
        <w:rPr>
          <w:rFonts w:ascii="Arial" w:hAnsi="Arial" w:cs="Arial"/>
          <w:b/>
          <w:bCs/>
        </w:rPr>
      </w:pPr>
      <w:r>
        <w:rPr>
          <w:rFonts w:ascii="Arial" w:hAnsi="Arial"/>
          <w:b/>
          <w:bCs/>
        </w:rPr>
        <w:t>18.</w:t>
      </w:r>
      <w:r>
        <w:rPr>
          <w:rFonts w:ascii="Arial" w:hAnsi="Arial"/>
        </w:rPr>
        <w:t xml:space="preserve">   </w:t>
      </w:r>
      <w:r>
        <w:rPr>
          <w:rFonts w:ascii="Arial" w:hAnsi="Arial" w:cs="Arial"/>
          <w:b/>
          <w:bCs/>
        </w:rPr>
        <w:t>Explain each exception to the certification statement</w:t>
      </w:r>
      <w:r w:rsidR="005D48C8">
        <w:rPr>
          <w:rFonts w:ascii="Arial" w:hAnsi="Arial" w:cs="Arial"/>
          <w:b/>
          <w:bCs/>
        </w:rPr>
        <w:t>.</w:t>
      </w:r>
      <w:r>
        <w:rPr>
          <w:rFonts w:ascii="Arial" w:hAnsi="Arial" w:cs="Arial"/>
          <w:b/>
          <w:bCs/>
        </w:rPr>
        <w:t xml:space="preserve"> </w:t>
      </w:r>
    </w:p>
    <w:p w:rsidR="0011507E" w:rsidP="0011507E" w:rsidRDefault="0011507E" w14:paraId="6A885BA0" w14:textId="77777777">
      <w:pPr>
        <w:jc w:val="both"/>
        <w:rPr>
          <w:rFonts w:ascii="Arial" w:hAnsi="Arial"/>
        </w:rPr>
      </w:pPr>
    </w:p>
    <w:p w:rsidR="0011507E" w:rsidP="0011507E" w:rsidRDefault="0011507E" w14:paraId="0C3009EE" w14:textId="77777777">
      <w:pPr>
        <w:ind w:left="720"/>
        <w:jc w:val="both"/>
        <w:rPr>
          <w:rFonts w:ascii="Arial" w:hAnsi="Arial"/>
        </w:rPr>
      </w:pPr>
      <w:r>
        <w:rPr>
          <w:rFonts w:ascii="Arial" w:hAnsi="Arial" w:cs="Arial"/>
          <w:szCs w:val="24"/>
        </w:rPr>
        <w:t>CBP does not request an exception to the certification of this information collection.</w:t>
      </w:r>
    </w:p>
    <w:p w:rsidR="0011507E" w:rsidP="0011507E" w:rsidRDefault="0011507E" w14:paraId="29F9AC28" w14:textId="77777777">
      <w:pPr>
        <w:jc w:val="both"/>
        <w:rPr>
          <w:rFonts w:ascii="Arial" w:hAnsi="Arial"/>
        </w:rPr>
      </w:pPr>
    </w:p>
    <w:p w:rsidR="0011507E" w:rsidP="00117114" w:rsidRDefault="0011507E" w14:paraId="6A4E32F3" w14:textId="77777777">
      <w:pPr>
        <w:pStyle w:val="Heading1"/>
        <w:numPr>
          <w:ilvl w:val="0"/>
          <w:numId w:val="4"/>
        </w:numPr>
        <w:tabs>
          <w:tab w:val="clear" w:pos="720"/>
        </w:tabs>
        <w:ind w:left="0" w:firstLine="0"/>
        <w:jc w:val="both"/>
      </w:pPr>
      <w:r>
        <w:t>Collection of Information Employing Statistical Methods</w:t>
      </w:r>
    </w:p>
    <w:p w:rsidR="0011507E" w:rsidP="0011507E" w:rsidRDefault="0011507E" w14:paraId="55058BDD" w14:textId="77777777">
      <w:pPr>
        <w:jc w:val="both"/>
      </w:pPr>
    </w:p>
    <w:p w:rsidRPr="00D7628D" w:rsidR="007655B1" w:rsidP="00D7628D" w:rsidRDefault="0011507E" w14:paraId="5AF85F05" w14:textId="5D438203">
      <w:pPr>
        <w:pStyle w:val="BodyTextIndent2"/>
        <w:ind w:firstLine="360"/>
        <w:jc w:val="both"/>
        <w:rPr>
          <w:rFonts w:ascii="Arial" w:hAnsi="Arial" w:cs="Arial"/>
        </w:rPr>
      </w:pPr>
      <w:r w:rsidRPr="0011507E">
        <w:rPr>
          <w:rFonts w:ascii="Arial" w:hAnsi="Arial" w:cs="Arial"/>
        </w:rPr>
        <w:t>No statistical methods were employed.</w:t>
      </w:r>
    </w:p>
    <w:sectPr w:rsidRPr="00D7628D" w:rsidR="007655B1">
      <w:footerReference w:type="even" r:id="rId13"/>
      <w:footerReference w:type="default" r:id="rId14"/>
      <w:endnotePr>
        <w:numFmt w:val="decimal"/>
      </w:endnotePr>
      <w:type w:val="continuous"/>
      <w:pgSz w:w="12240" w:h="15840"/>
      <w:pgMar w:top="1440" w:right="1152" w:bottom="1296" w:left="1440" w:header="1440" w:footer="129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99C8F" w14:textId="77777777" w:rsidR="006F517D" w:rsidRDefault="006F517D">
      <w:r>
        <w:separator/>
      </w:r>
    </w:p>
  </w:endnote>
  <w:endnote w:type="continuationSeparator" w:id="0">
    <w:p w14:paraId="42318253" w14:textId="77777777" w:rsidR="006F517D" w:rsidRDefault="006F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70C79" w14:textId="77777777" w:rsidR="001E2997" w:rsidRDefault="001E2997" w:rsidP="00086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E650E7" w14:textId="77777777" w:rsidR="001E2997" w:rsidRDefault="001E2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0A1B" w14:textId="55587A77" w:rsidR="001E2997" w:rsidRDefault="001E2997" w:rsidP="00086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1573">
      <w:rPr>
        <w:rStyle w:val="PageNumber"/>
        <w:noProof/>
      </w:rPr>
      <w:t>1</w:t>
    </w:r>
    <w:r>
      <w:rPr>
        <w:rStyle w:val="PageNumber"/>
      </w:rPr>
      <w:fldChar w:fldCharType="end"/>
    </w:r>
  </w:p>
  <w:p w14:paraId="35FB8002" w14:textId="77777777" w:rsidR="001E2997" w:rsidRDefault="001E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D8E47" w14:textId="77777777" w:rsidR="006F517D" w:rsidRDefault="006F517D">
      <w:r>
        <w:separator/>
      </w:r>
    </w:p>
  </w:footnote>
  <w:footnote w:type="continuationSeparator" w:id="0">
    <w:p w14:paraId="5071280F" w14:textId="77777777" w:rsidR="006F517D" w:rsidRDefault="006F517D">
      <w:r>
        <w:continuationSeparator/>
      </w:r>
    </w:p>
  </w:footnote>
  <w:footnote w:id="1">
    <w:p w14:paraId="4FF5E6C5" w14:textId="77777777" w:rsidR="00BD06DE" w:rsidRPr="00D41379" w:rsidRDefault="00BD06DE" w:rsidP="00BD06DE">
      <w:pPr>
        <w:tabs>
          <w:tab w:val="left" w:pos="270"/>
        </w:tabs>
        <w:rPr>
          <w:rFonts w:ascii="Times New Roman" w:hAnsi="Times New Roman"/>
          <w:color w:val="1F497D"/>
          <w:sz w:val="20"/>
          <w:lang w:val="en"/>
        </w:rPr>
      </w:pPr>
      <w:r w:rsidRPr="00503C4E">
        <w:rPr>
          <w:rStyle w:val="FootnoteReference"/>
          <w:rFonts w:ascii="Times New Roman" w:hAnsi="Times New Roman"/>
          <w:sz w:val="20"/>
          <w:vertAlign w:val="superscript"/>
        </w:rPr>
        <w:footnoteRef/>
      </w:r>
      <w:r w:rsidRPr="00D41379">
        <w:rPr>
          <w:rFonts w:ascii="Times New Roman" w:hAnsi="Times New Roman"/>
          <w:sz w:val="20"/>
        </w:rPr>
        <w:t xml:space="preserve"> </w:t>
      </w:r>
      <w:r w:rsidRPr="00C940BE">
        <w:rPr>
          <w:rFonts w:ascii="Times New Roman" w:hAnsi="Times New Roman"/>
          <w:sz w:val="20"/>
          <w:lang w:val="en"/>
        </w:rPr>
        <w:t>Source</w:t>
      </w:r>
      <w:r>
        <w:rPr>
          <w:rFonts w:ascii="Times New Roman" w:hAnsi="Times New Roman"/>
          <w:sz w:val="20"/>
          <w:lang w:val="en"/>
        </w:rPr>
        <w:t xml:space="preserve"> of median wage rate</w:t>
      </w:r>
      <w:r w:rsidRPr="00C940BE">
        <w:rPr>
          <w:rFonts w:ascii="Times New Roman" w:hAnsi="Times New Roman"/>
          <w:sz w:val="20"/>
          <w:lang w:val="en"/>
        </w:rPr>
        <w:t xml:space="preserve">: </w:t>
      </w:r>
      <w:r w:rsidRPr="00BF5B17">
        <w:rPr>
          <w:rFonts w:ascii="Times New Roman" w:hAnsi="Times New Roman"/>
          <w:sz w:val="20"/>
          <w:lang w:val="en"/>
        </w:rPr>
        <w:t xml:space="preserve">U.S. Bureau of Labor Statistics.  Occupational </w:t>
      </w:r>
      <w:r>
        <w:rPr>
          <w:rFonts w:ascii="Times New Roman" w:hAnsi="Times New Roman"/>
          <w:sz w:val="20"/>
          <w:lang w:val="en"/>
        </w:rPr>
        <w:t>Employment Statistics, “May 2019</w:t>
      </w:r>
      <w:r w:rsidRPr="00BF5B17">
        <w:rPr>
          <w:rFonts w:ascii="Times New Roman" w:hAnsi="Times New Roman"/>
          <w:sz w:val="20"/>
          <w:lang w:val="en"/>
        </w:rPr>
        <w:t xml:space="preserve"> National Occupational Employment and Wage Estimates </w:t>
      </w:r>
      <w:r>
        <w:rPr>
          <w:rFonts w:ascii="Times New Roman" w:hAnsi="Times New Roman"/>
          <w:sz w:val="20"/>
          <w:lang w:val="en"/>
        </w:rPr>
        <w:t>United States.”  Updated March 31, 2020</w:t>
      </w:r>
      <w:r w:rsidRPr="00BF5B17">
        <w:rPr>
          <w:rFonts w:ascii="Times New Roman" w:hAnsi="Times New Roman"/>
          <w:sz w:val="20"/>
          <w:lang w:val="en"/>
        </w:rPr>
        <w:t>.  Available at https://</w:t>
      </w:r>
      <w:r>
        <w:rPr>
          <w:rFonts w:ascii="Times New Roman" w:hAnsi="Times New Roman"/>
          <w:sz w:val="20"/>
          <w:lang w:val="en"/>
        </w:rPr>
        <w:t>www.bls.gov/oes/2019</w:t>
      </w:r>
      <w:r w:rsidRPr="00BE463E">
        <w:rPr>
          <w:rFonts w:ascii="Times New Roman" w:hAnsi="Times New Roman"/>
          <w:sz w:val="20"/>
          <w:lang w:val="en"/>
        </w:rPr>
        <w:t>/m</w:t>
      </w:r>
      <w:r>
        <w:rPr>
          <w:rFonts w:ascii="Times New Roman" w:hAnsi="Times New Roman"/>
          <w:sz w:val="20"/>
          <w:lang w:val="en"/>
        </w:rPr>
        <w:t>ay/oes_nat.htm.  Accessed June 12, 2020</w:t>
      </w:r>
      <w:r w:rsidRPr="00BE463E">
        <w:rPr>
          <w:rFonts w:ascii="Times New Roman" w:hAnsi="Times New Roman"/>
          <w:sz w:val="20"/>
          <w:lang w:val="en"/>
        </w:rPr>
        <w:t xml:space="preserve">.  </w:t>
      </w:r>
      <w:r w:rsidRPr="00BE463E">
        <w:rPr>
          <w:rFonts w:ascii="Times New Roman" w:hAnsi="Times New Roman"/>
          <w:sz w:val="20"/>
        </w:rPr>
        <w:t xml:space="preserve">The </w:t>
      </w:r>
      <w:r w:rsidRPr="00BE463E">
        <w:rPr>
          <w:rFonts w:ascii="Times New Roman" w:hAnsi="Times New Roman"/>
          <w:sz w:val="20"/>
          <w:lang w:val="en"/>
        </w:rPr>
        <w:t>total compensation to wages and salaries ratio is equal to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the total compensation cost per hour worked for Office and Administrati</w:t>
      </w:r>
      <w:r>
        <w:rPr>
          <w:rFonts w:ascii="Times New Roman" w:hAnsi="Times New Roman"/>
          <w:sz w:val="20"/>
          <w:lang w:val="en"/>
        </w:rPr>
        <w:t>ve Support occupations ($28.1550</w:t>
      </w:r>
      <w:r w:rsidRPr="00BE463E">
        <w:rPr>
          <w:rFonts w:ascii="Times New Roman" w:hAnsi="Times New Roman"/>
          <w:sz w:val="20"/>
          <w:lang w:val="en"/>
        </w:rPr>
        <w:t>) divided by th</w:t>
      </w:r>
      <w:r>
        <w:rPr>
          <w:rFonts w:ascii="Times New Roman" w:hAnsi="Times New Roman"/>
          <w:sz w:val="20"/>
          <w:lang w:val="en"/>
        </w:rPr>
        <w:t>e calculated average of the 2019</w:t>
      </w:r>
      <w:r w:rsidRPr="00BE463E">
        <w:rPr>
          <w:rFonts w:ascii="Times New Roman" w:hAnsi="Times New Roman"/>
          <w:sz w:val="20"/>
          <w:lang w:val="en"/>
        </w:rPr>
        <w:t xml:space="preserve"> quarterly estimates (shown under Mar., June, Sep., Dec.) of wages and salaries cost per hour worked for the </w:t>
      </w:r>
      <w:r>
        <w:rPr>
          <w:rFonts w:ascii="Times New Roman" w:hAnsi="Times New Roman"/>
          <w:sz w:val="20"/>
          <w:lang w:val="en"/>
        </w:rPr>
        <w:t>same occupation category ($18.9350</w:t>
      </w:r>
      <w:r w:rsidRPr="00BE463E">
        <w:rPr>
          <w:rFonts w:ascii="Times New Roman" w:hAnsi="Times New Roman"/>
          <w:sz w:val="20"/>
          <w:lang w:val="en"/>
        </w:rPr>
        <w:t>).  Source of total compensation to wages and salaries ratio data: U.S. Bureau of Labor Statistics.  Employer Costs for Employee Compensation.  Employer Costs for Employee Compensation Historical Listing March 2004 – December 201</w:t>
      </w:r>
      <w:r>
        <w:rPr>
          <w:rFonts w:ascii="Times New Roman" w:hAnsi="Times New Roman"/>
          <w:sz w:val="20"/>
          <w:lang w:val="en"/>
        </w:rPr>
        <w:t>9</w:t>
      </w:r>
      <w:r w:rsidRPr="00BE463E">
        <w:rPr>
          <w:rFonts w:ascii="Times New Roman" w:hAnsi="Times New Roman"/>
          <w:sz w:val="20"/>
          <w:lang w:val="en"/>
        </w:rPr>
        <w:t>, “Table 3. Civilian workers, by occupational group: employer costs per hours worked for employee compensation and costs as a percentage of total comp</w:t>
      </w:r>
      <w:r>
        <w:rPr>
          <w:rFonts w:ascii="Times New Roman" w:hAnsi="Times New Roman"/>
          <w:sz w:val="20"/>
          <w:lang w:val="en"/>
        </w:rPr>
        <w:t>ensation, 2004-2019.”  March 2020</w:t>
      </w:r>
      <w:r w:rsidRPr="00BE463E">
        <w:rPr>
          <w:rFonts w:ascii="Times New Roman" w:hAnsi="Times New Roman"/>
          <w:sz w:val="20"/>
          <w:lang w:val="en"/>
        </w:rPr>
        <w:t>.  Available at https://www.bls.gov/web/ece</w:t>
      </w:r>
      <w:r>
        <w:rPr>
          <w:rFonts w:ascii="Times New Roman" w:hAnsi="Times New Roman"/>
          <w:sz w:val="20"/>
          <w:lang w:val="en"/>
        </w:rPr>
        <w:t>c/ececqrtn.pdf.  Accessed June 12, 2020</w:t>
      </w:r>
      <w:r w:rsidRPr="00BE463E">
        <w:rPr>
          <w:rFonts w:ascii="Times New Roman" w:hAnsi="Times New Roman"/>
          <w:sz w:val="20"/>
          <w:lang w:val="en"/>
        </w:rPr>
        <w:t>.</w:t>
      </w:r>
    </w:p>
  </w:footnote>
  <w:footnote w:id="2">
    <w:p w14:paraId="2CF5F659" w14:textId="77777777" w:rsidR="007873C8" w:rsidRPr="00D41379" w:rsidRDefault="007873C8" w:rsidP="007873C8">
      <w:pPr>
        <w:pStyle w:val="FootnoteText"/>
        <w:rPr>
          <w:rFonts w:ascii="Times New Roman" w:hAnsi="Times New Roman"/>
        </w:rPr>
      </w:pPr>
      <w:r w:rsidRPr="00503C4E">
        <w:rPr>
          <w:rStyle w:val="FootnoteReference"/>
          <w:rFonts w:ascii="Times New Roman" w:hAnsi="Times New Roman"/>
          <w:vertAlign w:val="superscript"/>
        </w:rPr>
        <w:footnoteRef/>
      </w:r>
      <w:r w:rsidRPr="00D41379">
        <w:rPr>
          <w:rFonts w:ascii="Times New Roman" w:hAnsi="Times New Roman"/>
        </w:rPr>
        <w:t xml:space="preserve"> CBP bases this wage on the </w:t>
      </w:r>
      <w:r>
        <w:rPr>
          <w:rFonts w:ascii="Times New Roman" w:hAnsi="Times New Roman"/>
        </w:rPr>
        <w:t xml:space="preserve">FY 2020 </w:t>
      </w:r>
      <w:r w:rsidRPr="00D41379">
        <w:rPr>
          <w:rFonts w:ascii="Times New Roman" w:hAnsi="Times New Roman"/>
        </w:rPr>
        <w:t xml:space="preserve">salary and benefits of the national average of </w:t>
      </w:r>
      <w:r>
        <w:rPr>
          <w:rFonts w:ascii="Times New Roman" w:hAnsi="Times New Roman"/>
        </w:rPr>
        <w:t xml:space="preserve">other CBP </w:t>
      </w:r>
      <w:r w:rsidRPr="00D41379">
        <w:rPr>
          <w:rFonts w:ascii="Times New Roman" w:hAnsi="Times New Roman"/>
        </w:rPr>
        <w:t>posi</w:t>
      </w:r>
      <w:r>
        <w:rPr>
          <w:rFonts w:ascii="Times New Roman" w:hAnsi="Times New Roman"/>
        </w:rPr>
        <w:t>tions, which is equal to a GS-12, Step 3</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July 2, 2020</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4D8"/>
    <w:multiLevelType w:val="hybridMultilevel"/>
    <w:tmpl w:val="82AA28E2"/>
    <w:lvl w:ilvl="0" w:tplc="4DD8D8CC">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7771BC"/>
    <w:multiLevelType w:val="hybridMultilevel"/>
    <w:tmpl w:val="64A68ED2"/>
    <w:lvl w:ilvl="0" w:tplc="28C4464C">
      <w:start w:val="3"/>
      <w:numFmt w:val="decimal"/>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5244D"/>
    <w:multiLevelType w:val="hybridMultilevel"/>
    <w:tmpl w:val="D7D8F278"/>
    <w:lvl w:ilvl="0" w:tplc="A936EADA">
      <w:start w:val="1"/>
      <w:numFmt w:val="decimal"/>
      <w:lvlText w:val="%1)"/>
      <w:lvlJc w:val="left"/>
      <w:pPr>
        <w:ind w:left="720" w:hanging="72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AD471C"/>
    <w:multiLevelType w:val="hybridMultilevel"/>
    <w:tmpl w:val="F9FE389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5"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557195"/>
    <w:multiLevelType w:val="hybridMultilevel"/>
    <w:tmpl w:val="F85A153E"/>
    <w:lvl w:ilvl="0" w:tplc="0409000F">
      <w:start w:val="1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715DD9"/>
    <w:multiLevelType w:val="hybridMultilevel"/>
    <w:tmpl w:val="19423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6"/>
  </w:num>
  <w:num w:numId="4">
    <w:abstractNumId w:val="5"/>
  </w:num>
  <w:num w:numId="5">
    <w:abstractNumId w:val="1"/>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2F0"/>
    <w:rsid w:val="00000EA6"/>
    <w:rsid w:val="00007C75"/>
    <w:rsid w:val="000204F8"/>
    <w:rsid w:val="0003539D"/>
    <w:rsid w:val="00056B7B"/>
    <w:rsid w:val="000627BB"/>
    <w:rsid w:val="00085E1A"/>
    <w:rsid w:val="000868FD"/>
    <w:rsid w:val="000A6AA9"/>
    <w:rsid w:val="000C641D"/>
    <w:rsid w:val="000E5C96"/>
    <w:rsid w:val="001109E2"/>
    <w:rsid w:val="0011507E"/>
    <w:rsid w:val="00117114"/>
    <w:rsid w:val="00121F8A"/>
    <w:rsid w:val="001311CD"/>
    <w:rsid w:val="00132941"/>
    <w:rsid w:val="0013671A"/>
    <w:rsid w:val="001649D1"/>
    <w:rsid w:val="001743F5"/>
    <w:rsid w:val="0019357D"/>
    <w:rsid w:val="00195291"/>
    <w:rsid w:val="001A2096"/>
    <w:rsid w:val="001A7F2E"/>
    <w:rsid w:val="001C25EB"/>
    <w:rsid w:val="001D1573"/>
    <w:rsid w:val="001E2997"/>
    <w:rsid w:val="001F3FF8"/>
    <w:rsid w:val="001F46CC"/>
    <w:rsid w:val="0020398F"/>
    <w:rsid w:val="00211BC9"/>
    <w:rsid w:val="00214989"/>
    <w:rsid w:val="00227FC0"/>
    <w:rsid w:val="00231AE6"/>
    <w:rsid w:val="00234F8F"/>
    <w:rsid w:val="00246F1C"/>
    <w:rsid w:val="00251A3C"/>
    <w:rsid w:val="002569D4"/>
    <w:rsid w:val="002572F1"/>
    <w:rsid w:val="00260148"/>
    <w:rsid w:val="0026053B"/>
    <w:rsid w:val="00271FCD"/>
    <w:rsid w:val="002768BA"/>
    <w:rsid w:val="00282F99"/>
    <w:rsid w:val="00291DC4"/>
    <w:rsid w:val="00296457"/>
    <w:rsid w:val="002A2656"/>
    <w:rsid w:val="002B54B0"/>
    <w:rsid w:val="002C1235"/>
    <w:rsid w:val="002C58BF"/>
    <w:rsid w:val="003007B5"/>
    <w:rsid w:val="00312C3D"/>
    <w:rsid w:val="00313797"/>
    <w:rsid w:val="0031617D"/>
    <w:rsid w:val="0032779F"/>
    <w:rsid w:val="0034365C"/>
    <w:rsid w:val="003464D3"/>
    <w:rsid w:val="00347CBE"/>
    <w:rsid w:val="003528D4"/>
    <w:rsid w:val="003602C3"/>
    <w:rsid w:val="00360554"/>
    <w:rsid w:val="00361864"/>
    <w:rsid w:val="00366431"/>
    <w:rsid w:val="00367C01"/>
    <w:rsid w:val="00370FE2"/>
    <w:rsid w:val="00373D4A"/>
    <w:rsid w:val="003901EC"/>
    <w:rsid w:val="003A376D"/>
    <w:rsid w:val="003A44B9"/>
    <w:rsid w:val="003B0B0E"/>
    <w:rsid w:val="003B6F4A"/>
    <w:rsid w:val="003D5A27"/>
    <w:rsid w:val="003D5B26"/>
    <w:rsid w:val="003D6CBF"/>
    <w:rsid w:val="003D7BD2"/>
    <w:rsid w:val="003E2A5D"/>
    <w:rsid w:val="003E3D3F"/>
    <w:rsid w:val="003E4C57"/>
    <w:rsid w:val="00400334"/>
    <w:rsid w:val="00413108"/>
    <w:rsid w:val="00420953"/>
    <w:rsid w:val="004242D1"/>
    <w:rsid w:val="00425FA2"/>
    <w:rsid w:val="00431485"/>
    <w:rsid w:val="00466020"/>
    <w:rsid w:val="00470B2D"/>
    <w:rsid w:val="00471C01"/>
    <w:rsid w:val="004725A7"/>
    <w:rsid w:val="0048466E"/>
    <w:rsid w:val="004938E3"/>
    <w:rsid w:val="004A6DD5"/>
    <w:rsid w:val="004B504D"/>
    <w:rsid w:val="004C748D"/>
    <w:rsid w:val="004D3FC8"/>
    <w:rsid w:val="004E394E"/>
    <w:rsid w:val="004F0274"/>
    <w:rsid w:val="00503C4E"/>
    <w:rsid w:val="005320C0"/>
    <w:rsid w:val="005326A4"/>
    <w:rsid w:val="00532768"/>
    <w:rsid w:val="005335BB"/>
    <w:rsid w:val="00536DEA"/>
    <w:rsid w:val="005420EE"/>
    <w:rsid w:val="005733E0"/>
    <w:rsid w:val="00576E13"/>
    <w:rsid w:val="00583A67"/>
    <w:rsid w:val="00593731"/>
    <w:rsid w:val="00595908"/>
    <w:rsid w:val="005A11CB"/>
    <w:rsid w:val="005A33AD"/>
    <w:rsid w:val="005A4599"/>
    <w:rsid w:val="005A4E2A"/>
    <w:rsid w:val="005A7EB8"/>
    <w:rsid w:val="005B07A6"/>
    <w:rsid w:val="005B6F72"/>
    <w:rsid w:val="005B7180"/>
    <w:rsid w:val="005C7E64"/>
    <w:rsid w:val="005D48C8"/>
    <w:rsid w:val="005D608C"/>
    <w:rsid w:val="005E6910"/>
    <w:rsid w:val="005F433B"/>
    <w:rsid w:val="00601346"/>
    <w:rsid w:val="00604BEF"/>
    <w:rsid w:val="00610543"/>
    <w:rsid w:val="0061194F"/>
    <w:rsid w:val="006132B6"/>
    <w:rsid w:val="006155F4"/>
    <w:rsid w:val="00616FDE"/>
    <w:rsid w:val="006226A2"/>
    <w:rsid w:val="006241DD"/>
    <w:rsid w:val="006340DA"/>
    <w:rsid w:val="00637793"/>
    <w:rsid w:val="00641EDC"/>
    <w:rsid w:val="0065089F"/>
    <w:rsid w:val="0066290D"/>
    <w:rsid w:val="00672141"/>
    <w:rsid w:val="00683C40"/>
    <w:rsid w:val="006844A5"/>
    <w:rsid w:val="006858DF"/>
    <w:rsid w:val="00695B19"/>
    <w:rsid w:val="006B5AE9"/>
    <w:rsid w:val="006B7B9D"/>
    <w:rsid w:val="006D73CE"/>
    <w:rsid w:val="006F517D"/>
    <w:rsid w:val="00704C2A"/>
    <w:rsid w:val="00711C39"/>
    <w:rsid w:val="007157AF"/>
    <w:rsid w:val="007170D9"/>
    <w:rsid w:val="00730E39"/>
    <w:rsid w:val="0074159A"/>
    <w:rsid w:val="00751810"/>
    <w:rsid w:val="00757F21"/>
    <w:rsid w:val="007655B1"/>
    <w:rsid w:val="00766068"/>
    <w:rsid w:val="00774F67"/>
    <w:rsid w:val="00785477"/>
    <w:rsid w:val="007873C8"/>
    <w:rsid w:val="007925CE"/>
    <w:rsid w:val="007A3A68"/>
    <w:rsid w:val="007B0173"/>
    <w:rsid w:val="007B63BB"/>
    <w:rsid w:val="007C2F5A"/>
    <w:rsid w:val="007C620C"/>
    <w:rsid w:val="007C7E47"/>
    <w:rsid w:val="007D1138"/>
    <w:rsid w:val="007D6FB7"/>
    <w:rsid w:val="007F4EB3"/>
    <w:rsid w:val="007F7CA9"/>
    <w:rsid w:val="0080324A"/>
    <w:rsid w:val="0081374F"/>
    <w:rsid w:val="008154B1"/>
    <w:rsid w:val="00815734"/>
    <w:rsid w:val="00817354"/>
    <w:rsid w:val="0081736B"/>
    <w:rsid w:val="0082153C"/>
    <w:rsid w:val="0082346F"/>
    <w:rsid w:val="00832911"/>
    <w:rsid w:val="00835F03"/>
    <w:rsid w:val="00843243"/>
    <w:rsid w:val="008522D8"/>
    <w:rsid w:val="008703B3"/>
    <w:rsid w:val="008A31C5"/>
    <w:rsid w:val="008A4D47"/>
    <w:rsid w:val="008C03E0"/>
    <w:rsid w:val="008D3EED"/>
    <w:rsid w:val="008D7234"/>
    <w:rsid w:val="008E1868"/>
    <w:rsid w:val="008E4954"/>
    <w:rsid w:val="008E4A22"/>
    <w:rsid w:val="008F5E61"/>
    <w:rsid w:val="00924434"/>
    <w:rsid w:val="0092726A"/>
    <w:rsid w:val="00950C9B"/>
    <w:rsid w:val="00954542"/>
    <w:rsid w:val="00973BC0"/>
    <w:rsid w:val="00974A60"/>
    <w:rsid w:val="00975DBB"/>
    <w:rsid w:val="00975EBE"/>
    <w:rsid w:val="00984054"/>
    <w:rsid w:val="00994798"/>
    <w:rsid w:val="0099798D"/>
    <w:rsid w:val="009A3C47"/>
    <w:rsid w:val="009B1A97"/>
    <w:rsid w:val="009C58DF"/>
    <w:rsid w:val="009C5AB2"/>
    <w:rsid w:val="009E295F"/>
    <w:rsid w:val="009E3442"/>
    <w:rsid w:val="009E34B0"/>
    <w:rsid w:val="009F3FDD"/>
    <w:rsid w:val="009F4D25"/>
    <w:rsid w:val="009F5011"/>
    <w:rsid w:val="00A01426"/>
    <w:rsid w:val="00A10893"/>
    <w:rsid w:val="00A1107F"/>
    <w:rsid w:val="00A24F6C"/>
    <w:rsid w:val="00A25F09"/>
    <w:rsid w:val="00A265EB"/>
    <w:rsid w:val="00A5704F"/>
    <w:rsid w:val="00A634C3"/>
    <w:rsid w:val="00A6757B"/>
    <w:rsid w:val="00A829FD"/>
    <w:rsid w:val="00A911ED"/>
    <w:rsid w:val="00A91B7B"/>
    <w:rsid w:val="00A95017"/>
    <w:rsid w:val="00AA25F8"/>
    <w:rsid w:val="00AB38E9"/>
    <w:rsid w:val="00AB6ECC"/>
    <w:rsid w:val="00AC0AA4"/>
    <w:rsid w:val="00AC62B0"/>
    <w:rsid w:val="00AC7363"/>
    <w:rsid w:val="00AD463B"/>
    <w:rsid w:val="00AE7BAB"/>
    <w:rsid w:val="00AF1FAD"/>
    <w:rsid w:val="00AF277A"/>
    <w:rsid w:val="00AF5508"/>
    <w:rsid w:val="00AF671F"/>
    <w:rsid w:val="00B13B34"/>
    <w:rsid w:val="00B16F9B"/>
    <w:rsid w:val="00B2409A"/>
    <w:rsid w:val="00B248CD"/>
    <w:rsid w:val="00B25417"/>
    <w:rsid w:val="00B31D4F"/>
    <w:rsid w:val="00B3728F"/>
    <w:rsid w:val="00B64D98"/>
    <w:rsid w:val="00B702ED"/>
    <w:rsid w:val="00B74BBE"/>
    <w:rsid w:val="00B81CDF"/>
    <w:rsid w:val="00B845A1"/>
    <w:rsid w:val="00B94FAE"/>
    <w:rsid w:val="00B965BA"/>
    <w:rsid w:val="00BB2F3C"/>
    <w:rsid w:val="00BB4F5B"/>
    <w:rsid w:val="00BC1896"/>
    <w:rsid w:val="00BC5B35"/>
    <w:rsid w:val="00BD06DE"/>
    <w:rsid w:val="00BD3B77"/>
    <w:rsid w:val="00BE22AF"/>
    <w:rsid w:val="00BF03AD"/>
    <w:rsid w:val="00BF396D"/>
    <w:rsid w:val="00C066FC"/>
    <w:rsid w:val="00C10661"/>
    <w:rsid w:val="00C3633D"/>
    <w:rsid w:val="00C40D6D"/>
    <w:rsid w:val="00C428E6"/>
    <w:rsid w:val="00C5273A"/>
    <w:rsid w:val="00C63E90"/>
    <w:rsid w:val="00C8779A"/>
    <w:rsid w:val="00C92CF3"/>
    <w:rsid w:val="00C9681C"/>
    <w:rsid w:val="00CA664B"/>
    <w:rsid w:val="00CC164E"/>
    <w:rsid w:val="00CC413E"/>
    <w:rsid w:val="00CC5547"/>
    <w:rsid w:val="00CD4B6B"/>
    <w:rsid w:val="00D0408F"/>
    <w:rsid w:val="00D23974"/>
    <w:rsid w:val="00D26007"/>
    <w:rsid w:val="00D26742"/>
    <w:rsid w:val="00D43606"/>
    <w:rsid w:val="00D47FF8"/>
    <w:rsid w:val="00D524F9"/>
    <w:rsid w:val="00D532F0"/>
    <w:rsid w:val="00D62311"/>
    <w:rsid w:val="00D7628D"/>
    <w:rsid w:val="00D77CBD"/>
    <w:rsid w:val="00D81B29"/>
    <w:rsid w:val="00D87C81"/>
    <w:rsid w:val="00D87E74"/>
    <w:rsid w:val="00D90437"/>
    <w:rsid w:val="00D967AF"/>
    <w:rsid w:val="00DB26E8"/>
    <w:rsid w:val="00DB6267"/>
    <w:rsid w:val="00DC766A"/>
    <w:rsid w:val="00DE1594"/>
    <w:rsid w:val="00DE20C0"/>
    <w:rsid w:val="00DF25B3"/>
    <w:rsid w:val="00E05730"/>
    <w:rsid w:val="00E12F90"/>
    <w:rsid w:val="00E12FA0"/>
    <w:rsid w:val="00E1721E"/>
    <w:rsid w:val="00E2141B"/>
    <w:rsid w:val="00E26565"/>
    <w:rsid w:val="00E351B1"/>
    <w:rsid w:val="00E4051D"/>
    <w:rsid w:val="00E56B8E"/>
    <w:rsid w:val="00E73344"/>
    <w:rsid w:val="00E7543D"/>
    <w:rsid w:val="00E76DBA"/>
    <w:rsid w:val="00E81DEB"/>
    <w:rsid w:val="00E874BC"/>
    <w:rsid w:val="00EA0D88"/>
    <w:rsid w:val="00EC0FB1"/>
    <w:rsid w:val="00EF06C1"/>
    <w:rsid w:val="00F01250"/>
    <w:rsid w:val="00F05598"/>
    <w:rsid w:val="00F0772D"/>
    <w:rsid w:val="00F2193B"/>
    <w:rsid w:val="00F25CA7"/>
    <w:rsid w:val="00F30948"/>
    <w:rsid w:val="00F30CA8"/>
    <w:rsid w:val="00F31C79"/>
    <w:rsid w:val="00F34F95"/>
    <w:rsid w:val="00F50A43"/>
    <w:rsid w:val="00F60F1C"/>
    <w:rsid w:val="00F753AF"/>
    <w:rsid w:val="00F827CB"/>
    <w:rsid w:val="00F941B5"/>
    <w:rsid w:val="00F96AF2"/>
    <w:rsid w:val="00FA5FFA"/>
    <w:rsid w:val="00FA6F8E"/>
    <w:rsid w:val="00FB1ED5"/>
    <w:rsid w:val="00FE38A2"/>
    <w:rsid w:val="00FE5E7E"/>
    <w:rsid w:val="00F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63DB8"/>
  <w15:chartTrackingRefBased/>
  <w15:docId w15:val="{839B786C-A51F-477D-8ECB-890FC2E2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Bookman Old Style" w:hAnsi="Bookman Old Style"/>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Default">
    <w:name w:val="Default"/>
    <w:rsid w:val="00DF25B3"/>
    <w:pPr>
      <w:autoSpaceDE w:val="0"/>
      <w:autoSpaceDN w:val="0"/>
      <w:adjustRightInd w:val="0"/>
    </w:pPr>
    <w:rPr>
      <w:rFonts w:ascii="Courier New" w:hAnsi="Courier New" w:cs="Courier New"/>
      <w:color w:val="000000"/>
      <w:sz w:val="24"/>
      <w:szCs w:val="24"/>
    </w:rPr>
  </w:style>
  <w:style w:type="paragraph" w:styleId="HTMLPreformatted">
    <w:name w:val="HTML Preformatted"/>
    <w:basedOn w:val="Default"/>
    <w:next w:val="Default"/>
    <w:rsid w:val="00DF25B3"/>
    <w:rPr>
      <w:rFonts w:cs="Times New Roman"/>
      <w:color w:val="auto"/>
    </w:rPr>
  </w:style>
  <w:style w:type="character" w:styleId="Hyperlink">
    <w:name w:val="Hyperlink"/>
    <w:rsid w:val="00835F03"/>
    <w:rPr>
      <w:color w:val="0000FF"/>
      <w:u w:val="single"/>
    </w:rPr>
  </w:style>
  <w:style w:type="paragraph" w:customStyle="1" w:styleId="Style">
    <w:name w:val="Style"/>
    <w:basedOn w:val="Normal"/>
    <w:rsid w:val="00A5704F"/>
    <w:pPr>
      <w:ind w:left="1440" w:hanging="720"/>
    </w:pPr>
    <w:rPr>
      <w:rFonts w:ascii="Times New Roman" w:hAnsi="Times New Roman"/>
    </w:rPr>
  </w:style>
  <w:style w:type="table" w:styleId="TableGrid">
    <w:name w:val="Table Grid"/>
    <w:basedOn w:val="TableNormal"/>
    <w:rsid w:val="00A5704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1507E"/>
    <w:pPr>
      <w:spacing w:after="120" w:line="480" w:lineRule="auto"/>
      <w:ind w:left="360"/>
    </w:pPr>
  </w:style>
  <w:style w:type="paragraph" w:styleId="Footer">
    <w:name w:val="footer"/>
    <w:basedOn w:val="Normal"/>
    <w:rsid w:val="00751810"/>
    <w:pPr>
      <w:tabs>
        <w:tab w:val="center" w:pos="4320"/>
        <w:tab w:val="right" w:pos="8640"/>
      </w:tabs>
    </w:pPr>
  </w:style>
  <w:style w:type="character" w:styleId="PageNumber">
    <w:name w:val="page number"/>
    <w:basedOn w:val="DefaultParagraphFont"/>
    <w:rsid w:val="00751810"/>
  </w:style>
  <w:style w:type="paragraph" w:styleId="BalloonText">
    <w:name w:val="Balloon Text"/>
    <w:basedOn w:val="Normal"/>
    <w:semiHidden/>
    <w:rsid w:val="00A91B7B"/>
    <w:rPr>
      <w:rFonts w:ascii="Tahoma" w:hAnsi="Tahoma" w:cs="Tahoma"/>
      <w:sz w:val="16"/>
      <w:szCs w:val="16"/>
    </w:rPr>
  </w:style>
  <w:style w:type="character" w:styleId="CommentReference">
    <w:name w:val="annotation reference"/>
    <w:semiHidden/>
    <w:rsid w:val="00A91B7B"/>
    <w:rPr>
      <w:sz w:val="16"/>
      <w:szCs w:val="16"/>
    </w:rPr>
  </w:style>
  <w:style w:type="paragraph" w:styleId="CommentText">
    <w:name w:val="annotation text"/>
    <w:basedOn w:val="Normal"/>
    <w:semiHidden/>
    <w:rsid w:val="00A91B7B"/>
    <w:rPr>
      <w:sz w:val="20"/>
    </w:rPr>
  </w:style>
  <w:style w:type="paragraph" w:styleId="CommentSubject">
    <w:name w:val="annotation subject"/>
    <w:basedOn w:val="CommentText"/>
    <w:next w:val="CommentText"/>
    <w:semiHidden/>
    <w:rsid w:val="00A91B7B"/>
    <w:rPr>
      <w:b/>
      <w:bCs/>
    </w:rPr>
  </w:style>
  <w:style w:type="paragraph" w:styleId="ListParagraph">
    <w:name w:val="List Paragraph"/>
    <w:basedOn w:val="Normal"/>
    <w:uiPriority w:val="34"/>
    <w:qFormat/>
    <w:rsid w:val="0082153C"/>
    <w:pPr>
      <w:ind w:left="720"/>
      <w:contextualSpacing/>
    </w:pPr>
    <w:rPr>
      <w:rFonts w:ascii="Times New Roman" w:hAnsi="Times New Roman"/>
    </w:rPr>
  </w:style>
  <w:style w:type="paragraph" w:styleId="FootnoteText">
    <w:name w:val="footnote text"/>
    <w:basedOn w:val="Normal"/>
    <w:link w:val="FootnoteTextChar"/>
    <w:unhideWhenUsed/>
    <w:rsid w:val="00D62311"/>
    <w:pPr>
      <w:widowControl/>
    </w:pPr>
    <w:rPr>
      <w:rFonts w:ascii="Calibri" w:eastAsia="Calibri" w:hAnsi="Calibri"/>
      <w:snapToGrid/>
      <w:sz w:val="20"/>
    </w:rPr>
  </w:style>
  <w:style w:type="character" w:customStyle="1" w:styleId="FootnoteTextChar">
    <w:name w:val="Footnote Text Char"/>
    <w:link w:val="FootnoteText"/>
    <w:rsid w:val="00D62311"/>
    <w:rPr>
      <w:rFonts w:ascii="Calibri" w:eastAsia="Calibri" w:hAnsi="Calibri"/>
    </w:rPr>
  </w:style>
  <w:style w:type="character" w:styleId="FollowedHyperlink">
    <w:name w:val="FollowedHyperlink"/>
    <w:rsid w:val="00C8779A"/>
    <w:rPr>
      <w:color w:val="954F72"/>
      <w:u w:val="single"/>
    </w:rPr>
  </w:style>
  <w:style w:type="paragraph" w:styleId="Header">
    <w:name w:val="header"/>
    <w:basedOn w:val="Normal"/>
    <w:link w:val="HeaderChar"/>
    <w:rsid w:val="0013671A"/>
    <w:pPr>
      <w:tabs>
        <w:tab w:val="center" w:pos="4680"/>
        <w:tab w:val="right" w:pos="9360"/>
      </w:tabs>
    </w:pPr>
  </w:style>
  <w:style w:type="character" w:customStyle="1" w:styleId="HeaderChar">
    <w:name w:val="Header Char"/>
    <w:basedOn w:val="DefaultParagraphFont"/>
    <w:link w:val="Header"/>
    <w:rsid w:val="0013671A"/>
    <w:rPr>
      <w:rFonts w:ascii="Bookman Old Style" w:hAnsi="Bookman Old Style"/>
      <w:snapToGrid w:val="0"/>
      <w:sz w:val="24"/>
    </w:rPr>
  </w:style>
  <w:style w:type="character" w:styleId="SubtleEmphasis">
    <w:name w:val="Subtle Emphasis"/>
    <w:basedOn w:val="DefaultParagraphFont"/>
    <w:uiPriority w:val="19"/>
    <w:qFormat/>
    <w:rsid w:val="00E76DB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52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bp.bondquestions@dh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bp.gov/sites/default/files/assets/documents/2020-Jul/CBP%20Form%205106.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D904EF7970C046A6A8CC96E64A9A69" ma:contentTypeVersion="4" ma:contentTypeDescription="Create a new document." ma:contentTypeScope="" ma:versionID="d4cea35c5811ba35aec564bf3c5e7a45">
  <xsd:schema xmlns:xsd="http://www.w3.org/2001/XMLSchema" xmlns:xs="http://www.w3.org/2001/XMLSchema" xmlns:p="http://schemas.microsoft.com/office/2006/metadata/properties" xmlns:ns3="5a38dcd6-ffc9-471a-95eb-9dd68e84d3f3" targetNamespace="http://schemas.microsoft.com/office/2006/metadata/properties" ma:root="true" ma:fieldsID="e5a0c676237863cb1d8df404276d1d45" ns3:_="">
    <xsd:import namespace="5a38dcd6-ffc9-471a-95eb-9dd68e84d3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8dcd6-ffc9-471a-95eb-9dd68e84d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5F97-3537-446A-B7C1-E06457C0A2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BE4DF3-3AB0-4D5C-9FE9-3A6A4736B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8dcd6-ffc9-471a-95eb-9dd68e84d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23EE3-45AA-4319-82EF-F563BAD25D13}">
  <ds:schemaRefs>
    <ds:schemaRef ds:uri="http://schemas.microsoft.com/sharepoint/v3/contenttype/forms"/>
  </ds:schemaRefs>
</ds:datastoreItem>
</file>

<file path=customXml/itemProps4.xml><?xml version="1.0" encoding="utf-8"?>
<ds:datastoreItem xmlns:ds="http://schemas.openxmlformats.org/officeDocument/2006/customXml" ds:itemID="{41D36088-14E1-4755-A409-45B4ADEF8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11602</CharactersWithSpaces>
  <SharedDoc>false</SharedDoc>
  <HLinks>
    <vt:vector size="18" baseType="variant">
      <vt:variant>
        <vt:i4>1114130</vt:i4>
      </vt:variant>
      <vt:variant>
        <vt:i4>0</vt:i4>
      </vt:variant>
      <vt:variant>
        <vt:i4>0</vt:i4>
      </vt:variant>
      <vt:variant>
        <vt:i4>5</vt:i4>
      </vt:variant>
      <vt:variant>
        <vt:lpwstr>http://forms.cbp.gov/pdf/CBP_Form_5106.pdf</vt:lpwstr>
      </vt:variant>
      <vt:variant>
        <vt:lpwstr/>
      </vt:variant>
      <vt:variant>
        <vt:i4>7405677</vt:i4>
      </vt:variant>
      <vt:variant>
        <vt:i4>3</vt:i4>
      </vt:variant>
      <vt:variant>
        <vt:i4>0</vt:i4>
      </vt:variant>
      <vt:variant>
        <vt:i4>5</vt:i4>
      </vt:variant>
      <vt:variant>
        <vt:lpwstr>http://www.bls.gov/ncs/ect/sp/ececqrtn.pdf</vt:lpwstr>
      </vt:variant>
      <vt:variant>
        <vt:lpwstr/>
      </vt:variant>
      <vt:variant>
        <vt:i4>5898318</vt:i4>
      </vt:variant>
      <vt:variant>
        <vt:i4>0</vt:i4>
      </vt:variant>
      <vt:variant>
        <vt:i4>0</vt:i4>
      </vt:variant>
      <vt:variant>
        <vt:i4>5</vt:i4>
      </vt:variant>
      <vt:variant>
        <vt:lpwstr>http://www.bls.gov/oes/2014/may/oes435011.htm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WILLIAMS, SHADE</cp:lastModifiedBy>
  <cp:revision>2</cp:revision>
  <cp:lastPrinted>2016-05-02T13:20:00Z</cp:lastPrinted>
  <dcterms:created xsi:type="dcterms:W3CDTF">2020-12-17T15:27:00Z</dcterms:created>
  <dcterms:modified xsi:type="dcterms:W3CDTF">2020-12-17T15:27:00Z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0x010100B6D904EF7970C046A6A8CC96E64A9A69</vt:lpwstr>
  </property>
</Properties>
</file>