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13347C6F" w14:textId="697BE175">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785259">
        <w:rPr>
          <w:rFonts w:ascii="Times New Roman" w:hAnsi="Times New Roman"/>
          <w:szCs w:val="24"/>
        </w:rPr>
        <w:t>1855-0024</w:t>
      </w:r>
    </w:p>
    <w:p w:rsidRPr="00AD381B" w:rsidR="00043C32" w:rsidP="00AD381B" w:rsidRDefault="00043C32" w14:paraId="27A0023B" w14:textId="77777777">
      <w:pPr>
        <w:pStyle w:val="Heading1"/>
        <w:rPr>
          <w:sz w:val="24"/>
          <w:szCs w:val="24"/>
        </w:rPr>
      </w:pPr>
      <w:r w:rsidRPr="00AD381B">
        <w:rPr>
          <w:sz w:val="24"/>
          <w:szCs w:val="24"/>
        </w:rPr>
        <w:t>SUPPORTING STATEMENT</w:t>
      </w:r>
    </w:p>
    <w:p w:rsidRPr="00AD381B" w:rsidR="00043C32" w:rsidP="00AD381B" w:rsidRDefault="00043C32" w14:paraId="408267AD" w14:textId="77777777">
      <w:pPr>
        <w:pStyle w:val="Heading1"/>
        <w:rPr>
          <w:sz w:val="24"/>
          <w:szCs w:val="24"/>
        </w:rPr>
      </w:pPr>
      <w:r w:rsidRPr="00AD381B">
        <w:rPr>
          <w:sz w:val="24"/>
          <w:szCs w:val="24"/>
        </w:rPr>
        <w:t>FOR PAPERWORK REDUCTION ACT SUBMISSION</w:t>
      </w:r>
    </w:p>
    <w:p w:rsidRPr="00AD381B" w:rsidR="00043C32" w:rsidP="00AD381B" w:rsidRDefault="00043C32" w14:paraId="65D0344F" w14:textId="77777777">
      <w:pPr>
        <w:tabs>
          <w:tab w:val="left" w:pos="0"/>
        </w:tabs>
        <w:suppressAutoHyphens/>
        <w:rPr>
          <w:rFonts w:ascii="Times New Roman" w:hAnsi="Times New Roman"/>
          <w:szCs w:val="24"/>
        </w:rPr>
      </w:pPr>
    </w:p>
    <w:p w:rsidRPr="00AD381B" w:rsidR="00EA1767" w:rsidP="00AD381B" w:rsidRDefault="00043C32" w14:paraId="7F739A14"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r w:rsidR="00267250">
        <w:rPr>
          <w:rFonts w:ascii="Times New Roman" w:hAnsi="Times New Roman"/>
          <w:b/>
          <w:szCs w:val="24"/>
        </w:rPr>
        <w:t xml:space="preserve"> </w:t>
      </w:r>
    </w:p>
    <w:p w:rsidR="00F860AB" w:rsidP="00F860AB" w:rsidRDefault="00F860AB" w14:paraId="51FBFB22" w14:textId="77777777">
      <w:pPr>
        <w:pStyle w:val="ListParagraph"/>
        <w:suppressAutoHyphens/>
        <w:spacing w:line="240" w:lineRule="exact"/>
        <w:rPr>
          <w:rFonts w:ascii="Times New Roman" w:hAnsi="Times New Roman"/>
          <w:szCs w:val="24"/>
        </w:rPr>
      </w:pPr>
    </w:p>
    <w:p w:rsidR="00785259" w:rsidP="00785259" w:rsidRDefault="00785259" w14:paraId="236CDA07" w14:textId="77777777">
      <w:pPr>
        <w:tabs>
          <w:tab w:val="left" w:pos="0"/>
        </w:tabs>
        <w:suppressAutoHyphens/>
        <w:rPr>
          <w:rFonts w:ascii="Times New Roman" w:hAnsi="Times New Roman"/>
          <w:szCs w:val="24"/>
        </w:rPr>
      </w:pPr>
      <w:bookmarkStart w:name="_Hlk47939727" w:id="0"/>
    </w:p>
    <w:p w:rsidR="00FC0044" w:rsidP="008A4B7A" w:rsidRDefault="00FC0044" w14:paraId="1A4CDD62" w14:textId="4D864F9B">
      <w:pPr>
        <w:pStyle w:val="ListParagraph"/>
        <w:suppressAutoHyphens/>
        <w:spacing w:line="240" w:lineRule="exact"/>
        <w:rPr>
          <w:rFonts w:ascii="Times New Roman" w:hAnsi="Times New Roman"/>
          <w:szCs w:val="24"/>
        </w:rPr>
      </w:pPr>
      <w:r>
        <w:rPr>
          <w:rFonts w:ascii="Times New Roman" w:hAnsi="Times New Roman"/>
          <w:szCs w:val="24"/>
        </w:rPr>
        <w:t xml:space="preserve">The Office of Charter School Programs (CSP) in the U.S. Department of Education (ED) needs reliable data to understand the current facilities landscape for charter schools. Through the National Charter School Resource Center (NCSRC), CSP administers a national </w:t>
      </w:r>
      <w:r w:rsidR="00740A45">
        <w:rPr>
          <w:rFonts w:ascii="Times New Roman" w:hAnsi="Times New Roman"/>
          <w:szCs w:val="24"/>
        </w:rPr>
        <w:t xml:space="preserve">survey </w:t>
      </w:r>
      <w:r w:rsidRPr="008A4B7A" w:rsidR="00740A45">
        <w:rPr>
          <w:rFonts w:ascii="Times New Roman" w:hAnsi="Times New Roman"/>
          <w:szCs w:val="24"/>
        </w:rPr>
        <w:t xml:space="preserve">on charter school facilities </w:t>
      </w:r>
      <w:r>
        <w:rPr>
          <w:rFonts w:ascii="Times New Roman" w:hAnsi="Times New Roman"/>
          <w:szCs w:val="24"/>
        </w:rPr>
        <w:t xml:space="preserve">to </w:t>
      </w:r>
      <w:r w:rsidR="00740A45">
        <w:rPr>
          <w:rFonts w:ascii="Times New Roman" w:hAnsi="Times New Roman"/>
          <w:szCs w:val="24"/>
        </w:rPr>
        <w:t>document</w:t>
      </w:r>
      <w:r>
        <w:rPr>
          <w:rFonts w:ascii="Times New Roman" w:hAnsi="Times New Roman"/>
          <w:szCs w:val="24"/>
        </w:rPr>
        <w:t xml:space="preserve"> </w:t>
      </w:r>
      <w:r w:rsidRPr="008A4B7A" w:rsidR="00740A45">
        <w:rPr>
          <w:rFonts w:ascii="Times New Roman" w:hAnsi="Times New Roman"/>
          <w:szCs w:val="24"/>
        </w:rPr>
        <w:t>the conditions and operations of buildings used by charter schools</w:t>
      </w:r>
      <w:r w:rsidR="00740A45">
        <w:rPr>
          <w:rFonts w:ascii="Times New Roman" w:hAnsi="Times New Roman"/>
          <w:szCs w:val="24"/>
        </w:rPr>
        <w:t>. Data collection from this survey will inform</w:t>
      </w:r>
      <w:r>
        <w:rPr>
          <w:rFonts w:ascii="Times New Roman" w:hAnsi="Times New Roman"/>
          <w:szCs w:val="24"/>
        </w:rPr>
        <w:t xml:space="preserve"> actions ED and state agencies may take to support facilit</w:t>
      </w:r>
      <w:r w:rsidR="00740A45">
        <w:rPr>
          <w:rFonts w:ascii="Times New Roman" w:hAnsi="Times New Roman"/>
          <w:szCs w:val="24"/>
        </w:rPr>
        <w:t>y</w:t>
      </w:r>
      <w:r>
        <w:rPr>
          <w:rFonts w:ascii="Times New Roman" w:hAnsi="Times New Roman"/>
          <w:szCs w:val="24"/>
        </w:rPr>
        <w:t xml:space="preserve"> needs</w:t>
      </w:r>
      <w:r w:rsidR="00740A45">
        <w:rPr>
          <w:rFonts w:ascii="Times New Roman" w:hAnsi="Times New Roman"/>
          <w:szCs w:val="24"/>
        </w:rPr>
        <w:t xml:space="preserve"> in charter schools</w:t>
      </w:r>
      <w:r>
        <w:rPr>
          <w:rFonts w:ascii="Times New Roman" w:hAnsi="Times New Roman"/>
          <w:szCs w:val="24"/>
        </w:rPr>
        <w:t xml:space="preserve">. </w:t>
      </w:r>
    </w:p>
    <w:p w:rsidR="00FC0044" w:rsidP="008A4B7A" w:rsidRDefault="00FC0044" w14:paraId="4D3A384F" w14:textId="77777777">
      <w:pPr>
        <w:pStyle w:val="ListParagraph"/>
        <w:suppressAutoHyphens/>
        <w:spacing w:line="240" w:lineRule="exact"/>
        <w:rPr>
          <w:rFonts w:ascii="Times New Roman" w:hAnsi="Times New Roman"/>
          <w:szCs w:val="24"/>
        </w:rPr>
      </w:pPr>
    </w:p>
    <w:bookmarkEnd w:id="0"/>
    <w:p w:rsidRPr="008A4B7A" w:rsidR="00F860AB" w:rsidP="00C30C6F" w:rsidRDefault="00F860AB" w14:paraId="3AB88027" w14:textId="35E3EB6A">
      <w:pPr>
        <w:pStyle w:val="ListParagraph"/>
        <w:suppressAutoHyphens/>
        <w:spacing w:line="240" w:lineRule="exact"/>
        <w:rPr>
          <w:rFonts w:ascii="Times New Roman" w:hAnsi="Times New Roman"/>
          <w:szCs w:val="24"/>
        </w:rPr>
      </w:pPr>
      <w:r w:rsidRPr="008A4B7A">
        <w:rPr>
          <w:rFonts w:ascii="Times New Roman" w:hAnsi="Times New Roman"/>
          <w:szCs w:val="24"/>
        </w:rPr>
        <w:t>Th</w:t>
      </w:r>
      <w:r w:rsidR="00740A45">
        <w:rPr>
          <w:rFonts w:ascii="Times New Roman" w:hAnsi="Times New Roman"/>
          <w:szCs w:val="24"/>
        </w:rPr>
        <w:t>e</w:t>
      </w:r>
      <w:r w:rsidRPr="008A4B7A">
        <w:rPr>
          <w:rFonts w:ascii="Times New Roman" w:hAnsi="Times New Roman"/>
          <w:szCs w:val="24"/>
        </w:rPr>
        <w:t xml:space="preserve"> survey </w:t>
      </w:r>
      <w:r w:rsidR="00740A45">
        <w:rPr>
          <w:rFonts w:ascii="Times New Roman" w:hAnsi="Times New Roman"/>
          <w:szCs w:val="24"/>
        </w:rPr>
        <w:t>questionnaire</w:t>
      </w:r>
      <w:r w:rsidRPr="008A4B7A">
        <w:rPr>
          <w:rFonts w:ascii="Times New Roman" w:hAnsi="Times New Roman"/>
          <w:szCs w:val="24"/>
        </w:rPr>
        <w:t xml:space="preserve"> is a revision based on a</w:t>
      </w:r>
      <w:r w:rsidR="00740A45">
        <w:rPr>
          <w:rFonts w:ascii="Times New Roman" w:hAnsi="Times New Roman"/>
          <w:szCs w:val="24"/>
        </w:rPr>
        <w:t>n instrument used in a</w:t>
      </w:r>
      <w:r w:rsidRPr="008A4B7A">
        <w:rPr>
          <w:rFonts w:ascii="Times New Roman" w:hAnsi="Times New Roman"/>
          <w:szCs w:val="24"/>
        </w:rPr>
        <w:t xml:space="preserve"> previous </w:t>
      </w:r>
      <w:r w:rsidRPr="008A4B7A" w:rsidR="0013313E">
        <w:rPr>
          <w:rFonts w:ascii="Times New Roman" w:hAnsi="Times New Roman"/>
          <w:szCs w:val="24"/>
        </w:rPr>
        <w:t xml:space="preserve">state-level </w:t>
      </w:r>
      <w:r w:rsidR="00FC0044">
        <w:rPr>
          <w:rFonts w:ascii="Times New Roman" w:hAnsi="Times New Roman"/>
          <w:szCs w:val="24"/>
        </w:rPr>
        <w:t xml:space="preserve">data </w:t>
      </w:r>
      <w:r w:rsidRPr="008A4B7A">
        <w:rPr>
          <w:rFonts w:ascii="Times New Roman" w:hAnsi="Times New Roman"/>
          <w:szCs w:val="24"/>
        </w:rPr>
        <w:t>collection, OMB Control Number: 1855–0024. The original survey questionnaire ha</w:t>
      </w:r>
      <w:r w:rsidR="00740A45">
        <w:rPr>
          <w:rFonts w:ascii="Times New Roman" w:hAnsi="Times New Roman"/>
          <w:szCs w:val="24"/>
        </w:rPr>
        <w:t>s</w:t>
      </w:r>
      <w:r w:rsidRPr="008A4B7A">
        <w:rPr>
          <w:rFonts w:ascii="Times New Roman" w:hAnsi="Times New Roman"/>
          <w:szCs w:val="24"/>
        </w:rPr>
        <w:t xml:space="preserve"> 12 sections covering a wide range of topics, including general facility information, facility amenities, land use, funding and expenditures, access to funding, and facility size and constraints. The questionnaire took up to 1.5 hours to complete and was delivered electronically.</w:t>
      </w:r>
      <w:r w:rsidRPr="008A4B7A" w:rsidR="00C60C4E">
        <w:rPr>
          <w:rFonts w:ascii="Times New Roman" w:hAnsi="Times New Roman"/>
          <w:szCs w:val="24"/>
        </w:rPr>
        <w:t xml:space="preserve"> </w:t>
      </w:r>
    </w:p>
    <w:p w:rsidR="00C60C4E" w:rsidP="00F860AB" w:rsidRDefault="00C60C4E" w14:paraId="7EA9DFCC" w14:textId="55FBA353">
      <w:pPr>
        <w:pStyle w:val="ListParagraph"/>
        <w:suppressAutoHyphens/>
        <w:spacing w:line="240" w:lineRule="exact"/>
        <w:rPr>
          <w:rFonts w:ascii="Times New Roman" w:hAnsi="Times New Roman"/>
          <w:szCs w:val="24"/>
        </w:rPr>
      </w:pPr>
    </w:p>
    <w:p w:rsidRPr="008A4B7A" w:rsidR="00785259" w:rsidP="008A4B7A" w:rsidRDefault="001F2F4D" w14:paraId="3929322B" w14:textId="43BEAD63">
      <w:pPr>
        <w:suppressAutoHyphens/>
        <w:spacing w:line="240" w:lineRule="exact"/>
        <w:ind w:left="720"/>
        <w:rPr>
          <w:rFonts w:ascii="Times New Roman" w:hAnsi="Times New Roman"/>
          <w:szCs w:val="24"/>
        </w:rPr>
      </w:pPr>
      <w:r>
        <w:rPr>
          <w:rFonts w:ascii="Times New Roman" w:hAnsi="Times New Roman"/>
          <w:szCs w:val="24"/>
        </w:rPr>
        <w:t xml:space="preserve">For the national survey data collection under this information clearance request, we revised </w:t>
      </w:r>
      <w:r w:rsidRPr="00F860AB" w:rsidR="00F860AB">
        <w:rPr>
          <w:rFonts w:ascii="Times New Roman" w:hAnsi="Times New Roman"/>
          <w:szCs w:val="24"/>
        </w:rPr>
        <w:t xml:space="preserve">the original </w:t>
      </w:r>
      <w:r>
        <w:rPr>
          <w:rFonts w:ascii="Times New Roman" w:hAnsi="Times New Roman"/>
          <w:szCs w:val="24"/>
        </w:rPr>
        <w:t xml:space="preserve">state </w:t>
      </w:r>
      <w:r w:rsidRPr="00F860AB" w:rsidR="00F860AB">
        <w:rPr>
          <w:rFonts w:ascii="Times New Roman" w:hAnsi="Times New Roman"/>
          <w:szCs w:val="24"/>
        </w:rPr>
        <w:t xml:space="preserve">survey questionnaire </w:t>
      </w:r>
      <w:r>
        <w:rPr>
          <w:rFonts w:ascii="Times New Roman" w:hAnsi="Times New Roman"/>
          <w:szCs w:val="24"/>
        </w:rPr>
        <w:t>to</w:t>
      </w:r>
      <w:r w:rsidRPr="00F860AB" w:rsidR="00F860AB">
        <w:rPr>
          <w:rFonts w:ascii="Times New Roman" w:hAnsi="Times New Roman"/>
          <w:szCs w:val="24"/>
        </w:rPr>
        <w:t xml:space="preserve"> (1) </w:t>
      </w:r>
      <w:r>
        <w:rPr>
          <w:rFonts w:ascii="Times New Roman" w:hAnsi="Times New Roman"/>
          <w:szCs w:val="24"/>
        </w:rPr>
        <w:t>update</w:t>
      </w:r>
      <w:r w:rsidRPr="00F860AB" w:rsidR="00F860AB">
        <w:rPr>
          <w:rFonts w:ascii="Times New Roman" w:hAnsi="Times New Roman"/>
          <w:szCs w:val="24"/>
        </w:rPr>
        <w:t xml:space="preserve"> information </w:t>
      </w:r>
      <w:r>
        <w:rPr>
          <w:rFonts w:ascii="Times New Roman" w:hAnsi="Times New Roman"/>
          <w:szCs w:val="24"/>
        </w:rPr>
        <w:t>collected in the past at a national level</w:t>
      </w:r>
      <w:r w:rsidRPr="00F860AB" w:rsidR="00F860AB">
        <w:rPr>
          <w:rFonts w:ascii="Times New Roman" w:hAnsi="Times New Roman"/>
          <w:szCs w:val="24"/>
        </w:rPr>
        <w:t>, (2) provide new data informing public understanding of charter school facilities, and (3) reduce the burden on</w:t>
      </w:r>
      <w:r w:rsidR="0057606C">
        <w:rPr>
          <w:rFonts w:ascii="Times New Roman" w:hAnsi="Times New Roman"/>
          <w:szCs w:val="24"/>
        </w:rPr>
        <w:t xml:space="preserve"> individual</w:t>
      </w:r>
      <w:r w:rsidRPr="00F860AB" w:rsidR="00F860AB">
        <w:rPr>
          <w:rFonts w:ascii="Times New Roman" w:hAnsi="Times New Roman"/>
          <w:szCs w:val="24"/>
        </w:rPr>
        <w:t xml:space="preserve"> respondents. Compared to the </w:t>
      </w:r>
      <w:r>
        <w:rPr>
          <w:rFonts w:ascii="Times New Roman" w:hAnsi="Times New Roman"/>
          <w:szCs w:val="24"/>
        </w:rPr>
        <w:t>state survey</w:t>
      </w:r>
      <w:r w:rsidRPr="00F860AB" w:rsidR="00F860AB">
        <w:rPr>
          <w:rFonts w:ascii="Times New Roman" w:hAnsi="Times New Roman"/>
          <w:szCs w:val="24"/>
        </w:rPr>
        <w:t xml:space="preserve">, the </w:t>
      </w:r>
      <w:r>
        <w:rPr>
          <w:rFonts w:ascii="Times New Roman" w:hAnsi="Times New Roman"/>
          <w:szCs w:val="24"/>
        </w:rPr>
        <w:t>national</w:t>
      </w:r>
      <w:r w:rsidRPr="00F860AB" w:rsidR="00F860AB">
        <w:rPr>
          <w:rFonts w:ascii="Times New Roman" w:hAnsi="Times New Roman"/>
          <w:szCs w:val="24"/>
        </w:rPr>
        <w:t xml:space="preserve"> questionnaire will focus on the condition of facilities, facility acquisition, and funding sources for charter schools to acquire and maintain facilities.</w:t>
      </w:r>
      <w:r w:rsidR="00B522B3">
        <w:rPr>
          <w:rFonts w:ascii="Times New Roman" w:hAnsi="Times New Roman"/>
          <w:szCs w:val="24"/>
        </w:rPr>
        <w:t xml:space="preserve"> A pilot test of the questionnaire </w:t>
      </w:r>
      <w:r w:rsidR="0057606C">
        <w:rPr>
          <w:rFonts w:ascii="Times New Roman" w:hAnsi="Times New Roman"/>
          <w:szCs w:val="24"/>
        </w:rPr>
        <w:t>revealed</w:t>
      </w:r>
      <w:r w:rsidR="00B522B3">
        <w:rPr>
          <w:rFonts w:ascii="Times New Roman" w:hAnsi="Times New Roman"/>
          <w:szCs w:val="24"/>
        </w:rPr>
        <w:t xml:space="preserve"> that it </w:t>
      </w:r>
      <w:r>
        <w:rPr>
          <w:rFonts w:ascii="Times New Roman" w:hAnsi="Times New Roman"/>
          <w:szCs w:val="24"/>
        </w:rPr>
        <w:t xml:space="preserve">would </w:t>
      </w:r>
      <w:r w:rsidR="00B522B3">
        <w:rPr>
          <w:rFonts w:ascii="Times New Roman" w:hAnsi="Times New Roman"/>
          <w:szCs w:val="24"/>
        </w:rPr>
        <w:t>take respondents approximately 3</w:t>
      </w:r>
      <w:r w:rsidR="00DB411E">
        <w:rPr>
          <w:rFonts w:ascii="Times New Roman" w:hAnsi="Times New Roman"/>
          <w:szCs w:val="24"/>
        </w:rPr>
        <w:t>4</w:t>
      </w:r>
      <w:r w:rsidR="00B522B3">
        <w:rPr>
          <w:rFonts w:ascii="Times New Roman" w:hAnsi="Times New Roman"/>
          <w:szCs w:val="24"/>
        </w:rPr>
        <w:t xml:space="preserve"> minutes to complete. </w:t>
      </w:r>
      <w:r w:rsidR="0057606C">
        <w:rPr>
          <w:rFonts w:ascii="Times New Roman" w:hAnsi="Times New Roman"/>
          <w:szCs w:val="24"/>
        </w:rPr>
        <w:t>Once data collection is completed, NCSRC will produce a report and an analysis summarizing the national findings.</w:t>
      </w:r>
    </w:p>
    <w:p w:rsidRPr="00AD381B" w:rsidR="00AD381B" w:rsidP="00AD381B" w:rsidRDefault="00AD381B" w14:paraId="218EAB23" w14:textId="77777777">
      <w:pPr>
        <w:pStyle w:val="ListParagraph"/>
        <w:suppressAutoHyphens/>
        <w:spacing w:line="240" w:lineRule="exact"/>
        <w:contextualSpacing w:val="0"/>
        <w:rPr>
          <w:rFonts w:ascii="Times New Roman" w:hAnsi="Times New Roman"/>
          <w:szCs w:val="24"/>
        </w:rPr>
      </w:pPr>
    </w:p>
    <w:p w:rsidR="00AD381B" w:rsidP="00AD381B" w:rsidRDefault="00043C32" w14:paraId="7948214C"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r w:rsidR="00267250">
        <w:rPr>
          <w:rFonts w:ascii="Times New Roman" w:hAnsi="Times New Roman"/>
          <w:b/>
          <w:szCs w:val="24"/>
        </w:rPr>
        <w:t xml:space="preserve"> </w:t>
      </w:r>
    </w:p>
    <w:p w:rsidR="008C5BAF" w:rsidP="008C5BAF" w:rsidRDefault="008C5BAF" w14:paraId="2F2AEA01" w14:textId="77777777">
      <w:pPr>
        <w:pStyle w:val="ListParagraph"/>
        <w:jc w:val="both"/>
        <w:rPr>
          <w:rFonts w:ascii="Times New Roman" w:hAnsi="Times New Roman"/>
          <w:bCs/>
        </w:rPr>
      </w:pPr>
    </w:p>
    <w:p w:rsidR="001F2F4D" w:rsidP="001F2F4D" w:rsidRDefault="00836D43" w14:paraId="3FFA6C49" w14:textId="77777777">
      <w:pPr>
        <w:suppressAutoHyphens/>
        <w:spacing w:line="240" w:lineRule="exact"/>
        <w:ind w:left="720"/>
        <w:rPr>
          <w:rFonts w:ascii="Times New Roman" w:hAnsi="Times New Roman"/>
          <w:szCs w:val="24"/>
        </w:rPr>
      </w:pPr>
      <w:r w:rsidRPr="006D23BF">
        <w:rPr>
          <w:rFonts w:ascii="Times New Roman" w:hAnsi="Times New Roman"/>
          <w:szCs w:val="24"/>
        </w:rPr>
        <w:t xml:space="preserve">CSP contracts with NCSRC to provide resources and information to the public in pursuit of CSP’s statutory mission. </w:t>
      </w:r>
      <w:r w:rsidRPr="00F860AB" w:rsidR="00082434">
        <w:rPr>
          <w:rFonts w:ascii="Times New Roman" w:hAnsi="Times New Roman"/>
          <w:szCs w:val="24"/>
        </w:rPr>
        <w:t>Data collected from this survey are intended to inform researchers</w:t>
      </w:r>
      <w:r w:rsidR="00082434">
        <w:rPr>
          <w:rFonts w:ascii="Times New Roman" w:hAnsi="Times New Roman"/>
          <w:szCs w:val="24"/>
        </w:rPr>
        <w:t xml:space="preserve">, </w:t>
      </w:r>
      <w:r w:rsidRPr="00F860AB" w:rsidR="00082434">
        <w:rPr>
          <w:rFonts w:ascii="Times New Roman" w:hAnsi="Times New Roman"/>
          <w:szCs w:val="24"/>
        </w:rPr>
        <w:t>education practitioners</w:t>
      </w:r>
      <w:r w:rsidR="00082434">
        <w:rPr>
          <w:rFonts w:ascii="Times New Roman" w:hAnsi="Times New Roman"/>
          <w:szCs w:val="24"/>
        </w:rPr>
        <w:t>, and policymakers</w:t>
      </w:r>
      <w:r w:rsidRPr="00F860AB" w:rsidR="00082434">
        <w:rPr>
          <w:rFonts w:ascii="Times New Roman" w:hAnsi="Times New Roman"/>
          <w:szCs w:val="24"/>
        </w:rPr>
        <w:t xml:space="preserve"> of the status and the operation of charter school facilities.</w:t>
      </w:r>
      <w:r w:rsidR="00082434">
        <w:rPr>
          <w:rFonts w:ascii="Times New Roman" w:hAnsi="Times New Roman"/>
          <w:szCs w:val="24"/>
        </w:rPr>
        <w:t xml:space="preserve"> Data from the previous data collection informed multiple state-level reports on charter school facilities. </w:t>
      </w:r>
      <w:r w:rsidR="001F2F4D">
        <w:rPr>
          <w:rFonts w:ascii="Times New Roman" w:hAnsi="Times New Roman"/>
          <w:szCs w:val="24"/>
        </w:rPr>
        <w:t xml:space="preserve">The past survey results provided evidence for facility problems charter schools face and have resulted in legislative and other changes in their states towards facility equity. For example, after the state survey results were published, New Jersey announced $125 million dollars in Qualified School Construction Bonds to support construction, expansion, or enhancement of charter schools. The charter support organization (CSO) in South Carolina reports that the Charter Facility Tax Bill </w:t>
      </w:r>
      <w:r w:rsidR="001F2F4D">
        <w:rPr>
          <w:rFonts w:ascii="Times New Roman" w:hAnsi="Times New Roman"/>
          <w:szCs w:val="24"/>
        </w:rPr>
        <w:lastRenderedPageBreak/>
        <w:t>passed during the 2013-2014 legislative session was a direct result of the state facility survey. The CSO in Idaho reported, “The facilities report helped charter schools in Idaho, for the very first time, get some facility dollars from the state, about $120 per student in 2013-14 and $180 in 2014-15”. The Massachusetts Development Finance Agency was awarded $2,671,388 by ED to help charter schools guarantee a portion of a loan or bond to improve its school facility. In Texas, the data has been used to support school finance litigation.</w:t>
      </w:r>
    </w:p>
    <w:p w:rsidR="001F2F4D" w:rsidP="001F2F4D" w:rsidRDefault="001F2F4D" w14:paraId="2CC80114" w14:textId="77777777">
      <w:pPr>
        <w:suppressAutoHyphens/>
        <w:spacing w:line="240" w:lineRule="exact"/>
        <w:ind w:left="720"/>
        <w:rPr>
          <w:rFonts w:ascii="Times New Roman" w:hAnsi="Times New Roman"/>
          <w:szCs w:val="24"/>
        </w:rPr>
      </w:pPr>
    </w:p>
    <w:p w:rsidR="00260CEC" w:rsidP="008A4B7A" w:rsidRDefault="00260CEC" w14:paraId="75685D7E" w14:textId="2CA08EC9">
      <w:pPr>
        <w:ind w:left="720"/>
        <w:jc w:val="both"/>
        <w:rPr>
          <w:rFonts w:ascii="Times New Roman" w:hAnsi="Times New Roman"/>
        </w:rPr>
      </w:pPr>
      <w:r>
        <w:rPr>
          <w:rFonts w:ascii="Times New Roman" w:hAnsi="Times New Roman"/>
        </w:rPr>
        <w:t xml:space="preserve">The </w:t>
      </w:r>
      <w:r w:rsidR="000A2350">
        <w:rPr>
          <w:rFonts w:ascii="Times New Roman" w:hAnsi="Times New Roman"/>
        </w:rPr>
        <w:t>data collection will take place</w:t>
      </w:r>
      <w:r>
        <w:rPr>
          <w:rFonts w:ascii="Times New Roman" w:hAnsi="Times New Roman"/>
        </w:rPr>
        <w:t xml:space="preserve"> during months most practical for school schedules. The survey will be administered to the appropriate staff and collected through web-based technology. </w:t>
      </w:r>
      <w:r w:rsidRPr="008C5BAF" w:rsidR="001F2F4D">
        <w:rPr>
          <w:rFonts w:ascii="Times New Roman" w:hAnsi="Times New Roman"/>
          <w:bCs/>
        </w:rPr>
        <w:t>NCSRC</w:t>
      </w:r>
      <w:r w:rsidRPr="008C5BAF" w:rsidR="001F2F4D">
        <w:rPr>
          <w:rFonts w:ascii="Times New Roman" w:hAnsi="Times New Roman"/>
        </w:rPr>
        <w:t xml:space="preserve"> will coordinate the selection of participating states; provide financial, logistical, and training support for </w:t>
      </w:r>
      <w:r w:rsidR="001F2F4D">
        <w:rPr>
          <w:rFonts w:ascii="Times New Roman" w:hAnsi="Times New Roman"/>
        </w:rPr>
        <w:t>CSO</w:t>
      </w:r>
      <w:r w:rsidRPr="008C5BAF" w:rsidR="001F2F4D">
        <w:rPr>
          <w:rFonts w:ascii="Times New Roman" w:hAnsi="Times New Roman"/>
        </w:rPr>
        <w:t xml:space="preserve"> personnel involved in collecting the data; and conduct the data analysis resulting in </w:t>
      </w:r>
      <w:r w:rsidR="001F2F4D">
        <w:rPr>
          <w:rFonts w:ascii="Times New Roman" w:hAnsi="Times New Roman"/>
        </w:rPr>
        <w:t>a national report</w:t>
      </w:r>
      <w:r w:rsidRPr="008C5BAF" w:rsidR="001F2F4D">
        <w:rPr>
          <w:rFonts w:ascii="Times New Roman" w:hAnsi="Times New Roman"/>
        </w:rPr>
        <w:t xml:space="preserve">. </w:t>
      </w:r>
      <w:r w:rsidR="001F2F4D">
        <w:rPr>
          <w:rFonts w:ascii="Times New Roman" w:hAnsi="Times New Roman"/>
        </w:rPr>
        <w:t>NCSRC will aggregate and analyze data</w:t>
      </w:r>
      <w:r>
        <w:rPr>
          <w:rFonts w:ascii="Times New Roman" w:hAnsi="Times New Roman"/>
        </w:rPr>
        <w:t xml:space="preserve"> </w:t>
      </w:r>
      <w:r w:rsidR="001F2F4D">
        <w:rPr>
          <w:rFonts w:ascii="Times New Roman" w:hAnsi="Times New Roman"/>
        </w:rPr>
        <w:t>to report findings</w:t>
      </w:r>
      <w:r>
        <w:rPr>
          <w:rFonts w:ascii="Times New Roman" w:hAnsi="Times New Roman"/>
        </w:rPr>
        <w:t xml:space="preserve"> at the project’s conclusion.</w:t>
      </w:r>
    </w:p>
    <w:p w:rsidR="00260CEC" w:rsidP="008A4B7A" w:rsidRDefault="00260CEC" w14:paraId="3FD7B338" w14:textId="77777777">
      <w:pPr>
        <w:ind w:left="720"/>
        <w:rPr>
          <w:rFonts w:ascii="Times New Roman" w:hAnsi="Times New Roman"/>
        </w:rPr>
      </w:pPr>
    </w:p>
    <w:p w:rsidRPr="00AD381B" w:rsidR="00043C32" w:rsidP="00AD381B" w:rsidRDefault="00043C32" w14:paraId="29CD27EA" w14:textId="77777777">
      <w:pPr>
        <w:suppressAutoHyphens/>
        <w:spacing w:line="240" w:lineRule="exact"/>
        <w:rPr>
          <w:rFonts w:ascii="Times New Roman" w:hAnsi="Times New Roman"/>
          <w:szCs w:val="24"/>
        </w:rPr>
      </w:pPr>
    </w:p>
    <w:p w:rsidRPr="00AD381B" w:rsidR="00043C32" w:rsidP="00AD381B" w:rsidRDefault="00043C32" w14:paraId="3E81150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F860AB" w:rsidP="00F860AB" w:rsidRDefault="00F860AB" w14:paraId="5F84D68F" w14:textId="77777777">
      <w:pPr>
        <w:pStyle w:val="ListParagraph"/>
        <w:tabs>
          <w:tab w:val="left" w:pos="-720"/>
        </w:tabs>
        <w:suppressAutoHyphens/>
        <w:rPr>
          <w:rFonts w:ascii="Times New Roman" w:hAnsi="Times New Roman"/>
          <w:szCs w:val="24"/>
        </w:rPr>
      </w:pPr>
    </w:p>
    <w:p w:rsidRPr="00D835F4" w:rsidR="00AD381B" w:rsidP="00D835F4" w:rsidRDefault="00F860AB" w14:paraId="791058EC" w14:textId="44BB907F">
      <w:pPr>
        <w:pStyle w:val="ListParagraph"/>
        <w:tabs>
          <w:tab w:val="left" w:pos="-720"/>
        </w:tabs>
        <w:suppressAutoHyphens/>
        <w:rPr>
          <w:rFonts w:ascii="Times New Roman" w:hAnsi="Times New Roman"/>
          <w:szCs w:val="24"/>
        </w:rPr>
      </w:pPr>
      <w:r w:rsidRPr="00F860AB">
        <w:rPr>
          <w:rFonts w:ascii="Times New Roman" w:hAnsi="Times New Roman"/>
          <w:szCs w:val="24"/>
        </w:rPr>
        <w:t xml:space="preserve">The collection of survey data will take place through </w:t>
      </w:r>
      <w:r w:rsidR="0090558F">
        <w:rPr>
          <w:rFonts w:ascii="Times New Roman" w:hAnsi="Times New Roman"/>
          <w:szCs w:val="24"/>
        </w:rPr>
        <w:t>the</w:t>
      </w:r>
      <w:r w:rsidRPr="00F860AB">
        <w:rPr>
          <w:rFonts w:ascii="Times New Roman" w:hAnsi="Times New Roman"/>
          <w:szCs w:val="24"/>
        </w:rPr>
        <w:t xml:space="preserve"> electronic survey platform,</w:t>
      </w:r>
      <w:r w:rsidR="0090558F">
        <w:rPr>
          <w:rFonts w:ascii="Times New Roman" w:hAnsi="Times New Roman"/>
          <w:szCs w:val="24"/>
        </w:rPr>
        <w:t xml:space="preserve"> SurveyMonkey,</w:t>
      </w:r>
      <w:r w:rsidRPr="00F860AB">
        <w:rPr>
          <w:rFonts w:ascii="Times New Roman" w:hAnsi="Times New Roman"/>
          <w:szCs w:val="24"/>
        </w:rPr>
        <w:t xml:space="preserve"> accompanied by follow-up phone calls and email</w:t>
      </w:r>
      <w:r w:rsidR="006D23BF">
        <w:rPr>
          <w:rFonts w:ascii="Times New Roman" w:hAnsi="Times New Roman"/>
          <w:szCs w:val="24"/>
        </w:rPr>
        <w:t>s</w:t>
      </w:r>
      <w:r w:rsidRPr="00F860AB">
        <w:rPr>
          <w:rFonts w:ascii="Times New Roman" w:hAnsi="Times New Roman"/>
          <w:szCs w:val="24"/>
        </w:rPr>
        <w:t xml:space="preserve">. Respondents will access </w:t>
      </w:r>
      <w:r w:rsidR="006D23BF">
        <w:rPr>
          <w:rFonts w:ascii="Times New Roman" w:hAnsi="Times New Roman"/>
          <w:szCs w:val="24"/>
        </w:rPr>
        <w:t xml:space="preserve">the consent form and </w:t>
      </w:r>
      <w:r w:rsidRPr="00F860AB">
        <w:rPr>
          <w:rFonts w:ascii="Times New Roman" w:hAnsi="Times New Roman"/>
          <w:szCs w:val="24"/>
        </w:rPr>
        <w:t xml:space="preserve">the survey questionnaire via an URL embedded in an email that will take them to webpages where the survey questionnaire resides. The use of electronic data collection is consistent with the earlier data collection. It minimizes the </w:t>
      </w:r>
      <w:r w:rsidR="0090558F">
        <w:rPr>
          <w:rFonts w:ascii="Times New Roman" w:hAnsi="Times New Roman"/>
          <w:szCs w:val="24"/>
        </w:rPr>
        <w:t>risk</w:t>
      </w:r>
      <w:r w:rsidRPr="00F860AB">
        <w:rPr>
          <w:rFonts w:ascii="Times New Roman" w:hAnsi="Times New Roman"/>
          <w:szCs w:val="24"/>
        </w:rPr>
        <w:t xml:space="preserve"> of misplacement of the questionnaire, decreases the cost of data collection, and reduces the burden on the respondents to return the questionnaire. The electronic data collection also allows the data collector to track respondents’ progress and provide effective and timely technical assistance if needed. </w:t>
      </w:r>
    </w:p>
    <w:p w:rsidR="00AD381B" w:rsidP="00AD381B" w:rsidRDefault="00AD381B" w14:paraId="03305C76" w14:textId="77777777">
      <w:pPr>
        <w:pStyle w:val="ListParagraph"/>
        <w:tabs>
          <w:tab w:val="left" w:pos="-720"/>
        </w:tabs>
        <w:suppressAutoHyphens/>
        <w:contextualSpacing w:val="0"/>
        <w:rPr>
          <w:rFonts w:ascii="Times New Roman" w:hAnsi="Times New Roman"/>
          <w:szCs w:val="24"/>
        </w:rPr>
      </w:pPr>
    </w:p>
    <w:p w:rsidR="00AD381B" w:rsidP="00AD381B" w:rsidRDefault="00043C32" w14:paraId="7157BEC1"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F860AB" w:rsidP="00F860AB" w:rsidRDefault="00F860AB" w14:paraId="1B71981F" w14:textId="77777777">
      <w:pPr>
        <w:pStyle w:val="ListParagraph"/>
        <w:tabs>
          <w:tab w:val="left" w:pos="-720"/>
        </w:tabs>
        <w:suppressAutoHyphens/>
        <w:rPr>
          <w:rFonts w:ascii="Times New Roman" w:hAnsi="Times New Roman"/>
          <w:bCs/>
          <w:szCs w:val="24"/>
        </w:rPr>
      </w:pPr>
    </w:p>
    <w:p w:rsidR="00785259" w:rsidP="008A4B7A" w:rsidRDefault="00F860AB" w14:paraId="00317C2A" w14:textId="1D3754F9">
      <w:pPr>
        <w:tabs>
          <w:tab w:val="left" w:pos="-720"/>
        </w:tabs>
        <w:suppressAutoHyphens/>
        <w:ind w:left="720"/>
        <w:jc w:val="both"/>
        <w:rPr>
          <w:rFonts w:ascii="Times New Roman" w:hAnsi="Times New Roman"/>
        </w:rPr>
      </w:pPr>
      <w:r w:rsidRPr="00F860AB">
        <w:rPr>
          <w:rFonts w:ascii="Times New Roman" w:hAnsi="Times New Roman"/>
          <w:bCs/>
          <w:szCs w:val="24"/>
        </w:rPr>
        <w:t>This survey study is the first national effort to collect information about charter school facilities. In 2003, the National Center for Education Statistics (NCES) published the Condition of Public School Facilities, 1999 (FRSS 73): Public Use Data Files. The data collection d</w:t>
      </w:r>
      <w:r w:rsidR="00DF3A4A">
        <w:rPr>
          <w:rFonts w:ascii="Times New Roman" w:hAnsi="Times New Roman"/>
          <w:bCs/>
          <w:szCs w:val="24"/>
        </w:rPr>
        <w:t>id</w:t>
      </w:r>
      <w:r w:rsidRPr="00F860AB">
        <w:rPr>
          <w:rFonts w:ascii="Times New Roman" w:hAnsi="Times New Roman"/>
          <w:bCs/>
          <w:szCs w:val="24"/>
        </w:rPr>
        <w:t xml:space="preserve"> not include charter schools. In 2014, NCES released the Public-Use Data Files and Documentation (FRSS 105): Condition of Public School Facilities: 2012-13. The data collection include</w:t>
      </w:r>
      <w:r w:rsidR="00DF3A4A">
        <w:rPr>
          <w:rFonts w:ascii="Times New Roman" w:hAnsi="Times New Roman"/>
          <w:bCs/>
          <w:szCs w:val="24"/>
        </w:rPr>
        <w:t>d</w:t>
      </w:r>
      <w:r w:rsidRPr="00F860AB">
        <w:rPr>
          <w:rFonts w:ascii="Times New Roman" w:hAnsi="Times New Roman"/>
          <w:bCs/>
          <w:szCs w:val="24"/>
        </w:rPr>
        <w:t xml:space="preserve"> charter schools in its sample but d</w:t>
      </w:r>
      <w:r w:rsidR="00DF3A4A">
        <w:rPr>
          <w:rFonts w:ascii="Times New Roman" w:hAnsi="Times New Roman"/>
          <w:bCs/>
          <w:szCs w:val="24"/>
        </w:rPr>
        <w:t>id</w:t>
      </w:r>
      <w:r w:rsidRPr="00F860AB">
        <w:rPr>
          <w:rFonts w:ascii="Times New Roman" w:hAnsi="Times New Roman"/>
          <w:bCs/>
          <w:szCs w:val="24"/>
        </w:rPr>
        <w:t xml:space="preserve"> not allow </w:t>
      </w:r>
      <w:r w:rsidR="00DF3A4A">
        <w:rPr>
          <w:rFonts w:ascii="Times New Roman" w:hAnsi="Times New Roman"/>
          <w:bCs/>
          <w:szCs w:val="24"/>
        </w:rPr>
        <w:t xml:space="preserve">for the </w:t>
      </w:r>
      <w:r w:rsidRPr="00F860AB">
        <w:rPr>
          <w:rFonts w:ascii="Times New Roman" w:hAnsi="Times New Roman"/>
          <w:bCs/>
          <w:szCs w:val="24"/>
        </w:rPr>
        <w:t xml:space="preserve">analyses of data </w:t>
      </w:r>
      <w:r w:rsidR="006D23BF">
        <w:rPr>
          <w:rFonts w:ascii="Times New Roman" w:hAnsi="Times New Roman"/>
          <w:bCs/>
          <w:szCs w:val="24"/>
        </w:rPr>
        <w:t>from</w:t>
      </w:r>
      <w:r w:rsidRPr="00F860AB">
        <w:rPr>
          <w:rFonts w:ascii="Times New Roman" w:hAnsi="Times New Roman"/>
          <w:bCs/>
          <w:szCs w:val="24"/>
        </w:rPr>
        <w:t xml:space="preserve"> charter schools. There are also surveys on charter school facilities in different states, but the state-level profiling is not designed to develop a national understanding of </w:t>
      </w:r>
      <w:r w:rsidRPr="00F860AB">
        <w:rPr>
          <w:rFonts w:ascii="Times New Roman" w:hAnsi="Times New Roman"/>
          <w:bCs/>
          <w:szCs w:val="24"/>
        </w:rPr>
        <w:lastRenderedPageBreak/>
        <w:t>charter school facility status.</w:t>
      </w:r>
      <w:r w:rsidR="00B522B3">
        <w:rPr>
          <w:rFonts w:ascii="Times New Roman" w:hAnsi="Times New Roman"/>
          <w:bCs/>
          <w:szCs w:val="24"/>
        </w:rPr>
        <w:t xml:space="preserve"> </w:t>
      </w:r>
      <w:r w:rsidR="006D23BF">
        <w:rPr>
          <w:rFonts w:ascii="Times New Roman" w:hAnsi="Times New Roman"/>
          <w:bCs/>
          <w:szCs w:val="24"/>
        </w:rPr>
        <w:t>Recently, t</w:t>
      </w:r>
      <w:r w:rsidR="00B522B3">
        <w:rPr>
          <w:rFonts w:ascii="Times New Roman" w:hAnsi="Times New Roman"/>
          <w:bCs/>
          <w:szCs w:val="24"/>
        </w:rPr>
        <w:t>he U.S. Government Accountability Office conducted a study on school facilities in 2020 and issued a congressional report based on survey data collected from 50 state</w:t>
      </w:r>
      <w:r w:rsidR="00B3050D">
        <w:rPr>
          <w:rFonts w:ascii="Times New Roman" w:hAnsi="Times New Roman"/>
          <w:bCs/>
          <w:szCs w:val="24"/>
        </w:rPr>
        <w:t>s</w:t>
      </w:r>
      <w:r w:rsidR="00B522B3">
        <w:rPr>
          <w:rFonts w:ascii="Times New Roman" w:hAnsi="Times New Roman"/>
          <w:bCs/>
          <w:szCs w:val="24"/>
        </w:rPr>
        <w:t xml:space="preserve">, the </w:t>
      </w:r>
      <w:r w:rsidR="00B3050D">
        <w:rPr>
          <w:rFonts w:ascii="Times New Roman" w:hAnsi="Times New Roman"/>
          <w:bCs/>
          <w:szCs w:val="24"/>
        </w:rPr>
        <w:t>District</w:t>
      </w:r>
      <w:r w:rsidR="00B522B3">
        <w:rPr>
          <w:rFonts w:ascii="Times New Roman" w:hAnsi="Times New Roman"/>
          <w:bCs/>
          <w:szCs w:val="24"/>
        </w:rPr>
        <w:t xml:space="preserve"> of Columbia</w:t>
      </w:r>
      <w:r w:rsidR="00B3050D">
        <w:rPr>
          <w:rFonts w:ascii="Times New Roman" w:hAnsi="Times New Roman"/>
          <w:bCs/>
          <w:szCs w:val="24"/>
        </w:rPr>
        <w:t>,</w:t>
      </w:r>
      <w:r w:rsidR="00B522B3">
        <w:rPr>
          <w:rFonts w:ascii="Times New Roman" w:hAnsi="Times New Roman"/>
          <w:bCs/>
          <w:szCs w:val="24"/>
        </w:rPr>
        <w:t xml:space="preserve"> and 52 charter school districts. The school-level data in this report is limited to site visits to five schools in four states</w:t>
      </w:r>
      <w:r w:rsidR="00B522B3">
        <w:rPr>
          <w:rStyle w:val="FootnoteReference"/>
          <w:bCs/>
          <w:szCs w:val="24"/>
        </w:rPr>
        <w:footnoteReference w:id="2"/>
      </w:r>
      <w:r w:rsidR="00B522B3">
        <w:rPr>
          <w:rFonts w:ascii="Times New Roman" w:hAnsi="Times New Roman"/>
          <w:bCs/>
          <w:szCs w:val="24"/>
        </w:rPr>
        <w:t>.</w:t>
      </w:r>
      <w:r w:rsidR="00785259">
        <w:rPr>
          <w:rFonts w:ascii="Times New Roman" w:hAnsi="Times New Roman"/>
          <w:bCs/>
          <w:szCs w:val="24"/>
        </w:rPr>
        <w:t xml:space="preserve"> </w:t>
      </w:r>
      <w:r w:rsidR="00785259">
        <w:rPr>
          <w:rFonts w:ascii="Times New Roman" w:hAnsi="Times New Roman"/>
        </w:rPr>
        <w:t xml:space="preserve">To our knowledge, this is the only comprehensive survey to properly assess the current and future efforts of charter schools to improve or maintain their facilities. </w:t>
      </w:r>
    </w:p>
    <w:p w:rsidRPr="0090558F" w:rsidR="00246FE9" w:rsidP="00B3050D" w:rsidRDefault="00B522B3" w14:paraId="4E3DF28B" w14:textId="0574FBFA">
      <w:pPr>
        <w:pStyle w:val="ListParagraph"/>
        <w:tabs>
          <w:tab w:val="left" w:pos="-720"/>
        </w:tabs>
        <w:suppressAutoHyphens/>
      </w:pPr>
      <w:r>
        <w:rPr>
          <w:rFonts w:ascii="Times New Roman" w:hAnsi="Times New Roman"/>
          <w:bCs/>
          <w:szCs w:val="24"/>
        </w:rPr>
        <w:t xml:space="preserve"> </w:t>
      </w:r>
    </w:p>
    <w:p w:rsidR="00043C32" w:rsidP="00AD381B" w:rsidRDefault="00043C32" w14:paraId="398E95CA"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2E153150" w14:textId="4E7A3AC6">
      <w:pPr>
        <w:pStyle w:val="ListParagraph"/>
        <w:contextualSpacing w:val="0"/>
        <w:rPr>
          <w:rFonts w:ascii="Times New Roman" w:hAnsi="Times New Roman"/>
          <w:szCs w:val="24"/>
        </w:rPr>
      </w:pPr>
    </w:p>
    <w:p w:rsidRPr="00273809" w:rsidR="008B56E2" w:rsidP="00F860AB" w:rsidRDefault="008B56E2" w14:paraId="25E25023" w14:textId="21FE8E25">
      <w:pPr>
        <w:pStyle w:val="ListParagraph"/>
        <w:contextualSpacing w:val="0"/>
        <w:rPr>
          <w:rFonts w:ascii="Times New Roman" w:hAnsi="Times New Roman"/>
          <w:szCs w:val="24"/>
        </w:rPr>
      </w:pPr>
      <w:r w:rsidRPr="00273809">
        <w:rPr>
          <w:rFonts w:ascii="Times New Roman" w:hAnsi="Times New Roman"/>
        </w:rPr>
        <w:t>The surveys will be administered directly to charter schools</w:t>
      </w:r>
      <w:r w:rsidR="002D0B40">
        <w:rPr>
          <w:rFonts w:ascii="Times New Roman" w:hAnsi="Times New Roman"/>
        </w:rPr>
        <w:t xml:space="preserve"> that are public schools. </w:t>
      </w:r>
      <w:r w:rsidR="006D23BF">
        <w:rPr>
          <w:rFonts w:ascii="Times New Roman" w:hAnsi="Times New Roman"/>
        </w:rPr>
        <w:t>T</w:t>
      </w:r>
      <w:r w:rsidRPr="00273809">
        <w:rPr>
          <w:rFonts w:ascii="Times New Roman" w:hAnsi="Times New Roman"/>
        </w:rPr>
        <w:t xml:space="preserve">o administer these surveys, </w:t>
      </w:r>
      <w:r w:rsidR="006D23BF">
        <w:rPr>
          <w:rFonts w:ascii="Times New Roman" w:hAnsi="Times New Roman"/>
        </w:rPr>
        <w:t>NCSRC</w:t>
      </w:r>
      <w:r w:rsidRPr="00273809">
        <w:rPr>
          <w:rFonts w:ascii="Times New Roman" w:hAnsi="Times New Roman"/>
        </w:rPr>
        <w:t xml:space="preserve"> may use the assistance of </w:t>
      </w:r>
      <w:r>
        <w:rPr>
          <w:rFonts w:ascii="Times New Roman" w:hAnsi="Times New Roman"/>
        </w:rPr>
        <w:t xml:space="preserve">individuals working at </w:t>
      </w:r>
      <w:r w:rsidR="00D835F4">
        <w:rPr>
          <w:rFonts w:ascii="Times New Roman" w:hAnsi="Times New Roman"/>
        </w:rPr>
        <w:t xml:space="preserve">statewide or regional </w:t>
      </w:r>
      <w:r w:rsidRPr="00273809">
        <w:rPr>
          <w:rFonts w:ascii="Times New Roman" w:hAnsi="Times New Roman"/>
        </w:rPr>
        <w:t>CSOs</w:t>
      </w:r>
      <w:r>
        <w:rPr>
          <w:rFonts w:ascii="Times New Roman" w:hAnsi="Times New Roman"/>
        </w:rPr>
        <w:t xml:space="preserve"> or other charter organizations</w:t>
      </w:r>
      <w:r w:rsidR="002A15A6">
        <w:rPr>
          <w:rFonts w:ascii="Times New Roman" w:hAnsi="Times New Roman"/>
        </w:rPr>
        <w:t>, some of which</w:t>
      </w:r>
      <w:r w:rsidR="00BA24AD">
        <w:rPr>
          <w:rFonts w:ascii="Times New Roman" w:hAnsi="Times New Roman"/>
        </w:rPr>
        <w:t xml:space="preserve"> are</w:t>
      </w:r>
      <w:r w:rsidRPr="00273809">
        <w:rPr>
          <w:rFonts w:ascii="Times New Roman" w:hAnsi="Times New Roman"/>
        </w:rPr>
        <w:t xml:space="preserve"> small businesses</w:t>
      </w:r>
      <w:r w:rsidR="00BA24AD">
        <w:rPr>
          <w:rFonts w:ascii="Times New Roman" w:hAnsi="Times New Roman"/>
        </w:rPr>
        <w:t xml:space="preserve"> </w:t>
      </w:r>
      <w:r w:rsidR="006D23BF">
        <w:rPr>
          <w:rFonts w:ascii="Times New Roman" w:hAnsi="Times New Roman"/>
        </w:rPr>
        <w:t>or</w:t>
      </w:r>
      <w:r w:rsidR="00BA24AD">
        <w:rPr>
          <w:rFonts w:ascii="Times New Roman" w:hAnsi="Times New Roman"/>
        </w:rPr>
        <w:t xml:space="preserve"> </w:t>
      </w:r>
      <w:r w:rsidR="006D23BF">
        <w:rPr>
          <w:rFonts w:ascii="Times New Roman" w:hAnsi="Times New Roman"/>
        </w:rPr>
        <w:t>not-for</w:t>
      </w:r>
      <w:r w:rsidR="00BA24AD">
        <w:rPr>
          <w:rFonts w:ascii="Times New Roman" w:hAnsi="Times New Roman"/>
        </w:rPr>
        <w:t>-profit</w:t>
      </w:r>
      <w:r w:rsidR="006D23BF">
        <w:rPr>
          <w:rFonts w:ascii="Times New Roman" w:hAnsi="Times New Roman"/>
        </w:rPr>
        <w:t xml:space="preserve"> enterprises</w:t>
      </w:r>
      <w:r w:rsidR="004D247A">
        <w:rPr>
          <w:rFonts w:ascii="Times New Roman" w:hAnsi="Times New Roman"/>
        </w:rPr>
        <w:t>. According to the National Alliance for Public Charter Schools, there are 93 CSOs in 43 states</w:t>
      </w:r>
      <w:r w:rsidR="00194846">
        <w:rPr>
          <w:rStyle w:val="FootnoteReference"/>
        </w:rPr>
        <w:footnoteReference w:id="3"/>
      </w:r>
      <w:r w:rsidRPr="00273809">
        <w:rPr>
          <w:rFonts w:ascii="Times New Roman" w:hAnsi="Times New Roman"/>
        </w:rPr>
        <w:t xml:space="preserve">. </w:t>
      </w:r>
      <w:r w:rsidR="00B122B9">
        <w:rPr>
          <w:rFonts w:ascii="Times New Roman" w:hAnsi="Times New Roman"/>
        </w:rPr>
        <w:t xml:space="preserve">To reduce </w:t>
      </w:r>
      <w:r w:rsidR="006D23BF">
        <w:rPr>
          <w:rFonts w:ascii="Times New Roman" w:hAnsi="Times New Roman"/>
        </w:rPr>
        <w:t xml:space="preserve">the </w:t>
      </w:r>
      <w:r w:rsidR="00B122B9">
        <w:rPr>
          <w:rFonts w:ascii="Times New Roman" w:hAnsi="Times New Roman"/>
        </w:rPr>
        <w:t>burden on</w:t>
      </w:r>
      <w:r w:rsidR="006D23BF">
        <w:rPr>
          <w:rFonts w:ascii="Times New Roman" w:hAnsi="Times New Roman"/>
        </w:rPr>
        <w:t xml:space="preserve"> the state and regional organizations</w:t>
      </w:r>
      <w:r w:rsidR="004D247A">
        <w:rPr>
          <w:rFonts w:ascii="Times New Roman" w:hAnsi="Times New Roman"/>
        </w:rPr>
        <w:t xml:space="preserve">, </w:t>
      </w:r>
      <w:r w:rsidR="00B122B9">
        <w:rPr>
          <w:rFonts w:ascii="Times New Roman" w:hAnsi="Times New Roman"/>
        </w:rPr>
        <w:t>NSCRC will provide f</w:t>
      </w:r>
      <w:r w:rsidRPr="00273809">
        <w:rPr>
          <w:rFonts w:ascii="Times New Roman" w:hAnsi="Times New Roman"/>
        </w:rPr>
        <w:t xml:space="preserve">inancial, logistical, and training support </w:t>
      </w:r>
      <w:r w:rsidR="00B122B9">
        <w:rPr>
          <w:rFonts w:ascii="Times New Roman" w:hAnsi="Times New Roman"/>
        </w:rPr>
        <w:t>to CSO</w:t>
      </w:r>
      <w:r w:rsidRPr="00273809">
        <w:rPr>
          <w:rFonts w:ascii="Times New Roman" w:hAnsi="Times New Roman"/>
        </w:rPr>
        <w:t xml:space="preserve"> personnel involved in collecting the data. </w:t>
      </w:r>
    </w:p>
    <w:p w:rsidR="008B56E2" w:rsidP="008B56E2" w:rsidRDefault="008B56E2" w14:paraId="762916CB" w14:textId="77777777">
      <w:pPr>
        <w:pStyle w:val="ListParagraph"/>
        <w:contextualSpacing w:val="0"/>
        <w:rPr>
          <w:rFonts w:ascii="Times New Roman" w:hAnsi="Times New Roman"/>
          <w:szCs w:val="24"/>
        </w:rPr>
      </w:pPr>
    </w:p>
    <w:p w:rsidR="00043C32" w:rsidP="00AD381B" w:rsidRDefault="00043C32" w14:paraId="03B8BE64" w14:textId="5738D9F3">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F860AB" w:rsidR="00F860AB" w:rsidP="00F860AB" w:rsidRDefault="00F860AB" w14:paraId="27596066" w14:textId="77777777">
      <w:pPr>
        <w:pStyle w:val="ListParagraph"/>
        <w:rPr>
          <w:rFonts w:ascii="Times New Roman" w:hAnsi="Times New Roman"/>
          <w:b/>
          <w:szCs w:val="24"/>
        </w:rPr>
      </w:pPr>
    </w:p>
    <w:p w:rsidRPr="008A4B7A" w:rsidR="00530C67" w:rsidP="00530C67" w:rsidRDefault="00530C67" w14:paraId="07E79547" w14:textId="6F664384">
      <w:pPr>
        <w:pStyle w:val="ListParagraph"/>
        <w:contextualSpacing w:val="0"/>
        <w:rPr>
          <w:rFonts w:ascii="Times New Roman" w:hAnsi="Times New Roman"/>
        </w:rPr>
      </w:pPr>
      <w:r>
        <w:rPr>
          <w:rFonts w:ascii="Times New Roman" w:hAnsi="Times New Roman"/>
          <w:color w:val="000000"/>
          <w:szCs w:val="24"/>
        </w:rPr>
        <w:t xml:space="preserve">This survey will </w:t>
      </w:r>
      <w:r w:rsidR="006D23BF">
        <w:rPr>
          <w:rFonts w:ascii="Times New Roman" w:hAnsi="Times New Roman"/>
          <w:color w:val="000000"/>
          <w:szCs w:val="24"/>
        </w:rPr>
        <w:t>inform</w:t>
      </w:r>
      <w:r>
        <w:rPr>
          <w:rFonts w:ascii="Times New Roman" w:hAnsi="Times New Roman"/>
          <w:color w:val="000000"/>
          <w:szCs w:val="24"/>
        </w:rPr>
        <w:t xml:space="preserve"> </w:t>
      </w:r>
      <w:r w:rsidR="006D23BF">
        <w:rPr>
          <w:rFonts w:ascii="Times New Roman" w:hAnsi="Times New Roman"/>
          <w:color w:val="000000"/>
          <w:szCs w:val="24"/>
        </w:rPr>
        <w:t>CSP</w:t>
      </w:r>
      <w:r>
        <w:rPr>
          <w:rFonts w:ascii="Times New Roman" w:hAnsi="Times New Roman"/>
          <w:color w:val="000000"/>
          <w:szCs w:val="24"/>
        </w:rPr>
        <w:t xml:space="preserve"> </w:t>
      </w:r>
      <w:r w:rsidR="006D23BF">
        <w:rPr>
          <w:rFonts w:ascii="Times New Roman" w:hAnsi="Times New Roman"/>
          <w:color w:val="000000"/>
          <w:szCs w:val="24"/>
        </w:rPr>
        <w:t>and the public</w:t>
      </w:r>
      <w:r>
        <w:rPr>
          <w:rFonts w:ascii="Times New Roman" w:hAnsi="Times New Roman"/>
          <w:color w:val="000000"/>
          <w:szCs w:val="24"/>
        </w:rPr>
        <w:t xml:space="preserve"> of the conditions of charter schools’ facilities</w:t>
      </w:r>
      <w:r w:rsidR="006D23BF">
        <w:rPr>
          <w:rFonts w:ascii="Times New Roman" w:hAnsi="Times New Roman"/>
          <w:color w:val="000000"/>
          <w:szCs w:val="24"/>
        </w:rPr>
        <w:t xml:space="preserve"> and inform policies to enable charter schools to better serve their students</w:t>
      </w:r>
      <w:r>
        <w:rPr>
          <w:rFonts w:ascii="Times New Roman" w:hAnsi="Times New Roman"/>
          <w:color w:val="000000"/>
          <w:szCs w:val="24"/>
        </w:rPr>
        <w:t xml:space="preserve">. </w:t>
      </w:r>
      <w:r w:rsidR="00CB615C">
        <w:rPr>
          <w:rFonts w:ascii="Times New Roman" w:hAnsi="Times New Roman"/>
        </w:rPr>
        <w:t>Th</w:t>
      </w:r>
      <w:r w:rsidR="006D23BF">
        <w:rPr>
          <w:rFonts w:ascii="Times New Roman" w:hAnsi="Times New Roman"/>
        </w:rPr>
        <w:t>e survey data</w:t>
      </w:r>
      <w:r w:rsidR="00CB615C">
        <w:rPr>
          <w:rFonts w:ascii="Times New Roman" w:hAnsi="Times New Roman"/>
        </w:rPr>
        <w:t xml:space="preserve"> is </w:t>
      </w:r>
      <w:r w:rsidR="006D23BF">
        <w:rPr>
          <w:rFonts w:ascii="Times New Roman" w:hAnsi="Times New Roman"/>
        </w:rPr>
        <w:t xml:space="preserve">particularly useful to </w:t>
      </w:r>
      <w:r w:rsidR="00CB615C">
        <w:rPr>
          <w:rFonts w:ascii="Times New Roman" w:hAnsi="Times New Roman"/>
        </w:rPr>
        <w:t>two</w:t>
      </w:r>
      <w:r w:rsidR="006D23BF">
        <w:rPr>
          <w:rFonts w:ascii="Times New Roman" w:hAnsi="Times New Roman"/>
        </w:rPr>
        <w:t xml:space="preserve"> ED-funded</w:t>
      </w:r>
      <w:r w:rsidR="00CB615C">
        <w:rPr>
          <w:rFonts w:ascii="Times New Roman" w:hAnsi="Times New Roman"/>
        </w:rPr>
        <w:t xml:space="preserve"> grant programs</w:t>
      </w:r>
      <w:r w:rsidR="006D23BF">
        <w:rPr>
          <w:rFonts w:ascii="Times New Roman" w:hAnsi="Times New Roman"/>
        </w:rPr>
        <w:t xml:space="preserve"> </w:t>
      </w:r>
      <w:r w:rsidR="00CB615C">
        <w:rPr>
          <w:rFonts w:ascii="Times New Roman" w:hAnsi="Times New Roman"/>
        </w:rPr>
        <w:t xml:space="preserve">related to charter school facilities, the Credit Enhancement Program and the State Incentives Program. </w:t>
      </w:r>
      <w:r w:rsidR="00CF249E">
        <w:rPr>
          <w:rFonts w:ascii="Times New Roman" w:hAnsi="Times New Roman"/>
        </w:rPr>
        <w:t>Without the n</w:t>
      </w:r>
      <w:r w:rsidR="00CB615C">
        <w:rPr>
          <w:rFonts w:ascii="Times New Roman" w:hAnsi="Times New Roman"/>
        </w:rPr>
        <w:t>ationally representative data</w:t>
      </w:r>
      <w:r w:rsidR="00CF249E">
        <w:rPr>
          <w:rFonts w:ascii="Times New Roman" w:hAnsi="Times New Roman"/>
        </w:rPr>
        <w:t xml:space="preserve">, </w:t>
      </w:r>
      <w:r w:rsidR="006D23BF">
        <w:rPr>
          <w:rFonts w:ascii="Times New Roman" w:hAnsi="Times New Roman"/>
        </w:rPr>
        <w:t>ED</w:t>
      </w:r>
      <w:r w:rsidRPr="00F860AB" w:rsidR="00F860AB">
        <w:rPr>
          <w:rFonts w:ascii="Times New Roman" w:hAnsi="Times New Roman"/>
        </w:rPr>
        <w:t xml:space="preserve"> </w:t>
      </w:r>
      <w:r w:rsidR="00CF249E">
        <w:rPr>
          <w:rFonts w:ascii="Times New Roman" w:hAnsi="Times New Roman"/>
        </w:rPr>
        <w:t xml:space="preserve">will be limited in its ability </w:t>
      </w:r>
      <w:r w:rsidR="00CB615C">
        <w:rPr>
          <w:rFonts w:ascii="Times New Roman" w:hAnsi="Times New Roman"/>
        </w:rPr>
        <w:t xml:space="preserve">to </w:t>
      </w:r>
      <w:r w:rsidR="00A2338F">
        <w:rPr>
          <w:rFonts w:ascii="Times New Roman" w:hAnsi="Times New Roman"/>
        </w:rPr>
        <w:t xml:space="preserve">address </w:t>
      </w:r>
      <w:r w:rsidR="00A2338F">
        <w:rPr>
          <w:rFonts w:ascii="Times New Roman" w:hAnsi="Times New Roman"/>
          <w:color w:val="000000"/>
          <w:szCs w:val="24"/>
        </w:rPr>
        <w:t xml:space="preserve">legislative and financial issues charter schools face and </w:t>
      </w:r>
      <w:r w:rsidR="00CB615C">
        <w:rPr>
          <w:rFonts w:ascii="Times New Roman" w:hAnsi="Times New Roman"/>
        </w:rPr>
        <w:t xml:space="preserve">make evidence-based policy decisions </w:t>
      </w:r>
      <w:r w:rsidRPr="00F860AB" w:rsidR="00F860AB">
        <w:rPr>
          <w:rFonts w:ascii="Times New Roman" w:hAnsi="Times New Roman"/>
        </w:rPr>
        <w:t>to adequately address the needs of millions of students and families</w:t>
      </w:r>
      <w:r w:rsidR="002B3BE1">
        <w:rPr>
          <w:rFonts w:ascii="Times New Roman" w:hAnsi="Times New Roman"/>
        </w:rPr>
        <w:t xml:space="preserve"> served by charter schools</w:t>
      </w:r>
      <w:r w:rsidRPr="00F860AB" w:rsidR="00F860AB">
        <w:rPr>
          <w:rFonts w:ascii="Times New Roman" w:hAnsi="Times New Roman"/>
        </w:rPr>
        <w:t xml:space="preserve">. </w:t>
      </w:r>
    </w:p>
    <w:p w:rsidR="00F860AB" w:rsidP="00F860AB" w:rsidRDefault="00F860AB" w14:paraId="3B0E1C1D" w14:textId="53AFF708">
      <w:pPr>
        <w:pStyle w:val="ListParagraph"/>
        <w:tabs>
          <w:tab w:val="left" w:pos="-720"/>
        </w:tabs>
        <w:suppressAutoHyphens/>
        <w:contextualSpacing w:val="0"/>
        <w:rPr>
          <w:rFonts w:ascii="Times New Roman" w:hAnsi="Times New Roman"/>
          <w:b/>
          <w:szCs w:val="24"/>
        </w:rPr>
      </w:pPr>
    </w:p>
    <w:p w:rsidRPr="00AD381B" w:rsidR="00043C32" w:rsidP="00AD381B" w:rsidRDefault="00043C32" w14:paraId="616CAC83"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2123018C" w14:textId="77777777">
      <w:pPr>
        <w:tabs>
          <w:tab w:val="left" w:pos="-720"/>
        </w:tabs>
        <w:suppressAutoHyphens/>
        <w:rPr>
          <w:rFonts w:ascii="Times New Roman" w:hAnsi="Times New Roman"/>
          <w:b/>
          <w:szCs w:val="24"/>
        </w:rPr>
      </w:pPr>
    </w:p>
    <w:p w:rsidRPr="00AD381B" w:rsidR="00043C32" w:rsidP="00AD381B" w:rsidRDefault="00043C32" w14:paraId="56FF172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1328DF7C"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22124C2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requiring respondents to prepare a written response to a collection of information in fewer than 30 days after receipt of it;</w:t>
      </w:r>
    </w:p>
    <w:p w:rsidRPr="00AD381B" w:rsidR="00043C32" w:rsidP="00AD381B" w:rsidRDefault="00043C32" w14:paraId="32FF245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1211637"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D5DE6D6"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66D9C0D"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76086AEC"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3BFAD58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20DE3DD6"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8F7118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09678F1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4E9C15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6AB3232" w14:textId="77777777">
      <w:pPr>
        <w:numPr>
          <w:ilvl w:val="12"/>
          <w:numId w:val="0"/>
        </w:numPr>
        <w:tabs>
          <w:tab w:val="left" w:pos="-720"/>
        </w:tabs>
        <w:suppressAutoHyphens/>
        <w:rPr>
          <w:rFonts w:ascii="Times New Roman" w:hAnsi="Times New Roman"/>
          <w:b/>
          <w:szCs w:val="24"/>
        </w:rPr>
      </w:pPr>
    </w:p>
    <w:p w:rsidR="00043C32" w:rsidP="00AD381B" w:rsidRDefault="00043C32" w14:paraId="20B19137"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FA3322" w:rsidP="00AD381B" w:rsidRDefault="00FA3322" w14:paraId="6909E6D8" w14:textId="77777777">
      <w:pPr>
        <w:pStyle w:val="ListParagraph"/>
        <w:rPr>
          <w:rFonts w:ascii="Times New Roman" w:hAnsi="Times New Roman"/>
        </w:rPr>
      </w:pPr>
    </w:p>
    <w:p w:rsidRPr="00273809" w:rsidR="00AD381B" w:rsidP="00AD381B" w:rsidRDefault="00273809" w14:paraId="571CB7EE" w14:textId="01DBD1BD">
      <w:pPr>
        <w:pStyle w:val="ListParagraph"/>
        <w:rPr>
          <w:rFonts w:ascii="Times New Roman" w:hAnsi="Times New Roman"/>
          <w:b/>
          <w:szCs w:val="24"/>
        </w:rPr>
      </w:pPr>
      <w:r w:rsidRPr="00273809">
        <w:rPr>
          <w:rFonts w:ascii="Times New Roman" w:hAnsi="Times New Roman"/>
        </w:rPr>
        <w:t>There are no special circumstances that require the information collection to be conducted in any of the manners described above.</w:t>
      </w:r>
    </w:p>
    <w:p w:rsidRPr="00AD381B" w:rsidR="00AD381B" w:rsidP="00AD381B" w:rsidRDefault="00AD381B" w14:paraId="03C91435" w14:textId="77777777">
      <w:pPr>
        <w:tabs>
          <w:tab w:val="left" w:pos="-720"/>
        </w:tabs>
        <w:suppressAutoHyphens/>
        <w:rPr>
          <w:rFonts w:ascii="Times New Roman" w:hAnsi="Times New Roman"/>
          <w:szCs w:val="24"/>
        </w:rPr>
      </w:pPr>
    </w:p>
    <w:p w:rsidR="00D75313" w:rsidP="00AD381B" w:rsidRDefault="00043C32" w14:paraId="5418FA90" w14:textId="77777777">
      <w:pPr>
        <w:pStyle w:val="ListParagraph"/>
        <w:numPr>
          <w:ilvl w:val="0"/>
          <w:numId w:val="5"/>
        </w:numPr>
        <w:tabs>
          <w:tab w:val="left" w:pos="-720"/>
          <w:tab w:val="left" w:pos="375"/>
        </w:tabs>
        <w:suppressAutoHyphens/>
        <w:contextualSpacing w:val="0"/>
        <w:rPr>
          <w:rFonts w:ascii="Times New Roman" w:hAnsi="Times New Roman"/>
          <w:b/>
          <w:szCs w:val="24"/>
        </w:rPr>
      </w:pPr>
      <w:bookmarkStart w:name="_Hlk45526374" w:id="1"/>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bookmarkEnd w:id="1"/>
    <w:p w:rsidR="00D75313" w:rsidP="00D75313" w:rsidRDefault="00D75313" w14:paraId="5D5140D3"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1130C8AE"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178F6F84"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4B5C62F"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7C80F1DB"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9CB5744" w14:textId="77777777">
      <w:pPr>
        <w:tabs>
          <w:tab w:val="left" w:pos="-720"/>
        </w:tabs>
        <w:suppressAutoHyphens/>
        <w:rPr>
          <w:rStyle w:val="a"/>
          <w:rFonts w:ascii="Times New Roman" w:hAnsi="Times New Roman"/>
          <w:b/>
          <w:szCs w:val="24"/>
        </w:rPr>
      </w:pPr>
    </w:p>
    <w:p w:rsidR="00043C32" w:rsidP="00AD381B" w:rsidRDefault="00043C32" w14:paraId="08DFBD86"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A3322" w:rsidP="00AD381B" w:rsidRDefault="00FA3322" w14:paraId="7E2C3AE1" w14:textId="77777777">
      <w:pPr>
        <w:tabs>
          <w:tab w:val="left" w:pos="-720"/>
        </w:tabs>
        <w:suppressAutoHyphens/>
        <w:ind w:left="720"/>
        <w:rPr>
          <w:rFonts w:ascii="Times New Roman" w:hAnsi="Times New Roman"/>
          <w:b/>
          <w:szCs w:val="24"/>
        </w:rPr>
      </w:pPr>
    </w:p>
    <w:p w:rsidR="00665CE9" w:rsidP="00FA3322" w:rsidRDefault="00665CE9" w14:paraId="10054D41" w14:textId="77777777">
      <w:pPr>
        <w:pStyle w:val="ListParagraph"/>
        <w:rPr>
          <w:rFonts w:ascii="Times New Roman" w:hAnsi="Times New Roman"/>
        </w:rPr>
      </w:pPr>
    </w:p>
    <w:p w:rsidR="00A2338F" w:rsidRDefault="00A2338F" w14:paraId="34B9E2DD" w14:textId="4747B509">
      <w:pPr>
        <w:autoSpaceDE w:val="0"/>
        <w:autoSpaceDN w:val="0"/>
        <w:adjustRightInd w:val="0"/>
        <w:ind w:left="720"/>
        <w:jc w:val="both"/>
        <w:rPr>
          <w:rFonts w:ascii="Times New Roman" w:hAnsi="Times New Roman" w:eastAsia="Calibri"/>
          <w:szCs w:val="24"/>
        </w:rPr>
      </w:pPr>
      <w:r>
        <w:rPr>
          <w:rFonts w:ascii="Times New Roman" w:hAnsi="Times New Roman" w:eastAsia="Calibri"/>
          <w:szCs w:val="24"/>
        </w:rPr>
        <w:t xml:space="preserve">To develop the best possible set of data and information about charter school facilities and their need, NCSRC used the original charter school facilities survey as a base and piloted a streamlined version based on feedback from the Facilities Expert Panel with five charter schools. Cognitive interviews were held with these schools to identify </w:t>
      </w:r>
      <w:r w:rsidR="006D23BF">
        <w:rPr>
          <w:rFonts w:ascii="Times New Roman" w:hAnsi="Times New Roman" w:eastAsia="Calibri"/>
          <w:szCs w:val="24"/>
        </w:rPr>
        <w:t xml:space="preserve">the </w:t>
      </w:r>
      <w:r>
        <w:rPr>
          <w:rFonts w:ascii="Times New Roman" w:hAnsi="Times New Roman" w:eastAsia="Calibri"/>
          <w:szCs w:val="24"/>
        </w:rPr>
        <w:t xml:space="preserve">understanding of each question. </w:t>
      </w:r>
    </w:p>
    <w:p w:rsidR="00A2338F" w:rsidRDefault="00A2338F" w14:paraId="0A6D2950" w14:textId="77777777">
      <w:pPr>
        <w:autoSpaceDE w:val="0"/>
        <w:autoSpaceDN w:val="0"/>
        <w:adjustRightInd w:val="0"/>
        <w:ind w:left="720"/>
        <w:jc w:val="both"/>
        <w:rPr>
          <w:rFonts w:ascii="Times New Roman" w:hAnsi="Times New Roman" w:eastAsia="Calibri"/>
          <w:szCs w:val="24"/>
        </w:rPr>
      </w:pPr>
    </w:p>
    <w:p w:rsidR="00BB6CF7" w:rsidP="008A4B7A" w:rsidRDefault="00BB6CF7" w14:paraId="18A9312C" w14:textId="6637EB61">
      <w:pPr>
        <w:autoSpaceDE w:val="0"/>
        <w:autoSpaceDN w:val="0"/>
        <w:adjustRightInd w:val="0"/>
        <w:ind w:left="720"/>
        <w:jc w:val="both"/>
        <w:rPr>
          <w:rFonts w:ascii="Times New Roman" w:hAnsi="Times New Roman"/>
        </w:rPr>
      </w:pPr>
      <w:r>
        <w:rPr>
          <w:rFonts w:ascii="Times New Roman" w:hAnsi="Times New Roman"/>
          <w:color w:val="000000"/>
          <w:szCs w:val="24"/>
        </w:rPr>
        <w:t>NCSRC has held conversations with a Charter Facilities Expert Panel that included individuals from the National Alliance for Charter Schools’ Charter Facility Center, Momentum Strategies (previous experience implementing the facilities survey), and Charter School Growth Fund. NCSRC</w:t>
      </w:r>
      <w:r>
        <w:rPr>
          <w:rFonts w:ascii="Times New Roman" w:hAnsi="Times New Roman" w:eastAsia="Calibri"/>
          <w:szCs w:val="24"/>
        </w:rPr>
        <w:t xml:space="preserve"> has </w:t>
      </w:r>
      <w:r>
        <w:rPr>
          <w:rFonts w:ascii="Times New Roman" w:hAnsi="Times New Roman"/>
          <w:color w:val="000000"/>
          <w:szCs w:val="24"/>
        </w:rPr>
        <w:t>held conference calls with the Facilities Expert Panel members to discuss the state surveys and understand the impact of the finalized</w:t>
      </w:r>
      <w:r w:rsidR="0036338C">
        <w:rPr>
          <w:rFonts w:ascii="Times New Roman" w:hAnsi="Times New Roman"/>
          <w:color w:val="000000"/>
          <w:szCs w:val="24"/>
        </w:rPr>
        <w:t xml:space="preserve"> survey</w:t>
      </w:r>
      <w:r>
        <w:rPr>
          <w:rFonts w:ascii="Times New Roman" w:hAnsi="Times New Roman"/>
          <w:color w:val="000000"/>
          <w:szCs w:val="24"/>
        </w:rPr>
        <w:t xml:space="preserve">. In addition, these groups informed NCSRC about the process for conducting these surveys and how they were able to ensure the appropriate questions were being asked. </w:t>
      </w:r>
    </w:p>
    <w:p w:rsidR="00BB6CF7" w:rsidP="00FA3322" w:rsidRDefault="00BB6CF7" w14:paraId="4C7AD7E4" w14:textId="77777777">
      <w:pPr>
        <w:pStyle w:val="ListParagraph"/>
        <w:rPr>
          <w:rFonts w:ascii="Times New Roman" w:hAnsi="Times New Roman"/>
        </w:rPr>
      </w:pPr>
    </w:p>
    <w:p w:rsidRPr="00F71C88" w:rsidR="00F71C88" w:rsidP="00F71C88" w:rsidRDefault="00F71C88" w14:paraId="511F6754" w14:textId="0D0A3241">
      <w:pPr>
        <w:pStyle w:val="ListParagraph"/>
        <w:rPr>
          <w:rFonts w:ascii="Times New Roman" w:hAnsi="Times New Roman"/>
        </w:rPr>
      </w:pPr>
      <w:r w:rsidRPr="00F71C88">
        <w:rPr>
          <w:rFonts w:ascii="Times New Roman" w:hAnsi="Times New Roman"/>
        </w:rPr>
        <w:t>On</w:t>
      </w:r>
      <w:r>
        <w:rPr>
          <w:rFonts w:ascii="Times New Roman" w:hAnsi="Times New Roman"/>
        </w:rPr>
        <w:t xml:space="preserve"> November 9</w:t>
      </w:r>
      <w:r w:rsidRPr="00F71C88">
        <w:rPr>
          <w:rFonts w:ascii="Times New Roman" w:hAnsi="Times New Roman"/>
        </w:rPr>
        <w:t xml:space="preserve">, 2020, a Federal Register Notice requesting public comment was published (Vol. 85, No. </w:t>
      </w:r>
      <w:r w:rsidR="00E27F8E">
        <w:rPr>
          <w:rFonts w:ascii="Times New Roman" w:hAnsi="Times New Roman"/>
        </w:rPr>
        <w:t>217</w:t>
      </w:r>
      <w:r w:rsidRPr="00F71C88">
        <w:rPr>
          <w:rFonts w:ascii="Times New Roman" w:hAnsi="Times New Roman"/>
        </w:rPr>
        <w:t xml:space="preserve">, page </w:t>
      </w:r>
      <w:r w:rsidR="00E27F8E">
        <w:rPr>
          <w:rFonts w:ascii="Times New Roman" w:hAnsi="Times New Roman"/>
        </w:rPr>
        <w:t>71334</w:t>
      </w:r>
      <w:r w:rsidRPr="00F71C88">
        <w:rPr>
          <w:rFonts w:ascii="Times New Roman" w:hAnsi="Times New Roman"/>
        </w:rPr>
        <w:t>)</w:t>
      </w:r>
      <w:r w:rsidR="00E27F8E">
        <w:rPr>
          <w:rFonts w:ascii="Times New Roman" w:hAnsi="Times New Roman"/>
        </w:rPr>
        <w:t>. We received one off-topic comment</w:t>
      </w:r>
      <w:r w:rsidRPr="00F71C88">
        <w:rPr>
          <w:rFonts w:ascii="Times New Roman" w:hAnsi="Times New Roman"/>
        </w:rPr>
        <w:t xml:space="preserve"> 60-day comment period</w:t>
      </w:r>
      <w:r w:rsidR="00E27F8E">
        <w:rPr>
          <w:rFonts w:ascii="Times New Roman" w:hAnsi="Times New Roman"/>
        </w:rPr>
        <w:t xml:space="preserve"> and will not be providing a response</w:t>
      </w:r>
      <w:r w:rsidRPr="00F71C88">
        <w:rPr>
          <w:rFonts w:ascii="Times New Roman" w:hAnsi="Times New Roman"/>
        </w:rPr>
        <w:t>. The Department is publishing the applicable 30-day Federal Register notice to request public comment.</w:t>
      </w:r>
    </w:p>
    <w:p w:rsidR="00E66550" w:rsidP="00AD381B" w:rsidRDefault="00E66550" w14:paraId="7C6162E4" w14:textId="77777777">
      <w:pPr>
        <w:tabs>
          <w:tab w:val="left" w:pos="-720"/>
        </w:tabs>
        <w:suppressAutoHyphens/>
        <w:ind w:left="720"/>
        <w:rPr>
          <w:rFonts w:ascii="Times New Roman" w:hAnsi="Times New Roman"/>
          <w:szCs w:val="24"/>
        </w:rPr>
      </w:pPr>
    </w:p>
    <w:p w:rsidR="00043C32" w:rsidP="00AD381B" w:rsidRDefault="00043C32" w14:paraId="3F1BBA17"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25BEE889" w14:textId="19BA6A54">
      <w:pPr>
        <w:pStyle w:val="ListParagraph"/>
        <w:tabs>
          <w:tab w:val="left" w:pos="-720"/>
        </w:tabs>
        <w:suppressAutoHyphens/>
        <w:contextualSpacing w:val="0"/>
        <w:rPr>
          <w:rFonts w:ascii="Times New Roman" w:hAnsi="Times New Roman"/>
          <w:b/>
          <w:szCs w:val="24"/>
        </w:rPr>
      </w:pPr>
    </w:p>
    <w:p w:rsidR="00AF16B9" w:rsidP="00920F63" w:rsidRDefault="001E23D8" w14:paraId="0BF6F531" w14:textId="27C4B2B6">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Upon </w:t>
      </w:r>
      <w:r w:rsidR="003667BE">
        <w:rPr>
          <w:rFonts w:ascii="Times New Roman" w:hAnsi="Times New Roman"/>
          <w:bCs/>
          <w:szCs w:val="24"/>
        </w:rPr>
        <w:t xml:space="preserve">expressing </w:t>
      </w:r>
      <w:r>
        <w:rPr>
          <w:rFonts w:ascii="Times New Roman" w:hAnsi="Times New Roman"/>
          <w:bCs/>
          <w:szCs w:val="24"/>
        </w:rPr>
        <w:t>consent</w:t>
      </w:r>
      <w:r w:rsidR="001E4ABE">
        <w:rPr>
          <w:rFonts w:ascii="Times New Roman" w:hAnsi="Times New Roman"/>
          <w:bCs/>
          <w:szCs w:val="24"/>
        </w:rPr>
        <w:t xml:space="preserve"> to the study, r</w:t>
      </w:r>
      <w:r w:rsidR="00FA3322">
        <w:rPr>
          <w:rFonts w:ascii="Times New Roman" w:hAnsi="Times New Roman"/>
          <w:bCs/>
          <w:szCs w:val="24"/>
        </w:rPr>
        <w:t xml:space="preserve">espondents will </w:t>
      </w:r>
      <w:r w:rsidR="00041A1F">
        <w:rPr>
          <w:rFonts w:ascii="Times New Roman" w:hAnsi="Times New Roman"/>
          <w:bCs/>
          <w:szCs w:val="24"/>
        </w:rPr>
        <w:t xml:space="preserve">be </w:t>
      </w:r>
      <w:r w:rsidR="001E4ABE">
        <w:rPr>
          <w:rFonts w:ascii="Times New Roman" w:hAnsi="Times New Roman"/>
          <w:bCs/>
          <w:szCs w:val="24"/>
        </w:rPr>
        <w:t xml:space="preserve">eligible </w:t>
      </w:r>
      <w:r w:rsidR="00621B0B">
        <w:rPr>
          <w:rFonts w:ascii="Times New Roman" w:hAnsi="Times New Roman"/>
          <w:bCs/>
          <w:szCs w:val="24"/>
        </w:rPr>
        <w:t>to receive</w:t>
      </w:r>
      <w:r w:rsidR="00E12D7E">
        <w:rPr>
          <w:rFonts w:ascii="Times New Roman" w:hAnsi="Times New Roman"/>
          <w:bCs/>
          <w:szCs w:val="24"/>
        </w:rPr>
        <w:t xml:space="preserve"> a $50 VISA gift card </w:t>
      </w:r>
      <w:r w:rsidR="00816D47">
        <w:rPr>
          <w:rFonts w:ascii="Times New Roman" w:hAnsi="Times New Roman"/>
          <w:bCs/>
          <w:szCs w:val="24"/>
        </w:rPr>
        <w:t>to cover the time they spend</w:t>
      </w:r>
      <w:r w:rsidR="002F0EB4">
        <w:rPr>
          <w:rFonts w:ascii="Times New Roman" w:hAnsi="Times New Roman"/>
          <w:bCs/>
          <w:szCs w:val="24"/>
        </w:rPr>
        <w:t xml:space="preserve"> </w:t>
      </w:r>
      <w:r w:rsidR="00C525CA">
        <w:rPr>
          <w:rFonts w:ascii="Times New Roman" w:hAnsi="Times New Roman"/>
          <w:bCs/>
          <w:szCs w:val="24"/>
        </w:rPr>
        <w:t>on</w:t>
      </w:r>
      <w:r w:rsidR="00816D47">
        <w:rPr>
          <w:rFonts w:ascii="Times New Roman" w:hAnsi="Times New Roman"/>
          <w:bCs/>
          <w:szCs w:val="24"/>
        </w:rPr>
        <w:t xml:space="preserve"> the survey</w:t>
      </w:r>
      <w:r w:rsidR="00E12D7E">
        <w:rPr>
          <w:rFonts w:ascii="Times New Roman" w:hAnsi="Times New Roman"/>
          <w:bCs/>
          <w:szCs w:val="24"/>
        </w:rPr>
        <w:t>.</w:t>
      </w:r>
      <w:r w:rsidR="00E91837">
        <w:rPr>
          <w:rFonts w:ascii="Times New Roman" w:hAnsi="Times New Roman"/>
          <w:bCs/>
          <w:szCs w:val="24"/>
        </w:rPr>
        <w:t xml:space="preserve"> We assume </w:t>
      </w:r>
      <w:r w:rsidR="00481547">
        <w:rPr>
          <w:rFonts w:ascii="Times New Roman" w:hAnsi="Times New Roman"/>
          <w:bCs/>
          <w:szCs w:val="24"/>
        </w:rPr>
        <w:t xml:space="preserve">that </w:t>
      </w:r>
      <w:r w:rsidR="00452840">
        <w:rPr>
          <w:rFonts w:ascii="Times New Roman" w:hAnsi="Times New Roman"/>
          <w:bCs/>
          <w:szCs w:val="24"/>
        </w:rPr>
        <w:t>the primary contact for the</w:t>
      </w:r>
      <w:r w:rsidR="00747A7C">
        <w:rPr>
          <w:rFonts w:ascii="Times New Roman" w:hAnsi="Times New Roman"/>
          <w:bCs/>
          <w:szCs w:val="24"/>
        </w:rPr>
        <w:t xml:space="preserve"> survey is</w:t>
      </w:r>
      <w:r w:rsidR="00452840">
        <w:rPr>
          <w:rFonts w:ascii="Times New Roman" w:hAnsi="Times New Roman"/>
          <w:bCs/>
          <w:szCs w:val="24"/>
        </w:rPr>
        <w:t xml:space="preserve"> </w:t>
      </w:r>
      <w:r w:rsidR="00481547">
        <w:rPr>
          <w:rFonts w:ascii="Times New Roman" w:hAnsi="Times New Roman"/>
          <w:bCs/>
          <w:szCs w:val="24"/>
        </w:rPr>
        <w:t xml:space="preserve">a </w:t>
      </w:r>
      <w:r w:rsidR="00E91837">
        <w:rPr>
          <w:rFonts w:ascii="Times New Roman" w:hAnsi="Times New Roman"/>
          <w:bCs/>
          <w:szCs w:val="24"/>
        </w:rPr>
        <w:t xml:space="preserve">school </w:t>
      </w:r>
      <w:r w:rsidR="00A535E3">
        <w:rPr>
          <w:rFonts w:ascii="Times New Roman" w:hAnsi="Times New Roman"/>
          <w:bCs/>
          <w:szCs w:val="24"/>
        </w:rPr>
        <w:t xml:space="preserve">administrator </w:t>
      </w:r>
      <w:r w:rsidR="006F036E">
        <w:rPr>
          <w:rFonts w:ascii="Times New Roman" w:hAnsi="Times New Roman"/>
          <w:bCs/>
          <w:szCs w:val="24"/>
        </w:rPr>
        <w:t>familiar with school facility issues</w:t>
      </w:r>
      <w:r w:rsidR="00747A7C">
        <w:rPr>
          <w:rFonts w:ascii="Times New Roman" w:hAnsi="Times New Roman"/>
          <w:bCs/>
          <w:szCs w:val="24"/>
        </w:rPr>
        <w:t>. This school staff member</w:t>
      </w:r>
      <w:r w:rsidR="00E91837">
        <w:rPr>
          <w:rFonts w:ascii="Times New Roman" w:hAnsi="Times New Roman"/>
          <w:bCs/>
          <w:szCs w:val="24"/>
        </w:rPr>
        <w:t xml:space="preserve"> </w:t>
      </w:r>
      <w:r w:rsidR="000F0EB4">
        <w:rPr>
          <w:rFonts w:ascii="Times New Roman" w:hAnsi="Times New Roman"/>
          <w:bCs/>
          <w:szCs w:val="24"/>
        </w:rPr>
        <w:t xml:space="preserve">will </w:t>
      </w:r>
      <w:r w:rsidR="00A025C4">
        <w:rPr>
          <w:rFonts w:ascii="Times New Roman" w:hAnsi="Times New Roman"/>
          <w:bCs/>
          <w:szCs w:val="24"/>
        </w:rPr>
        <w:t xml:space="preserve">spend time communicating </w:t>
      </w:r>
      <w:r w:rsidR="00B9609B">
        <w:rPr>
          <w:rFonts w:ascii="Times New Roman" w:hAnsi="Times New Roman"/>
          <w:bCs/>
          <w:szCs w:val="24"/>
        </w:rPr>
        <w:t>and coordinat</w:t>
      </w:r>
      <w:r w:rsidR="00AF16B9">
        <w:rPr>
          <w:rFonts w:ascii="Times New Roman" w:hAnsi="Times New Roman"/>
          <w:bCs/>
          <w:szCs w:val="24"/>
        </w:rPr>
        <w:t>ing</w:t>
      </w:r>
      <w:r w:rsidR="00B9609B">
        <w:rPr>
          <w:rFonts w:ascii="Times New Roman" w:hAnsi="Times New Roman"/>
          <w:bCs/>
          <w:szCs w:val="24"/>
        </w:rPr>
        <w:t xml:space="preserve"> with us </w:t>
      </w:r>
      <w:r w:rsidR="00AF16B9">
        <w:rPr>
          <w:rFonts w:ascii="Times New Roman" w:hAnsi="Times New Roman"/>
          <w:bCs/>
          <w:szCs w:val="24"/>
        </w:rPr>
        <w:t xml:space="preserve">throughout the survey data collection </w:t>
      </w:r>
      <w:r w:rsidR="006F036E">
        <w:rPr>
          <w:rFonts w:ascii="Times New Roman" w:hAnsi="Times New Roman"/>
          <w:bCs/>
          <w:szCs w:val="24"/>
        </w:rPr>
        <w:t xml:space="preserve">and </w:t>
      </w:r>
      <w:r w:rsidR="00AF16B9">
        <w:rPr>
          <w:rFonts w:ascii="Times New Roman" w:hAnsi="Times New Roman"/>
          <w:bCs/>
          <w:szCs w:val="24"/>
        </w:rPr>
        <w:t>completing</w:t>
      </w:r>
      <w:r w:rsidR="006F036E">
        <w:rPr>
          <w:rFonts w:ascii="Times New Roman" w:hAnsi="Times New Roman"/>
          <w:bCs/>
          <w:szCs w:val="24"/>
        </w:rPr>
        <w:t xml:space="preserve"> </w:t>
      </w:r>
      <w:r w:rsidR="004D58EF">
        <w:rPr>
          <w:rFonts w:ascii="Times New Roman" w:hAnsi="Times New Roman"/>
          <w:bCs/>
          <w:szCs w:val="24"/>
        </w:rPr>
        <w:t>the questionnaire</w:t>
      </w:r>
      <w:r w:rsidR="00E91837">
        <w:rPr>
          <w:rFonts w:ascii="Times New Roman" w:hAnsi="Times New Roman"/>
          <w:bCs/>
          <w:szCs w:val="24"/>
        </w:rPr>
        <w:t xml:space="preserve">. </w:t>
      </w:r>
    </w:p>
    <w:p w:rsidR="00AF16B9" w:rsidP="00920F63" w:rsidRDefault="00AF16B9" w14:paraId="6CB1FE02" w14:textId="77777777">
      <w:pPr>
        <w:pStyle w:val="ListParagraph"/>
        <w:tabs>
          <w:tab w:val="left" w:pos="-720"/>
        </w:tabs>
        <w:suppressAutoHyphens/>
        <w:contextualSpacing w:val="0"/>
        <w:rPr>
          <w:rFonts w:ascii="Times New Roman" w:hAnsi="Times New Roman"/>
          <w:bCs/>
          <w:szCs w:val="24"/>
        </w:rPr>
      </w:pPr>
    </w:p>
    <w:p w:rsidR="00FA3322" w:rsidP="00920F63" w:rsidRDefault="00E91837" w14:paraId="1F8DE731" w14:textId="6128F3C4">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The national </w:t>
      </w:r>
      <w:r w:rsidR="00DE546E">
        <w:rPr>
          <w:rFonts w:ascii="Times New Roman" w:hAnsi="Times New Roman"/>
          <w:bCs/>
          <w:szCs w:val="24"/>
        </w:rPr>
        <w:t xml:space="preserve">estimate of </w:t>
      </w:r>
      <w:r w:rsidR="00621B0B">
        <w:rPr>
          <w:rFonts w:ascii="Times New Roman" w:hAnsi="Times New Roman"/>
          <w:bCs/>
          <w:szCs w:val="24"/>
        </w:rPr>
        <w:t xml:space="preserve">the </w:t>
      </w:r>
      <w:r w:rsidR="00927966">
        <w:rPr>
          <w:rFonts w:ascii="Times New Roman" w:hAnsi="Times New Roman"/>
          <w:bCs/>
          <w:szCs w:val="24"/>
        </w:rPr>
        <w:t>me</w:t>
      </w:r>
      <w:r w:rsidR="009B257E">
        <w:rPr>
          <w:rFonts w:ascii="Times New Roman" w:hAnsi="Times New Roman"/>
          <w:bCs/>
          <w:szCs w:val="24"/>
        </w:rPr>
        <w:t>an</w:t>
      </w:r>
      <w:r w:rsidR="00927966">
        <w:rPr>
          <w:rFonts w:ascii="Times New Roman" w:hAnsi="Times New Roman"/>
          <w:bCs/>
          <w:szCs w:val="24"/>
        </w:rPr>
        <w:t xml:space="preserve"> salar</w:t>
      </w:r>
      <w:r w:rsidR="0007768C">
        <w:rPr>
          <w:rFonts w:ascii="Times New Roman" w:hAnsi="Times New Roman"/>
          <w:bCs/>
          <w:szCs w:val="24"/>
        </w:rPr>
        <w:t>y</w:t>
      </w:r>
      <w:r w:rsidR="00927966">
        <w:rPr>
          <w:rFonts w:ascii="Times New Roman" w:hAnsi="Times New Roman"/>
          <w:bCs/>
          <w:szCs w:val="24"/>
        </w:rPr>
        <w:t xml:space="preserve"> for </w:t>
      </w:r>
      <w:r w:rsidR="00347E9D">
        <w:rPr>
          <w:rFonts w:ascii="Times New Roman" w:hAnsi="Times New Roman"/>
          <w:bCs/>
          <w:szCs w:val="24"/>
        </w:rPr>
        <w:t>school administrators</w:t>
      </w:r>
      <w:r w:rsidR="00944CBE">
        <w:rPr>
          <w:rFonts w:ascii="Times New Roman" w:hAnsi="Times New Roman"/>
          <w:bCs/>
          <w:szCs w:val="24"/>
        </w:rPr>
        <w:t xml:space="preserve"> </w:t>
      </w:r>
      <w:r w:rsidR="0007768C">
        <w:rPr>
          <w:rFonts w:ascii="Times New Roman" w:hAnsi="Times New Roman"/>
          <w:bCs/>
          <w:szCs w:val="24"/>
        </w:rPr>
        <w:t>is</w:t>
      </w:r>
      <w:r w:rsidR="00F34498">
        <w:rPr>
          <w:rFonts w:ascii="Times New Roman" w:hAnsi="Times New Roman"/>
          <w:bCs/>
          <w:szCs w:val="24"/>
        </w:rPr>
        <w:t xml:space="preserve"> </w:t>
      </w:r>
      <w:r w:rsidR="00E04171">
        <w:rPr>
          <w:rFonts w:ascii="Times New Roman" w:hAnsi="Times New Roman"/>
          <w:bCs/>
          <w:szCs w:val="24"/>
        </w:rPr>
        <w:t>$</w:t>
      </w:r>
      <w:r w:rsidR="00633555">
        <w:rPr>
          <w:rFonts w:ascii="Times New Roman" w:hAnsi="Times New Roman"/>
          <w:bCs/>
          <w:szCs w:val="24"/>
        </w:rPr>
        <w:t>100</w:t>
      </w:r>
      <w:r w:rsidR="00AC6425">
        <w:rPr>
          <w:rFonts w:ascii="Times New Roman" w:hAnsi="Times New Roman"/>
          <w:bCs/>
          <w:szCs w:val="24"/>
        </w:rPr>
        <w:t>,</w:t>
      </w:r>
      <w:r w:rsidR="00633555">
        <w:rPr>
          <w:rFonts w:ascii="Times New Roman" w:hAnsi="Times New Roman"/>
          <w:bCs/>
          <w:szCs w:val="24"/>
        </w:rPr>
        <w:t>3</w:t>
      </w:r>
      <w:r w:rsidR="00AC6425">
        <w:rPr>
          <w:rFonts w:ascii="Times New Roman" w:hAnsi="Times New Roman"/>
          <w:bCs/>
          <w:szCs w:val="24"/>
        </w:rPr>
        <w:t>40</w:t>
      </w:r>
      <w:r w:rsidR="00AB1E16">
        <w:rPr>
          <w:rFonts w:ascii="Times New Roman" w:hAnsi="Times New Roman"/>
          <w:bCs/>
          <w:szCs w:val="24"/>
        </w:rPr>
        <w:t xml:space="preserve"> in 2019</w:t>
      </w:r>
      <w:r w:rsidR="000B050A">
        <w:rPr>
          <w:rFonts w:ascii="Times New Roman" w:hAnsi="Times New Roman"/>
          <w:bCs/>
          <w:szCs w:val="24"/>
        </w:rPr>
        <w:t>.</w:t>
      </w:r>
      <w:r w:rsidR="00E8427C">
        <w:rPr>
          <w:rStyle w:val="FootnoteReference"/>
          <w:bCs/>
          <w:szCs w:val="24"/>
        </w:rPr>
        <w:footnoteReference w:id="4"/>
      </w:r>
      <w:r w:rsidR="000B050A">
        <w:rPr>
          <w:rFonts w:ascii="Times New Roman" w:hAnsi="Times New Roman"/>
          <w:bCs/>
          <w:szCs w:val="24"/>
        </w:rPr>
        <w:t xml:space="preserve"> Assuming a </w:t>
      </w:r>
      <w:r w:rsidR="00617A1F">
        <w:rPr>
          <w:rFonts w:ascii="Times New Roman" w:hAnsi="Times New Roman"/>
          <w:bCs/>
          <w:szCs w:val="24"/>
        </w:rPr>
        <w:t xml:space="preserve">full-time equivalent of </w:t>
      </w:r>
      <w:r w:rsidR="00257A00">
        <w:rPr>
          <w:rFonts w:ascii="Times New Roman" w:hAnsi="Times New Roman"/>
          <w:bCs/>
          <w:szCs w:val="24"/>
        </w:rPr>
        <w:t>2080 hours per year, we calculated the hourly rate</w:t>
      </w:r>
      <w:r w:rsidR="00B1020D">
        <w:rPr>
          <w:rFonts w:ascii="Times New Roman" w:hAnsi="Times New Roman"/>
          <w:bCs/>
          <w:szCs w:val="24"/>
        </w:rPr>
        <w:t xml:space="preserve"> is </w:t>
      </w:r>
      <w:r w:rsidR="0040636E">
        <w:rPr>
          <w:rFonts w:ascii="Times New Roman" w:hAnsi="Times New Roman"/>
          <w:bCs/>
          <w:szCs w:val="24"/>
        </w:rPr>
        <w:t>$4</w:t>
      </w:r>
      <w:r w:rsidR="00054B03">
        <w:rPr>
          <w:rFonts w:ascii="Times New Roman" w:hAnsi="Times New Roman"/>
          <w:bCs/>
          <w:szCs w:val="24"/>
        </w:rPr>
        <w:t>8.24</w:t>
      </w:r>
      <w:r w:rsidR="0040636E">
        <w:rPr>
          <w:rFonts w:ascii="Times New Roman" w:hAnsi="Times New Roman"/>
          <w:bCs/>
          <w:szCs w:val="24"/>
        </w:rPr>
        <w:t>.</w:t>
      </w:r>
      <w:r w:rsidR="00762985">
        <w:rPr>
          <w:rFonts w:ascii="Times New Roman" w:hAnsi="Times New Roman"/>
          <w:bCs/>
          <w:szCs w:val="24"/>
        </w:rPr>
        <w:t xml:space="preserve"> We projected that </w:t>
      </w:r>
      <w:r w:rsidR="00184A53">
        <w:rPr>
          <w:rFonts w:ascii="Times New Roman" w:hAnsi="Times New Roman"/>
          <w:bCs/>
          <w:szCs w:val="24"/>
        </w:rPr>
        <w:t>it would take</w:t>
      </w:r>
      <w:r w:rsidR="001F0312">
        <w:rPr>
          <w:rFonts w:ascii="Times New Roman" w:hAnsi="Times New Roman"/>
          <w:bCs/>
          <w:szCs w:val="24"/>
        </w:rPr>
        <w:t xml:space="preserve"> </w:t>
      </w:r>
      <w:r w:rsidR="00184A53">
        <w:rPr>
          <w:rFonts w:ascii="Times New Roman" w:hAnsi="Times New Roman"/>
          <w:bCs/>
          <w:szCs w:val="24"/>
        </w:rPr>
        <w:t>3</w:t>
      </w:r>
      <w:r w:rsidR="00015FBA">
        <w:rPr>
          <w:rFonts w:ascii="Times New Roman" w:hAnsi="Times New Roman"/>
          <w:bCs/>
          <w:szCs w:val="24"/>
        </w:rPr>
        <w:t>4</w:t>
      </w:r>
      <w:r w:rsidR="00184A53">
        <w:rPr>
          <w:rFonts w:ascii="Times New Roman" w:hAnsi="Times New Roman"/>
          <w:bCs/>
          <w:szCs w:val="24"/>
        </w:rPr>
        <w:t xml:space="preserve"> minutes to </w:t>
      </w:r>
      <w:r w:rsidR="00015FBA">
        <w:rPr>
          <w:rFonts w:ascii="Times New Roman" w:hAnsi="Times New Roman"/>
          <w:bCs/>
          <w:szCs w:val="24"/>
        </w:rPr>
        <w:t>complete the questionnaire (</w:t>
      </w:r>
      <w:r w:rsidR="00533B78">
        <w:rPr>
          <w:rFonts w:ascii="Times New Roman" w:hAnsi="Times New Roman"/>
          <w:bCs/>
          <w:szCs w:val="24"/>
        </w:rPr>
        <w:t xml:space="preserve">see </w:t>
      </w:r>
      <w:r w:rsidR="00BB53D9">
        <w:rPr>
          <w:rFonts w:ascii="Times New Roman" w:hAnsi="Times New Roman"/>
          <w:bCs/>
          <w:szCs w:val="24"/>
        </w:rPr>
        <w:t xml:space="preserve">item 12 for </w:t>
      </w:r>
      <w:r w:rsidR="00163041">
        <w:rPr>
          <w:rFonts w:ascii="Times New Roman" w:hAnsi="Times New Roman"/>
          <w:bCs/>
          <w:szCs w:val="24"/>
        </w:rPr>
        <w:t>more details</w:t>
      </w:r>
      <w:r w:rsidR="00BB53D9">
        <w:rPr>
          <w:rFonts w:ascii="Times New Roman" w:hAnsi="Times New Roman"/>
          <w:bCs/>
          <w:szCs w:val="24"/>
        </w:rPr>
        <w:t>)</w:t>
      </w:r>
      <w:r w:rsidR="005D75CA">
        <w:rPr>
          <w:rFonts w:ascii="Times New Roman" w:hAnsi="Times New Roman"/>
          <w:bCs/>
          <w:szCs w:val="24"/>
        </w:rPr>
        <w:t xml:space="preserve">, which is about </w:t>
      </w:r>
      <w:r w:rsidR="00067E25">
        <w:rPr>
          <w:rFonts w:ascii="Times New Roman" w:hAnsi="Times New Roman"/>
          <w:bCs/>
          <w:szCs w:val="24"/>
        </w:rPr>
        <w:t>$2</w:t>
      </w:r>
      <w:r w:rsidR="00FE0480">
        <w:rPr>
          <w:rFonts w:ascii="Times New Roman" w:hAnsi="Times New Roman"/>
          <w:bCs/>
          <w:szCs w:val="24"/>
        </w:rPr>
        <w:t>7.34</w:t>
      </w:r>
      <w:r w:rsidR="00067353">
        <w:rPr>
          <w:rFonts w:ascii="Times New Roman" w:hAnsi="Times New Roman"/>
          <w:bCs/>
          <w:szCs w:val="24"/>
        </w:rPr>
        <w:t xml:space="preserve"> per </w:t>
      </w:r>
      <w:r w:rsidR="00FE6462">
        <w:rPr>
          <w:rFonts w:ascii="Times New Roman" w:hAnsi="Times New Roman"/>
          <w:bCs/>
          <w:szCs w:val="24"/>
        </w:rPr>
        <w:t>response</w:t>
      </w:r>
      <w:r w:rsidR="00F80422">
        <w:rPr>
          <w:rFonts w:ascii="Times New Roman" w:hAnsi="Times New Roman"/>
          <w:bCs/>
          <w:szCs w:val="24"/>
        </w:rPr>
        <w:t>. We also assumed that it w</w:t>
      </w:r>
      <w:r w:rsidR="00621B0B">
        <w:rPr>
          <w:rFonts w:ascii="Times New Roman" w:hAnsi="Times New Roman"/>
          <w:bCs/>
          <w:szCs w:val="24"/>
        </w:rPr>
        <w:t>ould</w:t>
      </w:r>
      <w:r w:rsidR="00F80422">
        <w:rPr>
          <w:rFonts w:ascii="Times New Roman" w:hAnsi="Times New Roman"/>
          <w:bCs/>
          <w:szCs w:val="24"/>
        </w:rPr>
        <w:t xml:space="preserve"> take </w:t>
      </w:r>
      <w:r w:rsidR="00592850">
        <w:rPr>
          <w:rFonts w:ascii="Times New Roman" w:hAnsi="Times New Roman"/>
          <w:bCs/>
          <w:szCs w:val="24"/>
        </w:rPr>
        <w:t>30 minutes for the school administrator to</w:t>
      </w:r>
      <w:r w:rsidR="00163041">
        <w:rPr>
          <w:rFonts w:ascii="Times New Roman" w:hAnsi="Times New Roman"/>
          <w:bCs/>
          <w:szCs w:val="24"/>
        </w:rPr>
        <w:t xml:space="preserve"> </w:t>
      </w:r>
      <w:r w:rsidR="000B0D99">
        <w:rPr>
          <w:rFonts w:ascii="Times New Roman" w:hAnsi="Times New Roman"/>
          <w:bCs/>
          <w:szCs w:val="24"/>
        </w:rPr>
        <w:t xml:space="preserve">communicate with data collectors about </w:t>
      </w:r>
      <w:r w:rsidR="00400D80">
        <w:rPr>
          <w:rFonts w:ascii="Times New Roman" w:hAnsi="Times New Roman"/>
          <w:bCs/>
          <w:szCs w:val="24"/>
        </w:rPr>
        <w:t>the survey</w:t>
      </w:r>
      <w:r w:rsidR="00592850">
        <w:rPr>
          <w:rFonts w:ascii="Times New Roman" w:hAnsi="Times New Roman"/>
          <w:bCs/>
          <w:szCs w:val="24"/>
        </w:rPr>
        <w:t xml:space="preserve"> from</w:t>
      </w:r>
      <w:r w:rsidR="006A5F4D">
        <w:rPr>
          <w:rFonts w:ascii="Times New Roman" w:hAnsi="Times New Roman"/>
          <w:bCs/>
          <w:szCs w:val="24"/>
        </w:rPr>
        <w:t xml:space="preserve"> the</w:t>
      </w:r>
      <w:r w:rsidR="00592850">
        <w:rPr>
          <w:rFonts w:ascii="Times New Roman" w:hAnsi="Times New Roman"/>
          <w:bCs/>
          <w:szCs w:val="24"/>
        </w:rPr>
        <w:t xml:space="preserve"> initial contact to the conclusion of the study, w</w:t>
      </w:r>
      <w:r w:rsidR="00621B0B">
        <w:rPr>
          <w:rFonts w:ascii="Times New Roman" w:hAnsi="Times New Roman"/>
          <w:bCs/>
          <w:szCs w:val="24"/>
        </w:rPr>
        <w:t>hich</w:t>
      </w:r>
      <w:r w:rsidR="00592850">
        <w:rPr>
          <w:rFonts w:ascii="Times New Roman" w:hAnsi="Times New Roman"/>
          <w:bCs/>
          <w:szCs w:val="24"/>
        </w:rPr>
        <w:t xml:space="preserve"> </w:t>
      </w:r>
      <w:proofErr w:type="spellStart"/>
      <w:r w:rsidR="00592850">
        <w:rPr>
          <w:rFonts w:ascii="Times New Roman" w:hAnsi="Times New Roman"/>
          <w:bCs/>
          <w:szCs w:val="24"/>
        </w:rPr>
        <w:t>s</w:t>
      </w:r>
      <w:proofErr w:type="spellEnd"/>
      <w:r w:rsidR="00592850">
        <w:rPr>
          <w:rFonts w:ascii="Times New Roman" w:hAnsi="Times New Roman"/>
          <w:bCs/>
          <w:szCs w:val="24"/>
        </w:rPr>
        <w:t xml:space="preserve"> about </w:t>
      </w:r>
      <w:r w:rsidR="00DE78FB">
        <w:rPr>
          <w:rFonts w:ascii="Times New Roman" w:hAnsi="Times New Roman"/>
          <w:bCs/>
          <w:szCs w:val="24"/>
        </w:rPr>
        <w:t>$2</w:t>
      </w:r>
      <w:r w:rsidR="007A445C">
        <w:rPr>
          <w:rFonts w:ascii="Times New Roman" w:hAnsi="Times New Roman"/>
          <w:bCs/>
          <w:szCs w:val="24"/>
        </w:rPr>
        <w:t>4</w:t>
      </w:r>
      <w:r w:rsidR="00DE78FB">
        <w:rPr>
          <w:rFonts w:ascii="Times New Roman" w:hAnsi="Times New Roman"/>
          <w:bCs/>
          <w:szCs w:val="24"/>
        </w:rPr>
        <w:t>.1</w:t>
      </w:r>
      <w:r w:rsidR="007A445C">
        <w:rPr>
          <w:rFonts w:ascii="Times New Roman" w:hAnsi="Times New Roman"/>
          <w:bCs/>
          <w:szCs w:val="24"/>
        </w:rPr>
        <w:t>2</w:t>
      </w:r>
      <w:r w:rsidR="00035DFC">
        <w:rPr>
          <w:rFonts w:ascii="Times New Roman" w:hAnsi="Times New Roman"/>
          <w:bCs/>
          <w:szCs w:val="24"/>
        </w:rPr>
        <w:t xml:space="preserve"> per re</w:t>
      </w:r>
      <w:r w:rsidR="00305C43">
        <w:rPr>
          <w:rFonts w:ascii="Times New Roman" w:hAnsi="Times New Roman"/>
          <w:bCs/>
          <w:szCs w:val="24"/>
        </w:rPr>
        <w:t>sponse</w:t>
      </w:r>
      <w:r w:rsidR="00035DFC">
        <w:rPr>
          <w:rFonts w:ascii="Times New Roman" w:hAnsi="Times New Roman"/>
          <w:bCs/>
          <w:szCs w:val="24"/>
        </w:rPr>
        <w:t xml:space="preserve">. </w:t>
      </w:r>
      <w:r w:rsidR="00031801">
        <w:rPr>
          <w:rFonts w:ascii="Times New Roman" w:hAnsi="Times New Roman"/>
          <w:bCs/>
          <w:szCs w:val="24"/>
        </w:rPr>
        <w:t xml:space="preserve">The $50 </w:t>
      </w:r>
      <w:r w:rsidR="007D2E3C">
        <w:rPr>
          <w:rFonts w:ascii="Times New Roman" w:hAnsi="Times New Roman"/>
          <w:bCs/>
          <w:szCs w:val="24"/>
        </w:rPr>
        <w:t>incentive is</w:t>
      </w:r>
      <w:r w:rsidR="000B7E74">
        <w:rPr>
          <w:rFonts w:ascii="Times New Roman" w:hAnsi="Times New Roman"/>
          <w:bCs/>
          <w:szCs w:val="24"/>
        </w:rPr>
        <w:t xml:space="preserve"> </w:t>
      </w:r>
      <w:r w:rsidR="00871E25">
        <w:rPr>
          <w:rFonts w:ascii="Times New Roman" w:hAnsi="Times New Roman"/>
          <w:bCs/>
          <w:szCs w:val="24"/>
        </w:rPr>
        <w:t>comparable to</w:t>
      </w:r>
      <w:r w:rsidR="00187DC0">
        <w:rPr>
          <w:rFonts w:ascii="Times New Roman" w:hAnsi="Times New Roman"/>
          <w:bCs/>
          <w:szCs w:val="24"/>
        </w:rPr>
        <w:t xml:space="preserve"> the payment </w:t>
      </w:r>
      <w:r w:rsidR="003C6314">
        <w:rPr>
          <w:rFonts w:ascii="Times New Roman" w:hAnsi="Times New Roman"/>
          <w:bCs/>
          <w:szCs w:val="24"/>
        </w:rPr>
        <w:t>respon</w:t>
      </w:r>
      <w:r w:rsidR="00085473">
        <w:rPr>
          <w:rFonts w:ascii="Times New Roman" w:hAnsi="Times New Roman"/>
          <w:bCs/>
          <w:szCs w:val="24"/>
        </w:rPr>
        <w:t>dents</w:t>
      </w:r>
      <w:r w:rsidR="00187DC0">
        <w:rPr>
          <w:rFonts w:ascii="Times New Roman" w:hAnsi="Times New Roman"/>
          <w:bCs/>
          <w:szCs w:val="24"/>
        </w:rPr>
        <w:t xml:space="preserve"> </w:t>
      </w:r>
      <w:r w:rsidR="00A87892">
        <w:rPr>
          <w:rFonts w:ascii="Times New Roman" w:hAnsi="Times New Roman"/>
          <w:bCs/>
          <w:szCs w:val="24"/>
        </w:rPr>
        <w:t xml:space="preserve">receive </w:t>
      </w:r>
      <w:r w:rsidR="00187DC0">
        <w:rPr>
          <w:rFonts w:ascii="Times New Roman" w:hAnsi="Times New Roman"/>
          <w:bCs/>
          <w:szCs w:val="24"/>
        </w:rPr>
        <w:lastRenderedPageBreak/>
        <w:t>at work</w:t>
      </w:r>
      <w:r w:rsidR="00085473">
        <w:rPr>
          <w:rFonts w:ascii="Times New Roman" w:hAnsi="Times New Roman"/>
          <w:bCs/>
          <w:szCs w:val="24"/>
        </w:rPr>
        <w:t xml:space="preserve"> </w:t>
      </w:r>
      <w:r w:rsidR="00187DC0">
        <w:rPr>
          <w:rFonts w:ascii="Times New Roman" w:hAnsi="Times New Roman"/>
          <w:bCs/>
          <w:szCs w:val="24"/>
        </w:rPr>
        <w:t>for the same amount of time</w:t>
      </w:r>
      <w:r w:rsidR="005F0308">
        <w:rPr>
          <w:rFonts w:ascii="Times New Roman" w:hAnsi="Times New Roman"/>
          <w:bCs/>
          <w:szCs w:val="24"/>
        </w:rPr>
        <w:t xml:space="preserve">, which is estimated at </w:t>
      </w:r>
      <w:r w:rsidR="00681D05">
        <w:rPr>
          <w:rFonts w:ascii="Times New Roman" w:hAnsi="Times New Roman"/>
          <w:bCs/>
          <w:szCs w:val="24"/>
        </w:rPr>
        <w:t>$</w:t>
      </w:r>
      <w:r w:rsidR="00CD20C8">
        <w:rPr>
          <w:rFonts w:ascii="Times New Roman" w:hAnsi="Times New Roman"/>
          <w:bCs/>
          <w:szCs w:val="24"/>
        </w:rPr>
        <w:t>51.46</w:t>
      </w:r>
      <w:r w:rsidR="005D15DB">
        <w:rPr>
          <w:rFonts w:ascii="Times New Roman" w:hAnsi="Times New Roman"/>
          <w:bCs/>
          <w:szCs w:val="24"/>
        </w:rPr>
        <w:t xml:space="preserve">, i.e., the sum of </w:t>
      </w:r>
      <w:r w:rsidR="002D79E4">
        <w:rPr>
          <w:rFonts w:ascii="Times New Roman" w:hAnsi="Times New Roman"/>
          <w:bCs/>
          <w:szCs w:val="24"/>
        </w:rPr>
        <w:t>$2</w:t>
      </w:r>
      <w:r w:rsidR="007A445C">
        <w:rPr>
          <w:rFonts w:ascii="Times New Roman" w:hAnsi="Times New Roman"/>
          <w:bCs/>
          <w:szCs w:val="24"/>
        </w:rPr>
        <w:t>7</w:t>
      </w:r>
      <w:r w:rsidR="002D79E4">
        <w:rPr>
          <w:rFonts w:ascii="Times New Roman" w:hAnsi="Times New Roman"/>
          <w:bCs/>
          <w:szCs w:val="24"/>
        </w:rPr>
        <w:t>.</w:t>
      </w:r>
      <w:r w:rsidR="007A445C">
        <w:rPr>
          <w:rFonts w:ascii="Times New Roman" w:hAnsi="Times New Roman"/>
          <w:bCs/>
          <w:szCs w:val="24"/>
        </w:rPr>
        <w:t>34</w:t>
      </w:r>
      <w:r w:rsidR="005D15DB">
        <w:rPr>
          <w:rFonts w:ascii="Times New Roman" w:hAnsi="Times New Roman"/>
          <w:bCs/>
          <w:szCs w:val="24"/>
        </w:rPr>
        <w:t xml:space="preserve"> and $2</w:t>
      </w:r>
      <w:r w:rsidR="007A445C">
        <w:rPr>
          <w:rFonts w:ascii="Times New Roman" w:hAnsi="Times New Roman"/>
          <w:bCs/>
          <w:szCs w:val="24"/>
        </w:rPr>
        <w:t>4</w:t>
      </w:r>
      <w:r w:rsidR="005D15DB">
        <w:rPr>
          <w:rFonts w:ascii="Times New Roman" w:hAnsi="Times New Roman"/>
          <w:bCs/>
          <w:szCs w:val="24"/>
        </w:rPr>
        <w:t>.1</w:t>
      </w:r>
      <w:r w:rsidR="007A445C">
        <w:rPr>
          <w:rFonts w:ascii="Times New Roman" w:hAnsi="Times New Roman"/>
          <w:bCs/>
          <w:szCs w:val="24"/>
        </w:rPr>
        <w:t>2</w:t>
      </w:r>
      <w:r w:rsidR="005D15DB">
        <w:rPr>
          <w:rFonts w:ascii="Times New Roman" w:hAnsi="Times New Roman"/>
          <w:bCs/>
          <w:szCs w:val="24"/>
        </w:rPr>
        <w:t>.</w:t>
      </w:r>
      <w:r w:rsidR="00883038">
        <w:rPr>
          <w:rFonts w:ascii="Times New Roman" w:hAnsi="Times New Roman"/>
          <w:bCs/>
          <w:szCs w:val="24"/>
        </w:rPr>
        <w:t xml:space="preserve"> </w:t>
      </w:r>
    </w:p>
    <w:p w:rsidRPr="00F71C88" w:rsidR="00883038" w:rsidP="00F71C88" w:rsidRDefault="00883038" w14:paraId="21FFCBA5" w14:textId="396AFDA4">
      <w:pPr>
        <w:tabs>
          <w:tab w:val="left" w:pos="-720"/>
        </w:tabs>
        <w:suppressAutoHyphens/>
        <w:rPr>
          <w:rFonts w:ascii="Times New Roman" w:hAnsi="Times New Roman"/>
          <w:bCs/>
          <w:szCs w:val="24"/>
        </w:rPr>
      </w:pPr>
    </w:p>
    <w:p w:rsidRPr="00920F63" w:rsidR="00920F63" w:rsidP="00920F63" w:rsidRDefault="00920F63" w14:paraId="27EBA3FE" w14:textId="77777777">
      <w:pPr>
        <w:pStyle w:val="ListParagraph"/>
        <w:tabs>
          <w:tab w:val="left" w:pos="-720"/>
        </w:tabs>
        <w:suppressAutoHyphens/>
        <w:contextualSpacing w:val="0"/>
        <w:rPr>
          <w:rFonts w:ascii="Times New Roman" w:hAnsi="Times New Roman"/>
          <w:b/>
          <w:szCs w:val="24"/>
        </w:rPr>
      </w:pPr>
    </w:p>
    <w:p w:rsidRPr="00E413F5" w:rsidR="004D0C28" w:rsidP="00E413F5" w:rsidRDefault="00043C32" w14:paraId="1917343E" w14:textId="48075F63">
      <w:pPr>
        <w:pStyle w:val="ListParagraph"/>
        <w:numPr>
          <w:ilvl w:val="0"/>
          <w:numId w:val="5"/>
        </w:numPr>
        <w:tabs>
          <w:tab w:val="left" w:pos="-720"/>
        </w:tabs>
        <w:suppressAutoHyphens/>
        <w:ind w:hanging="547"/>
        <w:contextualSpacing w:val="0"/>
        <w:rPr>
          <w:rFonts w:ascii="Times New Roman" w:hAnsi="Times New Roman"/>
          <w:b/>
          <w:szCs w:val="24"/>
        </w:rPr>
      </w:pPr>
      <w:r w:rsidRPr="004D0C28">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5"/>
      </w:r>
      <w:r w:rsidRPr="004D0C28">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w:t>
      </w:r>
      <w:r w:rsidRPr="003C1DF3">
        <w:rPr>
          <w:rFonts w:ascii="Times New Roman" w:hAnsi="Times New Roman"/>
          <w:b/>
          <w:szCs w:val="24"/>
        </w:rPr>
        <w:t>about the confidential</w:t>
      </w:r>
      <w:r w:rsidRPr="003C1DF3" w:rsidR="00920F63">
        <w:rPr>
          <w:rFonts w:ascii="Times New Roman" w:hAnsi="Times New Roman"/>
          <w:b/>
          <w:szCs w:val="24"/>
        </w:rPr>
        <w:t>ity</w:t>
      </w:r>
      <w:r w:rsidRPr="003C1DF3">
        <w:rPr>
          <w:rFonts w:ascii="Times New Roman" w:hAnsi="Times New Roman"/>
          <w:b/>
          <w:szCs w:val="24"/>
        </w:rPr>
        <w:t xml:space="preserve"> of the data.</w:t>
      </w:r>
      <w:r w:rsidRPr="003C1DF3" w:rsidR="009767AF">
        <w:rPr>
          <w:rFonts w:ascii="Times New Roman" w:hAnsi="Times New Roman"/>
          <w:b/>
          <w:szCs w:val="24"/>
        </w:rPr>
        <w:t xml:space="preserve"> If no PII will be collected, state that no assurance of confidentiality is provided to respondents.</w:t>
      </w:r>
      <w:r w:rsidRPr="003C1DF3"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715786" w:rsidR="000077A5" w:rsidP="00715786" w:rsidRDefault="000077A5" w14:paraId="03F29ACA" w14:textId="0D28EB50">
      <w:pPr>
        <w:tabs>
          <w:tab w:val="left" w:pos="-720"/>
        </w:tabs>
        <w:suppressAutoHyphens/>
        <w:rPr>
          <w:rFonts w:ascii="Times New Roman" w:hAnsi="Times New Roman"/>
          <w:szCs w:val="24"/>
        </w:rPr>
      </w:pPr>
    </w:p>
    <w:p w:rsidRPr="0007783B" w:rsidR="000077A5" w:rsidP="004D0C28" w:rsidRDefault="00FA3322" w14:paraId="75D80AD1" w14:textId="5FBE1DD3">
      <w:pPr>
        <w:pStyle w:val="ListParagraph"/>
        <w:tabs>
          <w:tab w:val="left" w:pos="-720"/>
        </w:tabs>
        <w:suppressAutoHyphens/>
        <w:contextualSpacing w:val="0"/>
        <w:rPr>
          <w:rFonts w:ascii="Times New Roman" w:hAnsi="Times New Roman"/>
        </w:rPr>
      </w:pPr>
      <w:r w:rsidRPr="00FA3322">
        <w:rPr>
          <w:rFonts w:ascii="Times New Roman" w:hAnsi="Times New Roman"/>
        </w:rPr>
        <w:t>No PII will be collected. N</w:t>
      </w:r>
      <w:r w:rsidRPr="00FA3322" w:rsidR="000077A5">
        <w:rPr>
          <w:rFonts w:ascii="Times New Roman" w:hAnsi="Times New Roman"/>
        </w:rPr>
        <w:t>o assurances of confidentiality</w:t>
      </w:r>
      <w:r w:rsidRPr="00FA3322">
        <w:rPr>
          <w:rFonts w:ascii="Times New Roman" w:hAnsi="Times New Roman"/>
        </w:rPr>
        <w:t xml:space="preserve"> </w:t>
      </w:r>
      <w:r w:rsidR="002B3BE1">
        <w:rPr>
          <w:rFonts w:ascii="Times New Roman" w:hAnsi="Times New Roman"/>
        </w:rPr>
        <w:t>are</w:t>
      </w:r>
      <w:r w:rsidRPr="00FA3322" w:rsidR="002B3BE1">
        <w:rPr>
          <w:rFonts w:ascii="Times New Roman" w:hAnsi="Times New Roman"/>
        </w:rPr>
        <w:t xml:space="preserve"> </w:t>
      </w:r>
      <w:r w:rsidRPr="00FA3322">
        <w:rPr>
          <w:rFonts w:ascii="Times New Roman" w:hAnsi="Times New Roman"/>
        </w:rPr>
        <w:t xml:space="preserve">provided to respondents. </w:t>
      </w:r>
      <w:r w:rsidRPr="0007783B" w:rsidR="0007783B">
        <w:rPr>
          <w:rFonts w:ascii="Times New Roman" w:hAnsi="Times New Roman"/>
        </w:rPr>
        <w:t>Responses to this data collection will be used only for statistical purposes</w:t>
      </w:r>
      <w:r w:rsidR="0007783B">
        <w:rPr>
          <w:rFonts w:ascii="Times New Roman" w:hAnsi="Times New Roman"/>
        </w:rPr>
        <w:t xml:space="preserve"> and findings will be in aggregate </w:t>
      </w:r>
      <w:r w:rsidRPr="0007783B" w:rsidR="0007783B">
        <w:rPr>
          <w:rFonts w:ascii="Times New Roman" w:hAnsi="Times New Roman"/>
        </w:rPr>
        <w:t>so no individual schools will be identified.</w:t>
      </w:r>
    </w:p>
    <w:p w:rsidRPr="0007783B" w:rsidR="00920F63" w:rsidP="0057732D" w:rsidRDefault="00920F63" w14:paraId="5E81EC70" w14:textId="77777777">
      <w:pPr>
        <w:pStyle w:val="ListParagraph"/>
        <w:tabs>
          <w:tab w:val="left" w:pos="-720"/>
        </w:tabs>
        <w:suppressAutoHyphens/>
        <w:contextualSpacing w:val="0"/>
        <w:rPr>
          <w:rFonts w:ascii="Times New Roman" w:hAnsi="Times New Roman"/>
        </w:rPr>
      </w:pPr>
    </w:p>
    <w:p w:rsidR="00043C32" w:rsidP="00AD381B" w:rsidRDefault="00043C32" w14:paraId="39587275"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3322" w:rsidP="00126F8D" w:rsidRDefault="00FA3322" w14:paraId="256193E7" w14:textId="77777777">
      <w:pPr>
        <w:tabs>
          <w:tab w:val="left" w:pos="-720"/>
        </w:tabs>
        <w:suppressAutoHyphens/>
        <w:ind w:left="720"/>
        <w:rPr>
          <w:rFonts w:ascii="Times New Roman" w:hAnsi="Times New Roman"/>
          <w:bCs/>
          <w:szCs w:val="24"/>
        </w:rPr>
      </w:pPr>
    </w:p>
    <w:p w:rsidR="00665CE9" w:rsidP="008A4B7A" w:rsidRDefault="00665CE9" w14:paraId="39CDDE86" w14:textId="77777777">
      <w:pPr>
        <w:ind w:left="720"/>
        <w:outlineLvl w:val="0"/>
        <w:rPr>
          <w:rFonts w:ascii="Times New Roman" w:hAnsi="Times New Roman"/>
          <w:szCs w:val="24"/>
        </w:rPr>
      </w:pPr>
      <w:r>
        <w:rPr>
          <w:rFonts w:ascii="Times New Roman" w:hAnsi="Times New Roman"/>
          <w:szCs w:val="24"/>
        </w:rPr>
        <w:t xml:space="preserve">No questions in this information collection are of a sensitive nature. </w:t>
      </w:r>
    </w:p>
    <w:p w:rsidRPr="00920F63" w:rsidR="00920F63" w:rsidP="00920F63" w:rsidRDefault="00920F63" w14:paraId="58E376C9" w14:textId="77777777">
      <w:pPr>
        <w:tabs>
          <w:tab w:val="left" w:pos="-720"/>
        </w:tabs>
        <w:suppressAutoHyphens/>
        <w:ind w:left="180"/>
        <w:rPr>
          <w:rFonts w:ascii="Times New Roman" w:hAnsi="Times New Roman"/>
          <w:szCs w:val="24"/>
        </w:rPr>
      </w:pPr>
    </w:p>
    <w:p w:rsidRPr="00920F63" w:rsidR="00043C32" w:rsidP="00AD381B" w:rsidRDefault="00043C32" w14:paraId="2950E22D"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1F019411" w14:textId="77777777">
      <w:pPr>
        <w:tabs>
          <w:tab w:val="left" w:pos="-720"/>
        </w:tabs>
        <w:suppressAutoHyphens/>
        <w:rPr>
          <w:rStyle w:val="a"/>
          <w:rFonts w:ascii="Times New Roman" w:hAnsi="Times New Roman"/>
          <w:b/>
          <w:szCs w:val="24"/>
        </w:rPr>
      </w:pPr>
    </w:p>
    <w:p w:rsidRPr="002D49C1" w:rsidR="00F96215" w:rsidP="002D49C1" w:rsidRDefault="00C224FD" w14:paraId="3B4CDB89" w14:textId="556EE0F8">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7F50C0" w:rsidR="007F50C0" w:rsidP="007F50C0" w:rsidRDefault="00F5782B" w14:paraId="19C70C29" w14:textId="4D990BEA">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lastRenderedPageBreak/>
        <w:t>Please do not include increases in burden and respondents numerically in this table. Explain these changes in number 15.</w:t>
      </w:r>
    </w:p>
    <w:p w:rsidRPr="002D49C1" w:rsidR="007F50C0" w:rsidP="002D49C1" w:rsidRDefault="00043C32" w14:paraId="2285BB6A" w14:textId="7003001D">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2D49C1" w:rsidR="007F50C0" w:rsidP="002D49C1" w:rsidRDefault="00043C32" w14:paraId="114B007C" w14:textId="71882030">
      <w:pPr>
        <w:numPr>
          <w:ilvl w:val="0"/>
          <w:numId w:val="2"/>
        </w:numPr>
        <w:tabs>
          <w:tab w:val="left" w:pos="-720"/>
          <w:tab w:val="left" w:pos="1247"/>
        </w:tabs>
        <w:suppressAutoHyphens/>
        <w:rPr>
          <w:rStyle w:val="a"/>
          <w:rFonts w:ascii="Times New Roman" w:hAnsi="Times New Roman"/>
          <w:b/>
          <w:szCs w:val="24"/>
        </w:rPr>
      </w:pPr>
      <w:r w:rsidRPr="003E4DC5">
        <w:rPr>
          <w:rStyle w:val="a"/>
          <w:rFonts w:ascii="Times New Roman" w:hAnsi="Times New Roman"/>
          <w:b/>
          <w:szCs w:val="24"/>
        </w:rPr>
        <w:t xml:space="preserve">If this request for approval covers more than one form, provide separate hour burden estimates for each form and aggregate the hour burden in the </w:t>
      </w:r>
      <w:r w:rsidRPr="003E4DC5" w:rsidR="00C224FD">
        <w:rPr>
          <w:rStyle w:val="a"/>
          <w:rFonts w:ascii="Times New Roman" w:hAnsi="Times New Roman"/>
          <w:b/>
          <w:szCs w:val="24"/>
        </w:rPr>
        <w:t>table below.</w:t>
      </w:r>
    </w:p>
    <w:p w:rsidR="006D23BF" w:rsidP="006D23BF" w:rsidRDefault="00043C32" w14:paraId="40BCC274"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Pr="006D23BF" w:rsidR="00946126" w:rsidP="006D23BF" w:rsidRDefault="00946126" w14:paraId="54731054" w14:textId="36B10941">
      <w:pPr>
        <w:numPr>
          <w:ilvl w:val="0"/>
          <w:numId w:val="2"/>
        </w:numPr>
        <w:tabs>
          <w:tab w:val="left" w:pos="-720"/>
          <w:tab w:val="left" w:pos="1247"/>
        </w:tabs>
        <w:suppressAutoHyphens/>
        <w:rPr>
          <w:rStyle w:val="a"/>
          <w:rFonts w:ascii="Times New Roman" w:hAnsi="Times New Roman"/>
          <w:b/>
          <w:bCs/>
        </w:rPr>
      </w:pPr>
      <w:r w:rsidRPr="006D23BF">
        <w:rPr>
          <w:rStyle w:val="a"/>
          <w:rFonts w:ascii="Times New Roman" w:hAnsi="Times New Roman"/>
          <w:b/>
          <w:bCs/>
          <w:szCs w:val="24"/>
        </w:rPr>
        <w:t xml:space="preserve">Provide a descriptive narrative here in addition to completing the table </w:t>
      </w:r>
      <w:r w:rsidRPr="006D23BF" w:rsidR="00952DF9">
        <w:rPr>
          <w:rStyle w:val="a"/>
          <w:rFonts w:ascii="Times New Roman" w:hAnsi="Times New Roman"/>
          <w:b/>
          <w:bCs/>
          <w:szCs w:val="24"/>
        </w:rPr>
        <w:t xml:space="preserve">below </w:t>
      </w:r>
      <w:r w:rsidRPr="006D23BF">
        <w:rPr>
          <w:rStyle w:val="a"/>
          <w:rFonts w:ascii="Times New Roman" w:hAnsi="Times New Roman"/>
          <w:b/>
          <w:bCs/>
          <w:szCs w:val="24"/>
        </w:rPr>
        <w:t xml:space="preserve">with burden hour </w:t>
      </w:r>
      <w:r w:rsidRPr="006D23BF" w:rsidR="00952DF9">
        <w:rPr>
          <w:rStyle w:val="a"/>
          <w:rFonts w:ascii="Times New Roman" w:hAnsi="Times New Roman"/>
          <w:b/>
          <w:bCs/>
          <w:szCs w:val="24"/>
        </w:rPr>
        <w:t>estimates.</w:t>
      </w:r>
    </w:p>
    <w:p w:rsidRPr="00B5160A" w:rsidR="00B5160A" w:rsidP="00946126" w:rsidRDefault="00B5160A" w14:paraId="53254D26" w14:textId="77777777">
      <w:pPr>
        <w:pStyle w:val="ListParagraph"/>
        <w:tabs>
          <w:tab w:val="left" w:pos="-720"/>
        </w:tabs>
        <w:suppressAutoHyphens/>
        <w:contextualSpacing w:val="0"/>
        <w:rPr>
          <w:rFonts w:ascii="Times New Roman" w:hAnsi="Times New Roman"/>
          <w:bCs/>
          <w:szCs w:val="24"/>
        </w:rPr>
      </w:pPr>
    </w:p>
    <w:p w:rsidR="006D23BF" w:rsidP="00B5160A" w:rsidRDefault="006D23BF" w14:paraId="5A71470D" w14:textId="77777777">
      <w:pPr>
        <w:tabs>
          <w:tab w:val="left" w:pos="-720"/>
          <w:tab w:val="left" w:pos="1247"/>
        </w:tabs>
        <w:suppressAutoHyphens/>
        <w:ind w:left="720"/>
        <w:rPr>
          <w:rFonts w:ascii="Times New Roman" w:hAnsi="Times New Roman"/>
          <w:bCs/>
          <w:szCs w:val="24"/>
        </w:rPr>
      </w:pPr>
      <w:r>
        <w:rPr>
          <w:rFonts w:ascii="Times New Roman" w:hAnsi="Times New Roman"/>
          <w:bCs/>
          <w:szCs w:val="24"/>
        </w:rPr>
        <w:t xml:space="preserve">This national survey </w:t>
      </w:r>
      <w:r w:rsidRPr="00B5160A" w:rsidR="001109D6">
        <w:rPr>
          <w:rFonts w:ascii="Times New Roman" w:hAnsi="Times New Roman"/>
          <w:bCs/>
          <w:szCs w:val="24"/>
        </w:rPr>
        <w:t xml:space="preserve">will </w:t>
      </w:r>
      <w:r>
        <w:rPr>
          <w:rFonts w:ascii="Times New Roman" w:hAnsi="Times New Roman"/>
          <w:bCs/>
          <w:szCs w:val="24"/>
        </w:rPr>
        <w:t>collect data from</w:t>
      </w:r>
      <w:r w:rsidRPr="00B5160A" w:rsidR="001109D6">
        <w:rPr>
          <w:rFonts w:ascii="Times New Roman" w:hAnsi="Times New Roman"/>
          <w:bCs/>
          <w:szCs w:val="24"/>
        </w:rPr>
        <w:t xml:space="preserve"> one type of respondent – charter school leaders. Charter schools are public schools that can be non-profit or for-profit. The sample of charter schools is 8</w:t>
      </w:r>
      <w:r>
        <w:rPr>
          <w:rFonts w:ascii="Times New Roman" w:hAnsi="Times New Roman"/>
          <w:bCs/>
          <w:szCs w:val="24"/>
        </w:rPr>
        <w:t>75</w:t>
      </w:r>
      <w:r w:rsidRPr="00B5160A" w:rsidR="001109D6">
        <w:rPr>
          <w:rFonts w:ascii="Times New Roman" w:hAnsi="Times New Roman"/>
          <w:bCs/>
          <w:szCs w:val="24"/>
        </w:rPr>
        <w:t xml:space="preserve"> schools assuming a response rate of 8</w:t>
      </w:r>
      <w:r>
        <w:rPr>
          <w:rFonts w:ascii="Times New Roman" w:hAnsi="Times New Roman"/>
          <w:bCs/>
          <w:szCs w:val="24"/>
        </w:rPr>
        <w:t>0</w:t>
      </w:r>
      <w:r w:rsidRPr="00B5160A" w:rsidR="001109D6">
        <w:rPr>
          <w:rFonts w:ascii="Times New Roman" w:hAnsi="Times New Roman"/>
          <w:bCs/>
          <w:szCs w:val="24"/>
        </w:rPr>
        <w:t>% to result in a target of 700 respondents</w:t>
      </w:r>
      <w:r>
        <w:rPr>
          <w:rFonts w:ascii="Times New Roman" w:hAnsi="Times New Roman"/>
          <w:bCs/>
          <w:szCs w:val="24"/>
        </w:rPr>
        <w:t xml:space="preserve">, i.e., </w:t>
      </w:r>
      <w:r w:rsidRPr="00B5160A" w:rsidR="001109D6">
        <w:rPr>
          <w:rFonts w:ascii="Times New Roman" w:hAnsi="Times New Roman"/>
          <w:bCs/>
          <w:szCs w:val="24"/>
        </w:rPr>
        <w:t xml:space="preserve">700 responses. </w:t>
      </w:r>
    </w:p>
    <w:p w:rsidR="006D23BF" w:rsidP="00B5160A" w:rsidRDefault="006D23BF" w14:paraId="437BCF11" w14:textId="77777777">
      <w:pPr>
        <w:tabs>
          <w:tab w:val="left" w:pos="-720"/>
          <w:tab w:val="left" w:pos="1247"/>
        </w:tabs>
        <w:suppressAutoHyphens/>
        <w:ind w:left="720"/>
        <w:rPr>
          <w:rFonts w:ascii="Times New Roman" w:hAnsi="Times New Roman"/>
          <w:bCs/>
          <w:szCs w:val="24"/>
        </w:rPr>
      </w:pPr>
    </w:p>
    <w:p w:rsidR="006D23BF" w:rsidP="00B5160A" w:rsidRDefault="006D23BF" w14:paraId="106884DD" w14:textId="24D79C70">
      <w:pPr>
        <w:tabs>
          <w:tab w:val="left" w:pos="-720"/>
          <w:tab w:val="left" w:pos="1247"/>
        </w:tabs>
        <w:suppressAutoHyphens/>
        <w:ind w:left="720"/>
        <w:rPr>
          <w:rStyle w:val="a"/>
          <w:rFonts w:ascii="Times New Roman" w:hAnsi="Times New Roman"/>
          <w:bCs/>
          <w:szCs w:val="24"/>
        </w:rPr>
      </w:pPr>
      <w:r>
        <w:rPr>
          <w:rStyle w:val="a"/>
          <w:rFonts w:ascii="Times New Roman" w:hAnsi="Times New Roman"/>
          <w:bCs/>
          <w:szCs w:val="24"/>
        </w:rPr>
        <w:t xml:space="preserve">We estimate that it would take approximately 34 minutes for respondents to complete the survey. </w:t>
      </w:r>
      <w:r w:rsidR="00B3050D">
        <w:rPr>
          <w:rStyle w:val="a"/>
          <w:rFonts w:ascii="Times New Roman" w:hAnsi="Times New Roman"/>
          <w:bCs/>
          <w:szCs w:val="24"/>
        </w:rPr>
        <w:t>The b</w:t>
      </w:r>
      <w:r w:rsidRPr="00B5160A" w:rsidR="00B3050D">
        <w:rPr>
          <w:rStyle w:val="a"/>
          <w:rFonts w:ascii="Times New Roman" w:hAnsi="Times New Roman"/>
          <w:bCs/>
          <w:szCs w:val="24"/>
        </w:rPr>
        <w:t xml:space="preserve">urden </w:t>
      </w:r>
      <w:r w:rsidRPr="00B5160A" w:rsidR="00B5160A">
        <w:rPr>
          <w:rStyle w:val="a"/>
          <w:rFonts w:ascii="Times New Roman" w:hAnsi="Times New Roman"/>
          <w:bCs/>
          <w:szCs w:val="24"/>
        </w:rPr>
        <w:t xml:space="preserve">was estimated using Survey Monkey tracking and exit interviews during a pilot test of the survey instrument with five schools. Survey Monkey reported that </w:t>
      </w:r>
      <w:r w:rsidR="00B3050D">
        <w:rPr>
          <w:rStyle w:val="a"/>
          <w:rFonts w:ascii="Times New Roman" w:hAnsi="Times New Roman"/>
          <w:bCs/>
          <w:szCs w:val="24"/>
        </w:rPr>
        <w:t xml:space="preserve">the </w:t>
      </w:r>
      <w:r w:rsidRPr="00B5160A" w:rsidR="00B5160A">
        <w:rPr>
          <w:rStyle w:val="a"/>
          <w:rFonts w:ascii="Times New Roman" w:hAnsi="Times New Roman"/>
          <w:bCs/>
          <w:szCs w:val="24"/>
        </w:rPr>
        <w:t xml:space="preserve">typical time spent on the survey was 31 minutes. This number estimates the amount of time participants </w:t>
      </w:r>
      <w:r w:rsidR="0036338C">
        <w:rPr>
          <w:rStyle w:val="a"/>
          <w:rFonts w:ascii="Times New Roman" w:hAnsi="Times New Roman"/>
          <w:bCs/>
          <w:szCs w:val="24"/>
        </w:rPr>
        <w:t xml:space="preserve">took in </w:t>
      </w:r>
      <w:r>
        <w:rPr>
          <w:rStyle w:val="a"/>
          <w:rFonts w:ascii="Times New Roman" w:hAnsi="Times New Roman"/>
          <w:bCs/>
          <w:szCs w:val="24"/>
        </w:rPr>
        <w:t>opening</w:t>
      </w:r>
      <w:r w:rsidRPr="00B5160A" w:rsidR="00B5160A">
        <w:rPr>
          <w:rStyle w:val="a"/>
          <w:rFonts w:ascii="Times New Roman" w:hAnsi="Times New Roman"/>
          <w:bCs/>
          <w:szCs w:val="24"/>
        </w:rPr>
        <w:t xml:space="preserve"> the survey, retrieving information, and reporting information in the survey. In exit interviews, participants self</w:t>
      </w:r>
      <w:r w:rsidR="002B3BE1">
        <w:rPr>
          <w:rStyle w:val="a"/>
          <w:rFonts w:ascii="Times New Roman" w:hAnsi="Times New Roman"/>
          <w:bCs/>
          <w:szCs w:val="24"/>
        </w:rPr>
        <w:t>-</w:t>
      </w:r>
      <w:r w:rsidRPr="00B5160A" w:rsidR="00B5160A">
        <w:rPr>
          <w:rStyle w:val="a"/>
          <w:rFonts w:ascii="Times New Roman" w:hAnsi="Times New Roman"/>
          <w:bCs/>
          <w:szCs w:val="24"/>
        </w:rPr>
        <w:t xml:space="preserve">reported completing the survey (including information retrieval and data reporting) in an average of 36 minutes. The average of these two numbers is around 34 minutes, which is what is used to estimate </w:t>
      </w:r>
      <w:r w:rsidR="00B3050D">
        <w:rPr>
          <w:rStyle w:val="a"/>
          <w:rFonts w:ascii="Times New Roman" w:hAnsi="Times New Roman"/>
          <w:bCs/>
          <w:szCs w:val="24"/>
        </w:rPr>
        <w:t xml:space="preserve">the </w:t>
      </w:r>
      <w:r w:rsidRPr="00B5160A" w:rsidR="00B5160A">
        <w:rPr>
          <w:rStyle w:val="a"/>
          <w:rFonts w:ascii="Times New Roman" w:hAnsi="Times New Roman"/>
          <w:bCs/>
          <w:szCs w:val="24"/>
        </w:rPr>
        <w:t>burden.</w:t>
      </w:r>
      <w:r w:rsidR="00B5160A">
        <w:rPr>
          <w:rStyle w:val="a"/>
          <w:rFonts w:ascii="Times New Roman" w:hAnsi="Times New Roman"/>
          <w:bCs/>
          <w:szCs w:val="24"/>
        </w:rPr>
        <w:t xml:space="preserve"> </w:t>
      </w:r>
    </w:p>
    <w:p w:rsidR="006D23BF" w:rsidP="00B5160A" w:rsidRDefault="006D23BF" w14:paraId="518EE209" w14:textId="77777777">
      <w:pPr>
        <w:tabs>
          <w:tab w:val="left" w:pos="-720"/>
          <w:tab w:val="left" w:pos="1247"/>
        </w:tabs>
        <w:suppressAutoHyphens/>
        <w:ind w:left="720"/>
        <w:rPr>
          <w:rStyle w:val="a"/>
          <w:rFonts w:ascii="Times New Roman" w:hAnsi="Times New Roman"/>
          <w:bCs/>
          <w:szCs w:val="24"/>
        </w:rPr>
      </w:pPr>
    </w:p>
    <w:p w:rsidRPr="00B5160A" w:rsidR="001109D6" w:rsidP="00B5160A" w:rsidRDefault="00B5160A" w14:paraId="47E4D103" w14:textId="1338DEBB">
      <w:pPr>
        <w:tabs>
          <w:tab w:val="left" w:pos="-720"/>
          <w:tab w:val="left" w:pos="1247"/>
        </w:tabs>
        <w:suppressAutoHyphens/>
        <w:ind w:left="720"/>
        <w:rPr>
          <w:rFonts w:ascii="Times New Roman" w:hAnsi="Times New Roman"/>
          <w:bCs/>
          <w:szCs w:val="24"/>
        </w:rPr>
      </w:pPr>
      <w:r>
        <w:rPr>
          <w:rStyle w:val="a"/>
          <w:rFonts w:ascii="Times New Roman" w:hAnsi="Times New Roman"/>
          <w:bCs/>
          <w:szCs w:val="24"/>
        </w:rPr>
        <w:t>With t</w:t>
      </w:r>
      <w:r w:rsidRPr="00B5160A" w:rsidR="001109D6">
        <w:rPr>
          <w:rFonts w:ascii="Times New Roman" w:hAnsi="Times New Roman"/>
          <w:bCs/>
          <w:szCs w:val="24"/>
        </w:rPr>
        <w:t>he average burden hours per response estimated at 34 minutes</w:t>
      </w:r>
      <w:r>
        <w:rPr>
          <w:rFonts w:ascii="Times New Roman" w:hAnsi="Times New Roman"/>
          <w:bCs/>
          <w:szCs w:val="24"/>
        </w:rPr>
        <w:t>,</w:t>
      </w:r>
      <w:r w:rsidR="00B3050D">
        <w:rPr>
          <w:rFonts w:ascii="Times New Roman" w:hAnsi="Times New Roman"/>
          <w:bCs/>
          <w:szCs w:val="24"/>
        </w:rPr>
        <w:t xml:space="preserve"> the </w:t>
      </w:r>
      <w:r w:rsidRPr="00B5160A" w:rsidR="001109D6">
        <w:rPr>
          <w:rFonts w:ascii="Times New Roman" w:hAnsi="Times New Roman"/>
          <w:bCs/>
          <w:szCs w:val="24"/>
        </w:rPr>
        <w:t xml:space="preserve">total annual burden hours were estimated at </w:t>
      </w:r>
      <w:r w:rsidR="005D2ECD">
        <w:rPr>
          <w:rFonts w:ascii="Times New Roman" w:hAnsi="Times New Roman"/>
          <w:bCs/>
          <w:szCs w:val="24"/>
        </w:rPr>
        <w:t>39</w:t>
      </w:r>
      <w:r w:rsidR="006D23BF">
        <w:rPr>
          <w:rFonts w:ascii="Times New Roman" w:hAnsi="Times New Roman"/>
          <w:bCs/>
          <w:szCs w:val="24"/>
        </w:rPr>
        <w:t>7</w:t>
      </w:r>
      <w:r w:rsidRPr="00B5160A" w:rsidR="001109D6">
        <w:rPr>
          <w:rFonts w:ascii="Times New Roman" w:hAnsi="Times New Roman"/>
          <w:bCs/>
          <w:szCs w:val="24"/>
        </w:rPr>
        <w:t xml:space="preserve"> hours by multiplying the average burden hours per response by </w:t>
      </w:r>
      <w:r w:rsidR="002B3BE1">
        <w:rPr>
          <w:rFonts w:ascii="Times New Roman" w:hAnsi="Times New Roman"/>
          <w:bCs/>
          <w:szCs w:val="24"/>
        </w:rPr>
        <w:t xml:space="preserve">the </w:t>
      </w:r>
      <w:r w:rsidRPr="00B5160A" w:rsidR="001109D6">
        <w:rPr>
          <w:rFonts w:ascii="Times New Roman" w:hAnsi="Times New Roman"/>
          <w:bCs/>
          <w:szCs w:val="24"/>
        </w:rPr>
        <w:t>estimated number of responses. The estimated respondent average hourly wage was estimated by calculating the hourly wage for occupation number 11-9032 Education Administrators, Kindergarten through Secondary based on the mean annual wage for May 2019.</w:t>
      </w:r>
      <w:r w:rsidRPr="00B5160A" w:rsidR="001109D6">
        <w:rPr>
          <w:rStyle w:val="FootnoteReference"/>
          <w:rFonts w:ascii="Times New Roman" w:hAnsi="Times New Roman"/>
          <w:bCs/>
          <w:szCs w:val="24"/>
        </w:rPr>
        <w:footnoteReference w:id="6"/>
      </w:r>
      <w:r w:rsidRPr="00B5160A" w:rsidR="00571085">
        <w:rPr>
          <w:rFonts w:ascii="Times New Roman" w:hAnsi="Times New Roman"/>
          <w:bCs/>
          <w:szCs w:val="24"/>
        </w:rPr>
        <w:t xml:space="preserve"> The estimated total annual burden hours and estimated respondent </w:t>
      </w:r>
      <w:r w:rsidRPr="00B5160A" w:rsidR="00571085">
        <w:rPr>
          <w:rFonts w:ascii="Times New Roman" w:hAnsi="Times New Roman"/>
          <w:bCs/>
          <w:szCs w:val="24"/>
        </w:rPr>
        <w:lastRenderedPageBreak/>
        <w:t>hourly wage were multiplied to estimate the total annual costs, wh</w:t>
      </w:r>
      <w:r w:rsidR="006D23BF">
        <w:rPr>
          <w:rFonts w:ascii="Times New Roman" w:hAnsi="Times New Roman"/>
          <w:bCs/>
          <w:szCs w:val="24"/>
        </w:rPr>
        <w:t>ich</w:t>
      </w:r>
      <w:r w:rsidRPr="00B5160A" w:rsidR="00571085">
        <w:rPr>
          <w:rFonts w:ascii="Times New Roman" w:hAnsi="Times New Roman"/>
          <w:bCs/>
          <w:szCs w:val="24"/>
        </w:rPr>
        <w:t xml:space="preserve"> were calculated at $1</w:t>
      </w:r>
      <w:r w:rsidR="005D2ECD">
        <w:rPr>
          <w:rFonts w:ascii="Times New Roman" w:hAnsi="Times New Roman"/>
          <w:bCs/>
          <w:szCs w:val="24"/>
        </w:rPr>
        <w:t>9</w:t>
      </w:r>
      <w:r w:rsidRPr="00B5160A" w:rsidR="00571085">
        <w:rPr>
          <w:rFonts w:ascii="Times New Roman" w:hAnsi="Times New Roman"/>
          <w:bCs/>
          <w:szCs w:val="24"/>
        </w:rPr>
        <w:t>,</w:t>
      </w:r>
      <w:r w:rsidR="005D2ECD">
        <w:rPr>
          <w:rFonts w:ascii="Times New Roman" w:hAnsi="Times New Roman"/>
          <w:bCs/>
          <w:szCs w:val="24"/>
        </w:rPr>
        <w:t>139</w:t>
      </w:r>
      <w:r>
        <w:rPr>
          <w:rFonts w:ascii="Times New Roman" w:hAnsi="Times New Roman"/>
          <w:bCs/>
          <w:szCs w:val="24"/>
        </w:rPr>
        <w:t xml:space="preserve"> across participants</w:t>
      </w:r>
      <w:r w:rsidRPr="00B5160A" w:rsidR="00571085">
        <w:rPr>
          <w:rFonts w:ascii="Times New Roman" w:hAnsi="Times New Roman"/>
          <w:bCs/>
          <w:szCs w:val="24"/>
        </w:rPr>
        <w:t>.</w:t>
      </w:r>
    </w:p>
    <w:p w:rsidR="00920F63" w:rsidP="00920F63" w:rsidRDefault="00920F63" w14:paraId="5D4659C1"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6EEE28E3"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4714" w:type="pct"/>
        <w:tblLayout w:type="fixed"/>
        <w:tblLook w:val="0020" w:firstRow="1" w:lastRow="0" w:firstColumn="0" w:lastColumn="0" w:noHBand="0" w:noVBand="0"/>
      </w:tblPr>
      <w:tblGrid>
        <w:gridCol w:w="1796"/>
        <w:gridCol w:w="814"/>
        <w:gridCol w:w="988"/>
        <w:gridCol w:w="630"/>
        <w:gridCol w:w="720"/>
        <w:gridCol w:w="719"/>
        <w:gridCol w:w="899"/>
        <w:gridCol w:w="899"/>
        <w:gridCol w:w="1350"/>
      </w:tblGrid>
      <w:tr w:rsidRPr="00BA24AD" w:rsidR="00464038" w:rsidTr="5DC0A6C3" w14:paraId="02882791" w14:textId="77777777">
        <w:trPr>
          <w:cantSplit/>
          <w:trHeight w:val="2518"/>
          <w:tblHeader/>
        </w:trPr>
        <w:tc>
          <w:tcPr>
            <w:tcW w:w="1018" w:type="pct"/>
            <w:textDirection w:val="btLr"/>
          </w:tcPr>
          <w:p w:rsidRPr="00BA24AD" w:rsidR="00C86713" w:rsidP="00BA24AD" w:rsidRDefault="00C86713" w14:paraId="37E2CA1E" w14:textId="77777777">
            <w:pPr>
              <w:ind w:left="113" w:right="113"/>
              <w:rPr>
                <w:rFonts w:ascii="Times New Roman" w:hAnsi="Times New Roman"/>
                <w:i/>
                <w:iCs/>
                <w:sz w:val="20"/>
              </w:rPr>
            </w:pPr>
          </w:p>
          <w:p w:rsidRPr="00BA24AD" w:rsidR="00C86713" w:rsidP="00BA24AD" w:rsidRDefault="00C86713" w14:paraId="1270A815" w14:textId="77777777">
            <w:pPr>
              <w:ind w:left="113" w:right="113"/>
              <w:jc w:val="center"/>
              <w:rPr>
                <w:rFonts w:ascii="Times New Roman" w:hAnsi="Times New Roman"/>
                <w:i/>
                <w:iCs/>
                <w:sz w:val="20"/>
              </w:rPr>
            </w:pPr>
            <w:r w:rsidRPr="00BA24AD">
              <w:rPr>
                <w:rFonts w:ascii="Times New Roman" w:hAnsi="Times New Roman"/>
                <w:i/>
                <w:iCs/>
                <w:sz w:val="20"/>
              </w:rPr>
              <w:t>Information Activity or IC (with type of respondent)</w:t>
            </w:r>
          </w:p>
        </w:tc>
        <w:tc>
          <w:tcPr>
            <w:tcW w:w="461" w:type="pct"/>
            <w:textDirection w:val="btLr"/>
          </w:tcPr>
          <w:p w:rsidRPr="00BA24AD" w:rsidR="00C86713" w:rsidP="5DC0A6C3" w:rsidRDefault="12F51C3D" w14:paraId="54D186CD" w14:textId="77777777">
            <w:pPr>
              <w:ind w:left="113" w:right="113"/>
              <w:jc w:val="center"/>
              <w:rPr>
                <w:rFonts w:ascii="Times New Roman" w:hAnsi="Times New Roman"/>
                <w:i/>
                <w:iCs/>
                <w:sz w:val="20"/>
              </w:rPr>
            </w:pPr>
            <w:r w:rsidRPr="5DC0A6C3">
              <w:rPr>
                <w:rFonts w:ascii="Times New Roman" w:hAnsi="Times New Roman"/>
                <w:i/>
                <w:iCs/>
                <w:sz w:val="20"/>
              </w:rPr>
              <w:t xml:space="preserve">Sample Size </w:t>
            </w:r>
            <w:r w:rsidRPr="00F71C88">
              <w:rPr>
                <w:rFonts w:ascii="Times New Roman" w:hAnsi="Times New Roman"/>
                <w:sz w:val="20"/>
                <w:shd w:val="clear" w:color="auto" w:fill="D9D9D9" w:themeFill="background1" w:themeFillShade="D9"/>
              </w:rPr>
              <w:t xml:space="preserve">(if </w:t>
            </w:r>
            <w:r w:rsidRPr="5DC0A6C3">
              <w:rPr>
                <w:rFonts w:ascii="Times New Roman" w:hAnsi="Times New Roman"/>
                <w:i/>
                <w:iCs/>
                <w:sz w:val="20"/>
                <w:shd w:val="clear" w:color="auto" w:fill="D9D9D9" w:themeFill="background1" w:themeFillShade="D9"/>
              </w:rPr>
              <w:t>applicable)</w:t>
            </w:r>
          </w:p>
        </w:tc>
        <w:tc>
          <w:tcPr>
            <w:tcW w:w="560" w:type="pct"/>
            <w:textDirection w:val="btLr"/>
          </w:tcPr>
          <w:p w:rsidRPr="00BA24AD" w:rsidR="00C86713" w:rsidP="5DC0A6C3" w:rsidRDefault="12F51C3D" w14:paraId="7990EE3D" w14:textId="77777777">
            <w:pPr>
              <w:shd w:val="clear" w:color="auto" w:fill="F2F2F2" w:themeFill="background1" w:themeFillShade="F2"/>
              <w:ind w:left="113" w:right="113"/>
              <w:rPr>
                <w:rFonts w:ascii="Times New Roman" w:hAnsi="Times New Roman"/>
                <w:i/>
                <w:iCs/>
                <w:sz w:val="20"/>
              </w:rPr>
            </w:pPr>
            <w:r w:rsidRPr="00F71C88">
              <w:rPr>
                <w:rFonts w:ascii="Times New Roman" w:hAnsi="Times New Roman"/>
                <w:sz w:val="20"/>
                <w:shd w:val="clear" w:color="auto" w:fill="F2F2F2" w:themeFill="background1" w:themeFillShade="F2"/>
              </w:rPr>
              <w:t>Respondent Response R</w:t>
            </w:r>
            <w:r w:rsidRPr="5DC0A6C3">
              <w:rPr>
                <w:rFonts w:ascii="Times New Roman" w:hAnsi="Times New Roman"/>
                <w:i/>
                <w:iCs/>
                <w:sz w:val="20"/>
                <w:shd w:val="clear" w:color="auto" w:fill="F2F2F2" w:themeFill="background1" w:themeFillShade="F2"/>
              </w:rPr>
              <w:t xml:space="preserve">ate </w:t>
            </w:r>
            <w:r w:rsidRPr="5DC0A6C3">
              <w:rPr>
                <w:rFonts w:ascii="Times New Roman" w:hAnsi="Times New Roman"/>
                <w:i/>
                <w:iCs/>
                <w:sz w:val="20"/>
                <w:shd w:val="clear" w:color="auto" w:fill="D9D9D9" w:themeFill="background1" w:themeFillShade="D9"/>
              </w:rPr>
              <w:t>(if applicable)</w:t>
            </w:r>
          </w:p>
        </w:tc>
        <w:tc>
          <w:tcPr>
            <w:tcW w:w="357" w:type="pct"/>
            <w:textDirection w:val="btLr"/>
          </w:tcPr>
          <w:p w:rsidRPr="00BA24AD" w:rsidR="00C86713" w:rsidP="00BA24AD" w:rsidRDefault="00C86713" w14:paraId="4810A00F" w14:textId="77777777">
            <w:pPr>
              <w:ind w:left="113" w:right="113"/>
              <w:jc w:val="center"/>
              <w:rPr>
                <w:rFonts w:ascii="Times New Roman" w:hAnsi="Times New Roman"/>
                <w:i/>
                <w:iCs/>
                <w:sz w:val="20"/>
              </w:rPr>
            </w:pPr>
            <w:r w:rsidRPr="00BA24AD">
              <w:rPr>
                <w:rFonts w:ascii="Times New Roman" w:hAnsi="Times New Roman"/>
                <w:i/>
                <w:iCs/>
                <w:sz w:val="20"/>
              </w:rPr>
              <w:t>Number of Respondents</w:t>
            </w:r>
          </w:p>
        </w:tc>
        <w:tc>
          <w:tcPr>
            <w:tcW w:w="408" w:type="pct"/>
            <w:textDirection w:val="btLr"/>
          </w:tcPr>
          <w:p w:rsidRPr="00BA24AD" w:rsidR="00C86713" w:rsidP="00BA24AD" w:rsidRDefault="00C86713" w14:paraId="6621B874" w14:textId="006D96EF">
            <w:pPr>
              <w:ind w:left="113" w:right="113"/>
              <w:rPr>
                <w:rFonts w:ascii="Times New Roman" w:hAnsi="Times New Roman"/>
                <w:i/>
                <w:iCs/>
                <w:sz w:val="20"/>
              </w:rPr>
            </w:pPr>
          </w:p>
          <w:p w:rsidRPr="00BA24AD" w:rsidR="00C86713" w:rsidP="00BA24AD" w:rsidRDefault="00C86713" w14:paraId="36AE20B8" w14:textId="563BBF9A">
            <w:pPr>
              <w:ind w:left="113" w:right="113"/>
              <w:rPr>
                <w:rFonts w:ascii="Times New Roman" w:hAnsi="Times New Roman"/>
                <w:i/>
                <w:iCs/>
                <w:sz w:val="20"/>
              </w:rPr>
            </w:pPr>
            <w:r w:rsidRPr="00BA24AD">
              <w:rPr>
                <w:rFonts w:ascii="Times New Roman" w:hAnsi="Times New Roman"/>
                <w:i/>
                <w:iCs/>
                <w:sz w:val="20"/>
              </w:rPr>
              <w:t>Number of Responses</w:t>
            </w:r>
          </w:p>
        </w:tc>
        <w:tc>
          <w:tcPr>
            <w:tcW w:w="408" w:type="pct"/>
            <w:textDirection w:val="btLr"/>
          </w:tcPr>
          <w:p w:rsidRPr="00BA24AD" w:rsidR="00C86713" w:rsidP="00BA24AD" w:rsidRDefault="00C86713" w14:paraId="5349DD5C" w14:textId="77777777">
            <w:pPr>
              <w:ind w:left="113" w:right="113"/>
              <w:jc w:val="center"/>
              <w:rPr>
                <w:rFonts w:ascii="Times New Roman" w:hAnsi="Times New Roman"/>
                <w:i/>
                <w:iCs/>
                <w:sz w:val="20"/>
              </w:rPr>
            </w:pPr>
            <w:r w:rsidRPr="00BA24AD">
              <w:rPr>
                <w:rFonts w:ascii="Times New Roman" w:hAnsi="Times New Roman"/>
                <w:i/>
                <w:iCs/>
                <w:sz w:val="20"/>
              </w:rPr>
              <w:t>Average Burden Hours per Response</w:t>
            </w:r>
          </w:p>
        </w:tc>
        <w:tc>
          <w:tcPr>
            <w:tcW w:w="510" w:type="pct"/>
            <w:textDirection w:val="btLr"/>
          </w:tcPr>
          <w:p w:rsidRPr="00BA24AD" w:rsidR="00C86713" w:rsidP="00BA24AD" w:rsidRDefault="00C86713" w14:paraId="3A2BA059" w14:textId="77777777">
            <w:pPr>
              <w:ind w:left="113" w:right="113"/>
              <w:rPr>
                <w:rFonts w:ascii="Times New Roman" w:hAnsi="Times New Roman"/>
                <w:i/>
                <w:iCs/>
                <w:sz w:val="20"/>
              </w:rPr>
            </w:pPr>
            <w:r w:rsidRPr="00BA24AD">
              <w:rPr>
                <w:rFonts w:ascii="Times New Roman" w:hAnsi="Times New Roman"/>
                <w:i/>
                <w:iCs/>
                <w:sz w:val="20"/>
              </w:rPr>
              <w:t xml:space="preserve">Total </w:t>
            </w:r>
            <w:r w:rsidRPr="00BA24AD" w:rsidR="00F31BEC">
              <w:rPr>
                <w:rFonts w:ascii="Times New Roman" w:hAnsi="Times New Roman"/>
                <w:i/>
                <w:iCs/>
                <w:sz w:val="20"/>
              </w:rPr>
              <w:t xml:space="preserve">Annual </w:t>
            </w:r>
            <w:r w:rsidRPr="00BA24AD">
              <w:rPr>
                <w:rFonts w:ascii="Times New Roman" w:hAnsi="Times New Roman"/>
                <w:i/>
                <w:iCs/>
                <w:sz w:val="20"/>
              </w:rPr>
              <w:t>Burden Hours</w:t>
            </w:r>
          </w:p>
        </w:tc>
        <w:tc>
          <w:tcPr>
            <w:tcW w:w="510" w:type="pct"/>
            <w:textDirection w:val="btLr"/>
          </w:tcPr>
          <w:p w:rsidRPr="00BA24AD" w:rsidR="00C86713" w:rsidP="00BA24AD" w:rsidRDefault="00C86713" w14:paraId="174B1AED" w14:textId="40CBFDE5">
            <w:pPr>
              <w:ind w:left="113" w:right="113"/>
              <w:jc w:val="center"/>
              <w:rPr>
                <w:rFonts w:ascii="Times New Roman" w:hAnsi="Times New Roman"/>
                <w:i/>
                <w:iCs/>
                <w:sz w:val="20"/>
              </w:rPr>
            </w:pPr>
            <w:r w:rsidRPr="00BA24AD">
              <w:rPr>
                <w:rFonts w:ascii="Times New Roman" w:hAnsi="Times New Roman"/>
                <w:i/>
                <w:iCs/>
                <w:sz w:val="20"/>
              </w:rPr>
              <w:t>Estimated Respondent Average Hourly Wage</w:t>
            </w:r>
          </w:p>
        </w:tc>
        <w:tc>
          <w:tcPr>
            <w:tcW w:w="766" w:type="pct"/>
            <w:textDirection w:val="btLr"/>
          </w:tcPr>
          <w:p w:rsidRPr="00BA24AD" w:rsidR="00C86713" w:rsidP="00BA24AD" w:rsidRDefault="00C86713" w14:paraId="5921D8D4" w14:textId="77777777">
            <w:pPr>
              <w:ind w:left="113" w:right="113"/>
              <w:jc w:val="center"/>
              <w:rPr>
                <w:rFonts w:ascii="Times New Roman" w:hAnsi="Times New Roman"/>
                <w:i/>
                <w:iCs/>
                <w:sz w:val="20"/>
              </w:rPr>
            </w:pPr>
            <w:r w:rsidRPr="00BA24AD">
              <w:rPr>
                <w:rFonts w:ascii="Times New Roman" w:hAnsi="Times New Roman"/>
                <w:i/>
                <w:iCs/>
                <w:sz w:val="20"/>
              </w:rPr>
              <w:t>Total Annual Costs (hourly wage x total burden hours)</w:t>
            </w:r>
          </w:p>
        </w:tc>
      </w:tr>
      <w:tr w:rsidRPr="00442E07" w:rsidR="00464038" w:rsidTr="5DC0A6C3" w14:paraId="5CB5736C" w14:textId="77777777">
        <w:trPr>
          <w:trHeight w:val="278"/>
        </w:trPr>
        <w:tc>
          <w:tcPr>
            <w:tcW w:w="1018" w:type="pct"/>
          </w:tcPr>
          <w:p w:rsidRPr="003E4DC5" w:rsidR="00C86713" w:rsidP="00FE1BAE" w:rsidRDefault="003E4DC5" w14:paraId="3C62A464" w14:textId="52468EEE">
            <w:pPr>
              <w:rPr>
                <w:rFonts w:ascii="Times New Roman" w:hAnsi="Times New Roman"/>
                <w:szCs w:val="24"/>
              </w:rPr>
            </w:pPr>
            <w:r>
              <w:rPr>
                <w:rFonts w:ascii="Times New Roman" w:hAnsi="Times New Roman"/>
                <w:szCs w:val="24"/>
              </w:rPr>
              <w:t>Survey Data Collection (</w:t>
            </w:r>
            <w:r w:rsidRPr="002D49C1">
              <w:rPr>
                <w:rFonts w:ascii="Times New Roman" w:hAnsi="Times New Roman"/>
                <w:szCs w:val="24"/>
              </w:rPr>
              <w:t xml:space="preserve">Charter School </w:t>
            </w:r>
            <w:r w:rsidRPr="002D49C1" w:rsidR="00B924FE">
              <w:rPr>
                <w:rFonts w:ascii="Times New Roman" w:hAnsi="Times New Roman"/>
                <w:szCs w:val="24"/>
              </w:rPr>
              <w:t>Leade</w:t>
            </w:r>
            <w:r w:rsidR="00BA24AD">
              <w:rPr>
                <w:rFonts w:ascii="Times New Roman" w:hAnsi="Times New Roman"/>
                <w:szCs w:val="24"/>
              </w:rPr>
              <w:t>r</w:t>
            </w:r>
            <w:r w:rsidR="002D49C1">
              <w:rPr>
                <w:rFonts w:ascii="Times New Roman" w:hAnsi="Times New Roman"/>
                <w:szCs w:val="24"/>
              </w:rPr>
              <w:t>)</w:t>
            </w:r>
          </w:p>
        </w:tc>
        <w:tc>
          <w:tcPr>
            <w:tcW w:w="461" w:type="pct"/>
          </w:tcPr>
          <w:p w:rsidRPr="00442E07" w:rsidR="00C86713" w:rsidP="00FE1BAE" w:rsidRDefault="003E4DC5" w14:paraId="2F496B72" w14:textId="5F219971">
            <w:pPr>
              <w:rPr>
                <w:rFonts w:ascii="Times New Roman" w:hAnsi="Times New Roman"/>
                <w:szCs w:val="24"/>
              </w:rPr>
            </w:pPr>
            <w:r>
              <w:rPr>
                <w:rFonts w:ascii="Times New Roman" w:hAnsi="Times New Roman"/>
                <w:szCs w:val="24"/>
              </w:rPr>
              <w:t>8</w:t>
            </w:r>
            <w:r w:rsidR="006D23BF">
              <w:rPr>
                <w:rFonts w:ascii="Times New Roman" w:hAnsi="Times New Roman"/>
                <w:szCs w:val="24"/>
              </w:rPr>
              <w:t>75</w:t>
            </w:r>
          </w:p>
        </w:tc>
        <w:tc>
          <w:tcPr>
            <w:tcW w:w="560" w:type="pct"/>
          </w:tcPr>
          <w:p w:rsidRPr="00442E07" w:rsidR="00C86713" w:rsidP="00FE1BAE" w:rsidRDefault="003E4DC5" w14:paraId="2EABBA19" w14:textId="2E0DE76A">
            <w:pPr>
              <w:rPr>
                <w:rFonts w:ascii="Times New Roman" w:hAnsi="Times New Roman"/>
                <w:szCs w:val="24"/>
              </w:rPr>
            </w:pPr>
            <w:r>
              <w:rPr>
                <w:rFonts w:ascii="Times New Roman" w:hAnsi="Times New Roman"/>
                <w:szCs w:val="24"/>
              </w:rPr>
              <w:t>8</w:t>
            </w:r>
            <w:r w:rsidR="006D23BF">
              <w:rPr>
                <w:rFonts w:ascii="Times New Roman" w:hAnsi="Times New Roman"/>
                <w:szCs w:val="24"/>
              </w:rPr>
              <w:t>0</w:t>
            </w:r>
            <w:r>
              <w:rPr>
                <w:rFonts w:ascii="Times New Roman" w:hAnsi="Times New Roman"/>
                <w:szCs w:val="24"/>
              </w:rPr>
              <w:t>%</w:t>
            </w:r>
          </w:p>
        </w:tc>
        <w:tc>
          <w:tcPr>
            <w:tcW w:w="357" w:type="pct"/>
          </w:tcPr>
          <w:p w:rsidRPr="00442E07" w:rsidR="00C86713" w:rsidP="00FE1BAE" w:rsidRDefault="003E4DC5" w14:paraId="0D0F2814" w14:textId="1C88654F">
            <w:pPr>
              <w:rPr>
                <w:rFonts w:ascii="Times New Roman" w:hAnsi="Times New Roman"/>
                <w:szCs w:val="24"/>
              </w:rPr>
            </w:pPr>
            <w:r>
              <w:rPr>
                <w:rFonts w:ascii="Times New Roman" w:hAnsi="Times New Roman"/>
                <w:szCs w:val="24"/>
              </w:rPr>
              <w:t>700</w:t>
            </w:r>
          </w:p>
        </w:tc>
        <w:tc>
          <w:tcPr>
            <w:tcW w:w="408" w:type="pct"/>
          </w:tcPr>
          <w:p w:rsidRPr="00442E07" w:rsidR="00C86713" w:rsidP="00FE1BAE" w:rsidRDefault="003E4DC5" w14:paraId="19813653" w14:textId="67267C1C">
            <w:pPr>
              <w:jc w:val="center"/>
              <w:rPr>
                <w:rFonts w:ascii="Times New Roman" w:hAnsi="Times New Roman"/>
                <w:szCs w:val="24"/>
              </w:rPr>
            </w:pPr>
            <w:r>
              <w:rPr>
                <w:rFonts w:ascii="Times New Roman" w:hAnsi="Times New Roman"/>
                <w:szCs w:val="24"/>
              </w:rPr>
              <w:t>700</w:t>
            </w:r>
          </w:p>
        </w:tc>
        <w:tc>
          <w:tcPr>
            <w:tcW w:w="408" w:type="pct"/>
          </w:tcPr>
          <w:p w:rsidRPr="00442E07" w:rsidR="00C86713" w:rsidP="00FE1BAE" w:rsidRDefault="00DB411E" w14:paraId="0D0DC454" w14:textId="17B5E1CD">
            <w:pPr>
              <w:jc w:val="center"/>
              <w:rPr>
                <w:rFonts w:ascii="Times New Roman" w:hAnsi="Times New Roman"/>
                <w:szCs w:val="24"/>
              </w:rPr>
            </w:pPr>
            <w:r>
              <w:rPr>
                <w:rFonts w:ascii="Times New Roman" w:hAnsi="Times New Roman"/>
                <w:szCs w:val="24"/>
              </w:rPr>
              <w:t>0.57</w:t>
            </w:r>
          </w:p>
        </w:tc>
        <w:tc>
          <w:tcPr>
            <w:tcW w:w="510" w:type="pct"/>
          </w:tcPr>
          <w:p w:rsidRPr="004221BC" w:rsidR="00C86713" w:rsidP="00FE1BAE" w:rsidRDefault="00DE55A5" w14:paraId="64318A81" w14:textId="0BC848B0">
            <w:pPr>
              <w:rPr>
                <w:rFonts w:ascii="Times New Roman" w:hAnsi="Times New Roman"/>
                <w:szCs w:val="24"/>
              </w:rPr>
            </w:pPr>
            <w:r>
              <w:rPr>
                <w:rFonts w:ascii="Times New Roman" w:hAnsi="Times New Roman"/>
                <w:szCs w:val="24"/>
              </w:rPr>
              <w:t>397</w:t>
            </w:r>
          </w:p>
        </w:tc>
        <w:tc>
          <w:tcPr>
            <w:tcW w:w="510" w:type="pct"/>
          </w:tcPr>
          <w:p w:rsidRPr="004221BC" w:rsidR="00C86713" w:rsidP="00FE1BAE" w:rsidRDefault="00B924FE" w14:paraId="5B9B5559" w14:textId="455AB49C">
            <w:pPr>
              <w:rPr>
                <w:rFonts w:ascii="Times New Roman" w:hAnsi="Times New Roman"/>
                <w:szCs w:val="24"/>
              </w:rPr>
            </w:pPr>
            <w:r w:rsidRPr="004221BC">
              <w:rPr>
                <w:rFonts w:ascii="Times New Roman" w:hAnsi="Times New Roman"/>
                <w:szCs w:val="24"/>
              </w:rPr>
              <w:t>$48.25</w:t>
            </w:r>
          </w:p>
        </w:tc>
        <w:tc>
          <w:tcPr>
            <w:tcW w:w="766" w:type="pct"/>
          </w:tcPr>
          <w:p w:rsidRPr="004221BC" w:rsidR="00C86713" w:rsidP="00FE1BAE" w:rsidRDefault="00DE55A5" w14:paraId="7126130B" w14:textId="2E2ADE7C">
            <w:pPr>
              <w:rPr>
                <w:rFonts w:ascii="Times New Roman" w:hAnsi="Times New Roman"/>
                <w:szCs w:val="24"/>
              </w:rPr>
            </w:pPr>
            <w:r>
              <w:rPr>
                <w:rFonts w:ascii="Times New Roman" w:hAnsi="Times New Roman"/>
                <w:szCs w:val="24"/>
              </w:rPr>
              <w:t>$</w:t>
            </w:r>
            <w:r w:rsidRPr="00DE55A5">
              <w:rPr>
                <w:rFonts w:ascii="Times New Roman" w:hAnsi="Times New Roman"/>
                <w:szCs w:val="24"/>
              </w:rPr>
              <w:t>19,1</w:t>
            </w:r>
            <w:r w:rsidR="006D23BF">
              <w:rPr>
                <w:rFonts w:ascii="Times New Roman" w:hAnsi="Times New Roman"/>
                <w:szCs w:val="24"/>
              </w:rPr>
              <w:t>39</w:t>
            </w:r>
          </w:p>
        </w:tc>
      </w:tr>
    </w:tbl>
    <w:p w:rsidR="001A6AE0" w:rsidP="000446F5" w:rsidRDefault="001A6AE0" w14:paraId="700336D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7522F9" w:rsidRDefault="00F31BEC" w14:paraId="465CF2F6" w14:textId="77777777">
      <w:pPr>
        <w:pStyle w:val="ListParagraph"/>
        <w:tabs>
          <w:tab w:val="left" w:pos="-720"/>
        </w:tabs>
        <w:suppressAutoHyphens/>
        <w:ind w:left="0"/>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6E19B35"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480C4A46"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1A8A2963" w14:textId="77777777">
      <w:pPr>
        <w:tabs>
          <w:tab w:val="left" w:pos="-720"/>
        </w:tabs>
        <w:suppressAutoHyphens/>
        <w:rPr>
          <w:rFonts w:ascii="Times New Roman" w:hAnsi="Times New Roman"/>
          <w:b/>
          <w:szCs w:val="24"/>
        </w:rPr>
      </w:pPr>
    </w:p>
    <w:p w:rsidRPr="00835F84" w:rsidR="00043C32" w:rsidP="00AD381B" w:rsidRDefault="00043C32" w14:paraId="41627928" w14:textId="5C7DEC0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w:t>
      </w:r>
      <w:r w:rsidRPr="00835F84">
        <w:rPr>
          <w:rFonts w:ascii="Times New Roman" w:hAnsi="Times New Roman"/>
          <w:b/>
          <w:szCs w:val="24"/>
        </w:rPr>
        <w:t>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835F84" w:rsidR="00043C32" w:rsidP="00AD381B" w:rsidRDefault="00043C32" w14:paraId="79CEC43A"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0C4AD6F7" w14:textId="77777777">
      <w:pPr>
        <w:numPr>
          <w:ilvl w:val="0"/>
          <w:numId w:val="1"/>
        </w:numPr>
        <w:tabs>
          <w:tab w:val="clear" w:pos="700"/>
          <w:tab w:val="left" w:pos="-720"/>
          <w:tab w:val="left" w:pos="1247"/>
        </w:tabs>
        <w:suppressAutoHyphens/>
        <w:ind w:left="1260"/>
        <w:rPr>
          <w:rFonts w:ascii="Times New Roman" w:hAnsi="Times New Roman"/>
          <w:b/>
          <w:szCs w:val="24"/>
        </w:rPr>
      </w:pPr>
      <w:r w:rsidRPr="00835F84">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w:t>
      </w:r>
      <w:r w:rsidRPr="00ED7195">
        <w:rPr>
          <w:rFonts w:ascii="Times New Roman" w:hAnsi="Times New Roman"/>
          <w:b/>
          <w:szCs w:val="24"/>
        </w:rPr>
        <w:t xml:space="preserve"> economic or regulatory impact </w:t>
      </w:r>
      <w:r w:rsidRPr="00ED7195">
        <w:rPr>
          <w:rFonts w:ascii="Times New Roman" w:hAnsi="Times New Roman"/>
          <w:b/>
          <w:szCs w:val="24"/>
        </w:rPr>
        <w:lastRenderedPageBreak/>
        <w:t>analysis associated with the rulemaking containing the information collection, as appropriate.</w:t>
      </w:r>
    </w:p>
    <w:p w:rsidRPr="00ED7195" w:rsidR="00043C32" w:rsidP="00AD381B" w:rsidRDefault="00043C32" w14:paraId="2E2578CE"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E983DB7"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1848F3D" w14:textId="77777777">
      <w:pPr>
        <w:tabs>
          <w:tab w:val="left" w:pos="-720"/>
        </w:tabs>
        <w:suppressAutoHyphens/>
        <w:rPr>
          <w:rFonts w:ascii="Times New Roman" w:hAnsi="Times New Roman"/>
          <w:b/>
          <w:szCs w:val="24"/>
        </w:rPr>
      </w:pPr>
    </w:p>
    <w:p w:rsidRPr="00ED7195" w:rsidR="00043C32" w:rsidP="00AD381B" w:rsidRDefault="00043C32" w14:paraId="3577F772" w14:textId="76DB0C7B">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835F84">
        <w:rPr>
          <w:rFonts w:ascii="Times New Roman" w:hAnsi="Times New Roman"/>
          <w:b/>
          <w:szCs w:val="24"/>
        </w:rPr>
        <w:t xml:space="preserve"> $0</w:t>
      </w:r>
    </w:p>
    <w:p w:rsidRPr="00ED7195" w:rsidR="00043C32" w:rsidP="00AD381B" w:rsidRDefault="00043C32" w14:paraId="565C938C" w14:textId="4B54AB8F">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835F84">
        <w:rPr>
          <w:rFonts w:ascii="Times New Roman" w:hAnsi="Times New Roman"/>
          <w:b/>
          <w:szCs w:val="24"/>
        </w:rPr>
        <w:t xml:space="preserve"> $0</w:t>
      </w:r>
      <w:r w:rsidRPr="00ED7195">
        <w:rPr>
          <w:rFonts w:ascii="Times New Roman" w:hAnsi="Times New Roman"/>
          <w:b/>
          <w:szCs w:val="24"/>
        </w:rPr>
        <w:t>___________________</w:t>
      </w:r>
    </w:p>
    <w:p w:rsidRPr="00ED7195" w:rsidR="00043C32" w:rsidP="00AD381B" w:rsidRDefault="00043C32" w14:paraId="38955879" w14:textId="28D0398C">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835F84">
        <w:rPr>
          <w:rFonts w:ascii="Times New Roman" w:hAnsi="Times New Roman"/>
          <w:b/>
          <w:szCs w:val="24"/>
        </w:rPr>
        <w:t xml:space="preserve"> $0</w:t>
      </w:r>
    </w:p>
    <w:p w:rsidR="00835F84" w:rsidP="00835F84" w:rsidRDefault="00835F84" w14:paraId="58A28A33" w14:textId="77777777">
      <w:pPr>
        <w:tabs>
          <w:tab w:val="left" w:pos="-720"/>
        </w:tabs>
        <w:suppressAutoHyphens/>
        <w:rPr>
          <w:rFonts w:ascii="Times New Roman" w:hAnsi="Times New Roman"/>
          <w:bCs/>
          <w:szCs w:val="24"/>
        </w:rPr>
      </w:pPr>
    </w:p>
    <w:p w:rsidRPr="00663AA4" w:rsidR="00835F84" w:rsidP="00835F84" w:rsidRDefault="00835F84" w14:paraId="6EA140F4" w14:textId="1C74BBEF">
      <w:pPr>
        <w:tabs>
          <w:tab w:val="left" w:pos="-720"/>
        </w:tabs>
        <w:suppressAutoHyphens/>
        <w:rPr>
          <w:rFonts w:ascii="Times New Roman" w:hAnsi="Times New Roman"/>
          <w:bCs/>
          <w:szCs w:val="24"/>
        </w:rPr>
      </w:pPr>
      <w:r>
        <w:rPr>
          <w:rFonts w:ascii="Times New Roman" w:hAnsi="Times New Roman"/>
          <w:bCs/>
          <w:szCs w:val="24"/>
        </w:rPr>
        <w:t>There will be no capital</w:t>
      </w:r>
      <w:r w:rsidR="00DE55A5">
        <w:rPr>
          <w:rFonts w:ascii="Times New Roman" w:hAnsi="Times New Roman"/>
          <w:bCs/>
          <w:szCs w:val="24"/>
        </w:rPr>
        <w:t>,</w:t>
      </w:r>
      <w:r>
        <w:rPr>
          <w:rFonts w:ascii="Times New Roman" w:hAnsi="Times New Roman"/>
          <w:bCs/>
          <w:szCs w:val="24"/>
        </w:rPr>
        <w:t xml:space="preserve"> startup </w:t>
      </w:r>
      <w:r w:rsidR="00DE55A5">
        <w:rPr>
          <w:rFonts w:ascii="Times New Roman" w:hAnsi="Times New Roman"/>
          <w:bCs/>
          <w:szCs w:val="24"/>
        </w:rPr>
        <w:t xml:space="preserve">or maintenance </w:t>
      </w:r>
      <w:r>
        <w:rPr>
          <w:rFonts w:ascii="Times New Roman" w:hAnsi="Times New Roman"/>
          <w:bCs/>
          <w:szCs w:val="24"/>
        </w:rPr>
        <w:t xml:space="preserve">costs </w:t>
      </w:r>
      <w:r w:rsidR="00DE55A5">
        <w:rPr>
          <w:rFonts w:ascii="Times New Roman" w:hAnsi="Times New Roman"/>
          <w:bCs/>
          <w:szCs w:val="24"/>
        </w:rPr>
        <w:t>to respondents.</w:t>
      </w:r>
    </w:p>
    <w:p w:rsidR="00043C32" w:rsidP="00AD381B" w:rsidRDefault="00043C32" w14:paraId="546FE20A" w14:textId="77777777">
      <w:pPr>
        <w:tabs>
          <w:tab w:val="left" w:pos="-720"/>
        </w:tabs>
        <w:suppressAutoHyphens/>
        <w:rPr>
          <w:rFonts w:ascii="Times New Roman" w:hAnsi="Times New Roman"/>
          <w:szCs w:val="24"/>
        </w:rPr>
      </w:pPr>
    </w:p>
    <w:p w:rsidRPr="00534B4A" w:rsidR="00043C32" w:rsidP="00AD381B" w:rsidRDefault="00043C32" w14:paraId="633F696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A977C7" w:rsidRDefault="00534B4A" w14:paraId="66521E87" w14:textId="386D80DB">
      <w:pPr>
        <w:tabs>
          <w:tab w:val="left" w:pos="-720"/>
        </w:tabs>
        <w:suppressAutoHyphens/>
        <w:rPr>
          <w:rFonts w:ascii="Times New Roman" w:hAnsi="Times New Roman"/>
          <w:szCs w:val="24"/>
        </w:rPr>
      </w:pPr>
    </w:p>
    <w:p w:rsidRPr="00BA24AD" w:rsidR="00BA24AD" w:rsidP="00BA24AD" w:rsidRDefault="00BA24AD" w14:paraId="5BF530DE" w14:textId="3B2FD1D0">
      <w:pPr>
        <w:tabs>
          <w:tab w:val="left" w:pos="-720"/>
          <w:tab w:val="left" w:pos="1247"/>
        </w:tabs>
        <w:suppressAutoHyphens/>
        <w:ind w:left="720"/>
        <w:rPr>
          <w:rFonts w:ascii="Times New Roman" w:hAnsi="Times New Roman"/>
          <w:bCs/>
          <w:szCs w:val="24"/>
        </w:rPr>
      </w:pPr>
      <w:r w:rsidRPr="00C0431C">
        <w:rPr>
          <w:rFonts w:ascii="Times New Roman" w:hAnsi="Times New Roman"/>
          <w:bCs/>
          <w:szCs w:val="24"/>
        </w:rPr>
        <w:t>The estimated cost of the study to the federal government incurred through the contract to Manhattan Strategy Group is $</w:t>
      </w:r>
      <w:r w:rsidRPr="00C0431C" w:rsidR="0015496D">
        <w:rPr>
          <w:rFonts w:ascii="Times New Roman" w:hAnsi="Times New Roman"/>
          <w:bCs/>
          <w:szCs w:val="24"/>
        </w:rPr>
        <w:t>1,021,5</w:t>
      </w:r>
      <w:r w:rsidRPr="00C0431C" w:rsidR="007403E6">
        <w:rPr>
          <w:rFonts w:ascii="Times New Roman" w:hAnsi="Times New Roman"/>
          <w:bCs/>
          <w:szCs w:val="24"/>
        </w:rPr>
        <w:t>6</w:t>
      </w:r>
      <w:r w:rsidRPr="00C0431C" w:rsidR="0015496D">
        <w:rPr>
          <w:rFonts w:ascii="Times New Roman" w:hAnsi="Times New Roman"/>
          <w:bCs/>
          <w:szCs w:val="24"/>
        </w:rPr>
        <w:t>2</w:t>
      </w:r>
      <w:r w:rsidRPr="00C0431C" w:rsidR="004A3F47">
        <w:rPr>
          <w:rFonts w:ascii="Times New Roman" w:hAnsi="Times New Roman"/>
          <w:bCs/>
          <w:szCs w:val="24"/>
        </w:rPr>
        <w:t xml:space="preserve"> </w:t>
      </w:r>
      <w:r w:rsidRPr="00C0431C">
        <w:rPr>
          <w:rFonts w:ascii="Times New Roman" w:hAnsi="Times New Roman"/>
          <w:bCs/>
          <w:szCs w:val="24"/>
        </w:rPr>
        <w:t xml:space="preserve">over a period of 5 years (July 2019 through September 2023). This represents the contractor’s costs for labor, other direct costs, and indirect costs. The annualized cost </w:t>
      </w:r>
      <w:r w:rsidRPr="00C0431C" w:rsidR="00DA2FB9">
        <w:rPr>
          <w:rFonts w:ascii="Times New Roman" w:hAnsi="Times New Roman"/>
          <w:bCs/>
          <w:szCs w:val="24"/>
        </w:rPr>
        <w:t xml:space="preserve">to the </w:t>
      </w:r>
      <w:r w:rsidRPr="00C0431C" w:rsidR="00CE6DB8">
        <w:rPr>
          <w:rFonts w:ascii="Times New Roman" w:hAnsi="Times New Roman"/>
          <w:bCs/>
          <w:szCs w:val="24"/>
        </w:rPr>
        <w:t xml:space="preserve">federal government is </w:t>
      </w:r>
      <w:r w:rsidRPr="00C0431C" w:rsidR="00FE48C7">
        <w:rPr>
          <w:rFonts w:ascii="Times New Roman" w:hAnsi="Times New Roman"/>
          <w:bCs/>
          <w:szCs w:val="24"/>
        </w:rPr>
        <w:t>$</w:t>
      </w:r>
      <w:r w:rsidRPr="00C0431C" w:rsidR="006433C7">
        <w:rPr>
          <w:rFonts w:ascii="Times New Roman" w:hAnsi="Times New Roman"/>
          <w:bCs/>
          <w:szCs w:val="24"/>
        </w:rPr>
        <w:t>204</w:t>
      </w:r>
      <w:r w:rsidRPr="00C0431C" w:rsidR="00CE6DB8">
        <w:rPr>
          <w:rFonts w:ascii="Times New Roman" w:hAnsi="Times New Roman"/>
          <w:bCs/>
          <w:szCs w:val="24"/>
        </w:rPr>
        <w:t>,</w:t>
      </w:r>
      <w:r w:rsidRPr="00C0431C" w:rsidDel="00FF4296" w:rsidR="00FF4296">
        <w:rPr>
          <w:rFonts w:ascii="Times New Roman" w:hAnsi="Times New Roman"/>
          <w:bCs/>
          <w:szCs w:val="24"/>
        </w:rPr>
        <w:t xml:space="preserve"> </w:t>
      </w:r>
      <w:r w:rsidRPr="00C0431C" w:rsidR="00CE6DB8">
        <w:rPr>
          <w:rFonts w:ascii="Times New Roman" w:hAnsi="Times New Roman"/>
          <w:bCs/>
          <w:szCs w:val="24"/>
        </w:rPr>
        <w:t>3</w:t>
      </w:r>
      <w:r w:rsidRPr="00C0431C" w:rsidR="00FF4296">
        <w:rPr>
          <w:rFonts w:ascii="Times New Roman" w:hAnsi="Times New Roman"/>
          <w:bCs/>
          <w:szCs w:val="24"/>
        </w:rPr>
        <w:t>12.4</w:t>
      </w:r>
      <w:r w:rsidRPr="00C0431C" w:rsidR="00B45738">
        <w:rPr>
          <w:rFonts w:ascii="Times New Roman" w:hAnsi="Times New Roman"/>
          <w:bCs/>
          <w:szCs w:val="24"/>
        </w:rPr>
        <w:t xml:space="preserve">. </w:t>
      </w:r>
    </w:p>
    <w:p w:rsidRPr="00A977C7" w:rsidR="00BA24AD" w:rsidP="00A977C7" w:rsidRDefault="00BA24AD" w14:paraId="435B9E3E" w14:textId="77777777">
      <w:pPr>
        <w:tabs>
          <w:tab w:val="left" w:pos="-720"/>
        </w:tabs>
        <w:suppressAutoHyphens/>
        <w:rPr>
          <w:rFonts w:ascii="Times New Roman" w:hAnsi="Times New Roman"/>
          <w:szCs w:val="24"/>
        </w:rPr>
      </w:pPr>
    </w:p>
    <w:p w:rsidR="00800D30" w:rsidP="00800D30" w:rsidRDefault="00043C32" w14:paraId="776A09CA"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3A06880A" w14:textId="77777777">
      <w:pPr>
        <w:pStyle w:val="ListParagraph"/>
        <w:tabs>
          <w:tab w:val="left" w:pos="-720"/>
        </w:tabs>
        <w:suppressAutoHyphens/>
        <w:contextualSpacing w:val="0"/>
        <w:rPr>
          <w:rFonts w:ascii="Times New Roman" w:hAnsi="Times New Roman"/>
          <w:b/>
          <w:szCs w:val="24"/>
        </w:rPr>
      </w:pPr>
    </w:p>
    <w:p w:rsidRPr="00201435" w:rsidR="00800D30" w:rsidP="00800D30" w:rsidRDefault="00800D30" w14:paraId="279DB2A3" w14:textId="77777777">
      <w:pPr>
        <w:pStyle w:val="ListParagraph"/>
        <w:tabs>
          <w:tab w:val="left" w:pos="-720"/>
        </w:tabs>
        <w:suppressAutoHyphens/>
        <w:contextualSpacing w:val="0"/>
        <w:rPr>
          <w:rFonts w:ascii="Times New Roman" w:hAnsi="Times New Roman"/>
          <w:b/>
          <w:szCs w:val="24"/>
        </w:rPr>
      </w:pPr>
      <w:r w:rsidRPr="00201435">
        <w:rPr>
          <w:rFonts w:ascii="Times New Roman" w:hAnsi="Times New Roman"/>
          <w:b/>
          <w:szCs w:val="24"/>
        </w:rPr>
        <w:t>Provide a descriptive narrative for the reasons of any change in addition to completing the table with the burden hour change(s)</w:t>
      </w:r>
      <w:r w:rsidRPr="00201435" w:rsidR="002A3221">
        <w:rPr>
          <w:rFonts w:ascii="Times New Roman" w:hAnsi="Times New Roman"/>
          <w:b/>
          <w:szCs w:val="24"/>
        </w:rPr>
        <w:t xml:space="preserve"> here</w:t>
      </w:r>
      <w:r w:rsidRPr="00201435" w:rsidR="00946126">
        <w:rPr>
          <w:rFonts w:ascii="Times New Roman" w:hAnsi="Times New Roman"/>
          <w:b/>
          <w:szCs w:val="24"/>
        </w:rPr>
        <w:t>.</w:t>
      </w:r>
    </w:p>
    <w:p w:rsidR="00534B4A" w:rsidP="00534B4A" w:rsidRDefault="00534B4A" w14:paraId="67DAEA3C" w14:textId="77777777">
      <w:pPr>
        <w:tabs>
          <w:tab w:val="left" w:pos="-720"/>
        </w:tabs>
        <w:suppressAutoHyphens/>
        <w:rPr>
          <w:rFonts w:ascii="Times New Roman" w:hAnsi="Times New Roman"/>
          <w:b/>
          <w:szCs w:val="24"/>
        </w:rPr>
      </w:pPr>
    </w:p>
    <w:tbl>
      <w:tblPr>
        <w:tblStyle w:val="TableGrid"/>
        <w:tblW w:w="5000" w:type="pct"/>
        <w:tblLook w:val="04A0" w:firstRow="1" w:lastRow="0" w:firstColumn="1" w:lastColumn="0" w:noHBand="0" w:noVBand="1"/>
      </w:tblPr>
      <w:tblGrid>
        <w:gridCol w:w="2027"/>
        <w:gridCol w:w="2027"/>
        <w:gridCol w:w="2801"/>
        <w:gridCol w:w="2495"/>
      </w:tblGrid>
      <w:tr w:rsidR="0052073E" w:rsidTr="00FA3322" w14:paraId="75407E59" w14:textId="77777777">
        <w:tc>
          <w:tcPr>
            <w:tcW w:w="1084" w:type="pct"/>
            <w:shd w:val="clear" w:color="auto" w:fill="D9D9D9" w:themeFill="background1" w:themeFillShade="D9"/>
          </w:tcPr>
          <w:p w:rsidR="0052073E" w:rsidP="00534B4A" w:rsidRDefault="0052073E" w14:paraId="5458E387" w14:textId="77777777">
            <w:pPr>
              <w:tabs>
                <w:tab w:val="left" w:pos="-720"/>
              </w:tabs>
              <w:suppressAutoHyphens/>
              <w:rPr>
                <w:rFonts w:ascii="Times New Roman" w:hAnsi="Times New Roman"/>
                <w:b/>
                <w:szCs w:val="24"/>
              </w:rPr>
            </w:pPr>
          </w:p>
        </w:tc>
        <w:tc>
          <w:tcPr>
            <w:tcW w:w="1084" w:type="pct"/>
          </w:tcPr>
          <w:p w:rsidR="0052073E" w:rsidP="00534B4A" w:rsidRDefault="0052073E" w14:paraId="711D82D0"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1498" w:type="pct"/>
          </w:tcPr>
          <w:p w:rsidR="0052073E" w:rsidP="00534B4A" w:rsidRDefault="0052073E" w14:paraId="14305E6D"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1334" w:type="pct"/>
          </w:tcPr>
          <w:p w:rsidR="0052073E" w:rsidP="00534B4A" w:rsidRDefault="0052073E" w14:paraId="1EA32EA0"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FA3322" w14:paraId="79B0E060" w14:textId="77777777">
        <w:tc>
          <w:tcPr>
            <w:tcW w:w="1084" w:type="pct"/>
          </w:tcPr>
          <w:p w:rsidR="0052073E" w:rsidP="00534B4A" w:rsidRDefault="0052073E" w14:paraId="463C0E73"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1084" w:type="pct"/>
          </w:tcPr>
          <w:p w:rsidR="0052073E" w:rsidP="00534B4A" w:rsidRDefault="0052073E" w14:paraId="09031DD5" w14:textId="77777777">
            <w:pPr>
              <w:tabs>
                <w:tab w:val="left" w:pos="-720"/>
              </w:tabs>
              <w:suppressAutoHyphens/>
              <w:rPr>
                <w:rFonts w:ascii="Times New Roman" w:hAnsi="Times New Roman"/>
                <w:b/>
                <w:szCs w:val="24"/>
              </w:rPr>
            </w:pPr>
          </w:p>
        </w:tc>
        <w:tc>
          <w:tcPr>
            <w:tcW w:w="1498" w:type="pct"/>
          </w:tcPr>
          <w:p w:rsidR="0052073E" w:rsidP="00534B4A" w:rsidRDefault="005E0352" w14:paraId="579C35DD" w14:textId="3AC87D7C">
            <w:pPr>
              <w:tabs>
                <w:tab w:val="left" w:pos="-720"/>
              </w:tabs>
              <w:suppressAutoHyphens/>
              <w:rPr>
                <w:rFonts w:ascii="Times New Roman" w:hAnsi="Times New Roman"/>
                <w:b/>
                <w:szCs w:val="24"/>
              </w:rPr>
            </w:pPr>
            <w:r>
              <w:rPr>
                <w:rFonts w:ascii="Times New Roman" w:hAnsi="Times New Roman"/>
                <w:b/>
                <w:szCs w:val="24"/>
              </w:rPr>
              <w:t>97</w:t>
            </w:r>
          </w:p>
        </w:tc>
        <w:tc>
          <w:tcPr>
            <w:tcW w:w="1334" w:type="pct"/>
          </w:tcPr>
          <w:p w:rsidR="0052073E" w:rsidP="00534B4A" w:rsidRDefault="0052073E" w14:paraId="1ECB560D" w14:textId="77777777">
            <w:pPr>
              <w:tabs>
                <w:tab w:val="left" w:pos="-720"/>
              </w:tabs>
              <w:suppressAutoHyphens/>
              <w:rPr>
                <w:rFonts w:ascii="Times New Roman" w:hAnsi="Times New Roman"/>
                <w:b/>
                <w:szCs w:val="24"/>
              </w:rPr>
            </w:pPr>
          </w:p>
        </w:tc>
      </w:tr>
      <w:tr w:rsidR="0052073E" w:rsidTr="00FA3322" w14:paraId="124BA832" w14:textId="77777777">
        <w:tc>
          <w:tcPr>
            <w:tcW w:w="1084" w:type="pct"/>
          </w:tcPr>
          <w:p w:rsidR="0052073E" w:rsidP="00534B4A" w:rsidRDefault="0052073E" w14:paraId="119CB0CC"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1084" w:type="pct"/>
          </w:tcPr>
          <w:p w:rsidR="0052073E" w:rsidP="00534B4A" w:rsidRDefault="0052073E" w14:paraId="43374791" w14:textId="77777777">
            <w:pPr>
              <w:tabs>
                <w:tab w:val="left" w:pos="-720"/>
              </w:tabs>
              <w:suppressAutoHyphens/>
              <w:rPr>
                <w:rFonts w:ascii="Times New Roman" w:hAnsi="Times New Roman"/>
                <w:b/>
                <w:szCs w:val="24"/>
              </w:rPr>
            </w:pPr>
          </w:p>
        </w:tc>
        <w:tc>
          <w:tcPr>
            <w:tcW w:w="1498" w:type="pct"/>
          </w:tcPr>
          <w:p w:rsidR="0052073E" w:rsidP="00534B4A" w:rsidRDefault="005E0352" w14:paraId="3AC16E20" w14:textId="6586630D">
            <w:pPr>
              <w:tabs>
                <w:tab w:val="left" w:pos="-720"/>
              </w:tabs>
              <w:suppressAutoHyphens/>
              <w:rPr>
                <w:rFonts w:ascii="Times New Roman" w:hAnsi="Times New Roman"/>
                <w:b/>
                <w:szCs w:val="24"/>
              </w:rPr>
            </w:pPr>
            <w:r>
              <w:rPr>
                <w:rFonts w:ascii="Times New Roman" w:hAnsi="Times New Roman"/>
                <w:b/>
                <w:szCs w:val="24"/>
              </w:rPr>
              <w:t>500</w:t>
            </w:r>
          </w:p>
        </w:tc>
        <w:tc>
          <w:tcPr>
            <w:tcW w:w="1334" w:type="pct"/>
          </w:tcPr>
          <w:p w:rsidR="0052073E" w:rsidP="00534B4A" w:rsidRDefault="0052073E" w14:paraId="29AAA368" w14:textId="77777777">
            <w:pPr>
              <w:tabs>
                <w:tab w:val="left" w:pos="-720"/>
              </w:tabs>
              <w:suppressAutoHyphens/>
              <w:rPr>
                <w:rFonts w:ascii="Times New Roman" w:hAnsi="Times New Roman"/>
                <w:b/>
                <w:szCs w:val="24"/>
              </w:rPr>
            </w:pPr>
          </w:p>
        </w:tc>
      </w:tr>
      <w:tr w:rsidR="0052073E" w:rsidTr="00FA3322" w14:paraId="47C44B05" w14:textId="77777777">
        <w:tc>
          <w:tcPr>
            <w:tcW w:w="1084" w:type="pct"/>
          </w:tcPr>
          <w:p w:rsidR="0052073E" w:rsidP="00534B4A" w:rsidRDefault="0052073E" w14:paraId="7B8050B7"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1084" w:type="pct"/>
          </w:tcPr>
          <w:p w:rsidR="0052073E" w:rsidP="00534B4A" w:rsidRDefault="0052073E" w14:paraId="04A5726C" w14:textId="77777777">
            <w:pPr>
              <w:tabs>
                <w:tab w:val="left" w:pos="-720"/>
              </w:tabs>
              <w:suppressAutoHyphens/>
              <w:rPr>
                <w:rFonts w:ascii="Times New Roman" w:hAnsi="Times New Roman"/>
                <w:b/>
                <w:szCs w:val="24"/>
              </w:rPr>
            </w:pPr>
          </w:p>
        </w:tc>
        <w:tc>
          <w:tcPr>
            <w:tcW w:w="1498" w:type="pct"/>
          </w:tcPr>
          <w:p w:rsidR="0052073E" w:rsidP="00534B4A" w:rsidRDefault="0052073E" w14:paraId="5A23491D" w14:textId="77777777">
            <w:pPr>
              <w:tabs>
                <w:tab w:val="left" w:pos="-720"/>
              </w:tabs>
              <w:suppressAutoHyphens/>
              <w:rPr>
                <w:rFonts w:ascii="Times New Roman" w:hAnsi="Times New Roman"/>
                <w:b/>
                <w:szCs w:val="24"/>
              </w:rPr>
            </w:pPr>
          </w:p>
        </w:tc>
        <w:tc>
          <w:tcPr>
            <w:tcW w:w="1334" w:type="pct"/>
          </w:tcPr>
          <w:p w:rsidR="0052073E" w:rsidP="00534B4A" w:rsidRDefault="0052073E" w14:paraId="16B8BA00" w14:textId="77777777">
            <w:pPr>
              <w:tabs>
                <w:tab w:val="left" w:pos="-720"/>
              </w:tabs>
              <w:suppressAutoHyphens/>
              <w:rPr>
                <w:rFonts w:ascii="Times New Roman" w:hAnsi="Times New Roman"/>
                <w:b/>
                <w:szCs w:val="24"/>
              </w:rPr>
            </w:pPr>
          </w:p>
        </w:tc>
      </w:tr>
    </w:tbl>
    <w:p w:rsidR="00F27AAF" w:rsidP="00534B4A" w:rsidRDefault="00F27AAF" w14:paraId="507EE16C" w14:textId="77777777">
      <w:pPr>
        <w:tabs>
          <w:tab w:val="left" w:pos="-720"/>
        </w:tabs>
        <w:suppressAutoHyphens/>
        <w:rPr>
          <w:rFonts w:ascii="Times New Roman" w:hAnsi="Times New Roman"/>
          <w:b/>
          <w:szCs w:val="24"/>
        </w:rPr>
      </w:pPr>
    </w:p>
    <w:p w:rsidR="00D903A2" w:rsidP="00BA24AD" w:rsidRDefault="005E0352" w14:paraId="1F8EF2EF" w14:textId="65539E79">
      <w:pPr>
        <w:tabs>
          <w:tab w:val="left" w:pos="-720"/>
          <w:tab w:val="left" w:pos="1247"/>
        </w:tabs>
        <w:suppressAutoHyphens/>
        <w:ind w:left="720"/>
        <w:rPr>
          <w:rFonts w:ascii="Times New Roman" w:hAnsi="Times New Roman"/>
          <w:szCs w:val="24"/>
        </w:rPr>
      </w:pPr>
      <w:r>
        <w:rPr>
          <w:rFonts w:ascii="Times New Roman" w:hAnsi="Times New Roman"/>
          <w:szCs w:val="24"/>
        </w:rPr>
        <w:t xml:space="preserve">This is a revision </w:t>
      </w:r>
      <w:r w:rsidR="00D903A2">
        <w:rPr>
          <w:rFonts w:ascii="Times New Roman" w:hAnsi="Times New Roman"/>
          <w:szCs w:val="24"/>
        </w:rPr>
        <w:t>of</w:t>
      </w:r>
      <w:r>
        <w:rPr>
          <w:rFonts w:ascii="Times New Roman" w:hAnsi="Times New Roman"/>
          <w:szCs w:val="24"/>
        </w:rPr>
        <w:t xml:space="preserve"> an existing information collection request.</w:t>
      </w:r>
      <w:r w:rsidR="00362063">
        <w:rPr>
          <w:rFonts w:ascii="Times New Roman" w:hAnsi="Times New Roman"/>
          <w:szCs w:val="24"/>
        </w:rPr>
        <w:t xml:space="preserve"> The </w:t>
      </w:r>
      <w:r w:rsidR="00D903A2">
        <w:rPr>
          <w:rFonts w:ascii="Times New Roman" w:hAnsi="Times New Roman"/>
          <w:szCs w:val="24"/>
        </w:rPr>
        <w:t>annual estimated burden was 300 hours for the original data collection, with a target sample of</w:t>
      </w:r>
      <w:r w:rsidR="00362063">
        <w:rPr>
          <w:rFonts w:ascii="Times New Roman" w:hAnsi="Times New Roman"/>
          <w:szCs w:val="24"/>
        </w:rPr>
        <w:t xml:space="preserve"> 200 respondents</w:t>
      </w:r>
      <w:r w:rsidR="00D903A2">
        <w:rPr>
          <w:rFonts w:ascii="Times New Roman" w:hAnsi="Times New Roman"/>
          <w:szCs w:val="24"/>
        </w:rPr>
        <w:t xml:space="preserve"> and</w:t>
      </w:r>
      <w:r w:rsidR="00362063">
        <w:rPr>
          <w:rFonts w:ascii="Times New Roman" w:hAnsi="Times New Roman"/>
          <w:szCs w:val="24"/>
        </w:rPr>
        <w:t xml:space="preserve"> an estimated burden of 1.5 hours per respondent. </w:t>
      </w:r>
    </w:p>
    <w:p w:rsidR="00D903A2" w:rsidP="00BA24AD" w:rsidRDefault="00D903A2" w14:paraId="125516AD" w14:textId="77777777">
      <w:pPr>
        <w:tabs>
          <w:tab w:val="left" w:pos="-720"/>
          <w:tab w:val="left" w:pos="1247"/>
        </w:tabs>
        <w:suppressAutoHyphens/>
        <w:ind w:left="720"/>
        <w:rPr>
          <w:rFonts w:ascii="Times New Roman" w:hAnsi="Times New Roman"/>
          <w:szCs w:val="24"/>
        </w:rPr>
      </w:pPr>
    </w:p>
    <w:p w:rsidR="00534B4A" w:rsidP="00D903A2" w:rsidRDefault="00362063" w14:paraId="2E9AC793" w14:textId="2E870354">
      <w:pPr>
        <w:tabs>
          <w:tab w:val="left" w:pos="-720"/>
          <w:tab w:val="left" w:pos="1247"/>
        </w:tabs>
        <w:suppressAutoHyphens/>
        <w:ind w:left="720"/>
        <w:rPr>
          <w:rFonts w:ascii="Times New Roman" w:hAnsi="Times New Roman"/>
          <w:szCs w:val="24"/>
        </w:rPr>
      </w:pPr>
      <w:r>
        <w:rPr>
          <w:rFonts w:ascii="Times New Roman" w:hAnsi="Times New Roman"/>
          <w:szCs w:val="24"/>
        </w:rPr>
        <w:t xml:space="preserve">The </w:t>
      </w:r>
      <w:r w:rsidR="00D903A2">
        <w:rPr>
          <w:rFonts w:ascii="Times New Roman" w:hAnsi="Times New Roman"/>
          <w:szCs w:val="24"/>
        </w:rPr>
        <w:t>annual estimated burden is 3</w:t>
      </w:r>
      <w:r w:rsidR="006D5E4B">
        <w:rPr>
          <w:rFonts w:ascii="Times New Roman" w:hAnsi="Times New Roman"/>
          <w:szCs w:val="24"/>
        </w:rPr>
        <w:t>97</w:t>
      </w:r>
      <w:r w:rsidR="00D903A2">
        <w:rPr>
          <w:rFonts w:ascii="Times New Roman" w:hAnsi="Times New Roman"/>
          <w:szCs w:val="24"/>
        </w:rPr>
        <w:t xml:space="preserve"> hours</w:t>
      </w:r>
      <w:r w:rsidRPr="00D903A2" w:rsidR="00D903A2">
        <w:rPr>
          <w:rFonts w:ascii="Times New Roman" w:hAnsi="Times New Roman"/>
          <w:szCs w:val="24"/>
        </w:rPr>
        <w:t xml:space="preserve"> </w:t>
      </w:r>
      <w:r w:rsidR="00D903A2">
        <w:rPr>
          <w:rFonts w:ascii="Times New Roman" w:hAnsi="Times New Roman"/>
          <w:szCs w:val="24"/>
        </w:rPr>
        <w:t xml:space="preserve">for the current request, including a target sample of </w:t>
      </w:r>
      <w:r>
        <w:rPr>
          <w:rFonts w:ascii="Times New Roman" w:hAnsi="Times New Roman"/>
          <w:szCs w:val="24"/>
        </w:rPr>
        <w:t>700 respondents and</w:t>
      </w:r>
      <w:r w:rsidR="00D903A2">
        <w:rPr>
          <w:rFonts w:ascii="Times New Roman" w:hAnsi="Times New Roman"/>
          <w:szCs w:val="24"/>
        </w:rPr>
        <w:t xml:space="preserve"> </w:t>
      </w:r>
      <w:r>
        <w:rPr>
          <w:rFonts w:ascii="Times New Roman" w:hAnsi="Times New Roman"/>
          <w:szCs w:val="24"/>
        </w:rPr>
        <w:t>an estimated burden of 34 minutes per respondent</w:t>
      </w:r>
      <w:r w:rsidR="00D903A2">
        <w:rPr>
          <w:rFonts w:ascii="Times New Roman" w:hAnsi="Times New Roman"/>
          <w:szCs w:val="24"/>
        </w:rPr>
        <w:t xml:space="preserve">. </w:t>
      </w:r>
      <w:r w:rsidR="00585DA0">
        <w:rPr>
          <w:rFonts w:ascii="Times New Roman" w:hAnsi="Times New Roman"/>
          <w:szCs w:val="24"/>
        </w:rPr>
        <w:t>The</w:t>
      </w:r>
      <w:r w:rsidR="00631E4D">
        <w:rPr>
          <w:rFonts w:ascii="Times New Roman" w:hAnsi="Times New Roman"/>
          <w:szCs w:val="24"/>
        </w:rPr>
        <w:t xml:space="preserve"> burden</w:t>
      </w:r>
      <w:r w:rsidR="00585DA0">
        <w:rPr>
          <w:rFonts w:ascii="Times New Roman" w:hAnsi="Times New Roman"/>
          <w:szCs w:val="24"/>
        </w:rPr>
        <w:t xml:space="preserve"> per respondent decreases</w:t>
      </w:r>
      <w:r w:rsidR="00631E4D">
        <w:rPr>
          <w:rFonts w:ascii="Times New Roman" w:hAnsi="Times New Roman"/>
          <w:szCs w:val="24"/>
        </w:rPr>
        <w:t xml:space="preserve"> </w:t>
      </w:r>
      <w:r w:rsidR="001E697E">
        <w:rPr>
          <w:rFonts w:ascii="Times New Roman" w:hAnsi="Times New Roman"/>
          <w:szCs w:val="24"/>
        </w:rPr>
        <w:t xml:space="preserve">from 1.5 hours to </w:t>
      </w:r>
      <w:r w:rsidR="001F3B71">
        <w:rPr>
          <w:rFonts w:ascii="Times New Roman" w:hAnsi="Times New Roman"/>
          <w:szCs w:val="24"/>
        </w:rPr>
        <w:t>34 minutes</w:t>
      </w:r>
      <w:r w:rsidR="004F225F">
        <w:rPr>
          <w:rFonts w:ascii="Times New Roman" w:hAnsi="Times New Roman"/>
          <w:szCs w:val="24"/>
        </w:rPr>
        <w:t>,</w:t>
      </w:r>
      <w:r w:rsidR="00E27F8E">
        <w:rPr>
          <w:rFonts w:ascii="Times New Roman" w:hAnsi="Times New Roman"/>
          <w:szCs w:val="24"/>
        </w:rPr>
        <w:t xml:space="preserve"> a reduction of</w:t>
      </w:r>
      <w:r w:rsidR="003536F8">
        <w:rPr>
          <w:rFonts w:ascii="Times New Roman" w:hAnsi="Times New Roman"/>
          <w:szCs w:val="24"/>
        </w:rPr>
        <w:t xml:space="preserve"> </w:t>
      </w:r>
      <w:r w:rsidR="004F225F">
        <w:rPr>
          <w:rFonts w:ascii="Times New Roman" w:hAnsi="Times New Roman"/>
          <w:szCs w:val="24"/>
        </w:rPr>
        <w:t>56 minutes</w:t>
      </w:r>
      <w:r w:rsidR="00E27F8E">
        <w:rPr>
          <w:rFonts w:ascii="Times New Roman" w:hAnsi="Times New Roman"/>
          <w:szCs w:val="24"/>
        </w:rPr>
        <w:t xml:space="preserve"> per response</w:t>
      </w:r>
      <w:r w:rsidR="004F225F">
        <w:rPr>
          <w:rFonts w:ascii="Times New Roman" w:hAnsi="Times New Roman"/>
          <w:szCs w:val="24"/>
        </w:rPr>
        <w:t>,</w:t>
      </w:r>
      <w:r w:rsidR="001F3B71">
        <w:rPr>
          <w:rFonts w:ascii="Times New Roman" w:hAnsi="Times New Roman"/>
          <w:szCs w:val="24"/>
        </w:rPr>
        <w:t xml:space="preserve"> </w:t>
      </w:r>
      <w:r w:rsidR="003536F8">
        <w:rPr>
          <w:rFonts w:ascii="Times New Roman" w:hAnsi="Times New Roman"/>
          <w:szCs w:val="24"/>
        </w:rPr>
        <w:t>as</w:t>
      </w:r>
      <w:r w:rsidR="001F3B71">
        <w:rPr>
          <w:rFonts w:ascii="Times New Roman" w:hAnsi="Times New Roman"/>
          <w:szCs w:val="24"/>
        </w:rPr>
        <w:t xml:space="preserve"> the </w:t>
      </w:r>
      <w:r w:rsidRPr="00C0431C" w:rsidR="001F3B71">
        <w:rPr>
          <w:rFonts w:ascii="Times New Roman" w:hAnsi="Times New Roman"/>
          <w:szCs w:val="24"/>
        </w:rPr>
        <w:t>number of questions in the survey</w:t>
      </w:r>
      <w:r w:rsidRPr="00C0431C" w:rsidR="003536F8">
        <w:rPr>
          <w:rFonts w:ascii="Times New Roman" w:hAnsi="Times New Roman"/>
          <w:szCs w:val="24"/>
        </w:rPr>
        <w:t xml:space="preserve"> decreases</w:t>
      </w:r>
      <w:r w:rsidRPr="00C0431C" w:rsidR="001F3B71">
        <w:rPr>
          <w:rFonts w:ascii="Times New Roman" w:hAnsi="Times New Roman"/>
          <w:szCs w:val="24"/>
        </w:rPr>
        <w:t xml:space="preserve"> from 262 to 4</w:t>
      </w:r>
      <w:r w:rsidRPr="00F71C88" w:rsidR="00891244">
        <w:rPr>
          <w:rFonts w:ascii="Times New Roman" w:hAnsi="Times New Roman"/>
          <w:szCs w:val="24"/>
        </w:rPr>
        <w:t>3</w:t>
      </w:r>
      <w:r w:rsidRPr="00C0431C" w:rsidR="001F3B71">
        <w:rPr>
          <w:rFonts w:ascii="Times New Roman" w:hAnsi="Times New Roman"/>
          <w:szCs w:val="24"/>
        </w:rPr>
        <w:t xml:space="preserve"> questions. </w:t>
      </w:r>
      <w:r w:rsidRPr="00C0431C" w:rsidR="00D21917">
        <w:rPr>
          <w:rFonts w:ascii="Times New Roman" w:hAnsi="Times New Roman"/>
          <w:szCs w:val="24"/>
        </w:rPr>
        <w:t>However, as t</w:t>
      </w:r>
      <w:r w:rsidRPr="00C0431C" w:rsidR="000A3BB9">
        <w:rPr>
          <w:rFonts w:ascii="Times New Roman" w:hAnsi="Times New Roman"/>
          <w:szCs w:val="24"/>
        </w:rPr>
        <w:t>he</w:t>
      </w:r>
      <w:r w:rsidR="000A3BB9">
        <w:rPr>
          <w:rFonts w:ascii="Times New Roman" w:hAnsi="Times New Roman"/>
          <w:szCs w:val="24"/>
        </w:rPr>
        <w:t xml:space="preserve"> </w:t>
      </w:r>
      <w:r w:rsidR="00A407A1">
        <w:rPr>
          <w:rFonts w:ascii="Times New Roman" w:hAnsi="Times New Roman"/>
          <w:szCs w:val="24"/>
        </w:rPr>
        <w:t xml:space="preserve">expected survey </w:t>
      </w:r>
      <w:r w:rsidR="000A3BB9">
        <w:rPr>
          <w:rFonts w:ascii="Times New Roman" w:hAnsi="Times New Roman"/>
          <w:szCs w:val="24"/>
        </w:rPr>
        <w:t xml:space="preserve">sample </w:t>
      </w:r>
      <w:r w:rsidR="00FA6B6E">
        <w:rPr>
          <w:rFonts w:ascii="Times New Roman" w:hAnsi="Times New Roman"/>
          <w:szCs w:val="24"/>
        </w:rPr>
        <w:t>increase</w:t>
      </w:r>
      <w:r w:rsidR="00365E06">
        <w:rPr>
          <w:rFonts w:ascii="Times New Roman" w:hAnsi="Times New Roman"/>
          <w:szCs w:val="24"/>
        </w:rPr>
        <w:t>s from 200 to 70</w:t>
      </w:r>
      <w:r w:rsidR="00A407A1">
        <w:rPr>
          <w:rFonts w:ascii="Times New Roman" w:hAnsi="Times New Roman"/>
          <w:szCs w:val="24"/>
        </w:rPr>
        <w:t>0 respondents</w:t>
      </w:r>
      <w:r w:rsidR="00D21917">
        <w:rPr>
          <w:rFonts w:ascii="Times New Roman" w:hAnsi="Times New Roman"/>
          <w:szCs w:val="24"/>
        </w:rPr>
        <w:t xml:space="preserve">, </w:t>
      </w:r>
      <w:r w:rsidR="00121781">
        <w:rPr>
          <w:rFonts w:ascii="Times New Roman" w:hAnsi="Times New Roman"/>
          <w:szCs w:val="24"/>
        </w:rPr>
        <w:t xml:space="preserve">the total response burden </w:t>
      </w:r>
      <w:r w:rsidR="00585DA0">
        <w:rPr>
          <w:rFonts w:ascii="Times New Roman" w:hAnsi="Times New Roman"/>
          <w:szCs w:val="24"/>
        </w:rPr>
        <w:t xml:space="preserve">increases </w:t>
      </w:r>
      <w:r w:rsidR="009309DD">
        <w:rPr>
          <w:rFonts w:ascii="Times New Roman" w:hAnsi="Times New Roman"/>
          <w:szCs w:val="24"/>
        </w:rPr>
        <w:t>by 97 hours</w:t>
      </w:r>
      <w:r w:rsidR="00CE49FB">
        <w:rPr>
          <w:rFonts w:ascii="Times New Roman" w:hAnsi="Times New Roman"/>
          <w:szCs w:val="24"/>
        </w:rPr>
        <w:t>, from 300 to 397</w:t>
      </w:r>
      <w:r w:rsidR="00587D53">
        <w:rPr>
          <w:rFonts w:ascii="Times New Roman" w:hAnsi="Times New Roman"/>
          <w:szCs w:val="24"/>
        </w:rPr>
        <w:t xml:space="preserve">. </w:t>
      </w:r>
    </w:p>
    <w:p w:rsidRPr="00534B4A" w:rsidR="00EC1C5E" w:rsidP="00534B4A" w:rsidRDefault="00EC1C5E" w14:paraId="7BF4E13D" w14:textId="77777777">
      <w:pPr>
        <w:tabs>
          <w:tab w:val="left" w:pos="-720"/>
        </w:tabs>
        <w:suppressAutoHyphens/>
        <w:rPr>
          <w:rFonts w:ascii="Times New Roman" w:hAnsi="Times New Roman"/>
          <w:szCs w:val="24"/>
        </w:rPr>
      </w:pPr>
    </w:p>
    <w:p w:rsidR="00043C32" w:rsidP="00AD381B" w:rsidRDefault="00043C32" w14:paraId="02E715FE"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76435E9A" w14:textId="77777777">
      <w:pPr>
        <w:tabs>
          <w:tab w:val="left" w:pos="-720"/>
        </w:tabs>
        <w:suppressAutoHyphens/>
        <w:rPr>
          <w:rFonts w:ascii="Times New Roman" w:hAnsi="Times New Roman"/>
          <w:szCs w:val="24"/>
        </w:rPr>
      </w:pPr>
    </w:p>
    <w:p w:rsidRPr="00FA3322" w:rsidR="00FA3322" w:rsidP="00FA3322" w:rsidRDefault="00FA3322" w14:paraId="7084CA89" w14:textId="77777777">
      <w:pPr>
        <w:tabs>
          <w:tab w:val="left" w:pos="-720"/>
          <w:tab w:val="left" w:pos="1247"/>
        </w:tabs>
        <w:suppressAutoHyphens/>
        <w:ind w:left="720"/>
        <w:rPr>
          <w:rFonts w:ascii="Times New Roman" w:hAnsi="Times New Roman"/>
          <w:bCs/>
          <w:szCs w:val="24"/>
        </w:rPr>
      </w:pPr>
      <w:r w:rsidRPr="00FA3322">
        <w:rPr>
          <w:rFonts w:ascii="Times New Roman" w:hAnsi="Times New Roman"/>
          <w:bCs/>
          <w:szCs w:val="24"/>
        </w:rPr>
        <w:t>We will publish a study report tabulating estimated means and standard deviations of measures of interests based on survey responses provided by sampled schools. In the study report, we will also report school facility conditions and operations by subgroups to examine variations among schools. These estimates will depend on sampling variability indicated by standard errors, a measure of the precision expected from a particular sample.</w:t>
      </w:r>
    </w:p>
    <w:p w:rsidRPr="00FA3322" w:rsidR="00FA3322" w:rsidP="00FA3322" w:rsidRDefault="00FA3322" w14:paraId="315AEF25" w14:textId="77777777">
      <w:pPr>
        <w:tabs>
          <w:tab w:val="left" w:pos="-720"/>
          <w:tab w:val="left" w:pos="1247"/>
        </w:tabs>
        <w:suppressAutoHyphens/>
        <w:ind w:left="720"/>
        <w:rPr>
          <w:rFonts w:ascii="Times New Roman" w:hAnsi="Times New Roman"/>
          <w:bCs/>
          <w:szCs w:val="24"/>
        </w:rPr>
      </w:pPr>
    </w:p>
    <w:p w:rsidRPr="00FA3322" w:rsidR="00FA3322" w:rsidP="00FA3322" w:rsidRDefault="00FA3322" w14:paraId="08951E36" w14:textId="55C7ED44">
      <w:pPr>
        <w:tabs>
          <w:tab w:val="left" w:pos="-720"/>
          <w:tab w:val="left" w:pos="1247"/>
        </w:tabs>
        <w:suppressAutoHyphens/>
        <w:ind w:left="720"/>
        <w:rPr>
          <w:rFonts w:ascii="Times New Roman" w:hAnsi="Times New Roman"/>
          <w:bCs/>
          <w:szCs w:val="24"/>
        </w:rPr>
      </w:pPr>
      <w:r w:rsidRPr="00FA3322">
        <w:rPr>
          <w:rFonts w:ascii="Times New Roman" w:hAnsi="Times New Roman"/>
          <w:bCs/>
          <w:szCs w:val="24"/>
        </w:rPr>
        <w:t>We expect to make nonresponse adjustments within strata defined by urbanicity (city versus others), school instructional level (schools serving elementary grades, i.e., any grade between prekindergarten and fifth grade, versus schools serving secondary grades only</w:t>
      </w:r>
      <w:r w:rsidR="002B3BE1">
        <w:rPr>
          <w:rFonts w:ascii="Times New Roman" w:hAnsi="Times New Roman"/>
          <w:bCs/>
          <w:szCs w:val="24"/>
        </w:rPr>
        <w:t>)</w:t>
      </w:r>
      <w:r w:rsidRPr="00FA3322">
        <w:rPr>
          <w:rFonts w:ascii="Times New Roman" w:hAnsi="Times New Roman"/>
          <w:bCs/>
          <w:szCs w:val="24"/>
        </w:rPr>
        <w:t xml:space="preserve">, and percentage of students from low-income families (eligible for Title-I programs versus others). </w:t>
      </w:r>
    </w:p>
    <w:p w:rsidRPr="00FA3322" w:rsidR="00FA3322" w:rsidP="00FA3322" w:rsidRDefault="00FA3322" w14:paraId="5BB4A0D5" w14:textId="77777777">
      <w:pPr>
        <w:tabs>
          <w:tab w:val="left" w:pos="-720"/>
          <w:tab w:val="left" w:pos="1247"/>
        </w:tabs>
        <w:suppressAutoHyphens/>
        <w:ind w:left="720"/>
        <w:rPr>
          <w:rFonts w:ascii="Times New Roman" w:hAnsi="Times New Roman"/>
          <w:bCs/>
          <w:szCs w:val="24"/>
        </w:rPr>
      </w:pPr>
    </w:p>
    <w:p w:rsidR="00534B4A" w:rsidP="00FA3322" w:rsidRDefault="00063EEB" w14:paraId="11913608" w14:textId="550405AF">
      <w:pPr>
        <w:tabs>
          <w:tab w:val="left" w:pos="-720"/>
          <w:tab w:val="left" w:pos="1247"/>
        </w:tabs>
        <w:suppressAutoHyphens/>
        <w:ind w:left="720"/>
        <w:rPr>
          <w:rFonts w:ascii="Times New Roman" w:hAnsi="Times New Roman"/>
          <w:bCs/>
          <w:szCs w:val="24"/>
        </w:rPr>
      </w:pPr>
      <w:r>
        <w:rPr>
          <w:rFonts w:ascii="Times New Roman" w:hAnsi="Times New Roman"/>
          <w:bCs/>
          <w:szCs w:val="24"/>
        </w:rPr>
        <w:t xml:space="preserve">Due to the </w:t>
      </w:r>
      <w:r w:rsidR="00B3050D">
        <w:rPr>
          <w:rFonts w:ascii="Times New Roman" w:hAnsi="Times New Roman"/>
          <w:bCs/>
          <w:szCs w:val="24"/>
        </w:rPr>
        <w:t>complex</w:t>
      </w:r>
      <w:r w:rsidRPr="00FA3322" w:rsidR="00FA3322">
        <w:rPr>
          <w:rFonts w:ascii="Times New Roman" w:hAnsi="Times New Roman"/>
          <w:bCs/>
          <w:szCs w:val="24"/>
        </w:rPr>
        <w:t xml:space="preserve"> sampling design, the variances of the estimates from the National Charter School Facility Survey (e.g., estimates of proportions) may differ from what would be expected from data collected with a simple random sample. Not taking the complex sample design into account can lead to an under- or over-estimation of the standard errors associated with such estimates. Therefore, we will use a computer program </w:t>
      </w:r>
      <w:proofErr w:type="spellStart"/>
      <w:r w:rsidRPr="00FA3322" w:rsidR="00FA3322">
        <w:rPr>
          <w:rFonts w:ascii="Times New Roman" w:hAnsi="Times New Roman"/>
          <w:bCs/>
          <w:szCs w:val="24"/>
        </w:rPr>
        <w:t>WesVar</w:t>
      </w:r>
      <w:proofErr w:type="spellEnd"/>
      <w:r w:rsidRPr="00FA3322" w:rsidR="00FA3322">
        <w:rPr>
          <w:rFonts w:ascii="Times New Roman" w:hAnsi="Times New Roman"/>
          <w:bCs/>
          <w:szCs w:val="24"/>
        </w:rPr>
        <w:t xml:space="preserve"> to implement techniques such as jackknife replication (JK1) to compute estimates of standard errors.</w:t>
      </w:r>
    </w:p>
    <w:p w:rsidR="00BA24AD" w:rsidP="00FA3322" w:rsidRDefault="00BA24AD" w14:paraId="165ADCA0" w14:textId="17CEFADB">
      <w:pPr>
        <w:tabs>
          <w:tab w:val="left" w:pos="-720"/>
          <w:tab w:val="left" w:pos="1247"/>
        </w:tabs>
        <w:suppressAutoHyphens/>
        <w:ind w:left="720"/>
        <w:rPr>
          <w:rFonts w:ascii="Times New Roman" w:hAnsi="Times New Roman"/>
          <w:bCs/>
          <w:szCs w:val="24"/>
        </w:rPr>
      </w:pPr>
    </w:p>
    <w:p w:rsidR="00BA24AD" w:rsidP="00BA24AD" w:rsidRDefault="00BA24AD" w14:paraId="7A7A53CF" w14:textId="2442D2E8">
      <w:pPr>
        <w:tabs>
          <w:tab w:val="left" w:pos="-720"/>
          <w:tab w:val="left" w:pos="1247"/>
        </w:tabs>
        <w:suppressAutoHyphens/>
        <w:ind w:left="720"/>
        <w:rPr>
          <w:rFonts w:ascii="Times New Roman" w:hAnsi="Times New Roman"/>
          <w:bCs/>
          <w:szCs w:val="24"/>
        </w:rPr>
      </w:pPr>
      <w:r>
        <w:rPr>
          <w:rFonts w:ascii="Times New Roman" w:hAnsi="Times New Roman"/>
          <w:bCs/>
          <w:szCs w:val="24"/>
        </w:rPr>
        <w:lastRenderedPageBreak/>
        <w:t>The data collection needs to start no later than May 2021 and complete no later than December</w:t>
      </w:r>
      <w:r w:rsidRPr="00BA24AD">
        <w:rPr>
          <w:rFonts w:ascii="Times New Roman" w:hAnsi="Times New Roman"/>
          <w:bCs/>
          <w:szCs w:val="24"/>
        </w:rPr>
        <w:t xml:space="preserve"> 202</w:t>
      </w:r>
      <w:r>
        <w:rPr>
          <w:rFonts w:ascii="Times New Roman" w:hAnsi="Times New Roman"/>
          <w:bCs/>
          <w:szCs w:val="24"/>
        </w:rPr>
        <w:t xml:space="preserve">1. The results of the data collection will be reported and published by September 2023. </w:t>
      </w:r>
    </w:p>
    <w:p w:rsidRPr="00FA3322" w:rsidR="00FA3322" w:rsidP="00FA3322" w:rsidRDefault="00FA3322" w14:paraId="0D52D187" w14:textId="77777777">
      <w:pPr>
        <w:tabs>
          <w:tab w:val="left" w:pos="-720"/>
          <w:tab w:val="left" w:pos="1247"/>
        </w:tabs>
        <w:suppressAutoHyphens/>
        <w:ind w:left="720"/>
        <w:rPr>
          <w:rFonts w:ascii="Times New Roman" w:hAnsi="Times New Roman"/>
          <w:bCs/>
          <w:szCs w:val="24"/>
        </w:rPr>
      </w:pPr>
    </w:p>
    <w:p w:rsidRPr="00534B4A" w:rsidR="00043C32" w:rsidP="00AD381B" w:rsidRDefault="00043C32" w14:paraId="0AD293AC"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4B77DAE4" w14:textId="77777777">
      <w:pPr>
        <w:tabs>
          <w:tab w:val="left" w:pos="-720"/>
        </w:tabs>
        <w:suppressAutoHyphens/>
        <w:ind w:left="360"/>
        <w:rPr>
          <w:rFonts w:ascii="Times New Roman" w:hAnsi="Times New Roman"/>
          <w:b/>
          <w:szCs w:val="24"/>
        </w:rPr>
      </w:pPr>
    </w:p>
    <w:p w:rsidR="00534B4A" w:rsidP="00FA3322" w:rsidRDefault="00FA3322" w14:paraId="50153984" w14:textId="3C3106E7">
      <w:pPr>
        <w:tabs>
          <w:tab w:val="left" w:pos="-720"/>
          <w:tab w:val="left" w:pos="1247"/>
        </w:tabs>
        <w:suppressAutoHyphens/>
        <w:ind w:left="720"/>
        <w:rPr>
          <w:rFonts w:ascii="Times New Roman" w:hAnsi="Times New Roman"/>
          <w:bCs/>
          <w:szCs w:val="24"/>
        </w:rPr>
      </w:pPr>
      <w:r w:rsidRPr="00FA3322">
        <w:rPr>
          <w:rFonts w:ascii="Times New Roman" w:hAnsi="Times New Roman"/>
          <w:bCs/>
          <w:szCs w:val="24"/>
        </w:rPr>
        <w:t>We will display the expiration date for OMB approval.</w:t>
      </w:r>
    </w:p>
    <w:p w:rsidRPr="00FA3322" w:rsidR="00FA3322" w:rsidP="00FA3322" w:rsidRDefault="00FA3322" w14:paraId="3FE2A323" w14:textId="77777777">
      <w:pPr>
        <w:tabs>
          <w:tab w:val="left" w:pos="-720"/>
          <w:tab w:val="left" w:pos="1247"/>
        </w:tabs>
        <w:suppressAutoHyphens/>
        <w:ind w:left="720"/>
        <w:rPr>
          <w:rFonts w:ascii="Times New Roman" w:hAnsi="Times New Roman"/>
          <w:bCs/>
          <w:szCs w:val="24"/>
        </w:rPr>
      </w:pPr>
    </w:p>
    <w:p w:rsidR="001C73C0" w:rsidP="00AD381B" w:rsidRDefault="00043C32" w14:paraId="594C4AE1" w14:textId="749939AC">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FA3322" w:rsidP="00FA3322" w:rsidRDefault="00FA3322" w14:paraId="35467206" w14:textId="6A911171">
      <w:pPr>
        <w:pStyle w:val="ListParagraph"/>
        <w:tabs>
          <w:tab w:val="left" w:pos="-720"/>
        </w:tabs>
        <w:suppressAutoHyphens/>
        <w:ind w:left="900"/>
        <w:rPr>
          <w:rStyle w:val="a"/>
          <w:rFonts w:ascii="Times New Roman" w:hAnsi="Times New Roman"/>
          <w:b/>
          <w:szCs w:val="24"/>
        </w:rPr>
      </w:pPr>
    </w:p>
    <w:p w:rsidR="00DE55A5" w:rsidP="008A4B7A" w:rsidRDefault="00DE55A5" w14:paraId="13D722E3" w14:textId="67B0EBBB">
      <w:pPr>
        <w:pStyle w:val="Style"/>
        <w:ind w:left="990"/>
        <w:rPr>
          <w:szCs w:val="24"/>
        </w:rPr>
      </w:pPr>
      <w:r>
        <w:rPr>
          <w:szCs w:val="24"/>
        </w:rPr>
        <w:t>There is no exception to the certifications.</w:t>
      </w:r>
    </w:p>
    <w:p w:rsidRPr="00FA3322" w:rsidR="00FA3322" w:rsidP="00FA3322" w:rsidRDefault="00FA3322" w14:paraId="5A56FDE8" w14:textId="3F62281F">
      <w:pPr>
        <w:pStyle w:val="ListParagraph"/>
        <w:tabs>
          <w:tab w:val="left" w:pos="-720"/>
        </w:tabs>
        <w:suppressAutoHyphens/>
        <w:ind w:left="900"/>
        <w:rPr>
          <w:rFonts w:ascii="Times New Roman" w:hAnsi="Times New Roman"/>
          <w:bCs/>
          <w:szCs w:val="24"/>
        </w:rPr>
      </w:pPr>
    </w:p>
    <w:sectPr w:rsidRPr="00FA3322" w:rsidR="00FA3322"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D3007" w14:textId="77777777" w:rsidR="00012591" w:rsidRDefault="00012591" w:rsidP="00043C32">
      <w:r>
        <w:separator/>
      </w:r>
    </w:p>
  </w:endnote>
  <w:endnote w:type="continuationSeparator" w:id="0">
    <w:p w14:paraId="5315EBE0" w14:textId="77777777" w:rsidR="00012591" w:rsidRDefault="00012591" w:rsidP="00043C32">
      <w:r>
        <w:continuationSeparator/>
      </w:r>
    </w:p>
  </w:endnote>
  <w:endnote w:type="continuationNotice" w:id="1">
    <w:p w14:paraId="1DD079EE" w14:textId="77777777" w:rsidR="00012591" w:rsidRDefault="00012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8C063" w14:textId="77777777" w:rsidR="001F2F4D" w:rsidRDefault="001F2F4D">
    <w:pPr>
      <w:spacing w:before="140" w:line="100" w:lineRule="exact"/>
      <w:rPr>
        <w:sz w:val="10"/>
      </w:rPr>
    </w:pPr>
  </w:p>
  <w:p w14:paraId="41293BF4" w14:textId="77777777" w:rsidR="001F2F4D" w:rsidRDefault="001F2F4D">
    <w:pPr>
      <w:tabs>
        <w:tab w:val="left" w:pos="0"/>
      </w:tabs>
      <w:suppressAutoHyphens/>
    </w:pPr>
  </w:p>
  <w:p w14:paraId="65EDDD00" w14:textId="77777777" w:rsidR="001F2F4D" w:rsidRDefault="001F2F4D">
    <w:pPr>
      <w:tabs>
        <w:tab w:val="left" w:pos="0"/>
      </w:tabs>
      <w:suppressAutoHyphens/>
    </w:pPr>
    <w:r>
      <w:rPr>
        <w:noProof/>
      </w:rPr>
      <mc:AlternateContent>
        <mc:Choice Requires="wps">
          <w:drawing>
            <wp:inline distT="0" distB="0" distL="0" distR="0" wp14:anchorId="451E4C88" wp14:editId="366AE376">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4F0B8E1" w14:textId="77777777" w:rsidR="001F2F4D" w:rsidRPr="00534B4A" w:rsidRDefault="001F2F4D">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451E4C88"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4F0B8E1" w14:textId="77777777" w:rsidR="001F2F4D" w:rsidRPr="00534B4A" w:rsidRDefault="001F2F4D">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0D25F" w14:textId="77777777" w:rsidR="00012591" w:rsidRDefault="00012591" w:rsidP="00043C32">
      <w:r>
        <w:separator/>
      </w:r>
    </w:p>
  </w:footnote>
  <w:footnote w:type="continuationSeparator" w:id="0">
    <w:p w14:paraId="75F9EE1B" w14:textId="77777777" w:rsidR="00012591" w:rsidRDefault="00012591" w:rsidP="00043C32">
      <w:r>
        <w:continuationSeparator/>
      </w:r>
    </w:p>
  </w:footnote>
  <w:footnote w:type="continuationNotice" w:id="1">
    <w:p w14:paraId="2EAB0DD7" w14:textId="77777777" w:rsidR="00012591" w:rsidRDefault="00012591"/>
  </w:footnote>
  <w:footnote w:id="2">
    <w:p w14:paraId="22D854C1" w14:textId="1860D447" w:rsidR="001F2F4D" w:rsidRPr="00B3050D" w:rsidRDefault="001F2F4D">
      <w:pPr>
        <w:pStyle w:val="FootnoteText"/>
        <w:rPr>
          <w:rFonts w:ascii="Times New Roman" w:hAnsi="Times New Roman"/>
          <w:sz w:val="20"/>
        </w:rPr>
      </w:pPr>
      <w:r w:rsidRPr="00B3050D">
        <w:rPr>
          <w:rStyle w:val="FootnoteReference"/>
          <w:rFonts w:ascii="Times New Roman" w:hAnsi="Times New Roman"/>
          <w:sz w:val="20"/>
        </w:rPr>
        <w:footnoteRef/>
      </w:r>
      <w:r w:rsidRPr="00B3050D">
        <w:rPr>
          <w:rFonts w:ascii="Times New Roman" w:hAnsi="Times New Roman"/>
          <w:sz w:val="20"/>
        </w:rPr>
        <w:t xml:space="preserve"> https://www.gao.gov/assets/710/707374.pdf</w:t>
      </w:r>
    </w:p>
  </w:footnote>
  <w:footnote w:id="3">
    <w:p w14:paraId="64286C69" w14:textId="1E8F26E6" w:rsidR="001F2F4D" w:rsidRDefault="001F2F4D">
      <w:pPr>
        <w:pStyle w:val="FootnoteText"/>
      </w:pPr>
      <w:r w:rsidRPr="008A4B7A">
        <w:rPr>
          <w:rStyle w:val="FootnoteReference"/>
          <w:rFonts w:ascii="Times New Roman" w:hAnsi="Times New Roman"/>
          <w:sz w:val="20"/>
        </w:rPr>
        <w:footnoteRef/>
      </w:r>
      <w:r w:rsidRPr="008A4B7A">
        <w:rPr>
          <w:rStyle w:val="FootnoteReference"/>
          <w:rFonts w:ascii="Times New Roman" w:hAnsi="Times New Roman"/>
          <w:sz w:val="20"/>
        </w:rPr>
        <w:t xml:space="preserve"> </w:t>
      </w:r>
      <w:r w:rsidRPr="008A4B7A">
        <w:rPr>
          <w:rFonts w:ascii="Times New Roman" w:hAnsi="Times New Roman"/>
          <w:sz w:val="20"/>
        </w:rPr>
        <w:t>https://www.publiccharters.org/our-work/what-we-stand-for/partners</w:t>
      </w:r>
    </w:p>
  </w:footnote>
  <w:footnote w:id="4">
    <w:p w14:paraId="66A60163" w14:textId="5F214039" w:rsidR="00E8427C" w:rsidRDefault="00E8427C">
      <w:pPr>
        <w:pStyle w:val="FootnoteText"/>
      </w:pPr>
      <w:r>
        <w:rPr>
          <w:rStyle w:val="FootnoteReference"/>
        </w:rPr>
        <w:footnoteRef/>
      </w:r>
      <w:r>
        <w:t xml:space="preserve"> </w:t>
      </w:r>
      <w:r w:rsidRPr="00E8427C">
        <w:rPr>
          <w:rFonts w:ascii="Tahoma" w:hAnsi="Tahoma" w:cs="Tahoma"/>
          <w:color w:val="333333"/>
          <w:sz w:val="18"/>
          <w:szCs w:val="18"/>
          <w:shd w:val="clear" w:color="auto" w:fill="F5F7F9"/>
        </w:rPr>
        <w:t>https://www.bls.gov/oes/current/oes119032.htm</w:t>
      </w:r>
    </w:p>
  </w:footnote>
  <w:footnote w:id="5">
    <w:p w14:paraId="3DA4E87B" w14:textId="77777777" w:rsidR="001F2F4D" w:rsidRDefault="001F2F4D"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6">
    <w:p w14:paraId="1114F679" w14:textId="49DD61EB" w:rsidR="001F2F4D" w:rsidRPr="001109D6" w:rsidRDefault="001F2F4D">
      <w:pPr>
        <w:pStyle w:val="FootnoteText"/>
        <w:rPr>
          <w:rFonts w:ascii="Times New Roman" w:hAnsi="Times New Roman"/>
        </w:rPr>
      </w:pPr>
      <w:r w:rsidRPr="001109D6">
        <w:rPr>
          <w:rStyle w:val="FootnoteReference"/>
          <w:rFonts w:ascii="Times New Roman" w:hAnsi="Times New Roman"/>
        </w:rPr>
        <w:footnoteRef/>
      </w:r>
      <w:hyperlink r:id="rId1" w:history="1">
        <w:r w:rsidRPr="001109D6">
          <w:rPr>
            <w:rStyle w:val="Hyperlink"/>
            <w:rFonts w:ascii="Times New Roman" w:hAnsi="Times New Roman"/>
          </w:rPr>
          <w:t>https://www.bls.gov/oes/current/oes119032.htm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SwMLewNDEzMzI1tjRX0lEKTi0uzszPAykwNKoFAHWdeMMtAAAA"/>
  </w:docVars>
  <w:rsids>
    <w:rsidRoot w:val="00043C32"/>
    <w:rsid w:val="00004753"/>
    <w:rsid w:val="000077A5"/>
    <w:rsid w:val="00010D85"/>
    <w:rsid w:val="00012591"/>
    <w:rsid w:val="00015FBA"/>
    <w:rsid w:val="0001619D"/>
    <w:rsid w:val="00031801"/>
    <w:rsid w:val="00035DFC"/>
    <w:rsid w:val="00035ED5"/>
    <w:rsid w:val="0003620B"/>
    <w:rsid w:val="00041A1F"/>
    <w:rsid w:val="00043C32"/>
    <w:rsid w:val="000446F5"/>
    <w:rsid w:val="00054B03"/>
    <w:rsid w:val="0006292E"/>
    <w:rsid w:val="00063EEB"/>
    <w:rsid w:val="00064AC3"/>
    <w:rsid w:val="000668CC"/>
    <w:rsid w:val="00067353"/>
    <w:rsid w:val="00067E25"/>
    <w:rsid w:val="0007768C"/>
    <w:rsid w:val="0007783B"/>
    <w:rsid w:val="00082434"/>
    <w:rsid w:val="00085473"/>
    <w:rsid w:val="00093017"/>
    <w:rsid w:val="000A2350"/>
    <w:rsid w:val="000A3BB9"/>
    <w:rsid w:val="000B050A"/>
    <w:rsid w:val="000B0D99"/>
    <w:rsid w:val="000B7E74"/>
    <w:rsid w:val="000C0163"/>
    <w:rsid w:val="000D799C"/>
    <w:rsid w:val="000E07A4"/>
    <w:rsid w:val="000F0EB4"/>
    <w:rsid w:val="00104CEC"/>
    <w:rsid w:val="001109D6"/>
    <w:rsid w:val="0011399F"/>
    <w:rsid w:val="00121781"/>
    <w:rsid w:val="00126F8D"/>
    <w:rsid w:val="0013313E"/>
    <w:rsid w:val="00147CF3"/>
    <w:rsid w:val="0015496D"/>
    <w:rsid w:val="00163041"/>
    <w:rsid w:val="0017241E"/>
    <w:rsid w:val="00180DD2"/>
    <w:rsid w:val="001824F3"/>
    <w:rsid w:val="00184A53"/>
    <w:rsid w:val="00187DC0"/>
    <w:rsid w:val="00191150"/>
    <w:rsid w:val="00194846"/>
    <w:rsid w:val="001A6AE0"/>
    <w:rsid w:val="001C4A40"/>
    <w:rsid w:val="001C70DA"/>
    <w:rsid w:val="001C73C0"/>
    <w:rsid w:val="001D7D50"/>
    <w:rsid w:val="001E0ABC"/>
    <w:rsid w:val="001E23D8"/>
    <w:rsid w:val="001E4ABE"/>
    <w:rsid w:val="001E697E"/>
    <w:rsid w:val="001E79BD"/>
    <w:rsid w:val="001F0312"/>
    <w:rsid w:val="001F2F4D"/>
    <w:rsid w:val="001F3B71"/>
    <w:rsid w:val="001F6E81"/>
    <w:rsid w:val="00201435"/>
    <w:rsid w:val="002109A0"/>
    <w:rsid w:val="00213523"/>
    <w:rsid w:val="002225CC"/>
    <w:rsid w:val="0022391E"/>
    <w:rsid w:val="00224A3B"/>
    <w:rsid w:val="00226B13"/>
    <w:rsid w:val="00237F5D"/>
    <w:rsid w:val="00240A39"/>
    <w:rsid w:val="0024462C"/>
    <w:rsid w:val="00246FE9"/>
    <w:rsid w:val="00250100"/>
    <w:rsid w:val="00257A00"/>
    <w:rsid w:val="00260CEC"/>
    <w:rsid w:val="00262A69"/>
    <w:rsid w:val="0026458F"/>
    <w:rsid w:val="00266A10"/>
    <w:rsid w:val="00267250"/>
    <w:rsid w:val="0027084D"/>
    <w:rsid w:val="00270AF7"/>
    <w:rsid w:val="00273809"/>
    <w:rsid w:val="002A15A6"/>
    <w:rsid w:val="002A3221"/>
    <w:rsid w:val="002A3755"/>
    <w:rsid w:val="002A5BA9"/>
    <w:rsid w:val="002B3BE1"/>
    <w:rsid w:val="002B71DA"/>
    <w:rsid w:val="002C1148"/>
    <w:rsid w:val="002C3520"/>
    <w:rsid w:val="002C365D"/>
    <w:rsid w:val="002D0B40"/>
    <w:rsid w:val="002D49C1"/>
    <w:rsid w:val="002D552C"/>
    <w:rsid w:val="002D79E4"/>
    <w:rsid w:val="002E14E0"/>
    <w:rsid w:val="002F0EB4"/>
    <w:rsid w:val="002F55E5"/>
    <w:rsid w:val="00305C43"/>
    <w:rsid w:val="0032078A"/>
    <w:rsid w:val="00321FAC"/>
    <w:rsid w:val="00324F43"/>
    <w:rsid w:val="0032539E"/>
    <w:rsid w:val="0032771E"/>
    <w:rsid w:val="003311D4"/>
    <w:rsid w:val="00347E9D"/>
    <w:rsid w:val="00350FB6"/>
    <w:rsid w:val="003536F8"/>
    <w:rsid w:val="00362063"/>
    <w:rsid w:val="0036338C"/>
    <w:rsid w:val="00365E06"/>
    <w:rsid w:val="003667BE"/>
    <w:rsid w:val="00385E72"/>
    <w:rsid w:val="003860E4"/>
    <w:rsid w:val="003A1055"/>
    <w:rsid w:val="003B1545"/>
    <w:rsid w:val="003B59DE"/>
    <w:rsid w:val="003C1DF3"/>
    <w:rsid w:val="003C4496"/>
    <w:rsid w:val="003C4964"/>
    <w:rsid w:val="003C6314"/>
    <w:rsid w:val="003D7F88"/>
    <w:rsid w:val="003E4DC5"/>
    <w:rsid w:val="003F4B8E"/>
    <w:rsid w:val="00400D80"/>
    <w:rsid w:val="00401D68"/>
    <w:rsid w:val="0040636E"/>
    <w:rsid w:val="00411F9D"/>
    <w:rsid w:val="00412915"/>
    <w:rsid w:val="0041571F"/>
    <w:rsid w:val="00415C1E"/>
    <w:rsid w:val="004221BC"/>
    <w:rsid w:val="0042385B"/>
    <w:rsid w:val="00442E07"/>
    <w:rsid w:val="00450581"/>
    <w:rsid w:val="0045169E"/>
    <w:rsid w:val="00452840"/>
    <w:rsid w:val="00455870"/>
    <w:rsid w:val="00464038"/>
    <w:rsid w:val="00464436"/>
    <w:rsid w:val="004809EE"/>
    <w:rsid w:val="00481547"/>
    <w:rsid w:val="00490650"/>
    <w:rsid w:val="004A3F47"/>
    <w:rsid w:val="004B6E8E"/>
    <w:rsid w:val="004C4E8D"/>
    <w:rsid w:val="004D0C28"/>
    <w:rsid w:val="004D247A"/>
    <w:rsid w:val="004D58EF"/>
    <w:rsid w:val="004E16AC"/>
    <w:rsid w:val="004F225F"/>
    <w:rsid w:val="00514D28"/>
    <w:rsid w:val="0052073E"/>
    <w:rsid w:val="0052080F"/>
    <w:rsid w:val="0052520D"/>
    <w:rsid w:val="005309CD"/>
    <w:rsid w:val="00530C67"/>
    <w:rsid w:val="00532C69"/>
    <w:rsid w:val="00533B78"/>
    <w:rsid w:val="00534B4A"/>
    <w:rsid w:val="005463E3"/>
    <w:rsid w:val="00552196"/>
    <w:rsid w:val="005665C5"/>
    <w:rsid w:val="00571085"/>
    <w:rsid w:val="0057606C"/>
    <w:rsid w:val="0057732D"/>
    <w:rsid w:val="00581C11"/>
    <w:rsid w:val="00585DA0"/>
    <w:rsid w:val="00587D53"/>
    <w:rsid w:val="00592850"/>
    <w:rsid w:val="005C1FB2"/>
    <w:rsid w:val="005D15DB"/>
    <w:rsid w:val="005D2ECD"/>
    <w:rsid w:val="005D75CA"/>
    <w:rsid w:val="005E0352"/>
    <w:rsid w:val="005E7084"/>
    <w:rsid w:val="005F0308"/>
    <w:rsid w:val="00617A1F"/>
    <w:rsid w:val="00621B0B"/>
    <w:rsid w:val="00631E4D"/>
    <w:rsid w:val="00633555"/>
    <w:rsid w:val="006433C7"/>
    <w:rsid w:val="00663AA4"/>
    <w:rsid w:val="00665CE9"/>
    <w:rsid w:val="00666C6D"/>
    <w:rsid w:val="00676425"/>
    <w:rsid w:val="00681D05"/>
    <w:rsid w:val="0068567A"/>
    <w:rsid w:val="006A292A"/>
    <w:rsid w:val="006A38F7"/>
    <w:rsid w:val="006A4EBB"/>
    <w:rsid w:val="006A5F4D"/>
    <w:rsid w:val="006B1FD6"/>
    <w:rsid w:val="006B4172"/>
    <w:rsid w:val="006D2385"/>
    <w:rsid w:val="006D23BF"/>
    <w:rsid w:val="006D5E4B"/>
    <w:rsid w:val="006E0068"/>
    <w:rsid w:val="006F036E"/>
    <w:rsid w:val="00715786"/>
    <w:rsid w:val="00725D2B"/>
    <w:rsid w:val="007403E6"/>
    <w:rsid w:val="00740A45"/>
    <w:rsid w:val="00746A13"/>
    <w:rsid w:val="00747A7C"/>
    <w:rsid w:val="007522F9"/>
    <w:rsid w:val="00752CC0"/>
    <w:rsid w:val="00752FB3"/>
    <w:rsid w:val="00755D99"/>
    <w:rsid w:val="00756FD3"/>
    <w:rsid w:val="00762985"/>
    <w:rsid w:val="00765392"/>
    <w:rsid w:val="00782E63"/>
    <w:rsid w:val="00785259"/>
    <w:rsid w:val="00790E3E"/>
    <w:rsid w:val="007A445C"/>
    <w:rsid w:val="007B0E0E"/>
    <w:rsid w:val="007C0A4C"/>
    <w:rsid w:val="007C54A0"/>
    <w:rsid w:val="007D2E3C"/>
    <w:rsid w:val="007E0BB4"/>
    <w:rsid w:val="007F50C0"/>
    <w:rsid w:val="007F6104"/>
    <w:rsid w:val="00800D30"/>
    <w:rsid w:val="00807D1A"/>
    <w:rsid w:val="00816D47"/>
    <w:rsid w:val="00822FE8"/>
    <w:rsid w:val="00827FAE"/>
    <w:rsid w:val="00835F84"/>
    <w:rsid w:val="00836D43"/>
    <w:rsid w:val="0084360B"/>
    <w:rsid w:val="008466AF"/>
    <w:rsid w:val="0085783F"/>
    <w:rsid w:val="00871E25"/>
    <w:rsid w:val="00874EFE"/>
    <w:rsid w:val="00877661"/>
    <w:rsid w:val="00882126"/>
    <w:rsid w:val="00883038"/>
    <w:rsid w:val="00891244"/>
    <w:rsid w:val="008933F1"/>
    <w:rsid w:val="008A3917"/>
    <w:rsid w:val="008A4B7A"/>
    <w:rsid w:val="008B56E2"/>
    <w:rsid w:val="008C5BAF"/>
    <w:rsid w:val="008D0601"/>
    <w:rsid w:val="008D1F11"/>
    <w:rsid w:val="008E0458"/>
    <w:rsid w:val="008E5919"/>
    <w:rsid w:val="008F47A8"/>
    <w:rsid w:val="008F4B6D"/>
    <w:rsid w:val="0090558F"/>
    <w:rsid w:val="00905951"/>
    <w:rsid w:val="00912D2C"/>
    <w:rsid w:val="00916EE4"/>
    <w:rsid w:val="00920D94"/>
    <w:rsid w:val="00920F63"/>
    <w:rsid w:val="009243F3"/>
    <w:rsid w:val="00925CC6"/>
    <w:rsid w:val="00927966"/>
    <w:rsid w:val="009309DD"/>
    <w:rsid w:val="0093366B"/>
    <w:rsid w:val="00934185"/>
    <w:rsid w:val="00944CBE"/>
    <w:rsid w:val="00946126"/>
    <w:rsid w:val="00952DF9"/>
    <w:rsid w:val="0095421D"/>
    <w:rsid w:val="009550D6"/>
    <w:rsid w:val="00956B24"/>
    <w:rsid w:val="00960C86"/>
    <w:rsid w:val="00963159"/>
    <w:rsid w:val="009761A7"/>
    <w:rsid w:val="009767AF"/>
    <w:rsid w:val="00981F58"/>
    <w:rsid w:val="00986D0A"/>
    <w:rsid w:val="0099162A"/>
    <w:rsid w:val="009948EA"/>
    <w:rsid w:val="009B2107"/>
    <w:rsid w:val="009B257E"/>
    <w:rsid w:val="009C7FFA"/>
    <w:rsid w:val="009E3E86"/>
    <w:rsid w:val="00A025C4"/>
    <w:rsid w:val="00A06249"/>
    <w:rsid w:val="00A070C8"/>
    <w:rsid w:val="00A10441"/>
    <w:rsid w:val="00A118A2"/>
    <w:rsid w:val="00A2338F"/>
    <w:rsid w:val="00A23F26"/>
    <w:rsid w:val="00A37A51"/>
    <w:rsid w:val="00A4001C"/>
    <w:rsid w:val="00A407A1"/>
    <w:rsid w:val="00A40AAB"/>
    <w:rsid w:val="00A46D01"/>
    <w:rsid w:val="00A535E3"/>
    <w:rsid w:val="00A56BAB"/>
    <w:rsid w:val="00A659E0"/>
    <w:rsid w:val="00A70816"/>
    <w:rsid w:val="00A7636D"/>
    <w:rsid w:val="00A84D4B"/>
    <w:rsid w:val="00A87391"/>
    <w:rsid w:val="00A87892"/>
    <w:rsid w:val="00A9138E"/>
    <w:rsid w:val="00A977C7"/>
    <w:rsid w:val="00AB1E16"/>
    <w:rsid w:val="00AB3EC6"/>
    <w:rsid w:val="00AC1C89"/>
    <w:rsid w:val="00AC6425"/>
    <w:rsid w:val="00AD2A84"/>
    <w:rsid w:val="00AD381B"/>
    <w:rsid w:val="00AE7D9D"/>
    <w:rsid w:val="00AF16B9"/>
    <w:rsid w:val="00AF2669"/>
    <w:rsid w:val="00AF5B5B"/>
    <w:rsid w:val="00AF5D1A"/>
    <w:rsid w:val="00B017F9"/>
    <w:rsid w:val="00B07213"/>
    <w:rsid w:val="00B1020D"/>
    <w:rsid w:val="00B10A05"/>
    <w:rsid w:val="00B122B9"/>
    <w:rsid w:val="00B23571"/>
    <w:rsid w:val="00B23F1F"/>
    <w:rsid w:val="00B3050D"/>
    <w:rsid w:val="00B43D77"/>
    <w:rsid w:val="00B45738"/>
    <w:rsid w:val="00B5160A"/>
    <w:rsid w:val="00B522B3"/>
    <w:rsid w:val="00B54167"/>
    <w:rsid w:val="00B62E06"/>
    <w:rsid w:val="00B64B1D"/>
    <w:rsid w:val="00B924FE"/>
    <w:rsid w:val="00B94C99"/>
    <w:rsid w:val="00B9609B"/>
    <w:rsid w:val="00B9671B"/>
    <w:rsid w:val="00BA1D31"/>
    <w:rsid w:val="00BA24AD"/>
    <w:rsid w:val="00BA7FE0"/>
    <w:rsid w:val="00BB53D9"/>
    <w:rsid w:val="00BB6CF7"/>
    <w:rsid w:val="00BC5A4B"/>
    <w:rsid w:val="00BD646A"/>
    <w:rsid w:val="00BE7A1F"/>
    <w:rsid w:val="00C0431C"/>
    <w:rsid w:val="00C108CC"/>
    <w:rsid w:val="00C164D3"/>
    <w:rsid w:val="00C20670"/>
    <w:rsid w:val="00C224FD"/>
    <w:rsid w:val="00C260B8"/>
    <w:rsid w:val="00C26C97"/>
    <w:rsid w:val="00C30C6F"/>
    <w:rsid w:val="00C525CA"/>
    <w:rsid w:val="00C609C7"/>
    <w:rsid w:val="00C60C4E"/>
    <w:rsid w:val="00C6229C"/>
    <w:rsid w:val="00C743D6"/>
    <w:rsid w:val="00C86713"/>
    <w:rsid w:val="00C875E8"/>
    <w:rsid w:val="00C92035"/>
    <w:rsid w:val="00C92AD2"/>
    <w:rsid w:val="00CB445C"/>
    <w:rsid w:val="00CB4A68"/>
    <w:rsid w:val="00CB615C"/>
    <w:rsid w:val="00CC2A72"/>
    <w:rsid w:val="00CC317C"/>
    <w:rsid w:val="00CC3FB5"/>
    <w:rsid w:val="00CC56EF"/>
    <w:rsid w:val="00CD0863"/>
    <w:rsid w:val="00CD2067"/>
    <w:rsid w:val="00CD20C8"/>
    <w:rsid w:val="00CD47BC"/>
    <w:rsid w:val="00CD489C"/>
    <w:rsid w:val="00CD4DF2"/>
    <w:rsid w:val="00CE49FB"/>
    <w:rsid w:val="00CE6DB8"/>
    <w:rsid w:val="00CF249E"/>
    <w:rsid w:val="00CF6E62"/>
    <w:rsid w:val="00D07418"/>
    <w:rsid w:val="00D21917"/>
    <w:rsid w:val="00D23298"/>
    <w:rsid w:val="00D34984"/>
    <w:rsid w:val="00D36C35"/>
    <w:rsid w:val="00D61196"/>
    <w:rsid w:val="00D72742"/>
    <w:rsid w:val="00D75313"/>
    <w:rsid w:val="00D835F4"/>
    <w:rsid w:val="00D84FB3"/>
    <w:rsid w:val="00D86191"/>
    <w:rsid w:val="00D903A2"/>
    <w:rsid w:val="00D96E2E"/>
    <w:rsid w:val="00DA2FB9"/>
    <w:rsid w:val="00DA3F22"/>
    <w:rsid w:val="00DB411E"/>
    <w:rsid w:val="00DB5BC7"/>
    <w:rsid w:val="00DE21D9"/>
    <w:rsid w:val="00DE546E"/>
    <w:rsid w:val="00DE55A5"/>
    <w:rsid w:val="00DE78FB"/>
    <w:rsid w:val="00DF15E3"/>
    <w:rsid w:val="00DF244E"/>
    <w:rsid w:val="00DF2DD6"/>
    <w:rsid w:val="00DF3A4A"/>
    <w:rsid w:val="00E01AD5"/>
    <w:rsid w:val="00E04171"/>
    <w:rsid w:val="00E10844"/>
    <w:rsid w:val="00E12D7E"/>
    <w:rsid w:val="00E16ACD"/>
    <w:rsid w:val="00E17134"/>
    <w:rsid w:val="00E20B94"/>
    <w:rsid w:val="00E235BC"/>
    <w:rsid w:val="00E25EBC"/>
    <w:rsid w:val="00E27F8E"/>
    <w:rsid w:val="00E413F5"/>
    <w:rsid w:val="00E66550"/>
    <w:rsid w:val="00E741E8"/>
    <w:rsid w:val="00E74672"/>
    <w:rsid w:val="00E750B5"/>
    <w:rsid w:val="00E8427C"/>
    <w:rsid w:val="00E877BF"/>
    <w:rsid w:val="00E91837"/>
    <w:rsid w:val="00EA1767"/>
    <w:rsid w:val="00EB0929"/>
    <w:rsid w:val="00EB0FA5"/>
    <w:rsid w:val="00EC01DD"/>
    <w:rsid w:val="00EC1C5E"/>
    <w:rsid w:val="00EC35E3"/>
    <w:rsid w:val="00EC7891"/>
    <w:rsid w:val="00ED7195"/>
    <w:rsid w:val="00EE1551"/>
    <w:rsid w:val="00EE2A62"/>
    <w:rsid w:val="00F0414F"/>
    <w:rsid w:val="00F06A62"/>
    <w:rsid w:val="00F27AAF"/>
    <w:rsid w:val="00F31BEC"/>
    <w:rsid w:val="00F34498"/>
    <w:rsid w:val="00F411E0"/>
    <w:rsid w:val="00F5782B"/>
    <w:rsid w:val="00F63922"/>
    <w:rsid w:val="00F71C88"/>
    <w:rsid w:val="00F73131"/>
    <w:rsid w:val="00F80422"/>
    <w:rsid w:val="00F860AB"/>
    <w:rsid w:val="00F96215"/>
    <w:rsid w:val="00FA3322"/>
    <w:rsid w:val="00FA6B6E"/>
    <w:rsid w:val="00FB7C33"/>
    <w:rsid w:val="00FC0044"/>
    <w:rsid w:val="00FC523F"/>
    <w:rsid w:val="00FC669D"/>
    <w:rsid w:val="00FD4F0B"/>
    <w:rsid w:val="00FD7418"/>
    <w:rsid w:val="00FE02FC"/>
    <w:rsid w:val="00FE0480"/>
    <w:rsid w:val="00FE1BAE"/>
    <w:rsid w:val="00FE48C7"/>
    <w:rsid w:val="00FE6462"/>
    <w:rsid w:val="00FF4296"/>
    <w:rsid w:val="00FF45D4"/>
    <w:rsid w:val="12F51C3D"/>
    <w:rsid w:val="34B2EC1A"/>
    <w:rsid w:val="534AAAF7"/>
    <w:rsid w:val="541209C8"/>
    <w:rsid w:val="5DC0A6C3"/>
    <w:rsid w:val="74BA0B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654AD7"/>
  <w15:docId w15:val="{C57F9659-087E-42FE-ABAD-F793CB61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CF7"/>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uiPriority w:val="20"/>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uiPriority w:val="99"/>
    <w:semiHidden/>
    <w:rsid w:val="00442E07"/>
    <w:pPr>
      <w:tabs>
        <w:tab w:val="left" w:pos="-720"/>
      </w:tabs>
      <w:suppressAutoHyphens/>
    </w:pPr>
  </w:style>
  <w:style w:type="character" w:customStyle="1" w:styleId="EndnoteTextChar">
    <w:name w:val="Endnote Text Char"/>
    <w:basedOn w:val="DefaultParagraphFont"/>
    <w:link w:val="EndnoteText"/>
    <w:uiPriority w:val="99"/>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3E4DC5"/>
    <w:rPr>
      <w:color w:val="800080" w:themeColor="followedHyperlink"/>
      <w:u w:val="single"/>
    </w:rPr>
  </w:style>
  <w:style w:type="paragraph" w:customStyle="1" w:styleId="Style">
    <w:name w:val="Style"/>
    <w:basedOn w:val="Normal"/>
    <w:rsid w:val="00DE55A5"/>
    <w:pPr>
      <w:widowControl w:val="0"/>
      <w:snapToGrid w:val="0"/>
      <w:ind w:left="270" w:hanging="270"/>
    </w:pPr>
    <w:rPr>
      <w:rFonts w:ascii="Times New Roman" w:hAnsi="Times New Roman"/>
    </w:rPr>
  </w:style>
  <w:style w:type="character" w:styleId="EndnoteReference">
    <w:name w:val="endnote reference"/>
    <w:uiPriority w:val="99"/>
    <w:semiHidden/>
    <w:unhideWhenUsed/>
    <w:rsid w:val="00785259"/>
    <w:rPr>
      <w:vertAlign w:val="superscript"/>
    </w:rPr>
  </w:style>
  <w:style w:type="character" w:styleId="HTMLCite">
    <w:name w:val="HTML Cite"/>
    <w:basedOn w:val="DefaultParagraphFont"/>
    <w:uiPriority w:val="99"/>
    <w:semiHidden/>
    <w:unhideWhenUsed/>
    <w:rsid w:val="000B05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934517">
      <w:bodyDiv w:val="1"/>
      <w:marLeft w:val="0"/>
      <w:marRight w:val="0"/>
      <w:marTop w:val="0"/>
      <w:marBottom w:val="0"/>
      <w:divBdr>
        <w:top w:val="none" w:sz="0" w:space="0" w:color="auto"/>
        <w:left w:val="none" w:sz="0" w:space="0" w:color="auto"/>
        <w:bottom w:val="none" w:sz="0" w:space="0" w:color="auto"/>
        <w:right w:val="none" w:sz="0" w:space="0" w:color="auto"/>
      </w:divBdr>
    </w:div>
    <w:div w:id="727463203">
      <w:bodyDiv w:val="1"/>
      <w:marLeft w:val="0"/>
      <w:marRight w:val="0"/>
      <w:marTop w:val="0"/>
      <w:marBottom w:val="0"/>
      <w:divBdr>
        <w:top w:val="none" w:sz="0" w:space="0" w:color="auto"/>
        <w:left w:val="none" w:sz="0" w:space="0" w:color="auto"/>
        <w:bottom w:val="none" w:sz="0" w:space="0" w:color="auto"/>
        <w:right w:val="none" w:sz="0" w:space="0" w:color="auto"/>
      </w:divBdr>
    </w:div>
    <w:div w:id="904293659">
      <w:bodyDiv w:val="1"/>
      <w:marLeft w:val="0"/>
      <w:marRight w:val="0"/>
      <w:marTop w:val="0"/>
      <w:marBottom w:val="0"/>
      <w:divBdr>
        <w:top w:val="none" w:sz="0" w:space="0" w:color="auto"/>
        <w:left w:val="none" w:sz="0" w:space="0" w:color="auto"/>
        <w:bottom w:val="none" w:sz="0" w:space="0" w:color="auto"/>
        <w:right w:val="none" w:sz="0" w:space="0" w:color="auto"/>
      </w:divBdr>
    </w:div>
    <w:div w:id="1087113451">
      <w:bodyDiv w:val="1"/>
      <w:marLeft w:val="0"/>
      <w:marRight w:val="0"/>
      <w:marTop w:val="0"/>
      <w:marBottom w:val="0"/>
      <w:divBdr>
        <w:top w:val="none" w:sz="0" w:space="0" w:color="auto"/>
        <w:left w:val="none" w:sz="0" w:space="0" w:color="auto"/>
        <w:bottom w:val="none" w:sz="0" w:space="0" w:color="auto"/>
        <w:right w:val="none" w:sz="0" w:space="0" w:color="auto"/>
      </w:divBdr>
    </w:div>
    <w:div w:id="1103380121">
      <w:bodyDiv w:val="1"/>
      <w:marLeft w:val="0"/>
      <w:marRight w:val="0"/>
      <w:marTop w:val="0"/>
      <w:marBottom w:val="0"/>
      <w:divBdr>
        <w:top w:val="none" w:sz="0" w:space="0" w:color="auto"/>
        <w:left w:val="none" w:sz="0" w:space="0" w:color="auto"/>
        <w:bottom w:val="none" w:sz="0" w:space="0" w:color="auto"/>
        <w:right w:val="none" w:sz="0" w:space="0" w:color="auto"/>
      </w:divBdr>
    </w:div>
    <w:div w:id="1165826188">
      <w:bodyDiv w:val="1"/>
      <w:marLeft w:val="0"/>
      <w:marRight w:val="0"/>
      <w:marTop w:val="0"/>
      <w:marBottom w:val="0"/>
      <w:divBdr>
        <w:top w:val="none" w:sz="0" w:space="0" w:color="auto"/>
        <w:left w:val="none" w:sz="0" w:space="0" w:color="auto"/>
        <w:bottom w:val="none" w:sz="0" w:space="0" w:color="auto"/>
        <w:right w:val="none" w:sz="0" w:space="0" w:color="auto"/>
      </w:divBdr>
    </w:div>
    <w:div w:id="1241402135">
      <w:bodyDiv w:val="1"/>
      <w:marLeft w:val="0"/>
      <w:marRight w:val="0"/>
      <w:marTop w:val="0"/>
      <w:marBottom w:val="0"/>
      <w:divBdr>
        <w:top w:val="none" w:sz="0" w:space="0" w:color="auto"/>
        <w:left w:val="none" w:sz="0" w:space="0" w:color="auto"/>
        <w:bottom w:val="none" w:sz="0" w:space="0" w:color="auto"/>
        <w:right w:val="none" w:sz="0" w:space="0" w:color="auto"/>
      </w:divBdr>
    </w:div>
    <w:div w:id="1332830287">
      <w:bodyDiv w:val="1"/>
      <w:marLeft w:val="0"/>
      <w:marRight w:val="0"/>
      <w:marTop w:val="0"/>
      <w:marBottom w:val="0"/>
      <w:divBdr>
        <w:top w:val="none" w:sz="0" w:space="0" w:color="auto"/>
        <w:left w:val="none" w:sz="0" w:space="0" w:color="auto"/>
        <w:bottom w:val="none" w:sz="0" w:space="0" w:color="auto"/>
        <w:right w:val="none" w:sz="0" w:space="0" w:color="auto"/>
      </w:divBdr>
    </w:div>
    <w:div w:id="1428848291">
      <w:bodyDiv w:val="1"/>
      <w:marLeft w:val="0"/>
      <w:marRight w:val="0"/>
      <w:marTop w:val="0"/>
      <w:marBottom w:val="0"/>
      <w:divBdr>
        <w:top w:val="none" w:sz="0" w:space="0" w:color="auto"/>
        <w:left w:val="none" w:sz="0" w:space="0" w:color="auto"/>
        <w:bottom w:val="none" w:sz="0" w:space="0" w:color="auto"/>
        <w:right w:val="none" w:sz="0" w:space="0" w:color="auto"/>
      </w:divBdr>
    </w:div>
    <w:div w:id="187067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03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3BD46-EA16-4053-897B-8CEDC1093BB3}">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fffff179-2dab-4947-9fab-f95d58deb4a1"/>
    <ds:schemaRef ds:uri="b534e84d-31bc-4581-84de-2eeea5b49994"/>
    <ds:schemaRef ds:uri="http://www.w3.org/XML/1998/namespace"/>
    <ds:schemaRef ds:uri="http://purl.org/dc/elements/1.1/"/>
  </ds:schemaRefs>
</ds:datastoreItem>
</file>

<file path=customXml/itemProps3.xml><?xml version="1.0" encoding="utf-8"?>
<ds:datastoreItem xmlns:ds="http://schemas.openxmlformats.org/officeDocument/2006/customXml" ds:itemID="{86F29BF8-6320-4210-8F27-40EA71680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4234</Words>
  <Characters>24134</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28312</CharactersWithSpaces>
  <SharedDoc>false</SharedDoc>
  <HLinks>
    <vt:vector size="12" baseType="variant">
      <vt:variant>
        <vt:i4>2818143</vt:i4>
      </vt:variant>
      <vt:variant>
        <vt:i4>0</vt:i4>
      </vt:variant>
      <vt:variant>
        <vt:i4>0</vt:i4>
      </vt:variant>
      <vt:variant>
        <vt:i4>5</vt:i4>
      </vt:variant>
      <vt:variant>
        <vt:lpwstr>https://www.bls.gov/oes/current/oes_nat.html</vt:lpwstr>
      </vt:variant>
      <vt:variant>
        <vt:lpwstr/>
      </vt:variant>
      <vt:variant>
        <vt:i4>4325403</vt:i4>
      </vt:variant>
      <vt:variant>
        <vt:i4>0</vt:i4>
      </vt:variant>
      <vt:variant>
        <vt:i4>0</vt:i4>
      </vt:variant>
      <vt:variant>
        <vt:i4>5</vt:i4>
      </vt:variant>
      <vt:variant>
        <vt:lpwstr>https://www.bls.gov/oes/current/oes119032.htm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dc:description/>
  <cp:lastModifiedBy>Mullan, Kate</cp:lastModifiedBy>
  <cp:revision>2</cp:revision>
  <dcterms:created xsi:type="dcterms:W3CDTF">2021-02-04T14:55:00Z</dcterms:created>
  <dcterms:modified xsi:type="dcterms:W3CDTF">2021-02-04T14:55:00Z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0x0101001C22A2B9DBEDBB4DB130C1FAF5F2F008|-175781640</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