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6785" w:rsidR="00A72BB9" w:rsidP="005845C5" w:rsidRDefault="00A72BB9" w14:paraId="0ADE61B9" w14:textId="77777777">
      <w:pPr>
        <w:spacing w:after="0" w:line="240" w:lineRule="auto"/>
        <w:jc w:val="center"/>
        <w:rPr>
          <w:rFonts w:ascii="Times New Roman" w:hAnsi="Times New Roman" w:cs="Times New Roman"/>
          <w:sz w:val="26"/>
          <w:szCs w:val="26"/>
        </w:rPr>
      </w:pPr>
      <w:r w:rsidRPr="009B6785">
        <w:rPr>
          <w:rFonts w:ascii="Times New Roman" w:hAnsi="Times New Roman" w:cs="Times New Roman"/>
          <w:sz w:val="26"/>
          <w:szCs w:val="26"/>
        </w:rPr>
        <w:t>Supporting Statement</w:t>
      </w:r>
    </w:p>
    <w:p w:rsidRPr="009B6785" w:rsidR="00A72BB9" w:rsidP="005845C5" w:rsidRDefault="00A72BB9" w14:paraId="10579FF2" w14:textId="3F5728A7">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FERC-588</w:t>
      </w:r>
      <w:r w:rsidR="00826AEB">
        <w:rPr>
          <w:rFonts w:ascii="Times New Roman" w:hAnsi="Times New Roman" w:cs="Times New Roman"/>
          <w:b/>
          <w:sz w:val="26"/>
          <w:szCs w:val="26"/>
        </w:rPr>
        <w:t>,</w:t>
      </w:r>
      <w:r w:rsidRPr="009B6785">
        <w:rPr>
          <w:rFonts w:ascii="Times New Roman" w:hAnsi="Times New Roman" w:cs="Times New Roman"/>
          <w:b/>
          <w:sz w:val="26"/>
          <w:szCs w:val="26"/>
        </w:rPr>
        <w:t xml:space="preserve"> Emergency Natural Gas Transportation, </w:t>
      </w:r>
      <w:r w:rsidRPr="009B6785" w:rsidR="003E402D">
        <w:rPr>
          <w:rFonts w:ascii="Times New Roman" w:hAnsi="Times New Roman" w:cs="Times New Roman"/>
          <w:b/>
          <w:sz w:val="26"/>
          <w:szCs w:val="26"/>
        </w:rPr>
        <w:t xml:space="preserve">Sale, </w:t>
      </w:r>
      <w:r w:rsidRPr="009B6785">
        <w:rPr>
          <w:rFonts w:ascii="Times New Roman" w:hAnsi="Times New Roman" w:cs="Times New Roman"/>
          <w:b/>
          <w:sz w:val="26"/>
          <w:szCs w:val="26"/>
        </w:rPr>
        <w:t>and Exchange Transactions</w:t>
      </w:r>
    </w:p>
    <w:p w:rsidRPr="009B6785" w:rsidR="00A72BB9" w:rsidP="005845C5" w:rsidRDefault="009B6785" w14:paraId="0C9FC110"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Pr="009B6785" w:rsidR="00A72BB9">
        <w:rPr>
          <w:rFonts w:ascii="Times New Roman" w:hAnsi="Times New Roman" w:cs="Times New Roman"/>
          <w:sz w:val="26"/>
          <w:szCs w:val="26"/>
        </w:rPr>
        <w:t>Three-year approval for extension requested</w:t>
      </w:r>
      <w:r>
        <w:rPr>
          <w:rFonts w:ascii="Times New Roman" w:hAnsi="Times New Roman" w:cs="Times New Roman"/>
          <w:sz w:val="26"/>
          <w:szCs w:val="26"/>
        </w:rPr>
        <w:t>)</w:t>
      </w:r>
    </w:p>
    <w:p w:rsidRPr="009B6785" w:rsidR="00A72BB9" w:rsidP="005845C5" w:rsidRDefault="00A72BB9" w14:paraId="67BE347D" w14:textId="77777777">
      <w:pPr>
        <w:spacing w:after="0" w:line="240" w:lineRule="auto"/>
        <w:jc w:val="center"/>
        <w:rPr>
          <w:rFonts w:ascii="Times New Roman" w:hAnsi="Times New Roman" w:cs="Times New Roman"/>
          <w:sz w:val="26"/>
          <w:szCs w:val="26"/>
        </w:rPr>
      </w:pPr>
    </w:p>
    <w:p w:rsidRPr="009B6785" w:rsidR="00A72BB9" w:rsidP="005845C5" w:rsidRDefault="00A72BB9" w14:paraId="06F089AA" w14:textId="634238D6">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Federal Energy Regulatory Commission (FERC </w:t>
      </w:r>
      <w:r w:rsidRPr="009B6785" w:rsidR="003E402D">
        <w:rPr>
          <w:rFonts w:ascii="Times New Roman" w:hAnsi="Times New Roman" w:cs="Times New Roman"/>
          <w:sz w:val="26"/>
          <w:szCs w:val="26"/>
        </w:rPr>
        <w:t>o</w:t>
      </w:r>
      <w:r w:rsidR="003E402D">
        <w:rPr>
          <w:rFonts w:ascii="Times New Roman" w:hAnsi="Times New Roman" w:cs="Times New Roman"/>
          <w:sz w:val="26"/>
          <w:szCs w:val="26"/>
        </w:rPr>
        <w:t>r</w:t>
      </w:r>
      <w:r w:rsidRPr="009B6785" w:rsidR="003E402D">
        <w:rPr>
          <w:rFonts w:ascii="Times New Roman" w:hAnsi="Times New Roman" w:cs="Times New Roman"/>
          <w:sz w:val="26"/>
          <w:szCs w:val="26"/>
        </w:rPr>
        <w:t xml:space="preserve"> </w:t>
      </w:r>
      <w:r w:rsidRPr="009B6785">
        <w:rPr>
          <w:rFonts w:ascii="Times New Roman" w:hAnsi="Times New Roman" w:cs="Times New Roman"/>
          <w:sz w:val="26"/>
          <w:szCs w:val="26"/>
        </w:rPr>
        <w:t xml:space="preserve">Commission) requests </w:t>
      </w:r>
      <w:r w:rsidR="00671EF8">
        <w:rPr>
          <w:rFonts w:ascii="Times New Roman" w:hAnsi="Times New Roman" w:cs="Times New Roman"/>
          <w:sz w:val="26"/>
          <w:szCs w:val="26"/>
        </w:rPr>
        <w:t xml:space="preserve">that </w:t>
      </w:r>
      <w:r w:rsidRPr="009B6785">
        <w:rPr>
          <w:rFonts w:ascii="Times New Roman" w:hAnsi="Times New Roman" w:cs="Times New Roman"/>
          <w:sz w:val="26"/>
          <w:szCs w:val="26"/>
        </w:rPr>
        <w:t xml:space="preserve">the Office of Management and Budget (OMB) </w:t>
      </w:r>
      <w:r w:rsidR="009B6785">
        <w:rPr>
          <w:rFonts w:ascii="Times New Roman" w:hAnsi="Times New Roman" w:cs="Times New Roman"/>
          <w:sz w:val="26"/>
          <w:szCs w:val="26"/>
        </w:rPr>
        <w:t xml:space="preserve">extend its </w:t>
      </w:r>
      <w:r w:rsidRPr="009B6785">
        <w:rPr>
          <w:rFonts w:ascii="Times New Roman" w:hAnsi="Times New Roman" w:cs="Times New Roman"/>
          <w:sz w:val="26"/>
          <w:szCs w:val="26"/>
        </w:rPr>
        <w:t>approv</w:t>
      </w:r>
      <w:r w:rsidR="003E402D">
        <w:rPr>
          <w:rFonts w:ascii="Times New Roman" w:hAnsi="Times New Roman" w:cs="Times New Roman"/>
          <w:sz w:val="26"/>
          <w:szCs w:val="26"/>
        </w:rPr>
        <w:t>al</w:t>
      </w:r>
      <w:r w:rsidRPr="009B6785">
        <w:rPr>
          <w:rFonts w:ascii="Times New Roman" w:hAnsi="Times New Roman" w:cs="Times New Roman"/>
          <w:sz w:val="26"/>
          <w:szCs w:val="26"/>
        </w:rPr>
        <w:t xml:space="preserve"> </w:t>
      </w:r>
      <w:r w:rsidR="003E402D">
        <w:rPr>
          <w:rFonts w:ascii="Times New Roman" w:hAnsi="Times New Roman" w:cs="Times New Roman"/>
          <w:sz w:val="26"/>
          <w:szCs w:val="26"/>
        </w:rPr>
        <w:t xml:space="preserve">of </w:t>
      </w:r>
      <w:r w:rsidRPr="009B6785">
        <w:rPr>
          <w:rFonts w:ascii="Times New Roman" w:hAnsi="Times New Roman" w:cs="Times New Roman"/>
          <w:sz w:val="26"/>
          <w:szCs w:val="26"/>
        </w:rPr>
        <w:t>the FERC-588</w:t>
      </w:r>
      <w:r w:rsidR="009B6785">
        <w:rPr>
          <w:rFonts w:ascii="Times New Roman" w:hAnsi="Times New Roman" w:cs="Times New Roman"/>
          <w:sz w:val="26"/>
          <w:szCs w:val="26"/>
        </w:rPr>
        <w:t xml:space="preserve">, </w:t>
      </w:r>
      <w:r w:rsidRPr="009B6785">
        <w:rPr>
          <w:rFonts w:ascii="Times New Roman" w:hAnsi="Times New Roman" w:cs="Times New Roman"/>
          <w:sz w:val="26"/>
          <w:szCs w:val="26"/>
        </w:rPr>
        <w:t xml:space="preserve">Emergency Natural Gas Transportation, </w:t>
      </w:r>
      <w:r w:rsidRPr="009B6785" w:rsidR="003E402D">
        <w:rPr>
          <w:rFonts w:ascii="Times New Roman" w:hAnsi="Times New Roman" w:cs="Times New Roman"/>
          <w:sz w:val="26"/>
          <w:szCs w:val="26"/>
        </w:rPr>
        <w:t xml:space="preserve">Sale, </w:t>
      </w:r>
      <w:r w:rsidRPr="009B6785">
        <w:rPr>
          <w:rFonts w:ascii="Times New Roman" w:hAnsi="Times New Roman" w:cs="Times New Roman"/>
          <w:sz w:val="26"/>
          <w:szCs w:val="26"/>
        </w:rPr>
        <w:t>and Exchange Transactions</w:t>
      </w:r>
      <w:r w:rsidR="009B6785">
        <w:rPr>
          <w:rFonts w:ascii="Times New Roman" w:hAnsi="Times New Roman" w:cs="Times New Roman"/>
          <w:sz w:val="26"/>
          <w:szCs w:val="26"/>
        </w:rPr>
        <w:t>, for an additional three years.  FERC-588 is an existing</w:t>
      </w:r>
      <w:r w:rsidRPr="009B6785">
        <w:rPr>
          <w:rFonts w:ascii="Times New Roman" w:hAnsi="Times New Roman" w:cs="Times New Roman"/>
          <w:sz w:val="26"/>
          <w:szCs w:val="26"/>
        </w:rPr>
        <w:t xml:space="preserve"> information collection </w:t>
      </w:r>
      <w:r w:rsidR="009B6785">
        <w:rPr>
          <w:rFonts w:ascii="Times New Roman" w:hAnsi="Times New Roman" w:cs="Times New Roman"/>
          <w:sz w:val="26"/>
          <w:szCs w:val="26"/>
        </w:rPr>
        <w:t>(</w:t>
      </w:r>
      <w:r w:rsidRPr="009B6785">
        <w:rPr>
          <w:rFonts w:ascii="Times New Roman" w:hAnsi="Times New Roman" w:cs="Times New Roman"/>
          <w:sz w:val="26"/>
          <w:szCs w:val="26"/>
        </w:rPr>
        <w:t>OMB Control No. 1902-0144</w:t>
      </w:r>
      <w:r w:rsidR="009B6785">
        <w:rPr>
          <w:rFonts w:ascii="Times New Roman" w:hAnsi="Times New Roman" w:cs="Times New Roman"/>
          <w:sz w:val="26"/>
          <w:szCs w:val="26"/>
        </w:rPr>
        <w:t>)</w:t>
      </w:r>
      <w:r w:rsidR="00992DE5">
        <w:rPr>
          <w:rFonts w:ascii="Times New Roman" w:hAnsi="Times New Roman" w:cs="Times New Roman"/>
          <w:sz w:val="26"/>
          <w:szCs w:val="26"/>
        </w:rPr>
        <w:t xml:space="preserve"> consisting of filing requirements and notice procedures as contained in </w:t>
      </w:r>
      <w:r w:rsidRPr="009B6785">
        <w:rPr>
          <w:rFonts w:ascii="Times New Roman" w:hAnsi="Times New Roman" w:cs="Times New Roman"/>
          <w:sz w:val="26"/>
          <w:szCs w:val="26"/>
        </w:rPr>
        <w:t>18 Code of Federal Regulations (CFR) 284.262 and 284.270.</w:t>
      </w:r>
    </w:p>
    <w:p w:rsidRPr="009B6785" w:rsidR="00A72BB9" w:rsidP="005845C5" w:rsidRDefault="00A72BB9" w14:paraId="54DDE199" w14:textId="77777777">
      <w:pPr>
        <w:spacing w:after="0" w:line="240" w:lineRule="auto"/>
        <w:rPr>
          <w:rFonts w:ascii="Times New Roman" w:hAnsi="Times New Roman" w:cs="Times New Roman"/>
          <w:sz w:val="26"/>
          <w:szCs w:val="26"/>
        </w:rPr>
      </w:pPr>
    </w:p>
    <w:p w:rsidRPr="009B6785" w:rsidR="00A72BB9" w:rsidP="005845C5" w:rsidRDefault="00A72BB9" w14:paraId="5F24962D"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CIRCUMSTANCES THAT MAKE THE COLLECTION OF INFORMATION NECESSARY</w:t>
      </w:r>
    </w:p>
    <w:p w:rsidRPr="009B6785" w:rsidR="00A72BB9" w:rsidP="005845C5" w:rsidRDefault="00A72BB9" w14:paraId="19A23642" w14:textId="77777777">
      <w:pPr>
        <w:spacing w:after="0" w:line="240" w:lineRule="auto"/>
        <w:rPr>
          <w:rFonts w:ascii="Times New Roman" w:hAnsi="Times New Roman" w:cs="Times New Roman"/>
          <w:sz w:val="26"/>
          <w:szCs w:val="26"/>
        </w:rPr>
      </w:pPr>
    </w:p>
    <w:p w:rsidRPr="009B6785" w:rsidR="00A72BB9" w:rsidP="005845C5" w:rsidRDefault="002D5404" w14:paraId="5DE22F22" w14:textId="60A92A11">
      <w:pPr>
        <w:spacing w:after="0" w:line="240" w:lineRule="auto"/>
        <w:rPr>
          <w:rFonts w:ascii="Times New Roman" w:hAnsi="Times New Roman" w:cs="Times New Roman"/>
          <w:sz w:val="26"/>
          <w:szCs w:val="26"/>
        </w:rPr>
      </w:pPr>
      <w:r>
        <w:rPr>
          <w:rFonts w:ascii="Times New Roman" w:hAnsi="Times New Roman" w:cs="Times New Roman"/>
          <w:sz w:val="26"/>
          <w:szCs w:val="26"/>
        </w:rPr>
        <w:t>S</w:t>
      </w:r>
      <w:r w:rsidRPr="009B6785" w:rsidR="00A72BB9">
        <w:rPr>
          <w:rFonts w:ascii="Times New Roman" w:hAnsi="Times New Roman" w:cs="Times New Roman"/>
          <w:sz w:val="26"/>
          <w:szCs w:val="26"/>
        </w:rPr>
        <w:t>ection 7(c) of the Natural Gas Act (NGA)</w:t>
      </w:r>
      <w:r w:rsidRPr="009B6785" w:rsidR="00A72BB9">
        <w:rPr>
          <w:rStyle w:val="FootnoteReference"/>
          <w:rFonts w:ascii="Times New Roman" w:hAnsi="Times New Roman" w:cs="Times New Roman"/>
          <w:sz w:val="26"/>
          <w:szCs w:val="26"/>
          <w:vertAlign w:val="superscript"/>
        </w:rPr>
        <w:footnoteReference w:id="2"/>
      </w:r>
      <w:r w:rsidRPr="009B6785" w:rsidR="00A72BB9">
        <w:rPr>
          <w:rFonts w:ascii="Times New Roman" w:hAnsi="Times New Roman" w:cs="Times New Roman"/>
          <w:sz w:val="26"/>
          <w:szCs w:val="26"/>
          <w:vertAlign w:val="superscript"/>
        </w:rPr>
        <w:t xml:space="preserve"> </w:t>
      </w:r>
      <w:r w:rsidRPr="009B6785" w:rsidR="00A72BB9">
        <w:rPr>
          <w:rFonts w:ascii="Times New Roman" w:hAnsi="Times New Roman" w:cs="Times New Roman"/>
          <w:sz w:val="26"/>
          <w:szCs w:val="26"/>
        </w:rPr>
        <w:t>provides that jurisdictional natural gas compan</w:t>
      </w:r>
      <w:r w:rsidR="00AE5C38">
        <w:rPr>
          <w:rFonts w:ascii="Times New Roman" w:hAnsi="Times New Roman" w:cs="Times New Roman"/>
          <w:sz w:val="26"/>
          <w:szCs w:val="26"/>
        </w:rPr>
        <w:t>ies</w:t>
      </w:r>
      <w:r w:rsidRPr="009B6785" w:rsidR="00A72BB9">
        <w:rPr>
          <w:rFonts w:ascii="Times New Roman" w:hAnsi="Times New Roman" w:cs="Times New Roman"/>
          <w:sz w:val="26"/>
          <w:szCs w:val="26"/>
        </w:rPr>
        <w:t xml:space="preserve"> must obtain </w:t>
      </w:r>
      <w:r w:rsidR="00AE5C38">
        <w:rPr>
          <w:rFonts w:ascii="Times New Roman" w:hAnsi="Times New Roman" w:cs="Times New Roman"/>
          <w:sz w:val="26"/>
          <w:szCs w:val="26"/>
        </w:rPr>
        <w:t xml:space="preserve">from the </w:t>
      </w:r>
      <w:r w:rsidRPr="009B6785" w:rsidR="00A72BB9">
        <w:rPr>
          <w:rFonts w:ascii="Times New Roman" w:hAnsi="Times New Roman" w:cs="Times New Roman"/>
          <w:sz w:val="26"/>
          <w:szCs w:val="26"/>
        </w:rPr>
        <w:t>Commission a certificate of public convenience and necessity before transporting or selling gas, or constructing or operating facilities.</w:t>
      </w:r>
      <w:r w:rsidR="00AE5C38">
        <w:rPr>
          <w:rFonts w:ascii="Times New Roman" w:hAnsi="Times New Roman" w:cs="Times New Roman"/>
          <w:sz w:val="26"/>
          <w:szCs w:val="26"/>
        </w:rPr>
        <w:t xml:space="preserve">  </w:t>
      </w:r>
      <w:r w:rsidR="006504A9">
        <w:rPr>
          <w:rFonts w:ascii="Times New Roman" w:hAnsi="Times New Roman" w:cs="Times New Roman"/>
          <w:sz w:val="26"/>
          <w:szCs w:val="26"/>
        </w:rPr>
        <w:t>S</w:t>
      </w:r>
      <w:r w:rsidRPr="009B6785" w:rsidR="00A72BB9">
        <w:rPr>
          <w:rFonts w:ascii="Times New Roman" w:hAnsi="Times New Roman" w:cs="Times New Roman"/>
          <w:sz w:val="26"/>
          <w:szCs w:val="26"/>
        </w:rPr>
        <w:t>ection 7(c)(1)(</w:t>
      </w:r>
      <w:r w:rsidR="00AE5C38">
        <w:rPr>
          <w:rFonts w:ascii="Times New Roman" w:hAnsi="Times New Roman" w:cs="Times New Roman"/>
          <w:sz w:val="26"/>
          <w:szCs w:val="26"/>
        </w:rPr>
        <w:t>B</w:t>
      </w:r>
      <w:r w:rsidRPr="009B6785" w:rsidR="00A72BB9">
        <w:rPr>
          <w:rFonts w:ascii="Times New Roman" w:hAnsi="Times New Roman" w:cs="Times New Roman"/>
          <w:sz w:val="26"/>
          <w:szCs w:val="26"/>
        </w:rPr>
        <w:t xml:space="preserve">) of the NGA provides </w:t>
      </w:r>
      <w:r w:rsidR="00AE5C38">
        <w:rPr>
          <w:rFonts w:ascii="Times New Roman" w:hAnsi="Times New Roman" w:cs="Times New Roman"/>
          <w:sz w:val="26"/>
          <w:szCs w:val="26"/>
        </w:rPr>
        <w:t xml:space="preserve">that </w:t>
      </w:r>
      <w:r w:rsidRPr="00AE5C38" w:rsidR="00AE5C38">
        <w:rPr>
          <w:rFonts w:ascii="Times New Roman" w:hAnsi="Times New Roman" w:cs="Times New Roman"/>
          <w:sz w:val="26"/>
          <w:szCs w:val="26"/>
        </w:rPr>
        <w:t>the Commission may issue a temporary certificate in cases of emergency, to assure maintenance of adequate service</w:t>
      </w:r>
      <w:r w:rsidR="00AE432C">
        <w:rPr>
          <w:rFonts w:ascii="Times New Roman" w:hAnsi="Times New Roman" w:cs="Times New Roman"/>
          <w:sz w:val="26"/>
          <w:szCs w:val="26"/>
        </w:rPr>
        <w:t xml:space="preserve">, </w:t>
      </w:r>
      <w:r w:rsidRPr="00AE5C38" w:rsidR="00AE5C38">
        <w:rPr>
          <w:rFonts w:ascii="Times New Roman" w:hAnsi="Times New Roman" w:cs="Times New Roman"/>
          <w:sz w:val="26"/>
          <w:szCs w:val="26"/>
        </w:rPr>
        <w:t xml:space="preserve">or to serve particular customers, pending </w:t>
      </w:r>
      <w:r w:rsidR="00BF000B">
        <w:rPr>
          <w:rFonts w:ascii="Times New Roman" w:hAnsi="Times New Roman" w:cs="Times New Roman"/>
          <w:sz w:val="26"/>
          <w:szCs w:val="26"/>
        </w:rPr>
        <w:t xml:space="preserve">action on </w:t>
      </w:r>
      <w:r w:rsidRPr="00AE5C38" w:rsidR="00AE5C38">
        <w:rPr>
          <w:rFonts w:ascii="Times New Roman" w:hAnsi="Times New Roman" w:cs="Times New Roman"/>
          <w:sz w:val="26"/>
          <w:szCs w:val="26"/>
        </w:rPr>
        <w:t>an application for a certificate</w:t>
      </w:r>
      <w:r w:rsidR="00AE5C38">
        <w:rPr>
          <w:rFonts w:ascii="Times New Roman" w:hAnsi="Times New Roman" w:cs="Times New Roman"/>
          <w:sz w:val="26"/>
          <w:szCs w:val="26"/>
        </w:rPr>
        <w:t xml:space="preserve">.  </w:t>
      </w:r>
    </w:p>
    <w:p w:rsidR="00AE432C" w:rsidP="005845C5" w:rsidRDefault="00AE432C" w14:paraId="6F6A3D73" w14:textId="77777777">
      <w:pPr>
        <w:spacing w:after="0" w:line="240" w:lineRule="auto"/>
        <w:rPr>
          <w:rFonts w:ascii="Times New Roman" w:hAnsi="Times New Roman" w:cs="Times New Roman"/>
          <w:sz w:val="26"/>
          <w:szCs w:val="26"/>
        </w:rPr>
      </w:pPr>
    </w:p>
    <w:p w:rsidRPr="009B6785" w:rsidR="00A72BB9" w:rsidP="005845C5" w:rsidRDefault="00EB5D6F" w14:paraId="49371201" w14:textId="2388F571">
      <w:pPr>
        <w:spacing w:after="0" w:line="240" w:lineRule="auto"/>
        <w:rPr>
          <w:rFonts w:ascii="Times New Roman" w:hAnsi="Times New Roman" w:cs="Times New Roman"/>
          <w:sz w:val="26"/>
          <w:szCs w:val="26"/>
        </w:rPr>
      </w:pPr>
      <w:r>
        <w:rPr>
          <w:rFonts w:ascii="Times New Roman" w:hAnsi="Times New Roman" w:cs="Times New Roman"/>
          <w:sz w:val="26"/>
          <w:szCs w:val="26"/>
        </w:rPr>
        <w:t>As defined at 18 CFR 284.262, an “e</w:t>
      </w:r>
      <w:r w:rsidRPr="009B6785" w:rsidR="00A72BB9">
        <w:rPr>
          <w:rFonts w:ascii="Times New Roman" w:hAnsi="Times New Roman" w:cs="Times New Roman"/>
          <w:sz w:val="26"/>
          <w:szCs w:val="26"/>
        </w:rPr>
        <w:t>mergency</w:t>
      </w:r>
      <w:r>
        <w:rPr>
          <w:rFonts w:ascii="Times New Roman" w:hAnsi="Times New Roman" w:cs="Times New Roman"/>
          <w:sz w:val="26"/>
          <w:szCs w:val="26"/>
        </w:rPr>
        <w:t>”</w:t>
      </w:r>
      <w:r w:rsidRPr="009B6785" w:rsidR="00A72BB9">
        <w:rPr>
          <w:rFonts w:ascii="Times New Roman" w:hAnsi="Times New Roman" w:cs="Times New Roman"/>
          <w:sz w:val="26"/>
          <w:szCs w:val="26"/>
        </w:rPr>
        <w:t xml:space="preserve"> is any situation in which an actual or expected shortage of gas supply would require an interstate pipeline company, intrastate pipeline, local distribution company, or Hinshaw pipeline to curtail deliveries of gas or provide less than the projected level of service to any customer.  A sudden unanticipated loss of natural gas supply or sudden unanticipated increase in demand or any situation in which the participant, in good faith, determines that immediate action is required for the protection of life or health or the </w:t>
      </w:r>
      <w:bookmarkStart w:name="_GoBack" w:id="0"/>
      <w:bookmarkEnd w:id="0"/>
      <w:r w:rsidRPr="009B6785" w:rsidR="00A72BB9">
        <w:rPr>
          <w:rFonts w:ascii="Times New Roman" w:hAnsi="Times New Roman" w:cs="Times New Roman"/>
          <w:sz w:val="26"/>
          <w:szCs w:val="26"/>
        </w:rPr>
        <w:t>maintenance of physical property are also emergencies.</w:t>
      </w:r>
    </w:p>
    <w:p w:rsidRPr="009B6785" w:rsidR="00A72BB9" w:rsidP="005845C5" w:rsidRDefault="00A72BB9" w14:paraId="60BA845B" w14:textId="77777777">
      <w:pPr>
        <w:spacing w:after="0" w:line="240" w:lineRule="auto"/>
        <w:rPr>
          <w:rFonts w:ascii="Times New Roman" w:hAnsi="Times New Roman" w:cs="Times New Roman"/>
          <w:sz w:val="26"/>
          <w:szCs w:val="26"/>
        </w:rPr>
      </w:pPr>
    </w:p>
    <w:p w:rsidRPr="009B6785" w:rsidR="00A72BB9" w:rsidP="005845C5" w:rsidRDefault="00A72BB9" w14:paraId="6E7488A6"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HOW, BY WHOM, AND FOR WHAT PURPOSE THE INFORMATION IS TO BE USED AND THE CONSEQUENCES OF NOT COLLECTING THE INFORMATION</w:t>
      </w:r>
    </w:p>
    <w:p w:rsidRPr="009B6785" w:rsidR="00A72BB9" w:rsidP="005845C5" w:rsidRDefault="00A72BB9" w14:paraId="07AB303C" w14:textId="77777777">
      <w:pPr>
        <w:spacing w:after="0" w:line="240" w:lineRule="auto"/>
        <w:rPr>
          <w:rFonts w:ascii="Times New Roman" w:hAnsi="Times New Roman" w:cs="Times New Roman"/>
          <w:sz w:val="26"/>
          <w:szCs w:val="26"/>
        </w:rPr>
      </w:pPr>
    </w:p>
    <w:p w:rsidR="00011900" w:rsidP="005845C5" w:rsidRDefault="0066114A" w14:paraId="085C72A5" w14:textId="77D819FA">
      <w:pPr>
        <w:spacing w:after="0" w:line="240" w:lineRule="auto"/>
        <w:rPr>
          <w:rFonts w:ascii="Times New Roman" w:hAnsi="Times New Roman" w:cs="Times New Roman"/>
          <w:sz w:val="26"/>
          <w:szCs w:val="26"/>
        </w:rPr>
      </w:pPr>
      <w:r>
        <w:rPr>
          <w:rFonts w:ascii="Times New Roman" w:hAnsi="Times New Roman" w:cs="Times New Roman"/>
          <w:sz w:val="26"/>
          <w:szCs w:val="26"/>
        </w:rPr>
        <w:t>Respondents</w:t>
      </w:r>
      <w:r w:rsidRPr="001D55A7" w:rsidR="001D55A7">
        <w:rPr>
          <w:rFonts w:ascii="Times New Roman" w:hAnsi="Times New Roman" w:cs="Times New Roman"/>
          <w:sz w:val="26"/>
          <w:szCs w:val="26"/>
        </w:rPr>
        <w:t>, (companies who are not otherwise under the Commission’s jurisdiction, but who offer natural gas services or use of natural gas facilities to mitigate an emergency)</w:t>
      </w:r>
      <w:r w:rsidR="001D55A7">
        <w:rPr>
          <w:rFonts w:ascii="Times New Roman" w:hAnsi="Times New Roman" w:cs="Times New Roman"/>
          <w:sz w:val="26"/>
          <w:szCs w:val="26"/>
        </w:rPr>
        <w:t xml:space="preserve"> </w:t>
      </w:r>
      <w:r w:rsidR="008A1513">
        <w:rPr>
          <w:rFonts w:ascii="Times New Roman" w:hAnsi="Times New Roman" w:cs="Times New Roman"/>
          <w:sz w:val="26"/>
          <w:szCs w:val="26"/>
        </w:rPr>
        <w:t xml:space="preserve">must </w:t>
      </w:r>
      <w:r w:rsidRPr="009B6785" w:rsidR="00A72BB9">
        <w:rPr>
          <w:rFonts w:ascii="Times New Roman" w:hAnsi="Times New Roman" w:cs="Times New Roman"/>
          <w:sz w:val="26"/>
          <w:szCs w:val="26"/>
        </w:rPr>
        <w:t xml:space="preserve">file information </w:t>
      </w:r>
      <w:r w:rsidR="00011900">
        <w:rPr>
          <w:rFonts w:ascii="Times New Roman" w:hAnsi="Times New Roman" w:cs="Times New Roman"/>
          <w:sz w:val="26"/>
          <w:szCs w:val="26"/>
        </w:rPr>
        <w:t>about an emergency transaction in accordance with 18 CFR Part 284, Subpart I.  The information</w:t>
      </w:r>
      <w:r w:rsidRPr="009B6785" w:rsidR="00A72BB9">
        <w:rPr>
          <w:rFonts w:ascii="Times New Roman" w:hAnsi="Times New Roman" w:cs="Times New Roman"/>
          <w:sz w:val="26"/>
          <w:szCs w:val="26"/>
        </w:rPr>
        <w:t xml:space="preserve"> </w:t>
      </w:r>
      <w:r w:rsidR="008A1513">
        <w:rPr>
          <w:rFonts w:ascii="Times New Roman" w:hAnsi="Times New Roman" w:cs="Times New Roman"/>
          <w:sz w:val="26"/>
          <w:szCs w:val="26"/>
        </w:rPr>
        <w:t xml:space="preserve">enables </w:t>
      </w:r>
      <w:r w:rsidRPr="009B6785" w:rsidR="00A72BB9">
        <w:rPr>
          <w:rFonts w:ascii="Times New Roman" w:hAnsi="Times New Roman" w:cs="Times New Roman"/>
          <w:sz w:val="26"/>
          <w:szCs w:val="26"/>
        </w:rPr>
        <w:t>Commission staff</w:t>
      </w:r>
      <w:r w:rsidR="008A1513">
        <w:rPr>
          <w:rFonts w:ascii="Times New Roman" w:hAnsi="Times New Roman" w:cs="Times New Roman"/>
          <w:sz w:val="26"/>
          <w:szCs w:val="26"/>
        </w:rPr>
        <w:t xml:space="preserve"> to</w:t>
      </w:r>
      <w:r w:rsidRPr="009B6785" w:rsidR="00A72BB9">
        <w:rPr>
          <w:rFonts w:ascii="Times New Roman" w:hAnsi="Times New Roman" w:cs="Times New Roman"/>
          <w:sz w:val="26"/>
          <w:szCs w:val="26"/>
        </w:rPr>
        <w:t xml:space="preserve"> determine if the transaction qualifies for exemption</w:t>
      </w:r>
      <w:r w:rsidR="00011900">
        <w:rPr>
          <w:rFonts w:ascii="Times New Roman" w:hAnsi="Times New Roman" w:cs="Times New Roman"/>
          <w:sz w:val="26"/>
          <w:szCs w:val="26"/>
        </w:rPr>
        <w:t xml:space="preserve"> from NGA section 7</w:t>
      </w:r>
      <w:r w:rsidRPr="009B6785" w:rsidR="00A72BB9">
        <w:rPr>
          <w:rFonts w:ascii="Times New Roman" w:hAnsi="Times New Roman" w:cs="Times New Roman"/>
          <w:sz w:val="26"/>
          <w:szCs w:val="26"/>
        </w:rPr>
        <w:t>.</w:t>
      </w:r>
    </w:p>
    <w:p w:rsidR="00011900" w:rsidP="005845C5" w:rsidRDefault="00011900" w14:paraId="6640E2EB" w14:textId="77777777">
      <w:pPr>
        <w:spacing w:after="0" w:line="240" w:lineRule="auto"/>
        <w:rPr>
          <w:rFonts w:ascii="Times New Roman" w:hAnsi="Times New Roman" w:cs="Times New Roman"/>
          <w:sz w:val="26"/>
          <w:szCs w:val="26"/>
        </w:rPr>
      </w:pPr>
    </w:p>
    <w:p w:rsidR="00EC41BD" w:rsidP="005845C5" w:rsidRDefault="00011900" w14:paraId="2D25C883" w14:textId="59706E7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regulation at 18 CFR 284.270 </w:t>
      </w:r>
      <w:r w:rsidR="00EC41BD">
        <w:rPr>
          <w:rFonts w:ascii="Times New Roman" w:hAnsi="Times New Roman" w:cs="Times New Roman"/>
          <w:sz w:val="26"/>
          <w:szCs w:val="26"/>
        </w:rPr>
        <w:t>lists the required information:</w:t>
      </w:r>
    </w:p>
    <w:p w:rsidRPr="009B6785" w:rsidR="00A72BB9" w:rsidP="005845C5" w:rsidRDefault="00A72BB9" w14:paraId="4D661EE0" w14:textId="6C695BA5">
      <w:pPr>
        <w:spacing w:after="0" w:line="240" w:lineRule="auto"/>
        <w:rPr>
          <w:rFonts w:ascii="Times New Roman" w:hAnsi="Times New Roman" w:cs="Times New Roman"/>
          <w:sz w:val="26"/>
          <w:szCs w:val="26"/>
        </w:rPr>
      </w:pPr>
    </w:p>
    <w:p w:rsidRPr="009B6785" w:rsidR="00A72BB9" w:rsidP="005845C5" w:rsidRDefault="00A72BB9" w14:paraId="61BB503D" w14:textId="6FBB5D0C">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report within </w:t>
      </w:r>
      <w:r w:rsidR="00A20621">
        <w:rPr>
          <w:rFonts w:ascii="Times New Roman" w:hAnsi="Times New Roman" w:cs="Times New Roman"/>
          <w:sz w:val="26"/>
          <w:szCs w:val="26"/>
        </w:rPr>
        <w:t xml:space="preserve">48 </w:t>
      </w:r>
      <w:r w:rsidRPr="009B6785">
        <w:rPr>
          <w:rFonts w:ascii="Times New Roman" w:hAnsi="Times New Roman" w:cs="Times New Roman"/>
          <w:sz w:val="26"/>
          <w:szCs w:val="26"/>
        </w:rPr>
        <w:t>hours of the commencement of the transportation, sale, or exchange;</w:t>
      </w:r>
    </w:p>
    <w:p w:rsidRPr="009B6785" w:rsidR="00A72BB9" w:rsidP="005845C5" w:rsidRDefault="00A72BB9" w14:paraId="6A021E55" w14:textId="0CDA6B69">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request to extend the </w:t>
      </w:r>
      <w:r w:rsidR="00A20621">
        <w:rPr>
          <w:rFonts w:ascii="Times New Roman" w:hAnsi="Times New Roman" w:cs="Times New Roman"/>
          <w:sz w:val="26"/>
          <w:szCs w:val="26"/>
        </w:rPr>
        <w:t>60</w:t>
      </w:r>
      <w:r w:rsidRPr="009B6785">
        <w:rPr>
          <w:rFonts w:ascii="Times New Roman" w:hAnsi="Times New Roman" w:cs="Times New Roman"/>
          <w:sz w:val="26"/>
          <w:szCs w:val="26"/>
        </w:rPr>
        <w:t xml:space="preserve">-day term of the emergency transportation, if needed; and </w:t>
      </w:r>
    </w:p>
    <w:p w:rsidRPr="009B6785" w:rsidR="00A72BB9" w:rsidP="005845C5" w:rsidRDefault="00A72BB9" w14:paraId="6E528B7A" w14:textId="77777777">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termination report.  </w:t>
      </w:r>
    </w:p>
    <w:p w:rsidRPr="009B6785" w:rsidR="00A72BB9" w:rsidP="005845C5" w:rsidRDefault="00A72BB9" w14:paraId="6FBDB709" w14:textId="77777777">
      <w:pPr>
        <w:spacing w:after="0" w:line="240" w:lineRule="auto"/>
        <w:rPr>
          <w:rFonts w:ascii="Times New Roman" w:hAnsi="Times New Roman" w:cs="Times New Roman"/>
          <w:sz w:val="26"/>
          <w:szCs w:val="26"/>
        </w:rPr>
      </w:pPr>
    </w:p>
    <w:p w:rsidR="00A72BB9" w:rsidP="005845C5" w:rsidRDefault="00A72BB9" w14:paraId="5C23CDE0" w14:textId="58F6D7D8">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data required to be filed for the 48-hour report and the termination report consist of:</w:t>
      </w:r>
    </w:p>
    <w:p w:rsidRPr="009B6785" w:rsidR="00EC41BD" w:rsidP="005845C5" w:rsidRDefault="00EC41BD" w14:paraId="10C36059" w14:textId="77777777">
      <w:pPr>
        <w:spacing w:after="0" w:line="240" w:lineRule="auto"/>
        <w:rPr>
          <w:rFonts w:ascii="Times New Roman" w:hAnsi="Times New Roman" w:cs="Times New Roman"/>
          <w:sz w:val="26"/>
          <w:szCs w:val="26"/>
        </w:rPr>
      </w:pPr>
    </w:p>
    <w:p w:rsidRPr="009B6785" w:rsidR="00A72BB9" w:rsidP="005845C5" w:rsidRDefault="00A72BB9" w14:paraId="649E0315"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dates the transaction commenced and terminated; </w:t>
      </w:r>
    </w:p>
    <w:p w:rsidRPr="009B6785" w:rsidR="00A72BB9" w:rsidP="005845C5" w:rsidRDefault="00A72BB9" w14:paraId="1CE92E5F"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nature of the emergency;</w:t>
      </w:r>
    </w:p>
    <w:p w:rsidRPr="009B6785" w:rsidR="00A72BB9" w:rsidP="005845C5" w:rsidRDefault="00A72BB9" w14:paraId="38A4C203"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total amount and average daily amount of emergency natural gas to be or that was purchased, exchanged or transported;</w:t>
      </w:r>
    </w:p>
    <w:p w:rsidRPr="009B6785" w:rsidR="00A72BB9" w:rsidP="005845C5" w:rsidRDefault="00A72BB9" w14:paraId="23B3BC37"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purchase price of the gas; </w:t>
      </w:r>
    </w:p>
    <w:p w:rsidRPr="009B6785" w:rsidR="00A72BB9" w:rsidP="005845C5" w:rsidRDefault="00A72BB9" w14:paraId="41485CA0"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transportation rate; </w:t>
      </w:r>
    </w:p>
    <w:p w:rsidRPr="009B6785" w:rsidR="00A72BB9" w:rsidP="005845C5" w:rsidRDefault="00A72BB9" w14:paraId="10164D61" w14:textId="080EA070">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identity of all the participants.</w:t>
      </w:r>
      <w:r w:rsidRPr="00EC41BD" w:rsidR="00DC0DDF">
        <w:rPr>
          <w:rStyle w:val="FootnoteReference"/>
          <w:rFonts w:ascii="Times New Roman" w:hAnsi="Times New Roman" w:cs="Times New Roman"/>
          <w:sz w:val="24"/>
          <w:szCs w:val="26"/>
          <w:vertAlign w:val="superscript"/>
        </w:rPr>
        <w:footnoteReference w:id="3"/>
      </w:r>
    </w:p>
    <w:p w:rsidRPr="00054F4F" w:rsidR="00A72BB9" w:rsidP="00054F4F" w:rsidRDefault="00A72BB9" w14:paraId="42A34141" w14:textId="77777777">
      <w:pPr>
        <w:spacing w:after="0" w:line="240" w:lineRule="auto"/>
        <w:rPr>
          <w:rFonts w:ascii="Times New Roman" w:hAnsi="Times New Roman" w:cs="Times New Roman"/>
          <w:sz w:val="26"/>
          <w:szCs w:val="26"/>
        </w:rPr>
      </w:pPr>
    </w:p>
    <w:p w:rsidRPr="009B6785" w:rsidR="00A72BB9" w:rsidP="005845C5" w:rsidRDefault="00A72BB9" w14:paraId="0C0B2B3D" w14:textId="21FBA908">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Commission’s Office of Energy Market Regulation (OEMR) is responsible for evaluation and processing of data related to service emergencies under Section 375.307(a)(9)(v) of the regulations.  The Office of Energy Projects (OEP) is responsible for evaluation and processing of data related to facility emergencies under Section 375.308(w)(3) of the Commission’s regulations.  </w:t>
      </w:r>
      <w:r w:rsidR="00EC41BD">
        <w:rPr>
          <w:rFonts w:ascii="Times New Roman" w:hAnsi="Times New Roman" w:cs="Times New Roman"/>
          <w:sz w:val="26"/>
          <w:szCs w:val="26"/>
        </w:rPr>
        <w:t xml:space="preserve">If these offices did not collect the data listed above, they would </w:t>
      </w:r>
      <w:r w:rsidRPr="009B6785">
        <w:rPr>
          <w:rFonts w:ascii="Times New Roman" w:hAnsi="Times New Roman" w:cs="Times New Roman"/>
          <w:sz w:val="26"/>
          <w:szCs w:val="26"/>
        </w:rPr>
        <w:t xml:space="preserve">be unable to fulfill their obligations </w:t>
      </w:r>
      <w:r w:rsidR="006049CE">
        <w:rPr>
          <w:rFonts w:ascii="Times New Roman" w:hAnsi="Times New Roman" w:cs="Times New Roman"/>
          <w:sz w:val="26"/>
          <w:szCs w:val="26"/>
        </w:rPr>
        <w:t xml:space="preserve">under </w:t>
      </w:r>
      <w:r w:rsidRPr="009B6785">
        <w:rPr>
          <w:rFonts w:ascii="Times New Roman" w:hAnsi="Times New Roman" w:cs="Times New Roman"/>
          <w:sz w:val="26"/>
          <w:szCs w:val="26"/>
        </w:rPr>
        <w:t>Section 7(c) of the NGA.</w:t>
      </w:r>
    </w:p>
    <w:p w:rsidRPr="009B6785" w:rsidR="00A72BB9" w:rsidP="005845C5" w:rsidRDefault="00A72BB9" w14:paraId="238687B9" w14:textId="77777777">
      <w:pPr>
        <w:spacing w:after="0" w:line="240" w:lineRule="auto"/>
        <w:rPr>
          <w:rFonts w:ascii="Times New Roman" w:hAnsi="Times New Roman" w:cs="Times New Roman"/>
          <w:sz w:val="26"/>
          <w:szCs w:val="26"/>
        </w:rPr>
      </w:pPr>
    </w:p>
    <w:p w:rsidRPr="009B6785" w:rsidR="00A72BB9" w:rsidP="005845C5" w:rsidRDefault="00A72BB9" w14:paraId="7B117F66"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ANY CONSIDERATION OF THE USE OF IMPROVED INFORMATION TECHNOLOGY TO REDUCE THE BURDEN AND TECHNICAL OR LEGAL OBSTACLES TO REDUCING BURDEN</w:t>
      </w:r>
    </w:p>
    <w:p w:rsidRPr="009B6785" w:rsidR="00A72BB9" w:rsidP="005845C5" w:rsidRDefault="00A72BB9" w14:paraId="695158EC" w14:textId="77777777">
      <w:pPr>
        <w:spacing w:after="0" w:line="240" w:lineRule="auto"/>
        <w:rPr>
          <w:rFonts w:ascii="Times New Roman" w:hAnsi="Times New Roman" w:cs="Times New Roman"/>
          <w:sz w:val="26"/>
          <w:szCs w:val="26"/>
        </w:rPr>
      </w:pPr>
    </w:p>
    <w:p w:rsidRPr="009B6785" w:rsidR="00A72BB9" w:rsidP="005845C5" w:rsidRDefault="00A72BB9" w14:paraId="70CD5316"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FERC continually considers the use of improved information technology to reduce burden in the filing requirements for submission of information.</w:t>
      </w:r>
    </w:p>
    <w:p w:rsidRPr="009B6785" w:rsidR="00A72BB9" w:rsidP="005845C5" w:rsidRDefault="00A72BB9" w14:paraId="0FF96EC7" w14:textId="77777777">
      <w:pPr>
        <w:spacing w:after="0" w:line="240" w:lineRule="auto"/>
        <w:rPr>
          <w:rFonts w:ascii="Times New Roman" w:hAnsi="Times New Roman" w:cs="Times New Roman"/>
          <w:sz w:val="26"/>
          <w:szCs w:val="26"/>
        </w:rPr>
      </w:pPr>
    </w:p>
    <w:p w:rsidRPr="009B6785" w:rsidR="00A72BB9" w:rsidP="005845C5" w:rsidRDefault="00A72BB9" w14:paraId="6F1B7E77"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FERC-588 application can be submitted via FERC’s eFiling system.  See </w:t>
      </w:r>
      <w:hyperlink w:history="1" r:id="rId13">
        <w:r w:rsidRPr="009B6785">
          <w:rPr>
            <w:rStyle w:val="Hyperlink"/>
            <w:rFonts w:ascii="Times New Roman" w:hAnsi="Times New Roman" w:cs="Times New Roman"/>
            <w:sz w:val="26"/>
            <w:szCs w:val="26"/>
          </w:rPr>
          <w:t>http://www.ferc.gov/docs-filing/efiling.asp</w:t>
        </w:r>
      </w:hyperlink>
      <w:r w:rsidRPr="009B6785">
        <w:rPr>
          <w:rFonts w:ascii="Times New Roman" w:hAnsi="Times New Roman" w:cs="Times New Roman"/>
          <w:sz w:val="26"/>
          <w:szCs w:val="26"/>
        </w:rPr>
        <w:t xml:space="preserve"> for more details and information.</w:t>
      </w:r>
    </w:p>
    <w:p w:rsidRPr="009B6785" w:rsidR="00A72BB9" w:rsidP="005845C5" w:rsidRDefault="00A72BB9" w14:paraId="0CCF8196" w14:textId="77777777">
      <w:pPr>
        <w:spacing w:after="0" w:line="240" w:lineRule="auto"/>
        <w:rPr>
          <w:rFonts w:ascii="Times New Roman" w:hAnsi="Times New Roman" w:cs="Times New Roman"/>
          <w:sz w:val="26"/>
          <w:szCs w:val="26"/>
        </w:rPr>
      </w:pPr>
    </w:p>
    <w:p w:rsidRPr="009B6785" w:rsidR="00A72BB9" w:rsidP="005845C5" w:rsidRDefault="00A72BB9" w14:paraId="0FAB0FC4"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9B6785" w:rsidR="00A72BB9" w:rsidP="005845C5" w:rsidRDefault="00A72BB9" w14:paraId="3088957D" w14:textId="77777777">
      <w:pPr>
        <w:spacing w:after="0" w:line="240" w:lineRule="auto"/>
        <w:rPr>
          <w:rFonts w:ascii="Times New Roman" w:hAnsi="Times New Roman" w:cs="Times New Roman"/>
          <w:sz w:val="26"/>
          <w:szCs w:val="26"/>
        </w:rPr>
      </w:pPr>
    </w:p>
    <w:p w:rsidRPr="009B6785" w:rsidR="00A72BB9" w:rsidP="005845C5" w:rsidRDefault="00A72BB9" w14:paraId="02DBBA99" w14:textId="56D7A8BA">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 periodically reviews filing requirements as OMB review dates arise, expiration dates approach, or as the Commission may deem necessary in carrying out its</w:t>
      </w:r>
      <w:r w:rsidR="006049CE">
        <w:rPr>
          <w:rFonts w:ascii="Times New Roman" w:hAnsi="Times New Roman" w:cs="Times New Roman"/>
          <w:sz w:val="26"/>
          <w:szCs w:val="26"/>
        </w:rPr>
        <w:t xml:space="preserve"> statutory</w:t>
      </w:r>
      <w:r w:rsidRPr="009B6785">
        <w:rPr>
          <w:rFonts w:ascii="Times New Roman" w:hAnsi="Times New Roman" w:cs="Times New Roman"/>
          <w:sz w:val="26"/>
          <w:szCs w:val="26"/>
        </w:rPr>
        <w:t xml:space="preserve"> responsibilities</w:t>
      </w:r>
      <w:r w:rsidR="006049CE">
        <w:rPr>
          <w:rFonts w:ascii="Times New Roman" w:hAnsi="Times New Roman" w:cs="Times New Roman"/>
          <w:sz w:val="26"/>
          <w:szCs w:val="26"/>
        </w:rPr>
        <w:t>,</w:t>
      </w:r>
      <w:r w:rsidRPr="009B6785">
        <w:rPr>
          <w:rFonts w:ascii="Times New Roman" w:hAnsi="Times New Roman" w:cs="Times New Roman"/>
          <w:sz w:val="26"/>
          <w:szCs w:val="26"/>
        </w:rPr>
        <w:t xml:space="preserve"> in order to eliminate </w:t>
      </w:r>
      <w:r w:rsidR="00F85F7D">
        <w:rPr>
          <w:rFonts w:ascii="Times New Roman" w:hAnsi="Times New Roman" w:cs="Times New Roman"/>
          <w:sz w:val="26"/>
          <w:szCs w:val="26"/>
        </w:rPr>
        <w:t xml:space="preserve"> or minimize </w:t>
      </w:r>
      <w:r w:rsidRPr="009B6785">
        <w:rPr>
          <w:rFonts w:ascii="Times New Roman" w:hAnsi="Times New Roman" w:cs="Times New Roman"/>
          <w:sz w:val="26"/>
          <w:szCs w:val="26"/>
        </w:rPr>
        <w:t>duplication and ensure that filing burden is minimized.  No other forms collect data similar to that collected/filed under FERC-588.</w:t>
      </w:r>
    </w:p>
    <w:p w:rsidRPr="009B6785" w:rsidR="00A72BB9" w:rsidP="005845C5" w:rsidRDefault="00A72BB9" w14:paraId="42923F6C" w14:textId="77777777">
      <w:pPr>
        <w:spacing w:after="0" w:line="240" w:lineRule="auto"/>
        <w:rPr>
          <w:rFonts w:ascii="Times New Roman" w:hAnsi="Times New Roman" w:cs="Times New Roman"/>
          <w:sz w:val="26"/>
          <w:szCs w:val="26"/>
        </w:rPr>
      </w:pPr>
    </w:p>
    <w:p w:rsidRPr="009B6785" w:rsidR="00A72BB9" w:rsidP="005845C5" w:rsidRDefault="00A72BB9" w14:paraId="7F97E2C8"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METHODS USED TO MINIMIZE THE BURDEN IN COLLECTION OF INFORMATION INVOLVING SMALL ENTITIES</w:t>
      </w:r>
    </w:p>
    <w:p w:rsidRPr="009B6785" w:rsidR="00A72BB9" w:rsidP="005845C5" w:rsidRDefault="00A72BB9" w14:paraId="00E40D9E" w14:textId="77777777">
      <w:pPr>
        <w:spacing w:after="0" w:line="240" w:lineRule="auto"/>
        <w:rPr>
          <w:rFonts w:ascii="Times New Roman" w:hAnsi="Times New Roman" w:cs="Times New Roman"/>
          <w:sz w:val="26"/>
          <w:szCs w:val="26"/>
        </w:rPr>
      </w:pPr>
    </w:p>
    <w:p w:rsidRPr="009B6785" w:rsidR="00A72BB9" w:rsidP="005845C5" w:rsidRDefault="00A72BB9" w14:paraId="47EB1CB9" w14:textId="3EBDDC62">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 collects FERC-588 data from interstate pipelines, intrastate pipelines or natural gas distributors (including Hinshaw pipelines)</w:t>
      </w:r>
      <w:r w:rsidR="006B439D">
        <w:rPr>
          <w:rFonts w:ascii="Times New Roman" w:hAnsi="Times New Roman" w:cs="Times New Roman"/>
          <w:sz w:val="26"/>
          <w:szCs w:val="26"/>
        </w:rPr>
        <w:t xml:space="preserve">, </w:t>
      </w:r>
      <w:r w:rsidRPr="009B6785">
        <w:rPr>
          <w:rFonts w:ascii="Times New Roman" w:hAnsi="Times New Roman" w:cs="Times New Roman"/>
          <w:sz w:val="26"/>
          <w:szCs w:val="26"/>
        </w:rPr>
        <w:t>some of which may be small businesses.  The amount of reported data is the same for large and small businesses.  However, this is already the minimum that the Commission requires to determine that the transaction is authorized.</w:t>
      </w:r>
    </w:p>
    <w:p w:rsidRPr="009B6785" w:rsidR="00A72BB9" w:rsidP="005845C5" w:rsidRDefault="00A72BB9" w14:paraId="21B9B323" w14:textId="77777777">
      <w:pPr>
        <w:spacing w:after="0" w:line="240" w:lineRule="auto"/>
        <w:rPr>
          <w:rFonts w:ascii="Times New Roman" w:hAnsi="Times New Roman" w:cs="Times New Roman"/>
          <w:sz w:val="26"/>
          <w:szCs w:val="26"/>
        </w:rPr>
      </w:pPr>
    </w:p>
    <w:p w:rsidRPr="009B6785" w:rsidR="00A72BB9" w:rsidP="005845C5" w:rsidRDefault="00A72BB9" w14:paraId="6C1A010E"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CONSEQUENCE TO FEDERAL PROGRAM IF COLLECTION WERE CONDUCTED LESS FREQUENTLY</w:t>
      </w:r>
    </w:p>
    <w:p w:rsidRPr="009B6785" w:rsidR="00A72BB9" w:rsidP="005845C5" w:rsidRDefault="00A72BB9" w14:paraId="3CA770E5" w14:textId="77777777">
      <w:pPr>
        <w:spacing w:after="0" w:line="240" w:lineRule="auto"/>
        <w:rPr>
          <w:rFonts w:ascii="Times New Roman" w:hAnsi="Times New Roman" w:cs="Times New Roman"/>
          <w:sz w:val="26"/>
          <w:szCs w:val="26"/>
        </w:rPr>
      </w:pPr>
    </w:p>
    <w:p w:rsidRPr="009B6785" w:rsidR="00A72BB9" w:rsidP="005845C5" w:rsidRDefault="00B71483" w14:paraId="7EA2CFF0" w14:textId="433C38F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Without timely information about emergency natural gas transactions, </w:t>
      </w:r>
      <w:r w:rsidRPr="009B6785" w:rsidR="00A72BB9">
        <w:rPr>
          <w:rFonts w:ascii="Times New Roman" w:hAnsi="Times New Roman" w:cs="Times New Roman"/>
          <w:sz w:val="26"/>
          <w:szCs w:val="26"/>
        </w:rPr>
        <w:t xml:space="preserve">the Commission would be unable to fulfill its responsibilities under the NGA </w:t>
      </w:r>
      <w:r>
        <w:rPr>
          <w:rFonts w:ascii="Times New Roman" w:hAnsi="Times New Roman" w:cs="Times New Roman"/>
          <w:sz w:val="26"/>
          <w:szCs w:val="26"/>
        </w:rPr>
        <w:t xml:space="preserve">pertaining to the transport, sale, or exchange of </w:t>
      </w:r>
      <w:r w:rsidRPr="009B6785" w:rsidR="00A72BB9">
        <w:rPr>
          <w:rFonts w:ascii="Times New Roman" w:hAnsi="Times New Roman" w:cs="Times New Roman"/>
          <w:sz w:val="26"/>
          <w:szCs w:val="26"/>
        </w:rPr>
        <w:t>emergency natural gas.</w:t>
      </w:r>
    </w:p>
    <w:p w:rsidRPr="009B6785" w:rsidR="00A72BB9" w:rsidP="005845C5" w:rsidRDefault="00A72BB9" w14:paraId="471026B8" w14:textId="77777777">
      <w:pPr>
        <w:spacing w:after="0" w:line="240" w:lineRule="auto"/>
        <w:rPr>
          <w:rFonts w:ascii="Times New Roman" w:hAnsi="Times New Roman" w:cs="Times New Roman"/>
          <w:sz w:val="26"/>
          <w:szCs w:val="26"/>
        </w:rPr>
      </w:pPr>
    </w:p>
    <w:p w:rsidRPr="009B6785" w:rsidR="00A72BB9" w:rsidP="005845C5" w:rsidRDefault="00A72BB9" w14:paraId="51AA367C"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EXPLAIN ANY SPECIAL CIRCUMSTANCES RELATING TO THE INFORMATION COLLECTION</w:t>
      </w:r>
    </w:p>
    <w:p w:rsidRPr="009B6785" w:rsidR="00A72BB9" w:rsidP="005845C5" w:rsidRDefault="00A72BB9" w14:paraId="09F9247E" w14:textId="77777777">
      <w:pPr>
        <w:spacing w:after="0" w:line="240" w:lineRule="auto"/>
        <w:rPr>
          <w:rFonts w:ascii="Times New Roman" w:hAnsi="Times New Roman" w:cs="Times New Roman"/>
          <w:sz w:val="26"/>
          <w:szCs w:val="26"/>
        </w:rPr>
      </w:pPr>
    </w:p>
    <w:p w:rsidRPr="009B6785" w:rsidR="00A72BB9" w:rsidP="005845C5" w:rsidRDefault="00A72BB9" w14:paraId="35F9A966"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This collection does not have any special circumstances.</w:t>
      </w:r>
    </w:p>
    <w:p w:rsidRPr="009B6785" w:rsidR="00A72BB9" w:rsidP="005845C5" w:rsidRDefault="00A72BB9" w14:paraId="45E48DAA" w14:textId="77777777">
      <w:pPr>
        <w:spacing w:after="0" w:line="240" w:lineRule="auto"/>
        <w:rPr>
          <w:rFonts w:ascii="Times New Roman" w:hAnsi="Times New Roman" w:cs="Times New Roman"/>
          <w:sz w:val="26"/>
          <w:szCs w:val="26"/>
        </w:rPr>
      </w:pPr>
    </w:p>
    <w:p w:rsidRPr="009B6785" w:rsidR="00A72BB9" w:rsidP="005845C5" w:rsidRDefault="00A72BB9" w14:paraId="6C1B83E7"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EFFORTS TO CONSULT OUTSIDE THE AGENCY: SUMMARIZE PUBLIC COMMENTS AND THE AGENCY’S RESPONSE</w:t>
      </w:r>
    </w:p>
    <w:p w:rsidRPr="009B6785" w:rsidR="00A72BB9" w:rsidP="005845C5" w:rsidRDefault="00A72BB9" w14:paraId="76A02A41" w14:textId="77777777">
      <w:pPr>
        <w:spacing w:after="0" w:line="240" w:lineRule="auto"/>
        <w:rPr>
          <w:rFonts w:ascii="Times New Roman" w:hAnsi="Times New Roman" w:cs="Times New Roman"/>
          <w:sz w:val="26"/>
          <w:szCs w:val="26"/>
        </w:rPr>
      </w:pPr>
    </w:p>
    <w:p w:rsidRPr="009B6785" w:rsidR="00A72BB9" w:rsidP="005845C5" w:rsidRDefault="00A72BB9" w14:paraId="7981EAD5" w14:textId="52FD24EB">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In accordance with OMB requirements, the Commission published a 60-day notice</w:t>
      </w:r>
      <w:r w:rsidRPr="009B6785">
        <w:rPr>
          <w:rStyle w:val="FootnoteReference"/>
          <w:rFonts w:ascii="Times New Roman" w:hAnsi="Times New Roman" w:cs="Times New Roman"/>
          <w:sz w:val="26"/>
          <w:szCs w:val="26"/>
          <w:vertAlign w:val="superscript"/>
        </w:rPr>
        <w:footnoteReference w:id="4"/>
      </w:r>
      <w:r w:rsidRPr="009B6785">
        <w:rPr>
          <w:rFonts w:ascii="Times New Roman" w:hAnsi="Times New Roman" w:cs="Times New Roman"/>
          <w:sz w:val="26"/>
          <w:szCs w:val="26"/>
        </w:rPr>
        <w:t xml:space="preserve"> and a 30-day notice</w:t>
      </w:r>
      <w:r w:rsidRPr="009B6785">
        <w:rPr>
          <w:rStyle w:val="FootnoteReference"/>
          <w:rFonts w:ascii="Times New Roman" w:hAnsi="Times New Roman" w:cs="Times New Roman"/>
          <w:sz w:val="26"/>
          <w:szCs w:val="26"/>
          <w:vertAlign w:val="superscript"/>
        </w:rPr>
        <w:footnoteReference w:id="5"/>
      </w:r>
      <w:r w:rsidRPr="009B6785">
        <w:rPr>
          <w:rFonts w:ascii="Times New Roman" w:hAnsi="Times New Roman" w:cs="Times New Roman"/>
          <w:sz w:val="26"/>
          <w:szCs w:val="26"/>
        </w:rPr>
        <w:t xml:space="preserve"> to the public regarding this information collection</w:t>
      </w:r>
      <w:r w:rsidR="00972BEF">
        <w:rPr>
          <w:rFonts w:ascii="Times New Roman" w:hAnsi="Times New Roman" w:cs="Times New Roman"/>
          <w:sz w:val="26"/>
          <w:szCs w:val="26"/>
        </w:rPr>
        <w:t>.</w:t>
      </w:r>
      <w:r w:rsidRPr="009B6785">
        <w:rPr>
          <w:rFonts w:ascii="Times New Roman" w:hAnsi="Times New Roman" w:cs="Times New Roman"/>
          <w:sz w:val="26"/>
          <w:szCs w:val="26"/>
        </w:rPr>
        <w:t xml:space="preserve">  Within the public notices, the Commission noted that it would be requesting a three-year extension of the public reporting burden.  The Commission received no comments from the public regarding this information collection.</w:t>
      </w:r>
    </w:p>
    <w:p w:rsidRPr="009B6785" w:rsidR="00A72BB9" w:rsidP="005845C5" w:rsidRDefault="00A72BB9" w14:paraId="081AEAE3" w14:textId="77777777">
      <w:pPr>
        <w:spacing w:after="0" w:line="240" w:lineRule="auto"/>
        <w:rPr>
          <w:rFonts w:ascii="Times New Roman" w:hAnsi="Times New Roman" w:cs="Times New Roman"/>
          <w:sz w:val="26"/>
          <w:szCs w:val="26"/>
        </w:rPr>
      </w:pPr>
    </w:p>
    <w:p w:rsidRPr="009B6785" w:rsidR="00A72BB9" w:rsidP="005845C5" w:rsidRDefault="00A72BB9" w14:paraId="0BB1C389"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EXPLAIN ANY PAYMENT OR GIFTS TO RESPONDENTS</w:t>
      </w:r>
    </w:p>
    <w:p w:rsidRPr="009B6785" w:rsidR="00D15728" w:rsidP="005845C5" w:rsidRDefault="00D15728" w14:paraId="3DA713AB" w14:textId="77777777">
      <w:pPr>
        <w:spacing w:after="0" w:line="240" w:lineRule="auto"/>
        <w:rPr>
          <w:rFonts w:ascii="Times New Roman" w:hAnsi="Times New Roman" w:cs="Times New Roman"/>
          <w:sz w:val="26"/>
          <w:szCs w:val="26"/>
        </w:rPr>
      </w:pPr>
    </w:p>
    <w:p w:rsidRPr="009B6785" w:rsidR="00D15728" w:rsidP="005845C5" w:rsidRDefault="00D15728" w14:paraId="4DAA6A1A"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There are no gifts or payments given to the respondents.</w:t>
      </w:r>
    </w:p>
    <w:p w:rsidRPr="009B6785" w:rsidR="00A72BB9" w:rsidP="005845C5" w:rsidRDefault="00A72BB9" w14:paraId="4D48C2AF" w14:textId="375F39AA">
      <w:pPr>
        <w:spacing w:after="0" w:line="240" w:lineRule="auto"/>
        <w:rPr>
          <w:rFonts w:ascii="Times New Roman" w:hAnsi="Times New Roman" w:cs="Times New Roman"/>
          <w:sz w:val="26"/>
          <w:szCs w:val="26"/>
        </w:rPr>
      </w:pPr>
    </w:p>
    <w:p w:rsidRPr="009B6785" w:rsidR="00A72BB9" w:rsidP="005845C5" w:rsidRDefault="00A72BB9" w14:paraId="7B618924"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ANY ASSURANCE OF CONFIDENTIALITY PROVIDED TO RESPONDENTS</w:t>
      </w:r>
    </w:p>
    <w:p w:rsidRPr="009B6785" w:rsidR="00A72BB9" w:rsidP="005845C5" w:rsidRDefault="00A72BB9" w14:paraId="67D7148D" w14:textId="77777777">
      <w:pPr>
        <w:spacing w:after="0" w:line="240" w:lineRule="auto"/>
        <w:rPr>
          <w:rFonts w:ascii="Times New Roman" w:hAnsi="Times New Roman" w:cs="Times New Roman"/>
          <w:sz w:val="26"/>
          <w:szCs w:val="26"/>
        </w:rPr>
      </w:pPr>
    </w:p>
    <w:p w:rsidRPr="004F59DA" w:rsidR="004F59DA" w:rsidP="004F59DA" w:rsidRDefault="004F59DA" w14:paraId="0859A2D2" w14:textId="5CC129B1">
      <w:pPr>
        <w:spacing w:after="0" w:line="240" w:lineRule="auto"/>
        <w:rPr>
          <w:rFonts w:ascii="Times New Roman" w:hAnsi="Times New Roman" w:cs="Times New Roman"/>
          <w:sz w:val="26"/>
          <w:szCs w:val="26"/>
        </w:rPr>
      </w:pPr>
      <w:r w:rsidRPr="004F59DA">
        <w:rPr>
          <w:rFonts w:ascii="Times New Roman" w:hAnsi="Times New Roman" w:cs="Times New Roman"/>
          <w:sz w:val="26"/>
          <w:szCs w:val="26"/>
        </w:rPr>
        <w:t>FERC- 588 information submitted to the Commission is made publicly available through the Commission’s elibrary records management system (https://elibrary.ferc.gov/eLibrary/search</w:t>
      </w:r>
      <w:r>
        <w:rPr>
          <w:rFonts w:ascii="Times New Roman" w:hAnsi="Times New Roman" w:cs="Times New Roman"/>
          <w:sz w:val="26"/>
          <w:szCs w:val="26"/>
        </w:rPr>
        <w:t>.</w:t>
      </w:r>
      <w:r w:rsidRPr="004F59DA">
        <w:rPr>
          <w:rFonts w:ascii="Times New Roman" w:hAnsi="Times New Roman" w:cs="Times New Roman"/>
          <w:sz w:val="26"/>
          <w:szCs w:val="26"/>
          <w:vertAlign w:val="superscript"/>
        </w:rPr>
        <w:footnoteReference w:id="6"/>
      </w:r>
      <w:r w:rsidRPr="004F59DA">
        <w:rPr>
          <w:rFonts w:ascii="Times New Roman" w:hAnsi="Times New Roman" w:cs="Times New Roman"/>
          <w:sz w:val="26"/>
          <w:szCs w:val="26"/>
        </w:rPr>
        <w:t xml:space="preserve">  Specific requests for confidential treatment to the extent permitted by law are considered pursuant to 18 CFR 388.112.</w:t>
      </w:r>
    </w:p>
    <w:p w:rsidRPr="009B6785" w:rsidR="00A72BB9" w:rsidP="005845C5" w:rsidRDefault="00A72BB9" w14:paraId="6194DE18" w14:textId="5F7F88F0">
      <w:pPr>
        <w:spacing w:after="0" w:line="240" w:lineRule="auto"/>
        <w:rPr>
          <w:rFonts w:ascii="Times New Roman" w:hAnsi="Times New Roman" w:cs="Times New Roman"/>
          <w:sz w:val="26"/>
          <w:szCs w:val="26"/>
        </w:rPr>
      </w:pPr>
    </w:p>
    <w:p w:rsidRPr="009B6785" w:rsidR="00A72BB9" w:rsidP="005845C5" w:rsidRDefault="00A72BB9" w14:paraId="271922AD"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9B6785" w:rsidR="00A72BB9" w:rsidP="005845C5" w:rsidRDefault="00A72BB9" w14:paraId="0A54062A" w14:textId="77777777">
      <w:pPr>
        <w:spacing w:after="0" w:line="240" w:lineRule="auto"/>
        <w:rPr>
          <w:rFonts w:ascii="Times New Roman" w:hAnsi="Times New Roman" w:cs="Times New Roman"/>
          <w:sz w:val="26"/>
          <w:szCs w:val="26"/>
        </w:rPr>
      </w:pPr>
    </w:p>
    <w:p w:rsidRPr="009B6785" w:rsidR="00A72BB9" w:rsidP="005845C5" w:rsidRDefault="00A72BB9" w14:paraId="547D3F64"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There are no questions of a sensitive nature associated with the FERC-588. </w:t>
      </w:r>
    </w:p>
    <w:p w:rsidRPr="009B6785" w:rsidR="00A72BB9" w:rsidP="005845C5" w:rsidRDefault="00A72BB9" w14:paraId="63F5B9C4" w14:textId="77777777">
      <w:pPr>
        <w:spacing w:after="0" w:line="240" w:lineRule="auto"/>
        <w:rPr>
          <w:rFonts w:ascii="Times New Roman" w:hAnsi="Times New Roman" w:cs="Times New Roman"/>
          <w:sz w:val="26"/>
          <w:szCs w:val="26"/>
        </w:rPr>
      </w:pPr>
    </w:p>
    <w:p w:rsidRPr="009B6785" w:rsidR="00A72BB9" w:rsidP="005845C5" w:rsidRDefault="00A72BB9" w14:paraId="64E47742"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ESTIMATED BURDEN OF COLLECTION OF INFORMATION</w:t>
      </w:r>
    </w:p>
    <w:p w:rsidRPr="009B6785" w:rsidR="00A72BB9" w:rsidP="005845C5" w:rsidRDefault="00A72BB9" w14:paraId="2BBFFDC3" w14:textId="77777777">
      <w:pPr>
        <w:spacing w:after="0" w:line="240" w:lineRule="auto"/>
        <w:rPr>
          <w:rFonts w:ascii="Times New Roman" w:hAnsi="Times New Roman" w:cs="Times New Roman"/>
          <w:sz w:val="26"/>
          <w:szCs w:val="26"/>
        </w:rPr>
      </w:pPr>
    </w:p>
    <w:p w:rsidRPr="009B6785" w:rsidR="00A72BB9" w:rsidP="005845C5" w:rsidRDefault="00A72BB9" w14:paraId="7F76F30F" w14:textId="140194AE">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Commission estimates the </w:t>
      </w:r>
      <w:r w:rsidR="00382C38">
        <w:rPr>
          <w:rFonts w:ascii="Times New Roman" w:hAnsi="Times New Roman" w:cs="Times New Roman"/>
          <w:sz w:val="26"/>
          <w:szCs w:val="26"/>
        </w:rPr>
        <w:t>p</w:t>
      </w:r>
      <w:r w:rsidRPr="009B6785">
        <w:rPr>
          <w:rFonts w:ascii="Times New Roman" w:hAnsi="Times New Roman" w:cs="Times New Roman"/>
          <w:sz w:val="26"/>
          <w:szCs w:val="26"/>
        </w:rPr>
        <w:t xml:space="preserve">ublic </w:t>
      </w:r>
      <w:r w:rsidR="00382C38">
        <w:rPr>
          <w:rFonts w:ascii="Times New Roman" w:hAnsi="Times New Roman" w:cs="Times New Roman"/>
          <w:sz w:val="26"/>
          <w:szCs w:val="26"/>
        </w:rPr>
        <w:t>r</w:t>
      </w:r>
      <w:r w:rsidRPr="009B6785">
        <w:rPr>
          <w:rFonts w:ascii="Times New Roman" w:hAnsi="Times New Roman" w:cs="Times New Roman"/>
          <w:sz w:val="26"/>
          <w:szCs w:val="26"/>
        </w:rPr>
        <w:t>eporting burden</w:t>
      </w:r>
      <w:r w:rsidRPr="00EF1F7D" w:rsidR="00382C38">
        <w:rPr>
          <w:rStyle w:val="FootnoteReference"/>
          <w:rFonts w:ascii="Times New Roman" w:hAnsi="Times New Roman" w:cs="Times New Roman"/>
          <w:sz w:val="24"/>
          <w:szCs w:val="26"/>
          <w:vertAlign w:val="superscript"/>
        </w:rPr>
        <w:footnoteReference w:id="7"/>
      </w:r>
      <w:r w:rsidRPr="009B6785">
        <w:rPr>
          <w:rFonts w:ascii="Times New Roman" w:hAnsi="Times New Roman" w:cs="Times New Roman"/>
          <w:sz w:val="26"/>
          <w:szCs w:val="26"/>
        </w:rPr>
        <w:t xml:space="preserve"> for the FERC-588 information collection as follows:</w:t>
      </w:r>
    </w:p>
    <w:p w:rsidRPr="009B6785" w:rsidR="00A72BB9" w:rsidP="005845C5" w:rsidRDefault="00A72BB9" w14:paraId="115782C2" w14:textId="77777777">
      <w:pPr>
        <w:spacing w:after="0" w:line="240" w:lineRule="auto"/>
        <w:rPr>
          <w:rFonts w:ascii="Times New Roman" w:hAnsi="Times New Roman" w:cs="Times New Roman"/>
          <w:sz w:val="26"/>
          <w:szCs w:val="26"/>
        </w:rPr>
      </w:pPr>
    </w:p>
    <w:tbl>
      <w:tblPr>
        <w:tblW w:w="516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7"/>
        <w:gridCol w:w="1405"/>
        <w:gridCol w:w="1405"/>
        <w:gridCol w:w="1317"/>
        <w:gridCol w:w="2374"/>
        <w:gridCol w:w="1668"/>
      </w:tblGrid>
      <w:tr w:rsidRPr="009B6785" w:rsidR="00A72BB9" w:rsidTr="005A34C3" w14:paraId="6544EE8D" w14:textId="77777777">
        <w:trPr>
          <w:cantSplit/>
        </w:trPr>
        <w:tc>
          <w:tcPr>
            <w:tcW w:w="5000" w:type="pct"/>
            <w:gridSpan w:val="6"/>
            <w:tcBorders>
              <w:bottom w:val="single" w:color="auto" w:sz="4" w:space="0"/>
            </w:tcBorders>
            <w:shd w:val="clear" w:color="auto" w:fill="D9D9D9"/>
          </w:tcPr>
          <w:p w:rsidRPr="00417E6C" w:rsidR="00A72BB9" w:rsidP="005845C5" w:rsidRDefault="00A72BB9" w14:paraId="65400D23"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FERC-588: Emergency Natural Gas Transportation, Sale, and Exchange Transportation</w:t>
            </w:r>
          </w:p>
        </w:tc>
      </w:tr>
      <w:tr w:rsidRPr="009B6785" w:rsidR="00A72BB9" w:rsidTr="005A34C3" w14:paraId="41A18794" w14:textId="77777777">
        <w:trPr>
          <w:cantSplit/>
        </w:trPr>
        <w:tc>
          <w:tcPr>
            <w:tcW w:w="774" w:type="pct"/>
            <w:shd w:val="clear" w:color="auto" w:fill="D9D9D9"/>
            <w:vAlign w:val="bottom"/>
          </w:tcPr>
          <w:p w:rsidRPr="00417E6C" w:rsidR="00A72BB9" w:rsidP="005845C5" w:rsidRDefault="00A72BB9" w14:paraId="20807436"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Number of Respondents</w:t>
            </w:r>
            <w:r w:rsidRPr="00417E6C">
              <w:rPr>
                <w:rFonts w:ascii="Times New Roman" w:hAnsi="Times New Roman" w:eastAsia="Calibri" w:cs="Times New Roman"/>
                <w:b/>
                <w:szCs w:val="26"/>
              </w:rPr>
              <w:br/>
              <w:t>(1)</w:t>
            </w:r>
          </w:p>
        </w:tc>
        <w:tc>
          <w:tcPr>
            <w:tcW w:w="727" w:type="pct"/>
            <w:shd w:val="clear" w:color="auto" w:fill="D9D9D9"/>
            <w:vAlign w:val="bottom"/>
          </w:tcPr>
          <w:p w:rsidRPr="00417E6C" w:rsidR="00A72BB9" w:rsidP="005845C5" w:rsidRDefault="00A72BB9" w14:paraId="7AF6FF0D"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Annual Number of Responses per Respondent</w:t>
            </w:r>
          </w:p>
          <w:p w:rsidRPr="00417E6C" w:rsidR="00A72BB9" w:rsidP="005845C5" w:rsidRDefault="00A72BB9" w14:paraId="70A381D7"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(2)</w:t>
            </w:r>
          </w:p>
        </w:tc>
        <w:tc>
          <w:tcPr>
            <w:tcW w:w="727" w:type="pct"/>
            <w:shd w:val="clear" w:color="auto" w:fill="D9D9D9"/>
            <w:vAlign w:val="bottom"/>
          </w:tcPr>
          <w:p w:rsidRPr="00417E6C" w:rsidR="00A72BB9" w:rsidP="005845C5" w:rsidRDefault="00A72BB9" w14:paraId="4BB91981"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Total Number of Responses (1)*(2)=(3)</w:t>
            </w:r>
          </w:p>
        </w:tc>
        <w:tc>
          <w:tcPr>
            <w:tcW w:w="681" w:type="pct"/>
            <w:shd w:val="clear" w:color="auto" w:fill="D9D9D9"/>
            <w:vAlign w:val="bottom"/>
          </w:tcPr>
          <w:p w:rsidRPr="00417E6C" w:rsidR="00A72BB9" w:rsidP="005845C5" w:rsidRDefault="00A72BB9" w14:paraId="17144235" w14:textId="37C1C8C4">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 xml:space="preserve">Average Burden </w:t>
            </w:r>
            <w:r w:rsidRPr="00417E6C" w:rsidR="00934467">
              <w:rPr>
                <w:rFonts w:ascii="Times New Roman" w:hAnsi="Times New Roman" w:eastAsia="Calibri" w:cs="Times New Roman"/>
                <w:b/>
                <w:szCs w:val="26"/>
              </w:rPr>
              <w:t>&amp; Cost</w:t>
            </w:r>
            <w:r w:rsidRPr="00417E6C">
              <w:rPr>
                <w:rFonts w:ascii="Times New Roman" w:hAnsi="Times New Roman" w:eastAsia="Calibri" w:cs="Times New Roman"/>
                <w:b/>
                <w:szCs w:val="26"/>
              </w:rPr>
              <w:t xml:space="preserve"> Per Response</w:t>
            </w:r>
            <w:r w:rsidRPr="00417E6C">
              <w:rPr>
                <w:rFonts w:ascii="Times New Roman" w:hAnsi="Times New Roman" w:eastAsia="Calibri" w:cs="Times New Roman"/>
                <w:b/>
                <w:szCs w:val="26"/>
                <w:vertAlign w:val="superscript"/>
              </w:rPr>
              <w:footnoteReference w:id="8"/>
            </w:r>
          </w:p>
          <w:p w:rsidRPr="00417E6C" w:rsidR="00A72BB9" w:rsidP="005845C5" w:rsidRDefault="00A72BB9" w14:paraId="7F3CA4A5"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(4)</w:t>
            </w:r>
          </w:p>
        </w:tc>
        <w:tc>
          <w:tcPr>
            <w:tcW w:w="1228" w:type="pct"/>
            <w:shd w:val="clear" w:color="auto" w:fill="D9D9D9"/>
            <w:vAlign w:val="bottom"/>
          </w:tcPr>
          <w:p w:rsidRPr="00417E6C" w:rsidR="00A72BB9" w:rsidP="005845C5" w:rsidRDefault="00A72BB9" w14:paraId="19DCEA23" w14:textId="22C7AF6C">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 xml:space="preserve">Total Annual Burden </w:t>
            </w:r>
            <w:r w:rsidRPr="00417E6C" w:rsidR="00934467">
              <w:rPr>
                <w:rFonts w:ascii="Times New Roman" w:hAnsi="Times New Roman" w:eastAsia="Calibri" w:cs="Times New Roman"/>
                <w:b/>
                <w:szCs w:val="26"/>
              </w:rPr>
              <w:t xml:space="preserve">&amp; </w:t>
            </w:r>
            <w:r w:rsidRPr="00417E6C">
              <w:rPr>
                <w:rFonts w:ascii="Times New Roman" w:hAnsi="Times New Roman" w:eastAsia="Calibri" w:cs="Times New Roman"/>
                <w:b/>
                <w:szCs w:val="26"/>
              </w:rPr>
              <w:t>Total Annual Cost</w:t>
            </w:r>
          </w:p>
          <w:p w:rsidRPr="00417E6C" w:rsidR="00A72BB9" w:rsidP="005845C5" w:rsidRDefault="00A72BB9" w14:paraId="4B0F0D24"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(3)*(4)=(5)</w:t>
            </w:r>
          </w:p>
        </w:tc>
        <w:tc>
          <w:tcPr>
            <w:tcW w:w="864" w:type="pct"/>
            <w:shd w:val="clear" w:color="auto" w:fill="D9D9D9"/>
            <w:vAlign w:val="bottom"/>
          </w:tcPr>
          <w:p w:rsidRPr="00417E6C" w:rsidR="00A72BB9" w:rsidP="005845C5" w:rsidRDefault="00A72BB9" w14:paraId="1B780269"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Cost per Respondent</w:t>
            </w:r>
          </w:p>
          <w:p w:rsidRPr="00417E6C" w:rsidR="00A72BB9" w:rsidP="005845C5" w:rsidRDefault="00A72BB9" w14:paraId="660131EF"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 xml:space="preserve"> ($)</w:t>
            </w:r>
          </w:p>
          <w:p w:rsidRPr="00417E6C" w:rsidR="00A72BB9" w:rsidP="005845C5" w:rsidRDefault="00A72BB9" w14:paraId="56E59C14" w14:textId="77777777">
            <w:pPr>
              <w:spacing w:after="0" w:line="240" w:lineRule="auto"/>
              <w:jc w:val="center"/>
              <w:rPr>
                <w:rFonts w:ascii="Times New Roman" w:hAnsi="Times New Roman" w:eastAsia="Calibri" w:cs="Times New Roman"/>
                <w:b/>
                <w:szCs w:val="26"/>
              </w:rPr>
            </w:pPr>
            <w:r w:rsidRPr="00417E6C">
              <w:rPr>
                <w:rFonts w:ascii="Times New Roman" w:hAnsi="Times New Roman" w:eastAsia="Calibri" w:cs="Times New Roman"/>
                <w:b/>
                <w:szCs w:val="26"/>
              </w:rPr>
              <w:t>(5)÷(1)</w:t>
            </w:r>
          </w:p>
        </w:tc>
      </w:tr>
      <w:tr w:rsidRPr="009B6785" w:rsidR="00A72BB9" w:rsidTr="005A34C3" w14:paraId="5871E851" w14:textId="77777777">
        <w:trPr>
          <w:cantSplit/>
        </w:trPr>
        <w:tc>
          <w:tcPr>
            <w:tcW w:w="774" w:type="pct"/>
          </w:tcPr>
          <w:p w:rsidRPr="00417E6C" w:rsidR="00A72BB9" w:rsidP="00417E6C" w:rsidRDefault="00C35724" w14:paraId="2A23A477" w14:textId="4CFE1243">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10</w:t>
            </w:r>
          </w:p>
        </w:tc>
        <w:tc>
          <w:tcPr>
            <w:tcW w:w="727" w:type="pct"/>
          </w:tcPr>
          <w:p w:rsidRPr="00417E6C" w:rsidR="00A72BB9" w:rsidP="005845C5" w:rsidRDefault="00C35724" w14:paraId="346943F8" w14:textId="77777777">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3</w:t>
            </w:r>
          </w:p>
        </w:tc>
        <w:tc>
          <w:tcPr>
            <w:tcW w:w="727" w:type="pct"/>
          </w:tcPr>
          <w:p w:rsidRPr="00417E6C" w:rsidR="00A72BB9" w:rsidP="005845C5" w:rsidRDefault="00C35724" w14:paraId="456159A9" w14:textId="77777777">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30</w:t>
            </w:r>
          </w:p>
        </w:tc>
        <w:tc>
          <w:tcPr>
            <w:tcW w:w="681" w:type="pct"/>
          </w:tcPr>
          <w:p w:rsidRPr="00417E6C" w:rsidR="00A72BB9" w:rsidP="005845C5" w:rsidRDefault="00A72BB9" w14:paraId="42B976B2" w14:textId="71C031F2">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10</w:t>
            </w:r>
            <w:r w:rsidRPr="00417E6C" w:rsidR="00C35724">
              <w:rPr>
                <w:rFonts w:ascii="Times New Roman" w:hAnsi="Times New Roman" w:eastAsia="Calibri" w:cs="Times New Roman"/>
                <w:szCs w:val="26"/>
              </w:rPr>
              <w:t xml:space="preserve"> hrs</w:t>
            </w:r>
            <w:r w:rsidRPr="00417E6C" w:rsidR="00934467">
              <w:rPr>
                <w:rFonts w:ascii="Times New Roman" w:hAnsi="Times New Roman" w:eastAsia="Calibri" w:cs="Times New Roman"/>
                <w:szCs w:val="26"/>
              </w:rPr>
              <w:t>.;</w:t>
            </w:r>
          </w:p>
          <w:p w:rsidRPr="00417E6C" w:rsidR="00A72BB9" w:rsidP="005845C5" w:rsidRDefault="00C35724" w14:paraId="600B5D62" w14:textId="6D898FD5">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w:t>
            </w:r>
            <w:r w:rsidR="00EF1F7D">
              <w:rPr>
                <w:rFonts w:ascii="Times New Roman" w:hAnsi="Times New Roman" w:eastAsia="Calibri" w:cs="Times New Roman"/>
                <w:szCs w:val="26"/>
              </w:rPr>
              <w:t>830</w:t>
            </w:r>
          </w:p>
        </w:tc>
        <w:tc>
          <w:tcPr>
            <w:tcW w:w="1228" w:type="pct"/>
          </w:tcPr>
          <w:p w:rsidRPr="00417E6C" w:rsidR="00A72BB9" w:rsidP="005845C5" w:rsidRDefault="00C35724" w14:paraId="2F0A66D3" w14:textId="5021C86E">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300 hrs</w:t>
            </w:r>
            <w:r w:rsidRPr="00417E6C" w:rsidR="00934467">
              <w:rPr>
                <w:rFonts w:ascii="Times New Roman" w:hAnsi="Times New Roman" w:eastAsia="Calibri" w:cs="Times New Roman"/>
                <w:szCs w:val="26"/>
              </w:rPr>
              <w:t>.;</w:t>
            </w:r>
          </w:p>
          <w:p w:rsidRPr="00417E6C" w:rsidR="00A72BB9" w:rsidP="001E6987" w:rsidRDefault="00C84271" w14:paraId="3D17678C" w14:textId="7027903A">
            <w:pPr>
              <w:spacing w:after="0" w:line="240" w:lineRule="auto"/>
              <w:jc w:val="right"/>
              <w:rPr>
                <w:rFonts w:ascii="Times New Roman" w:hAnsi="Times New Roman" w:eastAsia="Calibri" w:cs="Times New Roman"/>
                <w:szCs w:val="26"/>
              </w:rPr>
            </w:pPr>
            <w:r>
              <w:rPr>
                <w:rFonts w:ascii="Times New Roman" w:hAnsi="Times New Roman" w:eastAsia="Calibri" w:cs="Times New Roman"/>
                <w:szCs w:val="26"/>
              </w:rPr>
              <w:t>$24,900</w:t>
            </w:r>
          </w:p>
        </w:tc>
        <w:tc>
          <w:tcPr>
            <w:tcW w:w="864" w:type="pct"/>
          </w:tcPr>
          <w:p w:rsidRPr="00417E6C" w:rsidR="00A72BB9" w:rsidP="00417E6C" w:rsidRDefault="00C35724" w14:paraId="120156F6" w14:textId="147B96AC">
            <w:pPr>
              <w:spacing w:after="0" w:line="240" w:lineRule="auto"/>
              <w:jc w:val="right"/>
              <w:rPr>
                <w:rFonts w:ascii="Times New Roman" w:hAnsi="Times New Roman" w:eastAsia="Calibri" w:cs="Times New Roman"/>
                <w:szCs w:val="26"/>
              </w:rPr>
            </w:pPr>
            <w:r w:rsidRPr="00417E6C">
              <w:rPr>
                <w:rFonts w:ascii="Times New Roman" w:hAnsi="Times New Roman" w:eastAsia="Calibri" w:cs="Times New Roman"/>
                <w:szCs w:val="26"/>
              </w:rPr>
              <w:t>$</w:t>
            </w:r>
            <w:r w:rsidR="00C84271">
              <w:rPr>
                <w:rFonts w:ascii="Times New Roman" w:hAnsi="Times New Roman" w:eastAsia="Calibri" w:cs="Times New Roman"/>
                <w:szCs w:val="26"/>
              </w:rPr>
              <w:t>2,490</w:t>
            </w:r>
          </w:p>
        </w:tc>
      </w:tr>
    </w:tbl>
    <w:p w:rsidR="00D10F59" w:rsidP="005845C5" w:rsidRDefault="00D10F59" w14:paraId="6D3F8043" w14:textId="4C004B66">
      <w:pPr>
        <w:spacing w:after="0" w:line="240" w:lineRule="auto"/>
        <w:rPr>
          <w:rFonts w:ascii="Times New Roman" w:hAnsi="Times New Roman" w:cs="Times New Roman"/>
          <w:sz w:val="26"/>
          <w:szCs w:val="26"/>
        </w:rPr>
      </w:pPr>
    </w:p>
    <w:p w:rsidR="00D10F59" w:rsidRDefault="00D10F59" w14:paraId="42595528" w14:textId="77777777">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Pr="009B6785" w:rsidR="00A72BB9" w:rsidP="005845C5" w:rsidRDefault="00A72BB9" w14:paraId="4D920F4B"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lastRenderedPageBreak/>
        <w:t>ESTIMATE OF THE TOTAL ANNUAL COST BURDEN TO RESPONDENTS</w:t>
      </w:r>
    </w:p>
    <w:p w:rsidRPr="009B6785" w:rsidR="00A72BB9" w:rsidP="005845C5" w:rsidRDefault="00A72BB9" w14:paraId="77618AC2" w14:textId="77777777">
      <w:pPr>
        <w:spacing w:after="0" w:line="240" w:lineRule="auto"/>
        <w:rPr>
          <w:rFonts w:ascii="Times New Roman" w:hAnsi="Times New Roman" w:cs="Times New Roman"/>
          <w:sz w:val="26"/>
          <w:szCs w:val="26"/>
        </w:rPr>
      </w:pPr>
    </w:p>
    <w:p w:rsidRPr="009B6785" w:rsidR="00A72BB9" w:rsidP="005845C5" w:rsidRDefault="00A72BB9" w14:paraId="74151E7F" w14:textId="2B4F68B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There are no capital or start-up costs associated with</w:t>
      </w:r>
      <w:r w:rsidR="00934467">
        <w:rPr>
          <w:rFonts w:ascii="Times New Roman" w:hAnsi="Times New Roman" w:cs="Times New Roman"/>
          <w:sz w:val="26"/>
          <w:szCs w:val="26"/>
        </w:rPr>
        <w:t xml:space="preserve"> </w:t>
      </w:r>
      <w:r w:rsidRPr="009B6785">
        <w:rPr>
          <w:rFonts w:ascii="Times New Roman" w:hAnsi="Times New Roman" w:cs="Times New Roman"/>
          <w:sz w:val="26"/>
          <w:szCs w:val="26"/>
        </w:rPr>
        <w:t>FERC-588.  All of the costs are associated with the burden hours and accounted for in Questions #12 and #15.</w:t>
      </w:r>
    </w:p>
    <w:p w:rsidRPr="009B6785" w:rsidR="00A72BB9" w:rsidP="005845C5" w:rsidRDefault="00A72BB9" w14:paraId="693FEF3C" w14:textId="77777777">
      <w:pPr>
        <w:spacing w:after="0" w:line="240" w:lineRule="auto"/>
        <w:rPr>
          <w:rFonts w:ascii="Times New Roman" w:hAnsi="Times New Roman" w:cs="Times New Roman"/>
          <w:sz w:val="26"/>
          <w:szCs w:val="26"/>
        </w:rPr>
      </w:pPr>
    </w:p>
    <w:p w:rsidRPr="009B6785" w:rsidR="00A72BB9" w:rsidP="005845C5" w:rsidRDefault="00A72BB9" w14:paraId="54C9CFCD"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ESTIMATED ANNUALIZED COST TO FEDERAL GOVERNMENT</w:t>
      </w:r>
    </w:p>
    <w:p w:rsidRPr="009B6785" w:rsidR="00A72BB9" w:rsidP="005845C5" w:rsidRDefault="00A72BB9" w14:paraId="5D35C0BD" w14:textId="77777777">
      <w:pPr>
        <w:spacing w:after="0" w:line="240" w:lineRule="auto"/>
        <w:rPr>
          <w:rFonts w:ascii="Times New Roman" w:hAnsi="Times New Roman" w:cs="Times New Roman"/>
          <w:sz w:val="26"/>
          <w:szCs w:val="26"/>
        </w:rPr>
      </w:pPr>
    </w:p>
    <w:p w:rsidRPr="009B6785" w:rsidR="00A72BB9" w:rsidP="005845C5" w:rsidRDefault="00A72BB9" w14:paraId="7230079F" w14:textId="5A1E941C">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following table contains the annualized </w:t>
      </w:r>
      <w:r w:rsidR="00CA29BB">
        <w:rPr>
          <w:rFonts w:ascii="Times New Roman" w:hAnsi="Times New Roman" w:cs="Times New Roman"/>
          <w:sz w:val="26"/>
          <w:szCs w:val="26"/>
        </w:rPr>
        <w:t>federal cost</w:t>
      </w:r>
      <w:r w:rsidRPr="009B6785">
        <w:rPr>
          <w:rFonts w:ascii="Times New Roman" w:hAnsi="Times New Roman" w:cs="Times New Roman"/>
          <w:sz w:val="26"/>
          <w:szCs w:val="26"/>
        </w:rPr>
        <w:t>.</w:t>
      </w:r>
    </w:p>
    <w:p w:rsidRPr="009B6785" w:rsidR="00A72BB9" w:rsidP="005845C5" w:rsidRDefault="00A72BB9" w14:paraId="422179CB" w14:textId="77777777">
      <w:pPr>
        <w:spacing w:after="0" w:line="240" w:lineRule="auto"/>
        <w:rPr>
          <w:rFonts w:ascii="Times New Roman" w:hAnsi="Times New Roman" w:cs="Times New Roman"/>
          <w:sz w:val="26"/>
          <w:szCs w:val="26"/>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3062"/>
      </w:tblGrid>
      <w:tr w:rsidRPr="009B6785" w:rsidR="00A72BB9" w:rsidTr="00992DE5" w14:paraId="2C80D8A9" w14:textId="77777777">
        <w:tc>
          <w:tcPr>
            <w:tcW w:w="3182" w:type="dxa"/>
            <w:shd w:val="clear" w:color="auto" w:fill="CCCCCC"/>
          </w:tcPr>
          <w:p w:rsidRPr="009B6785" w:rsidR="00A72BB9" w:rsidP="005845C5" w:rsidRDefault="00A72BB9" w14:paraId="194A4381" w14:textId="77777777">
            <w:pPr>
              <w:spacing w:after="0" w:line="240" w:lineRule="auto"/>
              <w:rPr>
                <w:rFonts w:ascii="Times New Roman" w:hAnsi="Times New Roman" w:cs="Times New Roman"/>
                <w:sz w:val="26"/>
                <w:szCs w:val="26"/>
              </w:rPr>
            </w:pPr>
          </w:p>
        </w:tc>
        <w:tc>
          <w:tcPr>
            <w:tcW w:w="3201" w:type="dxa"/>
            <w:shd w:val="clear" w:color="auto" w:fill="CCCCCC"/>
          </w:tcPr>
          <w:p w:rsidRPr="009B6785" w:rsidR="00A72BB9" w:rsidP="005845C5" w:rsidRDefault="00A72BB9" w14:paraId="510C6EC6" w14:textId="77777777">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Number of Employees (FTEs)</w:t>
            </w:r>
          </w:p>
        </w:tc>
        <w:tc>
          <w:tcPr>
            <w:tcW w:w="3062" w:type="dxa"/>
            <w:shd w:val="clear" w:color="auto" w:fill="CCCCCC"/>
          </w:tcPr>
          <w:p w:rsidRPr="009B6785" w:rsidR="00A72BB9" w:rsidP="005845C5" w:rsidRDefault="00A72BB9" w14:paraId="650283A2" w14:textId="77777777">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Estimated Annual Federal Cost</w:t>
            </w:r>
          </w:p>
        </w:tc>
      </w:tr>
      <w:tr w:rsidRPr="009B6785" w:rsidR="00A72BB9" w:rsidTr="00992DE5" w14:paraId="0A64A790" w14:textId="77777777">
        <w:tc>
          <w:tcPr>
            <w:tcW w:w="3182" w:type="dxa"/>
            <w:shd w:val="clear" w:color="auto" w:fill="auto"/>
          </w:tcPr>
          <w:p w:rsidRPr="009B6785" w:rsidR="00A72BB9" w:rsidP="005845C5" w:rsidRDefault="00A72BB9" w14:paraId="66049A11"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Analysis and Processing of filings</w:t>
            </w:r>
            <w:r w:rsidRPr="009B6785">
              <w:rPr>
                <w:rFonts w:ascii="Times New Roman" w:hAnsi="Times New Roman" w:cs="Times New Roman"/>
                <w:sz w:val="26"/>
                <w:szCs w:val="26"/>
                <w:vertAlign w:val="superscript"/>
              </w:rPr>
              <w:footnoteReference w:id="9"/>
            </w:r>
          </w:p>
        </w:tc>
        <w:tc>
          <w:tcPr>
            <w:tcW w:w="3201" w:type="dxa"/>
            <w:tcBorders>
              <w:bottom w:val="single" w:color="auto" w:sz="4" w:space="0"/>
            </w:tcBorders>
            <w:shd w:val="clear" w:color="auto" w:fill="auto"/>
            <w:vAlign w:val="center"/>
          </w:tcPr>
          <w:p w:rsidRPr="009B6785" w:rsidR="00A72BB9" w:rsidP="005845C5" w:rsidRDefault="00992DE5" w14:paraId="599773BD" w14:textId="77777777">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0.50</w:t>
            </w:r>
          </w:p>
        </w:tc>
        <w:tc>
          <w:tcPr>
            <w:tcW w:w="3062" w:type="dxa"/>
            <w:shd w:val="clear" w:color="auto" w:fill="auto"/>
            <w:vAlign w:val="center"/>
          </w:tcPr>
          <w:p w:rsidRPr="009B6785" w:rsidR="00A72BB9" w:rsidP="005845C5" w:rsidRDefault="00992DE5" w14:paraId="223FF347" w14:textId="2FD02ACF">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A31930">
              <w:rPr>
                <w:rFonts w:ascii="Times New Roman" w:hAnsi="Times New Roman" w:cs="Times New Roman"/>
                <w:sz w:val="26"/>
                <w:szCs w:val="26"/>
              </w:rPr>
              <w:t>86,164.50</w:t>
            </w:r>
          </w:p>
        </w:tc>
      </w:tr>
      <w:tr w:rsidRPr="009B6785" w:rsidR="00A72BB9" w:rsidTr="00992DE5" w14:paraId="312F99C9" w14:textId="77777777">
        <w:tc>
          <w:tcPr>
            <w:tcW w:w="3182" w:type="dxa"/>
            <w:shd w:val="clear" w:color="auto" w:fill="auto"/>
          </w:tcPr>
          <w:p w:rsidRPr="009B6785" w:rsidR="00A72BB9" w:rsidP="005845C5" w:rsidRDefault="00A72BB9" w14:paraId="527CFEB3" w14:textId="77777777">
            <w:pPr>
              <w:spacing w:line="240" w:lineRule="auto"/>
              <w:rPr>
                <w:rFonts w:ascii="Times New Roman" w:hAnsi="Times New Roman" w:cs="Times New Roman"/>
                <w:sz w:val="26"/>
                <w:szCs w:val="26"/>
              </w:rPr>
            </w:pPr>
            <w:r w:rsidRPr="009B6785">
              <w:rPr>
                <w:rFonts w:ascii="Times New Roman" w:hAnsi="Times New Roman" w:cs="Times New Roman"/>
                <w:sz w:val="26"/>
                <w:szCs w:val="26"/>
              </w:rPr>
              <w:t>PRA</w:t>
            </w:r>
            <w:r w:rsidRPr="009B6785">
              <w:rPr>
                <w:rFonts w:ascii="Times New Roman" w:hAnsi="Times New Roman" w:cs="Times New Roman"/>
                <w:sz w:val="26"/>
                <w:szCs w:val="26"/>
                <w:vertAlign w:val="superscript"/>
              </w:rPr>
              <w:footnoteReference w:id="10"/>
            </w:r>
            <w:r w:rsidRPr="009B6785">
              <w:rPr>
                <w:rFonts w:ascii="Times New Roman" w:hAnsi="Times New Roman" w:cs="Times New Roman"/>
                <w:sz w:val="26"/>
                <w:szCs w:val="26"/>
              </w:rPr>
              <w:t xml:space="preserve"> Administrative Cost</w:t>
            </w:r>
            <w:r w:rsidRPr="009B6785">
              <w:rPr>
                <w:rFonts w:ascii="Times New Roman" w:hAnsi="Times New Roman" w:cs="Times New Roman"/>
                <w:sz w:val="26"/>
                <w:szCs w:val="26"/>
                <w:vertAlign w:val="superscript"/>
              </w:rPr>
              <w:footnoteReference w:id="11"/>
            </w:r>
            <w:r w:rsidRPr="009B6785">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rsidRPr="009B6785" w:rsidR="00A72BB9" w:rsidP="005845C5" w:rsidRDefault="00A72BB9" w14:paraId="20440C7E" w14:textId="77777777">
            <w:pPr>
              <w:spacing w:after="0" w:line="240" w:lineRule="auto"/>
              <w:jc w:val="right"/>
              <w:rPr>
                <w:rFonts w:ascii="Times New Roman" w:hAnsi="Times New Roman" w:cs="Times New Roman"/>
                <w:sz w:val="26"/>
                <w:szCs w:val="26"/>
                <w:highlight w:val="yellow"/>
              </w:rPr>
            </w:pPr>
          </w:p>
        </w:tc>
        <w:tc>
          <w:tcPr>
            <w:tcW w:w="3062" w:type="dxa"/>
            <w:shd w:val="clear" w:color="auto" w:fill="auto"/>
            <w:vAlign w:val="center"/>
          </w:tcPr>
          <w:p w:rsidRPr="009B6785" w:rsidR="00A72BB9" w:rsidP="005845C5" w:rsidRDefault="00992DE5" w14:paraId="6DA01417" w14:textId="20FBBD1C">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E568B6">
              <w:rPr>
                <w:rFonts w:ascii="Times New Roman" w:hAnsi="Times New Roman" w:cs="Times New Roman"/>
                <w:sz w:val="26"/>
                <w:szCs w:val="26"/>
              </w:rPr>
              <w:t>6,475</w:t>
            </w:r>
            <w:r w:rsidR="00390212">
              <w:rPr>
                <w:rFonts w:ascii="Times New Roman" w:hAnsi="Times New Roman" w:cs="Times New Roman"/>
                <w:sz w:val="26"/>
                <w:szCs w:val="26"/>
              </w:rPr>
              <w:t>.00</w:t>
            </w:r>
          </w:p>
        </w:tc>
      </w:tr>
      <w:tr w:rsidRPr="009B6785" w:rsidR="00A72BB9" w:rsidTr="00992DE5" w14:paraId="0E2524F5" w14:textId="77777777">
        <w:tc>
          <w:tcPr>
            <w:tcW w:w="3182" w:type="dxa"/>
            <w:shd w:val="clear" w:color="auto" w:fill="auto"/>
          </w:tcPr>
          <w:p w:rsidRPr="009B6785" w:rsidR="00A72BB9" w:rsidP="005845C5" w:rsidRDefault="00A72BB9" w14:paraId="0A2B8F5C" w14:textId="77777777">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rsidRPr="009B6785" w:rsidR="00A72BB9" w:rsidP="005845C5" w:rsidRDefault="00A72BB9" w14:paraId="44278002" w14:textId="77777777">
            <w:pPr>
              <w:spacing w:after="0" w:line="240" w:lineRule="auto"/>
              <w:jc w:val="right"/>
              <w:rPr>
                <w:rFonts w:ascii="Times New Roman" w:hAnsi="Times New Roman" w:cs="Times New Roman"/>
                <w:sz w:val="26"/>
                <w:szCs w:val="26"/>
                <w:highlight w:val="yellow"/>
              </w:rPr>
            </w:pPr>
          </w:p>
        </w:tc>
        <w:tc>
          <w:tcPr>
            <w:tcW w:w="3062" w:type="dxa"/>
            <w:shd w:val="clear" w:color="auto" w:fill="auto"/>
            <w:vAlign w:val="center"/>
          </w:tcPr>
          <w:p w:rsidRPr="009B6785" w:rsidR="00A72BB9" w:rsidP="005845C5" w:rsidRDefault="005704D2" w14:paraId="3A66A06C" w14:textId="516AD903">
            <w:pPr>
              <w:spacing w:after="0" w:line="240" w:lineRule="auto"/>
              <w:jc w:val="right"/>
              <w:rPr>
                <w:rFonts w:ascii="Times New Roman" w:hAnsi="Times New Roman" w:cs="Times New Roman"/>
                <w:sz w:val="26"/>
                <w:szCs w:val="26"/>
                <w:highlight w:val="yellow"/>
              </w:rPr>
            </w:pPr>
            <w:r w:rsidRPr="005704D2">
              <w:rPr>
                <w:rFonts w:ascii="Times New Roman" w:hAnsi="Times New Roman" w:cs="Times New Roman"/>
                <w:sz w:val="26"/>
                <w:szCs w:val="26"/>
              </w:rPr>
              <w:t>$</w:t>
            </w:r>
            <w:r w:rsidR="009D5269">
              <w:rPr>
                <w:rFonts w:ascii="Times New Roman" w:hAnsi="Times New Roman" w:cs="Times New Roman"/>
                <w:sz w:val="26"/>
                <w:szCs w:val="26"/>
              </w:rPr>
              <w:t>92,639.50</w:t>
            </w:r>
          </w:p>
        </w:tc>
      </w:tr>
    </w:tbl>
    <w:p w:rsidRPr="009B6785" w:rsidR="00A72BB9" w:rsidP="005845C5" w:rsidRDefault="00A72BB9" w14:paraId="420776B0" w14:textId="77777777">
      <w:pPr>
        <w:spacing w:after="0" w:line="240" w:lineRule="auto"/>
        <w:rPr>
          <w:rFonts w:ascii="Times New Roman" w:hAnsi="Times New Roman" w:cs="Times New Roman"/>
          <w:sz w:val="26"/>
          <w:szCs w:val="26"/>
        </w:rPr>
      </w:pPr>
    </w:p>
    <w:p w:rsidRPr="009B6785" w:rsidR="00A72BB9" w:rsidP="005845C5" w:rsidRDefault="00A72BB9" w14:paraId="336113CE"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REASONS FOR CHANGES IN BURDEN INCLUDING THE NEED FOR ANY INCREASE</w:t>
      </w:r>
    </w:p>
    <w:p w:rsidRPr="009B6785" w:rsidR="00A72BB9" w:rsidP="005845C5" w:rsidRDefault="00A72BB9" w14:paraId="2E41A5D2" w14:textId="77777777">
      <w:pPr>
        <w:spacing w:after="0" w:line="240" w:lineRule="auto"/>
        <w:rPr>
          <w:rFonts w:ascii="Times New Roman" w:hAnsi="Times New Roman" w:cs="Times New Roman"/>
          <w:sz w:val="26"/>
          <w:szCs w:val="26"/>
        </w:rPr>
      </w:pPr>
    </w:p>
    <w:p w:rsidR="00A72BB9" w:rsidP="005845C5" w:rsidRDefault="00AE7AD4" w14:paraId="64D8E0B3" w14:textId="321A5CFB">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9B6785" w:rsidR="00A72BB9">
        <w:rPr>
          <w:rFonts w:ascii="Times New Roman" w:hAnsi="Times New Roman" w:cs="Times New Roman"/>
          <w:sz w:val="26"/>
          <w:szCs w:val="26"/>
        </w:rPr>
        <w:t xml:space="preserve">here </w:t>
      </w:r>
      <w:r w:rsidR="00AC750B">
        <w:rPr>
          <w:rFonts w:ascii="Times New Roman" w:hAnsi="Times New Roman" w:cs="Times New Roman"/>
          <w:sz w:val="26"/>
          <w:szCs w:val="26"/>
        </w:rPr>
        <w:t>are no adjustments and no program changes.</w:t>
      </w:r>
    </w:p>
    <w:p w:rsidRPr="009B6785" w:rsidR="00AC750B" w:rsidP="005845C5" w:rsidRDefault="00AC750B" w14:paraId="386DC966" w14:textId="77777777">
      <w:pPr>
        <w:spacing w:after="0" w:line="240" w:lineRule="auto"/>
        <w:rPr>
          <w:rFonts w:ascii="Times New Roman" w:hAnsi="Times New Roman" w:cs="Times New Roman"/>
          <w:sz w:val="26"/>
          <w:szCs w:val="26"/>
        </w:rPr>
      </w:pPr>
    </w:p>
    <w:p w:rsidRPr="009B6785" w:rsidR="00A72BB9" w:rsidP="005845C5" w:rsidRDefault="00A72BB9" w14:paraId="6F3126CA"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TIME SCHEDULE FOR PUBLICATION OF DATA</w:t>
      </w:r>
    </w:p>
    <w:p w:rsidRPr="009B6785" w:rsidR="00A72BB9" w:rsidP="005845C5" w:rsidRDefault="00A72BB9" w14:paraId="4BAA0593" w14:textId="77777777">
      <w:pPr>
        <w:spacing w:after="0" w:line="240" w:lineRule="auto"/>
        <w:rPr>
          <w:rFonts w:ascii="Times New Roman" w:hAnsi="Times New Roman" w:cs="Times New Roman"/>
          <w:sz w:val="26"/>
          <w:szCs w:val="26"/>
        </w:rPr>
      </w:pPr>
    </w:p>
    <w:p w:rsidRPr="009B6785" w:rsidR="00A72BB9" w:rsidP="005845C5" w:rsidRDefault="00A72BB9" w14:paraId="54A4AB59" w14:textId="14EA933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There are no publication plans for this collection of information.  </w:t>
      </w:r>
    </w:p>
    <w:p w:rsidRPr="009B6785" w:rsidR="00A72BB9" w:rsidP="005845C5" w:rsidRDefault="00A72BB9" w14:paraId="4C4E5218" w14:textId="77777777">
      <w:pPr>
        <w:spacing w:after="0" w:line="240" w:lineRule="auto"/>
        <w:rPr>
          <w:rFonts w:ascii="Times New Roman" w:hAnsi="Times New Roman" w:cs="Times New Roman"/>
          <w:sz w:val="26"/>
          <w:szCs w:val="26"/>
        </w:rPr>
      </w:pPr>
    </w:p>
    <w:p w:rsidRPr="009B6785" w:rsidR="00A72BB9" w:rsidP="005845C5" w:rsidRDefault="00A72BB9" w14:paraId="73B0379C"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DISPLAY OF EXPIRATION DATE</w:t>
      </w:r>
    </w:p>
    <w:p w:rsidR="001D6433" w:rsidP="001D6433" w:rsidRDefault="001D6433" w14:paraId="16D4FA02" w14:textId="77777777">
      <w:pPr>
        <w:spacing w:after="0" w:line="240" w:lineRule="auto"/>
        <w:rPr>
          <w:rFonts w:ascii="Times New Roman" w:hAnsi="Times New Roman" w:cs="Times New Roman"/>
          <w:sz w:val="26"/>
          <w:szCs w:val="26"/>
        </w:rPr>
      </w:pPr>
    </w:p>
    <w:p w:rsidRPr="009B6785" w:rsidR="00A72BB9" w:rsidP="001D6433" w:rsidRDefault="00A72BB9" w14:paraId="53735F5E" w14:textId="566C6113">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expiration date is displayed in a table posted on ferc.gov at </w:t>
      </w:r>
      <w:hyperlink w:history="1" r:id="rId14">
        <w:r w:rsidRPr="009B6785">
          <w:rPr>
            <w:rStyle w:val="Hyperlink"/>
            <w:rFonts w:ascii="Times New Roman" w:hAnsi="Times New Roman" w:cs="Times New Roman"/>
            <w:sz w:val="26"/>
            <w:szCs w:val="26"/>
          </w:rPr>
          <w:t>http://www.ferc.gov/docs-filing/info-collections.asp</w:t>
        </w:r>
      </w:hyperlink>
      <w:r w:rsidRPr="009B6785">
        <w:rPr>
          <w:rFonts w:ascii="Times New Roman" w:hAnsi="Times New Roman" w:cs="Times New Roman"/>
          <w:sz w:val="26"/>
          <w:szCs w:val="26"/>
        </w:rPr>
        <w:t>.</w:t>
      </w:r>
    </w:p>
    <w:p w:rsidRPr="009B6785" w:rsidR="00A72BB9" w:rsidP="005845C5" w:rsidRDefault="00A72BB9" w14:paraId="0C1E7504" w14:textId="77777777">
      <w:pPr>
        <w:spacing w:after="0" w:line="240" w:lineRule="auto"/>
        <w:rPr>
          <w:rFonts w:ascii="Times New Roman" w:hAnsi="Times New Roman" w:cs="Times New Roman"/>
          <w:sz w:val="26"/>
          <w:szCs w:val="26"/>
        </w:rPr>
      </w:pPr>
    </w:p>
    <w:p w:rsidRPr="009B6785" w:rsidR="00A72BB9" w:rsidP="005845C5" w:rsidRDefault="00A72BB9" w14:paraId="077BC218"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EXCEPTIONS TO THE CERTIFICATION STATEMENT</w:t>
      </w:r>
    </w:p>
    <w:p w:rsidRPr="009B6785" w:rsidR="00A72BB9" w:rsidP="005845C5" w:rsidRDefault="00A72BB9" w14:paraId="31D1C991" w14:textId="77777777">
      <w:pPr>
        <w:spacing w:after="0" w:line="240" w:lineRule="auto"/>
        <w:rPr>
          <w:rFonts w:ascii="Times New Roman" w:hAnsi="Times New Roman" w:cs="Times New Roman"/>
          <w:b/>
          <w:sz w:val="26"/>
          <w:szCs w:val="26"/>
        </w:rPr>
      </w:pPr>
    </w:p>
    <w:p w:rsidRPr="009B6785" w:rsidR="00A72BB9" w:rsidP="005845C5" w:rsidRDefault="00A72BB9" w14:paraId="582E9804" w14:textId="5DC2348C">
      <w:pPr>
        <w:tabs>
          <w:tab w:val="left" w:pos="-1440"/>
        </w:tabs>
        <w:spacing w:line="240" w:lineRule="auto"/>
        <w:rPr>
          <w:rFonts w:ascii="Times New Roman" w:hAnsi="Times New Roman" w:cs="Times New Roman"/>
          <w:sz w:val="26"/>
          <w:szCs w:val="26"/>
        </w:rPr>
      </w:pPr>
      <w:r w:rsidRPr="009B6785">
        <w:rPr>
          <w:rFonts w:ascii="Times New Roman" w:hAnsi="Times New Roman" w:cs="Times New Roman"/>
          <w:sz w:val="26"/>
          <w:szCs w:val="26"/>
        </w:rPr>
        <w:t>The data collected for this reporting requirement is not used for statistical purposes.</w:t>
      </w:r>
    </w:p>
    <w:p w:rsidRPr="009B6785" w:rsidR="005A34C3" w:rsidP="009B6785" w:rsidRDefault="005A34C3" w14:paraId="79BD43B3" w14:textId="77777777">
      <w:pPr>
        <w:spacing w:after="0" w:line="240" w:lineRule="auto"/>
        <w:rPr>
          <w:rFonts w:ascii="Times New Roman" w:hAnsi="Times New Roman" w:cs="Times New Roman"/>
          <w:sz w:val="26"/>
          <w:szCs w:val="26"/>
        </w:rPr>
      </w:pPr>
    </w:p>
    <w:sectPr w:rsidRPr="009B6785" w:rsidR="005A34C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22BC" w14:textId="77777777" w:rsidR="00B701FB" w:rsidRDefault="00B701FB" w:rsidP="00A72BB9">
      <w:pPr>
        <w:spacing w:after="0" w:line="240" w:lineRule="auto"/>
      </w:pPr>
      <w:r>
        <w:separator/>
      </w:r>
    </w:p>
  </w:endnote>
  <w:endnote w:type="continuationSeparator" w:id="0">
    <w:p w14:paraId="0E6FB54E" w14:textId="77777777" w:rsidR="00B701FB" w:rsidRDefault="00B701FB" w:rsidP="00A72BB9">
      <w:pPr>
        <w:spacing w:after="0" w:line="240" w:lineRule="auto"/>
      </w:pPr>
      <w:r>
        <w:continuationSeparator/>
      </w:r>
    </w:p>
  </w:endnote>
  <w:endnote w:type="continuationNotice" w:id="1">
    <w:p w14:paraId="6B778C94" w14:textId="77777777" w:rsidR="00B701FB" w:rsidRDefault="00B70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01C5" w14:textId="77777777" w:rsidR="00280E98" w:rsidRDefault="00280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noProof/>
      </w:rPr>
    </w:sdtEndPr>
    <w:sdtContent>
      <w:p w14:paraId="1B5398EC" w14:textId="77777777" w:rsidR="005A34C3" w:rsidRDefault="005A34C3">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532F98">
          <w:rPr>
            <w:rFonts w:ascii="Times New Roman" w:hAnsi="Times New Roman" w:cs="Times New Roman"/>
            <w:noProof/>
          </w:rPr>
          <w:t>1</w:t>
        </w:r>
        <w:r w:rsidRPr="000A75C0">
          <w:rPr>
            <w:rFonts w:ascii="Times New Roman" w:hAnsi="Times New Roman" w:cs="Times New Roman"/>
            <w:noProof/>
          </w:rPr>
          <w:fldChar w:fldCharType="end"/>
        </w:r>
      </w:p>
    </w:sdtContent>
  </w:sdt>
  <w:p w14:paraId="711E5AF7" w14:textId="77777777" w:rsidR="005A34C3" w:rsidRDefault="005A3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9634" w14:textId="77777777" w:rsidR="00280E98" w:rsidRDefault="00280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A677" w14:textId="77777777" w:rsidR="00B701FB" w:rsidRDefault="00B701FB" w:rsidP="00A72BB9">
      <w:pPr>
        <w:spacing w:after="0" w:line="240" w:lineRule="auto"/>
      </w:pPr>
      <w:r>
        <w:separator/>
      </w:r>
    </w:p>
  </w:footnote>
  <w:footnote w:type="continuationSeparator" w:id="0">
    <w:p w14:paraId="4462E288" w14:textId="77777777" w:rsidR="00B701FB" w:rsidRDefault="00B701FB" w:rsidP="00A72BB9">
      <w:pPr>
        <w:spacing w:after="0" w:line="240" w:lineRule="auto"/>
      </w:pPr>
      <w:r>
        <w:continuationSeparator/>
      </w:r>
    </w:p>
  </w:footnote>
  <w:footnote w:type="continuationNotice" w:id="1">
    <w:p w14:paraId="37734C06" w14:textId="77777777" w:rsidR="00B701FB" w:rsidRDefault="00B701FB">
      <w:pPr>
        <w:spacing w:after="0" w:line="240" w:lineRule="auto"/>
      </w:pPr>
    </w:p>
  </w:footnote>
  <w:footnote w:id="2">
    <w:p w14:paraId="2221F995" w14:textId="003333E8" w:rsidR="005A34C3" w:rsidRPr="009B6785" w:rsidRDefault="005A34C3" w:rsidP="00A72BB9">
      <w:pPr>
        <w:pStyle w:val="FootnoteText"/>
        <w:rPr>
          <w:sz w:val="26"/>
          <w:szCs w:val="26"/>
        </w:rPr>
      </w:pPr>
      <w:r w:rsidRPr="00011900">
        <w:rPr>
          <w:rStyle w:val="FootnoteReference"/>
          <w:sz w:val="24"/>
          <w:vertAlign w:val="superscript"/>
        </w:rPr>
        <w:footnoteRef/>
      </w:r>
      <w:r w:rsidRPr="00424073">
        <w:t xml:space="preserve"> </w:t>
      </w:r>
      <w:r w:rsidRPr="009B6785">
        <w:rPr>
          <w:sz w:val="26"/>
          <w:szCs w:val="26"/>
        </w:rPr>
        <w:t>15 U.S.C. 717f</w:t>
      </w:r>
      <w:r w:rsidR="00DB4440">
        <w:rPr>
          <w:sz w:val="26"/>
          <w:szCs w:val="26"/>
        </w:rPr>
        <w:t>(c).</w:t>
      </w:r>
    </w:p>
  </w:footnote>
  <w:footnote w:id="3">
    <w:p w14:paraId="342D9100" w14:textId="588EF104" w:rsidR="00DC0DDF" w:rsidRPr="00DC0DDF" w:rsidRDefault="00DC0DDF">
      <w:pPr>
        <w:pStyle w:val="FootnoteText"/>
        <w:rPr>
          <w:sz w:val="24"/>
        </w:rPr>
      </w:pPr>
      <w:r w:rsidRPr="00DC0DDF">
        <w:rPr>
          <w:rStyle w:val="FootnoteReference"/>
          <w:sz w:val="24"/>
          <w:vertAlign w:val="superscript"/>
        </w:rPr>
        <w:footnoteRef/>
      </w:r>
      <w:r w:rsidRPr="00DC0DDF">
        <w:rPr>
          <w:sz w:val="24"/>
          <w:vertAlign w:val="superscript"/>
        </w:rPr>
        <w:t xml:space="preserve"> </w:t>
      </w:r>
      <w:r>
        <w:rPr>
          <w:sz w:val="24"/>
        </w:rPr>
        <w:t>The regulation at 18 CFR</w:t>
      </w:r>
      <w:r w:rsidR="00C444EC">
        <w:rPr>
          <w:sz w:val="24"/>
        </w:rPr>
        <w:t xml:space="preserve"> 284</w:t>
      </w:r>
      <w:r>
        <w:rPr>
          <w:sz w:val="24"/>
        </w:rPr>
        <w:t>.262 defines “participant” as</w:t>
      </w:r>
      <w:r w:rsidR="00C444EC">
        <w:rPr>
          <w:sz w:val="24"/>
        </w:rPr>
        <w:t xml:space="preserve"> </w:t>
      </w:r>
      <w:r w:rsidR="00394389" w:rsidRPr="00394389">
        <w:rPr>
          <w:sz w:val="24"/>
        </w:rPr>
        <w:t>any first seller, interstate pipeline, intrastate pipeline, local distribution company</w:t>
      </w:r>
      <w:r w:rsidR="00394389">
        <w:rPr>
          <w:sz w:val="24"/>
        </w:rPr>
        <w:t>,</w:t>
      </w:r>
      <w:r w:rsidR="00394389" w:rsidRPr="00394389">
        <w:rPr>
          <w:sz w:val="24"/>
        </w:rPr>
        <w:t xml:space="preserve"> or Hinshaw pipeline that participates in an emergency natural gas transaction under </w:t>
      </w:r>
      <w:r w:rsidR="00394389">
        <w:rPr>
          <w:sz w:val="24"/>
        </w:rPr>
        <w:t>18 CFR Part 284, Subpart I.</w:t>
      </w:r>
    </w:p>
  </w:footnote>
  <w:footnote w:id="4">
    <w:p w14:paraId="56D5A506" w14:textId="0CE92792" w:rsidR="005A34C3" w:rsidRPr="00424073" w:rsidRDefault="005A34C3" w:rsidP="00A72BB9">
      <w:pPr>
        <w:pStyle w:val="FootnoteText"/>
      </w:pPr>
      <w:r w:rsidRPr="001B510B">
        <w:rPr>
          <w:rStyle w:val="FootnoteReference"/>
          <w:sz w:val="24"/>
          <w:vertAlign w:val="superscript"/>
        </w:rPr>
        <w:footnoteRef/>
      </w:r>
      <w:r w:rsidRPr="00424073">
        <w:t xml:space="preserve"> </w:t>
      </w:r>
      <w:r w:rsidR="001B510B">
        <w:rPr>
          <w:sz w:val="26"/>
          <w:szCs w:val="26"/>
        </w:rPr>
        <w:t>85 FR 43579 (July 17, 2020)</w:t>
      </w:r>
    </w:p>
  </w:footnote>
  <w:footnote w:id="5">
    <w:p w14:paraId="5D28CA7E" w14:textId="4D6EF971" w:rsidR="005A34C3" w:rsidRPr="00424073" w:rsidRDefault="005A34C3" w:rsidP="00A72BB9">
      <w:pPr>
        <w:pStyle w:val="FootnoteText"/>
      </w:pPr>
      <w:r w:rsidRPr="001B510B">
        <w:rPr>
          <w:rStyle w:val="FootnoteReference"/>
          <w:sz w:val="24"/>
          <w:vertAlign w:val="superscript"/>
        </w:rPr>
        <w:footnoteRef/>
      </w:r>
      <w:r w:rsidRPr="00424073">
        <w:t xml:space="preserve"> </w:t>
      </w:r>
      <w:r w:rsidR="001B510B" w:rsidRPr="001B510B">
        <w:rPr>
          <w:sz w:val="26"/>
          <w:szCs w:val="26"/>
          <w:highlight w:val="yellow"/>
        </w:rPr>
        <w:t>CITE</w:t>
      </w:r>
    </w:p>
  </w:footnote>
  <w:footnote w:id="6">
    <w:p w14:paraId="71C804DD" w14:textId="77777777" w:rsidR="004F59DA" w:rsidRDefault="004F59DA" w:rsidP="004F59DA">
      <w:pPr>
        <w:pStyle w:val="FootnoteText"/>
      </w:pPr>
      <w:r w:rsidRPr="0083091E">
        <w:rPr>
          <w:rStyle w:val="FootnoteReference"/>
          <w:sz w:val="24"/>
          <w:vertAlign w:val="superscript"/>
        </w:rPr>
        <w:footnoteRef/>
      </w:r>
      <w:r>
        <w:t xml:space="preserve"> </w:t>
      </w:r>
      <w:r w:rsidRPr="0083091E">
        <w:rPr>
          <w:sz w:val="24"/>
        </w:rPr>
        <w:t>Submissions made under this Emergency Natural Gas Transportation, Sale, and Exchange Transactions receive a docket prefix of “EM” (https://elibrary.ferc.gov/eLibrary/assets/docket-prefix.pdf).</w:t>
      </w:r>
    </w:p>
  </w:footnote>
  <w:footnote w:id="7">
    <w:p w14:paraId="1BB199F9" w14:textId="365FF657" w:rsidR="00382C38" w:rsidRPr="00AB7EA6" w:rsidRDefault="00382C38">
      <w:pPr>
        <w:pStyle w:val="FootnoteText"/>
        <w:rPr>
          <w:sz w:val="24"/>
          <w:vertAlign w:val="superscript"/>
        </w:rPr>
      </w:pPr>
      <w:r w:rsidRPr="00382C38">
        <w:rPr>
          <w:rStyle w:val="FootnoteReference"/>
          <w:sz w:val="24"/>
          <w:vertAlign w:val="superscript"/>
        </w:rPr>
        <w:footnoteRef/>
      </w:r>
      <w:r>
        <w:rPr>
          <w:sz w:val="24"/>
          <w:vertAlign w:val="superscript"/>
        </w:rPr>
        <w:t xml:space="preserve"> </w:t>
      </w:r>
      <w:r w:rsidR="00AB7EA6" w:rsidRPr="00AB7EA6">
        <w:rPr>
          <w:sz w:val="24"/>
        </w:rPr>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8">
    <w:p w14:paraId="00ED3286" w14:textId="66176FA0" w:rsidR="005A34C3" w:rsidRPr="00424073" w:rsidRDefault="005A34C3" w:rsidP="00A72BB9">
      <w:pPr>
        <w:pStyle w:val="FootnoteText"/>
      </w:pPr>
      <w:r w:rsidRPr="00AB7EA6">
        <w:rPr>
          <w:rStyle w:val="FootnoteReference"/>
          <w:sz w:val="24"/>
          <w:vertAlign w:val="superscript"/>
        </w:rPr>
        <w:footnoteRef/>
      </w:r>
      <w:r w:rsidR="00F115B9">
        <w:t xml:space="preserve"> </w:t>
      </w:r>
      <w:r w:rsidR="00EF1F7D" w:rsidRPr="00EF1F7D">
        <w:rPr>
          <w:sz w:val="24"/>
          <w:szCs w:val="26"/>
        </w:rPr>
        <w:t xml:space="preserve">The Commission staff believes that industry </w:t>
      </w:r>
      <w:r w:rsidR="00EF1F7D">
        <w:rPr>
          <w:sz w:val="24"/>
          <w:szCs w:val="26"/>
        </w:rPr>
        <w:t xml:space="preserve">and Commission staff are </w:t>
      </w:r>
      <w:r w:rsidR="00EF1F7D" w:rsidRPr="00EF1F7D">
        <w:rPr>
          <w:sz w:val="24"/>
          <w:szCs w:val="26"/>
        </w:rPr>
        <w:t>similarly situated in terms of cost for wages and benefits.  Therefore, we are using $83.00 per hour in this calculation.  That is the current average hourly cost, for wages plus benefits, for one FERC full-time equivalent.</w:t>
      </w:r>
    </w:p>
  </w:footnote>
  <w:footnote w:id="9">
    <w:p w14:paraId="26B7DDA0" w14:textId="73D9BD60" w:rsidR="005A34C3" w:rsidRPr="005845C5" w:rsidRDefault="005A34C3" w:rsidP="00A72BB9">
      <w:pPr>
        <w:pStyle w:val="FootnoteText"/>
        <w:rPr>
          <w:sz w:val="26"/>
          <w:szCs w:val="26"/>
        </w:rPr>
      </w:pPr>
      <w:r w:rsidRPr="00A31930">
        <w:rPr>
          <w:rStyle w:val="FootnoteReference"/>
          <w:sz w:val="24"/>
          <w:vertAlign w:val="superscript"/>
        </w:rPr>
        <w:footnoteRef/>
      </w:r>
      <w:r w:rsidRPr="00424073">
        <w:t xml:space="preserve"> </w:t>
      </w:r>
      <w:r w:rsidRPr="005845C5">
        <w:rPr>
          <w:sz w:val="26"/>
          <w:szCs w:val="26"/>
        </w:rPr>
        <w:t xml:space="preserve">Based upon </w:t>
      </w:r>
      <w:r w:rsidR="008E3508">
        <w:rPr>
          <w:sz w:val="26"/>
          <w:szCs w:val="26"/>
        </w:rPr>
        <w:t xml:space="preserve">the Commission’s </w:t>
      </w:r>
      <w:r w:rsidRPr="005845C5">
        <w:rPr>
          <w:sz w:val="26"/>
          <w:szCs w:val="26"/>
        </w:rPr>
        <w:t>20</w:t>
      </w:r>
      <w:r w:rsidR="00A31930">
        <w:rPr>
          <w:sz w:val="26"/>
          <w:szCs w:val="26"/>
        </w:rPr>
        <w:t>20</w:t>
      </w:r>
      <w:r w:rsidRPr="005845C5">
        <w:rPr>
          <w:sz w:val="26"/>
          <w:szCs w:val="26"/>
        </w:rPr>
        <w:t xml:space="preserve"> </w:t>
      </w:r>
      <w:r w:rsidR="00A31930">
        <w:rPr>
          <w:sz w:val="26"/>
          <w:szCs w:val="26"/>
        </w:rPr>
        <w:t>full-time equivalent</w:t>
      </w:r>
      <w:r w:rsidRPr="005845C5">
        <w:rPr>
          <w:sz w:val="26"/>
          <w:szCs w:val="26"/>
        </w:rPr>
        <w:t xml:space="preserve"> average </w:t>
      </w:r>
      <w:r w:rsidR="00A31930">
        <w:rPr>
          <w:sz w:val="26"/>
          <w:szCs w:val="26"/>
        </w:rPr>
        <w:t xml:space="preserve">annual </w:t>
      </w:r>
      <w:r w:rsidRPr="005845C5">
        <w:rPr>
          <w:sz w:val="26"/>
          <w:szCs w:val="26"/>
        </w:rPr>
        <w:t>salary plus benefits (</w:t>
      </w:r>
      <w:r w:rsidR="00A31930" w:rsidRPr="00A31930">
        <w:rPr>
          <w:sz w:val="26"/>
          <w:szCs w:val="26"/>
        </w:rPr>
        <w:t>$172,329 per year</w:t>
      </w:r>
      <w:r w:rsidRPr="005845C5">
        <w:rPr>
          <w:sz w:val="26"/>
          <w:szCs w:val="26"/>
        </w:rPr>
        <w:t>)</w:t>
      </w:r>
      <w:r w:rsidR="00A31930">
        <w:rPr>
          <w:sz w:val="26"/>
          <w:szCs w:val="26"/>
        </w:rPr>
        <w:t>.</w:t>
      </w:r>
    </w:p>
  </w:footnote>
  <w:footnote w:id="10">
    <w:p w14:paraId="76BE1DA3" w14:textId="207CF64B" w:rsidR="005A34C3" w:rsidRPr="00424073" w:rsidRDefault="005A34C3" w:rsidP="00A72BB9">
      <w:pPr>
        <w:pStyle w:val="FootnoteText"/>
      </w:pPr>
      <w:r w:rsidRPr="00A31930">
        <w:rPr>
          <w:rStyle w:val="FootnoteReference"/>
          <w:sz w:val="24"/>
          <w:vertAlign w:val="superscript"/>
        </w:rPr>
        <w:footnoteRef/>
      </w:r>
      <w:r w:rsidRPr="00424073">
        <w:t xml:space="preserve"> </w:t>
      </w:r>
      <w:r w:rsidRPr="005845C5">
        <w:rPr>
          <w:sz w:val="26"/>
          <w:szCs w:val="26"/>
        </w:rPr>
        <w:t>Paperwork Reduction Act of 1995</w:t>
      </w:r>
      <w:r w:rsidR="00A31930">
        <w:rPr>
          <w:sz w:val="26"/>
          <w:szCs w:val="26"/>
        </w:rPr>
        <w:t>.</w:t>
      </w:r>
    </w:p>
  </w:footnote>
  <w:footnote w:id="11">
    <w:p w14:paraId="7683EBBD" w14:textId="77777777" w:rsidR="005A34C3" w:rsidRPr="00424073" w:rsidRDefault="005A34C3" w:rsidP="00A72BB9">
      <w:pPr>
        <w:pStyle w:val="FootnoteText"/>
      </w:pPr>
      <w:r w:rsidRPr="00A31930">
        <w:rPr>
          <w:rStyle w:val="FootnoteReference"/>
          <w:sz w:val="24"/>
          <w:vertAlign w:val="superscript"/>
        </w:rPr>
        <w:footnoteRef/>
      </w:r>
      <w:r w:rsidRPr="009B6785">
        <w:t xml:space="preserve"> </w:t>
      </w:r>
      <w:r w:rsidRPr="009B6785">
        <w:rPr>
          <w:sz w:val="26"/>
          <w:szCs w:val="26"/>
        </w:rPr>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C710" w14:textId="77777777" w:rsidR="00280E98" w:rsidRDefault="00280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7240" w14:textId="77777777" w:rsidR="005A34C3" w:rsidRDefault="005A34C3">
    <w:pPr>
      <w:pStyle w:val="Header"/>
      <w:rPr>
        <w:rFonts w:ascii="Times New Roman" w:hAnsi="Times New Roman" w:cs="Times New Roman"/>
        <w:sz w:val="24"/>
        <w:szCs w:val="24"/>
      </w:rPr>
    </w:pPr>
    <w:r>
      <w:rPr>
        <w:rFonts w:ascii="Times New Roman" w:hAnsi="Times New Roman" w:cs="Times New Roman"/>
        <w:sz w:val="24"/>
        <w:szCs w:val="24"/>
      </w:rPr>
      <w:t>FERC-588 (OMB Control No. 1902-0144)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EB6F" w14:textId="77777777" w:rsidR="00280E98" w:rsidRDefault="0028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B9"/>
    <w:rsid w:val="00004410"/>
    <w:rsid w:val="00011900"/>
    <w:rsid w:val="0002729E"/>
    <w:rsid w:val="0004324F"/>
    <w:rsid w:val="0005395E"/>
    <w:rsid w:val="00054F4F"/>
    <w:rsid w:val="000743FC"/>
    <w:rsid w:val="000C0B82"/>
    <w:rsid w:val="000D222F"/>
    <w:rsid w:val="00135876"/>
    <w:rsid w:val="00137AF8"/>
    <w:rsid w:val="00152387"/>
    <w:rsid w:val="00173CA3"/>
    <w:rsid w:val="00174D05"/>
    <w:rsid w:val="00194596"/>
    <w:rsid w:val="001B510B"/>
    <w:rsid w:val="001D55A7"/>
    <w:rsid w:val="001D6433"/>
    <w:rsid w:val="001E6987"/>
    <w:rsid w:val="002623E4"/>
    <w:rsid w:val="00280E98"/>
    <w:rsid w:val="002829A9"/>
    <w:rsid w:val="002946DF"/>
    <w:rsid w:val="002A4E71"/>
    <w:rsid w:val="002D5404"/>
    <w:rsid w:val="00382C38"/>
    <w:rsid w:val="00390212"/>
    <w:rsid w:val="00394389"/>
    <w:rsid w:val="003A2C63"/>
    <w:rsid w:val="003A3EC0"/>
    <w:rsid w:val="003A65F9"/>
    <w:rsid w:val="003D6E3E"/>
    <w:rsid w:val="003E402D"/>
    <w:rsid w:val="00401E6C"/>
    <w:rsid w:val="00417E6C"/>
    <w:rsid w:val="00420FE1"/>
    <w:rsid w:val="00426BC9"/>
    <w:rsid w:val="004441F1"/>
    <w:rsid w:val="004965D5"/>
    <w:rsid w:val="004F59DA"/>
    <w:rsid w:val="00532F98"/>
    <w:rsid w:val="005704D2"/>
    <w:rsid w:val="005845C5"/>
    <w:rsid w:val="005A34C3"/>
    <w:rsid w:val="005A4385"/>
    <w:rsid w:val="005B2F96"/>
    <w:rsid w:val="005D1DEB"/>
    <w:rsid w:val="00600E68"/>
    <w:rsid w:val="006049CE"/>
    <w:rsid w:val="006504A9"/>
    <w:rsid w:val="0065491E"/>
    <w:rsid w:val="0066114A"/>
    <w:rsid w:val="00671EF8"/>
    <w:rsid w:val="006916A3"/>
    <w:rsid w:val="006B2A1F"/>
    <w:rsid w:val="006B439D"/>
    <w:rsid w:val="0076023C"/>
    <w:rsid w:val="00760AC7"/>
    <w:rsid w:val="00783B8C"/>
    <w:rsid w:val="007A3197"/>
    <w:rsid w:val="00826AEB"/>
    <w:rsid w:val="00856323"/>
    <w:rsid w:val="008A1513"/>
    <w:rsid w:val="008A4655"/>
    <w:rsid w:val="008B7171"/>
    <w:rsid w:val="008C5BF3"/>
    <w:rsid w:val="008D4B62"/>
    <w:rsid w:val="008E3508"/>
    <w:rsid w:val="00934467"/>
    <w:rsid w:val="00942F59"/>
    <w:rsid w:val="00972BEF"/>
    <w:rsid w:val="00992DE5"/>
    <w:rsid w:val="00993C5D"/>
    <w:rsid w:val="009A2F46"/>
    <w:rsid w:val="009B0110"/>
    <w:rsid w:val="009B6785"/>
    <w:rsid w:val="009D5269"/>
    <w:rsid w:val="009F2533"/>
    <w:rsid w:val="00A20621"/>
    <w:rsid w:val="00A31930"/>
    <w:rsid w:val="00A3288D"/>
    <w:rsid w:val="00A72BB9"/>
    <w:rsid w:val="00AB7EA6"/>
    <w:rsid w:val="00AC4FAD"/>
    <w:rsid w:val="00AC750B"/>
    <w:rsid w:val="00AE1426"/>
    <w:rsid w:val="00AE432C"/>
    <w:rsid w:val="00AE5C38"/>
    <w:rsid w:val="00AE7AD4"/>
    <w:rsid w:val="00AF5023"/>
    <w:rsid w:val="00B10F83"/>
    <w:rsid w:val="00B701FB"/>
    <w:rsid w:val="00B71483"/>
    <w:rsid w:val="00B85416"/>
    <w:rsid w:val="00BC40BD"/>
    <w:rsid w:val="00BD25FD"/>
    <w:rsid w:val="00BF000B"/>
    <w:rsid w:val="00C270A6"/>
    <w:rsid w:val="00C349AD"/>
    <w:rsid w:val="00C35724"/>
    <w:rsid w:val="00C444EC"/>
    <w:rsid w:val="00C53C46"/>
    <w:rsid w:val="00C84271"/>
    <w:rsid w:val="00CA29BB"/>
    <w:rsid w:val="00CF396D"/>
    <w:rsid w:val="00D10F59"/>
    <w:rsid w:val="00D15728"/>
    <w:rsid w:val="00D47037"/>
    <w:rsid w:val="00DB4440"/>
    <w:rsid w:val="00DC0DDF"/>
    <w:rsid w:val="00DC47E6"/>
    <w:rsid w:val="00E277DD"/>
    <w:rsid w:val="00E568B6"/>
    <w:rsid w:val="00EA6593"/>
    <w:rsid w:val="00EB5D6F"/>
    <w:rsid w:val="00EB73EF"/>
    <w:rsid w:val="00EC41BD"/>
    <w:rsid w:val="00EF1F7D"/>
    <w:rsid w:val="00F115B9"/>
    <w:rsid w:val="00F85F7D"/>
    <w:rsid w:val="00F940A1"/>
    <w:rsid w:val="00FD59DC"/>
    <w:rsid w:val="00FF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77D80"/>
  <w15:docId w15:val="{F2ACD4FC-18C6-44FA-8075-E74D8C47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2B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B9"/>
  </w:style>
  <w:style w:type="paragraph" w:styleId="Footer">
    <w:name w:val="footer"/>
    <w:basedOn w:val="Normal"/>
    <w:link w:val="FooterChar"/>
    <w:uiPriority w:val="99"/>
    <w:unhideWhenUsed/>
    <w:rsid w:val="00A7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B9"/>
  </w:style>
  <w:style w:type="paragraph" w:styleId="ListParagraph">
    <w:name w:val="List Paragraph"/>
    <w:basedOn w:val="Normal"/>
    <w:uiPriority w:val="34"/>
    <w:qFormat/>
    <w:rsid w:val="00A72BB9"/>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A72BB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A72BB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A72BB9"/>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A72BB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72BB9"/>
    <w:rPr>
      <w:color w:val="0563C1" w:themeColor="hyperlink"/>
      <w:u w:val="single"/>
    </w:rPr>
  </w:style>
  <w:style w:type="character" w:styleId="CommentReference">
    <w:name w:val="annotation reference"/>
    <w:basedOn w:val="DefaultParagraphFont"/>
    <w:uiPriority w:val="99"/>
    <w:semiHidden/>
    <w:unhideWhenUsed/>
    <w:rsid w:val="00856323"/>
    <w:rPr>
      <w:sz w:val="16"/>
      <w:szCs w:val="16"/>
    </w:rPr>
  </w:style>
  <w:style w:type="paragraph" w:styleId="CommentText">
    <w:name w:val="annotation text"/>
    <w:basedOn w:val="Normal"/>
    <w:link w:val="CommentTextChar"/>
    <w:uiPriority w:val="99"/>
    <w:semiHidden/>
    <w:unhideWhenUsed/>
    <w:rsid w:val="00856323"/>
    <w:pPr>
      <w:spacing w:line="240" w:lineRule="auto"/>
    </w:pPr>
    <w:rPr>
      <w:sz w:val="20"/>
      <w:szCs w:val="20"/>
    </w:rPr>
  </w:style>
  <w:style w:type="character" w:customStyle="1" w:styleId="CommentTextChar">
    <w:name w:val="Comment Text Char"/>
    <w:basedOn w:val="DefaultParagraphFont"/>
    <w:link w:val="CommentText"/>
    <w:uiPriority w:val="99"/>
    <w:semiHidden/>
    <w:rsid w:val="00856323"/>
    <w:rPr>
      <w:sz w:val="20"/>
      <w:szCs w:val="20"/>
    </w:rPr>
  </w:style>
  <w:style w:type="paragraph" w:styleId="CommentSubject">
    <w:name w:val="annotation subject"/>
    <w:basedOn w:val="CommentText"/>
    <w:next w:val="CommentText"/>
    <w:link w:val="CommentSubjectChar"/>
    <w:uiPriority w:val="99"/>
    <w:semiHidden/>
    <w:unhideWhenUsed/>
    <w:rsid w:val="00856323"/>
    <w:rPr>
      <w:b/>
      <w:bCs/>
    </w:rPr>
  </w:style>
  <w:style w:type="character" w:customStyle="1" w:styleId="CommentSubjectChar">
    <w:name w:val="Comment Subject Char"/>
    <w:basedOn w:val="CommentTextChar"/>
    <w:link w:val="CommentSubject"/>
    <w:uiPriority w:val="99"/>
    <w:semiHidden/>
    <w:rsid w:val="00856323"/>
    <w:rPr>
      <w:b/>
      <w:bCs/>
      <w:sz w:val="20"/>
      <w:szCs w:val="20"/>
    </w:rPr>
  </w:style>
  <w:style w:type="paragraph" w:styleId="BalloonText">
    <w:name w:val="Balloon Text"/>
    <w:basedOn w:val="Normal"/>
    <w:link w:val="BalloonTextChar"/>
    <w:uiPriority w:val="99"/>
    <w:semiHidden/>
    <w:unhideWhenUsed/>
    <w:rsid w:val="0085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23"/>
    <w:rPr>
      <w:rFonts w:ascii="Segoe UI" w:hAnsi="Segoe UI" w:cs="Segoe UI"/>
      <w:sz w:val="18"/>
      <w:szCs w:val="18"/>
    </w:rPr>
  </w:style>
  <w:style w:type="paragraph" w:styleId="Revision">
    <w:name w:val="Revision"/>
    <w:hidden/>
    <w:uiPriority w:val="99"/>
    <w:semiHidden/>
    <w:rsid w:val="00BC40BD"/>
    <w:pPr>
      <w:spacing w:after="0" w:line="240" w:lineRule="auto"/>
    </w:pPr>
  </w:style>
  <w:style w:type="paragraph" w:styleId="EndnoteText">
    <w:name w:val="endnote text"/>
    <w:basedOn w:val="Normal"/>
    <w:link w:val="EndnoteTextChar"/>
    <w:uiPriority w:val="99"/>
    <w:semiHidden/>
    <w:unhideWhenUsed/>
    <w:rsid w:val="004F59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59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588</_x0031__x002e__x0020_Collection_x0020_Number>
    <Date xmlns="d6eefc7d-9817-4fa6-84d5-3bc009be21b8">2017-07-19T04:00:00+00:00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IC17-5</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D75B-4CAB-4939-83DB-1EBB14C4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6FC92-0EF9-4979-B3BF-9F7DEEC46549}">
  <ds:schemaRefs>
    <ds:schemaRef ds:uri="http://schemas.microsoft.com/office/2006/metadata/customXsn"/>
  </ds:schemaRefs>
</ds:datastoreItem>
</file>

<file path=customXml/itemProps3.xml><?xml version="1.0" encoding="utf-8"?>
<ds:datastoreItem xmlns:ds="http://schemas.openxmlformats.org/officeDocument/2006/customXml" ds:itemID="{D59AF9A0-DEC0-489F-A3DA-028A58B31590}">
  <ds:schemaRefs>
    <ds:schemaRef ds:uri="Microsoft.SharePoint.Taxonomy.ContentTypeSync"/>
  </ds:schemaRefs>
</ds:datastoreItem>
</file>

<file path=customXml/itemProps4.xml><?xml version="1.0" encoding="utf-8"?>
<ds:datastoreItem xmlns:ds="http://schemas.openxmlformats.org/officeDocument/2006/customXml" ds:itemID="{2DF82025-0C4B-4E6A-BFAE-6F70CAA8077F}">
  <ds:schemaRefs>
    <ds:schemaRef ds:uri="http://schemas.microsoft.com/sharepoint/v3/contenttype/forms"/>
  </ds:schemaRefs>
</ds:datastoreItem>
</file>

<file path=customXml/itemProps5.xml><?xml version="1.0" encoding="utf-8"?>
<ds:datastoreItem xmlns:ds="http://schemas.openxmlformats.org/officeDocument/2006/customXml" ds:itemID="{0B07CEFF-BE68-4E11-926B-8805A678945A}">
  <ds:schemaRefs>
    <ds:schemaRef ds:uri="http://purl.org/dc/elements/1.1/"/>
    <ds:schemaRef ds:uri="http://schemas.microsoft.com/office/2006/metadata/properties"/>
    <ds:schemaRef ds:uri="d6eefc7d-9817-4fa6-84d5-3bc009be21b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AC63DB07-8D5D-4154-84E6-ADC2CAE4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Jean Sonneman</cp:lastModifiedBy>
  <cp:revision>2</cp:revision>
  <dcterms:created xsi:type="dcterms:W3CDTF">2020-11-02T21:29:00Z</dcterms:created>
  <dcterms:modified xsi:type="dcterms:W3CDTF">2020-11-02T21:29:00Z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Jean.Sonneman@ferc.gov</vt:lpwstr>
  </property>
  <property fmtid="{D5CDD505-2E9C-101B-9397-08002B2CF9AE}" pid="6" name="MSIP_Label_6155a89b-0f08-4a93-8ea2-8a916d6643b5_SetDate">
    <vt:lpwstr>2020-10-15T12:14:08.7953089Z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3d1d3d92-7394-40db-8280-f3761a44def7</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