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6E444933"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4CB90DC8" w14:textId="77777777">
      <w:pPr>
        <w:jc w:val="center"/>
      </w:pPr>
      <w:r>
        <w:t>FEDERAL ENERGY REGULATORY COMMISSION</w:t>
      </w:r>
    </w:p>
    <w:p w:rsidR="00A2604E" w:rsidP="00A2604E" w:rsidRDefault="00A2604E" w14:paraId="72528CFE" w14:textId="36669760"/>
    <w:p w:rsidR="00A2604E" w:rsidP="00A2604E" w:rsidRDefault="00A2604E" w14:paraId="63F7D638" w14:textId="58C94B38">
      <w:pPr>
        <w:jc w:val="center"/>
      </w:pPr>
      <w:r w:rsidRPr="000D6B33">
        <w:t xml:space="preserve">[Docket No. </w:t>
      </w:r>
      <w:r w:rsidRPr="000D6B33" w:rsidR="00FD185A">
        <w:t>IC</w:t>
      </w:r>
      <w:r w:rsidRPr="000D6B33" w:rsidR="000D6B33">
        <w:t>20-22-000</w:t>
      </w:r>
      <w:r w:rsidRPr="000D6B33">
        <w:t>]</w:t>
      </w:r>
    </w:p>
    <w:p w:rsidR="00A2604E" w:rsidP="00A2604E" w:rsidRDefault="00A2604E" w14:paraId="35E21C8D" w14:textId="77777777"/>
    <w:p w:rsidR="001D2FF8" w:rsidP="00A2604E" w:rsidRDefault="00A2604E" w14:paraId="6D9237F4" w14:textId="77777777">
      <w:pPr>
        <w:jc w:val="center"/>
      </w:pPr>
      <w:r>
        <w:t xml:space="preserve">COMMISSION INFORMATION COLLECTION ACTIVITIES </w:t>
      </w:r>
    </w:p>
    <w:p w:rsidR="00A2604E" w:rsidP="00A2604E" w:rsidRDefault="00A2604E" w14:paraId="3E6E30E1" w14:textId="3E58BE88">
      <w:pPr>
        <w:jc w:val="center"/>
      </w:pPr>
      <w:r>
        <w:t>(FERC-</w:t>
      </w:r>
      <w:r w:rsidR="00503D6F">
        <w:t>5</w:t>
      </w:r>
      <w:r w:rsidR="00735E75">
        <w:t>88</w:t>
      </w:r>
      <w:r>
        <w:t>);</w:t>
      </w:r>
    </w:p>
    <w:p w:rsidR="00A2604E" w:rsidP="00A2604E" w:rsidRDefault="00A2604E" w14:paraId="2455F18B" w14:textId="77777777">
      <w:pPr>
        <w:jc w:val="center"/>
      </w:pPr>
      <w:r>
        <w:t>COMMENT REQUEST; EXTENSION</w:t>
      </w:r>
    </w:p>
    <w:p w:rsidR="00810D18" w:rsidP="00810D18" w:rsidRDefault="00810D18" w14:paraId="1020381E" w14:textId="77777777"/>
    <w:p w:rsidR="002946DC" w:rsidP="001D2FF8" w:rsidRDefault="001D2FF8" w14:paraId="72720B08" w14:textId="197615D5">
      <w:pPr>
        <w:jc w:val="center"/>
      </w:pPr>
      <w:r w:rsidRPr="001D2FF8">
        <w:t>(July 13, 2020)</w:t>
      </w:r>
    </w:p>
    <w:p w:rsidRPr="001D2FF8" w:rsidR="001D2FF8" w:rsidP="001D2FF8" w:rsidRDefault="001D2FF8" w14:paraId="62304240" w14:textId="77777777"/>
    <w:p w:rsidR="00A2604E" w:rsidP="00A2604E" w:rsidRDefault="00A2604E" w14:paraId="373A1B90" w14:textId="77777777">
      <w:r w:rsidRPr="00AB4DBF">
        <w:rPr>
          <w:b/>
        </w:rPr>
        <w:t>AGENCY:</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77777777">
      <w:pPr>
        <w:spacing w:line="480" w:lineRule="auto"/>
      </w:pPr>
      <w:r w:rsidRPr="00CE64F2">
        <w:rPr>
          <w:b/>
        </w:rPr>
        <w:t>ACTION:</w:t>
      </w:r>
      <w:r>
        <w:t xml:space="preserve">  Notice of information collection and request for comments.</w:t>
      </w:r>
    </w:p>
    <w:p w:rsidR="00A2604E" w:rsidP="00A2604E" w:rsidRDefault="00A2604E" w14:paraId="1E606D01" w14:textId="7B2FBD37">
      <w:pPr>
        <w:spacing w:line="480" w:lineRule="auto"/>
      </w:pPr>
      <w:r w:rsidRPr="00CE64F2">
        <w:rPr>
          <w:b/>
        </w:rPr>
        <w:t>SUMMARY:</w:t>
      </w:r>
      <w:r>
        <w:t xml:space="preserve">  In compliance with the Paperwork Reduction Act of 1995, the Federal Energy Regulatory Commission (Commission or FERC) is soliciting public comment on </w:t>
      </w:r>
      <w:r w:rsidR="00922B6E">
        <w:t xml:space="preserve">its request to extend a </w:t>
      </w:r>
      <w:r>
        <w:t xml:space="preserve">currently approved information collection, </w:t>
      </w:r>
      <w:r w:rsidRPr="00D36594" w:rsidR="00D36594">
        <w:t>FERC-</w:t>
      </w:r>
      <w:r w:rsidR="00EE7256">
        <w:t>588</w:t>
      </w:r>
      <w:r w:rsidR="0001623C">
        <w:t xml:space="preserve"> </w:t>
      </w:r>
      <w:r w:rsidRPr="0001623C" w:rsidR="0001623C">
        <w:t>(Emergency Natural Gas Transportation, Sale</w:t>
      </w:r>
      <w:r w:rsidR="002443B3">
        <w:t>,</w:t>
      </w:r>
      <w:r w:rsidRPr="0001623C" w:rsidR="0001623C">
        <w:t xml:space="preserve"> and Exchange Transactions)</w:t>
      </w:r>
      <w:r w:rsidR="0001623C">
        <w:t>.</w:t>
      </w:r>
    </w:p>
    <w:p w:rsidR="00A2604E" w:rsidP="00A2604E" w:rsidRDefault="00A2604E" w14:paraId="744289EA" w14:textId="27C0F44E">
      <w:pPr>
        <w:spacing w:line="480" w:lineRule="auto"/>
      </w:pPr>
      <w:r w:rsidRPr="00CE64F2">
        <w:rPr>
          <w:b/>
        </w:rPr>
        <w:t>DATES:</w:t>
      </w:r>
      <w:r>
        <w:t xml:space="preserve">  Comments on the collection of information are due </w:t>
      </w:r>
      <w:r w:rsidRPr="006B4B0B">
        <w:rPr>
          <w:caps/>
        </w:rPr>
        <w:t>[</w:t>
      </w:r>
      <w:r w:rsidRPr="006B4B0B" w:rsidR="008017C6">
        <w:rPr>
          <w:b/>
          <w:caps/>
        </w:rPr>
        <w:t>I</w:t>
      </w:r>
      <w:r w:rsidRPr="006B4B0B">
        <w:rPr>
          <w:b/>
          <w:caps/>
        </w:rPr>
        <w:t xml:space="preserve">nsert date 60 days after </w:t>
      </w:r>
      <w:r w:rsidRPr="006B4B0B" w:rsidR="00CA6D76">
        <w:rPr>
          <w:b/>
          <w:caps/>
        </w:rPr>
        <w:t xml:space="preserve">date of </w:t>
      </w:r>
      <w:r w:rsidRPr="006B4B0B">
        <w:rPr>
          <w:b/>
          <w:caps/>
        </w:rPr>
        <w:t>publication in the Federal Register</w:t>
      </w:r>
      <w:r w:rsidRPr="006B4B0B">
        <w:rPr>
          <w:caps/>
        </w:rPr>
        <w:t xml:space="preserve">]. </w:t>
      </w:r>
    </w:p>
    <w:p w:rsidR="00A720B6" w:rsidP="00A720B6" w:rsidRDefault="00A2604E" w14:paraId="0C1F9244" w14:textId="07D4D09D">
      <w:pPr>
        <w:spacing w:line="480" w:lineRule="auto"/>
      </w:pPr>
      <w:r w:rsidRPr="00AC750B">
        <w:rPr>
          <w:b/>
        </w:rPr>
        <w:t>ADDRESSES:</w:t>
      </w:r>
      <w:r w:rsidRPr="00AC750B">
        <w:t xml:space="preserve">  You may submit comments (identified </w:t>
      </w:r>
      <w:r w:rsidRPr="00DA19FA">
        <w:t xml:space="preserve">by </w:t>
      </w:r>
      <w:r w:rsidRPr="00FD185A">
        <w:t xml:space="preserve">Docket No. </w:t>
      </w:r>
      <w:r w:rsidRPr="00FD185A" w:rsidR="00FD185A">
        <w:t>IC</w:t>
      </w:r>
      <w:r w:rsidR="00C00700">
        <w:t>20-</w:t>
      </w:r>
      <w:r w:rsidR="00CE486A">
        <w:t>22</w:t>
      </w:r>
      <w:r w:rsidR="00C00700">
        <w:t>-000</w:t>
      </w:r>
      <w:r w:rsidRPr="00FD185A">
        <w:t xml:space="preserve">) by </w:t>
      </w:r>
      <w:r w:rsidR="00AB6915">
        <w:t xml:space="preserve">any </w:t>
      </w:r>
      <w:r w:rsidRPr="00FD185A">
        <w:t>of the following methods:</w:t>
      </w:r>
      <w:bookmarkStart w:name="OLE_LINK1" w:id="1"/>
    </w:p>
    <w:p w:rsidRPr="00A720B6" w:rsidR="00A720B6" w:rsidP="00A720B6" w:rsidRDefault="00A720B6" w14:paraId="25CC861B" w14:textId="0A53DD06">
      <w:pPr>
        <w:pStyle w:val="ListParagraph"/>
        <w:numPr>
          <w:ilvl w:val="0"/>
          <w:numId w:val="5"/>
        </w:numPr>
        <w:spacing w:line="480" w:lineRule="auto"/>
        <w:ind w:left="360"/>
      </w:pPr>
      <w:r w:rsidRPr="00A720B6">
        <w:t xml:space="preserve">eFiling at Commission’s Web Site: </w:t>
      </w:r>
      <w:hyperlink w:history="1" r:id="rId12">
        <w:r w:rsidRPr="00A720B6">
          <w:rPr>
            <w:color w:val="0000FF"/>
            <w:u w:val="single"/>
          </w:rPr>
          <w:t>http://www.ferc.gov/docs-filing/efiling.asp</w:t>
        </w:r>
      </w:hyperlink>
    </w:p>
    <w:p w:rsidR="00AB6915" w:rsidP="00FE1A9C" w:rsidRDefault="00AB6915" w14:paraId="5F172C81" w14:textId="27A37638">
      <w:pPr>
        <w:numPr>
          <w:ilvl w:val="0"/>
          <w:numId w:val="5"/>
        </w:numPr>
        <w:spacing w:after="160" w:line="480" w:lineRule="auto"/>
        <w:ind w:left="360"/>
        <w:contextualSpacing/>
      </w:pPr>
      <w:r>
        <w:t>U.S. Postal Service Mail: Persons unable to file electronically may mail similar pleadings to the Federal Energy Regulatory Commission, 888 First Street, NE, Washington, DC 20426.</w:t>
      </w:r>
    </w:p>
    <w:p w:rsidR="00AB6915" w:rsidP="00FE1A9C" w:rsidRDefault="00AB6915" w14:paraId="171330B3" w14:textId="77777777">
      <w:pPr>
        <w:numPr>
          <w:ilvl w:val="0"/>
          <w:numId w:val="5"/>
        </w:numPr>
        <w:spacing w:after="160" w:line="480" w:lineRule="auto"/>
        <w:ind w:left="360"/>
        <w:contextualSpacing/>
      </w:pPr>
      <w:r>
        <w:lastRenderedPageBreak/>
        <w:t xml:space="preserve">Effective 7/1/2020, delivery of filings other than by eFiling or the U.S. Postal Service should be delivered to Health and Human Services, 12225 Wilkins Avenue, Rockville, Maryland 20852. </w:t>
      </w:r>
    </w:p>
    <w:p w:rsidR="00A2604E" w:rsidP="00A720B6" w:rsidRDefault="00A2604E" w14:paraId="0B3882A9" w14:textId="385B322C">
      <w:pPr>
        <w:spacing w:after="160" w:line="480" w:lineRule="auto"/>
        <w:contextualSpacing/>
      </w:pPr>
      <w:r w:rsidRPr="00A720B6">
        <w:rPr>
          <w:i/>
        </w:rPr>
        <w:t xml:space="preserve">Instructions: </w:t>
      </w:r>
      <w:r>
        <w:t xml:space="preserve">All </w:t>
      </w:r>
      <w:r w:rsidR="009811DC">
        <w:t>comments</w:t>
      </w:r>
      <w:r>
        <w:t xml:space="preserve"> must be formatted and filed in accordance with submission guidelines at: </w:t>
      </w:r>
      <w:hyperlink w:history="1" r:id="rId13">
        <w:r w:rsidRPr="00AB6915" w:rsidR="00AB6915">
          <w:rPr>
            <w:rStyle w:val="Hyperlink"/>
          </w:rPr>
          <w:t>http://www.ferc.gov</w:t>
        </w:r>
      </w:hyperlink>
      <w:r>
        <w:t>.  For user assistance</w:t>
      </w:r>
      <w:r w:rsidR="00BF2D74">
        <w:t>,</w:t>
      </w:r>
      <w:r>
        <w:t xml:space="preserve"> contact FERC Online Support by e-mail at ferconlinesupport@ferc.gov, or by phone at:  (866) 208-3676 (toll-free).</w:t>
      </w:r>
    </w:p>
    <w:p w:rsidRPr="00241BFD" w:rsidR="00A2604E" w:rsidP="00A2604E" w:rsidRDefault="00A2604E" w14:paraId="11F949A4" w14:textId="5D11677B">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57675D">
          <w:rPr>
            <w:rStyle w:val="Hyperlink"/>
          </w:rPr>
          <w:t>http://www.ferc.gov/docs-filing/docs-filing.asp</w:t>
        </w:r>
      </w:hyperlink>
      <w:r>
        <w:t xml:space="preserve">. </w:t>
      </w:r>
    </w:p>
    <w:bookmarkEnd w:id="1"/>
    <w:p w:rsidR="00A2604E" w:rsidP="00A2604E" w:rsidRDefault="00A2604E" w14:paraId="238ACD8E" w14:textId="06621ACC">
      <w:pPr>
        <w:spacing w:line="480" w:lineRule="auto"/>
      </w:pPr>
      <w:r w:rsidRPr="00656DF0">
        <w:rPr>
          <w:b/>
        </w:rPr>
        <w:t>FOR FURTHER INFORMATION</w:t>
      </w:r>
      <w:r w:rsidR="001D2FF8">
        <w:rPr>
          <w:b/>
        </w:rPr>
        <w:t xml:space="preserve"> CONTACT</w:t>
      </w:r>
      <w:r w:rsidRPr="00656DF0">
        <w:rPr>
          <w:b/>
        </w:rPr>
        <w:t>:</w:t>
      </w:r>
      <w:r>
        <w:t xml:space="preserve">  </w:t>
      </w:r>
      <w:r w:rsidRPr="007731D6">
        <w:t>Ellen Brown</w:t>
      </w:r>
      <w:r>
        <w:t xml:space="preserve"> may be reached by e-mail at </w:t>
      </w:r>
      <w:hyperlink w:history="1" r:id="rId15">
        <w:r w:rsidRPr="00006D4B">
          <w:rPr>
            <w:rStyle w:val="Hyperlink"/>
          </w:rPr>
          <w:t>DataClearance@FERC.gov</w:t>
        </w:r>
      </w:hyperlink>
      <w:r>
        <w:t xml:space="preserve"> </w:t>
      </w:r>
      <w:r w:rsidR="009C18A2">
        <w:t xml:space="preserve">and </w:t>
      </w:r>
      <w:r>
        <w:t>telephone at (202) 502-8663.</w:t>
      </w:r>
    </w:p>
    <w:p w:rsidRPr="00853ABC" w:rsidR="00A2604E" w:rsidP="00C1124F" w:rsidRDefault="00A2604E" w14:paraId="1EFC842C" w14:textId="458EA8ED">
      <w:pPr>
        <w:tabs>
          <w:tab w:val="left" w:pos="7880"/>
        </w:tabs>
        <w:spacing w:line="480" w:lineRule="auto"/>
      </w:pPr>
      <w:r>
        <w:t xml:space="preserve"> </w:t>
      </w:r>
      <w:r w:rsidRPr="001C3703">
        <w:rPr>
          <w:b/>
        </w:rPr>
        <w:t>SUPPLEMENTARY INFORMATION:</w:t>
      </w:r>
      <w:r>
        <w:t xml:space="preserve"> </w:t>
      </w:r>
    </w:p>
    <w:p w:rsidRPr="00333487" w:rsidR="00B01B16" w:rsidP="00B01B16" w:rsidRDefault="00B01B16" w14:paraId="58675FAE" w14:textId="4B0F59F3">
      <w:pPr>
        <w:spacing w:line="480" w:lineRule="auto"/>
        <w:rPr>
          <w:iCs/>
        </w:rPr>
      </w:pPr>
      <w:r>
        <w:rPr>
          <w:i/>
        </w:rPr>
        <w:t>Title:</w:t>
      </w:r>
      <w:r w:rsidR="00333487">
        <w:rPr>
          <w:i/>
        </w:rPr>
        <w:t xml:space="preserve">  </w:t>
      </w:r>
      <w:r w:rsidRPr="00DD346A" w:rsidR="00333487">
        <w:rPr>
          <w:iCs/>
        </w:rPr>
        <w:t>FERC-</w:t>
      </w:r>
      <w:r w:rsidRPr="00DD346A" w:rsidR="00C97914">
        <w:rPr>
          <w:iCs/>
        </w:rPr>
        <w:t>588</w:t>
      </w:r>
      <w:r w:rsidR="00DD346A">
        <w:rPr>
          <w:iCs/>
        </w:rPr>
        <w:t xml:space="preserve"> (</w:t>
      </w:r>
      <w:r w:rsidRPr="0001623C" w:rsidR="00DD346A">
        <w:t>Emergency Natural Gas Transportation, Sale</w:t>
      </w:r>
      <w:r w:rsidR="002A28F8">
        <w:t>,</w:t>
      </w:r>
      <w:r w:rsidRPr="0001623C" w:rsidR="00DD346A">
        <w:t xml:space="preserve"> and Exchange Transactions</w:t>
      </w:r>
      <w:r w:rsidR="00DD346A">
        <w:t>).</w:t>
      </w:r>
    </w:p>
    <w:p w:rsidR="00B01B16" w:rsidP="00B01B16" w:rsidRDefault="00B01B16" w14:paraId="10CE6BEF" w14:textId="6679EA1B">
      <w:pPr>
        <w:spacing w:line="480" w:lineRule="auto"/>
      </w:pPr>
      <w:r>
        <w:rPr>
          <w:i/>
        </w:rPr>
        <w:t>OMB Control No.:</w:t>
      </w:r>
      <w:r w:rsidRPr="00F50EDA">
        <w:t xml:space="preserve"> </w:t>
      </w:r>
      <w:r w:rsidRPr="00DD346A" w:rsidR="006765C9">
        <w:t>1902-0</w:t>
      </w:r>
      <w:r w:rsidRPr="00DD346A" w:rsidR="00C97914">
        <w:t>144</w:t>
      </w:r>
      <w:r w:rsidR="00C97914">
        <w:t>.</w:t>
      </w:r>
    </w:p>
    <w:p w:rsidRPr="00B5364C" w:rsidR="00B01B16" w:rsidP="00B01B16" w:rsidRDefault="00B01B16" w14:paraId="5A0F5B82" w14:textId="4179C93E">
      <w:pPr>
        <w:spacing w:line="480" w:lineRule="auto"/>
      </w:pPr>
      <w:r>
        <w:rPr>
          <w:i/>
        </w:rPr>
        <w:t>Type of Request:</w:t>
      </w:r>
      <w:r>
        <w:t xml:space="preserve"> Three-year extension of the </w:t>
      </w:r>
      <w:r w:rsidR="000174B2">
        <w:t>FERC-</w:t>
      </w:r>
      <w:r w:rsidR="005055BB">
        <w:t>588</w:t>
      </w:r>
      <w:r>
        <w:t xml:space="preserve"> information collection requirements with no changes to the current reporting </w:t>
      </w:r>
      <w:r w:rsidR="00C36799">
        <w:t xml:space="preserve">and recordkeeping </w:t>
      </w:r>
      <w:r>
        <w:t>requirements</w:t>
      </w:r>
      <w:r w:rsidR="006A0696">
        <w:t>.</w:t>
      </w:r>
    </w:p>
    <w:p w:rsidRPr="002D14EF" w:rsidR="00045407" w:rsidP="002D14EF" w:rsidRDefault="00B01B16" w14:paraId="7D4F3635" w14:textId="32F12A8A">
      <w:pPr>
        <w:spacing w:line="480" w:lineRule="auto"/>
        <w:rPr>
          <w:sz w:val="22"/>
          <w:szCs w:val="22"/>
        </w:rPr>
      </w:pPr>
      <w:r w:rsidRPr="002D14EF">
        <w:rPr>
          <w:i/>
        </w:rPr>
        <w:t>Abstract</w:t>
      </w:r>
      <w:r w:rsidRPr="002D14EF" w:rsidR="00DB1C2C">
        <w:rPr>
          <w:iCs/>
        </w:rPr>
        <w:t xml:space="preserve">:  </w:t>
      </w:r>
      <w:r w:rsidRPr="002D14EF" w:rsidR="00FB0E24">
        <w:rPr>
          <w:iCs/>
        </w:rPr>
        <w:t xml:space="preserve">FERC-588 is an existing information collection consisting of filing requirements and notice procedures at 18 CFR </w:t>
      </w:r>
      <w:r w:rsidRPr="002D14EF" w:rsidR="00D70DD1">
        <w:rPr>
          <w:iCs/>
        </w:rPr>
        <w:t>157.17</w:t>
      </w:r>
      <w:r w:rsidRPr="002D14EF" w:rsidR="00FB0E24">
        <w:rPr>
          <w:iCs/>
        </w:rPr>
        <w:t xml:space="preserve"> and 284.270. </w:t>
      </w:r>
      <w:r w:rsidR="00AB6915">
        <w:rPr>
          <w:iCs/>
        </w:rPr>
        <w:t xml:space="preserve"> </w:t>
      </w:r>
      <w:r w:rsidRPr="002D14EF" w:rsidR="00FB0E24">
        <w:rPr>
          <w:iCs/>
        </w:rPr>
        <w:t xml:space="preserve">These regulations pertain to </w:t>
      </w:r>
      <w:r w:rsidRPr="002D14EF" w:rsidR="00045407">
        <w:rPr>
          <w:iCs/>
        </w:rPr>
        <w:t xml:space="preserve">non-jurisdictional companies’ </w:t>
      </w:r>
      <w:r w:rsidRPr="002D14EF" w:rsidR="00FB0E24">
        <w:rPr>
          <w:iCs/>
        </w:rPr>
        <w:t xml:space="preserve">assistance </w:t>
      </w:r>
      <w:r w:rsidRPr="002D14EF" w:rsidR="00847AA7">
        <w:rPr>
          <w:iCs/>
        </w:rPr>
        <w:t>i</w:t>
      </w:r>
      <w:r w:rsidRPr="002D14EF" w:rsidR="002A28F8">
        <w:rPr>
          <w:iCs/>
        </w:rPr>
        <w:t xml:space="preserve">n </w:t>
      </w:r>
      <w:r w:rsidRPr="002D14EF" w:rsidR="00847AA7">
        <w:rPr>
          <w:iCs/>
        </w:rPr>
        <w:t xml:space="preserve">natural gas </w:t>
      </w:r>
      <w:r w:rsidRPr="002D14EF" w:rsidR="002A28F8">
        <w:rPr>
          <w:iCs/>
        </w:rPr>
        <w:t xml:space="preserve">emergency circumstances.  </w:t>
      </w:r>
      <w:r w:rsidRPr="002D14EF" w:rsidR="00F95709">
        <w:rPr>
          <w:iCs/>
        </w:rPr>
        <w:t>The</w:t>
      </w:r>
      <w:r w:rsidRPr="002D14EF" w:rsidR="00DB1C2C">
        <w:rPr>
          <w:iCs/>
        </w:rPr>
        <w:t xml:space="preserve"> </w:t>
      </w:r>
      <w:r w:rsidRPr="002D14EF" w:rsidR="00045407">
        <w:rPr>
          <w:iCs/>
        </w:rPr>
        <w:t xml:space="preserve">non-jurisdictional </w:t>
      </w:r>
      <w:r w:rsidRPr="002D14EF" w:rsidR="00DB1C2C">
        <w:rPr>
          <w:iCs/>
        </w:rPr>
        <w:t>companies</w:t>
      </w:r>
      <w:r w:rsidRPr="002D14EF" w:rsidR="00F95709">
        <w:rPr>
          <w:iCs/>
        </w:rPr>
        <w:t xml:space="preserve"> </w:t>
      </w:r>
      <w:r w:rsidRPr="002D14EF" w:rsidR="00DB1C2C">
        <w:rPr>
          <w:iCs/>
        </w:rPr>
        <w:t>that assist in such emergenc</w:t>
      </w:r>
      <w:r w:rsidRPr="002D14EF" w:rsidR="00045407">
        <w:rPr>
          <w:iCs/>
        </w:rPr>
        <w:t>y</w:t>
      </w:r>
      <w:r w:rsidRPr="002D14EF" w:rsidR="00DB1C2C">
        <w:rPr>
          <w:iCs/>
        </w:rPr>
        <w:t xml:space="preserve"> </w:t>
      </w:r>
      <w:r w:rsidRPr="002D14EF" w:rsidR="00045407">
        <w:rPr>
          <w:iCs/>
        </w:rPr>
        <w:t xml:space="preserve">transactions </w:t>
      </w:r>
      <w:r w:rsidRPr="002D14EF" w:rsidR="00DB1C2C">
        <w:rPr>
          <w:iCs/>
        </w:rPr>
        <w:t xml:space="preserve">must </w:t>
      </w:r>
      <w:r w:rsidRPr="002D14EF" w:rsidR="00F95709">
        <w:rPr>
          <w:iCs/>
        </w:rPr>
        <w:t xml:space="preserve">file </w:t>
      </w:r>
      <w:r w:rsidRPr="002D14EF" w:rsidR="00DB1C2C">
        <w:rPr>
          <w:iCs/>
        </w:rPr>
        <w:t xml:space="preserve">information with the </w:t>
      </w:r>
      <w:r w:rsidRPr="002D14EF" w:rsidR="0024090B">
        <w:rPr>
          <w:iCs/>
        </w:rPr>
        <w:t>Commission</w:t>
      </w:r>
      <w:r w:rsidRPr="002D14EF" w:rsidR="00045407">
        <w:rPr>
          <w:iCs/>
        </w:rPr>
        <w:t xml:space="preserve"> </w:t>
      </w:r>
      <w:r w:rsidRPr="002D14EF" w:rsidR="00045407">
        <w:t>under 18 CFR 284.270</w:t>
      </w:r>
      <w:r w:rsidRPr="002D14EF" w:rsidR="00DB1C2C">
        <w:rPr>
          <w:iCs/>
        </w:rPr>
        <w:t xml:space="preserve">, so that </w:t>
      </w:r>
      <w:r w:rsidRPr="002D14EF" w:rsidR="00DB1C2C">
        <w:rPr>
          <w:iCs/>
        </w:rPr>
        <w:lastRenderedPageBreak/>
        <w:t>the Commission may ensure compliance with relevant legal requirements.</w:t>
      </w:r>
      <w:r w:rsidRPr="002D14EF" w:rsidR="00045407">
        <w:rPr>
          <w:iCs/>
        </w:rPr>
        <w:t xml:space="preserve">  </w:t>
      </w:r>
      <w:r w:rsidRPr="002D14EF" w:rsidR="00045407">
        <w:t>An interstate pipeline that seeks an emergency certificate for facilities must file an application under 18 CFR 157.17.</w:t>
      </w:r>
    </w:p>
    <w:p w:rsidR="003D25C9" w:rsidP="003D25C9" w:rsidRDefault="006765C9" w14:paraId="323C812F" w14:textId="0C1EDE20">
      <w:pPr>
        <w:spacing w:line="480" w:lineRule="auto"/>
        <w:rPr>
          <w:bCs/>
        </w:rPr>
      </w:pPr>
      <w:r w:rsidRPr="003D25C9">
        <w:rPr>
          <w:bCs/>
          <w:i/>
        </w:rPr>
        <w:t>Type</w:t>
      </w:r>
      <w:r w:rsidR="005D6FF0">
        <w:rPr>
          <w:bCs/>
          <w:i/>
        </w:rPr>
        <w:t>s</w:t>
      </w:r>
      <w:r w:rsidRPr="003D25C9">
        <w:rPr>
          <w:bCs/>
          <w:i/>
        </w:rPr>
        <w:t xml:space="preserve"> of Respondent:</w:t>
      </w:r>
      <w:r w:rsidRPr="003D25C9" w:rsidR="00F61A05">
        <w:rPr>
          <w:bCs/>
        </w:rPr>
        <w:t xml:space="preserve"> </w:t>
      </w:r>
      <w:r w:rsidR="00847AA7">
        <w:rPr>
          <w:bCs/>
        </w:rPr>
        <w:t>Providers and recipients of assistance in natural gas emergency circumstances.</w:t>
      </w:r>
    </w:p>
    <w:p w:rsidRPr="00214609" w:rsidR="00214609" w:rsidP="00214609" w:rsidRDefault="00B01B16" w14:paraId="30FA48BF" w14:textId="0571042B">
      <w:pPr>
        <w:spacing w:line="480" w:lineRule="auto"/>
      </w:pPr>
      <w:r w:rsidRPr="004E2C78">
        <w:rPr>
          <w:i/>
        </w:rPr>
        <w:t>Estimate of Annual Burden</w:t>
      </w:r>
      <w:r w:rsidRPr="006A0696">
        <w:rPr>
          <w:rStyle w:val="FootnoteReference"/>
          <w:iCs/>
        </w:rPr>
        <w:footnoteReference w:id="1"/>
      </w:r>
      <w:r w:rsidRPr="003D25C9">
        <w:t xml:space="preserve">: The Commission estimates the total </w:t>
      </w:r>
      <w:r w:rsidRPr="003D25C9" w:rsidR="00EA689F">
        <w:t>annual b</w:t>
      </w:r>
      <w:r w:rsidRPr="003D25C9">
        <w:t xml:space="preserve">urden </w:t>
      </w:r>
      <w:r w:rsidRPr="003D25C9" w:rsidR="00EA689F">
        <w:t>and cost</w:t>
      </w:r>
      <w:r w:rsidRPr="003D25C9" w:rsidR="00EA689F">
        <w:rPr>
          <w:rStyle w:val="FootnoteReference"/>
        </w:rPr>
        <w:footnoteReference w:id="2"/>
      </w:r>
      <w:r w:rsidRPr="003D25C9" w:rsidR="00EA689F">
        <w:t xml:space="preserve"> </w:t>
      </w:r>
      <w:r w:rsidRPr="003D25C9">
        <w:t xml:space="preserve">for this information collection </w:t>
      </w:r>
      <w:r w:rsidRPr="003D25C9" w:rsidR="002041AF">
        <w:t xml:space="preserve">in the </w:t>
      </w:r>
      <w:r w:rsidR="00BA6D56">
        <w:t>following table:</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1"/>
        <w:gridCol w:w="2253"/>
        <w:gridCol w:w="1574"/>
        <w:gridCol w:w="2182"/>
        <w:gridCol w:w="1792"/>
      </w:tblGrid>
      <w:tr w:rsidRPr="00214609" w:rsidR="00E31B39" w:rsidTr="00E31B39" w14:paraId="290AEC27" w14:textId="77777777">
        <w:trPr>
          <w:cantSplit/>
        </w:trPr>
        <w:tc>
          <w:tcPr>
            <w:tcW w:w="0" w:type="auto"/>
            <w:shd w:val="clear" w:color="auto" w:fill="D9D9D9"/>
          </w:tcPr>
          <w:p w:rsidR="00E31B39" w:rsidP="00E31B39" w:rsidRDefault="00E31B39" w14:paraId="1BFB47ED" w14:textId="77777777">
            <w:pPr>
              <w:jc w:val="center"/>
              <w:rPr>
                <w:b/>
                <w:sz w:val="22"/>
              </w:rPr>
            </w:pPr>
            <w:r>
              <w:rPr>
                <w:b/>
                <w:sz w:val="22"/>
              </w:rPr>
              <w:t>A.</w:t>
            </w:r>
          </w:p>
          <w:p w:rsidRPr="00214609" w:rsidR="00E31B39" w:rsidP="00E31B39" w:rsidRDefault="00E31B39" w14:paraId="5CBA0935" w14:textId="258EA1F7">
            <w:pPr>
              <w:jc w:val="center"/>
              <w:rPr>
                <w:b/>
                <w:sz w:val="22"/>
              </w:rPr>
            </w:pPr>
            <w:r>
              <w:rPr>
                <w:b/>
                <w:sz w:val="22"/>
              </w:rPr>
              <w:t>No. of Respondents</w:t>
            </w:r>
          </w:p>
        </w:tc>
        <w:tc>
          <w:tcPr>
            <w:tcW w:w="0" w:type="auto"/>
            <w:shd w:val="clear" w:color="auto" w:fill="D9D9D9"/>
          </w:tcPr>
          <w:p w:rsidR="00E31B39" w:rsidP="00E31B39" w:rsidRDefault="00E31B39" w14:paraId="391526ED" w14:textId="77777777">
            <w:pPr>
              <w:jc w:val="center"/>
              <w:rPr>
                <w:b/>
                <w:sz w:val="22"/>
              </w:rPr>
            </w:pPr>
            <w:r>
              <w:rPr>
                <w:b/>
                <w:sz w:val="22"/>
              </w:rPr>
              <w:t>B.</w:t>
            </w:r>
          </w:p>
          <w:p w:rsidRPr="00214609" w:rsidR="00E31B39" w:rsidP="00E31B39" w:rsidRDefault="00E31B39" w14:paraId="667EAE7E" w14:textId="101FD0FF">
            <w:pPr>
              <w:jc w:val="center"/>
              <w:rPr>
                <w:b/>
                <w:sz w:val="22"/>
              </w:rPr>
            </w:pPr>
            <w:r>
              <w:rPr>
                <w:b/>
                <w:sz w:val="22"/>
              </w:rPr>
              <w:t>Annual No. of Responses per Respondent</w:t>
            </w:r>
          </w:p>
        </w:tc>
        <w:tc>
          <w:tcPr>
            <w:tcW w:w="0" w:type="auto"/>
            <w:shd w:val="clear" w:color="auto" w:fill="D9D9D9"/>
          </w:tcPr>
          <w:p w:rsidR="00E31B39" w:rsidP="00E31B39" w:rsidRDefault="00E31B39" w14:paraId="63408066" w14:textId="77777777">
            <w:pPr>
              <w:jc w:val="center"/>
              <w:rPr>
                <w:b/>
                <w:sz w:val="22"/>
              </w:rPr>
            </w:pPr>
            <w:r>
              <w:rPr>
                <w:b/>
                <w:sz w:val="22"/>
              </w:rPr>
              <w:t>C.</w:t>
            </w:r>
          </w:p>
          <w:p w:rsidR="00E31B39" w:rsidP="00E31B39" w:rsidRDefault="00E31B39" w14:paraId="2AA99E76" w14:textId="77777777">
            <w:pPr>
              <w:jc w:val="center"/>
              <w:rPr>
                <w:b/>
                <w:sz w:val="22"/>
              </w:rPr>
            </w:pPr>
            <w:r>
              <w:rPr>
                <w:b/>
                <w:sz w:val="22"/>
              </w:rPr>
              <w:t>Total No. of Responses</w:t>
            </w:r>
          </w:p>
          <w:p w:rsidRPr="00214609" w:rsidR="00E31B39" w:rsidP="00E31B39" w:rsidRDefault="00E31B39" w14:paraId="24F8F5A9" w14:textId="19C1D9B3">
            <w:pPr>
              <w:jc w:val="center"/>
              <w:rPr>
                <w:b/>
                <w:sz w:val="22"/>
              </w:rPr>
            </w:pPr>
            <w:r>
              <w:rPr>
                <w:b/>
                <w:sz w:val="22"/>
              </w:rPr>
              <w:t>(Col. A x Col. B)</w:t>
            </w:r>
          </w:p>
        </w:tc>
        <w:tc>
          <w:tcPr>
            <w:tcW w:w="0" w:type="auto"/>
            <w:shd w:val="clear" w:color="auto" w:fill="D9D9D9"/>
          </w:tcPr>
          <w:p w:rsidR="00E31B39" w:rsidP="00E31B39" w:rsidRDefault="00E31B39" w14:paraId="17FE250A" w14:textId="77777777">
            <w:pPr>
              <w:jc w:val="center"/>
              <w:rPr>
                <w:b/>
                <w:sz w:val="22"/>
              </w:rPr>
            </w:pPr>
            <w:r>
              <w:rPr>
                <w:b/>
                <w:sz w:val="22"/>
              </w:rPr>
              <w:t>D.</w:t>
            </w:r>
          </w:p>
          <w:p w:rsidRPr="00214609" w:rsidR="00E31B39" w:rsidP="00E31B39" w:rsidRDefault="00E31B39" w14:paraId="3FA8803D" w14:textId="22B715FC">
            <w:pPr>
              <w:jc w:val="center"/>
              <w:rPr>
                <w:b/>
                <w:sz w:val="22"/>
              </w:rPr>
            </w:pPr>
            <w:r>
              <w:rPr>
                <w:b/>
                <w:sz w:val="22"/>
              </w:rPr>
              <w:t>Average Hr. Burden and Cost per Response</w:t>
            </w:r>
          </w:p>
        </w:tc>
        <w:tc>
          <w:tcPr>
            <w:tcW w:w="0" w:type="auto"/>
            <w:shd w:val="clear" w:color="auto" w:fill="D9D9D9"/>
          </w:tcPr>
          <w:p w:rsidR="00E31B39" w:rsidP="00E31B39" w:rsidRDefault="00E31B39" w14:paraId="213230D4" w14:textId="77777777">
            <w:pPr>
              <w:jc w:val="center"/>
              <w:rPr>
                <w:b/>
                <w:sz w:val="22"/>
              </w:rPr>
            </w:pPr>
            <w:r>
              <w:rPr>
                <w:b/>
                <w:sz w:val="22"/>
              </w:rPr>
              <w:t>E.</w:t>
            </w:r>
          </w:p>
          <w:p w:rsidR="00E31B39" w:rsidP="00E31B39" w:rsidRDefault="00E31B39" w14:paraId="134FF8B5" w14:textId="77777777">
            <w:pPr>
              <w:jc w:val="center"/>
              <w:rPr>
                <w:b/>
                <w:sz w:val="22"/>
              </w:rPr>
            </w:pPr>
            <w:r>
              <w:rPr>
                <w:b/>
                <w:sz w:val="22"/>
              </w:rPr>
              <w:t>Total Annual Hr. Burden and Cost</w:t>
            </w:r>
          </w:p>
          <w:p w:rsidRPr="00214609" w:rsidR="00E31B39" w:rsidP="00E31B39" w:rsidRDefault="00E31B39" w14:paraId="18D808AC" w14:textId="5BE851E4">
            <w:pPr>
              <w:jc w:val="center"/>
              <w:rPr>
                <w:b/>
                <w:sz w:val="22"/>
              </w:rPr>
            </w:pPr>
            <w:r>
              <w:rPr>
                <w:b/>
                <w:sz w:val="22"/>
              </w:rPr>
              <w:t>(Col. C x Col D)</w:t>
            </w:r>
          </w:p>
        </w:tc>
      </w:tr>
      <w:tr w:rsidRPr="00214609" w:rsidR="00E31B39" w:rsidTr="00E31B39" w14:paraId="0152B17E" w14:textId="77777777">
        <w:trPr>
          <w:cantSplit/>
        </w:trPr>
        <w:tc>
          <w:tcPr>
            <w:tcW w:w="0" w:type="auto"/>
            <w:vAlign w:val="center"/>
          </w:tcPr>
          <w:p w:rsidRPr="00214609" w:rsidR="00E31B39" w:rsidP="00E31B39" w:rsidRDefault="00E31B39" w14:paraId="1432DE7D" w14:textId="29770861">
            <w:pPr>
              <w:jc w:val="right"/>
              <w:rPr>
                <w:sz w:val="22"/>
              </w:rPr>
            </w:pPr>
            <w:r>
              <w:rPr>
                <w:sz w:val="22"/>
              </w:rPr>
              <w:t>10</w:t>
            </w:r>
          </w:p>
        </w:tc>
        <w:tc>
          <w:tcPr>
            <w:tcW w:w="0" w:type="auto"/>
            <w:vAlign w:val="center"/>
          </w:tcPr>
          <w:p w:rsidRPr="00214609" w:rsidR="00E31B39" w:rsidP="00E31B39" w:rsidRDefault="00D773D5" w14:paraId="7E8E22F8" w14:textId="709F9B43">
            <w:pPr>
              <w:jc w:val="right"/>
              <w:rPr>
                <w:sz w:val="22"/>
              </w:rPr>
            </w:pPr>
            <w:r>
              <w:rPr>
                <w:sz w:val="22"/>
              </w:rPr>
              <w:t>3</w:t>
            </w:r>
          </w:p>
        </w:tc>
        <w:tc>
          <w:tcPr>
            <w:tcW w:w="0" w:type="auto"/>
            <w:vAlign w:val="center"/>
          </w:tcPr>
          <w:p w:rsidRPr="00214609" w:rsidR="00E31B39" w:rsidP="00E31B39" w:rsidRDefault="00D773D5" w14:paraId="2DE081D3" w14:textId="44C4C65D">
            <w:pPr>
              <w:jc w:val="right"/>
              <w:rPr>
                <w:sz w:val="22"/>
              </w:rPr>
            </w:pPr>
            <w:r>
              <w:rPr>
                <w:sz w:val="22"/>
              </w:rPr>
              <w:t>30</w:t>
            </w:r>
          </w:p>
        </w:tc>
        <w:tc>
          <w:tcPr>
            <w:tcW w:w="0" w:type="auto"/>
            <w:vAlign w:val="center"/>
          </w:tcPr>
          <w:p w:rsidR="00E31B39" w:rsidP="00E31B39" w:rsidRDefault="00D56919" w14:paraId="2F2D7517" w14:textId="77777777">
            <w:pPr>
              <w:jc w:val="right"/>
              <w:rPr>
                <w:sz w:val="22"/>
              </w:rPr>
            </w:pPr>
            <w:r>
              <w:rPr>
                <w:sz w:val="22"/>
              </w:rPr>
              <w:t>10 hrs;</w:t>
            </w:r>
          </w:p>
          <w:p w:rsidRPr="00214609" w:rsidR="00D56919" w:rsidP="00E31B39" w:rsidRDefault="00D56919" w14:paraId="166EA1E6" w14:textId="2351CD8B">
            <w:pPr>
              <w:jc w:val="right"/>
              <w:rPr>
                <w:sz w:val="22"/>
              </w:rPr>
            </w:pPr>
            <w:r>
              <w:rPr>
                <w:sz w:val="22"/>
              </w:rPr>
              <w:t>$830</w:t>
            </w:r>
          </w:p>
        </w:tc>
        <w:tc>
          <w:tcPr>
            <w:tcW w:w="0" w:type="auto"/>
            <w:vAlign w:val="center"/>
          </w:tcPr>
          <w:p w:rsidR="00E31B39" w:rsidP="00E31B39" w:rsidRDefault="00D56919" w14:paraId="493F10F4" w14:textId="77777777">
            <w:pPr>
              <w:jc w:val="right"/>
              <w:rPr>
                <w:sz w:val="22"/>
              </w:rPr>
            </w:pPr>
            <w:r>
              <w:rPr>
                <w:sz w:val="22"/>
              </w:rPr>
              <w:t>300 hrs.;</w:t>
            </w:r>
          </w:p>
          <w:p w:rsidRPr="00214609" w:rsidR="00D56919" w:rsidP="00E31B39" w:rsidRDefault="00B31310" w14:paraId="6537C1F9" w14:textId="17C70ACA">
            <w:pPr>
              <w:jc w:val="right"/>
              <w:rPr>
                <w:sz w:val="22"/>
              </w:rPr>
            </w:pPr>
            <w:r>
              <w:rPr>
                <w:sz w:val="22"/>
              </w:rPr>
              <w:t>$24,900</w:t>
            </w:r>
          </w:p>
        </w:tc>
      </w:tr>
    </w:tbl>
    <w:p w:rsidRPr="0014576D" w:rsidR="00BA6D56" w:rsidP="00BA6D56" w:rsidRDefault="00BA6D56" w14:paraId="58CC1B02" w14:textId="77777777">
      <w:pPr>
        <w:spacing w:line="480" w:lineRule="auto"/>
      </w:pPr>
    </w:p>
    <w:p w:rsidR="009F526B" w:rsidP="00FE1A9C" w:rsidRDefault="00AE1F12" w14:paraId="20FF5E1F" w14:textId="2109B21F">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w:t>
      </w:r>
    </w:p>
    <w:p w:rsidR="009F526B" w:rsidRDefault="009F526B" w14:paraId="0C0310FA" w14:textId="77777777">
      <w:pPr>
        <w:spacing w:after="160" w:line="259" w:lineRule="auto"/>
      </w:pPr>
      <w:r>
        <w:br w:type="page"/>
      </w:r>
    </w:p>
    <w:p w:rsidR="00AE1F12" w:rsidP="00AE1F12" w:rsidRDefault="00AE1F12" w14:paraId="06D77A52" w14:textId="0840DEFE">
      <w:pPr>
        <w:spacing w:line="480" w:lineRule="auto"/>
      </w:pPr>
      <w:r>
        <w:lastRenderedPageBreak/>
        <w:t xml:space="preserve">clarity of the information collection; and (4) ways to minimize the burden of the collection of information on those who are to respond, including the use of automated collection techniques or other forms of information technology.  </w:t>
      </w:r>
    </w:p>
    <w:p w:rsidR="002946DC" w:rsidP="002946DC" w:rsidRDefault="002946DC" w14:paraId="09B2342A" w14:textId="3D93F46C"/>
    <w:p w:rsidR="002946DC" w:rsidP="002946DC" w:rsidRDefault="002946DC" w14:paraId="7C5DCEFC" w14:textId="1E136935"/>
    <w:p w:rsidR="002946DC" w:rsidP="002946DC" w:rsidRDefault="002946DC" w14:paraId="69B7D86A" w14:textId="3B0C44CA"/>
    <w:p w:rsidRPr="002946DC" w:rsidR="002946DC" w:rsidP="002946DC" w:rsidRDefault="002946DC" w14:paraId="60B7C9C7" w14:textId="7AFB1DEC">
      <w:pPr>
        <w:ind w:firstLine="2174"/>
        <w:jc w:val="center"/>
      </w:pPr>
      <w:r w:rsidRPr="002946DC">
        <w:t>Kimberly D. Bose,</w:t>
      </w:r>
    </w:p>
    <w:p w:rsidRPr="002946DC" w:rsidR="002946DC" w:rsidP="002946DC" w:rsidRDefault="002946DC" w14:paraId="6A5B1900" w14:textId="0EB7D5DB">
      <w:pPr>
        <w:ind w:firstLine="2174"/>
        <w:jc w:val="center"/>
      </w:pPr>
      <w:r w:rsidRPr="002946DC">
        <w:t>Secretary.</w:t>
      </w:r>
    </w:p>
    <w:p w:rsidR="002946DC" w:rsidP="002946DC" w:rsidRDefault="002946DC" w14:paraId="0F67FB0C" w14:textId="77777777"/>
    <w:sectPr w:rsidR="002946D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2DA22" w14:textId="77777777" w:rsidR="00C92F41" w:rsidRDefault="00C92F41" w:rsidP="00B01B16">
      <w:r>
        <w:separator/>
      </w:r>
    </w:p>
  </w:endnote>
  <w:endnote w:type="continuationSeparator" w:id="0">
    <w:p w14:paraId="6175216C" w14:textId="77777777" w:rsidR="00C92F41" w:rsidRDefault="00C92F41"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773F" w14:textId="77777777" w:rsidR="00CE486A" w:rsidRDefault="00CE4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BAFF" w14:textId="77777777" w:rsidR="00CE486A" w:rsidRDefault="00CE4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288D" w14:textId="77777777" w:rsidR="00CE486A" w:rsidRDefault="00CE4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9C53" w14:textId="77777777" w:rsidR="00C92F41" w:rsidRDefault="00C92F41" w:rsidP="00B01B16">
      <w:r>
        <w:separator/>
      </w:r>
    </w:p>
  </w:footnote>
  <w:footnote w:type="continuationSeparator" w:id="0">
    <w:p w14:paraId="3EDA6463" w14:textId="77777777" w:rsidR="00C92F41" w:rsidRDefault="00C92F41" w:rsidP="00B01B16">
      <w:r>
        <w:continuationSeparator/>
      </w:r>
    </w:p>
  </w:footnote>
  <w:footnote w:id="1">
    <w:p w14:paraId="5D423E05" w14:textId="21CF1BC5" w:rsidR="00C96F59" w:rsidRPr="008E145A" w:rsidRDefault="00C96F59" w:rsidP="001D2FF8">
      <w:pPr>
        <w:pStyle w:val="FootnoteText"/>
        <w:ind w:firstLine="720"/>
        <w:rPr>
          <w:sz w:val="26"/>
          <w:szCs w:val="26"/>
        </w:rPr>
      </w:pPr>
      <w:r w:rsidRPr="006536D8">
        <w:rPr>
          <w:rStyle w:val="FootnoteReference"/>
        </w:rPr>
        <w:footnoteRef/>
      </w:r>
      <w:r w:rsidRPr="006536D8">
        <w:rPr>
          <w:sz w:val="26"/>
          <w:szCs w:val="26"/>
        </w:rPr>
        <w:t xml:space="preserve"> </w:t>
      </w:r>
      <w:r w:rsidRPr="00263858">
        <w:rPr>
          <w:sz w:val="24"/>
          <w:szCs w:val="26"/>
        </w:rPr>
        <w:t xml:space="preserve">“Burden” is the total time, effort, or financial resources expended by persons to generate, maintain, retain, or disclose or provide information to or for a Federal agency. For further explanation of what is included in the information collection burden, refer to </w:t>
      </w:r>
      <w:r w:rsidR="00263858" w:rsidRPr="00263858">
        <w:rPr>
          <w:sz w:val="24"/>
          <w:szCs w:val="26"/>
        </w:rPr>
        <w:t xml:space="preserve">5 CFR </w:t>
      </w:r>
      <w:r w:rsidRPr="00263858">
        <w:rPr>
          <w:sz w:val="24"/>
          <w:szCs w:val="26"/>
        </w:rPr>
        <w:t>1320.3.</w:t>
      </w:r>
    </w:p>
  </w:footnote>
  <w:footnote w:id="2">
    <w:p w14:paraId="34386AFD" w14:textId="0454D593" w:rsidR="00C96F59" w:rsidRDefault="00C96F59" w:rsidP="001D2FF8">
      <w:pPr>
        <w:pStyle w:val="FootnoteText"/>
        <w:ind w:firstLine="720"/>
      </w:pPr>
      <w:r w:rsidRPr="008E145A">
        <w:rPr>
          <w:rStyle w:val="FootnoteReference"/>
        </w:rPr>
        <w:footnoteRef/>
      </w:r>
      <w:r w:rsidRPr="008E145A">
        <w:rPr>
          <w:sz w:val="26"/>
          <w:szCs w:val="26"/>
        </w:rPr>
        <w:t xml:space="preserve">  </w:t>
      </w:r>
      <w:r w:rsidR="00231CD0" w:rsidRPr="00231CD0">
        <w:rPr>
          <w:sz w:val="24"/>
          <w:szCs w:val="26"/>
        </w:rPr>
        <w:t xml:space="preserve">The Commission staff believes that industry is similarly situated in terms of cost for wages and benefits.  Therefore, we are using </w:t>
      </w:r>
      <w:r w:rsidR="009F2A1C">
        <w:rPr>
          <w:sz w:val="24"/>
          <w:szCs w:val="26"/>
        </w:rPr>
        <w:t xml:space="preserve">$83.00 per hour in this calculation.  That is </w:t>
      </w:r>
      <w:r w:rsidR="00696A23">
        <w:rPr>
          <w:sz w:val="24"/>
          <w:szCs w:val="26"/>
        </w:rPr>
        <w:t xml:space="preserve">the </w:t>
      </w:r>
      <w:r w:rsidR="00C02E9E">
        <w:rPr>
          <w:sz w:val="24"/>
          <w:szCs w:val="26"/>
        </w:rPr>
        <w:t>current average</w:t>
      </w:r>
      <w:r w:rsidR="00696A23">
        <w:rPr>
          <w:sz w:val="24"/>
          <w:szCs w:val="26"/>
        </w:rPr>
        <w:t xml:space="preserve"> hourly</w:t>
      </w:r>
      <w:r w:rsidR="00C02E9E">
        <w:rPr>
          <w:sz w:val="24"/>
          <w:szCs w:val="26"/>
        </w:rPr>
        <w:t xml:space="preserve"> cost, </w:t>
      </w:r>
      <w:r w:rsidR="00231CD0" w:rsidRPr="00231CD0">
        <w:rPr>
          <w:sz w:val="24"/>
          <w:szCs w:val="26"/>
        </w:rPr>
        <w:t>for wages plus benefits</w:t>
      </w:r>
      <w:r w:rsidR="009F2A1C">
        <w:rPr>
          <w:sz w:val="24"/>
          <w:szCs w:val="26"/>
        </w:rPr>
        <w:t>,</w:t>
      </w:r>
      <w:r w:rsidR="00231CD0" w:rsidRPr="00231CD0">
        <w:rPr>
          <w:sz w:val="24"/>
          <w:szCs w:val="26"/>
        </w:rPr>
        <w:t xml:space="preserve"> for one FERC full-time </w:t>
      </w:r>
      <w:r w:rsidR="00C02E9E">
        <w:rPr>
          <w:sz w:val="24"/>
          <w:szCs w:val="26"/>
        </w:rPr>
        <w:t>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7496" w14:textId="77777777" w:rsidR="00CE486A" w:rsidRDefault="00CE4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0AF7" w14:textId="22B8222A" w:rsidR="00C96F59" w:rsidRDefault="00C96F59" w:rsidP="00810D18">
    <w:pPr>
      <w:pStyle w:val="Header"/>
    </w:pPr>
    <w:r w:rsidRPr="00CE486A">
      <w:t xml:space="preserve">Docket No. </w:t>
    </w:r>
    <w:r w:rsidR="00FD185A" w:rsidRPr="00CE486A">
      <w:t>IC</w:t>
    </w:r>
    <w:r w:rsidR="00CE486A">
      <w:t>20-22-000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4B0B">
          <w:rPr>
            <w:noProof/>
          </w:rPr>
          <w:t>3</w:t>
        </w:r>
        <w:r>
          <w:rPr>
            <w:noProof/>
          </w:rPr>
          <w:fldChar w:fldCharType="end"/>
        </w:r>
      </w:sdtContent>
    </w:sdt>
  </w:p>
  <w:p w14:paraId="11CB63B3" w14:textId="77777777" w:rsidR="00C96F59" w:rsidRDefault="00C96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680A" w14:textId="77777777" w:rsidR="00CE486A" w:rsidRDefault="00CE4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CE9"/>
    <w:multiLevelType w:val="hybridMultilevel"/>
    <w:tmpl w:val="A3847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0F02A8"/>
    <w:multiLevelType w:val="hybridMultilevel"/>
    <w:tmpl w:val="C4BC0FAC"/>
    <w:lvl w:ilvl="0" w:tplc="04090001">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1521"/>
    <w:rsid w:val="00014969"/>
    <w:rsid w:val="0001623C"/>
    <w:rsid w:val="000174B2"/>
    <w:rsid w:val="00034749"/>
    <w:rsid w:val="00045407"/>
    <w:rsid w:val="000459B6"/>
    <w:rsid w:val="000508F2"/>
    <w:rsid w:val="00062427"/>
    <w:rsid w:val="0006263D"/>
    <w:rsid w:val="000828DD"/>
    <w:rsid w:val="00090FE1"/>
    <w:rsid w:val="0009244C"/>
    <w:rsid w:val="000936AF"/>
    <w:rsid w:val="00094D37"/>
    <w:rsid w:val="000A0250"/>
    <w:rsid w:val="000A7E68"/>
    <w:rsid w:val="000B1CE7"/>
    <w:rsid w:val="000C29B1"/>
    <w:rsid w:val="000D4154"/>
    <w:rsid w:val="000D6B33"/>
    <w:rsid w:val="000E2568"/>
    <w:rsid w:val="0011340B"/>
    <w:rsid w:val="0014576D"/>
    <w:rsid w:val="001520CC"/>
    <w:rsid w:val="00153546"/>
    <w:rsid w:val="00156BBB"/>
    <w:rsid w:val="001600DF"/>
    <w:rsid w:val="00162E44"/>
    <w:rsid w:val="00171725"/>
    <w:rsid w:val="00175728"/>
    <w:rsid w:val="00181BF7"/>
    <w:rsid w:val="00182C90"/>
    <w:rsid w:val="001872E9"/>
    <w:rsid w:val="001918A7"/>
    <w:rsid w:val="001A6AD6"/>
    <w:rsid w:val="001B1EB4"/>
    <w:rsid w:val="001B24E1"/>
    <w:rsid w:val="001B78B8"/>
    <w:rsid w:val="001C16FA"/>
    <w:rsid w:val="001C3865"/>
    <w:rsid w:val="001D18E9"/>
    <w:rsid w:val="001D2FF8"/>
    <w:rsid w:val="001D6FE3"/>
    <w:rsid w:val="001E2717"/>
    <w:rsid w:val="002041AF"/>
    <w:rsid w:val="00214609"/>
    <w:rsid w:val="00231CD0"/>
    <w:rsid w:val="0024090B"/>
    <w:rsid w:val="002443B3"/>
    <w:rsid w:val="00251BE0"/>
    <w:rsid w:val="00252438"/>
    <w:rsid w:val="00263858"/>
    <w:rsid w:val="00263EC6"/>
    <w:rsid w:val="00264BA8"/>
    <w:rsid w:val="00273ED7"/>
    <w:rsid w:val="002767A5"/>
    <w:rsid w:val="0028362A"/>
    <w:rsid w:val="0029032B"/>
    <w:rsid w:val="002926AE"/>
    <w:rsid w:val="002946DC"/>
    <w:rsid w:val="002A28F8"/>
    <w:rsid w:val="002A796B"/>
    <w:rsid w:val="002B1897"/>
    <w:rsid w:val="002B530C"/>
    <w:rsid w:val="002D14EF"/>
    <w:rsid w:val="002D3CFE"/>
    <w:rsid w:val="002E43AC"/>
    <w:rsid w:val="003017CB"/>
    <w:rsid w:val="00311D90"/>
    <w:rsid w:val="003149BC"/>
    <w:rsid w:val="00333487"/>
    <w:rsid w:val="00336045"/>
    <w:rsid w:val="00337180"/>
    <w:rsid w:val="0034094B"/>
    <w:rsid w:val="00363CE1"/>
    <w:rsid w:val="003673EC"/>
    <w:rsid w:val="00376525"/>
    <w:rsid w:val="003C3E7A"/>
    <w:rsid w:val="003D25C9"/>
    <w:rsid w:val="003E44AD"/>
    <w:rsid w:val="003F2CBD"/>
    <w:rsid w:val="00410D4F"/>
    <w:rsid w:val="00443282"/>
    <w:rsid w:val="00450483"/>
    <w:rsid w:val="004559FF"/>
    <w:rsid w:val="00494C21"/>
    <w:rsid w:val="004A2A23"/>
    <w:rsid w:val="004C70C8"/>
    <w:rsid w:val="004E2C78"/>
    <w:rsid w:val="0050354D"/>
    <w:rsid w:val="00503D6F"/>
    <w:rsid w:val="005055BB"/>
    <w:rsid w:val="00510FCF"/>
    <w:rsid w:val="0052495E"/>
    <w:rsid w:val="00530876"/>
    <w:rsid w:val="0054746C"/>
    <w:rsid w:val="00552C80"/>
    <w:rsid w:val="00567282"/>
    <w:rsid w:val="005707FD"/>
    <w:rsid w:val="00577D25"/>
    <w:rsid w:val="00583C5F"/>
    <w:rsid w:val="0058544A"/>
    <w:rsid w:val="0059627E"/>
    <w:rsid w:val="005A2F24"/>
    <w:rsid w:val="005A6A4C"/>
    <w:rsid w:val="005B3D2A"/>
    <w:rsid w:val="005B4DA4"/>
    <w:rsid w:val="005D118B"/>
    <w:rsid w:val="005D58B8"/>
    <w:rsid w:val="005D6FF0"/>
    <w:rsid w:val="005E020A"/>
    <w:rsid w:val="005E1FA1"/>
    <w:rsid w:val="005F6B16"/>
    <w:rsid w:val="005F6C40"/>
    <w:rsid w:val="00605F00"/>
    <w:rsid w:val="00606F0E"/>
    <w:rsid w:val="0061198F"/>
    <w:rsid w:val="006128A5"/>
    <w:rsid w:val="0061661C"/>
    <w:rsid w:val="00637F43"/>
    <w:rsid w:val="00644A1B"/>
    <w:rsid w:val="006536D8"/>
    <w:rsid w:val="00653732"/>
    <w:rsid w:val="00654BA4"/>
    <w:rsid w:val="00672D40"/>
    <w:rsid w:val="00675781"/>
    <w:rsid w:val="006765C9"/>
    <w:rsid w:val="00681A35"/>
    <w:rsid w:val="006825C4"/>
    <w:rsid w:val="00692902"/>
    <w:rsid w:val="00694512"/>
    <w:rsid w:val="006963BC"/>
    <w:rsid w:val="00696469"/>
    <w:rsid w:val="00696A23"/>
    <w:rsid w:val="006A0696"/>
    <w:rsid w:val="006A1CFC"/>
    <w:rsid w:val="006A77A9"/>
    <w:rsid w:val="006B4B0B"/>
    <w:rsid w:val="006B744D"/>
    <w:rsid w:val="006D0E2D"/>
    <w:rsid w:val="006D236D"/>
    <w:rsid w:val="006E7CBB"/>
    <w:rsid w:val="00730A25"/>
    <w:rsid w:val="007340DB"/>
    <w:rsid w:val="00735E75"/>
    <w:rsid w:val="00742841"/>
    <w:rsid w:val="0074755F"/>
    <w:rsid w:val="0075009F"/>
    <w:rsid w:val="00750DF5"/>
    <w:rsid w:val="00753D7D"/>
    <w:rsid w:val="00753DD8"/>
    <w:rsid w:val="00763112"/>
    <w:rsid w:val="007639D8"/>
    <w:rsid w:val="00795F4D"/>
    <w:rsid w:val="00797B8B"/>
    <w:rsid w:val="007A37C5"/>
    <w:rsid w:val="007A761E"/>
    <w:rsid w:val="007D4BC6"/>
    <w:rsid w:val="007F00CB"/>
    <w:rsid w:val="007F30CB"/>
    <w:rsid w:val="007F55BA"/>
    <w:rsid w:val="008017C6"/>
    <w:rsid w:val="00803CA2"/>
    <w:rsid w:val="00807CAC"/>
    <w:rsid w:val="00810D18"/>
    <w:rsid w:val="008115BF"/>
    <w:rsid w:val="00824D81"/>
    <w:rsid w:val="00833AA4"/>
    <w:rsid w:val="00835502"/>
    <w:rsid w:val="00847AA7"/>
    <w:rsid w:val="00853ABC"/>
    <w:rsid w:val="00860A08"/>
    <w:rsid w:val="008764F8"/>
    <w:rsid w:val="00881405"/>
    <w:rsid w:val="0088617A"/>
    <w:rsid w:val="0089069F"/>
    <w:rsid w:val="00895D18"/>
    <w:rsid w:val="00895DA2"/>
    <w:rsid w:val="00897359"/>
    <w:rsid w:val="008A3CA6"/>
    <w:rsid w:val="008B2BB6"/>
    <w:rsid w:val="008B3CDC"/>
    <w:rsid w:val="008D25B7"/>
    <w:rsid w:val="008D4891"/>
    <w:rsid w:val="008D5479"/>
    <w:rsid w:val="008E0DF5"/>
    <w:rsid w:val="008E145A"/>
    <w:rsid w:val="008E3273"/>
    <w:rsid w:val="009171DB"/>
    <w:rsid w:val="00922B6E"/>
    <w:rsid w:val="00927A11"/>
    <w:rsid w:val="00940C0F"/>
    <w:rsid w:val="00945F33"/>
    <w:rsid w:val="0095427A"/>
    <w:rsid w:val="009744C8"/>
    <w:rsid w:val="009811DC"/>
    <w:rsid w:val="00981886"/>
    <w:rsid w:val="00990FEC"/>
    <w:rsid w:val="009A1B08"/>
    <w:rsid w:val="009A773E"/>
    <w:rsid w:val="009B525A"/>
    <w:rsid w:val="009C18A2"/>
    <w:rsid w:val="009C4A13"/>
    <w:rsid w:val="009D7120"/>
    <w:rsid w:val="009E1C9D"/>
    <w:rsid w:val="009E4B32"/>
    <w:rsid w:val="009F2A1C"/>
    <w:rsid w:val="009F526B"/>
    <w:rsid w:val="009F7DE3"/>
    <w:rsid w:val="00A1074A"/>
    <w:rsid w:val="00A139D3"/>
    <w:rsid w:val="00A2604E"/>
    <w:rsid w:val="00A37D03"/>
    <w:rsid w:val="00A52CA7"/>
    <w:rsid w:val="00A569FC"/>
    <w:rsid w:val="00A61250"/>
    <w:rsid w:val="00A664DF"/>
    <w:rsid w:val="00A713D0"/>
    <w:rsid w:val="00A720B6"/>
    <w:rsid w:val="00A732AF"/>
    <w:rsid w:val="00A76D87"/>
    <w:rsid w:val="00A82A29"/>
    <w:rsid w:val="00A869BA"/>
    <w:rsid w:val="00A93FC7"/>
    <w:rsid w:val="00AA516A"/>
    <w:rsid w:val="00AA5B0E"/>
    <w:rsid w:val="00AB6915"/>
    <w:rsid w:val="00AC750B"/>
    <w:rsid w:val="00AE1F12"/>
    <w:rsid w:val="00AE4155"/>
    <w:rsid w:val="00AE4B7C"/>
    <w:rsid w:val="00AF349B"/>
    <w:rsid w:val="00AF5F86"/>
    <w:rsid w:val="00B01B16"/>
    <w:rsid w:val="00B06405"/>
    <w:rsid w:val="00B23CCB"/>
    <w:rsid w:val="00B273D5"/>
    <w:rsid w:val="00B31310"/>
    <w:rsid w:val="00B447D7"/>
    <w:rsid w:val="00B4757E"/>
    <w:rsid w:val="00B65E34"/>
    <w:rsid w:val="00B76A1F"/>
    <w:rsid w:val="00B82F8C"/>
    <w:rsid w:val="00B86BF7"/>
    <w:rsid w:val="00B958F1"/>
    <w:rsid w:val="00B970FF"/>
    <w:rsid w:val="00BA6D56"/>
    <w:rsid w:val="00BB41AE"/>
    <w:rsid w:val="00BD033D"/>
    <w:rsid w:val="00BD35C6"/>
    <w:rsid w:val="00BD74AE"/>
    <w:rsid w:val="00BE3FE7"/>
    <w:rsid w:val="00BF1FA4"/>
    <w:rsid w:val="00BF2D74"/>
    <w:rsid w:val="00BF4CC8"/>
    <w:rsid w:val="00C00700"/>
    <w:rsid w:val="00C02E9E"/>
    <w:rsid w:val="00C1124F"/>
    <w:rsid w:val="00C13AB6"/>
    <w:rsid w:val="00C36799"/>
    <w:rsid w:val="00C36FDB"/>
    <w:rsid w:val="00C37BFF"/>
    <w:rsid w:val="00C51458"/>
    <w:rsid w:val="00C53580"/>
    <w:rsid w:val="00C55838"/>
    <w:rsid w:val="00C64E8F"/>
    <w:rsid w:val="00C65E67"/>
    <w:rsid w:val="00C77EF7"/>
    <w:rsid w:val="00C820F1"/>
    <w:rsid w:val="00C91512"/>
    <w:rsid w:val="00C92F41"/>
    <w:rsid w:val="00C96F59"/>
    <w:rsid w:val="00C97914"/>
    <w:rsid w:val="00CA6636"/>
    <w:rsid w:val="00CA6D76"/>
    <w:rsid w:val="00CB1515"/>
    <w:rsid w:val="00CB5083"/>
    <w:rsid w:val="00CE21CB"/>
    <w:rsid w:val="00CE486A"/>
    <w:rsid w:val="00CF4753"/>
    <w:rsid w:val="00D0083B"/>
    <w:rsid w:val="00D027FE"/>
    <w:rsid w:val="00D322D3"/>
    <w:rsid w:val="00D36594"/>
    <w:rsid w:val="00D44183"/>
    <w:rsid w:val="00D45C70"/>
    <w:rsid w:val="00D56919"/>
    <w:rsid w:val="00D6457E"/>
    <w:rsid w:val="00D70D5E"/>
    <w:rsid w:val="00D70DD1"/>
    <w:rsid w:val="00D773D5"/>
    <w:rsid w:val="00D94108"/>
    <w:rsid w:val="00DA19FA"/>
    <w:rsid w:val="00DA47F8"/>
    <w:rsid w:val="00DA529F"/>
    <w:rsid w:val="00DB1C2C"/>
    <w:rsid w:val="00DB2A2C"/>
    <w:rsid w:val="00DC5017"/>
    <w:rsid w:val="00DD346A"/>
    <w:rsid w:val="00DD7F1B"/>
    <w:rsid w:val="00DF70F2"/>
    <w:rsid w:val="00DF735B"/>
    <w:rsid w:val="00E11C4A"/>
    <w:rsid w:val="00E163A9"/>
    <w:rsid w:val="00E22235"/>
    <w:rsid w:val="00E317B6"/>
    <w:rsid w:val="00E31B39"/>
    <w:rsid w:val="00E41DB9"/>
    <w:rsid w:val="00E63EC8"/>
    <w:rsid w:val="00E71CAF"/>
    <w:rsid w:val="00E762BB"/>
    <w:rsid w:val="00E8661B"/>
    <w:rsid w:val="00E93A07"/>
    <w:rsid w:val="00EA1FD2"/>
    <w:rsid w:val="00EA66F0"/>
    <w:rsid w:val="00EA689F"/>
    <w:rsid w:val="00EB6B68"/>
    <w:rsid w:val="00ED5F7E"/>
    <w:rsid w:val="00EE7256"/>
    <w:rsid w:val="00EF33BE"/>
    <w:rsid w:val="00F012A1"/>
    <w:rsid w:val="00F034CD"/>
    <w:rsid w:val="00F309CB"/>
    <w:rsid w:val="00F44A0E"/>
    <w:rsid w:val="00F53B91"/>
    <w:rsid w:val="00F61A05"/>
    <w:rsid w:val="00F666ED"/>
    <w:rsid w:val="00F67668"/>
    <w:rsid w:val="00F95709"/>
    <w:rsid w:val="00FB0E24"/>
    <w:rsid w:val="00FB3EF0"/>
    <w:rsid w:val="00FC2537"/>
    <w:rsid w:val="00FC36CD"/>
    <w:rsid w:val="00FC3F00"/>
    <w:rsid w:val="00FD185A"/>
    <w:rsid w:val="00FE1A9C"/>
    <w:rsid w:val="00FE37BC"/>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5390EE5"/>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 w:type="character" w:styleId="FollowedHyperlink">
    <w:name w:val="FollowedHyperlink"/>
    <w:basedOn w:val="DefaultParagraphFont"/>
    <w:uiPriority w:val="99"/>
    <w:semiHidden/>
    <w:unhideWhenUsed/>
    <w:rsid w:val="00AB6915"/>
    <w:rPr>
      <w:color w:val="954F72" w:themeColor="followedHyperlink"/>
      <w:u w:val="single"/>
    </w:rPr>
  </w:style>
  <w:style w:type="character" w:styleId="UnresolvedMention">
    <w:name w:val="Unresolved Mention"/>
    <w:basedOn w:val="DefaultParagraphFont"/>
    <w:uiPriority w:val="99"/>
    <w:semiHidden/>
    <w:unhideWhenUsed/>
    <w:rsid w:val="00AB6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10337474">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A43B-2C24-4ACC-8844-1F88E1C8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e8733a2-e908-454b-85cf-c9d17e1d0943"/>
    <ds:schemaRef ds:uri="http://www.w3.org/XML/1998/namespace"/>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2C157E30-4A57-476E-8011-A60E5CDB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Jean Sonneman</cp:lastModifiedBy>
  <cp:revision>2</cp:revision>
  <cp:lastPrinted>2020-07-13T12:38:00Z</cp:lastPrinted>
  <dcterms:created xsi:type="dcterms:W3CDTF">2020-07-13T19:01:00Z</dcterms:created>
  <dcterms:modified xsi:type="dcterms:W3CDTF">2020-07-13T19:01:00Z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ies>
</file>