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4B6" w:rsidP="00FA76F3" w:rsidRDefault="005306FB" w14:paraId="109772B7" w14:textId="77777777">
      <w:pPr>
        <w:pStyle w:val="BodyText"/>
        <w:spacing w:after="0"/>
        <w:jc w:val="center"/>
        <w:rPr>
          <w:b/>
          <w:sz w:val="24"/>
        </w:rPr>
      </w:pPr>
      <w:r w:rsidRPr="00FA76F3">
        <w:rPr>
          <w:b/>
          <w:sz w:val="24"/>
        </w:rPr>
        <w:t>Information Collection Request (ICR) for t</w:t>
      </w:r>
      <w:r w:rsidRPr="00FA76F3" w:rsidR="00037AB8">
        <w:rPr>
          <w:b/>
          <w:sz w:val="24"/>
        </w:rPr>
        <w:t xml:space="preserve">he </w:t>
      </w:r>
    </w:p>
    <w:p w:rsidRPr="00FA76F3" w:rsidR="005306FB" w:rsidP="00FA76F3" w:rsidRDefault="00F124B6" w14:paraId="1AC584EC" w14:textId="31F7D00D">
      <w:pPr>
        <w:pStyle w:val="BodyText"/>
        <w:spacing w:after="0"/>
        <w:jc w:val="center"/>
        <w:rPr>
          <w:b/>
          <w:sz w:val="24"/>
        </w:rPr>
      </w:pPr>
      <w:r w:rsidRPr="00F124B6">
        <w:rPr>
          <w:b/>
          <w:sz w:val="24"/>
        </w:rPr>
        <w:t>NPDES Electronic Reporting Rule – Phase 2 Extension</w:t>
      </w:r>
      <w:r w:rsidRPr="00FA76F3" w:rsidR="00FD206E">
        <w:rPr>
          <w:b/>
          <w:sz w:val="24"/>
        </w:rPr>
        <w:t xml:space="preserve"> (</w:t>
      </w:r>
      <w:r w:rsidR="00074C06">
        <w:rPr>
          <w:b/>
          <w:sz w:val="24"/>
        </w:rPr>
        <w:t>Final Rule</w:t>
      </w:r>
      <w:r w:rsidRPr="00FA76F3" w:rsidR="00FD206E">
        <w:rPr>
          <w:b/>
          <w:sz w:val="24"/>
        </w:rPr>
        <w:t>)</w:t>
      </w:r>
    </w:p>
    <w:p w:rsidRPr="00AD118F" w:rsidR="00956ACC" w:rsidP="005306FB" w:rsidRDefault="00FD206E" w14:paraId="26892116" w14:textId="06551CBC">
      <w:pPr>
        <w:autoSpaceDE w:val="0"/>
        <w:autoSpaceDN w:val="0"/>
        <w:adjustRightInd w:val="0"/>
        <w:jc w:val="center"/>
        <w:rPr>
          <w:b/>
          <w:bCs/>
          <w:color w:val="000000"/>
        </w:rPr>
      </w:pPr>
      <w:r w:rsidRPr="00AD118F">
        <w:rPr>
          <w:b/>
          <w:bCs/>
          <w:color w:val="000000"/>
        </w:rPr>
        <w:t xml:space="preserve"> </w:t>
      </w:r>
      <w:r w:rsidRPr="00AD118F" w:rsidR="005306FB">
        <w:rPr>
          <w:b/>
          <w:bCs/>
          <w:color w:val="000000"/>
        </w:rPr>
        <w:t xml:space="preserve">(EPA No. </w:t>
      </w:r>
      <w:r w:rsidRPr="004C7D16" w:rsidR="004C7D16">
        <w:rPr>
          <w:b/>
          <w:bCs/>
          <w:color w:val="000000"/>
        </w:rPr>
        <w:t>2617.0</w:t>
      </w:r>
      <w:r w:rsidR="0000788B">
        <w:rPr>
          <w:b/>
          <w:bCs/>
          <w:color w:val="000000"/>
        </w:rPr>
        <w:t>2</w:t>
      </w:r>
      <w:r w:rsidRPr="00AD118F" w:rsidR="00AD118F">
        <w:rPr>
          <w:b/>
          <w:bCs/>
          <w:color w:val="000000"/>
        </w:rPr>
        <w:t>, OMB No.</w:t>
      </w:r>
      <w:r w:rsidRPr="00AD118F" w:rsidR="005306FB">
        <w:rPr>
          <w:b/>
          <w:bCs/>
          <w:color w:val="000000"/>
        </w:rPr>
        <w:t xml:space="preserve"> </w:t>
      </w:r>
      <w:r w:rsidRPr="001A4246" w:rsidR="001A4246">
        <w:rPr>
          <w:b/>
          <w:bCs/>
          <w:color w:val="000000"/>
        </w:rPr>
        <w:t>2020-</w:t>
      </w:r>
      <w:r w:rsidR="0000788B">
        <w:rPr>
          <w:b/>
          <w:bCs/>
          <w:color w:val="000000"/>
        </w:rPr>
        <w:t>0037</w:t>
      </w:r>
      <w:r w:rsidRPr="00AD118F" w:rsidR="005306FB">
        <w:rPr>
          <w:b/>
          <w:bCs/>
          <w:color w:val="000000"/>
        </w:rPr>
        <w:t>)</w:t>
      </w:r>
    </w:p>
    <w:p w:rsidR="00F5104E" w:rsidP="00EA2006" w:rsidRDefault="00F5104E" w14:paraId="75C70A2D" w14:textId="77777777">
      <w:pPr>
        <w:pStyle w:val="Heading1"/>
      </w:pPr>
      <w:r>
        <w:t>IDENTIFICATION OF THE INFORMATION COLLECTION</w:t>
      </w:r>
    </w:p>
    <w:p w:rsidR="00F5104E" w:rsidP="00EA2006" w:rsidRDefault="00F5104E" w14:paraId="6FDE6199" w14:textId="77777777">
      <w:pPr>
        <w:pStyle w:val="Heading2"/>
      </w:pPr>
      <w:r>
        <w:t>Title of the Information Collection</w:t>
      </w:r>
    </w:p>
    <w:p w:rsidRPr="00DE1336" w:rsidR="00F124B6" w:rsidP="00F124B6" w:rsidRDefault="001B3588" w14:paraId="68B2B3D0" w14:textId="575E0B6F">
      <w:pPr>
        <w:autoSpaceDE w:val="0"/>
        <w:autoSpaceDN w:val="0"/>
        <w:adjustRightInd w:val="0"/>
        <w:rPr>
          <w:bCs/>
          <w:color w:val="000000"/>
          <w:sz w:val="22"/>
          <w:szCs w:val="22"/>
        </w:rPr>
      </w:pPr>
      <w:r w:rsidRPr="00FF475E">
        <w:rPr>
          <w:bCs/>
          <w:color w:val="000000"/>
          <w:sz w:val="22"/>
          <w:szCs w:val="22"/>
        </w:rPr>
        <w:t xml:space="preserve">Title: </w:t>
      </w:r>
      <w:r w:rsidRPr="00FF475E" w:rsidR="00F124B6">
        <w:rPr>
          <w:bCs/>
          <w:color w:val="000000"/>
          <w:sz w:val="22"/>
          <w:szCs w:val="22"/>
        </w:rPr>
        <w:t>NPDES Electronic Reporting Rule – Phase 2 Extension (</w:t>
      </w:r>
      <w:r w:rsidRPr="00FF475E" w:rsidR="00074C06">
        <w:rPr>
          <w:bCs/>
          <w:color w:val="000000"/>
          <w:sz w:val="22"/>
          <w:szCs w:val="22"/>
        </w:rPr>
        <w:t>Final Rule</w:t>
      </w:r>
      <w:r w:rsidRPr="00DE1336" w:rsidR="00F124B6">
        <w:rPr>
          <w:bCs/>
          <w:color w:val="000000"/>
          <w:sz w:val="22"/>
          <w:szCs w:val="22"/>
        </w:rPr>
        <w:t>)</w:t>
      </w:r>
    </w:p>
    <w:p w:rsidRPr="008527D5" w:rsidR="001B3588" w:rsidP="00F124B6" w:rsidRDefault="00643E17" w14:paraId="2AC61EFF" w14:textId="0A3C1A2A">
      <w:pPr>
        <w:autoSpaceDE w:val="0"/>
        <w:autoSpaceDN w:val="0"/>
        <w:adjustRightInd w:val="0"/>
        <w:rPr>
          <w:sz w:val="22"/>
          <w:szCs w:val="22"/>
        </w:rPr>
      </w:pPr>
      <w:r w:rsidRPr="008527D5">
        <w:rPr>
          <w:color w:val="000000"/>
          <w:sz w:val="22"/>
          <w:szCs w:val="22"/>
        </w:rPr>
        <w:t xml:space="preserve">EPA </w:t>
      </w:r>
      <w:r w:rsidRPr="008527D5">
        <w:rPr>
          <w:sz w:val="22"/>
          <w:szCs w:val="22"/>
        </w:rPr>
        <w:t xml:space="preserve">ICR No.: </w:t>
      </w:r>
      <w:r w:rsidRPr="008527D5" w:rsidR="004C7D16">
        <w:rPr>
          <w:sz w:val="22"/>
          <w:szCs w:val="22"/>
        </w:rPr>
        <w:t>2617.</w:t>
      </w:r>
      <w:r w:rsidRPr="008527D5" w:rsidR="0000788B">
        <w:rPr>
          <w:sz w:val="22"/>
          <w:szCs w:val="22"/>
        </w:rPr>
        <w:t>02</w:t>
      </w:r>
    </w:p>
    <w:p w:rsidR="001B3588" w:rsidP="001B3588" w:rsidRDefault="00643E17" w14:paraId="4C385E12" w14:textId="0F346458">
      <w:pPr>
        <w:pStyle w:val="BodyText"/>
        <w:spacing w:after="0"/>
        <w:rPr>
          <w:color w:val="000000"/>
          <w:szCs w:val="22"/>
        </w:rPr>
      </w:pPr>
      <w:r w:rsidRPr="00FF475E">
        <w:rPr>
          <w:szCs w:val="22"/>
        </w:rPr>
        <w:t xml:space="preserve">OMB Control No.: </w:t>
      </w:r>
      <w:r w:rsidRPr="00FF475E" w:rsidR="001A4246">
        <w:rPr>
          <w:szCs w:val="22"/>
        </w:rPr>
        <w:t>2020-</w:t>
      </w:r>
      <w:r w:rsidRPr="00DE1336" w:rsidR="0000788B">
        <w:rPr>
          <w:szCs w:val="22"/>
        </w:rPr>
        <w:t>0037</w:t>
      </w:r>
    </w:p>
    <w:p w:rsidRPr="00CC1C61" w:rsidR="0000788B" w:rsidP="001B3588" w:rsidRDefault="0000788B" w14:paraId="776F9600" w14:textId="77777777">
      <w:pPr>
        <w:pStyle w:val="BodyText"/>
        <w:spacing w:after="0"/>
        <w:rPr>
          <w:color w:val="000000"/>
          <w:szCs w:val="22"/>
        </w:rPr>
      </w:pPr>
    </w:p>
    <w:p w:rsidRPr="001E7712" w:rsidR="00F5104E" w:rsidP="00EA2006" w:rsidRDefault="00F5104E" w14:paraId="297DB3CE" w14:textId="77777777">
      <w:pPr>
        <w:pStyle w:val="Heading2"/>
      </w:pPr>
      <w:bookmarkStart w:name="_Ref312140358" w:id="0"/>
      <w:r w:rsidRPr="001E7712">
        <w:t>Short Characterization</w:t>
      </w:r>
      <w:r w:rsidRPr="001E7712" w:rsidR="00B43116">
        <w:t>/ Abstract</w:t>
      </w:r>
      <w:bookmarkEnd w:id="0"/>
    </w:p>
    <w:p w:rsidR="000F4D2F" w:rsidP="00AD52E8" w:rsidRDefault="000F4D2F" w14:paraId="0171AEEC" w14:textId="77777777">
      <w:pPr>
        <w:pStyle w:val="BodyText"/>
      </w:pPr>
      <w:r w:rsidRPr="000F4D2F">
        <w:t xml:space="preserve">EPA published the National Pollutant Discharge Elimination System (NPDES) Electronic Reporting Rule (“NPDES </w:t>
      </w:r>
      <w:proofErr w:type="spellStart"/>
      <w:r w:rsidRPr="000F4D2F">
        <w:t>eRule</w:t>
      </w:r>
      <w:proofErr w:type="spellEnd"/>
      <w:r w:rsidRPr="000F4D2F">
        <w:t xml:space="preserve">”) on 22 October 2015. The 2015 rule required EPA and states to modernize Clean Water Act (CWA) reporting for municipalities, industries and other facilities. The rule divided implementation into two “Phases.” The deadline for Phase 1 implementation passed on December 21, 2016. Most states and permittees have successfully implemented Phase 1 of the NPDES </w:t>
      </w:r>
      <w:proofErr w:type="spellStart"/>
      <w:r w:rsidRPr="000F4D2F">
        <w:t>eRule</w:t>
      </w:r>
      <w:proofErr w:type="spellEnd"/>
      <w:r w:rsidRPr="000F4D2F">
        <w:t xml:space="preserve">, which includes electronic submission of DMRs and the Federal Biosolids Annual Report where EPA is the Regulatory Authority (see cover for example photos). EPA originally set the Phase 2 deadline as December 21, 2020. Some state authorized NPDES programs provided feedback to EPA on how to improve Phase 2 implementation of the NPDES </w:t>
      </w:r>
      <w:proofErr w:type="spellStart"/>
      <w:r w:rsidRPr="000F4D2F">
        <w:t>eRule</w:t>
      </w:r>
      <w:proofErr w:type="spellEnd"/>
      <w:r w:rsidRPr="000F4D2F">
        <w:t xml:space="preserve"> and, in particular, recommended changes to the schedule for Phase 2 implementation to allow both EPA and states sufficient time to develop and implement the information technology solutions necessary for electronic reporting of the Phase 2 data. </w:t>
      </w:r>
    </w:p>
    <w:p w:rsidR="00EE582B" w:rsidP="00AD52E8" w:rsidRDefault="00EE582B" w14:paraId="43ED31C2" w14:textId="18AEB565">
      <w:pPr>
        <w:pStyle w:val="BodyText"/>
      </w:pPr>
      <w:r w:rsidRPr="00EE582B">
        <w:t xml:space="preserve">EPA </w:t>
      </w:r>
      <w:r w:rsidR="00A05FAD">
        <w:t xml:space="preserve">is </w:t>
      </w:r>
      <w:r w:rsidR="00074C06">
        <w:t xml:space="preserve">promulgating a final rule to postpone </w:t>
      </w:r>
      <w:r w:rsidRPr="00EE582B">
        <w:t xml:space="preserve">the </w:t>
      </w:r>
      <w:r w:rsidR="00F911DD">
        <w:t>compliance d</w:t>
      </w:r>
      <w:r w:rsidRPr="00EE582B">
        <w:t xml:space="preserve">ate for Phase 2 implementation and </w:t>
      </w:r>
      <w:r w:rsidR="00A05FAD">
        <w:t xml:space="preserve">to </w:t>
      </w:r>
      <w:r w:rsidRPr="00EE582B">
        <w:t>provid</w:t>
      </w:r>
      <w:r w:rsidR="00A05FAD">
        <w:t>e</w:t>
      </w:r>
      <w:r w:rsidRPr="00EE582B">
        <w:t xml:space="preserve"> states with additional flexibility to request even more time as needed. Further, </w:t>
      </w:r>
      <w:r w:rsidR="00CC50E9">
        <w:t xml:space="preserve">the </w:t>
      </w:r>
      <w:r w:rsidR="00EF2017">
        <w:t>final</w:t>
      </w:r>
      <w:r w:rsidR="00CC50E9">
        <w:t xml:space="preserve"> rule </w:t>
      </w:r>
      <w:r w:rsidR="00A05FAD">
        <w:t xml:space="preserve">accompanying this ICR </w:t>
      </w:r>
      <w:r w:rsidR="00CC50E9">
        <w:t xml:space="preserve">also </w:t>
      </w:r>
      <w:r w:rsidRPr="00EE582B">
        <w:t>clarif</w:t>
      </w:r>
      <w:r w:rsidR="00736EF1">
        <w:t>ies</w:t>
      </w:r>
      <w:r w:rsidRPr="00EE582B">
        <w:t xml:space="preserve"> existing requirements and eliminate</w:t>
      </w:r>
      <w:r w:rsidR="00736EF1">
        <w:t>s</w:t>
      </w:r>
      <w:r w:rsidRPr="00EE582B">
        <w:t xml:space="preserve"> some duplicative or outdated reporting requirements. These changes </w:t>
      </w:r>
      <w:r w:rsidR="00736EF1">
        <w:t xml:space="preserve">will </w:t>
      </w:r>
      <w:r w:rsidRPr="00EE582B">
        <w:t>help ensure a smoother transition from paper to electronic reporting for the NPDES program. Taken together, the</w:t>
      </w:r>
      <w:r w:rsidR="008E0739">
        <w:t xml:space="preserve"> flexibility </w:t>
      </w:r>
      <w:r w:rsidR="00463E77">
        <w:t xml:space="preserve">afforded by the </w:t>
      </w:r>
      <w:r w:rsidR="00EF2017">
        <w:t>final</w:t>
      </w:r>
      <w:r w:rsidR="00463E77">
        <w:t xml:space="preserve"> rule and the implementation of electronic reporting will help </w:t>
      </w:r>
      <w:r w:rsidRPr="00EE582B">
        <w:t xml:space="preserve">NPDES authorized programs </w:t>
      </w:r>
      <w:r w:rsidR="00463E77">
        <w:t>save c</w:t>
      </w:r>
      <w:r w:rsidRPr="00EE582B">
        <w:t xml:space="preserve">onsiderable resources, make reporting easier for NPDES-regulated entities, streamline permit renewals (as permit writers typically review previous noncompliance events during permit renewal), ensure full exchange of NPDES program data between states and EPA to the public, improve environmental decision-making, and protect human health and the environment. </w:t>
      </w:r>
    </w:p>
    <w:p w:rsidR="00A05FAD" w:rsidP="00AD52E8" w:rsidRDefault="00AD52E8" w14:paraId="79649B15" w14:textId="43D8669E">
      <w:pPr>
        <w:pStyle w:val="BodyText"/>
      </w:pPr>
      <w:r w:rsidRPr="008A70CF">
        <w:t xml:space="preserve">This </w:t>
      </w:r>
      <w:r w:rsidRPr="000B567A" w:rsidR="00736EF1">
        <w:t>rule related</w:t>
      </w:r>
      <w:r w:rsidRPr="000B567A" w:rsidR="001E7712">
        <w:t xml:space="preserve"> </w:t>
      </w:r>
      <w:r w:rsidRPr="000B567A">
        <w:t>ICR</w:t>
      </w:r>
      <w:r w:rsidR="0033557F">
        <w:t xml:space="preserve"> addresses the incremental </w:t>
      </w:r>
      <w:r w:rsidR="00CC50E9">
        <w:t xml:space="preserve">burden to </w:t>
      </w:r>
      <w:r w:rsidR="0033557F">
        <w:t>authorized NPDES programs</w:t>
      </w:r>
      <w:r w:rsidR="00CC50E9">
        <w:t xml:space="preserve"> under the changes to the </w:t>
      </w:r>
      <w:r w:rsidR="00FB73BA">
        <w:t xml:space="preserve">2015 </w:t>
      </w:r>
      <w:r w:rsidR="00CC50E9">
        <w:t xml:space="preserve">NPDES </w:t>
      </w:r>
      <w:proofErr w:type="spellStart"/>
      <w:r w:rsidR="00CC50E9">
        <w:t>eRule</w:t>
      </w:r>
      <w:proofErr w:type="spellEnd"/>
      <w:r w:rsidR="00CC50E9">
        <w:t xml:space="preserve">. </w:t>
      </w:r>
      <w:r w:rsidR="000847EE">
        <w:t xml:space="preserve">The incremental burden </w:t>
      </w:r>
      <w:r w:rsidR="00E9714B">
        <w:t xml:space="preserve">is associated with the </w:t>
      </w:r>
      <w:r w:rsidRPr="000B567A" w:rsidR="001E7712">
        <w:t>submitt</w:t>
      </w:r>
      <w:r w:rsidRPr="000B567A" w:rsidR="001A37A2">
        <w:t>al</w:t>
      </w:r>
      <w:r w:rsidR="00D911A3">
        <w:t xml:space="preserve"> of </w:t>
      </w:r>
      <w:r w:rsidR="00E9714B">
        <w:t xml:space="preserve">alternative </w:t>
      </w:r>
      <w:r w:rsidRPr="00B80114" w:rsidR="00B80114">
        <w:t xml:space="preserve">Phase 2 </w:t>
      </w:r>
      <w:r w:rsidR="00B80114">
        <w:t>c</w:t>
      </w:r>
      <w:r w:rsidRPr="00B80114" w:rsidR="00B80114">
        <w:t xml:space="preserve">ompliance </w:t>
      </w:r>
      <w:r w:rsidR="00B80114">
        <w:t>d</w:t>
      </w:r>
      <w:r w:rsidRPr="00B80114" w:rsidR="00B80114">
        <w:t xml:space="preserve">eadlines </w:t>
      </w:r>
      <w:r w:rsidR="00E9714B">
        <w:t xml:space="preserve">requests to EPA and the sharing of information </w:t>
      </w:r>
      <w:r w:rsidR="00FB73BA">
        <w:t xml:space="preserve">related to </w:t>
      </w:r>
      <w:r w:rsidR="00E9714B">
        <w:t>state-issued general permits and program reports. This ICR does not impose any new reporting requirements on NPDES-regulated entities.</w:t>
      </w:r>
    </w:p>
    <w:p w:rsidRPr="000B567A" w:rsidR="00AD52E8" w:rsidP="00AD52E8" w:rsidRDefault="00CC1C61" w14:paraId="751803FC" w14:textId="52D4B4BD">
      <w:pPr>
        <w:pStyle w:val="BodyText"/>
        <w:rPr>
          <w:rFonts w:ascii="TimesNewRoman" w:hAnsi="TimesNewRoman" w:cs="TimesNewRoman"/>
        </w:rPr>
      </w:pPr>
      <w:r w:rsidRPr="000B567A">
        <w:t xml:space="preserve">The respondents to this ICR are </w:t>
      </w:r>
      <w:r w:rsidR="00E9714B">
        <w:t>the 4</w:t>
      </w:r>
      <w:r w:rsidR="00AC6441">
        <w:t>8</w:t>
      </w:r>
      <w:r w:rsidR="00E9714B">
        <w:t xml:space="preserve"> </w:t>
      </w:r>
      <w:r w:rsidRPr="00E9714B" w:rsidR="00E9714B">
        <w:t>authorized NPDES programs</w:t>
      </w:r>
      <w:r w:rsidR="00463E77">
        <w:t xml:space="preserve"> (47 states and the U.S. Virgin Islands)</w:t>
      </w:r>
      <w:r w:rsidR="00E9714B">
        <w:t xml:space="preserve">. </w:t>
      </w:r>
      <w:r w:rsidRPr="00D112FD" w:rsidR="00D112FD">
        <w:t>The total annual burden for the 48 authorized EPA programs is 416 hours. Burden is defined at 5 CFR 1320.3(b).</w:t>
      </w:r>
      <w:r w:rsidR="00D112FD">
        <w:t xml:space="preserve"> </w:t>
      </w:r>
      <w:r w:rsidR="00FB73BA">
        <w:t>EPA estimates that this burden will reduce as more and more general permits and program reports are switched from paper to electronic reporting</w:t>
      </w:r>
      <w:r w:rsidRPr="00C407D7" w:rsidR="00C407D7">
        <w:t>.</w:t>
      </w:r>
    </w:p>
    <w:p w:rsidRPr="000B567A" w:rsidR="00AD52E8" w:rsidP="00AD52E8" w:rsidRDefault="00F5104E" w14:paraId="355DE0F8" w14:textId="77777777">
      <w:pPr>
        <w:pStyle w:val="Heading1"/>
      </w:pPr>
      <w:r w:rsidRPr="000B567A">
        <w:lastRenderedPageBreak/>
        <w:t>NEED FOR AND USE OF THE COLLECTION</w:t>
      </w:r>
    </w:p>
    <w:p w:rsidR="00F5104E" w:rsidP="00A76773" w:rsidRDefault="00F5104E" w14:paraId="6D8C5EAF" w14:textId="77777777">
      <w:pPr>
        <w:pStyle w:val="Heading2"/>
      </w:pPr>
      <w:r>
        <w:t>Need/Authority for the Collection</w:t>
      </w:r>
    </w:p>
    <w:p w:rsidR="00E8253E" w:rsidP="00EA2006" w:rsidRDefault="00E8253E" w14:paraId="3D19628D" w14:textId="77777777">
      <w:pPr>
        <w:pStyle w:val="Heading3"/>
      </w:pPr>
      <w:r>
        <w:t>Need for the Collection</w:t>
      </w:r>
    </w:p>
    <w:p w:rsidR="002F1AF2" w:rsidP="00A05FAD" w:rsidRDefault="00A05FAD" w14:paraId="531CF913" w14:textId="5B76308C">
      <w:pPr>
        <w:pStyle w:val="BodyText"/>
      </w:pPr>
      <w:r w:rsidRPr="00A05FAD">
        <w:t xml:space="preserve">EPA published the National Pollutant Discharge Elimination System (NPDES) Electronic Reporting Rule (“NPDES </w:t>
      </w:r>
      <w:proofErr w:type="spellStart"/>
      <w:r w:rsidRPr="00A05FAD">
        <w:t>eRule</w:t>
      </w:r>
      <w:proofErr w:type="spellEnd"/>
      <w:r w:rsidRPr="00A05FAD">
        <w:t xml:space="preserve">”) on 22 October 2015. The 2015 rule required EPA and states to modernize Clean Water Act (CWA) reporting for municipalities, industries and other facilities. That rule replaced most </w:t>
      </w:r>
      <w:r w:rsidRPr="00A05FAD" w:rsidR="00E00FF3">
        <w:t>paper based</w:t>
      </w:r>
      <w:r w:rsidRPr="00A05FAD">
        <w:t xml:space="preserve"> NPDES reporting requirements with electronic reporting.</w:t>
      </w:r>
      <w:r>
        <w:t xml:space="preserve"> </w:t>
      </w:r>
    </w:p>
    <w:p w:rsidR="002F1AF2" w:rsidP="002F1AF2" w:rsidRDefault="002F1AF2" w14:paraId="198C29FE" w14:textId="519A8CB6">
      <w:pPr>
        <w:pStyle w:val="BodyText"/>
      </w:pPr>
      <w:r>
        <w:t xml:space="preserve">Congress and the public expect environmental program managers at every level of government – local, state, tribal, territorial, and federal – to design and implement programs that deliver environmental results. </w:t>
      </w:r>
      <w:r w:rsidR="001A37A2">
        <w:t>T</w:t>
      </w:r>
      <w:r>
        <w:t xml:space="preserve">o target the most important pollution problems and most serious noncompliance, better ensure environmental protection and public health, and enable more integrated program assessment and planning at the national level, data used by EPA </w:t>
      </w:r>
      <w:r w:rsidR="007B76AA">
        <w:t xml:space="preserve">and authorized NPDES programs </w:t>
      </w:r>
      <w:r>
        <w:t xml:space="preserve">should have the following characteristics: </w:t>
      </w:r>
    </w:p>
    <w:p w:rsidR="002F1AF2" w:rsidP="009C05EE" w:rsidRDefault="002F1AF2" w14:paraId="3133B1D1" w14:textId="77777777">
      <w:pPr>
        <w:pStyle w:val="BodyText"/>
        <w:numPr>
          <w:ilvl w:val="1"/>
          <w:numId w:val="1"/>
        </w:numPr>
        <w:spacing w:after="0"/>
        <w:ind w:left="720" w:hanging="360"/>
      </w:pPr>
      <w:r>
        <w:t>The data should be current</w:t>
      </w:r>
      <w:r w:rsidR="0025042D">
        <w:t>;</w:t>
      </w:r>
      <w:r>
        <w:t xml:space="preserve"> </w:t>
      </w:r>
    </w:p>
    <w:p w:rsidR="002F1AF2" w:rsidP="009C05EE" w:rsidRDefault="002F1AF2" w14:paraId="27396FC6" w14:textId="77777777">
      <w:pPr>
        <w:pStyle w:val="BodyText"/>
        <w:numPr>
          <w:ilvl w:val="1"/>
          <w:numId w:val="1"/>
        </w:numPr>
        <w:spacing w:after="0"/>
        <w:ind w:left="720" w:hanging="360"/>
      </w:pPr>
      <w:r>
        <w:t>The data should generally be comparable in format, reporting units, frequency, etc</w:t>
      </w:r>
      <w:r w:rsidR="0025042D">
        <w:t>;</w:t>
      </w:r>
    </w:p>
    <w:p w:rsidR="002F1AF2" w:rsidP="009C05EE" w:rsidRDefault="002F1AF2" w14:paraId="6181D864" w14:textId="77777777">
      <w:pPr>
        <w:pStyle w:val="BodyText"/>
        <w:numPr>
          <w:ilvl w:val="1"/>
          <w:numId w:val="1"/>
        </w:numPr>
        <w:spacing w:after="0"/>
        <w:ind w:left="720" w:hanging="360"/>
      </w:pPr>
      <w:r>
        <w:t>The data should be complete</w:t>
      </w:r>
      <w:r w:rsidR="0025042D">
        <w:t>; and</w:t>
      </w:r>
    </w:p>
    <w:p w:rsidR="002F1AF2" w:rsidP="009C05EE" w:rsidRDefault="002F1AF2" w14:paraId="4D576FE2" w14:textId="77777777">
      <w:pPr>
        <w:pStyle w:val="BodyText"/>
        <w:numPr>
          <w:ilvl w:val="1"/>
          <w:numId w:val="1"/>
        </w:numPr>
        <w:spacing w:after="0"/>
        <w:ind w:left="720" w:hanging="360"/>
      </w:pPr>
      <w:r>
        <w:t>The data should be made available so that the basis for EPA program evaluation and subsequent planning is transparent and reproducible.</w:t>
      </w:r>
    </w:p>
    <w:p w:rsidR="002F1AF2" w:rsidP="002F1AF2" w:rsidRDefault="002F1AF2" w14:paraId="2E6C1F19" w14:textId="77777777">
      <w:pPr>
        <w:pStyle w:val="BodyText"/>
        <w:spacing w:after="0"/>
        <w:ind w:left="1080"/>
      </w:pPr>
    </w:p>
    <w:p w:rsidR="0017288F" w:rsidP="002F1AF2" w:rsidRDefault="002F1AF2" w14:paraId="43DC3093" w14:textId="74D55C71">
      <w:pPr>
        <w:pStyle w:val="BodyText"/>
      </w:pPr>
      <w:r>
        <w:t xml:space="preserve">The </w:t>
      </w:r>
      <w:r w:rsidR="00EF2017">
        <w:t>final</w:t>
      </w:r>
      <w:r w:rsidR="00A05FAD">
        <w:t xml:space="preserve"> </w:t>
      </w:r>
      <w:r>
        <w:t xml:space="preserve">rule </w:t>
      </w:r>
      <w:r w:rsidR="0017288F">
        <w:t>extend</w:t>
      </w:r>
      <w:r w:rsidR="00736EF1">
        <w:t>s</w:t>
      </w:r>
      <w:r w:rsidR="0017288F">
        <w:t xml:space="preserve"> </w:t>
      </w:r>
      <w:r w:rsidR="00A05FAD">
        <w:t xml:space="preserve">the </w:t>
      </w:r>
      <w:r w:rsidR="0017288F">
        <w:t xml:space="preserve">NPDES </w:t>
      </w:r>
      <w:proofErr w:type="spellStart"/>
      <w:r w:rsidR="0017288F">
        <w:t>eRule</w:t>
      </w:r>
      <w:proofErr w:type="spellEnd"/>
      <w:r w:rsidR="0017288F">
        <w:t xml:space="preserve"> </w:t>
      </w:r>
      <w:r w:rsidR="00A05FAD">
        <w:t xml:space="preserve">Phase 2 </w:t>
      </w:r>
      <w:r w:rsidR="0017288F">
        <w:t xml:space="preserve">implementation period </w:t>
      </w:r>
      <w:r w:rsidR="00A05FAD">
        <w:t>and provide</w:t>
      </w:r>
      <w:r w:rsidR="00736EF1">
        <w:t>s</w:t>
      </w:r>
      <w:r w:rsidR="00A05FAD">
        <w:t xml:space="preserve"> for additional flexibility for authorized NPDES programs. T</w:t>
      </w:r>
      <w:r w:rsidRPr="00A05FAD" w:rsidR="00A05FAD">
        <w:t xml:space="preserve">he overall impact of these changes </w:t>
      </w:r>
      <w:r w:rsidR="00736EF1">
        <w:t xml:space="preserve">will </w:t>
      </w:r>
      <w:r w:rsidRPr="00A05FAD" w:rsidR="00A05FAD">
        <w:t xml:space="preserve">allow states to more efficiently implement the NPDES </w:t>
      </w:r>
      <w:proofErr w:type="spellStart"/>
      <w:r w:rsidRPr="00A05FAD" w:rsidR="00A05FAD">
        <w:t>eRule</w:t>
      </w:r>
      <w:proofErr w:type="spellEnd"/>
      <w:r w:rsidRPr="00A05FAD" w:rsidR="00A05FAD">
        <w:t xml:space="preserve">. EPA </w:t>
      </w:r>
      <w:r w:rsidR="00736EF1">
        <w:t xml:space="preserve">is </w:t>
      </w:r>
      <w:r w:rsidRPr="00A05FAD" w:rsidR="00A05FAD">
        <w:t xml:space="preserve">postponing the </w:t>
      </w:r>
      <w:r w:rsidR="00F911DD">
        <w:t xml:space="preserve">compliance </w:t>
      </w:r>
      <w:r w:rsidRPr="00A05FAD" w:rsidR="00A05FAD">
        <w:t xml:space="preserve">date for Phase 2 implementation and providing states with additional flexibility to request even more time as needed. </w:t>
      </w:r>
      <w:r w:rsidR="0017288F">
        <w:t xml:space="preserve">Under the </w:t>
      </w:r>
      <w:r w:rsidR="00EF2017">
        <w:t>final rule</w:t>
      </w:r>
      <w:r w:rsidR="0017288F">
        <w:t xml:space="preserve">, authorized NPDES programs can submit an </w:t>
      </w:r>
      <w:r w:rsidRPr="00B80114" w:rsidR="00B80114">
        <w:t>alternative Phase 2 compliance deadlines request</w:t>
      </w:r>
      <w:r w:rsidR="00B80114">
        <w:t xml:space="preserve"> </w:t>
      </w:r>
      <w:r w:rsidR="0017288F">
        <w:t xml:space="preserve">to EPA for review and approval or rejection. </w:t>
      </w:r>
      <w:r w:rsidRPr="0017288F" w:rsidR="0017288F">
        <w:t xml:space="preserve">This ICR covers the burden associated with the process for </w:t>
      </w:r>
      <w:r w:rsidR="0017288F">
        <w:t>authorized NPDES programs</w:t>
      </w:r>
      <w:r w:rsidRPr="0017288F" w:rsidR="0017288F">
        <w:t xml:space="preserve"> to request additional time from EPA as needed for Phase 2 implementation.</w:t>
      </w:r>
    </w:p>
    <w:p w:rsidR="00E22D87" w:rsidP="002F1AF2" w:rsidRDefault="00F841C4" w14:paraId="04F1CE70" w14:textId="0C89A956">
      <w:pPr>
        <w:pStyle w:val="BodyText"/>
      </w:pPr>
      <w:r>
        <w:t>Finally, t</w:t>
      </w:r>
      <w:r w:rsidR="00463E77">
        <w:t xml:space="preserve">his ICR covers the burden associated with </w:t>
      </w:r>
      <w:r w:rsidR="0017288F">
        <w:t xml:space="preserve">authorized NPDES programs sharing </w:t>
      </w:r>
      <w:r w:rsidRPr="0017288F" w:rsidR="0017288F">
        <w:t xml:space="preserve">basic information </w:t>
      </w:r>
      <w:r>
        <w:t xml:space="preserve">with EPA about their Phase 2 implementation of the NPDES </w:t>
      </w:r>
      <w:proofErr w:type="spellStart"/>
      <w:r>
        <w:t>eRule</w:t>
      </w:r>
      <w:proofErr w:type="spellEnd"/>
      <w:r>
        <w:t xml:space="preserve">. </w:t>
      </w:r>
      <w:r w:rsidR="0017288F">
        <w:t xml:space="preserve">Under the NPDES </w:t>
      </w:r>
      <w:proofErr w:type="spellStart"/>
      <w:r w:rsidR="0017288F">
        <w:t>eR</w:t>
      </w:r>
      <w:r>
        <w:t>u</w:t>
      </w:r>
      <w:r w:rsidR="0017288F">
        <w:t>le</w:t>
      </w:r>
      <w:proofErr w:type="spellEnd"/>
      <w:r w:rsidR="0017288F">
        <w:t xml:space="preserve"> </w:t>
      </w:r>
      <w:r>
        <w:t>a</w:t>
      </w:r>
      <w:r w:rsidR="00463E77">
        <w:t xml:space="preserve">uthorized NPDES programs </w:t>
      </w:r>
      <w:r>
        <w:t xml:space="preserve">must </w:t>
      </w:r>
      <w:r w:rsidR="00463E77">
        <w:t xml:space="preserve">share basic information with EPA regarding their general permits and program reports so that EPA can assess </w:t>
      </w:r>
      <w:r w:rsidRPr="00463E77" w:rsidR="00463E77">
        <w:t xml:space="preserve">the </w:t>
      </w:r>
      <w:r w:rsidR="0017288F">
        <w:t xml:space="preserve">corresponding </w:t>
      </w:r>
      <w:r w:rsidRPr="00463E77" w:rsidR="00463E77">
        <w:t xml:space="preserve">electronic reporting participation rates </w:t>
      </w:r>
      <w:r w:rsidR="00463E77">
        <w:t>[</w:t>
      </w:r>
      <w:r w:rsidR="0017288F">
        <w:t xml:space="preserve">see </w:t>
      </w:r>
      <w:r w:rsidR="00463E77">
        <w:t>40 CFR 127.26(j)]</w:t>
      </w:r>
      <w:r w:rsidR="0017288F">
        <w:t xml:space="preserve">. </w:t>
      </w:r>
      <w:r>
        <w:t xml:space="preserve">This ICR covers the burden associated with creating a </w:t>
      </w:r>
      <w:r w:rsidRPr="00FB73BA" w:rsidR="00FB73BA">
        <w:t xml:space="preserve">complete inventory of </w:t>
      </w:r>
      <w:r>
        <w:t xml:space="preserve">NPDES </w:t>
      </w:r>
      <w:r w:rsidRPr="00FB73BA" w:rsidR="00FB73BA">
        <w:t>general permits and program reports</w:t>
      </w:r>
      <w:r w:rsidR="0012271C">
        <w:t xml:space="preserve"> and the related electronic reporting tools</w:t>
      </w:r>
      <w:r w:rsidRPr="00FB73BA" w:rsidR="00FB73BA">
        <w:t xml:space="preserve">. This inventory will help </w:t>
      </w:r>
      <w:r>
        <w:t xml:space="preserve">ensure that EPA </w:t>
      </w:r>
      <w:r w:rsidR="0012271C">
        <w:t xml:space="preserve">has </w:t>
      </w:r>
      <w:r w:rsidRPr="0012271C" w:rsidR="0012271C">
        <w:t>nationally consistent, complete, accurate, and timely</w:t>
      </w:r>
      <w:r w:rsidR="0012271C">
        <w:t xml:space="preserve"> information on </w:t>
      </w:r>
      <w:r w:rsidRPr="0012271C" w:rsidR="0012271C">
        <w:t>general permits and program reports and the related electronic reporting tools</w:t>
      </w:r>
      <w:r w:rsidR="0012271C">
        <w:t xml:space="preserve"> so that it can a</w:t>
      </w:r>
      <w:r>
        <w:t xml:space="preserve">ccurately track Phase 2 implementation of the NPDES </w:t>
      </w:r>
      <w:proofErr w:type="spellStart"/>
      <w:r>
        <w:t>eRule</w:t>
      </w:r>
      <w:proofErr w:type="spellEnd"/>
      <w:r w:rsidR="0012271C">
        <w:t>. This information sharing will help EPA</w:t>
      </w:r>
      <w:r w:rsidR="00E22D87">
        <w:t xml:space="preserve">, </w:t>
      </w:r>
      <w:r w:rsidR="0012271C">
        <w:t>authorized NPDES programs</w:t>
      </w:r>
      <w:r w:rsidR="00E22D87">
        <w:t>, and NPDES-regulated entities</w:t>
      </w:r>
      <w:r w:rsidR="0012271C">
        <w:t xml:space="preserve"> </w:t>
      </w:r>
      <w:r w:rsidR="00E22D87">
        <w:t xml:space="preserve">identify progress in implementing the NPDES </w:t>
      </w:r>
      <w:proofErr w:type="spellStart"/>
      <w:r w:rsidR="00E22D87">
        <w:t>eRule</w:t>
      </w:r>
      <w:proofErr w:type="spellEnd"/>
      <w:r w:rsidR="00E22D87">
        <w:t>.</w:t>
      </w:r>
      <w:r w:rsidRPr="00E22D87" w:rsidR="00E22D87">
        <w:t xml:space="preserve"> </w:t>
      </w:r>
      <w:r w:rsidR="00E22D87">
        <w:t>W</w:t>
      </w:r>
      <w:r w:rsidRPr="00E22D87" w:rsidR="00E22D87">
        <w:t xml:space="preserve">ith the implementation of this information collection activity, </w:t>
      </w:r>
      <w:r w:rsidR="00E22D87">
        <w:t>NPDES-</w:t>
      </w:r>
      <w:r w:rsidRPr="00E22D87" w:rsidR="00E22D87">
        <w:t xml:space="preserve">regulated entities </w:t>
      </w:r>
      <w:r w:rsidR="00736EF1">
        <w:t>will</w:t>
      </w:r>
      <w:r w:rsidRPr="00E22D87" w:rsidR="00E22D87">
        <w:t xml:space="preserve"> be able to ensure that they are fully aware of the </w:t>
      </w:r>
      <w:r w:rsidR="00F911DD">
        <w:t xml:space="preserve">compliance </w:t>
      </w:r>
      <w:r w:rsidRPr="00E22D87" w:rsidR="00E22D87">
        <w:t>dates and electronic reporting tools for their reporting obligations.</w:t>
      </w:r>
    </w:p>
    <w:p w:rsidR="00E22D87" w:rsidRDefault="00E22D87" w14:paraId="18FCCE2C" w14:textId="77777777">
      <w:pPr>
        <w:spacing w:after="200" w:line="276" w:lineRule="auto"/>
        <w:rPr>
          <w:sz w:val="22"/>
        </w:rPr>
      </w:pPr>
      <w:r>
        <w:br w:type="page"/>
      </w:r>
    </w:p>
    <w:p w:rsidRPr="00E8253E" w:rsidR="00E8253E" w:rsidP="00E8253E" w:rsidRDefault="00E8253E" w14:paraId="6EA900D9" w14:textId="77777777">
      <w:pPr>
        <w:pStyle w:val="Heading3"/>
      </w:pPr>
      <w:r>
        <w:lastRenderedPageBreak/>
        <w:t>Authority for the Collection</w:t>
      </w:r>
    </w:p>
    <w:p w:rsidR="00822C4E" w:rsidP="00041AFD" w:rsidRDefault="00041AFD" w14:paraId="649282B6" w14:textId="155B0D28">
      <w:pPr>
        <w:pStyle w:val="BodyText"/>
      </w:pPr>
      <w:r>
        <w:t xml:space="preserve">The </w:t>
      </w:r>
      <w:r w:rsidR="00B26C38">
        <w:t>Clean Water Act (</w:t>
      </w:r>
      <w:r>
        <w:t>CWA</w:t>
      </w:r>
      <w:r w:rsidR="00B26C38">
        <w:t>)</w:t>
      </w:r>
      <w:r w:rsidR="00B26C38">
        <w:rPr>
          <w:rStyle w:val="FootnoteReference"/>
        </w:rPr>
        <w:footnoteReference w:id="2"/>
      </w:r>
      <w:r>
        <w:t xml:space="preserve"> establishes a comprehensive program for protecting and restoring our nation’s waters. </w:t>
      </w:r>
      <w:r w:rsidR="003767EC">
        <w:t>T</w:t>
      </w:r>
      <w:r>
        <w:t xml:space="preserve">he </w:t>
      </w:r>
      <w:r w:rsidR="003767EC">
        <w:t>N</w:t>
      </w:r>
      <w:r>
        <w:t xml:space="preserve">ational </w:t>
      </w:r>
      <w:r w:rsidR="003767EC">
        <w:t>P</w:t>
      </w:r>
      <w:r>
        <w:t xml:space="preserve">ollutant </w:t>
      </w:r>
      <w:r w:rsidR="003767EC">
        <w:t>D</w:t>
      </w:r>
      <w:r>
        <w:t xml:space="preserve">ischarge </w:t>
      </w:r>
      <w:r w:rsidR="003767EC">
        <w:t>E</w:t>
      </w:r>
      <w:r>
        <w:t xml:space="preserve">limination </w:t>
      </w:r>
      <w:r w:rsidR="003767EC">
        <w:t>S</w:t>
      </w:r>
      <w:r>
        <w:t xml:space="preserve">ystem (NPDES) permit program </w:t>
      </w:r>
      <w:r w:rsidR="003767EC">
        <w:t xml:space="preserve">was </w:t>
      </w:r>
      <w:r w:rsidR="00107774">
        <w:t>established by</w:t>
      </w:r>
      <w:r w:rsidR="003767EC">
        <w:t xml:space="preserve"> the CWA </w:t>
      </w:r>
      <w:r>
        <w:t xml:space="preserve">to authorize and control the discharges of pollutants to waters of the United States (CWA Section 402(a)). This information collection activity </w:t>
      </w:r>
      <w:r w:rsidR="003767EC">
        <w:t>flows from</w:t>
      </w:r>
      <w:r>
        <w:t xml:space="preserve"> the</w:t>
      </w:r>
      <w:r w:rsidR="00557E8F">
        <w:t xml:space="preserve"> </w:t>
      </w:r>
      <w:r>
        <w:t>NPDES Electronic Reporting Rule</w:t>
      </w:r>
      <w:r w:rsidR="00A05FAD">
        <w:t xml:space="preserve"> (see </w:t>
      </w:r>
      <w:r w:rsidRPr="00A05FAD" w:rsidR="00D5237D">
        <w:t>October</w:t>
      </w:r>
      <w:r w:rsidR="00A05FAD">
        <w:t xml:space="preserve"> 22</w:t>
      </w:r>
      <w:r w:rsidR="00CF12F5">
        <w:t>,</w:t>
      </w:r>
      <w:r w:rsidRPr="00A05FAD" w:rsidR="00A05FAD">
        <w:t xml:space="preserve"> 2015</w:t>
      </w:r>
      <w:r w:rsidR="00A05FAD">
        <w:t xml:space="preserve">; 80 FR 64064), </w:t>
      </w:r>
      <w:r>
        <w:t xml:space="preserve">which is intended to reduce </w:t>
      </w:r>
      <w:r w:rsidR="00865AE2">
        <w:t xml:space="preserve">the </w:t>
      </w:r>
      <w:r>
        <w:t>burden associated with the</w:t>
      </w:r>
      <w:r w:rsidR="001A37A2">
        <w:t xml:space="preserve"> existing</w:t>
      </w:r>
      <w:r>
        <w:t xml:space="preserve"> paper-based </w:t>
      </w:r>
      <w:r w:rsidR="001A37A2">
        <w:t xml:space="preserve">reporting </w:t>
      </w:r>
      <w:r>
        <w:t>system</w:t>
      </w:r>
      <w:r w:rsidR="003767EC">
        <w:t xml:space="preserve">. </w:t>
      </w:r>
      <w:r w:rsidR="006D4A74">
        <w:t xml:space="preserve">The </w:t>
      </w:r>
      <w:r w:rsidRPr="006D4A74" w:rsidR="006D4A74">
        <w:t xml:space="preserve">inventory of NPDES general permits and program reports and the related electronic reporting tools </w:t>
      </w:r>
      <w:r w:rsidR="006D4A74">
        <w:t xml:space="preserve">also builds on existing data sharing requirements in EPA’s NPDES regulations </w:t>
      </w:r>
      <w:r w:rsidRPr="006D4A74" w:rsidR="006D4A74">
        <w:t>[see 40 CFR 123.43(d)]</w:t>
      </w:r>
      <w:r w:rsidR="006D4A74">
        <w:t xml:space="preserve">. </w:t>
      </w:r>
      <w:r w:rsidR="003767EC">
        <w:t xml:space="preserve">Echoing the goals of CWA section 101(f), </w:t>
      </w:r>
      <w:r w:rsidR="00750A3A">
        <w:t>the rule</w:t>
      </w:r>
      <w:r w:rsidR="003767EC">
        <w:t xml:space="preserve"> </w:t>
      </w:r>
      <w:r w:rsidR="00736EF1">
        <w:t>will</w:t>
      </w:r>
      <w:r>
        <w:t xml:space="preserve"> increase the speed, quality and scope of information received by EPA, </w:t>
      </w:r>
      <w:r w:rsidR="006A0B22">
        <w:t>authorized NPDES programs</w:t>
      </w:r>
      <w:r>
        <w:t>, and the public</w:t>
      </w:r>
      <w:r w:rsidR="003767EC">
        <w:t>.</w:t>
      </w:r>
      <w:r>
        <w:t xml:space="preserve"> </w:t>
      </w:r>
    </w:p>
    <w:p w:rsidR="00B26C38" w:rsidP="00041AFD" w:rsidRDefault="00041AFD" w14:paraId="63AD5FF3" w14:textId="1B09059D">
      <w:pPr>
        <w:pStyle w:val="BodyText"/>
      </w:pPr>
      <w:bookmarkStart w:name="_Hlk24725664" w:id="1"/>
      <w:r>
        <w:t>EPA is taking this action pursuant to CWA sections 101</w:t>
      </w:r>
      <w:r w:rsidR="00EC5205">
        <w:t>(f)</w:t>
      </w:r>
      <w:r>
        <w:t>, 304(i), 308, 402, and 501</w:t>
      </w:r>
      <w:bookmarkEnd w:id="1"/>
      <w:r w:rsidR="00B26C38">
        <w:t>:</w:t>
      </w:r>
      <w:r w:rsidRPr="0033557F" w:rsidR="0033557F">
        <w:t xml:space="preserve"> </w:t>
      </w:r>
    </w:p>
    <w:p w:rsidR="00B26C38" w:rsidP="009C05EE" w:rsidRDefault="00B26C38" w14:paraId="0D46D355" w14:textId="6ADF09A7">
      <w:pPr>
        <w:pStyle w:val="BodyText"/>
        <w:numPr>
          <w:ilvl w:val="0"/>
          <w:numId w:val="9"/>
        </w:numPr>
        <w:spacing w:after="0"/>
      </w:pPr>
      <w:r>
        <w:t>Section 101</w:t>
      </w:r>
      <w:r w:rsidR="00EC5205">
        <w:t>(f)</w:t>
      </w:r>
      <w:r>
        <w:t xml:space="preserve"> encourages</w:t>
      </w:r>
      <w:r w:rsidR="00015CD3">
        <w:t>, to the extent possible,</w:t>
      </w:r>
      <w:r>
        <w:t xml:space="preserve"> the minimization of paperwork and interagency decision procedures</w:t>
      </w:r>
      <w:r w:rsidR="00015CD3">
        <w:t xml:space="preserve"> and the best use of available manpower and funds, so as to prevent needless duplication and unnecessary delays at all levels of government.</w:t>
      </w:r>
    </w:p>
    <w:p w:rsidR="00B26C38" w:rsidP="009C05EE" w:rsidRDefault="00B26C38" w14:paraId="7126267D" w14:textId="77777777">
      <w:pPr>
        <w:pStyle w:val="BodyText"/>
        <w:numPr>
          <w:ilvl w:val="0"/>
          <w:numId w:val="9"/>
        </w:numPr>
        <w:spacing w:after="0"/>
      </w:pPr>
      <w:r>
        <w:t>Section 304(i) authorizes EPA to establish minimum procedural and other elements of State programs under section 402, including reporting requirements and procedures to make information available to the public.</w:t>
      </w:r>
    </w:p>
    <w:p w:rsidR="00B26C38" w:rsidP="009C05EE" w:rsidRDefault="00B26C38" w14:paraId="5F9F759B" w14:textId="77777777">
      <w:pPr>
        <w:pStyle w:val="BodyText"/>
        <w:numPr>
          <w:ilvl w:val="0"/>
          <w:numId w:val="9"/>
        </w:numPr>
        <w:spacing w:after="0"/>
      </w:pPr>
      <w:r>
        <w:t xml:space="preserve">Section 308 authorizes EPA to require </w:t>
      </w:r>
      <w:r w:rsidR="001A37A2">
        <w:t xml:space="preserve">the submittal of </w:t>
      </w:r>
      <w:r>
        <w:t xml:space="preserve">information </w:t>
      </w:r>
      <w:r w:rsidR="001A37A2">
        <w:t xml:space="preserve">needed </w:t>
      </w:r>
      <w:r>
        <w:t>to carry out the object</w:t>
      </w:r>
      <w:r w:rsidR="001A37A2">
        <w:t>ive</w:t>
      </w:r>
      <w:r>
        <w:t xml:space="preserve">s of the Act, including sections 301, 305, 306, 307, 311, 402, 404, 405, and 504. </w:t>
      </w:r>
    </w:p>
    <w:p w:rsidR="00B26C38" w:rsidP="009C05EE" w:rsidRDefault="00B26C38" w14:paraId="036FA03E" w14:textId="77777777">
      <w:pPr>
        <w:pStyle w:val="BodyText"/>
        <w:numPr>
          <w:ilvl w:val="0"/>
          <w:numId w:val="9"/>
        </w:numPr>
        <w:spacing w:after="0"/>
      </w:pPr>
      <w:r>
        <w:t xml:space="preserve">Sections 402(b) and (c) establish the NPDES permit program for the control of the discharge of pollutants into the nation’s waters, and require each authorized state, tribe, or territory to ensure that permits meet certain substantive requirements, and </w:t>
      </w:r>
      <w:r w:rsidR="001A37A2">
        <w:t xml:space="preserve">to </w:t>
      </w:r>
      <w:r>
        <w:t>provide EPA information from point sources, industrial users, and the authorized program in order to ensure proper oversight</w:t>
      </w:r>
      <w:r w:rsidR="001A37A2">
        <w:t xml:space="preserve"> by EPA</w:t>
      </w:r>
      <w:r>
        <w:t>.</w:t>
      </w:r>
    </w:p>
    <w:p w:rsidR="00B26C38" w:rsidP="009C05EE" w:rsidRDefault="00B26C38" w14:paraId="6C631155" w14:textId="77777777">
      <w:pPr>
        <w:pStyle w:val="BodyText"/>
        <w:numPr>
          <w:ilvl w:val="0"/>
          <w:numId w:val="9"/>
        </w:numPr>
        <w:spacing w:after="0"/>
      </w:pPr>
      <w:r>
        <w:t>Section 501 authorizes EPA to prescribe such regulations as are necessary to carry out provisions of the act.</w:t>
      </w:r>
    </w:p>
    <w:p w:rsidR="003146C9" w:rsidP="00172570" w:rsidRDefault="003146C9" w14:paraId="2F9CED87" w14:textId="77777777">
      <w:pPr>
        <w:pStyle w:val="BodyText"/>
        <w:spacing w:after="0"/>
        <w:ind w:left="720"/>
      </w:pPr>
    </w:p>
    <w:p w:rsidR="00F5104E" w:rsidP="00750A3A" w:rsidRDefault="00FC2E73" w14:paraId="3251336E" w14:textId="77777777">
      <w:pPr>
        <w:pStyle w:val="Heading2"/>
      </w:pPr>
      <w:r>
        <w:t>Practical Utility/</w:t>
      </w:r>
      <w:r w:rsidR="00F5104E">
        <w:t>Users of the Data</w:t>
      </w:r>
    </w:p>
    <w:p w:rsidR="00600876" w:rsidP="00600876" w:rsidRDefault="00600876" w14:paraId="27EC9462" w14:textId="5909209F">
      <w:pPr>
        <w:pStyle w:val="BodyText"/>
      </w:pPr>
      <w:r>
        <w:t xml:space="preserve">EPA has primary responsibility for ensuring the CWA’s NPDES program is effectively and consistently implemented nationwide, thus ensuring that public health and environmental protection goals of the CWA are met. EPA is taking this action pursuant to CWA sections 101(f), 304(i), 308, 402, and 501. The accurate, complete, and timely information collected under this ICR will help EPA and states more efficiently implement the 2015 NPDES </w:t>
      </w:r>
      <w:proofErr w:type="spellStart"/>
      <w:r>
        <w:t>eRule</w:t>
      </w:r>
      <w:proofErr w:type="spellEnd"/>
      <w:r>
        <w:t xml:space="preserve">. The improved information sharing </w:t>
      </w:r>
      <w:r w:rsidR="00736EF1">
        <w:t>will</w:t>
      </w:r>
      <w:r>
        <w:t xml:space="preserve"> increase transparency and accountability and help EPA and authorized NPDES programs collaborate and measure progress in implementing the 2015 NPDES </w:t>
      </w:r>
      <w:proofErr w:type="spellStart"/>
      <w:r>
        <w:t>eRule</w:t>
      </w:r>
      <w:proofErr w:type="spellEnd"/>
      <w:r>
        <w:t xml:space="preserve">. This information collection </w:t>
      </w:r>
      <w:r w:rsidR="00736EF1">
        <w:t>will</w:t>
      </w:r>
      <w:r>
        <w:t xml:space="preserve"> provide EPA with more timely, consistent, and accurate inventory of all general permits and program reports, the number of facilities that must electronically submit reports, and the online location of state electronic reporting tools</w:t>
      </w:r>
      <w:r w:rsidRPr="006D4A74" w:rsidR="006D4A74">
        <w:t>.</w:t>
      </w:r>
    </w:p>
    <w:p w:rsidR="003F194C" w:rsidP="003F194C" w:rsidRDefault="00600876" w14:paraId="4E857DB6" w14:textId="2C9E9AB9">
      <w:pPr>
        <w:pStyle w:val="BodyText"/>
      </w:pPr>
      <w:r>
        <w:t xml:space="preserve">Receiving current high-level data on general permits and program reports is critical to EPA’s ability to oversee and manage authorized NPDES programs. Authorizing the burden under this ICR will allow EPA to provide timely assistance to authorized NPDES programs as they implement the NPDES </w:t>
      </w:r>
      <w:proofErr w:type="spellStart"/>
      <w:r>
        <w:t>eRule</w:t>
      </w:r>
      <w:proofErr w:type="spellEnd"/>
      <w:r>
        <w:t xml:space="preserve">. The general permits and program reports inventory will help promote efficiencies in NPDES </w:t>
      </w:r>
      <w:proofErr w:type="spellStart"/>
      <w:r>
        <w:t>eRule</w:t>
      </w:r>
      <w:proofErr w:type="spellEnd"/>
      <w:r>
        <w:t xml:space="preserve"> implementation as states will be able to use this information to identify other states that have already developed electronic reporting tools</w:t>
      </w:r>
      <w:bookmarkStart w:name="_Hlk24725241" w:id="2"/>
      <w:r w:rsidR="006D4A74">
        <w:t xml:space="preserve"> to gain insights on implementation options</w:t>
      </w:r>
      <w:r w:rsidR="004F57D2">
        <w:t>.</w:t>
      </w:r>
      <w:bookmarkEnd w:id="2"/>
    </w:p>
    <w:p w:rsidR="00F5104E" w:rsidP="00A76773" w:rsidRDefault="00F5104E" w14:paraId="72348D26" w14:textId="77777777">
      <w:pPr>
        <w:pStyle w:val="Heading1"/>
      </w:pPr>
      <w:r>
        <w:lastRenderedPageBreak/>
        <w:t>NON-DUPLICATION, CONSULTATION</w:t>
      </w:r>
      <w:r w:rsidR="00C42787">
        <w:t>S</w:t>
      </w:r>
      <w:r>
        <w:t xml:space="preserve"> AND OTHER COLLECTION</w:t>
      </w:r>
      <w:r w:rsidR="00A76773">
        <w:t xml:space="preserve"> </w:t>
      </w:r>
      <w:r>
        <w:t>CRITERIA</w:t>
      </w:r>
    </w:p>
    <w:p w:rsidR="00F5104E" w:rsidP="00A76773" w:rsidRDefault="00F5104E" w14:paraId="6517E96E" w14:textId="77777777">
      <w:pPr>
        <w:pStyle w:val="Heading2"/>
      </w:pPr>
      <w:bookmarkStart w:name="_Ref423508707" w:id="3"/>
      <w:r>
        <w:t>Non-Duplication</w:t>
      </w:r>
      <w:bookmarkEnd w:id="3"/>
    </w:p>
    <w:p w:rsidR="005D0E5F" w:rsidP="00EC2889" w:rsidRDefault="00F27C3B" w14:paraId="2848EBEF" w14:textId="7A162C32">
      <w:pPr>
        <w:pStyle w:val="BodyText"/>
      </w:pPr>
      <w:r>
        <w:t xml:space="preserve">This ICR </w:t>
      </w:r>
      <w:r w:rsidR="00EC2889">
        <w:t xml:space="preserve">covers a new provision in the NPDES </w:t>
      </w:r>
      <w:proofErr w:type="spellStart"/>
      <w:r w:rsidR="00EC2889">
        <w:t>eRule</w:t>
      </w:r>
      <w:proofErr w:type="spellEnd"/>
      <w:r w:rsidR="00EC2889">
        <w:t xml:space="preserve"> that allows authorized NPDES programs to request an </w:t>
      </w:r>
      <w:r w:rsidRPr="00B80114" w:rsidR="00B80114">
        <w:t>alternative Phase 2 compliance deadline</w:t>
      </w:r>
      <w:r w:rsidR="00B80114">
        <w:t xml:space="preserve"> </w:t>
      </w:r>
      <w:r w:rsidR="00EC2889">
        <w:t xml:space="preserve">for specific facilities, general permits, program reports, or data elements. This ICR covers the burden associated with the </w:t>
      </w:r>
      <w:r w:rsidRPr="00B80114" w:rsidR="00B80114">
        <w:t xml:space="preserve">alternative Phase 2 compliance deadlines requests </w:t>
      </w:r>
      <w:r w:rsidR="00EC2889">
        <w:t>and is not duplicated in any other ICR or NPDES regulation. This ICR also covers the information sharing between authorized NPDES programs and EPA to compile and maintain key information related to the general permits and program reports that must switch to electronic reporting. Th</w:t>
      </w:r>
      <w:r w:rsidR="0019128D">
        <w:t>is data collection is non-duplicative as the</w:t>
      </w:r>
      <w:r w:rsidR="00EC2889">
        <w:t xml:space="preserve">se data are not collected elsewhere. </w:t>
      </w:r>
    </w:p>
    <w:p w:rsidR="00F5104E" w:rsidP="00006901" w:rsidRDefault="00F5104E" w14:paraId="4E774E95" w14:textId="77777777">
      <w:pPr>
        <w:pStyle w:val="Heading2"/>
      </w:pPr>
      <w:bookmarkStart w:name="_Ref293299978" w:id="4"/>
      <w:r>
        <w:t>Public Notice Required Prior to ICR Submission to OMB</w:t>
      </w:r>
      <w:bookmarkEnd w:id="4"/>
    </w:p>
    <w:p w:rsidRPr="009F267C" w:rsidR="009F267C" w:rsidP="00AE24E6" w:rsidRDefault="00EF2017" w14:paraId="0D386896" w14:textId="71DCAC6D">
      <w:pPr>
        <w:pStyle w:val="BodyText"/>
      </w:pPr>
      <w:r w:rsidRPr="00EF2017">
        <w:t xml:space="preserve">This ICR was made available to the public for comment concurrent with the proposed rule published in the </w:t>
      </w:r>
      <w:r w:rsidRPr="00EF2017">
        <w:rPr>
          <w:i/>
          <w:iCs/>
        </w:rPr>
        <w:t>Federal Register</w:t>
      </w:r>
      <w:r>
        <w:t xml:space="preserve"> (s</w:t>
      </w:r>
      <w:r w:rsidRPr="00EF2017">
        <w:t xml:space="preserve">ee February 28, 2020; 85 FR 11909). EPA received comments </w:t>
      </w:r>
      <w:r>
        <w:t xml:space="preserve">on the proposed rule </w:t>
      </w:r>
      <w:r w:rsidRPr="00EF2017">
        <w:t xml:space="preserve">from seven states, one state association, and one anonymous commenter. The final rule addresses these comments and postpones the Phase 2 implementation period for the NPDES </w:t>
      </w:r>
      <w:proofErr w:type="spellStart"/>
      <w:r w:rsidRPr="00EF2017">
        <w:t>eRule</w:t>
      </w:r>
      <w:proofErr w:type="spellEnd"/>
      <w:r w:rsidRPr="00EF2017">
        <w:t xml:space="preserve">. This final regulation also provides states with additional flexibility to request additional time as needed. Further, this notice finalizes clarifying changes to the NPDES </w:t>
      </w:r>
      <w:proofErr w:type="spellStart"/>
      <w:r w:rsidRPr="00EF2017">
        <w:t>eRule</w:t>
      </w:r>
      <w:proofErr w:type="spellEnd"/>
      <w:r w:rsidRPr="00EF2017">
        <w:t xml:space="preserve"> and eliminates some duplicative or outdated reporting requirements.</w:t>
      </w:r>
      <w:r w:rsidR="00736EF1">
        <w:t xml:space="preserve"> EPA did not receive any comments on this ICR</w:t>
      </w:r>
      <w:r w:rsidRPr="00AE24E6" w:rsidR="009F267C">
        <w:t>.</w:t>
      </w:r>
      <w:r w:rsidRPr="009F267C" w:rsidR="009F267C">
        <w:rPr>
          <w:rFonts w:ascii="Segoe UI" w:hAnsi="Segoe UI" w:cs="Segoe UI"/>
          <w:color w:val="000000"/>
          <w:sz w:val="20"/>
          <w:szCs w:val="20"/>
        </w:rPr>
        <w:t> </w:t>
      </w:r>
    </w:p>
    <w:p w:rsidR="00F5104E" w:rsidP="00006901" w:rsidRDefault="00F5104E" w14:paraId="1170D833" w14:textId="77777777">
      <w:pPr>
        <w:pStyle w:val="Heading2"/>
      </w:pPr>
      <w:r>
        <w:t>Consultations</w:t>
      </w:r>
    </w:p>
    <w:p w:rsidR="00140C38" w:rsidP="003C1C71" w:rsidRDefault="00AD52E8" w14:paraId="0E051464" w14:textId="73BC1B60">
      <w:pPr>
        <w:pStyle w:val="BodyText"/>
      </w:pPr>
      <w:r>
        <w:t>EPA</w:t>
      </w:r>
      <w:r w:rsidR="00824CD8">
        <w:t xml:space="preserve"> has </w:t>
      </w:r>
      <w:r w:rsidR="0019128D">
        <w:t xml:space="preserve">held many </w:t>
      </w:r>
      <w:r w:rsidR="00497B82">
        <w:t xml:space="preserve">consultations with </w:t>
      </w:r>
      <w:r w:rsidR="0019128D">
        <w:t>authorized NPDES program during the implementation of th</w:t>
      </w:r>
      <w:r w:rsidR="006D4A74">
        <w:t>e 2015</w:t>
      </w:r>
      <w:r w:rsidR="0019128D">
        <w:t xml:space="preserve"> final rule. The authorized NPDES programs recommended that EPA extend the Phase 2 </w:t>
      </w:r>
      <w:r w:rsidR="00F911DD">
        <w:t>compliance</w:t>
      </w:r>
      <w:r w:rsidR="0019128D">
        <w:t xml:space="preserve"> date and include more implementation flexibility. </w:t>
      </w:r>
      <w:r w:rsidR="0082598C">
        <w:t xml:space="preserve">EPA has organized these consultations around the NPDES sectors </w:t>
      </w:r>
      <w:r w:rsidR="006A05CE">
        <w:t>[</w:t>
      </w:r>
      <w:r w:rsidR="0082598C">
        <w:t xml:space="preserve">e.g., biosolids, stormwater, pretreatment) and other major topics (e.g., data exchange, development of general permits and program reports in </w:t>
      </w:r>
      <w:r w:rsidR="006A05CE">
        <w:t>EPA’s NPDES Electronic Report Tool (or “</w:t>
      </w:r>
      <w:r w:rsidR="0082598C">
        <w:t>NeT</w:t>
      </w:r>
      <w:r w:rsidR="006A05CE">
        <w:t>”)</w:t>
      </w:r>
      <w:r w:rsidR="0082598C">
        <w:t>, NPDES Noncompliance Report development</w:t>
      </w:r>
      <w:r w:rsidR="006A05CE">
        <w:t>]</w:t>
      </w:r>
      <w:r w:rsidR="0082598C">
        <w:t xml:space="preserve">. These consultations were usually held on a bi-weekly schedule and involved most of the authorized NPDES programs. Additionally, EPA held two meetings with </w:t>
      </w:r>
      <w:r w:rsidRPr="0082598C" w:rsidR="0082598C">
        <w:t>Association of Clean Water Administrators (ACWA)</w:t>
      </w:r>
      <w:r w:rsidR="0082598C">
        <w:t xml:space="preserve"> and several </w:t>
      </w:r>
      <w:r w:rsidRPr="0082598C" w:rsidR="0082598C">
        <w:t>authorized NPDES programs</w:t>
      </w:r>
      <w:r w:rsidR="0082598C">
        <w:t xml:space="preserve"> to review the major aspects of the </w:t>
      </w:r>
      <w:r w:rsidR="00EF2017">
        <w:t>final rule</w:t>
      </w:r>
      <w:r w:rsidR="0082598C">
        <w:t xml:space="preserve"> associated with this ICR.</w:t>
      </w:r>
    </w:p>
    <w:p w:rsidR="00F5104E" w:rsidP="00006901" w:rsidRDefault="00F5104E" w14:paraId="6CD71A8C" w14:textId="77777777">
      <w:pPr>
        <w:pStyle w:val="Heading2"/>
      </w:pPr>
      <w:r>
        <w:t>Effects of Less Frequent Collection</w:t>
      </w:r>
    </w:p>
    <w:p w:rsidR="00FF74AB" w:rsidP="00FF74AB" w:rsidRDefault="00FF74AB" w14:paraId="13225AEF" w14:textId="1AA4B2AF">
      <w:pPr>
        <w:pStyle w:val="BodyText"/>
      </w:pPr>
      <w:r>
        <w:t>EPA recognizes the importance of balancing the need for data collection efforts against burden and costs</w:t>
      </w:r>
      <w:r w:rsidR="001A37A2">
        <w:t xml:space="preserve"> to the respondents</w:t>
      </w:r>
      <w:r>
        <w:t xml:space="preserve">. EPA </w:t>
      </w:r>
      <w:r w:rsidR="00AC6441">
        <w:t xml:space="preserve">has already seen </w:t>
      </w:r>
      <w:r w:rsidR="00CD10F5">
        <w:t xml:space="preserve">cost saving benefits in </w:t>
      </w:r>
      <w:r w:rsidR="00AC6441">
        <w:t xml:space="preserve">implementing the 2015 </w:t>
      </w:r>
      <w:r w:rsidR="001E5BFA">
        <w:t xml:space="preserve">NPDES </w:t>
      </w:r>
      <w:proofErr w:type="spellStart"/>
      <w:r w:rsidR="00CD10F5">
        <w:t>eRule</w:t>
      </w:r>
      <w:proofErr w:type="spellEnd"/>
      <w:r w:rsidR="00CD10F5">
        <w:t xml:space="preserve">. This included </w:t>
      </w:r>
      <w:r w:rsidR="001E5BFA">
        <w:t xml:space="preserve">savings for </w:t>
      </w:r>
      <w:r w:rsidR="00B972D7">
        <w:t>regulated entities</w:t>
      </w:r>
      <w:r w:rsidR="001E5BFA">
        <w:t>, states, and EPA through the elimination of requirements associated with mailing and processing paper reports.</w:t>
      </w:r>
      <w:r w:rsidR="00C201CF">
        <w:t xml:space="preserve"> </w:t>
      </w:r>
    </w:p>
    <w:p w:rsidR="00C201CF" w:rsidP="00FF74AB" w:rsidRDefault="00C201CF" w14:paraId="486D763C" w14:textId="5A70D63E">
      <w:pPr>
        <w:pStyle w:val="BodyText"/>
      </w:pPr>
      <w:r>
        <w:t>L</w:t>
      </w:r>
      <w:r w:rsidR="00FF74AB">
        <w:t xml:space="preserve">ess frequent reporting </w:t>
      </w:r>
      <w:r w:rsidR="00736EF1">
        <w:t xml:space="preserve">would </w:t>
      </w:r>
      <w:r w:rsidR="001A37A2">
        <w:t>make it more difficult</w:t>
      </w:r>
      <w:r w:rsidR="00FF74AB">
        <w:t xml:space="preserve"> for EPA to </w:t>
      </w:r>
      <w:r w:rsidR="00AA0062">
        <w:t>perform its oversight role</w:t>
      </w:r>
      <w:r w:rsidR="00A829B4">
        <w:t xml:space="preserve"> on NPDES </w:t>
      </w:r>
      <w:proofErr w:type="spellStart"/>
      <w:r w:rsidR="00A829B4">
        <w:t>eRule</w:t>
      </w:r>
      <w:proofErr w:type="spellEnd"/>
      <w:r w:rsidR="00A829B4">
        <w:t xml:space="preserve"> Phase 2 implementation</w:t>
      </w:r>
      <w:r w:rsidR="00E22D87">
        <w:t xml:space="preserve">, </w:t>
      </w:r>
      <w:r w:rsidR="00A829B4">
        <w:t xml:space="preserve">hamper its ability to </w:t>
      </w:r>
      <w:r w:rsidR="00FF74AB">
        <w:t xml:space="preserve">effectively provide guidance </w:t>
      </w:r>
      <w:r w:rsidR="001A37A2">
        <w:t xml:space="preserve">to </w:t>
      </w:r>
      <w:r w:rsidR="00FF74AB">
        <w:t xml:space="preserve">state programs, </w:t>
      </w:r>
      <w:r w:rsidR="00A829B4">
        <w:t xml:space="preserve">severely limit its ability to provide meaningful </w:t>
      </w:r>
      <w:r w:rsidR="00FF74AB">
        <w:t xml:space="preserve">review </w:t>
      </w:r>
      <w:r w:rsidR="00A829B4">
        <w:t>and</w:t>
      </w:r>
      <w:r w:rsidR="00FF74AB">
        <w:t xml:space="preserve"> comment on </w:t>
      </w:r>
      <w:r>
        <w:t xml:space="preserve">the </w:t>
      </w:r>
      <w:r w:rsidRPr="00B80114" w:rsidR="00B80114">
        <w:t xml:space="preserve">alternative Phase 2 compliance deadlines requests </w:t>
      </w:r>
      <w:r>
        <w:t xml:space="preserve">for general permits and program reports. </w:t>
      </w:r>
      <w:r w:rsidR="00E22D87">
        <w:t xml:space="preserve">Less frequent reporting would impair EPA’s ability to have a </w:t>
      </w:r>
      <w:r w:rsidRPr="00E22D87" w:rsidR="00E22D87">
        <w:t xml:space="preserve">nationally consistent, complete, accurate, and timely </w:t>
      </w:r>
      <w:bookmarkStart w:name="_Hlk24984455" w:id="5"/>
      <w:r w:rsidRPr="00E22D87" w:rsidR="00E22D87">
        <w:t>information on general permits and program reports and the related electronic reporting tools</w:t>
      </w:r>
      <w:bookmarkEnd w:id="5"/>
      <w:r w:rsidR="00E22D87">
        <w:t>.</w:t>
      </w:r>
    </w:p>
    <w:p w:rsidRPr="00AB6141" w:rsidR="008E0AB1" w:rsidP="00C201CF" w:rsidRDefault="00C201CF" w14:paraId="607587A7" w14:textId="0EECFCFD">
      <w:pPr>
        <w:pStyle w:val="BodyText"/>
        <w:rPr>
          <w:szCs w:val="22"/>
        </w:rPr>
      </w:pPr>
      <w:r>
        <w:lastRenderedPageBreak/>
        <w:t>Finally, t</w:t>
      </w:r>
      <w:r w:rsidR="001E5BFA">
        <w:t>his ICR does not alter the reporting frequencies associated with the NPDES program</w:t>
      </w:r>
      <w:r>
        <w:t xml:space="preserve"> </w:t>
      </w:r>
      <w:r w:rsidRPr="00C201CF">
        <w:t>(</w:t>
      </w:r>
      <w:r>
        <w:t xml:space="preserve">see </w:t>
      </w:r>
      <w:r w:rsidRPr="00C201CF">
        <w:t>OMB Control No. 2040-0004)</w:t>
      </w:r>
      <w:r>
        <w:t xml:space="preserve">. </w:t>
      </w:r>
      <w:r w:rsidR="001E5BFA">
        <w:t xml:space="preserve">The effects of less frequent collection of NPDES data are discussed in </w:t>
      </w:r>
      <w:r>
        <w:t>this approved ICR</w:t>
      </w:r>
      <w:r w:rsidR="008E0AB1">
        <w:rPr>
          <w:szCs w:val="22"/>
        </w:rPr>
        <w:t>.</w:t>
      </w:r>
    </w:p>
    <w:p w:rsidR="00F5104E" w:rsidP="00006901" w:rsidRDefault="00F5104E" w14:paraId="1E9E0DA4" w14:textId="77777777">
      <w:pPr>
        <w:pStyle w:val="Heading2"/>
      </w:pPr>
      <w:r>
        <w:t>General Guidelines</w:t>
      </w:r>
    </w:p>
    <w:p w:rsidR="00FF74AB" w:rsidP="00FF74AB" w:rsidRDefault="00FF74AB" w14:paraId="307E0740" w14:textId="633C7D44">
      <w:pPr>
        <w:pStyle w:val="BodyText"/>
      </w:pPr>
      <w:r w:rsidRPr="00FF74AB">
        <w:t xml:space="preserve">This information collection is consistent with </w:t>
      </w:r>
      <w:r w:rsidRPr="000636EE" w:rsidR="000636EE">
        <w:t xml:space="preserve">the requirements of the </w:t>
      </w:r>
      <w:r w:rsidR="003B48BD">
        <w:t xml:space="preserve">Paperwork Reduction Act </w:t>
      </w:r>
      <w:r w:rsidRPr="000636EE" w:rsidR="000636EE">
        <w:t>(5 CFR 1320.</w:t>
      </w:r>
      <w:r w:rsidR="00FF475E">
        <w:t>5</w:t>
      </w:r>
      <w:r w:rsidRPr="000636EE" w:rsidR="000636EE">
        <w:t>)</w:t>
      </w:r>
      <w:r w:rsidR="008527D5">
        <w:t>.</w:t>
      </w:r>
    </w:p>
    <w:p w:rsidR="00F5104E" w:rsidP="00B52A81" w:rsidRDefault="00F5104E" w14:paraId="6DE8DE57" w14:textId="77777777">
      <w:pPr>
        <w:pStyle w:val="Heading2"/>
      </w:pPr>
      <w:r>
        <w:t>Confidentiality</w:t>
      </w:r>
    </w:p>
    <w:p w:rsidRPr="00FF74AB" w:rsidR="00FF74AB" w:rsidP="00FF74AB" w:rsidRDefault="00AC6441" w14:paraId="19A6A35F" w14:textId="5FA83C4D">
      <w:pPr>
        <w:pStyle w:val="BodyText"/>
      </w:pPr>
      <w:r>
        <w:t xml:space="preserve">None of the information collected under this ICR is </w:t>
      </w:r>
      <w:r w:rsidRPr="00686E0B" w:rsidR="00FF74AB">
        <w:t>confidential business information</w:t>
      </w:r>
      <w:r w:rsidR="00BE7FE9">
        <w:t xml:space="preserve"> (CBI)</w:t>
      </w:r>
      <w:r>
        <w:t>, enforcement sensitive, or contain p</w:t>
      </w:r>
      <w:r w:rsidRPr="00AC6441">
        <w:t>ersonally identifiable information</w:t>
      </w:r>
      <w:r>
        <w:t>.</w:t>
      </w:r>
    </w:p>
    <w:p w:rsidR="00F5104E" w:rsidP="00006901" w:rsidRDefault="00F5104E" w14:paraId="28D63F6A" w14:textId="77777777">
      <w:pPr>
        <w:pStyle w:val="Heading2"/>
      </w:pPr>
      <w:r>
        <w:t>Sensitive Questions</w:t>
      </w:r>
    </w:p>
    <w:p w:rsidR="00FF74AB" w:rsidP="00FF74AB" w:rsidRDefault="001A37A2" w14:paraId="3E4B9F6C" w14:textId="4ACE5FEF">
      <w:pPr>
        <w:pStyle w:val="BodyText"/>
      </w:pPr>
      <w:r w:rsidRPr="00686E0B">
        <w:t>The requirements addressed in this ICR do not include sensitive questions</w:t>
      </w:r>
      <w:r w:rsidR="00AC4AEA">
        <w:t>.</w:t>
      </w:r>
    </w:p>
    <w:p w:rsidR="00F5104E" w:rsidP="00B52A81" w:rsidRDefault="00F5104E" w14:paraId="762FCADF" w14:textId="77777777">
      <w:pPr>
        <w:pStyle w:val="Heading1"/>
      </w:pPr>
      <w:bookmarkStart w:name="_Ref293306104" w:id="6"/>
      <w:r>
        <w:t xml:space="preserve">THE RESPONDENTS AND THE INFORMATION </w:t>
      </w:r>
      <w:bookmarkEnd w:id="6"/>
      <w:r w:rsidR="00D82144">
        <w:t>REQUESTED</w:t>
      </w:r>
    </w:p>
    <w:p w:rsidR="00F5104E" w:rsidP="00006901" w:rsidRDefault="00F5104E" w14:paraId="2286C8A5" w14:textId="77777777">
      <w:pPr>
        <w:pStyle w:val="Heading2"/>
      </w:pPr>
      <w:bookmarkStart w:name="_Ref311816427" w:id="7"/>
      <w:r>
        <w:t>Respondent</w:t>
      </w:r>
      <w:r w:rsidR="00D82144">
        <w:t>s/</w:t>
      </w:r>
      <w:r>
        <w:t xml:space="preserve"> </w:t>
      </w:r>
      <w:r w:rsidRPr="00280B80" w:rsidR="001A37A2">
        <w:t xml:space="preserve">North American Industry Classification System </w:t>
      </w:r>
      <w:r w:rsidR="001A37A2">
        <w:t>(</w:t>
      </w:r>
      <w:r>
        <w:t>NAICS</w:t>
      </w:r>
      <w:r w:rsidR="001A37A2">
        <w:t>)</w:t>
      </w:r>
      <w:r>
        <w:t xml:space="preserve"> Codes</w:t>
      </w:r>
      <w:bookmarkEnd w:id="7"/>
    </w:p>
    <w:p w:rsidR="00FF74AB" w:rsidP="00FF74AB" w:rsidRDefault="00111C24" w14:paraId="27CC308B" w14:textId="3613DB75">
      <w:pPr>
        <w:pStyle w:val="BodyText"/>
      </w:pPr>
      <w:r>
        <w:t xml:space="preserve">The reporting requirements associated with this information collection activity </w:t>
      </w:r>
      <w:r w:rsidR="00736EF1">
        <w:t>will</w:t>
      </w:r>
      <w:r>
        <w:t xml:space="preserve"> apply to EPA and state </w:t>
      </w:r>
      <w:r w:rsidR="006A0B22">
        <w:t>authorized NPDES programs</w:t>
      </w:r>
      <w:r>
        <w:t>.</w:t>
      </w:r>
    </w:p>
    <w:p w:rsidR="000D001D" w:rsidP="00CD10F5" w:rsidRDefault="00FF74AB" w14:paraId="7D3BDCD4" w14:textId="3E232323">
      <w:pPr>
        <w:pStyle w:val="BodyText"/>
      </w:pPr>
      <w:r w:rsidRPr="00686E0B">
        <w:t>EPA issues NPDES permits except where a state demonstrate</w:t>
      </w:r>
      <w:r w:rsidR="001A37A2">
        <w:t>s</w:t>
      </w:r>
      <w:r w:rsidRPr="00686E0B">
        <w:t xml:space="preserve"> that it has adequate legal, technical, and financial capabilities in place to administer the NPDES program. </w:t>
      </w:r>
      <w:r w:rsidRPr="0061692B">
        <w:t xml:space="preserve">To date, </w:t>
      </w:r>
      <w:r w:rsidRPr="0061692B" w:rsidR="00EC50C2">
        <w:t>4</w:t>
      </w:r>
      <w:r w:rsidR="00CD10F5">
        <w:t>7</w:t>
      </w:r>
      <w:r w:rsidRPr="0061692B">
        <w:t xml:space="preserve"> states and one U.S. territory are authorized by EPA to administer the NPDES program</w:t>
      </w:r>
      <w:r w:rsidRPr="0061692B" w:rsidR="0025042D">
        <w:t>, or parts of it</w:t>
      </w:r>
      <w:r w:rsidRPr="0061692B">
        <w:t>.</w:t>
      </w:r>
      <w:r w:rsidR="00D5237D">
        <w:rPr>
          <w:rStyle w:val="FootnoteReference"/>
        </w:rPr>
        <w:footnoteReference w:id="3"/>
      </w:r>
      <w:r w:rsidRPr="0061692B">
        <w:t xml:space="preserve"> EPA </w:t>
      </w:r>
      <w:r w:rsidRPr="0061692B" w:rsidR="001A37A2">
        <w:t>is</w:t>
      </w:r>
      <w:r w:rsidRPr="0061692B">
        <w:t xml:space="preserve"> the </w:t>
      </w:r>
      <w:r w:rsidR="00B972D7">
        <w:t>authorized NPDES program</w:t>
      </w:r>
      <w:r w:rsidRPr="0061692B">
        <w:t xml:space="preserve"> </w:t>
      </w:r>
      <w:r w:rsidRPr="0061692B" w:rsidR="001A37A2">
        <w:t xml:space="preserve">for the entire program </w:t>
      </w:r>
      <w:r w:rsidRPr="0061692B">
        <w:t xml:space="preserve">in the other </w:t>
      </w:r>
      <w:r w:rsidR="00CD10F5">
        <w:t>3</w:t>
      </w:r>
      <w:r w:rsidRPr="0061692B">
        <w:t xml:space="preserve"> states</w:t>
      </w:r>
      <w:r w:rsidR="00D5237D">
        <w:t xml:space="preserve"> and </w:t>
      </w:r>
      <w:r w:rsidRPr="0061692B" w:rsidR="001A37A2">
        <w:t>all</w:t>
      </w:r>
      <w:r w:rsidRPr="0061692B" w:rsidR="00EC50C2">
        <w:t xml:space="preserve"> tribes</w:t>
      </w:r>
      <w:r w:rsidRPr="0061692B">
        <w:t xml:space="preserve"> and </w:t>
      </w:r>
      <w:r w:rsidR="00D5237D">
        <w:t xml:space="preserve">the remaining </w:t>
      </w:r>
      <w:r w:rsidRPr="0061692B">
        <w:t>territories</w:t>
      </w:r>
      <w:r w:rsidR="00AC4AEA">
        <w:t xml:space="preserve">. </w:t>
      </w:r>
      <w:r w:rsidR="001A37A2">
        <w:t xml:space="preserve">EPA is also the </w:t>
      </w:r>
      <w:r w:rsidR="00B972D7">
        <w:t>authorized NPDES program</w:t>
      </w:r>
      <w:r w:rsidR="001A37A2">
        <w:t xml:space="preserve"> for any subprogram</w:t>
      </w:r>
      <w:r w:rsidR="00512B51">
        <w:t xml:space="preserve"> for which</w:t>
      </w:r>
      <w:r w:rsidR="001A37A2">
        <w:t xml:space="preserve"> authorized states have declined to assume responsibility, and for certain national subprograms such as </w:t>
      </w:r>
      <w:r w:rsidR="00E00FF3">
        <w:t>biosolids or pretreatment</w:t>
      </w:r>
      <w:r w:rsidRPr="00686E0B">
        <w:t>. The authorized states and territories are considered respondents for evaluating paperwork burden in this ICR.</w:t>
      </w:r>
      <w:r w:rsidR="00AB0E34">
        <w:t xml:space="preserve"> </w:t>
      </w:r>
    </w:p>
    <w:p w:rsidR="00F5104E" w:rsidP="007664A0" w:rsidRDefault="00F5104E" w14:paraId="409AA775" w14:textId="62DA97F5">
      <w:pPr>
        <w:pStyle w:val="Heading2"/>
      </w:pPr>
      <w:r>
        <w:t>Information Requested</w:t>
      </w:r>
    </w:p>
    <w:p w:rsidR="00F5104E" w:rsidP="00EA2006" w:rsidRDefault="00F5104E" w14:paraId="081716DD" w14:textId="77777777">
      <w:pPr>
        <w:pStyle w:val="Heading3"/>
      </w:pPr>
      <w:r>
        <w:t>Data Items</w:t>
      </w:r>
      <w:r w:rsidR="00E24FA9">
        <w:t xml:space="preserve">, Including Recordkeeping Requirements </w:t>
      </w:r>
    </w:p>
    <w:p w:rsidR="002E074B" w:rsidP="00C201CF" w:rsidRDefault="00C201CF" w14:paraId="147A1AD3" w14:textId="296BA569">
      <w:pPr>
        <w:pStyle w:val="BodyText"/>
      </w:pPr>
      <w:r w:rsidRPr="00C201CF">
        <w:t>EPA is postpon</w:t>
      </w:r>
      <w:r w:rsidR="00736EF1">
        <w:t>ing</w:t>
      </w:r>
      <w:r w:rsidRPr="00C201CF">
        <w:t xml:space="preserve"> the </w:t>
      </w:r>
      <w:r w:rsidR="00F911DD">
        <w:t>compliance</w:t>
      </w:r>
      <w:r w:rsidRPr="00C201CF">
        <w:t xml:space="preserve"> date for Phase 2 implementation and provid</w:t>
      </w:r>
      <w:r w:rsidR="00736EF1">
        <w:t>ing</w:t>
      </w:r>
      <w:r w:rsidRPr="00C201CF">
        <w:t xml:space="preserve"> states with additional flexibility to request even more time as needed. </w:t>
      </w:r>
      <w:r w:rsidR="002E074B">
        <w:t xml:space="preserve">The </w:t>
      </w:r>
      <w:r>
        <w:t xml:space="preserve">new regulatory provision [40 CFR 127.24(e)] </w:t>
      </w:r>
      <w:r w:rsidR="00736EF1">
        <w:t xml:space="preserve">will </w:t>
      </w:r>
      <w:r>
        <w:t xml:space="preserve">allow authorized NPDES programs to request even more time to implement Phase 2 of the NPDES </w:t>
      </w:r>
      <w:proofErr w:type="spellStart"/>
      <w:r>
        <w:t>eRule</w:t>
      </w:r>
      <w:proofErr w:type="spellEnd"/>
      <w:r w:rsidR="002E074B">
        <w:t xml:space="preserve"> beyond </w:t>
      </w:r>
      <w:r w:rsidR="00074C06">
        <w:t>the Phase 2 compliance deadlines (see Table 1 in 40 CFR 127.16)</w:t>
      </w:r>
      <w:r w:rsidR="002E074B">
        <w:t xml:space="preserve">. This ICR covers the burden associated with </w:t>
      </w:r>
      <w:r w:rsidR="00790CD0">
        <w:t xml:space="preserve">the submission of </w:t>
      </w:r>
      <w:r w:rsidRPr="00B80114" w:rsidR="00B80114">
        <w:t xml:space="preserve">alternative Phase 2 compliance deadlines requests </w:t>
      </w:r>
      <w:r w:rsidR="00790CD0">
        <w:t xml:space="preserve">from authorized NPDES programs </w:t>
      </w:r>
      <w:r w:rsidR="00D5237D">
        <w:t>and EPA’s review and determination</w:t>
      </w:r>
      <w:r w:rsidR="002E074B">
        <w:t>.</w:t>
      </w:r>
    </w:p>
    <w:p w:rsidR="002E074B" w:rsidP="00C201CF" w:rsidRDefault="00C201CF" w14:paraId="556D7FF8" w14:textId="494E822A">
      <w:pPr>
        <w:pStyle w:val="BodyText"/>
      </w:pPr>
      <w:r>
        <w:t>Under this provision</w:t>
      </w:r>
      <w:r w:rsidR="006D4A74">
        <w:t>,</w:t>
      </w:r>
      <w:r>
        <w:t xml:space="preserve"> authorized NPDES program</w:t>
      </w:r>
      <w:r w:rsidR="006D4A74">
        <w:t>s</w:t>
      </w:r>
      <w:r>
        <w:t xml:space="preserve"> </w:t>
      </w:r>
      <w:r w:rsidR="00736EF1">
        <w:t>will</w:t>
      </w:r>
      <w:r>
        <w:t xml:space="preserve"> send a request for EPA</w:t>
      </w:r>
      <w:r w:rsidR="006D4A74">
        <w:t>’s</w:t>
      </w:r>
      <w:r>
        <w:t xml:space="preserve"> review and </w:t>
      </w:r>
      <w:r w:rsidR="00D5237D">
        <w:t>determination</w:t>
      </w:r>
      <w:r>
        <w:t xml:space="preserve">. This request </w:t>
      </w:r>
      <w:r w:rsidR="00736EF1">
        <w:t>will</w:t>
      </w:r>
      <w:r>
        <w:t xml:space="preserve"> identify the facilities, general permits, program reports, or data elements for which the authorized NPDES program needs additional time beyond </w:t>
      </w:r>
      <w:r w:rsidRPr="00074C06" w:rsidR="00074C06">
        <w:t>the Phase 2 compliance deadlines (see Table 1 in 40 CFR 127.16)</w:t>
      </w:r>
      <w:r>
        <w:t xml:space="preserve">. </w:t>
      </w:r>
      <w:r w:rsidRPr="00724B2D" w:rsidR="00724B2D">
        <w:t>A waiver request submission can cover one or more general permits and program reports.</w:t>
      </w:r>
      <w:r w:rsidR="00724B2D">
        <w:t xml:space="preserve"> </w:t>
      </w:r>
      <w:r>
        <w:t xml:space="preserve">For example, under this option a state could seek approval from the EPA to postpone </w:t>
      </w:r>
      <w:r>
        <w:lastRenderedPageBreak/>
        <w:t xml:space="preserve">implementation of electronic reporting for a NPDES general permit until some agreed upon time after </w:t>
      </w:r>
      <w:r w:rsidRPr="00074C06" w:rsidR="00074C06">
        <w:t>the Phase 2 compliance deadlines (see Table 1 in 40 CFR 127.16)</w:t>
      </w:r>
      <w:r w:rsidRPr="00790CD0" w:rsidR="00790CD0">
        <w:t>.</w:t>
      </w:r>
      <w:r>
        <w:t xml:space="preserve"> This waiver might be helpful</w:t>
      </w:r>
      <w:r w:rsidR="006D4A74">
        <w:t>, for example,</w:t>
      </w:r>
      <w:r>
        <w:t xml:space="preserve"> if a state has a permit or program report that is a lower priority for electronic reporting (e.g., a general permit that provides coverage for 10 or fewer NPDES-regulated entities).</w:t>
      </w:r>
    </w:p>
    <w:p w:rsidR="00C201CF" w:rsidP="00C201CF" w:rsidRDefault="00C201CF" w14:paraId="2D4F8469" w14:textId="39B23C7E">
      <w:pPr>
        <w:pStyle w:val="BodyText"/>
      </w:pPr>
      <w:r>
        <w:t xml:space="preserve">The </w:t>
      </w:r>
      <w:r w:rsidRPr="00790CD0" w:rsidR="00790CD0">
        <w:t>alternative Phase 2 compliance deadlines request</w:t>
      </w:r>
      <w:r>
        <w:t xml:space="preserve"> must:</w:t>
      </w:r>
    </w:p>
    <w:p w:rsidR="002E074B" w:rsidP="009C05EE" w:rsidRDefault="00C201CF" w14:paraId="7C5DF498" w14:textId="77777777">
      <w:pPr>
        <w:pStyle w:val="BodyText"/>
        <w:numPr>
          <w:ilvl w:val="0"/>
          <w:numId w:val="11"/>
        </w:numPr>
      </w:pPr>
      <w:r>
        <w:t>be submitted to EPA by the Director, as defined in 40 CFR 122.2;</w:t>
      </w:r>
    </w:p>
    <w:p w:rsidR="002E074B" w:rsidP="009C05EE" w:rsidRDefault="00C201CF" w14:paraId="0BBFAAAE" w14:textId="3DF3F049">
      <w:pPr>
        <w:pStyle w:val="BodyText"/>
        <w:numPr>
          <w:ilvl w:val="0"/>
          <w:numId w:val="11"/>
        </w:numPr>
      </w:pPr>
      <w:r>
        <w:t xml:space="preserve">identify each general permit, program report, and related data elements covered by the request and the corresponding </w:t>
      </w:r>
      <w:r w:rsidRPr="00790CD0" w:rsidR="00790CD0">
        <w:t>alternative Phase 2 compliance deadlines</w:t>
      </w:r>
      <w:r>
        <w:t>;</w:t>
      </w:r>
    </w:p>
    <w:p w:rsidR="002E074B" w:rsidP="009C05EE" w:rsidRDefault="00C201CF" w14:paraId="23C48498" w14:textId="41A00485">
      <w:pPr>
        <w:pStyle w:val="BodyText"/>
        <w:numPr>
          <w:ilvl w:val="0"/>
          <w:numId w:val="11"/>
        </w:numPr>
      </w:pPr>
      <w:r>
        <w:t xml:space="preserve">identify each facility covered by the request and the corresponding </w:t>
      </w:r>
      <w:r w:rsidRPr="00790CD0" w:rsidR="00790CD0">
        <w:t xml:space="preserve">alternative Phase 2 compliance deadlines </w:t>
      </w:r>
      <w:r>
        <w:t>(Note: This only applies if the request covers some but not all facilities with the general permit or program report requirement);</w:t>
      </w:r>
    </w:p>
    <w:p w:rsidR="002E074B" w:rsidP="009C05EE" w:rsidRDefault="00C201CF" w14:paraId="23957AA8" w14:textId="0FC6FE73">
      <w:pPr>
        <w:pStyle w:val="BodyText"/>
        <w:numPr>
          <w:ilvl w:val="0"/>
          <w:numId w:val="11"/>
        </w:numPr>
      </w:pPr>
      <w:r>
        <w:t xml:space="preserve">be submitted at least 120 days prior to the </w:t>
      </w:r>
      <w:r w:rsidR="00F911DD">
        <w:t>compliance</w:t>
      </w:r>
      <w:r>
        <w:t xml:space="preserve"> dates in Table 1 to 40 CFR 127.16 or a previously EPA approved </w:t>
      </w:r>
      <w:r w:rsidRPr="00790CD0" w:rsidR="00790CD0">
        <w:t>alternative Phase 2 compliance deadline</w:t>
      </w:r>
      <w:r>
        <w:t>; and</w:t>
      </w:r>
    </w:p>
    <w:p w:rsidR="00C201CF" w:rsidP="009C05EE" w:rsidRDefault="00C201CF" w14:paraId="6918E715" w14:textId="17A9A983">
      <w:pPr>
        <w:pStyle w:val="BodyText"/>
        <w:numPr>
          <w:ilvl w:val="0"/>
          <w:numId w:val="11"/>
        </w:numPr>
      </w:pPr>
      <w:r>
        <w:t>provide a rationale for the delay and enough details (e.g., tasks, milestones, roles and responsibilities, necessary resources) to clearly describe how the program will successfully implement electronic reporting for general permit, program report, and related data element</w:t>
      </w:r>
      <w:r w:rsidR="006D4A74">
        <w:t>s</w:t>
      </w:r>
      <w:r>
        <w:t xml:space="preserve"> covered by the request.</w:t>
      </w:r>
    </w:p>
    <w:p w:rsidR="00C201CF" w:rsidP="00C201CF" w:rsidRDefault="00C201CF" w14:paraId="245818C3" w14:textId="255DB173">
      <w:pPr>
        <w:pStyle w:val="BodyText"/>
      </w:pPr>
      <w:r>
        <w:t xml:space="preserve">EPA will review each </w:t>
      </w:r>
      <w:r w:rsidRPr="00790CD0" w:rsidR="00790CD0">
        <w:t>alternative Phase 2 compliance deadline</w:t>
      </w:r>
      <w:r w:rsidR="00790CD0">
        <w:t xml:space="preserve"> request </w:t>
      </w:r>
      <w:r>
        <w:t xml:space="preserve">and approve or reject the request within 120 days. EPA will provide notice to the authorized NPDES program. The authorized NPDES program may re-apply if the initial request is rejected by EPA. EPA will update its website with each </w:t>
      </w:r>
      <w:r w:rsidRPr="00790CD0" w:rsidR="00790CD0">
        <w:t>alternative Phase 2 compliance deadline</w:t>
      </w:r>
      <w:r w:rsidR="00790CD0">
        <w:t xml:space="preserve"> </w:t>
      </w:r>
      <w:r>
        <w:t xml:space="preserve">and the corresponding Agency approval or rejection notice. EPA will provide updated information at: https://www.epa.gov/compliance/npdes-ereporting. EPA will update its website to clearly identify the approved </w:t>
      </w:r>
      <w:r w:rsidRPr="00790CD0" w:rsidR="00790CD0">
        <w:t>alternative Phase 2 compliance deadline</w:t>
      </w:r>
      <w:r w:rsidR="00790CD0">
        <w:t xml:space="preserve"> </w:t>
      </w:r>
      <w:r>
        <w:t>for each facility, general permit report, program report, and related data element by authorized NPDES program.</w:t>
      </w:r>
    </w:p>
    <w:p w:rsidR="00C201CF" w:rsidP="002E074B" w:rsidRDefault="002E074B" w14:paraId="0E13AC48" w14:textId="442300A2">
      <w:pPr>
        <w:pStyle w:val="BodyText"/>
        <w:spacing w:after="0"/>
      </w:pPr>
      <w:r w:rsidRPr="002E074B">
        <w:t>EPA and states also need to share information to create a common and complete inventory of general permits and program reports</w:t>
      </w:r>
      <w:r w:rsidRPr="00D5237D" w:rsidR="00D5237D">
        <w:t xml:space="preserve"> and related electronic reporting tools</w:t>
      </w:r>
      <w:r w:rsidRPr="002E074B">
        <w:t xml:space="preserve">. This inventory will help promote efficiencies in NPDES </w:t>
      </w:r>
      <w:proofErr w:type="spellStart"/>
      <w:r w:rsidRPr="002E074B">
        <w:t>eRule</w:t>
      </w:r>
      <w:proofErr w:type="spellEnd"/>
      <w:r w:rsidRPr="002E074B">
        <w:t xml:space="preserve"> implementation.</w:t>
      </w:r>
      <w:r>
        <w:t xml:space="preserve"> </w:t>
      </w:r>
      <w:r w:rsidRPr="00D5237D" w:rsidR="00D5237D">
        <w:t xml:space="preserve">Under the NPDES </w:t>
      </w:r>
      <w:proofErr w:type="spellStart"/>
      <w:r w:rsidRPr="00D5237D" w:rsidR="00D5237D">
        <w:t>eRule</w:t>
      </w:r>
      <w:proofErr w:type="spellEnd"/>
      <w:r w:rsidRPr="00D5237D" w:rsidR="00D5237D">
        <w:t xml:space="preserve"> authorized NPDES programs must share basic information with EPA regarding their general permits and program reports so that EPA can assess the corresponding electronic reporting participation rates [see 40 CFR 127.26(j)]. </w:t>
      </w:r>
      <w:r w:rsidRPr="002E074B">
        <w:t>This ICR covers the burden associated with the authorized NPDES program</w:t>
      </w:r>
      <w:r>
        <w:t xml:space="preserve"> providing information to EPA to compile and maintain this inventory of </w:t>
      </w:r>
      <w:r w:rsidRPr="002E074B">
        <w:t>general permits and program reports</w:t>
      </w:r>
      <w:r w:rsidR="00D5237D">
        <w:t xml:space="preserve"> and related electronic reporting tools</w:t>
      </w:r>
      <w:r>
        <w:t xml:space="preserve">. </w:t>
      </w:r>
      <w:bookmarkStart w:name="_Hlk26454973" w:id="8"/>
      <w:r>
        <w:t>The general permit data to be shared with EPA includes:</w:t>
      </w:r>
    </w:p>
    <w:p w:rsidR="002E074B" w:rsidP="002E074B" w:rsidRDefault="002E074B" w14:paraId="1757791F" w14:textId="11CE4CC4">
      <w:pPr>
        <w:pStyle w:val="BodyText"/>
        <w:spacing w:after="0"/>
      </w:pPr>
    </w:p>
    <w:p w:rsidRPr="004C7D16" w:rsidR="004C7D16" w:rsidP="004C7D16" w:rsidRDefault="004C7D16" w14:paraId="61434218" w14:textId="77777777">
      <w:pPr>
        <w:pStyle w:val="ListParagraph"/>
        <w:numPr>
          <w:ilvl w:val="0"/>
          <w:numId w:val="12"/>
        </w:numPr>
        <w:rPr>
          <w:sz w:val="22"/>
        </w:rPr>
      </w:pPr>
      <w:r w:rsidRPr="004C7D16">
        <w:rPr>
          <w:sz w:val="22"/>
        </w:rPr>
        <w:t>NPDES General Permit ID</w:t>
      </w:r>
    </w:p>
    <w:p w:rsidRPr="004C7D16" w:rsidR="004C7D16" w:rsidP="004C7D16" w:rsidRDefault="004C7D16" w14:paraId="6C4B7AA4" w14:textId="77777777">
      <w:pPr>
        <w:pStyle w:val="ListParagraph"/>
        <w:numPr>
          <w:ilvl w:val="0"/>
          <w:numId w:val="12"/>
        </w:numPr>
        <w:rPr>
          <w:sz w:val="22"/>
        </w:rPr>
      </w:pPr>
      <w:r w:rsidRPr="004C7D16">
        <w:rPr>
          <w:sz w:val="22"/>
        </w:rPr>
        <w:t xml:space="preserve">State </w:t>
      </w:r>
    </w:p>
    <w:p w:rsidRPr="004C7D16" w:rsidR="004C7D16" w:rsidP="004C7D16" w:rsidRDefault="004C7D16" w14:paraId="26ACE34F" w14:textId="77777777">
      <w:pPr>
        <w:pStyle w:val="ListParagraph"/>
        <w:numPr>
          <w:ilvl w:val="0"/>
          <w:numId w:val="12"/>
        </w:numPr>
        <w:rPr>
          <w:sz w:val="22"/>
        </w:rPr>
      </w:pPr>
      <w:r w:rsidRPr="004C7D16">
        <w:rPr>
          <w:sz w:val="22"/>
        </w:rPr>
        <w:t>NPDES General Permit Name</w:t>
      </w:r>
    </w:p>
    <w:p w:rsidRPr="004C7D16" w:rsidR="004C7D16" w:rsidP="004C7D16" w:rsidRDefault="004C7D16" w14:paraId="51991FBF" w14:textId="77777777">
      <w:pPr>
        <w:pStyle w:val="ListParagraph"/>
        <w:numPr>
          <w:ilvl w:val="0"/>
          <w:numId w:val="12"/>
        </w:numPr>
        <w:rPr>
          <w:sz w:val="22"/>
        </w:rPr>
      </w:pPr>
      <w:r w:rsidRPr="004C7D16">
        <w:rPr>
          <w:sz w:val="22"/>
        </w:rPr>
        <w:t>Link to NPDES General Permit (URL)</w:t>
      </w:r>
    </w:p>
    <w:p w:rsidRPr="004C7D16" w:rsidR="004C7D16" w:rsidP="004C7D16" w:rsidRDefault="004C7D16" w14:paraId="7A63B840" w14:textId="77777777">
      <w:pPr>
        <w:pStyle w:val="ListParagraph"/>
        <w:numPr>
          <w:ilvl w:val="0"/>
          <w:numId w:val="12"/>
        </w:numPr>
        <w:rPr>
          <w:sz w:val="22"/>
        </w:rPr>
      </w:pPr>
      <w:r w:rsidRPr="004C7D16">
        <w:rPr>
          <w:sz w:val="22"/>
        </w:rPr>
        <w:t>Link to Electronic Reporting Tool (URL)</w:t>
      </w:r>
    </w:p>
    <w:p w:rsidRPr="004C7D16" w:rsidR="004C7D16" w:rsidP="004C7D16" w:rsidRDefault="004C7D16" w14:paraId="5EA07598" w14:textId="77777777">
      <w:pPr>
        <w:pStyle w:val="ListParagraph"/>
        <w:numPr>
          <w:ilvl w:val="0"/>
          <w:numId w:val="12"/>
        </w:numPr>
        <w:rPr>
          <w:sz w:val="22"/>
        </w:rPr>
      </w:pPr>
      <w:r w:rsidRPr="004C7D16">
        <w:rPr>
          <w:sz w:val="22"/>
        </w:rPr>
        <w:t>Electronic Reporting Tool Initial Deployment Date</w:t>
      </w:r>
    </w:p>
    <w:p w:rsidRPr="004C7D16" w:rsidR="004C7D16" w:rsidP="004C7D16" w:rsidRDefault="004C7D16" w14:paraId="4CCC3C48" w14:textId="77777777">
      <w:pPr>
        <w:pStyle w:val="ListParagraph"/>
        <w:numPr>
          <w:ilvl w:val="0"/>
          <w:numId w:val="12"/>
        </w:numPr>
        <w:rPr>
          <w:sz w:val="22"/>
        </w:rPr>
      </w:pPr>
      <w:r w:rsidRPr="004C7D16">
        <w:rPr>
          <w:sz w:val="22"/>
        </w:rPr>
        <w:t>General Permit Issued Date</w:t>
      </w:r>
    </w:p>
    <w:p w:rsidRPr="004C7D16" w:rsidR="004C7D16" w:rsidP="004C7D16" w:rsidRDefault="004C7D16" w14:paraId="52317DDB" w14:textId="77777777">
      <w:pPr>
        <w:pStyle w:val="ListParagraph"/>
        <w:numPr>
          <w:ilvl w:val="0"/>
          <w:numId w:val="12"/>
        </w:numPr>
        <w:rPr>
          <w:sz w:val="22"/>
        </w:rPr>
      </w:pPr>
      <w:r w:rsidRPr="004C7D16">
        <w:rPr>
          <w:sz w:val="22"/>
        </w:rPr>
        <w:t>General Permit Effective Date</w:t>
      </w:r>
    </w:p>
    <w:p w:rsidRPr="004C7D16" w:rsidR="004C7D16" w:rsidP="004C7D16" w:rsidRDefault="004C7D16" w14:paraId="4FB62362" w14:textId="77777777">
      <w:pPr>
        <w:pStyle w:val="ListParagraph"/>
        <w:numPr>
          <w:ilvl w:val="0"/>
          <w:numId w:val="12"/>
        </w:numPr>
        <w:rPr>
          <w:sz w:val="22"/>
        </w:rPr>
      </w:pPr>
      <w:r w:rsidRPr="004C7D16">
        <w:rPr>
          <w:sz w:val="22"/>
        </w:rPr>
        <w:t>General Permit Expired Date</w:t>
      </w:r>
    </w:p>
    <w:p w:rsidRPr="004C7D16" w:rsidR="004C7D16" w:rsidP="004C7D16" w:rsidRDefault="004C7D16" w14:paraId="197844DD" w14:textId="77777777">
      <w:pPr>
        <w:pStyle w:val="ListParagraph"/>
        <w:numPr>
          <w:ilvl w:val="0"/>
          <w:numId w:val="12"/>
        </w:numPr>
        <w:rPr>
          <w:sz w:val="22"/>
        </w:rPr>
      </w:pPr>
      <w:r w:rsidRPr="004C7D16">
        <w:rPr>
          <w:sz w:val="22"/>
        </w:rPr>
        <w:lastRenderedPageBreak/>
        <w:t>Estimate Number of General Permit Covered Facilities</w:t>
      </w:r>
    </w:p>
    <w:p w:rsidRPr="004C7D16" w:rsidR="004C7D16" w:rsidP="004C7D16" w:rsidRDefault="004C7D16" w14:paraId="35F69918" w14:textId="77777777">
      <w:pPr>
        <w:pStyle w:val="ListParagraph"/>
        <w:numPr>
          <w:ilvl w:val="0"/>
          <w:numId w:val="12"/>
        </w:numPr>
        <w:rPr>
          <w:sz w:val="22"/>
        </w:rPr>
      </w:pPr>
      <w:r w:rsidRPr="004C7D16">
        <w:rPr>
          <w:sz w:val="22"/>
        </w:rPr>
        <w:t>EPA Issued General Permit</w:t>
      </w:r>
    </w:p>
    <w:p w:rsidRPr="004C7D16" w:rsidR="004C7D16" w:rsidP="004C7D16" w:rsidRDefault="004C7D16" w14:paraId="505BFA25" w14:textId="77777777">
      <w:pPr>
        <w:pStyle w:val="ListParagraph"/>
        <w:numPr>
          <w:ilvl w:val="0"/>
          <w:numId w:val="12"/>
        </w:numPr>
        <w:rPr>
          <w:sz w:val="22"/>
        </w:rPr>
      </w:pPr>
      <w:r w:rsidRPr="004C7D16">
        <w:rPr>
          <w:sz w:val="22"/>
        </w:rPr>
        <w:t>General Permit will use EPA’s NPDES Electronic Reporting Tool (or “NeT”)</w:t>
      </w:r>
    </w:p>
    <w:p w:rsidRPr="004C7D16" w:rsidR="004C7D16" w:rsidP="004C7D16" w:rsidRDefault="004C7D16" w14:paraId="739841C4" w14:textId="77777777">
      <w:pPr>
        <w:pStyle w:val="ListParagraph"/>
        <w:numPr>
          <w:ilvl w:val="0"/>
          <w:numId w:val="12"/>
        </w:numPr>
        <w:rPr>
          <w:sz w:val="22"/>
        </w:rPr>
      </w:pPr>
      <w:r w:rsidRPr="004C7D16">
        <w:rPr>
          <w:sz w:val="22"/>
        </w:rPr>
        <w:t>General Permit Requires DMR Submissions</w:t>
      </w:r>
    </w:p>
    <w:p w:rsidRPr="004C7D16" w:rsidR="004C7D16" w:rsidP="004C7D16" w:rsidRDefault="004C7D16" w14:paraId="332004B9" w14:textId="77777777">
      <w:pPr>
        <w:pStyle w:val="ListParagraph"/>
        <w:numPr>
          <w:ilvl w:val="0"/>
          <w:numId w:val="12"/>
        </w:numPr>
        <w:rPr>
          <w:sz w:val="22"/>
        </w:rPr>
      </w:pPr>
      <w:r w:rsidRPr="004C7D16">
        <w:rPr>
          <w:sz w:val="22"/>
        </w:rPr>
        <w:t>General Permit Requires Program Report</w:t>
      </w:r>
    </w:p>
    <w:p w:rsidRPr="004C7D16" w:rsidR="004C7D16" w:rsidP="004C7D16" w:rsidRDefault="004C7D16" w14:paraId="6E62053F" w14:textId="77777777">
      <w:pPr>
        <w:pStyle w:val="ListParagraph"/>
        <w:numPr>
          <w:ilvl w:val="0"/>
          <w:numId w:val="12"/>
        </w:numPr>
        <w:rPr>
          <w:sz w:val="22"/>
        </w:rPr>
      </w:pPr>
      <w:r w:rsidRPr="004C7D16">
        <w:rPr>
          <w:sz w:val="22"/>
        </w:rPr>
        <w:t>Industrial Category</w:t>
      </w:r>
    </w:p>
    <w:p w:rsidRPr="004C7D16" w:rsidR="004C7D16" w:rsidP="004C7D16" w:rsidRDefault="004C7D16" w14:paraId="41702C23" w14:textId="77777777">
      <w:pPr>
        <w:pStyle w:val="ListParagraph"/>
        <w:numPr>
          <w:ilvl w:val="0"/>
          <w:numId w:val="12"/>
        </w:numPr>
        <w:rPr>
          <w:sz w:val="22"/>
        </w:rPr>
      </w:pPr>
      <w:r w:rsidRPr="004C7D16">
        <w:rPr>
          <w:sz w:val="22"/>
        </w:rPr>
        <w:t>General Permit Requires NOI Submission</w:t>
      </w:r>
    </w:p>
    <w:p w:rsidRPr="004C7D16" w:rsidR="004C7D16" w:rsidP="004C7D16" w:rsidRDefault="004C7D16" w14:paraId="075A0413" w14:textId="77777777">
      <w:pPr>
        <w:pStyle w:val="ListParagraph"/>
        <w:numPr>
          <w:ilvl w:val="0"/>
          <w:numId w:val="12"/>
        </w:numPr>
        <w:rPr>
          <w:sz w:val="22"/>
        </w:rPr>
      </w:pPr>
      <w:r w:rsidRPr="004C7D16">
        <w:rPr>
          <w:sz w:val="22"/>
        </w:rPr>
        <w:t xml:space="preserve">Timing of General Permit NOI Submissions </w:t>
      </w:r>
    </w:p>
    <w:p w:rsidRPr="006A05CE" w:rsidR="006A05CE" w:rsidP="004C7D16" w:rsidRDefault="004C7D16" w14:paraId="2A27E2AE" w14:textId="235AF9B6">
      <w:pPr>
        <w:pStyle w:val="ListParagraph"/>
        <w:numPr>
          <w:ilvl w:val="0"/>
          <w:numId w:val="12"/>
        </w:numPr>
        <w:rPr>
          <w:sz w:val="22"/>
        </w:rPr>
      </w:pPr>
      <w:r w:rsidRPr="004C7D16">
        <w:rPr>
          <w:sz w:val="22"/>
        </w:rPr>
        <w:t>General Permit Will Be Renewed</w:t>
      </w:r>
    </w:p>
    <w:p w:rsidR="004B50FC" w:rsidP="004B50FC" w:rsidRDefault="004B50FC" w14:paraId="762C4D61" w14:textId="77777777">
      <w:pPr>
        <w:pStyle w:val="BodyText"/>
        <w:spacing w:after="0"/>
      </w:pPr>
    </w:p>
    <w:p w:rsidR="004B50FC" w:rsidP="004C7D16" w:rsidRDefault="002E074B" w14:paraId="773F1D91" w14:textId="1CA18152">
      <w:pPr>
        <w:pStyle w:val="BodyText"/>
        <w:spacing w:after="0"/>
      </w:pPr>
      <w:r w:rsidRPr="002E074B">
        <w:t xml:space="preserve">The </w:t>
      </w:r>
      <w:r w:rsidR="00D45CC8">
        <w:t xml:space="preserve">program report </w:t>
      </w:r>
      <w:r w:rsidRPr="002E074B">
        <w:t>data to be shared with EPA includes:</w:t>
      </w:r>
    </w:p>
    <w:p w:rsidR="004B50FC" w:rsidP="004C7D16" w:rsidRDefault="004B50FC" w14:paraId="7AEADCA9" w14:textId="77777777">
      <w:pPr>
        <w:pStyle w:val="BodyText"/>
        <w:spacing w:after="0"/>
      </w:pPr>
    </w:p>
    <w:p w:rsidR="004C7D16" w:rsidP="004C7D16" w:rsidRDefault="004C7D16" w14:paraId="6D52F6F7" w14:textId="77777777">
      <w:pPr>
        <w:pStyle w:val="BodyText"/>
        <w:numPr>
          <w:ilvl w:val="0"/>
          <w:numId w:val="12"/>
        </w:numPr>
        <w:spacing w:after="0"/>
      </w:pPr>
      <w:r>
        <w:t xml:space="preserve">State </w:t>
      </w:r>
    </w:p>
    <w:p w:rsidR="004C7D16" w:rsidP="004C7D16" w:rsidRDefault="004C7D16" w14:paraId="22D94C5B" w14:textId="77777777">
      <w:pPr>
        <w:pStyle w:val="BodyText"/>
        <w:numPr>
          <w:ilvl w:val="0"/>
          <w:numId w:val="12"/>
        </w:numPr>
        <w:spacing w:after="0"/>
      </w:pPr>
      <w:r>
        <w:t>Program Report Type</w:t>
      </w:r>
    </w:p>
    <w:p w:rsidR="004C7D16" w:rsidP="004C7D16" w:rsidRDefault="004C7D16" w14:paraId="055304D2" w14:textId="77777777">
      <w:pPr>
        <w:pStyle w:val="BodyText"/>
        <w:numPr>
          <w:ilvl w:val="0"/>
          <w:numId w:val="12"/>
        </w:numPr>
        <w:spacing w:after="0"/>
      </w:pPr>
      <w:r>
        <w:t>Link to Electronic Reporting Tool (URL)</w:t>
      </w:r>
    </w:p>
    <w:p w:rsidR="004C7D16" w:rsidP="004C7D16" w:rsidRDefault="004C7D16" w14:paraId="5CECA3E2" w14:textId="77777777">
      <w:pPr>
        <w:pStyle w:val="BodyText"/>
        <w:numPr>
          <w:ilvl w:val="0"/>
          <w:numId w:val="12"/>
        </w:numPr>
        <w:spacing w:after="0"/>
      </w:pPr>
      <w:r>
        <w:t>Electronic Reporting Tool Initial Deployment Date</w:t>
      </w:r>
    </w:p>
    <w:p w:rsidR="004C7D16" w:rsidP="004C7D16" w:rsidRDefault="004C7D16" w14:paraId="7D580CC2" w14:textId="77777777">
      <w:pPr>
        <w:pStyle w:val="BodyText"/>
        <w:numPr>
          <w:ilvl w:val="0"/>
          <w:numId w:val="12"/>
        </w:numPr>
        <w:spacing w:after="0"/>
      </w:pPr>
      <w:r>
        <w:t>Estimate Number of Program Report Filers</w:t>
      </w:r>
    </w:p>
    <w:p w:rsidR="004C7D16" w:rsidP="004C7D16" w:rsidRDefault="004C7D16" w14:paraId="35EE71C0" w14:textId="77777777">
      <w:pPr>
        <w:pStyle w:val="BodyText"/>
        <w:numPr>
          <w:ilvl w:val="0"/>
          <w:numId w:val="12"/>
        </w:numPr>
        <w:spacing w:after="0"/>
      </w:pPr>
      <w:r>
        <w:t>EPA Issued Program Report</w:t>
      </w:r>
    </w:p>
    <w:p w:rsidR="00D45CC8" w:rsidP="004C7D16" w:rsidRDefault="004C7D16" w14:paraId="70B1BB96" w14:textId="08C1FD93">
      <w:pPr>
        <w:pStyle w:val="BodyText"/>
        <w:numPr>
          <w:ilvl w:val="0"/>
          <w:numId w:val="12"/>
        </w:numPr>
        <w:spacing w:after="0"/>
      </w:pPr>
      <w:r>
        <w:t>Program Report will use EPA’s NPDES Electronic Reporting Tool (or “NeT”)</w:t>
      </w:r>
    </w:p>
    <w:p w:rsidR="002E074B" w:rsidP="004C7D16" w:rsidRDefault="002E074B" w14:paraId="4118AE65" w14:textId="77777777">
      <w:pPr>
        <w:pStyle w:val="BodyText"/>
        <w:spacing w:after="0"/>
      </w:pPr>
    </w:p>
    <w:p w:rsidR="00D45CC8" w:rsidP="004C7D16" w:rsidRDefault="00DB37FB" w14:paraId="0F1F2900" w14:textId="1637FA3C">
      <w:pPr>
        <w:pStyle w:val="BodyText"/>
        <w:spacing w:after="0"/>
      </w:pPr>
      <w:r>
        <w:t>Authorized NPDES programs will share t</w:t>
      </w:r>
      <w:r w:rsidRPr="00D45CC8" w:rsidR="00D45CC8">
        <w:t>hese data with EPA</w:t>
      </w:r>
      <w:bookmarkEnd w:id="8"/>
      <w:r w:rsidRPr="00D45CC8" w:rsidR="00D45CC8">
        <w:t xml:space="preserve"> as </w:t>
      </w:r>
      <w:r>
        <w:t xml:space="preserve">their </w:t>
      </w:r>
      <w:r w:rsidRPr="00D45CC8" w:rsidR="00D45CC8">
        <w:t xml:space="preserve">general permits </w:t>
      </w:r>
      <w:r w:rsidR="00D45CC8">
        <w:t xml:space="preserve">and program reports </w:t>
      </w:r>
      <w:r>
        <w:t xml:space="preserve">and the related electronic reporting tools </w:t>
      </w:r>
      <w:r w:rsidRPr="00D45CC8" w:rsidR="00D45CC8">
        <w:t xml:space="preserve">are updated </w:t>
      </w:r>
      <w:r>
        <w:t xml:space="preserve">or deployed. </w:t>
      </w:r>
      <w:r w:rsidRPr="00DB37FB">
        <w:t xml:space="preserve">Authorized NPDES programs will </w:t>
      </w:r>
      <w:r>
        <w:t xml:space="preserve">also annually review and update EPA’s inventory of </w:t>
      </w:r>
      <w:r w:rsidRPr="00DB37FB">
        <w:t>general permits and program reports and the related electronic reporting tools</w:t>
      </w:r>
      <w:r>
        <w:t xml:space="preserve">. </w:t>
      </w:r>
      <w:r w:rsidR="00D45CC8">
        <w:t xml:space="preserve">EPA will make these data available to authorized NPDES programs </w:t>
      </w:r>
      <w:r w:rsidR="008E3850">
        <w:t xml:space="preserve">and NPDES-regulated entities </w:t>
      </w:r>
      <w:r w:rsidR="00D45CC8">
        <w:t xml:space="preserve">for review </w:t>
      </w:r>
      <w:r>
        <w:t xml:space="preserve">through an easy to use </w:t>
      </w:r>
      <w:r w:rsidR="00A829B4">
        <w:t xml:space="preserve">online </w:t>
      </w:r>
      <w:r>
        <w:t>dashboard</w:t>
      </w:r>
      <w:r w:rsidR="00D45CC8">
        <w:t>.</w:t>
      </w:r>
      <w:r w:rsidR="00497D82">
        <w:t xml:space="preserve"> </w:t>
      </w:r>
      <w:r w:rsidRPr="00E00FF3" w:rsidR="00E00FF3">
        <w:t xml:space="preserve">The online “NPDES </w:t>
      </w:r>
      <w:proofErr w:type="spellStart"/>
      <w:r w:rsidRPr="00E00FF3" w:rsidR="00E00FF3">
        <w:t>eRule</w:t>
      </w:r>
      <w:proofErr w:type="spellEnd"/>
      <w:r w:rsidRPr="00E00FF3" w:rsidR="00E00FF3">
        <w:t xml:space="preserve"> Phase 2 Implementation Dashboard” provides an inventory of all general permits and program reports covered by the NPDES </w:t>
      </w:r>
      <w:proofErr w:type="spellStart"/>
      <w:r w:rsidRPr="00E00FF3" w:rsidR="00E00FF3">
        <w:t>eRule</w:t>
      </w:r>
      <w:proofErr w:type="spellEnd"/>
      <w:r w:rsidRPr="00E00FF3" w:rsidR="00E00FF3">
        <w:t>.</w:t>
      </w:r>
      <w:r w:rsidR="00E00FF3">
        <w:rPr>
          <w:rStyle w:val="FootnoteReference"/>
        </w:rPr>
        <w:footnoteReference w:id="4"/>
      </w:r>
      <w:r w:rsidRPr="00E00FF3" w:rsidR="00E00FF3">
        <w:t xml:space="preserve"> This dashboard also provides an updated view of EPA’s progress in gathering information and deploying NPDES electronic reporting tools for Phase 2 general permits and program reports.</w:t>
      </w:r>
      <w:r w:rsidR="00E00FF3">
        <w:t xml:space="preserve"> </w:t>
      </w:r>
      <w:r w:rsidR="00497D82">
        <w:t xml:space="preserve">EPA will also </w:t>
      </w:r>
      <w:r w:rsidR="00EB71CB">
        <w:t xml:space="preserve">supplement these data with </w:t>
      </w:r>
      <w:r w:rsidR="00497D82">
        <w:t xml:space="preserve">the </w:t>
      </w:r>
      <w:r w:rsidR="00EB71CB">
        <w:t>“Electronic Reporting Deadline” for each general permit and program report. This will provide a single source of information on “who” needs to report, “what” reports must be submitted electronically, “when” these reports must be electronically submitted, and the location of the electronic reporting tool (i.e., the “where”).</w:t>
      </w:r>
    </w:p>
    <w:p w:rsidR="00DB37FB" w:rsidP="00DB37FB" w:rsidRDefault="00DB37FB" w14:paraId="73E804DF" w14:textId="77777777">
      <w:pPr>
        <w:pStyle w:val="BodyText"/>
        <w:spacing w:after="0"/>
      </w:pPr>
    </w:p>
    <w:p w:rsidR="00F5104E" w:rsidP="007664A0" w:rsidRDefault="00F5104E" w14:paraId="57CAA3FD" w14:textId="77777777">
      <w:pPr>
        <w:pStyle w:val="Heading3"/>
      </w:pPr>
      <w:bookmarkStart w:name="_Ref312046458" w:id="9"/>
      <w:r>
        <w:t>Respondent Activities</w:t>
      </w:r>
      <w:bookmarkEnd w:id="9"/>
    </w:p>
    <w:p w:rsidR="005D4AB9" w:rsidP="005D4AB9" w:rsidRDefault="005D4AB9" w14:paraId="266D33F6" w14:textId="0DE9B59B">
      <w:pPr>
        <w:pStyle w:val="BodyText"/>
      </w:pPr>
      <w:r>
        <w:t xml:space="preserve">State </w:t>
      </w:r>
      <w:r w:rsidR="006A0B22">
        <w:t>authorized NPDES programs</w:t>
      </w:r>
      <w:r>
        <w:t xml:space="preserve"> </w:t>
      </w:r>
      <w:r w:rsidR="00736EF1">
        <w:t>will</w:t>
      </w:r>
      <w:r>
        <w:t xml:space="preserve"> </w:t>
      </w:r>
      <w:r w:rsidR="001A4160">
        <w:t>need</w:t>
      </w:r>
      <w:r>
        <w:t xml:space="preserve"> to complete the following activities:</w:t>
      </w:r>
    </w:p>
    <w:p w:rsidR="004B50FC" w:rsidP="009C05EE" w:rsidRDefault="004B50FC" w14:paraId="170F8244" w14:textId="35F015B6">
      <w:pPr>
        <w:pStyle w:val="Bullet"/>
        <w:numPr>
          <w:ilvl w:val="0"/>
          <w:numId w:val="4"/>
        </w:numPr>
      </w:pPr>
      <w:r>
        <w:t xml:space="preserve">Authorized NPDES programs will need to </w:t>
      </w:r>
      <w:r w:rsidR="008E3850">
        <w:t xml:space="preserve">email </w:t>
      </w:r>
      <w:r>
        <w:t xml:space="preserve">a waiver request </w:t>
      </w:r>
      <w:r w:rsidR="008E3850">
        <w:t xml:space="preserve">to EPA </w:t>
      </w:r>
      <w:r>
        <w:t xml:space="preserve">when they are seeking an </w:t>
      </w:r>
      <w:r w:rsidRPr="00790CD0" w:rsidR="00790CD0">
        <w:t>alternative Phase 2 compliance deadline</w:t>
      </w:r>
      <w:r w:rsidR="00790CD0">
        <w:t xml:space="preserve"> </w:t>
      </w:r>
      <w:r>
        <w:t>for general permits or program reports. This will involve complet</w:t>
      </w:r>
      <w:r w:rsidR="006D4A74">
        <w:t>ing</w:t>
      </w:r>
      <w:r>
        <w:t xml:space="preserve"> a two- or three-page </w:t>
      </w:r>
      <w:r w:rsidR="0025193D">
        <w:t xml:space="preserve">memorandum or </w:t>
      </w:r>
      <w:r>
        <w:t xml:space="preserve">form </w:t>
      </w:r>
      <w:r w:rsidRPr="004B50FC">
        <w:t xml:space="preserve">with information listed above </w:t>
      </w:r>
      <w:r>
        <w:t xml:space="preserve">so that EPA can make an informed decision on whether to approve </w:t>
      </w:r>
      <w:r w:rsidR="00DB37FB">
        <w:t xml:space="preserve">or deny </w:t>
      </w:r>
      <w:r>
        <w:t>the request.</w:t>
      </w:r>
      <w:r w:rsidRPr="008E3850" w:rsidR="008E3850">
        <w:t xml:space="preserve"> </w:t>
      </w:r>
      <w:r w:rsidR="008E3850">
        <w:t xml:space="preserve">This request should </w:t>
      </w:r>
      <w:r w:rsidRPr="008E3850" w:rsidR="008E3850">
        <w:t xml:space="preserve">be submitted at least 120 days prior to the </w:t>
      </w:r>
      <w:r w:rsidR="00F911DD">
        <w:t>compliance</w:t>
      </w:r>
      <w:r w:rsidRPr="008E3850" w:rsidR="008E3850">
        <w:t xml:space="preserve"> dates in Table 1 to 40 CFR 127.16 or a previously EPA approved </w:t>
      </w:r>
      <w:r w:rsidRPr="00790CD0" w:rsidR="00790CD0">
        <w:t>alternative Phase 2 compliance deadline</w:t>
      </w:r>
      <w:r w:rsidR="008E3850">
        <w:t>.</w:t>
      </w:r>
      <w:r w:rsidR="00724B2D">
        <w:t xml:space="preserve"> A waiver request submission can cover one or more general permits and program reports.</w:t>
      </w:r>
    </w:p>
    <w:p w:rsidR="003A120C" w:rsidP="009C05EE" w:rsidRDefault="004B50FC" w14:paraId="69A7EFA6" w14:textId="1F05329F">
      <w:pPr>
        <w:pStyle w:val="Bullet"/>
        <w:numPr>
          <w:ilvl w:val="0"/>
          <w:numId w:val="4"/>
        </w:numPr>
      </w:pPr>
      <w:r w:rsidRPr="004B50FC">
        <w:t xml:space="preserve">Authorized NPDES programs will need to </w:t>
      </w:r>
      <w:r>
        <w:t xml:space="preserve">send an email to EPA </w:t>
      </w:r>
      <w:r w:rsidR="008E3850">
        <w:t xml:space="preserve">with the information listed above </w:t>
      </w:r>
      <w:r w:rsidRPr="00DB37FB" w:rsidR="00DB37FB">
        <w:t xml:space="preserve">as </w:t>
      </w:r>
      <w:r w:rsidR="00DB37FB">
        <w:t xml:space="preserve">they update or deploy their </w:t>
      </w:r>
      <w:r w:rsidRPr="00DB37FB" w:rsidR="00DB37FB">
        <w:t>general permits and program reports and the related electronic reporting tools</w:t>
      </w:r>
      <w:r w:rsidR="00DB37FB">
        <w:t xml:space="preserve">. </w:t>
      </w:r>
      <w:r w:rsidR="008E3850">
        <w:t>These updates should be timely in</w:t>
      </w:r>
      <w:r w:rsidRPr="008E3850" w:rsidR="008E3850">
        <w:t xml:space="preserve"> that the authorized NPDES program </w:t>
      </w:r>
      <w:r w:rsidR="008E3850">
        <w:lastRenderedPageBreak/>
        <w:t xml:space="preserve">sends an email to </w:t>
      </w:r>
      <w:r w:rsidRPr="008E3850" w:rsidR="008E3850">
        <w:t>EPA within 40 days of the completed activity</w:t>
      </w:r>
      <w:r w:rsidR="008E3850">
        <w:t>.</w:t>
      </w:r>
      <w:r w:rsidRPr="00A829B4" w:rsidR="00A829B4">
        <w:t xml:space="preserve"> EPA may also create an online form for authorized NPDES programs to submit these data.</w:t>
      </w:r>
    </w:p>
    <w:p w:rsidR="003A120C" w:rsidP="009C05EE" w:rsidRDefault="003A120C" w14:paraId="7CDBE575" w14:textId="0E68D8F8">
      <w:pPr>
        <w:pStyle w:val="Bullet"/>
        <w:numPr>
          <w:ilvl w:val="0"/>
          <w:numId w:val="4"/>
        </w:numPr>
      </w:pPr>
      <w:r>
        <w:t xml:space="preserve">Authorized NPDES programs will need to annually review EPA’s inventory of </w:t>
      </w:r>
      <w:r w:rsidRPr="003A120C">
        <w:t>general permits and program reports and the related electronic reporting tools</w:t>
      </w:r>
      <w:r>
        <w:t xml:space="preserve">. </w:t>
      </w:r>
      <w:r w:rsidRPr="003A120C">
        <w:t xml:space="preserve">Authorized NPDES programs </w:t>
      </w:r>
      <w:r>
        <w:t xml:space="preserve">will summarize this review in an email to EPA. This email will confirm that EPA’s inventory is </w:t>
      </w:r>
      <w:r w:rsidRPr="003A120C">
        <w:t>complete</w:t>
      </w:r>
      <w:r>
        <w:t xml:space="preserve"> and </w:t>
      </w:r>
      <w:r w:rsidRPr="003A120C">
        <w:t>accurate</w:t>
      </w:r>
      <w:r>
        <w:t xml:space="preserve"> as well as identify any necessary changes. </w:t>
      </w:r>
      <w:r w:rsidR="00BF152D">
        <w:t>EPA may also create an online form for authorized NPDES programs to submit these data.</w:t>
      </w:r>
    </w:p>
    <w:p w:rsidR="00CA0B24" w:rsidP="003A120C" w:rsidRDefault="00CA0B24" w14:paraId="3C2975F3" w14:textId="391C94DE">
      <w:pPr>
        <w:pStyle w:val="Bullet"/>
        <w:numPr>
          <w:ilvl w:val="0"/>
          <w:numId w:val="0"/>
        </w:numPr>
        <w:ind w:left="360"/>
      </w:pPr>
    </w:p>
    <w:p w:rsidR="00F5104E" w:rsidP="007664A0" w:rsidRDefault="00F5104E" w14:paraId="1D9EB5FC" w14:textId="77777777">
      <w:pPr>
        <w:pStyle w:val="Heading1"/>
      </w:pPr>
      <w:r>
        <w:t>THE INFORMATION COLLECTED - AGENCY ACTIVITIES,</w:t>
      </w:r>
      <w:r w:rsidR="007664A0">
        <w:t xml:space="preserve"> </w:t>
      </w:r>
      <w:r>
        <w:t>COLLECTION METHODOLOGY AND INFORMATION MANAGEMENT</w:t>
      </w:r>
    </w:p>
    <w:p w:rsidR="00F5104E" w:rsidP="007664A0" w:rsidRDefault="00F5104E" w14:paraId="6CB83BB1" w14:textId="77777777">
      <w:pPr>
        <w:pStyle w:val="Heading2"/>
      </w:pPr>
      <w:r>
        <w:t>Agency Activities</w:t>
      </w:r>
    </w:p>
    <w:p w:rsidR="008E3850" w:rsidP="006342F1" w:rsidRDefault="0025193D" w14:paraId="0B275E9C" w14:textId="7B1E4E12">
      <w:pPr>
        <w:pStyle w:val="BodyText"/>
      </w:pPr>
      <w:r w:rsidRPr="0025193D">
        <w:t xml:space="preserve">EPA will review each </w:t>
      </w:r>
      <w:r w:rsidRPr="00790CD0" w:rsidR="00790CD0">
        <w:t>alternative Phase 2 compliance deadline</w:t>
      </w:r>
      <w:r w:rsidR="00790CD0">
        <w:t xml:space="preserve"> request </w:t>
      </w:r>
      <w:r w:rsidRPr="0025193D">
        <w:t xml:space="preserve">and approve or reject the request within 120 days. EPA will provide notice to the authorized NPDES program. The authorized NPDES program may re-apply if the initial request is rejected by EPA. EPA will update its website with each </w:t>
      </w:r>
      <w:r w:rsidRPr="00790CD0" w:rsidR="00790CD0">
        <w:t>alternative Phase 2 compliance deadline</w:t>
      </w:r>
      <w:r w:rsidR="00790CD0">
        <w:t xml:space="preserve"> request </w:t>
      </w:r>
      <w:r w:rsidRPr="0025193D">
        <w:t xml:space="preserve">and the corresponding Agency approval or rejection notice. EPA will provide updated information at: https://www.epa.gov/compliance/npdes-ereporting. EPA will update its website to clearly identify the approved </w:t>
      </w:r>
      <w:r w:rsidRPr="00790CD0" w:rsidR="00790CD0">
        <w:t xml:space="preserve">alternative Phase 2 compliance deadlines </w:t>
      </w:r>
      <w:r w:rsidRPr="0025193D">
        <w:t>for each facility, general permit report, program report, and related data element by authorized NPDES program</w:t>
      </w:r>
      <w:r>
        <w:t xml:space="preserve">. </w:t>
      </w:r>
    </w:p>
    <w:p w:rsidR="0025193D" w:rsidP="006342F1" w:rsidRDefault="0025193D" w14:paraId="2564C4AA" w14:textId="0792DD1D">
      <w:pPr>
        <w:pStyle w:val="BodyText"/>
      </w:pPr>
      <w:r>
        <w:t>EPA will also update its</w:t>
      </w:r>
      <w:r w:rsidR="00A829B4">
        <w:t xml:space="preserve"> online</w:t>
      </w:r>
      <w:r>
        <w:t xml:space="preserve"> </w:t>
      </w:r>
      <w:r w:rsidRPr="0025193D">
        <w:t xml:space="preserve">inventory </w:t>
      </w:r>
      <w:r w:rsidRPr="003A120C" w:rsidR="003A120C">
        <w:t>of general permits and program reports and the related electronic reporting tools</w:t>
      </w:r>
      <w:r w:rsidRPr="0025193D">
        <w:t xml:space="preserve"> </w:t>
      </w:r>
      <w:r>
        <w:t xml:space="preserve">to make sure that it </w:t>
      </w:r>
      <w:r w:rsidRPr="0025193D">
        <w:t xml:space="preserve">is </w:t>
      </w:r>
      <w:r w:rsidRPr="003A120C" w:rsidR="003A120C">
        <w:t xml:space="preserve">nationally consistent, complete, accurate, and </w:t>
      </w:r>
      <w:r w:rsidR="003A120C">
        <w:t>updated as new information is shared with EPA</w:t>
      </w:r>
      <w:r>
        <w:t>.</w:t>
      </w:r>
      <w:r w:rsidR="008E3850">
        <w:t xml:space="preserve"> </w:t>
      </w:r>
      <w:r w:rsidRPr="008E3850" w:rsidR="008E3850">
        <w:t xml:space="preserve">EPA will </w:t>
      </w:r>
      <w:r w:rsidR="008E3850">
        <w:t>update its website to provide the inventory through an easy to use</w:t>
      </w:r>
      <w:r w:rsidR="00A829B4">
        <w:t xml:space="preserve"> online </w:t>
      </w:r>
      <w:r w:rsidR="008E3850">
        <w:t xml:space="preserve">dashboard and make the dashboard </w:t>
      </w:r>
      <w:r w:rsidRPr="008E3850" w:rsidR="008E3850">
        <w:t>available to authorized NPDES programs and NPDES-regulated entities.</w:t>
      </w:r>
    </w:p>
    <w:p w:rsidR="00F5104E" w:rsidP="007664A0" w:rsidRDefault="00F5104E" w14:paraId="05ED5EF3" w14:textId="77777777">
      <w:pPr>
        <w:pStyle w:val="Heading2"/>
      </w:pPr>
      <w:r>
        <w:t>Collection Methodology and Management</w:t>
      </w:r>
    </w:p>
    <w:p w:rsidR="0025193D" w:rsidP="00A00C87" w:rsidRDefault="0025193D" w14:paraId="0A1B500D" w14:textId="7390816C">
      <w:pPr>
        <w:pStyle w:val="BodyText"/>
      </w:pPr>
      <w:r w:rsidRPr="0025193D">
        <w:t xml:space="preserve">Authorized NPDES programs will need to submit a waiver request when they are seeking an </w:t>
      </w:r>
      <w:r w:rsidRPr="00790CD0" w:rsidR="00790CD0">
        <w:t>alternative Phase 2 compliance deadline</w:t>
      </w:r>
      <w:r w:rsidRPr="0025193D">
        <w:t xml:space="preserve"> for general permits or program reports. This will involve complet</w:t>
      </w:r>
      <w:r w:rsidR="006D4A74">
        <w:t>ing</w:t>
      </w:r>
      <w:r w:rsidRPr="0025193D">
        <w:t xml:space="preserve"> a two- or three-page </w:t>
      </w:r>
      <w:r>
        <w:t>memorandum or f</w:t>
      </w:r>
      <w:r w:rsidRPr="0025193D">
        <w:t xml:space="preserve">orm with information listed above so that EPA can make an informed decision on whether to approve </w:t>
      </w:r>
      <w:r w:rsidR="008E3850">
        <w:t xml:space="preserve">or deny </w:t>
      </w:r>
      <w:r w:rsidRPr="0025193D">
        <w:t>the request.</w:t>
      </w:r>
      <w:r>
        <w:t xml:space="preserve"> This </w:t>
      </w:r>
      <w:r w:rsidRPr="0025193D">
        <w:t>memorandum or form</w:t>
      </w:r>
      <w:r>
        <w:t xml:space="preserve"> will be email</w:t>
      </w:r>
      <w:r w:rsidR="006D4A74">
        <w:t>ed</w:t>
      </w:r>
      <w:r>
        <w:t xml:space="preserve"> to EPA (</w:t>
      </w:r>
      <w:hyperlink w:history="1" r:id="rId13">
        <w:r w:rsidRPr="00882B81">
          <w:rPr>
            <w:rStyle w:val="Hyperlink"/>
          </w:rPr>
          <w:t>NPDESeReporting@epa.gov</w:t>
        </w:r>
      </w:hyperlink>
      <w:r>
        <w:t xml:space="preserve">). </w:t>
      </w:r>
    </w:p>
    <w:p w:rsidR="00BD494C" w:rsidP="00EB0FAA" w:rsidRDefault="0025193D" w14:paraId="69BC6EAA" w14:textId="43354573">
      <w:pPr>
        <w:pStyle w:val="BodyText"/>
      </w:pPr>
      <w:r w:rsidRPr="0025193D">
        <w:t>Authorized NPDES programs will need to</w:t>
      </w:r>
      <w:r>
        <w:t xml:space="preserve"> provide updates to EPA’s </w:t>
      </w:r>
      <w:r w:rsidRPr="0025193D">
        <w:t>inventory of general permits and program</w:t>
      </w:r>
      <w:r>
        <w:t xml:space="preserve"> </w:t>
      </w:r>
      <w:r w:rsidR="006D4A74">
        <w:t xml:space="preserve">reports </w:t>
      </w:r>
      <w:r w:rsidRPr="008E3850" w:rsidR="008E3850">
        <w:t xml:space="preserve">and the related electronic reporting tools </w:t>
      </w:r>
      <w:r>
        <w:t xml:space="preserve">by sending an email to EPA </w:t>
      </w:r>
      <w:r w:rsidRPr="0025193D">
        <w:t>(</w:t>
      </w:r>
      <w:hyperlink w:history="1" r:id="rId14">
        <w:r w:rsidRPr="00882B81">
          <w:rPr>
            <w:rStyle w:val="Hyperlink"/>
          </w:rPr>
          <w:t>NPDESeReporting@epa.gov</w:t>
        </w:r>
      </w:hyperlink>
      <w:r w:rsidRPr="0025193D">
        <w:t>).</w:t>
      </w:r>
      <w:r>
        <w:t xml:space="preserve"> </w:t>
      </w:r>
      <w:r w:rsidRPr="0025193D">
        <w:t xml:space="preserve">Authorized NPDES programs will </w:t>
      </w:r>
      <w:r>
        <w:t xml:space="preserve">also need to annually confirm through </w:t>
      </w:r>
      <w:r w:rsidR="008E3850">
        <w:t xml:space="preserve">a </w:t>
      </w:r>
      <w:r w:rsidRPr="008E3850" w:rsidR="008E3850">
        <w:t xml:space="preserve">memorandum or form </w:t>
      </w:r>
      <w:r>
        <w:t xml:space="preserve">that the </w:t>
      </w:r>
      <w:r w:rsidRPr="0025193D">
        <w:t>EPA’s inventory of general permits and program</w:t>
      </w:r>
      <w:r>
        <w:t xml:space="preserve"> reports </w:t>
      </w:r>
      <w:r w:rsidRPr="008E3850" w:rsidR="008E3850">
        <w:t xml:space="preserve">and the related electronic reporting tools </w:t>
      </w:r>
      <w:r>
        <w:t xml:space="preserve">are accurate and complete. </w:t>
      </w:r>
    </w:p>
    <w:p w:rsidR="00F5104E" w:rsidP="007664A0" w:rsidRDefault="00F5104E" w14:paraId="7CEE4E3D" w14:textId="77777777">
      <w:pPr>
        <w:pStyle w:val="Heading2"/>
      </w:pPr>
      <w:r>
        <w:t>Small Entity Flexibility</w:t>
      </w:r>
    </w:p>
    <w:p w:rsidRPr="001B6B2B" w:rsidR="0099194F" w:rsidP="0025193D" w:rsidRDefault="0025193D" w14:paraId="7616603C" w14:textId="4CF698AB">
      <w:pPr>
        <w:pStyle w:val="BodyText"/>
      </w:pPr>
      <w:r>
        <w:t>A</w:t>
      </w:r>
      <w:r w:rsidR="006A0B22">
        <w:t>uthorized NPDES programs</w:t>
      </w:r>
      <w:r w:rsidR="000636EE">
        <w:t xml:space="preserve"> </w:t>
      </w:r>
      <w:r w:rsidR="00736EF1">
        <w:t>will</w:t>
      </w:r>
      <w:r w:rsidR="000636EE">
        <w:t xml:space="preserve"> also incur costs during the period of this ICR, but by definition are not considered to be small entities.</w:t>
      </w:r>
    </w:p>
    <w:p w:rsidR="00F5104E" w:rsidP="007664A0" w:rsidRDefault="00F5104E" w14:paraId="11EAA02A" w14:textId="77777777">
      <w:pPr>
        <w:pStyle w:val="Heading2"/>
      </w:pPr>
      <w:bookmarkStart w:name="_Ref311808620" w:id="10"/>
      <w:r>
        <w:t>Collection Schedule</w:t>
      </w:r>
      <w:bookmarkEnd w:id="10"/>
    </w:p>
    <w:p w:rsidR="00E81CF6" w:rsidP="00C41D0B" w:rsidRDefault="00C41D0B" w14:paraId="41F26038" w14:textId="21AED222">
      <w:pPr>
        <w:pStyle w:val="BodyText"/>
      </w:pPr>
      <w:r>
        <w:t xml:space="preserve">This ICR covers only those activities that occur within the first three years after the effective date of the </w:t>
      </w:r>
      <w:r w:rsidRPr="00941758" w:rsidR="00941758">
        <w:t>NPDES Electronic Reporting Rule – Phase 2 Extension</w:t>
      </w:r>
      <w:r w:rsidR="00941758">
        <w:t xml:space="preserve"> final rule</w:t>
      </w:r>
      <w:r>
        <w:t>. The analysis</w:t>
      </w:r>
      <w:r w:rsidR="00E81CF6">
        <w:t xml:space="preserve"> </w:t>
      </w:r>
      <w:r>
        <w:t xml:space="preserve">makes </w:t>
      </w:r>
      <w:r w:rsidR="00E81CF6">
        <w:t xml:space="preserve">a </w:t>
      </w:r>
      <w:r>
        <w:t xml:space="preserve">conservative </w:t>
      </w:r>
      <w:r>
        <w:lastRenderedPageBreak/>
        <w:t xml:space="preserve">assumption regarding the </w:t>
      </w:r>
      <w:r w:rsidR="00E81CF6">
        <w:t xml:space="preserve">number of </w:t>
      </w:r>
      <w:r w:rsidRPr="00E81CF6" w:rsidR="00E81CF6">
        <w:t xml:space="preserve">authorized NPDES program </w:t>
      </w:r>
      <w:r w:rsidR="00E81CF6">
        <w:t xml:space="preserve">that will need to submit </w:t>
      </w:r>
      <w:r w:rsidRPr="00E81CF6" w:rsidR="00E81CF6">
        <w:t xml:space="preserve">an </w:t>
      </w:r>
      <w:r w:rsidRPr="00790CD0" w:rsidR="00790CD0">
        <w:t>alternative Phase 2 compliance deadlin</w:t>
      </w:r>
      <w:r w:rsidR="00790CD0">
        <w:t xml:space="preserve">e </w:t>
      </w:r>
      <w:r w:rsidRPr="00E81CF6" w:rsidR="00E81CF6">
        <w:t>request</w:t>
      </w:r>
      <w:r w:rsidR="00E81CF6">
        <w:t xml:space="preserve">. </w:t>
      </w:r>
      <w:r>
        <w:t xml:space="preserve">Specifically, the analysis assumes that </w:t>
      </w:r>
      <w:r w:rsidR="00E81CF6">
        <w:t xml:space="preserve">one third </w:t>
      </w:r>
      <w:r w:rsidR="0025193D">
        <w:t xml:space="preserve">of the </w:t>
      </w:r>
      <w:r w:rsidR="008A39CC">
        <w:t>4</w:t>
      </w:r>
      <w:r w:rsidR="00831DE0">
        <w:t>7</w:t>
      </w:r>
      <w:r w:rsidR="008A39CC">
        <w:t xml:space="preserve"> </w:t>
      </w:r>
      <w:r w:rsidR="0025193D">
        <w:t xml:space="preserve">authorized NPDES program </w:t>
      </w:r>
      <w:r w:rsidR="008A39CC">
        <w:t xml:space="preserve">that have elected to build one or more electronic reporting tools </w:t>
      </w:r>
      <w:r w:rsidR="00E81CF6">
        <w:t>(</w:t>
      </w:r>
      <w:r w:rsidR="008A39CC">
        <w:t>approximately 15</w:t>
      </w:r>
      <w:r w:rsidR="00E81CF6">
        <w:t xml:space="preserve"> programs) will need to complete an</w:t>
      </w:r>
      <w:r w:rsidRPr="00E81CF6" w:rsidR="00E81CF6">
        <w:t xml:space="preserve"> </w:t>
      </w:r>
      <w:r w:rsidRPr="00790CD0" w:rsidR="00790CD0">
        <w:t>alternative Phase 2 compliance deadline</w:t>
      </w:r>
      <w:r w:rsidR="00790CD0">
        <w:t xml:space="preserve"> </w:t>
      </w:r>
      <w:r w:rsidRPr="00E81CF6" w:rsidR="00E81CF6">
        <w:t>request</w:t>
      </w:r>
      <w:r w:rsidR="008A39CC">
        <w:t xml:space="preserve"> within the time period covered by this ICR</w:t>
      </w:r>
      <w:r w:rsidR="00E81CF6">
        <w:t xml:space="preserve">. </w:t>
      </w:r>
      <w:r w:rsidR="007C0B94">
        <w:t xml:space="preserve">This estimate does not account for the state-electronic reporting tools that are already deployed (i.e., no </w:t>
      </w:r>
      <w:r w:rsidRPr="00790CD0" w:rsidR="00790CD0">
        <w:t>alternative Phase 2 compliance deadline</w:t>
      </w:r>
      <w:r w:rsidR="00790CD0">
        <w:t xml:space="preserve"> </w:t>
      </w:r>
      <w:r w:rsidR="007C0B94">
        <w:t xml:space="preserve">needed). </w:t>
      </w:r>
    </w:p>
    <w:p w:rsidR="00BE7FE9" w:rsidP="00E81CF6" w:rsidRDefault="00E81CF6" w14:paraId="3502EB9F" w14:textId="42A9B536">
      <w:pPr>
        <w:pStyle w:val="BodyText"/>
      </w:pPr>
      <w:r>
        <w:t xml:space="preserve">Additionally, all 48 programs will need to submit </w:t>
      </w:r>
      <w:r w:rsidRPr="00E81CF6">
        <w:t>general permits and program report</w:t>
      </w:r>
      <w:r>
        <w:t xml:space="preserve"> data to EPA on a regular basis </w:t>
      </w:r>
      <w:r w:rsidR="008E3850">
        <w:t xml:space="preserve">(within 40 days of completed activity) </w:t>
      </w:r>
      <w:r>
        <w:t xml:space="preserve">and annually confirm its accuracy. </w:t>
      </w:r>
    </w:p>
    <w:p w:rsidR="00F5104E" w:rsidP="003F7CEB" w:rsidRDefault="00F5104E" w14:paraId="0937B33C" w14:textId="18D63CE9">
      <w:pPr>
        <w:pStyle w:val="Heading1"/>
      </w:pPr>
      <w:bookmarkStart w:name="_Ref311809188" w:id="11"/>
      <w:r>
        <w:t>ESTIMATING THE BURDEN AND COST OF THE COLLECTION</w:t>
      </w:r>
      <w:bookmarkEnd w:id="11"/>
    </w:p>
    <w:p w:rsidR="00AC4AEA" w:rsidP="00C2679E" w:rsidRDefault="00C2679E" w14:paraId="4CC888D4" w14:textId="11812158">
      <w:pPr>
        <w:pStyle w:val="BodyText"/>
      </w:pPr>
      <w:r>
        <w:t xml:space="preserve">This section presents the burden and cost estimates associated with the </w:t>
      </w:r>
      <w:r w:rsidR="00EF2017">
        <w:t>final rule</w:t>
      </w:r>
      <w:r>
        <w:t xml:space="preserve"> </w:t>
      </w:r>
      <w:r w:rsidR="003B59BA">
        <w:t xml:space="preserve">associated with this ICR. </w:t>
      </w:r>
      <w:r w:rsidRPr="000B567A" w:rsidR="00AC4AEA">
        <w:t xml:space="preserve">EPA estimates that approximately </w:t>
      </w:r>
      <w:r w:rsidR="003B59BA">
        <w:t>48</w:t>
      </w:r>
      <w:r w:rsidRPr="00C407D7" w:rsidR="00AC4AEA">
        <w:t xml:space="preserve"> </w:t>
      </w:r>
      <w:r w:rsidRPr="000B567A" w:rsidR="00AC4AEA">
        <w:t>respondents</w:t>
      </w:r>
      <w:r w:rsidRPr="008A70CF" w:rsidR="00AC4AEA">
        <w:t xml:space="preserve"> </w:t>
      </w:r>
      <w:r w:rsidR="00736EF1">
        <w:t>will</w:t>
      </w:r>
      <w:r w:rsidRPr="008A70CF" w:rsidR="00AC4AEA">
        <w:t xml:space="preserve"> </w:t>
      </w:r>
      <w:r w:rsidR="003B59BA">
        <w:t xml:space="preserve">annually </w:t>
      </w:r>
      <w:r w:rsidRPr="008A70CF" w:rsidR="00AC4AEA">
        <w:t>incur paperwork-related burden</w:t>
      </w:r>
      <w:r w:rsidRPr="000B567A" w:rsidR="00AC4AEA">
        <w:t xml:space="preserve"> following promulgation of the rule. </w:t>
      </w:r>
      <w:r w:rsidRPr="00C407D7" w:rsidR="00AC4AEA">
        <w:t xml:space="preserve">This number is </w:t>
      </w:r>
      <w:r w:rsidR="003B59BA">
        <w:t xml:space="preserve">based on the number of NPDES authorized NPDES programs. </w:t>
      </w:r>
    </w:p>
    <w:p w:rsidR="00F5104E" w:rsidP="007664A0" w:rsidRDefault="00F5104E" w14:paraId="118339BA" w14:textId="77777777">
      <w:pPr>
        <w:pStyle w:val="Heading2"/>
      </w:pPr>
      <w:bookmarkStart w:name="_Ref293303067" w:id="12"/>
      <w:r>
        <w:t xml:space="preserve">Estimating </w:t>
      </w:r>
      <w:r w:rsidR="00CB7593">
        <w:t xml:space="preserve">Total </w:t>
      </w:r>
      <w:r>
        <w:t>Respondent</w:t>
      </w:r>
      <w:r w:rsidR="00E55BDF">
        <w:t xml:space="preserve"> </w:t>
      </w:r>
      <w:r>
        <w:t>Burden</w:t>
      </w:r>
      <w:bookmarkEnd w:id="12"/>
    </w:p>
    <w:p w:rsidR="00282F5B" w:rsidP="00117ACF" w:rsidRDefault="00117ACF" w14:paraId="308EA4F1" w14:textId="5BF3A695">
      <w:pPr>
        <w:pStyle w:val="BodyText"/>
      </w:pPr>
      <w:r w:rsidRPr="00117ACF">
        <w:t xml:space="preserve">EPA estimates that </w:t>
      </w:r>
      <w:r w:rsidR="00193DBB">
        <w:t xml:space="preserve">state </w:t>
      </w:r>
      <w:r w:rsidR="006A0B22">
        <w:t>authorized NPDES programs</w:t>
      </w:r>
      <w:r w:rsidRPr="00117ACF">
        <w:t xml:space="preserve"> </w:t>
      </w:r>
      <w:r w:rsidR="00736EF1">
        <w:t>will</w:t>
      </w:r>
      <w:r w:rsidRPr="00117ACF">
        <w:t xml:space="preserve"> incur additional burden in carrying out the additional activities </w:t>
      </w:r>
      <w:r w:rsidR="009D3BE3">
        <w:t>required</w:t>
      </w:r>
      <w:r w:rsidRPr="00117ACF" w:rsidR="009D3BE3">
        <w:t xml:space="preserve"> </w:t>
      </w:r>
      <w:r w:rsidRPr="00117ACF">
        <w:t xml:space="preserve">by the rule. Specifically, they </w:t>
      </w:r>
      <w:r w:rsidR="00736EF1">
        <w:t>will</w:t>
      </w:r>
      <w:r w:rsidRPr="00117ACF">
        <w:t xml:space="preserve"> incur </w:t>
      </w:r>
      <w:r w:rsidR="00390BA2">
        <w:t>burden</w:t>
      </w:r>
      <w:r w:rsidRPr="00117ACF" w:rsidR="00390BA2">
        <w:t xml:space="preserve"> </w:t>
      </w:r>
      <w:r w:rsidRPr="00117ACF">
        <w:t xml:space="preserve">to: </w:t>
      </w:r>
    </w:p>
    <w:p w:rsidR="006A05CE" w:rsidP="009C05EE" w:rsidRDefault="006A05CE" w14:paraId="70F04860" w14:textId="3F446056">
      <w:pPr>
        <w:pStyle w:val="Bullet"/>
        <w:numPr>
          <w:ilvl w:val="0"/>
          <w:numId w:val="4"/>
        </w:numPr>
      </w:pPr>
      <w:r>
        <w:t xml:space="preserve">Prepare and send a </w:t>
      </w:r>
      <w:r w:rsidRPr="006A05CE">
        <w:t xml:space="preserve">waiver request </w:t>
      </w:r>
      <w:r>
        <w:t xml:space="preserve">to EPA when they are seeking an </w:t>
      </w:r>
      <w:r w:rsidRPr="00790CD0" w:rsidR="00790CD0">
        <w:t>alternative Phase 2 compliance deadline</w:t>
      </w:r>
      <w:r w:rsidR="00790CD0">
        <w:t xml:space="preserve"> </w:t>
      </w:r>
      <w:r>
        <w:t>for general permits or program reports. This will involve complet</w:t>
      </w:r>
      <w:r w:rsidR="006D4A74">
        <w:t>ing</w:t>
      </w:r>
      <w:r>
        <w:t xml:space="preserve"> a two- or three-page memorandum or form with information listed above so that EPA can make an informed decision on whether to approve or deny the request. This request should be submitted at least 120 days prior to the </w:t>
      </w:r>
      <w:r w:rsidR="00F911DD">
        <w:t>compliance</w:t>
      </w:r>
      <w:r>
        <w:t xml:space="preserve"> dates in Table 1 to 40 CFR 127.16 or a previously EPA approved </w:t>
      </w:r>
      <w:r w:rsidRPr="00790CD0" w:rsidR="00790CD0">
        <w:t>alternative Phase 2 compliance deadline</w:t>
      </w:r>
      <w:r>
        <w:t>.</w:t>
      </w:r>
      <w:r w:rsidR="008A39CC">
        <w:t xml:space="preserve"> </w:t>
      </w:r>
    </w:p>
    <w:p w:rsidR="006A05CE" w:rsidP="009C05EE" w:rsidRDefault="006A05CE" w14:paraId="4D158588" w14:textId="4D1673B7">
      <w:pPr>
        <w:pStyle w:val="Bullet"/>
        <w:numPr>
          <w:ilvl w:val="0"/>
          <w:numId w:val="4"/>
        </w:numPr>
      </w:pPr>
      <w:r w:rsidRPr="006A05CE">
        <w:t xml:space="preserve">Prepare and send </w:t>
      </w:r>
      <w:r>
        <w:t>basic information to EPA as they update or deploy their general permits and program reports and the related electronic reporting tools. These updates should be timely in that the authorized NPDES program sends an email to EPA within 40 days of the completed activity</w:t>
      </w:r>
      <w:r w:rsidR="008A39CC">
        <w:t>.</w:t>
      </w:r>
      <w:r w:rsidRPr="00A829B4" w:rsidR="00A829B4">
        <w:t xml:space="preserve"> EPA may also create an online form for authorized NPDES programs to submit these data.</w:t>
      </w:r>
    </w:p>
    <w:p w:rsidR="006A05CE" w:rsidP="009C05EE" w:rsidRDefault="006A05CE" w14:paraId="5C3BC72E" w14:textId="73527ABB">
      <w:pPr>
        <w:pStyle w:val="Bullet"/>
        <w:numPr>
          <w:ilvl w:val="0"/>
          <w:numId w:val="4"/>
        </w:numPr>
      </w:pPr>
      <w:r>
        <w:t>Annually review EPA’s inventory of general permits and program reports and the related electronic reporting tools. Authorized NPDES programs will summarize this review in an email to EPA. This email will confirm that EPA’s inventory is complete and accurate as well as identify any necessary changes</w:t>
      </w:r>
      <w:r w:rsidRPr="008A39CC" w:rsidR="008A39CC">
        <w:t>.</w:t>
      </w:r>
      <w:r w:rsidRPr="00A829B4" w:rsidR="00A829B4">
        <w:t xml:space="preserve"> EPA may also create an online form for authorized NPDES programs to submit these data.</w:t>
      </w:r>
    </w:p>
    <w:p w:rsidR="006A05CE" w:rsidP="006A05CE" w:rsidRDefault="006A05CE" w14:paraId="65595806" w14:textId="77777777">
      <w:pPr>
        <w:pStyle w:val="Bullet"/>
        <w:numPr>
          <w:ilvl w:val="0"/>
          <w:numId w:val="0"/>
        </w:numPr>
        <w:ind w:left="720"/>
      </w:pPr>
    </w:p>
    <w:p w:rsidR="006A05CE" w:rsidP="006A05CE" w:rsidRDefault="00BD451F" w14:paraId="62E85D0C" w14:textId="5634A059">
      <w:pPr>
        <w:pStyle w:val="Bullet"/>
        <w:numPr>
          <w:ilvl w:val="0"/>
          <w:numId w:val="0"/>
        </w:numPr>
      </w:pPr>
      <w:r>
        <w:t>The sections below identify the assumptions used to</w:t>
      </w:r>
      <w:r w:rsidRPr="00117ACF" w:rsidR="00117ACF">
        <w:t xml:space="preserve"> estimate the burden associated with </w:t>
      </w:r>
      <w:r>
        <w:t>those activities that occur during the ICR period</w:t>
      </w:r>
      <w:r w:rsidRPr="00117ACF" w:rsidR="00117ACF">
        <w:t>.</w:t>
      </w:r>
      <w:r w:rsidR="006A05CE">
        <w:t xml:space="preserve"> Under the NPDES </w:t>
      </w:r>
      <w:proofErr w:type="spellStart"/>
      <w:r w:rsidR="006A05CE">
        <w:t>eRule</w:t>
      </w:r>
      <w:proofErr w:type="spellEnd"/>
      <w:r w:rsidR="006A05CE">
        <w:t xml:space="preserve"> </w:t>
      </w:r>
      <w:r w:rsidR="00102422">
        <w:t>Authorized NPDES programs</w:t>
      </w:r>
      <w:r w:rsidRPr="00AB6141" w:rsidR="00102422">
        <w:t xml:space="preserve"> </w:t>
      </w:r>
      <w:r w:rsidR="006A05CE">
        <w:t xml:space="preserve">can elect to use EPA’s NPDES Electronic Reporting Tool (or “NeT”) or build their own </w:t>
      </w:r>
      <w:r w:rsidR="00073296">
        <w:t xml:space="preserve">electronic reporting tools. This ICR uses the following terms to estimate the burden associated with the </w:t>
      </w:r>
      <w:r w:rsidR="00EF2017">
        <w:t>final rule</w:t>
      </w:r>
      <w:r w:rsidR="00073296">
        <w:t>.</w:t>
      </w:r>
      <w:r w:rsidR="002140AF">
        <w:t xml:space="preserve"> In total there are 93</w:t>
      </w:r>
      <w:r w:rsidR="005068DA">
        <w:t>3</w:t>
      </w:r>
      <w:r w:rsidR="002140AF">
        <w:t xml:space="preserve"> NPDES general permits and 409 program reports. </w:t>
      </w:r>
      <w:r w:rsidRPr="002140AF" w:rsidR="002140AF">
        <w:t xml:space="preserve">EPA administers the </w:t>
      </w:r>
      <w:r w:rsidR="002140AF">
        <w:t xml:space="preserve">entire </w:t>
      </w:r>
      <w:r w:rsidRPr="002140AF" w:rsidR="002140AF">
        <w:t xml:space="preserve">NPDES program in </w:t>
      </w:r>
      <w:r w:rsidR="002140AF">
        <w:t>three</w:t>
      </w:r>
      <w:r w:rsidRPr="002140AF" w:rsidR="002140AF">
        <w:t xml:space="preserve"> states (e.g., M</w:t>
      </w:r>
      <w:r w:rsidR="002140AF">
        <w:t>assachusetts</w:t>
      </w:r>
      <w:r w:rsidRPr="002140AF" w:rsidR="002140AF">
        <w:t>, N</w:t>
      </w:r>
      <w:r w:rsidR="002140AF">
        <w:t>ew Hampshire</w:t>
      </w:r>
      <w:r w:rsidRPr="002140AF" w:rsidR="002140AF">
        <w:t>, and N</w:t>
      </w:r>
      <w:r w:rsidR="002140AF">
        <w:t xml:space="preserve">ew </w:t>
      </w:r>
      <w:r w:rsidRPr="002140AF" w:rsidR="002140AF">
        <w:t>M</w:t>
      </w:r>
      <w:r w:rsidR="002140AF">
        <w:t xml:space="preserve">exico), all tribal lands and territories except for the US. Virgin Islands, and parts of the NPDES program in other states (e.g., </w:t>
      </w:r>
      <w:r w:rsidRPr="002140AF" w:rsidR="002140AF">
        <w:t>pretreatment program for PA) as well as tribal lands and territories.</w:t>
      </w:r>
      <w:r w:rsidR="002140AF">
        <w:t xml:space="preserve"> The U.S. Virgin Islands has elected to use NeT for all of their </w:t>
      </w:r>
      <w:r w:rsidR="00831DE0">
        <w:t xml:space="preserve">general permits and program reports. The remaining 47 states authorized for the core NPDES program have elected to build electronic reporting tools for one or more of their general permits or program reports. The following are the counts of general permits and program reports by issuer and planned usage status for NeT. </w:t>
      </w:r>
    </w:p>
    <w:p w:rsidR="00FB7B08" w:rsidP="006A05CE" w:rsidRDefault="00FB7B08" w14:paraId="784D263F" w14:textId="42C12670">
      <w:pPr>
        <w:pStyle w:val="Bullet"/>
        <w:numPr>
          <w:ilvl w:val="0"/>
          <w:numId w:val="0"/>
        </w:numPr>
      </w:pPr>
    </w:p>
    <w:p w:rsidRPr="00831DE0" w:rsidR="00FB7B08" w:rsidP="00831DE0" w:rsidRDefault="00831DE0" w14:paraId="06EC71BB" w14:textId="57139F75">
      <w:pPr>
        <w:pStyle w:val="Bullet"/>
        <w:numPr>
          <w:ilvl w:val="0"/>
          <w:numId w:val="0"/>
        </w:numPr>
        <w:jc w:val="center"/>
        <w:rPr>
          <w:b/>
        </w:rPr>
      </w:pPr>
      <w:r w:rsidRPr="00831DE0">
        <w:rPr>
          <w:b/>
        </w:rPr>
        <w:lastRenderedPageBreak/>
        <w:t xml:space="preserve">NPDES </w:t>
      </w:r>
      <w:r w:rsidRPr="00831DE0" w:rsidR="002140AF">
        <w:rPr>
          <w:b/>
        </w:rPr>
        <w:t>General Permit Count</w:t>
      </w:r>
    </w:p>
    <w:p w:rsidR="002140AF" w:rsidP="006A05CE" w:rsidRDefault="002140AF" w14:paraId="188B54B3" w14:textId="343D1DB0">
      <w:pPr>
        <w:pStyle w:val="Bullet"/>
        <w:numPr>
          <w:ilvl w:val="0"/>
          <w:numId w:val="0"/>
        </w:numPr>
      </w:pPr>
    </w:p>
    <w:tbl>
      <w:tblPr>
        <w:tblStyle w:val="TableGrid"/>
        <w:tblW w:w="0" w:type="auto"/>
        <w:tblLook w:val="04A0" w:firstRow="1" w:lastRow="0" w:firstColumn="1" w:lastColumn="0" w:noHBand="0" w:noVBand="1"/>
      </w:tblPr>
      <w:tblGrid>
        <w:gridCol w:w="1795"/>
        <w:gridCol w:w="3600"/>
        <w:gridCol w:w="3955"/>
      </w:tblGrid>
      <w:tr w:rsidR="002140AF" w:rsidTr="00831DE0" w14:paraId="65DFFBB4" w14:textId="77777777">
        <w:tc>
          <w:tcPr>
            <w:tcW w:w="1795" w:type="dxa"/>
            <w:shd w:val="pct5" w:color="auto" w:fill="auto"/>
            <w:vAlign w:val="center"/>
          </w:tcPr>
          <w:p w:rsidRPr="00831DE0" w:rsidR="002140AF" w:rsidP="002140AF" w:rsidRDefault="002140AF" w14:paraId="458BC2FE" w14:textId="29FBCE00">
            <w:pPr>
              <w:pStyle w:val="Bullet"/>
              <w:numPr>
                <w:ilvl w:val="0"/>
                <w:numId w:val="0"/>
              </w:numPr>
              <w:jc w:val="center"/>
              <w:rPr>
                <w:b/>
              </w:rPr>
            </w:pPr>
            <w:r w:rsidRPr="00831DE0">
              <w:rPr>
                <w:b/>
              </w:rPr>
              <w:t>Issuing Agency</w:t>
            </w:r>
          </w:p>
        </w:tc>
        <w:tc>
          <w:tcPr>
            <w:tcW w:w="3600" w:type="dxa"/>
            <w:shd w:val="pct5" w:color="auto" w:fill="auto"/>
            <w:vAlign w:val="center"/>
          </w:tcPr>
          <w:p w:rsidRPr="00831DE0" w:rsidR="002140AF" w:rsidP="002140AF" w:rsidRDefault="002140AF" w14:paraId="1DC46204" w14:textId="564316F0">
            <w:pPr>
              <w:pStyle w:val="Bullet"/>
              <w:numPr>
                <w:ilvl w:val="0"/>
                <w:numId w:val="0"/>
              </w:numPr>
              <w:jc w:val="center"/>
              <w:rPr>
                <w:b/>
              </w:rPr>
            </w:pPr>
            <w:r w:rsidRPr="00831DE0">
              <w:rPr>
                <w:b/>
              </w:rPr>
              <w:t>Usage of EPA’s NPDES Electronic Reporting Tool (or “NeT”)</w:t>
            </w:r>
          </w:p>
        </w:tc>
        <w:tc>
          <w:tcPr>
            <w:tcW w:w="3955" w:type="dxa"/>
            <w:shd w:val="pct5" w:color="auto" w:fill="auto"/>
            <w:vAlign w:val="center"/>
          </w:tcPr>
          <w:p w:rsidRPr="00831DE0" w:rsidR="002140AF" w:rsidP="002140AF" w:rsidRDefault="002140AF" w14:paraId="11F101D5" w14:textId="5196E067">
            <w:pPr>
              <w:pStyle w:val="Bullet"/>
              <w:numPr>
                <w:ilvl w:val="0"/>
                <w:numId w:val="0"/>
              </w:numPr>
              <w:jc w:val="center"/>
              <w:rPr>
                <w:b/>
              </w:rPr>
            </w:pPr>
            <w:r w:rsidRPr="00831DE0">
              <w:rPr>
                <w:b/>
              </w:rPr>
              <w:t>No usage of EPA’s NPDES Electronic Reporting Tool (or “NeT”)</w:t>
            </w:r>
          </w:p>
        </w:tc>
      </w:tr>
      <w:tr w:rsidR="002140AF" w:rsidTr="002140AF" w14:paraId="4E245AC1" w14:textId="77777777">
        <w:tc>
          <w:tcPr>
            <w:tcW w:w="1795" w:type="dxa"/>
          </w:tcPr>
          <w:p w:rsidR="002140AF" w:rsidP="002140AF" w:rsidRDefault="002140AF" w14:paraId="5CC8127D" w14:textId="086F08FA">
            <w:pPr>
              <w:pStyle w:val="Bullet"/>
              <w:numPr>
                <w:ilvl w:val="0"/>
                <w:numId w:val="0"/>
              </w:numPr>
              <w:jc w:val="center"/>
            </w:pPr>
            <w:r>
              <w:t>State</w:t>
            </w:r>
          </w:p>
        </w:tc>
        <w:tc>
          <w:tcPr>
            <w:tcW w:w="3600" w:type="dxa"/>
          </w:tcPr>
          <w:p w:rsidR="002140AF" w:rsidP="002140AF" w:rsidRDefault="002140AF" w14:paraId="027A270C" w14:textId="3EBB3DC7">
            <w:pPr>
              <w:pStyle w:val="Bullet"/>
              <w:numPr>
                <w:ilvl w:val="0"/>
                <w:numId w:val="0"/>
              </w:numPr>
              <w:jc w:val="center"/>
            </w:pPr>
            <w:r>
              <w:t>8</w:t>
            </w:r>
            <w:r w:rsidR="005068DA">
              <w:t>1</w:t>
            </w:r>
          </w:p>
        </w:tc>
        <w:tc>
          <w:tcPr>
            <w:tcW w:w="3955" w:type="dxa"/>
          </w:tcPr>
          <w:p w:rsidR="002140AF" w:rsidP="002140AF" w:rsidRDefault="002140AF" w14:paraId="23389E79" w14:textId="11E96964">
            <w:pPr>
              <w:pStyle w:val="Bullet"/>
              <w:numPr>
                <w:ilvl w:val="0"/>
                <w:numId w:val="0"/>
              </w:numPr>
              <w:jc w:val="center"/>
            </w:pPr>
            <w:r>
              <w:t>681</w:t>
            </w:r>
          </w:p>
        </w:tc>
      </w:tr>
      <w:tr w:rsidR="002140AF" w:rsidTr="002140AF" w14:paraId="545653CF" w14:textId="77777777">
        <w:tc>
          <w:tcPr>
            <w:tcW w:w="1795" w:type="dxa"/>
          </w:tcPr>
          <w:p w:rsidR="002140AF" w:rsidP="002140AF" w:rsidRDefault="002140AF" w14:paraId="63BA83F0" w14:textId="0B58B791">
            <w:pPr>
              <w:pStyle w:val="Bullet"/>
              <w:numPr>
                <w:ilvl w:val="0"/>
                <w:numId w:val="0"/>
              </w:numPr>
              <w:jc w:val="center"/>
            </w:pPr>
            <w:r>
              <w:t>U.S. EPA</w:t>
            </w:r>
          </w:p>
        </w:tc>
        <w:tc>
          <w:tcPr>
            <w:tcW w:w="3600" w:type="dxa"/>
          </w:tcPr>
          <w:p w:rsidR="002140AF" w:rsidP="002140AF" w:rsidRDefault="002140AF" w14:paraId="056488A0" w14:textId="15BFAA1F">
            <w:pPr>
              <w:pStyle w:val="Bullet"/>
              <w:numPr>
                <w:ilvl w:val="0"/>
                <w:numId w:val="0"/>
              </w:numPr>
              <w:jc w:val="center"/>
            </w:pPr>
            <w:r>
              <w:t>160</w:t>
            </w:r>
          </w:p>
        </w:tc>
        <w:tc>
          <w:tcPr>
            <w:tcW w:w="3955" w:type="dxa"/>
          </w:tcPr>
          <w:p w:rsidR="002140AF" w:rsidP="002140AF" w:rsidRDefault="002140AF" w14:paraId="7CDA0DF4" w14:textId="4D60CD73">
            <w:pPr>
              <w:pStyle w:val="Bullet"/>
              <w:numPr>
                <w:ilvl w:val="0"/>
                <w:numId w:val="0"/>
              </w:numPr>
              <w:jc w:val="center"/>
            </w:pPr>
            <w:r>
              <w:t>11</w:t>
            </w:r>
          </w:p>
        </w:tc>
      </w:tr>
      <w:tr w:rsidR="002140AF" w:rsidTr="002140AF" w14:paraId="0B0C641F" w14:textId="77777777">
        <w:tc>
          <w:tcPr>
            <w:tcW w:w="1795" w:type="dxa"/>
          </w:tcPr>
          <w:p w:rsidR="002140AF" w:rsidP="002140AF" w:rsidRDefault="00831DE0" w14:paraId="0EDA03F2" w14:textId="3C4F3350">
            <w:pPr>
              <w:pStyle w:val="Bullet"/>
              <w:numPr>
                <w:ilvl w:val="0"/>
                <w:numId w:val="0"/>
              </w:numPr>
              <w:jc w:val="center"/>
            </w:pPr>
            <w:r>
              <w:t>Subtotal:</w:t>
            </w:r>
          </w:p>
        </w:tc>
        <w:tc>
          <w:tcPr>
            <w:tcW w:w="3600" w:type="dxa"/>
          </w:tcPr>
          <w:p w:rsidR="002140AF" w:rsidP="002140AF" w:rsidRDefault="00831DE0" w14:paraId="5CD602ED" w14:textId="4CD065EC">
            <w:pPr>
              <w:pStyle w:val="Bullet"/>
              <w:numPr>
                <w:ilvl w:val="0"/>
                <w:numId w:val="0"/>
              </w:numPr>
              <w:jc w:val="center"/>
            </w:pPr>
            <w:r>
              <w:t>24</w:t>
            </w:r>
            <w:r w:rsidR="005068DA">
              <w:t>1</w:t>
            </w:r>
          </w:p>
        </w:tc>
        <w:tc>
          <w:tcPr>
            <w:tcW w:w="3955" w:type="dxa"/>
          </w:tcPr>
          <w:p w:rsidR="002140AF" w:rsidP="002140AF" w:rsidRDefault="00831DE0" w14:paraId="193B17CA" w14:textId="7C750D47">
            <w:pPr>
              <w:pStyle w:val="Bullet"/>
              <w:numPr>
                <w:ilvl w:val="0"/>
                <w:numId w:val="0"/>
              </w:numPr>
              <w:jc w:val="center"/>
            </w:pPr>
            <w:r>
              <w:t>692</w:t>
            </w:r>
          </w:p>
        </w:tc>
      </w:tr>
    </w:tbl>
    <w:p w:rsidR="002140AF" w:rsidP="006A05CE" w:rsidRDefault="002140AF" w14:paraId="27A8A76E" w14:textId="26D91EC0">
      <w:pPr>
        <w:pStyle w:val="Bullet"/>
        <w:numPr>
          <w:ilvl w:val="0"/>
          <w:numId w:val="0"/>
        </w:numPr>
      </w:pPr>
    </w:p>
    <w:p w:rsidRPr="00831DE0" w:rsidR="00831DE0" w:rsidP="00831DE0" w:rsidRDefault="00831DE0" w14:paraId="727D7E05" w14:textId="563AE630">
      <w:pPr>
        <w:pStyle w:val="Bullet"/>
        <w:numPr>
          <w:ilvl w:val="0"/>
          <w:numId w:val="0"/>
        </w:numPr>
        <w:jc w:val="center"/>
        <w:rPr>
          <w:b/>
        </w:rPr>
      </w:pPr>
      <w:r w:rsidRPr="00831DE0">
        <w:rPr>
          <w:b/>
        </w:rPr>
        <w:t>NPDES Program Report Count</w:t>
      </w:r>
    </w:p>
    <w:p w:rsidR="00831DE0" w:rsidP="006A05CE" w:rsidRDefault="00831DE0" w14:paraId="2C9D99D7" w14:textId="35239989">
      <w:pPr>
        <w:pStyle w:val="Bullet"/>
        <w:numPr>
          <w:ilvl w:val="0"/>
          <w:numId w:val="0"/>
        </w:numPr>
      </w:pPr>
    </w:p>
    <w:tbl>
      <w:tblPr>
        <w:tblStyle w:val="TableGrid"/>
        <w:tblW w:w="0" w:type="auto"/>
        <w:tblLook w:val="04A0" w:firstRow="1" w:lastRow="0" w:firstColumn="1" w:lastColumn="0" w:noHBand="0" w:noVBand="1"/>
      </w:tblPr>
      <w:tblGrid>
        <w:gridCol w:w="1795"/>
        <w:gridCol w:w="3600"/>
        <w:gridCol w:w="3955"/>
      </w:tblGrid>
      <w:tr w:rsidRPr="00831DE0" w:rsidR="00831DE0" w:rsidTr="00736EF1" w14:paraId="139E8019" w14:textId="77777777">
        <w:tc>
          <w:tcPr>
            <w:tcW w:w="1795" w:type="dxa"/>
            <w:shd w:val="pct5" w:color="auto" w:fill="auto"/>
            <w:vAlign w:val="center"/>
          </w:tcPr>
          <w:p w:rsidRPr="00831DE0" w:rsidR="00831DE0" w:rsidP="00736EF1" w:rsidRDefault="00831DE0" w14:paraId="400EF035" w14:textId="77777777">
            <w:pPr>
              <w:pStyle w:val="Bullet"/>
              <w:numPr>
                <w:ilvl w:val="0"/>
                <w:numId w:val="0"/>
              </w:numPr>
              <w:jc w:val="center"/>
              <w:rPr>
                <w:b/>
              </w:rPr>
            </w:pPr>
            <w:r w:rsidRPr="00831DE0">
              <w:rPr>
                <w:b/>
              </w:rPr>
              <w:t>Issuing Agency</w:t>
            </w:r>
          </w:p>
        </w:tc>
        <w:tc>
          <w:tcPr>
            <w:tcW w:w="3600" w:type="dxa"/>
            <w:shd w:val="pct5" w:color="auto" w:fill="auto"/>
            <w:vAlign w:val="center"/>
          </w:tcPr>
          <w:p w:rsidRPr="00831DE0" w:rsidR="00831DE0" w:rsidP="00736EF1" w:rsidRDefault="00831DE0" w14:paraId="1821FE78" w14:textId="77777777">
            <w:pPr>
              <w:pStyle w:val="Bullet"/>
              <w:numPr>
                <w:ilvl w:val="0"/>
                <w:numId w:val="0"/>
              </w:numPr>
              <w:jc w:val="center"/>
              <w:rPr>
                <w:b/>
              </w:rPr>
            </w:pPr>
            <w:r w:rsidRPr="00831DE0">
              <w:rPr>
                <w:b/>
              </w:rPr>
              <w:t>Usage of EPA’s NPDES Electronic Reporting Tool (or “NeT”)</w:t>
            </w:r>
          </w:p>
        </w:tc>
        <w:tc>
          <w:tcPr>
            <w:tcW w:w="3955" w:type="dxa"/>
            <w:shd w:val="pct5" w:color="auto" w:fill="auto"/>
            <w:vAlign w:val="center"/>
          </w:tcPr>
          <w:p w:rsidRPr="00831DE0" w:rsidR="00831DE0" w:rsidP="00736EF1" w:rsidRDefault="00831DE0" w14:paraId="6B2C0A92" w14:textId="77777777">
            <w:pPr>
              <w:pStyle w:val="Bullet"/>
              <w:numPr>
                <w:ilvl w:val="0"/>
                <w:numId w:val="0"/>
              </w:numPr>
              <w:jc w:val="center"/>
              <w:rPr>
                <w:b/>
              </w:rPr>
            </w:pPr>
            <w:r w:rsidRPr="00831DE0">
              <w:rPr>
                <w:b/>
              </w:rPr>
              <w:t>No usage of EPA’s NPDES Electronic Reporting Tool (or “NeT”)</w:t>
            </w:r>
          </w:p>
        </w:tc>
      </w:tr>
      <w:tr w:rsidR="00831DE0" w:rsidTr="00736EF1" w14:paraId="2F346105" w14:textId="77777777">
        <w:tc>
          <w:tcPr>
            <w:tcW w:w="1795" w:type="dxa"/>
          </w:tcPr>
          <w:p w:rsidR="00831DE0" w:rsidP="00736EF1" w:rsidRDefault="00831DE0" w14:paraId="42A4F8B4" w14:textId="77777777">
            <w:pPr>
              <w:pStyle w:val="Bullet"/>
              <w:numPr>
                <w:ilvl w:val="0"/>
                <w:numId w:val="0"/>
              </w:numPr>
              <w:jc w:val="center"/>
            </w:pPr>
            <w:r>
              <w:t>State</w:t>
            </w:r>
          </w:p>
        </w:tc>
        <w:tc>
          <w:tcPr>
            <w:tcW w:w="3600" w:type="dxa"/>
          </w:tcPr>
          <w:p w:rsidR="00831DE0" w:rsidP="00736EF1" w:rsidRDefault="00831DE0" w14:paraId="4DE5DF04" w14:textId="0FC77BE7">
            <w:pPr>
              <w:pStyle w:val="Bullet"/>
              <w:numPr>
                <w:ilvl w:val="0"/>
                <w:numId w:val="0"/>
              </w:numPr>
              <w:jc w:val="center"/>
            </w:pPr>
            <w:r>
              <w:t>49</w:t>
            </w:r>
          </w:p>
        </w:tc>
        <w:tc>
          <w:tcPr>
            <w:tcW w:w="3955" w:type="dxa"/>
          </w:tcPr>
          <w:p w:rsidR="00831DE0" w:rsidP="00736EF1" w:rsidRDefault="00831DE0" w14:paraId="06A97D30" w14:textId="6B977E26">
            <w:pPr>
              <w:pStyle w:val="Bullet"/>
              <w:numPr>
                <w:ilvl w:val="0"/>
                <w:numId w:val="0"/>
              </w:numPr>
              <w:jc w:val="center"/>
            </w:pPr>
            <w:r>
              <w:t>220</w:t>
            </w:r>
          </w:p>
        </w:tc>
      </w:tr>
      <w:tr w:rsidR="00831DE0" w:rsidTr="00736EF1" w14:paraId="71D797D4" w14:textId="77777777">
        <w:tc>
          <w:tcPr>
            <w:tcW w:w="1795" w:type="dxa"/>
          </w:tcPr>
          <w:p w:rsidR="00831DE0" w:rsidP="00736EF1" w:rsidRDefault="00831DE0" w14:paraId="077ADAB5" w14:textId="77777777">
            <w:pPr>
              <w:pStyle w:val="Bullet"/>
              <w:numPr>
                <w:ilvl w:val="0"/>
                <w:numId w:val="0"/>
              </w:numPr>
              <w:jc w:val="center"/>
            </w:pPr>
            <w:r>
              <w:t>U.S. EPA</w:t>
            </w:r>
          </w:p>
        </w:tc>
        <w:tc>
          <w:tcPr>
            <w:tcW w:w="3600" w:type="dxa"/>
          </w:tcPr>
          <w:p w:rsidR="00831DE0" w:rsidP="00736EF1" w:rsidRDefault="00831DE0" w14:paraId="0F24F5B9" w14:textId="39F14593">
            <w:pPr>
              <w:pStyle w:val="Bullet"/>
              <w:numPr>
                <w:ilvl w:val="0"/>
                <w:numId w:val="0"/>
              </w:numPr>
              <w:jc w:val="center"/>
            </w:pPr>
            <w:r>
              <w:t>104</w:t>
            </w:r>
          </w:p>
        </w:tc>
        <w:tc>
          <w:tcPr>
            <w:tcW w:w="3955" w:type="dxa"/>
          </w:tcPr>
          <w:p w:rsidR="00831DE0" w:rsidP="00736EF1" w:rsidRDefault="00831DE0" w14:paraId="17F374E1" w14:textId="11A6F38B">
            <w:pPr>
              <w:pStyle w:val="Bullet"/>
              <w:numPr>
                <w:ilvl w:val="0"/>
                <w:numId w:val="0"/>
              </w:numPr>
              <w:jc w:val="center"/>
            </w:pPr>
            <w:r>
              <w:t>36</w:t>
            </w:r>
          </w:p>
        </w:tc>
      </w:tr>
      <w:tr w:rsidR="00831DE0" w:rsidTr="00736EF1" w14:paraId="5ED964CB" w14:textId="77777777">
        <w:tc>
          <w:tcPr>
            <w:tcW w:w="1795" w:type="dxa"/>
          </w:tcPr>
          <w:p w:rsidR="00831DE0" w:rsidP="00736EF1" w:rsidRDefault="00831DE0" w14:paraId="76E893C7" w14:textId="77777777">
            <w:pPr>
              <w:pStyle w:val="Bullet"/>
              <w:numPr>
                <w:ilvl w:val="0"/>
                <w:numId w:val="0"/>
              </w:numPr>
              <w:jc w:val="center"/>
            </w:pPr>
            <w:r>
              <w:t>Subtotal:</w:t>
            </w:r>
          </w:p>
        </w:tc>
        <w:tc>
          <w:tcPr>
            <w:tcW w:w="3600" w:type="dxa"/>
          </w:tcPr>
          <w:p w:rsidR="00831DE0" w:rsidP="00736EF1" w:rsidRDefault="00831DE0" w14:paraId="537A2B8F" w14:textId="5D88A1AF">
            <w:pPr>
              <w:pStyle w:val="Bullet"/>
              <w:numPr>
                <w:ilvl w:val="0"/>
                <w:numId w:val="0"/>
              </w:numPr>
              <w:jc w:val="center"/>
            </w:pPr>
            <w:r>
              <w:t>153</w:t>
            </w:r>
          </w:p>
        </w:tc>
        <w:tc>
          <w:tcPr>
            <w:tcW w:w="3955" w:type="dxa"/>
          </w:tcPr>
          <w:p w:rsidR="00831DE0" w:rsidP="00736EF1" w:rsidRDefault="00831DE0" w14:paraId="10E5E6F1" w14:textId="148F33B8">
            <w:pPr>
              <w:pStyle w:val="Bullet"/>
              <w:numPr>
                <w:ilvl w:val="0"/>
                <w:numId w:val="0"/>
              </w:numPr>
              <w:jc w:val="center"/>
            </w:pPr>
            <w:r>
              <w:t>256</w:t>
            </w:r>
          </w:p>
        </w:tc>
      </w:tr>
    </w:tbl>
    <w:p w:rsidR="00102422" w:rsidP="00204C39" w:rsidRDefault="00102422" w14:paraId="616299F8" w14:textId="77777777"/>
    <w:p w:rsidR="00724B2D" w:rsidP="00102422" w:rsidRDefault="00102422" w14:paraId="1C14ED14" w14:textId="33D43112">
      <w:pPr>
        <w:pStyle w:val="BodyText"/>
      </w:pPr>
      <w:r>
        <w:t xml:space="preserve">Implementation costs for authorized NPDES programs will vary depending on whether the </w:t>
      </w:r>
      <w:r w:rsidR="00724B2D">
        <w:t xml:space="preserve">authorized NPDES program </w:t>
      </w:r>
      <w:r w:rsidR="000906FD">
        <w:t xml:space="preserve">is planning on deploying an electronic reporting tool for a general permit or program report. </w:t>
      </w:r>
      <w:r w:rsidR="00B20F60">
        <w:t xml:space="preserve">Under the </w:t>
      </w:r>
      <w:r w:rsidR="00EF2017">
        <w:t>final rule</w:t>
      </w:r>
      <w:r w:rsidR="00B20F60">
        <w:t xml:space="preserve"> accompanying this ICR the 4</w:t>
      </w:r>
      <w:r w:rsidR="00831DE0">
        <w:t>7</w:t>
      </w:r>
      <w:r w:rsidR="00B20F60">
        <w:t xml:space="preserve"> s</w:t>
      </w:r>
      <w:r w:rsidR="00EB6B7F">
        <w:t xml:space="preserve">tates that </w:t>
      </w:r>
      <w:r w:rsidR="00B20F60">
        <w:t xml:space="preserve">have </w:t>
      </w:r>
      <w:r w:rsidR="00EB6B7F">
        <w:t>elect</w:t>
      </w:r>
      <w:r w:rsidR="00DB077E">
        <w:t>ed</w:t>
      </w:r>
      <w:r w:rsidR="00EB6B7F">
        <w:t xml:space="preserve"> to build their own electronic reporting tools may </w:t>
      </w:r>
      <w:r w:rsidR="00B20F60">
        <w:t>re</w:t>
      </w:r>
      <w:r w:rsidR="00B20F60">
        <w:tab/>
        <w:t xml:space="preserve">quest </w:t>
      </w:r>
      <w:r w:rsidR="00EB6B7F">
        <w:t xml:space="preserve">additional time for implementation. These states will need to submit an </w:t>
      </w:r>
      <w:r w:rsidRPr="00790CD0" w:rsidR="00790CD0">
        <w:t>alternative Phase 2 compliance deadline</w:t>
      </w:r>
      <w:r w:rsidR="00790CD0">
        <w:t xml:space="preserve"> request </w:t>
      </w:r>
      <w:r w:rsidR="00EB6B7F">
        <w:t xml:space="preserve">to EPA for review and determination. </w:t>
      </w:r>
      <w:r w:rsidR="008A39CC">
        <w:t xml:space="preserve">EPA estimates that </w:t>
      </w:r>
      <w:r w:rsidRPr="008A39CC" w:rsidR="008A39CC">
        <w:t>one third of the 4</w:t>
      </w:r>
      <w:r w:rsidR="00831DE0">
        <w:t>7</w:t>
      </w:r>
      <w:r w:rsidRPr="008A39CC" w:rsidR="008A39CC">
        <w:t xml:space="preserve"> authorized NPDES program that have elected to build one or more electronic reporting tools (approximately 15 programs) will need to complete an </w:t>
      </w:r>
      <w:r w:rsidRPr="00790CD0" w:rsidR="00790CD0">
        <w:t>alternative Phase 2 compliance deadline</w:t>
      </w:r>
      <w:r w:rsidR="00790CD0">
        <w:t xml:space="preserve"> </w:t>
      </w:r>
      <w:r w:rsidRPr="008A39CC" w:rsidR="008A39CC">
        <w:t xml:space="preserve">request within the </w:t>
      </w:r>
      <w:r w:rsidR="00CD6E0F">
        <w:t>three-year p</w:t>
      </w:r>
      <w:r w:rsidRPr="008A39CC" w:rsidR="008A39CC">
        <w:t>eriod covered by this ICR</w:t>
      </w:r>
      <w:r w:rsidR="008A39CC">
        <w:t xml:space="preserve">. </w:t>
      </w:r>
      <w:r w:rsidRPr="008A39CC" w:rsidR="008A39CC">
        <w:t>EPA estimates that each waiver review will require 16 hours to prepare and send to EPA.</w:t>
      </w:r>
      <w:r w:rsidR="008A39CC">
        <w:t xml:space="preserve"> This results in total burden of </w:t>
      </w:r>
      <w:r w:rsidR="00CD6E0F">
        <w:t xml:space="preserve">240 hours </w:t>
      </w:r>
      <w:r w:rsidRPr="00CD6E0F" w:rsidR="00CD6E0F">
        <w:t>during the three-year period covered by this ICR</w:t>
      </w:r>
      <w:r w:rsidR="00CD6E0F">
        <w:t>.</w:t>
      </w:r>
    </w:p>
    <w:p w:rsidR="00B20F60" w:rsidP="00B20F60" w:rsidRDefault="00B20F60" w14:paraId="5DDA8813" w14:textId="4C638C9E">
      <w:pPr>
        <w:pStyle w:val="BodyText"/>
      </w:pPr>
      <w:r>
        <w:t xml:space="preserve">All 48 authorized NPDES programs (47 states and U.S. Virgin Islands) will need to email to EPA with the information listed above as they update or deploy their general permits and program reports and the related electronic reporting tools. These updates should be timely in that the authorized NPDES program sends an email to EPA within 40 days of the completed activity. EPA estimates that there are </w:t>
      </w:r>
      <w:r w:rsidR="005B6462">
        <w:t>726</w:t>
      </w:r>
      <w:r>
        <w:t xml:space="preserve"> </w:t>
      </w:r>
      <w:r w:rsidR="005B6462">
        <w:t xml:space="preserve">state-issued </w:t>
      </w:r>
      <w:r>
        <w:t>general permits b</w:t>
      </w:r>
      <w:r w:rsidRPr="00B20F60">
        <w:t>ased on information</w:t>
      </w:r>
      <w:r>
        <w:t xml:space="preserve"> previously submitted by EPA Regions and states. </w:t>
      </w:r>
      <w:r w:rsidRPr="00B20F60">
        <w:t>Under the Clean Water Act, EPA and states, territories, or tribes with authorized NPDES programs issue NPDES permits with terms no longer than five years. See 33 U.S.C. §1342(b)(1)(B). Authorized NPDES programs may have different schedules for permit applications, but their schedules may be no less stringent than the federal deadlines.</w:t>
      </w:r>
      <w:r>
        <w:t xml:space="preserve"> Using a five-year renewal frequency, this means that </w:t>
      </w:r>
      <w:r w:rsidR="005B6462">
        <w:t xml:space="preserve">on average states are re-issuing 145 general permits each year. Using a conservative costing methodology, this ICR assumes that twelve of the 48 authorized programs will each renew a general permit in any given month of the year and provide an update to EPA within 40 days. This is an overestimate of the burden as most states do not have more than 12 general permits. </w:t>
      </w:r>
      <w:r w:rsidR="008A39CC">
        <w:t xml:space="preserve">This means that EPA is expecting to receive 12 updates on general permits renewals each month. EPA estimates that updated information on general permit and program report electronic reporting tools can be submitted with these monthly updates as deployment of these tools are one-time events. </w:t>
      </w:r>
      <w:r w:rsidRPr="00CD6E0F" w:rsidR="00CD6E0F">
        <w:t>EPA estimates that these will be monthly updates and each update will take 1 hour to prepare and send to EPA</w:t>
      </w:r>
      <w:r w:rsidR="00CD6E0F">
        <w:t xml:space="preserve">. </w:t>
      </w:r>
      <w:r w:rsidRPr="00CD6E0F" w:rsidR="00CD6E0F">
        <w:t>This results in</w:t>
      </w:r>
      <w:r w:rsidR="00CD6E0F">
        <w:t xml:space="preserve"> an annual burden of 144 hours and a</w:t>
      </w:r>
      <w:r w:rsidRPr="00CD6E0F" w:rsidR="00CD6E0F">
        <w:t xml:space="preserve"> total burden of </w:t>
      </w:r>
      <w:r w:rsidR="00CD6E0F">
        <w:t>432</w:t>
      </w:r>
      <w:r w:rsidRPr="00CD6E0F" w:rsidR="00CD6E0F">
        <w:t xml:space="preserve"> hours during the three-year period covered by this ICR.</w:t>
      </w:r>
    </w:p>
    <w:p w:rsidR="00B20F60" w:rsidP="00B20F60" w:rsidRDefault="00B20F60" w14:paraId="6DFBB3E3" w14:textId="2A9E2B93">
      <w:pPr>
        <w:pStyle w:val="BodyText"/>
      </w:pPr>
      <w:r>
        <w:t>All 48 authorized NPDES programs will also need to annually review EPA’s inventory of general permits and program reports and the related electronic reporting tools. Authorized NPDES programs will summarize this review in an email to EPA. This email will confirm that EPA’s inventory is complete and accurate as well as identify any necessary changes.</w:t>
      </w:r>
      <w:r w:rsidRPr="00CD6E0F" w:rsidR="00CD6E0F">
        <w:t xml:space="preserve"> EPA estimates that these will be monthly updates and </w:t>
      </w:r>
      <w:r w:rsidRPr="00CD6E0F" w:rsidR="00CD6E0F">
        <w:lastRenderedPageBreak/>
        <w:t>each update will take 4 hours to prepare and send to EPA</w:t>
      </w:r>
      <w:r w:rsidR="00CD6E0F">
        <w:t xml:space="preserve">. </w:t>
      </w:r>
      <w:r w:rsidRPr="00CD6E0F" w:rsidR="00CD6E0F">
        <w:t>This results in an annual burden of 1</w:t>
      </w:r>
      <w:r w:rsidR="00CD6E0F">
        <w:t>92</w:t>
      </w:r>
      <w:r w:rsidRPr="00CD6E0F" w:rsidR="00CD6E0F">
        <w:t xml:space="preserve"> hours and a total burden of </w:t>
      </w:r>
      <w:r w:rsidR="00CD6E0F">
        <w:t>576</w:t>
      </w:r>
      <w:r w:rsidRPr="00CD6E0F" w:rsidR="00CD6E0F">
        <w:t xml:space="preserve"> hours during the three-year period</w:t>
      </w:r>
      <w:r w:rsidR="00CD6E0F">
        <w:t xml:space="preserve"> covered by this ICR</w:t>
      </w:r>
      <w:r w:rsidRPr="00CD6E0F" w:rsidR="00CD6E0F">
        <w:t>.</w:t>
      </w:r>
    </w:p>
    <w:p w:rsidR="00827E2F" w:rsidP="00102422" w:rsidRDefault="00102422" w14:paraId="2081BABD" w14:textId="2C7FD42A">
      <w:pPr>
        <w:pStyle w:val="BodyText"/>
      </w:pPr>
      <w:r w:rsidRPr="002056F7">
        <w:t xml:space="preserve">Because EPA does not have independent estimates of the comparable system costs for each state, tribe, and territory, EPA’s estimate of </w:t>
      </w:r>
      <w:r>
        <w:t>the burden</w:t>
      </w:r>
      <w:r w:rsidRPr="002056F7">
        <w:t xml:space="preserve"> for those NPDES-authorized programs </w:t>
      </w:r>
      <w:r w:rsidR="008A39CC">
        <w:t xml:space="preserve">is </w:t>
      </w:r>
      <w:r w:rsidR="00CD6E0F">
        <w:t>1,248</w:t>
      </w:r>
      <w:r>
        <w:t xml:space="preserve"> hours </w:t>
      </w:r>
      <w:r w:rsidRPr="00CD6E0F" w:rsidR="00CD6E0F">
        <w:t>during the three-year period covered by this ICR</w:t>
      </w:r>
      <w:r w:rsidR="00CD6E0F">
        <w:t>. This equates to an annual average total burden of approximately 9 hours per authorized NPDES program</w:t>
      </w:r>
      <w:r w:rsidR="00827E2F">
        <w:t>.</w:t>
      </w:r>
    </w:p>
    <w:p w:rsidR="009A3EC7" w:rsidP="00A93DC4" w:rsidRDefault="009A3EC7" w14:paraId="3390F998" w14:textId="77777777">
      <w:pPr>
        <w:pStyle w:val="Heading2"/>
      </w:pPr>
      <w:r>
        <w:t>Total Respondent Cost</w:t>
      </w:r>
      <w:r w:rsidR="007D14AD">
        <w:t>s</w:t>
      </w:r>
    </w:p>
    <w:p w:rsidR="00B13B96" w:rsidP="008E3F63" w:rsidRDefault="00F001E4" w14:paraId="2F2F0488" w14:textId="0FEEF3CF">
      <w:pPr>
        <w:pStyle w:val="BodyText"/>
      </w:pPr>
      <w:r>
        <w:t xml:space="preserve">To estimate the total respondent costs, EPA multiplies the burden estimates derived in Section </w:t>
      </w:r>
      <w:r w:rsidR="00C00283">
        <w:fldChar w:fldCharType="begin"/>
      </w:r>
      <w:r>
        <w:instrText xml:space="preserve"> REF _Ref293303067 \r \h </w:instrText>
      </w:r>
      <w:r w:rsidR="00C00283">
        <w:fldChar w:fldCharType="separate"/>
      </w:r>
      <w:r w:rsidR="00463BE7">
        <w:t>6(a)</w:t>
      </w:r>
      <w:r w:rsidR="00C00283">
        <w:fldChar w:fldCharType="end"/>
      </w:r>
      <w:r>
        <w:t xml:space="preserve"> by the </w:t>
      </w:r>
      <w:r w:rsidR="00986E92">
        <w:t xml:space="preserve">labor rate costs. This analysis uses </w:t>
      </w:r>
      <w:r w:rsidRPr="0025576B" w:rsidR="0025576B">
        <w:t xml:space="preserve">State and local government workers </w:t>
      </w:r>
      <w:r w:rsidR="0025576B">
        <w:t xml:space="preserve">wages in </w:t>
      </w:r>
      <w:r w:rsidR="00986E92">
        <w:t>the “</w:t>
      </w:r>
      <w:r w:rsidRPr="00986E92" w:rsidR="00986E92">
        <w:t>Management, professional, and related</w:t>
      </w:r>
      <w:r w:rsidR="00986E92">
        <w:t xml:space="preserve">” </w:t>
      </w:r>
      <w:r w:rsidR="0025576B">
        <w:t xml:space="preserve">category from the </w:t>
      </w:r>
      <w:r w:rsidRPr="008E2B5A" w:rsidR="008E3F63">
        <w:t>Bureau of Labor Statistics</w:t>
      </w:r>
      <w:r w:rsidR="0025576B">
        <w:t xml:space="preserve"> (</w:t>
      </w:r>
      <w:r w:rsidR="00986E92">
        <w:t>June 2019</w:t>
      </w:r>
      <w:r w:rsidR="0025576B">
        <w:t>)</w:t>
      </w:r>
      <w:r w:rsidRPr="00263A68" w:rsidR="008E3F63">
        <w:t>.</w:t>
      </w:r>
      <w:r w:rsidR="008E3F63">
        <w:rPr>
          <w:rStyle w:val="FootnoteReference"/>
          <w:szCs w:val="22"/>
        </w:rPr>
        <w:footnoteReference w:id="5"/>
      </w:r>
      <w:r w:rsidR="0025576B">
        <w:t xml:space="preserve"> The total compensation is $61.10 per hour.</w:t>
      </w:r>
    </w:p>
    <w:tbl>
      <w:tblPr>
        <w:tblW w:w="8175" w:type="dxa"/>
        <w:jc w:val="center"/>
        <w:tblLook w:val="04A0" w:firstRow="1" w:lastRow="0" w:firstColumn="1" w:lastColumn="0" w:noHBand="0" w:noVBand="1"/>
      </w:tblPr>
      <w:tblGrid>
        <w:gridCol w:w="3135"/>
        <w:gridCol w:w="1800"/>
        <w:gridCol w:w="1440"/>
        <w:gridCol w:w="1800"/>
      </w:tblGrid>
      <w:tr w:rsidRPr="00BB68C2" w:rsidR="0025576B" w:rsidTr="00814E46" w14:paraId="35D8A0E7" w14:textId="77777777">
        <w:trPr>
          <w:jc w:val="center"/>
        </w:trPr>
        <w:tc>
          <w:tcPr>
            <w:tcW w:w="8175" w:type="dxa"/>
            <w:gridSpan w:val="4"/>
            <w:tcBorders>
              <w:top w:val="single" w:color="auto" w:sz="12" w:space="0"/>
              <w:left w:val="single" w:color="auto" w:sz="12" w:space="0"/>
              <w:bottom w:val="single" w:color="000000" w:sz="8" w:space="0"/>
              <w:right w:val="single" w:color="000000" w:sz="12" w:space="0"/>
            </w:tcBorders>
            <w:shd w:val="clear" w:color="000000" w:fill="003366"/>
          </w:tcPr>
          <w:p w:rsidRPr="00BB68C2" w:rsidR="0025576B" w:rsidP="008E3F63" w:rsidRDefault="0025576B" w14:paraId="2C864382" w14:textId="49CCD3BE">
            <w:pPr>
              <w:pStyle w:val="Caption"/>
              <w:keepNext/>
              <w:jc w:val="center"/>
              <w:rPr>
                <w:rFonts w:cs="Arial"/>
                <w:color w:val="FFFFFF"/>
              </w:rPr>
            </w:pPr>
            <w:r>
              <w:br w:type="page"/>
            </w:r>
            <w:bookmarkStart w:name="_Ref423519354" w:id="13"/>
            <w:bookmarkStart w:name="RANGE!A218" w:id="14"/>
            <w:bookmarkStart w:name="_Toc422902639" w:id="15"/>
            <w:r>
              <w:t xml:space="preserve">Table </w:t>
            </w:r>
            <w:bookmarkEnd w:id="13"/>
            <w:r>
              <w:t>1</w:t>
            </w:r>
            <w:r w:rsidRPr="00BB68C2">
              <w:rPr>
                <w:rFonts w:cs="Arial"/>
                <w:color w:val="FFFFFF"/>
              </w:rPr>
              <w:t xml:space="preserve">: </w:t>
            </w:r>
            <w:bookmarkEnd w:id="14"/>
            <w:bookmarkEnd w:id="15"/>
            <w:r>
              <w:rPr>
                <w:rFonts w:cs="Arial"/>
                <w:color w:val="FFFFFF"/>
              </w:rPr>
              <w:t>Estimate of Burden Costs to Authorized NPDES Programs</w:t>
            </w:r>
          </w:p>
        </w:tc>
      </w:tr>
      <w:tr w:rsidRPr="00BB68C2" w:rsidR="0025576B" w:rsidTr="00814E46" w14:paraId="0A76459A" w14:textId="77777777">
        <w:trPr>
          <w:trHeight w:val="1034"/>
          <w:jc w:val="center"/>
        </w:trPr>
        <w:tc>
          <w:tcPr>
            <w:tcW w:w="3135" w:type="dxa"/>
            <w:tcBorders>
              <w:top w:val="nil"/>
              <w:left w:val="single" w:color="auto" w:sz="12" w:space="0"/>
              <w:bottom w:val="single" w:color="000000" w:sz="8" w:space="0"/>
              <w:right w:val="single" w:color="auto" w:sz="8" w:space="0"/>
            </w:tcBorders>
            <w:shd w:val="clear" w:color="000000" w:fill="99CCFF"/>
            <w:vAlign w:val="center"/>
            <w:hideMark/>
          </w:tcPr>
          <w:p w:rsidRPr="00BB68C2" w:rsidR="0025576B" w:rsidP="00E47AA8" w:rsidRDefault="0025576B" w14:paraId="52A18D1E" w14:textId="4856C980">
            <w:pPr>
              <w:jc w:val="center"/>
              <w:rPr>
                <w:rFonts w:ascii="Arial" w:hAnsi="Arial" w:cs="Arial"/>
                <w:b/>
                <w:bCs/>
                <w:sz w:val="16"/>
                <w:szCs w:val="16"/>
              </w:rPr>
            </w:pPr>
            <w:r>
              <w:rPr>
                <w:rFonts w:ascii="Arial" w:hAnsi="Arial" w:cs="Arial"/>
                <w:b/>
                <w:bCs/>
                <w:sz w:val="16"/>
                <w:szCs w:val="16"/>
              </w:rPr>
              <w:t>Activity Covered This ICR</w:t>
            </w:r>
          </w:p>
        </w:tc>
        <w:tc>
          <w:tcPr>
            <w:tcW w:w="1800" w:type="dxa"/>
            <w:tcBorders>
              <w:top w:val="nil"/>
              <w:left w:val="single" w:color="auto" w:sz="8" w:space="0"/>
              <w:bottom w:val="single" w:color="000000" w:sz="8" w:space="0"/>
              <w:right w:val="single" w:color="auto" w:sz="8" w:space="0"/>
            </w:tcBorders>
            <w:shd w:val="clear" w:color="000000" w:fill="99CCFF"/>
            <w:vAlign w:val="center"/>
            <w:hideMark/>
          </w:tcPr>
          <w:p w:rsidRPr="00BB68C2" w:rsidR="0025576B" w:rsidP="00E47AA8" w:rsidRDefault="0025576B" w14:paraId="1AAF9184" w14:textId="487E3739">
            <w:pPr>
              <w:jc w:val="center"/>
              <w:rPr>
                <w:rFonts w:ascii="Arial" w:hAnsi="Arial" w:cs="Arial"/>
                <w:b/>
                <w:bCs/>
                <w:sz w:val="16"/>
                <w:szCs w:val="16"/>
              </w:rPr>
            </w:pPr>
            <w:r w:rsidRPr="00BB68C2">
              <w:rPr>
                <w:rFonts w:ascii="Arial" w:hAnsi="Arial" w:cs="Arial"/>
                <w:b/>
                <w:bCs/>
                <w:sz w:val="16"/>
                <w:szCs w:val="16"/>
              </w:rPr>
              <w:t xml:space="preserve"> </w:t>
            </w:r>
            <w:r>
              <w:rPr>
                <w:rFonts w:ascii="Arial" w:hAnsi="Arial" w:cs="Arial"/>
                <w:b/>
                <w:bCs/>
                <w:sz w:val="16"/>
                <w:szCs w:val="16"/>
              </w:rPr>
              <w:t>Total Burden Over T</w:t>
            </w:r>
            <w:r w:rsidRPr="0025576B">
              <w:rPr>
                <w:rFonts w:ascii="Arial" w:hAnsi="Arial" w:cs="Arial"/>
                <w:b/>
                <w:bCs/>
                <w:sz w:val="16"/>
                <w:szCs w:val="16"/>
              </w:rPr>
              <w:t>hree-</w:t>
            </w:r>
            <w:r>
              <w:rPr>
                <w:rFonts w:ascii="Arial" w:hAnsi="Arial" w:cs="Arial"/>
                <w:b/>
                <w:bCs/>
                <w:sz w:val="16"/>
                <w:szCs w:val="16"/>
              </w:rPr>
              <w:t>Y</w:t>
            </w:r>
            <w:r w:rsidRPr="0025576B">
              <w:rPr>
                <w:rFonts w:ascii="Arial" w:hAnsi="Arial" w:cs="Arial"/>
                <w:b/>
                <w:bCs/>
                <w:sz w:val="16"/>
                <w:szCs w:val="16"/>
              </w:rPr>
              <w:t xml:space="preserve">ear </w:t>
            </w:r>
            <w:r>
              <w:rPr>
                <w:rFonts w:ascii="Arial" w:hAnsi="Arial" w:cs="Arial"/>
                <w:b/>
                <w:bCs/>
                <w:sz w:val="16"/>
                <w:szCs w:val="16"/>
              </w:rPr>
              <w:t>P</w:t>
            </w:r>
            <w:r w:rsidRPr="0025576B">
              <w:rPr>
                <w:rFonts w:ascii="Arial" w:hAnsi="Arial" w:cs="Arial"/>
                <w:b/>
                <w:bCs/>
                <w:sz w:val="16"/>
                <w:szCs w:val="16"/>
              </w:rPr>
              <w:t xml:space="preserve">eriod </w:t>
            </w:r>
            <w:r>
              <w:rPr>
                <w:rFonts w:ascii="Arial" w:hAnsi="Arial" w:cs="Arial"/>
                <w:b/>
                <w:bCs/>
                <w:sz w:val="16"/>
                <w:szCs w:val="16"/>
              </w:rPr>
              <w:t>C</w:t>
            </w:r>
            <w:r w:rsidRPr="0025576B">
              <w:rPr>
                <w:rFonts w:ascii="Arial" w:hAnsi="Arial" w:cs="Arial"/>
                <w:b/>
                <w:bCs/>
                <w:sz w:val="16"/>
                <w:szCs w:val="16"/>
              </w:rPr>
              <w:t>overed by this ICR</w:t>
            </w:r>
          </w:p>
        </w:tc>
        <w:tc>
          <w:tcPr>
            <w:tcW w:w="1440" w:type="dxa"/>
            <w:tcBorders>
              <w:top w:val="nil"/>
              <w:left w:val="single" w:color="auto" w:sz="8" w:space="0"/>
              <w:right w:val="single" w:color="auto" w:sz="8" w:space="0"/>
            </w:tcBorders>
            <w:shd w:val="clear" w:color="000000" w:fill="99CCFF"/>
            <w:vAlign w:val="center"/>
          </w:tcPr>
          <w:p w:rsidRPr="00BB68C2" w:rsidR="0025576B" w:rsidP="00E47AA8" w:rsidRDefault="0025576B" w14:paraId="6561A7E4" w14:textId="2C196F2B">
            <w:pPr>
              <w:jc w:val="center"/>
              <w:rPr>
                <w:rFonts w:ascii="Arial" w:hAnsi="Arial" w:cs="Arial"/>
                <w:b/>
                <w:bCs/>
                <w:sz w:val="16"/>
                <w:szCs w:val="16"/>
              </w:rPr>
            </w:pPr>
            <w:r w:rsidRPr="0025576B">
              <w:rPr>
                <w:rFonts w:ascii="Arial" w:hAnsi="Arial" w:cs="Arial"/>
                <w:b/>
                <w:bCs/>
                <w:sz w:val="16"/>
                <w:szCs w:val="16"/>
              </w:rPr>
              <w:t>BLS Hourly Wage Rate</w:t>
            </w:r>
          </w:p>
        </w:tc>
        <w:tc>
          <w:tcPr>
            <w:tcW w:w="1800" w:type="dxa"/>
            <w:tcBorders>
              <w:top w:val="nil"/>
              <w:left w:val="single" w:color="auto" w:sz="8" w:space="0"/>
              <w:bottom w:val="single" w:color="000000" w:sz="8" w:space="0"/>
              <w:right w:val="single" w:color="auto" w:sz="12" w:space="0"/>
            </w:tcBorders>
            <w:shd w:val="clear" w:color="000000" w:fill="99CCFF"/>
            <w:vAlign w:val="center"/>
            <w:hideMark/>
          </w:tcPr>
          <w:p w:rsidRPr="00BB68C2" w:rsidR="0025576B" w:rsidP="00E47AA8" w:rsidRDefault="00814E46" w14:paraId="5C6E31B8" w14:textId="412EDE3A">
            <w:pPr>
              <w:jc w:val="center"/>
              <w:rPr>
                <w:rFonts w:ascii="Arial" w:hAnsi="Arial" w:cs="Arial"/>
                <w:b/>
                <w:bCs/>
                <w:sz w:val="16"/>
                <w:szCs w:val="16"/>
              </w:rPr>
            </w:pPr>
            <w:r w:rsidRPr="00814E46">
              <w:rPr>
                <w:rFonts w:ascii="Arial" w:hAnsi="Arial" w:cs="Arial"/>
                <w:b/>
                <w:bCs/>
                <w:sz w:val="16"/>
                <w:szCs w:val="16"/>
              </w:rPr>
              <w:t xml:space="preserve">Total </w:t>
            </w:r>
            <w:r>
              <w:rPr>
                <w:rFonts w:ascii="Arial" w:hAnsi="Arial" w:cs="Arial"/>
                <w:b/>
                <w:bCs/>
                <w:sz w:val="16"/>
                <w:szCs w:val="16"/>
              </w:rPr>
              <w:t>Cost</w:t>
            </w:r>
            <w:r w:rsidRPr="00814E46">
              <w:rPr>
                <w:rFonts w:ascii="Arial" w:hAnsi="Arial" w:cs="Arial"/>
                <w:b/>
                <w:bCs/>
                <w:sz w:val="16"/>
                <w:szCs w:val="16"/>
              </w:rPr>
              <w:t xml:space="preserve"> Over Three-Year Period Covered by this ICR</w:t>
            </w:r>
          </w:p>
        </w:tc>
      </w:tr>
      <w:tr w:rsidRPr="00BB68C2" w:rsidR="0025576B" w:rsidTr="00814E46" w14:paraId="7CD0DF05"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BB68C2" w:rsidR="0025576B" w:rsidP="00E47AA8" w:rsidRDefault="0025576B" w14:paraId="766166B6" w14:textId="414EDE11">
            <w:pPr>
              <w:rPr>
                <w:rFonts w:ascii="Arial" w:hAnsi="Arial" w:cs="Arial"/>
                <w:sz w:val="16"/>
                <w:szCs w:val="16"/>
              </w:rPr>
            </w:pPr>
            <w:r>
              <w:rPr>
                <w:rFonts w:ascii="Arial" w:hAnsi="Arial" w:cs="Arial"/>
                <w:sz w:val="16"/>
                <w:szCs w:val="16"/>
              </w:rPr>
              <w:t xml:space="preserve">Alternate </w:t>
            </w:r>
            <w:r w:rsidR="00F911DD">
              <w:rPr>
                <w:rFonts w:ascii="Arial" w:hAnsi="Arial" w:cs="Arial"/>
                <w:sz w:val="16"/>
                <w:szCs w:val="16"/>
              </w:rPr>
              <w:t>Compliance</w:t>
            </w:r>
            <w:r>
              <w:rPr>
                <w:rFonts w:ascii="Arial" w:hAnsi="Arial" w:cs="Arial"/>
                <w:sz w:val="16"/>
                <w:szCs w:val="16"/>
              </w:rPr>
              <w:t xml:space="preserve"> Date for </w:t>
            </w:r>
            <w:r w:rsidRPr="0025576B">
              <w:rPr>
                <w:rFonts w:ascii="Arial" w:hAnsi="Arial" w:cs="Arial"/>
                <w:sz w:val="16"/>
                <w:szCs w:val="16"/>
              </w:rPr>
              <w:t>General Permit and Program Report</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BB68C2" w:rsidR="0025576B" w:rsidP="0025576B" w:rsidRDefault="0025576B" w14:paraId="11AE5898" w14:textId="267D3003">
            <w:pPr>
              <w:jc w:val="center"/>
              <w:rPr>
                <w:rFonts w:ascii="Arial" w:hAnsi="Arial" w:cs="Arial"/>
                <w:sz w:val="16"/>
                <w:szCs w:val="16"/>
              </w:rPr>
            </w:pPr>
            <w:r>
              <w:rPr>
                <w:rFonts w:ascii="Arial" w:hAnsi="Arial" w:cs="Arial"/>
                <w:sz w:val="16"/>
                <w:szCs w:val="16"/>
              </w:rPr>
              <w:t>240</w:t>
            </w:r>
          </w:p>
        </w:tc>
        <w:tc>
          <w:tcPr>
            <w:tcW w:w="1440" w:type="dxa"/>
            <w:tcBorders>
              <w:top w:val="single" w:color="000000" w:sz="8" w:space="0"/>
              <w:left w:val="single" w:color="000000" w:sz="8" w:space="0"/>
              <w:bottom w:val="single" w:color="000000" w:sz="8" w:space="0"/>
              <w:right w:val="single" w:color="000000" w:sz="8" w:space="0"/>
            </w:tcBorders>
            <w:vAlign w:val="center"/>
          </w:tcPr>
          <w:p w:rsidRPr="00BB68C2" w:rsidR="0025576B" w:rsidP="0025576B" w:rsidRDefault="0025576B" w14:paraId="6F55D9C1" w14:textId="61641F73">
            <w:pPr>
              <w:jc w:val="center"/>
              <w:rPr>
                <w:rFonts w:ascii="Arial" w:hAnsi="Arial" w:cs="Arial"/>
                <w:sz w:val="16"/>
                <w:szCs w:val="16"/>
              </w:rPr>
            </w:pPr>
            <w:r>
              <w:rPr>
                <w:rFonts w:ascii="Arial" w:hAnsi="Arial" w:cs="Arial"/>
                <w:sz w:val="16"/>
                <w:szCs w:val="16"/>
              </w:rPr>
              <w:t>$</w:t>
            </w:r>
            <w:r w:rsidRPr="0025576B">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BB68C2" w:rsidR="0025576B" w:rsidP="00814E46" w:rsidRDefault="00814E46" w14:paraId="68897816" w14:textId="3FE05896">
            <w:pPr>
              <w:jc w:val="center"/>
              <w:rPr>
                <w:rFonts w:ascii="Arial" w:hAnsi="Arial" w:cs="Arial"/>
                <w:sz w:val="16"/>
                <w:szCs w:val="16"/>
              </w:rPr>
            </w:pPr>
            <w:r>
              <w:rPr>
                <w:rFonts w:ascii="Arial" w:hAnsi="Arial" w:cs="Arial"/>
                <w:sz w:val="16"/>
                <w:szCs w:val="16"/>
              </w:rPr>
              <w:t>$</w:t>
            </w:r>
            <w:r w:rsidRPr="00814E46">
              <w:rPr>
                <w:rFonts w:ascii="Arial" w:hAnsi="Arial" w:cs="Arial"/>
                <w:sz w:val="16"/>
                <w:szCs w:val="16"/>
              </w:rPr>
              <w:t>14,664</w:t>
            </w:r>
          </w:p>
        </w:tc>
      </w:tr>
      <w:tr w:rsidRPr="00BB68C2" w:rsidR="0025576B" w:rsidTr="00814E46" w14:paraId="06DDF6D3"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BB68C2" w:rsidR="0025576B" w:rsidP="00E47AA8" w:rsidRDefault="0025576B" w14:paraId="7408CCC2" w14:textId="44E6A998">
            <w:pPr>
              <w:rPr>
                <w:rFonts w:ascii="Arial" w:hAnsi="Arial" w:cs="Arial"/>
                <w:sz w:val="16"/>
                <w:szCs w:val="16"/>
              </w:rPr>
            </w:pPr>
            <w:r w:rsidRPr="0025576B">
              <w:rPr>
                <w:rFonts w:ascii="Arial" w:hAnsi="Arial" w:cs="Arial"/>
                <w:sz w:val="16"/>
                <w:szCs w:val="16"/>
              </w:rPr>
              <w:t>Monthly Updates of General Permit and Program Report Information</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BB68C2" w:rsidR="0025576B" w:rsidP="0025576B" w:rsidRDefault="0025576B" w14:paraId="10A417C1" w14:textId="64226ECD">
            <w:pPr>
              <w:jc w:val="center"/>
              <w:rPr>
                <w:rFonts w:ascii="Arial" w:hAnsi="Arial" w:cs="Arial"/>
                <w:sz w:val="16"/>
                <w:szCs w:val="16"/>
              </w:rPr>
            </w:pPr>
            <w:r>
              <w:rPr>
                <w:rFonts w:ascii="Arial" w:hAnsi="Arial" w:cs="Arial"/>
                <w:sz w:val="16"/>
                <w:szCs w:val="16"/>
              </w:rPr>
              <w:t>432</w:t>
            </w:r>
          </w:p>
        </w:tc>
        <w:tc>
          <w:tcPr>
            <w:tcW w:w="1440" w:type="dxa"/>
            <w:tcBorders>
              <w:top w:val="single" w:color="000000" w:sz="8" w:space="0"/>
              <w:left w:val="single" w:color="000000" w:sz="8" w:space="0"/>
              <w:bottom w:val="single" w:color="000000" w:sz="8" w:space="0"/>
              <w:right w:val="single" w:color="000000" w:sz="8" w:space="0"/>
            </w:tcBorders>
            <w:vAlign w:val="center"/>
          </w:tcPr>
          <w:p w:rsidRPr="00BB68C2" w:rsidR="0025576B" w:rsidP="0025576B" w:rsidRDefault="0025576B" w14:paraId="61C7B6E6" w14:textId="59176427">
            <w:pPr>
              <w:jc w:val="center"/>
              <w:rPr>
                <w:rFonts w:ascii="Arial" w:hAnsi="Arial" w:cs="Arial"/>
                <w:sz w:val="16"/>
                <w:szCs w:val="16"/>
              </w:rPr>
            </w:pPr>
            <w:r>
              <w:rPr>
                <w:rFonts w:ascii="Arial" w:hAnsi="Arial" w:cs="Arial"/>
                <w:sz w:val="16"/>
                <w:szCs w:val="16"/>
              </w:rPr>
              <w:t>$</w:t>
            </w:r>
            <w:r w:rsidRPr="0025576B">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BB68C2" w:rsidR="0025576B" w:rsidP="00814E46" w:rsidRDefault="00814E46" w14:paraId="02300289" w14:textId="1CB35A32">
            <w:pPr>
              <w:jc w:val="center"/>
              <w:rPr>
                <w:rFonts w:ascii="Arial" w:hAnsi="Arial" w:cs="Arial"/>
                <w:sz w:val="16"/>
                <w:szCs w:val="16"/>
              </w:rPr>
            </w:pPr>
            <w:r>
              <w:rPr>
                <w:rFonts w:ascii="Arial" w:hAnsi="Arial" w:cs="Arial"/>
                <w:sz w:val="16"/>
                <w:szCs w:val="16"/>
              </w:rPr>
              <w:t>$</w:t>
            </w:r>
            <w:r w:rsidRPr="00814E46">
              <w:rPr>
                <w:rFonts w:ascii="Arial" w:hAnsi="Arial" w:cs="Arial"/>
                <w:sz w:val="16"/>
                <w:szCs w:val="16"/>
              </w:rPr>
              <w:t>26,395</w:t>
            </w:r>
          </w:p>
        </w:tc>
      </w:tr>
      <w:tr w:rsidRPr="00BB68C2" w:rsidR="0025576B" w:rsidTr="00814E46" w14:paraId="746FBA16"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BB68C2" w:rsidR="0025576B" w:rsidP="00E47AA8" w:rsidRDefault="0025576B" w14:paraId="0C52A0D9" w14:textId="1DDA3E02">
            <w:pPr>
              <w:rPr>
                <w:rFonts w:ascii="Arial" w:hAnsi="Arial" w:cs="Arial"/>
                <w:sz w:val="16"/>
                <w:szCs w:val="16"/>
              </w:rPr>
            </w:pPr>
            <w:r w:rsidRPr="0025576B">
              <w:rPr>
                <w:rFonts w:ascii="Arial" w:hAnsi="Arial" w:cs="Arial"/>
                <w:sz w:val="16"/>
                <w:szCs w:val="16"/>
              </w:rPr>
              <w:t>Annual Review of General Permit and Program Report Information</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BB68C2" w:rsidR="0025576B" w:rsidP="0025576B" w:rsidRDefault="0025576B" w14:paraId="58F16509" w14:textId="3B9C9809">
            <w:pPr>
              <w:jc w:val="center"/>
              <w:rPr>
                <w:rFonts w:ascii="Arial" w:hAnsi="Arial" w:cs="Arial"/>
                <w:sz w:val="16"/>
                <w:szCs w:val="16"/>
              </w:rPr>
            </w:pPr>
            <w:r>
              <w:rPr>
                <w:rFonts w:ascii="Arial" w:hAnsi="Arial" w:cs="Arial"/>
                <w:sz w:val="16"/>
                <w:szCs w:val="16"/>
              </w:rPr>
              <w:t>576</w:t>
            </w:r>
          </w:p>
        </w:tc>
        <w:tc>
          <w:tcPr>
            <w:tcW w:w="1440" w:type="dxa"/>
            <w:tcBorders>
              <w:top w:val="single" w:color="000000" w:sz="8" w:space="0"/>
              <w:left w:val="single" w:color="000000" w:sz="8" w:space="0"/>
              <w:bottom w:val="single" w:color="000000" w:sz="8" w:space="0"/>
              <w:right w:val="single" w:color="000000" w:sz="8" w:space="0"/>
            </w:tcBorders>
            <w:vAlign w:val="center"/>
          </w:tcPr>
          <w:p w:rsidRPr="00BB68C2" w:rsidR="0025576B" w:rsidP="0025576B" w:rsidRDefault="0025576B" w14:paraId="0663BA7E" w14:textId="716A2327">
            <w:pPr>
              <w:jc w:val="center"/>
              <w:rPr>
                <w:rFonts w:ascii="Arial" w:hAnsi="Arial" w:cs="Arial"/>
                <w:sz w:val="16"/>
                <w:szCs w:val="16"/>
              </w:rPr>
            </w:pPr>
            <w:r>
              <w:rPr>
                <w:rFonts w:ascii="Arial" w:hAnsi="Arial" w:cs="Arial"/>
                <w:sz w:val="16"/>
                <w:szCs w:val="16"/>
              </w:rPr>
              <w:t>$</w:t>
            </w:r>
            <w:r w:rsidRPr="0025576B">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BB68C2" w:rsidR="0025576B" w:rsidP="00814E46" w:rsidRDefault="00814E46" w14:paraId="3FBDEE67" w14:textId="2797F2A1">
            <w:pPr>
              <w:jc w:val="center"/>
              <w:rPr>
                <w:rFonts w:ascii="Arial" w:hAnsi="Arial" w:cs="Arial"/>
                <w:sz w:val="16"/>
                <w:szCs w:val="16"/>
              </w:rPr>
            </w:pPr>
            <w:r>
              <w:rPr>
                <w:rFonts w:ascii="Arial" w:hAnsi="Arial" w:cs="Arial"/>
                <w:sz w:val="16"/>
                <w:szCs w:val="16"/>
              </w:rPr>
              <w:t>$</w:t>
            </w:r>
            <w:r w:rsidRPr="00814E46">
              <w:rPr>
                <w:rFonts w:ascii="Arial" w:hAnsi="Arial" w:cs="Arial"/>
                <w:sz w:val="16"/>
                <w:szCs w:val="16"/>
              </w:rPr>
              <w:t>35,194</w:t>
            </w:r>
          </w:p>
        </w:tc>
      </w:tr>
      <w:tr w:rsidRPr="00BB68C2" w:rsidR="00814E46" w:rsidTr="00814E46" w14:paraId="7CEC940E"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814E46" w:rsidR="00814E46" w:rsidP="00814E46" w:rsidRDefault="00814E46" w14:paraId="6B0A3FB0" w14:textId="3AE78E17">
            <w:pPr>
              <w:jc w:val="right"/>
              <w:rPr>
                <w:rFonts w:ascii="Arial" w:hAnsi="Arial" w:cs="Arial"/>
                <w:b/>
                <w:sz w:val="16"/>
                <w:szCs w:val="16"/>
              </w:rPr>
            </w:pPr>
            <w:r w:rsidRPr="00814E46">
              <w:rPr>
                <w:rFonts w:ascii="Arial" w:hAnsi="Arial" w:cs="Arial"/>
                <w:b/>
                <w:sz w:val="16"/>
                <w:szCs w:val="16"/>
              </w:rPr>
              <w:t>TOTAL:</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00814E46" w:rsidP="0025576B" w:rsidRDefault="00814E46" w14:paraId="033A2C24" w14:textId="07DCE240">
            <w:pPr>
              <w:jc w:val="center"/>
              <w:rPr>
                <w:rFonts w:ascii="Arial" w:hAnsi="Arial" w:cs="Arial"/>
                <w:sz w:val="16"/>
                <w:szCs w:val="16"/>
              </w:rPr>
            </w:pPr>
            <w:r>
              <w:rPr>
                <w:rFonts w:ascii="Arial" w:hAnsi="Arial" w:cs="Arial"/>
                <w:sz w:val="16"/>
                <w:szCs w:val="16"/>
              </w:rPr>
              <w:t>1,248</w:t>
            </w:r>
          </w:p>
        </w:tc>
        <w:tc>
          <w:tcPr>
            <w:tcW w:w="1440" w:type="dxa"/>
            <w:tcBorders>
              <w:top w:val="single" w:color="000000" w:sz="8" w:space="0"/>
              <w:left w:val="single" w:color="000000" w:sz="8" w:space="0"/>
              <w:bottom w:val="single" w:color="000000" w:sz="8" w:space="0"/>
              <w:right w:val="single" w:color="000000" w:sz="8" w:space="0"/>
            </w:tcBorders>
            <w:vAlign w:val="center"/>
          </w:tcPr>
          <w:p w:rsidR="00814E46" w:rsidP="0025576B" w:rsidRDefault="00814E46" w14:paraId="69BC1573" w14:textId="77777777">
            <w:pPr>
              <w:jc w:val="center"/>
              <w:rPr>
                <w:rFonts w:ascii="Arial" w:hAnsi="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814E46" w:rsidR="00814E46" w:rsidP="00814E46" w:rsidRDefault="00814E46" w14:paraId="6F8FDBB5" w14:textId="32E48E8E">
            <w:pPr>
              <w:jc w:val="center"/>
              <w:rPr>
                <w:rFonts w:ascii="Arial" w:hAnsi="Arial" w:cs="Arial"/>
                <w:sz w:val="16"/>
                <w:szCs w:val="16"/>
              </w:rPr>
            </w:pPr>
            <w:r>
              <w:rPr>
                <w:rFonts w:ascii="Arial" w:hAnsi="Arial" w:cs="Arial"/>
                <w:sz w:val="16"/>
                <w:szCs w:val="16"/>
              </w:rPr>
              <w:t>$76,253</w:t>
            </w:r>
          </w:p>
        </w:tc>
      </w:tr>
    </w:tbl>
    <w:p w:rsidR="006A20DD" w:rsidP="006F0B13" w:rsidRDefault="006A20DD" w14:paraId="04E4C03D" w14:textId="77777777">
      <w:pPr>
        <w:pStyle w:val="BodyText"/>
        <w:spacing w:after="0"/>
      </w:pPr>
    </w:p>
    <w:p w:rsidR="00A725EB" w:rsidP="006F0B13" w:rsidRDefault="00A725EB" w14:paraId="56BF133F" w14:textId="77777777">
      <w:pPr>
        <w:pStyle w:val="BodyText"/>
        <w:spacing w:after="0"/>
      </w:pPr>
    </w:p>
    <w:p w:rsidR="00916348" w:rsidP="006F0B13" w:rsidRDefault="00A725EB" w14:paraId="0509AEB2" w14:textId="6184B9D8">
      <w:pPr>
        <w:pStyle w:val="BodyText"/>
        <w:spacing w:after="0"/>
      </w:pPr>
      <w:bookmarkStart w:name="_Hlk30066825" w:id="16"/>
      <w:r>
        <w:t>The annual b</w:t>
      </w:r>
      <w:r w:rsidRPr="00A725EB">
        <w:t xml:space="preserve">urden for </w:t>
      </w:r>
      <w:r>
        <w:t xml:space="preserve">all </w:t>
      </w:r>
      <w:r w:rsidRPr="00A725EB">
        <w:t xml:space="preserve">authorized EPA programs is 416 hours </w:t>
      </w:r>
      <w:r>
        <w:t>(</w:t>
      </w:r>
      <w:r w:rsidRPr="00A725EB">
        <w:t xml:space="preserve">= </w:t>
      </w:r>
      <w:r>
        <w:t>1,248</w:t>
      </w:r>
      <w:r w:rsidRPr="00A725EB">
        <w:t xml:space="preserve"> / 3)</w:t>
      </w:r>
      <w:r>
        <w:t xml:space="preserve"> with an associated annual </w:t>
      </w:r>
      <w:r w:rsidRPr="00A725EB">
        <w:t>cost of $25,418</w:t>
      </w:r>
      <w:r>
        <w:t xml:space="preserve"> (</w:t>
      </w:r>
      <w:r w:rsidRPr="00A725EB">
        <w:t xml:space="preserve">= $76,253 / 3). </w:t>
      </w:r>
      <w:r w:rsidRPr="006A20DD" w:rsidR="006A20DD">
        <w:t xml:space="preserve">The Average Annual Incremental </w:t>
      </w:r>
      <w:r w:rsidR="006A20DD">
        <w:t xml:space="preserve">Burden </w:t>
      </w:r>
      <w:r w:rsidRPr="006A20DD" w:rsidR="006A20DD">
        <w:t xml:space="preserve">per </w:t>
      </w:r>
      <w:r w:rsidR="006A20DD">
        <w:t xml:space="preserve">Authorized NPDES program </w:t>
      </w:r>
      <w:r w:rsidRPr="006A20DD" w:rsidR="006A20DD">
        <w:t xml:space="preserve">is approximately </w:t>
      </w:r>
      <w:r w:rsidR="006A20DD">
        <w:t xml:space="preserve">8.7 hours </w:t>
      </w:r>
      <w:r w:rsidRPr="006A20DD" w:rsidR="006A20DD">
        <w:t xml:space="preserve">[= </w:t>
      </w:r>
      <w:r w:rsidR="006A20DD">
        <w:t>1,248</w:t>
      </w:r>
      <w:r w:rsidRPr="006A20DD" w:rsidR="006A20DD">
        <w:t xml:space="preserve"> / (48 * 3)]</w:t>
      </w:r>
      <w:r w:rsidR="006A20DD">
        <w:t xml:space="preserve"> and the</w:t>
      </w:r>
      <w:r w:rsidR="00916348">
        <w:t xml:space="preserve"> </w:t>
      </w:r>
      <w:r w:rsidRPr="00916348" w:rsidR="00916348">
        <w:t xml:space="preserve">Average Annual Incremental Cost per </w:t>
      </w:r>
      <w:r w:rsidRPr="006A20DD" w:rsidR="006A20DD">
        <w:t>Authorized NPDES program</w:t>
      </w:r>
      <w:r w:rsidR="00916348">
        <w:t xml:space="preserve"> is approximately $530 </w:t>
      </w:r>
      <w:bookmarkEnd w:id="16"/>
      <w:r w:rsidR="00916348">
        <w:t>[= $76,253 / (48 * 3)].</w:t>
      </w:r>
    </w:p>
    <w:p w:rsidRPr="00220520" w:rsidR="006F0B13" w:rsidP="006F0B13" w:rsidRDefault="006F0B13" w14:paraId="67684B63" w14:textId="77777777">
      <w:pPr>
        <w:pStyle w:val="BodyText"/>
        <w:spacing w:after="0"/>
      </w:pPr>
    </w:p>
    <w:p w:rsidR="006E6BA7" w:rsidP="003E12BF" w:rsidRDefault="003E12BF" w14:paraId="15D208C0" w14:textId="77777777">
      <w:pPr>
        <w:pStyle w:val="Heading2"/>
      </w:pPr>
      <w:r>
        <w:t>Estimating Agency Burden and Cost</w:t>
      </w:r>
    </w:p>
    <w:p w:rsidR="00EA2006" w:rsidP="00287896" w:rsidRDefault="002A171C" w14:paraId="35A66593" w14:textId="20B5E5E9">
      <w:pPr>
        <w:pStyle w:val="BodyText"/>
      </w:pPr>
      <w:r>
        <w:t xml:space="preserve">EPA </w:t>
      </w:r>
      <w:r w:rsidR="0046374D">
        <w:t>H</w:t>
      </w:r>
      <w:r>
        <w:t xml:space="preserve">eadquarters and EPA Regions </w:t>
      </w:r>
      <w:r w:rsidR="00736EF1">
        <w:t>will</w:t>
      </w:r>
      <w:r>
        <w:t xml:space="preserve"> incur burden and cost associated with the</w:t>
      </w:r>
      <w:r w:rsidR="00814E46">
        <w:t xml:space="preserve"> </w:t>
      </w:r>
      <w:r w:rsidR="00EF2017">
        <w:t>final rule</w:t>
      </w:r>
      <w:r w:rsidR="00814E46">
        <w:t xml:space="preserve"> associated with this ICR. </w:t>
      </w:r>
      <w:r w:rsidR="00287896">
        <w:t>When calculating the Agency cost, EPA uses the loaded hourly costs for government workers</w:t>
      </w:r>
      <w:r w:rsidR="004F50EE">
        <w:t xml:space="preserve"> shown</w:t>
      </w:r>
      <w:r w:rsidR="00287896">
        <w:t xml:space="preserve"> </w:t>
      </w:r>
      <w:r w:rsidR="00814E46">
        <w:t>in Table 1</w:t>
      </w:r>
      <w:r w:rsidRPr="007A43A8" w:rsidR="0023365D">
        <w:t>.</w:t>
      </w:r>
      <w:r w:rsidRPr="00F001E4" w:rsidR="00F001E4">
        <w:t xml:space="preserve"> </w:t>
      </w:r>
    </w:p>
    <w:p w:rsidR="00BE175C" w:rsidP="00BE175C" w:rsidRDefault="00BE175C" w14:paraId="7378B312" w14:textId="77777777">
      <w:pPr>
        <w:pStyle w:val="Heading3"/>
      </w:pPr>
      <w:r>
        <w:t>EPA Headquarters</w:t>
      </w:r>
    </w:p>
    <w:p w:rsidR="00220520" w:rsidP="00814E46" w:rsidRDefault="002A171C" w14:paraId="2971B39F" w14:textId="12F78FEC">
      <w:pPr>
        <w:pStyle w:val="BodyText"/>
        <w:spacing w:after="0"/>
      </w:pPr>
      <w:r>
        <w:t xml:space="preserve">EPA </w:t>
      </w:r>
      <w:r w:rsidR="0046374D">
        <w:t>H</w:t>
      </w:r>
      <w:r>
        <w:t xml:space="preserve">eadquarters is responsible for </w:t>
      </w:r>
      <w:r w:rsidR="00220520">
        <w:t>the following activities:</w:t>
      </w:r>
    </w:p>
    <w:p w:rsidR="00814E46" w:rsidP="00814E46" w:rsidRDefault="00814E46" w14:paraId="3E5911D9" w14:textId="77777777">
      <w:pPr>
        <w:pStyle w:val="BodyText"/>
        <w:spacing w:after="0"/>
      </w:pPr>
    </w:p>
    <w:p w:rsidR="00220520" w:rsidP="00814E46" w:rsidRDefault="00814E46" w14:paraId="1CA0CD0C" w14:textId="6C6A05B8">
      <w:pPr>
        <w:pStyle w:val="Bullet"/>
      </w:pPr>
      <w:r>
        <w:t xml:space="preserve">Reviewing </w:t>
      </w:r>
      <w:r w:rsidRPr="00790CD0" w:rsidR="00790CD0">
        <w:t>alternative Phase 2 compliance deadline</w:t>
      </w:r>
      <w:r w:rsidR="00790CD0">
        <w:t xml:space="preserve"> </w:t>
      </w:r>
      <w:r>
        <w:t>requests and making determinations</w:t>
      </w:r>
      <w:r w:rsidR="00220520">
        <w:t>;</w:t>
      </w:r>
      <w:r>
        <w:t xml:space="preserve"> and</w:t>
      </w:r>
    </w:p>
    <w:p w:rsidR="00220520" w:rsidP="00814E46" w:rsidRDefault="00814E46" w14:paraId="443ECD44" w14:textId="0D016D7B">
      <w:pPr>
        <w:pStyle w:val="Bullet"/>
      </w:pPr>
      <w:r>
        <w:t xml:space="preserve">Updating the inventory of </w:t>
      </w:r>
      <w:r w:rsidR="007C0B94">
        <w:t xml:space="preserve">EPA Regional and state-issued </w:t>
      </w:r>
      <w:r>
        <w:t>general permits and program reports and related electronic reporting tools.</w:t>
      </w:r>
    </w:p>
    <w:p w:rsidR="00814E46" w:rsidP="00814E46" w:rsidRDefault="00814E46" w14:paraId="1D740E97" w14:textId="77777777">
      <w:pPr>
        <w:pStyle w:val="BodyText"/>
        <w:spacing w:after="0"/>
      </w:pPr>
    </w:p>
    <w:p w:rsidR="00C6760E" w:rsidP="00C6760E" w:rsidRDefault="00220520" w14:paraId="78888618" w14:textId="77777777">
      <w:pPr>
        <w:pStyle w:val="BodyText"/>
        <w:spacing w:after="0"/>
      </w:pPr>
      <w:r>
        <w:t>The sections below discuss t</w:t>
      </w:r>
      <w:r w:rsidR="00C544C0">
        <w:t>he</w:t>
      </w:r>
      <w:r w:rsidR="002A171C">
        <w:t xml:space="preserve"> burden associated with each of these activities.</w:t>
      </w:r>
    </w:p>
    <w:p w:rsidR="00C6760E" w:rsidP="00C6760E" w:rsidRDefault="00C6760E" w14:paraId="4DF2488C" w14:textId="77777777">
      <w:pPr>
        <w:pStyle w:val="BodyText"/>
        <w:spacing w:after="0"/>
      </w:pPr>
    </w:p>
    <w:p w:rsidR="00C6760E" w:rsidP="00C6760E" w:rsidRDefault="00916348" w14:paraId="125EE89D" w14:textId="6979F799">
      <w:pPr>
        <w:pStyle w:val="BodyText"/>
        <w:spacing w:after="0"/>
      </w:pPr>
      <w:r w:rsidRPr="0025193D">
        <w:lastRenderedPageBreak/>
        <w:t xml:space="preserve">EPA will review each </w:t>
      </w:r>
      <w:r w:rsidRPr="00790CD0" w:rsidR="00790CD0">
        <w:t>alternative Phase 2 compliance deadline</w:t>
      </w:r>
      <w:r w:rsidR="00790CD0">
        <w:t xml:space="preserve"> </w:t>
      </w:r>
      <w:r w:rsidRPr="0025193D">
        <w:t xml:space="preserve">request and approve or reject the request within 120 days. </w:t>
      </w:r>
      <w:r w:rsidR="007C0B94">
        <w:t xml:space="preserve">These requests will only come from state that have elected to build their own electronic reporting tools and will not come from NeT-States or EPA Regions. </w:t>
      </w:r>
      <w:r w:rsidRPr="0025193D">
        <w:t xml:space="preserve">EPA will provide notice to the authorized NPDES program. The authorized NPDES program may re-apply if the initial request is rejected by EPA. EPA will update its website with each </w:t>
      </w:r>
      <w:r w:rsidRPr="00790CD0" w:rsidR="00790CD0">
        <w:t>alternative Phase 2 compliance deadline</w:t>
      </w:r>
      <w:r w:rsidR="00790CD0">
        <w:t xml:space="preserve"> </w:t>
      </w:r>
      <w:r w:rsidRPr="0025193D">
        <w:t xml:space="preserve">request and the corresponding Agency approval or rejection notice. EPA will provide updated information at: https://www.epa.gov/compliance/npdes-ereporting. EPA will update its website to clearly identify the approved </w:t>
      </w:r>
      <w:r w:rsidRPr="00790CD0" w:rsidR="00790CD0">
        <w:t>alternative Phase 2 compliance deadline</w:t>
      </w:r>
      <w:r w:rsidR="00790CD0">
        <w:t xml:space="preserve"> </w:t>
      </w:r>
      <w:r w:rsidRPr="0025193D">
        <w:t>for each facility, general permit report, program report, and related data element by authorized NPDES program</w:t>
      </w:r>
      <w:r>
        <w:t xml:space="preserve">. EPA estimates that the review and approval or rejection of each </w:t>
      </w:r>
      <w:r w:rsidRPr="00790CD0" w:rsidR="00790CD0">
        <w:t>alternative Phase 2 compliance deadline</w:t>
      </w:r>
      <w:r w:rsidR="00790CD0">
        <w:t xml:space="preserve"> </w:t>
      </w:r>
      <w:r w:rsidRPr="00916348">
        <w:t>request</w:t>
      </w:r>
      <w:r>
        <w:t xml:space="preserve"> is 16 hours per response. </w:t>
      </w:r>
      <w:r w:rsidRPr="00916348">
        <w:t>This results in total burden of 240 hours during the three-year period covered by this ICR</w:t>
      </w:r>
      <w:r w:rsidR="007E29FD">
        <w:t>.</w:t>
      </w:r>
    </w:p>
    <w:p w:rsidR="00C6760E" w:rsidP="00C6760E" w:rsidRDefault="00C6760E" w14:paraId="6F18FD18" w14:textId="77777777">
      <w:pPr>
        <w:pStyle w:val="BodyText"/>
        <w:spacing w:after="0"/>
      </w:pPr>
    </w:p>
    <w:p w:rsidR="00C6760E" w:rsidP="00C6760E" w:rsidRDefault="00916348" w14:paraId="571E7983" w14:textId="4BC22645">
      <w:pPr>
        <w:pStyle w:val="BodyText"/>
        <w:spacing w:after="0"/>
      </w:pPr>
      <w:r w:rsidRPr="00916348">
        <w:t>EPA will also update its inventory of general permits and program reports and the related electronic reporting tools to make sure that it is nationally consistent, complete, accurate, and updated as new information is shared with EPA. EPA will update its website to provide the inventory through an easy to use dashboard and make the dashboard available to authorized NPDES programs and NPDES-regulated entities</w:t>
      </w:r>
      <w:r w:rsidR="0023365D">
        <w:t>.</w:t>
      </w:r>
      <w:r>
        <w:t xml:space="preserve"> </w:t>
      </w:r>
      <w:r w:rsidRPr="006F0B13" w:rsidR="006F0B13">
        <w:t xml:space="preserve">EPA estimates that this will take approximately </w:t>
      </w:r>
      <w:r w:rsidR="006F0B13">
        <w:t>4 hours each month</w:t>
      </w:r>
      <w:r w:rsidRPr="006F0B13" w:rsidR="006F0B13">
        <w:t xml:space="preserve">. This results in an overall total of </w:t>
      </w:r>
      <w:r w:rsidR="006F0B13">
        <w:t>144</w:t>
      </w:r>
      <w:r w:rsidRPr="006F0B13" w:rsidR="006F0B13">
        <w:t xml:space="preserve"> hours during the three-year period covered by this ICR</w:t>
      </w:r>
      <w:r w:rsidRPr="00916348">
        <w:t>.</w:t>
      </w:r>
    </w:p>
    <w:p w:rsidR="00941758" w:rsidP="00C6760E" w:rsidRDefault="00941758" w14:paraId="724303A0" w14:textId="77777777">
      <w:pPr>
        <w:pStyle w:val="BodyText"/>
        <w:spacing w:after="0"/>
      </w:pPr>
    </w:p>
    <w:p w:rsidR="00C25F6E" w:rsidP="00C6760E" w:rsidRDefault="006F0B13" w14:paraId="079C2D16" w14:textId="49C27413">
      <w:pPr>
        <w:pStyle w:val="BodyText"/>
        <w:spacing w:after="0"/>
      </w:pPr>
      <w:r w:rsidRPr="006F0B13">
        <w:t xml:space="preserve">EPA </w:t>
      </w:r>
      <w:r w:rsidR="009101BE">
        <w:t xml:space="preserve">will </w:t>
      </w:r>
      <w:r w:rsidRPr="006F0B13">
        <w:t>update its inventory of general permits and program reports and the related electronic reporting tools</w:t>
      </w:r>
      <w:r>
        <w:t xml:space="preserve"> </w:t>
      </w:r>
      <w:r w:rsidRPr="006F0B13">
        <w:t xml:space="preserve">to make sure that it is nationally consistent, complete, accurate, and updated </w:t>
      </w:r>
      <w:r>
        <w:t xml:space="preserve">through the annual state verifications. </w:t>
      </w:r>
      <w:r w:rsidRPr="006F0B13">
        <w:t xml:space="preserve">EPA estimates that this will take approximately 16 hours each </w:t>
      </w:r>
      <w:r>
        <w:t>year</w:t>
      </w:r>
      <w:r w:rsidRPr="006F0B13">
        <w:t xml:space="preserve">. This results in </w:t>
      </w:r>
      <w:r>
        <w:t xml:space="preserve">an </w:t>
      </w:r>
      <w:r w:rsidRPr="006F0B13">
        <w:t xml:space="preserve">overall total of </w:t>
      </w:r>
      <w:r>
        <w:t>48</w:t>
      </w:r>
      <w:r w:rsidRPr="006F0B13">
        <w:t xml:space="preserve"> hours during the three-year period covered by this ICR</w:t>
      </w:r>
      <w:r w:rsidR="00C25F6E">
        <w:t>.</w:t>
      </w:r>
    </w:p>
    <w:p w:rsidR="00C6760E" w:rsidP="00C6760E" w:rsidRDefault="00C6760E" w14:paraId="7711AAC0" w14:textId="77777777">
      <w:pPr>
        <w:pStyle w:val="BodyText"/>
        <w:spacing w:after="0"/>
      </w:pPr>
    </w:p>
    <w:tbl>
      <w:tblPr>
        <w:tblW w:w="8175" w:type="dxa"/>
        <w:jc w:val="center"/>
        <w:tblLook w:val="04A0" w:firstRow="1" w:lastRow="0" w:firstColumn="1" w:lastColumn="0" w:noHBand="0" w:noVBand="1"/>
      </w:tblPr>
      <w:tblGrid>
        <w:gridCol w:w="3135"/>
        <w:gridCol w:w="1800"/>
        <w:gridCol w:w="1440"/>
        <w:gridCol w:w="1800"/>
      </w:tblGrid>
      <w:tr w:rsidRPr="006F0B13" w:rsidR="006F0B13" w:rsidTr="00736EF1" w14:paraId="62733C3F" w14:textId="77777777">
        <w:trPr>
          <w:jc w:val="center"/>
        </w:trPr>
        <w:tc>
          <w:tcPr>
            <w:tcW w:w="8175" w:type="dxa"/>
            <w:gridSpan w:val="4"/>
            <w:tcBorders>
              <w:top w:val="single" w:color="auto" w:sz="12" w:space="0"/>
              <w:left w:val="single" w:color="auto" w:sz="12" w:space="0"/>
              <w:bottom w:val="single" w:color="000000" w:sz="8" w:space="0"/>
              <w:right w:val="single" w:color="000000" w:sz="12" w:space="0"/>
            </w:tcBorders>
            <w:shd w:val="clear" w:color="000000" w:fill="003366"/>
          </w:tcPr>
          <w:p w:rsidRPr="006F0B13" w:rsidR="006F0B13" w:rsidP="006F0B13" w:rsidRDefault="006F0B13" w14:paraId="092EC61F" w14:textId="09ED6531">
            <w:pPr>
              <w:keepNext/>
              <w:jc w:val="center"/>
              <w:rPr>
                <w:rFonts w:ascii="Arial" w:hAnsi="Arial" w:cs="Arial"/>
                <w:b/>
                <w:bCs/>
                <w:color w:val="FFFFFF"/>
                <w:sz w:val="20"/>
                <w:szCs w:val="20"/>
              </w:rPr>
            </w:pPr>
            <w:r w:rsidRPr="006F0B13">
              <w:rPr>
                <w:rFonts w:ascii="Arial" w:hAnsi="Arial"/>
                <w:b/>
                <w:bCs/>
                <w:sz w:val="20"/>
                <w:szCs w:val="20"/>
              </w:rPr>
              <w:br w:type="page"/>
              <w:t xml:space="preserve">Table </w:t>
            </w:r>
            <w:r>
              <w:rPr>
                <w:rFonts w:ascii="Arial" w:hAnsi="Arial"/>
                <w:b/>
                <w:bCs/>
                <w:sz w:val="20"/>
                <w:szCs w:val="20"/>
              </w:rPr>
              <w:t>2</w:t>
            </w:r>
            <w:r w:rsidRPr="006F0B13">
              <w:rPr>
                <w:rFonts w:ascii="Arial" w:hAnsi="Arial" w:cs="Arial"/>
                <w:b/>
                <w:bCs/>
                <w:color w:val="FFFFFF"/>
                <w:sz w:val="20"/>
                <w:szCs w:val="20"/>
              </w:rPr>
              <w:t xml:space="preserve">: Estimate of Burden Costs to </w:t>
            </w:r>
            <w:r>
              <w:rPr>
                <w:rFonts w:ascii="Arial" w:hAnsi="Arial" w:cs="Arial"/>
                <w:b/>
                <w:bCs/>
                <w:color w:val="FFFFFF"/>
                <w:sz w:val="20"/>
                <w:szCs w:val="20"/>
              </w:rPr>
              <w:t>EPA Headquarters</w:t>
            </w:r>
          </w:p>
        </w:tc>
      </w:tr>
      <w:tr w:rsidRPr="006F0B13" w:rsidR="006F0B13" w:rsidTr="00736EF1" w14:paraId="11D710F8" w14:textId="77777777">
        <w:trPr>
          <w:trHeight w:val="1034"/>
          <w:jc w:val="center"/>
        </w:trPr>
        <w:tc>
          <w:tcPr>
            <w:tcW w:w="3135" w:type="dxa"/>
            <w:tcBorders>
              <w:top w:val="nil"/>
              <w:left w:val="single" w:color="auto" w:sz="12" w:space="0"/>
              <w:bottom w:val="single" w:color="000000" w:sz="8" w:space="0"/>
              <w:right w:val="single" w:color="auto" w:sz="8" w:space="0"/>
            </w:tcBorders>
            <w:shd w:val="clear" w:color="000000" w:fill="99CCFF"/>
            <w:vAlign w:val="center"/>
            <w:hideMark/>
          </w:tcPr>
          <w:p w:rsidRPr="006F0B13" w:rsidR="006F0B13" w:rsidP="006F0B13" w:rsidRDefault="006F0B13" w14:paraId="79DB246F" w14:textId="77777777">
            <w:pPr>
              <w:jc w:val="center"/>
              <w:rPr>
                <w:rFonts w:ascii="Arial" w:hAnsi="Arial" w:cs="Arial"/>
                <w:b/>
                <w:bCs/>
                <w:sz w:val="16"/>
                <w:szCs w:val="16"/>
              </w:rPr>
            </w:pPr>
            <w:r w:rsidRPr="006F0B13">
              <w:rPr>
                <w:rFonts w:ascii="Arial" w:hAnsi="Arial" w:cs="Arial"/>
                <w:b/>
                <w:bCs/>
                <w:sz w:val="16"/>
                <w:szCs w:val="16"/>
              </w:rPr>
              <w:t>Activity Covered This ICR</w:t>
            </w:r>
          </w:p>
        </w:tc>
        <w:tc>
          <w:tcPr>
            <w:tcW w:w="1800" w:type="dxa"/>
            <w:tcBorders>
              <w:top w:val="nil"/>
              <w:left w:val="single" w:color="auto" w:sz="8" w:space="0"/>
              <w:bottom w:val="single" w:color="000000" w:sz="8" w:space="0"/>
              <w:right w:val="single" w:color="auto" w:sz="8" w:space="0"/>
            </w:tcBorders>
            <w:shd w:val="clear" w:color="000000" w:fill="99CCFF"/>
            <w:vAlign w:val="center"/>
            <w:hideMark/>
          </w:tcPr>
          <w:p w:rsidRPr="006F0B13" w:rsidR="006F0B13" w:rsidP="006F0B13" w:rsidRDefault="006F0B13" w14:paraId="6711B793" w14:textId="77777777">
            <w:pPr>
              <w:jc w:val="center"/>
              <w:rPr>
                <w:rFonts w:ascii="Arial" w:hAnsi="Arial" w:cs="Arial"/>
                <w:b/>
                <w:bCs/>
                <w:sz w:val="16"/>
                <w:szCs w:val="16"/>
              </w:rPr>
            </w:pPr>
            <w:r w:rsidRPr="006F0B13">
              <w:rPr>
                <w:rFonts w:ascii="Arial" w:hAnsi="Arial" w:cs="Arial"/>
                <w:b/>
                <w:bCs/>
                <w:sz w:val="16"/>
                <w:szCs w:val="16"/>
              </w:rPr>
              <w:t xml:space="preserve"> Total Burden Over Three-Year Period Covered by this ICR</w:t>
            </w:r>
          </w:p>
        </w:tc>
        <w:tc>
          <w:tcPr>
            <w:tcW w:w="1440" w:type="dxa"/>
            <w:tcBorders>
              <w:top w:val="nil"/>
              <w:left w:val="single" w:color="auto" w:sz="8" w:space="0"/>
              <w:right w:val="single" w:color="auto" w:sz="8" w:space="0"/>
            </w:tcBorders>
            <w:shd w:val="clear" w:color="000000" w:fill="99CCFF"/>
            <w:vAlign w:val="center"/>
          </w:tcPr>
          <w:p w:rsidRPr="006F0B13" w:rsidR="006F0B13" w:rsidP="006F0B13" w:rsidRDefault="006F0B13" w14:paraId="2DBC68FB" w14:textId="77777777">
            <w:pPr>
              <w:jc w:val="center"/>
              <w:rPr>
                <w:rFonts w:ascii="Arial" w:hAnsi="Arial" w:cs="Arial"/>
                <w:b/>
                <w:bCs/>
                <w:sz w:val="16"/>
                <w:szCs w:val="16"/>
              </w:rPr>
            </w:pPr>
            <w:r w:rsidRPr="006F0B13">
              <w:rPr>
                <w:rFonts w:ascii="Arial" w:hAnsi="Arial" w:cs="Arial"/>
                <w:b/>
                <w:bCs/>
                <w:sz w:val="16"/>
                <w:szCs w:val="16"/>
              </w:rPr>
              <w:t>BLS Hourly Wage Rate</w:t>
            </w:r>
          </w:p>
        </w:tc>
        <w:tc>
          <w:tcPr>
            <w:tcW w:w="1800" w:type="dxa"/>
            <w:tcBorders>
              <w:top w:val="nil"/>
              <w:left w:val="single" w:color="auto" w:sz="8" w:space="0"/>
              <w:bottom w:val="single" w:color="000000" w:sz="8" w:space="0"/>
              <w:right w:val="single" w:color="auto" w:sz="12" w:space="0"/>
            </w:tcBorders>
            <w:shd w:val="clear" w:color="000000" w:fill="99CCFF"/>
            <w:vAlign w:val="center"/>
            <w:hideMark/>
          </w:tcPr>
          <w:p w:rsidRPr="006F0B13" w:rsidR="006F0B13" w:rsidP="006F0B13" w:rsidRDefault="006F0B13" w14:paraId="30143236" w14:textId="77777777">
            <w:pPr>
              <w:jc w:val="center"/>
              <w:rPr>
                <w:rFonts w:ascii="Arial" w:hAnsi="Arial" w:cs="Arial"/>
                <w:b/>
                <w:bCs/>
                <w:sz w:val="16"/>
                <w:szCs w:val="16"/>
              </w:rPr>
            </w:pPr>
            <w:r w:rsidRPr="006F0B13">
              <w:rPr>
                <w:rFonts w:ascii="Arial" w:hAnsi="Arial" w:cs="Arial"/>
                <w:b/>
                <w:bCs/>
                <w:sz w:val="16"/>
                <w:szCs w:val="16"/>
              </w:rPr>
              <w:t>Total Cost Over Three-Year Period Covered by this ICR</w:t>
            </w:r>
          </w:p>
        </w:tc>
      </w:tr>
      <w:tr w:rsidRPr="006F0B13" w:rsidR="006F0B13" w:rsidTr="00736EF1" w14:paraId="23B62DB8"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6F0B13" w:rsidP="006F0B13" w:rsidRDefault="006F0B13" w14:paraId="02B2BB49" w14:textId="5DCC4DE8">
            <w:pPr>
              <w:rPr>
                <w:rFonts w:ascii="Arial" w:hAnsi="Arial" w:cs="Arial"/>
                <w:sz w:val="16"/>
                <w:szCs w:val="16"/>
              </w:rPr>
            </w:pPr>
            <w:r w:rsidRPr="006F0B13">
              <w:rPr>
                <w:rFonts w:ascii="Arial" w:hAnsi="Arial" w:cs="Arial"/>
                <w:sz w:val="16"/>
                <w:szCs w:val="16"/>
              </w:rPr>
              <w:t xml:space="preserve">Alternate </w:t>
            </w:r>
            <w:r w:rsidR="00F911DD">
              <w:rPr>
                <w:rFonts w:ascii="Arial" w:hAnsi="Arial" w:cs="Arial"/>
                <w:sz w:val="16"/>
                <w:szCs w:val="16"/>
              </w:rPr>
              <w:t>Compliance</w:t>
            </w:r>
            <w:r w:rsidRPr="006F0B13">
              <w:rPr>
                <w:rFonts w:ascii="Arial" w:hAnsi="Arial" w:cs="Arial"/>
                <w:sz w:val="16"/>
                <w:szCs w:val="16"/>
              </w:rPr>
              <w:t xml:space="preserve"> Date for General Permit and Program Report</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6F0B13" w:rsidP="006F0B13" w:rsidRDefault="006F0B13" w14:paraId="1DC7940C" w14:textId="77777777">
            <w:pPr>
              <w:jc w:val="center"/>
              <w:rPr>
                <w:rFonts w:ascii="Arial" w:hAnsi="Arial" w:cs="Arial"/>
                <w:sz w:val="16"/>
                <w:szCs w:val="16"/>
              </w:rPr>
            </w:pPr>
            <w:r w:rsidRPr="006F0B13">
              <w:rPr>
                <w:rFonts w:ascii="Arial" w:hAnsi="Arial" w:cs="Arial"/>
                <w:sz w:val="16"/>
                <w:szCs w:val="16"/>
              </w:rPr>
              <w:t>240</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6F0B13" w:rsidP="006F0B13" w:rsidRDefault="006F0B13" w14:paraId="0C875081" w14:textId="77777777">
            <w:pPr>
              <w:jc w:val="center"/>
              <w:rPr>
                <w:rFonts w:ascii="Arial" w:hAnsi="Arial" w:cs="Arial"/>
                <w:sz w:val="16"/>
                <w:szCs w:val="16"/>
              </w:rPr>
            </w:pPr>
            <w:r w:rsidRPr="006F0B13">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6F0B13" w:rsidP="006F0B13" w:rsidRDefault="006F0B13" w14:paraId="3E281B90" w14:textId="77777777">
            <w:pPr>
              <w:jc w:val="center"/>
              <w:rPr>
                <w:rFonts w:ascii="Arial" w:hAnsi="Arial" w:cs="Arial"/>
                <w:sz w:val="16"/>
                <w:szCs w:val="16"/>
              </w:rPr>
            </w:pPr>
            <w:r w:rsidRPr="006F0B13">
              <w:rPr>
                <w:rFonts w:ascii="Arial" w:hAnsi="Arial" w:cs="Arial"/>
                <w:sz w:val="16"/>
                <w:szCs w:val="16"/>
              </w:rPr>
              <w:t>$14,664</w:t>
            </w:r>
          </w:p>
        </w:tc>
      </w:tr>
      <w:tr w:rsidRPr="006F0B13" w:rsidR="006F0B13" w:rsidTr="00736EF1" w14:paraId="77335F75"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6F0B13" w:rsidP="006F0B13" w:rsidRDefault="006F0B13" w14:paraId="1F04AD7C" w14:textId="77777777">
            <w:pPr>
              <w:rPr>
                <w:rFonts w:ascii="Arial" w:hAnsi="Arial" w:cs="Arial"/>
                <w:sz w:val="16"/>
                <w:szCs w:val="16"/>
              </w:rPr>
            </w:pPr>
            <w:r w:rsidRPr="006F0B13">
              <w:rPr>
                <w:rFonts w:ascii="Arial" w:hAnsi="Arial" w:cs="Arial"/>
                <w:sz w:val="16"/>
                <w:szCs w:val="16"/>
              </w:rPr>
              <w:t>Monthly Updates of General Permit and Program Report Information</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6F0B13" w:rsidP="006F0B13" w:rsidRDefault="006F0B13" w14:paraId="11802605" w14:textId="759A8B05">
            <w:pPr>
              <w:jc w:val="center"/>
              <w:rPr>
                <w:rFonts w:ascii="Arial" w:hAnsi="Arial" w:cs="Arial"/>
                <w:sz w:val="16"/>
                <w:szCs w:val="16"/>
              </w:rPr>
            </w:pPr>
            <w:r>
              <w:rPr>
                <w:rFonts w:ascii="Arial" w:hAnsi="Arial" w:cs="Arial"/>
                <w:sz w:val="16"/>
                <w:szCs w:val="16"/>
              </w:rPr>
              <w:t>144</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6F0B13" w:rsidP="006F0B13" w:rsidRDefault="006F0B13" w14:paraId="7C3F5B97" w14:textId="77777777">
            <w:pPr>
              <w:jc w:val="center"/>
              <w:rPr>
                <w:rFonts w:ascii="Arial" w:hAnsi="Arial" w:cs="Arial"/>
                <w:sz w:val="16"/>
                <w:szCs w:val="16"/>
              </w:rPr>
            </w:pPr>
            <w:r w:rsidRPr="006F0B13">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6F0B13" w:rsidP="006F0B13" w:rsidRDefault="006F0B13" w14:paraId="25A99E87" w14:textId="77777777">
            <w:pPr>
              <w:jc w:val="center"/>
              <w:rPr>
                <w:rFonts w:ascii="Arial" w:hAnsi="Arial" w:cs="Arial"/>
                <w:sz w:val="16"/>
                <w:szCs w:val="16"/>
              </w:rPr>
            </w:pPr>
            <w:r w:rsidRPr="006F0B13">
              <w:rPr>
                <w:rFonts w:ascii="Arial" w:hAnsi="Arial" w:cs="Arial"/>
                <w:sz w:val="16"/>
                <w:szCs w:val="16"/>
              </w:rPr>
              <w:t>$26,395</w:t>
            </w:r>
          </w:p>
        </w:tc>
      </w:tr>
      <w:tr w:rsidRPr="006F0B13" w:rsidR="006F0B13" w:rsidTr="00736EF1" w14:paraId="6BAB0879"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6F0B13" w:rsidP="006F0B13" w:rsidRDefault="006F0B13" w14:paraId="08E1F11C" w14:textId="77777777">
            <w:pPr>
              <w:rPr>
                <w:rFonts w:ascii="Arial" w:hAnsi="Arial" w:cs="Arial"/>
                <w:sz w:val="16"/>
                <w:szCs w:val="16"/>
              </w:rPr>
            </w:pPr>
            <w:r w:rsidRPr="006F0B13">
              <w:rPr>
                <w:rFonts w:ascii="Arial" w:hAnsi="Arial" w:cs="Arial"/>
                <w:sz w:val="16"/>
                <w:szCs w:val="16"/>
              </w:rPr>
              <w:t>Annual Review of General Permit and Program Report Information</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6F0B13" w:rsidP="006F0B13" w:rsidRDefault="006F0B13" w14:paraId="5EEB7E56" w14:textId="1BDFF756">
            <w:pPr>
              <w:jc w:val="center"/>
              <w:rPr>
                <w:rFonts w:ascii="Arial" w:hAnsi="Arial" w:cs="Arial"/>
                <w:sz w:val="16"/>
                <w:szCs w:val="16"/>
              </w:rPr>
            </w:pPr>
            <w:r>
              <w:rPr>
                <w:rFonts w:ascii="Arial" w:hAnsi="Arial" w:cs="Arial"/>
                <w:sz w:val="16"/>
                <w:szCs w:val="16"/>
              </w:rPr>
              <w:t>48</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6F0B13" w:rsidP="006F0B13" w:rsidRDefault="006F0B13" w14:paraId="0B5A87CE" w14:textId="77777777">
            <w:pPr>
              <w:jc w:val="center"/>
              <w:rPr>
                <w:rFonts w:ascii="Arial" w:hAnsi="Arial" w:cs="Arial"/>
                <w:sz w:val="16"/>
                <w:szCs w:val="16"/>
              </w:rPr>
            </w:pPr>
            <w:r w:rsidRPr="006F0B13">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6F0B13" w:rsidP="006F0B13" w:rsidRDefault="006F0B13" w14:paraId="2B18A628" w14:textId="77777777">
            <w:pPr>
              <w:jc w:val="center"/>
              <w:rPr>
                <w:rFonts w:ascii="Arial" w:hAnsi="Arial" w:cs="Arial"/>
                <w:sz w:val="16"/>
                <w:szCs w:val="16"/>
              </w:rPr>
            </w:pPr>
            <w:r w:rsidRPr="006F0B13">
              <w:rPr>
                <w:rFonts w:ascii="Arial" w:hAnsi="Arial" w:cs="Arial"/>
                <w:sz w:val="16"/>
                <w:szCs w:val="16"/>
              </w:rPr>
              <w:t>$35,194</w:t>
            </w:r>
          </w:p>
        </w:tc>
      </w:tr>
      <w:tr w:rsidRPr="006F0B13" w:rsidR="006F0B13" w:rsidTr="00736EF1" w14:paraId="1A78477D"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6F0B13" w:rsidP="006F0B13" w:rsidRDefault="006F0B13" w14:paraId="1B70EFCA" w14:textId="77777777">
            <w:pPr>
              <w:jc w:val="right"/>
              <w:rPr>
                <w:rFonts w:ascii="Arial" w:hAnsi="Arial" w:cs="Arial"/>
                <w:b/>
                <w:sz w:val="16"/>
                <w:szCs w:val="16"/>
              </w:rPr>
            </w:pPr>
            <w:r w:rsidRPr="006F0B13">
              <w:rPr>
                <w:rFonts w:ascii="Arial" w:hAnsi="Arial" w:cs="Arial"/>
                <w:b/>
                <w:sz w:val="16"/>
                <w:szCs w:val="16"/>
              </w:rPr>
              <w:t>TOTAL:</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6F0B13" w:rsidP="006F0B13" w:rsidRDefault="006F0B13" w14:paraId="56ABC62A" w14:textId="4BC09180">
            <w:pPr>
              <w:jc w:val="center"/>
              <w:rPr>
                <w:rFonts w:ascii="Arial" w:hAnsi="Arial" w:cs="Arial"/>
                <w:sz w:val="16"/>
                <w:szCs w:val="16"/>
              </w:rPr>
            </w:pPr>
            <w:r>
              <w:rPr>
                <w:rFonts w:ascii="Arial" w:hAnsi="Arial" w:cs="Arial"/>
                <w:sz w:val="16"/>
                <w:szCs w:val="16"/>
              </w:rPr>
              <w:t>432</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6F0B13" w:rsidP="006F0B13" w:rsidRDefault="006F0B13" w14:paraId="16DE126D" w14:textId="77777777">
            <w:pPr>
              <w:jc w:val="center"/>
              <w:rPr>
                <w:rFonts w:ascii="Arial" w:hAnsi="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6F0B13" w:rsidP="006F0B13" w:rsidRDefault="006F0B13" w14:paraId="607598EB" w14:textId="07692F08">
            <w:pPr>
              <w:jc w:val="center"/>
              <w:rPr>
                <w:rFonts w:ascii="Arial" w:hAnsi="Arial" w:cs="Arial"/>
                <w:sz w:val="16"/>
                <w:szCs w:val="16"/>
              </w:rPr>
            </w:pPr>
            <w:r>
              <w:rPr>
                <w:rFonts w:ascii="Arial" w:hAnsi="Arial" w:cs="Arial"/>
                <w:sz w:val="16"/>
                <w:szCs w:val="16"/>
              </w:rPr>
              <w:t>$</w:t>
            </w:r>
            <w:r w:rsidRPr="006F0B13">
              <w:rPr>
                <w:rFonts w:ascii="Arial" w:hAnsi="Arial" w:cs="Arial"/>
                <w:sz w:val="16"/>
                <w:szCs w:val="16"/>
              </w:rPr>
              <w:t>26,395</w:t>
            </w:r>
          </w:p>
        </w:tc>
      </w:tr>
    </w:tbl>
    <w:p w:rsidR="00C6760E" w:rsidP="00C6760E" w:rsidRDefault="00C6760E" w14:paraId="05FD1B6E" w14:textId="77777777">
      <w:pPr>
        <w:pStyle w:val="Heading3"/>
        <w:numPr>
          <w:ilvl w:val="0"/>
          <w:numId w:val="0"/>
        </w:numPr>
        <w:ind w:left="1656"/>
      </w:pPr>
    </w:p>
    <w:p w:rsidR="00BE175C" w:rsidP="00BE175C" w:rsidRDefault="00BE175C" w14:paraId="1511B1C1" w14:textId="7BD06D46">
      <w:pPr>
        <w:pStyle w:val="Heading3"/>
      </w:pPr>
      <w:r>
        <w:t>EPA Regions</w:t>
      </w:r>
    </w:p>
    <w:p w:rsidR="00BD451F" w:rsidP="00376919" w:rsidRDefault="0085307D" w14:paraId="7C7AF7BE" w14:textId="52C635CE">
      <w:pPr>
        <w:pStyle w:val="BodyText"/>
      </w:pPr>
      <w:r>
        <w:t xml:space="preserve">Where </w:t>
      </w:r>
      <w:r w:rsidR="00643378">
        <w:t>EPA Region</w:t>
      </w:r>
      <w:r w:rsidR="00EC5862">
        <w:t>s are the permitting authority</w:t>
      </w:r>
      <w:r>
        <w:t>, they</w:t>
      </w:r>
      <w:r w:rsidR="00EC5862">
        <w:t xml:space="preserve"> </w:t>
      </w:r>
      <w:r w:rsidR="00736EF1">
        <w:t>will</w:t>
      </w:r>
      <w:r w:rsidR="002A171C">
        <w:t xml:space="preserve"> incur costs similar to those incurred by </w:t>
      </w:r>
      <w:r w:rsidR="006A0B22">
        <w:t xml:space="preserve">authorized </w:t>
      </w:r>
      <w:r>
        <w:t xml:space="preserve">state </w:t>
      </w:r>
      <w:r w:rsidR="006A0B22">
        <w:t>programs</w:t>
      </w:r>
      <w:r w:rsidR="002A171C">
        <w:t xml:space="preserve"> (discussed in Section </w:t>
      </w:r>
      <w:r w:rsidR="00C00283">
        <w:fldChar w:fldCharType="begin"/>
      </w:r>
      <w:r w:rsidR="00643378">
        <w:instrText xml:space="preserve"> REF _Ref293303067 \r \h </w:instrText>
      </w:r>
      <w:r w:rsidR="00C00283">
        <w:fldChar w:fldCharType="separate"/>
      </w:r>
      <w:r w:rsidR="00463BE7">
        <w:t>6(a)</w:t>
      </w:r>
      <w:r w:rsidR="00C00283">
        <w:fldChar w:fldCharType="end"/>
      </w:r>
      <w:r w:rsidR="00643378">
        <w:t xml:space="preserve"> </w:t>
      </w:r>
      <w:r w:rsidR="002A171C">
        <w:t xml:space="preserve">above). </w:t>
      </w:r>
      <w:r w:rsidRPr="00117ACF" w:rsidR="002A171C">
        <w:t xml:space="preserve">Specifically, they </w:t>
      </w:r>
      <w:r w:rsidR="00736EF1">
        <w:t>will</w:t>
      </w:r>
      <w:r w:rsidR="00F00413">
        <w:t xml:space="preserve"> incur costs for the following activities</w:t>
      </w:r>
      <w:r w:rsidRPr="00117ACF" w:rsidR="002A171C">
        <w:t xml:space="preserve">: </w:t>
      </w:r>
    </w:p>
    <w:p w:rsidR="006F0B13" w:rsidP="009C05EE" w:rsidRDefault="006F0B13" w14:paraId="3235842F" w14:textId="77777777">
      <w:pPr>
        <w:pStyle w:val="BodyText"/>
        <w:numPr>
          <w:ilvl w:val="0"/>
          <w:numId w:val="4"/>
        </w:numPr>
      </w:pPr>
      <w:r>
        <w:t>Prepare and send basic information to EPA as they update general permits. These updates should be timely in that the authorized NPDES program sends an email to EPA within 40 days of the completed activity.</w:t>
      </w:r>
    </w:p>
    <w:p w:rsidR="00BD451F" w:rsidP="009C05EE" w:rsidRDefault="006F0B13" w14:paraId="4314B236" w14:textId="41EC796C">
      <w:pPr>
        <w:pStyle w:val="BodyText"/>
        <w:numPr>
          <w:ilvl w:val="0"/>
          <w:numId w:val="4"/>
        </w:numPr>
      </w:pPr>
      <w:r>
        <w:t>Annually review EPA’s inventory of general permits and program reports. Authorized NPDES programs will summarize this review in an email to EPA Headquarters. This email will confirm that EPA’s inventory is complete and accurate as well as identify any necessary changes.</w:t>
      </w:r>
    </w:p>
    <w:p w:rsidR="00F00413" w:rsidP="007C0B94" w:rsidRDefault="007C0B94" w14:paraId="24F7DF37" w14:textId="28ECC1E7">
      <w:pPr>
        <w:pStyle w:val="BodyText"/>
        <w:spacing w:after="0"/>
      </w:pPr>
      <w:r>
        <w:t>The sections below discuss the burden associated with each of these activities.</w:t>
      </w:r>
    </w:p>
    <w:p w:rsidR="007C0B94" w:rsidP="007C0B94" w:rsidRDefault="007C0B94" w14:paraId="1DD77C1C" w14:textId="77777777">
      <w:pPr>
        <w:pStyle w:val="BodyText"/>
        <w:spacing w:after="0"/>
      </w:pPr>
    </w:p>
    <w:p w:rsidR="00376919" w:rsidP="00376919" w:rsidRDefault="00C6760E" w14:paraId="65B52AF4" w14:textId="6EF0A825">
      <w:pPr>
        <w:pStyle w:val="BodyText"/>
      </w:pPr>
      <w:r w:rsidRPr="00C6760E">
        <w:t>EPA Regions need to modify permits for regulated entities in states where the EPA Region is the permitting authority to require electronic reporting (and, where applicable, remove language that explicitly requires paper reporting).</w:t>
      </w:r>
      <w:r>
        <w:t xml:space="preserve"> </w:t>
      </w:r>
      <w:r w:rsidR="007C0B94">
        <w:t xml:space="preserve">EPA estimates that there are </w:t>
      </w:r>
      <w:r>
        <w:t xml:space="preserve">seven </w:t>
      </w:r>
      <w:r w:rsidR="007C0B94">
        <w:t>EPA Regions with 4</w:t>
      </w:r>
      <w:r>
        <w:t>3</w:t>
      </w:r>
      <w:r w:rsidR="007C0B94">
        <w:t xml:space="preserve"> general permits (EPA Region 1, 2, </w:t>
      </w:r>
      <w:r>
        <w:t xml:space="preserve">4, </w:t>
      </w:r>
      <w:r w:rsidR="007C0B94">
        <w:t xml:space="preserve">6, 8, 9, and 10). </w:t>
      </w:r>
      <w:r w:rsidR="00DB077E">
        <w:t xml:space="preserve">This estimate is derived from the </w:t>
      </w:r>
      <w:r w:rsidRPr="00DB077E" w:rsidR="00DB077E">
        <w:t xml:space="preserve">NPDES </w:t>
      </w:r>
      <w:proofErr w:type="spellStart"/>
      <w:r w:rsidRPr="00DB077E" w:rsidR="00DB077E">
        <w:t>eRule</w:t>
      </w:r>
      <w:proofErr w:type="spellEnd"/>
      <w:r w:rsidRPr="00DB077E" w:rsidR="00DB077E">
        <w:t xml:space="preserve"> Phase 2 Implementation Dashboard</w:t>
      </w:r>
      <w:r w:rsidR="00DB077E">
        <w:t xml:space="preserve"> (see: </w:t>
      </w:r>
      <w:hyperlink w:history="1" r:id="rId15">
        <w:r w:rsidRPr="00D256E6" w:rsidR="00DB077E">
          <w:rPr>
            <w:rStyle w:val="Hyperlink"/>
          </w:rPr>
          <w:t>https://echo.epa.gov/trends/data-viz?filters=erule</w:t>
        </w:r>
      </w:hyperlink>
      <w:r w:rsidR="00DB077E">
        <w:t xml:space="preserve">). </w:t>
      </w:r>
      <w:r w:rsidR="007C0B94">
        <w:t xml:space="preserve">Using a five-year renewal frequency, this means that EPA Regions are re-issuing approximately </w:t>
      </w:r>
      <w:r>
        <w:t>9</w:t>
      </w:r>
      <w:r w:rsidR="007C0B94">
        <w:t xml:space="preserve"> general permits each year. </w:t>
      </w:r>
      <w:r w:rsidRPr="00CD6E0F" w:rsidR="007C0B94">
        <w:t>EPA estimates that these will be monthly updates and each update will take 1 hour to prepare and send to EPA</w:t>
      </w:r>
      <w:r w:rsidR="007C0B94">
        <w:t xml:space="preserve"> Headquarters. </w:t>
      </w:r>
      <w:r w:rsidRPr="00CD6E0F" w:rsidR="007C0B94">
        <w:t>This results in</w:t>
      </w:r>
      <w:r w:rsidR="007C0B94">
        <w:t xml:space="preserve"> an annual burden of </w:t>
      </w:r>
      <w:r>
        <w:t>9</w:t>
      </w:r>
      <w:r w:rsidR="007C0B94">
        <w:t xml:space="preserve"> hours and a</w:t>
      </w:r>
      <w:r w:rsidRPr="00CD6E0F" w:rsidR="007C0B94">
        <w:t xml:space="preserve"> total burden of </w:t>
      </w:r>
      <w:r>
        <w:t>27</w:t>
      </w:r>
      <w:r w:rsidRPr="00CD6E0F" w:rsidR="007C0B94">
        <w:t xml:space="preserve"> hours during the three-year period covered by this ICR.</w:t>
      </w:r>
      <w:r w:rsidR="00376919">
        <w:t xml:space="preserve"> </w:t>
      </w:r>
    </w:p>
    <w:p w:rsidR="00D74B44" w:rsidP="00D74B44" w:rsidRDefault="00C6760E" w14:paraId="4644CF66" w14:textId="27FA4848">
      <w:pPr>
        <w:pStyle w:val="BodyText"/>
      </w:pPr>
      <w:r>
        <w:t xml:space="preserve">The seven </w:t>
      </w:r>
      <w:r w:rsidR="00F00413">
        <w:t xml:space="preserve">EPA Regions </w:t>
      </w:r>
      <w:r>
        <w:t>will need to annua</w:t>
      </w:r>
      <w:r w:rsidR="00DB077E">
        <w:t>l</w:t>
      </w:r>
      <w:r>
        <w:t>l</w:t>
      </w:r>
      <w:r w:rsidR="00DB077E">
        <w:t>y</w:t>
      </w:r>
      <w:r>
        <w:t xml:space="preserve"> verify EPA’s inventory of general permits and program reports and sending this information to EPA. </w:t>
      </w:r>
      <w:r w:rsidRPr="00C6760E">
        <w:t>EPA estimates that th</w:t>
      </w:r>
      <w:r>
        <w:t xml:space="preserve">is annual review will take 4 hours to prepare and send to EPA Headquarters. </w:t>
      </w:r>
      <w:r w:rsidRPr="00C6760E">
        <w:t xml:space="preserve">This results in an annual burden of </w:t>
      </w:r>
      <w:r>
        <w:t>28</w:t>
      </w:r>
      <w:r w:rsidRPr="00C6760E">
        <w:t xml:space="preserve"> hours and a total burden of </w:t>
      </w:r>
      <w:r>
        <w:t>84</w:t>
      </w:r>
      <w:r w:rsidRPr="00C6760E">
        <w:t xml:space="preserve"> hours during the three-year period covered by this ICR</w:t>
      </w:r>
      <w:r w:rsidR="00D74B44">
        <w:t>.</w:t>
      </w:r>
    </w:p>
    <w:p w:rsidR="00C6760E" w:rsidP="00C6760E" w:rsidRDefault="00C6760E" w14:paraId="213735E9" w14:textId="77777777">
      <w:pPr>
        <w:pStyle w:val="BodyText"/>
        <w:spacing w:after="0"/>
      </w:pPr>
    </w:p>
    <w:tbl>
      <w:tblPr>
        <w:tblW w:w="8175" w:type="dxa"/>
        <w:jc w:val="center"/>
        <w:tblLook w:val="04A0" w:firstRow="1" w:lastRow="0" w:firstColumn="1" w:lastColumn="0" w:noHBand="0" w:noVBand="1"/>
      </w:tblPr>
      <w:tblGrid>
        <w:gridCol w:w="3135"/>
        <w:gridCol w:w="1800"/>
        <w:gridCol w:w="1440"/>
        <w:gridCol w:w="1800"/>
      </w:tblGrid>
      <w:tr w:rsidRPr="006F0B13" w:rsidR="00C6760E" w:rsidTr="00736EF1" w14:paraId="6E489A0F" w14:textId="77777777">
        <w:trPr>
          <w:jc w:val="center"/>
        </w:trPr>
        <w:tc>
          <w:tcPr>
            <w:tcW w:w="8175" w:type="dxa"/>
            <w:gridSpan w:val="4"/>
            <w:tcBorders>
              <w:top w:val="single" w:color="auto" w:sz="12" w:space="0"/>
              <w:left w:val="single" w:color="auto" w:sz="12" w:space="0"/>
              <w:bottom w:val="single" w:color="000000" w:sz="8" w:space="0"/>
              <w:right w:val="single" w:color="000000" w:sz="12" w:space="0"/>
            </w:tcBorders>
            <w:shd w:val="clear" w:color="000000" w:fill="003366"/>
          </w:tcPr>
          <w:p w:rsidRPr="006F0B13" w:rsidR="00C6760E" w:rsidP="00736EF1" w:rsidRDefault="00C6760E" w14:paraId="5E1BDF0B" w14:textId="4D2FE1E9">
            <w:pPr>
              <w:keepNext/>
              <w:jc w:val="center"/>
              <w:rPr>
                <w:rFonts w:ascii="Arial" w:hAnsi="Arial" w:cs="Arial"/>
                <w:b/>
                <w:bCs/>
                <w:color w:val="FFFFFF"/>
                <w:sz w:val="20"/>
                <w:szCs w:val="20"/>
              </w:rPr>
            </w:pPr>
            <w:r w:rsidRPr="006F0B13">
              <w:rPr>
                <w:rFonts w:ascii="Arial" w:hAnsi="Arial"/>
                <w:b/>
                <w:bCs/>
                <w:sz w:val="20"/>
                <w:szCs w:val="20"/>
              </w:rPr>
              <w:br w:type="page"/>
              <w:t xml:space="preserve">Table </w:t>
            </w:r>
            <w:r>
              <w:rPr>
                <w:rFonts w:ascii="Arial" w:hAnsi="Arial"/>
                <w:b/>
                <w:bCs/>
                <w:sz w:val="20"/>
                <w:szCs w:val="20"/>
              </w:rPr>
              <w:t>3</w:t>
            </w:r>
            <w:r w:rsidRPr="006F0B13">
              <w:rPr>
                <w:rFonts w:ascii="Arial" w:hAnsi="Arial" w:cs="Arial"/>
                <w:b/>
                <w:bCs/>
                <w:color w:val="FFFFFF"/>
                <w:sz w:val="20"/>
                <w:szCs w:val="20"/>
              </w:rPr>
              <w:t xml:space="preserve">: Estimate of Burden Costs to </w:t>
            </w:r>
            <w:r>
              <w:rPr>
                <w:rFonts w:ascii="Arial" w:hAnsi="Arial" w:cs="Arial"/>
                <w:b/>
                <w:bCs/>
                <w:color w:val="FFFFFF"/>
                <w:sz w:val="20"/>
                <w:szCs w:val="20"/>
              </w:rPr>
              <w:t>EPA Regions</w:t>
            </w:r>
          </w:p>
        </w:tc>
      </w:tr>
      <w:tr w:rsidRPr="006F0B13" w:rsidR="00C6760E" w:rsidTr="00736EF1" w14:paraId="1421AC03" w14:textId="77777777">
        <w:trPr>
          <w:trHeight w:val="1034"/>
          <w:jc w:val="center"/>
        </w:trPr>
        <w:tc>
          <w:tcPr>
            <w:tcW w:w="3135" w:type="dxa"/>
            <w:tcBorders>
              <w:top w:val="nil"/>
              <w:left w:val="single" w:color="auto" w:sz="12" w:space="0"/>
              <w:bottom w:val="single" w:color="000000" w:sz="8" w:space="0"/>
              <w:right w:val="single" w:color="auto" w:sz="8" w:space="0"/>
            </w:tcBorders>
            <w:shd w:val="clear" w:color="000000" w:fill="99CCFF"/>
            <w:vAlign w:val="center"/>
            <w:hideMark/>
          </w:tcPr>
          <w:p w:rsidRPr="006F0B13" w:rsidR="00C6760E" w:rsidP="00736EF1" w:rsidRDefault="00C6760E" w14:paraId="724B3552" w14:textId="77777777">
            <w:pPr>
              <w:jc w:val="center"/>
              <w:rPr>
                <w:rFonts w:ascii="Arial" w:hAnsi="Arial" w:cs="Arial"/>
                <w:b/>
                <w:bCs/>
                <w:sz w:val="16"/>
                <w:szCs w:val="16"/>
              </w:rPr>
            </w:pPr>
            <w:r w:rsidRPr="006F0B13">
              <w:rPr>
                <w:rFonts w:ascii="Arial" w:hAnsi="Arial" w:cs="Arial"/>
                <w:b/>
                <w:bCs/>
                <w:sz w:val="16"/>
                <w:szCs w:val="16"/>
              </w:rPr>
              <w:t>Activity Covered This ICR</w:t>
            </w:r>
          </w:p>
        </w:tc>
        <w:tc>
          <w:tcPr>
            <w:tcW w:w="1800" w:type="dxa"/>
            <w:tcBorders>
              <w:top w:val="nil"/>
              <w:left w:val="single" w:color="auto" w:sz="8" w:space="0"/>
              <w:bottom w:val="single" w:color="000000" w:sz="8" w:space="0"/>
              <w:right w:val="single" w:color="auto" w:sz="8" w:space="0"/>
            </w:tcBorders>
            <w:shd w:val="clear" w:color="000000" w:fill="99CCFF"/>
            <w:vAlign w:val="center"/>
            <w:hideMark/>
          </w:tcPr>
          <w:p w:rsidRPr="006F0B13" w:rsidR="00C6760E" w:rsidP="00736EF1" w:rsidRDefault="00C6760E" w14:paraId="4A497F01" w14:textId="77777777">
            <w:pPr>
              <w:jc w:val="center"/>
              <w:rPr>
                <w:rFonts w:ascii="Arial" w:hAnsi="Arial" w:cs="Arial"/>
                <w:b/>
                <w:bCs/>
                <w:sz w:val="16"/>
                <w:szCs w:val="16"/>
              </w:rPr>
            </w:pPr>
            <w:r w:rsidRPr="006F0B13">
              <w:rPr>
                <w:rFonts w:ascii="Arial" w:hAnsi="Arial" w:cs="Arial"/>
                <w:b/>
                <w:bCs/>
                <w:sz w:val="16"/>
                <w:szCs w:val="16"/>
              </w:rPr>
              <w:t xml:space="preserve"> Total Burden Over Three-Year Period Covered by this ICR</w:t>
            </w:r>
          </w:p>
        </w:tc>
        <w:tc>
          <w:tcPr>
            <w:tcW w:w="1440" w:type="dxa"/>
            <w:tcBorders>
              <w:top w:val="nil"/>
              <w:left w:val="single" w:color="auto" w:sz="8" w:space="0"/>
              <w:right w:val="single" w:color="auto" w:sz="8" w:space="0"/>
            </w:tcBorders>
            <w:shd w:val="clear" w:color="000000" w:fill="99CCFF"/>
            <w:vAlign w:val="center"/>
          </w:tcPr>
          <w:p w:rsidRPr="006F0B13" w:rsidR="00C6760E" w:rsidP="00736EF1" w:rsidRDefault="00C6760E" w14:paraId="009A18B7" w14:textId="77777777">
            <w:pPr>
              <w:jc w:val="center"/>
              <w:rPr>
                <w:rFonts w:ascii="Arial" w:hAnsi="Arial" w:cs="Arial"/>
                <w:b/>
                <w:bCs/>
                <w:sz w:val="16"/>
                <w:szCs w:val="16"/>
              </w:rPr>
            </w:pPr>
            <w:r w:rsidRPr="006F0B13">
              <w:rPr>
                <w:rFonts w:ascii="Arial" w:hAnsi="Arial" w:cs="Arial"/>
                <w:b/>
                <w:bCs/>
                <w:sz w:val="16"/>
                <w:szCs w:val="16"/>
              </w:rPr>
              <w:t>BLS Hourly Wage Rate</w:t>
            </w:r>
          </w:p>
        </w:tc>
        <w:tc>
          <w:tcPr>
            <w:tcW w:w="1800" w:type="dxa"/>
            <w:tcBorders>
              <w:top w:val="nil"/>
              <w:left w:val="single" w:color="auto" w:sz="8" w:space="0"/>
              <w:bottom w:val="single" w:color="000000" w:sz="8" w:space="0"/>
              <w:right w:val="single" w:color="auto" w:sz="12" w:space="0"/>
            </w:tcBorders>
            <w:shd w:val="clear" w:color="000000" w:fill="99CCFF"/>
            <w:vAlign w:val="center"/>
            <w:hideMark/>
          </w:tcPr>
          <w:p w:rsidRPr="006F0B13" w:rsidR="00C6760E" w:rsidP="00736EF1" w:rsidRDefault="00C6760E" w14:paraId="32B2E5AB" w14:textId="77777777">
            <w:pPr>
              <w:jc w:val="center"/>
              <w:rPr>
                <w:rFonts w:ascii="Arial" w:hAnsi="Arial" w:cs="Arial"/>
                <w:b/>
                <w:bCs/>
                <w:sz w:val="16"/>
                <w:szCs w:val="16"/>
              </w:rPr>
            </w:pPr>
            <w:r w:rsidRPr="006F0B13">
              <w:rPr>
                <w:rFonts w:ascii="Arial" w:hAnsi="Arial" w:cs="Arial"/>
                <w:b/>
                <w:bCs/>
                <w:sz w:val="16"/>
                <w:szCs w:val="16"/>
              </w:rPr>
              <w:t>Total Cost Over Three-Year Period Covered by this ICR</w:t>
            </w:r>
          </w:p>
        </w:tc>
      </w:tr>
      <w:tr w:rsidRPr="006F0B13" w:rsidR="00C6760E" w:rsidTr="00736EF1" w14:paraId="77BA4D69"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C6760E" w:rsidP="00736EF1" w:rsidRDefault="00C6760E" w14:paraId="6AD0BABA" w14:textId="7A4FAF37">
            <w:pPr>
              <w:rPr>
                <w:rFonts w:ascii="Arial" w:hAnsi="Arial" w:cs="Arial"/>
                <w:sz w:val="16"/>
                <w:szCs w:val="16"/>
              </w:rPr>
            </w:pPr>
            <w:r w:rsidRPr="006F0B13">
              <w:rPr>
                <w:rFonts w:ascii="Arial" w:hAnsi="Arial" w:cs="Arial"/>
                <w:sz w:val="16"/>
                <w:szCs w:val="16"/>
              </w:rPr>
              <w:t xml:space="preserve">Alternate </w:t>
            </w:r>
            <w:r w:rsidR="00F911DD">
              <w:rPr>
                <w:rFonts w:ascii="Arial" w:hAnsi="Arial" w:cs="Arial"/>
                <w:sz w:val="16"/>
                <w:szCs w:val="16"/>
              </w:rPr>
              <w:t>Compliance</w:t>
            </w:r>
            <w:r w:rsidRPr="006F0B13">
              <w:rPr>
                <w:rFonts w:ascii="Arial" w:hAnsi="Arial" w:cs="Arial"/>
                <w:sz w:val="16"/>
                <w:szCs w:val="16"/>
              </w:rPr>
              <w:t xml:space="preserve"> Date for General Permit and Program Report</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C6760E" w:rsidP="00736EF1" w:rsidRDefault="00C6760E" w14:paraId="64986CA3" w14:textId="1154BDCF">
            <w:pPr>
              <w:jc w:val="center"/>
              <w:rPr>
                <w:rFonts w:ascii="Arial" w:hAnsi="Arial" w:cs="Arial"/>
                <w:sz w:val="16"/>
                <w:szCs w:val="16"/>
              </w:rPr>
            </w:pPr>
            <w:r>
              <w:rPr>
                <w:rFonts w:ascii="Arial" w:hAnsi="Arial" w:cs="Arial"/>
                <w:sz w:val="16"/>
                <w:szCs w:val="16"/>
              </w:rPr>
              <w:t>N/A</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C6760E" w:rsidP="00736EF1" w:rsidRDefault="00C6760E" w14:paraId="468CA393" w14:textId="5D6A5836">
            <w:pPr>
              <w:jc w:val="center"/>
              <w:rPr>
                <w:rFonts w:ascii="Arial" w:hAnsi="Arial" w:cs="Arial"/>
                <w:sz w:val="16"/>
                <w:szCs w:val="16"/>
              </w:rPr>
            </w:pPr>
            <w:r w:rsidRPr="00C6760E">
              <w:rPr>
                <w:rFonts w:ascii="Arial" w:hAnsi="Arial" w:cs="Arial"/>
                <w:sz w:val="16"/>
                <w:szCs w:val="16"/>
              </w:rPr>
              <w:t>N/A</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C6760E" w:rsidP="00736EF1" w:rsidRDefault="00C6760E" w14:paraId="1C6C09A2" w14:textId="2797AC06">
            <w:pPr>
              <w:jc w:val="center"/>
              <w:rPr>
                <w:rFonts w:ascii="Arial" w:hAnsi="Arial" w:cs="Arial"/>
                <w:sz w:val="16"/>
                <w:szCs w:val="16"/>
              </w:rPr>
            </w:pPr>
            <w:r w:rsidRPr="00C6760E">
              <w:rPr>
                <w:rFonts w:ascii="Arial" w:hAnsi="Arial" w:cs="Arial"/>
                <w:sz w:val="16"/>
                <w:szCs w:val="16"/>
              </w:rPr>
              <w:t>N/A</w:t>
            </w:r>
          </w:p>
        </w:tc>
      </w:tr>
      <w:tr w:rsidRPr="006F0B13" w:rsidR="00C6760E" w:rsidTr="00736EF1" w14:paraId="0C140897"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C6760E" w:rsidP="00736EF1" w:rsidRDefault="00C6760E" w14:paraId="4138B2E0" w14:textId="77777777">
            <w:pPr>
              <w:rPr>
                <w:rFonts w:ascii="Arial" w:hAnsi="Arial" w:cs="Arial"/>
                <w:sz w:val="16"/>
                <w:szCs w:val="16"/>
              </w:rPr>
            </w:pPr>
            <w:r w:rsidRPr="006F0B13">
              <w:rPr>
                <w:rFonts w:ascii="Arial" w:hAnsi="Arial" w:cs="Arial"/>
                <w:sz w:val="16"/>
                <w:szCs w:val="16"/>
              </w:rPr>
              <w:t>Monthly Updates of General Permit and Program Report Information</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C6760E" w:rsidP="00736EF1" w:rsidRDefault="005C4C42" w14:paraId="37330D6C" w14:textId="3C6F8DCF">
            <w:pPr>
              <w:jc w:val="center"/>
              <w:rPr>
                <w:rFonts w:ascii="Arial" w:hAnsi="Arial" w:cs="Arial"/>
                <w:sz w:val="16"/>
                <w:szCs w:val="16"/>
              </w:rPr>
            </w:pPr>
            <w:r>
              <w:rPr>
                <w:rFonts w:ascii="Arial" w:hAnsi="Arial" w:cs="Arial"/>
                <w:sz w:val="16"/>
                <w:szCs w:val="16"/>
              </w:rPr>
              <w:t>27</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C6760E" w:rsidP="00736EF1" w:rsidRDefault="00C6760E" w14:paraId="3C96BE1A" w14:textId="77777777">
            <w:pPr>
              <w:jc w:val="center"/>
              <w:rPr>
                <w:rFonts w:ascii="Arial" w:hAnsi="Arial" w:cs="Arial"/>
                <w:sz w:val="16"/>
                <w:szCs w:val="16"/>
              </w:rPr>
            </w:pPr>
            <w:r w:rsidRPr="006F0B13">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C6760E" w:rsidP="00736EF1" w:rsidRDefault="00C6760E" w14:paraId="7E07CB6D" w14:textId="34DA4EE9">
            <w:pPr>
              <w:jc w:val="center"/>
              <w:rPr>
                <w:rFonts w:ascii="Arial" w:hAnsi="Arial" w:cs="Arial"/>
                <w:sz w:val="16"/>
                <w:szCs w:val="16"/>
              </w:rPr>
            </w:pPr>
            <w:r w:rsidRPr="006F0B13">
              <w:rPr>
                <w:rFonts w:ascii="Arial" w:hAnsi="Arial" w:cs="Arial"/>
                <w:sz w:val="16"/>
                <w:szCs w:val="16"/>
              </w:rPr>
              <w:t>$</w:t>
            </w:r>
            <w:r w:rsidR="005C4C42">
              <w:rPr>
                <w:rFonts w:ascii="Arial" w:hAnsi="Arial" w:cs="Arial"/>
                <w:sz w:val="16"/>
                <w:szCs w:val="16"/>
              </w:rPr>
              <w:t>1,650</w:t>
            </w:r>
          </w:p>
        </w:tc>
      </w:tr>
      <w:tr w:rsidRPr="006F0B13" w:rsidR="00C6760E" w:rsidTr="00736EF1" w14:paraId="3F02DCB1"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C6760E" w:rsidP="00736EF1" w:rsidRDefault="00C6760E" w14:paraId="779A4339" w14:textId="77777777">
            <w:pPr>
              <w:rPr>
                <w:rFonts w:ascii="Arial" w:hAnsi="Arial" w:cs="Arial"/>
                <w:sz w:val="16"/>
                <w:szCs w:val="16"/>
              </w:rPr>
            </w:pPr>
            <w:r w:rsidRPr="006F0B13">
              <w:rPr>
                <w:rFonts w:ascii="Arial" w:hAnsi="Arial" w:cs="Arial"/>
                <w:sz w:val="16"/>
                <w:szCs w:val="16"/>
              </w:rPr>
              <w:t>Annual Review of General Permit and Program Report Information</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C6760E" w:rsidP="00736EF1" w:rsidRDefault="005C4C42" w14:paraId="7411CEA6" w14:textId="16566EC1">
            <w:pPr>
              <w:jc w:val="center"/>
              <w:rPr>
                <w:rFonts w:ascii="Arial" w:hAnsi="Arial" w:cs="Arial"/>
                <w:sz w:val="16"/>
                <w:szCs w:val="16"/>
              </w:rPr>
            </w:pPr>
            <w:r>
              <w:rPr>
                <w:rFonts w:ascii="Arial" w:hAnsi="Arial" w:cs="Arial"/>
                <w:sz w:val="16"/>
                <w:szCs w:val="16"/>
              </w:rPr>
              <w:t>84</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C6760E" w:rsidP="00736EF1" w:rsidRDefault="00C6760E" w14:paraId="6A31BAB3" w14:textId="77777777">
            <w:pPr>
              <w:jc w:val="center"/>
              <w:rPr>
                <w:rFonts w:ascii="Arial" w:hAnsi="Arial" w:cs="Arial"/>
                <w:sz w:val="16"/>
                <w:szCs w:val="16"/>
              </w:rPr>
            </w:pPr>
            <w:r w:rsidRPr="006F0B13">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C6760E" w:rsidP="00736EF1" w:rsidRDefault="005C4C42" w14:paraId="10D463BC" w14:textId="09C46BA7">
            <w:pPr>
              <w:jc w:val="center"/>
              <w:rPr>
                <w:rFonts w:ascii="Arial" w:hAnsi="Arial" w:cs="Arial"/>
                <w:sz w:val="16"/>
                <w:szCs w:val="16"/>
              </w:rPr>
            </w:pPr>
            <w:r w:rsidRPr="005C4C42">
              <w:rPr>
                <w:rFonts w:ascii="Arial" w:hAnsi="Arial" w:cs="Arial"/>
                <w:sz w:val="16"/>
                <w:szCs w:val="16"/>
              </w:rPr>
              <w:t>5,132</w:t>
            </w:r>
          </w:p>
        </w:tc>
      </w:tr>
      <w:tr w:rsidRPr="006F0B13" w:rsidR="00C6760E" w:rsidTr="00736EF1" w14:paraId="60D8D7EB"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C6760E" w:rsidP="00736EF1" w:rsidRDefault="00C6760E" w14:paraId="6BD95162" w14:textId="77777777">
            <w:pPr>
              <w:jc w:val="right"/>
              <w:rPr>
                <w:rFonts w:ascii="Arial" w:hAnsi="Arial" w:cs="Arial"/>
                <w:b/>
                <w:sz w:val="16"/>
                <w:szCs w:val="16"/>
              </w:rPr>
            </w:pPr>
            <w:r w:rsidRPr="006F0B13">
              <w:rPr>
                <w:rFonts w:ascii="Arial" w:hAnsi="Arial" w:cs="Arial"/>
                <w:b/>
                <w:sz w:val="16"/>
                <w:szCs w:val="16"/>
              </w:rPr>
              <w:t>TOTAL:</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C6760E" w:rsidP="00736EF1" w:rsidRDefault="005C4C42" w14:paraId="0B1409B3" w14:textId="1B579410">
            <w:pPr>
              <w:jc w:val="center"/>
              <w:rPr>
                <w:rFonts w:ascii="Arial" w:hAnsi="Arial" w:cs="Arial"/>
                <w:sz w:val="16"/>
                <w:szCs w:val="16"/>
              </w:rPr>
            </w:pPr>
            <w:r>
              <w:rPr>
                <w:rFonts w:ascii="Arial" w:hAnsi="Arial" w:cs="Arial"/>
                <w:sz w:val="16"/>
                <w:szCs w:val="16"/>
              </w:rPr>
              <w:t>111</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C6760E" w:rsidP="00736EF1" w:rsidRDefault="00C6760E" w14:paraId="1AC4DD7D" w14:textId="77777777">
            <w:pPr>
              <w:jc w:val="center"/>
              <w:rPr>
                <w:rFonts w:ascii="Arial" w:hAnsi="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C6760E" w:rsidP="00736EF1" w:rsidRDefault="00C6760E" w14:paraId="0D71C680" w14:textId="5EF56558">
            <w:pPr>
              <w:jc w:val="center"/>
              <w:rPr>
                <w:rFonts w:ascii="Arial" w:hAnsi="Arial" w:cs="Arial"/>
                <w:sz w:val="16"/>
                <w:szCs w:val="16"/>
              </w:rPr>
            </w:pPr>
            <w:r>
              <w:rPr>
                <w:rFonts w:ascii="Arial" w:hAnsi="Arial" w:cs="Arial"/>
                <w:sz w:val="16"/>
                <w:szCs w:val="16"/>
              </w:rPr>
              <w:t>$</w:t>
            </w:r>
            <w:r w:rsidRPr="006F0B13">
              <w:rPr>
                <w:rFonts w:ascii="Arial" w:hAnsi="Arial" w:cs="Arial"/>
                <w:sz w:val="16"/>
                <w:szCs w:val="16"/>
              </w:rPr>
              <w:t>6,</w:t>
            </w:r>
            <w:r w:rsidR="005C4C42">
              <w:rPr>
                <w:rFonts w:ascii="Arial" w:hAnsi="Arial" w:cs="Arial"/>
                <w:sz w:val="16"/>
                <w:szCs w:val="16"/>
              </w:rPr>
              <w:t>782</w:t>
            </w:r>
          </w:p>
        </w:tc>
      </w:tr>
    </w:tbl>
    <w:p w:rsidR="00C6760E" w:rsidP="00D74B44" w:rsidRDefault="00C6760E" w14:paraId="01BC44F2" w14:textId="77777777">
      <w:pPr>
        <w:pStyle w:val="BodyText"/>
      </w:pPr>
    </w:p>
    <w:p w:rsidR="00713581" w:rsidP="00713581" w:rsidRDefault="00713581" w14:paraId="6985D394" w14:textId="77777777">
      <w:pPr>
        <w:pStyle w:val="Heading2"/>
      </w:pPr>
      <w:bookmarkStart w:name="_Ref228255643" w:id="17"/>
      <w:bookmarkStart w:name="_Ref228255725" w:id="18"/>
      <w:bookmarkStart w:name="_Ref228255752" w:id="19"/>
      <w:bookmarkStart w:name="_Toc228256179" w:id="20"/>
      <w:bookmarkStart w:name="_Ref236577524" w:id="21"/>
      <w:r>
        <w:t>Estimating the Respondent Universe</w:t>
      </w:r>
    </w:p>
    <w:p w:rsidRPr="005C4C42" w:rsidR="004B7916" w:rsidP="005C4C42" w:rsidRDefault="007D4978" w14:paraId="076E43DC" w14:textId="3626A63F">
      <w:pPr>
        <w:pStyle w:val="BodyText"/>
      </w:pPr>
      <w:r>
        <w:t xml:space="preserve">The respondent universe </w:t>
      </w:r>
      <w:r w:rsidR="0092268E">
        <w:t xml:space="preserve">is </w:t>
      </w:r>
      <w:r>
        <w:t>comprise</w:t>
      </w:r>
      <w:r w:rsidR="0092268E">
        <w:t>d of</w:t>
      </w:r>
      <w:r>
        <w:t xml:space="preserve"> </w:t>
      </w:r>
      <w:r w:rsidR="006A0B22">
        <w:t xml:space="preserve">authorized </w:t>
      </w:r>
      <w:r w:rsidR="0085307D">
        <w:t xml:space="preserve">state </w:t>
      </w:r>
      <w:r w:rsidR="006A0B22">
        <w:t>programs</w:t>
      </w:r>
      <w:r>
        <w:t xml:space="preserve">. </w:t>
      </w:r>
      <w:r w:rsidR="005C4C42">
        <w:t xml:space="preserve">As previously noted, </w:t>
      </w:r>
      <w:r w:rsidRPr="007D4978">
        <w:t>4</w:t>
      </w:r>
      <w:r w:rsidR="005C4C42">
        <w:t>7</w:t>
      </w:r>
      <w:r w:rsidRPr="007D4978">
        <w:t xml:space="preserve"> states and one U.S. territory are authorized by EPA to administer some or </w:t>
      </w:r>
      <w:r w:rsidR="005C4C42">
        <w:t>all</w:t>
      </w:r>
      <w:r w:rsidR="00B11578">
        <w:t xml:space="preserve"> </w:t>
      </w:r>
      <w:r w:rsidRPr="007D4978">
        <w:t>the NPDES program.</w:t>
      </w:r>
      <w:r>
        <w:t xml:space="preserve"> </w:t>
      </w:r>
      <w:r w:rsidRPr="005C4C42" w:rsidR="005C4C42">
        <w:t>EPA estimates that there are seven EPA Regions with 43 general permits (EPA Region 1, 2, 4, 6, 8, 9, and 10).</w:t>
      </w:r>
    </w:p>
    <w:p w:rsidR="00C9236D" w:rsidP="002F3329" w:rsidRDefault="00C9236D" w14:paraId="5F5EC884" w14:textId="77777777">
      <w:pPr>
        <w:pStyle w:val="Heading2"/>
      </w:pPr>
      <w:bookmarkStart w:name="_Ref312157598" w:id="22"/>
      <w:bookmarkEnd w:id="17"/>
      <w:bookmarkEnd w:id="18"/>
      <w:bookmarkEnd w:id="19"/>
      <w:bookmarkEnd w:id="20"/>
      <w:bookmarkEnd w:id="21"/>
      <w:r>
        <w:t>Bottom Line Burden Hours and Cost Tables</w:t>
      </w:r>
      <w:bookmarkEnd w:id="22"/>
    </w:p>
    <w:p w:rsidR="00C72BE9" w:rsidP="006A20DD" w:rsidRDefault="00AD0142" w14:paraId="5796284D" w14:textId="05B4068F">
      <w:pPr>
        <w:rPr>
          <w:sz w:val="22"/>
          <w:szCs w:val="22"/>
        </w:rPr>
      </w:pPr>
      <w:r>
        <w:rPr>
          <w:sz w:val="22"/>
          <w:szCs w:val="22"/>
        </w:rPr>
        <w:t xml:space="preserve">The </w:t>
      </w:r>
      <w:r w:rsidRPr="00AD0142">
        <w:rPr>
          <w:sz w:val="22"/>
          <w:szCs w:val="22"/>
        </w:rPr>
        <w:t>incremental burden and cost to authorized NPDES programs</w:t>
      </w:r>
      <w:r>
        <w:rPr>
          <w:sz w:val="22"/>
          <w:szCs w:val="22"/>
        </w:rPr>
        <w:t xml:space="preserve"> is presented in Table 1. </w:t>
      </w:r>
    </w:p>
    <w:p w:rsidR="006A20DD" w:rsidP="006A20DD" w:rsidRDefault="006A20DD" w14:paraId="666C538B" w14:textId="77777777"/>
    <w:p w:rsidRPr="00E92765" w:rsidR="00C9236D" w:rsidP="000B567A" w:rsidRDefault="00C9236D" w14:paraId="3888485E" w14:textId="77777777">
      <w:pPr>
        <w:pStyle w:val="Heading2"/>
      </w:pPr>
      <w:r w:rsidRPr="000B567A">
        <w:t>The Agency Tally</w:t>
      </w:r>
    </w:p>
    <w:p w:rsidR="00744803" w:rsidP="006A20DD" w:rsidRDefault="006A20DD" w14:paraId="5F4D0D45" w14:textId="0C5D7C83">
      <w:pPr>
        <w:rPr>
          <w:sz w:val="22"/>
          <w:szCs w:val="22"/>
        </w:rPr>
      </w:pPr>
      <w:r>
        <w:rPr>
          <w:sz w:val="22"/>
          <w:szCs w:val="22"/>
        </w:rPr>
        <w:t xml:space="preserve">The </w:t>
      </w:r>
      <w:r w:rsidRPr="00AD0142">
        <w:rPr>
          <w:sz w:val="22"/>
          <w:szCs w:val="22"/>
        </w:rPr>
        <w:t>incremental burden and cost to</w:t>
      </w:r>
      <w:r>
        <w:rPr>
          <w:sz w:val="22"/>
          <w:szCs w:val="22"/>
        </w:rPr>
        <w:t xml:space="preserve"> EPA is presented in Tables 1 and 2. </w:t>
      </w:r>
    </w:p>
    <w:p w:rsidR="006A20DD" w:rsidP="006A20DD" w:rsidRDefault="006A20DD" w14:paraId="797E584C" w14:textId="77777777">
      <w:pPr>
        <w:rPr>
          <w:sz w:val="22"/>
          <w:szCs w:val="22"/>
        </w:rPr>
      </w:pPr>
    </w:p>
    <w:p w:rsidR="00F5104E" w:rsidP="002F3329" w:rsidRDefault="00F5104E" w14:paraId="2390D7BB" w14:textId="77777777">
      <w:pPr>
        <w:pStyle w:val="Heading2"/>
      </w:pPr>
      <w:r>
        <w:t>Reason</w:t>
      </w:r>
      <w:r w:rsidR="002F3329">
        <w:t>s</w:t>
      </w:r>
      <w:r>
        <w:t xml:space="preserve"> for Change in Burden</w:t>
      </w:r>
    </w:p>
    <w:p w:rsidR="00E96E59" w:rsidP="00CD023F" w:rsidRDefault="006A20DD" w14:paraId="06B0F0A9" w14:textId="4F270235">
      <w:pPr>
        <w:pStyle w:val="BodyText"/>
      </w:pPr>
      <w:r>
        <w:t xml:space="preserve">Receiving current high-level data on general permits and program reports is critical to EPA’s ability to oversee and manage authorized NPDES programs. Authorizing the burden under this ICR will allow EPA to provide timely assistance to authorized NPDES programs as they implementation the NPDES </w:t>
      </w:r>
      <w:proofErr w:type="spellStart"/>
      <w:r>
        <w:t>eRule</w:t>
      </w:r>
      <w:proofErr w:type="spellEnd"/>
      <w:r>
        <w:t xml:space="preserve">. The general permits and program reports inventory will help promote efficiencies in NPDES </w:t>
      </w:r>
      <w:proofErr w:type="spellStart"/>
      <w:r>
        <w:t>eRule</w:t>
      </w:r>
      <w:proofErr w:type="spellEnd"/>
      <w:r>
        <w:t xml:space="preserve"> implementation as states will be able to use this information to identify other states that have already developed electronic reporting tools.</w:t>
      </w:r>
      <w:r w:rsidR="00AC4AEA">
        <w:t xml:space="preserve"> </w:t>
      </w:r>
    </w:p>
    <w:p w:rsidR="00F5104E" w:rsidP="00A52A1E" w:rsidRDefault="00F5104E" w14:paraId="4D0D410F" w14:textId="77777777">
      <w:pPr>
        <w:pStyle w:val="Heading2"/>
      </w:pPr>
      <w:r>
        <w:lastRenderedPageBreak/>
        <w:t>Burden Statement</w:t>
      </w:r>
    </w:p>
    <w:p w:rsidRPr="00932634" w:rsidR="00932634" w:rsidP="00932634" w:rsidRDefault="00932634" w14:paraId="1085C919" w14:textId="2AEC043B">
      <w:pPr>
        <w:pStyle w:val="BodyText"/>
      </w:pPr>
      <w:r w:rsidRPr="00932634">
        <w:t xml:space="preserve">The calculations made for this ICR cover the burden and costs for </w:t>
      </w:r>
      <w:r w:rsidR="00D112FD">
        <w:t xml:space="preserve">authorized EPA programs, EPA Regions, and EPA Headquarters. </w:t>
      </w:r>
      <w:bookmarkStart w:name="_Hlk24985777" w:id="23"/>
      <w:r w:rsidRPr="00932634">
        <w:t xml:space="preserve">Burden for </w:t>
      </w:r>
      <w:r w:rsidRPr="00D112FD" w:rsidR="00D112FD">
        <w:t xml:space="preserve">authorized EPA programs </w:t>
      </w:r>
      <w:r w:rsidRPr="00932634">
        <w:t xml:space="preserve">is </w:t>
      </w:r>
      <w:r w:rsidR="00D112FD">
        <w:t>416</w:t>
      </w:r>
      <w:r w:rsidR="00C11F97">
        <w:t xml:space="preserve"> </w:t>
      </w:r>
      <w:r w:rsidRPr="00932634">
        <w:t>hours annually</w:t>
      </w:r>
      <w:r w:rsidR="0026664B">
        <w:t xml:space="preserve"> for </w:t>
      </w:r>
      <w:r w:rsidR="00DB17CF">
        <w:t>4</w:t>
      </w:r>
      <w:r w:rsidR="00AC6441">
        <w:t>8</w:t>
      </w:r>
      <w:r w:rsidR="00DB17CF">
        <w:t xml:space="preserve"> state respondents</w:t>
      </w:r>
      <w:r w:rsidRPr="00932634">
        <w:t xml:space="preserve"> at a cost</w:t>
      </w:r>
      <w:r w:rsidR="00DA48AC">
        <w:t xml:space="preserve"> </w:t>
      </w:r>
      <w:r w:rsidRPr="00932634">
        <w:t xml:space="preserve">of </w:t>
      </w:r>
      <w:r w:rsidRPr="00C11F97" w:rsidR="00C11F97">
        <w:t>$</w:t>
      </w:r>
      <w:bookmarkStart w:name="_Hlk24985860" w:id="24"/>
      <w:r w:rsidR="00D112FD">
        <w:t>25,418</w:t>
      </w:r>
      <w:bookmarkEnd w:id="23"/>
      <w:bookmarkEnd w:id="24"/>
      <w:r w:rsidRPr="00932634">
        <w:t xml:space="preserve">. </w:t>
      </w:r>
      <w:r w:rsidR="00B81D64">
        <w:t xml:space="preserve">The average annual burden per respondent is </w:t>
      </w:r>
      <w:r w:rsidR="00D112FD">
        <w:t>8.7</w:t>
      </w:r>
      <w:r w:rsidR="00B81D64">
        <w:t xml:space="preserve"> hours per state. </w:t>
      </w:r>
      <w:r w:rsidRPr="000D4BD3">
        <w:t xml:space="preserve">Agency burden </w:t>
      </w:r>
      <w:r w:rsidR="0045248B">
        <w:t xml:space="preserve">is </w:t>
      </w:r>
      <w:r w:rsidR="00D112FD">
        <w:t>181</w:t>
      </w:r>
      <w:r w:rsidR="003A5624">
        <w:t xml:space="preserve"> </w:t>
      </w:r>
      <w:r w:rsidRPr="000D4BD3">
        <w:t xml:space="preserve">hours annually at a </w:t>
      </w:r>
      <w:r w:rsidR="003A5624">
        <w:t xml:space="preserve">net </w:t>
      </w:r>
      <w:r w:rsidRPr="000D4BD3">
        <w:t xml:space="preserve">cost </w:t>
      </w:r>
      <w:r w:rsidR="003A5624">
        <w:t>increase</w:t>
      </w:r>
      <w:r w:rsidRPr="000D4BD3" w:rsidR="000D4BD3">
        <w:t xml:space="preserve"> </w:t>
      </w:r>
      <w:r w:rsidRPr="000D4BD3">
        <w:t xml:space="preserve">of </w:t>
      </w:r>
      <w:r w:rsidRPr="003A5624" w:rsidR="003A5624">
        <w:t>$</w:t>
      </w:r>
      <w:r w:rsidR="00D112FD">
        <w:t>11,059</w:t>
      </w:r>
      <w:r w:rsidRPr="000D4BD3">
        <w:t xml:space="preserve">. </w:t>
      </w:r>
    </w:p>
    <w:p w:rsidR="00B11578" w:rsidP="00932634" w:rsidRDefault="00932634" w14:paraId="77808617" w14:textId="77777777">
      <w:pPr>
        <w:pStyle w:val="BodyText"/>
      </w:pPr>
      <w:r w:rsidRPr="00932634">
        <w:t>Burden means the total time, effort, or financial resources expended by persons to generate, maintain, or disclose or provide information to or for a federal agency. This includes the time needed to</w:t>
      </w:r>
      <w:r w:rsidR="00B11578">
        <w:t>:</w:t>
      </w:r>
    </w:p>
    <w:p w:rsidR="00B11578" w:rsidP="009C05EE" w:rsidRDefault="00B11578" w14:paraId="18A52189" w14:textId="77777777">
      <w:pPr>
        <w:pStyle w:val="BodyText"/>
        <w:numPr>
          <w:ilvl w:val="0"/>
          <w:numId w:val="10"/>
        </w:numPr>
        <w:spacing w:after="0"/>
      </w:pPr>
      <w:r>
        <w:t>R</w:t>
      </w:r>
      <w:r w:rsidRPr="00932634" w:rsidR="00932634">
        <w:t xml:space="preserve">eview instructions; </w:t>
      </w:r>
    </w:p>
    <w:p w:rsidR="00B11578" w:rsidP="009C05EE" w:rsidRDefault="00B11578" w14:paraId="12043DF1" w14:textId="77777777">
      <w:pPr>
        <w:pStyle w:val="BodyText"/>
        <w:numPr>
          <w:ilvl w:val="0"/>
          <w:numId w:val="10"/>
        </w:numPr>
        <w:spacing w:after="0"/>
      </w:pPr>
      <w:r>
        <w:t>D</w:t>
      </w:r>
      <w:r w:rsidRPr="00932634" w:rsidR="00932634">
        <w:t xml:space="preserve">evelop, acquire, install, and utilize technology and systems for the purposes of collecting, validating, and verifying information, processing and maintaining information, and disclosing and providing information; </w:t>
      </w:r>
    </w:p>
    <w:p w:rsidR="00B11578" w:rsidP="009C05EE" w:rsidRDefault="00B11578" w14:paraId="47C910BB" w14:textId="77777777">
      <w:pPr>
        <w:pStyle w:val="BodyText"/>
        <w:numPr>
          <w:ilvl w:val="0"/>
          <w:numId w:val="10"/>
        </w:numPr>
        <w:spacing w:after="0"/>
      </w:pPr>
      <w:r>
        <w:t>A</w:t>
      </w:r>
      <w:r w:rsidRPr="00932634" w:rsidR="00932634">
        <w:t xml:space="preserve">djust existing ways to comply with any previously applicable instructions and requirements; </w:t>
      </w:r>
    </w:p>
    <w:p w:rsidR="00B11578" w:rsidP="009C05EE" w:rsidRDefault="00B11578" w14:paraId="0793A908" w14:textId="77777777">
      <w:pPr>
        <w:pStyle w:val="BodyText"/>
        <w:numPr>
          <w:ilvl w:val="0"/>
          <w:numId w:val="10"/>
        </w:numPr>
        <w:spacing w:after="0"/>
      </w:pPr>
      <w:r>
        <w:t>T</w:t>
      </w:r>
      <w:r w:rsidRPr="00932634" w:rsidR="00932634">
        <w:t xml:space="preserve">rain personnel to be able to respond to a collection of information; </w:t>
      </w:r>
    </w:p>
    <w:p w:rsidR="00B11578" w:rsidP="009C05EE" w:rsidRDefault="00CD023F" w14:paraId="46C85C3E" w14:textId="77777777">
      <w:pPr>
        <w:pStyle w:val="BodyText"/>
        <w:numPr>
          <w:ilvl w:val="0"/>
          <w:numId w:val="10"/>
        </w:numPr>
        <w:spacing w:after="0"/>
      </w:pPr>
      <w:r>
        <w:t>S</w:t>
      </w:r>
      <w:r w:rsidRPr="00932634" w:rsidR="00932634">
        <w:t xml:space="preserve">earch data sources; </w:t>
      </w:r>
    </w:p>
    <w:p w:rsidR="00B11578" w:rsidP="009C05EE" w:rsidRDefault="00B11578" w14:paraId="0F87832E" w14:textId="77777777">
      <w:pPr>
        <w:pStyle w:val="BodyText"/>
        <w:numPr>
          <w:ilvl w:val="0"/>
          <w:numId w:val="10"/>
        </w:numPr>
        <w:spacing w:after="0"/>
      </w:pPr>
      <w:r>
        <w:t>C</w:t>
      </w:r>
      <w:r w:rsidRPr="00932634" w:rsidR="00932634">
        <w:t xml:space="preserve">omplete and review the collection of information; and </w:t>
      </w:r>
    </w:p>
    <w:p w:rsidR="00B11578" w:rsidP="009C05EE" w:rsidRDefault="00B11578" w14:paraId="5CC02838" w14:textId="77777777">
      <w:pPr>
        <w:pStyle w:val="BodyText"/>
        <w:numPr>
          <w:ilvl w:val="0"/>
          <w:numId w:val="10"/>
        </w:numPr>
        <w:spacing w:after="0"/>
      </w:pPr>
      <w:r>
        <w:t>T</w:t>
      </w:r>
      <w:r w:rsidRPr="00932634" w:rsidR="00932634">
        <w:t xml:space="preserve">ransmit or otherwise disclose information. </w:t>
      </w:r>
    </w:p>
    <w:p w:rsidRPr="00932634" w:rsidR="00932634" w:rsidP="00CD023F" w:rsidRDefault="00932634" w14:paraId="52D3C223" w14:textId="77777777">
      <w:pPr>
        <w:pStyle w:val="BodyText"/>
        <w:spacing w:before="240"/>
      </w:pPr>
      <w:r w:rsidRPr="00932634">
        <w:t>An agency may not conduct or sponsor, and a person is not required to respond to, a collection of information unless it displays a currently valid OMB control number. The OMB control numbers for EPA’s regulations are listed in 40 CFR Part 9 and 48 CFR chapter 15.</w:t>
      </w:r>
    </w:p>
    <w:p w:rsidRPr="002875B6" w:rsidR="002875B6" w:rsidP="007970CD" w:rsidRDefault="00FD206E" w14:paraId="4A4B10F0" w14:textId="7FF1D0D2">
      <w:pPr>
        <w:pStyle w:val="BodyText"/>
        <w:rPr>
          <w:rFonts w:asciiTheme="minorHAnsi" w:hAnsiTheme="minorHAnsi" w:cstheme="minorHAnsi"/>
          <w:b/>
        </w:rPr>
      </w:pPr>
      <w:r w:rsidRPr="00FD206E">
        <w:t>To comment on the Agency's need for this information, you can send comments to the Office of Information and Regulatory Affairs, Office of Management and Budget, 725 17th Street, NW, Washington, D.C. 20503, Attention: Desk Officer for EPA</w:t>
      </w:r>
      <w:r w:rsidR="00AC4AEA">
        <w:t xml:space="preserve">. </w:t>
      </w:r>
      <w:r w:rsidRPr="00FD206E">
        <w:t>Please include the EPA Docket ID Number</w:t>
      </w:r>
      <w:r w:rsidR="006D7B69">
        <w:t xml:space="preserve"> </w:t>
      </w:r>
      <w:r w:rsidRPr="00AD0914" w:rsidR="00AD0914">
        <w:t>EPA-HQ-OECA-2019-0408</w:t>
      </w:r>
      <w:r w:rsidR="00AD0914">
        <w:t xml:space="preserve"> </w:t>
      </w:r>
      <w:r w:rsidRPr="00FD206E">
        <w:t xml:space="preserve">and OMB Control Number </w:t>
      </w:r>
      <w:r w:rsidRPr="004275EC" w:rsidR="004275EC">
        <w:t>2020-</w:t>
      </w:r>
      <w:r w:rsidR="00DE1336">
        <w:t>0037</w:t>
      </w:r>
      <w:r w:rsidR="00CF12F5">
        <w:t xml:space="preserve"> </w:t>
      </w:r>
      <w:r w:rsidRPr="00FD206E">
        <w:t>in any correspondence.</w:t>
      </w:r>
      <w:bookmarkStart w:name="_GoBack" w:id="25"/>
      <w:bookmarkEnd w:id="25"/>
    </w:p>
    <w:sectPr w:rsidRPr="002875B6" w:rsidR="002875B6" w:rsidSect="00363BA4">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F2BC9" w14:textId="77777777" w:rsidR="002D437C" w:rsidRDefault="002D437C" w:rsidP="00EB1F6B">
      <w:r>
        <w:separator/>
      </w:r>
    </w:p>
  </w:endnote>
  <w:endnote w:type="continuationSeparator" w:id="0">
    <w:p w14:paraId="6C07DA8F" w14:textId="77777777" w:rsidR="002D437C" w:rsidRDefault="002D437C" w:rsidP="00EB1F6B">
      <w:r>
        <w:continuationSeparator/>
      </w:r>
    </w:p>
  </w:endnote>
  <w:endnote w:type="continuationNotice" w:id="1">
    <w:p w14:paraId="5774E4F2" w14:textId="77777777" w:rsidR="002D437C" w:rsidRDefault="002D4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1D7FC" w14:textId="7C674034" w:rsidR="00DD66F5" w:rsidRPr="00DD66F5" w:rsidRDefault="00DD66F5">
    <w:pPr>
      <w:pStyle w:val="Footer"/>
      <w:jc w:val="center"/>
      <w:rPr>
        <w:rFonts w:asciiTheme="minorHAnsi" w:hAnsiTheme="minorHAnsi"/>
        <w:sz w:val="20"/>
        <w:szCs w:val="20"/>
      </w:rPr>
    </w:pPr>
    <w:r w:rsidRPr="00DD66F5">
      <w:rPr>
        <w:rFonts w:asciiTheme="minorHAnsi" w:hAnsiTheme="minorHAnsi"/>
        <w:sz w:val="20"/>
        <w:szCs w:val="20"/>
      </w:rPr>
      <w:t>A</w:t>
    </w:r>
    <w:r w:rsidR="008A4FE6">
      <w:rPr>
        <w:rFonts w:asciiTheme="minorHAnsi" w:hAnsiTheme="minorHAnsi"/>
        <w:sz w:val="20"/>
        <w:szCs w:val="20"/>
      </w:rPr>
      <w:t>2</w:t>
    </w:r>
    <w:r w:rsidRPr="00DD66F5">
      <w:rPr>
        <w:rFonts w:asciiTheme="minorHAnsi" w:hAnsiTheme="minorHAnsi"/>
        <w:sz w:val="20"/>
        <w:szCs w:val="20"/>
      </w:rPr>
      <w:t>-</w:t>
    </w:r>
    <w:sdt>
      <w:sdtPr>
        <w:rPr>
          <w:rFonts w:asciiTheme="minorHAnsi" w:hAnsiTheme="minorHAnsi"/>
          <w:sz w:val="20"/>
          <w:szCs w:val="20"/>
        </w:rPr>
        <w:id w:val="293805725"/>
        <w:docPartObj>
          <w:docPartGallery w:val="Page Numbers (Bottom of Page)"/>
          <w:docPartUnique/>
        </w:docPartObj>
      </w:sdtPr>
      <w:sdtEndPr>
        <w:rPr>
          <w:noProof/>
        </w:rPr>
      </w:sdtEndPr>
      <w:sdtContent>
        <w:r w:rsidRPr="00DD66F5">
          <w:rPr>
            <w:rFonts w:asciiTheme="minorHAnsi" w:hAnsiTheme="minorHAnsi"/>
            <w:sz w:val="20"/>
            <w:szCs w:val="20"/>
          </w:rPr>
          <w:fldChar w:fldCharType="begin"/>
        </w:r>
        <w:r w:rsidRPr="00DD66F5">
          <w:rPr>
            <w:rFonts w:asciiTheme="minorHAnsi" w:hAnsiTheme="minorHAnsi"/>
            <w:sz w:val="20"/>
            <w:szCs w:val="20"/>
          </w:rPr>
          <w:instrText xml:space="preserve"> PAGE   \* MERGEFORMAT </w:instrText>
        </w:r>
        <w:r w:rsidRPr="00DD66F5">
          <w:rPr>
            <w:rFonts w:asciiTheme="minorHAnsi" w:hAnsiTheme="minorHAnsi"/>
            <w:sz w:val="20"/>
            <w:szCs w:val="20"/>
          </w:rPr>
          <w:fldChar w:fldCharType="separate"/>
        </w:r>
        <w:r w:rsidRPr="00DD66F5">
          <w:rPr>
            <w:rFonts w:asciiTheme="minorHAnsi" w:hAnsiTheme="minorHAnsi"/>
            <w:noProof/>
            <w:sz w:val="20"/>
            <w:szCs w:val="20"/>
          </w:rPr>
          <w:t>2</w:t>
        </w:r>
        <w:r w:rsidRPr="00DD66F5">
          <w:rPr>
            <w:rFonts w:asciiTheme="minorHAnsi" w:hAnsiTheme="minorHAnsi"/>
            <w:noProof/>
            <w:sz w:val="20"/>
            <w:szCs w:val="20"/>
          </w:rPr>
          <w:fldChar w:fldCharType="end"/>
        </w:r>
      </w:sdtContent>
    </w:sdt>
  </w:p>
  <w:p w14:paraId="09F7DA68" w14:textId="77777777" w:rsidR="00DD66F5" w:rsidRPr="00DD66F5" w:rsidRDefault="00DD66F5" w:rsidP="00DD6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2CCA0" w14:textId="77777777" w:rsidR="002D437C" w:rsidRDefault="002D437C" w:rsidP="00EB1F6B">
      <w:r>
        <w:separator/>
      </w:r>
    </w:p>
  </w:footnote>
  <w:footnote w:type="continuationSeparator" w:id="0">
    <w:p w14:paraId="73F2A426" w14:textId="77777777" w:rsidR="002D437C" w:rsidRDefault="002D437C" w:rsidP="00EB1F6B">
      <w:r>
        <w:continuationSeparator/>
      </w:r>
    </w:p>
  </w:footnote>
  <w:footnote w:type="continuationNotice" w:id="1">
    <w:p w14:paraId="3DA725D2" w14:textId="77777777" w:rsidR="002D437C" w:rsidRDefault="002D437C"/>
  </w:footnote>
  <w:footnote w:id="2">
    <w:p w14:paraId="6E54D591" w14:textId="77777777" w:rsidR="00736EF1" w:rsidRDefault="00736EF1">
      <w:pPr>
        <w:pStyle w:val="FootnoteText"/>
      </w:pPr>
      <w:r>
        <w:rPr>
          <w:rStyle w:val="FootnoteReference"/>
        </w:rPr>
        <w:footnoteRef/>
      </w:r>
      <w:r>
        <w:t xml:space="preserve"> The 1948 Federal Water Pollution Control Act (FWPCA) and subsequent amendments are now commonly referred to as the Clean Water Act (CWA). </w:t>
      </w:r>
    </w:p>
  </w:footnote>
  <w:footnote w:id="3">
    <w:p w14:paraId="48715C84" w14:textId="729B3963" w:rsidR="00736EF1" w:rsidRDefault="00736EF1">
      <w:pPr>
        <w:pStyle w:val="FootnoteText"/>
      </w:pPr>
      <w:r>
        <w:rPr>
          <w:rStyle w:val="FootnoteReference"/>
        </w:rPr>
        <w:footnoteRef/>
      </w:r>
      <w:r>
        <w:t xml:space="preserve"> See: </w:t>
      </w:r>
      <w:r w:rsidRPr="00D5237D">
        <w:t>https://www.epa.gov/npdes/npdes-state-program-information</w:t>
      </w:r>
    </w:p>
  </w:footnote>
  <w:footnote w:id="4">
    <w:p w14:paraId="0D5A66BE" w14:textId="6D94E7E5" w:rsidR="00E00FF3" w:rsidRDefault="00E00FF3">
      <w:pPr>
        <w:pStyle w:val="FootnoteText"/>
      </w:pPr>
      <w:r>
        <w:rPr>
          <w:rStyle w:val="FootnoteReference"/>
        </w:rPr>
        <w:footnoteRef/>
      </w:r>
      <w:r>
        <w:t xml:space="preserve"> </w:t>
      </w:r>
      <w:r w:rsidRPr="00E00FF3">
        <w:t>See: https://edap.epa.gov/public/extensions/eRule_Phase2/eRule_Phase2.html.</w:t>
      </w:r>
    </w:p>
  </w:footnote>
  <w:footnote w:id="5">
    <w:p w14:paraId="55490AC0" w14:textId="0AC43EE1" w:rsidR="00736EF1" w:rsidRDefault="00736EF1" w:rsidP="008E3F63">
      <w:pPr>
        <w:pStyle w:val="FootnoteText"/>
      </w:pPr>
      <w:r>
        <w:rPr>
          <w:rStyle w:val="FootnoteReference"/>
        </w:rPr>
        <w:footnoteRef/>
      </w:r>
      <w:r>
        <w:t xml:space="preserve"> </w:t>
      </w:r>
      <w:r w:rsidRPr="00986E92">
        <w:t>https://www.bls.gov/news.release/ecec.t03.htm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4AB6"/>
    <w:multiLevelType w:val="hybridMultilevel"/>
    <w:tmpl w:val="E528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B7A46"/>
    <w:multiLevelType w:val="hybridMultilevel"/>
    <w:tmpl w:val="6D363B68"/>
    <w:lvl w:ilvl="0" w:tplc="91144528">
      <w:start w:val="1"/>
      <w:numFmt w:val="bullet"/>
      <w:pStyle w:val="Bullet"/>
      <w:lvlText w:val=""/>
      <w:lvlJc w:val="left"/>
      <w:pPr>
        <w:tabs>
          <w:tab w:val="num" w:pos="720"/>
        </w:tabs>
        <w:ind w:left="720" w:hanging="360"/>
      </w:pPr>
      <w:rPr>
        <w:rFonts w:ascii="Symbol" w:hAnsi="Symbol" w:hint="default"/>
        <w:b w:val="0"/>
        <w:i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15CD0"/>
    <w:multiLevelType w:val="hybridMultilevel"/>
    <w:tmpl w:val="9FEC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D2A59"/>
    <w:multiLevelType w:val="multilevel"/>
    <w:tmpl w:val="FD2C1D00"/>
    <w:styleLink w:val="Numbered"/>
    <w:lvl w:ilvl="0">
      <w:start w:val="1"/>
      <w:numFmt w:val="decimal"/>
      <w:lvlText w:val="%1."/>
      <w:lvlJc w:val="left"/>
      <w:pPr>
        <w:tabs>
          <w:tab w:val="num" w:pos="1080"/>
        </w:tabs>
        <w:ind w:left="108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A4A204B"/>
    <w:multiLevelType w:val="hybridMultilevel"/>
    <w:tmpl w:val="1E9A5C9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pStyle w:val="Bullet2"/>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7444D8D"/>
    <w:multiLevelType w:val="hybridMultilevel"/>
    <w:tmpl w:val="BEBA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D25D9B"/>
    <w:multiLevelType w:val="hybridMultilevel"/>
    <w:tmpl w:val="79A6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CD24A1"/>
    <w:multiLevelType w:val="hybridMultilevel"/>
    <w:tmpl w:val="C042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87C89"/>
    <w:multiLevelType w:val="multilevel"/>
    <w:tmpl w:val="8CC87DD2"/>
    <w:lvl w:ilvl="0">
      <w:start w:val="1"/>
      <w:numFmt w:val="decimal"/>
      <w:pStyle w:val="Heading1"/>
      <w:suff w:val="nothing"/>
      <w:lvlText w:val="%1. "/>
      <w:lvlJc w:val="left"/>
      <w:pPr>
        <w:ind w:left="540" w:hanging="360"/>
      </w:pPr>
      <w:rPr>
        <w:rFonts w:hint="default"/>
      </w:rPr>
    </w:lvl>
    <w:lvl w:ilvl="1">
      <w:start w:val="1"/>
      <w:numFmt w:val="lowerLetter"/>
      <w:pStyle w:val="Heading2"/>
      <w:lvlText w:val="%1(%2)"/>
      <w:lvlJc w:val="left"/>
      <w:pPr>
        <w:tabs>
          <w:tab w:val="num" w:pos="720"/>
        </w:tabs>
        <w:ind w:left="720" w:hanging="720"/>
      </w:pPr>
      <w:rPr>
        <w:rFonts w:hint="default"/>
      </w:rPr>
    </w:lvl>
    <w:lvl w:ilvl="2">
      <w:start w:val="1"/>
      <w:numFmt w:val="lowerRoman"/>
      <w:pStyle w:val="Heading3"/>
      <w:lvlText w:val="%1(%2)(%3)"/>
      <w:lvlJc w:val="left"/>
      <w:pPr>
        <w:tabs>
          <w:tab w:val="num" w:pos="1440"/>
        </w:tabs>
        <w:ind w:left="1656" w:hanging="936"/>
      </w:pPr>
      <w:rPr>
        <w:rFonts w:hint="default"/>
      </w:rPr>
    </w:lvl>
    <w:lvl w:ilvl="3">
      <w:start w:val="1"/>
      <w:numFmt w:val="decimal"/>
      <w:pStyle w:val="Heading4"/>
      <w:lvlText w:val="(%1)(%2)(%3)(%4)"/>
      <w:lvlJc w:val="left"/>
      <w:pPr>
        <w:tabs>
          <w:tab w:val="num" w:pos="2520"/>
        </w:tabs>
        <w:ind w:left="2520" w:hanging="1080"/>
      </w:pPr>
      <w:rPr>
        <w:rFonts w:hint="default"/>
      </w:rPr>
    </w:lvl>
    <w:lvl w:ilvl="4">
      <w:start w:val="1"/>
      <w:numFmt w:val="decimal"/>
      <w:lvlText w:val="%1.%2.%3.%4.%5"/>
      <w:lvlJc w:val="left"/>
      <w:pPr>
        <w:tabs>
          <w:tab w:val="num" w:pos="864"/>
        </w:tabs>
        <w:ind w:left="864" w:hanging="1080"/>
      </w:pPr>
      <w:rPr>
        <w:rFonts w:hint="default"/>
      </w:rPr>
    </w:lvl>
    <w:lvl w:ilvl="5">
      <w:start w:val="1"/>
      <w:numFmt w:val="decimal"/>
      <w:lvlText w:val="%1.%2.%3.%4.%5.%6"/>
      <w:lvlJc w:val="left"/>
      <w:pPr>
        <w:tabs>
          <w:tab w:val="num" w:pos="864"/>
        </w:tabs>
        <w:ind w:left="864" w:hanging="1080"/>
      </w:pPr>
      <w:rPr>
        <w:rFonts w:hint="default"/>
      </w:rPr>
    </w:lvl>
    <w:lvl w:ilvl="6">
      <w:start w:val="1"/>
      <w:numFmt w:val="upperLetter"/>
      <w:lvlRestart w:val="0"/>
      <w:pStyle w:val="Heading7"/>
      <w:suff w:val="nothing"/>
      <w:lvlText w:val="Appendix %7"/>
      <w:lvlJc w:val="left"/>
      <w:pPr>
        <w:ind w:left="0" w:firstLine="0"/>
      </w:pPr>
      <w:rPr>
        <w:rFonts w:hint="default"/>
      </w:rPr>
    </w:lvl>
    <w:lvl w:ilvl="7">
      <w:start w:val="1"/>
      <w:numFmt w:val="decimal"/>
      <w:pStyle w:val="Heading8"/>
      <w:lvlText w:val="%7.%8"/>
      <w:lvlJc w:val="left"/>
      <w:pPr>
        <w:tabs>
          <w:tab w:val="num" w:pos="720"/>
        </w:tabs>
        <w:ind w:left="720" w:hanging="720"/>
      </w:pPr>
      <w:rPr>
        <w:rFonts w:hint="default"/>
      </w:rPr>
    </w:lvl>
    <w:lvl w:ilvl="8">
      <w:start w:val="1"/>
      <w:numFmt w:val="decimal"/>
      <w:pStyle w:val="Heading9"/>
      <w:lvlText w:val="%7.%8.%9"/>
      <w:lvlJc w:val="left"/>
      <w:pPr>
        <w:tabs>
          <w:tab w:val="num" w:pos="907"/>
        </w:tabs>
        <w:ind w:left="1080" w:hanging="720"/>
      </w:pPr>
      <w:rPr>
        <w:rFonts w:hint="default"/>
      </w:rPr>
    </w:lvl>
  </w:abstractNum>
  <w:abstractNum w:abstractNumId="10" w15:restartNumberingAfterBreak="0">
    <w:nsid w:val="7A1F432D"/>
    <w:multiLevelType w:val="multilevel"/>
    <w:tmpl w:val="C532C552"/>
    <w:lvl w:ilvl="0">
      <w:start w:val="1"/>
      <w:numFmt w:val="upperLetter"/>
      <w:pStyle w:val="BodyTextIndent2"/>
      <w:suff w:val="nothing"/>
      <w:lvlText w:val="Appendix %1"/>
      <w:lvlJc w:val="left"/>
      <w:pPr>
        <w:ind w:left="-32767" w:firstLine="3276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CEE100D"/>
    <w:multiLevelType w:val="hybridMultilevel"/>
    <w:tmpl w:val="F8044CA6"/>
    <w:lvl w:ilvl="0" w:tplc="0409000F">
      <w:start w:val="1"/>
      <w:numFmt w:val="decimal"/>
      <w:lvlText w:val="%1."/>
      <w:lvlJc w:val="left"/>
      <w:pPr>
        <w:ind w:left="720" w:hanging="360"/>
      </w:p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6"/>
  </w:num>
  <w:num w:numId="4">
    <w:abstractNumId w:val="0"/>
  </w:num>
  <w:num w:numId="5">
    <w:abstractNumId w:val="1"/>
  </w:num>
  <w:num w:numId="6">
    <w:abstractNumId w:val="10"/>
  </w:num>
  <w:num w:numId="7">
    <w:abstractNumId w:val="9"/>
  </w:num>
  <w:num w:numId="8">
    <w:abstractNumId w:val="3"/>
  </w:num>
  <w:num w:numId="9">
    <w:abstractNumId w:val="2"/>
  </w:num>
  <w:num w:numId="10">
    <w:abstractNumId w:val="8"/>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62"/>
    <w:rsid w:val="000002CC"/>
    <w:rsid w:val="00001EBE"/>
    <w:rsid w:val="000057F6"/>
    <w:rsid w:val="00006901"/>
    <w:rsid w:val="0000788B"/>
    <w:rsid w:val="00013C91"/>
    <w:rsid w:val="00014249"/>
    <w:rsid w:val="00015CD3"/>
    <w:rsid w:val="00021764"/>
    <w:rsid w:val="000225DF"/>
    <w:rsid w:val="00024580"/>
    <w:rsid w:val="00027126"/>
    <w:rsid w:val="0002740C"/>
    <w:rsid w:val="00030806"/>
    <w:rsid w:val="00030C03"/>
    <w:rsid w:val="00034C65"/>
    <w:rsid w:val="00037932"/>
    <w:rsid w:val="00037AB8"/>
    <w:rsid w:val="000414D9"/>
    <w:rsid w:val="00041AFD"/>
    <w:rsid w:val="000431B8"/>
    <w:rsid w:val="00043EE3"/>
    <w:rsid w:val="00043F32"/>
    <w:rsid w:val="00044450"/>
    <w:rsid w:val="00044B59"/>
    <w:rsid w:val="00045932"/>
    <w:rsid w:val="00047F80"/>
    <w:rsid w:val="00060D28"/>
    <w:rsid w:val="00061B00"/>
    <w:rsid w:val="00061B76"/>
    <w:rsid w:val="00062934"/>
    <w:rsid w:val="000636EE"/>
    <w:rsid w:val="00065438"/>
    <w:rsid w:val="00066015"/>
    <w:rsid w:val="00066104"/>
    <w:rsid w:val="000663B5"/>
    <w:rsid w:val="00066EBA"/>
    <w:rsid w:val="0006794B"/>
    <w:rsid w:val="00071BB4"/>
    <w:rsid w:val="00073159"/>
    <w:rsid w:val="00073296"/>
    <w:rsid w:val="00074C06"/>
    <w:rsid w:val="000756FA"/>
    <w:rsid w:val="00076EA8"/>
    <w:rsid w:val="000815F2"/>
    <w:rsid w:val="000847EE"/>
    <w:rsid w:val="000851DF"/>
    <w:rsid w:val="00085512"/>
    <w:rsid w:val="000901C4"/>
    <w:rsid w:val="00090445"/>
    <w:rsid w:val="000906FD"/>
    <w:rsid w:val="000923E9"/>
    <w:rsid w:val="000928ED"/>
    <w:rsid w:val="0009418C"/>
    <w:rsid w:val="00094F60"/>
    <w:rsid w:val="000A2C57"/>
    <w:rsid w:val="000B013F"/>
    <w:rsid w:val="000B2B02"/>
    <w:rsid w:val="000B3FAE"/>
    <w:rsid w:val="000B4893"/>
    <w:rsid w:val="000B53BF"/>
    <w:rsid w:val="000B567A"/>
    <w:rsid w:val="000C0023"/>
    <w:rsid w:val="000C3977"/>
    <w:rsid w:val="000C39EE"/>
    <w:rsid w:val="000C5CEF"/>
    <w:rsid w:val="000C61AF"/>
    <w:rsid w:val="000C61ED"/>
    <w:rsid w:val="000D001D"/>
    <w:rsid w:val="000D1E5F"/>
    <w:rsid w:val="000D21FD"/>
    <w:rsid w:val="000D3E5D"/>
    <w:rsid w:val="000D4840"/>
    <w:rsid w:val="000D4BD3"/>
    <w:rsid w:val="000D7C4E"/>
    <w:rsid w:val="000E38F1"/>
    <w:rsid w:val="000E3BD7"/>
    <w:rsid w:val="000E433D"/>
    <w:rsid w:val="000E4469"/>
    <w:rsid w:val="000E602B"/>
    <w:rsid w:val="000E6DF2"/>
    <w:rsid w:val="000E7846"/>
    <w:rsid w:val="000F0B16"/>
    <w:rsid w:val="000F4D2F"/>
    <w:rsid w:val="000F5AF4"/>
    <w:rsid w:val="000F5B3C"/>
    <w:rsid w:val="000F621B"/>
    <w:rsid w:val="000F7283"/>
    <w:rsid w:val="001003F0"/>
    <w:rsid w:val="00101E71"/>
    <w:rsid w:val="00102422"/>
    <w:rsid w:val="001024D5"/>
    <w:rsid w:val="00102CA1"/>
    <w:rsid w:val="00106D61"/>
    <w:rsid w:val="001073E1"/>
    <w:rsid w:val="00107774"/>
    <w:rsid w:val="00107AC1"/>
    <w:rsid w:val="00110233"/>
    <w:rsid w:val="001111EA"/>
    <w:rsid w:val="00111C24"/>
    <w:rsid w:val="00112AF6"/>
    <w:rsid w:val="0011379D"/>
    <w:rsid w:val="001140C7"/>
    <w:rsid w:val="001144DF"/>
    <w:rsid w:val="00114B13"/>
    <w:rsid w:val="00115556"/>
    <w:rsid w:val="00117745"/>
    <w:rsid w:val="00117ACF"/>
    <w:rsid w:val="0012153E"/>
    <w:rsid w:val="001218FA"/>
    <w:rsid w:val="0012271C"/>
    <w:rsid w:val="00126442"/>
    <w:rsid w:val="00131592"/>
    <w:rsid w:val="001354D4"/>
    <w:rsid w:val="00140AF9"/>
    <w:rsid w:val="00140B90"/>
    <w:rsid w:val="00140C38"/>
    <w:rsid w:val="00141CDF"/>
    <w:rsid w:val="00142871"/>
    <w:rsid w:val="00145177"/>
    <w:rsid w:val="001504B8"/>
    <w:rsid w:val="001539F2"/>
    <w:rsid w:val="00153DB6"/>
    <w:rsid w:val="001541D4"/>
    <w:rsid w:val="0015557A"/>
    <w:rsid w:val="0015667C"/>
    <w:rsid w:val="00160056"/>
    <w:rsid w:val="00160130"/>
    <w:rsid w:val="001604FE"/>
    <w:rsid w:val="00161233"/>
    <w:rsid w:val="0017093B"/>
    <w:rsid w:val="00170ECF"/>
    <w:rsid w:val="00171B4C"/>
    <w:rsid w:val="00172570"/>
    <w:rsid w:val="0017288F"/>
    <w:rsid w:val="0017303D"/>
    <w:rsid w:val="00175082"/>
    <w:rsid w:val="00175C4B"/>
    <w:rsid w:val="00175CD4"/>
    <w:rsid w:val="001763D3"/>
    <w:rsid w:val="0017732C"/>
    <w:rsid w:val="00177545"/>
    <w:rsid w:val="001778C5"/>
    <w:rsid w:val="00177E8B"/>
    <w:rsid w:val="0018033A"/>
    <w:rsid w:val="001806ED"/>
    <w:rsid w:val="00180D80"/>
    <w:rsid w:val="001810E9"/>
    <w:rsid w:val="00182124"/>
    <w:rsid w:val="00185835"/>
    <w:rsid w:val="00186694"/>
    <w:rsid w:val="00190029"/>
    <w:rsid w:val="0019128D"/>
    <w:rsid w:val="001914D3"/>
    <w:rsid w:val="00193DBB"/>
    <w:rsid w:val="0019436F"/>
    <w:rsid w:val="001A37A2"/>
    <w:rsid w:val="001A4160"/>
    <w:rsid w:val="001A4246"/>
    <w:rsid w:val="001A63D4"/>
    <w:rsid w:val="001A74D7"/>
    <w:rsid w:val="001B0F42"/>
    <w:rsid w:val="001B15FC"/>
    <w:rsid w:val="001B31C0"/>
    <w:rsid w:val="001B3588"/>
    <w:rsid w:val="001B36C9"/>
    <w:rsid w:val="001B38C8"/>
    <w:rsid w:val="001B6619"/>
    <w:rsid w:val="001B6B2B"/>
    <w:rsid w:val="001B6CA9"/>
    <w:rsid w:val="001B7BA1"/>
    <w:rsid w:val="001C38D0"/>
    <w:rsid w:val="001C5EAA"/>
    <w:rsid w:val="001C66EA"/>
    <w:rsid w:val="001D1931"/>
    <w:rsid w:val="001D2B2F"/>
    <w:rsid w:val="001D388A"/>
    <w:rsid w:val="001D5A9B"/>
    <w:rsid w:val="001D7DEC"/>
    <w:rsid w:val="001E0230"/>
    <w:rsid w:val="001E0750"/>
    <w:rsid w:val="001E0B03"/>
    <w:rsid w:val="001E1D4A"/>
    <w:rsid w:val="001E2515"/>
    <w:rsid w:val="001E2AB9"/>
    <w:rsid w:val="001E3681"/>
    <w:rsid w:val="001E4B66"/>
    <w:rsid w:val="001E5994"/>
    <w:rsid w:val="001E5BFA"/>
    <w:rsid w:val="001E7712"/>
    <w:rsid w:val="001E7BE4"/>
    <w:rsid w:val="001F0B94"/>
    <w:rsid w:val="001F2190"/>
    <w:rsid w:val="001F348D"/>
    <w:rsid w:val="001F48DF"/>
    <w:rsid w:val="001F6A17"/>
    <w:rsid w:val="001F7076"/>
    <w:rsid w:val="0020187D"/>
    <w:rsid w:val="0020241D"/>
    <w:rsid w:val="00203066"/>
    <w:rsid w:val="002038B0"/>
    <w:rsid w:val="00203E90"/>
    <w:rsid w:val="00204C39"/>
    <w:rsid w:val="00205759"/>
    <w:rsid w:val="002067B0"/>
    <w:rsid w:val="00207429"/>
    <w:rsid w:val="00207D19"/>
    <w:rsid w:val="00211127"/>
    <w:rsid w:val="002130B7"/>
    <w:rsid w:val="00213715"/>
    <w:rsid w:val="002140AF"/>
    <w:rsid w:val="00215461"/>
    <w:rsid w:val="0021556A"/>
    <w:rsid w:val="00215AE3"/>
    <w:rsid w:val="00220520"/>
    <w:rsid w:val="0022096A"/>
    <w:rsid w:val="002210D6"/>
    <w:rsid w:val="00221EEE"/>
    <w:rsid w:val="00222F98"/>
    <w:rsid w:val="00225DC7"/>
    <w:rsid w:val="00225FF5"/>
    <w:rsid w:val="00227186"/>
    <w:rsid w:val="002308E5"/>
    <w:rsid w:val="002314DC"/>
    <w:rsid w:val="0023171C"/>
    <w:rsid w:val="00233184"/>
    <w:rsid w:val="0023365D"/>
    <w:rsid w:val="002340BC"/>
    <w:rsid w:val="00237876"/>
    <w:rsid w:val="00240600"/>
    <w:rsid w:val="002414F1"/>
    <w:rsid w:val="00241952"/>
    <w:rsid w:val="00243768"/>
    <w:rsid w:val="00244644"/>
    <w:rsid w:val="00244FC5"/>
    <w:rsid w:val="0024582C"/>
    <w:rsid w:val="00245F44"/>
    <w:rsid w:val="0025042D"/>
    <w:rsid w:val="0025193D"/>
    <w:rsid w:val="00251A01"/>
    <w:rsid w:val="00252DEE"/>
    <w:rsid w:val="00253B78"/>
    <w:rsid w:val="002550D5"/>
    <w:rsid w:val="0025576B"/>
    <w:rsid w:val="002565C3"/>
    <w:rsid w:val="00261C7C"/>
    <w:rsid w:val="00263835"/>
    <w:rsid w:val="0026664B"/>
    <w:rsid w:val="0027085D"/>
    <w:rsid w:val="00272FBE"/>
    <w:rsid w:val="00276934"/>
    <w:rsid w:val="00276BC9"/>
    <w:rsid w:val="00277138"/>
    <w:rsid w:val="0027795D"/>
    <w:rsid w:val="00280B80"/>
    <w:rsid w:val="00281099"/>
    <w:rsid w:val="00282547"/>
    <w:rsid w:val="00282A64"/>
    <w:rsid w:val="00282F5B"/>
    <w:rsid w:val="00283106"/>
    <w:rsid w:val="00283EA8"/>
    <w:rsid w:val="002852A9"/>
    <w:rsid w:val="002875B6"/>
    <w:rsid w:val="00287896"/>
    <w:rsid w:val="002916C4"/>
    <w:rsid w:val="0029305B"/>
    <w:rsid w:val="00296FF4"/>
    <w:rsid w:val="002A06A7"/>
    <w:rsid w:val="002A13B8"/>
    <w:rsid w:val="002A171C"/>
    <w:rsid w:val="002A5215"/>
    <w:rsid w:val="002B3C88"/>
    <w:rsid w:val="002B3CFE"/>
    <w:rsid w:val="002B4273"/>
    <w:rsid w:val="002C78DC"/>
    <w:rsid w:val="002D0158"/>
    <w:rsid w:val="002D04E6"/>
    <w:rsid w:val="002D2D2B"/>
    <w:rsid w:val="002D437C"/>
    <w:rsid w:val="002D67E1"/>
    <w:rsid w:val="002D733D"/>
    <w:rsid w:val="002E0131"/>
    <w:rsid w:val="002E074B"/>
    <w:rsid w:val="002E1204"/>
    <w:rsid w:val="002E1499"/>
    <w:rsid w:val="002E2139"/>
    <w:rsid w:val="002E4D68"/>
    <w:rsid w:val="002E4EC8"/>
    <w:rsid w:val="002E565E"/>
    <w:rsid w:val="002E60D9"/>
    <w:rsid w:val="002E6147"/>
    <w:rsid w:val="002F096B"/>
    <w:rsid w:val="002F0B9A"/>
    <w:rsid w:val="002F0EC2"/>
    <w:rsid w:val="002F1AF2"/>
    <w:rsid w:val="002F2007"/>
    <w:rsid w:val="002F2A49"/>
    <w:rsid w:val="002F3329"/>
    <w:rsid w:val="002F3468"/>
    <w:rsid w:val="002F395E"/>
    <w:rsid w:val="002F4F9A"/>
    <w:rsid w:val="002F5BB8"/>
    <w:rsid w:val="002F73B9"/>
    <w:rsid w:val="00302499"/>
    <w:rsid w:val="003036C5"/>
    <w:rsid w:val="00303E7C"/>
    <w:rsid w:val="00304195"/>
    <w:rsid w:val="003059BA"/>
    <w:rsid w:val="003070D0"/>
    <w:rsid w:val="00310D73"/>
    <w:rsid w:val="00313B43"/>
    <w:rsid w:val="00314696"/>
    <w:rsid w:val="003146C9"/>
    <w:rsid w:val="00314F77"/>
    <w:rsid w:val="00322394"/>
    <w:rsid w:val="00323ED9"/>
    <w:rsid w:val="00325666"/>
    <w:rsid w:val="0032628B"/>
    <w:rsid w:val="003263AF"/>
    <w:rsid w:val="003263B6"/>
    <w:rsid w:val="003269B1"/>
    <w:rsid w:val="00327632"/>
    <w:rsid w:val="0032799F"/>
    <w:rsid w:val="00331B4E"/>
    <w:rsid w:val="00331F54"/>
    <w:rsid w:val="003328B5"/>
    <w:rsid w:val="00333351"/>
    <w:rsid w:val="0033557F"/>
    <w:rsid w:val="00336070"/>
    <w:rsid w:val="00336DDD"/>
    <w:rsid w:val="0033702B"/>
    <w:rsid w:val="00340223"/>
    <w:rsid w:val="003434C1"/>
    <w:rsid w:val="00345969"/>
    <w:rsid w:val="003473BE"/>
    <w:rsid w:val="0035143F"/>
    <w:rsid w:val="00351F3C"/>
    <w:rsid w:val="00352B1B"/>
    <w:rsid w:val="0035302E"/>
    <w:rsid w:val="00353272"/>
    <w:rsid w:val="0035437D"/>
    <w:rsid w:val="00354662"/>
    <w:rsid w:val="003555C4"/>
    <w:rsid w:val="0035600F"/>
    <w:rsid w:val="0036022A"/>
    <w:rsid w:val="00360316"/>
    <w:rsid w:val="003621D8"/>
    <w:rsid w:val="00363BA4"/>
    <w:rsid w:val="00363BAB"/>
    <w:rsid w:val="00364295"/>
    <w:rsid w:val="003671E0"/>
    <w:rsid w:val="00367A3F"/>
    <w:rsid w:val="00370FA1"/>
    <w:rsid w:val="003719AF"/>
    <w:rsid w:val="00372DDA"/>
    <w:rsid w:val="003737EE"/>
    <w:rsid w:val="0037517F"/>
    <w:rsid w:val="003767EC"/>
    <w:rsid w:val="00376919"/>
    <w:rsid w:val="00376A38"/>
    <w:rsid w:val="00380015"/>
    <w:rsid w:val="00381A4B"/>
    <w:rsid w:val="00381C21"/>
    <w:rsid w:val="00381D92"/>
    <w:rsid w:val="00383627"/>
    <w:rsid w:val="003838B1"/>
    <w:rsid w:val="003847E1"/>
    <w:rsid w:val="003877DA"/>
    <w:rsid w:val="00387B9A"/>
    <w:rsid w:val="00390BA2"/>
    <w:rsid w:val="00396968"/>
    <w:rsid w:val="003A0839"/>
    <w:rsid w:val="003A120C"/>
    <w:rsid w:val="003A3236"/>
    <w:rsid w:val="003A3589"/>
    <w:rsid w:val="003A4491"/>
    <w:rsid w:val="003A46C5"/>
    <w:rsid w:val="003A5624"/>
    <w:rsid w:val="003A5DAB"/>
    <w:rsid w:val="003A69E3"/>
    <w:rsid w:val="003B028E"/>
    <w:rsid w:val="003B06AF"/>
    <w:rsid w:val="003B0BB9"/>
    <w:rsid w:val="003B0C7F"/>
    <w:rsid w:val="003B1286"/>
    <w:rsid w:val="003B2FFC"/>
    <w:rsid w:val="003B419B"/>
    <w:rsid w:val="003B48BD"/>
    <w:rsid w:val="003B51A7"/>
    <w:rsid w:val="003B59BA"/>
    <w:rsid w:val="003B7A2E"/>
    <w:rsid w:val="003C1C71"/>
    <w:rsid w:val="003C51D0"/>
    <w:rsid w:val="003C62B7"/>
    <w:rsid w:val="003C6400"/>
    <w:rsid w:val="003C670E"/>
    <w:rsid w:val="003C6B04"/>
    <w:rsid w:val="003D35A5"/>
    <w:rsid w:val="003D4DDD"/>
    <w:rsid w:val="003D673F"/>
    <w:rsid w:val="003D7001"/>
    <w:rsid w:val="003E12BF"/>
    <w:rsid w:val="003E2431"/>
    <w:rsid w:val="003E28F0"/>
    <w:rsid w:val="003E295D"/>
    <w:rsid w:val="003E3088"/>
    <w:rsid w:val="003E4440"/>
    <w:rsid w:val="003E5C1B"/>
    <w:rsid w:val="003E648E"/>
    <w:rsid w:val="003F094B"/>
    <w:rsid w:val="003F194C"/>
    <w:rsid w:val="003F21D0"/>
    <w:rsid w:val="003F25F5"/>
    <w:rsid w:val="003F4D9C"/>
    <w:rsid w:val="003F4EC3"/>
    <w:rsid w:val="003F726D"/>
    <w:rsid w:val="003F7CEB"/>
    <w:rsid w:val="003F7F74"/>
    <w:rsid w:val="0040103F"/>
    <w:rsid w:val="00403B76"/>
    <w:rsid w:val="00403F7E"/>
    <w:rsid w:val="00407AD2"/>
    <w:rsid w:val="00410C53"/>
    <w:rsid w:val="00410D49"/>
    <w:rsid w:val="00412BF6"/>
    <w:rsid w:val="00413688"/>
    <w:rsid w:val="00420289"/>
    <w:rsid w:val="00422B1E"/>
    <w:rsid w:val="004231B8"/>
    <w:rsid w:val="0042678F"/>
    <w:rsid w:val="00426F9E"/>
    <w:rsid w:val="004275EC"/>
    <w:rsid w:val="004307E2"/>
    <w:rsid w:val="00430900"/>
    <w:rsid w:val="00432C1E"/>
    <w:rsid w:val="00433AA0"/>
    <w:rsid w:val="004346BD"/>
    <w:rsid w:val="00434E0F"/>
    <w:rsid w:val="00434FDE"/>
    <w:rsid w:val="004358D7"/>
    <w:rsid w:val="0043598D"/>
    <w:rsid w:val="004371D1"/>
    <w:rsid w:val="00440CFE"/>
    <w:rsid w:val="0044273E"/>
    <w:rsid w:val="00447B3A"/>
    <w:rsid w:val="0045248B"/>
    <w:rsid w:val="00452EBE"/>
    <w:rsid w:val="00453A69"/>
    <w:rsid w:val="00456D9B"/>
    <w:rsid w:val="004614A6"/>
    <w:rsid w:val="0046374D"/>
    <w:rsid w:val="00463BE7"/>
    <w:rsid w:val="00463E77"/>
    <w:rsid w:val="00463FA3"/>
    <w:rsid w:val="0046405C"/>
    <w:rsid w:val="00465361"/>
    <w:rsid w:val="00467F00"/>
    <w:rsid w:val="00471B62"/>
    <w:rsid w:val="004738F0"/>
    <w:rsid w:val="00473E3F"/>
    <w:rsid w:val="004746D0"/>
    <w:rsid w:val="00477148"/>
    <w:rsid w:val="00482642"/>
    <w:rsid w:val="00484855"/>
    <w:rsid w:val="00487181"/>
    <w:rsid w:val="00493212"/>
    <w:rsid w:val="0049342F"/>
    <w:rsid w:val="004938F5"/>
    <w:rsid w:val="00493D47"/>
    <w:rsid w:val="00494402"/>
    <w:rsid w:val="0049576F"/>
    <w:rsid w:val="00497B82"/>
    <w:rsid w:val="00497D82"/>
    <w:rsid w:val="004A0FFB"/>
    <w:rsid w:val="004A1718"/>
    <w:rsid w:val="004A19A3"/>
    <w:rsid w:val="004A2C30"/>
    <w:rsid w:val="004A3160"/>
    <w:rsid w:val="004A3201"/>
    <w:rsid w:val="004A4447"/>
    <w:rsid w:val="004A5884"/>
    <w:rsid w:val="004A5CFB"/>
    <w:rsid w:val="004B33B2"/>
    <w:rsid w:val="004B3C78"/>
    <w:rsid w:val="004B48F0"/>
    <w:rsid w:val="004B50FC"/>
    <w:rsid w:val="004B5CAC"/>
    <w:rsid w:val="004B6B56"/>
    <w:rsid w:val="004B7916"/>
    <w:rsid w:val="004B7987"/>
    <w:rsid w:val="004B7B3E"/>
    <w:rsid w:val="004C1514"/>
    <w:rsid w:val="004C4455"/>
    <w:rsid w:val="004C4BAC"/>
    <w:rsid w:val="004C6674"/>
    <w:rsid w:val="004C6C74"/>
    <w:rsid w:val="004C7D16"/>
    <w:rsid w:val="004D0335"/>
    <w:rsid w:val="004D0771"/>
    <w:rsid w:val="004D1C8B"/>
    <w:rsid w:val="004D20C1"/>
    <w:rsid w:val="004D3574"/>
    <w:rsid w:val="004D7733"/>
    <w:rsid w:val="004D7B35"/>
    <w:rsid w:val="004E1105"/>
    <w:rsid w:val="004E1E76"/>
    <w:rsid w:val="004E29A9"/>
    <w:rsid w:val="004E3956"/>
    <w:rsid w:val="004E6226"/>
    <w:rsid w:val="004E7EAC"/>
    <w:rsid w:val="004F0AFE"/>
    <w:rsid w:val="004F2177"/>
    <w:rsid w:val="004F413F"/>
    <w:rsid w:val="004F50EE"/>
    <w:rsid w:val="004F57D2"/>
    <w:rsid w:val="004F7FA0"/>
    <w:rsid w:val="00502792"/>
    <w:rsid w:val="005030ED"/>
    <w:rsid w:val="005037C3"/>
    <w:rsid w:val="00503E36"/>
    <w:rsid w:val="0050483B"/>
    <w:rsid w:val="00506126"/>
    <w:rsid w:val="005068DA"/>
    <w:rsid w:val="00506C3C"/>
    <w:rsid w:val="00510344"/>
    <w:rsid w:val="00512B51"/>
    <w:rsid w:val="00514046"/>
    <w:rsid w:val="00515578"/>
    <w:rsid w:val="0051628D"/>
    <w:rsid w:val="0051633E"/>
    <w:rsid w:val="00517274"/>
    <w:rsid w:val="0052205F"/>
    <w:rsid w:val="00523D2B"/>
    <w:rsid w:val="005242CD"/>
    <w:rsid w:val="005248C7"/>
    <w:rsid w:val="005269CA"/>
    <w:rsid w:val="00526FAD"/>
    <w:rsid w:val="005306FB"/>
    <w:rsid w:val="00530FA8"/>
    <w:rsid w:val="00531216"/>
    <w:rsid w:val="005317BF"/>
    <w:rsid w:val="00532DA5"/>
    <w:rsid w:val="00533E45"/>
    <w:rsid w:val="005342E9"/>
    <w:rsid w:val="00534D68"/>
    <w:rsid w:val="00541D7C"/>
    <w:rsid w:val="00543D29"/>
    <w:rsid w:val="0054495F"/>
    <w:rsid w:val="00544D4A"/>
    <w:rsid w:val="0054613D"/>
    <w:rsid w:val="00546C8E"/>
    <w:rsid w:val="00550741"/>
    <w:rsid w:val="005509E9"/>
    <w:rsid w:val="00551469"/>
    <w:rsid w:val="00551966"/>
    <w:rsid w:val="005519A6"/>
    <w:rsid w:val="00553AA3"/>
    <w:rsid w:val="00555611"/>
    <w:rsid w:val="00555625"/>
    <w:rsid w:val="005560C8"/>
    <w:rsid w:val="005565BF"/>
    <w:rsid w:val="00557E8F"/>
    <w:rsid w:val="005605E6"/>
    <w:rsid w:val="00561A00"/>
    <w:rsid w:val="00562299"/>
    <w:rsid w:val="00566854"/>
    <w:rsid w:val="00573C2F"/>
    <w:rsid w:val="00574FCB"/>
    <w:rsid w:val="00582885"/>
    <w:rsid w:val="00583835"/>
    <w:rsid w:val="005843E2"/>
    <w:rsid w:val="00586AE6"/>
    <w:rsid w:val="0058736E"/>
    <w:rsid w:val="00592636"/>
    <w:rsid w:val="0059499B"/>
    <w:rsid w:val="005971CB"/>
    <w:rsid w:val="00597FE6"/>
    <w:rsid w:val="005A1146"/>
    <w:rsid w:val="005A1A8F"/>
    <w:rsid w:val="005A271C"/>
    <w:rsid w:val="005A3190"/>
    <w:rsid w:val="005A326B"/>
    <w:rsid w:val="005A3F54"/>
    <w:rsid w:val="005A5455"/>
    <w:rsid w:val="005A5D6D"/>
    <w:rsid w:val="005A7F23"/>
    <w:rsid w:val="005B047E"/>
    <w:rsid w:val="005B3C26"/>
    <w:rsid w:val="005B445C"/>
    <w:rsid w:val="005B6462"/>
    <w:rsid w:val="005B6C9F"/>
    <w:rsid w:val="005C1308"/>
    <w:rsid w:val="005C14CD"/>
    <w:rsid w:val="005C443E"/>
    <w:rsid w:val="005C4BD9"/>
    <w:rsid w:val="005C4C42"/>
    <w:rsid w:val="005C5199"/>
    <w:rsid w:val="005C5DA5"/>
    <w:rsid w:val="005C771A"/>
    <w:rsid w:val="005C7D02"/>
    <w:rsid w:val="005D0E5F"/>
    <w:rsid w:val="005D2AFA"/>
    <w:rsid w:val="005D330E"/>
    <w:rsid w:val="005D4AB9"/>
    <w:rsid w:val="005D51EA"/>
    <w:rsid w:val="005D703F"/>
    <w:rsid w:val="005D79ED"/>
    <w:rsid w:val="005D7F3D"/>
    <w:rsid w:val="005E07AD"/>
    <w:rsid w:val="005E1754"/>
    <w:rsid w:val="005E1945"/>
    <w:rsid w:val="005E22DB"/>
    <w:rsid w:val="005E27B4"/>
    <w:rsid w:val="005E5E70"/>
    <w:rsid w:val="005F0D75"/>
    <w:rsid w:val="005F1668"/>
    <w:rsid w:val="005F1C8B"/>
    <w:rsid w:val="005F22F4"/>
    <w:rsid w:val="005F4585"/>
    <w:rsid w:val="005F5ED7"/>
    <w:rsid w:val="005F6D26"/>
    <w:rsid w:val="0060081D"/>
    <w:rsid w:val="00600876"/>
    <w:rsid w:val="0060443D"/>
    <w:rsid w:val="006049AD"/>
    <w:rsid w:val="0060594D"/>
    <w:rsid w:val="0060681E"/>
    <w:rsid w:val="00613A6B"/>
    <w:rsid w:val="00614903"/>
    <w:rsid w:val="0061692B"/>
    <w:rsid w:val="00617156"/>
    <w:rsid w:val="00617730"/>
    <w:rsid w:val="00617F61"/>
    <w:rsid w:val="00621040"/>
    <w:rsid w:val="00624A79"/>
    <w:rsid w:val="00624F27"/>
    <w:rsid w:val="0062546D"/>
    <w:rsid w:val="00627A10"/>
    <w:rsid w:val="00631E8D"/>
    <w:rsid w:val="00632266"/>
    <w:rsid w:val="0063237F"/>
    <w:rsid w:val="006342F1"/>
    <w:rsid w:val="006378C7"/>
    <w:rsid w:val="00637B0B"/>
    <w:rsid w:val="00637C4C"/>
    <w:rsid w:val="00637EC1"/>
    <w:rsid w:val="006408A0"/>
    <w:rsid w:val="006423B3"/>
    <w:rsid w:val="00642715"/>
    <w:rsid w:val="00643378"/>
    <w:rsid w:val="00643E17"/>
    <w:rsid w:val="0064406A"/>
    <w:rsid w:val="0064432D"/>
    <w:rsid w:val="00645743"/>
    <w:rsid w:val="00646749"/>
    <w:rsid w:val="00646C6D"/>
    <w:rsid w:val="00650695"/>
    <w:rsid w:val="00650BDF"/>
    <w:rsid w:val="00651418"/>
    <w:rsid w:val="00653B4A"/>
    <w:rsid w:val="00656DB8"/>
    <w:rsid w:val="00656DEB"/>
    <w:rsid w:val="00660AEB"/>
    <w:rsid w:val="006623A8"/>
    <w:rsid w:val="00662FE9"/>
    <w:rsid w:val="00665375"/>
    <w:rsid w:val="00665986"/>
    <w:rsid w:val="00667DE1"/>
    <w:rsid w:val="00670852"/>
    <w:rsid w:val="006716FD"/>
    <w:rsid w:val="00675C84"/>
    <w:rsid w:val="00677A84"/>
    <w:rsid w:val="00680B01"/>
    <w:rsid w:val="006810E3"/>
    <w:rsid w:val="0068184E"/>
    <w:rsid w:val="00681863"/>
    <w:rsid w:val="0068354D"/>
    <w:rsid w:val="00683DE4"/>
    <w:rsid w:val="00684932"/>
    <w:rsid w:val="00685A37"/>
    <w:rsid w:val="006863CE"/>
    <w:rsid w:val="00686CA3"/>
    <w:rsid w:val="00691137"/>
    <w:rsid w:val="00691803"/>
    <w:rsid w:val="00691F3E"/>
    <w:rsid w:val="00692858"/>
    <w:rsid w:val="00692AA3"/>
    <w:rsid w:val="006933D6"/>
    <w:rsid w:val="00693AE4"/>
    <w:rsid w:val="006A05CE"/>
    <w:rsid w:val="006A0B22"/>
    <w:rsid w:val="006A139A"/>
    <w:rsid w:val="006A20DD"/>
    <w:rsid w:val="006A22DB"/>
    <w:rsid w:val="006A2563"/>
    <w:rsid w:val="006A291B"/>
    <w:rsid w:val="006A4FAC"/>
    <w:rsid w:val="006A6D19"/>
    <w:rsid w:val="006A7219"/>
    <w:rsid w:val="006B0E26"/>
    <w:rsid w:val="006B1641"/>
    <w:rsid w:val="006B45C0"/>
    <w:rsid w:val="006B5097"/>
    <w:rsid w:val="006B66A3"/>
    <w:rsid w:val="006C40C8"/>
    <w:rsid w:val="006C5DFA"/>
    <w:rsid w:val="006C7843"/>
    <w:rsid w:val="006C78CB"/>
    <w:rsid w:val="006D26C1"/>
    <w:rsid w:val="006D277A"/>
    <w:rsid w:val="006D39D9"/>
    <w:rsid w:val="006D4A74"/>
    <w:rsid w:val="006D55AA"/>
    <w:rsid w:val="006D58A7"/>
    <w:rsid w:val="006D6136"/>
    <w:rsid w:val="006D70CD"/>
    <w:rsid w:val="006D7B69"/>
    <w:rsid w:val="006E0CC8"/>
    <w:rsid w:val="006E1BAF"/>
    <w:rsid w:val="006E23DA"/>
    <w:rsid w:val="006E5684"/>
    <w:rsid w:val="006E6BA7"/>
    <w:rsid w:val="006E7C9A"/>
    <w:rsid w:val="006F0B13"/>
    <w:rsid w:val="006F2E3F"/>
    <w:rsid w:val="006F496E"/>
    <w:rsid w:val="006F7254"/>
    <w:rsid w:val="007031E0"/>
    <w:rsid w:val="007038E2"/>
    <w:rsid w:val="007069B8"/>
    <w:rsid w:val="00710B9F"/>
    <w:rsid w:val="00713581"/>
    <w:rsid w:val="007167EC"/>
    <w:rsid w:val="007204B5"/>
    <w:rsid w:val="00723C3D"/>
    <w:rsid w:val="0072471C"/>
    <w:rsid w:val="00724966"/>
    <w:rsid w:val="00724B2D"/>
    <w:rsid w:val="007267E8"/>
    <w:rsid w:val="007273ED"/>
    <w:rsid w:val="007307FF"/>
    <w:rsid w:val="00730C89"/>
    <w:rsid w:val="00731F81"/>
    <w:rsid w:val="00732FC9"/>
    <w:rsid w:val="00735929"/>
    <w:rsid w:val="00735CB9"/>
    <w:rsid w:val="00735DDD"/>
    <w:rsid w:val="00736EF1"/>
    <w:rsid w:val="00737B7C"/>
    <w:rsid w:val="00741B37"/>
    <w:rsid w:val="007427E4"/>
    <w:rsid w:val="00743F2D"/>
    <w:rsid w:val="00744459"/>
    <w:rsid w:val="00744803"/>
    <w:rsid w:val="0074632C"/>
    <w:rsid w:val="00746D70"/>
    <w:rsid w:val="00750A3A"/>
    <w:rsid w:val="00752361"/>
    <w:rsid w:val="007528A2"/>
    <w:rsid w:val="00752EF7"/>
    <w:rsid w:val="00753C25"/>
    <w:rsid w:val="007555E1"/>
    <w:rsid w:val="00760904"/>
    <w:rsid w:val="007633E4"/>
    <w:rsid w:val="007637FF"/>
    <w:rsid w:val="007638BC"/>
    <w:rsid w:val="00763E64"/>
    <w:rsid w:val="0076418A"/>
    <w:rsid w:val="00764F4D"/>
    <w:rsid w:val="007655E6"/>
    <w:rsid w:val="007664A0"/>
    <w:rsid w:val="00770762"/>
    <w:rsid w:val="00770995"/>
    <w:rsid w:val="00770ED0"/>
    <w:rsid w:val="00772AC5"/>
    <w:rsid w:val="00775AC9"/>
    <w:rsid w:val="007772EE"/>
    <w:rsid w:val="00780598"/>
    <w:rsid w:val="00780A7A"/>
    <w:rsid w:val="00780C66"/>
    <w:rsid w:val="00781C94"/>
    <w:rsid w:val="00782420"/>
    <w:rsid w:val="007826C6"/>
    <w:rsid w:val="00784905"/>
    <w:rsid w:val="00787171"/>
    <w:rsid w:val="00790359"/>
    <w:rsid w:val="007909A5"/>
    <w:rsid w:val="00790CD0"/>
    <w:rsid w:val="00795850"/>
    <w:rsid w:val="00795AC3"/>
    <w:rsid w:val="00796C58"/>
    <w:rsid w:val="00796CFE"/>
    <w:rsid w:val="007970CD"/>
    <w:rsid w:val="007A0432"/>
    <w:rsid w:val="007A291C"/>
    <w:rsid w:val="007A43A8"/>
    <w:rsid w:val="007A568C"/>
    <w:rsid w:val="007A5ED1"/>
    <w:rsid w:val="007A7066"/>
    <w:rsid w:val="007A7F91"/>
    <w:rsid w:val="007B1D7A"/>
    <w:rsid w:val="007B36DB"/>
    <w:rsid w:val="007B5074"/>
    <w:rsid w:val="007B618D"/>
    <w:rsid w:val="007B76AA"/>
    <w:rsid w:val="007B774E"/>
    <w:rsid w:val="007C0B94"/>
    <w:rsid w:val="007C2ABF"/>
    <w:rsid w:val="007C3762"/>
    <w:rsid w:val="007C3E69"/>
    <w:rsid w:val="007C5207"/>
    <w:rsid w:val="007C5F37"/>
    <w:rsid w:val="007C6678"/>
    <w:rsid w:val="007C7F9A"/>
    <w:rsid w:val="007D0C90"/>
    <w:rsid w:val="007D14AD"/>
    <w:rsid w:val="007D2290"/>
    <w:rsid w:val="007D3360"/>
    <w:rsid w:val="007D381C"/>
    <w:rsid w:val="007D3EC1"/>
    <w:rsid w:val="007D4978"/>
    <w:rsid w:val="007D5E7A"/>
    <w:rsid w:val="007D60C1"/>
    <w:rsid w:val="007D7567"/>
    <w:rsid w:val="007E0123"/>
    <w:rsid w:val="007E29FD"/>
    <w:rsid w:val="007E4697"/>
    <w:rsid w:val="007E51CC"/>
    <w:rsid w:val="007E5215"/>
    <w:rsid w:val="007E672C"/>
    <w:rsid w:val="007F2DD7"/>
    <w:rsid w:val="007F568D"/>
    <w:rsid w:val="007F75B8"/>
    <w:rsid w:val="00800B08"/>
    <w:rsid w:val="00801C92"/>
    <w:rsid w:val="0080318B"/>
    <w:rsid w:val="008044DC"/>
    <w:rsid w:val="0080589A"/>
    <w:rsid w:val="00807358"/>
    <w:rsid w:val="00810E91"/>
    <w:rsid w:val="008118FE"/>
    <w:rsid w:val="00813EA4"/>
    <w:rsid w:val="00814A88"/>
    <w:rsid w:val="00814E46"/>
    <w:rsid w:val="00821501"/>
    <w:rsid w:val="00822C4E"/>
    <w:rsid w:val="00824CD8"/>
    <w:rsid w:val="0082598C"/>
    <w:rsid w:val="00827736"/>
    <w:rsid w:val="00827E2F"/>
    <w:rsid w:val="00831DE0"/>
    <w:rsid w:val="00833446"/>
    <w:rsid w:val="00833A3F"/>
    <w:rsid w:val="008343C6"/>
    <w:rsid w:val="00836CDA"/>
    <w:rsid w:val="00842D74"/>
    <w:rsid w:val="0084351E"/>
    <w:rsid w:val="00847FE8"/>
    <w:rsid w:val="0085244D"/>
    <w:rsid w:val="008527D5"/>
    <w:rsid w:val="0085307D"/>
    <w:rsid w:val="00854A5E"/>
    <w:rsid w:val="00855E25"/>
    <w:rsid w:val="00856317"/>
    <w:rsid w:val="008563B4"/>
    <w:rsid w:val="008604E4"/>
    <w:rsid w:val="0086329B"/>
    <w:rsid w:val="00863E1F"/>
    <w:rsid w:val="0086488A"/>
    <w:rsid w:val="0086498C"/>
    <w:rsid w:val="00864A6D"/>
    <w:rsid w:val="00865AE2"/>
    <w:rsid w:val="00865FD4"/>
    <w:rsid w:val="00866081"/>
    <w:rsid w:val="0086676A"/>
    <w:rsid w:val="00871C24"/>
    <w:rsid w:val="008732B0"/>
    <w:rsid w:val="00873EFF"/>
    <w:rsid w:val="008757F1"/>
    <w:rsid w:val="0087585A"/>
    <w:rsid w:val="00876B8F"/>
    <w:rsid w:val="008819A2"/>
    <w:rsid w:val="0088287E"/>
    <w:rsid w:val="0088732E"/>
    <w:rsid w:val="0089121D"/>
    <w:rsid w:val="0089172D"/>
    <w:rsid w:val="0089252F"/>
    <w:rsid w:val="00893CF0"/>
    <w:rsid w:val="00893F79"/>
    <w:rsid w:val="00895634"/>
    <w:rsid w:val="00896EDA"/>
    <w:rsid w:val="008A007F"/>
    <w:rsid w:val="008A0B10"/>
    <w:rsid w:val="008A0B4E"/>
    <w:rsid w:val="008A188A"/>
    <w:rsid w:val="008A29E4"/>
    <w:rsid w:val="008A39CC"/>
    <w:rsid w:val="008A45C6"/>
    <w:rsid w:val="008A4F49"/>
    <w:rsid w:val="008A4FE6"/>
    <w:rsid w:val="008A5D77"/>
    <w:rsid w:val="008A66B1"/>
    <w:rsid w:val="008A70CF"/>
    <w:rsid w:val="008B057E"/>
    <w:rsid w:val="008B11A4"/>
    <w:rsid w:val="008B25BB"/>
    <w:rsid w:val="008B277F"/>
    <w:rsid w:val="008B3871"/>
    <w:rsid w:val="008B5642"/>
    <w:rsid w:val="008C00D1"/>
    <w:rsid w:val="008C0D27"/>
    <w:rsid w:val="008C12D9"/>
    <w:rsid w:val="008C476F"/>
    <w:rsid w:val="008D01A2"/>
    <w:rsid w:val="008D0899"/>
    <w:rsid w:val="008D653B"/>
    <w:rsid w:val="008E0739"/>
    <w:rsid w:val="008E0AB1"/>
    <w:rsid w:val="008E3850"/>
    <w:rsid w:val="008E3F63"/>
    <w:rsid w:val="008E4164"/>
    <w:rsid w:val="008E457A"/>
    <w:rsid w:val="008E4723"/>
    <w:rsid w:val="008E4CE8"/>
    <w:rsid w:val="008E6DAE"/>
    <w:rsid w:val="008E7430"/>
    <w:rsid w:val="008F2026"/>
    <w:rsid w:val="008F3A09"/>
    <w:rsid w:val="008F442E"/>
    <w:rsid w:val="008F6537"/>
    <w:rsid w:val="008F6DBF"/>
    <w:rsid w:val="008F784E"/>
    <w:rsid w:val="009020BD"/>
    <w:rsid w:val="00903064"/>
    <w:rsid w:val="00905CE6"/>
    <w:rsid w:val="009101BE"/>
    <w:rsid w:val="00913F45"/>
    <w:rsid w:val="00916348"/>
    <w:rsid w:val="00921935"/>
    <w:rsid w:val="0092268E"/>
    <w:rsid w:val="009227C9"/>
    <w:rsid w:val="009252E2"/>
    <w:rsid w:val="009259F9"/>
    <w:rsid w:val="00925A59"/>
    <w:rsid w:val="0092782E"/>
    <w:rsid w:val="00932634"/>
    <w:rsid w:val="00932A61"/>
    <w:rsid w:val="00933E24"/>
    <w:rsid w:val="00933F31"/>
    <w:rsid w:val="009343CC"/>
    <w:rsid w:val="009407B6"/>
    <w:rsid w:val="00941758"/>
    <w:rsid w:val="00944A7A"/>
    <w:rsid w:val="0094583F"/>
    <w:rsid w:val="0095004E"/>
    <w:rsid w:val="00951C7F"/>
    <w:rsid w:val="0095321C"/>
    <w:rsid w:val="00953495"/>
    <w:rsid w:val="009549C7"/>
    <w:rsid w:val="00955901"/>
    <w:rsid w:val="00955989"/>
    <w:rsid w:val="00956ACC"/>
    <w:rsid w:val="00956B11"/>
    <w:rsid w:val="00957460"/>
    <w:rsid w:val="009579FE"/>
    <w:rsid w:val="0096013D"/>
    <w:rsid w:val="00960C82"/>
    <w:rsid w:val="00960DE1"/>
    <w:rsid w:val="00962709"/>
    <w:rsid w:val="00963D6A"/>
    <w:rsid w:val="009646A8"/>
    <w:rsid w:val="00965B48"/>
    <w:rsid w:val="00965EC5"/>
    <w:rsid w:val="00966E84"/>
    <w:rsid w:val="0096764F"/>
    <w:rsid w:val="009729D4"/>
    <w:rsid w:val="0098225B"/>
    <w:rsid w:val="0098386E"/>
    <w:rsid w:val="00984299"/>
    <w:rsid w:val="00984392"/>
    <w:rsid w:val="00984CDA"/>
    <w:rsid w:val="009858B4"/>
    <w:rsid w:val="009863E7"/>
    <w:rsid w:val="00986E92"/>
    <w:rsid w:val="0098784D"/>
    <w:rsid w:val="00987D30"/>
    <w:rsid w:val="0099172F"/>
    <w:rsid w:val="0099194F"/>
    <w:rsid w:val="00994ABE"/>
    <w:rsid w:val="009A053D"/>
    <w:rsid w:val="009A0875"/>
    <w:rsid w:val="009A3EC7"/>
    <w:rsid w:val="009A4F79"/>
    <w:rsid w:val="009A6E91"/>
    <w:rsid w:val="009A7BA8"/>
    <w:rsid w:val="009A7D0D"/>
    <w:rsid w:val="009B0413"/>
    <w:rsid w:val="009B130E"/>
    <w:rsid w:val="009B2443"/>
    <w:rsid w:val="009B25DE"/>
    <w:rsid w:val="009B587D"/>
    <w:rsid w:val="009B635D"/>
    <w:rsid w:val="009C05EE"/>
    <w:rsid w:val="009C0A45"/>
    <w:rsid w:val="009C2E23"/>
    <w:rsid w:val="009C346B"/>
    <w:rsid w:val="009C3E90"/>
    <w:rsid w:val="009D2C65"/>
    <w:rsid w:val="009D3BE3"/>
    <w:rsid w:val="009D3DAB"/>
    <w:rsid w:val="009D5313"/>
    <w:rsid w:val="009E06C2"/>
    <w:rsid w:val="009E2320"/>
    <w:rsid w:val="009E3CF8"/>
    <w:rsid w:val="009E40F0"/>
    <w:rsid w:val="009E4651"/>
    <w:rsid w:val="009E4C53"/>
    <w:rsid w:val="009E6930"/>
    <w:rsid w:val="009F267C"/>
    <w:rsid w:val="009F3D43"/>
    <w:rsid w:val="009F7109"/>
    <w:rsid w:val="009F7389"/>
    <w:rsid w:val="009F7D9F"/>
    <w:rsid w:val="00A00C87"/>
    <w:rsid w:val="00A04190"/>
    <w:rsid w:val="00A05FAD"/>
    <w:rsid w:val="00A06402"/>
    <w:rsid w:val="00A06AA9"/>
    <w:rsid w:val="00A111BD"/>
    <w:rsid w:val="00A13917"/>
    <w:rsid w:val="00A15249"/>
    <w:rsid w:val="00A21E6E"/>
    <w:rsid w:val="00A22C1F"/>
    <w:rsid w:val="00A2353E"/>
    <w:rsid w:val="00A26941"/>
    <w:rsid w:val="00A310C0"/>
    <w:rsid w:val="00A321D9"/>
    <w:rsid w:val="00A32256"/>
    <w:rsid w:val="00A34EEA"/>
    <w:rsid w:val="00A37870"/>
    <w:rsid w:val="00A4025A"/>
    <w:rsid w:val="00A412E0"/>
    <w:rsid w:val="00A41711"/>
    <w:rsid w:val="00A4335B"/>
    <w:rsid w:val="00A459AE"/>
    <w:rsid w:val="00A45A5B"/>
    <w:rsid w:val="00A5000A"/>
    <w:rsid w:val="00A5069F"/>
    <w:rsid w:val="00A523B5"/>
    <w:rsid w:val="00A52809"/>
    <w:rsid w:val="00A52A1E"/>
    <w:rsid w:val="00A52AA5"/>
    <w:rsid w:val="00A56526"/>
    <w:rsid w:val="00A56F6D"/>
    <w:rsid w:val="00A624B4"/>
    <w:rsid w:val="00A6314F"/>
    <w:rsid w:val="00A634A5"/>
    <w:rsid w:val="00A702C7"/>
    <w:rsid w:val="00A725EB"/>
    <w:rsid w:val="00A73974"/>
    <w:rsid w:val="00A74581"/>
    <w:rsid w:val="00A74A1E"/>
    <w:rsid w:val="00A75091"/>
    <w:rsid w:val="00A75AE4"/>
    <w:rsid w:val="00A7661D"/>
    <w:rsid w:val="00A76773"/>
    <w:rsid w:val="00A802EB"/>
    <w:rsid w:val="00A80FC3"/>
    <w:rsid w:val="00A829B4"/>
    <w:rsid w:val="00A83EEF"/>
    <w:rsid w:val="00A84549"/>
    <w:rsid w:val="00A85729"/>
    <w:rsid w:val="00A85E14"/>
    <w:rsid w:val="00A86848"/>
    <w:rsid w:val="00A93DC4"/>
    <w:rsid w:val="00A95DD0"/>
    <w:rsid w:val="00A95E72"/>
    <w:rsid w:val="00A97732"/>
    <w:rsid w:val="00AA0062"/>
    <w:rsid w:val="00AA1033"/>
    <w:rsid w:val="00AA2211"/>
    <w:rsid w:val="00AA36D1"/>
    <w:rsid w:val="00AA385B"/>
    <w:rsid w:val="00AA5569"/>
    <w:rsid w:val="00AA55D0"/>
    <w:rsid w:val="00AA601C"/>
    <w:rsid w:val="00AB0E34"/>
    <w:rsid w:val="00AB220C"/>
    <w:rsid w:val="00AB224C"/>
    <w:rsid w:val="00AB337E"/>
    <w:rsid w:val="00AB3757"/>
    <w:rsid w:val="00AB5220"/>
    <w:rsid w:val="00AB6B3E"/>
    <w:rsid w:val="00AB7C81"/>
    <w:rsid w:val="00AC0387"/>
    <w:rsid w:val="00AC075F"/>
    <w:rsid w:val="00AC18D5"/>
    <w:rsid w:val="00AC21E9"/>
    <w:rsid w:val="00AC4748"/>
    <w:rsid w:val="00AC4AEA"/>
    <w:rsid w:val="00AC4D85"/>
    <w:rsid w:val="00AC52D6"/>
    <w:rsid w:val="00AC5524"/>
    <w:rsid w:val="00AC5C1A"/>
    <w:rsid w:val="00AC6172"/>
    <w:rsid w:val="00AC6441"/>
    <w:rsid w:val="00AC7F28"/>
    <w:rsid w:val="00AD0142"/>
    <w:rsid w:val="00AD065C"/>
    <w:rsid w:val="00AD0914"/>
    <w:rsid w:val="00AD118F"/>
    <w:rsid w:val="00AD1FC8"/>
    <w:rsid w:val="00AD52E8"/>
    <w:rsid w:val="00AD6C99"/>
    <w:rsid w:val="00AD7092"/>
    <w:rsid w:val="00AE0BB7"/>
    <w:rsid w:val="00AE242F"/>
    <w:rsid w:val="00AE24E6"/>
    <w:rsid w:val="00AE2FE4"/>
    <w:rsid w:val="00AE3475"/>
    <w:rsid w:val="00AE5E11"/>
    <w:rsid w:val="00AF09F9"/>
    <w:rsid w:val="00AF0B97"/>
    <w:rsid w:val="00AF1F66"/>
    <w:rsid w:val="00AF3F1F"/>
    <w:rsid w:val="00B00E9E"/>
    <w:rsid w:val="00B02A4B"/>
    <w:rsid w:val="00B04674"/>
    <w:rsid w:val="00B0513C"/>
    <w:rsid w:val="00B107BC"/>
    <w:rsid w:val="00B10C61"/>
    <w:rsid w:val="00B11578"/>
    <w:rsid w:val="00B121FF"/>
    <w:rsid w:val="00B12F33"/>
    <w:rsid w:val="00B13B96"/>
    <w:rsid w:val="00B13D09"/>
    <w:rsid w:val="00B20E05"/>
    <w:rsid w:val="00B20F60"/>
    <w:rsid w:val="00B21CFD"/>
    <w:rsid w:val="00B22338"/>
    <w:rsid w:val="00B23376"/>
    <w:rsid w:val="00B23D71"/>
    <w:rsid w:val="00B26799"/>
    <w:rsid w:val="00B26C38"/>
    <w:rsid w:val="00B31537"/>
    <w:rsid w:val="00B34668"/>
    <w:rsid w:val="00B35153"/>
    <w:rsid w:val="00B43116"/>
    <w:rsid w:val="00B4463F"/>
    <w:rsid w:val="00B47188"/>
    <w:rsid w:val="00B52A81"/>
    <w:rsid w:val="00B55167"/>
    <w:rsid w:val="00B55B3F"/>
    <w:rsid w:val="00B61545"/>
    <w:rsid w:val="00B64F5F"/>
    <w:rsid w:val="00B650B1"/>
    <w:rsid w:val="00B67F5E"/>
    <w:rsid w:val="00B70425"/>
    <w:rsid w:val="00B70B45"/>
    <w:rsid w:val="00B71533"/>
    <w:rsid w:val="00B80114"/>
    <w:rsid w:val="00B81D64"/>
    <w:rsid w:val="00B836B0"/>
    <w:rsid w:val="00B83E02"/>
    <w:rsid w:val="00B87573"/>
    <w:rsid w:val="00B92CD7"/>
    <w:rsid w:val="00B94537"/>
    <w:rsid w:val="00B94718"/>
    <w:rsid w:val="00B95246"/>
    <w:rsid w:val="00B972D7"/>
    <w:rsid w:val="00BA15A7"/>
    <w:rsid w:val="00BA48CE"/>
    <w:rsid w:val="00BA5325"/>
    <w:rsid w:val="00BA5D45"/>
    <w:rsid w:val="00BA5EBC"/>
    <w:rsid w:val="00BB038A"/>
    <w:rsid w:val="00BB165D"/>
    <w:rsid w:val="00BB222D"/>
    <w:rsid w:val="00BB4F22"/>
    <w:rsid w:val="00BB614B"/>
    <w:rsid w:val="00BB637D"/>
    <w:rsid w:val="00BB63EE"/>
    <w:rsid w:val="00BB7569"/>
    <w:rsid w:val="00BC151A"/>
    <w:rsid w:val="00BC3969"/>
    <w:rsid w:val="00BC3E78"/>
    <w:rsid w:val="00BC3FD8"/>
    <w:rsid w:val="00BC7911"/>
    <w:rsid w:val="00BC7B29"/>
    <w:rsid w:val="00BC7E02"/>
    <w:rsid w:val="00BD2C34"/>
    <w:rsid w:val="00BD451F"/>
    <w:rsid w:val="00BD494C"/>
    <w:rsid w:val="00BD5F3C"/>
    <w:rsid w:val="00BE175C"/>
    <w:rsid w:val="00BE412F"/>
    <w:rsid w:val="00BE61E9"/>
    <w:rsid w:val="00BE7390"/>
    <w:rsid w:val="00BE7FE9"/>
    <w:rsid w:val="00BF0E06"/>
    <w:rsid w:val="00BF1316"/>
    <w:rsid w:val="00BF152D"/>
    <w:rsid w:val="00BF1B39"/>
    <w:rsid w:val="00BF46BD"/>
    <w:rsid w:val="00BF4D13"/>
    <w:rsid w:val="00BF6D9E"/>
    <w:rsid w:val="00C00283"/>
    <w:rsid w:val="00C019B8"/>
    <w:rsid w:val="00C03D07"/>
    <w:rsid w:val="00C070D3"/>
    <w:rsid w:val="00C0784B"/>
    <w:rsid w:val="00C11F97"/>
    <w:rsid w:val="00C1308A"/>
    <w:rsid w:val="00C130E4"/>
    <w:rsid w:val="00C13B5D"/>
    <w:rsid w:val="00C1504B"/>
    <w:rsid w:val="00C1519C"/>
    <w:rsid w:val="00C201CF"/>
    <w:rsid w:val="00C20787"/>
    <w:rsid w:val="00C20BA8"/>
    <w:rsid w:val="00C216FE"/>
    <w:rsid w:val="00C2419B"/>
    <w:rsid w:val="00C24FB3"/>
    <w:rsid w:val="00C25D22"/>
    <w:rsid w:val="00C25D55"/>
    <w:rsid w:val="00C25F6E"/>
    <w:rsid w:val="00C2679E"/>
    <w:rsid w:val="00C26F3B"/>
    <w:rsid w:val="00C27E5E"/>
    <w:rsid w:val="00C33D0F"/>
    <w:rsid w:val="00C359EF"/>
    <w:rsid w:val="00C37790"/>
    <w:rsid w:val="00C407D7"/>
    <w:rsid w:val="00C41AA0"/>
    <w:rsid w:val="00C41D0B"/>
    <w:rsid w:val="00C42787"/>
    <w:rsid w:val="00C438F6"/>
    <w:rsid w:val="00C43BBD"/>
    <w:rsid w:val="00C446AE"/>
    <w:rsid w:val="00C44ADA"/>
    <w:rsid w:val="00C46213"/>
    <w:rsid w:val="00C467B1"/>
    <w:rsid w:val="00C50A95"/>
    <w:rsid w:val="00C527BD"/>
    <w:rsid w:val="00C544C0"/>
    <w:rsid w:val="00C54EA7"/>
    <w:rsid w:val="00C56320"/>
    <w:rsid w:val="00C57523"/>
    <w:rsid w:val="00C61DAE"/>
    <w:rsid w:val="00C635C2"/>
    <w:rsid w:val="00C63818"/>
    <w:rsid w:val="00C63A67"/>
    <w:rsid w:val="00C65339"/>
    <w:rsid w:val="00C6760E"/>
    <w:rsid w:val="00C713A3"/>
    <w:rsid w:val="00C7163B"/>
    <w:rsid w:val="00C72A33"/>
    <w:rsid w:val="00C72BE9"/>
    <w:rsid w:val="00C76135"/>
    <w:rsid w:val="00C772D7"/>
    <w:rsid w:val="00C84567"/>
    <w:rsid w:val="00C86F86"/>
    <w:rsid w:val="00C9216E"/>
    <w:rsid w:val="00C92341"/>
    <w:rsid w:val="00C9236D"/>
    <w:rsid w:val="00C93AA3"/>
    <w:rsid w:val="00C95368"/>
    <w:rsid w:val="00C96645"/>
    <w:rsid w:val="00C976E0"/>
    <w:rsid w:val="00C97B1B"/>
    <w:rsid w:val="00C97D61"/>
    <w:rsid w:val="00CA0B24"/>
    <w:rsid w:val="00CA0E60"/>
    <w:rsid w:val="00CA4482"/>
    <w:rsid w:val="00CA4F93"/>
    <w:rsid w:val="00CB0D67"/>
    <w:rsid w:val="00CB2279"/>
    <w:rsid w:val="00CB293E"/>
    <w:rsid w:val="00CB2D64"/>
    <w:rsid w:val="00CB7593"/>
    <w:rsid w:val="00CB7A4F"/>
    <w:rsid w:val="00CC0AA2"/>
    <w:rsid w:val="00CC190F"/>
    <w:rsid w:val="00CC1C61"/>
    <w:rsid w:val="00CC21BD"/>
    <w:rsid w:val="00CC3097"/>
    <w:rsid w:val="00CC3961"/>
    <w:rsid w:val="00CC491C"/>
    <w:rsid w:val="00CC50E9"/>
    <w:rsid w:val="00CC5509"/>
    <w:rsid w:val="00CC58E3"/>
    <w:rsid w:val="00CC6709"/>
    <w:rsid w:val="00CD023F"/>
    <w:rsid w:val="00CD0D67"/>
    <w:rsid w:val="00CD10F5"/>
    <w:rsid w:val="00CD36E4"/>
    <w:rsid w:val="00CD445A"/>
    <w:rsid w:val="00CD4CB6"/>
    <w:rsid w:val="00CD53E2"/>
    <w:rsid w:val="00CD5997"/>
    <w:rsid w:val="00CD6E0F"/>
    <w:rsid w:val="00CE1079"/>
    <w:rsid w:val="00CE50AF"/>
    <w:rsid w:val="00CE70D2"/>
    <w:rsid w:val="00CE7364"/>
    <w:rsid w:val="00CF069E"/>
    <w:rsid w:val="00CF0CF3"/>
    <w:rsid w:val="00CF1068"/>
    <w:rsid w:val="00CF12F5"/>
    <w:rsid w:val="00CF309E"/>
    <w:rsid w:val="00CF3741"/>
    <w:rsid w:val="00CF3C43"/>
    <w:rsid w:val="00CF47AF"/>
    <w:rsid w:val="00CF51AF"/>
    <w:rsid w:val="00CF631B"/>
    <w:rsid w:val="00CF6AFB"/>
    <w:rsid w:val="00D00D2C"/>
    <w:rsid w:val="00D01A4A"/>
    <w:rsid w:val="00D01BAF"/>
    <w:rsid w:val="00D03D27"/>
    <w:rsid w:val="00D1009D"/>
    <w:rsid w:val="00D10B34"/>
    <w:rsid w:val="00D10DDA"/>
    <w:rsid w:val="00D112FD"/>
    <w:rsid w:val="00D16ABA"/>
    <w:rsid w:val="00D17E70"/>
    <w:rsid w:val="00D26739"/>
    <w:rsid w:val="00D27848"/>
    <w:rsid w:val="00D30AD6"/>
    <w:rsid w:val="00D322D1"/>
    <w:rsid w:val="00D33F16"/>
    <w:rsid w:val="00D34271"/>
    <w:rsid w:val="00D35C21"/>
    <w:rsid w:val="00D36204"/>
    <w:rsid w:val="00D3703A"/>
    <w:rsid w:val="00D406D1"/>
    <w:rsid w:val="00D40909"/>
    <w:rsid w:val="00D45CC8"/>
    <w:rsid w:val="00D50433"/>
    <w:rsid w:val="00D512F7"/>
    <w:rsid w:val="00D5237D"/>
    <w:rsid w:val="00D53393"/>
    <w:rsid w:val="00D53F69"/>
    <w:rsid w:val="00D55D76"/>
    <w:rsid w:val="00D56077"/>
    <w:rsid w:val="00D565E6"/>
    <w:rsid w:val="00D60167"/>
    <w:rsid w:val="00D60751"/>
    <w:rsid w:val="00D61067"/>
    <w:rsid w:val="00D61450"/>
    <w:rsid w:val="00D61DEA"/>
    <w:rsid w:val="00D6624F"/>
    <w:rsid w:val="00D665C8"/>
    <w:rsid w:val="00D66E01"/>
    <w:rsid w:val="00D74062"/>
    <w:rsid w:val="00D74B44"/>
    <w:rsid w:val="00D76BCF"/>
    <w:rsid w:val="00D778E6"/>
    <w:rsid w:val="00D82144"/>
    <w:rsid w:val="00D83441"/>
    <w:rsid w:val="00D84483"/>
    <w:rsid w:val="00D8589F"/>
    <w:rsid w:val="00D86C78"/>
    <w:rsid w:val="00D86DD3"/>
    <w:rsid w:val="00D8705D"/>
    <w:rsid w:val="00D911A3"/>
    <w:rsid w:val="00D946C0"/>
    <w:rsid w:val="00D9524B"/>
    <w:rsid w:val="00D95F6E"/>
    <w:rsid w:val="00D969D7"/>
    <w:rsid w:val="00D9741C"/>
    <w:rsid w:val="00DA1A47"/>
    <w:rsid w:val="00DA48AC"/>
    <w:rsid w:val="00DA5D16"/>
    <w:rsid w:val="00DB0210"/>
    <w:rsid w:val="00DB0354"/>
    <w:rsid w:val="00DB077E"/>
    <w:rsid w:val="00DB1221"/>
    <w:rsid w:val="00DB17CF"/>
    <w:rsid w:val="00DB1DDA"/>
    <w:rsid w:val="00DB1EFF"/>
    <w:rsid w:val="00DB2077"/>
    <w:rsid w:val="00DB37FB"/>
    <w:rsid w:val="00DC0F0C"/>
    <w:rsid w:val="00DC479F"/>
    <w:rsid w:val="00DC4D89"/>
    <w:rsid w:val="00DC7963"/>
    <w:rsid w:val="00DC79DD"/>
    <w:rsid w:val="00DD138C"/>
    <w:rsid w:val="00DD3D40"/>
    <w:rsid w:val="00DD57FA"/>
    <w:rsid w:val="00DD66F5"/>
    <w:rsid w:val="00DE1336"/>
    <w:rsid w:val="00DE1F1C"/>
    <w:rsid w:val="00DE3F3A"/>
    <w:rsid w:val="00DE6918"/>
    <w:rsid w:val="00DF2158"/>
    <w:rsid w:val="00DF2E76"/>
    <w:rsid w:val="00E00BCA"/>
    <w:rsid w:val="00E00FF3"/>
    <w:rsid w:val="00E01FCB"/>
    <w:rsid w:val="00E02E50"/>
    <w:rsid w:val="00E03196"/>
    <w:rsid w:val="00E0594B"/>
    <w:rsid w:val="00E1416D"/>
    <w:rsid w:val="00E14E40"/>
    <w:rsid w:val="00E206EA"/>
    <w:rsid w:val="00E2163E"/>
    <w:rsid w:val="00E2191E"/>
    <w:rsid w:val="00E21E3E"/>
    <w:rsid w:val="00E22404"/>
    <w:rsid w:val="00E22D87"/>
    <w:rsid w:val="00E23217"/>
    <w:rsid w:val="00E24B25"/>
    <w:rsid w:val="00E24FA9"/>
    <w:rsid w:val="00E2594B"/>
    <w:rsid w:val="00E25CAB"/>
    <w:rsid w:val="00E3319A"/>
    <w:rsid w:val="00E34E79"/>
    <w:rsid w:val="00E3756D"/>
    <w:rsid w:val="00E37F9D"/>
    <w:rsid w:val="00E43D27"/>
    <w:rsid w:val="00E45029"/>
    <w:rsid w:val="00E455C0"/>
    <w:rsid w:val="00E46271"/>
    <w:rsid w:val="00E47AA8"/>
    <w:rsid w:val="00E50AD8"/>
    <w:rsid w:val="00E52A38"/>
    <w:rsid w:val="00E5355C"/>
    <w:rsid w:val="00E53FED"/>
    <w:rsid w:val="00E55BDF"/>
    <w:rsid w:val="00E57F05"/>
    <w:rsid w:val="00E605B0"/>
    <w:rsid w:val="00E60849"/>
    <w:rsid w:val="00E60EF1"/>
    <w:rsid w:val="00E62E5F"/>
    <w:rsid w:val="00E63039"/>
    <w:rsid w:val="00E63878"/>
    <w:rsid w:val="00E65C92"/>
    <w:rsid w:val="00E662C0"/>
    <w:rsid w:val="00E6781C"/>
    <w:rsid w:val="00E72AAC"/>
    <w:rsid w:val="00E73BD8"/>
    <w:rsid w:val="00E76B2F"/>
    <w:rsid w:val="00E81CF6"/>
    <w:rsid w:val="00E8253E"/>
    <w:rsid w:val="00E8280E"/>
    <w:rsid w:val="00E8417A"/>
    <w:rsid w:val="00E84ABD"/>
    <w:rsid w:val="00E86498"/>
    <w:rsid w:val="00E8677C"/>
    <w:rsid w:val="00E8704B"/>
    <w:rsid w:val="00E87B43"/>
    <w:rsid w:val="00E92765"/>
    <w:rsid w:val="00E96280"/>
    <w:rsid w:val="00E96E59"/>
    <w:rsid w:val="00E9714B"/>
    <w:rsid w:val="00EA0D6A"/>
    <w:rsid w:val="00EA0D89"/>
    <w:rsid w:val="00EA1463"/>
    <w:rsid w:val="00EA2006"/>
    <w:rsid w:val="00EA26DD"/>
    <w:rsid w:val="00EA4A96"/>
    <w:rsid w:val="00EA51B0"/>
    <w:rsid w:val="00EA72AE"/>
    <w:rsid w:val="00EA78E1"/>
    <w:rsid w:val="00EA7994"/>
    <w:rsid w:val="00EB0FAA"/>
    <w:rsid w:val="00EB1F6B"/>
    <w:rsid w:val="00EB5054"/>
    <w:rsid w:val="00EB6B7F"/>
    <w:rsid w:val="00EB71CB"/>
    <w:rsid w:val="00EC1A59"/>
    <w:rsid w:val="00EC2659"/>
    <w:rsid w:val="00EC2889"/>
    <w:rsid w:val="00EC2CB4"/>
    <w:rsid w:val="00EC50C2"/>
    <w:rsid w:val="00EC5205"/>
    <w:rsid w:val="00EC52F9"/>
    <w:rsid w:val="00EC5862"/>
    <w:rsid w:val="00EC63B1"/>
    <w:rsid w:val="00EC6730"/>
    <w:rsid w:val="00EC7E7F"/>
    <w:rsid w:val="00ED6F86"/>
    <w:rsid w:val="00ED6FF5"/>
    <w:rsid w:val="00EE03D7"/>
    <w:rsid w:val="00EE19BB"/>
    <w:rsid w:val="00EE1D86"/>
    <w:rsid w:val="00EE2F5F"/>
    <w:rsid w:val="00EE3FCC"/>
    <w:rsid w:val="00EE582B"/>
    <w:rsid w:val="00EE6FD4"/>
    <w:rsid w:val="00EF056C"/>
    <w:rsid w:val="00EF2017"/>
    <w:rsid w:val="00EF5062"/>
    <w:rsid w:val="00F000EC"/>
    <w:rsid w:val="00F001E4"/>
    <w:rsid w:val="00F00413"/>
    <w:rsid w:val="00F011C6"/>
    <w:rsid w:val="00F0338D"/>
    <w:rsid w:val="00F05C6A"/>
    <w:rsid w:val="00F05DE3"/>
    <w:rsid w:val="00F10283"/>
    <w:rsid w:val="00F102F8"/>
    <w:rsid w:val="00F108E6"/>
    <w:rsid w:val="00F108EC"/>
    <w:rsid w:val="00F1147F"/>
    <w:rsid w:val="00F1248C"/>
    <w:rsid w:val="00F124B6"/>
    <w:rsid w:val="00F1675F"/>
    <w:rsid w:val="00F1792B"/>
    <w:rsid w:val="00F206D3"/>
    <w:rsid w:val="00F259E0"/>
    <w:rsid w:val="00F2629E"/>
    <w:rsid w:val="00F268B2"/>
    <w:rsid w:val="00F27541"/>
    <w:rsid w:val="00F27C3B"/>
    <w:rsid w:val="00F32A26"/>
    <w:rsid w:val="00F36D53"/>
    <w:rsid w:val="00F37099"/>
    <w:rsid w:val="00F43260"/>
    <w:rsid w:val="00F45981"/>
    <w:rsid w:val="00F45E14"/>
    <w:rsid w:val="00F466FC"/>
    <w:rsid w:val="00F46C48"/>
    <w:rsid w:val="00F5104E"/>
    <w:rsid w:val="00F52504"/>
    <w:rsid w:val="00F53ADB"/>
    <w:rsid w:val="00F554EF"/>
    <w:rsid w:val="00F561B1"/>
    <w:rsid w:val="00F562ED"/>
    <w:rsid w:val="00F62AF7"/>
    <w:rsid w:val="00F64B8E"/>
    <w:rsid w:val="00F6504F"/>
    <w:rsid w:val="00F658EA"/>
    <w:rsid w:val="00F70616"/>
    <w:rsid w:val="00F70E1B"/>
    <w:rsid w:val="00F75D08"/>
    <w:rsid w:val="00F77218"/>
    <w:rsid w:val="00F77960"/>
    <w:rsid w:val="00F82799"/>
    <w:rsid w:val="00F841C4"/>
    <w:rsid w:val="00F85C97"/>
    <w:rsid w:val="00F863F5"/>
    <w:rsid w:val="00F905C4"/>
    <w:rsid w:val="00F90C45"/>
    <w:rsid w:val="00F911DD"/>
    <w:rsid w:val="00F92202"/>
    <w:rsid w:val="00F9221A"/>
    <w:rsid w:val="00F93A02"/>
    <w:rsid w:val="00F9406F"/>
    <w:rsid w:val="00F941BD"/>
    <w:rsid w:val="00F9588C"/>
    <w:rsid w:val="00F96E97"/>
    <w:rsid w:val="00F97032"/>
    <w:rsid w:val="00F97A8D"/>
    <w:rsid w:val="00F97C44"/>
    <w:rsid w:val="00FA2975"/>
    <w:rsid w:val="00FA2F39"/>
    <w:rsid w:val="00FA3B48"/>
    <w:rsid w:val="00FA59F9"/>
    <w:rsid w:val="00FA6882"/>
    <w:rsid w:val="00FA7473"/>
    <w:rsid w:val="00FA76F3"/>
    <w:rsid w:val="00FB1A62"/>
    <w:rsid w:val="00FB1D3E"/>
    <w:rsid w:val="00FB5AB0"/>
    <w:rsid w:val="00FB6E23"/>
    <w:rsid w:val="00FB73BA"/>
    <w:rsid w:val="00FB75BF"/>
    <w:rsid w:val="00FB7B08"/>
    <w:rsid w:val="00FC01EE"/>
    <w:rsid w:val="00FC0F0D"/>
    <w:rsid w:val="00FC1040"/>
    <w:rsid w:val="00FC2D99"/>
    <w:rsid w:val="00FC2E73"/>
    <w:rsid w:val="00FC515D"/>
    <w:rsid w:val="00FC5B81"/>
    <w:rsid w:val="00FC5F31"/>
    <w:rsid w:val="00FC7160"/>
    <w:rsid w:val="00FC7A0D"/>
    <w:rsid w:val="00FC7C61"/>
    <w:rsid w:val="00FD0468"/>
    <w:rsid w:val="00FD0A82"/>
    <w:rsid w:val="00FD0D1E"/>
    <w:rsid w:val="00FD206E"/>
    <w:rsid w:val="00FD63D7"/>
    <w:rsid w:val="00FE1284"/>
    <w:rsid w:val="00FE3F26"/>
    <w:rsid w:val="00FE494D"/>
    <w:rsid w:val="00FE5F49"/>
    <w:rsid w:val="00FE7193"/>
    <w:rsid w:val="00FF0B46"/>
    <w:rsid w:val="00FF37D5"/>
    <w:rsid w:val="00FF4031"/>
    <w:rsid w:val="00FF475E"/>
    <w:rsid w:val="00FF548D"/>
    <w:rsid w:val="00FF6E61"/>
    <w:rsid w:val="00FF74AB"/>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6F31B"/>
  <w15:docId w15:val="{6626E7C7-86EA-431C-B0DB-BC5B72E6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52E8"/>
    <w:pPr>
      <w:keepNext/>
      <w:numPr>
        <w:numId w:val="7"/>
      </w:numPr>
      <w:tabs>
        <w:tab w:val="left" w:pos="360"/>
      </w:tabs>
      <w:spacing w:before="240" w:after="360"/>
      <w:ind w:left="360"/>
      <w:outlineLvl w:val="0"/>
    </w:pPr>
    <w:rPr>
      <w:rFonts w:ascii="Arial" w:hAnsi="Arial" w:cs="Arial"/>
      <w:b/>
      <w:bCs/>
      <w:color w:val="003366"/>
      <w:kern w:val="32"/>
      <w:sz w:val="28"/>
      <w:szCs w:val="32"/>
    </w:rPr>
  </w:style>
  <w:style w:type="paragraph" w:styleId="Heading2">
    <w:name w:val="heading 2"/>
    <w:basedOn w:val="Normal"/>
    <w:next w:val="Normal"/>
    <w:link w:val="Heading2Char"/>
    <w:qFormat/>
    <w:rsid w:val="003F7CEB"/>
    <w:pPr>
      <w:keepNext/>
      <w:widowControl w:val="0"/>
      <w:numPr>
        <w:ilvl w:val="1"/>
        <w:numId w:val="7"/>
      </w:numPr>
      <w:spacing w:after="180"/>
      <w:outlineLvl w:val="1"/>
    </w:pPr>
    <w:rPr>
      <w:rFonts w:ascii="Arial Bold" w:hAnsi="Arial Bold"/>
      <w:b/>
      <w:color w:val="003366"/>
    </w:rPr>
  </w:style>
  <w:style w:type="paragraph" w:styleId="Heading3">
    <w:name w:val="heading 3"/>
    <w:basedOn w:val="Normal"/>
    <w:next w:val="Normal"/>
    <w:link w:val="Heading3Char"/>
    <w:qFormat/>
    <w:rsid w:val="003F7CEB"/>
    <w:pPr>
      <w:numPr>
        <w:ilvl w:val="2"/>
        <w:numId w:val="7"/>
      </w:numPr>
      <w:spacing w:after="120"/>
      <w:outlineLvl w:val="2"/>
    </w:pPr>
    <w:rPr>
      <w:rFonts w:ascii="Arial Bold" w:hAnsi="Arial Bold"/>
      <w:b/>
      <w:color w:val="003366"/>
      <w:sz w:val="20"/>
    </w:rPr>
  </w:style>
  <w:style w:type="paragraph" w:styleId="Heading4">
    <w:name w:val="heading 4"/>
    <w:basedOn w:val="Heading3"/>
    <w:next w:val="Normal"/>
    <w:link w:val="Heading4Char"/>
    <w:qFormat/>
    <w:rsid w:val="003F7CEB"/>
    <w:pPr>
      <w:keepNext/>
      <w:numPr>
        <w:ilvl w:val="3"/>
      </w:numPr>
      <w:spacing w:before="240" w:after="60"/>
      <w:outlineLvl w:val="3"/>
    </w:pPr>
    <w:rPr>
      <w:b w:val="0"/>
      <w:bCs/>
      <w:szCs w:val="28"/>
    </w:rPr>
  </w:style>
  <w:style w:type="paragraph" w:styleId="Heading5">
    <w:name w:val="heading 5"/>
    <w:basedOn w:val="Heading4"/>
    <w:next w:val="Normal"/>
    <w:link w:val="Heading5Char"/>
    <w:autoRedefine/>
    <w:qFormat/>
    <w:rsid w:val="005D2AFA"/>
    <w:pPr>
      <w:numPr>
        <w:ilvl w:val="0"/>
        <w:numId w:val="0"/>
      </w:numPr>
      <w:ind w:left="1440"/>
      <w:outlineLvl w:val="4"/>
    </w:pPr>
    <w:rPr>
      <w:b/>
      <w:bCs w:val="0"/>
    </w:rPr>
  </w:style>
  <w:style w:type="paragraph" w:styleId="Heading6">
    <w:name w:val="heading 6"/>
    <w:basedOn w:val="Normal"/>
    <w:next w:val="Normal"/>
    <w:link w:val="Heading6Char"/>
    <w:qFormat/>
    <w:rsid w:val="003F7CEB"/>
    <w:pPr>
      <w:tabs>
        <w:tab w:val="num" w:pos="1800"/>
      </w:tabs>
      <w:spacing w:before="240" w:after="60"/>
      <w:ind w:left="1440"/>
      <w:outlineLvl w:val="5"/>
    </w:pPr>
    <w:rPr>
      <w:b/>
      <w:bCs/>
      <w:sz w:val="22"/>
      <w:szCs w:val="22"/>
    </w:rPr>
  </w:style>
  <w:style w:type="paragraph" w:styleId="Heading7">
    <w:name w:val="heading 7"/>
    <w:basedOn w:val="Heading1"/>
    <w:next w:val="Normal"/>
    <w:link w:val="Heading7Char"/>
    <w:qFormat/>
    <w:rsid w:val="003F7CEB"/>
    <w:pPr>
      <w:keepNext w:val="0"/>
      <w:widowControl w:val="0"/>
      <w:numPr>
        <w:ilvl w:val="6"/>
      </w:numPr>
      <w:outlineLvl w:val="6"/>
    </w:pPr>
    <w:rPr>
      <w:rFonts w:ascii="Arial Bold" w:hAnsi="Arial Bold" w:cs="Times New Roman"/>
      <w:b w:val="0"/>
      <w:bCs w:val="0"/>
      <w:kern w:val="0"/>
      <w:szCs w:val="24"/>
    </w:rPr>
  </w:style>
  <w:style w:type="paragraph" w:styleId="Heading8">
    <w:name w:val="heading 8"/>
    <w:basedOn w:val="Heading2"/>
    <w:next w:val="Normal"/>
    <w:link w:val="Heading8Char"/>
    <w:qFormat/>
    <w:rsid w:val="003F7CEB"/>
    <w:pPr>
      <w:numPr>
        <w:ilvl w:val="7"/>
      </w:numPr>
      <w:outlineLvl w:val="7"/>
    </w:pPr>
    <w:rPr>
      <w:iCs/>
    </w:rPr>
  </w:style>
  <w:style w:type="paragraph" w:styleId="Heading9">
    <w:name w:val="heading 9"/>
    <w:basedOn w:val="Heading3"/>
    <w:next w:val="Normal"/>
    <w:link w:val="Heading9Char"/>
    <w:qFormat/>
    <w:rsid w:val="003F7CEB"/>
    <w:pPr>
      <w:keepNext/>
      <w:numPr>
        <w:ilvl w:val="8"/>
      </w:numPr>
      <w:outlineLvl w:val="8"/>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7CEB"/>
    <w:rPr>
      <w:rFonts w:ascii="Arial Bold" w:eastAsia="Times New Roman" w:hAnsi="Arial Bold" w:cs="Times New Roman"/>
      <w:b/>
      <w:color w:val="003366"/>
      <w:sz w:val="24"/>
      <w:szCs w:val="24"/>
    </w:rPr>
  </w:style>
  <w:style w:type="character" w:customStyle="1" w:styleId="Heading1Char">
    <w:name w:val="Heading 1 Char"/>
    <w:basedOn w:val="DefaultParagraphFont"/>
    <w:link w:val="Heading1"/>
    <w:rsid w:val="00AD52E8"/>
    <w:rPr>
      <w:rFonts w:ascii="Arial" w:eastAsia="Times New Roman" w:hAnsi="Arial" w:cs="Arial"/>
      <w:b/>
      <w:bCs/>
      <w:color w:val="003366"/>
      <w:kern w:val="32"/>
      <w:sz w:val="28"/>
      <w:szCs w:val="32"/>
    </w:rPr>
  </w:style>
  <w:style w:type="character" w:customStyle="1" w:styleId="Heading3Char">
    <w:name w:val="Heading 3 Char"/>
    <w:basedOn w:val="DefaultParagraphFont"/>
    <w:link w:val="Heading3"/>
    <w:rsid w:val="003F7CEB"/>
    <w:rPr>
      <w:rFonts w:ascii="Arial Bold" w:eastAsia="Times New Roman" w:hAnsi="Arial Bold" w:cs="Times New Roman"/>
      <w:b/>
      <w:color w:val="003366"/>
      <w:sz w:val="20"/>
      <w:szCs w:val="24"/>
    </w:rPr>
  </w:style>
  <w:style w:type="character" w:customStyle="1" w:styleId="Heading4Char">
    <w:name w:val="Heading 4 Char"/>
    <w:basedOn w:val="Heading3Char"/>
    <w:link w:val="Heading4"/>
    <w:rsid w:val="003F7CEB"/>
    <w:rPr>
      <w:rFonts w:ascii="Arial Bold" w:eastAsia="Times New Roman" w:hAnsi="Arial Bold" w:cs="Times New Roman"/>
      <w:b w:val="0"/>
      <w:bCs/>
      <w:color w:val="003366"/>
      <w:sz w:val="20"/>
      <w:szCs w:val="28"/>
    </w:rPr>
  </w:style>
  <w:style w:type="character" w:customStyle="1" w:styleId="Heading5Char">
    <w:name w:val="Heading 5 Char"/>
    <w:basedOn w:val="DefaultParagraphFont"/>
    <w:link w:val="Heading5"/>
    <w:rsid w:val="005D2AFA"/>
    <w:rPr>
      <w:rFonts w:ascii="Arial Bold" w:eastAsia="Times New Roman" w:hAnsi="Arial Bold" w:cs="Times New Roman"/>
      <w:b/>
      <w:color w:val="003366"/>
      <w:sz w:val="20"/>
      <w:szCs w:val="28"/>
    </w:rPr>
  </w:style>
  <w:style w:type="character" w:customStyle="1" w:styleId="Heading6Char">
    <w:name w:val="Heading 6 Char"/>
    <w:basedOn w:val="DefaultParagraphFont"/>
    <w:link w:val="Heading6"/>
    <w:rsid w:val="002D733D"/>
    <w:rPr>
      <w:rFonts w:ascii="Times New Roman" w:eastAsia="Times New Roman" w:hAnsi="Times New Roman" w:cs="Times New Roman"/>
      <w:b/>
      <w:bCs/>
    </w:rPr>
  </w:style>
  <w:style w:type="character" w:customStyle="1" w:styleId="Heading7Char">
    <w:name w:val="Heading 7 Char"/>
    <w:basedOn w:val="DefaultParagraphFont"/>
    <w:link w:val="Heading7"/>
    <w:rsid w:val="002D733D"/>
    <w:rPr>
      <w:rFonts w:ascii="Arial Bold" w:eastAsia="Times New Roman" w:hAnsi="Arial Bold" w:cs="Times New Roman"/>
      <w:color w:val="003366"/>
      <w:sz w:val="28"/>
      <w:szCs w:val="24"/>
    </w:rPr>
  </w:style>
  <w:style w:type="character" w:customStyle="1" w:styleId="Heading8Char">
    <w:name w:val="Heading 8 Char"/>
    <w:basedOn w:val="DefaultParagraphFont"/>
    <w:link w:val="Heading8"/>
    <w:rsid w:val="002D733D"/>
    <w:rPr>
      <w:rFonts w:ascii="Arial Bold" w:eastAsia="Times New Roman" w:hAnsi="Arial Bold" w:cs="Times New Roman"/>
      <w:b/>
      <w:iCs/>
      <w:color w:val="003366"/>
      <w:sz w:val="24"/>
      <w:szCs w:val="24"/>
    </w:rPr>
  </w:style>
  <w:style w:type="character" w:customStyle="1" w:styleId="Heading9Char">
    <w:name w:val="Heading 9 Char"/>
    <w:basedOn w:val="DefaultParagraphFont"/>
    <w:link w:val="Heading9"/>
    <w:rsid w:val="002D733D"/>
    <w:rPr>
      <w:rFonts w:ascii="Arial Bold" w:eastAsia="Times New Roman" w:hAnsi="Arial Bold" w:cs="Times New Roman"/>
      <w:color w:val="003366"/>
      <w:sz w:val="20"/>
      <w:szCs w:val="24"/>
    </w:rPr>
  </w:style>
  <w:style w:type="character" w:styleId="CommentReference">
    <w:name w:val="annotation reference"/>
    <w:basedOn w:val="DefaultParagraphFont"/>
    <w:rsid w:val="003F7CEB"/>
    <w:rPr>
      <w:sz w:val="16"/>
      <w:szCs w:val="16"/>
    </w:rPr>
  </w:style>
  <w:style w:type="paragraph" w:styleId="CommentText">
    <w:name w:val="annotation text"/>
    <w:basedOn w:val="Normal"/>
    <w:link w:val="CommentTextChar"/>
    <w:rsid w:val="003F7CEB"/>
    <w:rPr>
      <w:sz w:val="20"/>
      <w:szCs w:val="20"/>
    </w:rPr>
  </w:style>
  <w:style w:type="character" w:customStyle="1" w:styleId="CommentTextChar">
    <w:name w:val="Comment Text Char"/>
    <w:basedOn w:val="DefaultParagraphFont"/>
    <w:link w:val="CommentText"/>
    <w:rsid w:val="005668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F7CEB"/>
    <w:rPr>
      <w:b/>
      <w:bCs/>
    </w:rPr>
  </w:style>
  <w:style w:type="character" w:customStyle="1" w:styleId="CommentSubjectChar">
    <w:name w:val="Comment Subject Char"/>
    <w:basedOn w:val="CommentTextChar"/>
    <w:link w:val="CommentSubject"/>
    <w:semiHidden/>
    <w:rsid w:val="0056685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3F7CEB"/>
    <w:rPr>
      <w:rFonts w:ascii="Tahoma" w:hAnsi="Tahoma" w:cs="Tahoma"/>
      <w:sz w:val="16"/>
      <w:szCs w:val="16"/>
    </w:rPr>
  </w:style>
  <w:style w:type="character" w:customStyle="1" w:styleId="BalloonTextChar">
    <w:name w:val="Balloon Text Char"/>
    <w:basedOn w:val="DefaultParagraphFont"/>
    <w:link w:val="BalloonText"/>
    <w:semiHidden/>
    <w:rsid w:val="00566854"/>
    <w:rPr>
      <w:rFonts w:ascii="Tahoma" w:eastAsia="Times New Roman" w:hAnsi="Tahoma" w:cs="Tahoma"/>
      <w:sz w:val="16"/>
      <w:szCs w:val="16"/>
    </w:rPr>
  </w:style>
  <w:style w:type="table" w:styleId="TableGrid">
    <w:name w:val="Table Grid"/>
    <w:basedOn w:val="TableNormal"/>
    <w:uiPriority w:val="59"/>
    <w:rsid w:val="003F7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82"/>
    <w:pPr>
      <w:ind w:left="720"/>
      <w:contextualSpacing/>
    </w:pPr>
  </w:style>
  <w:style w:type="character" w:styleId="Hyperlink">
    <w:name w:val="Hyperlink"/>
    <w:basedOn w:val="DefaultParagraphFont"/>
    <w:rsid w:val="003F7CEB"/>
    <w:rPr>
      <w:color w:val="0000FF"/>
      <w:u w:val="single"/>
    </w:rPr>
  </w:style>
  <w:style w:type="paragraph" w:styleId="EndnoteText">
    <w:name w:val="endnote text"/>
    <w:basedOn w:val="Normal"/>
    <w:link w:val="EndnoteTextChar"/>
    <w:uiPriority w:val="99"/>
    <w:semiHidden/>
    <w:unhideWhenUsed/>
    <w:rsid w:val="00EB1F6B"/>
    <w:rPr>
      <w:sz w:val="20"/>
      <w:szCs w:val="20"/>
    </w:rPr>
  </w:style>
  <w:style w:type="character" w:customStyle="1" w:styleId="EndnoteTextChar">
    <w:name w:val="Endnote Text Char"/>
    <w:basedOn w:val="DefaultParagraphFont"/>
    <w:link w:val="EndnoteText"/>
    <w:uiPriority w:val="99"/>
    <w:semiHidden/>
    <w:rsid w:val="00EB1F6B"/>
    <w:rPr>
      <w:sz w:val="20"/>
      <w:szCs w:val="20"/>
    </w:rPr>
  </w:style>
  <w:style w:type="character" w:styleId="EndnoteReference">
    <w:name w:val="endnote reference"/>
    <w:basedOn w:val="DefaultParagraphFont"/>
    <w:uiPriority w:val="99"/>
    <w:semiHidden/>
    <w:unhideWhenUsed/>
    <w:rsid w:val="00EB1F6B"/>
    <w:rPr>
      <w:vertAlign w:val="superscript"/>
    </w:rPr>
  </w:style>
  <w:style w:type="paragraph" w:styleId="FootnoteText">
    <w:name w:val="footnote text"/>
    <w:basedOn w:val="Normal"/>
    <w:link w:val="FootnoteTextChar"/>
    <w:rsid w:val="003F7CEB"/>
    <w:rPr>
      <w:sz w:val="20"/>
      <w:szCs w:val="20"/>
    </w:rPr>
  </w:style>
  <w:style w:type="character" w:customStyle="1" w:styleId="FootnoteTextChar">
    <w:name w:val="Footnote Text Char"/>
    <w:basedOn w:val="DefaultParagraphFont"/>
    <w:link w:val="FootnoteText"/>
    <w:rsid w:val="003F7CEB"/>
    <w:rPr>
      <w:rFonts w:ascii="Times New Roman" w:eastAsia="Times New Roman" w:hAnsi="Times New Roman" w:cs="Times New Roman"/>
      <w:sz w:val="20"/>
      <w:szCs w:val="20"/>
    </w:rPr>
  </w:style>
  <w:style w:type="character" w:styleId="FootnoteReference">
    <w:name w:val="footnote reference"/>
    <w:rsid w:val="003F7CEB"/>
    <w:rPr>
      <w:vertAlign w:val="superscript"/>
    </w:rPr>
  </w:style>
  <w:style w:type="paragraph" w:styleId="Caption">
    <w:name w:val="caption"/>
    <w:basedOn w:val="Normal"/>
    <w:next w:val="Normal"/>
    <w:qFormat/>
    <w:rsid w:val="00C41D0B"/>
    <w:rPr>
      <w:rFonts w:ascii="Arial" w:hAnsi="Arial"/>
      <w:b/>
      <w:bCs/>
      <w:sz w:val="20"/>
      <w:szCs w:val="20"/>
    </w:rPr>
  </w:style>
  <w:style w:type="paragraph" w:styleId="NoSpacing">
    <w:name w:val="No Spacing"/>
    <w:uiPriority w:val="1"/>
    <w:qFormat/>
    <w:rsid w:val="00C1308A"/>
    <w:pPr>
      <w:spacing w:after="0" w:line="240" w:lineRule="auto"/>
    </w:pPr>
  </w:style>
  <w:style w:type="paragraph" w:styleId="BodyText">
    <w:name w:val="Body Text"/>
    <w:basedOn w:val="Normal"/>
    <w:link w:val="BodyTextChar"/>
    <w:rsid w:val="003F7CEB"/>
    <w:pPr>
      <w:spacing w:after="240"/>
    </w:pPr>
    <w:rPr>
      <w:sz w:val="22"/>
    </w:rPr>
  </w:style>
  <w:style w:type="paragraph" w:customStyle="1" w:styleId="TableBullet">
    <w:name w:val="Table Bullet"/>
    <w:basedOn w:val="ListParagraph"/>
    <w:qFormat/>
    <w:rsid w:val="00C41D0B"/>
    <w:pPr>
      <w:keepNext/>
      <w:ind w:left="122" w:hanging="122"/>
    </w:pPr>
    <w:rPr>
      <w:rFonts w:ascii="Arial" w:hAnsi="Arial" w:cs="Arial"/>
      <w:color w:val="000000"/>
      <w:sz w:val="16"/>
      <w:szCs w:val="16"/>
    </w:rPr>
  </w:style>
  <w:style w:type="character" w:customStyle="1" w:styleId="BodyTextChar">
    <w:name w:val="Body Text Char"/>
    <w:basedOn w:val="DefaultParagraphFont"/>
    <w:link w:val="BodyText"/>
    <w:rsid w:val="003F7CEB"/>
    <w:rPr>
      <w:rFonts w:ascii="Times New Roman" w:eastAsia="Times New Roman" w:hAnsi="Times New Roman" w:cs="Times New Roman"/>
      <w:szCs w:val="24"/>
    </w:rPr>
  </w:style>
  <w:style w:type="paragraph" w:styleId="Header">
    <w:name w:val="header"/>
    <w:basedOn w:val="Normal"/>
    <w:link w:val="HeaderChar"/>
    <w:rsid w:val="003F7CEB"/>
    <w:pPr>
      <w:tabs>
        <w:tab w:val="center" w:pos="4320"/>
        <w:tab w:val="right" w:pos="8640"/>
      </w:tabs>
    </w:pPr>
  </w:style>
  <w:style w:type="character" w:customStyle="1" w:styleId="HeaderChar">
    <w:name w:val="Header Char"/>
    <w:basedOn w:val="DefaultParagraphFont"/>
    <w:link w:val="Header"/>
    <w:rsid w:val="000C39EE"/>
    <w:rPr>
      <w:rFonts w:ascii="Times New Roman" w:eastAsia="Times New Roman" w:hAnsi="Times New Roman" w:cs="Times New Roman"/>
      <w:sz w:val="24"/>
      <w:szCs w:val="24"/>
    </w:rPr>
  </w:style>
  <w:style w:type="paragraph" w:styleId="Footer">
    <w:name w:val="footer"/>
    <w:basedOn w:val="Normal"/>
    <w:link w:val="FooterChar"/>
    <w:uiPriority w:val="99"/>
    <w:rsid w:val="003F7CEB"/>
    <w:pPr>
      <w:tabs>
        <w:tab w:val="center" w:pos="4320"/>
        <w:tab w:val="right" w:pos="8640"/>
      </w:tabs>
    </w:pPr>
  </w:style>
  <w:style w:type="character" w:customStyle="1" w:styleId="FooterChar">
    <w:name w:val="Footer Char"/>
    <w:basedOn w:val="DefaultParagraphFont"/>
    <w:link w:val="Footer"/>
    <w:uiPriority w:val="99"/>
    <w:rsid w:val="000C39EE"/>
    <w:rPr>
      <w:rFonts w:ascii="Times New Roman" w:eastAsia="Times New Roman" w:hAnsi="Times New Roman" w:cs="Times New Roman"/>
      <w:sz w:val="24"/>
      <w:szCs w:val="24"/>
    </w:rPr>
  </w:style>
  <w:style w:type="character" w:customStyle="1" w:styleId="FootnoteTextChar1">
    <w:name w:val="Footnote Text Char1"/>
    <w:rsid w:val="00FF74AB"/>
    <w:rPr>
      <w:lang w:val="en-US" w:eastAsia="en-US" w:bidi="ar-SA"/>
    </w:rPr>
  </w:style>
  <w:style w:type="paragraph" w:customStyle="1" w:styleId="TableTitle">
    <w:name w:val="Table Title"/>
    <w:basedOn w:val="Normal"/>
    <w:link w:val="TableTitleChar"/>
    <w:rsid w:val="003F7CEB"/>
    <w:pPr>
      <w:keepNext/>
      <w:widowControl w:val="0"/>
      <w:spacing w:before="40" w:after="40"/>
      <w:jc w:val="center"/>
    </w:pPr>
    <w:rPr>
      <w:rFonts w:ascii="Arial" w:hAnsi="Arial" w:cs="Arial"/>
      <w:b/>
      <w:color w:val="FFFFFF"/>
      <w:sz w:val="20"/>
      <w:szCs w:val="22"/>
    </w:rPr>
  </w:style>
  <w:style w:type="paragraph" w:customStyle="1" w:styleId="Bullet1">
    <w:name w:val="Bullet 1"/>
    <w:basedOn w:val="Normal"/>
    <w:rsid w:val="00FF74AB"/>
    <w:pPr>
      <w:keepNext/>
      <w:numPr>
        <w:numId w:val="3"/>
      </w:numPr>
      <w:spacing w:after="40"/>
    </w:pPr>
  </w:style>
  <w:style w:type="paragraph" w:customStyle="1" w:styleId="Bullet2">
    <w:name w:val="Bullet 2"/>
    <w:basedOn w:val="Normal"/>
    <w:rsid w:val="00FF74AB"/>
    <w:pPr>
      <w:numPr>
        <w:ilvl w:val="1"/>
        <w:numId w:val="2"/>
      </w:numPr>
      <w:autoSpaceDE w:val="0"/>
      <w:autoSpaceDN w:val="0"/>
      <w:adjustRightInd w:val="0"/>
      <w:spacing w:after="40"/>
    </w:pPr>
  </w:style>
  <w:style w:type="paragraph" w:customStyle="1" w:styleId="Default">
    <w:name w:val="Default"/>
    <w:rsid w:val="00FF74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2">
    <w:name w:val="toc 2"/>
    <w:basedOn w:val="Normal"/>
    <w:next w:val="Normal"/>
    <w:autoRedefine/>
    <w:semiHidden/>
    <w:rsid w:val="003F7CEB"/>
    <w:pPr>
      <w:tabs>
        <w:tab w:val="left" w:pos="720"/>
        <w:tab w:val="right" w:leader="dot" w:pos="9360"/>
      </w:tabs>
      <w:ind w:left="720" w:hanging="720"/>
    </w:pPr>
    <w:rPr>
      <w:sz w:val="22"/>
      <w:szCs w:val="20"/>
    </w:rPr>
  </w:style>
  <w:style w:type="paragraph" w:styleId="TOC1">
    <w:name w:val="toc 1"/>
    <w:basedOn w:val="Normal"/>
    <w:next w:val="Normal"/>
    <w:autoRedefine/>
    <w:rsid w:val="003F7CEB"/>
    <w:pPr>
      <w:tabs>
        <w:tab w:val="right" w:leader="dot" w:pos="9360"/>
      </w:tabs>
      <w:spacing w:before="120"/>
    </w:pPr>
    <w:rPr>
      <w:rFonts w:ascii="Times New Roman Bold" w:hAnsi="Times New Roman Bold"/>
      <w:b/>
      <w:bCs/>
      <w:sz w:val="22"/>
      <w:szCs w:val="20"/>
    </w:rPr>
  </w:style>
  <w:style w:type="paragraph" w:styleId="TableofFigures">
    <w:name w:val="table of figures"/>
    <w:basedOn w:val="Normal"/>
    <w:next w:val="Normal"/>
    <w:semiHidden/>
    <w:rsid w:val="003F7CEB"/>
    <w:pPr>
      <w:ind w:left="1008" w:hanging="1008"/>
    </w:pPr>
    <w:rPr>
      <w:sz w:val="22"/>
    </w:rPr>
  </w:style>
  <w:style w:type="character" w:styleId="PageNumber">
    <w:name w:val="page number"/>
    <w:basedOn w:val="DefaultParagraphFont"/>
    <w:rsid w:val="003F7CEB"/>
  </w:style>
  <w:style w:type="paragraph" w:customStyle="1" w:styleId="BodyTextSmall10pt">
    <w:name w:val="Body Text Small 10pt"/>
    <w:basedOn w:val="Normal"/>
    <w:rsid w:val="003F7CEB"/>
    <w:rPr>
      <w:sz w:val="20"/>
      <w:szCs w:val="20"/>
    </w:rPr>
  </w:style>
  <w:style w:type="paragraph" w:customStyle="1" w:styleId="Bullet">
    <w:name w:val="Bullet"/>
    <w:basedOn w:val="Normal"/>
    <w:link w:val="BulletChar"/>
    <w:rsid w:val="003F7CEB"/>
    <w:pPr>
      <w:numPr>
        <w:numId w:val="5"/>
      </w:numPr>
    </w:pPr>
    <w:rPr>
      <w:sz w:val="22"/>
    </w:rPr>
  </w:style>
  <w:style w:type="character" w:customStyle="1" w:styleId="BulletChar">
    <w:name w:val="Bullet Char"/>
    <w:basedOn w:val="DefaultParagraphFont"/>
    <w:link w:val="Bullet"/>
    <w:rsid w:val="003F7CEB"/>
    <w:rPr>
      <w:rFonts w:ascii="Times New Roman" w:eastAsia="Times New Roman" w:hAnsi="Times New Roman" w:cs="Times New Roman"/>
      <w:szCs w:val="24"/>
    </w:rPr>
  </w:style>
  <w:style w:type="paragraph" w:customStyle="1" w:styleId="TableText">
    <w:name w:val="Table Text"/>
    <w:basedOn w:val="Normal"/>
    <w:link w:val="TableTextChar"/>
    <w:rsid w:val="003F7CEB"/>
    <w:rPr>
      <w:rFonts w:ascii="Arial" w:hAnsi="Arial"/>
      <w:bCs/>
      <w:sz w:val="16"/>
      <w:szCs w:val="20"/>
    </w:rPr>
  </w:style>
  <w:style w:type="paragraph" w:customStyle="1" w:styleId="TableSubtitle">
    <w:name w:val="Table Subtitle"/>
    <w:basedOn w:val="Normal"/>
    <w:rsid w:val="003F7CEB"/>
    <w:pPr>
      <w:keepNext/>
      <w:jc w:val="center"/>
    </w:pPr>
    <w:rPr>
      <w:rFonts w:ascii="Arial" w:hAnsi="Arial" w:cs="Arial"/>
      <w:b/>
      <w:bCs/>
      <w:sz w:val="16"/>
      <w:szCs w:val="20"/>
    </w:rPr>
  </w:style>
  <w:style w:type="character" w:customStyle="1" w:styleId="TableTitleChar">
    <w:name w:val="Table Title Char"/>
    <w:basedOn w:val="DefaultParagraphFont"/>
    <w:link w:val="TableTitle"/>
    <w:rsid w:val="003F7CEB"/>
    <w:rPr>
      <w:rFonts w:ascii="Arial" w:eastAsia="Times New Roman" w:hAnsi="Arial" w:cs="Arial"/>
      <w:b/>
      <w:color w:val="FFFFFF"/>
      <w:sz w:val="20"/>
    </w:rPr>
  </w:style>
  <w:style w:type="paragraph" w:styleId="DocumentMap">
    <w:name w:val="Document Map"/>
    <w:basedOn w:val="Normal"/>
    <w:link w:val="DocumentMapChar"/>
    <w:semiHidden/>
    <w:rsid w:val="003F7CE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F7CEB"/>
    <w:rPr>
      <w:rFonts w:ascii="Tahoma" w:eastAsia="Times New Roman" w:hAnsi="Tahoma" w:cs="Tahoma"/>
      <w:sz w:val="20"/>
      <w:szCs w:val="20"/>
      <w:shd w:val="clear" w:color="auto" w:fill="000080"/>
    </w:rPr>
  </w:style>
  <w:style w:type="paragraph" w:styleId="TOC3">
    <w:name w:val="toc 3"/>
    <w:basedOn w:val="Normal"/>
    <w:next w:val="Normal"/>
    <w:autoRedefine/>
    <w:semiHidden/>
    <w:rsid w:val="003F7CEB"/>
    <w:pPr>
      <w:tabs>
        <w:tab w:val="left" w:pos="1440"/>
        <w:tab w:val="right" w:leader="dot" w:pos="9360"/>
      </w:tabs>
      <w:ind w:left="720"/>
    </w:pPr>
    <w:rPr>
      <w:sz w:val="22"/>
    </w:rPr>
  </w:style>
  <w:style w:type="paragraph" w:customStyle="1" w:styleId="Non-ChapterHeadings">
    <w:name w:val="Non-Chapter Headings"/>
    <w:basedOn w:val="Normal"/>
    <w:rsid w:val="003F7CEB"/>
    <w:pPr>
      <w:jc w:val="center"/>
    </w:pPr>
    <w:rPr>
      <w:rFonts w:ascii="Arial" w:hAnsi="Arial"/>
      <w:b/>
      <w:bCs/>
      <w:color w:val="003366"/>
      <w:sz w:val="28"/>
      <w:szCs w:val="20"/>
    </w:rPr>
  </w:style>
  <w:style w:type="paragraph" w:styleId="TOC9">
    <w:name w:val="toc 9"/>
    <w:basedOn w:val="Normal"/>
    <w:next w:val="Normal"/>
    <w:autoRedefine/>
    <w:semiHidden/>
    <w:rsid w:val="003F7CEB"/>
    <w:pPr>
      <w:ind w:left="1920"/>
    </w:pPr>
  </w:style>
  <w:style w:type="paragraph" w:styleId="BodyTextIndent2">
    <w:name w:val="Body Text Indent 2"/>
    <w:basedOn w:val="Normal"/>
    <w:link w:val="BodyTextIndent2Char"/>
    <w:rsid w:val="003F7CEB"/>
    <w:pPr>
      <w:numPr>
        <w:numId w:val="6"/>
      </w:numPr>
      <w:spacing w:after="120" w:line="480" w:lineRule="auto"/>
      <w:ind w:left="360" w:firstLine="0"/>
    </w:pPr>
    <w:rPr>
      <w:sz w:val="22"/>
    </w:rPr>
  </w:style>
  <w:style w:type="character" w:customStyle="1" w:styleId="BodyTextIndent2Char">
    <w:name w:val="Body Text Indent 2 Char"/>
    <w:basedOn w:val="DefaultParagraphFont"/>
    <w:link w:val="BodyTextIndent2"/>
    <w:rsid w:val="003F7CEB"/>
    <w:rPr>
      <w:rFonts w:ascii="Times New Roman" w:eastAsia="Times New Roman" w:hAnsi="Times New Roman" w:cs="Times New Roman"/>
      <w:szCs w:val="24"/>
    </w:rPr>
  </w:style>
  <w:style w:type="paragraph" w:styleId="HTMLPreformatted">
    <w:name w:val="HTML Preformatted"/>
    <w:basedOn w:val="Normal"/>
    <w:link w:val="HTMLPreformattedChar"/>
    <w:rsid w:val="003F7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F7CEB"/>
    <w:rPr>
      <w:rFonts w:ascii="Courier New" w:eastAsia="Times New Roman" w:hAnsi="Courier New" w:cs="Courier New"/>
      <w:sz w:val="20"/>
      <w:szCs w:val="20"/>
    </w:rPr>
  </w:style>
  <w:style w:type="numbering" w:customStyle="1" w:styleId="Numbered">
    <w:name w:val="Numbered"/>
    <w:basedOn w:val="NoList"/>
    <w:rsid w:val="003F7CEB"/>
    <w:pPr>
      <w:numPr>
        <w:numId w:val="8"/>
      </w:numPr>
    </w:pPr>
  </w:style>
  <w:style w:type="paragraph" w:styleId="NormalWeb">
    <w:name w:val="Normal (Web)"/>
    <w:basedOn w:val="Normal"/>
    <w:uiPriority w:val="99"/>
    <w:rsid w:val="003F7CEB"/>
    <w:pPr>
      <w:spacing w:before="100" w:beforeAutospacing="1" w:after="100" w:afterAutospacing="1"/>
    </w:pPr>
  </w:style>
  <w:style w:type="paragraph" w:customStyle="1" w:styleId="TOC31">
    <w:name w:val="TOC 31"/>
    <w:basedOn w:val="Normal"/>
    <w:next w:val="Normal"/>
    <w:autoRedefine/>
    <w:semiHidden/>
    <w:rsid w:val="003F7CEB"/>
    <w:pPr>
      <w:ind w:left="480"/>
    </w:pPr>
    <w:rPr>
      <w:sz w:val="22"/>
    </w:rPr>
  </w:style>
  <w:style w:type="character" w:styleId="FollowedHyperlink">
    <w:name w:val="FollowedHyperlink"/>
    <w:basedOn w:val="DefaultParagraphFont"/>
    <w:rsid w:val="003F7CEB"/>
    <w:rPr>
      <w:color w:val="800080"/>
      <w:u w:val="single"/>
    </w:rPr>
  </w:style>
  <w:style w:type="paragraph" w:styleId="TOC4">
    <w:name w:val="toc 4"/>
    <w:basedOn w:val="Normal"/>
    <w:next w:val="Normal"/>
    <w:autoRedefine/>
    <w:semiHidden/>
    <w:rsid w:val="003F7CEB"/>
    <w:pPr>
      <w:ind w:left="720"/>
    </w:pPr>
  </w:style>
  <w:style w:type="paragraph" w:styleId="TOC5">
    <w:name w:val="toc 5"/>
    <w:basedOn w:val="Normal"/>
    <w:next w:val="Normal"/>
    <w:autoRedefine/>
    <w:semiHidden/>
    <w:rsid w:val="003F7CEB"/>
    <w:pPr>
      <w:ind w:left="960"/>
    </w:pPr>
  </w:style>
  <w:style w:type="paragraph" w:styleId="TOC6">
    <w:name w:val="toc 6"/>
    <w:basedOn w:val="Normal"/>
    <w:next w:val="Normal"/>
    <w:autoRedefine/>
    <w:semiHidden/>
    <w:rsid w:val="003F7CEB"/>
    <w:pPr>
      <w:ind w:left="1200"/>
    </w:pPr>
  </w:style>
  <w:style w:type="paragraph" w:styleId="TOC7">
    <w:name w:val="toc 7"/>
    <w:basedOn w:val="Normal"/>
    <w:next w:val="Normal"/>
    <w:autoRedefine/>
    <w:semiHidden/>
    <w:rsid w:val="003F7CEB"/>
    <w:pPr>
      <w:ind w:left="1440"/>
    </w:pPr>
  </w:style>
  <w:style w:type="paragraph" w:styleId="TOC8">
    <w:name w:val="toc 8"/>
    <w:basedOn w:val="Normal"/>
    <w:next w:val="Normal"/>
    <w:autoRedefine/>
    <w:semiHidden/>
    <w:rsid w:val="003F7CEB"/>
    <w:pPr>
      <w:ind w:left="1680"/>
    </w:pPr>
  </w:style>
  <w:style w:type="paragraph" w:customStyle="1" w:styleId="FigureTitle">
    <w:name w:val="Figure Title"/>
    <w:basedOn w:val="TableTitle"/>
    <w:rsid w:val="003F7CEB"/>
    <w:rPr>
      <w:color w:val="003366"/>
    </w:rPr>
  </w:style>
  <w:style w:type="character" w:customStyle="1" w:styleId="TableTextChar">
    <w:name w:val="Table Text Char"/>
    <w:link w:val="TableText"/>
    <w:rsid w:val="00D66E01"/>
    <w:rPr>
      <w:rFonts w:ascii="Arial" w:eastAsia="Times New Roman" w:hAnsi="Arial" w:cs="Times New Roman"/>
      <w:bCs/>
      <w:sz w:val="16"/>
      <w:szCs w:val="20"/>
    </w:rPr>
  </w:style>
  <w:style w:type="paragraph" w:styleId="Revision">
    <w:name w:val="Revision"/>
    <w:hidden/>
    <w:uiPriority w:val="99"/>
    <w:semiHidden/>
    <w:rsid w:val="00744803"/>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7A2"/>
    <w:rPr>
      <w:b/>
      <w:bCs/>
    </w:rPr>
  </w:style>
  <w:style w:type="character" w:styleId="UnresolvedMention">
    <w:name w:val="Unresolved Mention"/>
    <w:basedOn w:val="DefaultParagraphFont"/>
    <w:uiPriority w:val="99"/>
    <w:semiHidden/>
    <w:unhideWhenUsed/>
    <w:rsid w:val="0025193D"/>
    <w:rPr>
      <w:color w:val="605E5C"/>
      <w:shd w:val="clear" w:color="auto" w:fill="E1DFDD"/>
    </w:rPr>
  </w:style>
  <w:style w:type="paragraph" w:styleId="PlainText">
    <w:name w:val="Plain Text"/>
    <w:basedOn w:val="Normal"/>
    <w:link w:val="PlainTextChar"/>
    <w:uiPriority w:val="99"/>
    <w:unhideWhenUsed/>
    <w:rsid w:val="00CA0E60"/>
    <w:rPr>
      <w:rFonts w:ascii="Consolas" w:eastAsia="Calibri" w:hAnsi="Consolas"/>
      <w:sz w:val="21"/>
      <w:szCs w:val="21"/>
    </w:rPr>
  </w:style>
  <w:style w:type="character" w:customStyle="1" w:styleId="PlainTextChar">
    <w:name w:val="Plain Text Char"/>
    <w:basedOn w:val="DefaultParagraphFont"/>
    <w:link w:val="PlainText"/>
    <w:uiPriority w:val="99"/>
    <w:rsid w:val="00CA0E60"/>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7850">
      <w:bodyDiv w:val="1"/>
      <w:marLeft w:val="0"/>
      <w:marRight w:val="0"/>
      <w:marTop w:val="0"/>
      <w:marBottom w:val="0"/>
      <w:divBdr>
        <w:top w:val="none" w:sz="0" w:space="0" w:color="auto"/>
        <w:left w:val="none" w:sz="0" w:space="0" w:color="auto"/>
        <w:bottom w:val="none" w:sz="0" w:space="0" w:color="auto"/>
        <w:right w:val="none" w:sz="0" w:space="0" w:color="auto"/>
      </w:divBdr>
    </w:div>
    <w:div w:id="129906169">
      <w:bodyDiv w:val="1"/>
      <w:marLeft w:val="0"/>
      <w:marRight w:val="0"/>
      <w:marTop w:val="0"/>
      <w:marBottom w:val="0"/>
      <w:divBdr>
        <w:top w:val="none" w:sz="0" w:space="0" w:color="auto"/>
        <w:left w:val="none" w:sz="0" w:space="0" w:color="auto"/>
        <w:bottom w:val="none" w:sz="0" w:space="0" w:color="auto"/>
        <w:right w:val="none" w:sz="0" w:space="0" w:color="auto"/>
      </w:divBdr>
    </w:div>
    <w:div w:id="135219496">
      <w:bodyDiv w:val="1"/>
      <w:marLeft w:val="0"/>
      <w:marRight w:val="0"/>
      <w:marTop w:val="0"/>
      <w:marBottom w:val="0"/>
      <w:divBdr>
        <w:top w:val="none" w:sz="0" w:space="0" w:color="auto"/>
        <w:left w:val="none" w:sz="0" w:space="0" w:color="auto"/>
        <w:bottom w:val="none" w:sz="0" w:space="0" w:color="auto"/>
        <w:right w:val="none" w:sz="0" w:space="0" w:color="auto"/>
      </w:divBdr>
    </w:div>
    <w:div w:id="265968316">
      <w:bodyDiv w:val="1"/>
      <w:marLeft w:val="30"/>
      <w:marRight w:val="30"/>
      <w:marTop w:val="0"/>
      <w:marBottom w:val="0"/>
      <w:divBdr>
        <w:top w:val="none" w:sz="0" w:space="0" w:color="auto"/>
        <w:left w:val="none" w:sz="0" w:space="0" w:color="auto"/>
        <w:bottom w:val="none" w:sz="0" w:space="0" w:color="auto"/>
        <w:right w:val="none" w:sz="0" w:space="0" w:color="auto"/>
      </w:divBdr>
      <w:divsChild>
        <w:div w:id="1366102161">
          <w:marLeft w:val="0"/>
          <w:marRight w:val="0"/>
          <w:marTop w:val="0"/>
          <w:marBottom w:val="0"/>
          <w:divBdr>
            <w:top w:val="none" w:sz="0" w:space="0" w:color="auto"/>
            <w:left w:val="none" w:sz="0" w:space="0" w:color="auto"/>
            <w:bottom w:val="none" w:sz="0" w:space="0" w:color="auto"/>
            <w:right w:val="none" w:sz="0" w:space="0" w:color="auto"/>
          </w:divBdr>
          <w:divsChild>
            <w:div w:id="858741335">
              <w:marLeft w:val="0"/>
              <w:marRight w:val="0"/>
              <w:marTop w:val="0"/>
              <w:marBottom w:val="0"/>
              <w:divBdr>
                <w:top w:val="none" w:sz="0" w:space="0" w:color="auto"/>
                <w:left w:val="none" w:sz="0" w:space="0" w:color="auto"/>
                <w:bottom w:val="none" w:sz="0" w:space="0" w:color="auto"/>
                <w:right w:val="none" w:sz="0" w:space="0" w:color="auto"/>
              </w:divBdr>
              <w:divsChild>
                <w:div w:id="2115517469">
                  <w:marLeft w:val="180"/>
                  <w:marRight w:val="0"/>
                  <w:marTop w:val="0"/>
                  <w:marBottom w:val="0"/>
                  <w:divBdr>
                    <w:top w:val="none" w:sz="0" w:space="0" w:color="auto"/>
                    <w:left w:val="none" w:sz="0" w:space="0" w:color="auto"/>
                    <w:bottom w:val="none" w:sz="0" w:space="0" w:color="auto"/>
                    <w:right w:val="none" w:sz="0" w:space="0" w:color="auto"/>
                  </w:divBdr>
                  <w:divsChild>
                    <w:div w:id="1619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8516">
      <w:bodyDiv w:val="1"/>
      <w:marLeft w:val="0"/>
      <w:marRight w:val="0"/>
      <w:marTop w:val="0"/>
      <w:marBottom w:val="0"/>
      <w:divBdr>
        <w:top w:val="none" w:sz="0" w:space="0" w:color="auto"/>
        <w:left w:val="none" w:sz="0" w:space="0" w:color="auto"/>
        <w:bottom w:val="none" w:sz="0" w:space="0" w:color="auto"/>
        <w:right w:val="none" w:sz="0" w:space="0" w:color="auto"/>
      </w:divBdr>
    </w:div>
    <w:div w:id="283394237">
      <w:bodyDiv w:val="1"/>
      <w:marLeft w:val="0"/>
      <w:marRight w:val="0"/>
      <w:marTop w:val="0"/>
      <w:marBottom w:val="0"/>
      <w:divBdr>
        <w:top w:val="none" w:sz="0" w:space="0" w:color="auto"/>
        <w:left w:val="none" w:sz="0" w:space="0" w:color="auto"/>
        <w:bottom w:val="none" w:sz="0" w:space="0" w:color="auto"/>
        <w:right w:val="none" w:sz="0" w:space="0" w:color="auto"/>
      </w:divBdr>
    </w:div>
    <w:div w:id="303505339">
      <w:bodyDiv w:val="1"/>
      <w:marLeft w:val="0"/>
      <w:marRight w:val="0"/>
      <w:marTop w:val="0"/>
      <w:marBottom w:val="0"/>
      <w:divBdr>
        <w:top w:val="none" w:sz="0" w:space="0" w:color="auto"/>
        <w:left w:val="none" w:sz="0" w:space="0" w:color="auto"/>
        <w:bottom w:val="none" w:sz="0" w:space="0" w:color="auto"/>
        <w:right w:val="none" w:sz="0" w:space="0" w:color="auto"/>
      </w:divBdr>
    </w:div>
    <w:div w:id="310137128">
      <w:bodyDiv w:val="1"/>
      <w:marLeft w:val="0"/>
      <w:marRight w:val="0"/>
      <w:marTop w:val="0"/>
      <w:marBottom w:val="0"/>
      <w:divBdr>
        <w:top w:val="none" w:sz="0" w:space="0" w:color="auto"/>
        <w:left w:val="none" w:sz="0" w:space="0" w:color="auto"/>
        <w:bottom w:val="none" w:sz="0" w:space="0" w:color="auto"/>
        <w:right w:val="none" w:sz="0" w:space="0" w:color="auto"/>
      </w:divBdr>
    </w:div>
    <w:div w:id="329531487">
      <w:bodyDiv w:val="1"/>
      <w:marLeft w:val="0"/>
      <w:marRight w:val="0"/>
      <w:marTop w:val="0"/>
      <w:marBottom w:val="0"/>
      <w:divBdr>
        <w:top w:val="none" w:sz="0" w:space="0" w:color="auto"/>
        <w:left w:val="none" w:sz="0" w:space="0" w:color="auto"/>
        <w:bottom w:val="none" w:sz="0" w:space="0" w:color="auto"/>
        <w:right w:val="none" w:sz="0" w:space="0" w:color="auto"/>
      </w:divBdr>
    </w:div>
    <w:div w:id="389307713">
      <w:bodyDiv w:val="1"/>
      <w:marLeft w:val="0"/>
      <w:marRight w:val="0"/>
      <w:marTop w:val="0"/>
      <w:marBottom w:val="0"/>
      <w:divBdr>
        <w:top w:val="none" w:sz="0" w:space="0" w:color="auto"/>
        <w:left w:val="none" w:sz="0" w:space="0" w:color="auto"/>
        <w:bottom w:val="none" w:sz="0" w:space="0" w:color="auto"/>
        <w:right w:val="none" w:sz="0" w:space="0" w:color="auto"/>
      </w:divBdr>
    </w:div>
    <w:div w:id="459492839">
      <w:bodyDiv w:val="1"/>
      <w:marLeft w:val="0"/>
      <w:marRight w:val="0"/>
      <w:marTop w:val="0"/>
      <w:marBottom w:val="0"/>
      <w:divBdr>
        <w:top w:val="none" w:sz="0" w:space="0" w:color="auto"/>
        <w:left w:val="none" w:sz="0" w:space="0" w:color="auto"/>
        <w:bottom w:val="none" w:sz="0" w:space="0" w:color="auto"/>
        <w:right w:val="none" w:sz="0" w:space="0" w:color="auto"/>
      </w:divBdr>
    </w:div>
    <w:div w:id="514268646">
      <w:bodyDiv w:val="1"/>
      <w:marLeft w:val="0"/>
      <w:marRight w:val="0"/>
      <w:marTop w:val="0"/>
      <w:marBottom w:val="0"/>
      <w:divBdr>
        <w:top w:val="none" w:sz="0" w:space="0" w:color="auto"/>
        <w:left w:val="none" w:sz="0" w:space="0" w:color="auto"/>
        <w:bottom w:val="none" w:sz="0" w:space="0" w:color="auto"/>
        <w:right w:val="none" w:sz="0" w:space="0" w:color="auto"/>
      </w:divBdr>
    </w:div>
    <w:div w:id="522326377">
      <w:bodyDiv w:val="1"/>
      <w:marLeft w:val="0"/>
      <w:marRight w:val="0"/>
      <w:marTop w:val="0"/>
      <w:marBottom w:val="0"/>
      <w:divBdr>
        <w:top w:val="none" w:sz="0" w:space="0" w:color="auto"/>
        <w:left w:val="none" w:sz="0" w:space="0" w:color="auto"/>
        <w:bottom w:val="none" w:sz="0" w:space="0" w:color="auto"/>
        <w:right w:val="none" w:sz="0" w:space="0" w:color="auto"/>
      </w:divBdr>
    </w:div>
    <w:div w:id="552153592">
      <w:bodyDiv w:val="1"/>
      <w:marLeft w:val="0"/>
      <w:marRight w:val="0"/>
      <w:marTop w:val="0"/>
      <w:marBottom w:val="0"/>
      <w:divBdr>
        <w:top w:val="none" w:sz="0" w:space="0" w:color="auto"/>
        <w:left w:val="none" w:sz="0" w:space="0" w:color="auto"/>
        <w:bottom w:val="none" w:sz="0" w:space="0" w:color="auto"/>
        <w:right w:val="none" w:sz="0" w:space="0" w:color="auto"/>
      </w:divBdr>
    </w:div>
    <w:div w:id="730732987">
      <w:bodyDiv w:val="1"/>
      <w:marLeft w:val="0"/>
      <w:marRight w:val="0"/>
      <w:marTop w:val="0"/>
      <w:marBottom w:val="0"/>
      <w:divBdr>
        <w:top w:val="none" w:sz="0" w:space="0" w:color="auto"/>
        <w:left w:val="none" w:sz="0" w:space="0" w:color="auto"/>
        <w:bottom w:val="none" w:sz="0" w:space="0" w:color="auto"/>
        <w:right w:val="none" w:sz="0" w:space="0" w:color="auto"/>
      </w:divBdr>
    </w:div>
    <w:div w:id="843012661">
      <w:bodyDiv w:val="1"/>
      <w:marLeft w:val="0"/>
      <w:marRight w:val="0"/>
      <w:marTop w:val="0"/>
      <w:marBottom w:val="0"/>
      <w:divBdr>
        <w:top w:val="none" w:sz="0" w:space="0" w:color="auto"/>
        <w:left w:val="none" w:sz="0" w:space="0" w:color="auto"/>
        <w:bottom w:val="none" w:sz="0" w:space="0" w:color="auto"/>
        <w:right w:val="none" w:sz="0" w:space="0" w:color="auto"/>
      </w:divBdr>
    </w:div>
    <w:div w:id="846755307">
      <w:bodyDiv w:val="1"/>
      <w:marLeft w:val="0"/>
      <w:marRight w:val="0"/>
      <w:marTop w:val="0"/>
      <w:marBottom w:val="0"/>
      <w:divBdr>
        <w:top w:val="none" w:sz="0" w:space="0" w:color="auto"/>
        <w:left w:val="none" w:sz="0" w:space="0" w:color="auto"/>
        <w:bottom w:val="none" w:sz="0" w:space="0" w:color="auto"/>
        <w:right w:val="none" w:sz="0" w:space="0" w:color="auto"/>
      </w:divBdr>
    </w:div>
    <w:div w:id="1083379525">
      <w:bodyDiv w:val="1"/>
      <w:marLeft w:val="0"/>
      <w:marRight w:val="0"/>
      <w:marTop w:val="0"/>
      <w:marBottom w:val="0"/>
      <w:divBdr>
        <w:top w:val="none" w:sz="0" w:space="0" w:color="auto"/>
        <w:left w:val="none" w:sz="0" w:space="0" w:color="auto"/>
        <w:bottom w:val="none" w:sz="0" w:space="0" w:color="auto"/>
        <w:right w:val="none" w:sz="0" w:space="0" w:color="auto"/>
      </w:divBdr>
    </w:div>
    <w:div w:id="1109668146">
      <w:bodyDiv w:val="1"/>
      <w:marLeft w:val="0"/>
      <w:marRight w:val="0"/>
      <w:marTop w:val="0"/>
      <w:marBottom w:val="0"/>
      <w:divBdr>
        <w:top w:val="none" w:sz="0" w:space="0" w:color="auto"/>
        <w:left w:val="none" w:sz="0" w:space="0" w:color="auto"/>
        <w:bottom w:val="none" w:sz="0" w:space="0" w:color="auto"/>
        <w:right w:val="none" w:sz="0" w:space="0" w:color="auto"/>
      </w:divBdr>
    </w:div>
    <w:div w:id="1141070897">
      <w:bodyDiv w:val="1"/>
      <w:marLeft w:val="0"/>
      <w:marRight w:val="0"/>
      <w:marTop w:val="0"/>
      <w:marBottom w:val="0"/>
      <w:divBdr>
        <w:top w:val="none" w:sz="0" w:space="0" w:color="auto"/>
        <w:left w:val="none" w:sz="0" w:space="0" w:color="auto"/>
        <w:bottom w:val="none" w:sz="0" w:space="0" w:color="auto"/>
        <w:right w:val="none" w:sz="0" w:space="0" w:color="auto"/>
      </w:divBdr>
    </w:div>
    <w:div w:id="1151680916">
      <w:bodyDiv w:val="1"/>
      <w:marLeft w:val="0"/>
      <w:marRight w:val="0"/>
      <w:marTop w:val="0"/>
      <w:marBottom w:val="0"/>
      <w:divBdr>
        <w:top w:val="none" w:sz="0" w:space="0" w:color="auto"/>
        <w:left w:val="none" w:sz="0" w:space="0" w:color="auto"/>
        <w:bottom w:val="none" w:sz="0" w:space="0" w:color="auto"/>
        <w:right w:val="none" w:sz="0" w:space="0" w:color="auto"/>
      </w:divBdr>
    </w:div>
    <w:div w:id="1190989644">
      <w:bodyDiv w:val="1"/>
      <w:marLeft w:val="0"/>
      <w:marRight w:val="0"/>
      <w:marTop w:val="0"/>
      <w:marBottom w:val="0"/>
      <w:divBdr>
        <w:top w:val="none" w:sz="0" w:space="0" w:color="auto"/>
        <w:left w:val="none" w:sz="0" w:space="0" w:color="auto"/>
        <w:bottom w:val="none" w:sz="0" w:space="0" w:color="auto"/>
        <w:right w:val="none" w:sz="0" w:space="0" w:color="auto"/>
      </w:divBdr>
    </w:div>
    <w:div w:id="1213078038">
      <w:bodyDiv w:val="1"/>
      <w:marLeft w:val="0"/>
      <w:marRight w:val="0"/>
      <w:marTop w:val="0"/>
      <w:marBottom w:val="0"/>
      <w:divBdr>
        <w:top w:val="none" w:sz="0" w:space="0" w:color="auto"/>
        <w:left w:val="none" w:sz="0" w:space="0" w:color="auto"/>
        <w:bottom w:val="none" w:sz="0" w:space="0" w:color="auto"/>
        <w:right w:val="none" w:sz="0" w:space="0" w:color="auto"/>
      </w:divBdr>
    </w:div>
    <w:div w:id="1303734829">
      <w:bodyDiv w:val="1"/>
      <w:marLeft w:val="0"/>
      <w:marRight w:val="0"/>
      <w:marTop w:val="0"/>
      <w:marBottom w:val="0"/>
      <w:divBdr>
        <w:top w:val="none" w:sz="0" w:space="0" w:color="auto"/>
        <w:left w:val="none" w:sz="0" w:space="0" w:color="auto"/>
        <w:bottom w:val="none" w:sz="0" w:space="0" w:color="auto"/>
        <w:right w:val="none" w:sz="0" w:space="0" w:color="auto"/>
      </w:divBdr>
    </w:div>
    <w:div w:id="1316766594">
      <w:bodyDiv w:val="1"/>
      <w:marLeft w:val="0"/>
      <w:marRight w:val="0"/>
      <w:marTop w:val="0"/>
      <w:marBottom w:val="0"/>
      <w:divBdr>
        <w:top w:val="none" w:sz="0" w:space="0" w:color="auto"/>
        <w:left w:val="none" w:sz="0" w:space="0" w:color="auto"/>
        <w:bottom w:val="none" w:sz="0" w:space="0" w:color="auto"/>
        <w:right w:val="none" w:sz="0" w:space="0" w:color="auto"/>
      </w:divBdr>
    </w:div>
    <w:div w:id="1389306451">
      <w:bodyDiv w:val="1"/>
      <w:marLeft w:val="0"/>
      <w:marRight w:val="0"/>
      <w:marTop w:val="0"/>
      <w:marBottom w:val="0"/>
      <w:divBdr>
        <w:top w:val="none" w:sz="0" w:space="0" w:color="auto"/>
        <w:left w:val="none" w:sz="0" w:space="0" w:color="auto"/>
        <w:bottom w:val="none" w:sz="0" w:space="0" w:color="auto"/>
        <w:right w:val="none" w:sz="0" w:space="0" w:color="auto"/>
      </w:divBdr>
      <w:divsChild>
        <w:div w:id="1805199428">
          <w:marLeft w:val="0"/>
          <w:marRight w:val="0"/>
          <w:marTop w:val="0"/>
          <w:marBottom w:val="0"/>
          <w:divBdr>
            <w:top w:val="none" w:sz="0" w:space="0" w:color="auto"/>
            <w:left w:val="none" w:sz="0" w:space="0" w:color="auto"/>
            <w:bottom w:val="none" w:sz="0" w:space="0" w:color="auto"/>
            <w:right w:val="none" w:sz="0" w:space="0" w:color="auto"/>
          </w:divBdr>
        </w:div>
      </w:divsChild>
    </w:div>
    <w:div w:id="1397316773">
      <w:bodyDiv w:val="1"/>
      <w:marLeft w:val="0"/>
      <w:marRight w:val="0"/>
      <w:marTop w:val="0"/>
      <w:marBottom w:val="0"/>
      <w:divBdr>
        <w:top w:val="none" w:sz="0" w:space="0" w:color="auto"/>
        <w:left w:val="none" w:sz="0" w:space="0" w:color="auto"/>
        <w:bottom w:val="none" w:sz="0" w:space="0" w:color="auto"/>
        <w:right w:val="none" w:sz="0" w:space="0" w:color="auto"/>
      </w:divBdr>
    </w:div>
    <w:div w:id="1486774763">
      <w:bodyDiv w:val="1"/>
      <w:marLeft w:val="0"/>
      <w:marRight w:val="0"/>
      <w:marTop w:val="0"/>
      <w:marBottom w:val="0"/>
      <w:divBdr>
        <w:top w:val="none" w:sz="0" w:space="0" w:color="auto"/>
        <w:left w:val="none" w:sz="0" w:space="0" w:color="auto"/>
        <w:bottom w:val="none" w:sz="0" w:space="0" w:color="auto"/>
        <w:right w:val="none" w:sz="0" w:space="0" w:color="auto"/>
      </w:divBdr>
    </w:div>
    <w:div w:id="1606574433">
      <w:bodyDiv w:val="1"/>
      <w:marLeft w:val="0"/>
      <w:marRight w:val="0"/>
      <w:marTop w:val="0"/>
      <w:marBottom w:val="0"/>
      <w:divBdr>
        <w:top w:val="none" w:sz="0" w:space="0" w:color="auto"/>
        <w:left w:val="none" w:sz="0" w:space="0" w:color="auto"/>
        <w:bottom w:val="none" w:sz="0" w:space="0" w:color="auto"/>
        <w:right w:val="none" w:sz="0" w:space="0" w:color="auto"/>
      </w:divBdr>
    </w:div>
    <w:div w:id="1629504705">
      <w:bodyDiv w:val="1"/>
      <w:marLeft w:val="0"/>
      <w:marRight w:val="0"/>
      <w:marTop w:val="0"/>
      <w:marBottom w:val="0"/>
      <w:divBdr>
        <w:top w:val="none" w:sz="0" w:space="0" w:color="auto"/>
        <w:left w:val="none" w:sz="0" w:space="0" w:color="auto"/>
        <w:bottom w:val="none" w:sz="0" w:space="0" w:color="auto"/>
        <w:right w:val="none" w:sz="0" w:space="0" w:color="auto"/>
      </w:divBdr>
    </w:div>
    <w:div w:id="1748728515">
      <w:bodyDiv w:val="1"/>
      <w:marLeft w:val="0"/>
      <w:marRight w:val="0"/>
      <w:marTop w:val="0"/>
      <w:marBottom w:val="0"/>
      <w:divBdr>
        <w:top w:val="none" w:sz="0" w:space="0" w:color="auto"/>
        <w:left w:val="none" w:sz="0" w:space="0" w:color="auto"/>
        <w:bottom w:val="none" w:sz="0" w:space="0" w:color="auto"/>
        <w:right w:val="none" w:sz="0" w:space="0" w:color="auto"/>
      </w:divBdr>
    </w:div>
    <w:div w:id="1768306636">
      <w:bodyDiv w:val="1"/>
      <w:marLeft w:val="0"/>
      <w:marRight w:val="0"/>
      <w:marTop w:val="0"/>
      <w:marBottom w:val="0"/>
      <w:divBdr>
        <w:top w:val="none" w:sz="0" w:space="0" w:color="auto"/>
        <w:left w:val="none" w:sz="0" w:space="0" w:color="auto"/>
        <w:bottom w:val="none" w:sz="0" w:space="0" w:color="auto"/>
        <w:right w:val="none" w:sz="0" w:space="0" w:color="auto"/>
      </w:divBdr>
    </w:div>
    <w:div w:id="1841971067">
      <w:bodyDiv w:val="1"/>
      <w:marLeft w:val="0"/>
      <w:marRight w:val="0"/>
      <w:marTop w:val="0"/>
      <w:marBottom w:val="0"/>
      <w:divBdr>
        <w:top w:val="none" w:sz="0" w:space="0" w:color="auto"/>
        <w:left w:val="none" w:sz="0" w:space="0" w:color="auto"/>
        <w:bottom w:val="none" w:sz="0" w:space="0" w:color="auto"/>
        <w:right w:val="none" w:sz="0" w:space="0" w:color="auto"/>
      </w:divBdr>
    </w:div>
    <w:div w:id="1848712338">
      <w:bodyDiv w:val="1"/>
      <w:marLeft w:val="0"/>
      <w:marRight w:val="0"/>
      <w:marTop w:val="0"/>
      <w:marBottom w:val="0"/>
      <w:divBdr>
        <w:top w:val="none" w:sz="0" w:space="0" w:color="auto"/>
        <w:left w:val="none" w:sz="0" w:space="0" w:color="auto"/>
        <w:bottom w:val="none" w:sz="0" w:space="0" w:color="auto"/>
        <w:right w:val="none" w:sz="0" w:space="0" w:color="auto"/>
      </w:divBdr>
    </w:div>
    <w:div w:id="1919905252">
      <w:bodyDiv w:val="1"/>
      <w:marLeft w:val="0"/>
      <w:marRight w:val="0"/>
      <w:marTop w:val="0"/>
      <w:marBottom w:val="0"/>
      <w:divBdr>
        <w:top w:val="none" w:sz="0" w:space="0" w:color="auto"/>
        <w:left w:val="none" w:sz="0" w:space="0" w:color="auto"/>
        <w:bottom w:val="none" w:sz="0" w:space="0" w:color="auto"/>
        <w:right w:val="none" w:sz="0" w:space="0" w:color="auto"/>
      </w:divBdr>
    </w:div>
    <w:div w:id="1933318985">
      <w:bodyDiv w:val="1"/>
      <w:marLeft w:val="0"/>
      <w:marRight w:val="0"/>
      <w:marTop w:val="0"/>
      <w:marBottom w:val="0"/>
      <w:divBdr>
        <w:top w:val="none" w:sz="0" w:space="0" w:color="auto"/>
        <w:left w:val="none" w:sz="0" w:space="0" w:color="auto"/>
        <w:bottom w:val="none" w:sz="0" w:space="0" w:color="auto"/>
        <w:right w:val="none" w:sz="0" w:space="0" w:color="auto"/>
      </w:divBdr>
    </w:div>
    <w:div w:id="1970545839">
      <w:bodyDiv w:val="1"/>
      <w:marLeft w:val="0"/>
      <w:marRight w:val="0"/>
      <w:marTop w:val="0"/>
      <w:marBottom w:val="0"/>
      <w:divBdr>
        <w:top w:val="none" w:sz="0" w:space="0" w:color="auto"/>
        <w:left w:val="none" w:sz="0" w:space="0" w:color="auto"/>
        <w:bottom w:val="none" w:sz="0" w:space="0" w:color="auto"/>
        <w:right w:val="none" w:sz="0" w:space="0" w:color="auto"/>
      </w:divBdr>
    </w:div>
    <w:div w:id="1979217381">
      <w:bodyDiv w:val="1"/>
      <w:marLeft w:val="0"/>
      <w:marRight w:val="0"/>
      <w:marTop w:val="0"/>
      <w:marBottom w:val="0"/>
      <w:divBdr>
        <w:top w:val="none" w:sz="0" w:space="0" w:color="auto"/>
        <w:left w:val="none" w:sz="0" w:space="0" w:color="auto"/>
        <w:bottom w:val="none" w:sz="0" w:space="0" w:color="auto"/>
        <w:right w:val="none" w:sz="0" w:space="0" w:color="auto"/>
      </w:divBdr>
    </w:div>
    <w:div w:id="2030376786">
      <w:bodyDiv w:val="1"/>
      <w:marLeft w:val="0"/>
      <w:marRight w:val="0"/>
      <w:marTop w:val="0"/>
      <w:marBottom w:val="0"/>
      <w:divBdr>
        <w:top w:val="none" w:sz="0" w:space="0" w:color="auto"/>
        <w:left w:val="none" w:sz="0" w:space="0" w:color="auto"/>
        <w:bottom w:val="none" w:sz="0" w:space="0" w:color="auto"/>
        <w:right w:val="none" w:sz="0" w:space="0" w:color="auto"/>
      </w:divBdr>
    </w:div>
    <w:div w:id="2037077284">
      <w:bodyDiv w:val="1"/>
      <w:marLeft w:val="0"/>
      <w:marRight w:val="0"/>
      <w:marTop w:val="0"/>
      <w:marBottom w:val="0"/>
      <w:divBdr>
        <w:top w:val="none" w:sz="0" w:space="0" w:color="auto"/>
        <w:left w:val="none" w:sz="0" w:space="0" w:color="auto"/>
        <w:bottom w:val="none" w:sz="0" w:space="0" w:color="auto"/>
        <w:right w:val="none" w:sz="0" w:space="0" w:color="auto"/>
      </w:divBdr>
    </w:div>
    <w:div w:id="2063021819">
      <w:bodyDiv w:val="1"/>
      <w:marLeft w:val="0"/>
      <w:marRight w:val="0"/>
      <w:marTop w:val="0"/>
      <w:marBottom w:val="0"/>
      <w:divBdr>
        <w:top w:val="none" w:sz="0" w:space="0" w:color="auto"/>
        <w:left w:val="none" w:sz="0" w:space="0" w:color="auto"/>
        <w:bottom w:val="none" w:sz="0" w:space="0" w:color="auto"/>
        <w:right w:val="none" w:sz="0" w:space="0" w:color="auto"/>
      </w:divBdr>
    </w:div>
    <w:div w:id="2083942643">
      <w:bodyDiv w:val="1"/>
      <w:marLeft w:val="0"/>
      <w:marRight w:val="0"/>
      <w:marTop w:val="0"/>
      <w:marBottom w:val="0"/>
      <w:divBdr>
        <w:top w:val="none" w:sz="0" w:space="0" w:color="auto"/>
        <w:left w:val="none" w:sz="0" w:space="0" w:color="auto"/>
        <w:bottom w:val="none" w:sz="0" w:space="0" w:color="auto"/>
        <w:right w:val="none" w:sz="0" w:space="0" w:color="auto"/>
      </w:divBdr>
    </w:div>
    <w:div w:id="214056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PDESeReporting@e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cho.epa.gov/trends/data-viz?filters=erule"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PDESeReporting@e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zarusD\AppData\Roaming\Microsoft\Templates\Updated%20Format%20for%20EAs%20-%20wit%20hfigur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2020-01-16T14:54:26+00:00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4" ma:contentTypeDescription="Create a new document." ma:contentTypeScope="" ma:versionID="f861e37f5f80be6e1237ba2255e011c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ed51b9531c35e4bdd96000b42a4c9e22"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E63AA-86C8-4C7B-96F9-663FE6A81295}">
  <ds:schemaRefs>
    <ds:schemaRef ds:uri="http://schemas.microsoft.com/sharepoint/v3/field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9ff7ff4e-aef6-4ce7-8612-694feda45ae4"/>
    <ds:schemaRef ds:uri="af879a09-0cf9-4eea-9634-f7a2d445d5c1"/>
    <ds:schemaRef ds:uri="http://schemas.microsoft.com/sharepoint/v3"/>
    <ds:schemaRef ds:uri="http://purl.org/dc/terms/"/>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63017216-6D5A-48EB-8FF9-DF816B115F15}">
  <ds:schemaRefs>
    <ds:schemaRef ds:uri="http://schemas.microsoft.com/sharepoint/v3/contenttype/forms"/>
  </ds:schemaRefs>
</ds:datastoreItem>
</file>

<file path=customXml/itemProps3.xml><?xml version="1.0" encoding="utf-8"?>
<ds:datastoreItem xmlns:ds="http://schemas.openxmlformats.org/officeDocument/2006/customXml" ds:itemID="{F9CDD2F5-AA95-4654-BF4F-4BBD66A0ADF5}">
  <ds:schemaRefs>
    <ds:schemaRef ds:uri="Microsoft.SharePoint.Taxonomy.ContentTypeSync"/>
  </ds:schemaRefs>
</ds:datastoreItem>
</file>

<file path=customXml/itemProps4.xml><?xml version="1.0" encoding="utf-8"?>
<ds:datastoreItem xmlns:ds="http://schemas.openxmlformats.org/officeDocument/2006/customXml" ds:itemID="{BCFEDFFE-77AA-4793-A906-094635E91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B5E84B-91B1-45EE-A400-3F4502D4208C}">
  <ds:schemaRefs>
    <ds:schemaRef ds:uri="http://schemas.openxmlformats.org/officeDocument/2006/bibliography"/>
  </ds:schemaRefs>
</ds:datastoreItem>
</file>

<file path=customXml/itemProps6.xml><?xml version="1.0" encoding="utf-8"?>
<ds:datastoreItem xmlns:ds="http://schemas.openxmlformats.org/officeDocument/2006/customXml" ds:itemID="{75E7399E-1318-4453-BF38-C5DB8CB2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Updated Format for EAs - wit hfigures.dot</Template>
  <TotalTime>34</TotalTime>
  <Pages>14</Pages>
  <Words>6432</Words>
  <Characters>36663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Prabhu, Aditi</dc:creator>
  <cp:lastModifiedBy>Purdy, Mark</cp:lastModifiedBy>
  <cp:revision>3</cp:revision>
  <cp:lastPrinted>2020-01-16T14:26:00Z</cp:lastPrinted>
  <dcterms:created xsi:type="dcterms:W3CDTF">2020-10-30T13:31:00Z</dcterms:created>
  <dcterms:modified xsi:type="dcterms:W3CDTF">2020-10-30T14:18:00Z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