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F8C" w:rsidP="00BA3172" w:rsidRDefault="00752F8C">
      <w:pPr>
        <w:widowControl w:val="0"/>
        <w:tabs>
          <w:tab w:val="center" w:pos="4680"/>
        </w:tabs>
        <w:jc w:val="center"/>
        <w:rPr>
          <w:b/>
          <w:szCs w:val="24"/>
        </w:rPr>
      </w:pPr>
      <w:r>
        <w:rPr>
          <w:b/>
          <w:szCs w:val="24"/>
        </w:rPr>
        <w:t>Department of Transportation</w:t>
      </w:r>
    </w:p>
    <w:p w:rsidR="00752F8C" w:rsidP="00BA3172" w:rsidRDefault="00752F8C">
      <w:pPr>
        <w:widowControl w:val="0"/>
        <w:tabs>
          <w:tab w:val="center" w:pos="4680"/>
        </w:tabs>
        <w:jc w:val="center"/>
        <w:rPr>
          <w:b/>
          <w:szCs w:val="24"/>
        </w:rPr>
      </w:pPr>
    </w:p>
    <w:p w:rsidR="00632960" w:rsidP="00BA3172" w:rsidRDefault="00632960">
      <w:pPr>
        <w:widowControl w:val="0"/>
        <w:tabs>
          <w:tab w:val="center" w:pos="4680"/>
        </w:tabs>
        <w:jc w:val="center"/>
        <w:rPr>
          <w:b/>
          <w:color w:val="FF0000"/>
          <w:szCs w:val="24"/>
        </w:rPr>
      </w:pPr>
      <w:r w:rsidRPr="00981917">
        <w:rPr>
          <w:b/>
          <w:szCs w:val="24"/>
        </w:rPr>
        <w:t>SUPPORTING STATEMENT</w:t>
      </w:r>
    </w:p>
    <w:p w:rsidR="00632960" w:rsidP="00BA3172" w:rsidRDefault="00632960">
      <w:pPr>
        <w:widowControl w:val="0"/>
        <w:tabs>
          <w:tab w:val="center" w:pos="4680"/>
        </w:tabs>
        <w:jc w:val="center"/>
        <w:rPr>
          <w:b/>
          <w:szCs w:val="24"/>
        </w:rPr>
      </w:pPr>
      <w:r>
        <w:rPr>
          <w:b/>
          <w:szCs w:val="24"/>
        </w:rPr>
        <w:t>2133-0547</w:t>
      </w:r>
    </w:p>
    <w:p w:rsidR="001D224D" w:rsidP="00BA3172" w:rsidRDefault="006E0E54">
      <w:pPr>
        <w:widowControl w:val="0"/>
        <w:tabs>
          <w:tab w:val="center" w:pos="4680"/>
        </w:tabs>
        <w:jc w:val="center"/>
        <w:rPr>
          <w:b/>
          <w:szCs w:val="24"/>
        </w:rPr>
      </w:pPr>
      <w:r w:rsidRPr="002B0F55">
        <w:rPr>
          <w:b/>
          <w:szCs w:val="24"/>
        </w:rPr>
        <w:t>Cruise Vessel Security and Safety Training Provider Certification</w:t>
      </w:r>
    </w:p>
    <w:p w:rsidRPr="002B0F55" w:rsidR="00632960" w:rsidP="00BA3172" w:rsidRDefault="00632960">
      <w:pPr>
        <w:widowControl w:val="0"/>
        <w:tabs>
          <w:tab w:val="center" w:pos="4680"/>
        </w:tabs>
        <w:jc w:val="center"/>
        <w:rPr>
          <w:b/>
          <w:szCs w:val="24"/>
        </w:rPr>
      </w:pPr>
    </w:p>
    <w:p w:rsidRPr="00981917" w:rsidR="00EC23D6" w:rsidP="00EC23D6" w:rsidRDefault="00EC23D6">
      <w:pPr>
        <w:rPr>
          <w:b/>
          <w:szCs w:val="24"/>
          <w:u w:val="single"/>
        </w:rPr>
      </w:pPr>
      <w:r w:rsidRPr="00981917">
        <w:rPr>
          <w:b/>
          <w:szCs w:val="24"/>
          <w:u w:val="single"/>
        </w:rPr>
        <w:t>INTRODUCTION</w:t>
      </w:r>
    </w:p>
    <w:p w:rsidRPr="00981917" w:rsidR="00EC23D6" w:rsidP="00EC23D6" w:rsidRDefault="00EC23D6">
      <w:pPr>
        <w:rPr>
          <w:b/>
          <w:szCs w:val="24"/>
          <w:u w:val="single"/>
        </w:rPr>
      </w:pPr>
    </w:p>
    <w:p w:rsidRPr="00FC1A12" w:rsidR="00EC23D6" w:rsidP="00EC23D6" w:rsidRDefault="00EC23D6">
      <w:pPr>
        <w:rPr>
          <w:szCs w:val="24"/>
        </w:rPr>
      </w:pPr>
      <w:r w:rsidRPr="000E0CED">
        <w:rPr>
          <w:szCs w:val="24"/>
        </w:rPr>
        <w:t xml:space="preserve">This is to request the Office of Management and Budget (OMB) </w:t>
      </w:r>
      <w:r w:rsidRPr="000E0CED" w:rsidR="006E0E54">
        <w:rPr>
          <w:szCs w:val="24"/>
        </w:rPr>
        <w:t>issue a</w:t>
      </w:r>
      <w:r w:rsidRPr="000E0CED">
        <w:rPr>
          <w:szCs w:val="24"/>
        </w:rPr>
        <w:t xml:space="preserve"> three-year approved clearance for the information collection entitled</w:t>
      </w:r>
      <w:r w:rsidRPr="00FC1A12">
        <w:rPr>
          <w:szCs w:val="24"/>
        </w:rPr>
        <w:t xml:space="preserve">, </w:t>
      </w:r>
      <w:r w:rsidR="00FC1A12">
        <w:rPr>
          <w:szCs w:val="24"/>
        </w:rPr>
        <w:t>“</w:t>
      </w:r>
      <w:r w:rsidRPr="00FC1A12" w:rsidR="006E0E54">
        <w:rPr>
          <w:szCs w:val="24"/>
        </w:rPr>
        <w:t>Cruise Vessel Security and Safety Training Provider Certification</w:t>
      </w:r>
      <w:r w:rsidR="00FC1A12">
        <w:rPr>
          <w:szCs w:val="24"/>
        </w:rPr>
        <w:t>”</w:t>
      </w:r>
      <w:r w:rsidRPr="00FC1A12" w:rsidR="00FC1A12">
        <w:rPr>
          <w:szCs w:val="24"/>
        </w:rPr>
        <w:t xml:space="preserve">, OMB #2133-0547, which is currently due to expire on </w:t>
      </w:r>
      <w:r w:rsidR="00D86E8E">
        <w:rPr>
          <w:szCs w:val="24"/>
        </w:rPr>
        <w:t>February 28, 2021</w:t>
      </w:r>
      <w:r w:rsidRPr="00FC1A12">
        <w:rPr>
          <w:szCs w:val="24"/>
        </w:rPr>
        <w:t xml:space="preserve">.  </w:t>
      </w:r>
      <w:r w:rsidRPr="001A5BC9" w:rsidR="001B7E14">
        <w:rPr>
          <w:snapToGrid w:val="0"/>
        </w:rPr>
        <w:t xml:space="preserve">Since the last OMB approval, the number of applications received decreased due to fewer applicants filing for certifcation.  </w:t>
      </w:r>
    </w:p>
    <w:p w:rsidRPr="00981917" w:rsidR="00EC23D6" w:rsidP="00EC23D6" w:rsidRDefault="00EC23D6">
      <w:pPr>
        <w:rPr>
          <w:szCs w:val="24"/>
        </w:rPr>
      </w:pPr>
    </w:p>
    <w:p w:rsidRPr="00CF53FA" w:rsidR="00EC23D6" w:rsidP="00EC23D6" w:rsidRDefault="00CF53FA">
      <w:pPr>
        <w:rPr>
          <w:b/>
          <w:szCs w:val="24"/>
        </w:rPr>
      </w:pPr>
      <w:r w:rsidRPr="00CF53FA">
        <w:rPr>
          <w:b/>
          <w:szCs w:val="24"/>
          <w:u w:val="single"/>
        </w:rPr>
        <w:t xml:space="preserve">Part A. </w:t>
      </w:r>
      <w:r w:rsidR="00FC1A12">
        <w:rPr>
          <w:b/>
          <w:szCs w:val="24"/>
          <w:u w:val="single"/>
        </w:rPr>
        <w:t xml:space="preserve"> </w:t>
      </w:r>
      <w:r w:rsidRPr="00CF53FA" w:rsidR="00EC23D6">
        <w:rPr>
          <w:b/>
          <w:szCs w:val="24"/>
          <w:u w:val="single"/>
        </w:rPr>
        <w:t>Justification</w:t>
      </w:r>
      <w:r>
        <w:rPr>
          <w:b/>
          <w:szCs w:val="24"/>
        </w:rPr>
        <w:t>:</w:t>
      </w:r>
    </w:p>
    <w:p w:rsidRPr="00981917" w:rsidR="001B7E14" w:rsidP="00EC23D6" w:rsidRDefault="001B7E14">
      <w:pPr>
        <w:jc w:val="center"/>
        <w:rPr>
          <w:b/>
          <w:szCs w:val="24"/>
        </w:rPr>
      </w:pPr>
    </w:p>
    <w:p w:rsidRPr="00981917" w:rsidR="00EC23D6" w:rsidP="002B0F55" w:rsidRDefault="000E0CED">
      <w:pPr>
        <w:tabs>
          <w:tab w:val="left" w:pos="540"/>
        </w:tabs>
        <w:rPr>
          <w:color w:val="FF0000"/>
          <w:szCs w:val="24"/>
        </w:rPr>
      </w:pPr>
      <w:r w:rsidRPr="00C530F0">
        <w:rPr>
          <w:szCs w:val="24"/>
        </w:rPr>
        <w:t>1.</w:t>
      </w:r>
      <w:r>
        <w:rPr>
          <w:b/>
          <w:szCs w:val="24"/>
        </w:rPr>
        <w:tab/>
      </w:r>
      <w:r w:rsidR="006250B5">
        <w:rPr>
          <w:szCs w:val="24"/>
          <w:u w:val="single"/>
        </w:rPr>
        <w:t xml:space="preserve">Circumstances that make collection of information </w:t>
      </w:r>
      <w:r w:rsidRPr="00C530F0" w:rsidR="006250B5">
        <w:rPr>
          <w:szCs w:val="24"/>
          <w:u w:val="single"/>
        </w:rPr>
        <w:t>necessary</w:t>
      </w:r>
      <w:r w:rsidR="006250B5">
        <w:rPr>
          <w:szCs w:val="24"/>
        </w:rPr>
        <w:t xml:space="preserve">.  </w:t>
      </w:r>
    </w:p>
    <w:p w:rsidRPr="00981917" w:rsidR="00EC23D6" w:rsidP="000A6210" w:rsidRDefault="00EC23D6">
      <w:pPr>
        <w:tabs>
          <w:tab w:val="left" w:pos="540"/>
        </w:tabs>
        <w:rPr>
          <w:color w:val="FF0000"/>
          <w:szCs w:val="24"/>
        </w:rPr>
      </w:pPr>
    </w:p>
    <w:p w:rsidR="00632960" w:rsidP="000A6210" w:rsidRDefault="006E0E54">
      <w:pPr>
        <w:tabs>
          <w:tab w:val="left" w:pos="540"/>
        </w:tabs>
        <w:rPr>
          <w:szCs w:val="24"/>
        </w:rPr>
      </w:pPr>
      <w:r w:rsidRPr="002B0F55">
        <w:rPr>
          <w:szCs w:val="24"/>
        </w:rPr>
        <w:t>Section 3508 of the Cruise Vessel Security and Safety Act of 2010, Public Law 111-207</w:t>
      </w:r>
    </w:p>
    <w:p w:rsidRPr="002B0F55" w:rsidR="006E0E54" w:rsidP="000A6210" w:rsidRDefault="006E0E54">
      <w:pPr>
        <w:tabs>
          <w:tab w:val="left" w:pos="540"/>
        </w:tabs>
        <w:rPr>
          <w:szCs w:val="24"/>
        </w:rPr>
      </w:pPr>
      <w:r w:rsidRPr="002B0F55">
        <w:rPr>
          <w:szCs w:val="24"/>
        </w:rPr>
        <w:t xml:space="preserve">(July 27, 2010, as codified at 46 U.S.C. sections 3507-3508 (CVSSA) provides the Maritime Administrator with the discretionary authority to certify cruise vessel training providers that comply with </w:t>
      </w:r>
      <w:r w:rsidR="009001FE">
        <w:rPr>
          <w:szCs w:val="24"/>
        </w:rPr>
        <w:t xml:space="preserve">“Model Course” </w:t>
      </w:r>
      <w:r w:rsidRPr="002B0F55">
        <w:rPr>
          <w:szCs w:val="24"/>
        </w:rPr>
        <w:t xml:space="preserve">training standards </w:t>
      </w:r>
      <w:r w:rsidR="009001FE">
        <w:rPr>
          <w:szCs w:val="24"/>
        </w:rPr>
        <w:t xml:space="preserve">jointly </w:t>
      </w:r>
      <w:r w:rsidRPr="002B0F55">
        <w:rPr>
          <w:szCs w:val="24"/>
        </w:rPr>
        <w:t xml:space="preserve">developed by the USCG, FBI and the Maritime Administration (MARAD).  The certification process necessarily requires applicants to provide supporting information to evidence their compliance with the CVSSA </w:t>
      </w:r>
      <w:r w:rsidR="009001FE">
        <w:rPr>
          <w:szCs w:val="24"/>
        </w:rPr>
        <w:t xml:space="preserve">Model Course </w:t>
      </w:r>
      <w:r w:rsidRPr="002B0F55">
        <w:rPr>
          <w:szCs w:val="24"/>
        </w:rPr>
        <w:t>training standards.  The associated information collection supports DOT Strategic Goals relating to Safety, Mobility, and National Security.</w:t>
      </w:r>
    </w:p>
    <w:p w:rsidRPr="00981917" w:rsidR="001D224D" w:rsidP="000A6210" w:rsidRDefault="001D224D">
      <w:pPr>
        <w:widowControl w:val="0"/>
        <w:tabs>
          <w:tab w:val="left" w:pos="540"/>
        </w:tabs>
        <w:ind w:left="1440"/>
        <w:rPr>
          <w:b/>
          <w:szCs w:val="24"/>
        </w:rPr>
      </w:pPr>
    </w:p>
    <w:p w:rsidRPr="00981917" w:rsidR="00F45271" w:rsidP="000A6210" w:rsidRDefault="001D224D">
      <w:pPr>
        <w:widowControl w:val="0"/>
        <w:tabs>
          <w:tab w:val="left" w:pos="540"/>
        </w:tabs>
        <w:rPr>
          <w:b/>
          <w:szCs w:val="24"/>
        </w:rPr>
      </w:pPr>
      <w:r w:rsidRPr="00C530F0">
        <w:rPr>
          <w:szCs w:val="24"/>
        </w:rPr>
        <w:t>2.</w:t>
      </w:r>
      <w:r w:rsidRPr="00981917" w:rsidR="00F45271">
        <w:rPr>
          <w:b/>
          <w:szCs w:val="24"/>
        </w:rPr>
        <w:t xml:space="preserve"> </w:t>
      </w:r>
      <w:r w:rsidRPr="00981917" w:rsidR="00F45271">
        <w:rPr>
          <w:b/>
          <w:szCs w:val="24"/>
        </w:rPr>
        <w:tab/>
      </w:r>
      <w:r w:rsidR="00C530F0">
        <w:rPr>
          <w:szCs w:val="24"/>
          <w:u w:val="single"/>
        </w:rPr>
        <w:t xml:space="preserve">How, by whom, and for what purpose is the information </w:t>
      </w:r>
      <w:r w:rsidRPr="00C530F0" w:rsidR="00C530F0">
        <w:rPr>
          <w:szCs w:val="24"/>
          <w:u w:val="single"/>
        </w:rPr>
        <w:t>used</w:t>
      </w:r>
      <w:r w:rsidR="00C530F0">
        <w:rPr>
          <w:szCs w:val="24"/>
        </w:rPr>
        <w:t xml:space="preserve">. </w:t>
      </w:r>
    </w:p>
    <w:p w:rsidR="00C530F0" w:rsidP="000A6210" w:rsidRDefault="00C530F0">
      <w:pPr>
        <w:widowControl w:val="0"/>
        <w:tabs>
          <w:tab w:val="left" w:pos="540"/>
        </w:tabs>
        <w:rPr>
          <w:szCs w:val="24"/>
        </w:rPr>
      </w:pPr>
    </w:p>
    <w:p w:rsidRPr="002B0F55" w:rsidR="00A46ADB" w:rsidP="000A6210" w:rsidRDefault="00D50002">
      <w:pPr>
        <w:widowControl w:val="0"/>
        <w:tabs>
          <w:tab w:val="left" w:pos="540"/>
        </w:tabs>
        <w:rPr>
          <w:szCs w:val="24"/>
        </w:rPr>
      </w:pPr>
      <w:r w:rsidRPr="002B0F55">
        <w:rPr>
          <w:szCs w:val="24"/>
        </w:rPr>
        <w:t xml:space="preserve">Information sought under this </w:t>
      </w:r>
      <w:r w:rsidRPr="002B0F55" w:rsidR="000E0CED">
        <w:rPr>
          <w:szCs w:val="24"/>
        </w:rPr>
        <w:t xml:space="preserve">Information Collection (IC) </w:t>
      </w:r>
      <w:r w:rsidRPr="002B0F55">
        <w:rPr>
          <w:szCs w:val="24"/>
        </w:rPr>
        <w:t>request will be used as follows:</w:t>
      </w:r>
    </w:p>
    <w:p w:rsidRPr="002B0F55" w:rsidR="006E0E54" w:rsidP="000A6210" w:rsidRDefault="006E0E54">
      <w:pPr>
        <w:widowControl w:val="0"/>
        <w:tabs>
          <w:tab w:val="left" w:pos="540"/>
        </w:tabs>
        <w:rPr>
          <w:szCs w:val="24"/>
        </w:rPr>
      </w:pPr>
    </w:p>
    <w:p w:rsidRPr="002B0F55" w:rsidR="00D50002" w:rsidP="006E0E54" w:rsidRDefault="00D50002">
      <w:pPr>
        <w:rPr>
          <w:rFonts w:eastAsia="Calibri"/>
        </w:rPr>
      </w:pPr>
      <w:r w:rsidRPr="002B0F55">
        <w:rPr>
          <w:rFonts w:eastAsia="Calibri"/>
          <w:u w:val="single"/>
        </w:rPr>
        <w:t>Who</w:t>
      </w:r>
      <w:r w:rsidRPr="002B0F55">
        <w:rPr>
          <w:rFonts w:eastAsia="Calibri"/>
        </w:rPr>
        <w:t>:  The Office of Environment and Compliance (MAR-400)</w:t>
      </w:r>
      <w:r w:rsidR="00857E7F">
        <w:rPr>
          <w:rFonts w:eastAsia="Calibri"/>
        </w:rPr>
        <w:t xml:space="preserve"> has </w:t>
      </w:r>
      <w:r w:rsidRPr="002B0F55">
        <w:rPr>
          <w:rFonts w:eastAsia="Calibri"/>
        </w:rPr>
        <w:t>implement</w:t>
      </w:r>
      <w:r w:rsidR="00857E7F">
        <w:rPr>
          <w:rFonts w:eastAsia="Calibri"/>
        </w:rPr>
        <w:t>ed</w:t>
      </w:r>
      <w:r w:rsidRPr="002B0F55">
        <w:rPr>
          <w:rFonts w:eastAsia="Calibri"/>
        </w:rPr>
        <w:t xml:space="preserve"> a voluntary training-provider certification program.</w:t>
      </w:r>
    </w:p>
    <w:p w:rsidRPr="002B0F55" w:rsidR="00974993" w:rsidP="006E0E54" w:rsidRDefault="00974993">
      <w:pPr>
        <w:rPr>
          <w:rFonts w:eastAsia="Calibri"/>
        </w:rPr>
      </w:pPr>
      <w:r w:rsidRPr="002B0F55">
        <w:rPr>
          <w:rFonts w:eastAsia="Calibri"/>
          <w:u w:val="single"/>
        </w:rPr>
        <w:t>Purpose</w:t>
      </w:r>
      <w:r w:rsidRPr="002B0F55">
        <w:rPr>
          <w:rFonts w:eastAsia="Calibri"/>
        </w:rPr>
        <w:t xml:space="preserve">:  </w:t>
      </w:r>
      <w:r w:rsidRPr="002B0F55" w:rsidR="00D50002">
        <w:rPr>
          <w:rFonts w:eastAsia="Calibri"/>
        </w:rPr>
        <w:t xml:space="preserve">The purpose of the program </w:t>
      </w:r>
      <w:r w:rsidR="00857E7F">
        <w:rPr>
          <w:rFonts w:eastAsia="Calibri"/>
        </w:rPr>
        <w:t xml:space="preserve">is to </w:t>
      </w:r>
      <w:r w:rsidRPr="002B0F55" w:rsidR="006E0E54">
        <w:rPr>
          <w:rFonts w:eastAsia="Calibri"/>
        </w:rPr>
        <w:t xml:space="preserve">help assure the general public that passenger vessel security and safety personnel have received proper training consistent with the </w:t>
      </w:r>
      <w:r w:rsidR="009001FE">
        <w:rPr>
          <w:rFonts w:eastAsia="Calibri"/>
        </w:rPr>
        <w:t>M</w:t>
      </w:r>
      <w:r w:rsidRPr="002B0F55" w:rsidR="006E0E54">
        <w:rPr>
          <w:rFonts w:eastAsia="Calibri"/>
        </w:rPr>
        <w:t>odel</w:t>
      </w:r>
      <w:r w:rsidR="009001FE">
        <w:rPr>
          <w:rFonts w:eastAsia="Calibri"/>
        </w:rPr>
        <w:t xml:space="preserve"> Course</w:t>
      </w:r>
      <w:r w:rsidRPr="002B0F55" w:rsidR="006E0E54">
        <w:rPr>
          <w:rFonts w:eastAsia="Calibri"/>
        </w:rPr>
        <w:t xml:space="preserve"> standards </w:t>
      </w:r>
      <w:r w:rsidR="009001FE">
        <w:rPr>
          <w:rFonts w:eastAsia="Calibri"/>
        </w:rPr>
        <w:t xml:space="preserve">jointly </w:t>
      </w:r>
      <w:r w:rsidRPr="002B0F55" w:rsidR="006E0E54">
        <w:rPr>
          <w:rFonts w:eastAsia="Calibri"/>
        </w:rPr>
        <w:t xml:space="preserve">developed by USCG, MARAD, and the FBI.  </w:t>
      </w:r>
    </w:p>
    <w:p w:rsidR="006E0E54" w:rsidP="006E0E54" w:rsidRDefault="00974993">
      <w:pPr>
        <w:rPr>
          <w:rFonts w:eastAsia="Calibri"/>
        </w:rPr>
      </w:pPr>
      <w:r w:rsidRPr="002B0F55">
        <w:rPr>
          <w:rFonts w:eastAsia="Calibri"/>
          <w:u w:val="single"/>
        </w:rPr>
        <w:t>How</w:t>
      </w:r>
      <w:r w:rsidRPr="002B0F55">
        <w:rPr>
          <w:rFonts w:eastAsia="Calibri"/>
        </w:rPr>
        <w:t xml:space="preserve">:  </w:t>
      </w:r>
      <w:r w:rsidRPr="002B0F55" w:rsidR="006E0E54">
        <w:rPr>
          <w:rFonts w:eastAsia="Calibri"/>
        </w:rPr>
        <w:t xml:space="preserve">Training providers seeking to be certified by MARAD </w:t>
      </w:r>
      <w:r w:rsidR="00857E7F">
        <w:rPr>
          <w:rFonts w:eastAsia="Calibri"/>
        </w:rPr>
        <w:t>are</w:t>
      </w:r>
      <w:r w:rsidRPr="002B0F55" w:rsidR="006E0E54">
        <w:rPr>
          <w:rFonts w:eastAsia="Calibri"/>
        </w:rPr>
        <w:t xml:space="preserve"> required to submit training plans and supporting information </w:t>
      </w:r>
      <w:r w:rsidRPr="002B0F55">
        <w:rPr>
          <w:rFonts w:eastAsia="Calibri"/>
        </w:rPr>
        <w:t xml:space="preserve">to MAR-400 </w:t>
      </w:r>
      <w:r w:rsidRPr="002B0F55" w:rsidR="006E0E54">
        <w:rPr>
          <w:rFonts w:eastAsia="Calibri"/>
        </w:rPr>
        <w:t xml:space="preserve">for review.  If the training provider’s plans meet the model course criteria, the </w:t>
      </w:r>
      <w:r w:rsidRPr="002B0F55">
        <w:rPr>
          <w:rFonts w:eastAsia="Calibri"/>
        </w:rPr>
        <w:t>Maritime Administrator or his designee</w:t>
      </w:r>
      <w:r w:rsidRPr="002B0F55" w:rsidR="006E0E54">
        <w:rPr>
          <w:rFonts w:eastAsia="Calibri"/>
        </w:rPr>
        <w:t xml:space="preserve"> </w:t>
      </w:r>
      <w:r w:rsidR="009001FE">
        <w:rPr>
          <w:rFonts w:eastAsia="Calibri"/>
        </w:rPr>
        <w:t>may</w:t>
      </w:r>
      <w:r w:rsidRPr="002B0F55" w:rsidR="009001FE">
        <w:rPr>
          <w:rFonts w:eastAsia="Calibri"/>
        </w:rPr>
        <w:t xml:space="preserve"> </w:t>
      </w:r>
      <w:r w:rsidRPr="002B0F55" w:rsidR="006E0E54">
        <w:rPr>
          <w:rFonts w:eastAsia="Calibri"/>
        </w:rPr>
        <w:t>offer certification, subject to the training provider entering into an agreement which, in addition to other terms, will subject the organization to periodic program audits.</w:t>
      </w:r>
    </w:p>
    <w:p w:rsidRPr="002B0F55" w:rsidR="00632960" w:rsidP="006E0E54" w:rsidRDefault="00632960">
      <w:pPr>
        <w:rPr>
          <w:rFonts w:eastAsia="Calibri"/>
        </w:rPr>
      </w:pPr>
    </w:p>
    <w:p w:rsidR="00D50002" w:rsidP="000A6210" w:rsidRDefault="001D224D">
      <w:pPr>
        <w:widowControl w:val="0"/>
        <w:tabs>
          <w:tab w:val="left" w:pos="540"/>
        </w:tabs>
        <w:rPr>
          <w:szCs w:val="24"/>
        </w:rPr>
      </w:pPr>
      <w:r w:rsidRPr="00C530F0">
        <w:rPr>
          <w:szCs w:val="24"/>
        </w:rPr>
        <w:t>3.</w:t>
      </w:r>
      <w:r w:rsidRPr="00C530F0">
        <w:rPr>
          <w:szCs w:val="24"/>
        </w:rPr>
        <w:tab/>
      </w:r>
      <w:r w:rsidR="00C530F0">
        <w:rPr>
          <w:szCs w:val="24"/>
          <w:u w:val="single"/>
        </w:rPr>
        <w:t>Extent of automated information collection</w:t>
      </w:r>
      <w:r w:rsidRPr="00C530F0" w:rsidR="00C530F0">
        <w:rPr>
          <w:szCs w:val="24"/>
        </w:rPr>
        <w:t xml:space="preserve">.  </w:t>
      </w:r>
    </w:p>
    <w:p w:rsidR="00C530F0" w:rsidP="000A6210" w:rsidRDefault="00C530F0">
      <w:pPr>
        <w:widowControl w:val="0"/>
        <w:tabs>
          <w:tab w:val="left" w:pos="540"/>
        </w:tabs>
        <w:rPr>
          <w:color w:val="FF0000"/>
          <w:szCs w:val="24"/>
        </w:rPr>
      </w:pPr>
    </w:p>
    <w:p w:rsidRPr="002B0F55" w:rsidR="00D50002" w:rsidP="000A6210" w:rsidRDefault="00D50002">
      <w:pPr>
        <w:widowControl w:val="0"/>
        <w:tabs>
          <w:tab w:val="left" w:pos="540"/>
        </w:tabs>
        <w:rPr>
          <w:szCs w:val="24"/>
        </w:rPr>
      </w:pPr>
      <w:r w:rsidRPr="004765C6">
        <w:rPr>
          <w:szCs w:val="24"/>
        </w:rPr>
        <w:t xml:space="preserve">Data collection </w:t>
      </w:r>
      <w:r w:rsidRPr="004765C6" w:rsidR="00857E7F">
        <w:rPr>
          <w:szCs w:val="24"/>
        </w:rPr>
        <w:t>is</w:t>
      </w:r>
      <w:r w:rsidRPr="004765C6">
        <w:rPr>
          <w:szCs w:val="24"/>
        </w:rPr>
        <w:t xml:space="preserve"> primar</w:t>
      </w:r>
      <w:r w:rsidRPr="004765C6" w:rsidR="00857E7F">
        <w:rPr>
          <w:szCs w:val="24"/>
        </w:rPr>
        <w:t>il</w:t>
      </w:r>
      <w:r w:rsidRPr="004765C6">
        <w:rPr>
          <w:szCs w:val="24"/>
        </w:rPr>
        <w:t>y through email submissions</w:t>
      </w:r>
      <w:r w:rsidRPr="004765C6" w:rsidR="0055413D">
        <w:rPr>
          <w:szCs w:val="24"/>
        </w:rPr>
        <w:t xml:space="preserve"> </w:t>
      </w:r>
      <w:r w:rsidRPr="004765C6">
        <w:rPr>
          <w:szCs w:val="24"/>
        </w:rPr>
        <w:t xml:space="preserve">although fax and regular mail is anticipated to be another means of obtaining certification requests.  Because the information to be submitted is not limited to a particular format, applicants are free to submit information in </w:t>
      </w:r>
      <w:r w:rsidRPr="004765C6">
        <w:rPr>
          <w:szCs w:val="24"/>
        </w:rPr>
        <w:lastRenderedPageBreak/>
        <w:t xml:space="preserve">any form or by any method they choose.  </w:t>
      </w:r>
      <w:r w:rsidRPr="004765C6" w:rsidR="0030417A">
        <w:rPr>
          <w:szCs w:val="24"/>
        </w:rPr>
        <w:t>The agency will provide a form of agreement that each applicant will enter into prior to certification.  This form of agreement will be available for download on the agency’s website.</w:t>
      </w:r>
      <w:r w:rsidR="006C0D1D">
        <w:rPr>
          <w:szCs w:val="24"/>
        </w:rPr>
        <w:t xml:space="preserve">  </w:t>
      </w:r>
    </w:p>
    <w:p w:rsidRPr="00981917" w:rsidR="001D224D" w:rsidP="000A6210" w:rsidRDefault="001D224D">
      <w:pPr>
        <w:widowControl w:val="0"/>
        <w:tabs>
          <w:tab w:val="left" w:pos="540"/>
        </w:tabs>
        <w:ind w:left="720"/>
        <w:rPr>
          <w:b/>
          <w:szCs w:val="24"/>
        </w:rPr>
      </w:pPr>
    </w:p>
    <w:p w:rsidRPr="00C530F0" w:rsidR="00720D5B" w:rsidP="00CD6776" w:rsidRDefault="00C530F0">
      <w:pPr>
        <w:widowControl w:val="0"/>
        <w:numPr>
          <w:ilvl w:val="0"/>
          <w:numId w:val="11"/>
        </w:numPr>
        <w:tabs>
          <w:tab w:val="left" w:pos="0"/>
          <w:tab w:val="num" w:pos="90"/>
          <w:tab w:val="left" w:pos="540"/>
        </w:tabs>
        <w:ind w:left="0" w:firstLine="0"/>
        <w:rPr>
          <w:b/>
          <w:szCs w:val="24"/>
          <w:u w:val="single"/>
        </w:rPr>
      </w:pPr>
      <w:r w:rsidRPr="00C530F0">
        <w:rPr>
          <w:szCs w:val="24"/>
          <w:u w:val="single"/>
        </w:rPr>
        <w:t>Efforts to identify duplication</w:t>
      </w:r>
      <w:r w:rsidRPr="00C530F0">
        <w:rPr>
          <w:szCs w:val="24"/>
        </w:rPr>
        <w:t xml:space="preserve">.  </w:t>
      </w:r>
    </w:p>
    <w:p w:rsidRPr="00C530F0" w:rsidR="00C530F0" w:rsidP="00C530F0" w:rsidRDefault="00C530F0">
      <w:pPr>
        <w:widowControl w:val="0"/>
        <w:tabs>
          <w:tab w:val="left" w:pos="0"/>
          <w:tab w:val="left" w:pos="540"/>
        </w:tabs>
        <w:ind w:left="-90"/>
        <w:rPr>
          <w:b/>
          <w:szCs w:val="24"/>
          <w:u w:val="single"/>
        </w:rPr>
      </w:pPr>
    </w:p>
    <w:p w:rsidRPr="002B0F55" w:rsidR="00720D5B" w:rsidP="00CD6776" w:rsidRDefault="0030417A">
      <w:pPr>
        <w:widowControl w:val="0"/>
        <w:tabs>
          <w:tab w:val="left" w:pos="0"/>
          <w:tab w:val="left" w:pos="540"/>
        </w:tabs>
        <w:rPr>
          <w:szCs w:val="24"/>
        </w:rPr>
      </w:pPr>
      <w:r w:rsidRPr="002B0F55">
        <w:rPr>
          <w:szCs w:val="24"/>
        </w:rPr>
        <w:t>Because information submitted is unique to a particular training provider’s methods of training cruise vessel personnel, there is no issue of duplication which the Federal Government can control.  MARAD is simply asking for a clear and accurate account of how the training provider intends to instruct personnel consistent with the CVSSA</w:t>
      </w:r>
      <w:r w:rsidR="009001FE">
        <w:rPr>
          <w:szCs w:val="24"/>
        </w:rPr>
        <w:t xml:space="preserve"> Model Course</w:t>
      </w:r>
      <w:r w:rsidRPr="002B0F55">
        <w:rPr>
          <w:szCs w:val="24"/>
        </w:rPr>
        <w:t xml:space="preserve">.  If the applicant can show that its process meet the standards, the agency can issue a certificate. </w:t>
      </w:r>
    </w:p>
    <w:p w:rsidRPr="00981917" w:rsidR="001D224D" w:rsidP="000A6210" w:rsidRDefault="001D224D">
      <w:pPr>
        <w:widowControl w:val="0"/>
        <w:tabs>
          <w:tab w:val="left" w:pos="540"/>
        </w:tabs>
        <w:ind w:left="720"/>
        <w:rPr>
          <w:szCs w:val="24"/>
        </w:rPr>
      </w:pPr>
      <w:r w:rsidRPr="00981917">
        <w:rPr>
          <w:szCs w:val="24"/>
        </w:rPr>
        <w:t xml:space="preserve">                      </w:t>
      </w:r>
    </w:p>
    <w:p w:rsidR="00971859" w:rsidP="00CD6776" w:rsidRDefault="0083789A">
      <w:pPr>
        <w:widowControl w:val="0"/>
        <w:numPr>
          <w:ilvl w:val="0"/>
          <w:numId w:val="11"/>
        </w:numPr>
        <w:tabs>
          <w:tab w:val="clear" w:pos="540"/>
          <w:tab w:val="num" w:pos="270"/>
        </w:tabs>
        <w:ind w:hanging="540"/>
        <w:rPr>
          <w:szCs w:val="24"/>
        </w:rPr>
      </w:pPr>
      <w:r>
        <w:rPr>
          <w:szCs w:val="24"/>
        </w:rPr>
        <w:t xml:space="preserve">    </w:t>
      </w:r>
      <w:r w:rsidR="00C530F0">
        <w:rPr>
          <w:szCs w:val="24"/>
          <w:u w:val="single"/>
        </w:rPr>
        <w:t>Efforts to minimize the burden on small businesses</w:t>
      </w:r>
      <w:r w:rsidRPr="00C530F0" w:rsidR="00C530F0">
        <w:rPr>
          <w:szCs w:val="24"/>
        </w:rPr>
        <w:t xml:space="preserve">.  </w:t>
      </w:r>
    </w:p>
    <w:p w:rsidR="00C530F0" w:rsidP="00C530F0" w:rsidRDefault="00C530F0">
      <w:pPr>
        <w:widowControl w:val="0"/>
        <w:tabs>
          <w:tab w:val="left" w:pos="540"/>
        </w:tabs>
        <w:ind w:left="180"/>
        <w:rPr>
          <w:b/>
          <w:szCs w:val="24"/>
        </w:rPr>
      </w:pPr>
    </w:p>
    <w:p w:rsidRPr="00A657EE" w:rsidR="00971859" w:rsidP="00971859" w:rsidRDefault="00971859">
      <w:r w:rsidRPr="00A657EE">
        <w:t xml:space="preserve">It is difficult to project with any accuracy how many or whether any small training providers will apply.  However, it is important to note that this policy will impact </w:t>
      </w:r>
      <w:r w:rsidR="009001FE">
        <w:t>c</w:t>
      </w:r>
      <w:r w:rsidRPr="00A657EE">
        <w:t xml:space="preserve">ruise </w:t>
      </w:r>
      <w:r w:rsidR="009001FE">
        <w:t>l</w:t>
      </w:r>
      <w:r w:rsidRPr="00A657EE">
        <w:t xml:space="preserve">ines as well as individual training businesses.  With respect to the </w:t>
      </w:r>
      <w:r w:rsidR="009001FE">
        <w:t>c</w:t>
      </w:r>
      <w:r w:rsidRPr="00A657EE">
        <w:t xml:space="preserve">ruise </w:t>
      </w:r>
      <w:r w:rsidR="009001FE">
        <w:t>l</w:t>
      </w:r>
      <w:r w:rsidRPr="00A657EE">
        <w:t>ines, because the statutory training requirements are applicable to passenger vessels that carry at least 250 passengers and have onboard sleeping facilities for each passenger</w:t>
      </w:r>
      <w:r w:rsidR="009001FE">
        <w:t>,</w:t>
      </w:r>
      <w:r w:rsidRPr="00A657EE">
        <w:t xml:space="preserve"> it is fair to state that those businesses are not small but very sophisticated enterprises.  We believe that </w:t>
      </w:r>
      <w:r w:rsidR="009001FE">
        <w:t>c</w:t>
      </w:r>
      <w:r w:rsidRPr="00A657EE">
        <w:t xml:space="preserve">ruise </w:t>
      </w:r>
      <w:r w:rsidR="009001FE">
        <w:t>l</w:t>
      </w:r>
      <w:r w:rsidRPr="00A657EE">
        <w:t xml:space="preserve">ines will seek training certification of their own where they plan to perform </w:t>
      </w:r>
      <w:r w:rsidR="008D59F0">
        <w:t>CVSSA</w:t>
      </w:r>
      <w:r w:rsidRPr="00A657EE">
        <w:t xml:space="preserve"> training in-house.  In other cases, we may have individual businesses that specialize in maritime training, many of which are already existing large and sophisticated business</w:t>
      </w:r>
      <w:r w:rsidR="008D59F0">
        <w:t>,</w:t>
      </w:r>
      <w:r w:rsidRPr="00A657EE">
        <w:t xml:space="preserve"> but there may be a possibility for new smaller businesses to grow from this niche market although it is hard to predict.  In either case, </w:t>
      </w:r>
      <w:r w:rsidR="008D59F0">
        <w:t>c</w:t>
      </w:r>
      <w:r w:rsidRPr="00A657EE">
        <w:t xml:space="preserve">ruise </w:t>
      </w:r>
      <w:r w:rsidR="008D59F0">
        <w:t>l</w:t>
      </w:r>
      <w:r w:rsidRPr="00A657EE">
        <w:t>ines or training companies of any size, all applicants must show the same information in order to evidence their ability to perform the training.  The information</w:t>
      </w:r>
      <w:r w:rsidR="00D753D0">
        <w:t xml:space="preserve"> that </w:t>
      </w:r>
      <w:r w:rsidRPr="00A657EE">
        <w:t xml:space="preserve">MARAD </w:t>
      </w:r>
      <w:r w:rsidR="00D753D0">
        <w:t>requests from participants is so inherent to their</w:t>
      </w:r>
      <w:r w:rsidRPr="00A657EE">
        <w:t xml:space="preserve"> business that its production should require minimal effort.  For example, the agency will need to have a copy of the training curriculum, the credentials of the trainers, and specific information relating to how the training will be provided.  We believe this and all required training provider information is basic information which cannot be waived if the government is to issue its certification.</w:t>
      </w:r>
    </w:p>
    <w:p w:rsidRPr="00A657EE" w:rsidR="00083CEB" w:rsidP="000A6210" w:rsidRDefault="00083CEB">
      <w:pPr>
        <w:widowControl w:val="0"/>
        <w:tabs>
          <w:tab w:val="left" w:pos="540"/>
        </w:tabs>
        <w:rPr>
          <w:b/>
          <w:szCs w:val="24"/>
        </w:rPr>
      </w:pPr>
    </w:p>
    <w:p w:rsidR="00C530F0" w:rsidP="0083789A" w:rsidRDefault="00C530F0">
      <w:pPr>
        <w:widowControl w:val="0"/>
        <w:numPr>
          <w:ilvl w:val="0"/>
          <w:numId w:val="11"/>
        </w:numPr>
        <w:ind w:hanging="540"/>
        <w:rPr>
          <w:szCs w:val="24"/>
        </w:rPr>
      </w:pPr>
      <w:r>
        <w:rPr>
          <w:szCs w:val="24"/>
          <w:u w:val="single"/>
        </w:rPr>
        <w:t>Impact of less frequent collection of information</w:t>
      </w:r>
      <w:r w:rsidRPr="00C530F0">
        <w:rPr>
          <w:szCs w:val="24"/>
        </w:rPr>
        <w:t xml:space="preserve">.  </w:t>
      </w:r>
    </w:p>
    <w:p w:rsidR="00C530F0" w:rsidP="00C530F0" w:rsidRDefault="00C530F0">
      <w:pPr>
        <w:widowControl w:val="0"/>
        <w:tabs>
          <w:tab w:val="left" w:pos="540"/>
        </w:tabs>
        <w:rPr>
          <w:b/>
          <w:szCs w:val="24"/>
        </w:rPr>
      </w:pPr>
    </w:p>
    <w:p w:rsidRPr="002B0F55" w:rsidR="00F51065" w:rsidP="000A6210" w:rsidRDefault="006F5C32">
      <w:pPr>
        <w:widowControl w:val="0"/>
        <w:tabs>
          <w:tab w:val="left" w:pos="540"/>
        </w:tabs>
        <w:rPr>
          <w:szCs w:val="24"/>
        </w:rPr>
      </w:pPr>
      <w:r w:rsidRPr="002B0F55">
        <w:rPr>
          <w:szCs w:val="24"/>
        </w:rPr>
        <w:t xml:space="preserve">MARAD has considered for how long certification should remain </w:t>
      </w:r>
      <w:r w:rsidRPr="00F51065" w:rsidR="00F51065">
        <w:rPr>
          <w:szCs w:val="24"/>
        </w:rPr>
        <w:t>valid as</w:t>
      </w:r>
      <w:r w:rsidRPr="002B0F55">
        <w:rPr>
          <w:szCs w:val="24"/>
        </w:rPr>
        <w:t xml:space="preserve"> well as how often training provider audits should take place based on accepted industry standards.  Any fewer audits or any longer period of time for certification to remain valid could adversely impact the quality of the certification and ultimately its reliability and value to the general public and the USCG.  Accordingly, the agency has decided that a 5 year certification with at least 3 routine audits is the most prudent schedule.</w:t>
      </w:r>
      <w:r w:rsidR="00173F47">
        <w:rPr>
          <w:szCs w:val="24"/>
        </w:rPr>
        <w:t xml:space="preserve">  </w:t>
      </w:r>
      <w:r w:rsidR="00007CDE">
        <w:rPr>
          <w:szCs w:val="24"/>
        </w:rPr>
        <w:br/>
      </w:r>
    </w:p>
    <w:p w:rsidRPr="00C530F0" w:rsidR="001D224D" w:rsidP="00C530F0" w:rsidRDefault="001D224D">
      <w:pPr>
        <w:widowControl w:val="0"/>
        <w:tabs>
          <w:tab w:val="left" w:pos="540"/>
        </w:tabs>
        <w:rPr>
          <w:szCs w:val="24"/>
        </w:rPr>
      </w:pPr>
      <w:r w:rsidRPr="00C530F0">
        <w:rPr>
          <w:szCs w:val="24"/>
        </w:rPr>
        <w:t>7.</w:t>
      </w:r>
      <w:r w:rsidRPr="00C530F0">
        <w:rPr>
          <w:szCs w:val="24"/>
        </w:rPr>
        <w:tab/>
      </w:r>
      <w:r w:rsidR="00C530F0">
        <w:rPr>
          <w:szCs w:val="24"/>
          <w:u w:val="single"/>
        </w:rPr>
        <w:t>Special circumstances</w:t>
      </w:r>
      <w:r w:rsidRPr="00C530F0" w:rsidR="00C530F0">
        <w:rPr>
          <w:szCs w:val="24"/>
        </w:rPr>
        <w:t xml:space="preserve">.  </w:t>
      </w:r>
    </w:p>
    <w:p w:rsidRPr="00C530F0" w:rsidR="001D224D" w:rsidP="000A6210" w:rsidRDefault="001D224D">
      <w:pPr>
        <w:widowControl w:val="0"/>
        <w:tabs>
          <w:tab w:val="left" w:pos="540"/>
        </w:tabs>
        <w:rPr>
          <w:szCs w:val="24"/>
        </w:rPr>
      </w:pPr>
    </w:p>
    <w:p w:rsidRPr="00C530F0" w:rsidR="00743112" w:rsidP="000A6210" w:rsidRDefault="00BC137D">
      <w:pPr>
        <w:widowControl w:val="0"/>
        <w:tabs>
          <w:tab w:val="left" w:pos="540"/>
        </w:tabs>
        <w:rPr>
          <w:szCs w:val="24"/>
        </w:rPr>
      </w:pPr>
      <w:r w:rsidRPr="00C530F0">
        <w:rPr>
          <w:szCs w:val="24"/>
        </w:rPr>
        <w:t>MARAD provides the following responses as the only ones that apply:</w:t>
      </w:r>
    </w:p>
    <w:p w:rsidRPr="00C530F0" w:rsidR="006F5C32" w:rsidP="000A6210" w:rsidRDefault="006F5C32">
      <w:pPr>
        <w:widowControl w:val="0"/>
        <w:tabs>
          <w:tab w:val="left" w:pos="540"/>
        </w:tabs>
        <w:rPr>
          <w:szCs w:val="24"/>
        </w:rPr>
      </w:pPr>
    </w:p>
    <w:p w:rsidRPr="00C530F0" w:rsidR="00BC137D" w:rsidP="00BC137D" w:rsidRDefault="006F5C32">
      <w:pPr>
        <w:widowControl w:val="0"/>
        <w:numPr>
          <w:ilvl w:val="0"/>
          <w:numId w:val="24"/>
        </w:numPr>
        <w:tabs>
          <w:tab w:val="left" w:pos="540"/>
        </w:tabs>
        <w:rPr>
          <w:szCs w:val="24"/>
        </w:rPr>
      </w:pPr>
      <w:r w:rsidRPr="00C530F0">
        <w:rPr>
          <w:szCs w:val="24"/>
        </w:rPr>
        <w:t>Applicants will be required to provide information more often than quarterly only when they decide to change information on which MARAD relied in issuing its certification.  If this kind of information is changed</w:t>
      </w:r>
      <w:r w:rsidRPr="00C530F0" w:rsidR="00BC137D">
        <w:rPr>
          <w:szCs w:val="24"/>
        </w:rPr>
        <w:t>,</w:t>
      </w:r>
      <w:r w:rsidRPr="00C530F0">
        <w:rPr>
          <w:szCs w:val="24"/>
        </w:rPr>
        <w:t xml:space="preserve"> the certified training provider has a duty to inform MARAD of the change</w:t>
      </w:r>
      <w:r w:rsidRPr="00C530F0" w:rsidR="00BC137D">
        <w:rPr>
          <w:szCs w:val="24"/>
        </w:rPr>
        <w:t xml:space="preserve">.  This is necessary to </w:t>
      </w:r>
      <w:r w:rsidRPr="00C530F0">
        <w:rPr>
          <w:szCs w:val="24"/>
        </w:rPr>
        <w:t xml:space="preserve">ensure that the change </w:t>
      </w:r>
      <w:r w:rsidRPr="00C530F0" w:rsidR="00BC137D">
        <w:rPr>
          <w:szCs w:val="24"/>
        </w:rPr>
        <w:t>does</w:t>
      </w:r>
      <w:r w:rsidRPr="00C530F0">
        <w:rPr>
          <w:szCs w:val="24"/>
        </w:rPr>
        <w:t xml:space="preserve"> not ha</w:t>
      </w:r>
      <w:r w:rsidRPr="00C530F0" w:rsidR="00BC137D">
        <w:rPr>
          <w:szCs w:val="24"/>
        </w:rPr>
        <w:t>ve an</w:t>
      </w:r>
      <w:r w:rsidRPr="00C530F0">
        <w:rPr>
          <w:szCs w:val="24"/>
        </w:rPr>
        <w:t xml:space="preserve"> adverse effect on the quality of the security and safety training provided by the applicant.</w:t>
      </w:r>
    </w:p>
    <w:p w:rsidRPr="00C530F0" w:rsidR="00BC137D" w:rsidP="000A6210" w:rsidRDefault="00BC137D">
      <w:pPr>
        <w:widowControl w:val="0"/>
        <w:tabs>
          <w:tab w:val="left" w:pos="540"/>
        </w:tabs>
        <w:rPr>
          <w:szCs w:val="24"/>
        </w:rPr>
      </w:pPr>
    </w:p>
    <w:p w:rsidR="00BC137D" w:rsidP="00BC137D" w:rsidRDefault="00BC137D">
      <w:pPr>
        <w:widowControl w:val="0"/>
        <w:numPr>
          <w:ilvl w:val="0"/>
          <w:numId w:val="24"/>
        </w:numPr>
        <w:tabs>
          <w:tab w:val="left" w:pos="540"/>
        </w:tabs>
        <w:rPr>
          <w:szCs w:val="24"/>
        </w:rPr>
      </w:pPr>
      <w:r w:rsidRPr="00C530F0">
        <w:rPr>
          <w:szCs w:val="24"/>
        </w:rPr>
        <w:t>Applicants may be required to respond to MARAD in fewer than 30 days if a nonconformity is discovered by an audit or other credible means that places the security and safety training provider certification in question.  This is necessary to ensure the quality of MARAD certifications and their reliability to the public and USCG.</w:t>
      </w:r>
    </w:p>
    <w:p w:rsidRPr="00C530F0" w:rsidR="00E10798" w:rsidP="00E10798" w:rsidRDefault="00E10798">
      <w:pPr>
        <w:widowControl w:val="0"/>
        <w:tabs>
          <w:tab w:val="left" w:pos="540"/>
        </w:tabs>
        <w:ind w:left="540"/>
        <w:rPr>
          <w:szCs w:val="24"/>
        </w:rPr>
      </w:pPr>
    </w:p>
    <w:p w:rsidRPr="00C530F0" w:rsidR="00BC137D" w:rsidP="00BC137D" w:rsidRDefault="00BC137D">
      <w:pPr>
        <w:widowControl w:val="0"/>
        <w:numPr>
          <w:ilvl w:val="0"/>
          <w:numId w:val="24"/>
        </w:numPr>
        <w:tabs>
          <w:tab w:val="left" w:pos="540"/>
        </w:tabs>
        <w:rPr>
          <w:szCs w:val="24"/>
        </w:rPr>
      </w:pPr>
      <w:r w:rsidRPr="00C530F0">
        <w:rPr>
          <w:szCs w:val="24"/>
        </w:rPr>
        <w:t xml:space="preserve">MARAD will require training providers to maintain records of training for the period of the certification (5 years).  This is necessary to support the audit process.  If information were allowed to be disposed of prior to the full </w:t>
      </w:r>
      <w:r w:rsidRPr="00C530F0" w:rsidR="0040459B">
        <w:rPr>
          <w:szCs w:val="24"/>
        </w:rPr>
        <w:t>5-year</w:t>
      </w:r>
      <w:r w:rsidRPr="00C530F0">
        <w:rPr>
          <w:szCs w:val="24"/>
        </w:rPr>
        <w:t xml:space="preserve"> period, audits would be limited and the agency would not be able to understand the training </w:t>
      </w:r>
      <w:r w:rsidRPr="00C530F0" w:rsidR="0040459B">
        <w:rPr>
          <w:szCs w:val="24"/>
        </w:rPr>
        <w:t>providers’</w:t>
      </w:r>
      <w:r w:rsidRPr="00C530F0">
        <w:rPr>
          <w:szCs w:val="24"/>
        </w:rPr>
        <w:t xml:space="preserve"> full performance during the certification period.</w:t>
      </w:r>
    </w:p>
    <w:p w:rsidRPr="00C530F0" w:rsidR="006F5C32" w:rsidP="000A6210" w:rsidRDefault="00BC137D">
      <w:pPr>
        <w:widowControl w:val="0"/>
        <w:tabs>
          <w:tab w:val="left" w:pos="540"/>
        </w:tabs>
        <w:rPr>
          <w:color w:val="FF0000"/>
          <w:szCs w:val="24"/>
        </w:rPr>
      </w:pPr>
      <w:r w:rsidRPr="00C530F0">
        <w:rPr>
          <w:color w:val="FF0000"/>
          <w:szCs w:val="24"/>
        </w:rPr>
        <w:t xml:space="preserve">  </w:t>
      </w:r>
    </w:p>
    <w:p w:rsidR="001D224D" w:rsidP="00E10798" w:rsidRDefault="001D224D">
      <w:pPr>
        <w:widowControl w:val="0"/>
        <w:tabs>
          <w:tab w:val="left" w:pos="540"/>
        </w:tabs>
        <w:rPr>
          <w:b/>
          <w:szCs w:val="24"/>
        </w:rPr>
      </w:pPr>
      <w:r w:rsidRPr="00C530F0">
        <w:rPr>
          <w:szCs w:val="24"/>
        </w:rPr>
        <w:t>8.</w:t>
      </w:r>
      <w:r w:rsidRPr="00C530F0">
        <w:rPr>
          <w:szCs w:val="24"/>
        </w:rPr>
        <w:tab/>
      </w:r>
      <w:r w:rsidR="00E10798">
        <w:rPr>
          <w:szCs w:val="24"/>
          <w:u w:val="single"/>
        </w:rPr>
        <w:t>Compliance with 5 CFR 1320.8</w:t>
      </w:r>
      <w:r w:rsidRPr="00E10798" w:rsidR="00E10798">
        <w:rPr>
          <w:szCs w:val="24"/>
        </w:rPr>
        <w:t xml:space="preserve">:  </w:t>
      </w:r>
    </w:p>
    <w:p w:rsidR="00083CEB" w:rsidP="00492398" w:rsidRDefault="00083CEB">
      <w:pPr>
        <w:widowControl w:val="0"/>
        <w:tabs>
          <w:tab w:val="left" w:pos="540"/>
        </w:tabs>
        <w:rPr>
          <w:b/>
          <w:szCs w:val="24"/>
        </w:rPr>
      </w:pPr>
    </w:p>
    <w:p w:rsidR="00A64607" w:rsidP="00A64607" w:rsidRDefault="00A64607">
      <w:r w:rsidRPr="00632960">
        <w:t xml:space="preserve">The Maritime Administration published a 60-day notice for public comments in the Federal Register on </w:t>
      </w:r>
      <w:r w:rsidR="001B7E14">
        <w:t>August 27, 2020</w:t>
      </w:r>
      <w:r w:rsidRPr="00632960">
        <w:t xml:space="preserve"> (FR</w:t>
      </w:r>
      <w:r w:rsidR="001B7E14">
        <w:t>53061</w:t>
      </w:r>
      <w:r w:rsidR="00EF0EB3">
        <w:t xml:space="preserve">, </w:t>
      </w:r>
      <w:r w:rsidRPr="00632960">
        <w:t>Vol. 8</w:t>
      </w:r>
      <w:r w:rsidR="00D86E8E">
        <w:t>5</w:t>
      </w:r>
      <w:r w:rsidRPr="00632960">
        <w:t>, No.</w:t>
      </w:r>
      <w:r w:rsidR="00EF0EB3">
        <w:t xml:space="preserve"> </w:t>
      </w:r>
      <w:r w:rsidR="001B7E14">
        <w:t>167</w:t>
      </w:r>
      <w:r w:rsidRPr="00632960">
        <w:t>) indicating comments should be submitted on or before</w:t>
      </w:r>
      <w:r w:rsidR="00EF0EB3">
        <w:t xml:space="preserve"> </w:t>
      </w:r>
      <w:r w:rsidR="001B7E14">
        <w:t xml:space="preserve">October 26, </w:t>
      </w:r>
      <w:r w:rsidR="00D86E8E">
        <w:t>2020</w:t>
      </w:r>
      <w:r w:rsidRPr="00632960">
        <w:t xml:space="preserve">.  No public comments were received.  In addition, a 30-day notice for comments was published in the Federal Register on </w:t>
      </w:r>
      <w:r w:rsidR="005758E1">
        <w:t>November 16, 2020</w:t>
      </w:r>
      <w:r w:rsidRPr="00632960">
        <w:t xml:space="preserve"> (FR </w:t>
      </w:r>
      <w:r w:rsidR="005758E1">
        <w:t>73126</w:t>
      </w:r>
      <w:r w:rsidRPr="00632960">
        <w:t>, Vol. 8</w:t>
      </w:r>
      <w:r w:rsidR="00D86E8E">
        <w:t>5</w:t>
      </w:r>
      <w:r w:rsidRPr="00632960">
        <w:t xml:space="preserve">, No. </w:t>
      </w:r>
      <w:r w:rsidR="005758E1">
        <w:t>221) indicating comments should be submitted on or before December 16, 2020.</w:t>
      </w:r>
      <w:bookmarkStart w:name="_GoBack" w:id="0"/>
      <w:bookmarkEnd w:id="0"/>
    </w:p>
    <w:p w:rsidRPr="00981917" w:rsidR="001D224D" w:rsidP="00492398" w:rsidRDefault="001D224D">
      <w:pPr>
        <w:widowControl w:val="0"/>
        <w:tabs>
          <w:tab w:val="left" w:pos="540"/>
        </w:tabs>
        <w:rPr>
          <w:szCs w:val="24"/>
        </w:rPr>
      </w:pPr>
    </w:p>
    <w:p w:rsidRPr="00E10798" w:rsidR="001D224D" w:rsidP="00AA1704" w:rsidRDefault="00E10798">
      <w:pPr>
        <w:widowControl w:val="0"/>
        <w:numPr>
          <w:ilvl w:val="0"/>
          <w:numId w:val="9"/>
        </w:numPr>
        <w:tabs>
          <w:tab w:val="clear" w:pos="720"/>
          <w:tab w:val="num" w:pos="90"/>
          <w:tab w:val="left" w:pos="540"/>
        </w:tabs>
        <w:ind w:left="0" w:firstLine="0"/>
        <w:rPr>
          <w:szCs w:val="24"/>
        </w:rPr>
      </w:pPr>
      <w:r>
        <w:rPr>
          <w:szCs w:val="24"/>
          <w:u w:val="single"/>
        </w:rPr>
        <w:t>Payments or gifts to respondents</w:t>
      </w:r>
      <w:r w:rsidRPr="00E10798">
        <w:rPr>
          <w:szCs w:val="24"/>
        </w:rPr>
        <w:t xml:space="preserve">.  </w:t>
      </w:r>
    </w:p>
    <w:p w:rsidRPr="00981917" w:rsidR="001D224D" w:rsidP="000A6210" w:rsidRDefault="001D224D">
      <w:pPr>
        <w:widowControl w:val="0"/>
        <w:tabs>
          <w:tab w:val="left" w:pos="540"/>
        </w:tabs>
        <w:ind w:left="720"/>
        <w:rPr>
          <w:szCs w:val="24"/>
        </w:rPr>
      </w:pPr>
    </w:p>
    <w:p w:rsidRPr="002B0F55" w:rsidR="001D224D" w:rsidP="000A6210" w:rsidRDefault="005723C7">
      <w:pPr>
        <w:widowControl w:val="0"/>
        <w:tabs>
          <w:tab w:val="left" w:pos="540"/>
        </w:tabs>
        <w:rPr>
          <w:szCs w:val="24"/>
        </w:rPr>
      </w:pPr>
      <w:r w:rsidRPr="002B0F55">
        <w:rPr>
          <w:szCs w:val="24"/>
        </w:rPr>
        <w:t>Not applicable.  No decision to provide any payment or gift to respondents was considered.</w:t>
      </w:r>
    </w:p>
    <w:p w:rsidRPr="00981917" w:rsidR="00AA1704" w:rsidP="000A6210" w:rsidRDefault="00AA1704">
      <w:pPr>
        <w:widowControl w:val="0"/>
        <w:tabs>
          <w:tab w:val="left" w:pos="540"/>
        </w:tabs>
        <w:rPr>
          <w:szCs w:val="24"/>
        </w:rPr>
      </w:pPr>
    </w:p>
    <w:p w:rsidR="00E10798" w:rsidP="00E10798" w:rsidRDefault="00E10798">
      <w:pPr>
        <w:widowControl w:val="0"/>
        <w:numPr>
          <w:ilvl w:val="0"/>
          <w:numId w:val="9"/>
        </w:numPr>
        <w:tabs>
          <w:tab w:val="left" w:pos="540"/>
        </w:tabs>
        <w:ind w:hanging="720"/>
        <w:rPr>
          <w:szCs w:val="24"/>
          <w:u w:val="single"/>
        </w:rPr>
      </w:pPr>
      <w:r>
        <w:rPr>
          <w:szCs w:val="24"/>
          <w:u w:val="single"/>
        </w:rPr>
        <w:t>Assurance of confidentiality</w:t>
      </w:r>
      <w:r w:rsidRPr="00E10798">
        <w:rPr>
          <w:szCs w:val="24"/>
        </w:rPr>
        <w:t xml:space="preserve">: </w:t>
      </w:r>
      <w:r>
        <w:rPr>
          <w:szCs w:val="24"/>
          <w:u w:val="single"/>
        </w:rPr>
        <w:t xml:space="preserve"> </w:t>
      </w:r>
    </w:p>
    <w:p w:rsidRPr="002B0F55" w:rsidR="00E10798" w:rsidP="00E10798" w:rsidRDefault="00E10798">
      <w:pPr>
        <w:widowControl w:val="0"/>
        <w:tabs>
          <w:tab w:val="left" w:pos="540"/>
        </w:tabs>
        <w:ind w:left="360"/>
        <w:rPr>
          <w:szCs w:val="24"/>
        </w:rPr>
      </w:pPr>
    </w:p>
    <w:p w:rsidRPr="002B0F55" w:rsidR="00AA1704" w:rsidP="000A6210" w:rsidRDefault="005723C7">
      <w:pPr>
        <w:widowControl w:val="0"/>
        <w:tabs>
          <w:tab w:val="left" w:pos="540"/>
        </w:tabs>
        <w:rPr>
          <w:szCs w:val="24"/>
        </w:rPr>
      </w:pPr>
      <w:r w:rsidRPr="002B0F55">
        <w:rPr>
          <w:szCs w:val="24"/>
        </w:rPr>
        <w:t>MARAD applies DOT processes with respect to the protection of confidential information.  To that end, and with respect to this program, the agency will rely on the Freedom of Information Act</w:t>
      </w:r>
      <w:r w:rsidRPr="002B0F55" w:rsidR="00860D06">
        <w:rPr>
          <w:szCs w:val="24"/>
        </w:rPr>
        <w:t xml:space="preserve"> (FOIA)</w:t>
      </w:r>
      <w:r w:rsidRPr="002B0F55">
        <w:rPr>
          <w:szCs w:val="24"/>
        </w:rPr>
        <w:t xml:space="preserve"> and DOT </w:t>
      </w:r>
      <w:r w:rsidRPr="002B0F55" w:rsidR="00860D06">
        <w:rPr>
          <w:szCs w:val="24"/>
        </w:rPr>
        <w:t xml:space="preserve">FOIA </w:t>
      </w:r>
      <w:r w:rsidRPr="002B0F55">
        <w:rPr>
          <w:szCs w:val="24"/>
        </w:rPr>
        <w:t xml:space="preserve">implementing regulations at 49 CFR Part 7. </w:t>
      </w:r>
    </w:p>
    <w:p w:rsidR="00AA1704" w:rsidP="000A6210" w:rsidRDefault="00AA1704">
      <w:pPr>
        <w:widowControl w:val="0"/>
        <w:tabs>
          <w:tab w:val="left" w:pos="540"/>
        </w:tabs>
        <w:rPr>
          <w:b/>
          <w:szCs w:val="24"/>
        </w:rPr>
      </w:pPr>
    </w:p>
    <w:p w:rsidRPr="00CA34A9" w:rsidR="001D224D" w:rsidP="00AA1704" w:rsidRDefault="001D224D">
      <w:pPr>
        <w:widowControl w:val="0"/>
        <w:tabs>
          <w:tab w:val="left" w:pos="540"/>
        </w:tabs>
        <w:rPr>
          <w:szCs w:val="24"/>
        </w:rPr>
      </w:pPr>
      <w:r w:rsidRPr="00CA34A9">
        <w:rPr>
          <w:szCs w:val="24"/>
        </w:rPr>
        <w:t>11.</w:t>
      </w:r>
      <w:r w:rsidRPr="00CA34A9">
        <w:rPr>
          <w:szCs w:val="24"/>
        </w:rPr>
        <w:tab/>
      </w:r>
      <w:r w:rsidRPr="00CA34A9" w:rsidR="006C0638">
        <w:rPr>
          <w:szCs w:val="24"/>
          <w:u w:val="single"/>
        </w:rPr>
        <w:t>Justification for collection of sensitive information</w:t>
      </w:r>
      <w:r w:rsidRPr="00CA34A9" w:rsidR="006C0638">
        <w:rPr>
          <w:szCs w:val="24"/>
        </w:rPr>
        <w:t xml:space="preserve">.  </w:t>
      </w:r>
    </w:p>
    <w:p w:rsidRPr="00981917" w:rsidR="001D224D" w:rsidP="000A6210" w:rsidRDefault="001D224D">
      <w:pPr>
        <w:widowControl w:val="0"/>
        <w:tabs>
          <w:tab w:val="left" w:pos="540"/>
        </w:tabs>
        <w:rPr>
          <w:b/>
          <w:szCs w:val="24"/>
        </w:rPr>
      </w:pPr>
    </w:p>
    <w:p w:rsidRPr="002B0F55" w:rsidR="00AA1704" w:rsidP="000A6210" w:rsidRDefault="00860D06">
      <w:pPr>
        <w:widowControl w:val="0"/>
        <w:tabs>
          <w:tab w:val="left" w:pos="540"/>
        </w:tabs>
        <w:rPr>
          <w:szCs w:val="24"/>
        </w:rPr>
      </w:pPr>
      <w:r w:rsidRPr="002B0F55">
        <w:rPr>
          <w:szCs w:val="24"/>
        </w:rPr>
        <w:t>The agency does not request information of a sensitive nature with respect to this certification.</w:t>
      </w:r>
    </w:p>
    <w:p w:rsidR="00C3469A" w:rsidP="00AA1704" w:rsidRDefault="00C3469A">
      <w:pPr>
        <w:widowControl w:val="0"/>
        <w:tabs>
          <w:tab w:val="left" w:pos="540"/>
        </w:tabs>
        <w:rPr>
          <w:b/>
          <w:szCs w:val="24"/>
        </w:rPr>
      </w:pPr>
    </w:p>
    <w:p w:rsidRPr="00981917" w:rsidR="0012012B" w:rsidP="00CA34A9" w:rsidRDefault="001D224D">
      <w:pPr>
        <w:widowControl w:val="0"/>
        <w:tabs>
          <w:tab w:val="left" w:pos="540"/>
        </w:tabs>
        <w:rPr>
          <w:b/>
          <w:szCs w:val="24"/>
        </w:rPr>
      </w:pPr>
      <w:r w:rsidRPr="00CA34A9">
        <w:rPr>
          <w:szCs w:val="24"/>
        </w:rPr>
        <w:t>12.</w:t>
      </w:r>
      <w:r w:rsidRPr="00CA34A9">
        <w:rPr>
          <w:szCs w:val="24"/>
        </w:rPr>
        <w:tab/>
      </w:r>
      <w:r w:rsidRPr="00CA34A9" w:rsidR="006C0638">
        <w:rPr>
          <w:szCs w:val="24"/>
          <w:u w:val="single"/>
        </w:rPr>
        <w:t>Estimate of burden hours for information requested</w:t>
      </w:r>
      <w:r w:rsidRPr="00CA34A9" w:rsidR="006C0638">
        <w:rPr>
          <w:szCs w:val="24"/>
        </w:rPr>
        <w:t xml:space="preserve">.  </w:t>
      </w:r>
    </w:p>
    <w:p w:rsidRPr="00981917" w:rsidR="00AD05BD" w:rsidP="00AD05BD" w:rsidRDefault="00AD05BD">
      <w:pPr>
        <w:widowControl w:val="0"/>
        <w:tabs>
          <w:tab w:val="left" w:pos="270"/>
          <w:tab w:val="left" w:pos="540"/>
        </w:tabs>
        <w:rPr>
          <w:b/>
          <w:szCs w:val="24"/>
        </w:rPr>
      </w:pPr>
    </w:p>
    <w:p w:rsidRPr="001A5BC9" w:rsidR="00860D06" w:rsidP="00860D06" w:rsidRDefault="00860D06">
      <w:pPr>
        <w:rPr>
          <w:kern w:val="28"/>
          <w:szCs w:val="24"/>
        </w:rPr>
      </w:pPr>
      <w:r w:rsidRPr="001A5BC9">
        <w:rPr>
          <w:kern w:val="28"/>
          <w:szCs w:val="24"/>
        </w:rPr>
        <w:t xml:space="preserve">The agency anticipates </w:t>
      </w:r>
      <w:r w:rsidRPr="001A5BC9" w:rsidR="00F040D4">
        <w:rPr>
          <w:kern w:val="28"/>
          <w:szCs w:val="24"/>
        </w:rPr>
        <w:t xml:space="preserve">that it could receive </w:t>
      </w:r>
      <w:r w:rsidRPr="001A5BC9" w:rsidR="00D01999">
        <w:rPr>
          <w:kern w:val="28"/>
          <w:szCs w:val="24"/>
        </w:rPr>
        <w:t>10</w:t>
      </w:r>
      <w:r w:rsidRPr="001A5BC9" w:rsidR="00403F40">
        <w:rPr>
          <w:kern w:val="28"/>
          <w:szCs w:val="24"/>
        </w:rPr>
        <w:t xml:space="preserve"> </w:t>
      </w:r>
      <w:r w:rsidRPr="001A5BC9" w:rsidR="00F040D4">
        <w:rPr>
          <w:kern w:val="28"/>
          <w:szCs w:val="24"/>
        </w:rPr>
        <w:t xml:space="preserve">or fewer </w:t>
      </w:r>
      <w:r w:rsidRPr="001A5BC9">
        <w:rPr>
          <w:kern w:val="28"/>
          <w:szCs w:val="24"/>
        </w:rPr>
        <w:t xml:space="preserve">submissions </w:t>
      </w:r>
      <w:r w:rsidRPr="001A5BC9" w:rsidR="00F040D4">
        <w:rPr>
          <w:kern w:val="28"/>
          <w:szCs w:val="24"/>
        </w:rPr>
        <w:t>for certification</w:t>
      </w:r>
      <w:r w:rsidRPr="001A5BC9">
        <w:rPr>
          <w:kern w:val="28"/>
          <w:szCs w:val="24"/>
        </w:rPr>
        <w:t xml:space="preserve">.  Certification is anticipated to span a period of 5 years before expiration and renewal.  However, the agency does anticipate the collection of information annually from the same estimated number of training providers seeking to maintain their certification by complying with agency audits.  We project the annual burden to be equal to 40 hours per program participant. </w:t>
      </w:r>
      <w:r w:rsidRPr="001A5BC9" w:rsidR="00173F47">
        <w:rPr>
          <w:kern w:val="28"/>
          <w:szCs w:val="24"/>
        </w:rPr>
        <w:t xml:space="preserve"> The annual burden per participant includes completing and filing </w:t>
      </w:r>
      <w:r w:rsidRPr="001A5BC9" w:rsidR="007340EA">
        <w:rPr>
          <w:kern w:val="28"/>
          <w:szCs w:val="24"/>
        </w:rPr>
        <w:t xml:space="preserve">the </w:t>
      </w:r>
      <w:r w:rsidRPr="001A5BC9" w:rsidR="00173F47">
        <w:rPr>
          <w:kern w:val="28"/>
          <w:szCs w:val="24"/>
        </w:rPr>
        <w:t xml:space="preserve">application and recordkeeping (8 hours of the 40 hours will be for semi-annual recordkeeping. </w:t>
      </w:r>
      <w:r w:rsidRPr="001A5BC9" w:rsidR="00B769C8">
        <w:rPr>
          <w:kern w:val="28"/>
          <w:szCs w:val="24"/>
        </w:rPr>
        <w:t xml:space="preserve"> </w:t>
      </w:r>
      <w:r w:rsidRPr="001A5BC9" w:rsidR="00B769C8">
        <w:t>Below is an estimate of the number of annual responses and burden hours for the collection:</w:t>
      </w:r>
    </w:p>
    <w:p w:rsidRPr="001A5BC9" w:rsidR="00BE47AB" w:rsidP="00BE47AB" w:rsidRDefault="00BE47AB">
      <w:pPr>
        <w:widowControl w:val="0"/>
        <w:tabs>
          <w:tab w:val="left" w:pos="-1440"/>
        </w:tabs>
        <w:ind w:left="720"/>
        <w:rPr>
          <w:snapToGrid w:val="0"/>
          <w:szCs w:val="24"/>
        </w:rPr>
      </w:pPr>
    </w:p>
    <w:tbl>
      <w:tblPr>
        <w:tblW w:w="0" w:type="auto"/>
        <w:tblLook w:val="04A0" w:firstRow="1" w:lastRow="0" w:firstColumn="1" w:lastColumn="0" w:noHBand="0" w:noVBand="1"/>
      </w:tblPr>
      <w:tblGrid>
        <w:gridCol w:w="1577"/>
        <w:gridCol w:w="336"/>
        <w:gridCol w:w="1484"/>
        <w:gridCol w:w="352"/>
        <w:gridCol w:w="1459"/>
        <w:gridCol w:w="386"/>
        <w:gridCol w:w="1475"/>
        <w:gridCol w:w="775"/>
        <w:gridCol w:w="1426"/>
      </w:tblGrid>
      <w:tr w:rsidRPr="001A5BC9" w:rsidR="00BE47AB" w:rsidTr="00466C4E">
        <w:tc>
          <w:tcPr>
            <w:tcW w:w="1591"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r w:rsidRPr="001A5BC9">
              <w:rPr>
                <w:b/>
                <w:snapToGrid w:val="0"/>
                <w:szCs w:val="24"/>
              </w:rPr>
              <w:t>Number of Respondents</w:t>
            </w:r>
          </w:p>
        </w:tc>
        <w:tc>
          <w:tcPr>
            <w:tcW w:w="336"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color w:val="1F497D"/>
                <w:szCs w:val="24"/>
              </w:rPr>
            </w:pPr>
          </w:p>
        </w:tc>
        <w:tc>
          <w:tcPr>
            <w:tcW w:w="1496"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r w:rsidRPr="001A5BC9">
              <w:rPr>
                <w:b/>
                <w:snapToGrid w:val="0"/>
                <w:szCs w:val="24"/>
              </w:rPr>
              <w:t>Responses Per Respondent</w:t>
            </w:r>
          </w:p>
        </w:tc>
        <w:tc>
          <w:tcPr>
            <w:tcW w:w="352"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p>
        </w:tc>
        <w:tc>
          <w:tcPr>
            <w:tcW w:w="1503"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r w:rsidRPr="001A5BC9">
              <w:rPr>
                <w:b/>
                <w:snapToGrid w:val="0"/>
                <w:szCs w:val="24"/>
              </w:rPr>
              <w:t>Total Responses Annually</w:t>
            </w:r>
          </w:p>
        </w:tc>
        <w:tc>
          <w:tcPr>
            <w:tcW w:w="397"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p>
        </w:tc>
        <w:tc>
          <w:tcPr>
            <w:tcW w:w="1543"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r w:rsidRPr="001A5BC9">
              <w:rPr>
                <w:b/>
                <w:snapToGrid w:val="0"/>
                <w:szCs w:val="24"/>
              </w:rPr>
              <w:t>Hours Per Response</w:t>
            </w:r>
          </w:p>
        </w:tc>
        <w:tc>
          <w:tcPr>
            <w:tcW w:w="872"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p>
        </w:tc>
        <w:tc>
          <w:tcPr>
            <w:tcW w:w="1486" w:type="dxa"/>
            <w:tcBorders>
              <w:bottom w:val="single" w:color="auto" w:sz="12" w:space="0"/>
            </w:tcBorders>
            <w:shd w:val="clear" w:color="auto" w:fill="auto"/>
          </w:tcPr>
          <w:p w:rsidRPr="001A5BC9" w:rsidR="00BE47AB" w:rsidP="00F63C4E" w:rsidRDefault="00BE47AB">
            <w:pPr>
              <w:widowControl w:val="0"/>
              <w:tabs>
                <w:tab w:val="left" w:pos="-1440"/>
              </w:tabs>
              <w:jc w:val="center"/>
              <w:rPr>
                <w:b/>
                <w:snapToGrid w:val="0"/>
                <w:szCs w:val="24"/>
              </w:rPr>
            </w:pPr>
            <w:r w:rsidRPr="001A5BC9">
              <w:rPr>
                <w:b/>
                <w:snapToGrid w:val="0"/>
                <w:szCs w:val="24"/>
              </w:rPr>
              <w:t>Total Hours Annually</w:t>
            </w:r>
          </w:p>
        </w:tc>
      </w:tr>
      <w:tr w:rsidRPr="001A5BC9" w:rsidR="00BE47AB" w:rsidTr="00466C4E">
        <w:tc>
          <w:tcPr>
            <w:tcW w:w="1591"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 xml:space="preserve"> </w:t>
            </w:r>
            <w:r w:rsidRPr="001A5BC9" w:rsidR="00553362">
              <w:rPr>
                <w:snapToGrid w:val="0"/>
                <w:szCs w:val="24"/>
              </w:rPr>
              <w:t>10</w:t>
            </w:r>
          </w:p>
        </w:tc>
        <w:tc>
          <w:tcPr>
            <w:tcW w:w="336"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x</w:t>
            </w:r>
          </w:p>
        </w:tc>
        <w:tc>
          <w:tcPr>
            <w:tcW w:w="1496"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1</w:t>
            </w:r>
          </w:p>
        </w:tc>
        <w:tc>
          <w:tcPr>
            <w:tcW w:w="352"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w:t>
            </w:r>
          </w:p>
        </w:tc>
        <w:tc>
          <w:tcPr>
            <w:tcW w:w="1503" w:type="dxa"/>
            <w:tcBorders>
              <w:top w:val="single" w:color="auto" w:sz="12" w:space="0"/>
            </w:tcBorders>
            <w:shd w:val="clear" w:color="auto" w:fill="auto"/>
          </w:tcPr>
          <w:p w:rsidRPr="001A5BC9" w:rsidR="00BE47AB" w:rsidP="00F63C4E" w:rsidRDefault="00553362">
            <w:pPr>
              <w:widowControl w:val="0"/>
              <w:tabs>
                <w:tab w:val="left" w:pos="-1440"/>
              </w:tabs>
              <w:jc w:val="center"/>
              <w:rPr>
                <w:snapToGrid w:val="0"/>
                <w:szCs w:val="24"/>
              </w:rPr>
            </w:pPr>
            <w:r w:rsidRPr="001A5BC9">
              <w:rPr>
                <w:snapToGrid w:val="0"/>
                <w:szCs w:val="24"/>
              </w:rPr>
              <w:t>10</w:t>
            </w:r>
          </w:p>
        </w:tc>
        <w:tc>
          <w:tcPr>
            <w:tcW w:w="397"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x</w:t>
            </w:r>
          </w:p>
        </w:tc>
        <w:tc>
          <w:tcPr>
            <w:tcW w:w="1543" w:type="dxa"/>
            <w:tcBorders>
              <w:top w:val="single" w:color="auto" w:sz="12" w:space="0"/>
            </w:tcBorders>
            <w:shd w:val="clear" w:color="auto" w:fill="auto"/>
          </w:tcPr>
          <w:p w:rsidRPr="001A5BC9" w:rsidR="00BE47AB" w:rsidP="00F63C4E" w:rsidRDefault="0055413D">
            <w:pPr>
              <w:widowControl w:val="0"/>
              <w:tabs>
                <w:tab w:val="left" w:pos="-1440"/>
              </w:tabs>
              <w:jc w:val="center"/>
              <w:rPr>
                <w:snapToGrid w:val="0"/>
                <w:szCs w:val="24"/>
              </w:rPr>
            </w:pPr>
            <w:r w:rsidRPr="001A5BC9">
              <w:rPr>
                <w:snapToGrid w:val="0"/>
                <w:szCs w:val="24"/>
              </w:rPr>
              <w:t>40</w:t>
            </w:r>
          </w:p>
        </w:tc>
        <w:tc>
          <w:tcPr>
            <w:tcW w:w="872" w:type="dxa"/>
            <w:tcBorders>
              <w:top w:val="single" w:color="auto" w:sz="12" w:space="0"/>
            </w:tcBorders>
            <w:shd w:val="clear" w:color="auto" w:fill="auto"/>
          </w:tcPr>
          <w:p w:rsidRPr="001A5BC9" w:rsidR="00BE47AB" w:rsidP="00F63C4E" w:rsidRDefault="00BE47AB">
            <w:pPr>
              <w:widowControl w:val="0"/>
              <w:tabs>
                <w:tab w:val="left" w:pos="-1440"/>
              </w:tabs>
              <w:jc w:val="center"/>
              <w:rPr>
                <w:snapToGrid w:val="0"/>
                <w:szCs w:val="24"/>
              </w:rPr>
            </w:pPr>
            <w:r w:rsidRPr="001A5BC9">
              <w:rPr>
                <w:snapToGrid w:val="0"/>
                <w:szCs w:val="24"/>
              </w:rPr>
              <w:t>=</w:t>
            </w:r>
          </w:p>
        </w:tc>
        <w:tc>
          <w:tcPr>
            <w:tcW w:w="1486" w:type="dxa"/>
            <w:tcBorders>
              <w:top w:val="single" w:color="auto" w:sz="12" w:space="0"/>
            </w:tcBorders>
            <w:shd w:val="clear" w:color="auto" w:fill="auto"/>
          </w:tcPr>
          <w:p w:rsidRPr="001A5BC9" w:rsidR="00BE47AB" w:rsidP="00F63C4E" w:rsidRDefault="00553362">
            <w:pPr>
              <w:widowControl w:val="0"/>
              <w:tabs>
                <w:tab w:val="left" w:pos="-1440"/>
              </w:tabs>
              <w:jc w:val="center"/>
              <w:rPr>
                <w:snapToGrid w:val="0"/>
                <w:szCs w:val="24"/>
              </w:rPr>
            </w:pPr>
            <w:r w:rsidRPr="001A5BC9">
              <w:rPr>
                <w:snapToGrid w:val="0"/>
                <w:szCs w:val="24"/>
              </w:rPr>
              <w:t>4</w:t>
            </w:r>
            <w:r w:rsidRPr="001A5BC9" w:rsidR="00B71624">
              <w:rPr>
                <w:snapToGrid w:val="0"/>
                <w:szCs w:val="24"/>
              </w:rPr>
              <w:t>00</w:t>
            </w:r>
          </w:p>
        </w:tc>
      </w:tr>
    </w:tbl>
    <w:p w:rsidRPr="001A5BC9" w:rsidR="00BE47AB" w:rsidP="00BE47AB" w:rsidRDefault="00BE47AB">
      <w:pPr>
        <w:widowControl w:val="0"/>
        <w:tabs>
          <w:tab w:val="left" w:pos="-1440"/>
        </w:tabs>
        <w:rPr>
          <w:snapToGrid w:val="0"/>
          <w:color w:val="1F497D"/>
          <w:szCs w:val="24"/>
        </w:rPr>
      </w:pPr>
      <w:r w:rsidRPr="001A5BC9">
        <w:rPr>
          <w:snapToGrid w:val="0"/>
          <w:color w:val="1F497D"/>
          <w:szCs w:val="24"/>
        </w:rPr>
        <w:tab/>
      </w:r>
      <w:r w:rsidRPr="001A5BC9" w:rsidR="00304117">
        <w:rPr>
          <w:snapToGrid w:val="0"/>
          <w:color w:val="1F497D"/>
          <w:szCs w:val="24"/>
        </w:rPr>
        <w:t xml:space="preserve"> </w:t>
      </w:r>
    </w:p>
    <w:p w:rsidRPr="001A5BC9" w:rsidR="007E5CF5" w:rsidP="00BE47AB" w:rsidRDefault="00BE47AB">
      <w:pPr>
        <w:widowControl w:val="0"/>
        <w:tabs>
          <w:tab w:val="left" w:pos="-1440"/>
        </w:tabs>
        <w:ind w:left="5040" w:hanging="5040"/>
        <w:rPr>
          <w:snapToGrid w:val="0"/>
          <w:szCs w:val="24"/>
        </w:rPr>
      </w:pPr>
      <w:r w:rsidRPr="001A5BC9">
        <w:rPr>
          <w:b/>
          <w:snapToGrid w:val="0"/>
          <w:szCs w:val="24"/>
          <w:u w:val="single"/>
        </w:rPr>
        <w:t xml:space="preserve">Total Annual Burden </w:t>
      </w:r>
      <w:r w:rsidRPr="001A5BC9" w:rsidR="00F51065">
        <w:rPr>
          <w:b/>
          <w:snapToGrid w:val="0"/>
          <w:szCs w:val="24"/>
          <w:u w:val="single"/>
        </w:rPr>
        <w:t>Hr.</w:t>
      </w:r>
      <w:r w:rsidRPr="001A5BC9">
        <w:rPr>
          <w:b/>
          <w:snapToGrid w:val="0"/>
          <w:szCs w:val="24"/>
          <w:u w:val="single"/>
        </w:rPr>
        <w:t xml:space="preserve"> Costs</w:t>
      </w:r>
      <w:r w:rsidRPr="001A5BC9">
        <w:rPr>
          <w:b/>
          <w:snapToGrid w:val="0"/>
          <w:szCs w:val="24"/>
        </w:rPr>
        <w:t>:</w:t>
      </w:r>
      <w:r w:rsidRPr="001A5BC9">
        <w:rPr>
          <w:snapToGrid w:val="0"/>
          <w:szCs w:val="24"/>
        </w:rPr>
        <w:t xml:space="preserve"> </w:t>
      </w:r>
    </w:p>
    <w:p w:rsidRPr="001A5BC9" w:rsidR="007E5CF5" w:rsidP="00BE47AB" w:rsidRDefault="0055413D">
      <w:pPr>
        <w:widowControl w:val="0"/>
        <w:tabs>
          <w:tab w:val="left" w:pos="-1440"/>
        </w:tabs>
        <w:ind w:left="5040" w:hanging="5040"/>
        <w:rPr>
          <w:snapToGrid w:val="0"/>
          <w:szCs w:val="24"/>
        </w:rPr>
      </w:pPr>
      <w:r w:rsidRPr="001A5BC9">
        <w:rPr>
          <w:snapToGrid w:val="0"/>
          <w:szCs w:val="24"/>
        </w:rPr>
        <w:t xml:space="preserve">  </w:t>
      </w:r>
    </w:p>
    <w:p w:rsidRPr="001A5BC9" w:rsidR="007E5CF5" w:rsidP="007E5CF5" w:rsidRDefault="007E5CF5">
      <w:pPr>
        <w:rPr>
          <w:kern w:val="28"/>
          <w:szCs w:val="24"/>
        </w:rPr>
      </w:pPr>
      <w:r w:rsidRPr="001A5BC9">
        <w:rPr>
          <w:snapToGrid w:val="0"/>
          <w:szCs w:val="24"/>
        </w:rPr>
        <w:t xml:space="preserve">Annual Burden </w:t>
      </w:r>
      <w:r w:rsidRPr="001A5BC9" w:rsidR="00F51065">
        <w:rPr>
          <w:snapToGrid w:val="0"/>
          <w:szCs w:val="24"/>
        </w:rPr>
        <w:t>Hr.</w:t>
      </w:r>
      <w:r w:rsidRPr="001A5BC9">
        <w:rPr>
          <w:snapToGrid w:val="0"/>
          <w:szCs w:val="24"/>
        </w:rPr>
        <w:t xml:space="preserve"> Costs:  </w:t>
      </w:r>
      <w:r w:rsidRPr="001A5BC9" w:rsidR="000F732C">
        <w:rPr>
          <w:snapToGrid w:val="0"/>
          <w:szCs w:val="24"/>
        </w:rPr>
        <w:t>*</w:t>
      </w:r>
      <w:r w:rsidRPr="001A5BC9">
        <w:rPr>
          <w:snapToGrid w:val="0"/>
          <w:szCs w:val="24"/>
        </w:rPr>
        <w:t>One Manager @ $</w:t>
      </w:r>
      <w:r w:rsidRPr="001A5BC9" w:rsidR="003910F8">
        <w:rPr>
          <w:snapToGrid w:val="0"/>
          <w:szCs w:val="24"/>
        </w:rPr>
        <w:t>58.75</w:t>
      </w:r>
      <w:r w:rsidRPr="001A5BC9" w:rsidR="007A1654">
        <w:rPr>
          <w:snapToGrid w:val="0"/>
          <w:szCs w:val="24"/>
        </w:rPr>
        <w:t xml:space="preserve"> </w:t>
      </w:r>
      <w:r w:rsidRPr="001A5BC9">
        <w:rPr>
          <w:snapToGrid w:val="0"/>
          <w:szCs w:val="24"/>
        </w:rPr>
        <w:t xml:space="preserve">per </w:t>
      </w:r>
      <w:r w:rsidRPr="001A5BC9" w:rsidR="00F51065">
        <w:rPr>
          <w:snapToGrid w:val="0"/>
          <w:szCs w:val="24"/>
        </w:rPr>
        <w:t>hr.</w:t>
      </w:r>
      <w:r w:rsidRPr="001A5BC9">
        <w:rPr>
          <w:snapToGrid w:val="0"/>
          <w:szCs w:val="24"/>
        </w:rPr>
        <w:t xml:space="preserve"> </w:t>
      </w:r>
      <w:r w:rsidRPr="001A5BC9" w:rsidR="00795B6C">
        <w:rPr>
          <w:snapToGrid w:val="0"/>
          <w:szCs w:val="24"/>
        </w:rPr>
        <w:t xml:space="preserve">x 1.4 </w:t>
      </w:r>
      <w:r w:rsidRPr="001A5BC9">
        <w:rPr>
          <w:snapToGrid w:val="0"/>
          <w:szCs w:val="24"/>
        </w:rPr>
        <w:t xml:space="preserve">x </w:t>
      </w:r>
      <w:r w:rsidRPr="001A5BC9" w:rsidR="00553362">
        <w:rPr>
          <w:snapToGrid w:val="0"/>
          <w:szCs w:val="24"/>
        </w:rPr>
        <w:t>4</w:t>
      </w:r>
      <w:r w:rsidRPr="001A5BC9" w:rsidR="00B71624">
        <w:rPr>
          <w:snapToGrid w:val="0"/>
          <w:szCs w:val="24"/>
        </w:rPr>
        <w:t xml:space="preserve">00 </w:t>
      </w:r>
      <w:r w:rsidRPr="001A5BC9" w:rsidR="00F51065">
        <w:rPr>
          <w:snapToGrid w:val="0"/>
          <w:szCs w:val="24"/>
        </w:rPr>
        <w:t>Hrs.</w:t>
      </w:r>
      <w:r w:rsidRPr="001A5BC9">
        <w:rPr>
          <w:snapToGrid w:val="0"/>
          <w:szCs w:val="24"/>
        </w:rPr>
        <w:t xml:space="preserve"> = $</w:t>
      </w:r>
      <w:r w:rsidRPr="001A5BC9" w:rsidR="00B769C8">
        <w:rPr>
          <w:snapToGrid w:val="0"/>
          <w:szCs w:val="24"/>
        </w:rPr>
        <w:t>32,900.00</w:t>
      </w:r>
    </w:p>
    <w:p w:rsidRPr="001A5BC9" w:rsidR="007E5CF5" w:rsidP="00BE47AB" w:rsidRDefault="007E5CF5">
      <w:pPr>
        <w:widowControl w:val="0"/>
        <w:tabs>
          <w:tab w:val="left" w:pos="-1440"/>
        </w:tabs>
        <w:ind w:left="5040" w:hanging="5040"/>
        <w:rPr>
          <w:snapToGrid w:val="0"/>
          <w:szCs w:val="24"/>
        </w:rPr>
      </w:pPr>
    </w:p>
    <w:p w:rsidRPr="001A5BC9" w:rsidR="007E5CF5" w:rsidP="002B0F55" w:rsidRDefault="0055413D">
      <w:pPr>
        <w:widowControl w:val="0"/>
        <w:tabs>
          <w:tab w:val="left" w:pos="-1440"/>
          <w:tab w:val="left" w:pos="450"/>
        </w:tabs>
        <w:rPr>
          <w:b/>
          <w:snapToGrid w:val="0"/>
        </w:rPr>
      </w:pPr>
      <w:r w:rsidRPr="001A5BC9">
        <w:rPr>
          <w:snapToGrid w:val="0"/>
          <w:szCs w:val="24"/>
        </w:rPr>
        <w:t xml:space="preserve">   </w:t>
      </w:r>
      <w:r w:rsidRPr="001A5BC9" w:rsidR="007E5CF5">
        <w:rPr>
          <w:b/>
          <w:snapToGrid w:val="0"/>
        </w:rPr>
        <w:tab/>
      </w:r>
      <w:r w:rsidRPr="001A5BC9" w:rsidR="00FB157A">
        <w:rPr>
          <w:b/>
          <w:snapToGrid w:val="0"/>
        </w:rPr>
        <w:tab/>
      </w:r>
      <w:r w:rsidRPr="001A5BC9" w:rsidR="007A1654">
        <w:rPr>
          <w:b/>
          <w:snapToGrid w:val="0"/>
        </w:rPr>
        <w:tab/>
      </w:r>
      <w:r w:rsidRPr="001A5BC9" w:rsidR="007E5CF5">
        <w:rPr>
          <w:b/>
          <w:snapToGrid w:val="0"/>
        </w:rPr>
        <w:tab/>
      </w:r>
      <w:r w:rsidRPr="001A5BC9" w:rsidR="00795B6C">
        <w:rPr>
          <w:b/>
          <w:snapToGrid w:val="0"/>
        </w:rPr>
        <w:t xml:space="preserve">       </w:t>
      </w:r>
      <w:r w:rsidRPr="001A5BC9" w:rsidR="007A1654">
        <w:rPr>
          <w:b/>
          <w:snapToGrid w:val="0"/>
        </w:rPr>
        <w:t>Responses</w:t>
      </w:r>
      <w:r w:rsidRPr="001A5BC9" w:rsidR="00795B6C">
        <w:rPr>
          <w:b/>
          <w:snapToGrid w:val="0"/>
        </w:rPr>
        <w:t xml:space="preserve">             </w:t>
      </w:r>
      <w:r w:rsidRPr="001A5BC9" w:rsidR="007A1654">
        <w:rPr>
          <w:b/>
          <w:snapToGrid w:val="0"/>
        </w:rPr>
        <w:t>Mean</w:t>
      </w:r>
      <w:r w:rsidRPr="001A5BC9" w:rsidR="007E5CF5">
        <w:rPr>
          <w:b/>
          <w:snapToGrid w:val="0"/>
        </w:rPr>
        <w:t xml:space="preserve">          </w:t>
      </w:r>
      <w:r w:rsidRPr="001A5BC9" w:rsidR="00795B6C">
        <w:rPr>
          <w:b/>
          <w:snapToGrid w:val="0"/>
        </w:rPr>
        <w:t xml:space="preserve">  </w:t>
      </w:r>
      <w:r w:rsidRPr="001A5BC9" w:rsidR="007A1654">
        <w:rPr>
          <w:b/>
          <w:snapToGrid w:val="0"/>
        </w:rPr>
        <w:t>Hours</w:t>
      </w:r>
      <w:r w:rsidRPr="001A5BC9" w:rsidR="00261F3F">
        <w:rPr>
          <w:b/>
          <w:snapToGrid w:val="0"/>
        </w:rPr>
        <w:tab/>
        <w:t xml:space="preserve">      </w:t>
      </w:r>
      <w:r w:rsidRPr="001A5BC9" w:rsidR="00795B6C">
        <w:rPr>
          <w:b/>
          <w:snapToGrid w:val="0"/>
        </w:rPr>
        <w:t xml:space="preserve">             </w:t>
      </w:r>
      <w:r w:rsidRPr="001A5BC9" w:rsidR="00494D95">
        <w:rPr>
          <w:b/>
          <w:snapToGrid w:val="0"/>
        </w:rPr>
        <w:t xml:space="preserve">        </w:t>
      </w:r>
      <w:r w:rsidRPr="001A5BC9" w:rsidR="00261F3F">
        <w:rPr>
          <w:b/>
          <w:snapToGrid w:val="0"/>
        </w:rPr>
        <w:t xml:space="preserve">Total </w:t>
      </w:r>
    </w:p>
    <w:p w:rsidRPr="001A5BC9" w:rsidR="007E5CF5" w:rsidP="007E5CF5" w:rsidRDefault="007E5CF5">
      <w:pPr>
        <w:widowControl w:val="0"/>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napToGrid w:val="0"/>
        </w:rPr>
      </w:pPr>
      <w:r w:rsidRPr="001A5BC9">
        <w:rPr>
          <w:b/>
          <w:snapToGrid w:val="0"/>
        </w:rPr>
        <w:t>Number of</w:t>
      </w:r>
      <w:r w:rsidRPr="001A5BC9">
        <w:rPr>
          <w:b/>
          <w:snapToGrid w:val="0"/>
        </w:rPr>
        <w:tab/>
      </w:r>
      <w:r w:rsidRPr="001A5BC9">
        <w:rPr>
          <w:b/>
          <w:snapToGrid w:val="0"/>
        </w:rPr>
        <w:tab/>
      </w:r>
      <w:r w:rsidRPr="001A5BC9" w:rsidR="00795B6C">
        <w:rPr>
          <w:b/>
          <w:snapToGrid w:val="0"/>
        </w:rPr>
        <w:t xml:space="preserve"> </w:t>
      </w:r>
      <w:r w:rsidRPr="001A5BC9">
        <w:rPr>
          <w:b/>
          <w:snapToGrid w:val="0"/>
        </w:rPr>
        <w:t>Per</w:t>
      </w:r>
      <w:r w:rsidRPr="001A5BC9">
        <w:rPr>
          <w:b/>
          <w:snapToGrid w:val="0"/>
        </w:rPr>
        <w:tab/>
      </w:r>
      <w:r w:rsidRPr="001A5BC9" w:rsidR="00795B6C">
        <w:rPr>
          <w:b/>
          <w:snapToGrid w:val="0"/>
        </w:rPr>
        <w:t xml:space="preserve">            </w:t>
      </w:r>
      <w:r w:rsidRPr="001A5BC9" w:rsidR="007A1654">
        <w:rPr>
          <w:b/>
          <w:snapToGrid w:val="0"/>
        </w:rPr>
        <w:t xml:space="preserve">Hourly        </w:t>
      </w:r>
      <w:r w:rsidRPr="001A5BC9" w:rsidR="00795B6C">
        <w:rPr>
          <w:b/>
          <w:snapToGrid w:val="0"/>
        </w:rPr>
        <w:t xml:space="preserve">     </w:t>
      </w:r>
      <w:r w:rsidRPr="001A5BC9">
        <w:rPr>
          <w:b/>
          <w:snapToGrid w:val="0"/>
        </w:rPr>
        <w:t>Per</w:t>
      </w:r>
      <w:r w:rsidRPr="001A5BC9">
        <w:rPr>
          <w:b/>
          <w:snapToGrid w:val="0"/>
        </w:rPr>
        <w:tab/>
        <w:t xml:space="preserve">      </w:t>
      </w:r>
      <w:r w:rsidRPr="001A5BC9" w:rsidR="00795B6C">
        <w:rPr>
          <w:b/>
          <w:snapToGrid w:val="0"/>
        </w:rPr>
        <w:t xml:space="preserve">              </w:t>
      </w:r>
      <w:r w:rsidRPr="001A5BC9" w:rsidR="00494D95">
        <w:rPr>
          <w:b/>
          <w:snapToGrid w:val="0"/>
        </w:rPr>
        <w:t xml:space="preserve">        </w:t>
      </w:r>
      <w:r w:rsidRPr="001A5BC9" w:rsidR="00261F3F">
        <w:rPr>
          <w:b/>
          <w:snapToGrid w:val="0"/>
        </w:rPr>
        <w:t>Cost</w:t>
      </w:r>
    </w:p>
    <w:p w:rsidRPr="001A5BC9" w:rsidR="007E5CF5" w:rsidP="007E5CF5" w:rsidRDefault="007E5CF5">
      <w:pPr>
        <w:widowControl w:val="0"/>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rPr>
      </w:pPr>
      <w:r w:rsidRPr="001A5BC9">
        <w:rPr>
          <w:b/>
          <w:snapToGrid w:val="0"/>
          <w:u w:val="single"/>
        </w:rPr>
        <w:t>Respondents</w:t>
      </w:r>
      <w:r w:rsidRPr="001A5BC9">
        <w:rPr>
          <w:b/>
          <w:snapToGrid w:val="0"/>
          <w:u w:val="single"/>
        </w:rPr>
        <w:tab/>
      </w:r>
      <w:r w:rsidRPr="001A5BC9" w:rsidR="00795B6C">
        <w:rPr>
          <w:b/>
          <w:snapToGrid w:val="0"/>
          <w:u w:val="single"/>
        </w:rPr>
        <w:t xml:space="preserve">      </w:t>
      </w:r>
      <w:r w:rsidRPr="001A5BC9">
        <w:rPr>
          <w:b/>
          <w:snapToGrid w:val="0"/>
          <w:u w:val="single"/>
        </w:rPr>
        <w:t>Respondent</w:t>
      </w:r>
      <w:r w:rsidRPr="001A5BC9">
        <w:rPr>
          <w:b/>
          <w:snapToGrid w:val="0"/>
          <w:u w:val="single"/>
        </w:rPr>
        <w:tab/>
      </w:r>
      <w:r w:rsidRPr="001A5BC9" w:rsidR="00795B6C">
        <w:rPr>
          <w:b/>
          <w:snapToGrid w:val="0"/>
          <w:u w:val="single"/>
        </w:rPr>
        <w:t xml:space="preserve"> </w:t>
      </w:r>
      <w:r w:rsidRPr="001A5BC9" w:rsidR="007A1654">
        <w:rPr>
          <w:b/>
          <w:snapToGrid w:val="0"/>
          <w:u w:val="single"/>
        </w:rPr>
        <w:t>Rate</w:t>
      </w:r>
      <w:r w:rsidRPr="001A5BC9">
        <w:rPr>
          <w:b/>
          <w:snapToGrid w:val="0"/>
          <w:u w:val="single"/>
        </w:rPr>
        <w:tab/>
        <w:t xml:space="preserve">       </w:t>
      </w:r>
      <w:r w:rsidRPr="001A5BC9" w:rsidR="00795B6C">
        <w:rPr>
          <w:b/>
          <w:snapToGrid w:val="0"/>
          <w:u w:val="single"/>
        </w:rPr>
        <w:t xml:space="preserve">   </w:t>
      </w:r>
      <w:r w:rsidRPr="001A5BC9">
        <w:rPr>
          <w:b/>
          <w:snapToGrid w:val="0"/>
          <w:u w:val="single"/>
        </w:rPr>
        <w:t xml:space="preserve">Response    </w:t>
      </w:r>
      <w:r w:rsidRPr="001A5BC9" w:rsidR="00795B6C">
        <w:rPr>
          <w:b/>
          <w:snapToGrid w:val="0"/>
          <w:u w:val="single"/>
        </w:rPr>
        <w:t>Benefits</w:t>
      </w:r>
      <w:r w:rsidRPr="001A5BC9">
        <w:rPr>
          <w:b/>
          <w:snapToGrid w:val="0"/>
          <w:u w:val="single"/>
        </w:rPr>
        <w:t xml:space="preserve">  </w:t>
      </w:r>
      <w:r w:rsidRPr="001A5BC9" w:rsidR="00795B6C">
        <w:rPr>
          <w:b/>
          <w:snapToGrid w:val="0"/>
          <w:u w:val="single"/>
        </w:rPr>
        <w:t xml:space="preserve">    </w:t>
      </w:r>
      <w:r w:rsidRPr="001A5BC9" w:rsidR="00261F3F">
        <w:rPr>
          <w:b/>
          <w:snapToGrid w:val="0"/>
          <w:u w:val="single"/>
        </w:rPr>
        <w:t xml:space="preserve">Annually </w:t>
      </w:r>
    </w:p>
    <w:p w:rsidRPr="001A5BC9" w:rsidR="007E5CF5" w:rsidP="007E5CF5" w:rsidRDefault="007E5CF5">
      <w:pPr>
        <w:widowControl w:val="0"/>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sidRPr="001A5BC9">
        <w:rPr>
          <w:snapToGrid w:val="0"/>
        </w:rPr>
        <w:t xml:space="preserve">  </w:t>
      </w:r>
      <w:r w:rsidRPr="001A5BC9">
        <w:rPr>
          <w:snapToGrid w:val="0"/>
        </w:rPr>
        <w:tab/>
      </w:r>
      <w:r w:rsidRPr="001A5BC9">
        <w:rPr>
          <w:snapToGrid w:val="0"/>
        </w:rPr>
        <w:tab/>
      </w:r>
      <w:r w:rsidRPr="001A5BC9" w:rsidR="00553362">
        <w:rPr>
          <w:snapToGrid w:val="0"/>
        </w:rPr>
        <w:t>10</w:t>
      </w:r>
      <w:r w:rsidRPr="001A5BC9" w:rsidR="00B71624">
        <w:rPr>
          <w:snapToGrid w:val="0"/>
        </w:rPr>
        <w:t xml:space="preserve">  </w:t>
      </w:r>
      <w:r w:rsidRPr="001A5BC9" w:rsidR="00B920E3">
        <w:rPr>
          <w:snapToGrid w:val="0"/>
        </w:rPr>
        <w:t xml:space="preserve"> </w:t>
      </w:r>
      <w:r w:rsidRPr="001A5BC9">
        <w:rPr>
          <w:snapToGrid w:val="0"/>
        </w:rPr>
        <w:tab/>
        <w:t xml:space="preserve"> x</w:t>
      </w:r>
      <w:r w:rsidRPr="001A5BC9">
        <w:rPr>
          <w:snapToGrid w:val="0"/>
        </w:rPr>
        <w:tab/>
        <w:t xml:space="preserve">   1</w:t>
      </w:r>
      <w:r w:rsidRPr="001A5BC9">
        <w:rPr>
          <w:snapToGrid w:val="0"/>
        </w:rPr>
        <w:tab/>
      </w:r>
      <w:r w:rsidRPr="001A5BC9" w:rsidR="00795B6C">
        <w:rPr>
          <w:snapToGrid w:val="0"/>
        </w:rPr>
        <w:t xml:space="preserve">    </w:t>
      </w:r>
      <w:r w:rsidRPr="001A5BC9">
        <w:rPr>
          <w:snapToGrid w:val="0"/>
        </w:rPr>
        <w:t xml:space="preserve">x  </w:t>
      </w:r>
      <w:r w:rsidRPr="001A5BC9" w:rsidR="00795B6C">
        <w:rPr>
          <w:snapToGrid w:val="0"/>
        </w:rPr>
        <w:t xml:space="preserve">   </w:t>
      </w:r>
      <w:r w:rsidRPr="001A5BC9">
        <w:rPr>
          <w:snapToGrid w:val="0"/>
        </w:rPr>
        <w:tab/>
        <w:t>$</w:t>
      </w:r>
      <w:r w:rsidRPr="001A5BC9" w:rsidR="003910F8">
        <w:rPr>
          <w:snapToGrid w:val="0"/>
        </w:rPr>
        <w:t>58.75</w:t>
      </w:r>
      <w:r w:rsidRPr="001A5BC9" w:rsidR="00657E9C">
        <w:rPr>
          <w:snapToGrid w:val="0"/>
        </w:rPr>
        <w:t xml:space="preserve">      </w:t>
      </w:r>
      <w:r w:rsidRPr="001A5BC9">
        <w:rPr>
          <w:snapToGrid w:val="0"/>
        </w:rPr>
        <w:t xml:space="preserve">x     </w:t>
      </w:r>
      <w:r w:rsidRPr="001A5BC9" w:rsidR="00494D95">
        <w:rPr>
          <w:snapToGrid w:val="0"/>
        </w:rPr>
        <w:t xml:space="preserve">  </w:t>
      </w:r>
      <w:r w:rsidRPr="001A5BC9">
        <w:rPr>
          <w:snapToGrid w:val="0"/>
        </w:rPr>
        <w:t xml:space="preserve"> 40   </w:t>
      </w:r>
      <w:r w:rsidRPr="001A5BC9" w:rsidR="00494D95">
        <w:rPr>
          <w:snapToGrid w:val="0"/>
        </w:rPr>
        <w:t xml:space="preserve"> </w:t>
      </w:r>
      <w:r w:rsidRPr="001A5BC9">
        <w:rPr>
          <w:snapToGrid w:val="0"/>
        </w:rPr>
        <w:t xml:space="preserve"> </w:t>
      </w:r>
      <w:r w:rsidRPr="001A5BC9" w:rsidR="00494D95">
        <w:rPr>
          <w:snapToGrid w:val="0"/>
        </w:rPr>
        <w:t xml:space="preserve">x        1.4     </w:t>
      </w:r>
      <w:r w:rsidRPr="001A5BC9">
        <w:rPr>
          <w:snapToGrid w:val="0"/>
        </w:rPr>
        <w:t>=  $</w:t>
      </w:r>
      <w:r w:rsidRPr="001A5BC9" w:rsidR="00553362">
        <w:rPr>
          <w:snapToGrid w:val="0"/>
        </w:rPr>
        <w:t>32,900</w:t>
      </w:r>
      <w:r w:rsidRPr="001A5BC9" w:rsidR="000F732C">
        <w:rPr>
          <w:snapToGrid w:val="0"/>
        </w:rPr>
        <w:t>.0</w:t>
      </w:r>
      <w:r w:rsidRPr="001A5BC9" w:rsidR="00494D95">
        <w:rPr>
          <w:snapToGrid w:val="0"/>
        </w:rPr>
        <w:t>0</w:t>
      </w:r>
    </w:p>
    <w:p w:rsidRPr="001A5BC9" w:rsidR="00EF0EB3" w:rsidP="007E5CF5" w:rsidRDefault="00EF0EB3">
      <w:pPr>
        <w:widowControl w:val="0"/>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Pr="001A5BC9" w:rsidR="00EF0EB3" w:rsidP="007E5CF5" w:rsidRDefault="000F732C">
      <w:pPr>
        <w:widowControl w:val="0"/>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sidRPr="001A5BC9">
        <w:rPr>
          <w:snapToGrid w:val="0"/>
        </w:rPr>
        <w:t xml:space="preserve">*Hourly mean wage taken from the BLS Occupation table under </w:t>
      </w:r>
      <w:r w:rsidRPr="001A5BC9" w:rsidR="003910F8">
        <w:rPr>
          <w:snapToGrid w:val="0"/>
        </w:rPr>
        <w:t xml:space="preserve">General and Operations Managers </w:t>
      </w:r>
      <w:r w:rsidRPr="001A5BC9">
        <w:rPr>
          <w:snapToGrid w:val="0"/>
        </w:rPr>
        <w:t xml:space="preserve">under </w:t>
      </w:r>
      <w:r w:rsidRPr="001A5BC9" w:rsidR="00F9202E">
        <w:rPr>
          <w:snapToGrid w:val="0"/>
        </w:rPr>
        <w:t>Support Activities for Water Transportation</w:t>
      </w:r>
      <w:r w:rsidRPr="001A5BC9">
        <w:rPr>
          <w:snapToGrid w:val="0"/>
        </w:rPr>
        <w:t xml:space="preserve">; </w:t>
      </w:r>
      <w:hyperlink w:history="1" r:id="rId10">
        <w:r w:rsidRPr="001A5BC9">
          <w:rPr>
            <w:rStyle w:val="Hyperlink"/>
            <w:snapToGrid w:val="0"/>
          </w:rPr>
          <w:t>https://www.bls.gov/oes/current/oes119199.htm</w:t>
        </w:r>
      </w:hyperlink>
      <w:r w:rsidRPr="001A5BC9">
        <w:rPr>
          <w:snapToGrid w:val="0"/>
        </w:rPr>
        <w:t>.</w:t>
      </w:r>
    </w:p>
    <w:p w:rsidRPr="001A5BC9" w:rsidR="001D224D" w:rsidP="000A6210" w:rsidRDefault="0055413D">
      <w:pPr>
        <w:widowControl w:val="0"/>
        <w:tabs>
          <w:tab w:val="left" w:pos="540"/>
        </w:tabs>
        <w:rPr>
          <w:b/>
          <w:szCs w:val="24"/>
        </w:rPr>
      </w:pPr>
      <w:r w:rsidRPr="001A5BC9">
        <w:rPr>
          <w:snapToGrid w:val="0"/>
          <w:color w:val="1F497D"/>
          <w:szCs w:val="24"/>
        </w:rPr>
        <w:t xml:space="preserve">   </w:t>
      </w:r>
    </w:p>
    <w:p w:rsidRPr="001A5BC9" w:rsidR="001D224D" w:rsidP="000A6210" w:rsidRDefault="001D224D">
      <w:pPr>
        <w:widowControl w:val="0"/>
        <w:tabs>
          <w:tab w:val="left" w:pos="540"/>
        </w:tabs>
        <w:rPr>
          <w:b/>
          <w:szCs w:val="24"/>
        </w:rPr>
      </w:pPr>
      <w:r w:rsidRPr="001A5BC9">
        <w:rPr>
          <w:szCs w:val="24"/>
        </w:rPr>
        <w:t>13.</w:t>
      </w:r>
      <w:r w:rsidRPr="001A5BC9">
        <w:rPr>
          <w:szCs w:val="24"/>
        </w:rPr>
        <w:tab/>
      </w:r>
      <w:r w:rsidRPr="001A5BC9" w:rsidR="00065735">
        <w:rPr>
          <w:szCs w:val="24"/>
          <w:u w:val="single"/>
        </w:rPr>
        <w:t>Estimate of total annual costs to respondents</w:t>
      </w:r>
      <w:r w:rsidRPr="001A5BC9" w:rsidR="00065735">
        <w:rPr>
          <w:szCs w:val="24"/>
        </w:rPr>
        <w:t xml:space="preserve">.  </w:t>
      </w:r>
    </w:p>
    <w:p w:rsidRPr="001A5BC9" w:rsidR="001D224D" w:rsidP="000A6210" w:rsidRDefault="001D224D">
      <w:pPr>
        <w:widowControl w:val="0"/>
        <w:tabs>
          <w:tab w:val="left" w:pos="540"/>
        </w:tabs>
        <w:rPr>
          <w:b/>
          <w:szCs w:val="24"/>
        </w:rPr>
      </w:pPr>
    </w:p>
    <w:p w:rsidRPr="001A5BC9" w:rsidR="00BE47AB" w:rsidP="00BE47AB" w:rsidRDefault="00BE47AB">
      <w:pPr>
        <w:widowControl w:val="0"/>
        <w:ind w:left="720"/>
        <w:rPr>
          <w:snapToGrid w:val="0"/>
        </w:rPr>
      </w:pPr>
      <w:r w:rsidRPr="001A5BC9">
        <w:rPr>
          <w:snapToGrid w:val="0"/>
        </w:rPr>
        <w:t>(a) Total</w:t>
      </w:r>
      <w:r w:rsidRPr="001A5BC9">
        <w:rPr>
          <w:snapToGrid w:val="0"/>
          <w:u w:val="single"/>
        </w:rPr>
        <w:t xml:space="preserve"> Capital and Start-Up Costs Estimate</w:t>
      </w:r>
      <w:r w:rsidRPr="001A5BC9">
        <w:rPr>
          <w:snapToGrid w:val="0"/>
        </w:rPr>
        <w:t>:   There are no capital or start-up costs associated with this information collection.</w:t>
      </w:r>
    </w:p>
    <w:p w:rsidRPr="001A5BC9" w:rsidR="000E0CED" w:rsidP="00BE47AB" w:rsidRDefault="000E0CED">
      <w:pPr>
        <w:widowControl w:val="0"/>
        <w:ind w:left="720"/>
        <w:rPr>
          <w:snapToGrid w:val="0"/>
        </w:rPr>
      </w:pPr>
    </w:p>
    <w:p w:rsidRPr="001A5BC9" w:rsidR="00BE47AB" w:rsidP="00BE47AB" w:rsidRDefault="00BE47AB">
      <w:pPr>
        <w:widowControl w:val="0"/>
        <w:numPr>
          <w:ilvl w:val="0"/>
          <w:numId w:val="25"/>
        </w:numPr>
        <w:rPr>
          <w:snapToGrid w:val="0"/>
        </w:rPr>
      </w:pPr>
      <w:r w:rsidRPr="001A5BC9">
        <w:rPr>
          <w:snapToGrid w:val="0"/>
          <w:u w:val="single"/>
        </w:rPr>
        <w:t>Total Operation and Maintenance and Purchase of Services Estimate</w:t>
      </w:r>
      <w:r w:rsidRPr="001A5BC9">
        <w:rPr>
          <w:snapToGrid w:val="0"/>
        </w:rPr>
        <w:t xml:space="preserve">: There are no </w:t>
      </w:r>
    </w:p>
    <w:p w:rsidRPr="001A5BC9" w:rsidR="00BE47AB" w:rsidP="00BE47AB" w:rsidRDefault="00BE47AB">
      <w:pPr>
        <w:widowControl w:val="0"/>
        <w:ind w:left="720"/>
        <w:rPr>
          <w:snapToGrid w:val="0"/>
        </w:rPr>
      </w:pPr>
      <w:r w:rsidRPr="001A5BC9">
        <w:rPr>
          <w:snapToGrid w:val="0"/>
        </w:rPr>
        <w:t>operational and maintenance or purchase of service costs associated with this information collection.</w:t>
      </w:r>
    </w:p>
    <w:p w:rsidRPr="001A5BC9" w:rsidR="00065735" w:rsidP="00BE47AB" w:rsidRDefault="00065735">
      <w:pPr>
        <w:widowControl w:val="0"/>
        <w:ind w:left="720"/>
        <w:rPr>
          <w:snapToGrid w:val="0"/>
        </w:rPr>
      </w:pPr>
    </w:p>
    <w:p w:rsidRPr="001A5BC9" w:rsidR="00AA2D41" w:rsidP="006C0638" w:rsidRDefault="001D224D">
      <w:pPr>
        <w:widowControl w:val="0"/>
        <w:tabs>
          <w:tab w:val="left" w:pos="540"/>
        </w:tabs>
        <w:rPr>
          <w:szCs w:val="24"/>
        </w:rPr>
      </w:pPr>
      <w:r w:rsidRPr="001A5BC9">
        <w:rPr>
          <w:szCs w:val="24"/>
        </w:rPr>
        <w:t>14.</w:t>
      </w:r>
      <w:r w:rsidRPr="001A5BC9">
        <w:rPr>
          <w:szCs w:val="24"/>
        </w:rPr>
        <w:tab/>
      </w:r>
      <w:r w:rsidRPr="001A5BC9" w:rsidR="00065735">
        <w:rPr>
          <w:szCs w:val="24"/>
          <w:u w:val="single"/>
        </w:rPr>
        <w:t>Estimate of cost to the Federal Government</w:t>
      </w:r>
      <w:r w:rsidRPr="001A5BC9" w:rsidR="00065735">
        <w:rPr>
          <w:szCs w:val="24"/>
        </w:rPr>
        <w:t xml:space="preserve">.  </w:t>
      </w:r>
    </w:p>
    <w:p w:rsidRPr="001A5BC9" w:rsidR="00F9202E" w:rsidP="006C0638" w:rsidRDefault="00F9202E">
      <w:pPr>
        <w:widowControl w:val="0"/>
        <w:tabs>
          <w:tab w:val="left" w:pos="540"/>
        </w:tabs>
        <w:rPr>
          <w:szCs w:val="24"/>
        </w:rPr>
      </w:pPr>
    </w:p>
    <w:p w:rsidRPr="001A5BC9" w:rsidR="00F9202E" w:rsidP="006C0638" w:rsidRDefault="00F9202E">
      <w:pPr>
        <w:widowControl w:val="0"/>
        <w:tabs>
          <w:tab w:val="left" w:pos="540"/>
        </w:tabs>
        <w:rPr>
          <w:b/>
          <w:szCs w:val="24"/>
        </w:rPr>
      </w:pPr>
      <w:r w:rsidRPr="001A5BC9">
        <w:rPr>
          <w:szCs w:val="24"/>
        </w:rPr>
        <w:tab/>
      </w:r>
      <w:r w:rsidRPr="001A5BC9">
        <w:rPr>
          <w:szCs w:val="24"/>
        </w:rPr>
        <w:tab/>
      </w:r>
      <w:r w:rsidRPr="001A5BC9">
        <w:rPr>
          <w:b/>
          <w:szCs w:val="24"/>
        </w:rPr>
        <w:t>Processing of CVSSA Training Provider Certification Applications</w:t>
      </w:r>
    </w:p>
    <w:p w:rsidRPr="001A5BC9" w:rsidR="00065735" w:rsidP="006C0638" w:rsidRDefault="00065735">
      <w:pPr>
        <w:widowControl w:val="0"/>
        <w:tabs>
          <w:tab w:val="left" w:pos="540"/>
        </w:tabs>
        <w:rPr>
          <w:szCs w:val="24"/>
        </w:rPr>
      </w:pPr>
    </w:p>
    <w:p w:rsidRPr="001A5BC9" w:rsidR="001A07B0" w:rsidP="002B0F55" w:rsidRDefault="00AA2D41">
      <w:pPr>
        <w:widowControl w:val="0"/>
        <w:tabs>
          <w:tab w:val="left" w:pos="540"/>
        </w:tabs>
        <w:rPr>
          <w:b/>
          <w:bCs/>
        </w:rPr>
      </w:pPr>
      <w:r w:rsidRPr="001A5BC9">
        <w:rPr>
          <w:b/>
        </w:rPr>
        <w:tab/>
      </w:r>
      <w:r w:rsidRPr="001A5BC9">
        <w:rPr>
          <w:b/>
        </w:rPr>
        <w:tab/>
        <w:t xml:space="preserve">  </w:t>
      </w:r>
      <w:r w:rsidRPr="001A5BC9" w:rsidR="00C02880">
        <w:rPr>
          <w:b/>
        </w:rPr>
        <w:t xml:space="preserve"> </w:t>
      </w:r>
      <w:r w:rsidRPr="001A5BC9" w:rsidR="001A07B0">
        <w:rPr>
          <w:b/>
          <w:bCs/>
        </w:rPr>
        <w:t>Number of</w:t>
      </w:r>
      <w:r w:rsidRPr="001A5BC9" w:rsidR="001A07B0">
        <w:rPr>
          <w:b/>
          <w:bCs/>
        </w:rPr>
        <w:tab/>
      </w:r>
      <w:r w:rsidRPr="001A5BC9">
        <w:rPr>
          <w:b/>
          <w:bCs/>
        </w:rPr>
        <w:t xml:space="preserve">           </w:t>
      </w:r>
      <w:r w:rsidRPr="001A5BC9" w:rsidR="001A07B0">
        <w:rPr>
          <w:b/>
          <w:bCs/>
        </w:rPr>
        <w:t>Hourly</w:t>
      </w:r>
      <w:r w:rsidRPr="001A5BC9" w:rsidR="001E45AF">
        <w:rPr>
          <w:b/>
          <w:bCs/>
        </w:rPr>
        <w:tab/>
        <w:t xml:space="preserve">        </w:t>
      </w:r>
      <w:r w:rsidRPr="001A5BC9" w:rsidR="001A07B0">
        <w:rPr>
          <w:b/>
          <w:bCs/>
        </w:rPr>
        <w:t>Project</w:t>
      </w:r>
      <w:r w:rsidRPr="001A5BC9" w:rsidR="001E45AF">
        <w:rPr>
          <w:b/>
          <w:bCs/>
        </w:rPr>
        <w:t xml:space="preserve"> Time</w:t>
      </w:r>
      <w:r w:rsidRPr="001A5BC9" w:rsidR="00E00AA4">
        <w:rPr>
          <w:b/>
          <w:bCs/>
        </w:rPr>
        <w:t xml:space="preserve">  </w:t>
      </w:r>
      <w:r w:rsidRPr="001A5BC9" w:rsidR="001E45AF">
        <w:rPr>
          <w:b/>
          <w:bCs/>
        </w:rPr>
        <w:tab/>
      </w:r>
      <w:r w:rsidRPr="001A5BC9" w:rsidR="00D6051A">
        <w:rPr>
          <w:b/>
          <w:bCs/>
        </w:rPr>
        <w:tab/>
      </w:r>
      <w:r w:rsidRPr="001A5BC9" w:rsidR="00D6051A">
        <w:rPr>
          <w:b/>
          <w:bCs/>
        </w:rPr>
        <w:tab/>
      </w:r>
      <w:r w:rsidRPr="001A5BC9" w:rsidR="001A07B0">
        <w:rPr>
          <w:b/>
          <w:bCs/>
        </w:rPr>
        <w:t xml:space="preserve">Cost Per </w:t>
      </w:r>
    </w:p>
    <w:p w:rsidRPr="001A5BC9" w:rsidR="001A07B0" w:rsidP="001A07B0" w:rsidRDefault="001A07B0">
      <w:pPr>
        <w:pStyle w:val="NormalWeb"/>
        <w:tabs>
          <w:tab w:val="left" w:pos="900"/>
          <w:tab w:val="left" w:pos="2880"/>
          <w:tab w:val="left" w:pos="4320"/>
          <w:tab w:val="left" w:pos="5850"/>
        </w:tabs>
        <w:spacing w:before="0" w:beforeAutospacing="0" w:after="0" w:afterAutospacing="0"/>
        <w:ind w:firstLine="900"/>
        <w:rPr>
          <w:rFonts w:ascii="Times New Roman" w:hAnsi="Times New Roman" w:cs="Times New Roman"/>
          <w:b/>
          <w:bCs/>
          <w:u w:val="single"/>
        </w:rPr>
      </w:pPr>
      <w:r w:rsidRPr="001A5BC9">
        <w:rPr>
          <w:rFonts w:ascii="Times New Roman" w:hAnsi="Times New Roman" w:cs="Times New Roman"/>
          <w:b/>
          <w:bCs/>
          <w:u w:val="single"/>
        </w:rPr>
        <w:t>Employees</w:t>
      </w:r>
      <w:r w:rsidRPr="001A5BC9" w:rsidR="00007CDE">
        <w:rPr>
          <w:rFonts w:ascii="Times New Roman" w:hAnsi="Times New Roman" w:cs="Times New Roman"/>
          <w:b/>
          <w:bCs/>
          <w:u w:val="single"/>
        </w:rPr>
        <w:t xml:space="preserve"> Per</w:t>
      </w:r>
      <w:r w:rsidRPr="001A5BC9">
        <w:rPr>
          <w:rFonts w:ascii="Times New Roman" w:hAnsi="Times New Roman" w:cs="Times New Roman"/>
          <w:b/>
          <w:bCs/>
        </w:rPr>
        <w:tab/>
      </w:r>
      <w:r w:rsidRPr="001A5BC9">
        <w:rPr>
          <w:rFonts w:ascii="Times New Roman" w:hAnsi="Times New Roman" w:cs="Times New Roman"/>
          <w:b/>
          <w:bCs/>
          <w:u w:val="single"/>
        </w:rPr>
        <w:t>Wage</w:t>
      </w:r>
      <w:r w:rsidRPr="001A5BC9" w:rsidR="00F9202E">
        <w:rPr>
          <w:rFonts w:ascii="Times New Roman" w:hAnsi="Times New Roman" w:cs="Times New Roman"/>
          <w:b/>
          <w:bCs/>
          <w:u w:val="single"/>
        </w:rPr>
        <w:t>*</w:t>
      </w:r>
      <w:r w:rsidRPr="001A5BC9" w:rsidR="001E45AF">
        <w:rPr>
          <w:rFonts w:ascii="Times New Roman" w:hAnsi="Times New Roman" w:cs="Times New Roman"/>
          <w:b/>
          <w:bCs/>
        </w:rPr>
        <w:t xml:space="preserve">        </w:t>
      </w:r>
      <w:r w:rsidRPr="001A5BC9" w:rsidR="001E45AF">
        <w:rPr>
          <w:rFonts w:ascii="Times New Roman" w:hAnsi="Times New Roman" w:cs="Times New Roman"/>
          <w:b/>
          <w:bCs/>
          <w:u w:val="single"/>
        </w:rPr>
        <w:t>Per Response</w:t>
      </w:r>
      <w:r w:rsidRPr="001A5BC9" w:rsidR="001E45AF">
        <w:rPr>
          <w:rFonts w:ascii="Times New Roman" w:hAnsi="Times New Roman" w:cs="Times New Roman"/>
          <w:b/>
          <w:bCs/>
        </w:rPr>
        <w:t xml:space="preserve"> </w:t>
      </w:r>
      <w:r w:rsidRPr="001A5BC9" w:rsidR="001E45AF">
        <w:rPr>
          <w:rFonts w:ascii="Times New Roman" w:hAnsi="Times New Roman" w:cs="Times New Roman"/>
          <w:b/>
          <w:bCs/>
        </w:rPr>
        <w:tab/>
      </w:r>
      <w:r w:rsidRPr="001A5BC9" w:rsidR="00D6051A">
        <w:rPr>
          <w:rFonts w:ascii="Times New Roman" w:hAnsi="Times New Roman" w:cs="Times New Roman"/>
          <w:b/>
          <w:bCs/>
          <w:u w:val="single"/>
        </w:rPr>
        <w:t>Benefit</w:t>
      </w:r>
      <w:r w:rsidRPr="001A5BC9" w:rsidR="001E45AF">
        <w:rPr>
          <w:rFonts w:ascii="Times New Roman" w:hAnsi="Times New Roman" w:cs="Times New Roman"/>
          <w:b/>
          <w:bCs/>
          <w:u w:val="single"/>
        </w:rPr>
        <w:t xml:space="preserve"> </w:t>
      </w:r>
      <w:r w:rsidRPr="001A5BC9" w:rsidR="00E00AA4">
        <w:rPr>
          <w:rFonts w:ascii="Times New Roman" w:hAnsi="Times New Roman" w:cs="Times New Roman"/>
          <w:b/>
          <w:bCs/>
        </w:rPr>
        <w:t xml:space="preserve">          </w:t>
      </w:r>
      <w:r w:rsidRPr="001A5BC9" w:rsidR="00007CDE">
        <w:rPr>
          <w:rFonts w:ascii="Times New Roman" w:hAnsi="Times New Roman" w:cs="Times New Roman"/>
          <w:b/>
          <w:bCs/>
          <w:u w:val="single"/>
        </w:rPr>
        <w:t>Response</w:t>
      </w:r>
      <w:r w:rsidRPr="001A5BC9" w:rsidR="00007CDE">
        <w:rPr>
          <w:rFonts w:ascii="Times New Roman" w:hAnsi="Times New Roman" w:cs="Times New Roman"/>
          <w:b/>
          <w:bCs/>
        </w:rPr>
        <w:t xml:space="preserve"> </w:t>
      </w:r>
      <w:r w:rsidRPr="001A5BC9" w:rsidR="00E00AA4">
        <w:rPr>
          <w:rFonts w:ascii="Times New Roman" w:hAnsi="Times New Roman" w:cs="Times New Roman"/>
          <w:b/>
          <w:bCs/>
        </w:rPr>
        <w:tab/>
      </w:r>
      <w:r w:rsidRPr="001A5BC9" w:rsidR="00E00AA4">
        <w:rPr>
          <w:rFonts w:ascii="Times New Roman" w:hAnsi="Times New Roman" w:cs="Times New Roman"/>
          <w:b/>
          <w:bCs/>
        </w:rPr>
        <w:tab/>
      </w:r>
      <w:r w:rsidRPr="001A5BC9">
        <w:rPr>
          <w:rFonts w:ascii="Times New Roman" w:hAnsi="Times New Roman" w:cs="Times New Roman"/>
          <w:b/>
          <w:bCs/>
          <w:u w:val="single"/>
        </w:rPr>
        <w:t>Application</w:t>
      </w:r>
    </w:p>
    <w:p w:rsidRPr="001A5BC9" w:rsidR="001A07B0" w:rsidP="001A07B0" w:rsidRDefault="001A07B0">
      <w:pPr>
        <w:pStyle w:val="NormalWeb"/>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ab/>
      </w:r>
    </w:p>
    <w:p w:rsidRPr="001A5BC9" w:rsidR="00261F3F" w:rsidP="001A07B0" w:rsidRDefault="00261F3F">
      <w:pPr>
        <w:pStyle w:val="NormalWeb"/>
        <w:tabs>
          <w:tab w:val="left" w:pos="1710"/>
          <w:tab w:val="left" w:pos="2880"/>
          <w:tab w:val="left" w:pos="4500"/>
          <w:tab w:val="left" w:pos="522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(1) SES</w:t>
      </w:r>
      <w:r w:rsidRPr="001A5BC9">
        <w:rPr>
          <w:rFonts w:ascii="Times New Roman" w:hAnsi="Times New Roman" w:cs="Times New Roman"/>
          <w:bCs/>
        </w:rPr>
        <w:tab/>
      </w:r>
      <w:r w:rsidRPr="001A5BC9">
        <w:rPr>
          <w:rFonts w:ascii="Times New Roman" w:hAnsi="Times New Roman" w:cs="Times New Roman"/>
          <w:bCs/>
        </w:rPr>
        <w:tab/>
      </w:r>
      <w:r w:rsidRPr="001A5BC9" w:rsidR="00F1329B">
        <w:rPr>
          <w:rFonts w:ascii="Times New Roman" w:hAnsi="Times New Roman" w:cs="Times New Roman"/>
          <w:bCs/>
        </w:rPr>
        <w:t>$</w:t>
      </w:r>
      <w:r w:rsidRPr="001A5BC9" w:rsidR="00007CDE">
        <w:rPr>
          <w:rFonts w:ascii="Times New Roman" w:hAnsi="Times New Roman" w:cs="Times New Roman"/>
          <w:bCs/>
        </w:rPr>
        <w:t>81.84</w:t>
      </w:r>
      <w:r w:rsidRPr="001A5BC9" w:rsidR="00F1329B">
        <w:rPr>
          <w:rFonts w:ascii="Times New Roman" w:hAnsi="Times New Roman" w:cs="Times New Roman"/>
          <w:bCs/>
        </w:rPr>
        <w:t xml:space="preserve">      x       0</w:t>
      </w:r>
      <w:r w:rsidRPr="001A5BC9" w:rsidR="001E45AF">
        <w:rPr>
          <w:rFonts w:ascii="Times New Roman" w:hAnsi="Times New Roman" w:cs="Times New Roman"/>
          <w:bCs/>
        </w:rPr>
        <w:t>.</w:t>
      </w:r>
      <w:r w:rsidRPr="001A5BC9" w:rsidR="00F1329B">
        <w:rPr>
          <w:rFonts w:ascii="Times New Roman" w:hAnsi="Times New Roman" w:cs="Times New Roman"/>
          <w:bCs/>
        </w:rPr>
        <w:t>5</w:t>
      </w:r>
      <w:r w:rsidRPr="001A5BC9" w:rsidR="00E00AA4">
        <w:rPr>
          <w:rFonts w:ascii="Times New Roman" w:hAnsi="Times New Roman" w:cs="Times New Roman"/>
          <w:bCs/>
        </w:rPr>
        <w:tab/>
      </w:r>
      <w:r w:rsidRPr="001A5BC9" w:rsidR="00494D95">
        <w:rPr>
          <w:rFonts w:ascii="Times New Roman" w:hAnsi="Times New Roman" w:cs="Times New Roman"/>
          <w:bCs/>
        </w:rPr>
        <w:t>x</w:t>
      </w:r>
      <w:r w:rsidRPr="001A5BC9" w:rsidR="00E00AA4">
        <w:rPr>
          <w:rFonts w:ascii="Times New Roman" w:hAnsi="Times New Roman" w:cs="Times New Roman"/>
          <w:bCs/>
        </w:rPr>
        <w:t xml:space="preserve">   </w:t>
      </w:r>
      <w:r w:rsidRPr="001A5BC9" w:rsidR="001D567C">
        <w:rPr>
          <w:rFonts w:ascii="Times New Roman" w:hAnsi="Times New Roman" w:cs="Times New Roman"/>
          <w:bCs/>
        </w:rPr>
        <w:t xml:space="preserve">      </w:t>
      </w:r>
      <w:r w:rsidRPr="001A5BC9" w:rsidR="00E00AA4">
        <w:rPr>
          <w:rFonts w:ascii="Times New Roman" w:hAnsi="Times New Roman" w:cs="Times New Roman"/>
          <w:bCs/>
        </w:rPr>
        <w:t>1.4</w:t>
      </w:r>
      <w:r w:rsidRPr="001A5BC9" w:rsidR="003B77A7">
        <w:rPr>
          <w:rFonts w:ascii="Times New Roman" w:hAnsi="Times New Roman" w:cs="Times New Roman"/>
          <w:bCs/>
        </w:rPr>
        <w:tab/>
      </w:r>
      <w:r w:rsidRPr="001A5BC9" w:rsidR="001D567C">
        <w:rPr>
          <w:rFonts w:ascii="Times New Roman" w:hAnsi="Times New Roman" w:cs="Times New Roman"/>
          <w:bCs/>
        </w:rPr>
        <w:t xml:space="preserve">    </w:t>
      </w:r>
      <w:r w:rsidRPr="001A5BC9" w:rsidR="00E00AA4">
        <w:rPr>
          <w:rFonts w:ascii="Times New Roman" w:hAnsi="Times New Roman" w:cs="Times New Roman"/>
          <w:bCs/>
        </w:rPr>
        <w:t xml:space="preserve">= </w:t>
      </w:r>
      <w:r w:rsidRPr="001A5BC9" w:rsidR="00E00AA4">
        <w:rPr>
          <w:rFonts w:ascii="Times New Roman" w:hAnsi="Times New Roman" w:cs="Times New Roman"/>
          <w:bCs/>
        </w:rPr>
        <w:tab/>
        <w:t xml:space="preserve">$   </w:t>
      </w:r>
      <w:r w:rsidRPr="001A5BC9" w:rsidR="001E45AF">
        <w:rPr>
          <w:rFonts w:ascii="Times New Roman" w:hAnsi="Times New Roman" w:cs="Times New Roman"/>
          <w:bCs/>
        </w:rPr>
        <w:t xml:space="preserve">   </w:t>
      </w:r>
      <w:r w:rsidRPr="001A5BC9" w:rsidR="00007CDE">
        <w:rPr>
          <w:rFonts w:ascii="Times New Roman" w:hAnsi="Times New Roman" w:cs="Times New Roman"/>
          <w:bCs/>
        </w:rPr>
        <w:t>57.29</w:t>
      </w:r>
    </w:p>
    <w:p w:rsidRPr="001A5BC9" w:rsidR="001A07B0" w:rsidP="001A07B0" w:rsidRDefault="007E5CF5">
      <w:pPr>
        <w:pStyle w:val="NormalWeb"/>
        <w:tabs>
          <w:tab w:val="left" w:pos="1710"/>
          <w:tab w:val="left" w:pos="2880"/>
          <w:tab w:val="left" w:pos="4500"/>
          <w:tab w:val="left" w:pos="522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w:t>
      </w:r>
      <w:r w:rsidRPr="001A5BC9" w:rsidR="00F1329B">
        <w:rPr>
          <w:rFonts w:ascii="Times New Roman" w:hAnsi="Times New Roman" w:cs="Times New Roman"/>
          <w:bCs/>
        </w:rPr>
        <w:t>1</w:t>
      </w:r>
      <w:r w:rsidRPr="001A5BC9">
        <w:rPr>
          <w:rFonts w:ascii="Times New Roman" w:hAnsi="Times New Roman" w:cs="Times New Roman"/>
          <w:bCs/>
        </w:rPr>
        <w:t>)</w:t>
      </w:r>
      <w:r w:rsidRPr="001A5BC9" w:rsidR="00E17D2E">
        <w:rPr>
          <w:rFonts w:ascii="Times New Roman" w:hAnsi="Times New Roman" w:cs="Times New Roman"/>
          <w:bCs/>
        </w:rPr>
        <w:t xml:space="preserve"> GS-15    </w:t>
      </w:r>
      <w:r w:rsidRPr="001A5BC9" w:rsidR="001A07B0">
        <w:rPr>
          <w:rFonts w:ascii="Times New Roman" w:hAnsi="Times New Roman" w:cs="Times New Roman"/>
          <w:bCs/>
        </w:rPr>
        <w:t xml:space="preserve"> </w:t>
      </w:r>
      <w:r w:rsidRPr="001A5BC9" w:rsidR="00E17D2E">
        <w:rPr>
          <w:rFonts w:ascii="Times New Roman" w:hAnsi="Times New Roman" w:cs="Times New Roman"/>
          <w:bCs/>
        </w:rPr>
        <w:t xml:space="preserve">          </w:t>
      </w:r>
      <w:r w:rsidRPr="001A5BC9" w:rsidR="000E0CED">
        <w:rPr>
          <w:rFonts w:ascii="Times New Roman" w:hAnsi="Times New Roman" w:cs="Times New Roman"/>
          <w:bCs/>
        </w:rPr>
        <w:t xml:space="preserve"> </w:t>
      </w:r>
      <w:r w:rsidRPr="001A5BC9" w:rsidR="00E17D2E">
        <w:rPr>
          <w:rFonts w:ascii="Times New Roman" w:hAnsi="Times New Roman" w:cs="Times New Roman"/>
          <w:bCs/>
        </w:rPr>
        <w:t xml:space="preserve"> </w:t>
      </w:r>
      <w:r w:rsidRPr="001A5BC9" w:rsidR="001A07B0">
        <w:rPr>
          <w:rFonts w:ascii="Times New Roman" w:hAnsi="Times New Roman" w:cs="Times New Roman"/>
          <w:bCs/>
        </w:rPr>
        <w:t>$</w:t>
      </w:r>
      <w:r w:rsidRPr="001A5BC9" w:rsidR="00007CDE">
        <w:rPr>
          <w:rFonts w:ascii="Times New Roman" w:hAnsi="Times New Roman" w:cs="Times New Roman"/>
          <w:bCs/>
        </w:rPr>
        <w:t>77.49</w:t>
      </w:r>
      <w:r w:rsidRPr="001A5BC9" w:rsidR="00E00AA4">
        <w:rPr>
          <w:rFonts w:ascii="Times New Roman" w:hAnsi="Times New Roman" w:cs="Times New Roman"/>
          <w:bCs/>
        </w:rPr>
        <w:t xml:space="preserve">      </w:t>
      </w:r>
      <w:r w:rsidRPr="001A5BC9" w:rsidR="00E17D2E">
        <w:rPr>
          <w:rFonts w:ascii="Times New Roman" w:hAnsi="Times New Roman" w:cs="Times New Roman"/>
          <w:bCs/>
        </w:rPr>
        <w:t>x</w:t>
      </w:r>
      <w:r w:rsidRPr="001A5BC9" w:rsidR="000E0CED">
        <w:rPr>
          <w:rFonts w:ascii="Times New Roman" w:hAnsi="Times New Roman" w:cs="Times New Roman"/>
          <w:bCs/>
        </w:rPr>
        <w:t xml:space="preserve">       </w:t>
      </w:r>
      <w:r w:rsidRPr="001A5BC9" w:rsidR="001E45AF">
        <w:rPr>
          <w:rFonts w:ascii="Times New Roman" w:hAnsi="Times New Roman" w:cs="Times New Roman"/>
          <w:bCs/>
        </w:rPr>
        <w:t xml:space="preserve">  1</w:t>
      </w:r>
      <w:r w:rsidRPr="001A5BC9" w:rsidR="00E00AA4">
        <w:rPr>
          <w:rFonts w:ascii="Times New Roman" w:hAnsi="Times New Roman" w:cs="Times New Roman"/>
          <w:bCs/>
        </w:rPr>
        <w:tab/>
      </w:r>
      <w:r w:rsidRPr="001A5BC9" w:rsidR="00494D95">
        <w:rPr>
          <w:rFonts w:ascii="Times New Roman" w:hAnsi="Times New Roman" w:cs="Times New Roman"/>
          <w:bCs/>
        </w:rPr>
        <w:t>x</w:t>
      </w:r>
      <w:r w:rsidRPr="001A5BC9" w:rsidR="00E00AA4">
        <w:rPr>
          <w:rFonts w:ascii="Times New Roman" w:hAnsi="Times New Roman" w:cs="Times New Roman"/>
          <w:bCs/>
        </w:rPr>
        <w:t xml:space="preserve">   </w:t>
      </w:r>
      <w:r w:rsidRPr="001A5BC9" w:rsidR="001D567C">
        <w:rPr>
          <w:rFonts w:ascii="Times New Roman" w:hAnsi="Times New Roman" w:cs="Times New Roman"/>
          <w:bCs/>
        </w:rPr>
        <w:t xml:space="preserve">      </w:t>
      </w:r>
      <w:r w:rsidRPr="001A5BC9" w:rsidR="00E00AA4">
        <w:rPr>
          <w:rFonts w:ascii="Times New Roman" w:hAnsi="Times New Roman" w:cs="Times New Roman"/>
          <w:bCs/>
        </w:rPr>
        <w:t>1.4</w:t>
      </w:r>
      <w:r w:rsidRPr="001A5BC9" w:rsidR="003B77A7">
        <w:rPr>
          <w:rFonts w:ascii="Times New Roman" w:hAnsi="Times New Roman" w:cs="Times New Roman"/>
          <w:bCs/>
        </w:rPr>
        <w:tab/>
      </w:r>
      <w:r w:rsidRPr="001A5BC9" w:rsidR="001D567C">
        <w:rPr>
          <w:rFonts w:ascii="Times New Roman" w:hAnsi="Times New Roman" w:cs="Times New Roman"/>
          <w:bCs/>
        </w:rPr>
        <w:t xml:space="preserve">    </w:t>
      </w:r>
      <w:r w:rsidRPr="001A5BC9" w:rsidR="001A07B0">
        <w:rPr>
          <w:rFonts w:ascii="Times New Roman" w:hAnsi="Times New Roman" w:cs="Times New Roman"/>
          <w:bCs/>
        </w:rPr>
        <w:t>=</w:t>
      </w:r>
      <w:r w:rsidRPr="001A5BC9" w:rsidR="00E17D2E">
        <w:rPr>
          <w:rFonts w:ascii="Times New Roman" w:hAnsi="Times New Roman" w:cs="Times New Roman"/>
          <w:bCs/>
        </w:rPr>
        <w:t xml:space="preserve">      </w:t>
      </w:r>
      <w:r w:rsidRPr="001A5BC9" w:rsidR="001A07B0">
        <w:rPr>
          <w:rFonts w:ascii="Times New Roman" w:hAnsi="Times New Roman" w:cs="Times New Roman"/>
          <w:bCs/>
        </w:rPr>
        <w:t>$</w:t>
      </w:r>
      <w:r w:rsidRPr="001A5BC9">
        <w:rPr>
          <w:rFonts w:ascii="Times New Roman" w:hAnsi="Times New Roman" w:cs="Times New Roman"/>
          <w:bCs/>
        </w:rPr>
        <w:t xml:space="preserve"> </w:t>
      </w:r>
      <w:r w:rsidRPr="001A5BC9" w:rsidR="003B77A7">
        <w:rPr>
          <w:rFonts w:ascii="Times New Roman" w:hAnsi="Times New Roman" w:cs="Times New Roman"/>
          <w:bCs/>
        </w:rPr>
        <w:t xml:space="preserve"> </w:t>
      </w:r>
      <w:r w:rsidRPr="001A5BC9" w:rsidR="001E45AF">
        <w:rPr>
          <w:rFonts w:ascii="Times New Roman" w:hAnsi="Times New Roman" w:cs="Times New Roman"/>
          <w:bCs/>
        </w:rPr>
        <w:t xml:space="preserve">   </w:t>
      </w:r>
      <w:r w:rsidRPr="001A5BC9" w:rsidR="00494D95">
        <w:rPr>
          <w:rFonts w:ascii="Times New Roman" w:hAnsi="Times New Roman" w:cs="Times New Roman"/>
          <w:bCs/>
        </w:rPr>
        <w:t>10</w:t>
      </w:r>
      <w:r w:rsidRPr="001A5BC9" w:rsidR="00007CDE">
        <w:rPr>
          <w:rFonts w:ascii="Times New Roman" w:hAnsi="Times New Roman" w:cs="Times New Roman"/>
          <w:bCs/>
        </w:rPr>
        <w:t>8.49</w:t>
      </w:r>
    </w:p>
    <w:p w:rsidRPr="001A5BC9" w:rsidR="001A07B0" w:rsidP="002B0F55" w:rsidRDefault="007E5CF5">
      <w:pPr>
        <w:pStyle w:val="NormalWeb"/>
        <w:tabs>
          <w:tab w:val="left" w:pos="1710"/>
          <w:tab w:val="left" w:pos="2880"/>
          <w:tab w:val="left" w:pos="4500"/>
          <w:tab w:val="left" w:pos="5220"/>
          <w:tab w:val="left" w:pos="5850"/>
          <w:tab w:val="left" w:pos="6120"/>
        </w:tabs>
        <w:spacing w:before="0" w:beforeAutospacing="0" w:after="0" w:afterAutospacing="0"/>
        <w:ind w:firstLine="900"/>
        <w:rPr>
          <w:rFonts w:ascii="Times New Roman" w:hAnsi="Times New Roman" w:cs="Times New Roman"/>
          <w:bCs/>
          <w:u w:val="single"/>
        </w:rPr>
      </w:pPr>
      <w:r w:rsidRPr="001A5BC9">
        <w:rPr>
          <w:rFonts w:ascii="Times New Roman" w:hAnsi="Times New Roman" w:cs="Times New Roman"/>
          <w:bCs/>
          <w:u w:val="single"/>
        </w:rPr>
        <w:t>(1) GS-14</w:t>
      </w:r>
      <w:r w:rsidRPr="001A5BC9">
        <w:rPr>
          <w:rFonts w:ascii="Times New Roman" w:hAnsi="Times New Roman" w:cs="Times New Roman"/>
          <w:bCs/>
          <w:u w:val="single"/>
        </w:rPr>
        <w:tab/>
        <w:t>$</w:t>
      </w:r>
      <w:r w:rsidRPr="001A5BC9" w:rsidR="00007CDE">
        <w:rPr>
          <w:rFonts w:ascii="Times New Roman" w:hAnsi="Times New Roman" w:cs="Times New Roman"/>
          <w:bCs/>
          <w:u w:val="single"/>
        </w:rPr>
        <w:t>65.88</w:t>
      </w:r>
      <w:r w:rsidRPr="001A5BC9" w:rsidR="001A07B0">
        <w:rPr>
          <w:rFonts w:ascii="Times New Roman" w:hAnsi="Times New Roman" w:cs="Times New Roman"/>
          <w:bCs/>
          <w:u w:val="single"/>
        </w:rPr>
        <w:t xml:space="preserve">  </w:t>
      </w:r>
      <w:r w:rsidRPr="001A5BC9">
        <w:rPr>
          <w:rFonts w:ascii="Times New Roman" w:hAnsi="Times New Roman" w:cs="Times New Roman"/>
          <w:bCs/>
          <w:u w:val="single"/>
        </w:rPr>
        <w:t xml:space="preserve">    x   </w:t>
      </w:r>
      <w:r w:rsidRPr="001A5BC9" w:rsidR="000E0CED">
        <w:rPr>
          <w:rFonts w:ascii="Times New Roman" w:hAnsi="Times New Roman" w:cs="Times New Roman"/>
          <w:bCs/>
          <w:u w:val="single"/>
        </w:rPr>
        <w:t xml:space="preserve">  </w:t>
      </w:r>
      <w:r w:rsidRPr="001A5BC9">
        <w:rPr>
          <w:rFonts w:ascii="Times New Roman" w:hAnsi="Times New Roman" w:cs="Times New Roman"/>
          <w:bCs/>
          <w:u w:val="single"/>
        </w:rPr>
        <w:t xml:space="preserve"> </w:t>
      </w:r>
      <w:r w:rsidRPr="001A5BC9" w:rsidR="009524BA">
        <w:rPr>
          <w:rFonts w:ascii="Times New Roman" w:hAnsi="Times New Roman" w:cs="Times New Roman"/>
          <w:bCs/>
          <w:u w:val="single"/>
        </w:rPr>
        <w:t xml:space="preserve"> 40</w:t>
      </w:r>
      <w:r w:rsidRPr="001A5BC9" w:rsidR="003B77A7">
        <w:rPr>
          <w:rFonts w:ascii="Times New Roman" w:hAnsi="Times New Roman" w:cs="Times New Roman"/>
          <w:bCs/>
          <w:u w:val="single"/>
        </w:rPr>
        <w:t xml:space="preserve">  </w:t>
      </w:r>
      <w:r w:rsidRPr="001A5BC9">
        <w:rPr>
          <w:rFonts w:ascii="Times New Roman" w:hAnsi="Times New Roman" w:cs="Times New Roman"/>
          <w:bCs/>
          <w:u w:val="single"/>
        </w:rPr>
        <w:tab/>
      </w:r>
      <w:r w:rsidRPr="001A5BC9" w:rsidR="00494D95">
        <w:rPr>
          <w:rFonts w:ascii="Times New Roman" w:hAnsi="Times New Roman" w:cs="Times New Roman"/>
          <w:bCs/>
          <w:u w:val="single"/>
        </w:rPr>
        <w:t>x</w:t>
      </w:r>
      <w:r w:rsidRPr="001A5BC9" w:rsidR="00E00AA4">
        <w:rPr>
          <w:rFonts w:ascii="Times New Roman" w:hAnsi="Times New Roman" w:cs="Times New Roman"/>
          <w:bCs/>
          <w:u w:val="single"/>
        </w:rPr>
        <w:t xml:space="preserve">   </w:t>
      </w:r>
      <w:r w:rsidRPr="001A5BC9" w:rsidR="001D567C">
        <w:rPr>
          <w:rFonts w:ascii="Times New Roman" w:hAnsi="Times New Roman" w:cs="Times New Roman"/>
          <w:bCs/>
          <w:u w:val="single"/>
        </w:rPr>
        <w:t xml:space="preserve">      </w:t>
      </w:r>
      <w:r w:rsidRPr="001A5BC9" w:rsidR="00E00AA4">
        <w:rPr>
          <w:rFonts w:ascii="Times New Roman" w:hAnsi="Times New Roman" w:cs="Times New Roman"/>
          <w:bCs/>
          <w:u w:val="single"/>
        </w:rPr>
        <w:t>1.4</w:t>
      </w:r>
      <w:r w:rsidRPr="001A5BC9" w:rsidR="003B77A7">
        <w:rPr>
          <w:rFonts w:ascii="Times New Roman" w:hAnsi="Times New Roman" w:cs="Times New Roman"/>
          <w:bCs/>
          <w:u w:val="single"/>
        </w:rPr>
        <w:tab/>
      </w:r>
      <w:r w:rsidRPr="001A5BC9" w:rsidR="001D567C">
        <w:rPr>
          <w:rFonts w:ascii="Times New Roman" w:hAnsi="Times New Roman" w:cs="Times New Roman"/>
          <w:bCs/>
          <w:u w:val="single"/>
        </w:rPr>
        <w:t xml:space="preserve">    </w:t>
      </w:r>
      <w:r w:rsidRPr="001A5BC9">
        <w:rPr>
          <w:rFonts w:ascii="Times New Roman" w:hAnsi="Times New Roman" w:cs="Times New Roman"/>
          <w:bCs/>
          <w:u w:val="single"/>
        </w:rPr>
        <w:t>=</w:t>
      </w:r>
      <w:r w:rsidRPr="001A5BC9" w:rsidR="003B77A7">
        <w:rPr>
          <w:rFonts w:ascii="Times New Roman" w:hAnsi="Times New Roman" w:cs="Times New Roman"/>
          <w:bCs/>
          <w:u w:val="single"/>
        </w:rPr>
        <w:tab/>
      </w:r>
      <w:r w:rsidRPr="001A5BC9">
        <w:rPr>
          <w:rFonts w:ascii="Times New Roman" w:hAnsi="Times New Roman" w:cs="Times New Roman"/>
          <w:bCs/>
          <w:u w:val="single"/>
        </w:rPr>
        <w:t>$</w:t>
      </w:r>
      <w:r w:rsidRPr="001A5BC9" w:rsidR="003B77A7">
        <w:rPr>
          <w:rFonts w:ascii="Times New Roman" w:hAnsi="Times New Roman" w:cs="Times New Roman"/>
          <w:bCs/>
          <w:u w:val="single"/>
        </w:rPr>
        <w:t xml:space="preserve">  </w:t>
      </w:r>
      <w:r w:rsidRPr="001A5BC9" w:rsidR="00007CDE">
        <w:rPr>
          <w:rFonts w:ascii="Times New Roman" w:hAnsi="Times New Roman" w:cs="Times New Roman"/>
          <w:bCs/>
          <w:u w:val="single"/>
        </w:rPr>
        <w:t>3,689.28</w:t>
      </w:r>
    </w:p>
    <w:p w:rsidRPr="001A5BC9" w:rsidR="007E5CF5" w:rsidP="002B0F55" w:rsidRDefault="007E5CF5">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Total</w:t>
      </w:r>
      <w:r w:rsidRPr="001A5BC9">
        <w:rPr>
          <w:rFonts w:ascii="Times New Roman" w:hAnsi="Times New Roman" w:cs="Times New Roman"/>
          <w:bCs/>
        </w:rPr>
        <w:tab/>
      </w:r>
      <w:r w:rsidRPr="001A5BC9">
        <w:rPr>
          <w:rFonts w:ascii="Times New Roman" w:hAnsi="Times New Roman" w:cs="Times New Roman"/>
          <w:bCs/>
        </w:rPr>
        <w:tab/>
      </w:r>
      <w:r w:rsidRPr="001A5BC9" w:rsidR="001E45AF">
        <w:rPr>
          <w:rFonts w:ascii="Times New Roman" w:hAnsi="Times New Roman" w:cs="Times New Roman"/>
          <w:bCs/>
        </w:rPr>
        <w:tab/>
      </w:r>
      <w:r w:rsidRPr="001A5BC9" w:rsidR="001E45AF">
        <w:rPr>
          <w:rFonts w:ascii="Times New Roman" w:hAnsi="Times New Roman" w:cs="Times New Roman"/>
          <w:bCs/>
        </w:rPr>
        <w:tab/>
      </w:r>
      <w:r w:rsidRPr="001A5BC9" w:rsidR="001E45AF">
        <w:rPr>
          <w:rFonts w:ascii="Times New Roman" w:hAnsi="Times New Roman" w:cs="Times New Roman"/>
          <w:bCs/>
        </w:rPr>
        <w:tab/>
      </w:r>
      <w:r w:rsidRPr="001A5BC9">
        <w:rPr>
          <w:rFonts w:ascii="Times New Roman" w:hAnsi="Times New Roman" w:cs="Times New Roman"/>
          <w:bCs/>
        </w:rPr>
        <w:t>$</w:t>
      </w:r>
      <w:r w:rsidRPr="001A5BC9" w:rsidR="001E45AF">
        <w:rPr>
          <w:rFonts w:ascii="Times New Roman" w:hAnsi="Times New Roman" w:cs="Times New Roman"/>
          <w:bCs/>
        </w:rPr>
        <w:t xml:space="preserve">  </w:t>
      </w:r>
      <w:r w:rsidRPr="001A5BC9" w:rsidR="007362A9">
        <w:rPr>
          <w:rFonts w:ascii="Times New Roman" w:hAnsi="Times New Roman" w:cs="Times New Roman"/>
          <w:bCs/>
        </w:rPr>
        <w:t>3,</w:t>
      </w:r>
      <w:r w:rsidRPr="001A5BC9" w:rsidR="00F9202E">
        <w:rPr>
          <w:rFonts w:ascii="Times New Roman" w:hAnsi="Times New Roman" w:cs="Times New Roman"/>
          <w:bCs/>
        </w:rPr>
        <w:t>855.06</w:t>
      </w:r>
    </w:p>
    <w:p w:rsidRPr="001A5BC9" w:rsidR="001A07B0" w:rsidP="002B0F55" w:rsidRDefault="001A07B0">
      <w:pPr>
        <w:pStyle w:val="NormalWeb"/>
        <w:tabs>
          <w:tab w:val="left" w:pos="5220"/>
          <w:tab w:val="left" w:pos="585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Time</w:t>
      </w:r>
      <w:r w:rsidRPr="001A5BC9" w:rsidR="00FC2E9B">
        <w:rPr>
          <w:rFonts w:ascii="Times New Roman" w:hAnsi="Times New Roman" w:cs="Times New Roman"/>
          <w:bCs/>
        </w:rPr>
        <w:t>s</w:t>
      </w:r>
      <w:r w:rsidRPr="001A5BC9">
        <w:rPr>
          <w:rFonts w:ascii="Times New Roman" w:hAnsi="Times New Roman" w:cs="Times New Roman"/>
          <w:bCs/>
        </w:rPr>
        <w:t xml:space="preserve"> </w:t>
      </w:r>
      <w:r w:rsidRPr="001A5BC9" w:rsidR="00553362">
        <w:rPr>
          <w:rFonts w:ascii="Times New Roman" w:hAnsi="Times New Roman" w:cs="Times New Roman"/>
          <w:bCs/>
        </w:rPr>
        <w:t>10</w:t>
      </w:r>
      <w:r w:rsidRPr="001A5BC9" w:rsidR="00B71624">
        <w:rPr>
          <w:rFonts w:ascii="Times New Roman" w:hAnsi="Times New Roman" w:cs="Times New Roman"/>
          <w:bCs/>
        </w:rPr>
        <w:t xml:space="preserve"> </w:t>
      </w:r>
      <w:r w:rsidRPr="001A5BC9">
        <w:rPr>
          <w:rFonts w:ascii="Times New Roman" w:hAnsi="Times New Roman" w:cs="Times New Roman"/>
          <w:bCs/>
        </w:rPr>
        <w:t>responses</w:t>
      </w:r>
      <w:r w:rsidRPr="001A5BC9">
        <w:rPr>
          <w:rFonts w:ascii="Times New Roman" w:hAnsi="Times New Roman" w:cs="Times New Roman"/>
          <w:bCs/>
        </w:rPr>
        <w:tab/>
      </w:r>
      <w:r w:rsidRPr="001A5BC9" w:rsidR="0048783F">
        <w:rPr>
          <w:rFonts w:ascii="Times New Roman" w:hAnsi="Times New Roman" w:cs="Times New Roman"/>
          <w:bCs/>
        </w:rPr>
        <w:tab/>
      </w:r>
      <w:r w:rsidRPr="001A5BC9" w:rsidR="0048783F">
        <w:rPr>
          <w:rFonts w:ascii="Times New Roman" w:hAnsi="Times New Roman" w:cs="Times New Roman"/>
          <w:bCs/>
        </w:rPr>
        <w:tab/>
      </w:r>
      <w:r w:rsidRPr="001A5BC9" w:rsidR="00FF718C">
        <w:rPr>
          <w:rFonts w:ascii="Times New Roman" w:hAnsi="Times New Roman" w:cs="Times New Roman"/>
          <w:bCs/>
        </w:rPr>
        <w:t xml:space="preserve">    </w:t>
      </w:r>
      <w:r w:rsidRPr="001A5BC9">
        <w:rPr>
          <w:rFonts w:ascii="Times New Roman" w:hAnsi="Times New Roman" w:cs="Times New Roman"/>
          <w:bCs/>
        </w:rPr>
        <w:t>=</w:t>
      </w:r>
      <w:r w:rsidRPr="001A5BC9" w:rsidR="000E0CED">
        <w:rPr>
          <w:rFonts w:ascii="Times New Roman" w:hAnsi="Times New Roman" w:cs="Times New Roman"/>
          <w:bCs/>
        </w:rPr>
        <w:tab/>
      </w:r>
      <w:r w:rsidRPr="001A5BC9" w:rsidR="00470020">
        <w:rPr>
          <w:rFonts w:ascii="Times New Roman" w:hAnsi="Times New Roman" w:cs="Times New Roman"/>
          <w:bCs/>
        </w:rPr>
        <w:t>$</w:t>
      </w:r>
      <w:r w:rsidRPr="001A5BC9" w:rsidR="00EB7C97">
        <w:rPr>
          <w:rFonts w:ascii="Times New Roman" w:hAnsi="Times New Roman" w:cs="Times New Roman"/>
          <w:bCs/>
        </w:rPr>
        <w:t>38,550.60</w:t>
      </w:r>
      <w:r w:rsidRPr="001A5BC9">
        <w:rPr>
          <w:rFonts w:ascii="Times New Roman" w:hAnsi="Times New Roman" w:cs="Times New Roman"/>
          <w:bCs/>
        </w:rPr>
        <w:t xml:space="preserve"> </w:t>
      </w:r>
    </w:p>
    <w:p w:rsidRPr="001A5BC9" w:rsidR="00B35DA4" w:rsidP="001A07B0" w:rsidRDefault="00B35DA4">
      <w:pPr>
        <w:pStyle w:val="NormalWeb"/>
        <w:spacing w:before="0" w:beforeAutospacing="0" w:after="0" w:afterAutospacing="0"/>
        <w:ind w:firstLine="900"/>
        <w:rPr>
          <w:rFonts w:ascii="Times New Roman" w:hAnsi="Times New Roman" w:cs="Times New Roman"/>
          <w:bCs/>
        </w:rPr>
      </w:pPr>
    </w:p>
    <w:p w:rsidRPr="001A5BC9" w:rsidR="00B33AFB" w:rsidP="001A07B0" w:rsidRDefault="00B33AFB">
      <w:pPr>
        <w:pStyle w:val="NormalWeb"/>
        <w:spacing w:before="0" w:beforeAutospacing="0" w:after="0" w:afterAutospacing="0"/>
        <w:ind w:firstLine="900"/>
        <w:rPr>
          <w:rFonts w:ascii="Times New Roman" w:hAnsi="Times New Roman" w:cs="Times New Roman"/>
          <w:b/>
          <w:bCs/>
        </w:rPr>
      </w:pPr>
      <w:r w:rsidRPr="001A5BC9">
        <w:rPr>
          <w:rFonts w:ascii="Times New Roman" w:hAnsi="Times New Roman" w:cs="Times New Roman"/>
          <w:b/>
          <w:bCs/>
        </w:rPr>
        <w:t>Oversight of the CVSSA Training Provider Certification Program</w:t>
      </w:r>
    </w:p>
    <w:p w:rsidRPr="001A5BC9" w:rsidR="00175977" w:rsidP="001A07B0" w:rsidRDefault="00175977">
      <w:pPr>
        <w:pStyle w:val="NormalWeb"/>
        <w:spacing w:before="0" w:beforeAutospacing="0" w:after="0" w:afterAutospacing="0"/>
        <w:ind w:firstLine="900"/>
        <w:rPr>
          <w:rFonts w:ascii="Times New Roman" w:hAnsi="Times New Roman" w:cs="Times New Roman"/>
          <w:b/>
          <w:bCs/>
        </w:rPr>
      </w:pPr>
    </w:p>
    <w:p w:rsidRPr="001A5BC9" w:rsidR="00175977" w:rsidP="00175977" w:rsidRDefault="00175977">
      <w:pPr>
        <w:widowControl w:val="0"/>
        <w:tabs>
          <w:tab w:val="left" w:pos="540"/>
        </w:tabs>
        <w:rPr>
          <w:b/>
          <w:bCs/>
        </w:rPr>
      </w:pPr>
      <w:r w:rsidRPr="001A5BC9">
        <w:rPr>
          <w:b/>
          <w:bCs/>
        </w:rPr>
        <w:tab/>
      </w:r>
      <w:r w:rsidRPr="001A5BC9">
        <w:rPr>
          <w:b/>
          <w:bCs/>
        </w:rPr>
        <w:tab/>
        <w:t xml:space="preserve">   Number of</w:t>
      </w:r>
      <w:r w:rsidRPr="001A5BC9">
        <w:rPr>
          <w:b/>
          <w:bCs/>
        </w:rPr>
        <w:tab/>
        <w:t xml:space="preserve">           Hourly</w:t>
      </w:r>
      <w:r w:rsidRPr="001A5BC9">
        <w:rPr>
          <w:b/>
          <w:bCs/>
        </w:rPr>
        <w:tab/>
        <w:t xml:space="preserve">        Oversight  </w:t>
      </w:r>
      <w:r w:rsidRPr="001A5BC9">
        <w:rPr>
          <w:b/>
          <w:bCs/>
        </w:rPr>
        <w:tab/>
      </w:r>
      <w:r w:rsidRPr="001A5BC9">
        <w:rPr>
          <w:b/>
          <w:bCs/>
        </w:rPr>
        <w:tab/>
      </w:r>
      <w:r w:rsidRPr="001A5BC9">
        <w:rPr>
          <w:b/>
          <w:bCs/>
        </w:rPr>
        <w:tab/>
        <w:t xml:space="preserve">Cost Per </w:t>
      </w:r>
    </w:p>
    <w:p w:rsidRPr="001A5BC9" w:rsidR="00175977" w:rsidP="00175977" w:rsidRDefault="00175977">
      <w:pPr>
        <w:pStyle w:val="NormalWeb"/>
        <w:tabs>
          <w:tab w:val="left" w:pos="900"/>
          <w:tab w:val="left" w:pos="2880"/>
          <w:tab w:val="left" w:pos="4320"/>
          <w:tab w:val="left" w:pos="5850"/>
        </w:tabs>
        <w:spacing w:before="0" w:beforeAutospacing="0" w:after="0" w:afterAutospacing="0"/>
        <w:ind w:firstLine="900"/>
        <w:rPr>
          <w:rFonts w:ascii="Times New Roman" w:hAnsi="Times New Roman" w:cs="Times New Roman"/>
          <w:b/>
          <w:bCs/>
          <w:u w:val="single"/>
        </w:rPr>
      </w:pPr>
      <w:r w:rsidRPr="001A5BC9">
        <w:rPr>
          <w:rFonts w:ascii="Times New Roman" w:hAnsi="Times New Roman" w:cs="Times New Roman"/>
          <w:b/>
          <w:bCs/>
          <w:u w:val="single"/>
        </w:rPr>
        <w:t>Employees Per</w:t>
      </w:r>
      <w:r w:rsidRPr="001A5BC9">
        <w:rPr>
          <w:rFonts w:ascii="Times New Roman" w:hAnsi="Times New Roman" w:cs="Times New Roman"/>
          <w:b/>
          <w:bCs/>
        </w:rPr>
        <w:tab/>
      </w:r>
      <w:r w:rsidRPr="001A5BC9">
        <w:rPr>
          <w:rFonts w:ascii="Times New Roman" w:hAnsi="Times New Roman" w:cs="Times New Roman"/>
          <w:b/>
          <w:bCs/>
          <w:u w:val="single"/>
        </w:rPr>
        <w:t>Wage*</w:t>
      </w:r>
      <w:r w:rsidRPr="001A5BC9">
        <w:rPr>
          <w:rFonts w:ascii="Times New Roman" w:hAnsi="Times New Roman" w:cs="Times New Roman"/>
          <w:b/>
          <w:bCs/>
        </w:rPr>
        <w:t xml:space="preserve">        </w:t>
      </w:r>
      <w:r w:rsidRPr="001A5BC9">
        <w:rPr>
          <w:rFonts w:ascii="Times New Roman" w:hAnsi="Times New Roman" w:cs="Times New Roman"/>
          <w:b/>
          <w:bCs/>
          <w:u w:val="single"/>
        </w:rPr>
        <w:t>Hours Per</w:t>
      </w:r>
      <w:r w:rsidRPr="001A5BC9">
        <w:rPr>
          <w:rFonts w:ascii="Times New Roman" w:hAnsi="Times New Roman" w:cs="Times New Roman"/>
          <w:b/>
          <w:bCs/>
        </w:rPr>
        <w:t xml:space="preserve"> </w:t>
      </w:r>
      <w:r w:rsidRPr="001A5BC9">
        <w:rPr>
          <w:rFonts w:ascii="Times New Roman" w:hAnsi="Times New Roman" w:cs="Times New Roman"/>
          <w:b/>
          <w:bCs/>
        </w:rPr>
        <w:tab/>
      </w:r>
      <w:r w:rsidRPr="001A5BC9">
        <w:rPr>
          <w:rFonts w:ascii="Times New Roman" w:hAnsi="Times New Roman" w:cs="Times New Roman"/>
          <w:b/>
          <w:bCs/>
          <w:u w:val="single"/>
        </w:rPr>
        <w:t xml:space="preserve">Benefit </w:t>
      </w:r>
      <w:r w:rsidRPr="001A5BC9">
        <w:rPr>
          <w:rFonts w:ascii="Times New Roman" w:hAnsi="Times New Roman" w:cs="Times New Roman"/>
          <w:b/>
          <w:bCs/>
        </w:rPr>
        <w:t xml:space="preserve">          </w:t>
      </w:r>
      <w:r w:rsidRPr="001A5BC9">
        <w:rPr>
          <w:rFonts w:ascii="Times New Roman" w:hAnsi="Times New Roman" w:cs="Times New Roman"/>
          <w:b/>
          <w:bCs/>
          <w:u w:val="single"/>
        </w:rPr>
        <w:t xml:space="preserve">Year  </w:t>
      </w:r>
      <w:r w:rsidRPr="001A5BC9">
        <w:rPr>
          <w:rFonts w:ascii="Times New Roman" w:hAnsi="Times New Roman" w:cs="Times New Roman"/>
          <w:b/>
          <w:bCs/>
        </w:rPr>
        <w:t xml:space="preserve"> </w:t>
      </w:r>
      <w:r w:rsidRPr="001A5BC9">
        <w:rPr>
          <w:rFonts w:ascii="Times New Roman" w:hAnsi="Times New Roman" w:cs="Times New Roman"/>
          <w:b/>
          <w:bCs/>
        </w:rPr>
        <w:tab/>
      </w:r>
      <w:r w:rsidRPr="001A5BC9">
        <w:rPr>
          <w:rFonts w:ascii="Times New Roman" w:hAnsi="Times New Roman" w:cs="Times New Roman"/>
          <w:b/>
          <w:bCs/>
        </w:rPr>
        <w:tab/>
      </w:r>
      <w:r w:rsidRPr="001A5BC9">
        <w:rPr>
          <w:rFonts w:ascii="Times New Roman" w:hAnsi="Times New Roman" w:cs="Times New Roman"/>
          <w:b/>
          <w:bCs/>
          <w:u w:val="single"/>
        </w:rPr>
        <w:t>Year</w:t>
      </w:r>
      <w:r w:rsidRPr="001A5BC9">
        <w:rPr>
          <w:rFonts w:ascii="Times New Roman" w:hAnsi="Times New Roman" w:cs="Times New Roman"/>
          <w:b/>
          <w:bCs/>
        </w:rPr>
        <w:t xml:space="preserve">                                             </w:t>
      </w:r>
      <w:r w:rsidRPr="001A5BC9">
        <w:rPr>
          <w:rFonts w:ascii="Times New Roman" w:hAnsi="Times New Roman" w:cs="Times New Roman"/>
          <w:b/>
          <w:bCs/>
          <w:u w:val="single"/>
        </w:rPr>
        <w:t>Year</w:t>
      </w:r>
    </w:p>
    <w:p w:rsidRPr="001A5BC9" w:rsidR="00175977" w:rsidP="00175977" w:rsidRDefault="00175977">
      <w:pPr>
        <w:pStyle w:val="NormalWeb"/>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ab/>
      </w:r>
    </w:p>
    <w:p w:rsidRPr="001A5BC9" w:rsidR="00175977" w:rsidP="00175977" w:rsidRDefault="00175977">
      <w:pPr>
        <w:pStyle w:val="NormalWeb"/>
        <w:tabs>
          <w:tab w:val="left" w:pos="1710"/>
          <w:tab w:val="left" w:pos="2880"/>
          <w:tab w:val="left" w:pos="4500"/>
          <w:tab w:val="left" w:pos="522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(1) SES</w:t>
      </w:r>
      <w:r w:rsidRPr="001A5BC9">
        <w:rPr>
          <w:rFonts w:ascii="Times New Roman" w:hAnsi="Times New Roman" w:cs="Times New Roman"/>
          <w:bCs/>
        </w:rPr>
        <w:tab/>
      </w:r>
      <w:r w:rsidRPr="001A5BC9">
        <w:rPr>
          <w:rFonts w:ascii="Times New Roman" w:hAnsi="Times New Roman" w:cs="Times New Roman"/>
          <w:bCs/>
        </w:rPr>
        <w:tab/>
        <w:t>$81.84      x       26</w:t>
      </w:r>
      <w:r w:rsidRPr="001A5BC9">
        <w:rPr>
          <w:rFonts w:ascii="Times New Roman" w:hAnsi="Times New Roman" w:cs="Times New Roman"/>
          <w:bCs/>
        </w:rPr>
        <w:tab/>
        <w:t>x         1.4</w:t>
      </w:r>
      <w:r w:rsidRPr="001A5BC9">
        <w:rPr>
          <w:rFonts w:ascii="Times New Roman" w:hAnsi="Times New Roman" w:cs="Times New Roman"/>
          <w:bCs/>
        </w:rPr>
        <w:tab/>
        <w:t xml:space="preserve">    = </w:t>
      </w:r>
      <w:r w:rsidRPr="001A5BC9">
        <w:rPr>
          <w:rFonts w:ascii="Times New Roman" w:hAnsi="Times New Roman" w:cs="Times New Roman"/>
          <w:bCs/>
        </w:rPr>
        <w:tab/>
        <w:t>$  2,978.98</w:t>
      </w:r>
    </w:p>
    <w:p w:rsidRPr="001A5BC9" w:rsidR="00175977" w:rsidP="00175977" w:rsidRDefault="00175977">
      <w:pPr>
        <w:pStyle w:val="NormalWeb"/>
        <w:tabs>
          <w:tab w:val="left" w:pos="1710"/>
          <w:tab w:val="left" w:pos="2880"/>
          <w:tab w:val="left" w:pos="4500"/>
          <w:tab w:val="left" w:pos="522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(1) GS-15                 $77.49      x       104</w:t>
      </w:r>
      <w:r w:rsidRPr="001A5BC9">
        <w:rPr>
          <w:rFonts w:ascii="Times New Roman" w:hAnsi="Times New Roman" w:cs="Times New Roman"/>
          <w:bCs/>
        </w:rPr>
        <w:tab/>
        <w:t>x         1.4</w:t>
      </w:r>
      <w:r w:rsidRPr="001A5BC9">
        <w:rPr>
          <w:rFonts w:ascii="Times New Roman" w:hAnsi="Times New Roman" w:cs="Times New Roman"/>
          <w:bCs/>
        </w:rPr>
        <w:tab/>
        <w:t xml:space="preserve">    =      $11,282.54</w:t>
      </w:r>
    </w:p>
    <w:p w:rsidRPr="001A5BC9" w:rsidR="00175977" w:rsidP="00175977" w:rsidRDefault="00175977">
      <w:pPr>
        <w:pStyle w:val="NormalWeb"/>
        <w:tabs>
          <w:tab w:val="left" w:pos="1710"/>
          <w:tab w:val="left" w:pos="2880"/>
          <w:tab w:val="left" w:pos="4500"/>
          <w:tab w:val="left" w:pos="5220"/>
          <w:tab w:val="left" w:pos="5850"/>
          <w:tab w:val="left" w:pos="6120"/>
        </w:tabs>
        <w:spacing w:before="0" w:beforeAutospacing="0" w:after="0" w:afterAutospacing="0"/>
        <w:ind w:firstLine="900"/>
        <w:rPr>
          <w:rFonts w:ascii="Times New Roman" w:hAnsi="Times New Roman" w:cs="Times New Roman"/>
          <w:bCs/>
          <w:u w:val="single"/>
        </w:rPr>
      </w:pPr>
      <w:r w:rsidRPr="001A5BC9">
        <w:rPr>
          <w:rFonts w:ascii="Times New Roman" w:hAnsi="Times New Roman" w:cs="Times New Roman"/>
          <w:bCs/>
          <w:u w:val="single"/>
        </w:rPr>
        <w:t>(1) GS-14</w:t>
      </w:r>
      <w:r w:rsidRPr="001A5BC9">
        <w:rPr>
          <w:rFonts w:ascii="Times New Roman" w:hAnsi="Times New Roman" w:cs="Times New Roman"/>
          <w:bCs/>
          <w:u w:val="single"/>
        </w:rPr>
        <w:tab/>
        <w:t xml:space="preserve">$65.88      x       1300  </w:t>
      </w:r>
      <w:r w:rsidRPr="001A5BC9">
        <w:rPr>
          <w:rFonts w:ascii="Times New Roman" w:hAnsi="Times New Roman" w:cs="Times New Roman"/>
          <w:bCs/>
          <w:u w:val="single"/>
        </w:rPr>
        <w:tab/>
        <w:t>x         1.4</w:t>
      </w:r>
      <w:r w:rsidRPr="001A5BC9">
        <w:rPr>
          <w:rFonts w:ascii="Times New Roman" w:hAnsi="Times New Roman" w:cs="Times New Roman"/>
          <w:bCs/>
          <w:u w:val="single"/>
        </w:rPr>
        <w:tab/>
        <w:t xml:space="preserve">    =    $119,901.60</w:t>
      </w:r>
    </w:p>
    <w:p w:rsidRPr="001A5BC9" w:rsidR="00175977" w:rsidP="00175977" w:rsidRDefault="00175977">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Total</w:t>
      </w:r>
      <w:r w:rsidRPr="001A5BC9">
        <w:rPr>
          <w:rFonts w:ascii="Times New Roman" w:hAnsi="Times New Roman" w:cs="Times New Roman"/>
          <w:bCs/>
        </w:rPr>
        <w:tab/>
      </w:r>
      <w:r w:rsidRPr="001A5BC9">
        <w:rPr>
          <w:rFonts w:ascii="Times New Roman" w:hAnsi="Times New Roman" w:cs="Times New Roman"/>
          <w:bCs/>
        </w:rPr>
        <w:tab/>
      </w:r>
      <w:r w:rsidRPr="001A5BC9">
        <w:rPr>
          <w:rFonts w:ascii="Times New Roman" w:hAnsi="Times New Roman" w:cs="Times New Roman"/>
          <w:bCs/>
        </w:rPr>
        <w:tab/>
      </w:r>
      <w:r w:rsidRPr="001A5BC9">
        <w:rPr>
          <w:rFonts w:ascii="Times New Roman" w:hAnsi="Times New Roman" w:cs="Times New Roman"/>
          <w:bCs/>
        </w:rPr>
        <w:tab/>
        <w:t xml:space="preserve">          $</w:t>
      </w:r>
      <w:r w:rsidRPr="001A5BC9" w:rsidR="00B35DA4">
        <w:rPr>
          <w:rFonts w:ascii="Times New Roman" w:hAnsi="Times New Roman" w:cs="Times New Roman"/>
          <w:bCs/>
        </w:rPr>
        <w:t>134,163.12</w:t>
      </w:r>
      <w:r w:rsidRPr="001A5BC9" w:rsidR="00B35DA4">
        <w:rPr>
          <w:rFonts w:ascii="Times New Roman" w:hAnsi="Times New Roman" w:cs="Times New Roman"/>
          <w:bCs/>
        </w:rPr>
        <w:br/>
      </w:r>
    </w:p>
    <w:p w:rsidRPr="001A5BC9" w:rsidR="00B35DA4" w:rsidP="00175977" w:rsidRDefault="00B35DA4">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CVSSA Training Provider Certification Program Travel:                $8,000.00</w:t>
      </w:r>
      <w:r w:rsidRPr="001A5BC9">
        <w:rPr>
          <w:rFonts w:ascii="Times New Roman" w:hAnsi="Times New Roman" w:cs="Times New Roman"/>
          <w:bCs/>
        </w:rPr>
        <w:br/>
      </w:r>
    </w:p>
    <w:p w:rsidRPr="001A5BC9" w:rsidR="00B35DA4" w:rsidP="00175977" w:rsidRDefault="00B35DA4">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Total CVSSA Training Provider Certification Program Oversight</w:t>
      </w:r>
    </w:p>
    <w:p w:rsidRPr="001A5BC9" w:rsidR="00B35DA4" w:rsidP="00296182" w:rsidRDefault="00B35DA4">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r w:rsidRPr="001A5BC9">
        <w:rPr>
          <w:rFonts w:ascii="Times New Roman" w:hAnsi="Times New Roman" w:cs="Times New Roman"/>
          <w:bCs/>
        </w:rPr>
        <w:t>Annual Cost:</w:t>
      </w:r>
      <w:r w:rsidRPr="001A5BC9">
        <w:rPr>
          <w:rFonts w:ascii="Times New Roman" w:hAnsi="Times New Roman" w:cs="Times New Roman"/>
          <w:bCs/>
        </w:rPr>
        <w:tab/>
      </w:r>
      <w:r w:rsidRPr="001A5BC9">
        <w:rPr>
          <w:rFonts w:ascii="Times New Roman" w:hAnsi="Times New Roman" w:cs="Times New Roman"/>
          <w:bCs/>
        </w:rPr>
        <w:tab/>
      </w:r>
      <w:r w:rsidRPr="001A5BC9">
        <w:rPr>
          <w:rFonts w:ascii="Times New Roman" w:hAnsi="Times New Roman" w:cs="Times New Roman"/>
          <w:bCs/>
        </w:rPr>
        <w:tab/>
      </w:r>
      <w:r w:rsidRPr="001A5BC9">
        <w:rPr>
          <w:rFonts w:ascii="Times New Roman" w:hAnsi="Times New Roman" w:cs="Times New Roman"/>
          <w:bCs/>
        </w:rPr>
        <w:tab/>
        <w:t xml:space="preserve">          $142,163.12</w:t>
      </w:r>
    </w:p>
    <w:p w:rsidRPr="001A5BC9" w:rsidR="00B35DA4" w:rsidP="00553362" w:rsidRDefault="00B35DA4">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p>
    <w:p w:rsidRPr="001A5BC9" w:rsidR="00B35DA4" w:rsidP="00515972" w:rsidRDefault="00B35DA4">
      <w:pPr>
        <w:pStyle w:val="NormalWeb"/>
        <w:tabs>
          <w:tab w:val="left" w:pos="5220"/>
          <w:tab w:val="left" w:pos="5850"/>
          <w:tab w:val="left" w:pos="6120"/>
        </w:tabs>
        <w:spacing w:before="0" w:beforeAutospacing="0" w:after="0" w:afterAutospacing="0"/>
        <w:ind w:left="900"/>
        <w:rPr>
          <w:rFonts w:ascii="Times New Roman" w:hAnsi="Times New Roman" w:cs="Times New Roman"/>
          <w:bCs/>
        </w:rPr>
      </w:pPr>
      <w:r w:rsidRPr="001A5BC9">
        <w:rPr>
          <w:rFonts w:ascii="Times New Roman" w:hAnsi="Times New Roman" w:cs="Times New Roman"/>
          <w:bCs/>
        </w:rPr>
        <w:t xml:space="preserve">Total Overall </w:t>
      </w:r>
      <w:r w:rsidRPr="001A5BC9" w:rsidR="00515972">
        <w:rPr>
          <w:rFonts w:ascii="Times New Roman" w:hAnsi="Times New Roman" w:cs="Times New Roman"/>
          <w:bCs/>
        </w:rPr>
        <w:t xml:space="preserve">total annual cost for the </w:t>
      </w:r>
      <w:r w:rsidRPr="001A5BC9">
        <w:rPr>
          <w:rFonts w:ascii="Times New Roman" w:hAnsi="Times New Roman" w:cs="Times New Roman"/>
          <w:bCs/>
        </w:rPr>
        <w:t xml:space="preserve">CVSSA Training Provider Certification Program </w:t>
      </w:r>
      <w:r w:rsidRPr="001A5BC9" w:rsidR="00515972">
        <w:rPr>
          <w:rFonts w:ascii="Times New Roman" w:hAnsi="Times New Roman" w:cs="Times New Roman"/>
          <w:bCs/>
        </w:rPr>
        <w:t>is</w:t>
      </w:r>
      <w:r w:rsidRPr="001A5BC9" w:rsidR="00D040B2">
        <w:rPr>
          <w:rFonts w:ascii="Times New Roman" w:hAnsi="Times New Roman" w:cs="Times New Roman"/>
          <w:bCs/>
        </w:rPr>
        <w:t>:</w:t>
      </w:r>
      <w:r w:rsidRPr="001A5BC9" w:rsidR="00515972">
        <w:rPr>
          <w:rFonts w:ascii="Times New Roman" w:hAnsi="Times New Roman" w:cs="Times New Roman"/>
          <w:bCs/>
        </w:rPr>
        <w:t xml:space="preserve"> $142,163.12</w:t>
      </w:r>
      <w:r w:rsidRPr="001A5BC9" w:rsidR="00A23134">
        <w:rPr>
          <w:rFonts w:ascii="Times New Roman" w:hAnsi="Times New Roman" w:cs="Times New Roman"/>
          <w:bCs/>
        </w:rPr>
        <w:t xml:space="preserve">  </w:t>
      </w:r>
      <w:r w:rsidRPr="001A5BC9" w:rsidR="00515972">
        <w:rPr>
          <w:rFonts w:ascii="Times New Roman" w:hAnsi="Times New Roman" w:cs="Times New Roman"/>
          <w:bCs/>
        </w:rPr>
        <w:t xml:space="preserve"> ($134,163.12 + $8,000 = $142,163.12).</w:t>
      </w:r>
    </w:p>
    <w:p w:rsidRPr="001A5BC9" w:rsidR="00515972" w:rsidP="004765C6" w:rsidRDefault="00515972">
      <w:pPr>
        <w:pStyle w:val="NormalWeb"/>
        <w:tabs>
          <w:tab w:val="left" w:pos="5220"/>
          <w:tab w:val="left" w:pos="5850"/>
          <w:tab w:val="left" w:pos="6120"/>
        </w:tabs>
        <w:spacing w:before="0" w:beforeAutospacing="0" w:after="0" w:afterAutospacing="0"/>
        <w:ind w:firstLine="900"/>
        <w:rPr>
          <w:rFonts w:ascii="Times New Roman" w:hAnsi="Times New Roman" w:cs="Times New Roman"/>
          <w:bCs/>
        </w:rPr>
      </w:pPr>
    </w:p>
    <w:p w:rsidRPr="001A5BC9" w:rsidR="00B35DA4" w:rsidP="00515972" w:rsidRDefault="00515972">
      <w:pPr>
        <w:pStyle w:val="NormalWeb"/>
        <w:tabs>
          <w:tab w:val="left" w:pos="5220"/>
          <w:tab w:val="left" w:pos="5850"/>
          <w:tab w:val="left" w:pos="6120"/>
        </w:tabs>
        <w:spacing w:before="0" w:beforeAutospacing="0" w:after="0" w:afterAutospacing="0"/>
        <w:ind w:left="900"/>
        <w:rPr>
          <w:rFonts w:ascii="Times New Roman" w:hAnsi="Times New Roman" w:cs="Times New Roman"/>
          <w:bCs/>
        </w:rPr>
      </w:pPr>
      <w:r w:rsidRPr="001A5BC9">
        <w:rPr>
          <w:rFonts w:ascii="Times New Roman" w:hAnsi="Times New Roman" w:cs="Times New Roman"/>
          <w:b/>
          <w:bCs/>
        </w:rPr>
        <w:t>Total estimated a</w:t>
      </w:r>
      <w:r w:rsidRPr="001A5BC9" w:rsidR="00B35DA4">
        <w:rPr>
          <w:rFonts w:ascii="Times New Roman" w:hAnsi="Times New Roman" w:cs="Times New Roman"/>
          <w:b/>
          <w:bCs/>
        </w:rPr>
        <w:t xml:space="preserve">nnual </w:t>
      </w:r>
      <w:r w:rsidRPr="001A5BC9">
        <w:rPr>
          <w:rFonts w:ascii="Times New Roman" w:hAnsi="Times New Roman" w:cs="Times New Roman"/>
          <w:b/>
          <w:bCs/>
        </w:rPr>
        <w:t>c</w:t>
      </w:r>
      <w:r w:rsidRPr="001A5BC9" w:rsidR="00B35DA4">
        <w:rPr>
          <w:rFonts w:ascii="Times New Roman" w:hAnsi="Times New Roman" w:cs="Times New Roman"/>
          <w:b/>
          <w:bCs/>
        </w:rPr>
        <w:t>ost</w:t>
      </w:r>
      <w:r w:rsidRPr="001A5BC9">
        <w:rPr>
          <w:rFonts w:ascii="Times New Roman" w:hAnsi="Times New Roman" w:cs="Times New Roman"/>
          <w:b/>
          <w:bCs/>
        </w:rPr>
        <w:t xml:space="preserve"> to the Federal Government is</w:t>
      </w:r>
      <w:r w:rsidRPr="001A5BC9" w:rsidR="00B35DA4">
        <w:rPr>
          <w:rFonts w:ascii="Times New Roman" w:hAnsi="Times New Roman" w:cs="Times New Roman"/>
          <w:b/>
          <w:bCs/>
        </w:rPr>
        <w:t>:</w:t>
      </w:r>
      <w:r w:rsidRPr="001A5BC9">
        <w:rPr>
          <w:rFonts w:ascii="Times New Roman" w:hAnsi="Times New Roman" w:cs="Times New Roman"/>
          <w:b/>
          <w:bCs/>
        </w:rPr>
        <w:t xml:space="preserve">  $38,550.60 + $142,163.12 = $180,713.</w:t>
      </w:r>
      <w:r w:rsidRPr="001A5BC9" w:rsidR="00A23134">
        <w:rPr>
          <w:rFonts w:ascii="Times New Roman" w:hAnsi="Times New Roman" w:cs="Times New Roman"/>
          <w:b/>
          <w:bCs/>
        </w:rPr>
        <w:t>72</w:t>
      </w:r>
      <w:r w:rsidRPr="001A5BC9" w:rsidR="00B35DA4">
        <w:rPr>
          <w:rFonts w:ascii="Times New Roman" w:hAnsi="Times New Roman" w:cs="Times New Roman"/>
          <w:b/>
          <w:bCs/>
        </w:rPr>
        <w:tab/>
      </w:r>
    </w:p>
    <w:p w:rsidRPr="001A5BC9" w:rsidR="001D224D" w:rsidP="000A6210" w:rsidRDefault="001D224D">
      <w:pPr>
        <w:widowControl w:val="0"/>
        <w:tabs>
          <w:tab w:val="left" w:pos="540"/>
        </w:tabs>
        <w:rPr>
          <w:b/>
          <w:szCs w:val="24"/>
        </w:rPr>
      </w:pPr>
    </w:p>
    <w:p w:rsidRPr="001A5BC9" w:rsidR="0040459B" w:rsidP="000A6210" w:rsidRDefault="0040459B">
      <w:pPr>
        <w:widowControl w:val="0"/>
        <w:tabs>
          <w:tab w:val="left" w:pos="540"/>
        </w:tabs>
        <w:rPr>
          <w:szCs w:val="24"/>
        </w:rPr>
      </w:pPr>
      <w:r w:rsidRPr="001A5BC9">
        <w:rPr>
          <w:b/>
          <w:szCs w:val="24"/>
        </w:rPr>
        <w:t>*</w:t>
      </w:r>
      <w:r w:rsidRPr="001A5BC9">
        <w:rPr>
          <w:szCs w:val="24"/>
        </w:rPr>
        <w:t>The hourly wage was taken from the 20</w:t>
      </w:r>
      <w:r w:rsidRPr="001A5BC9" w:rsidR="00522975">
        <w:rPr>
          <w:szCs w:val="24"/>
        </w:rPr>
        <w:t>20</w:t>
      </w:r>
      <w:r w:rsidRPr="001A5BC9">
        <w:rPr>
          <w:szCs w:val="24"/>
        </w:rPr>
        <w:t xml:space="preserve"> GS </w:t>
      </w:r>
      <w:r w:rsidRPr="001A5BC9" w:rsidR="00522975">
        <w:rPr>
          <w:szCs w:val="24"/>
        </w:rPr>
        <w:t xml:space="preserve">and Executive </w:t>
      </w:r>
      <w:r w:rsidRPr="001A5BC9">
        <w:rPr>
          <w:szCs w:val="24"/>
        </w:rPr>
        <w:t xml:space="preserve">Pay </w:t>
      </w:r>
      <w:r w:rsidRPr="001A5BC9" w:rsidR="00522975">
        <w:rPr>
          <w:szCs w:val="24"/>
        </w:rPr>
        <w:t>Tables at:</w:t>
      </w:r>
      <w:r w:rsidRPr="001A5BC9">
        <w:rPr>
          <w:szCs w:val="24"/>
        </w:rPr>
        <w:t xml:space="preserve">  </w:t>
      </w:r>
      <w:hyperlink w:history="1" r:id="rId11">
        <w:r w:rsidRPr="001A5BC9" w:rsidR="003E5F35">
          <w:rPr>
            <w:rStyle w:val="Hyperlink"/>
            <w:szCs w:val="24"/>
          </w:rPr>
          <w:t>https://www.opm.gov/policy-data-oversight/pay-leave/salaries-wages/</w:t>
        </w:r>
      </w:hyperlink>
    </w:p>
    <w:p w:rsidRPr="001A5BC9" w:rsidR="0040459B" w:rsidP="000A6210" w:rsidRDefault="0040459B">
      <w:pPr>
        <w:widowControl w:val="0"/>
        <w:tabs>
          <w:tab w:val="left" w:pos="540"/>
        </w:tabs>
        <w:rPr>
          <w:szCs w:val="24"/>
        </w:rPr>
      </w:pPr>
    </w:p>
    <w:p w:rsidRPr="001A5BC9" w:rsidR="00F67FCC" w:rsidP="00991343" w:rsidRDefault="00065735">
      <w:pPr>
        <w:widowControl w:val="0"/>
        <w:numPr>
          <w:ilvl w:val="0"/>
          <w:numId w:val="10"/>
        </w:numPr>
        <w:tabs>
          <w:tab w:val="num" w:pos="0"/>
          <w:tab w:val="left" w:pos="540"/>
        </w:tabs>
        <w:ind w:left="0" w:firstLine="0"/>
        <w:rPr>
          <w:b/>
          <w:szCs w:val="24"/>
        </w:rPr>
      </w:pPr>
      <w:r w:rsidRPr="001A5BC9">
        <w:rPr>
          <w:szCs w:val="24"/>
          <w:u w:val="single"/>
        </w:rPr>
        <w:t>Explanation of program changes or adjustments reported in questions 12 or 13</w:t>
      </w:r>
      <w:r w:rsidRPr="001A5BC9">
        <w:rPr>
          <w:szCs w:val="24"/>
        </w:rPr>
        <w:t xml:space="preserve">.  </w:t>
      </w:r>
    </w:p>
    <w:p w:rsidRPr="001A5BC9" w:rsidR="00065735" w:rsidP="00065735" w:rsidRDefault="00065735">
      <w:pPr>
        <w:widowControl w:val="0"/>
        <w:tabs>
          <w:tab w:val="left" w:pos="540"/>
        </w:tabs>
        <w:rPr>
          <w:b/>
          <w:szCs w:val="24"/>
        </w:rPr>
      </w:pPr>
    </w:p>
    <w:p w:rsidRPr="001A5BC9" w:rsidR="00470020" w:rsidP="00470020" w:rsidRDefault="00A23134">
      <w:pPr>
        <w:rPr>
          <w:snapToGrid w:val="0"/>
        </w:rPr>
      </w:pPr>
      <w:bookmarkStart w:name="_Hlk54267011" w:id="1"/>
      <w:r w:rsidRPr="001A5BC9">
        <w:rPr>
          <w:snapToGrid w:val="0"/>
        </w:rPr>
        <w:t>Since the last OMB approval, t</w:t>
      </w:r>
      <w:r w:rsidRPr="001A5BC9" w:rsidR="0048783F">
        <w:rPr>
          <w:snapToGrid w:val="0"/>
        </w:rPr>
        <w:t xml:space="preserve">he </w:t>
      </w:r>
      <w:r w:rsidRPr="001A5BC9" w:rsidR="00F4456D">
        <w:rPr>
          <w:snapToGrid w:val="0"/>
        </w:rPr>
        <w:t xml:space="preserve">number of </w:t>
      </w:r>
      <w:r w:rsidRPr="001A5BC9">
        <w:rPr>
          <w:snapToGrid w:val="0"/>
        </w:rPr>
        <w:t xml:space="preserve">applications received </w:t>
      </w:r>
      <w:r w:rsidRPr="001A5BC9" w:rsidR="00F4456D">
        <w:rPr>
          <w:snapToGrid w:val="0"/>
        </w:rPr>
        <w:t xml:space="preserve">decreased </w:t>
      </w:r>
      <w:r w:rsidRPr="001A5BC9">
        <w:rPr>
          <w:snapToGrid w:val="0"/>
        </w:rPr>
        <w:t xml:space="preserve">due to </w:t>
      </w:r>
      <w:r w:rsidRPr="001A5BC9" w:rsidR="00AF5560">
        <w:rPr>
          <w:snapToGrid w:val="0"/>
        </w:rPr>
        <w:t xml:space="preserve">fewer </w:t>
      </w:r>
      <w:bookmarkStart w:name="_Hlk54266963" w:id="2"/>
      <w:r w:rsidRPr="001A5BC9" w:rsidR="00AF5560">
        <w:rPr>
          <w:snapToGrid w:val="0"/>
        </w:rPr>
        <w:t>applicants filing for certifcation</w:t>
      </w:r>
      <w:r w:rsidRPr="001A5BC9" w:rsidR="00F4456D">
        <w:rPr>
          <w:snapToGrid w:val="0"/>
        </w:rPr>
        <w:t>.  F</w:t>
      </w:r>
      <w:r w:rsidRPr="001A5BC9" w:rsidR="0048783F">
        <w:rPr>
          <w:snapToGrid w:val="0"/>
        </w:rPr>
        <w:t xml:space="preserve">or this period, </w:t>
      </w:r>
      <w:bookmarkStart w:name="_Hlk47589927" w:id="3"/>
      <w:r w:rsidRPr="001A5BC9" w:rsidR="0040459B">
        <w:rPr>
          <w:snapToGrid w:val="0"/>
        </w:rPr>
        <w:t xml:space="preserve">MARAD is </w:t>
      </w:r>
      <w:r w:rsidRPr="001A5BC9" w:rsidR="0048783F">
        <w:rPr>
          <w:snapToGrid w:val="0"/>
        </w:rPr>
        <w:t xml:space="preserve">projecting </w:t>
      </w:r>
      <w:r w:rsidRPr="001A5BC9" w:rsidR="00AF5560">
        <w:rPr>
          <w:snapToGrid w:val="0"/>
        </w:rPr>
        <w:t xml:space="preserve">that </w:t>
      </w:r>
      <w:r w:rsidRPr="001A5BC9" w:rsidR="00553362">
        <w:rPr>
          <w:snapToGrid w:val="0"/>
        </w:rPr>
        <w:t>1</w:t>
      </w:r>
      <w:r w:rsidRPr="001A5BC9" w:rsidR="00296182">
        <w:rPr>
          <w:snapToGrid w:val="0"/>
        </w:rPr>
        <w:t>0</w:t>
      </w:r>
      <w:r w:rsidRPr="001A5BC9" w:rsidR="007B213B">
        <w:rPr>
          <w:snapToGrid w:val="0"/>
        </w:rPr>
        <w:t xml:space="preserve"> </w:t>
      </w:r>
      <w:r w:rsidRPr="001A5BC9" w:rsidR="00AF5560">
        <w:rPr>
          <w:snapToGrid w:val="0"/>
        </w:rPr>
        <w:t xml:space="preserve">or less </w:t>
      </w:r>
      <w:r w:rsidRPr="001A5BC9" w:rsidR="00F4456D">
        <w:rPr>
          <w:snapToGrid w:val="0"/>
        </w:rPr>
        <w:t xml:space="preserve">responses </w:t>
      </w:r>
      <w:r w:rsidRPr="001A5BC9" w:rsidR="00AF5560">
        <w:rPr>
          <w:snapToGrid w:val="0"/>
        </w:rPr>
        <w:t xml:space="preserve">per year </w:t>
      </w:r>
      <w:r w:rsidRPr="001A5BC9" w:rsidR="007B213B">
        <w:rPr>
          <w:snapToGrid w:val="0"/>
        </w:rPr>
        <w:t xml:space="preserve">will </w:t>
      </w:r>
      <w:r w:rsidRPr="001A5BC9" w:rsidR="00F4456D">
        <w:rPr>
          <w:snapToGrid w:val="0"/>
        </w:rPr>
        <w:t xml:space="preserve">be </w:t>
      </w:r>
      <w:r w:rsidRPr="001A5BC9" w:rsidR="007B213B">
        <w:rPr>
          <w:snapToGrid w:val="0"/>
        </w:rPr>
        <w:t>receive</w:t>
      </w:r>
      <w:r w:rsidRPr="001A5BC9" w:rsidR="00F4456D">
        <w:rPr>
          <w:snapToGrid w:val="0"/>
        </w:rPr>
        <w:t xml:space="preserve">d. </w:t>
      </w:r>
      <w:bookmarkEnd w:id="3"/>
      <w:r w:rsidRPr="001A5BC9" w:rsidR="0048783F">
        <w:rPr>
          <w:snapToGrid w:val="0"/>
        </w:rPr>
        <w:t xml:space="preserve"> </w:t>
      </w:r>
      <w:r w:rsidRPr="001A5BC9" w:rsidR="00B920E3">
        <w:rPr>
          <w:snapToGrid w:val="0"/>
        </w:rPr>
        <w:t>Other program cost projection changes are based on experience operating the CVSSA Training Provider Certification Program since its inception in 2014.</w:t>
      </w:r>
    </w:p>
    <w:bookmarkEnd w:id="1"/>
    <w:bookmarkEnd w:id="2"/>
    <w:p w:rsidRPr="001A5BC9" w:rsidR="00C02880" w:rsidP="000A6210" w:rsidRDefault="00C02880">
      <w:pPr>
        <w:widowControl w:val="0"/>
        <w:tabs>
          <w:tab w:val="left" w:pos="540"/>
        </w:tabs>
        <w:rPr>
          <w:szCs w:val="24"/>
        </w:rPr>
      </w:pPr>
    </w:p>
    <w:p w:rsidRPr="001A5BC9" w:rsidR="001D224D" w:rsidP="007B68C6" w:rsidRDefault="001D224D">
      <w:pPr>
        <w:widowControl w:val="0"/>
        <w:tabs>
          <w:tab w:val="left" w:pos="540"/>
        </w:tabs>
        <w:rPr>
          <w:szCs w:val="24"/>
        </w:rPr>
      </w:pPr>
      <w:r w:rsidRPr="001A5BC9">
        <w:rPr>
          <w:szCs w:val="24"/>
        </w:rPr>
        <w:t>16.</w:t>
      </w:r>
      <w:r w:rsidRPr="001A5BC9">
        <w:rPr>
          <w:szCs w:val="24"/>
        </w:rPr>
        <w:tab/>
      </w:r>
      <w:r w:rsidRPr="001A5BC9" w:rsidR="007B68C6">
        <w:rPr>
          <w:szCs w:val="24"/>
          <w:u w:val="single"/>
        </w:rPr>
        <w:t>Publication of results of data collection</w:t>
      </w:r>
      <w:r w:rsidRPr="001A5BC9" w:rsidR="007B68C6">
        <w:rPr>
          <w:szCs w:val="24"/>
        </w:rPr>
        <w:t xml:space="preserve">.  </w:t>
      </w:r>
    </w:p>
    <w:p w:rsidRPr="001A5BC9" w:rsidR="001D224D" w:rsidP="000A6210" w:rsidRDefault="001D224D">
      <w:pPr>
        <w:widowControl w:val="0"/>
        <w:tabs>
          <w:tab w:val="left" w:pos="540"/>
        </w:tabs>
        <w:rPr>
          <w:szCs w:val="24"/>
        </w:rPr>
      </w:pPr>
    </w:p>
    <w:p w:rsidRPr="001A5BC9" w:rsidR="00860D06" w:rsidP="000A6210" w:rsidRDefault="00470020">
      <w:pPr>
        <w:widowControl w:val="0"/>
        <w:tabs>
          <w:tab w:val="left" w:pos="540"/>
        </w:tabs>
        <w:rPr>
          <w:szCs w:val="24"/>
        </w:rPr>
      </w:pPr>
      <w:r w:rsidRPr="001A5BC9">
        <w:rPr>
          <w:szCs w:val="24"/>
        </w:rPr>
        <w:t>There are no plans to publish the results of the information collection for statistical purposes.</w:t>
      </w:r>
    </w:p>
    <w:p w:rsidRPr="001A5BC9" w:rsidR="007B68C6" w:rsidP="000A6210" w:rsidRDefault="007B68C6">
      <w:pPr>
        <w:widowControl w:val="0"/>
        <w:tabs>
          <w:tab w:val="left" w:pos="540"/>
        </w:tabs>
        <w:rPr>
          <w:szCs w:val="24"/>
        </w:rPr>
      </w:pPr>
    </w:p>
    <w:p w:rsidRPr="001A5BC9" w:rsidR="001D224D" w:rsidP="007B68C6" w:rsidRDefault="001D224D">
      <w:pPr>
        <w:widowControl w:val="0"/>
        <w:tabs>
          <w:tab w:val="left" w:pos="540"/>
        </w:tabs>
        <w:rPr>
          <w:szCs w:val="24"/>
        </w:rPr>
      </w:pPr>
      <w:r w:rsidRPr="001A5BC9">
        <w:rPr>
          <w:szCs w:val="24"/>
        </w:rPr>
        <w:t>17.</w:t>
      </w:r>
      <w:r w:rsidRPr="001A5BC9">
        <w:rPr>
          <w:szCs w:val="24"/>
        </w:rPr>
        <w:tab/>
      </w:r>
      <w:r w:rsidRPr="001A5BC9" w:rsidR="00C50F5F">
        <w:rPr>
          <w:szCs w:val="24"/>
          <w:u w:val="single"/>
        </w:rPr>
        <w:t>A</w:t>
      </w:r>
      <w:r w:rsidRPr="001A5BC9" w:rsidR="00C02880">
        <w:rPr>
          <w:szCs w:val="24"/>
          <w:u w:val="single"/>
        </w:rPr>
        <w:t xml:space="preserve">pproval </w:t>
      </w:r>
      <w:r w:rsidRPr="001A5BC9" w:rsidR="00C50F5F">
        <w:rPr>
          <w:szCs w:val="24"/>
          <w:u w:val="single"/>
        </w:rPr>
        <w:t>for not displaying the expiration date of OMB approval</w:t>
      </w:r>
      <w:r w:rsidRPr="001A5BC9" w:rsidR="00C50F5F">
        <w:rPr>
          <w:szCs w:val="24"/>
        </w:rPr>
        <w:t xml:space="preserve">.  </w:t>
      </w:r>
    </w:p>
    <w:p w:rsidRPr="001A5BC9" w:rsidR="001D224D" w:rsidP="000A6210" w:rsidRDefault="001D224D">
      <w:pPr>
        <w:widowControl w:val="0"/>
        <w:tabs>
          <w:tab w:val="left" w:pos="540"/>
        </w:tabs>
        <w:rPr>
          <w:szCs w:val="24"/>
        </w:rPr>
      </w:pPr>
    </w:p>
    <w:p w:rsidRPr="001A5BC9" w:rsidR="007B68C6" w:rsidP="000A6210" w:rsidRDefault="00860D06">
      <w:pPr>
        <w:widowControl w:val="0"/>
        <w:tabs>
          <w:tab w:val="left" w:pos="540"/>
        </w:tabs>
        <w:rPr>
          <w:b/>
          <w:szCs w:val="24"/>
        </w:rPr>
      </w:pPr>
      <w:r w:rsidRPr="001A5BC9">
        <w:rPr>
          <w:szCs w:val="24"/>
        </w:rPr>
        <w:t xml:space="preserve">Display would not be inappropriate.  </w:t>
      </w:r>
    </w:p>
    <w:p w:rsidRPr="001A5BC9" w:rsidR="00C02880" w:rsidP="000A6210" w:rsidRDefault="00C02880">
      <w:pPr>
        <w:widowControl w:val="0"/>
        <w:tabs>
          <w:tab w:val="left" w:pos="540"/>
        </w:tabs>
        <w:rPr>
          <w:b/>
          <w:szCs w:val="24"/>
        </w:rPr>
      </w:pPr>
    </w:p>
    <w:p w:rsidRPr="001A5BC9" w:rsidR="00671D37" w:rsidP="00C50F5F" w:rsidRDefault="00C02880">
      <w:pPr>
        <w:widowControl w:val="0"/>
        <w:numPr>
          <w:ilvl w:val="0"/>
          <w:numId w:val="18"/>
        </w:numPr>
        <w:tabs>
          <w:tab w:val="clear" w:pos="900"/>
          <w:tab w:val="num" w:pos="0"/>
          <w:tab w:val="left" w:pos="540"/>
        </w:tabs>
        <w:ind w:left="720" w:hanging="720"/>
        <w:rPr>
          <w:szCs w:val="24"/>
        </w:rPr>
      </w:pPr>
      <w:r w:rsidRPr="001A5BC9">
        <w:rPr>
          <w:szCs w:val="24"/>
          <w:u w:val="single"/>
        </w:rPr>
        <w:t>Explain each exception to the certification statement</w:t>
      </w:r>
      <w:r w:rsidRPr="001A5BC9" w:rsidR="00C50F5F">
        <w:rPr>
          <w:szCs w:val="24"/>
        </w:rPr>
        <w:t>.</w:t>
      </w:r>
      <w:r w:rsidRPr="001A5BC9">
        <w:rPr>
          <w:szCs w:val="24"/>
        </w:rPr>
        <w:t xml:space="preserve"> </w:t>
      </w:r>
    </w:p>
    <w:p w:rsidRPr="001A5BC9" w:rsidR="00C50F5F" w:rsidP="00C50F5F" w:rsidRDefault="00C50F5F">
      <w:pPr>
        <w:widowControl w:val="0"/>
        <w:tabs>
          <w:tab w:val="left" w:pos="540"/>
        </w:tabs>
        <w:ind w:left="720"/>
        <w:rPr>
          <w:szCs w:val="24"/>
        </w:rPr>
      </w:pPr>
    </w:p>
    <w:p w:rsidRPr="002B0F55" w:rsidR="00470020" w:rsidP="00470020" w:rsidRDefault="00470020">
      <w:pPr>
        <w:widowControl w:val="0"/>
        <w:rPr>
          <w:snapToGrid w:val="0"/>
          <w:szCs w:val="24"/>
        </w:rPr>
      </w:pPr>
      <w:r w:rsidRPr="001A5BC9">
        <w:rPr>
          <w:snapToGrid w:val="0"/>
          <w:szCs w:val="24"/>
        </w:rPr>
        <w:t>There are no exceptions to the certificate statement.</w:t>
      </w:r>
    </w:p>
    <w:p w:rsidRPr="00981917" w:rsidR="007A2754" w:rsidP="005F5FD8" w:rsidRDefault="007A2754">
      <w:pPr>
        <w:widowControl w:val="0"/>
        <w:rPr>
          <w:szCs w:val="24"/>
        </w:rPr>
      </w:pPr>
    </w:p>
    <w:sectPr w:rsidRPr="00981917" w:rsidR="007A2754" w:rsidSect="00CD6776">
      <w:headerReference w:type="even" r:id="rId12"/>
      <w:headerReference w:type="default" r:id="rId13"/>
      <w:footerReference w:type="even" r:id="rId14"/>
      <w:footerReference w:type="default" r:id="rId15"/>
      <w:footerReference w:type="first" r:id="rId16"/>
      <w:footnotePr>
        <w:numFmt w:val="lowerLetter"/>
      </w:footnotePr>
      <w:endnotePr>
        <w:numFmt w:val="lowerLetter"/>
      </w:endnotePr>
      <w:pgSz w:w="12240" w:h="15840" w:code="1"/>
      <w:pgMar w:top="1440" w:right="1440" w:bottom="1296" w:left="153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4" w:rsidRDefault="008D3094">
      <w:r>
        <w:separator/>
      </w:r>
    </w:p>
  </w:endnote>
  <w:endnote w:type="continuationSeparator" w:id="0">
    <w:p w:rsidR="008D3094" w:rsidRDefault="008D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5" w:rsidRDefault="00F51065">
    <w:pPr>
      <w:pStyle w:val="Footer"/>
      <w:jc w:val="center"/>
    </w:pPr>
    <w:r>
      <w:fldChar w:fldCharType="begin"/>
    </w:r>
    <w:r>
      <w:instrText xml:space="preserve"> PAGE   \* MERGEFORMAT </w:instrText>
    </w:r>
    <w:r>
      <w:fldChar w:fldCharType="separate"/>
    </w:r>
    <w:r w:rsidR="005758E1">
      <w:rPr>
        <w:noProof/>
      </w:rPr>
      <w:t>3</w:t>
    </w:r>
    <w:r>
      <w:rPr>
        <w:noProof/>
      </w:rPr>
      <w:fldChar w:fldCharType="end"/>
    </w:r>
  </w:p>
  <w:p w:rsidR="00B15EA9" w:rsidRDefault="00B15EA9">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41" w:rsidRDefault="00AA2D41" w:rsidP="00AA2D41">
    <w:pPr>
      <w:pStyle w:val="Footer"/>
      <w:tabs>
        <w:tab w:val="clear" w:pos="4320"/>
        <w:tab w:val="clear" w:pos="8640"/>
        <w:tab w:val="center" w:pos="4680"/>
        <w:tab w:val="right" w:pos="9360"/>
      </w:tabs>
    </w:pPr>
    <w:r>
      <w:tab/>
      <w:t>-1-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4" w:rsidRDefault="008D3094">
      <w:r>
        <w:separator/>
      </w:r>
    </w:p>
  </w:footnote>
  <w:footnote w:type="continuationSeparator" w:id="0">
    <w:p w:rsidR="008D3094" w:rsidRDefault="008D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317065"/>
    <w:multiLevelType w:val="hybridMultilevel"/>
    <w:tmpl w:val="EBDAA2DE"/>
    <w:lvl w:ilvl="0" w:tplc="7AF0DDF0">
      <w:start w:val="3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EE7384A"/>
    <w:multiLevelType w:val="hybridMultilevel"/>
    <w:tmpl w:val="7C86B3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16"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4572DC"/>
    <w:multiLevelType w:val="hybridMultilevel"/>
    <w:tmpl w:val="FBA46900"/>
    <w:lvl w:ilvl="0" w:tplc="8A6CCD72">
      <w:start w:val="15"/>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7D5D7B"/>
    <w:multiLevelType w:val="hybridMultilevel"/>
    <w:tmpl w:val="B0C629E4"/>
    <w:lvl w:ilvl="0" w:tplc="800CB6C4">
      <w:start w:val="4"/>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3"/>
  </w:num>
  <w:num w:numId="10">
    <w:abstractNumId w:val="19"/>
  </w:num>
  <w:num w:numId="11">
    <w:abstractNumId w:val="21"/>
  </w:num>
  <w:num w:numId="12">
    <w:abstractNumId w:val="8"/>
  </w:num>
  <w:num w:numId="13">
    <w:abstractNumId w:val="12"/>
  </w:num>
  <w:num w:numId="14">
    <w:abstractNumId w:val="17"/>
  </w:num>
  <w:num w:numId="15">
    <w:abstractNumId w:val="20"/>
  </w:num>
  <w:num w:numId="16">
    <w:abstractNumId w:val="14"/>
  </w:num>
  <w:num w:numId="17">
    <w:abstractNumId w:val="24"/>
  </w:num>
  <w:num w:numId="18">
    <w:abstractNumId w:val="18"/>
  </w:num>
  <w:num w:numId="19">
    <w:abstractNumId w:val="10"/>
  </w:num>
  <w:num w:numId="20">
    <w:abstractNumId w:val="25"/>
  </w:num>
  <w:num w:numId="21">
    <w:abstractNumId w:val="16"/>
  </w:num>
  <w:num w:numId="22">
    <w:abstractNumId w:val="22"/>
  </w:num>
  <w:num w:numId="23">
    <w:abstractNumId w:val="9"/>
  </w:num>
  <w:num w:numId="24">
    <w:abstractNumId w:val="13"/>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9D"/>
    <w:rsid w:val="00001690"/>
    <w:rsid w:val="0000185B"/>
    <w:rsid w:val="00007CDE"/>
    <w:rsid w:val="0001363C"/>
    <w:rsid w:val="00016E42"/>
    <w:rsid w:val="00026F12"/>
    <w:rsid w:val="00044C4B"/>
    <w:rsid w:val="00046647"/>
    <w:rsid w:val="000525A0"/>
    <w:rsid w:val="00065735"/>
    <w:rsid w:val="000673B2"/>
    <w:rsid w:val="000736A7"/>
    <w:rsid w:val="000738F3"/>
    <w:rsid w:val="0007609B"/>
    <w:rsid w:val="000773D0"/>
    <w:rsid w:val="00082B4A"/>
    <w:rsid w:val="00083CEB"/>
    <w:rsid w:val="00085252"/>
    <w:rsid w:val="00086A03"/>
    <w:rsid w:val="000907D5"/>
    <w:rsid w:val="0009490E"/>
    <w:rsid w:val="000A6210"/>
    <w:rsid w:val="000A6237"/>
    <w:rsid w:val="000A65A4"/>
    <w:rsid w:val="000A6651"/>
    <w:rsid w:val="000C5B12"/>
    <w:rsid w:val="000D16E2"/>
    <w:rsid w:val="000D2714"/>
    <w:rsid w:val="000D3A31"/>
    <w:rsid w:val="000E0CED"/>
    <w:rsid w:val="000E129F"/>
    <w:rsid w:val="000F02F0"/>
    <w:rsid w:val="000F732C"/>
    <w:rsid w:val="0010553F"/>
    <w:rsid w:val="00105786"/>
    <w:rsid w:val="00111C90"/>
    <w:rsid w:val="0011497D"/>
    <w:rsid w:val="0012012B"/>
    <w:rsid w:val="00125C17"/>
    <w:rsid w:val="001400B8"/>
    <w:rsid w:val="001403F6"/>
    <w:rsid w:val="00143869"/>
    <w:rsid w:val="0014478D"/>
    <w:rsid w:val="00145724"/>
    <w:rsid w:val="00145EE7"/>
    <w:rsid w:val="0015328D"/>
    <w:rsid w:val="00154641"/>
    <w:rsid w:val="001602BD"/>
    <w:rsid w:val="00162850"/>
    <w:rsid w:val="00173F47"/>
    <w:rsid w:val="00175977"/>
    <w:rsid w:val="001A07B0"/>
    <w:rsid w:val="001A5BC9"/>
    <w:rsid w:val="001B7E14"/>
    <w:rsid w:val="001C01C9"/>
    <w:rsid w:val="001C56C9"/>
    <w:rsid w:val="001D1C24"/>
    <w:rsid w:val="001D224D"/>
    <w:rsid w:val="001D567C"/>
    <w:rsid w:val="001E45AF"/>
    <w:rsid w:val="001F383D"/>
    <w:rsid w:val="001F680E"/>
    <w:rsid w:val="00214EA1"/>
    <w:rsid w:val="00216BBD"/>
    <w:rsid w:val="00220896"/>
    <w:rsid w:val="002231EF"/>
    <w:rsid w:val="00226CB4"/>
    <w:rsid w:val="00242BED"/>
    <w:rsid w:val="00243260"/>
    <w:rsid w:val="00250CAF"/>
    <w:rsid w:val="00254AB4"/>
    <w:rsid w:val="00261F3F"/>
    <w:rsid w:val="00262265"/>
    <w:rsid w:val="0026368B"/>
    <w:rsid w:val="0026419F"/>
    <w:rsid w:val="00271E38"/>
    <w:rsid w:val="0027370F"/>
    <w:rsid w:val="00282AD5"/>
    <w:rsid w:val="00282E6B"/>
    <w:rsid w:val="002843AF"/>
    <w:rsid w:val="00285BC2"/>
    <w:rsid w:val="002874C2"/>
    <w:rsid w:val="00290CB3"/>
    <w:rsid w:val="00291331"/>
    <w:rsid w:val="002929B0"/>
    <w:rsid w:val="002958AA"/>
    <w:rsid w:val="00296182"/>
    <w:rsid w:val="002A1CB8"/>
    <w:rsid w:val="002A4DFE"/>
    <w:rsid w:val="002A5A16"/>
    <w:rsid w:val="002B0F55"/>
    <w:rsid w:val="002B54A1"/>
    <w:rsid w:val="002B6B54"/>
    <w:rsid w:val="002B7316"/>
    <w:rsid w:val="002D2A3F"/>
    <w:rsid w:val="002E154D"/>
    <w:rsid w:val="002E3119"/>
    <w:rsid w:val="002F283D"/>
    <w:rsid w:val="002F7B7F"/>
    <w:rsid w:val="0030347C"/>
    <w:rsid w:val="00304117"/>
    <w:rsid w:val="0030417A"/>
    <w:rsid w:val="0030454E"/>
    <w:rsid w:val="0030713B"/>
    <w:rsid w:val="00311384"/>
    <w:rsid w:val="0031308A"/>
    <w:rsid w:val="00323F3E"/>
    <w:rsid w:val="00341F55"/>
    <w:rsid w:val="00342AD1"/>
    <w:rsid w:val="00346AAB"/>
    <w:rsid w:val="0034796B"/>
    <w:rsid w:val="003520AC"/>
    <w:rsid w:val="00352650"/>
    <w:rsid w:val="003531A5"/>
    <w:rsid w:val="003533E1"/>
    <w:rsid w:val="0035553B"/>
    <w:rsid w:val="00364904"/>
    <w:rsid w:val="00366EDD"/>
    <w:rsid w:val="003825DD"/>
    <w:rsid w:val="00383C3D"/>
    <w:rsid w:val="003848F8"/>
    <w:rsid w:val="00385DEC"/>
    <w:rsid w:val="003910F8"/>
    <w:rsid w:val="0039412D"/>
    <w:rsid w:val="0039436D"/>
    <w:rsid w:val="00397165"/>
    <w:rsid w:val="00397F24"/>
    <w:rsid w:val="003A7258"/>
    <w:rsid w:val="003B489A"/>
    <w:rsid w:val="003B77A7"/>
    <w:rsid w:val="003D6535"/>
    <w:rsid w:val="003E5F35"/>
    <w:rsid w:val="003F21BC"/>
    <w:rsid w:val="003F2474"/>
    <w:rsid w:val="003F7601"/>
    <w:rsid w:val="00400889"/>
    <w:rsid w:val="00403F40"/>
    <w:rsid w:val="0040459B"/>
    <w:rsid w:val="00412866"/>
    <w:rsid w:val="004130B5"/>
    <w:rsid w:val="00414833"/>
    <w:rsid w:val="00427866"/>
    <w:rsid w:val="00431B7C"/>
    <w:rsid w:val="00434417"/>
    <w:rsid w:val="004402E5"/>
    <w:rsid w:val="00447A44"/>
    <w:rsid w:val="004547EA"/>
    <w:rsid w:val="004555EB"/>
    <w:rsid w:val="00463C8A"/>
    <w:rsid w:val="00466C4E"/>
    <w:rsid w:val="0046756C"/>
    <w:rsid w:val="00470020"/>
    <w:rsid w:val="004722AC"/>
    <w:rsid w:val="004765C6"/>
    <w:rsid w:val="0048262A"/>
    <w:rsid w:val="0048271C"/>
    <w:rsid w:val="004845F1"/>
    <w:rsid w:val="0048783F"/>
    <w:rsid w:val="00490FF0"/>
    <w:rsid w:val="00492398"/>
    <w:rsid w:val="00494D95"/>
    <w:rsid w:val="004A133B"/>
    <w:rsid w:val="004A2D90"/>
    <w:rsid w:val="004B0581"/>
    <w:rsid w:val="004B41D5"/>
    <w:rsid w:val="004C5215"/>
    <w:rsid w:val="004D1083"/>
    <w:rsid w:val="004D1AA9"/>
    <w:rsid w:val="004D7242"/>
    <w:rsid w:val="004D7BD3"/>
    <w:rsid w:val="004E0A52"/>
    <w:rsid w:val="004E26A0"/>
    <w:rsid w:val="004F164A"/>
    <w:rsid w:val="004F17CE"/>
    <w:rsid w:val="004F248A"/>
    <w:rsid w:val="004F5648"/>
    <w:rsid w:val="004F7D0C"/>
    <w:rsid w:val="00503686"/>
    <w:rsid w:val="005070E8"/>
    <w:rsid w:val="00507C0F"/>
    <w:rsid w:val="00510A26"/>
    <w:rsid w:val="005150DF"/>
    <w:rsid w:val="00515972"/>
    <w:rsid w:val="00517784"/>
    <w:rsid w:val="00520F03"/>
    <w:rsid w:val="00521940"/>
    <w:rsid w:val="00521983"/>
    <w:rsid w:val="00522975"/>
    <w:rsid w:val="00525138"/>
    <w:rsid w:val="0052547C"/>
    <w:rsid w:val="0053423B"/>
    <w:rsid w:val="00535F6A"/>
    <w:rsid w:val="00542E46"/>
    <w:rsid w:val="005432AF"/>
    <w:rsid w:val="0055023E"/>
    <w:rsid w:val="00553362"/>
    <w:rsid w:val="0055413D"/>
    <w:rsid w:val="0056066F"/>
    <w:rsid w:val="00561E7E"/>
    <w:rsid w:val="00571076"/>
    <w:rsid w:val="005723C7"/>
    <w:rsid w:val="005758E1"/>
    <w:rsid w:val="00576631"/>
    <w:rsid w:val="00581334"/>
    <w:rsid w:val="0058459E"/>
    <w:rsid w:val="00591081"/>
    <w:rsid w:val="005A0377"/>
    <w:rsid w:val="005A5526"/>
    <w:rsid w:val="005B0506"/>
    <w:rsid w:val="005C1E2C"/>
    <w:rsid w:val="005C2AFA"/>
    <w:rsid w:val="005D644D"/>
    <w:rsid w:val="005E0EDE"/>
    <w:rsid w:val="005E3952"/>
    <w:rsid w:val="005F0AE8"/>
    <w:rsid w:val="005F1C26"/>
    <w:rsid w:val="005F5FD8"/>
    <w:rsid w:val="00602613"/>
    <w:rsid w:val="00607316"/>
    <w:rsid w:val="00617381"/>
    <w:rsid w:val="00620F79"/>
    <w:rsid w:val="00621437"/>
    <w:rsid w:val="00624048"/>
    <w:rsid w:val="006250B5"/>
    <w:rsid w:val="006306BD"/>
    <w:rsid w:val="00632960"/>
    <w:rsid w:val="00636AA0"/>
    <w:rsid w:val="0064782C"/>
    <w:rsid w:val="00647958"/>
    <w:rsid w:val="0065710F"/>
    <w:rsid w:val="00657E9C"/>
    <w:rsid w:val="00662FEA"/>
    <w:rsid w:val="00671D37"/>
    <w:rsid w:val="0067261D"/>
    <w:rsid w:val="00681E37"/>
    <w:rsid w:val="0068484D"/>
    <w:rsid w:val="00687C73"/>
    <w:rsid w:val="00691922"/>
    <w:rsid w:val="00693C31"/>
    <w:rsid w:val="006A0320"/>
    <w:rsid w:val="006B5210"/>
    <w:rsid w:val="006B749B"/>
    <w:rsid w:val="006C0638"/>
    <w:rsid w:val="006C0D1D"/>
    <w:rsid w:val="006C1DBB"/>
    <w:rsid w:val="006D527E"/>
    <w:rsid w:val="006E0E54"/>
    <w:rsid w:val="006F5C32"/>
    <w:rsid w:val="006F613C"/>
    <w:rsid w:val="0070302C"/>
    <w:rsid w:val="00720D5B"/>
    <w:rsid w:val="0072371F"/>
    <w:rsid w:val="007240F0"/>
    <w:rsid w:val="00724627"/>
    <w:rsid w:val="00731CCC"/>
    <w:rsid w:val="00731F93"/>
    <w:rsid w:val="00733E58"/>
    <w:rsid w:val="007340EA"/>
    <w:rsid w:val="007362A9"/>
    <w:rsid w:val="00743112"/>
    <w:rsid w:val="0074515E"/>
    <w:rsid w:val="00752227"/>
    <w:rsid w:val="00752F8C"/>
    <w:rsid w:val="00763417"/>
    <w:rsid w:val="007636DF"/>
    <w:rsid w:val="007666F7"/>
    <w:rsid w:val="00782159"/>
    <w:rsid w:val="0078271D"/>
    <w:rsid w:val="00785360"/>
    <w:rsid w:val="00786565"/>
    <w:rsid w:val="00787F4D"/>
    <w:rsid w:val="00791079"/>
    <w:rsid w:val="00793897"/>
    <w:rsid w:val="00795B6C"/>
    <w:rsid w:val="007975AF"/>
    <w:rsid w:val="007A11F2"/>
    <w:rsid w:val="007A1654"/>
    <w:rsid w:val="007A2754"/>
    <w:rsid w:val="007B213B"/>
    <w:rsid w:val="007B3022"/>
    <w:rsid w:val="007B6267"/>
    <w:rsid w:val="007B68C6"/>
    <w:rsid w:val="007C2F1C"/>
    <w:rsid w:val="007C4FFB"/>
    <w:rsid w:val="007D7EDD"/>
    <w:rsid w:val="007E0401"/>
    <w:rsid w:val="007E2D7F"/>
    <w:rsid w:val="007E5CF5"/>
    <w:rsid w:val="007E7F05"/>
    <w:rsid w:val="0080049A"/>
    <w:rsid w:val="00802D6E"/>
    <w:rsid w:val="0080405D"/>
    <w:rsid w:val="008101EE"/>
    <w:rsid w:val="00811808"/>
    <w:rsid w:val="00824623"/>
    <w:rsid w:val="00827A2E"/>
    <w:rsid w:val="0083789A"/>
    <w:rsid w:val="00843930"/>
    <w:rsid w:val="00854092"/>
    <w:rsid w:val="00857E7F"/>
    <w:rsid w:val="00860D06"/>
    <w:rsid w:val="00884CD2"/>
    <w:rsid w:val="008B1820"/>
    <w:rsid w:val="008B5038"/>
    <w:rsid w:val="008B5371"/>
    <w:rsid w:val="008D166E"/>
    <w:rsid w:val="008D3094"/>
    <w:rsid w:val="008D59F0"/>
    <w:rsid w:val="008D6530"/>
    <w:rsid w:val="009001FE"/>
    <w:rsid w:val="009038BD"/>
    <w:rsid w:val="00904B22"/>
    <w:rsid w:val="00910FC7"/>
    <w:rsid w:val="00912BA0"/>
    <w:rsid w:val="0093512C"/>
    <w:rsid w:val="00936730"/>
    <w:rsid w:val="00936CC3"/>
    <w:rsid w:val="00936FE9"/>
    <w:rsid w:val="0094084B"/>
    <w:rsid w:val="009524BA"/>
    <w:rsid w:val="00954038"/>
    <w:rsid w:val="00965088"/>
    <w:rsid w:val="00970D00"/>
    <w:rsid w:val="00971859"/>
    <w:rsid w:val="00974993"/>
    <w:rsid w:val="00977EE8"/>
    <w:rsid w:val="00977FC3"/>
    <w:rsid w:val="0098143B"/>
    <w:rsid w:val="00981917"/>
    <w:rsid w:val="009857FB"/>
    <w:rsid w:val="00990FC4"/>
    <w:rsid w:val="00991343"/>
    <w:rsid w:val="00997784"/>
    <w:rsid w:val="00997834"/>
    <w:rsid w:val="009A2F0F"/>
    <w:rsid w:val="009A3299"/>
    <w:rsid w:val="009A3BA5"/>
    <w:rsid w:val="009B3673"/>
    <w:rsid w:val="009C2BAC"/>
    <w:rsid w:val="009D7683"/>
    <w:rsid w:val="009E13F5"/>
    <w:rsid w:val="009E1D59"/>
    <w:rsid w:val="009E26B1"/>
    <w:rsid w:val="009E286E"/>
    <w:rsid w:val="009E2B72"/>
    <w:rsid w:val="009E2D3D"/>
    <w:rsid w:val="009E311E"/>
    <w:rsid w:val="009E49DB"/>
    <w:rsid w:val="009E4A89"/>
    <w:rsid w:val="009F3D0A"/>
    <w:rsid w:val="00A002BD"/>
    <w:rsid w:val="00A1037E"/>
    <w:rsid w:val="00A23134"/>
    <w:rsid w:val="00A32459"/>
    <w:rsid w:val="00A32E48"/>
    <w:rsid w:val="00A3435C"/>
    <w:rsid w:val="00A37A22"/>
    <w:rsid w:val="00A40753"/>
    <w:rsid w:val="00A45FCC"/>
    <w:rsid w:val="00A46ADB"/>
    <w:rsid w:val="00A64607"/>
    <w:rsid w:val="00A657EE"/>
    <w:rsid w:val="00A71EC0"/>
    <w:rsid w:val="00A75487"/>
    <w:rsid w:val="00A81529"/>
    <w:rsid w:val="00A86046"/>
    <w:rsid w:val="00AA1704"/>
    <w:rsid w:val="00AA2D41"/>
    <w:rsid w:val="00AA2D42"/>
    <w:rsid w:val="00AB5155"/>
    <w:rsid w:val="00AB7AC4"/>
    <w:rsid w:val="00AC512B"/>
    <w:rsid w:val="00AD05BD"/>
    <w:rsid w:val="00AD24E5"/>
    <w:rsid w:val="00AE0AA8"/>
    <w:rsid w:val="00AE19BD"/>
    <w:rsid w:val="00AF0344"/>
    <w:rsid w:val="00AF2582"/>
    <w:rsid w:val="00AF5560"/>
    <w:rsid w:val="00AF7D52"/>
    <w:rsid w:val="00B029B8"/>
    <w:rsid w:val="00B0326B"/>
    <w:rsid w:val="00B114B5"/>
    <w:rsid w:val="00B11502"/>
    <w:rsid w:val="00B15EA9"/>
    <w:rsid w:val="00B16A3B"/>
    <w:rsid w:val="00B2436D"/>
    <w:rsid w:val="00B33AFB"/>
    <w:rsid w:val="00B342A8"/>
    <w:rsid w:val="00B34D95"/>
    <w:rsid w:val="00B35DA4"/>
    <w:rsid w:val="00B40E11"/>
    <w:rsid w:val="00B607E8"/>
    <w:rsid w:val="00B623C2"/>
    <w:rsid w:val="00B67CA5"/>
    <w:rsid w:val="00B71624"/>
    <w:rsid w:val="00B769C8"/>
    <w:rsid w:val="00B920E3"/>
    <w:rsid w:val="00B97699"/>
    <w:rsid w:val="00BA12D8"/>
    <w:rsid w:val="00BA3172"/>
    <w:rsid w:val="00BA4D6A"/>
    <w:rsid w:val="00BB1A46"/>
    <w:rsid w:val="00BC137D"/>
    <w:rsid w:val="00BD2696"/>
    <w:rsid w:val="00BD7C75"/>
    <w:rsid w:val="00BE2C8F"/>
    <w:rsid w:val="00BE30B3"/>
    <w:rsid w:val="00BE34E7"/>
    <w:rsid w:val="00BE47AB"/>
    <w:rsid w:val="00BE613E"/>
    <w:rsid w:val="00BF16E9"/>
    <w:rsid w:val="00BF23DE"/>
    <w:rsid w:val="00C0163B"/>
    <w:rsid w:val="00C02880"/>
    <w:rsid w:val="00C02BB7"/>
    <w:rsid w:val="00C03498"/>
    <w:rsid w:val="00C2648A"/>
    <w:rsid w:val="00C30EE7"/>
    <w:rsid w:val="00C314A7"/>
    <w:rsid w:val="00C3469A"/>
    <w:rsid w:val="00C34833"/>
    <w:rsid w:val="00C3484D"/>
    <w:rsid w:val="00C36212"/>
    <w:rsid w:val="00C433E6"/>
    <w:rsid w:val="00C50B19"/>
    <w:rsid w:val="00C50BFC"/>
    <w:rsid w:val="00C50F5F"/>
    <w:rsid w:val="00C530F0"/>
    <w:rsid w:val="00C56663"/>
    <w:rsid w:val="00C56F3F"/>
    <w:rsid w:val="00C57B8D"/>
    <w:rsid w:val="00C65AE6"/>
    <w:rsid w:val="00C67722"/>
    <w:rsid w:val="00C861B2"/>
    <w:rsid w:val="00C86F1B"/>
    <w:rsid w:val="00C95090"/>
    <w:rsid w:val="00CA2513"/>
    <w:rsid w:val="00CA2F8F"/>
    <w:rsid w:val="00CA34A9"/>
    <w:rsid w:val="00CA5901"/>
    <w:rsid w:val="00CB1F75"/>
    <w:rsid w:val="00CB30D6"/>
    <w:rsid w:val="00CC4C8E"/>
    <w:rsid w:val="00CC5F10"/>
    <w:rsid w:val="00CD6776"/>
    <w:rsid w:val="00CE14A5"/>
    <w:rsid w:val="00CE48C3"/>
    <w:rsid w:val="00CE7782"/>
    <w:rsid w:val="00CF168D"/>
    <w:rsid w:val="00CF4CB1"/>
    <w:rsid w:val="00CF53FA"/>
    <w:rsid w:val="00CF6F89"/>
    <w:rsid w:val="00D01999"/>
    <w:rsid w:val="00D040B2"/>
    <w:rsid w:val="00D05F3A"/>
    <w:rsid w:val="00D06745"/>
    <w:rsid w:val="00D14093"/>
    <w:rsid w:val="00D143FF"/>
    <w:rsid w:val="00D1476A"/>
    <w:rsid w:val="00D214A4"/>
    <w:rsid w:val="00D25907"/>
    <w:rsid w:val="00D25987"/>
    <w:rsid w:val="00D25988"/>
    <w:rsid w:val="00D37B6D"/>
    <w:rsid w:val="00D404C6"/>
    <w:rsid w:val="00D50002"/>
    <w:rsid w:val="00D50419"/>
    <w:rsid w:val="00D546F8"/>
    <w:rsid w:val="00D55503"/>
    <w:rsid w:val="00D57A3A"/>
    <w:rsid w:val="00D6051A"/>
    <w:rsid w:val="00D7060E"/>
    <w:rsid w:val="00D753D0"/>
    <w:rsid w:val="00D759FC"/>
    <w:rsid w:val="00D86E8E"/>
    <w:rsid w:val="00DA1B86"/>
    <w:rsid w:val="00DA2E75"/>
    <w:rsid w:val="00DB4683"/>
    <w:rsid w:val="00DB4F0D"/>
    <w:rsid w:val="00DB6E97"/>
    <w:rsid w:val="00DC04EE"/>
    <w:rsid w:val="00DC33CC"/>
    <w:rsid w:val="00DD4A67"/>
    <w:rsid w:val="00DE110A"/>
    <w:rsid w:val="00DE3587"/>
    <w:rsid w:val="00DE3BB2"/>
    <w:rsid w:val="00E00AA4"/>
    <w:rsid w:val="00E03924"/>
    <w:rsid w:val="00E07CCF"/>
    <w:rsid w:val="00E10798"/>
    <w:rsid w:val="00E11316"/>
    <w:rsid w:val="00E15198"/>
    <w:rsid w:val="00E16B93"/>
    <w:rsid w:val="00E17D2E"/>
    <w:rsid w:val="00E23E7D"/>
    <w:rsid w:val="00E25C4A"/>
    <w:rsid w:val="00E27B6B"/>
    <w:rsid w:val="00E31627"/>
    <w:rsid w:val="00E35C6E"/>
    <w:rsid w:val="00E3745C"/>
    <w:rsid w:val="00E37575"/>
    <w:rsid w:val="00E459F0"/>
    <w:rsid w:val="00E50617"/>
    <w:rsid w:val="00E50DA4"/>
    <w:rsid w:val="00E66A09"/>
    <w:rsid w:val="00E67ED3"/>
    <w:rsid w:val="00E76DB5"/>
    <w:rsid w:val="00E80F66"/>
    <w:rsid w:val="00EA0394"/>
    <w:rsid w:val="00EA4541"/>
    <w:rsid w:val="00EA591D"/>
    <w:rsid w:val="00EA7689"/>
    <w:rsid w:val="00EB4240"/>
    <w:rsid w:val="00EB7C97"/>
    <w:rsid w:val="00EC23D6"/>
    <w:rsid w:val="00EC7D44"/>
    <w:rsid w:val="00ED24F2"/>
    <w:rsid w:val="00ED4F84"/>
    <w:rsid w:val="00EE1E06"/>
    <w:rsid w:val="00EE5390"/>
    <w:rsid w:val="00EE6BBC"/>
    <w:rsid w:val="00EF0EB3"/>
    <w:rsid w:val="00EF4FFB"/>
    <w:rsid w:val="00F03BBF"/>
    <w:rsid w:val="00F040D4"/>
    <w:rsid w:val="00F12098"/>
    <w:rsid w:val="00F1329B"/>
    <w:rsid w:val="00F138FF"/>
    <w:rsid w:val="00F31288"/>
    <w:rsid w:val="00F415DF"/>
    <w:rsid w:val="00F422CF"/>
    <w:rsid w:val="00F42E08"/>
    <w:rsid w:val="00F4456D"/>
    <w:rsid w:val="00F45141"/>
    <w:rsid w:val="00F45271"/>
    <w:rsid w:val="00F4544F"/>
    <w:rsid w:val="00F45A57"/>
    <w:rsid w:val="00F51065"/>
    <w:rsid w:val="00F57B41"/>
    <w:rsid w:val="00F63C4E"/>
    <w:rsid w:val="00F67FCC"/>
    <w:rsid w:val="00F702C1"/>
    <w:rsid w:val="00F7389D"/>
    <w:rsid w:val="00F75AD0"/>
    <w:rsid w:val="00F75DB2"/>
    <w:rsid w:val="00F83CF4"/>
    <w:rsid w:val="00F90453"/>
    <w:rsid w:val="00F90C7B"/>
    <w:rsid w:val="00F9202E"/>
    <w:rsid w:val="00FA310A"/>
    <w:rsid w:val="00FA6919"/>
    <w:rsid w:val="00FB157A"/>
    <w:rsid w:val="00FB205E"/>
    <w:rsid w:val="00FC1A12"/>
    <w:rsid w:val="00FC2E9B"/>
    <w:rsid w:val="00FC5765"/>
    <w:rsid w:val="00FD167E"/>
    <w:rsid w:val="00FE16F5"/>
    <w:rsid w:val="00FE1BFF"/>
    <w:rsid w:val="00FE477B"/>
    <w:rsid w:val="00FF5047"/>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19BEFC"/>
  <w15:chartTrackingRefBased/>
  <w15:docId w15:val="{2685F111-F9F4-46E9-A7FC-10B36929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rsid w:val="00C02880"/>
    <w:rPr>
      <w:sz w:val="16"/>
      <w:szCs w:val="16"/>
    </w:rPr>
  </w:style>
  <w:style w:type="paragraph" w:styleId="CommentText">
    <w:name w:val="annotation text"/>
    <w:basedOn w:val="Normal"/>
    <w:link w:val="CommentTextChar"/>
    <w:rsid w:val="00C02880"/>
    <w:rPr>
      <w:sz w:val="20"/>
    </w:rPr>
  </w:style>
  <w:style w:type="character" w:customStyle="1" w:styleId="CommentTextChar">
    <w:name w:val="Comment Text Char"/>
    <w:basedOn w:val="DefaultParagraphFont"/>
    <w:link w:val="CommentText"/>
    <w:rsid w:val="00C02880"/>
  </w:style>
  <w:style w:type="paragraph" w:styleId="CommentSubject">
    <w:name w:val="annotation subject"/>
    <w:basedOn w:val="CommentText"/>
    <w:next w:val="CommentText"/>
    <w:link w:val="CommentSubjectChar"/>
    <w:rsid w:val="00C02880"/>
    <w:rPr>
      <w:b/>
      <w:bCs/>
    </w:rPr>
  </w:style>
  <w:style w:type="character" w:customStyle="1" w:styleId="CommentSubjectChar">
    <w:name w:val="Comment Subject Char"/>
    <w:link w:val="CommentSubject"/>
    <w:rsid w:val="00C02880"/>
    <w:rPr>
      <w:b/>
      <w:bCs/>
    </w:rPr>
  </w:style>
  <w:style w:type="paragraph" w:styleId="NormalWeb">
    <w:name w:val="Normal (Web)"/>
    <w:basedOn w:val="Normal"/>
    <w:rsid w:val="001A07B0"/>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BE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CF5"/>
    <w:rPr>
      <w:sz w:val="24"/>
    </w:rPr>
  </w:style>
  <w:style w:type="character" w:customStyle="1" w:styleId="FooterChar">
    <w:name w:val="Footer Char"/>
    <w:link w:val="Footer"/>
    <w:uiPriority w:val="99"/>
    <w:rsid w:val="00AA2D41"/>
    <w:rPr>
      <w:sz w:val="24"/>
    </w:rPr>
  </w:style>
  <w:style w:type="character" w:styleId="Hyperlink">
    <w:name w:val="Hyperlink"/>
    <w:rsid w:val="000F732C"/>
    <w:rPr>
      <w:color w:val="0563C1"/>
      <w:u w:val="single"/>
    </w:rPr>
  </w:style>
  <w:style w:type="character" w:styleId="Mention">
    <w:name w:val="Mention"/>
    <w:uiPriority w:val="99"/>
    <w:semiHidden/>
    <w:unhideWhenUsed/>
    <w:rsid w:val="000F732C"/>
    <w:rPr>
      <w:color w:val="2B579A"/>
      <w:shd w:val="clear" w:color="auto" w:fill="E6E6E6"/>
    </w:rPr>
  </w:style>
  <w:style w:type="character" w:styleId="FollowedHyperlink">
    <w:name w:val="FollowedHyperlink"/>
    <w:rsid w:val="000F732C"/>
    <w:rPr>
      <w:color w:val="954F72"/>
      <w:u w:val="single"/>
    </w:rPr>
  </w:style>
  <w:style w:type="paragraph" w:styleId="ListParagraph">
    <w:name w:val="List Paragraph"/>
    <w:basedOn w:val="Normal"/>
    <w:uiPriority w:val="34"/>
    <w:qFormat/>
    <w:rsid w:val="00E107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ls.gov/oes/current/oes11919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449EEF3-4E70-473A-9335-8C7733117A2C}">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1772</Words>
  <Characters>10686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12434</CharactersWithSpaces>
  <SharedDoc>false</SharedDoc>
  <HLinks>
    <vt:vector size="12" baseType="variant">
      <vt:variant>
        <vt:i4>3604523</vt:i4>
      </vt:variant>
      <vt:variant>
        <vt:i4>3</vt:i4>
      </vt:variant>
      <vt:variant>
        <vt:i4>0</vt:i4>
      </vt:variant>
      <vt:variant>
        <vt:i4>5</vt:i4>
      </vt:variant>
      <vt:variant>
        <vt:lpwstr>https://www.opm.gov/policy-data-oversight/pay-leave/salaries-wages/</vt:lpwstr>
      </vt:variant>
      <vt:variant>
        <vt:lpwstr/>
      </vt:variant>
      <vt:variant>
        <vt:i4>4718609</vt:i4>
      </vt:variant>
      <vt:variant>
        <vt:i4>0</vt:i4>
      </vt:variant>
      <vt:variant>
        <vt:i4>0</vt:i4>
      </vt:variant>
      <vt:variant>
        <vt:i4>5</vt:i4>
      </vt:variant>
      <vt:variant>
        <vt:lpwstr>https://www.bls.gov/oes/current/oes119199.htm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dc:description/>
  <cp:lastModifiedBy>Jackson, Barbara (MARAD)</cp:lastModifiedBy>
  <cp:revision>3</cp:revision>
  <cp:lastPrinted>2017-09-01T16:09:00Z</cp:lastPrinted>
  <dcterms:created xsi:type="dcterms:W3CDTF">2020-11-09T14:56:00Z</dcterms:created>
  <dcterms:modified xsi:type="dcterms:W3CDTF">2020-11-16T13:44:00Z</dcterms:modified>
</cp:coreProperties>
</file>