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F50DB" w:rsidR="00854015" w:rsidP="00B3027C" w:rsidRDefault="00854015" w14:paraId="2C320742" w14:textId="77777777">
      <w:pPr>
        <w:jc w:val="center"/>
        <w:rPr>
          <w:b/>
          <w:color w:val="000000" w:themeColor="text1"/>
          <w:sz w:val="28"/>
          <w:szCs w:val="28"/>
        </w:rPr>
      </w:pPr>
      <w:r w:rsidRPr="002F50DB">
        <w:rPr>
          <w:b/>
          <w:color w:val="000000" w:themeColor="text1"/>
          <w:sz w:val="28"/>
          <w:szCs w:val="28"/>
        </w:rPr>
        <w:t>Supporting Statement for Paperwork Reduction Act Submissions</w:t>
      </w:r>
    </w:p>
    <w:p w:rsidRPr="002F50DB" w:rsidR="00F633ED" w:rsidRDefault="00F633ED" w14:paraId="164D3E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themeColor="text1"/>
          <w:sz w:val="28"/>
          <w:szCs w:val="28"/>
        </w:rPr>
      </w:pPr>
      <w:r w:rsidRPr="002F50DB">
        <w:rPr>
          <w:b/>
          <w:color w:val="000000" w:themeColor="text1"/>
          <w:sz w:val="28"/>
          <w:szCs w:val="28"/>
        </w:rPr>
        <w:t xml:space="preserve">OMB TITLE:  </w:t>
      </w:r>
      <w:r w:rsidRPr="002F50DB" w:rsidR="00DD2FF4">
        <w:rPr>
          <w:b/>
          <w:color w:val="000000" w:themeColor="text1"/>
          <w:sz w:val="28"/>
          <w:szCs w:val="28"/>
        </w:rPr>
        <w:t xml:space="preserve">COVID19 HUD Contingency Plan for </w:t>
      </w:r>
      <w:r w:rsidRPr="002F50DB" w:rsidR="00D308D7">
        <w:rPr>
          <w:b/>
          <w:color w:val="000000" w:themeColor="text1"/>
          <w:sz w:val="28"/>
          <w:szCs w:val="28"/>
        </w:rPr>
        <w:t>HUD Multifamily Rental Project Closing Documents</w:t>
      </w:r>
    </w:p>
    <w:p w:rsidRPr="002F50DB" w:rsidR="00F633ED" w:rsidRDefault="00F633ED" w14:paraId="2C5CDD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themeColor="text1"/>
          <w:sz w:val="28"/>
          <w:szCs w:val="28"/>
        </w:rPr>
      </w:pPr>
      <w:r w:rsidRPr="002F50DB">
        <w:rPr>
          <w:b/>
          <w:color w:val="000000" w:themeColor="text1"/>
          <w:sz w:val="28"/>
          <w:szCs w:val="28"/>
        </w:rPr>
        <w:t>FORMS</w:t>
      </w:r>
      <w:r w:rsidRPr="002F50DB" w:rsidR="00DD2FF4">
        <w:rPr>
          <w:b/>
          <w:color w:val="000000" w:themeColor="text1"/>
          <w:sz w:val="28"/>
          <w:szCs w:val="28"/>
        </w:rPr>
        <w:t>: Lender’s Certification Regarding: Electronic Submission of Closing Documents and Escrow Agreement for Deferred Repairs, Debt Service – 223(f)</w:t>
      </w:r>
    </w:p>
    <w:p w:rsidRPr="002F50DB" w:rsidR="00D308D7" w:rsidRDefault="00D308D7" w14:paraId="01B21D48" w14:textId="28BEF6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themeColor="text1"/>
          <w:sz w:val="28"/>
        </w:rPr>
      </w:pPr>
      <w:r w:rsidRPr="002F50DB">
        <w:rPr>
          <w:b/>
          <w:color w:val="000000" w:themeColor="text1"/>
          <w:sz w:val="28"/>
        </w:rPr>
        <w:t>OMB Control No.: 2502-</w:t>
      </w:r>
      <w:r w:rsidRPr="002F50DB" w:rsidR="002F50DB">
        <w:rPr>
          <w:b/>
          <w:color w:val="000000" w:themeColor="text1"/>
          <w:sz w:val="28"/>
        </w:rPr>
        <w:t>0618</w:t>
      </w:r>
    </w:p>
    <w:p w:rsidRPr="002F50DB" w:rsidR="00854015" w:rsidRDefault="00854015" w14:paraId="291A134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themeColor="text1"/>
          <w:sz w:val="18"/>
        </w:rPr>
      </w:pPr>
    </w:p>
    <w:p w:rsidRPr="002F50DB" w:rsidR="00854015" w:rsidRDefault="00854015" w14:paraId="686310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themeColor="text1"/>
          <w:sz w:val="18"/>
        </w:rPr>
      </w:pPr>
      <w:r w:rsidRPr="002F50DB">
        <w:rPr>
          <w:rFonts w:ascii="Helvetica" w:hAnsi="Helvetica"/>
          <w:b/>
          <w:color w:val="000000" w:themeColor="text1"/>
          <w:sz w:val="18"/>
        </w:rPr>
        <w:t xml:space="preserve">A. </w:t>
      </w:r>
      <w:r w:rsidRPr="002F50DB">
        <w:rPr>
          <w:rFonts w:ascii="Helvetica" w:hAnsi="Helvetica"/>
          <w:b/>
          <w:color w:val="000000" w:themeColor="text1"/>
          <w:sz w:val="18"/>
        </w:rPr>
        <w:tab/>
        <w:t>Justification</w:t>
      </w:r>
    </w:p>
    <w:p w:rsidRPr="002F50DB" w:rsidR="00854015" w:rsidRDefault="00854015" w14:paraId="3B835A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themeColor="text1"/>
          <w:sz w:val="18"/>
        </w:rPr>
      </w:pPr>
    </w:p>
    <w:p w:rsidRPr="002F50DB" w:rsidR="00854015" w:rsidRDefault="00854015" w14:paraId="39375754" w14:textId="77777777">
      <w:pPr>
        <w:keepLines/>
        <w:tabs>
          <w:tab w:val="left" w:pos="360"/>
        </w:tabs>
        <w:spacing w:after="80"/>
        <w:ind w:left="360" w:hanging="360"/>
        <w:rPr>
          <w:b/>
          <w:color w:val="000000" w:themeColor="text1"/>
          <w:sz w:val="18"/>
        </w:rPr>
      </w:pPr>
      <w:r w:rsidRPr="002F50DB">
        <w:rPr>
          <w:b/>
          <w:color w:val="000000" w:themeColor="text1"/>
          <w:sz w:val="18"/>
        </w:rPr>
        <w:t>1.</w:t>
      </w:r>
      <w:r w:rsidRPr="002F50DB">
        <w:rPr>
          <w:color w:val="000000" w:themeColor="text1"/>
          <w:sz w:val="18"/>
        </w:rPr>
        <w:tab/>
      </w:r>
      <w:r w:rsidRPr="002F50DB">
        <w:rPr>
          <w:b/>
          <w:color w:val="000000" w:themeColor="text1"/>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F50DB" w:rsidR="00DD2FF4" w:rsidP="000B5462" w:rsidRDefault="00DD2FF4" w14:paraId="1B1E10C1" w14:textId="77777777">
      <w:pPr>
        <w:keepLines/>
        <w:tabs>
          <w:tab w:val="left" w:pos="360"/>
        </w:tabs>
        <w:ind w:left="720"/>
        <w:rPr>
          <w:color w:val="000000" w:themeColor="text1"/>
          <w:sz w:val="22"/>
        </w:rPr>
      </w:pPr>
    </w:p>
    <w:p w:rsidRPr="002F50DB" w:rsidR="00B3027C" w:rsidP="00DD2FF4" w:rsidRDefault="00DD2FF4" w14:paraId="6B756A6B" w14:textId="77777777">
      <w:pPr>
        <w:pStyle w:val="Default"/>
        <w:ind w:left="720"/>
        <w:jc w:val="both"/>
        <w:rPr>
          <w:rFonts w:eastAsia="Times New Roman"/>
          <w:i/>
          <w:iCs/>
          <w:color w:val="000000" w:themeColor="text1"/>
          <w:spacing w:val="-4"/>
          <w:sz w:val="22"/>
          <w:szCs w:val="22"/>
        </w:rPr>
      </w:pPr>
      <w:r w:rsidRPr="002F50DB">
        <w:rPr>
          <w:i/>
          <w:iCs/>
          <w:color w:val="000000" w:themeColor="text1"/>
          <w:sz w:val="22"/>
          <w:szCs w:val="22"/>
        </w:rPr>
        <w:t xml:space="preserve">This is a </w:t>
      </w:r>
      <w:r w:rsidRPr="002F50DB">
        <w:rPr>
          <w:b/>
          <w:bCs/>
          <w:i/>
          <w:iCs/>
          <w:color w:val="000000" w:themeColor="text1"/>
          <w:sz w:val="22"/>
          <w:szCs w:val="22"/>
        </w:rPr>
        <w:t>situational</w:t>
      </w:r>
      <w:r w:rsidRPr="002F50DB">
        <w:rPr>
          <w:i/>
          <w:iCs/>
          <w:color w:val="000000" w:themeColor="text1"/>
          <w:sz w:val="22"/>
          <w:szCs w:val="22"/>
        </w:rPr>
        <w:t xml:space="preserve"> addition to this collection because of</w:t>
      </w:r>
      <w:r w:rsidRPr="002F50DB">
        <w:rPr>
          <w:rFonts w:eastAsia="Times New Roman"/>
          <w:i/>
          <w:iCs/>
          <w:color w:val="000000" w:themeColor="text1"/>
          <w:spacing w:val="-4"/>
          <w:sz w:val="22"/>
          <w:szCs w:val="22"/>
        </w:rPr>
        <w:t xml:space="preserve"> the current COVID-19 Coronavirus outbreak and by Presidential declaration that began a national emergency. </w:t>
      </w:r>
      <w:r w:rsidRPr="002F50DB" w:rsidR="00B3027C">
        <w:rPr>
          <w:i/>
          <w:iCs/>
          <w:color w:val="000000" w:themeColor="text1"/>
          <w:sz w:val="22"/>
          <w:szCs w:val="22"/>
        </w:rPr>
        <w:t>This new PRA collection will serve as the authority for any new or future changes or revisions to multifamily programs impacted by COVID-19 or related pandemics.</w:t>
      </w:r>
    </w:p>
    <w:p w:rsidRPr="002F50DB" w:rsidR="00B3027C" w:rsidP="00DD2FF4" w:rsidRDefault="00B3027C" w14:paraId="12806E74" w14:textId="77777777">
      <w:pPr>
        <w:pStyle w:val="Default"/>
        <w:ind w:left="720"/>
        <w:jc w:val="both"/>
        <w:rPr>
          <w:rFonts w:eastAsia="Times New Roman"/>
          <w:i/>
          <w:iCs/>
          <w:color w:val="000000" w:themeColor="text1"/>
          <w:spacing w:val="-4"/>
          <w:sz w:val="22"/>
          <w:szCs w:val="22"/>
        </w:rPr>
      </w:pPr>
    </w:p>
    <w:p w:rsidRPr="002F50DB" w:rsidR="00DD2FF4" w:rsidP="00DD2FF4" w:rsidRDefault="00DD2FF4" w14:paraId="641A1B0D" w14:textId="77777777">
      <w:pPr>
        <w:pStyle w:val="Default"/>
        <w:ind w:left="720"/>
        <w:jc w:val="both"/>
        <w:rPr>
          <w:i/>
          <w:iCs/>
          <w:color w:val="000000" w:themeColor="text1"/>
          <w:sz w:val="22"/>
          <w:szCs w:val="22"/>
        </w:rPr>
      </w:pPr>
      <w:r w:rsidRPr="002F50DB">
        <w:rPr>
          <w:rFonts w:eastAsia="Times New Roman"/>
          <w:i/>
          <w:iCs/>
          <w:color w:val="000000" w:themeColor="text1"/>
          <w:spacing w:val="-4"/>
          <w:sz w:val="22"/>
          <w:szCs w:val="22"/>
        </w:rPr>
        <w:t xml:space="preserve">The Department of Housing and Urban Development (“HUD”) and its offices remain open for business at this time and many employees are now engaged in full-time telework. </w:t>
      </w:r>
      <w:r w:rsidRPr="002F50DB">
        <w:rPr>
          <w:i/>
          <w:iCs/>
          <w:color w:val="000000" w:themeColor="text1"/>
          <w:sz w:val="22"/>
          <w:szCs w:val="22"/>
        </w:rPr>
        <w:t xml:space="preserve">On March 16, 2020, J. Paul Compton, Jr., General Counsel of HUD issued a memorandum to the </w:t>
      </w:r>
      <w:r w:rsidRPr="002F50DB">
        <w:rPr>
          <w:rFonts w:eastAsia="Times New Roman"/>
          <w:i/>
          <w:iCs/>
          <w:color w:val="000000" w:themeColor="text1"/>
          <w:spacing w:val="-4"/>
          <w:sz w:val="22"/>
          <w:szCs w:val="22"/>
        </w:rPr>
        <w:t xml:space="preserve">Regional Counsel and Deputy </w:t>
      </w:r>
      <w:r w:rsidRPr="002F50DB">
        <w:rPr>
          <w:rFonts w:eastAsia="Times New Roman"/>
          <w:i/>
          <w:iCs/>
          <w:color w:val="000000" w:themeColor="text1"/>
          <w:spacing w:val="-1"/>
          <w:sz w:val="22"/>
          <w:szCs w:val="22"/>
        </w:rPr>
        <w:t>Regional Counsel, a</w:t>
      </w:r>
      <w:r w:rsidRPr="002F50DB">
        <w:rPr>
          <w:rFonts w:eastAsia="Times New Roman"/>
          <w:i/>
          <w:iCs/>
          <w:color w:val="000000" w:themeColor="text1"/>
          <w:spacing w:val="-2"/>
          <w:sz w:val="22"/>
          <w:szCs w:val="22"/>
        </w:rPr>
        <w:t xml:space="preserve">ll Associate Regional Counsel for Programs and all </w:t>
      </w:r>
      <w:r w:rsidRPr="002F50DB">
        <w:rPr>
          <w:rFonts w:eastAsia="Times New Roman"/>
          <w:i/>
          <w:iCs/>
          <w:color w:val="000000" w:themeColor="text1"/>
          <w:spacing w:val="-4"/>
          <w:sz w:val="22"/>
          <w:szCs w:val="22"/>
        </w:rPr>
        <w:t>Office of General Counsel ("OGC")</w:t>
      </w:r>
      <w:r w:rsidRPr="002F50DB">
        <w:rPr>
          <w:rFonts w:eastAsia="Times New Roman"/>
          <w:i/>
          <w:iCs/>
          <w:color w:val="000000" w:themeColor="text1"/>
          <w:spacing w:val="-2"/>
          <w:sz w:val="22"/>
          <w:szCs w:val="22"/>
        </w:rPr>
        <w:t xml:space="preserve"> Closing Attorneys to </w:t>
      </w:r>
      <w:r w:rsidRPr="002F50DB">
        <w:rPr>
          <w:i/>
          <w:iCs/>
          <w:color w:val="000000" w:themeColor="text1"/>
          <w:sz w:val="22"/>
          <w:szCs w:val="22"/>
        </w:rPr>
        <w:t xml:space="preserve">temporary implement uniform electronic closing protocols and best practices for the continued provision of legal services to perform the closing of FHA-insured mortgages.  The change for this submittal is to perform electronic closings the </w:t>
      </w:r>
      <w:r w:rsidRPr="002F50DB">
        <w:rPr>
          <w:rFonts w:eastAsia="Times New Roman"/>
          <w:i/>
          <w:iCs/>
          <w:color w:val="000000" w:themeColor="text1"/>
          <w:spacing w:val="-4"/>
          <w:sz w:val="22"/>
          <w:szCs w:val="22"/>
        </w:rPr>
        <w:t>Office of General Counsel</w:t>
      </w:r>
      <w:r w:rsidRPr="002F50DB">
        <w:rPr>
          <w:i/>
          <w:iCs/>
          <w:color w:val="000000" w:themeColor="text1"/>
          <w:sz w:val="22"/>
          <w:szCs w:val="22"/>
        </w:rPr>
        <w:t xml:space="preserve"> created the </w:t>
      </w:r>
      <w:r w:rsidRPr="002F50DB">
        <w:rPr>
          <w:b/>
          <w:bCs/>
          <w:i/>
          <w:iCs/>
          <w:color w:val="000000" w:themeColor="text1"/>
          <w:sz w:val="22"/>
          <w:szCs w:val="22"/>
        </w:rPr>
        <w:t>Lender’s Certification Regarding: Electronic Submission of Closing Documents</w:t>
      </w:r>
      <w:r w:rsidRPr="002F50DB">
        <w:rPr>
          <w:i/>
          <w:iCs/>
          <w:color w:val="000000" w:themeColor="text1"/>
          <w:sz w:val="22"/>
          <w:szCs w:val="22"/>
        </w:rPr>
        <w:t xml:space="preserve">, which is a modification of the currently approved closing document Lender’s Certification HUD-92434M.  HUD Closing Attorneys while working remotely will use the </w:t>
      </w:r>
      <w:r w:rsidRPr="002F50DB">
        <w:rPr>
          <w:b/>
          <w:bCs/>
          <w:i/>
          <w:iCs/>
          <w:color w:val="000000" w:themeColor="text1"/>
          <w:sz w:val="22"/>
          <w:szCs w:val="22"/>
        </w:rPr>
        <w:t>Lender’s Certification Regarding: Electronic Submission of Closing Documents</w:t>
      </w:r>
      <w:r w:rsidRPr="002F50DB">
        <w:rPr>
          <w:i/>
          <w:iCs/>
          <w:color w:val="000000" w:themeColor="text1"/>
          <w:sz w:val="22"/>
          <w:szCs w:val="22"/>
        </w:rPr>
        <w:t xml:space="preserve"> during this COVID-19 situation.</w:t>
      </w:r>
    </w:p>
    <w:p w:rsidRPr="002F50DB" w:rsidR="00DD2FF4" w:rsidP="00DD2FF4" w:rsidRDefault="00DD2FF4" w14:paraId="588CA36E" w14:textId="77777777">
      <w:pPr>
        <w:pStyle w:val="Default"/>
        <w:ind w:left="720"/>
        <w:jc w:val="both"/>
        <w:rPr>
          <w:i/>
          <w:iCs/>
          <w:color w:val="000000" w:themeColor="text1"/>
          <w:sz w:val="22"/>
          <w:szCs w:val="22"/>
        </w:rPr>
      </w:pPr>
    </w:p>
    <w:p w:rsidRPr="002F50DB" w:rsidR="00DD2FF4" w:rsidP="00DD2FF4" w:rsidRDefault="00DD2FF4" w14:paraId="26668768" w14:textId="77777777">
      <w:pPr>
        <w:pStyle w:val="Default"/>
        <w:ind w:left="720"/>
        <w:jc w:val="both"/>
        <w:rPr>
          <w:rFonts w:eastAsia="Times New Roman"/>
          <w:i/>
          <w:iCs/>
          <w:color w:val="000000" w:themeColor="text1"/>
          <w:spacing w:val="-4"/>
          <w:sz w:val="22"/>
          <w:szCs w:val="22"/>
        </w:rPr>
      </w:pPr>
      <w:r w:rsidRPr="002F50DB">
        <w:rPr>
          <w:rFonts w:eastAsia="Times New Roman"/>
          <w:i/>
          <w:iCs/>
          <w:color w:val="000000" w:themeColor="text1"/>
          <w:spacing w:val="-4"/>
          <w:sz w:val="22"/>
          <w:szCs w:val="22"/>
        </w:rPr>
        <w:t>It is therefore prudent and appropriate for the OGC, in collaboration with Multifamily to establish protocols, rules, and procedures that best ensure continuity of operations in the event of an extended closure of a specific division, regional or field office, or the determination that OGC in its entirety should work remotely.  Pursuant to the March 16, 2020 memorandum</w:t>
      </w:r>
      <w:r w:rsidRPr="002F50DB">
        <w:rPr>
          <w:rFonts w:eastAsia="Times New Roman"/>
          <w:i/>
          <w:iCs/>
          <w:color w:val="000000" w:themeColor="text1"/>
          <w:spacing w:val="-2"/>
          <w:sz w:val="22"/>
          <w:szCs w:val="22"/>
        </w:rPr>
        <w:t xml:space="preserve">, set </w:t>
      </w:r>
      <w:r w:rsidRPr="002F50DB">
        <w:rPr>
          <w:rFonts w:eastAsia="Times New Roman"/>
          <w:i/>
          <w:iCs/>
          <w:color w:val="000000" w:themeColor="text1"/>
          <w:spacing w:val="-4"/>
          <w:sz w:val="22"/>
          <w:szCs w:val="22"/>
        </w:rPr>
        <w:t>forth protocols and best practices for the continued provision of legal services by HUD Closing Attorneys while working from home or from another remote location. Also included in the memorandum are suggestions that may be shared with outside counsel to facilitate the work being done remotely by OGC attorneys.  Therefore, Regional Counsel adopted and applied the temporary protocols set forth in the March 16, 2020 memorandum consistently across the regional and field offices within their purview.</w:t>
      </w:r>
    </w:p>
    <w:p w:rsidRPr="002F50DB" w:rsidR="00DD2FF4" w:rsidP="00DD2FF4" w:rsidRDefault="00DD2FF4" w14:paraId="46656F75" w14:textId="77777777">
      <w:pPr>
        <w:pStyle w:val="Default"/>
        <w:ind w:left="720"/>
        <w:jc w:val="both"/>
        <w:rPr>
          <w:rFonts w:eastAsia="Times New Roman"/>
          <w:i/>
          <w:iCs/>
          <w:color w:val="000000" w:themeColor="text1"/>
          <w:spacing w:val="-4"/>
          <w:sz w:val="22"/>
          <w:szCs w:val="22"/>
        </w:rPr>
      </w:pPr>
    </w:p>
    <w:p w:rsidRPr="002F50DB" w:rsidR="00DD2FF4" w:rsidP="00DD2FF4" w:rsidRDefault="00DD2FF4" w14:paraId="3C71AAB4" w14:textId="77777777">
      <w:pPr>
        <w:pStyle w:val="Default"/>
        <w:ind w:left="720"/>
        <w:jc w:val="both"/>
        <w:rPr>
          <w:rFonts w:eastAsia="Times New Roman"/>
          <w:i/>
          <w:iCs/>
          <w:color w:val="000000" w:themeColor="text1"/>
          <w:spacing w:val="-4"/>
          <w:sz w:val="22"/>
          <w:szCs w:val="22"/>
        </w:rPr>
      </w:pPr>
      <w:r w:rsidRPr="002F50DB">
        <w:rPr>
          <w:rFonts w:eastAsia="Times New Roman"/>
          <w:i/>
          <w:iCs/>
          <w:color w:val="000000" w:themeColor="text1"/>
          <w:spacing w:val="-4"/>
          <w:sz w:val="22"/>
          <w:szCs w:val="22"/>
        </w:rPr>
        <w:t>When the pandemic subsides and OGC resumes normal closing operations consistently across the country, HUD will reconsider the temporary protocols in this memorandum.</w:t>
      </w:r>
    </w:p>
    <w:p w:rsidRPr="002F50DB" w:rsidR="00DD2FF4" w:rsidP="00DD2FF4" w:rsidRDefault="00DD2FF4" w14:paraId="6FAE9501" w14:textId="77777777">
      <w:pPr>
        <w:pStyle w:val="Default"/>
        <w:ind w:left="720"/>
        <w:jc w:val="both"/>
        <w:rPr>
          <w:rFonts w:eastAsia="Times New Roman"/>
          <w:i/>
          <w:iCs/>
          <w:color w:val="000000" w:themeColor="text1"/>
          <w:spacing w:val="-4"/>
          <w:sz w:val="22"/>
          <w:szCs w:val="22"/>
        </w:rPr>
      </w:pPr>
    </w:p>
    <w:p w:rsidRPr="002F50DB" w:rsidR="00DD2FF4" w:rsidP="00DD2FF4" w:rsidRDefault="00DD2FF4" w14:paraId="17972A7F" w14:textId="77777777">
      <w:pPr>
        <w:keepLines/>
        <w:tabs>
          <w:tab w:val="left" w:pos="360"/>
        </w:tabs>
        <w:ind w:left="720"/>
        <w:rPr>
          <w:i/>
          <w:iCs/>
          <w:color w:val="000000" w:themeColor="text1"/>
          <w:spacing w:val="-3"/>
          <w:sz w:val="22"/>
          <w:szCs w:val="22"/>
        </w:rPr>
      </w:pPr>
      <w:r w:rsidRPr="002F50DB">
        <w:rPr>
          <w:i/>
          <w:iCs/>
          <w:color w:val="000000" w:themeColor="text1"/>
          <w:spacing w:val="-4"/>
          <w:sz w:val="22"/>
          <w:szCs w:val="22"/>
        </w:rPr>
        <w:t>OGC attorney protocols for r</w:t>
      </w:r>
      <w:r w:rsidRPr="002F50DB">
        <w:rPr>
          <w:i/>
          <w:iCs/>
          <w:color w:val="000000" w:themeColor="text1"/>
          <w:spacing w:val="-1"/>
          <w:sz w:val="22"/>
          <w:szCs w:val="22"/>
        </w:rPr>
        <w:t xml:space="preserve">eview and approval of draft closing documents </w:t>
      </w:r>
      <w:r w:rsidRPr="002F50DB">
        <w:rPr>
          <w:i/>
          <w:iCs/>
          <w:color w:val="000000" w:themeColor="text1"/>
          <w:spacing w:val="-4"/>
          <w:sz w:val="22"/>
          <w:szCs w:val="22"/>
        </w:rPr>
        <w:t xml:space="preserve">must rely on electronic transmission of closing documents in lieu of hard copies in performing their initial reviews. This approach will ensure the continuation of reviews even if our external partners are unable to physically transmit the volume of paper documents needed at this stage. While providing increased flexibility to lenders in submitting closing documents, this protocol does not authorize any additional substantive modifications to the closing process without approval of the appropriate Regional Counsel and the Office of Insured Housing in Headquarters.  </w:t>
      </w:r>
      <w:r w:rsidRPr="002F50DB">
        <w:rPr>
          <w:i/>
          <w:iCs/>
          <w:color w:val="000000" w:themeColor="text1"/>
          <w:spacing w:val="-3"/>
          <w:sz w:val="22"/>
          <w:szCs w:val="22"/>
        </w:rPr>
        <w:t>Draft closing submission will remain consistent with the approach of Multifamily Housing and OGC will accept draft closing packages in fully electronic form.</w:t>
      </w:r>
    </w:p>
    <w:p w:rsidRPr="002F50DB" w:rsidR="00DD2FF4" w:rsidP="00DD2FF4" w:rsidRDefault="00DD2FF4" w14:paraId="1D46099A" w14:textId="77777777">
      <w:pPr>
        <w:keepLines/>
        <w:tabs>
          <w:tab w:val="left" w:pos="360"/>
        </w:tabs>
        <w:ind w:left="720"/>
        <w:rPr>
          <w:i/>
          <w:iCs/>
          <w:color w:val="000000" w:themeColor="text1"/>
          <w:spacing w:val="-3"/>
          <w:sz w:val="22"/>
          <w:szCs w:val="22"/>
        </w:rPr>
      </w:pPr>
    </w:p>
    <w:p w:rsidRPr="002F50DB" w:rsidR="00DD2FF4" w:rsidP="00DD2FF4" w:rsidRDefault="00DD2FF4" w14:paraId="22EB2D04" w14:textId="77777777">
      <w:pPr>
        <w:pStyle w:val="Default"/>
        <w:ind w:left="720"/>
        <w:jc w:val="both"/>
        <w:rPr>
          <w:i/>
          <w:iCs/>
          <w:color w:val="000000" w:themeColor="text1"/>
          <w:sz w:val="22"/>
          <w:szCs w:val="22"/>
        </w:rPr>
      </w:pPr>
      <w:r w:rsidRPr="002F50DB">
        <w:rPr>
          <w:i/>
          <w:iCs/>
          <w:color w:val="000000" w:themeColor="text1"/>
          <w:sz w:val="22"/>
          <w:szCs w:val="22"/>
        </w:rPr>
        <w:t xml:space="preserve">Likewise, on April 10, 2020, Brian D. Montgomery, Assistant Secretary of Housing - Federal Housing Commissioner, issued Mortgagee Letter 2020-11 announcing to the Multifamily Regional Directors, Production Directors, Operations Officers and the FHA MAP Lenders that Multifamily Housing has reevaluated its underwriting requirements, particularly for market rate refinance transactions that may now experience increased vacancy, rent collection losses and income disruption both in the near and long term, due to the COVID-19 emergency. Further we cite </w:t>
      </w:r>
      <w:r w:rsidRPr="002F50DB">
        <w:rPr>
          <w:i/>
          <w:iCs/>
          <w:color w:val="000000" w:themeColor="text1"/>
        </w:rPr>
        <w:t>Section 207 of the National Housing Act which provides that no mortgage shall be acceptable for insurance unless the Secretary finds that the project is economically sound, and</w:t>
      </w:r>
      <w:r w:rsidRPr="002F50DB">
        <w:rPr>
          <w:i/>
          <w:iCs/>
          <w:color w:val="000000" w:themeColor="text1"/>
          <w:sz w:val="22"/>
          <w:szCs w:val="22"/>
        </w:rPr>
        <w:t xml:space="preserve"> the MAP </w:t>
      </w:r>
      <w:r w:rsidRPr="002F50DB">
        <w:rPr>
          <w:i/>
          <w:iCs/>
          <w:color w:val="000000" w:themeColor="text1"/>
          <w:sz w:val="22"/>
          <w:szCs w:val="22"/>
        </w:rPr>
        <w:lastRenderedPageBreak/>
        <w:t>Guide permits specific mitigants to be employed to reduce risk for transactions currently in process yet to receive a Firm Commitment to insure. These mitigants include but are not limited to the requirement of a Debt Service Reserve (DSR) for Section 223(f) transactions to offset anticipated operating losses post endorsement.</w:t>
      </w:r>
    </w:p>
    <w:p w:rsidRPr="002F50DB" w:rsidR="00DD2FF4" w:rsidP="00DD2FF4" w:rsidRDefault="00DD2FF4" w14:paraId="332AC4A7" w14:textId="77777777">
      <w:pPr>
        <w:pStyle w:val="Default"/>
        <w:ind w:left="720"/>
        <w:jc w:val="both"/>
        <w:rPr>
          <w:i/>
          <w:iCs/>
          <w:color w:val="000000" w:themeColor="text1"/>
          <w:sz w:val="22"/>
          <w:szCs w:val="22"/>
        </w:rPr>
      </w:pPr>
    </w:p>
    <w:p w:rsidRPr="002F50DB" w:rsidR="00DD2FF4" w:rsidP="00DD2FF4" w:rsidRDefault="00DD2FF4" w14:paraId="0AC6F81D" w14:textId="77777777">
      <w:pPr>
        <w:pStyle w:val="Default"/>
        <w:ind w:left="720"/>
        <w:jc w:val="both"/>
        <w:rPr>
          <w:i/>
          <w:iCs/>
          <w:color w:val="000000" w:themeColor="text1"/>
          <w:sz w:val="22"/>
          <w:szCs w:val="22"/>
        </w:rPr>
      </w:pPr>
      <w:r w:rsidRPr="002F50DB">
        <w:rPr>
          <w:i/>
          <w:iCs/>
          <w:color w:val="000000" w:themeColor="text1"/>
          <w:sz w:val="22"/>
          <w:szCs w:val="22"/>
        </w:rPr>
        <w:t xml:space="preserve">Therefore, the Office of General Counsel created the temporary Form </w:t>
      </w:r>
      <w:r w:rsidRPr="002F50DB">
        <w:rPr>
          <w:b/>
          <w:bCs/>
          <w:i/>
          <w:iCs/>
          <w:color w:val="000000" w:themeColor="text1"/>
          <w:sz w:val="22"/>
          <w:szCs w:val="22"/>
        </w:rPr>
        <w:t>Escrow Agreement for Deferred Repairs &amp; Debt Service - 223(f) (“Debt Service Escrow Agreement”)</w:t>
      </w:r>
      <w:r w:rsidRPr="002F50DB">
        <w:rPr>
          <w:i/>
          <w:iCs/>
          <w:color w:val="000000" w:themeColor="text1"/>
          <w:sz w:val="22"/>
          <w:szCs w:val="22"/>
        </w:rPr>
        <w:t xml:space="preserve"> to provide a financial protection for the insurance fund.  The change for this submittal is the revisions of the OMB approved Form HUD-92476.1M, Escrow Agreement for Non-Critical, Deferred Repairs. The </w:t>
      </w:r>
      <w:r w:rsidRPr="002F50DB">
        <w:rPr>
          <w:b/>
          <w:bCs/>
          <w:i/>
          <w:iCs/>
          <w:color w:val="000000" w:themeColor="text1"/>
          <w:sz w:val="22"/>
          <w:szCs w:val="22"/>
        </w:rPr>
        <w:t>Debt Service Escrow Agreement</w:t>
      </w:r>
      <w:r w:rsidRPr="002F50DB">
        <w:rPr>
          <w:i/>
          <w:iCs/>
          <w:color w:val="000000" w:themeColor="text1"/>
          <w:sz w:val="22"/>
          <w:szCs w:val="22"/>
        </w:rPr>
        <w:t xml:space="preserve"> does not permanently replace the HUD-92476.1M.  The revised escrow, while based on the HUD-92476.1M, is a separate document for temporary use during the COVID-19 emergency pursuant to Mortgagee Letter 2020-11.  The temporary Debt </w:t>
      </w:r>
      <w:r w:rsidRPr="002F50DB">
        <w:rPr>
          <w:b/>
          <w:bCs/>
          <w:i/>
          <w:iCs/>
          <w:color w:val="000000" w:themeColor="text1"/>
          <w:sz w:val="22"/>
          <w:szCs w:val="22"/>
        </w:rPr>
        <w:t>Service Escrow Agreement</w:t>
      </w:r>
      <w:r w:rsidRPr="002F50DB">
        <w:rPr>
          <w:i/>
          <w:iCs/>
          <w:color w:val="000000" w:themeColor="text1"/>
          <w:sz w:val="22"/>
          <w:szCs w:val="22"/>
        </w:rPr>
        <w:t xml:space="preserve"> will remain in effect until such time as Multifamily Housing determines that the real estate markets have stabilized and additional mitigants for Section 223(f) transactions are no longer required. </w:t>
      </w:r>
    </w:p>
    <w:p w:rsidRPr="002F50DB" w:rsidR="00DD2FF4" w:rsidP="00DD2FF4" w:rsidRDefault="00DD2FF4" w14:paraId="0E2921EB" w14:textId="77777777">
      <w:pPr>
        <w:pStyle w:val="Default"/>
        <w:ind w:left="720"/>
        <w:jc w:val="both"/>
        <w:rPr>
          <w:i/>
          <w:iCs/>
          <w:color w:val="000000" w:themeColor="text1"/>
        </w:rPr>
      </w:pPr>
    </w:p>
    <w:p w:rsidRPr="002F50DB" w:rsidR="00DD2FF4" w:rsidP="00B3027C" w:rsidRDefault="00DD2FF4" w14:paraId="5B06DC62" w14:textId="77777777">
      <w:pPr>
        <w:keepLines/>
        <w:tabs>
          <w:tab w:val="left" w:pos="360"/>
        </w:tabs>
        <w:ind w:left="720"/>
        <w:jc w:val="both"/>
        <w:rPr>
          <w:i/>
          <w:iCs/>
          <w:color w:val="000000" w:themeColor="text1"/>
          <w:sz w:val="22"/>
        </w:rPr>
      </w:pPr>
      <w:r w:rsidRPr="002F50DB">
        <w:rPr>
          <w:i/>
          <w:iCs/>
          <w:color w:val="000000" w:themeColor="text1"/>
        </w:rPr>
        <w:t>To address risk and/or changed economic circumstances for transactions that have been issued a commitment to insure but have yet to endorse, HUD includes language in the Firm Commitment affirming that no material adverse change has occurred between the issuance of the commitment and endorsement. Accordingly, HUD has taken the position that the impact of the COVID-19 Emergency has resulted in a material change in most, if not all, real estate markets and therefore, HUD will require mitigants to offset this additional risk. Accordingly, this form provides clarification and instructions to HUD staff describing additional mitigants that may be included in the Firm Commitment for Section 223(f) loans that are in processing, as well as for those projects for which a Firm Commitment has been issued.</w:t>
      </w:r>
    </w:p>
    <w:p w:rsidRPr="002F50DB" w:rsidR="00DD2FF4" w:rsidP="000B5462" w:rsidRDefault="00DD2FF4" w14:paraId="3141754B" w14:textId="77777777">
      <w:pPr>
        <w:keepLines/>
        <w:tabs>
          <w:tab w:val="left" w:pos="360"/>
        </w:tabs>
        <w:ind w:left="720"/>
        <w:rPr>
          <w:color w:val="000000" w:themeColor="text1"/>
          <w:sz w:val="22"/>
        </w:rPr>
      </w:pPr>
    </w:p>
    <w:p w:rsidRPr="002F50DB" w:rsidR="00DD2FF4" w:rsidP="000B5462" w:rsidRDefault="00DD2FF4" w14:paraId="373D81FB" w14:textId="77777777">
      <w:pPr>
        <w:keepLines/>
        <w:tabs>
          <w:tab w:val="left" w:pos="360"/>
        </w:tabs>
        <w:ind w:left="720"/>
        <w:rPr>
          <w:color w:val="000000" w:themeColor="text1"/>
          <w:sz w:val="22"/>
        </w:rPr>
      </w:pPr>
    </w:p>
    <w:p w:rsidRPr="002F50DB" w:rsidR="000B5462" w:rsidP="0098306D" w:rsidRDefault="000B5462" w14:paraId="4DB05BD1" w14:textId="77777777">
      <w:pPr>
        <w:keepLines/>
        <w:tabs>
          <w:tab w:val="left" w:pos="360"/>
        </w:tabs>
        <w:ind w:left="720"/>
        <w:jc w:val="both"/>
        <w:rPr>
          <w:color w:val="000000" w:themeColor="text1"/>
          <w:sz w:val="22"/>
        </w:rPr>
      </w:pPr>
      <w:r w:rsidRPr="002F50DB">
        <w:rPr>
          <w:color w:val="000000" w:themeColor="text1"/>
          <w:sz w:val="22"/>
        </w:rPr>
        <w:t xml:space="preserve">The National Housing Act (12 U.S.C. 1701 et seq.) requires a Lease Addendum for a mortgaged property that is subject to a ground lease. </w:t>
      </w:r>
    </w:p>
    <w:p w:rsidRPr="002F50DB" w:rsidR="00B73E82" w:rsidP="0098306D" w:rsidRDefault="00B73E82" w14:paraId="01BF2E68" w14:textId="77777777">
      <w:pPr>
        <w:keepLines/>
        <w:tabs>
          <w:tab w:val="left" w:pos="360"/>
        </w:tabs>
        <w:ind w:left="720"/>
        <w:jc w:val="both"/>
        <w:rPr>
          <w:color w:val="000000" w:themeColor="text1"/>
          <w:sz w:val="22"/>
        </w:rPr>
      </w:pPr>
    </w:p>
    <w:p w:rsidRPr="002F50DB" w:rsidR="00DD2FF4" w:rsidP="0098306D" w:rsidRDefault="000B5462" w14:paraId="1E63F837" w14:textId="77777777">
      <w:pPr>
        <w:keepLines/>
        <w:tabs>
          <w:tab w:val="left" w:pos="360"/>
        </w:tabs>
        <w:ind w:left="720"/>
        <w:jc w:val="both"/>
        <w:rPr>
          <w:color w:val="000000" w:themeColor="text1"/>
          <w:sz w:val="22"/>
        </w:rPr>
      </w:pPr>
      <w:r w:rsidRPr="002F50DB">
        <w:rPr>
          <w:color w:val="000000" w:themeColor="text1"/>
          <w:sz w:val="22"/>
        </w:rPr>
        <w:t>Under Title II of the National Housing Act, HUD is authorized to insure mortgage loans upon certain multifamily rental housing projects and health care facilities (nursing homes, extended care facilities, board and care homes and hospitals).  HUD is also authorized and directed to make such rules and regulations as may be necessary to carry out the provisions of Title II.  (See 12 USC 1715b).  Generally, the mortgages are defined as those "commonly given" in the various States; therefore, State and local law govern virtually the entire mortgage insurance transaction from the formation of the mortgagor entity to the making and securitization of the loan to the construction of the project in accord with local law. Consequently, prior to endorsement of a mortgage note for insurance in connection with a multifamily rental facility, it is imperative that HUD knows the precise legal status of the mortgagor entity and of the realty and personality that will comprise the security property.</w:t>
      </w:r>
    </w:p>
    <w:p w:rsidRPr="002F50DB" w:rsidR="00DD2FF4" w:rsidP="0098306D" w:rsidRDefault="00DD2FF4" w14:paraId="7C3624CE" w14:textId="77777777">
      <w:pPr>
        <w:keepLines/>
        <w:tabs>
          <w:tab w:val="left" w:pos="360"/>
        </w:tabs>
        <w:ind w:left="720"/>
        <w:jc w:val="both"/>
        <w:rPr>
          <w:color w:val="000000" w:themeColor="text1"/>
          <w:sz w:val="22"/>
        </w:rPr>
      </w:pPr>
    </w:p>
    <w:p w:rsidRPr="002F50DB" w:rsidR="00DD2FF4" w:rsidP="0098306D" w:rsidRDefault="00DD2FF4" w14:paraId="442EE6FA" w14:textId="77777777">
      <w:pPr>
        <w:keepLines/>
        <w:tabs>
          <w:tab w:val="left" w:pos="360"/>
        </w:tabs>
        <w:ind w:left="720"/>
        <w:jc w:val="both"/>
        <w:rPr>
          <w:color w:val="000000" w:themeColor="text1"/>
        </w:rPr>
      </w:pPr>
      <w:r w:rsidRPr="002F50DB">
        <w:rPr>
          <w:color w:val="000000" w:themeColor="text1"/>
        </w:rPr>
        <w:t xml:space="preserve">HUD’s regulation at 24 CFR 200.46 provides as follows: “Upon approval of an application for insurance, a commitment shall be issued by the Commissioner setting forth the terms and conditions upon which the mortgage will be insured. The commitment term and any extension or reopening of an expired commitment shall be in accordance with standards established by the Commissioner.”  </w:t>
      </w:r>
    </w:p>
    <w:p w:rsidRPr="002F50DB" w:rsidR="00DD2FF4" w:rsidP="0098306D" w:rsidRDefault="00DD2FF4" w14:paraId="565FCD46" w14:textId="77777777">
      <w:pPr>
        <w:keepLines/>
        <w:tabs>
          <w:tab w:val="left" w:pos="360"/>
        </w:tabs>
        <w:ind w:left="720"/>
        <w:jc w:val="both"/>
        <w:rPr>
          <w:color w:val="000000" w:themeColor="text1"/>
        </w:rPr>
      </w:pPr>
    </w:p>
    <w:p w:rsidRPr="002F50DB" w:rsidR="00DD2FF4" w:rsidP="0098306D" w:rsidRDefault="00DD2FF4" w14:paraId="3452E912" w14:textId="77777777">
      <w:pPr>
        <w:keepLines/>
        <w:tabs>
          <w:tab w:val="left" w:pos="360"/>
        </w:tabs>
        <w:ind w:left="720"/>
        <w:jc w:val="both"/>
        <w:rPr>
          <w:color w:val="000000" w:themeColor="text1"/>
        </w:rPr>
      </w:pPr>
      <w:r w:rsidRPr="002F50DB">
        <w:rPr>
          <w:color w:val="000000" w:themeColor="text1"/>
        </w:rPr>
        <w:t>HUD’s regulation at 24 CFR 200.51 provide that the mortgagee shall certify to the Commissioner that it will conform with terms and conditions established by the Commissioner for the mortgagee’s control of project funds, and other incidental requirements established by HUD.</w:t>
      </w:r>
    </w:p>
    <w:p w:rsidRPr="002F50DB" w:rsidR="00DD2FF4" w:rsidP="0098306D" w:rsidRDefault="00DD2FF4" w14:paraId="6BC42DEE" w14:textId="77777777">
      <w:pPr>
        <w:keepLines/>
        <w:tabs>
          <w:tab w:val="left" w:pos="360"/>
        </w:tabs>
        <w:ind w:left="720"/>
        <w:jc w:val="both"/>
        <w:rPr>
          <w:color w:val="000000" w:themeColor="text1"/>
        </w:rPr>
      </w:pPr>
    </w:p>
    <w:p w:rsidRPr="002F50DB" w:rsidR="00DD2FF4" w:rsidP="0098306D" w:rsidRDefault="00DD2FF4" w14:paraId="6022EDDC" w14:textId="77777777">
      <w:pPr>
        <w:keepLines/>
        <w:tabs>
          <w:tab w:val="left" w:pos="360"/>
        </w:tabs>
        <w:ind w:left="720"/>
        <w:jc w:val="both"/>
        <w:rPr>
          <w:color w:val="000000" w:themeColor="text1"/>
          <w:sz w:val="22"/>
        </w:rPr>
      </w:pPr>
      <w:r w:rsidRPr="002F50DB">
        <w:rPr>
          <w:color w:val="000000" w:themeColor="text1"/>
        </w:rPr>
        <w:t>HUD’s regulation at 24 CFR 200.105 provides as follows: “As long as the Commissioner is the insurer or holder of the mortgage, the Commissioner shall regulate the mortgagor by means of a regulatory agreement providing terms, conditions and standards established by the Commissioner, or by such other means as the Commissioner may prescribe.”</w:t>
      </w:r>
    </w:p>
    <w:p w:rsidRPr="002F50DB" w:rsidR="00DD2FF4" w:rsidP="0098306D" w:rsidRDefault="00DD2FF4" w14:paraId="370BE810" w14:textId="77777777">
      <w:pPr>
        <w:keepLines/>
        <w:tabs>
          <w:tab w:val="left" w:pos="360"/>
        </w:tabs>
        <w:ind w:left="720"/>
        <w:jc w:val="both"/>
        <w:rPr>
          <w:color w:val="000000" w:themeColor="text1"/>
          <w:sz w:val="22"/>
        </w:rPr>
      </w:pPr>
    </w:p>
    <w:p w:rsidRPr="002F50DB" w:rsidR="00B73E82" w:rsidP="0098306D" w:rsidRDefault="000B5462" w14:paraId="5ED2912A" w14:textId="77777777">
      <w:pPr>
        <w:keepLines/>
        <w:tabs>
          <w:tab w:val="left" w:pos="360"/>
        </w:tabs>
        <w:ind w:left="720"/>
        <w:jc w:val="both"/>
        <w:rPr>
          <w:color w:val="000000" w:themeColor="text1"/>
          <w:sz w:val="22"/>
        </w:rPr>
      </w:pPr>
      <w:r w:rsidRPr="002F50DB">
        <w:rPr>
          <w:color w:val="000000" w:themeColor="text1"/>
          <w:sz w:val="22"/>
        </w:rPr>
        <w:t xml:space="preserve"> </w:t>
      </w:r>
    </w:p>
    <w:p w:rsidRPr="002F50DB" w:rsidR="009C2E11" w:rsidP="009C2E11" w:rsidRDefault="009C2E11" w14:paraId="4F17F2EA" w14:textId="77777777">
      <w:pPr>
        <w:keepLines/>
        <w:tabs>
          <w:tab w:val="left" w:pos="360"/>
        </w:tabs>
        <w:ind w:left="720"/>
        <w:rPr>
          <w:color w:val="000000" w:themeColor="text1"/>
          <w:sz w:val="22"/>
        </w:rPr>
      </w:pPr>
    </w:p>
    <w:p w:rsidRPr="002F50DB" w:rsidR="00B3027C" w:rsidP="009C2E11" w:rsidRDefault="00B3027C" w14:paraId="64CEE21B" w14:textId="77777777">
      <w:pPr>
        <w:keepLines/>
        <w:tabs>
          <w:tab w:val="left" w:pos="360"/>
        </w:tabs>
        <w:ind w:left="720"/>
        <w:rPr>
          <w:color w:val="000000" w:themeColor="text1"/>
          <w:sz w:val="22"/>
        </w:rPr>
      </w:pPr>
    </w:p>
    <w:p w:rsidRPr="002F50DB" w:rsidR="00B3027C" w:rsidP="009C2E11" w:rsidRDefault="00B3027C" w14:paraId="6FC5239C" w14:textId="77777777">
      <w:pPr>
        <w:keepLines/>
        <w:tabs>
          <w:tab w:val="left" w:pos="360"/>
        </w:tabs>
        <w:ind w:left="720"/>
        <w:rPr>
          <w:color w:val="000000" w:themeColor="text1"/>
          <w:sz w:val="22"/>
        </w:rPr>
      </w:pPr>
    </w:p>
    <w:p w:rsidRPr="002F50DB" w:rsidR="00B3027C" w:rsidP="009C2E11" w:rsidRDefault="00B3027C" w14:paraId="78F416E6" w14:textId="77777777">
      <w:pPr>
        <w:keepLines/>
        <w:tabs>
          <w:tab w:val="left" w:pos="360"/>
        </w:tabs>
        <w:ind w:left="720"/>
        <w:rPr>
          <w:color w:val="000000" w:themeColor="text1"/>
          <w:sz w:val="22"/>
        </w:rPr>
      </w:pPr>
    </w:p>
    <w:p w:rsidRPr="002F50DB" w:rsidR="00B3027C" w:rsidP="009C2E11" w:rsidRDefault="00B3027C" w14:paraId="471F5FE1" w14:textId="77777777">
      <w:pPr>
        <w:keepLines/>
        <w:tabs>
          <w:tab w:val="left" w:pos="360"/>
        </w:tabs>
        <w:ind w:left="720"/>
        <w:rPr>
          <w:color w:val="000000" w:themeColor="text1"/>
          <w:sz w:val="22"/>
        </w:rPr>
      </w:pPr>
    </w:p>
    <w:p w:rsidRPr="002F50DB" w:rsidR="00B3027C" w:rsidP="009C2E11" w:rsidRDefault="00B3027C" w14:paraId="19AE0AFD" w14:textId="77777777">
      <w:pPr>
        <w:keepLines/>
        <w:tabs>
          <w:tab w:val="left" w:pos="360"/>
        </w:tabs>
        <w:ind w:left="720"/>
        <w:rPr>
          <w:color w:val="000000" w:themeColor="text1"/>
          <w:sz w:val="22"/>
        </w:rPr>
      </w:pPr>
    </w:p>
    <w:p w:rsidRPr="002F50DB" w:rsidR="00B3027C" w:rsidP="009C2E11" w:rsidRDefault="00B3027C" w14:paraId="44E853FE" w14:textId="77777777">
      <w:pPr>
        <w:keepLines/>
        <w:tabs>
          <w:tab w:val="left" w:pos="360"/>
        </w:tabs>
        <w:ind w:left="720"/>
        <w:rPr>
          <w:color w:val="000000" w:themeColor="text1"/>
        </w:rPr>
      </w:pPr>
    </w:p>
    <w:p w:rsidRPr="002F50DB" w:rsidR="00854015" w:rsidRDefault="00854015" w14:paraId="1FEB0713" w14:textId="77777777">
      <w:pPr>
        <w:keepLines/>
        <w:tabs>
          <w:tab w:val="left" w:pos="360"/>
        </w:tabs>
        <w:spacing w:after="80"/>
        <w:ind w:left="360" w:hanging="360"/>
        <w:rPr>
          <w:b/>
          <w:color w:val="000000" w:themeColor="text1"/>
          <w:sz w:val="18"/>
        </w:rPr>
      </w:pPr>
      <w:r w:rsidRPr="002F50DB">
        <w:rPr>
          <w:b/>
          <w:color w:val="000000" w:themeColor="text1"/>
          <w:sz w:val="18"/>
        </w:rPr>
        <w:t>2.</w:t>
      </w:r>
      <w:r w:rsidRPr="002F50DB">
        <w:rPr>
          <w:b/>
          <w:color w:val="000000" w:themeColor="text1"/>
          <w:sz w:val="18"/>
        </w:rPr>
        <w:tab/>
        <w:t>Indicate how, by whom and for what purpose the information is to be used.  Except for a new collection, indicate the actual use the agency has made of the information received from the current collection.</w:t>
      </w:r>
    </w:p>
    <w:tbl>
      <w:tblPr>
        <w:tblW w:w="9560" w:type="dxa"/>
        <w:tblInd w:w="828" w:type="dxa"/>
        <w:tblLook w:val="04A0" w:firstRow="1" w:lastRow="0" w:firstColumn="1" w:lastColumn="0" w:noHBand="0" w:noVBand="1"/>
      </w:tblPr>
      <w:tblGrid>
        <w:gridCol w:w="2790"/>
        <w:gridCol w:w="6770"/>
      </w:tblGrid>
      <w:tr w:rsidRPr="002F50DB" w:rsidR="002F50DB" w:rsidTr="00AD27DB" w14:paraId="58183DFF" w14:textId="77777777">
        <w:trPr>
          <w:trHeight w:val="530"/>
          <w:tblHeader/>
        </w:trPr>
        <w:tc>
          <w:tcPr>
            <w:tcW w:w="279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2F50DB" w:rsidR="00BA133D" w:rsidP="00EC5BEF" w:rsidRDefault="00BA133D" w14:paraId="167B288A" w14:textId="77777777">
            <w:pPr>
              <w:overflowPunct/>
              <w:autoSpaceDE/>
              <w:autoSpaceDN/>
              <w:adjustRightInd/>
              <w:spacing w:after="200"/>
              <w:textAlignment w:val="auto"/>
              <w:rPr>
                <w:color w:val="000000" w:themeColor="text1"/>
              </w:rPr>
            </w:pPr>
            <w:r w:rsidRPr="002F50DB">
              <w:rPr>
                <w:color w:val="000000" w:themeColor="text1"/>
              </w:rPr>
              <w:lastRenderedPageBreak/>
              <w:t>Information Collection</w:t>
            </w:r>
          </w:p>
        </w:tc>
        <w:tc>
          <w:tcPr>
            <w:tcW w:w="6770" w:type="dxa"/>
            <w:tcBorders>
              <w:top w:val="single" w:color="auto" w:sz="4" w:space="0"/>
              <w:left w:val="nil"/>
              <w:bottom w:val="single" w:color="auto" w:sz="4" w:space="0"/>
              <w:right w:val="single" w:color="auto" w:sz="4" w:space="0"/>
            </w:tcBorders>
            <w:shd w:val="clear" w:color="auto" w:fill="D9D9D9"/>
            <w:vAlign w:val="center"/>
            <w:hideMark/>
          </w:tcPr>
          <w:p w:rsidRPr="002F50DB" w:rsidR="00BA133D" w:rsidP="00EC5BEF" w:rsidRDefault="00BA133D" w14:paraId="0DCEF84C" w14:textId="77777777">
            <w:pPr>
              <w:overflowPunct/>
              <w:autoSpaceDE/>
              <w:autoSpaceDN/>
              <w:adjustRightInd/>
              <w:spacing w:after="200"/>
              <w:textAlignment w:val="auto"/>
              <w:rPr>
                <w:color w:val="000000" w:themeColor="text1"/>
              </w:rPr>
            </w:pPr>
            <w:r w:rsidRPr="002F50DB">
              <w:rPr>
                <w:color w:val="000000" w:themeColor="text1"/>
              </w:rPr>
              <w:t>Title/Purpose</w:t>
            </w:r>
          </w:p>
        </w:tc>
      </w:tr>
      <w:tr w:rsidRPr="002F50DB" w:rsidR="002F50DB" w:rsidTr="00391B16" w14:paraId="5AE3AF61" w14:textId="77777777">
        <w:trPr>
          <w:trHeight w:val="2165"/>
        </w:trPr>
        <w:tc>
          <w:tcPr>
            <w:tcW w:w="2790" w:type="dxa"/>
            <w:tcBorders>
              <w:top w:val="nil"/>
              <w:left w:val="single" w:color="auto" w:sz="4" w:space="0"/>
              <w:bottom w:val="single" w:color="auto" w:sz="4" w:space="0"/>
              <w:right w:val="single" w:color="auto" w:sz="4" w:space="0"/>
            </w:tcBorders>
            <w:shd w:val="clear" w:color="auto" w:fill="auto"/>
            <w:vAlign w:val="center"/>
          </w:tcPr>
          <w:p w:rsidRPr="002F50DB" w:rsidR="00340124" w:rsidP="00C22111" w:rsidRDefault="00340124" w14:paraId="350F36EE" w14:textId="77777777">
            <w:pPr>
              <w:overflowPunct/>
              <w:autoSpaceDE/>
              <w:autoSpaceDN/>
              <w:adjustRightInd/>
              <w:spacing w:after="200"/>
              <w:textAlignment w:val="auto"/>
              <w:rPr>
                <w:color w:val="000000" w:themeColor="text1"/>
              </w:rPr>
            </w:pPr>
            <w:r w:rsidRPr="002F50DB">
              <w:rPr>
                <w:b/>
                <w:bCs/>
                <w:i/>
                <w:iCs/>
                <w:color w:val="000000" w:themeColor="text1"/>
              </w:rPr>
              <w:t>NEW Form Number</w:t>
            </w:r>
          </w:p>
        </w:tc>
        <w:tc>
          <w:tcPr>
            <w:tcW w:w="6770" w:type="dxa"/>
            <w:tcBorders>
              <w:top w:val="nil"/>
              <w:left w:val="nil"/>
              <w:bottom w:val="single" w:color="auto" w:sz="4" w:space="0"/>
              <w:right w:val="single" w:color="auto" w:sz="4" w:space="0"/>
            </w:tcBorders>
            <w:shd w:val="clear" w:color="auto" w:fill="auto"/>
          </w:tcPr>
          <w:p w:rsidRPr="002F50DB" w:rsidR="00340124" w:rsidP="000A301E" w:rsidRDefault="00340124" w14:paraId="23BB1364" w14:textId="77777777">
            <w:pPr>
              <w:pStyle w:val="Default"/>
              <w:rPr>
                <w:color w:val="000000" w:themeColor="text1"/>
                <w:sz w:val="20"/>
                <w:szCs w:val="20"/>
              </w:rPr>
            </w:pPr>
            <w:r w:rsidRPr="002F50DB">
              <w:rPr>
                <w:rFonts w:eastAsia="Times New Roman"/>
                <w:color w:val="000000" w:themeColor="text1"/>
                <w:spacing w:val="-4"/>
                <w:sz w:val="22"/>
                <w:szCs w:val="22"/>
              </w:rPr>
              <w:t>Office of General Counsel ("OGC")</w:t>
            </w:r>
            <w:r w:rsidRPr="002F50DB">
              <w:rPr>
                <w:rFonts w:eastAsia="Times New Roman"/>
                <w:color w:val="000000" w:themeColor="text1"/>
                <w:spacing w:val="-2"/>
                <w:sz w:val="22"/>
                <w:szCs w:val="22"/>
              </w:rPr>
              <w:t xml:space="preserve"> Closing Attorneys will facilitate </w:t>
            </w:r>
            <w:r w:rsidRPr="002F50DB">
              <w:rPr>
                <w:rFonts w:eastAsia="Times New Roman"/>
                <w:color w:val="000000" w:themeColor="text1"/>
                <w:sz w:val="22"/>
                <w:szCs w:val="22"/>
              </w:rPr>
              <w:t xml:space="preserve">temporary uniform electronic closings of FHA-insured mortgages by the </w:t>
            </w:r>
            <w:r w:rsidRPr="002F50DB">
              <w:rPr>
                <w:rFonts w:eastAsia="Times New Roman"/>
                <w:b/>
                <w:bCs/>
                <w:i/>
                <w:iCs/>
                <w:color w:val="000000" w:themeColor="text1"/>
                <w:sz w:val="22"/>
                <w:szCs w:val="22"/>
              </w:rPr>
              <w:t>Lender’s Certification Regarding: Electronic Submission of Closing Documents.</w:t>
            </w:r>
            <w:r w:rsidRPr="002F50DB">
              <w:rPr>
                <w:rFonts w:eastAsia="Times New Roman"/>
                <w:color w:val="000000" w:themeColor="text1"/>
                <w:sz w:val="22"/>
                <w:szCs w:val="22"/>
              </w:rPr>
              <w:t xml:space="preserve">  This temporary Form is a modification of the Lender’s Certificate, HUD-92434M, which the Lender agrees to abide by in consideration of HUD’s commitment to FHA-insure mortgages, and by which the Lender certifies that the conditions have been fulfilled to date, including any work done prior to endorsement of the Note that has been approved by HUD in writing, and all HUD imposed conditions that have been met with respect to such work.  The information collection requirements contained in the Lender’s Certificate are to oversee the parties’ compliance with all applicable legal requirements and therefore ensure protection of the FHA insurance fund</w:t>
            </w:r>
            <w:r w:rsidRPr="002F50DB" w:rsidR="00586385">
              <w:rPr>
                <w:rFonts w:eastAsia="Times New Roman"/>
                <w:color w:val="000000" w:themeColor="text1"/>
                <w:sz w:val="22"/>
                <w:szCs w:val="22"/>
              </w:rPr>
              <w:t>.</w:t>
            </w:r>
          </w:p>
        </w:tc>
      </w:tr>
      <w:tr w:rsidRPr="002F50DB" w:rsidR="002F50DB" w:rsidTr="00FC5133" w14:paraId="1800E035" w14:textId="77777777">
        <w:trPr>
          <w:trHeight w:val="980"/>
        </w:trPr>
        <w:tc>
          <w:tcPr>
            <w:tcW w:w="2790" w:type="dxa"/>
            <w:tcBorders>
              <w:top w:val="nil"/>
              <w:left w:val="single" w:color="auto" w:sz="4" w:space="0"/>
              <w:bottom w:val="single" w:color="auto" w:sz="4" w:space="0"/>
              <w:right w:val="single" w:color="auto" w:sz="4" w:space="0"/>
            </w:tcBorders>
            <w:shd w:val="clear" w:color="auto" w:fill="auto"/>
            <w:vAlign w:val="center"/>
          </w:tcPr>
          <w:p w:rsidRPr="002F50DB" w:rsidR="00340124" w:rsidP="00C22111" w:rsidRDefault="00340124" w14:paraId="6BCC0416" w14:textId="77777777">
            <w:pPr>
              <w:overflowPunct/>
              <w:autoSpaceDE/>
              <w:autoSpaceDN/>
              <w:adjustRightInd/>
              <w:spacing w:after="200"/>
              <w:textAlignment w:val="auto"/>
              <w:rPr>
                <w:color w:val="000000" w:themeColor="text1"/>
              </w:rPr>
            </w:pPr>
            <w:r w:rsidRPr="002F50DB">
              <w:rPr>
                <w:b/>
                <w:bCs/>
                <w:i/>
                <w:iCs/>
                <w:color w:val="000000" w:themeColor="text1"/>
              </w:rPr>
              <w:t>NEW Form Number</w:t>
            </w:r>
          </w:p>
        </w:tc>
        <w:tc>
          <w:tcPr>
            <w:tcW w:w="6770" w:type="dxa"/>
            <w:tcBorders>
              <w:top w:val="nil"/>
              <w:left w:val="nil"/>
              <w:bottom w:val="single" w:color="auto" w:sz="4" w:space="0"/>
              <w:right w:val="single" w:color="auto" w:sz="4" w:space="0"/>
            </w:tcBorders>
            <w:shd w:val="clear" w:color="auto" w:fill="auto"/>
          </w:tcPr>
          <w:p w:rsidRPr="002F50DB" w:rsidR="00340124" w:rsidP="000A301E" w:rsidRDefault="00340124" w14:paraId="0CC5B6C2" w14:textId="77777777">
            <w:pPr>
              <w:pStyle w:val="Default"/>
              <w:rPr>
                <w:color w:val="000000" w:themeColor="text1"/>
                <w:sz w:val="20"/>
                <w:szCs w:val="20"/>
              </w:rPr>
            </w:pPr>
            <w:r w:rsidRPr="002F50DB">
              <w:rPr>
                <w:rFonts w:eastAsia="Times New Roman"/>
                <w:i/>
                <w:iCs/>
                <w:color w:val="000000" w:themeColor="text1"/>
                <w:sz w:val="22"/>
                <w:szCs w:val="22"/>
              </w:rPr>
              <w:t xml:space="preserve">Lenders will use the </w:t>
            </w:r>
            <w:r w:rsidRPr="002F50DB">
              <w:rPr>
                <w:rFonts w:eastAsia="Times New Roman"/>
                <w:b/>
                <w:bCs/>
                <w:i/>
                <w:iCs/>
                <w:color w:val="000000" w:themeColor="text1"/>
                <w:sz w:val="22"/>
                <w:szCs w:val="22"/>
              </w:rPr>
              <w:t xml:space="preserve">Escrow Agreement for Deferred Repairs &amp; Debt Service - 223(f) </w:t>
            </w:r>
            <w:r w:rsidRPr="002F50DB">
              <w:rPr>
                <w:rFonts w:eastAsia="Times New Roman"/>
                <w:color w:val="000000" w:themeColor="text1"/>
                <w:spacing w:val="-2"/>
                <w:sz w:val="22"/>
                <w:szCs w:val="22"/>
              </w:rPr>
              <w:t xml:space="preserve">will establish a debt service escrow </w:t>
            </w:r>
            <w:r w:rsidRPr="002F50DB">
              <w:rPr>
                <w:rFonts w:eastAsia="Times New Roman"/>
                <w:color w:val="000000" w:themeColor="text1"/>
                <w:sz w:val="22"/>
                <w:szCs w:val="22"/>
              </w:rPr>
              <w:t>for Section 223(f) transactions to offset anticipated operating losses post endorsement due to temporary mitigation of increased vacancy, rent collection losses and income disruption both in the near and long term. Accordingly, this form provides clarification and instructions to HUD staff describing additional mitigants that may be included in the Firm Commitment loans that are in processing, as well as for those projects for which a Firm Commitment has been issued.  The Form</w:t>
            </w:r>
            <w:r w:rsidRPr="002F50DB">
              <w:rPr>
                <w:rFonts w:eastAsia="Times New Roman"/>
                <w:b/>
                <w:bCs/>
                <w:i/>
                <w:iCs/>
                <w:color w:val="000000" w:themeColor="text1"/>
                <w:sz w:val="22"/>
                <w:szCs w:val="22"/>
              </w:rPr>
              <w:t xml:space="preserve"> </w:t>
            </w:r>
            <w:r w:rsidRPr="002F50DB">
              <w:rPr>
                <w:rFonts w:eastAsia="Times New Roman"/>
                <w:color w:val="000000" w:themeColor="text1"/>
                <w:sz w:val="22"/>
                <w:szCs w:val="22"/>
              </w:rPr>
              <w:t>is a modification of the Escrow Agreement for Non-Critical Deferred Repairs HUD-92476.1M.  The Repair Escrow sets forth the terms and conditions between the Borrower and Lender and provides for the establishment of an escrow by the Borrower as security for completion of post-closing repairs</w:t>
            </w:r>
            <w:r w:rsidRPr="002F50DB" w:rsidR="00586385">
              <w:rPr>
                <w:rFonts w:eastAsia="Times New Roman"/>
                <w:color w:val="000000" w:themeColor="text1"/>
                <w:sz w:val="22"/>
                <w:szCs w:val="22"/>
              </w:rPr>
              <w:t>.</w:t>
            </w:r>
          </w:p>
        </w:tc>
      </w:tr>
    </w:tbl>
    <w:p w:rsidRPr="002F50DB" w:rsidR="00A6035A" w:rsidP="00E334BF" w:rsidRDefault="00A6035A" w14:paraId="74A61FC7" w14:textId="77777777">
      <w:pPr>
        <w:keepLines/>
        <w:tabs>
          <w:tab w:val="left" w:pos="360"/>
          <w:tab w:val="left" w:pos="720"/>
        </w:tabs>
        <w:ind w:left="576"/>
        <w:rPr>
          <w:color w:val="000000" w:themeColor="text1"/>
          <w:sz w:val="22"/>
          <w:szCs w:val="22"/>
        </w:rPr>
      </w:pPr>
    </w:p>
    <w:p w:rsidRPr="002F50DB" w:rsidR="00854015" w:rsidRDefault="00854015" w14:paraId="241DFCEC" w14:textId="77777777">
      <w:pPr>
        <w:tabs>
          <w:tab w:val="left" w:pos="360"/>
        </w:tabs>
        <w:rPr>
          <w:color w:val="000000" w:themeColor="text1"/>
          <w:sz w:val="18"/>
        </w:rPr>
      </w:pPr>
    </w:p>
    <w:p w:rsidRPr="002F50DB" w:rsidR="00854015" w:rsidRDefault="00854015" w14:paraId="2D7CA54E" w14:textId="77777777">
      <w:pPr>
        <w:keepLines/>
        <w:tabs>
          <w:tab w:val="left" w:pos="360"/>
        </w:tabs>
        <w:spacing w:after="80"/>
        <w:ind w:left="360" w:hanging="360"/>
        <w:rPr>
          <w:b/>
          <w:color w:val="000000" w:themeColor="text1"/>
        </w:rPr>
      </w:pPr>
      <w:r w:rsidRPr="002F50DB">
        <w:rPr>
          <w:b/>
          <w:color w:val="000000" w:themeColor="text1"/>
        </w:rPr>
        <w:t>3.</w:t>
      </w:r>
      <w:r w:rsidRPr="002F50DB">
        <w:rPr>
          <w:color w:val="000000" w:themeColor="text1"/>
        </w:rPr>
        <w:tab/>
      </w:r>
      <w:r w:rsidRPr="002F50DB">
        <w:rPr>
          <w:b/>
          <w:color w:val="000000" w:themeColor="text1"/>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F50DB" w:rsidR="00854015" w:rsidP="0098306D" w:rsidRDefault="00586385" w14:paraId="21DE6453" w14:textId="77777777">
      <w:pPr>
        <w:keepLines/>
        <w:tabs>
          <w:tab w:val="left" w:pos="360"/>
          <w:tab w:val="left" w:pos="720"/>
        </w:tabs>
        <w:ind w:left="720"/>
        <w:jc w:val="both"/>
        <w:rPr>
          <w:color w:val="000000" w:themeColor="text1"/>
        </w:rPr>
      </w:pPr>
      <w:r w:rsidRPr="002F50DB">
        <w:rPr>
          <w:i/>
          <w:iCs/>
          <w:color w:val="000000" w:themeColor="text1"/>
        </w:rPr>
        <w:t>R</w:t>
      </w:r>
      <w:r w:rsidRPr="002F50DB">
        <w:rPr>
          <w:i/>
          <w:iCs/>
          <w:color w:val="000000" w:themeColor="text1"/>
          <w:spacing w:val="-4"/>
        </w:rPr>
        <w:t>elating to the current COVID-19 Coronavirus outbreak and the President declaring a national emergency the HUD in its entirety is currently working remotely.  Therefore, HUD has ensured the continuity of operations to conduct FHA-insured mortgage closings electronically via but not limited to current technological equipment and various modes of electronic communications</w:t>
      </w:r>
      <w:r w:rsidRPr="002F50DB" w:rsidR="00EC5BEF">
        <w:rPr>
          <w:color w:val="000000" w:themeColor="text1"/>
        </w:rPr>
        <w:t xml:space="preserve">.  </w:t>
      </w:r>
    </w:p>
    <w:p w:rsidRPr="002F50DB" w:rsidR="00EC5BEF" w:rsidP="00EC5BEF" w:rsidRDefault="00EC5BEF" w14:paraId="6BBB8676" w14:textId="77777777">
      <w:pPr>
        <w:keepLines/>
        <w:tabs>
          <w:tab w:val="left" w:pos="360"/>
          <w:tab w:val="left" w:pos="720"/>
        </w:tabs>
        <w:ind w:left="720"/>
        <w:rPr>
          <w:color w:val="000000" w:themeColor="text1"/>
        </w:rPr>
      </w:pPr>
    </w:p>
    <w:p w:rsidRPr="002F50DB" w:rsidR="00854015" w:rsidRDefault="00854015" w14:paraId="1422538E" w14:textId="77777777">
      <w:pPr>
        <w:keepLines/>
        <w:tabs>
          <w:tab w:val="left" w:pos="360"/>
        </w:tabs>
        <w:spacing w:after="80"/>
        <w:ind w:left="360" w:hanging="360"/>
        <w:rPr>
          <w:b/>
          <w:color w:val="000000" w:themeColor="text1"/>
        </w:rPr>
      </w:pPr>
      <w:r w:rsidRPr="002F50DB">
        <w:rPr>
          <w:b/>
          <w:color w:val="000000" w:themeColor="text1"/>
        </w:rPr>
        <w:t>4.</w:t>
      </w:r>
      <w:r w:rsidRPr="002F50DB">
        <w:rPr>
          <w:color w:val="000000" w:themeColor="text1"/>
        </w:rPr>
        <w:tab/>
      </w:r>
      <w:r w:rsidRPr="002F50DB">
        <w:rPr>
          <w:b/>
          <w:color w:val="000000" w:themeColor="text1"/>
        </w:rPr>
        <w:t>Describe efforts to identify duplication.  Show specifically why any similar information already available cannot be used or modified for use for the purposes described in Item 2 above.</w:t>
      </w:r>
    </w:p>
    <w:p w:rsidRPr="002F50DB" w:rsidR="00854015" w:rsidP="0098306D" w:rsidRDefault="00586385" w14:paraId="03EC3DA4" w14:textId="77777777">
      <w:pPr>
        <w:keepLines/>
        <w:tabs>
          <w:tab w:val="left" w:pos="360"/>
        </w:tabs>
        <w:ind w:left="720"/>
        <w:jc w:val="both"/>
        <w:rPr>
          <w:color w:val="000000" w:themeColor="text1"/>
        </w:rPr>
      </w:pPr>
      <w:r w:rsidRPr="002F50DB">
        <w:rPr>
          <w:i/>
          <w:iCs/>
          <w:color w:val="000000" w:themeColor="text1"/>
        </w:rPr>
        <w:t>There is no duplication of information.  These documents are situational and temporary modifications of standard documents to conduct and for multifamily housing closings</w:t>
      </w:r>
      <w:r w:rsidRPr="002F50DB" w:rsidR="00FE7BC3">
        <w:rPr>
          <w:color w:val="000000" w:themeColor="text1"/>
        </w:rPr>
        <w:t>.</w:t>
      </w:r>
    </w:p>
    <w:p w:rsidRPr="002F50DB" w:rsidR="00854015" w:rsidRDefault="00854015" w14:paraId="190561E5" w14:textId="77777777">
      <w:pPr>
        <w:tabs>
          <w:tab w:val="left" w:pos="360"/>
        </w:tabs>
        <w:ind w:left="360" w:hanging="360"/>
        <w:rPr>
          <w:color w:val="000000" w:themeColor="text1"/>
        </w:rPr>
      </w:pPr>
    </w:p>
    <w:p w:rsidRPr="002F50DB" w:rsidR="00854015" w:rsidRDefault="00854015" w14:paraId="7E895332" w14:textId="77777777">
      <w:pPr>
        <w:keepLines/>
        <w:tabs>
          <w:tab w:val="left" w:pos="360"/>
        </w:tabs>
        <w:spacing w:after="80"/>
        <w:ind w:left="360" w:hanging="360"/>
        <w:rPr>
          <w:b/>
          <w:color w:val="000000" w:themeColor="text1"/>
        </w:rPr>
      </w:pPr>
      <w:r w:rsidRPr="002F50DB">
        <w:rPr>
          <w:b/>
          <w:color w:val="000000" w:themeColor="text1"/>
        </w:rPr>
        <w:t>5.</w:t>
      </w:r>
      <w:r w:rsidRPr="002F50DB">
        <w:rPr>
          <w:b/>
          <w:color w:val="000000" w:themeColor="text1"/>
        </w:rPr>
        <w:tab/>
        <w:t>If the collection of information impacts small businesses or other small entities (Item 5 of OMB Form 83-I) describe any methods used to minimize burden.</w:t>
      </w:r>
    </w:p>
    <w:p w:rsidRPr="002F50DB" w:rsidR="00854015" w:rsidP="001B6837" w:rsidRDefault="00854015" w14:paraId="7549B087" w14:textId="77777777">
      <w:pPr>
        <w:keepLines/>
        <w:tabs>
          <w:tab w:val="left" w:pos="360"/>
          <w:tab w:val="left" w:pos="720"/>
        </w:tabs>
        <w:ind w:left="720"/>
        <w:rPr>
          <w:color w:val="000000" w:themeColor="text1"/>
        </w:rPr>
      </w:pPr>
      <w:r w:rsidRPr="002F50DB">
        <w:rPr>
          <w:color w:val="000000" w:themeColor="text1"/>
        </w:rPr>
        <w:t>The collection of this information will not impact small businesses or other small entitie</w:t>
      </w:r>
      <w:r w:rsidRPr="002F50DB" w:rsidR="00FE7BC3">
        <w:rPr>
          <w:color w:val="000000" w:themeColor="text1"/>
        </w:rPr>
        <w:t xml:space="preserve">s.  </w:t>
      </w:r>
      <w:r w:rsidRPr="002F50DB" w:rsidR="00CB5D22">
        <w:rPr>
          <w:color w:val="000000" w:themeColor="text1"/>
        </w:rPr>
        <w:t>This document</w:t>
      </w:r>
      <w:r w:rsidRPr="002F50DB" w:rsidR="00FE7BC3">
        <w:rPr>
          <w:color w:val="000000" w:themeColor="text1"/>
        </w:rPr>
        <w:t xml:space="preserve"> reduces </w:t>
      </w:r>
      <w:r w:rsidRPr="002F50DB" w:rsidR="00CB5D22">
        <w:rPr>
          <w:color w:val="000000" w:themeColor="text1"/>
        </w:rPr>
        <w:t xml:space="preserve">burden </w:t>
      </w:r>
      <w:r w:rsidRPr="002F50DB" w:rsidR="00FE7BC3">
        <w:rPr>
          <w:color w:val="000000" w:themeColor="text1"/>
        </w:rPr>
        <w:t xml:space="preserve">by requiring </w:t>
      </w:r>
      <w:r w:rsidRPr="002F50DB" w:rsidR="00CB5D22">
        <w:rPr>
          <w:color w:val="000000" w:themeColor="text1"/>
        </w:rPr>
        <w:t xml:space="preserve">use of </w:t>
      </w:r>
      <w:r w:rsidRPr="002F50DB" w:rsidR="00FE2865">
        <w:rPr>
          <w:color w:val="000000" w:themeColor="text1"/>
        </w:rPr>
        <w:t xml:space="preserve">these </w:t>
      </w:r>
      <w:r w:rsidRPr="002F50DB" w:rsidR="00CB5D22">
        <w:rPr>
          <w:color w:val="000000" w:themeColor="text1"/>
        </w:rPr>
        <w:t>document</w:t>
      </w:r>
      <w:r w:rsidRPr="002F50DB" w:rsidR="00FE2865">
        <w:rPr>
          <w:color w:val="000000" w:themeColor="text1"/>
        </w:rPr>
        <w:t>s</w:t>
      </w:r>
      <w:r w:rsidRPr="002F50DB" w:rsidR="00FE7BC3">
        <w:rPr>
          <w:color w:val="000000" w:themeColor="text1"/>
        </w:rPr>
        <w:t xml:space="preserve"> for all the various multifamily rental housing projects, except for healthcare facilities</w:t>
      </w:r>
      <w:r w:rsidRPr="002F50DB" w:rsidR="00CB5D22">
        <w:rPr>
          <w:color w:val="000000" w:themeColor="text1"/>
        </w:rPr>
        <w:t>, and</w:t>
      </w:r>
      <w:r w:rsidRPr="002F50DB" w:rsidR="00FD1136">
        <w:rPr>
          <w:color w:val="000000" w:themeColor="text1"/>
        </w:rPr>
        <w:t xml:space="preserve"> not requiring </w:t>
      </w:r>
      <w:r w:rsidRPr="002F50DB" w:rsidR="00FE2865">
        <w:rPr>
          <w:color w:val="000000" w:themeColor="text1"/>
        </w:rPr>
        <w:t xml:space="preserve">these </w:t>
      </w:r>
      <w:r w:rsidRPr="002F50DB" w:rsidR="00CB5D22">
        <w:rPr>
          <w:color w:val="000000" w:themeColor="text1"/>
        </w:rPr>
        <w:t>document</w:t>
      </w:r>
      <w:r w:rsidRPr="002F50DB" w:rsidR="00FE2865">
        <w:rPr>
          <w:color w:val="000000" w:themeColor="text1"/>
        </w:rPr>
        <w:t>s</w:t>
      </w:r>
      <w:r w:rsidRPr="002F50DB" w:rsidR="00CB5D22">
        <w:rPr>
          <w:color w:val="000000" w:themeColor="text1"/>
        </w:rPr>
        <w:t xml:space="preserve"> to be individually tailored for the transaction.</w:t>
      </w:r>
    </w:p>
    <w:p w:rsidRPr="002F50DB" w:rsidR="00323B5E" w:rsidP="00323B5E" w:rsidRDefault="00323B5E" w14:paraId="2706258D" w14:textId="77777777">
      <w:pPr>
        <w:widowControl w:val="0"/>
        <w:tabs>
          <w:tab w:val="left" w:pos="360"/>
        </w:tabs>
        <w:ind w:left="360" w:hanging="360"/>
        <w:rPr>
          <w:b/>
          <w:color w:val="000000" w:themeColor="text1"/>
        </w:rPr>
      </w:pPr>
    </w:p>
    <w:p w:rsidRPr="002F50DB" w:rsidR="00854015" w:rsidP="00323B5E" w:rsidRDefault="00854015" w14:paraId="31DB6B77" w14:textId="77777777">
      <w:pPr>
        <w:widowControl w:val="0"/>
        <w:tabs>
          <w:tab w:val="left" w:pos="360"/>
        </w:tabs>
        <w:ind w:left="360" w:hanging="360"/>
        <w:rPr>
          <w:b/>
          <w:color w:val="000000" w:themeColor="text1"/>
        </w:rPr>
      </w:pPr>
      <w:r w:rsidRPr="002F50DB">
        <w:rPr>
          <w:b/>
          <w:color w:val="000000" w:themeColor="text1"/>
        </w:rPr>
        <w:t>6.</w:t>
      </w:r>
      <w:r w:rsidRPr="002F50DB">
        <w:rPr>
          <w:color w:val="000000" w:themeColor="text1"/>
        </w:rPr>
        <w:tab/>
      </w:r>
      <w:r w:rsidRPr="002F50DB">
        <w:rPr>
          <w:b/>
          <w:color w:val="000000" w:themeColor="text1"/>
        </w:rPr>
        <w:t>Describe the consequence to Federal program or policy activities if the collection is not conducted or is conducted less frequently, as well as any technical or legal obstacles to reducing burden.</w:t>
      </w:r>
    </w:p>
    <w:p w:rsidRPr="002F50DB" w:rsidR="00CB5D22" w:rsidRDefault="00CB5D22" w14:paraId="49B67485" w14:textId="77777777">
      <w:pPr>
        <w:pStyle w:val="BodyTextIndent3"/>
        <w:spacing w:after="0"/>
        <w:ind w:left="576"/>
        <w:rPr>
          <w:color w:val="000000" w:themeColor="text1"/>
          <w:sz w:val="20"/>
        </w:rPr>
      </w:pPr>
    </w:p>
    <w:p w:rsidRPr="002F50DB" w:rsidR="00181E0D" w:rsidP="00181E0D" w:rsidRDefault="00181E0D" w14:paraId="77A0E64F" w14:textId="77777777">
      <w:pPr>
        <w:pStyle w:val="BodyTextIndent3"/>
        <w:tabs>
          <w:tab w:val="clear" w:pos="360"/>
        </w:tabs>
        <w:spacing w:after="0"/>
        <w:ind w:left="720"/>
        <w:rPr>
          <w:color w:val="000000" w:themeColor="text1"/>
          <w:sz w:val="20"/>
        </w:rPr>
      </w:pPr>
      <w:r w:rsidRPr="002F50DB">
        <w:rPr>
          <w:color w:val="000000" w:themeColor="text1"/>
          <w:sz w:val="20"/>
        </w:rPr>
        <w:t xml:space="preserve">FHA insurance would not be available to the borrower, and therefore the multifamily housing transaction, </w:t>
      </w:r>
      <w:r w:rsidRPr="002F50DB" w:rsidR="00A82931">
        <w:rPr>
          <w:color w:val="000000" w:themeColor="text1"/>
          <w:sz w:val="20"/>
        </w:rPr>
        <w:t>likely</w:t>
      </w:r>
      <w:r w:rsidRPr="002F50DB">
        <w:rPr>
          <w:color w:val="000000" w:themeColor="text1"/>
          <w:sz w:val="20"/>
        </w:rPr>
        <w:t xml:space="preserve">, would not proceed.  </w:t>
      </w:r>
      <w:r w:rsidRPr="002F50DB" w:rsidR="00FE2865">
        <w:rPr>
          <w:color w:val="000000" w:themeColor="text1"/>
          <w:sz w:val="20"/>
        </w:rPr>
        <w:t xml:space="preserve"> In </w:t>
      </w:r>
      <w:r w:rsidRPr="002F50DB">
        <w:rPr>
          <w:color w:val="000000" w:themeColor="text1"/>
          <w:sz w:val="20"/>
        </w:rPr>
        <w:t xml:space="preserve">this economy, the availability of FHA mortgage insurance is often the factor that helps to maintain the availability of affordable multifamily rental housing. Additionally, HUD must protect the FHA insurance fund, which </w:t>
      </w:r>
      <w:r w:rsidRPr="002F50DB" w:rsidR="00FE2865">
        <w:rPr>
          <w:color w:val="000000" w:themeColor="text1"/>
          <w:sz w:val="20"/>
        </w:rPr>
        <w:t xml:space="preserve">these </w:t>
      </w:r>
      <w:r w:rsidRPr="002F50DB">
        <w:rPr>
          <w:color w:val="000000" w:themeColor="text1"/>
          <w:sz w:val="20"/>
        </w:rPr>
        <w:t>multifamily closing document</w:t>
      </w:r>
      <w:r w:rsidRPr="002F50DB" w:rsidR="00FE2865">
        <w:rPr>
          <w:color w:val="000000" w:themeColor="text1"/>
          <w:sz w:val="20"/>
        </w:rPr>
        <w:t>s</w:t>
      </w:r>
      <w:r w:rsidRPr="002F50DB">
        <w:rPr>
          <w:color w:val="000000" w:themeColor="text1"/>
          <w:sz w:val="20"/>
        </w:rPr>
        <w:t>, along with others is designed to do, by establishing the legal rights and obligations of the parties to the multifamily housing closing transaction.</w:t>
      </w:r>
    </w:p>
    <w:p w:rsidRPr="002F50DB" w:rsidR="00181E0D" w:rsidP="00181E0D" w:rsidRDefault="00181E0D" w14:paraId="72B0564A" w14:textId="77777777">
      <w:pPr>
        <w:pStyle w:val="BodyTextIndent3"/>
        <w:ind w:left="0"/>
        <w:rPr>
          <w:color w:val="000000" w:themeColor="text1"/>
          <w:sz w:val="20"/>
        </w:rPr>
      </w:pPr>
    </w:p>
    <w:p w:rsidRPr="002F50DB" w:rsidR="00181E0D" w:rsidP="00181E0D" w:rsidRDefault="00586385" w14:paraId="71EB3CCE" w14:textId="77777777">
      <w:pPr>
        <w:pStyle w:val="BodyTextIndent3"/>
        <w:tabs>
          <w:tab w:val="clear" w:pos="360"/>
        </w:tabs>
        <w:ind w:left="720"/>
        <w:rPr>
          <w:color w:val="000000" w:themeColor="text1"/>
          <w:sz w:val="20"/>
        </w:rPr>
      </w:pPr>
      <w:r w:rsidRPr="002F50DB">
        <w:rPr>
          <w:color w:val="000000" w:themeColor="text1"/>
          <w:sz w:val="20"/>
        </w:rPr>
        <w:t>Without this collection HUD and the mortgagee would perform duplicative legal work and expend considerably greater amount of time and resources than a borrower’s or owner's counsel, who would be conducting the due diligence analysis as a matter of course in representing the client</w:t>
      </w:r>
      <w:r w:rsidRPr="002F50DB" w:rsidR="00181E0D">
        <w:rPr>
          <w:color w:val="000000" w:themeColor="text1"/>
          <w:sz w:val="20"/>
        </w:rPr>
        <w:t>.</w:t>
      </w:r>
    </w:p>
    <w:p w:rsidRPr="002F50DB" w:rsidR="00A75B1E" w:rsidP="00181E0D" w:rsidRDefault="00A75B1E" w14:paraId="6888A8A3" w14:textId="77777777">
      <w:pPr>
        <w:pStyle w:val="BodyTextIndent3"/>
        <w:spacing w:after="0"/>
        <w:ind w:left="0"/>
        <w:rPr>
          <w:color w:val="000000" w:themeColor="text1"/>
          <w:sz w:val="20"/>
        </w:rPr>
      </w:pPr>
    </w:p>
    <w:p w:rsidRPr="002F50DB" w:rsidR="00854015" w:rsidRDefault="00854015" w14:paraId="5DBA7484" w14:textId="77777777">
      <w:pPr>
        <w:numPr>
          <w:ilvl w:val="0"/>
          <w:numId w:val="13"/>
        </w:numPr>
        <w:tabs>
          <w:tab w:val="left" w:pos="360"/>
        </w:tabs>
        <w:rPr>
          <w:b/>
          <w:color w:val="000000" w:themeColor="text1"/>
        </w:rPr>
      </w:pPr>
      <w:r w:rsidRPr="002F50DB">
        <w:rPr>
          <w:b/>
          <w:color w:val="000000" w:themeColor="text1"/>
        </w:rPr>
        <w:t xml:space="preserve">Explain any special circumstances that would cause an information collection to be conducted in a manner: </w:t>
      </w:r>
    </w:p>
    <w:p w:rsidRPr="002F50DB" w:rsidR="00854015" w:rsidRDefault="00854015" w14:paraId="5514DD18" w14:textId="77777777">
      <w:pPr>
        <w:numPr>
          <w:ilvl w:val="0"/>
          <w:numId w:val="14"/>
        </w:numPr>
        <w:tabs>
          <w:tab w:val="left" w:pos="600"/>
        </w:tabs>
        <w:rPr>
          <w:b/>
          <w:color w:val="000000" w:themeColor="text1"/>
        </w:rPr>
      </w:pPr>
      <w:r w:rsidRPr="002F50DB">
        <w:rPr>
          <w:b/>
          <w:color w:val="000000" w:themeColor="text1"/>
        </w:rPr>
        <w:t>requiring respondents to report information to the agency more than quarterl</w:t>
      </w:r>
      <w:r w:rsidRPr="002F50DB" w:rsidR="00586385">
        <w:rPr>
          <w:b/>
          <w:color w:val="000000" w:themeColor="text1"/>
        </w:rPr>
        <w:t xml:space="preserve">y:  </w:t>
      </w:r>
      <w:r w:rsidRPr="002F50DB" w:rsidR="00A82931">
        <w:rPr>
          <w:bCs/>
          <w:i/>
          <w:iCs/>
          <w:color w:val="000000" w:themeColor="text1"/>
        </w:rPr>
        <w:t>Multifamily</w:t>
      </w:r>
      <w:r w:rsidRPr="002F50DB" w:rsidR="00A82931">
        <w:rPr>
          <w:i/>
          <w:iCs/>
          <w:color w:val="000000" w:themeColor="text1"/>
        </w:rPr>
        <w:t xml:space="preserve"> says, t</w:t>
      </w:r>
      <w:r w:rsidRPr="002F50DB" w:rsidR="00586385">
        <w:rPr>
          <w:i/>
          <w:iCs/>
          <w:color w:val="000000" w:themeColor="text1"/>
        </w:rPr>
        <w:t>here are no special circumstances surrounding this collection of information.</w:t>
      </w:r>
    </w:p>
    <w:p w:rsidRPr="002F50DB" w:rsidR="00D1378B" w:rsidP="00D1378B" w:rsidRDefault="00D1378B" w14:paraId="1C72C633" w14:textId="77777777">
      <w:pPr>
        <w:tabs>
          <w:tab w:val="left" w:pos="600"/>
        </w:tabs>
        <w:ind w:left="504"/>
        <w:rPr>
          <w:b/>
          <w:color w:val="000000" w:themeColor="text1"/>
        </w:rPr>
      </w:pPr>
    </w:p>
    <w:p w:rsidRPr="002F50DB" w:rsidR="00854015" w:rsidRDefault="00854015" w14:paraId="7A2A5C41" w14:textId="77777777">
      <w:pPr>
        <w:numPr>
          <w:ilvl w:val="0"/>
          <w:numId w:val="14"/>
        </w:numPr>
        <w:tabs>
          <w:tab w:val="left" w:pos="600"/>
        </w:tabs>
        <w:rPr>
          <w:b/>
          <w:color w:val="000000" w:themeColor="text1"/>
        </w:rPr>
      </w:pPr>
      <w:r w:rsidRPr="002F50DB">
        <w:rPr>
          <w:b/>
          <w:color w:val="000000" w:themeColor="text1"/>
        </w:rPr>
        <w:t>requiring respondents to prepare a written response to a collection of information in fewer than 30 days after receipt of it</w:t>
      </w:r>
      <w:r w:rsidRPr="002F50DB" w:rsidR="00586385">
        <w:rPr>
          <w:b/>
          <w:color w:val="000000" w:themeColor="text1"/>
        </w:rPr>
        <w:t xml:space="preserve">:  </w:t>
      </w:r>
      <w:r w:rsidRPr="002F50DB" w:rsidR="00A82931">
        <w:rPr>
          <w:bCs/>
          <w:i/>
          <w:iCs/>
          <w:color w:val="000000" w:themeColor="text1"/>
        </w:rPr>
        <w:t>Multifamily</w:t>
      </w:r>
      <w:r w:rsidRPr="002F50DB" w:rsidR="00A82931">
        <w:rPr>
          <w:i/>
          <w:iCs/>
          <w:color w:val="000000" w:themeColor="text1"/>
        </w:rPr>
        <w:t xml:space="preserve"> says, t</w:t>
      </w:r>
      <w:r w:rsidRPr="002F50DB" w:rsidR="00586385">
        <w:rPr>
          <w:i/>
          <w:iCs/>
          <w:color w:val="000000" w:themeColor="text1"/>
        </w:rPr>
        <w:t>here are no special circumstances surrounding this collection of information.</w:t>
      </w:r>
    </w:p>
    <w:p w:rsidRPr="002F50DB" w:rsidR="00586385" w:rsidP="00586385" w:rsidRDefault="00586385" w14:paraId="46221FA0" w14:textId="77777777">
      <w:pPr>
        <w:tabs>
          <w:tab w:val="left" w:pos="600"/>
        </w:tabs>
        <w:ind w:left="504"/>
        <w:rPr>
          <w:b/>
          <w:color w:val="000000" w:themeColor="text1"/>
        </w:rPr>
      </w:pPr>
    </w:p>
    <w:p w:rsidRPr="002F50DB" w:rsidR="00586385" w:rsidRDefault="00854015" w14:paraId="26241A43" w14:textId="77777777">
      <w:pPr>
        <w:numPr>
          <w:ilvl w:val="0"/>
          <w:numId w:val="14"/>
        </w:numPr>
        <w:tabs>
          <w:tab w:val="left" w:pos="600"/>
        </w:tabs>
        <w:rPr>
          <w:b/>
          <w:color w:val="000000" w:themeColor="text1"/>
        </w:rPr>
      </w:pPr>
      <w:r w:rsidRPr="002F50DB">
        <w:rPr>
          <w:b/>
          <w:color w:val="000000" w:themeColor="text1"/>
        </w:rPr>
        <w:t>requiring respondents to submit more than an original and two copies of any document</w:t>
      </w:r>
      <w:r w:rsidRPr="002F50DB" w:rsidR="00586385">
        <w:rPr>
          <w:b/>
          <w:color w:val="000000" w:themeColor="text1"/>
        </w:rPr>
        <w:t xml:space="preserve">:  </w:t>
      </w:r>
      <w:r w:rsidRPr="002F50DB" w:rsidR="00A82931">
        <w:rPr>
          <w:bCs/>
          <w:i/>
          <w:iCs/>
          <w:color w:val="000000" w:themeColor="text1"/>
        </w:rPr>
        <w:t>Multifamily</w:t>
      </w:r>
      <w:r w:rsidRPr="002F50DB" w:rsidR="00A82931">
        <w:rPr>
          <w:i/>
          <w:iCs/>
          <w:color w:val="000000" w:themeColor="text1"/>
        </w:rPr>
        <w:t xml:space="preserve"> says, t</w:t>
      </w:r>
      <w:r w:rsidRPr="002F50DB" w:rsidR="00586385">
        <w:rPr>
          <w:i/>
          <w:iCs/>
          <w:color w:val="000000" w:themeColor="text1"/>
        </w:rPr>
        <w:t>here are no special circumstances surrounding this collection of information.</w:t>
      </w:r>
    </w:p>
    <w:p w:rsidRPr="002F50DB" w:rsidR="00586385" w:rsidP="00586385" w:rsidRDefault="00586385" w14:paraId="52104DB6" w14:textId="77777777">
      <w:pPr>
        <w:pStyle w:val="ListParagraph"/>
        <w:rPr>
          <w:b/>
          <w:color w:val="000000" w:themeColor="text1"/>
        </w:rPr>
      </w:pPr>
    </w:p>
    <w:p w:rsidRPr="002F50DB" w:rsidR="00854015" w:rsidP="00586385" w:rsidRDefault="00854015" w14:paraId="568222FF" w14:textId="77777777">
      <w:pPr>
        <w:tabs>
          <w:tab w:val="left" w:pos="600"/>
        </w:tabs>
        <w:ind w:left="504"/>
        <w:rPr>
          <w:b/>
          <w:color w:val="000000" w:themeColor="text1"/>
        </w:rPr>
      </w:pPr>
      <w:r w:rsidRPr="002F50DB">
        <w:rPr>
          <w:b/>
          <w:color w:val="000000" w:themeColor="text1"/>
        </w:rPr>
        <w:t xml:space="preserve"> </w:t>
      </w:r>
    </w:p>
    <w:p w:rsidRPr="002F50DB" w:rsidR="00586385" w:rsidP="00A61C47" w:rsidRDefault="00854015" w14:paraId="59856F58" w14:textId="77777777">
      <w:pPr>
        <w:numPr>
          <w:ilvl w:val="0"/>
          <w:numId w:val="14"/>
        </w:numPr>
        <w:tabs>
          <w:tab w:val="left" w:pos="600"/>
        </w:tabs>
        <w:rPr>
          <w:b/>
          <w:color w:val="000000" w:themeColor="text1"/>
        </w:rPr>
      </w:pPr>
      <w:r w:rsidRPr="002F50DB">
        <w:rPr>
          <w:b/>
          <w:color w:val="000000" w:themeColor="text1"/>
        </w:rPr>
        <w:t>requiring respondents to retain records other than health, medical, government contract, grant-in-aid, or tax records for more than three years</w:t>
      </w:r>
      <w:r w:rsidRPr="002F50DB" w:rsidR="00586385">
        <w:rPr>
          <w:b/>
          <w:color w:val="000000" w:themeColor="text1"/>
        </w:rPr>
        <w:t xml:space="preserve">:  </w:t>
      </w:r>
      <w:r w:rsidRPr="002F50DB" w:rsidR="00A82931">
        <w:rPr>
          <w:bCs/>
          <w:i/>
          <w:iCs/>
          <w:color w:val="000000" w:themeColor="text1"/>
        </w:rPr>
        <w:t>Multifamily</w:t>
      </w:r>
      <w:r w:rsidRPr="002F50DB" w:rsidR="00A82931">
        <w:rPr>
          <w:i/>
          <w:iCs/>
          <w:color w:val="000000" w:themeColor="text1"/>
        </w:rPr>
        <w:t xml:space="preserve"> says, w</w:t>
      </w:r>
      <w:r w:rsidRPr="002F50DB" w:rsidR="00586385">
        <w:rPr>
          <w:i/>
          <w:iCs/>
          <w:color w:val="000000" w:themeColor="text1"/>
        </w:rPr>
        <w:t>hile the information collection does not explicitly require the retention of records for more than three years, in addition to the fact that the documents in the collection are mostly certifications and agreements that could possibly be considered government contracts, to the extent the information collection implicitly requires the retention of the documents for more than three years, it is because HUD is insuring mortgage loans pursuant to the National Housing Act (12 USC 1701 et. seq.) for a period of up to forty years.  Such long-term financing requires the Security Instrument, Note, Regulatory Agreement, and other documents in the collection to be enforceable by HUD and between the program participants (lenders and borrowers) for the same term authorized by statute</w:t>
      </w:r>
      <w:r w:rsidRPr="002F50DB" w:rsidR="00586385">
        <w:rPr>
          <w:color w:val="000000" w:themeColor="text1"/>
        </w:rPr>
        <w:t>.</w:t>
      </w:r>
    </w:p>
    <w:p w:rsidRPr="002F50DB" w:rsidR="003F0725" w:rsidP="00586385" w:rsidRDefault="003F0725" w14:paraId="6F0D7395" w14:textId="77777777">
      <w:pPr>
        <w:tabs>
          <w:tab w:val="left" w:pos="600"/>
        </w:tabs>
        <w:ind w:left="504"/>
        <w:rPr>
          <w:b/>
          <w:color w:val="000000" w:themeColor="text1"/>
        </w:rPr>
      </w:pPr>
    </w:p>
    <w:p w:rsidRPr="002F50DB" w:rsidR="00D1378B" w:rsidP="00586385" w:rsidRDefault="00D1378B" w14:paraId="72181B8E" w14:textId="77777777">
      <w:pPr>
        <w:tabs>
          <w:tab w:val="left" w:pos="600"/>
        </w:tabs>
        <w:ind w:left="504"/>
        <w:rPr>
          <w:b/>
          <w:color w:val="000000" w:themeColor="text1"/>
        </w:rPr>
      </w:pPr>
    </w:p>
    <w:p w:rsidRPr="002F50DB" w:rsidR="00586385" w:rsidP="00A61C47" w:rsidRDefault="00854015" w14:paraId="21E5FD51" w14:textId="77777777">
      <w:pPr>
        <w:numPr>
          <w:ilvl w:val="0"/>
          <w:numId w:val="14"/>
        </w:numPr>
        <w:tabs>
          <w:tab w:val="left" w:pos="600"/>
        </w:tabs>
        <w:rPr>
          <w:b/>
          <w:color w:val="000000" w:themeColor="text1"/>
        </w:rPr>
      </w:pPr>
      <w:r w:rsidRPr="002F50DB">
        <w:rPr>
          <w:b/>
          <w:color w:val="000000" w:themeColor="text1"/>
        </w:rPr>
        <w:t>in connection with a statistical survey, that is not designed to produce valid and reliable results than can be generalized to the universe of study</w:t>
      </w:r>
      <w:r w:rsidRPr="002F50DB" w:rsidR="00586385">
        <w:rPr>
          <w:b/>
          <w:color w:val="000000" w:themeColor="text1"/>
        </w:rPr>
        <w:t xml:space="preserve">:  </w:t>
      </w:r>
      <w:r w:rsidRPr="002F50DB" w:rsidR="00A82931">
        <w:rPr>
          <w:bCs/>
          <w:i/>
          <w:iCs/>
          <w:color w:val="000000" w:themeColor="text1"/>
        </w:rPr>
        <w:t>Multifamily</w:t>
      </w:r>
      <w:r w:rsidRPr="002F50DB" w:rsidR="00A82931">
        <w:rPr>
          <w:i/>
          <w:iCs/>
          <w:color w:val="000000" w:themeColor="text1"/>
        </w:rPr>
        <w:t xml:space="preserve"> says, t</w:t>
      </w:r>
      <w:r w:rsidRPr="002F50DB" w:rsidR="00586385">
        <w:rPr>
          <w:i/>
          <w:iCs/>
          <w:color w:val="000000" w:themeColor="text1"/>
        </w:rPr>
        <w:t>here are no special circumstances surrounding this collection of information.</w:t>
      </w:r>
    </w:p>
    <w:p w:rsidRPr="002F50DB" w:rsidR="00586385" w:rsidP="00586385" w:rsidRDefault="00586385" w14:paraId="0F33C11B" w14:textId="77777777">
      <w:pPr>
        <w:tabs>
          <w:tab w:val="left" w:pos="600"/>
        </w:tabs>
        <w:ind w:left="504"/>
        <w:rPr>
          <w:b/>
          <w:color w:val="000000" w:themeColor="text1"/>
        </w:rPr>
      </w:pPr>
    </w:p>
    <w:p w:rsidRPr="002F50DB" w:rsidR="00D1378B" w:rsidP="00586385" w:rsidRDefault="00D1378B" w14:paraId="4F83D085" w14:textId="77777777">
      <w:pPr>
        <w:tabs>
          <w:tab w:val="left" w:pos="600"/>
        </w:tabs>
        <w:ind w:left="504"/>
        <w:rPr>
          <w:b/>
          <w:color w:val="000000" w:themeColor="text1"/>
        </w:rPr>
      </w:pPr>
    </w:p>
    <w:p w:rsidRPr="002F50DB" w:rsidR="00586385" w:rsidP="00A61C47" w:rsidRDefault="00854015" w14:paraId="0EE36280" w14:textId="77777777">
      <w:pPr>
        <w:numPr>
          <w:ilvl w:val="0"/>
          <w:numId w:val="14"/>
        </w:numPr>
        <w:tabs>
          <w:tab w:val="left" w:pos="600"/>
        </w:tabs>
        <w:rPr>
          <w:b/>
          <w:color w:val="000000" w:themeColor="text1"/>
        </w:rPr>
      </w:pPr>
      <w:r w:rsidRPr="002F50DB">
        <w:rPr>
          <w:b/>
          <w:color w:val="000000" w:themeColor="text1"/>
        </w:rPr>
        <w:t>requiring the use of a statistical data classification that has not been reviewed and approved by OMB</w:t>
      </w:r>
      <w:r w:rsidRPr="002F50DB" w:rsidR="00586385">
        <w:rPr>
          <w:b/>
          <w:color w:val="000000" w:themeColor="text1"/>
        </w:rPr>
        <w:t xml:space="preserve">:  </w:t>
      </w:r>
      <w:r w:rsidRPr="002F50DB" w:rsidR="00A82931">
        <w:rPr>
          <w:bCs/>
          <w:i/>
          <w:iCs/>
          <w:color w:val="000000" w:themeColor="text1"/>
        </w:rPr>
        <w:t>Multifamily</w:t>
      </w:r>
      <w:r w:rsidRPr="002F50DB" w:rsidR="00A82931">
        <w:rPr>
          <w:i/>
          <w:iCs/>
          <w:color w:val="000000" w:themeColor="text1"/>
        </w:rPr>
        <w:t xml:space="preserve"> says, t</w:t>
      </w:r>
      <w:r w:rsidRPr="002F50DB" w:rsidR="00586385">
        <w:rPr>
          <w:i/>
          <w:iCs/>
          <w:color w:val="000000" w:themeColor="text1"/>
        </w:rPr>
        <w:t>here are no special circumstances surrounding this collection of information.</w:t>
      </w:r>
    </w:p>
    <w:p w:rsidRPr="002F50DB" w:rsidR="00D1378B" w:rsidP="00D1378B" w:rsidRDefault="00D1378B" w14:paraId="4446765B" w14:textId="77777777">
      <w:pPr>
        <w:pStyle w:val="ListParagraph"/>
        <w:rPr>
          <w:b/>
          <w:color w:val="000000" w:themeColor="text1"/>
        </w:rPr>
      </w:pPr>
    </w:p>
    <w:p w:rsidRPr="002F50DB" w:rsidR="00D1378B" w:rsidP="00D1378B" w:rsidRDefault="00D1378B" w14:paraId="5E376131" w14:textId="77777777">
      <w:pPr>
        <w:tabs>
          <w:tab w:val="left" w:pos="600"/>
        </w:tabs>
        <w:ind w:left="504"/>
        <w:rPr>
          <w:b/>
          <w:color w:val="000000" w:themeColor="text1"/>
        </w:rPr>
      </w:pPr>
    </w:p>
    <w:p w:rsidRPr="002F50DB" w:rsidR="00586385" w:rsidRDefault="00854015" w14:paraId="0D98705E" w14:textId="77777777">
      <w:pPr>
        <w:numPr>
          <w:ilvl w:val="0"/>
          <w:numId w:val="14"/>
        </w:numPr>
        <w:tabs>
          <w:tab w:val="left" w:pos="600"/>
        </w:tabs>
        <w:rPr>
          <w:b/>
          <w:color w:val="000000" w:themeColor="text1"/>
        </w:rPr>
      </w:pPr>
      <w:r w:rsidRPr="002F50DB">
        <w:rPr>
          <w:b/>
          <w:color w:val="000000" w:themeColor="text1"/>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2F50DB" w:rsidR="00586385">
        <w:rPr>
          <w:b/>
          <w:color w:val="000000" w:themeColor="text1"/>
        </w:rPr>
        <w:t xml:space="preserve">:  </w:t>
      </w:r>
      <w:r w:rsidRPr="002F50DB" w:rsidR="00A82931">
        <w:rPr>
          <w:bCs/>
          <w:i/>
          <w:iCs/>
          <w:color w:val="000000" w:themeColor="text1"/>
        </w:rPr>
        <w:t>Multifamily</w:t>
      </w:r>
      <w:r w:rsidRPr="002F50DB" w:rsidR="00A82931">
        <w:rPr>
          <w:i/>
          <w:iCs/>
          <w:color w:val="000000" w:themeColor="text1"/>
        </w:rPr>
        <w:t xml:space="preserve"> says, t</w:t>
      </w:r>
      <w:r w:rsidRPr="002F50DB" w:rsidR="00586385">
        <w:rPr>
          <w:i/>
          <w:iCs/>
          <w:color w:val="000000" w:themeColor="text1"/>
        </w:rPr>
        <w:t>here are no special circumstances surrounding this collection of information.</w:t>
      </w:r>
    </w:p>
    <w:p w:rsidRPr="002F50DB" w:rsidR="00586385" w:rsidP="00586385" w:rsidRDefault="00586385" w14:paraId="2C1B7847" w14:textId="77777777">
      <w:pPr>
        <w:pStyle w:val="ListParagraph"/>
        <w:rPr>
          <w:b/>
          <w:color w:val="000000" w:themeColor="text1"/>
        </w:rPr>
      </w:pPr>
    </w:p>
    <w:p w:rsidRPr="002F50DB" w:rsidR="00854015" w:rsidP="003F0725" w:rsidRDefault="00854015" w14:paraId="34E20320" w14:textId="77777777">
      <w:pPr>
        <w:tabs>
          <w:tab w:val="left" w:pos="600"/>
        </w:tabs>
        <w:ind w:left="504"/>
        <w:rPr>
          <w:b/>
          <w:color w:val="000000" w:themeColor="text1"/>
        </w:rPr>
      </w:pPr>
      <w:r w:rsidRPr="002F50DB">
        <w:rPr>
          <w:b/>
          <w:color w:val="000000" w:themeColor="text1"/>
        </w:rPr>
        <w:t xml:space="preserve"> or </w:t>
      </w:r>
    </w:p>
    <w:p w:rsidRPr="002F50DB" w:rsidR="00854015" w:rsidP="003F0725" w:rsidRDefault="00854015" w14:paraId="5D9EB977" w14:textId="77777777">
      <w:pPr>
        <w:keepLines/>
        <w:numPr>
          <w:ilvl w:val="0"/>
          <w:numId w:val="14"/>
        </w:numPr>
        <w:tabs>
          <w:tab w:val="left" w:pos="600"/>
        </w:tabs>
        <w:spacing w:after="80"/>
        <w:rPr>
          <w:color w:val="000000" w:themeColor="text1"/>
        </w:rPr>
      </w:pPr>
      <w:r w:rsidRPr="002F50DB">
        <w:rPr>
          <w:b/>
          <w:color w:val="000000" w:themeColor="text1"/>
        </w:rPr>
        <w:t>requiring respondents to submit proprietary trade secret, or other confidential information unless the agency can demonstrate that it has instituted procedures to protect the information's confidentiality to the extent permitted by law</w:t>
      </w:r>
      <w:r w:rsidRPr="002F50DB" w:rsidR="003F0725">
        <w:rPr>
          <w:b/>
          <w:color w:val="000000" w:themeColor="text1"/>
        </w:rPr>
        <w:t xml:space="preserve">: </w:t>
      </w:r>
      <w:r w:rsidRPr="002F50DB" w:rsidR="003F0725">
        <w:rPr>
          <w:b/>
          <w:i/>
          <w:iCs/>
          <w:color w:val="000000" w:themeColor="text1"/>
        </w:rPr>
        <w:t xml:space="preserve"> </w:t>
      </w:r>
      <w:r w:rsidRPr="002F50DB" w:rsidR="00A82931">
        <w:rPr>
          <w:bCs/>
          <w:i/>
          <w:iCs/>
          <w:color w:val="000000" w:themeColor="text1"/>
        </w:rPr>
        <w:t>Multifamily</w:t>
      </w:r>
      <w:r w:rsidRPr="002F50DB" w:rsidR="00A82931">
        <w:rPr>
          <w:i/>
          <w:iCs/>
          <w:color w:val="000000" w:themeColor="text1"/>
        </w:rPr>
        <w:t xml:space="preserve"> says, t</w:t>
      </w:r>
      <w:r w:rsidRPr="002F50DB">
        <w:rPr>
          <w:i/>
          <w:iCs/>
          <w:color w:val="000000" w:themeColor="text1"/>
        </w:rPr>
        <w:t>here are no special circumstances surrounding this collection of information.</w:t>
      </w:r>
    </w:p>
    <w:p w:rsidRPr="002F50DB" w:rsidR="00854015" w:rsidRDefault="00854015" w14:paraId="2D3DF814" w14:textId="77777777">
      <w:pPr>
        <w:tabs>
          <w:tab w:val="left" w:pos="360"/>
        </w:tabs>
        <w:ind w:left="360" w:hanging="360"/>
        <w:rPr>
          <w:color w:val="000000" w:themeColor="text1"/>
        </w:rPr>
      </w:pPr>
    </w:p>
    <w:p w:rsidRPr="00E74814" w:rsidR="00854015" w:rsidP="00E74814" w:rsidRDefault="00854015" w14:paraId="3D62D5AE" w14:textId="2850BF5E">
      <w:pPr>
        <w:pStyle w:val="ListParagraph"/>
        <w:numPr>
          <w:ilvl w:val="0"/>
          <w:numId w:val="13"/>
        </w:numPr>
        <w:tabs>
          <w:tab w:val="left" w:pos="360"/>
        </w:tabs>
        <w:rPr>
          <w:b/>
          <w:color w:val="000000" w:themeColor="text1"/>
        </w:rPr>
      </w:pPr>
      <w:r w:rsidRPr="00E74814">
        <w:rPr>
          <w:b/>
          <w:color w:val="000000" w:themeColor="text1"/>
        </w:rPr>
        <w:t xml:space="preserve">If applicable, provide a copy and identify the date and page number of </w:t>
      </w:r>
      <w:r w:rsidRPr="00E74814" w:rsidR="003F0725">
        <w:rPr>
          <w:b/>
          <w:color w:val="000000" w:themeColor="text1"/>
        </w:rPr>
        <w:t>publications</w:t>
      </w:r>
      <w:r w:rsidRPr="00E74814">
        <w:rPr>
          <w:b/>
          <w:color w:val="000000" w:themeColor="text1"/>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E74814" w:rsidR="00E74814" w:rsidP="00E74814" w:rsidRDefault="00E74814" w14:paraId="2DF843E0" w14:textId="77777777">
      <w:pPr>
        <w:pStyle w:val="ListParagraph"/>
        <w:tabs>
          <w:tab w:val="left" w:pos="360"/>
        </w:tabs>
        <w:ind w:left="360"/>
        <w:rPr>
          <w:b/>
          <w:color w:val="000000" w:themeColor="text1"/>
        </w:rPr>
      </w:pPr>
    </w:p>
    <w:p w:rsidRPr="002F50DB" w:rsidR="00854015" w:rsidRDefault="00854015" w14:paraId="13AC59D1" w14:textId="70C7F83E">
      <w:pPr>
        <w:numPr>
          <w:ilvl w:val="0"/>
          <w:numId w:val="14"/>
        </w:numPr>
        <w:tabs>
          <w:tab w:val="left" w:pos="360"/>
        </w:tabs>
        <w:ind w:left="480"/>
        <w:rPr>
          <w:b/>
          <w:color w:val="000000" w:themeColor="text1"/>
        </w:rPr>
      </w:pPr>
      <w:r w:rsidRPr="002F50DB">
        <w:rPr>
          <w:b/>
          <w:color w:val="000000" w:themeColor="text1"/>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r w:rsidR="00E74814">
        <w:rPr>
          <w:b/>
          <w:color w:val="000000" w:themeColor="text1"/>
        </w:rPr>
        <w:br/>
      </w:r>
    </w:p>
    <w:p w:rsidRPr="002F50DB" w:rsidR="00854015" w:rsidRDefault="00854015" w14:paraId="55FE6617" w14:textId="77777777">
      <w:pPr>
        <w:keepLines/>
        <w:numPr>
          <w:ilvl w:val="0"/>
          <w:numId w:val="14"/>
        </w:numPr>
        <w:tabs>
          <w:tab w:val="left" w:pos="360"/>
        </w:tabs>
        <w:spacing w:after="80"/>
        <w:ind w:left="480"/>
        <w:rPr>
          <w:b/>
          <w:color w:val="000000" w:themeColor="text1"/>
        </w:rPr>
      </w:pPr>
      <w:r w:rsidRPr="002F50DB">
        <w:rPr>
          <w:b/>
          <w:color w:val="000000" w:themeColor="text1"/>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2F50DB" w:rsidR="00A82931" w:rsidRDefault="00A82931" w14:paraId="1B9F5EEB" w14:textId="77777777">
      <w:pPr>
        <w:keepLines/>
        <w:tabs>
          <w:tab w:val="left" w:pos="360"/>
          <w:tab w:val="left" w:pos="720"/>
        </w:tabs>
        <w:ind w:left="680"/>
        <w:rPr>
          <w:color w:val="000000" w:themeColor="text1"/>
        </w:rPr>
      </w:pPr>
    </w:p>
    <w:p w:rsidRPr="002F50DB" w:rsidR="00854015" w:rsidRDefault="00DA0068" w14:paraId="4C0919B0" w14:textId="77777777">
      <w:pPr>
        <w:keepLines/>
        <w:tabs>
          <w:tab w:val="left" w:pos="360"/>
          <w:tab w:val="left" w:pos="720"/>
        </w:tabs>
        <w:ind w:left="680"/>
        <w:rPr>
          <w:b/>
          <w:bCs/>
          <w:i/>
          <w:iCs/>
          <w:color w:val="000000" w:themeColor="text1"/>
        </w:rPr>
      </w:pPr>
      <w:r w:rsidRPr="002F50DB">
        <w:rPr>
          <w:b/>
          <w:bCs/>
          <w:i/>
          <w:iCs/>
          <w:color w:val="000000" w:themeColor="text1"/>
        </w:rPr>
        <w:t>The Department published the notice entitled “</w:t>
      </w:r>
      <w:r w:rsidRPr="002F50DB" w:rsidR="00A82931">
        <w:rPr>
          <w:b/>
          <w:bCs/>
          <w:i/>
          <w:iCs/>
          <w:color w:val="000000" w:themeColor="text1"/>
        </w:rPr>
        <w:t>COVID19 HUD Contingency Plan for HUD Multifamily Rental Project Closing Documents: Lender’s Certification Regarding: Electronic Submission of Closing Documents and Escrow Agreement for Deferred Repairs, Debt Service – 223(f)</w:t>
      </w:r>
      <w:r w:rsidRPr="002F50DB">
        <w:rPr>
          <w:b/>
          <w:bCs/>
          <w:i/>
          <w:iCs/>
          <w:color w:val="000000" w:themeColor="text1"/>
        </w:rPr>
        <w:t xml:space="preserve">: </w:t>
      </w:r>
      <w:r w:rsidRPr="002F50DB" w:rsidR="00BD20D7">
        <w:rPr>
          <w:b/>
          <w:bCs/>
          <w:i/>
          <w:iCs/>
          <w:color w:val="000000" w:themeColor="text1"/>
        </w:rPr>
        <w:t>14</w:t>
      </w:r>
      <w:r w:rsidRPr="002F50DB" w:rsidR="00A8007B">
        <w:rPr>
          <w:b/>
          <w:bCs/>
          <w:i/>
          <w:iCs/>
          <w:color w:val="000000" w:themeColor="text1"/>
        </w:rPr>
        <w:t xml:space="preserve">-Day Notice of </w:t>
      </w:r>
      <w:r w:rsidRPr="002F50DB" w:rsidR="00BD20D7">
        <w:rPr>
          <w:b/>
          <w:bCs/>
          <w:i/>
          <w:iCs/>
          <w:color w:val="000000" w:themeColor="text1"/>
        </w:rPr>
        <w:t xml:space="preserve">New </w:t>
      </w:r>
      <w:r w:rsidRPr="002F50DB">
        <w:rPr>
          <w:b/>
          <w:bCs/>
          <w:i/>
          <w:iCs/>
          <w:color w:val="000000" w:themeColor="text1"/>
        </w:rPr>
        <w:t xml:space="preserve">Information Collection” </w:t>
      </w:r>
    </w:p>
    <w:p w:rsidRPr="002F50DB" w:rsidR="00BD20D7" w:rsidP="00BD20D7" w:rsidRDefault="00BD20D7" w14:paraId="142B573F" w14:textId="77777777">
      <w:pPr>
        <w:rPr>
          <w:color w:val="000000" w:themeColor="text1"/>
        </w:rPr>
      </w:pPr>
    </w:p>
    <w:p w:rsidRPr="002F50DB" w:rsidR="00BD20D7" w:rsidP="00BD20D7" w:rsidRDefault="00BD20D7" w14:paraId="5DBECB59" w14:textId="0A4B748C">
      <w:pPr>
        <w:keepLines/>
        <w:tabs>
          <w:tab w:val="left" w:pos="360"/>
          <w:tab w:val="left" w:pos="720"/>
        </w:tabs>
        <w:ind w:left="680"/>
        <w:rPr>
          <w:color w:val="000000" w:themeColor="text1"/>
        </w:rPr>
      </w:pPr>
      <w:r w:rsidRPr="002F50DB">
        <w:rPr>
          <w:i/>
          <w:iCs/>
          <w:color w:val="000000" w:themeColor="text1"/>
        </w:rPr>
        <w:t xml:space="preserve">In accordance with 5CFR 1320.8(d), this information collection soliciting public comments was announced in the Federal Register on </w:t>
      </w:r>
      <w:r w:rsidRPr="002F50DB">
        <w:rPr>
          <w:b/>
          <w:i/>
          <w:iCs/>
          <w:color w:val="000000" w:themeColor="text1"/>
          <w:u w:val="single"/>
        </w:rPr>
        <w:t xml:space="preserve">September </w:t>
      </w:r>
      <w:r w:rsidR="00E74814">
        <w:rPr>
          <w:b/>
          <w:i/>
          <w:iCs/>
          <w:color w:val="000000" w:themeColor="text1"/>
          <w:u w:val="single"/>
        </w:rPr>
        <w:t>4</w:t>
      </w:r>
      <w:r w:rsidRPr="002F50DB">
        <w:rPr>
          <w:b/>
          <w:i/>
          <w:iCs/>
          <w:color w:val="000000" w:themeColor="text1"/>
          <w:u w:val="single"/>
        </w:rPr>
        <w:t>, 20</w:t>
      </w:r>
      <w:r w:rsidR="00E74814">
        <w:rPr>
          <w:b/>
          <w:i/>
          <w:iCs/>
          <w:color w:val="000000" w:themeColor="text1"/>
          <w:u w:val="single"/>
        </w:rPr>
        <w:t>20</w:t>
      </w:r>
      <w:r w:rsidRPr="002F50DB">
        <w:rPr>
          <w:i/>
          <w:iCs/>
          <w:color w:val="000000" w:themeColor="text1"/>
        </w:rPr>
        <w:t xml:space="preserve">, Volume </w:t>
      </w:r>
      <w:r w:rsidRPr="002F50DB">
        <w:rPr>
          <w:b/>
          <w:i/>
          <w:iCs/>
          <w:color w:val="000000" w:themeColor="text1"/>
          <w:u w:val="single"/>
        </w:rPr>
        <w:t>8</w:t>
      </w:r>
      <w:r w:rsidR="00E74814">
        <w:rPr>
          <w:b/>
          <w:i/>
          <w:iCs/>
          <w:color w:val="000000" w:themeColor="text1"/>
          <w:u w:val="single"/>
        </w:rPr>
        <w:t>5</w:t>
      </w:r>
      <w:r w:rsidRPr="002F50DB">
        <w:rPr>
          <w:i/>
          <w:iCs/>
          <w:color w:val="000000" w:themeColor="text1"/>
        </w:rPr>
        <w:t xml:space="preserve">, No. </w:t>
      </w:r>
      <w:r w:rsidRPr="002F50DB">
        <w:rPr>
          <w:b/>
          <w:i/>
          <w:iCs/>
          <w:color w:val="000000" w:themeColor="text1"/>
          <w:u w:val="single"/>
        </w:rPr>
        <w:t>17</w:t>
      </w:r>
      <w:r w:rsidR="00E74814">
        <w:rPr>
          <w:b/>
          <w:i/>
          <w:iCs/>
          <w:color w:val="000000" w:themeColor="text1"/>
          <w:u w:val="single"/>
        </w:rPr>
        <w:t>3</w:t>
      </w:r>
      <w:r w:rsidRPr="002F50DB">
        <w:rPr>
          <w:i/>
          <w:iCs/>
          <w:color w:val="000000" w:themeColor="text1"/>
        </w:rPr>
        <w:t xml:space="preserve">, Pages </w:t>
      </w:r>
      <w:r w:rsidR="00E74814">
        <w:rPr>
          <w:b/>
          <w:i/>
          <w:iCs/>
          <w:color w:val="000000" w:themeColor="text1"/>
          <w:u w:val="single"/>
        </w:rPr>
        <w:t>55315</w:t>
      </w:r>
      <w:r w:rsidRPr="002F50DB">
        <w:rPr>
          <w:i/>
          <w:iCs/>
          <w:color w:val="000000" w:themeColor="text1"/>
        </w:rPr>
        <w:t>.  (</w:t>
      </w:r>
      <w:r w:rsidR="00E74814">
        <w:rPr>
          <w:i/>
          <w:iCs/>
          <w:color w:val="000000" w:themeColor="text1"/>
        </w:rPr>
        <w:t>0</w:t>
      </w:r>
      <w:r w:rsidRPr="002F50DB">
        <w:rPr>
          <w:i/>
          <w:iCs/>
          <w:color w:val="000000" w:themeColor="text1"/>
        </w:rPr>
        <w:t>) Comments received.</w:t>
      </w:r>
    </w:p>
    <w:p w:rsidRPr="002F50DB" w:rsidR="00E55DCF" w:rsidRDefault="00E55DCF" w14:paraId="7B8C0FC3" w14:textId="77777777">
      <w:pPr>
        <w:keepLines/>
        <w:tabs>
          <w:tab w:val="left" w:pos="360"/>
          <w:tab w:val="left" w:pos="720"/>
        </w:tabs>
        <w:ind w:left="680"/>
        <w:rPr>
          <w:color w:val="000000" w:themeColor="text1"/>
        </w:rPr>
      </w:pPr>
    </w:p>
    <w:p w:rsidRPr="002F50DB" w:rsidR="00854015" w:rsidRDefault="00C20216" w14:paraId="4745A466" w14:textId="77777777">
      <w:pPr>
        <w:tabs>
          <w:tab w:val="left" w:pos="360"/>
        </w:tabs>
        <w:ind w:left="360" w:hanging="360"/>
        <w:rPr>
          <w:color w:val="000000" w:themeColor="text1"/>
        </w:rPr>
      </w:pPr>
      <w:r w:rsidRPr="002F50DB">
        <w:rPr>
          <w:color w:val="000000" w:themeColor="text1"/>
        </w:rPr>
        <w:tab/>
      </w:r>
    </w:p>
    <w:p w:rsidRPr="002F50DB" w:rsidR="00854015" w:rsidRDefault="00854015" w14:paraId="55C0C0EF" w14:textId="77777777">
      <w:pPr>
        <w:keepLines/>
        <w:tabs>
          <w:tab w:val="left" w:pos="360"/>
        </w:tabs>
        <w:spacing w:after="80"/>
        <w:ind w:left="360" w:hanging="360"/>
        <w:rPr>
          <w:b/>
          <w:color w:val="000000" w:themeColor="text1"/>
        </w:rPr>
      </w:pPr>
      <w:r w:rsidRPr="002F50DB">
        <w:rPr>
          <w:b/>
          <w:color w:val="000000" w:themeColor="text1"/>
        </w:rPr>
        <w:t>9.</w:t>
      </w:r>
      <w:r w:rsidRPr="002F50DB">
        <w:rPr>
          <w:b/>
          <w:color w:val="000000" w:themeColor="text1"/>
        </w:rPr>
        <w:tab/>
        <w:t>Explain any decision to provide any payment or gift to respondents, other than remuneration of contractors or grantees.</w:t>
      </w:r>
    </w:p>
    <w:p w:rsidRPr="002F50DB" w:rsidR="00854015" w:rsidRDefault="00D1378B" w14:paraId="5EB66F88" w14:textId="77777777">
      <w:pPr>
        <w:pStyle w:val="BodyTextIndent2"/>
        <w:spacing w:after="0"/>
        <w:ind w:left="576" w:firstLine="0"/>
        <w:rPr>
          <w:color w:val="000000" w:themeColor="text1"/>
          <w:sz w:val="20"/>
          <w:szCs w:val="20"/>
        </w:rPr>
      </w:pPr>
      <w:r w:rsidRPr="002F50DB">
        <w:rPr>
          <w:bCs/>
          <w:i/>
          <w:iCs/>
          <w:color w:val="000000" w:themeColor="text1"/>
          <w:sz w:val="20"/>
          <w:szCs w:val="20"/>
        </w:rPr>
        <w:t>Multifamily</w:t>
      </w:r>
      <w:r w:rsidRPr="002F50DB">
        <w:rPr>
          <w:i/>
          <w:iCs/>
          <w:color w:val="000000" w:themeColor="text1"/>
          <w:sz w:val="20"/>
          <w:szCs w:val="20"/>
        </w:rPr>
        <w:t xml:space="preserve"> says, n</w:t>
      </w:r>
      <w:r w:rsidRPr="002F50DB" w:rsidR="00854015">
        <w:rPr>
          <w:i/>
          <w:iCs/>
          <w:color w:val="000000" w:themeColor="text1"/>
          <w:sz w:val="20"/>
          <w:szCs w:val="20"/>
        </w:rPr>
        <w:t>o gifts or payments are provided other than the</w:t>
      </w:r>
      <w:r w:rsidRPr="002F50DB" w:rsidR="00C20216">
        <w:rPr>
          <w:i/>
          <w:iCs/>
          <w:color w:val="000000" w:themeColor="text1"/>
          <w:sz w:val="20"/>
          <w:szCs w:val="20"/>
        </w:rPr>
        <w:t xml:space="preserve"> provision of mortgage insurance, and the</w:t>
      </w:r>
      <w:r w:rsidRPr="002F50DB" w:rsidR="001B6837">
        <w:rPr>
          <w:i/>
          <w:iCs/>
          <w:color w:val="000000" w:themeColor="text1"/>
          <w:sz w:val="20"/>
          <w:szCs w:val="20"/>
        </w:rPr>
        <w:t xml:space="preserve"> payment of insurance claim for a validly submitted claim</w:t>
      </w:r>
      <w:r w:rsidRPr="002F50DB" w:rsidR="00854015">
        <w:rPr>
          <w:i/>
          <w:iCs/>
          <w:color w:val="000000" w:themeColor="text1"/>
          <w:sz w:val="20"/>
          <w:szCs w:val="20"/>
        </w:rPr>
        <w:t>.</w:t>
      </w:r>
    </w:p>
    <w:p w:rsidRPr="002F50DB" w:rsidR="00854015" w:rsidRDefault="00854015" w14:paraId="17E1A507" w14:textId="77777777">
      <w:pPr>
        <w:keepLines/>
        <w:tabs>
          <w:tab w:val="left" w:pos="360"/>
          <w:tab w:val="left" w:pos="720"/>
        </w:tabs>
        <w:ind w:left="360"/>
        <w:rPr>
          <w:color w:val="000000" w:themeColor="text1"/>
        </w:rPr>
      </w:pPr>
    </w:p>
    <w:p w:rsidRPr="002F50DB" w:rsidR="00854015" w:rsidRDefault="00854015" w14:paraId="4684B13E" w14:textId="77777777">
      <w:pPr>
        <w:keepLines/>
        <w:tabs>
          <w:tab w:val="left" w:pos="360"/>
        </w:tabs>
        <w:spacing w:after="80"/>
        <w:ind w:left="360" w:hanging="360"/>
        <w:rPr>
          <w:b/>
          <w:color w:val="000000" w:themeColor="text1"/>
        </w:rPr>
      </w:pPr>
      <w:r w:rsidRPr="002F50DB">
        <w:rPr>
          <w:b/>
          <w:color w:val="000000" w:themeColor="text1"/>
        </w:rPr>
        <w:t>10.</w:t>
      </w:r>
      <w:r w:rsidRPr="002F50DB">
        <w:rPr>
          <w:b/>
          <w:color w:val="000000" w:themeColor="text1"/>
        </w:rPr>
        <w:tab/>
        <w:t>Describe any assurance of confidentiality provided to respondents and the basis for assurance in statute, regulation or agency policy.</w:t>
      </w:r>
    </w:p>
    <w:p w:rsidRPr="002F50DB" w:rsidR="00854015" w:rsidRDefault="009867C4" w14:paraId="6B907E19" w14:textId="77777777">
      <w:pPr>
        <w:keepLines/>
        <w:tabs>
          <w:tab w:val="left" w:pos="360"/>
          <w:tab w:val="left" w:pos="720"/>
        </w:tabs>
        <w:ind w:left="576"/>
        <w:rPr>
          <w:color w:val="000000" w:themeColor="text1"/>
        </w:rPr>
      </w:pPr>
      <w:r w:rsidRPr="002F50DB">
        <w:rPr>
          <w:bCs/>
          <w:i/>
          <w:iCs/>
          <w:color w:val="000000" w:themeColor="text1"/>
        </w:rPr>
        <w:t>Multifamily</w:t>
      </w:r>
      <w:r w:rsidRPr="002F50DB">
        <w:rPr>
          <w:i/>
          <w:iCs/>
          <w:color w:val="000000" w:themeColor="text1"/>
        </w:rPr>
        <w:t xml:space="preserve"> says, t</w:t>
      </w:r>
      <w:r w:rsidRPr="002F50DB" w:rsidR="002C2E6F">
        <w:rPr>
          <w:i/>
          <w:iCs/>
          <w:color w:val="000000" w:themeColor="text1"/>
        </w:rPr>
        <w:t>he document contains no personally identifying information subject to privacy requirements.</w:t>
      </w:r>
      <w:r w:rsidRPr="002F50DB" w:rsidR="002C2E6F">
        <w:rPr>
          <w:color w:val="000000" w:themeColor="text1"/>
        </w:rPr>
        <w:t xml:space="preserve">  </w:t>
      </w:r>
    </w:p>
    <w:p w:rsidRPr="002F50DB" w:rsidR="002C2E6F" w:rsidRDefault="002C2E6F" w14:paraId="21427879" w14:textId="77777777">
      <w:pPr>
        <w:keepLines/>
        <w:tabs>
          <w:tab w:val="left" w:pos="360"/>
          <w:tab w:val="left" w:pos="720"/>
        </w:tabs>
        <w:ind w:left="576"/>
        <w:rPr>
          <w:color w:val="000000" w:themeColor="text1"/>
        </w:rPr>
      </w:pPr>
    </w:p>
    <w:p w:rsidRPr="002F50DB" w:rsidR="00854015" w:rsidRDefault="00854015" w14:paraId="0E14894F" w14:textId="77777777">
      <w:pPr>
        <w:keepLines/>
        <w:tabs>
          <w:tab w:val="left" w:pos="360"/>
        </w:tabs>
        <w:spacing w:after="80"/>
        <w:ind w:left="360" w:hanging="360"/>
        <w:rPr>
          <w:b/>
          <w:color w:val="000000" w:themeColor="text1"/>
        </w:rPr>
      </w:pPr>
      <w:r w:rsidRPr="002F50DB">
        <w:rPr>
          <w:b/>
          <w:color w:val="000000" w:themeColor="text1"/>
        </w:rPr>
        <w:t>11.</w:t>
      </w:r>
      <w:r w:rsidRPr="002F50DB">
        <w:rPr>
          <w:b/>
          <w:color w:val="000000" w:themeColor="text1"/>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F50DB" w:rsidR="00854015" w:rsidRDefault="00854015" w14:paraId="44E45CE3" w14:textId="77777777">
      <w:pPr>
        <w:keepLines/>
        <w:tabs>
          <w:tab w:val="left" w:pos="360"/>
        </w:tabs>
        <w:ind w:firstLine="360"/>
        <w:rPr>
          <w:i/>
          <w:iCs/>
          <w:color w:val="000000" w:themeColor="text1"/>
        </w:rPr>
      </w:pPr>
      <w:r w:rsidRPr="002F50DB">
        <w:rPr>
          <w:color w:val="000000" w:themeColor="text1"/>
        </w:rPr>
        <w:t xml:space="preserve">      </w:t>
      </w:r>
      <w:r w:rsidRPr="002F50DB" w:rsidR="009867C4">
        <w:rPr>
          <w:bCs/>
          <w:i/>
          <w:iCs/>
          <w:color w:val="000000" w:themeColor="text1"/>
        </w:rPr>
        <w:t>Multifamily</w:t>
      </w:r>
      <w:r w:rsidRPr="002F50DB" w:rsidR="009867C4">
        <w:rPr>
          <w:i/>
          <w:iCs/>
          <w:color w:val="000000" w:themeColor="text1"/>
        </w:rPr>
        <w:t xml:space="preserve"> says, n</w:t>
      </w:r>
      <w:r w:rsidRPr="002F50DB">
        <w:rPr>
          <w:i/>
          <w:iCs/>
          <w:color w:val="000000" w:themeColor="text1"/>
        </w:rPr>
        <w:t>o questions of a sensitive nature are included in this request</w:t>
      </w:r>
      <w:r w:rsidRPr="002F50DB" w:rsidR="009867C4">
        <w:rPr>
          <w:i/>
          <w:iCs/>
          <w:color w:val="000000" w:themeColor="text1"/>
        </w:rPr>
        <w:t>.</w:t>
      </w:r>
    </w:p>
    <w:p w:rsidRPr="002F50DB" w:rsidR="00854015" w:rsidRDefault="00854015" w14:paraId="07CC4B5B" w14:textId="77777777">
      <w:pPr>
        <w:tabs>
          <w:tab w:val="left" w:pos="360"/>
        </w:tabs>
        <w:ind w:left="360" w:hanging="360"/>
        <w:rPr>
          <w:b/>
          <w:color w:val="000000" w:themeColor="text1"/>
        </w:rPr>
      </w:pPr>
    </w:p>
    <w:p w:rsidRPr="002F50DB" w:rsidR="00854015" w:rsidRDefault="00854015" w14:paraId="4373A233" w14:textId="77777777">
      <w:pPr>
        <w:tabs>
          <w:tab w:val="left" w:pos="360"/>
        </w:tabs>
        <w:ind w:left="360" w:hanging="360"/>
        <w:rPr>
          <w:b/>
          <w:color w:val="000000" w:themeColor="text1"/>
        </w:rPr>
      </w:pPr>
      <w:r w:rsidRPr="002F50DB">
        <w:rPr>
          <w:b/>
          <w:color w:val="000000" w:themeColor="text1"/>
        </w:rPr>
        <w:t>12.</w:t>
      </w:r>
      <w:r w:rsidRPr="002F50DB">
        <w:rPr>
          <w:color w:val="000000" w:themeColor="text1"/>
        </w:rPr>
        <w:tab/>
      </w:r>
      <w:r w:rsidRPr="002F50DB">
        <w:rPr>
          <w:b/>
          <w:color w:val="000000" w:themeColor="text1"/>
        </w:rPr>
        <w:t xml:space="preserve">Provide estimates of the hour burden of the collection of information.  The statement should: </w:t>
      </w:r>
    </w:p>
    <w:p w:rsidRPr="002F50DB" w:rsidR="009867C4" w:rsidRDefault="00854015" w14:paraId="46224496" w14:textId="77777777">
      <w:pPr>
        <w:numPr>
          <w:ilvl w:val="0"/>
          <w:numId w:val="14"/>
        </w:numPr>
        <w:tabs>
          <w:tab w:val="left" w:pos="480"/>
        </w:tabs>
        <w:ind w:left="480"/>
        <w:rPr>
          <w:b/>
          <w:color w:val="000000" w:themeColor="text1"/>
        </w:rPr>
      </w:pPr>
      <w:r w:rsidRPr="002F50DB">
        <w:rPr>
          <w:b/>
          <w:color w:val="000000" w:themeColor="text1"/>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2F50DB" w:rsidR="009867C4">
        <w:rPr>
          <w:b/>
          <w:color w:val="000000" w:themeColor="text1"/>
        </w:rPr>
        <w:t>Generally,</w:t>
      </w:r>
      <w:r w:rsidRPr="002F50DB">
        <w:rPr>
          <w:b/>
          <w:color w:val="000000" w:themeColor="text1"/>
        </w:rPr>
        <w:t xml:space="preserve"> estimates should not include burden hours for customary and usual business practices;</w:t>
      </w:r>
    </w:p>
    <w:p w:rsidRPr="002F50DB" w:rsidR="00854015" w:rsidP="009867C4" w:rsidRDefault="00854015" w14:paraId="2BAE01F7" w14:textId="77777777">
      <w:pPr>
        <w:tabs>
          <w:tab w:val="left" w:pos="480"/>
        </w:tabs>
        <w:ind w:left="480"/>
        <w:rPr>
          <w:b/>
          <w:color w:val="000000" w:themeColor="text1"/>
        </w:rPr>
      </w:pPr>
    </w:p>
    <w:p w:rsidRPr="002F50DB" w:rsidR="003D73BE" w:rsidP="003D73BE" w:rsidRDefault="009867C4" w14:paraId="4D8E218B" w14:textId="77777777">
      <w:pPr>
        <w:keepLines/>
        <w:numPr>
          <w:ilvl w:val="0"/>
          <w:numId w:val="14"/>
        </w:numPr>
        <w:tabs>
          <w:tab w:val="left" w:pos="480"/>
        </w:tabs>
        <w:ind w:left="720"/>
        <w:rPr>
          <w:color w:val="000000" w:themeColor="text1"/>
        </w:rPr>
      </w:pPr>
      <w:r w:rsidRPr="002F50DB">
        <w:rPr>
          <w:b/>
          <w:color w:val="000000" w:themeColor="text1"/>
          <w:u w:val="single"/>
        </w:rPr>
        <w:t>I</w:t>
      </w:r>
      <w:r w:rsidRPr="002F50DB" w:rsidR="00854015">
        <w:rPr>
          <w:b/>
          <w:color w:val="000000" w:themeColor="text1"/>
          <w:u w:val="single"/>
        </w:rPr>
        <w:t>f this request covers more than one form, provide separate hour burden estimates for each form and aggregate the hour burdens in Item 13 of OMB Form 83-I;</w:t>
      </w:r>
      <w:r w:rsidRPr="002F50DB" w:rsidR="00854015">
        <w:rPr>
          <w:b/>
          <w:color w:val="000000" w:themeColor="text1"/>
        </w:rPr>
        <w:t xml:space="preserve"> and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2F50DB" w:rsidR="003D73BE">
        <w:rPr>
          <w:color w:val="000000" w:themeColor="text1"/>
        </w:rPr>
        <w:t xml:space="preserve"> </w:t>
      </w:r>
    </w:p>
    <w:p w:rsidRPr="002F50DB" w:rsidR="003D73BE" w:rsidP="003D73BE" w:rsidRDefault="003D73BE" w14:paraId="60A9AFE7" w14:textId="77777777">
      <w:pPr>
        <w:keepLines/>
        <w:tabs>
          <w:tab w:val="left" w:pos="360"/>
          <w:tab w:val="left" w:pos="720"/>
          <w:tab w:val="center" w:pos="1680"/>
          <w:tab w:val="center" w:pos="3120"/>
          <w:tab w:val="center" w:pos="4560"/>
          <w:tab w:val="center" w:pos="6000"/>
          <w:tab w:val="center" w:pos="7440"/>
          <w:tab w:val="center" w:pos="8880"/>
        </w:tabs>
        <w:ind w:left="720"/>
        <w:rPr>
          <w:color w:val="000000" w:themeColor="text1"/>
        </w:rPr>
      </w:pPr>
    </w:p>
    <w:p w:rsidRPr="002F50DB" w:rsidR="003D73BE" w:rsidP="0098306D" w:rsidRDefault="003D73BE" w14:paraId="68CE2C06" w14:textId="77777777">
      <w:pPr>
        <w:keepLines/>
        <w:tabs>
          <w:tab w:val="left" w:pos="360"/>
          <w:tab w:val="left" w:pos="720"/>
          <w:tab w:val="center" w:pos="1680"/>
          <w:tab w:val="center" w:pos="3120"/>
          <w:tab w:val="center" w:pos="4560"/>
          <w:tab w:val="center" w:pos="6000"/>
          <w:tab w:val="center" w:pos="7440"/>
          <w:tab w:val="center" w:pos="8880"/>
        </w:tabs>
        <w:ind w:left="720"/>
        <w:jc w:val="both"/>
        <w:rPr>
          <w:color w:val="000000" w:themeColor="text1"/>
        </w:rPr>
      </w:pPr>
      <w:r w:rsidRPr="002F50DB">
        <w:rPr>
          <w:color w:val="000000" w:themeColor="text1"/>
        </w:rPr>
        <w:t xml:space="preserve">The burden on each respondent will vary in proportion to the number of multifamily housing rental closings in which the respondent is involved. </w:t>
      </w:r>
      <w:r w:rsidRPr="002F50DB" w:rsidR="009867C4">
        <w:rPr>
          <w:color w:val="000000" w:themeColor="text1"/>
        </w:rPr>
        <w:t>Generally,</w:t>
      </w:r>
      <w:r w:rsidRPr="002F50DB">
        <w:rPr>
          <w:color w:val="000000" w:themeColor="text1"/>
        </w:rPr>
        <w:t xml:space="preserve"> because of the high dollar amount of the transaction and the complexity of the transaction (state and local laws factor into such closings), a respondent will only engage in one such transaction during a </w:t>
      </w:r>
      <w:r w:rsidRPr="002F50DB" w:rsidR="009867C4">
        <w:rPr>
          <w:color w:val="000000" w:themeColor="text1"/>
        </w:rPr>
        <w:t>one-year</w:t>
      </w:r>
      <w:r w:rsidRPr="002F50DB">
        <w:rPr>
          <w:color w:val="000000" w:themeColor="text1"/>
        </w:rPr>
        <w:t xml:space="preserve"> period. </w:t>
      </w:r>
    </w:p>
    <w:p w:rsidRPr="002F50DB" w:rsidR="003D73BE" w:rsidP="003D73BE" w:rsidRDefault="003D73BE" w14:paraId="487BCCBA" w14:textId="77777777">
      <w:pPr>
        <w:keepLines/>
        <w:tabs>
          <w:tab w:val="left" w:pos="360"/>
          <w:tab w:val="left" w:pos="720"/>
          <w:tab w:val="center" w:pos="1680"/>
          <w:tab w:val="center" w:pos="3120"/>
          <w:tab w:val="center" w:pos="4560"/>
          <w:tab w:val="center" w:pos="6000"/>
          <w:tab w:val="center" w:pos="7440"/>
          <w:tab w:val="center" w:pos="8880"/>
        </w:tabs>
        <w:ind w:left="720"/>
        <w:rPr>
          <w:color w:val="000000" w:themeColor="text1"/>
        </w:rPr>
      </w:pPr>
    </w:p>
    <w:p w:rsidRPr="002F50DB" w:rsidR="009867C4" w:rsidP="009867C4" w:rsidRDefault="009867C4" w14:paraId="5069E0A6" w14:textId="77777777">
      <w:pPr>
        <w:keepLines/>
        <w:ind w:left="720"/>
        <w:jc w:val="both"/>
        <w:rPr>
          <w:b/>
          <w:bCs/>
          <w:color w:val="000000" w:themeColor="text1"/>
        </w:rPr>
      </w:pPr>
      <w:r w:rsidRPr="002F50DB">
        <w:rPr>
          <w:b/>
          <w:bCs/>
          <w:color w:val="000000" w:themeColor="text1"/>
        </w:rPr>
        <w:t xml:space="preserve">The temporary </w:t>
      </w:r>
      <w:r w:rsidRPr="002F50DB">
        <w:rPr>
          <w:b/>
          <w:bCs/>
          <w:i/>
          <w:iCs/>
          <w:color w:val="000000" w:themeColor="text1"/>
        </w:rPr>
        <w:t>Lender’s Certificate Regarding Electronic Submission of Closing Documents</w:t>
      </w:r>
      <w:r w:rsidRPr="002F50DB">
        <w:rPr>
          <w:b/>
          <w:bCs/>
          <w:color w:val="000000" w:themeColor="text1"/>
        </w:rPr>
        <w:t xml:space="preserve"> is a modification of the HUD-92434M that will set the </w:t>
      </w:r>
      <w:r w:rsidRPr="002F50DB">
        <w:rPr>
          <w:b/>
          <w:bCs/>
          <w:color w:val="000000" w:themeColor="text1"/>
          <w:spacing w:val="-4"/>
        </w:rPr>
        <w:t xml:space="preserve">Office of General Counsel’s </w:t>
      </w:r>
      <w:r w:rsidRPr="002F50DB">
        <w:rPr>
          <w:b/>
          <w:bCs/>
          <w:color w:val="000000" w:themeColor="text1"/>
        </w:rPr>
        <w:t>temporary uniform electronic closing protocols until normal closing can resume after the COVID-19 Pandemic.</w:t>
      </w:r>
    </w:p>
    <w:p w:rsidRPr="002F50DB" w:rsidR="009867C4" w:rsidP="009867C4" w:rsidRDefault="009867C4" w14:paraId="08DC1B6C" w14:textId="77777777">
      <w:pPr>
        <w:pStyle w:val="BodyTextIndent3"/>
        <w:tabs>
          <w:tab w:val="left" w:pos="720"/>
          <w:tab w:val="center" w:pos="1680"/>
          <w:tab w:val="center" w:pos="3120"/>
          <w:tab w:val="center" w:pos="4560"/>
          <w:tab w:val="center" w:pos="6000"/>
          <w:tab w:val="center" w:pos="7440"/>
          <w:tab w:val="center" w:pos="8880"/>
        </w:tabs>
        <w:spacing w:after="0"/>
        <w:ind w:left="1116"/>
        <w:jc w:val="both"/>
        <w:rPr>
          <w:b/>
          <w:bCs/>
          <w:i/>
          <w:iCs/>
          <w:color w:val="000000" w:themeColor="text1"/>
          <w:sz w:val="20"/>
        </w:rPr>
      </w:pPr>
    </w:p>
    <w:p w:rsidRPr="002F50DB" w:rsidR="009867C4" w:rsidP="00CD4481" w:rsidRDefault="009867C4" w14:paraId="7F14ACE9" w14:textId="77777777">
      <w:pPr>
        <w:pStyle w:val="BodyTextIndent3"/>
        <w:tabs>
          <w:tab w:val="left" w:pos="720"/>
          <w:tab w:val="center" w:pos="1680"/>
          <w:tab w:val="center" w:pos="3120"/>
          <w:tab w:val="center" w:pos="4560"/>
          <w:tab w:val="center" w:pos="6000"/>
          <w:tab w:val="center" w:pos="7440"/>
          <w:tab w:val="center" w:pos="8880"/>
        </w:tabs>
        <w:spacing w:after="0"/>
        <w:ind w:left="1080"/>
        <w:jc w:val="both"/>
        <w:rPr>
          <w:b/>
          <w:bCs/>
          <w:i/>
          <w:iCs/>
          <w:color w:val="000000" w:themeColor="text1"/>
          <w:sz w:val="20"/>
        </w:rPr>
      </w:pPr>
      <w:r w:rsidRPr="002F50DB">
        <w:rPr>
          <w:b/>
          <w:bCs/>
          <w:i/>
          <w:iCs/>
          <w:color w:val="000000" w:themeColor="text1"/>
          <w:sz w:val="20"/>
        </w:rPr>
        <w:t>The Lender’s Electronic Certification is completed for construction type projects, which ha</w:t>
      </w:r>
      <w:r w:rsidRPr="002F50DB" w:rsidR="004E2D99">
        <w:rPr>
          <w:b/>
          <w:bCs/>
          <w:i/>
          <w:iCs/>
          <w:color w:val="000000" w:themeColor="text1"/>
          <w:sz w:val="20"/>
        </w:rPr>
        <w:t>s</w:t>
      </w:r>
      <w:r w:rsidRPr="002F50DB">
        <w:rPr>
          <w:b/>
          <w:bCs/>
          <w:i/>
          <w:iCs/>
          <w:color w:val="000000" w:themeColor="text1"/>
          <w:sz w:val="20"/>
        </w:rPr>
        <w:t xml:space="preserve"> two closings:  initial and final and existing type projects which has one closing: initial/final closing.  The Form is required for each closing occurrence so the ‘frequency of responses’ is one and the ‘responses per annum’ is two.  The number of </w:t>
      </w:r>
      <w:r w:rsidRPr="002F50DB" w:rsidR="00415FEE">
        <w:rPr>
          <w:b/>
          <w:bCs/>
          <w:i/>
          <w:iCs/>
          <w:color w:val="000000" w:themeColor="text1"/>
          <w:sz w:val="20"/>
        </w:rPr>
        <w:t>‘</w:t>
      </w:r>
      <w:r w:rsidRPr="002F50DB">
        <w:rPr>
          <w:b/>
          <w:bCs/>
          <w:i/>
          <w:iCs/>
          <w:color w:val="000000" w:themeColor="text1"/>
          <w:sz w:val="20"/>
        </w:rPr>
        <w:t>respondents</w:t>
      </w:r>
      <w:r w:rsidRPr="002F50DB" w:rsidR="00415FEE">
        <w:rPr>
          <w:b/>
          <w:bCs/>
          <w:i/>
          <w:iCs/>
          <w:color w:val="000000" w:themeColor="text1"/>
          <w:sz w:val="20"/>
        </w:rPr>
        <w:t>’</w:t>
      </w:r>
      <w:r w:rsidRPr="002F50DB">
        <w:rPr>
          <w:b/>
          <w:bCs/>
          <w:i/>
          <w:iCs/>
          <w:color w:val="000000" w:themeColor="text1"/>
          <w:sz w:val="20"/>
        </w:rPr>
        <w:t xml:space="preserve"> is based on Multifamily initial endorsement (closing) data that occurred in the past 11 months</w:t>
      </w:r>
      <w:r w:rsidRPr="002F50DB" w:rsidR="002857B8">
        <w:rPr>
          <w:b/>
          <w:bCs/>
          <w:i/>
          <w:iCs/>
          <w:color w:val="000000" w:themeColor="text1"/>
          <w:sz w:val="20"/>
        </w:rPr>
        <w:t xml:space="preserve"> that is 612 </w:t>
      </w:r>
      <w:r w:rsidRPr="002F50DB" w:rsidR="009A2A60">
        <w:rPr>
          <w:b/>
          <w:bCs/>
          <w:i/>
          <w:iCs/>
          <w:color w:val="000000" w:themeColor="text1"/>
          <w:sz w:val="20"/>
        </w:rPr>
        <w:t>closing</w:t>
      </w:r>
      <w:r w:rsidRPr="002F50DB" w:rsidR="002857B8">
        <w:rPr>
          <w:b/>
          <w:bCs/>
          <w:i/>
          <w:iCs/>
          <w:color w:val="000000" w:themeColor="text1"/>
          <w:sz w:val="20"/>
        </w:rPr>
        <w:t>s.  The annual responses per annum and burden hours</w:t>
      </w:r>
      <w:r w:rsidRPr="002F50DB" w:rsidR="00833833">
        <w:rPr>
          <w:b/>
          <w:bCs/>
          <w:i/>
          <w:iCs/>
          <w:color w:val="000000" w:themeColor="text1"/>
          <w:sz w:val="20"/>
        </w:rPr>
        <w:t xml:space="preserve"> for the form</w:t>
      </w:r>
      <w:r w:rsidRPr="002F50DB" w:rsidR="002857B8">
        <w:rPr>
          <w:b/>
          <w:bCs/>
          <w:i/>
          <w:iCs/>
          <w:color w:val="000000" w:themeColor="text1"/>
          <w:sz w:val="20"/>
        </w:rPr>
        <w:t xml:space="preserve"> </w:t>
      </w:r>
      <w:r w:rsidRPr="002F50DB" w:rsidR="00833833">
        <w:rPr>
          <w:b/>
          <w:bCs/>
          <w:i/>
          <w:iCs/>
          <w:color w:val="000000" w:themeColor="text1"/>
          <w:sz w:val="20"/>
        </w:rPr>
        <w:t>is</w:t>
      </w:r>
      <w:r w:rsidRPr="002F50DB" w:rsidR="002857B8">
        <w:rPr>
          <w:b/>
          <w:bCs/>
          <w:i/>
          <w:iCs/>
          <w:color w:val="000000" w:themeColor="text1"/>
          <w:sz w:val="20"/>
        </w:rPr>
        <w:t xml:space="preserve"> explained in the following</w:t>
      </w:r>
      <w:r w:rsidRPr="002F50DB" w:rsidR="00833833">
        <w:rPr>
          <w:b/>
          <w:bCs/>
          <w:i/>
          <w:iCs/>
          <w:color w:val="000000" w:themeColor="text1"/>
          <w:sz w:val="20"/>
        </w:rPr>
        <w:t xml:space="preserve"> paragraph</w:t>
      </w:r>
      <w:r w:rsidRPr="002F50DB" w:rsidR="002857B8">
        <w:rPr>
          <w:b/>
          <w:bCs/>
          <w:i/>
          <w:iCs/>
          <w:color w:val="000000" w:themeColor="text1"/>
          <w:sz w:val="20"/>
        </w:rPr>
        <w:t>:</w:t>
      </w:r>
    </w:p>
    <w:p w:rsidRPr="002F50DB" w:rsidR="009867C4" w:rsidP="009867C4" w:rsidRDefault="009867C4" w14:paraId="573A6D11" w14:textId="77777777">
      <w:pPr>
        <w:pStyle w:val="BodyTextIndent3"/>
        <w:tabs>
          <w:tab w:val="left" w:pos="720"/>
          <w:tab w:val="center" w:pos="1680"/>
          <w:tab w:val="center" w:pos="3120"/>
          <w:tab w:val="center" w:pos="4560"/>
          <w:tab w:val="center" w:pos="6000"/>
          <w:tab w:val="center" w:pos="7440"/>
          <w:tab w:val="center" w:pos="8880"/>
        </w:tabs>
        <w:spacing w:after="0"/>
        <w:ind w:left="1116"/>
        <w:jc w:val="both"/>
        <w:rPr>
          <w:b/>
          <w:bCs/>
          <w:i/>
          <w:iCs/>
          <w:color w:val="000000" w:themeColor="text1"/>
          <w:sz w:val="20"/>
        </w:rPr>
      </w:pPr>
    </w:p>
    <w:p w:rsidRPr="002F50DB" w:rsidR="00CD4481" w:rsidP="00CD4481" w:rsidRDefault="007B6B63" w14:paraId="7776F9EB" w14:textId="77777777">
      <w:pPr>
        <w:pStyle w:val="BodyTextIndent3"/>
        <w:tabs>
          <w:tab w:val="clear" w:pos="360"/>
        </w:tabs>
        <w:spacing w:after="0"/>
        <w:ind w:left="1116"/>
        <w:jc w:val="both"/>
        <w:rPr>
          <w:b/>
          <w:bCs/>
          <w:i/>
          <w:iCs/>
          <w:color w:val="000000" w:themeColor="text1"/>
          <w:sz w:val="20"/>
        </w:rPr>
      </w:pPr>
      <w:r w:rsidRPr="002F50DB">
        <w:rPr>
          <w:b/>
          <w:bCs/>
          <w:i/>
          <w:iCs/>
          <w:color w:val="000000" w:themeColor="text1"/>
          <w:sz w:val="20"/>
        </w:rPr>
        <w:t>Respondents</w:t>
      </w:r>
      <w:r w:rsidRPr="002F50DB" w:rsidR="009867C4">
        <w:rPr>
          <w:b/>
          <w:bCs/>
          <w:i/>
          <w:iCs/>
          <w:color w:val="000000" w:themeColor="text1"/>
          <w:sz w:val="20"/>
        </w:rPr>
        <w:t xml:space="preserve"> </w:t>
      </w:r>
      <w:r w:rsidRPr="002F50DB" w:rsidR="00406FFC">
        <w:rPr>
          <w:b/>
          <w:bCs/>
          <w:i/>
          <w:iCs/>
          <w:color w:val="000000" w:themeColor="text1"/>
          <w:sz w:val="20"/>
        </w:rPr>
        <w:t xml:space="preserve">- </w:t>
      </w:r>
      <w:r w:rsidRPr="002F50DB" w:rsidR="00CD4481">
        <w:rPr>
          <w:b/>
          <w:bCs/>
          <w:i/>
          <w:iCs/>
          <w:color w:val="000000" w:themeColor="text1"/>
          <w:sz w:val="20"/>
        </w:rPr>
        <w:t>612</w:t>
      </w:r>
    </w:p>
    <w:p w:rsidRPr="002F50DB" w:rsidR="00CD4481" w:rsidP="00CD4481" w:rsidRDefault="00CD4481" w14:paraId="2A5E96EC" w14:textId="77777777">
      <w:pPr>
        <w:pStyle w:val="BodyTextIndent3"/>
        <w:tabs>
          <w:tab w:val="clear" w:pos="360"/>
        </w:tabs>
        <w:spacing w:after="0"/>
        <w:ind w:left="1080"/>
        <w:jc w:val="both"/>
        <w:rPr>
          <w:b/>
          <w:bCs/>
          <w:i/>
          <w:iCs/>
          <w:color w:val="000000" w:themeColor="text1"/>
          <w:sz w:val="20"/>
        </w:rPr>
      </w:pPr>
      <w:r w:rsidRPr="002F50DB">
        <w:rPr>
          <w:b/>
          <w:bCs/>
          <w:i/>
          <w:iCs/>
          <w:color w:val="000000" w:themeColor="text1"/>
          <w:sz w:val="20"/>
        </w:rPr>
        <w:t>F</w:t>
      </w:r>
      <w:r w:rsidRPr="002F50DB" w:rsidR="0085276D">
        <w:rPr>
          <w:b/>
          <w:bCs/>
          <w:i/>
          <w:iCs/>
          <w:color w:val="000000" w:themeColor="text1"/>
          <w:sz w:val="20"/>
        </w:rPr>
        <w:t xml:space="preserve">requency </w:t>
      </w:r>
      <w:r w:rsidRPr="002F50DB" w:rsidR="00406FFC">
        <w:rPr>
          <w:b/>
          <w:bCs/>
          <w:i/>
          <w:iCs/>
          <w:color w:val="000000" w:themeColor="text1"/>
          <w:sz w:val="20"/>
        </w:rPr>
        <w:t xml:space="preserve">- </w:t>
      </w:r>
      <w:r w:rsidRPr="002F50DB">
        <w:rPr>
          <w:b/>
          <w:bCs/>
          <w:i/>
          <w:iCs/>
          <w:color w:val="000000" w:themeColor="text1"/>
          <w:sz w:val="20"/>
        </w:rPr>
        <w:t xml:space="preserve">2 </w:t>
      </w:r>
      <w:r w:rsidRPr="002F50DB" w:rsidR="0085276D">
        <w:rPr>
          <w:b/>
          <w:bCs/>
          <w:i/>
          <w:iCs/>
          <w:color w:val="000000" w:themeColor="text1"/>
          <w:sz w:val="20"/>
        </w:rPr>
        <w:t xml:space="preserve">closings </w:t>
      </w:r>
      <w:r w:rsidRPr="002F50DB" w:rsidR="004E2D99">
        <w:rPr>
          <w:b/>
          <w:bCs/>
          <w:i/>
          <w:iCs/>
          <w:color w:val="000000" w:themeColor="text1"/>
          <w:sz w:val="20"/>
        </w:rPr>
        <w:t>(</w:t>
      </w:r>
      <w:r w:rsidRPr="002F50DB" w:rsidR="009867C4">
        <w:rPr>
          <w:b/>
          <w:bCs/>
          <w:i/>
          <w:iCs/>
          <w:color w:val="000000" w:themeColor="text1"/>
          <w:sz w:val="20"/>
        </w:rPr>
        <w:t xml:space="preserve">initial </w:t>
      </w:r>
      <w:r w:rsidRPr="002F50DB" w:rsidR="004E2D99">
        <w:rPr>
          <w:b/>
          <w:bCs/>
          <w:i/>
          <w:iCs/>
          <w:color w:val="000000" w:themeColor="text1"/>
          <w:sz w:val="20"/>
        </w:rPr>
        <w:t xml:space="preserve">and final </w:t>
      </w:r>
      <w:r w:rsidRPr="002F50DB" w:rsidR="009867C4">
        <w:rPr>
          <w:b/>
          <w:bCs/>
          <w:i/>
          <w:iCs/>
          <w:color w:val="000000" w:themeColor="text1"/>
          <w:sz w:val="20"/>
        </w:rPr>
        <w:t>endorsement</w:t>
      </w:r>
      <w:r w:rsidRPr="002F50DB" w:rsidR="004E2D99">
        <w:rPr>
          <w:b/>
          <w:bCs/>
          <w:i/>
          <w:iCs/>
          <w:color w:val="000000" w:themeColor="text1"/>
          <w:sz w:val="20"/>
        </w:rPr>
        <w:t>)</w:t>
      </w:r>
    </w:p>
    <w:p w:rsidRPr="002F50DB" w:rsidR="009867C4" w:rsidP="00CD4481" w:rsidRDefault="00CD4481" w14:paraId="09D09A9A" w14:textId="77777777">
      <w:pPr>
        <w:pStyle w:val="BodyTextIndent3"/>
        <w:tabs>
          <w:tab w:val="clear" w:pos="360"/>
        </w:tabs>
        <w:spacing w:after="0"/>
        <w:ind w:left="1080"/>
        <w:jc w:val="both"/>
        <w:rPr>
          <w:b/>
          <w:bCs/>
          <w:i/>
          <w:iCs/>
          <w:color w:val="000000" w:themeColor="text1"/>
          <w:sz w:val="20"/>
        </w:rPr>
      </w:pPr>
      <w:r w:rsidRPr="002F50DB">
        <w:rPr>
          <w:b/>
          <w:bCs/>
          <w:i/>
          <w:iCs/>
          <w:color w:val="000000" w:themeColor="text1"/>
          <w:sz w:val="20"/>
        </w:rPr>
        <w:t>T</w:t>
      </w:r>
      <w:r w:rsidRPr="002F50DB" w:rsidR="00094248">
        <w:rPr>
          <w:b/>
          <w:bCs/>
          <w:i/>
          <w:iCs/>
          <w:color w:val="000000" w:themeColor="text1"/>
          <w:sz w:val="20"/>
        </w:rPr>
        <w:t>otal</w:t>
      </w:r>
      <w:r w:rsidRPr="002F50DB" w:rsidR="00E91309">
        <w:rPr>
          <w:b/>
          <w:bCs/>
          <w:i/>
          <w:iCs/>
          <w:color w:val="000000" w:themeColor="text1"/>
          <w:sz w:val="20"/>
        </w:rPr>
        <w:t xml:space="preserve"> annual</w:t>
      </w:r>
      <w:r w:rsidRPr="002F50DB" w:rsidR="002A0C6A">
        <w:rPr>
          <w:b/>
          <w:bCs/>
          <w:i/>
          <w:iCs/>
          <w:color w:val="000000" w:themeColor="text1"/>
          <w:sz w:val="20"/>
        </w:rPr>
        <w:t xml:space="preserve"> response</w:t>
      </w:r>
      <w:r w:rsidRPr="002F50DB" w:rsidR="00E91309">
        <w:rPr>
          <w:b/>
          <w:bCs/>
          <w:i/>
          <w:iCs/>
          <w:color w:val="000000" w:themeColor="text1"/>
          <w:sz w:val="20"/>
        </w:rPr>
        <w:t xml:space="preserve"> </w:t>
      </w:r>
      <w:r w:rsidRPr="002F50DB" w:rsidR="00406FFC">
        <w:rPr>
          <w:b/>
          <w:bCs/>
          <w:i/>
          <w:iCs/>
          <w:color w:val="000000" w:themeColor="text1"/>
          <w:sz w:val="20"/>
        </w:rPr>
        <w:t>-</w:t>
      </w:r>
      <w:r w:rsidRPr="002F50DB" w:rsidR="00E91309">
        <w:rPr>
          <w:b/>
          <w:bCs/>
          <w:i/>
          <w:iCs/>
          <w:color w:val="000000" w:themeColor="text1"/>
          <w:sz w:val="20"/>
        </w:rPr>
        <w:t xml:space="preserve"> 1,224 </w:t>
      </w:r>
      <w:r w:rsidRPr="002F50DB" w:rsidR="002A0C6A">
        <w:rPr>
          <w:b/>
          <w:bCs/>
          <w:i/>
          <w:iCs/>
          <w:color w:val="000000" w:themeColor="text1"/>
          <w:sz w:val="20"/>
        </w:rPr>
        <w:t>[</w:t>
      </w:r>
      <w:r w:rsidRPr="002F50DB" w:rsidR="004E2D99">
        <w:rPr>
          <w:b/>
          <w:bCs/>
          <w:i/>
          <w:iCs/>
          <w:color w:val="000000" w:themeColor="text1"/>
          <w:sz w:val="20"/>
        </w:rPr>
        <w:t xml:space="preserve"> </w:t>
      </w:r>
      <w:r w:rsidRPr="002F50DB" w:rsidR="0000025E">
        <w:rPr>
          <w:b/>
          <w:bCs/>
          <w:i/>
          <w:iCs/>
          <w:color w:val="000000" w:themeColor="text1"/>
          <w:sz w:val="20"/>
        </w:rPr>
        <w:t>612</w:t>
      </w:r>
      <w:r w:rsidRPr="002F50DB" w:rsidR="009867C4">
        <w:rPr>
          <w:b/>
          <w:bCs/>
          <w:i/>
          <w:iCs/>
          <w:color w:val="000000" w:themeColor="text1"/>
          <w:sz w:val="20"/>
        </w:rPr>
        <w:t xml:space="preserve"> x 2 = </w:t>
      </w:r>
      <w:r w:rsidRPr="002F50DB" w:rsidR="0000025E">
        <w:rPr>
          <w:b/>
          <w:bCs/>
          <w:i/>
          <w:iCs/>
          <w:color w:val="000000" w:themeColor="text1"/>
          <w:sz w:val="20"/>
        </w:rPr>
        <w:t>1,224</w:t>
      </w:r>
      <w:r w:rsidRPr="002F50DB" w:rsidR="002A0C6A">
        <w:rPr>
          <w:b/>
          <w:bCs/>
          <w:i/>
          <w:iCs/>
          <w:color w:val="000000" w:themeColor="text1"/>
          <w:sz w:val="20"/>
        </w:rPr>
        <w:t>]</w:t>
      </w:r>
    </w:p>
    <w:p w:rsidRPr="002F50DB" w:rsidR="009867C4" w:rsidP="00CD4481" w:rsidRDefault="00CD4481" w14:paraId="22C7C8A2" w14:textId="77777777">
      <w:pPr>
        <w:pStyle w:val="BodyTextIndent3"/>
        <w:tabs>
          <w:tab w:val="clear" w:pos="360"/>
        </w:tabs>
        <w:spacing w:after="0"/>
        <w:ind w:left="1116"/>
        <w:jc w:val="both"/>
        <w:rPr>
          <w:b/>
          <w:bCs/>
          <w:i/>
          <w:iCs/>
          <w:color w:val="000000" w:themeColor="text1"/>
          <w:sz w:val="20"/>
        </w:rPr>
      </w:pPr>
      <w:r w:rsidRPr="002F50DB">
        <w:rPr>
          <w:b/>
          <w:bCs/>
          <w:i/>
          <w:iCs/>
          <w:color w:val="000000" w:themeColor="text1"/>
          <w:sz w:val="20"/>
        </w:rPr>
        <w:t>B</w:t>
      </w:r>
      <w:r w:rsidRPr="002F50DB" w:rsidR="00B0444F">
        <w:rPr>
          <w:b/>
          <w:bCs/>
          <w:i/>
          <w:iCs/>
          <w:color w:val="000000" w:themeColor="text1"/>
          <w:sz w:val="20"/>
        </w:rPr>
        <w:t xml:space="preserve">urden hour </w:t>
      </w:r>
      <w:r w:rsidRPr="002F50DB" w:rsidR="00406FFC">
        <w:rPr>
          <w:b/>
          <w:bCs/>
          <w:i/>
          <w:iCs/>
          <w:color w:val="000000" w:themeColor="text1"/>
          <w:sz w:val="20"/>
        </w:rPr>
        <w:t>– 1 [</w:t>
      </w:r>
      <w:r w:rsidRPr="002F50DB" w:rsidR="00B0444F">
        <w:rPr>
          <w:b/>
          <w:bCs/>
          <w:i/>
          <w:iCs/>
          <w:color w:val="000000" w:themeColor="text1"/>
          <w:sz w:val="20"/>
        </w:rPr>
        <w:t xml:space="preserve">0.50 </w:t>
      </w:r>
      <w:r w:rsidRPr="002F50DB" w:rsidR="009867C4">
        <w:rPr>
          <w:b/>
          <w:bCs/>
          <w:i/>
          <w:iCs/>
          <w:color w:val="000000" w:themeColor="text1"/>
          <w:sz w:val="20"/>
        </w:rPr>
        <w:t xml:space="preserve">is based on the time it takes to read and complete </w:t>
      </w:r>
      <w:r w:rsidRPr="002F50DB" w:rsidR="004E2D99">
        <w:rPr>
          <w:b/>
          <w:bCs/>
          <w:i/>
          <w:iCs/>
          <w:color w:val="000000" w:themeColor="text1"/>
          <w:sz w:val="20"/>
        </w:rPr>
        <w:t xml:space="preserve">each </w:t>
      </w:r>
      <w:r w:rsidRPr="002F50DB" w:rsidR="009867C4">
        <w:rPr>
          <w:b/>
          <w:bCs/>
          <w:i/>
          <w:iCs/>
          <w:color w:val="000000" w:themeColor="text1"/>
          <w:sz w:val="20"/>
        </w:rPr>
        <w:t>form</w:t>
      </w:r>
      <w:r w:rsidRPr="002F50DB" w:rsidR="009432AA">
        <w:rPr>
          <w:b/>
          <w:bCs/>
          <w:i/>
          <w:iCs/>
          <w:color w:val="000000" w:themeColor="text1"/>
          <w:sz w:val="20"/>
        </w:rPr>
        <w:t xml:space="preserve">, so the </w:t>
      </w:r>
      <w:r w:rsidRPr="002F50DB" w:rsidR="00336617">
        <w:rPr>
          <w:b/>
          <w:bCs/>
          <w:i/>
          <w:iCs/>
          <w:color w:val="000000" w:themeColor="text1"/>
          <w:sz w:val="20"/>
        </w:rPr>
        <w:t xml:space="preserve">total </w:t>
      </w:r>
      <w:r w:rsidRPr="002F50DB" w:rsidR="009432AA">
        <w:rPr>
          <w:b/>
          <w:bCs/>
          <w:i/>
          <w:iCs/>
          <w:color w:val="000000" w:themeColor="text1"/>
          <w:sz w:val="20"/>
        </w:rPr>
        <w:t>burden is 1 (one)</w:t>
      </w:r>
      <w:r w:rsidRPr="002F50DB" w:rsidR="00336617">
        <w:rPr>
          <w:b/>
          <w:bCs/>
          <w:i/>
          <w:iCs/>
          <w:color w:val="000000" w:themeColor="text1"/>
          <w:sz w:val="20"/>
        </w:rPr>
        <w:t xml:space="preserve"> hour</w:t>
      </w:r>
      <w:r w:rsidRPr="002F50DB" w:rsidR="009867C4">
        <w:rPr>
          <w:b/>
          <w:bCs/>
          <w:i/>
          <w:iCs/>
          <w:color w:val="000000" w:themeColor="text1"/>
          <w:sz w:val="20"/>
        </w:rPr>
        <w:t>.</w:t>
      </w:r>
      <w:r w:rsidRPr="002F50DB" w:rsidR="00406FFC">
        <w:rPr>
          <w:b/>
          <w:bCs/>
          <w:i/>
          <w:iCs/>
          <w:color w:val="000000" w:themeColor="text1"/>
          <w:sz w:val="20"/>
        </w:rPr>
        <w:t>]</w:t>
      </w:r>
    </w:p>
    <w:p w:rsidRPr="002F50DB" w:rsidR="009B6A3A" w:rsidP="009867C4" w:rsidRDefault="009B6A3A" w14:paraId="6568BBA7" w14:textId="77777777">
      <w:pPr>
        <w:keepLines/>
        <w:ind w:left="720"/>
        <w:jc w:val="both"/>
        <w:rPr>
          <w:b/>
          <w:bCs/>
          <w:color w:val="000000" w:themeColor="text1"/>
        </w:rPr>
      </w:pPr>
    </w:p>
    <w:p w:rsidRPr="002F50DB" w:rsidR="009867C4" w:rsidP="009867C4" w:rsidRDefault="009867C4" w14:paraId="7DF3D679" w14:textId="77777777">
      <w:pPr>
        <w:keepLines/>
        <w:ind w:left="720"/>
        <w:jc w:val="both"/>
        <w:rPr>
          <w:b/>
          <w:bCs/>
          <w:color w:val="000000" w:themeColor="text1"/>
        </w:rPr>
      </w:pPr>
      <w:r w:rsidRPr="002F50DB">
        <w:rPr>
          <w:b/>
          <w:bCs/>
          <w:color w:val="000000" w:themeColor="text1"/>
        </w:rPr>
        <w:t xml:space="preserve">The temporary </w:t>
      </w:r>
      <w:r w:rsidRPr="002F50DB">
        <w:rPr>
          <w:b/>
          <w:bCs/>
          <w:i/>
          <w:iCs/>
          <w:color w:val="000000" w:themeColor="text1"/>
        </w:rPr>
        <w:t xml:space="preserve">Escrow Agreement for Deferred Repairs &amp; Debt Service - 223(f) </w:t>
      </w:r>
      <w:r w:rsidRPr="002F50DB">
        <w:rPr>
          <w:b/>
          <w:bCs/>
          <w:color w:val="000000" w:themeColor="text1"/>
        </w:rPr>
        <w:t>Form will remain in effect until such time as HUD determines that the real estate markets that have been negatively affected by the COVID-19 Emergency have stabilized and additional mitigants for Section 223(f) transactions are no longer required.</w:t>
      </w:r>
    </w:p>
    <w:p w:rsidRPr="002F50DB" w:rsidR="009867C4" w:rsidP="009867C4" w:rsidRDefault="009867C4" w14:paraId="0E77D3E0" w14:textId="77777777">
      <w:pPr>
        <w:keepLines/>
        <w:ind w:left="720"/>
        <w:jc w:val="both"/>
        <w:rPr>
          <w:b/>
          <w:bCs/>
          <w:color w:val="000000" w:themeColor="text1"/>
        </w:rPr>
      </w:pPr>
    </w:p>
    <w:p w:rsidRPr="002F50DB" w:rsidR="009867C4" w:rsidP="00833833" w:rsidRDefault="009867C4" w14:paraId="2607EBDA" w14:textId="77777777">
      <w:pPr>
        <w:pStyle w:val="BodyTextIndent3"/>
        <w:tabs>
          <w:tab w:val="left" w:pos="720"/>
          <w:tab w:val="center" w:pos="1680"/>
          <w:tab w:val="center" w:pos="3120"/>
          <w:tab w:val="center" w:pos="4560"/>
          <w:tab w:val="center" w:pos="6000"/>
          <w:tab w:val="center" w:pos="7440"/>
          <w:tab w:val="center" w:pos="8880"/>
        </w:tabs>
        <w:spacing w:after="0"/>
        <w:ind w:left="1116"/>
        <w:jc w:val="both"/>
        <w:rPr>
          <w:b/>
          <w:bCs/>
          <w:i/>
          <w:iCs/>
          <w:color w:val="000000" w:themeColor="text1"/>
          <w:sz w:val="20"/>
        </w:rPr>
      </w:pPr>
      <w:r w:rsidRPr="002F50DB">
        <w:rPr>
          <w:b/>
          <w:bCs/>
          <w:i/>
          <w:iCs/>
          <w:color w:val="000000" w:themeColor="text1"/>
          <w:sz w:val="20"/>
        </w:rPr>
        <w:t xml:space="preserve">The Debt Service Escrow Agreement is required for each initial/final closing so the ‘frequency of responses’ and the ‘responses per annum’ is one.  The number of </w:t>
      </w:r>
      <w:r w:rsidRPr="002F50DB" w:rsidR="00415FEE">
        <w:rPr>
          <w:b/>
          <w:bCs/>
          <w:i/>
          <w:iCs/>
          <w:color w:val="000000" w:themeColor="text1"/>
          <w:sz w:val="20"/>
        </w:rPr>
        <w:t>‘</w:t>
      </w:r>
      <w:r w:rsidRPr="002F50DB">
        <w:rPr>
          <w:b/>
          <w:bCs/>
          <w:i/>
          <w:iCs/>
          <w:color w:val="000000" w:themeColor="text1"/>
          <w:sz w:val="20"/>
        </w:rPr>
        <w:t>respondents</w:t>
      </w:r>
      <w:r w:rsidRPr="002F50DB" w:rsidR="00415FEE">
        <w:rPr>
          <w:b/>
          <w:bCs/>
          <w:i/>
          <w:iCs/>
          <w:color w:val="000000" w:themeColor="text1"/>
          <w:sz w:val="20"/>
        </w:rPr>
        <w:t>’</w:t>
      </w:r>
      <w:r w:rsidRPr="002F50DB">
        <w:rPr>
          <w:b/>
          <w:bCs/>
          <w:i/>
          <w:iCs/>
          <w:color w:val="000000" w:themeColor="text1"/>
          <w:sz w:val="20"/>
        </w:rPr>
        <w:t xml:space="preserve"> for Section 223(f) is 330 closings based on Multifamily initial/final endorsement (closing) data that occurred in the past 11 months</w:t>
      </w:r>
      <w:r w:rsidRPr="002F50DB" w:rsidR="00833833">
        <w:rPr>
          <w:b/>
          <w:bCs/>
          <w:i/>
          <w:iCs/>
          <w:color w:val="000000" w:themeColor="text1"/>
          <w:sz w:val="20"/>
        </w:rPr>
        <w:t>.  The annual responses per annum and burden hours for the form is explained in the following paragraph:</w:t>
      </w:r>
    </w:p>
    <w:p w:rsidRPr="002F50DB" w:rsidR="009867C4" w:rsidP="009867C4" w:rsidRDefault="009867C4" w14:paraId="18EFDBDF" w14:textId="77777777">
      <w:pPr>
        <w:pStyle w:val="BodyTextIndent3"/>
        <w:tabs>
          <w:tab w:val="left" w:pos="720"/>
          <w:tab w:val="center" w:pos="1680"/>
          <w:tab w:val="center" w:pos="3120"/>
          <w:tab w:val="center" w:pos="4560"/>
          <w:tab w:val="center" w:pos="6000"/>
          <w:tab w:val="center" w:pos="7440"/>
          <w:tab w:val="center" w:pos="8880"/>
        </w:tabs>
        <w:spacing w:after="0"/>
        <w:ind w:left="1116"/>
        <w:jc w:val="both"/>
        <w:rPr>
          <w:b/>
          <w:bCs/>
          <w:i/>
          <w:iCs/>
          <w:color w:val="000000" w:themeColor="text1"/>
          <w:sz w:val="20"/>
        </w:rPr>
      </w:pPr>
    </w:p>
    <w:p w:rsidRPr="002F50DB" w:rsidR="00406FFC" w:rsidP="00406FFC" w:rsidRDefault="00FD0C9E" w14:paraId="44D2AD0A" w14:textId="77777777">
      <w:pPr>
        <w:pStyle w:val="BodyTextIndent3"/>
        <w:tabs>
          <w:tab w:val="clear" w:pos="360"/>
        </w:tabs>
        <w:spacing w:after="0"/>
        <w:ind w:left="1116"/>
        <w:jc w:val="both"/>
        <w:rPr>
          <w:b/>
          <w:bCs/>
          <w:i/>
          <w:iCs/>
          <w:color w:val="000000" w:themeColor="text1"/>
          <w:sz w:val="20"/>
        </w:rPr>
      </w:pPr>
      <w:r w:rsidRPr="002F50DB">
        <w:rPr>
          <w:b/>
          <w:bCs/>
          <w:i/>
          <w:iCs/>
          <w:color w:val="000000" w:themeColor="text1"/>
          <w:sz w:val="20"/>
        </w:rPr>
        <w:t>Respondents</w:t>
      </w:r>
      <w:r w:rsidRPr="002F50DB" w:rsidR="00406FFC">
        <w:rPr>
          <w:b/>
          <w:bCs/>
          <w:i/>
          <w:iCs/>
          <w:color w:val="000000" w:themeColor="text1"/>
          <w:sz w:val="20"/>
        </w:rPr>
        <w:t xml:space="preserve"> -</w:t>
      </w:r>
      <w:r w:rsidRPr="002F50DB">
        <w:rPr>
          <w:b/>
          <w:bCs/>
          <w:i/>
          <w:iCs/>
          <w:color w:val="000000" w:themeColor="text1"/>
          <w:sz w:val="20"/>
        </w:rPr>
        <w:t xml:space="preserve"> </w:t>
      </w:r>
      <w:r w:rsidRPr="002F50DB" w:rsidR="00406FFC">
        <w:rPr>
          <w:b/>
          <w:bCs/>
          <w:i/>
          <w:iCs/>
          <w:color w:val="000000" w:themeColor="text1"/>
          <w:sz w:val="20"/>
        </w:rPr>
        <w:t xml:space="preserve">330 </w:t>
      </w:r>
    </w:p>
    <w:p w:rsidRPr="002F50DB" w:rsidR="00406FFC" w:rsidP="00406FFC" w:rsidRDefault="00406FFC" w14:paraId="614526DB" w14:textId="77777777">
      <w:pPr>
        <w:pStyle w:val="BodyTextIndent3"/>
        <w:tabs>
          <w:tab w:val="clear" w:pos="360"/>
        </w:tabs>
        <w:spacing w:after="0"/>
        <w:ind w:left="1116"/>
        <w:jc w:val="both"/>
        <w:rPr>
          <w:b/>
          <w:bCs/>
          <w:i/>
          <w:iCs/>
          <w:color w:val="000000" w:themeColor="text1"/>
          <w:sz w:val="20"/>
        </w:rPr>
      </w:pPr>
      <w:r w:rsidRPr="002F50DB">
        <w:rPr>
          <w:b/>
          <w:bCs/>
          <w:i/>
          <w:iCs/>
          <w:color w:val="000000" w:themeColor="text1"/>
          <w:sz w:val="20"/>
        </w:rPr>
        <w:t>F</w:t>
      </w:r>
      <w:r w:rsidRPr="002F50DB" w:rsidR="00FD0C9E">
        <w:rPr>
          <w:b/>
          <w:bCs/>
          <w:i/>
          <w:iCs/>
          <w:color w:val="000000" w:themeColor="text1"/>
          <w:sz w:val="20"/>
        </w:rPr>
        <w:t xml:space="preserve">requency </w:t>
      </w:r>
      <w:r w:rsidRPr="002F50DB">
        <w:rPr>
          <w:b/>
          <w:bCs/>
          <w:i/>
          <w:iCs/>
          <w:color w:val="000000" w:themeColor="text1"/>
          <w:sz w:val="20"/>
        </w:rPr>
        <w:t>- 1</w:t>
      </w:r>
      <w:r w:rsidRPr="002F50DB" w:rsidR="00FD0C9E">
        <w:rPr>
          <w:b/>
          <w:bCs/>
          <w:i/>
          <w:iCs/>
          <w:color w:val="000000" w:themeColor="text1"/>
          <w:sz w:val="20"/>
        </w:rPr>
        <w:t xml:space="preserve"> closing</w:t>
      </w:r>
      <w:r w:rsidRPr="002F50DB" w:rsidR="0000025E">
        <w:rPr>
          <w:b/>
          <w:bCs/>
          <w:i/>
          <w:iCs/>
          <w:color w:val="000000" w:themeColor="text1"/>
          <w:sz w:val="20"/>
        </w:rPr>
        <w:t xml:space="preserve"> (initial/final endorsement</w:t>
      </w:r>
      <w:r w:rsidRPr="002F50DB">
        <w:rPr>
          <w:b/>
          <w:bCs/>
          <w:i/>
          <w:iCs/>
          <w:color w:val="000000" w:themeColor="text1"/>
          <w:sz w:val="20"/>
        </w:rPr>
        <w:t>)</w:t>
      </w:r>
    </w:p>
    <w:p w:rsidRPr="002F50DB" w:rsidR="0000025E" w:rsidP="00406FFC" w:rsidRDefault="00406FFC" w14:paraId="34F091AD" w14:textId="77777777">
      <w:pPr>
        <w:pStyle w:val="BodyTextIndent3"/>
        <w:tabs>
          <w:tab w:val="clear" w:pos="360"/>
        </w:tabs>
        <w:spacing w:after="0"/>
        <w:ind w:left="1116"/>
        <w:jc w:val="both"/>
        <w:rPr>
          <w:b/>
          <w:bCs/>
          <w:i/>
          <w:iCs/>
          <w:color w:val="000000" w:themeColor="text1"/>
          <w:sz w:val="20"/>
        </w:rPr>
      </w:pPr>
      <w:r w:rsidRPr="002F50DB">
        <w:rPr>
          <w:b/>
          <w:bCs/>
          <w:i/>
          <w:iCs/>
          <w:color w:val="000000" w:themeColor="text1"/>
          <w:sz w:val="20"/>
        </w:rPr>
        <w:t>T</w:t>
      </w:r>
      <w:r w:rsidRPr="002F50DB" w:rsidR="00094248">
        <w:rPr>
          <w:b/>
          <w:bCs/>
          <w:i/>
          <w:iCs/>
          <w:color w:val="000000" w:themeColor="text1"/>
          <w:sz w:val="20"/>
        </w:rPr>
        <w:t>otal</w:t>
      </w:r>
      <w:r w:rsidRPr="002F50DB" w:rsidR="003F1AF2">
        <w:rPr>
          <w:b/>
          <w:bCs/>
          <w:i/>
          <w:iCs/>
          <w:color w:val="000000" w:themeColor="text1"/>
          <w:sz w:val="20"/>
        </w:rPr>
        <w:t xml:space="preserve"> annual</w:t>
      </w:r>
      <w:r w:rsidRPr="002F50DB" w:rsidR="00FD0C9E">
        <w:rPr>
          <w:b/>
          <w:bCs/>
          <w:i/>
          <w:iCs/>
          <w:color w:val="000000" w:themeColor="text1"/>
          <w:sz w:val="20"/>
        </w:rPr>
        <w:t xml:space="preserve"> </w:t>
      </w:r>
      <w:r w:rsidRPr="002F50DB" w:rsidR="003F1AF2">
        <w:rPr>
          <w:b/>
          <w:bCs/>
          <w:i/>
          <w:iCs/>
          <w:color w:val="000000" w:themeColor="text1"/>
          <w:sz w:val="20"/>
        </w:rPr>
        <w:t xml:space="preserve">response </w:t>
      </w:r>
      <w:r w:rsidRPr="002F50DB">
        <w:rPr>
          <w:b/>
          <w:bCs/>
          <w:i/>
          <w:iCs/>
          <w:color w:val="000000" w:themeColor="text1"/>
          <w:sz w:val="20"/>
        </w:rPr>
        <w:t xml:space="preserve">- </w:t>
      </w:r>
      <w:r w:rsidRPr="002F50DB" w:rsidR="00FD0C9E">
        <w:rPr>
          <w:b/>
          <w:bCs/>
          <w:i/>
          <w:iCs/>
          <w:color w:val="000000" w:themeColor="text1"/>
          <w:sz w:val="20"/>
        </w:rPr>
        <w:t>330</w:t>
      </w:r>
      <w:r w:rsidRPr="002F50DB" w:rsidR="0000025E">
        <w:rPr>
          <w:b/>
          <w:bCs/>
          <w:i/>
          <w:iCs/>
          <w:color w:val="000000" w:themeColor="text1"/>
          <w:sz w:val="20"/>
        </w:rPr>
        <w:t xml:space="preserve">  </w:t>
      </w:r>
      <w:r w:rsidRPr="002F50DB" w:rsidR="003F1AF2">
        <w:rPr>
          <w:b/>
          <w:bCs/>
          <w:i/>
          <w:iCs/>
          <w:color w:val="000000" w:themeColor="text1"/>
          <w:sz w:val="20"/>
        </w:rPr>
        <w:t>[ 330 x 1 = 330</w:t>
      </w:r>
      <w:r w:rsidRPr="002F50DB" w:rsidR="00094248">
        <w:rPr>
          <w:b/>
          <w:bCs/>
          <w:i/>
          <w:iCs/>
          <w:color w:val="000000" w:themeColor="text1"/>
          <w:sz w:val="20"/>
        </w:rPr>
        <w:t>]</w:t>
      </w:r>
    </w:p>
    <w:p w:rsidRPr="002F50DB" w:rsidR="009867C4" w:rsidP="00406FFC" w:rsidRDefault="00406FFC" w14:paraId="0C1165D4" w14:textId="77777777">
      <w:pPr>
        <w:pStyle w:val="BodyTextIndent3"/>
        <w:tabs>
          <w:tab w:val="clear" w:pos="360"/>
        </w:tabs>
        <w:spacing w:after="0"/>
        <w:ind w:left="1116"/>
        <w:jc w:val="both"/>
        <w:rPr>
          <w:b/>
          <w:bCs/>
          <w:i/>
          <w:iCs/>
          <w:color w:val="000000" w:themeColor="text1"/>
          <w:sz w:val="20"/>
        </w:rPr>
      </w:pPr>
      <w:r w:rsidRPr="002F50DB">
        <w:rPr>
          <w:b/>
          <w:bCs/>
          <w:i/>
          <w:iCs/>
          <w:color w:val="000000" w:themeColor="text1"/>
          <w:sz w:val="20"/>
        </w:rPr>
        <w:t>B</w:t>
      </w:r>
      <w:r w:rsidRPr="002F50DB" w:rsidR="009867C4">
        <w:rPr>
          <w:b/>
          <w:bCs/>
          <w:i/>
          <w:iCs/>
          <w:color w:val="000000" w:themeColor="text1"/>
          <w:sz w:val="20"/>
        </w:rPr>
        <w:t xml:space="preserve">urden hour </w:t>
      </w:r>
      <w:r w:rsidRPr="002F50DB">
        <w:rPr>
          <w:b/>
          <w:bCs/>
          <w:i/>
          <w:iCs/>
          <w:color w:val="000000" w:themeColor="text1"/>
          <w:sz w:val="20"/>
        </w:rPr>
        <w:t>-</w:t>
      </w:r>
      <w:r w:rsidRPr="002F50DB" w:rsidR="002B60C6">
        <w:rPr>
          <w:b/>
          <w:bCs/>
          <w:i/>
          <w:iCs/>
          <w:color w:val="000000" w:themeColor="text1"/>
          <w:sz w:val="20"/>
        </w:rPr>
        <w:t xml:space="preserve"> 0.50 </w:t>
      </w:r>
      <w:r w:rsidRPr="002F50DB">
        <w:rPr>
          <w:b/>
          <w:bCs/>
          <w:i/>
          <w:iCs/>
          <w:color w:val="000000" w:themeColor="text1"/>
          <w:sz w:val="20"/>
        </w:rPr>
        <w:t>[</w:t>
      </w:r>
      <w:r w:rsidRPr="002F50DB" w:rsidR="009867C4">
        <w:rPr>
          <w:b/>
          <w:bCs/>
          <w:i/>
          <w:iCs/>
          <w:color w:val="000000" w:themeColor="text1"/>
          <w:sz w:val="20"/>
        </w:rPr>
        <w:t>based on the time it takes to read and complete the form.</w:t>
      </w:r>
      <w:r w:rsidRPr="002F50DB">
        <w:rPr>
          <w:b/>
          <w:bCs/>
          <w:i/>
          <w:iCs/>
          <w:color w:val="000000" w:themeColor="text1"/>
          <w:sz w:val="20"/>
        </w:rPr>
        <w:t>]</w:t>
      </w:r>
    </w:p>
    <w:p w:rsidRPr="002F50DB" w:rsidR="004E2D99" w:rsidP="009867C4" w:rsidRDefault="004E2D99" w14:paraId="127C308A" w14:textId="77777777">
      <w:pPr>
        <w:keepLines/>
        <w:ind w:left="720"/>
        <w:jc w:val="both"/>
        <w:rPr>
          <w:color w:val="000000" w:themeColor="text1"/>
        </w:rPr>
      </w:pPr>
    </w:p>
    <w:p w:rsidRPr="002F50DB" w:rsidR="000F7DFA" w:rsidP="000F7DFA" w:rsidRDefault="009867C4" w14:paraId="415ECC4A" w14:textId="77777777">
      <w:pPr>
        <w:pStyle w:val="BodyTextIndent3"/>
        <w:tabs>
          <w:tab w:val="clear" w:pos="360"/>
        </w:tabs>
        <w:spacing w:after="0"/>
        <w:ind w:left="720"/>
        <w:jc w:val="both"/>
        <w:rPr>
          <w:b/>
          <w:bCs/>
          <w:i/>
          <w:iCs/>
          <w:color w:val="000000" w:themeColor="text1"/>
          <w:sz w:val="20"/>
        </w:rPr>
      </w:pPr>
      <w:r w:rsidRPr="002F50DB">
        <w:rPr>
          <w:color w:val="000000" w:themeColor="text1"/>
          <w:sz w:val="20"/>
        </w:rPr>
        <w:t xml:space="preserve">The entire Closing Document ‘burden hours per response’ is based on the time it takes to read and complete each form in preparation for closing.  ‘Annual burden hours’ are based on the number of times the form </w:t>
      </w:r>
      <w:r w:rsidRPr="002F50DB" w:rsidR="00B7602F">
        <w:rPr>
          <w:color w:val="000000" w:themeColor="text1"/>
          <w:sz w:val="20"/>
        </w:rPr>
        <w:t>i</w:t>
      </w:r>
      <w:r w:rsidRPr="002F50DB">
        <w:rPr>
          <w:color w:val="000000" w:themeColor="text1"/>
          <w:sz w:val="20"/>
        </w:rPr>
        <w:t xml:space="preserve">s completed in preparation for </w:t>
      </w:r>
      <w:r w:rsidRPr="002F50DB" w:rsidR="00B7602F">
        <w:rPr>
          <w:color w:val="000000" w:themeColor="text1"/>
          <w:sz w:val="20"/>
        </w:rPr>
        <w:t xml:space="preserve">a </w:t>
      </w:r>
      <w:r w:rsidRPr="002F50DB">
        <w:rPr>
          <w:color w:val="000000" w:themeColor="text1"/>
          <w:sz w:val="20"/>
        </w:rPr>
        <w:t>closing (‘responses per annum’) multiplied by the amount of time it takes to complete each form.  Use of the form(s) is dependent on the Section of the Act (i.e. Sections 220, 231 221(d)(4), Section 223(f</w:t>
      </w:r>
      <w:r w:rsidRPr="002F50DB" w:rsidR="00415FEE">
        <w:rPr>
          <w:color w:val="000000" w:themeColor="text1"/>
          <w:sz w:val="20"/>
        </w:rPr>
        <w:t xml:space="preserve">)) followed </w:t>
      </w:r>
      <w:r w:rsidRPr="002F50DB" w:rsidR="00B7602F">
        <w:rPr>
          <w:color w:val="000000" w:themeColor="text1"/>
          <w:sz w:val="20"/>
        </w:rPr>
        <w:t xml:space="preserve">by type </w:t>
      </w:r>
      <w:r w:rsidRPr="002F50DB" w:rsidR="00415FEE">
        <w:rPr>
          <w:color w:val="000000" w:themeColor="text1"/>
          <w:sz w:val="20"/>
        </w:rPr>
        <w:t>of closing</w:t>
      </w:r>
      <w:r w:rsidRPr="002F50DB">
        <w:rPr>
          <w:color w:val="000000" w:themeColor="text1"/>
          <w:sz w:val="20"/>
        </w:rPr>
        <w:t xml:space="preserve">.  The number of respondents is based on the number of closings </w:t>
      </w:r>
      <w:r w:rsidRPr="002F50DB" w:rsidR="00B27319">
        <w:rPr>
          <w:color w:val="000000" w:themeColor="text1"/>
          <w:sz w:val="20"/>
        </w:rPr>
        <w:t>achieved</w:t>
      </w:r>
      <w:r w:rsidRPr="002F50DB">
        <w:rPr>
          <w:color w:val="000000" w:themeColor="text1"/>
          <w:sz w:val="20"/>
        </w:rPr>
        <w:t xml:space="preserve"> in Fiscal Year 20</w:t>
      </w:r>
      <w:r w:rsidRPr="002F50DB" w:rsidR="002B60C6">
        <w:rPr>
          <w:color w:val="000000" w:themeColor="text1"/>
          <w:sz w:val="20"/>
        </w:rPr>
        <w:t>19</w:t>
      </w:r>
      <w:r w:rsidRPr="002F50DB">
        <w:rPr>
          <w:color w:val="000000" w:themeColor="text1"/>
          <w:sz w:val="20"/>
        </w:rPr>
        <w:t>.</w:t>
      </w:r>
      <w:r w:rsidRPr="002F50DB" w:rsidR="002B60C6">
        <w:rPr>
          <w:color w:val="000000" w:themeColor="text1"/>
          <w:sz w:val="20"/>
        </w:rPr>
        <w:t xml:space="preserve">  </w:t>
      </w:r>
      <w:r w:rsidRPr="002F50DB" w:rsidR="00415FEE">
        <w:rPr>
          <w:color w:val="000000" w:themeColor="text1"/>
          <w:sz w:val="20"/>
        </w:rPr>
        <w:t>See the results in the below matrix.</w:t>
      </w:r>
      <w:r w:rsidRPr="002F50DB" w:rsidR="000F7DFA">
        <w:rPr>
          <w:b/>
          <w:bCs/>
          <w:i/>
          <w:iCs/>
          <w:color w:val="000000" w:themeColor="text1"/>
          <w:sz w:val="20"/>
        </w:rPr>
        <w:t xml:space="preserve"> The </w:t>
      </w:r>
      <w:r w:rsidRPr="002F50DB" w:rsidR="00B7602F">
        <w:rPr>
          <w:b/>
          <w:bCs/>
          <w:i/>
          <w:iCs/>
          <w:color w:val="000000" w:themeColor="text1"/>
          <w:sz w:val="20"/>
        </w:rPr>
        <w:t xml:space="preserve">total </w:t>
      </w:r>
      <w:r w:rsidRPr="002F50DB" w:rsidR="000F7DFA">
        <w:rPr>
          <w:b/>
          <w:bCs/>
          <w:i/>
          <w:iCs/>
          <w:color w:val="000000" w:themeColor="text1"/>
          <w:sz w:val="20"/>
        </w:rPr>
        <w:t>annual cost per form is explained in the following paragraph:</w:t>
      </w:r>
    </w:p>
    <w:p w:rsidRPr="002F50DB" w:rsidR="00685383" w:rsidP="009B6A3A" w:rsidRDefault="00685383" w14:paraId="6CD00886" w14:textId="77777777">
      <w:pPr>
        <w:pStyle w:val="BodyTextIndent3"/>
        <w:tabs>
          <w:tab w:val="clear" w:pos="360"/>
        </w:tabs>
        <w:spacing w:after="0"/>
        <w:ind w:left="1080"/>
        <w:rPr>
          <w:b/>
          <w:bCs/>
          <w:i/>
          <w:iCs/>
          <w:color w:val="000000" w:themeColor="text1"/>
          <w:sz w:val="20"/>
        </w:rPr>
      </w:pPr>
    </w:p>
    <w:p w:rsidRPr="002F50DB" w:rsidR="004D7C0D" w:rsidP="009B6A3A" w:rsidRDefault="004D7C0D" w14:paraId="03E3EE20" w14:textId="77777777">
      <w:pPr>
        <w:pStyle w:val="BodyTextIndent3"/>
        <w:tabs>
          <w:tab w:val="clear" w:pos="360"/>
        </w:tabs>
        <w:spacing w:after="0"/>
        <w:ind w:left="1080"/>
        <w:rPr>
          <w:b/>
          <w:bCs/>
          <w:i/>
          <w:iCs/>
          <w:color w:val="000000" w:themeColor="text1"/>
          <w:sz w:val="20"/>
        </w:rPr>
      </w:pPr>
      <w:r w:rsidRPr="002F50DB">
        <w:rPr>
          <w:b/>
          <w:bCs/>
          <w:i/>
          <w:iCs/>
          <w:color w:val="000000" w:themeColor="text1"/>
          <w:sz w:val="20"/>
        </w:rPr>
        <w:t>Electronic Lender’s Certification:</w:t>
      </w:r>
    </w:p>
    <w:p w:rsidRPr="002F50DB" w:rsidR="00685383" w:rsidP="00685383" w:rsidRDefault="00685383" w14:paraId="5A32F566" w14:textId="77777777">
      <w:pPr>
        <w:pStyle w:val="BodyTextIndent3"/>
        <w:tabs>
          <w:tab w:val="clear" w:pos="360"/>
        </w:tabs>
        <w:spacing w:after="0"/>
        <w:ind w:left="1080"/>
        <w:rPr>
          <w:b/>
          <w:bCs/>
          <w:i/>
          <w:iCs/>
          <w:color w:val="000000" w:themeColor="text1"/>
          <w:sz w:val="20"/>
        </w:rPr>
      </w:pPr>
      <w:r w:rsidRPr="002F50DB">
        <w:rPr>
          <w:b/>
          <w:bCs/>
          <w:i/>
          <w:iCs/>
          <w:color w:val="000000" w:themeColor="text1"/>
          <w:sz w:val="20"/>
        </w:rPr>
        <w:t>Hourly Cost - $26</w:t>
      </w:r>
      <w:r w:rsidRPr="002F50DB" w:rsidR="004D7C0D">
        <w:rPr>
          <w:b/>
          <w:bCs/>
          <w:i/>
          <w:iCs/>
          <w:color w:val="000000" w:themeColor="text1"/>
          <w:sz w:val="20"/>
        </w:rPr>
        <w:t xml:space="preserve">  ~  </w:t>
      </w:r>
      <w:r w:rsidRPr="002F50DB">
        <w:rPr>
          <w:b/>
          <w:bCs/>
          <w:i/>
          <w:iCs/>
          <w:color w:val="000000" w:themeColor="text1"/>
          <w:sz w:val="20"/>
        </w:rPr>
        <w:t xml:space="preserve">Annual Burden Hours – </w:t>
      </w:r>
      <w:r w:rsidRPr="002F50DB" w:rsidR="00A138AD">
        <w:rPr>
          <w:b/>
          <w:bCs/>
          <w:i/>
          <w:iCs/>
          <w:color w:val="000000" w:themeColor="text1"/>
          <w:sz w:val="20"/>
        </w:rPr>
        <w:t>1,224</w:t>
      </w:r>
      <w:r w:rsidRPr="002F50DB">
        <w:rPr>
          <w:b/>
          <w:bCs/>
          <w:i/>
          <w:iCs/>
          <w:color w:val="000000" w:themeColor="text1"/>
          <w:sz w:val="20"/>
        </w:rPr>
        <w:t xml:space="preserve">  </w:t>
      </w:r>
      <w:r w:rsidRPr="002F50DB" w:rsidR="004D7C0D">
        <w:rPr>
          <w:b/>
          <w:bCs/>
          <w:i/>
          <w:iCs/>
          <w:color w:val="000000" w:themeColor="text1"/>
          <w:sz w:val="20"/>
        </w:rPr>
        <w:t xml:space="preserve">~  </w:t>
      </w:r>
      <w:r w:rsidRPr="002F50DB">
        <w:rPr>
          <w:b/>
          <w:bCs/>
          <w:i/>
          <w:iCs/>
          <w:color w:val="000000" w:themeColor="text1"/>
          <w:sz w:val="20"/>
        </w:rPr>
        <w:t>Total Annal Costs - $</w:t>
      </w:r>
      <w:r w:rsidRPr="002F50DB" w:rsidR="00A138AD">
        <w:rPr>
          <w:b/>
          <w:bCs/>
          <w:i/>
          <w:iCs/>
          <w:color w:val="000000" w:themeColor="text1"/>
          <w:sz w:val="20"/>
        </w:rPr>
        <w:t>31,824</w:t>
      </w:r>
      <w:r w:rsidRPr="002F50DB">
        <w:rPr>
          <w:b/>
          <w:bCs/>
          <w:i/>
          <w:iCs/>
          <w:color w:val="000000" w:themeColor="text1"/>
          <w:sz w:val="20"/>
        </w:rPr>
        <w:t xml:space="preserve"> [26 x 1</w:t>
      </w:r>
      <w:r w:rsidRPr="002F50DB" w:rsidR="00A138AD">
        <w:rPr>
          <w:b/>
          <w:bCs/>
          <w:i/>
          <w:iCs/>
          <w:color w:val="000000" w:themeColor="text1"/>
          <w:sz w:val="20"/>
        </w:rPr>
        <w:t>,</w:t>
      </w:r>
      <w:r w:rsidRPr="002F50DB">
        <w:rPr>
          <w:b/>
          <w:bCs/>
          <w:i/>
          <w:iCs/>
          <w:color w:val="000000" w:themeColor="text1"/>
          <w:sz w:val="20"/>
        </w:rPr>
        <w:t>2</w:t>
      </w:r>
      <w:r w:rsidRPr="002F50DB" w:rsidR="00A138AD">
        <w:rPr>
          <w:b/>
          <w:bCs/>
          <w:i/>
          <w:iCs/>
          <w:color w:val="000000" w:themeColor="text1"/>
          <w:sz w:val="20"/>
        </w:rPr>
        <w:t>24</w:t>
      </w:r>
      <w:r w:rsidRPr="002F50DB">
        <w:rPr>
          <w:b/>
          <w:bCs/>
          <w:i/>
          <w:iCs/>
          <w:color w:val="000000" w:themeColor="text1"/>
          <w:sz w:val="20"/>
        </w:rPr>
        <w:t xml:space="preserve"> = </w:t>
      </w:r>
      <w:r w:rsidRPr="002F50DB" w:rsidR="00A138AD">
        <w:rPr>
          <w:b/>
          <w:bCs/>
          <w:i/>
          <w:iCs/>
          <w:color w:val="000000" w:themeColor="text1"/>
          <w:sz w:val="20"/>
        </w:rPr>
        <w:t>31,824</w:t>
      </w:r>
      <w:r w:rsidRPr="002F50DB">
        <w:rPr>
          <w:b/>
          <w:bCs/>
          <w:i/>
          <w:iCs/>
          <w:color w:val="000000" w:themeColor="text1"/>
          <w:sz w:val="20"/>
        </w:rPr>
        <w:t>]</w:t>
      </w:r>
    </w:p>
    <w:p w:rsidRPr="002F50DB" w:rsidR="004D7C0D" w:rsidP="00685383" w:rsidRDefault="004D7C0D" w14:paraId="6FFD3799" w14:textId="77777777">
      <w:pPr>
        <w:pStyle w:val="BodyTextIndent3"/>
        <w:tabs>
          <w:tab w:val="clear" w:pos="360"/>
        </w:tabs>
        <w:spacing w:after="0"/>
        <w:ind w:left="1080"/>
        <w:rPr>
          <w:b/>
          <w:bCs/>
          <w:i/>
          <w:iCs/>
          <w:color w:val="000000" w:themeColor="text1"/>
          <w:sz w:val="20"/>
        </w:rPr>
      </w:pPr>
    </w:p>
    <w:p w:rsidRPr="002F50DB" w:rsidR="004D7C0D" w:rsidP="00685383" w:rsidRDefault="004D7C0D" w14:paraId="604AD7D9" w14:textId="77777777">
      <w:pPr>
        <w:pStyle w:val="BodyTextIndent3"/>
        <w:tabs>
          <w:tab w:val="clear" w:pos="360"/>
        </w:tabs>
        <w:spacing w:after="0"/>
        <w:ind w:left="1080"/>
        <w:rPr>
          <w:b/>
          <w:bCs/>
          <w:i/>
          <w:iCs/>
          <w:color w:val="000000" w:themeColor="text1"/>
          <w:sz w:val="20"/>
        </w:rPr>
      </w:pPr>
      <w:r w:rsidRPr="002F50DB">
        <w:rPr>
          <w:b/>
          <w:bCs/>
          <w:i/>
          <w:iCs/>
          <w:color w:val="000000" w:themeColor="text1"/>
          <w:sz w:val="20"/>
        </w:rPr>
        <w:t>Debt Service Escrow Agreement:</w:t>
      </w:r>
    </w:p>
    <w:p w:rsidRPr="002F50DB" w:rsidR="00685383" w:rsidP="00685383" w:rsidRDefault="00685383" w14:paraId="324795FF" w14:textId="77777777">
      <w:pPr>
        <w:pStyle w:val="BodyTextIndent3"/>
        <w:tabs>
          <w:tab w:val="clear" w:pos="360"/>
        </w:tabs>
        <w:spacing w:after="0"/>
        <w:ind w:left="1080"/>
        <w:rPr>
          <w:b/>
          <w:bCs/>
          <w:i/>
          <w:iCs/>
          <w:color w:val="000000" w:themeColor="text1"/>
          <w:sz w:val="20"/>
        </w:rPr>
      </w:pPr>
      <w:r w:rsidRPr="002F50DB">
        <w:rPr>
          <w:b/>
          <w:bCs/>
          <w:i/>
          <w:iCs/>
          <w:color w:val="000000" w:themeColor="text1"/>
          <w:sz w:val="20"/>
        </w:rPr>
        <w:t xml:space="preserve">Hourly Cost - $26 </w:t>
      </w:r>
      <w:r w:rsidRPr="002F50DB" w:rsidR="004D7C0D">
        <w:rPr>
          <w:b/>
          <w:bCs/>
          <w:i/>
          <w:iCs/>
          <w:color w:val="000000" w:themeColor="text1"/>
          <w:sz w:val="20"/>
        </w:rPr>
        <w:t xml:space="preserve"> ~  </w:t>
      </w:r>
      <w:r w:rsidRPr="002F50DB">
        <w:rPr>
          <w:b/>
          <w:bCs/>
          <w:i/>
          <w:iCs/>
          <w:color w:val="000000" w:themeColor="text1"/>
          <w:sz w:val="20"/>
        </w:rPr>
        <w:t>Annual Burden Hours – 165</w:t>
      </w:r>
      <w:r w:rsidRPr="002F50DB" w:rsidR="004D7C0D">
        <w:rPr>
          <w:b/>
          <w:bCs/>
          <w:i/>
          <w:iCs/>
          <w:color w:val="000000" w:themeColor="text1"/>
          <w:sz w:val="20"/>
        </w:rPr>
        <w:t xml:space="preserve">  ~  </w:t>
      </w:r>
      <w:r w:rsidRPr="002F50DB">
        <w:rPr>
          <w:b/>
          <w:bCs/>
          <w:i/>
          <w:iCs/>
          <w:color w:val="000000" w:themeColor="text1"/>
          <w:sz w:val="20"/>
        </w:rPr>
        <w:t>Total Annal Costs - $4,290 [26 x 165 = 4,290]</w:t>
      </w:r>
    </w:p>
    <w:p w:rsidRPr="002F50DB" w:rsidR="000F7DFA" w:rsidP="009B6A3A" w:rsidRDefault="000F7DFA" w14:paraId="7F521C44" w14:textId="77777777">
      <w:pPr>
        <w:pStyle w:val="BodyTextIndent3"/>
        <w:tabs>
          <w:tab w:val="clear" w:pos="360"/>
        </w:tabs>
        <w:spacing w:after="0"/>
        <w:ind w:left="1080"/>
        <w:rPr>
          <w:b/>
          <w:bCs/>
          <w:i/>
          <w:iCs/>
          <w:color w:val="000000" w:themeColor="text1"/>
          <w:sz w:val="20"/>
        </w:rPr>
      </w:pPr>
    </w:p>
    <w:p w:rsidRPr="002F50DB" w:rsidR="003D73BE" w:rsidP="00685383" w:rsidRDefault="000F7DFA" w14:paraId="0C136B98" w14:textId="77777777">
      <w:pPr>
        <w:pStyle w:val="BodyTextIndent3"/>
        <w:tabs>
          <w:tab w:val="left" w:pos="720"/>
          <w:tab w:val="center" w:pos="1680"/>
          <w:tab w:val="center" w:pos="3120"/>
          <w:tab w:val="center" w:pos="4560"/>
          <w:tab w:val="center" w:pos="6000"/>
          <w:tab w:val="center" w:pos="7440"/>
          <w:tab w:val="center" w:pos="8880"/>
        </w:tabs>
        <w:spacing w:after="0"/>
        <w:ind w:left="720"/>
        <w:rPr>
          <w:color w:val="000000" w:themeColor="text1"/>
          <w:sz w:val="20"/>
        </w:rPr>
      </w:pPr>
      <w:r w:rsidRPr="002F50DB">
        <w:rPr>
          <w:i/>
          <w:iCs/>
          <w:color w:val="000000" w:themeColor="text1"/>
          <w:sz w:val="20"/>
        </w:rPr>
        <w:t>The ‘hourly cost’ is an estimate based on an average annual salary of $62,000 for developers and mortgagees.</w:t>
      </w:r>
    </w:p>
    <w:p w:rsidRPr="002F50DB" w:rsidR="003D73BE" w:rsidP="00010587" w:rsidRDefault="00AD27DB" w14:paraId="601368AE" w14:textId="77777777">
      <w:pPr>
        <w:overflowPunct/>
        <w:autoSpaceDE/>
        <w:autoSpaceDN/>
        <w:adjustRightInd/>
        <w:textAlignment w:val="auto"/>
        <w:rPr>
          <w:color w:val="000000" w:themeColor="text1"/>
        </w:rPr>
      </w:pPr>
      <w:r w:rsidRPr="002F50DB">
        <w:rPr>
          <w:color w:val="000000" w:themeColor="text1"/>
        </w:rPr>
        <w:br w:type="page"/>
      </w:r>
    </w:p>
    <w:tbl>
      <w:tblPr>
        <w:tblW w:w="10170" w:type="dxa"/>
        <w:tblInd w:w="198" w:type="dxa"/>
        <w:tblLayout w:type="fixed"/>
        <w:tblLook w:val="04A0" w:firstRow="1" w:lastRow="0" w:firstColumn="1" w:lastColumn="0" w:noHBand="0" w:noVBand="1"/>
      </w:tblPr>
      <w:tblGrid>
        <w:gridCol w:w="2070"/>
        <w:gridCol w:w="1260"/>
        <w:gridCol w:w="1145"/>
        <w:gridCol w:w="1145"/>
        <w:gridCol w:w="1060"/>
        <w:gridCol w:w="1096"/>
        <w:gridCol w:w="840"/>
        <w:gridCol w:w="1554"/>
      </w:tblGrid>
      <w:tr w:rsidRPr="002F50DB" w:rsidR="002F50DB" w:rsidTr="005808A7" w14:paraId="5AB08FAC" w14:textId="77777777">
        <w:trPr>
          <w:trHeight w:val="566"/>
          <w:tblHeader/>
        </w:trPr>
        <w:tc>
          <w:tcPr>
            <w:tcW w:w="2070" w:type="dxa"/>
            <w:tcBorders>
              <w:top w:val="single" w:color="auto" w:sz="4" w:space="0"/>
              <w:left w:val="single" w:color="auto" w:sz="4" w:space="0"/>
              <w:bottom w:val="single" w:color="auto" w:sz="4" w:space="0"/>
              <w:right w:val="single" w:color="auto" w:sz="4" w:space="0"/>
            </w:tcBorders>
            <w:shd w:val="clear" w:color="000000" w:fill="D8D8D8"/>
            <w:vAlign w:val="bottom"/>
            <w:hideMark/>
          </w:tcPr>
          <w:p w:rsidRPr="002F50DB" w:rsidR="006C5ED6" w:rsidP="006C5ED6" w:rsidRDefault="006C5ED6" w14:paraId="63A3B978" w14:textId="77777777">
            <w:pPr>
              <w:overflowPunct/>
              <w:autoSpaceDE/>
              <w:autoSpaceDN/>
              <w:adjustRightInd/>
              <w:jc w:val="center"/>
              <w:textAlignment w:val="auto"/>
              <w:rPr>
                <w:color w:val="000000" w:themeColor="text1"/>
              </w:rPr>
            </w:pPr>
            <w:bookmarkStart w:name="RANGE!A1:H36" w:id="0"/>
            <w:r w:rsidRPr="002F50DB">
              <w:rPr>
                <w:color w:val="000000" w:themeColor="text1"/>
              </w:rPr>
              <w:lastRenderedPageBreak/>
              <w:t>Information Collection</w:t>
            </w:r>
            <w:bookmarkEnd w:id="0"/>
          </w:p>
        </w:tc>
        <w:tc>
          <w:tcPr>
            <w:tcW w:w="1260" w:type="dxa"/>
            <w:tcBorders>
              <w:top w:val="single" w:color="auto" w:sz="4" w:space="0"/>
              <w:left w:val="nil"/>
              <w:bottom w:val="single" w:color="auto" w:sz="4" w:space="0"/>
              <w:right w:val="single" w:color="auto" w:sz="4" w:space="0"/>
            </w:tcBorders>
            <w:shd w:val="clear" w:color="000000" w:fill="D8D8D8"/>
            <w:vAlign w:val="bottom"/>
            <w:hideMark/>
          </w:tcPr>
          <w:p w:rsidRPr="002F50DB" w:rsidR="006C5ED6" w:rsidP="006C5ED6" w:rsidRDefault="006C5ED6" w14:paraId="1B0F1DC4" w14:textId="77777777">
            <w:pPr>
              <w:overflowPunct/>
              <w:autoSpaceDE/>
              <w:autoSpaceDN/>
              <w:adjustRightInd/>
              <w:jc w:val="center"/>
              <w:textAlignment w:val="auto"/>
              <w:rPr>
                <w:color w:val="000000" w:themeColor="text1"/>
              </w:rPr>
            </w:pPr>
            <w:r w:rsidRPr="002F50DB">
              <w:rPr>
                <w:color w:val="000000" w:themeColor="text1"/>
              </w:rPr>
              <w:t>Number of Respondents</w:t>
            </w:r>
          </w:p>
        </w:tc>
        <w:tc>
          <w:tcPr>
            <w:tcW w:w="1145" w:type="dxa"/>
            <w:tcBorders>
              <w:top w:val="single" w:color="auto" w:sz="4" w:space="0"/>
              <w:left w:val="nil"/>
              <w:bottom w:val="single" w:color="auto" w:sz="4" w:space="0"/>
              <w:right w:val="single" w:color="auto" w:sz="4" w:space="0"/>
            </w:tcBorders>
            <w:shd w:val="clear" w:color="000000" w:fill="D8D8D8"/>
            <w:vAlign w:val="bottom"/>
            <w:hideMark/>
          </w:tcPr>
          <w:p w:rsidRPr="002F50DB" w:rsidR="006C5ED6" w:rsidP="006C5ED6" w:rsidRDefault="006C5ED6" w14:paraId="2DF5B4A2" w14:textId="77777777">
            <w:pPr>
              <w:overflowPunct/>
              <w:autoSpaceDE/>
              <w:autoSpaceDN/>
              <w:adjustRightInd/>
              <w:jc w:val="center"/>
              <w:textAlignment w:val="auto"/>
              <w:rPr>
                <w:color w:val="000000" w:themeColor="text1"/>
              </w:rPr>
            </w:pPr>
            <w:r w:rsidRPr="002F50DB">
              <w:rPr>
                <w:color w:val="000000" w:themeColor="text1"/>
              </w:rPr>
              <w:t>Frequency of Response</w:t>
            </w:r>
          </w:p>
        </w:tc>
        <w:tc>
          <w:tcPr>
            <w:tcW w:w="1145" w:type="dxa"/>
            <w:tcBorders>
              <w:top w:val="single" w:color="auto" w:sz="4" w:space="0"/>
              <w:left w:val="nil"/>
              <w:bottom w:val="single" w:color="auto" w:sz="4" w:space="0"/>
              <w:right w:val="single" w:color="auto" w:sz="4" w:space="0"/>
            </w:tcBorders>
            <w:shd w:val="clear" w:color="000000" w:fill="D8D8D8"/>
            <w:vAlign w:val="bottom"/>
            <w:hideMark/>
          </w:tcPr>
          <w:p w:rsidRPr="002F50DB" w:rsidR="006C5ED6" w:rsidP="006C5ED6" w:rsidRDefault="006C5ED6" w14:paraId="461F68D1" w14:textId="77777777">
            <w:pPr>
              <w:overflowPunct/>
              <w:autoSpaceDE/>
              <w:autoSpaceDN/>
              <w:adjustRightInd/>
              <w:jc w:val="center"/>
              <w:textAlignment w:val="auto"/>
              <w:rPr>
                <w:color w:val="000000" w:themeColor="text1"/>
              </w:rPr>
            </w:pPr>
            <w:r w:rsidRPr="002F50DB">
              <w:rPr>
                <w:color w:val="000000" w:themeColor="text1"/>
              </w:rPr>
              <w:t>Responses Per Annum</w:t>
            </w:r>
          </w:p>
        </w:tc>
        <w:tc>
          <w:tcPr>
            <w:tcW w:w="1060" w:type="dxa"/>
            <w:tcBorders>
              <w:top w:val="single" w:color="auto" w:sz="4" w:space="0"/>
              <w:left w:val="nil"/>
              <w:bottom w:val="single" w:color="auto" w:sz="4" w:space="0"/>
              <w:right w:val="single" w:color="auto" w:sz="4" w:space="0"/>
            </w:tcBorders>
            <w:shd w:val="clear" w:color="000000" w:fill="D8D8D8"/>
            <w:vAlign w:val="bottom"/>
            <w:hideMark/>
          </w:tcPr>
          <w:p w:rsidRPr="002F50DB" w:rsidR="006C5ED6" w:rsidP="006C5ED6" w:rsidRDefault="006C5ED6" w14:paraId="3E04FC15" w14:textId="77777777">
            <w:pPr>
              <w:overflowPunct/>
              <w:autoSpaceDE/>
              <w:autoSpaceDN/>
              <w:adjustRightInd/>
              <w:jc w:val="center"/>
              <w:textAlignment w:val="auto"/>
              <w:rPr>
                <w:color w:val="000000" w:themeColor="text1"/>
              </w:rPr>
            </w:pPr>
            <w:r w:rsidRPr="002F50DB">
              <w:rPr>
                <w:color w:val="000000" w:themeColor="text1"/>
              </w:rPr>
              <w:t>Burden Hours Per Response</w:t>
            </w:r>
          </w:p>
        </w:tc>
        <w:tc>
          <w:tcPr>
            <w:tcW w:w="1096" w:type="dxa"/>
            <w:tcBorders>
              <w:top w:val="single" w:color="auto" w:sz="4" w:space="0"/>
              <w:left w:val="nil"/>
              <w:bottom w:val="single" w:color="auto" w:sz="4" w:space="0"/>
              <w:right w:val="single" w:color="auto" w:sz="4" w:space="0"/>
            </w:tcBorders>
            <w:shd w:val="clear" w:color="000000" w:fill="D8D8D8"/>
            <w:vAlign w:val="bottom"/>
            <w:hideMark/>
          </w:tcPr>
          <w:p w:rsidRPr="002F50DB" w:rsidR="006C5ED6" w:rsidP="006C5ED6" w:rsidRDefault="006C5ED6" w14:paraId="60478985" w14:textId="77777777">
            <w:pPr>
              <w:overflowPunct/>
              <w:autoSpaceDE/>
              <w:autoSpaceDN/>
              <w:adjustRightInd/>
              <w:jc w:val="center"/>
              <w:textAlignment w:val="auto"/>
              <w:rPr>
                <w:color w:val="000000" w:themeColor="text1"/>
              </w:rPr>
            </w:pPr>
            <w:r w:rsidRPr="002F50DB">
              <w:rPr>
                <w:color w:val="000000" w:themeColor="text1"/>
              </w:rPr>
              <w:t>Annual Burden Hours</w:t>
            </w:r>
          </w:p>
        </w:tc>
        <w:tc>
          <w:tcPr>
            <w:tcW w:w="840" w:type="dxa"/>
            <w:tcBorders>
              <w:top w:val="single" w:color="auto" w:sz="4" w:space="0"/>
              <w:left w:val="nil"/>
              <w:bottom w:val="single" w:color="auto" w:sz="4" w:space="0"/>
              <w:right w:val="single" w:color="auto" w:sz="4" w:space="0"/>
            </w:tcBorders>
            <w:shd w:val="clear" w:color="000000" w:fill="D8D8D8"/>
            <w:vAlign w:val="bottom"/>
            <w:hideMark/>
          </w:tcPr>
          <w:p w:rsidRPr="002F50DB" w:rsidR="006C5ED6" w:rsidP="006C5ED6" w:rsidRDefault="006C5ED6" w14:paraId="33738FA1" w14:textId="77777777">
            <w:pPr>
              <w:overflowPunct/>
              <w:autoSpaceDE/>
              <w:autoSpaceDN/>
              <w:adjustRightInd/>
              <w:jc w:val="center"/>
              <w:textAlignment w:val="auto"/>
              <w:rPr>
                <w:color w:val="000000" w:themeColor="text1"/>
              </w:rPr>
            </w:pPr>
            <w:r w:rsidRPr="002F50DB">
              <w:rPr>
                <w:color w:val="000000" w:themeColor="text1"/>
              </w:rPr>
              <w:t>Hourly Cost</w:t>
            </w:r>
          </w:p>
        </w:tc>
        <w:tc>
          <w:tcPr>
            <w:tcW w:w="1554" w:type="dxa"/>
            <w:tcBorders>
              <w:top w:val="single" w:color="auto" w:sz="4" w:space="0"/>
              <w:left w:val="nil"/>
              <w:bottom w:val="single" w:color="auto" w:sz="4" w:space="0"/>
              <w:right w:val="single" w:color="auto" w:sz="4" w:space="0"/>
            </w:tcBorders>
            <w:shd w:val="clear" w:color="000000" w:fill="D8D8D8"/>
            <w:vAlign w:val="bottom"/>
            <w:hideMark/>
          </w:tcPr>
          <w:p w:rsidRPr="002F50DB" w:rsidR="006C5ED6" w:rsidP="006C5ED6" w:rsidRDefault="006C5ED6" w14:paraId="7359E4EF" w14:textId="77777777">
            <w:pPr>
              <w:overflowPunct/>
              <w:autoSpaceDE/>
              <w:autoSpaceDN/>
              <w:adjustRightInd/>
              <w:jc w:val="center"/>
              <w:textAlignment w:val="auto"/>
              <w:rPr>
                <w:color w:val="000000" w:themeColor="text1"/>
              </w:rPr>
            </w:pPr>
            <w:r w:rsidRPr="002F50DB">
              <w:rPr>
                <w:color w:val="000000" w:themeColor="text1"/>
              </w:rPr>
              <w:t>Total Annual Cost</w:t>
            </w:r>
          </w:p>
        </w:tc>
      </w:tr>
      <w:tr w:rsidRPr="002F50DB" w:rsidR="002F50DB" w:rsidTr="005808A7" w14:paraId="733C313E" w14:textId="77777777">
        <w:trPr>
          <w:trHeight w:val="300"/>
        </w:trPr>
        <w:tc>
          <w:tcPr>
            <w:tcW w:w="2070" w:type="dxa"/>
            <w:tcBorders>
              <w:top w:val="nil"/>
              <w:left w:val="single" w:color="auto" w:sz="4" w:space="0"/>
              <w:bottom w:val="single" w:color="auto" w:sz="4" w:space="0"/>
              <w:right w:val="single" w:color="auto" w:sz="4" w:space="0"/>
            </w:tcBorders>
            <w:shd w:val="clear" w:color="auto" w:fill="auto"/>
          </w:tcPr>
          <w:p w:rsidRPr="002F50DB" w:rsidR="00685383" w:rsidP="00C22111" w:rsidRDefault="00E879DE" w14:paraId="42849439" w14:textId="77777777">
            <w:pPr>
              <w:overflowPunct/>
              <w:autoSpaceDE/>
              <w:autoSpaceDN/>
              <w:adjustRightInd/>
              <w:textAlignment w:val="auto"/>
              <w:rPr>
                <w:rFonts w:cs="Calibri"/>
                <w:b/>
                <w:bCs/>
                <w:color w:val="000000" w:themeColor="text1"/>
              </w:rPr>
            </w:pPr>
            <w:r w:rsidRPr="002F50DB">
              <w:rPr>
                <w:rFonts w:cs="Calibri"/>
                <w:b/>
                <w:bCs/>
                <w:color w:val="000000" w:themeColor="text1"/>
              </w:rPr>
              <w:t>Electronic Lender’s Certification</w:t>
            </w:r>
          </w:p>
          <w:p w:rsidRPr="002F50DB" w:rsidR="00685383" w:rsidP="00C22111" w:rsidRDefault="00685383" w14:paraId="73372745" w14:textId="77777777">
            <w:pPr>
              <w:overflowPunct/>
              <w:autoSpaceDE/>
              <w:autoSpaceDN/>
              <w:adjustRightInd/>
              <w:textAlignment w:val="auto"/>
              <w:rPr>
                <w:rFonts w:cs="Calibri"/>
                <w:b/>
                <w:bCs/>
                <w:color w:val="000000" w:themeColor="text1"/>
                <w:sz w:val="18"/>
                <w:szCs w:val="18"/>
              </w:rPr>
            </w:pPr>
            <w:r w:rsidRPr="002F50DB">
              <w:rPr>
                <w:rFonts w:cs="Calibri"/>
                <w:b/>
                <w:bCs/>
                <w:color w:val="000000" w:themeColor="text1"/>
                <w:sz w:val="18"/>
                <w:szCs w:val="18"/>
              </w:rPr>
              <w:t>{Construction</w:t>
            </w:r>
            <w:r w:rsidRPr="002F50DB" w:rsidR="005808A7">
              <w:rPr>
                <w:rFonts w:cs="Calibri"/>
                <w:b/>
                <w:bCs/>
                <w:color w:val="000000" w:themeColor="text1"/>
                <w:sz w:val="18"/>
                <w:szCs w:val="18"/>
              </w:rPr>
              <w:t xml:space="preserve"> Projects</w:t>
            </w:r>
            <w:r w:rsidRPr="002F50DB">
              <w:rPr>
                <w:rFonts w:cs="Calibri"/>
                <w:b/>
                <w:bCs/>
                <w:color w:val="000000" w:themeColor="text1"/>
                <w:sz w:val="18"/>
                <w:szCs w:val="18"/>
              </w:rPr>
              <w:t>}</w:t>
            </w:r>
          </w:p>
          <w:p w:rsidRPr="002F50DB" w:rsidR="00685383" w:rsidP="00C22111" w:rsidRDefault="00E879DE" w14:paraId="25EA76BB" w14:textId="77777777">
            <w:pPr>
              <w:overflowPunct/>
              <w:autoSpaceDE/>
              <w:autoSpaceDN/>
              <w:adjustRightInd/>
              <w:textAlignment w:val="auto"/>
              <w:rPr>
                <w:rFonts w:cs="Calibri"/>
                <w:b/>
                <w:bCs/>
                <w:color w:val="000000" w:themeColor="text1"/>
              </w:rPr>
            </w:pPr>
            <w:r w:rsidRPr="002F50DB">
              <w:rPr>
                <w:rFonts w:cs="Calibri"/>
                <w:b/>
                <w:bCs/>
                <w:color w:val="000000" w:themeColor="text1"/>
              </w:rPr>
              <w:t>(n</w:t>
            </w:r>
            <w:r w:rsidRPr="002F50DB" w:rsidR="00685383">
              <w:rPr>
                <w:rFonts w:cs="Calibri"/>
                <w:b/>
                <w:bCs/>
                <w:color w:val="000000" w:themeColor="text1"/>
              </w:rPr>
              <w:t>ew</w:t>
            </w:r>
            <w:r w:rsidRPr="002F50DB">
              <w:rPr>
                <w:rFonts w:cs="Calibri"/>
                <w:b/>
                <w:bCs/>
                <w:color w:val="000000" w:themeColor="text1"/>
              </w:rPr>
              <w:t xml:space="preserve"> form number</w:t>
            </w:r>
            <w:r w:rsidRPr="002F50DB" w:rsidR="00685383">
              <w:rPr>
                <w:rFonts w:cs="Calibri"/>
                <w:b/>
                <w:bCs/>
                <w:color w:val="000000" w:themeColor="text1"/>
              </w:rPr>
              <w:t>)</w:t>
            </w:r>
          </w:p>
        </w:tc>
        <w:tc>
          <w:tcPr>
            <w:tcW w:w="1260" w:type="dxa"/>
            <w:tcBorders>
              <w:top w:val="nil"/>
              <w:left w:val="nil"/>
              <w:bottom w:val="single" w:color="auto" w:sz="4" w:space="0"/>
              <w:right w:val="single" w:color="auto" w:sz="4" w:space="0"/>
            </w:tcBorders>
            <w:shd w:val="clear" w:color="auto" w:fill="auto"/>
          </w:tcPr>
          <w:p w:rsidRPr="002F50DB" w:rsidR="009867C4" w:rsidP="00D23FDD" w:rsidRDefault="00E879DE" w14:paraId="2ED9B6BB" w14:textId="77777777">
            <w:pPr>
              <w:overflowPunct/>
              <w:autoSpaceDE/>
              <w:autoSpaceDN/>
              <w:adjustRightInd/>
              <w:jc w:val="center"/>
              <w:textAlignment w:val="auto"/>
              <w:rPr>
                <w:color w:val="000000" w:themeColor="text1"/>
              </w:rPr>
            </w:pPr>
            <w:r w:rsidRPr="002F50DB">
              <w:rPr>
                <w:color w:val="000000" w:themeColor="text1"/>
              </w:rPr>
              <w:t>612.00</w:t>
            </w:r>
          </w:p>
        </w:tc>
        <w:tc>
          <w:tcPr>
            <w:tcW w:w="1145" w:type="dxa"/>
            <w:tcBorders>
              <w:top w:val="nil"/>
              <w:left w:val="nil"/>
              <w:bottom w:val="single" w:color="auto" w:sz="4" w:space="0"/>
              <w:right w:val="single" w:color="auto" w:sz="4" w:space="0"/>
            </w:tcBorders>
            <w:shd w:val="clear" w:color="auto" w:fill="auto"/>
          </w:tcPr>
          <w:p w:rsidRPr="002F50DB" w:rsidR="009867C4" w:rsidP="00D23FDD" w:rsidRDefault="00064541" w14:paraId="7143F2C1" w14:textId="77777777">
            <w:pPr>
              <w:overflowPunct/>
              <w:autoSpaceDE/>
              <w:autoSpaceDN/>
              <w:adjustRightInd/>
              <w:jc w:val="center"/>
              <w:textAlignment w:val="auto"/>
              <w:rPr>
                <w:color w:val="000000" w:themeColor="text1"/>
              </w:rPr>
            </w:pPr>
            <w:r w:rsidRPr="002F50DB">
              <w:rPr>
                <w:color w:val="000000" w:themeColor="text1"/>
              </w:rPr>
              <w:t>2</w:t>
            </w:r>
            <w:r w:rsidRPr="002F50DB" w:rsidR="00E879DE">
              <w:rPr>
                <w:color w:val="000000" w:themeColor="text1"/>
              </w:rPr>
              <w:t>.00</w:t>
            </w:r>
          </w:p>
        </w:tc>
        <w:tc>
          <w:tcPr>
            <w:tcW w:w="1145" w:type="dxa"/>
            <w:tcBorders>
              <w:top w:val="nil"/>
              <w:left w:val="nil"/>
              <w:bottom w:val="single" w:color="auto" w:sz="4" w:space="0"/>
              <w:right w:val="single" w:color="auto" w:sz="4" w:space="0"/>
            </w:tcBorders>
            <w:shd w:val="clear" w:color="auto" w:fill="auto"/>
          </w:tcPr>
          <w:p w:rsidRPr="002F50DB" w:rsidR="009867C4" w:rsidP="00D23FDD" w:rsidRDefault="00B11683" w14:paraId="56C4D99D" w14:textId="77777777">
            <w:pPr>
              <w:overflowPunct/>
              <w:autoSpaceDE/>
              <w:autoSpaceDN/>
              <w:adjustRightInd/>
              <w:jc w:val="center"/>
              <w:textAlignment w:val="auto"/>
              <w:rPr>
                <w:color w:val="000000" w:themeColor="text1"/>
              </w:rPr>
            </w:pPr>
            <w:r w:rsidRPr="002F50DB">
              <w:rPr>
                <w:color w:val="000000" w:themeColor="text1"/>
              </w:rPr>
              <w:t>1,2</w:t>
            </w:r>
            <w:r w:rsidRPr="002F50DB" w:rsidR="002A0C6A">
              <w:rPr>
                <w:color w:val="000000" w:themeColor="text1"/>
              </w:rPr>
              <w:t>2</w:t>
            </w:r>
            <w:r w:rsidRPr="002F50DB" w:rsidR="00E879DE">
              <w:rPr>
                <w:color w:val="000000" w:themeColor="text1"/>
              </w:rPr>
              <w:t>4.00</w:t>
            </w:r>
          </w:p>
        </w:tc>
        <w:tc>
          <w:tcPr>
            <w:tcW w:w="1060" w:type="dxa"/>
            <w:tcBorders>
              <w:top w:val="nil"/>
              <w:left w:val="nil"/>
              <w:bottom w:val="single" w:color="auto" w:sz="4" w:space="0"/>
              <w:right w:val="single" w:color="auto" w:sz="4" w:space="0"/>
            </w:tcBorders>
            <w:shd w:val="clear" w:color="auto" w:fill="auto"/>
          </w:tcPr>
          <w:p w:rsidRPr="002F50DB" w:rsidR="009867C4" w:rsidP="00D23FDD" w:rsidRDefault="00292B28" w14:paraId="58DD2D7B" w14:textId="77777777">
            <w:pPr>
              <w:overflowPunct/>
              <w:autoSpaceDE/>
              <w:autoSpaceDN/>
              <w:adjustRightInd/>
              <w:jc w:val="center"/>
              <w:textAlignment w:val="auto"/>
              <w:rPr>
                <w:color w:val="000000" w:themeColor="text1"/>
              </w:rPr>
            </w:pPr>
            <w:r w:rsidRPr="002F50DB">
              <w:rPr>
                <w:color w:val="000000" w:themeColor="text1"/>
              </w:rPr>
              <w:t>1</w:t>
            </w:r>
            <w:r w:rsidRPr="002F50DB" w:rsidR="00E879DE">
              <w:rPr>
                <w:color w:val="000000" w:themeColor="text1"/>
              </w:rPr>
              <w:t>.</w:t>
            </w:r>
            <w:r w:rsidRPr="002F50DB">
              <w:rPr>
                <w:color w:val="000000" w:themeColor="text1"/>
              </w:rPr>
              <w:t>0</w:t>
            </w:r>
            <w:r w:rsidRPr="002F50DB" w:rsidR="00E879DE">
              <w:rPr>
                <w:color w:val="000000" w:themeColor="text1"/>
              </w:rPr>
              <w:t>0</w:t>
            </w:r>
          </w:p>
        </w:tc>
        <w:tc>
          <w:tcPr>
            <w:tcW w:w="1096" w:type="dxa"/>
            <w:tcBorders>
              <w:top w:val="nil"/>
              <w:left w:val="nil"/>
              <w:bottom w:val="single" w:color="auto" w:sz="4" w:space="0"/>
              <w:right w:val="single" w:color="auto" w:sz="4" w:space="0"/>
            </w:tcBorders>
            <w:shd w:val="clear" w:color="auto" w:fill="auto"/>
          </w:tcPr>
          <w:p w:rsidRPr="002F50DB" w:rsidR="009867C4" w:rsidP="00D23FDD" w:rsidRDefault="00292B28" w14:paraId="3826B288" w14:textId="77777777">
            <w:pPr>
              <w:overflowPunct/>
              <w:autoSpaceDE/>
              <w:autoSpaceDN/>
              <w:adjustRightInd/>
              <w:jc w:val="center"/>
              <w:textAlignment w:val="auto"/>
              <w:rPr>
                <w:color w:val="000000" w:themeColor="text1"/>
              </w:rPr>
            </w:pPr>
            <w:r w:rsidRPr="002F50DB">
              <w:rPr>
                <w:color w:val="000000" w:themeColor="text1"/>
              </w:rPr>
              <w:t>1,224.0</w:t>
            </w:r>
            <w:r w:rsidRPr="002F50DB" w:rsidR="00E879DE">
              <w:rPr>
                <w:color w:val="000000" w:themeColor="text1"/>
              </w:rPr>
              <w:t>0</w:t>
            </w:r>
          </w:p>
        </w:tc>
        <w:tc>
          <w:tcPr>
            <w:tcW w:w="840" w:type="dxa"/>
            <w:tcBorders>
              <w:top w:val="nil"/>
              <w:left w:val="nil"/>
              <w:bottom w:val="single" w:color="auto" w:sz="4" w:space="0"/>
              <w:right w:val="single" w:color="auto" w:sz="4" w:space="0"/>
            </w:tcBorders>
            <w:shd w:val="clear" w:color="auto" w:fill="auto"/>
          </w:tcPr>
          <w:p w:rsidRPr="002F50DB" w:rsidR="009867C4" w:rsidP="00D23FDD" w:rsidRDefault="00E879DE" w14:paraId="3F9BE5FF" w14:textId="77777777">
            <w:pPr>
              <w:overflowPunct/>
              <w:autoSpaceDE/>
              <w:autoSpaceDN/>
              <w:adjustRightInd/>
              <w:jc w:val="center"/>
              <w:textAlignment w:val="auto"/>
              <w:rPr>
                <w:color w:val="000000" w:themeColor="text1"/>
              </w:rPr>
            </w:pPr>
            <w:r w:rsidRPr="002F50DB">
              <w:rPr>
                <w:color w:val="000000" w:themeColor="text1"/>
              </w:rPr>
              <w:t>26.00</w:t>
            </w:r>
          </w:p>
        </w:tc>
        <w:tc>
          <w:tcPr>
            <w:tcW w:w="1554" w:type="dxa"/>
            <w:tcBorders>
              <w:top w:val="nil"/>
              <w:left w:val="nil"/>
              <w:bottom w:val="single" w:color="auto" w:sz="4" w:space="0"/>
              <w:right w:val="single" w:color="auto" w:sz="4" w:space="0"/>
            </w:tcBorders>
            <w:shd w:val="clear" w:color="auto" w:fill="auto"/>
          </w:tcPr>
          <w:p w:rsidRPr="002F50DB" w:rsidR="009867C4" w:rsidP="00D23FDD" w:rsidRDefault="00A138AD" w14:paraId="5AD33244" w14:textId="77777777">
            <w:pPr>
              <w:overflowPunct/>
              <w:autoSpaceDE/>
              <w:autoSpaceDN/>
              <w:adjustRightInd/>
              <w:jc w:val="center"/>
              <w:textAlignment w:val="auto"/>
              <w:rPr>
                <w:color w:val="000000" w:themeColor="text1"/>
              </w:rPr>
            </w:pPr>
            <w:r w:rsidRPr="002F50DB">
              <w:rPr>
                <w:color w:val="000000" w:themeColor="text1"/>
              </w:rPr>
              <w:t>31,824</w:t>
            </w:r>
            <w:r w:rsidRPr="002F50DB" w:rsidR="00E879DE">
              <w:rPr>
                <w:color w:val="000000" w:themeColor="text1"/>
              </w:rPr>
              <w:t>.00</w:t>
            </w:r>
          </w:p>
        </w:tc>
      </w:tr>
      <w:tr w:rsidRPr="002F50DB" w:rsidR="002F50DB" w:rsidTr="005808A7" w14:paraId="1814AB6F" w14:textId="77777777">
        <w:trPr>
          <w:trHeight w:val="300"/>
        </w:trPr>
        <w:tc>
          <w:tcPr>
            <w:tcW w:w="2070" w:type="dxa"/>
            <w:tcBorders>
              <w:top w:val="nil"/>
              <w:left w:val="single" w:color="auto" w:sz="4" w:space="0"/>
              <w:bottom w:val="single" w:color="auto" w:sz="4" w:space="0"/>
              <w:right w:val="single" w:color="auto" w:sz="4" w:space="0"/>
            </w:tcBorders>
            <w:shd w:val="clear" w:color="auto" w:fill="auto"/>
          </w:tcPr>
          <w:p w:rsidRPr="002F50DB" w:rsidR="00685383" w:rsidP="00C22111" w:rsidRDefault="00E879DE" w14:paraId="673A0FDB" w14:textId="77777777">
            <w:pPr>
              <w:overflowPunct/>
              <w:autoSpaceDE/>
              <w:autoSpaceDN/>
              <w:adjustRightInd/>
              <w:textAlignment w:val="auto"/>
              <w:rPr>
                <w:rFonts w:cs="Calibri"/>
                <w:b/>
                <w:bCs/>
                <w:color w:val="000000" w:themeColor="text1"/>
              </w:rPr>
            </w:pPr>
            <w:r w:rsidRPr="002F50DB">
              <w:rPr>
                <w:rFonts w:cs="Calibri"/>
                <w:b/>
                <w:bCs/>
                <w:color w:val="000000" w:themeColor="text1"/>
              </w:rPr>
              <w:t xml:space="preserve">Repair Escrow Debt Service - 223(f) </w:t>
            </w:r>
          </w:p>
          <w:p w:rsidRPr="002F50DB" w:rsidR="00685383" w:rsidP="00C22111" w:rsidRDefault="00685383" w14:paraId="397F39F9" w14:textId="77777777">
            <w:pPr>
              <w:overflowPunct/>
              <w:autoSpaceDE/>
              <w:autoSpaceDN/>
              <w:adjustRightInd/>
              <w:textAlignment w:val="auto"/>
              <w:rPr>
                <w:rFonts w:cs="Calibri"/>
                <w:b/>
                <w:bCs/>
                <w:color w:val="000000" w:themeColor="text1"/>
                <w:sz w:val="18"/>
                <w:szCs w:val="18"/>
              </w:rPr>
            </w:pPr>
            <w:r w:rsidRPr="002F50DB">
              <w:rPr>
                <w:rFonts w:cs="Calibri"/>
                <w:b/>
                <w:bCs/>
                <w:color w:val="000000" w:themeColor="text1"/>
                <w:sz w:val="18"/>
                <w:szCs w:val="18"/>
              </w:rPr>
              <w:t>{Existing Projects}</w:t>
            </w:r>
          </w:p>
          <w:p w:rsidRPr="002F50DB" w:rsidR="009867C4" w:rsidP="00C22111" w:rsidRDefault="00685383" w14:paraId="60DFD122" w14:textId="77777777">
            <w:pPr>
              <w:overflowPunct/>
              <w:autoSpaceDE/>
              <w:autoSpaceDN/>
              <w:adjustRightInd/>
              <w:textAlignment w:val="auto"/>
              <w:rPr>
                <w:color w:val="000000" w:themeColor="text1"/>
              </w:rPr>
            </w:pPr>
            <w:r w:rsidRPr="002F50DB">
              <w:rPr>
                <w:rFonts w:cs="Calibri"/>
                <w:b/>
                <w:bCs/>
                <w:color w:val="000000" w:themeColor="text1"/>
              </w:rPr>
              <w:t>(new form number)</w:t>
            </w:r>
          </w:p>
        </w:tc>
        <w:tc>
          <w:tcPr>
            <w:tcW w:w="1260" w:type="dxa"/>
            <w:tcBorders>
              <w:top w:val="nil"/>
              <w:left w:val="nil"/>
              <w:bottom w:val="single" w:color="auto" w:sz="4" w:space="0"/>
              <w:right w:val="single" w:color="auto" w:sz="4" w:space="0"/>
            </w:tcBorders>
            <w:shd w:val="clear" w:color="auto" w:fill="auto"/>
          </w:tcPr>
          <w:p w:rsidRPr="002F50DB" w:rsidR="009867C4" w:rsidP="00D23FDD" w:rsidRDefault="00E879DE" w14:paraId="0566F0BA" w14:textId="77777777">
            <w:pPr>
              <w:overflowPunct/>
              <w:autoSpaceDE/>
              <w:autoSpaceDN/>
              <w:adjustRightInd/>
              <w:jc w:val="center"/>
              <w:textAlignment w:val="auto"/>
              <w:rPr>
                <w:color w:val="000000" w:themeColor="text1"/>
              </w:rPr>
            </w:pPr>
            <w:r w:rsidRPr="002F50DB">
              <w:rPr>
                <w:color w:val="000000" w:themeColor="text1"/>
              </w:rPr>
              <w:t>330.00</w:t>
            </w:r>
          </w:p>
        </w:tc>
        <w:tc>
          <w:tcPr>
            <w:tcW w:w="1145" w:type="dxa"/>
            <w:tcBorders>
              <w:top w:val="nil"/>
              <w:left w:val="nil"/>
              <w:bottom w:val="single" w:color="auto" w:sz="4" w:space="0"/>
              <w:right w:val="single" w:color="auto" w:sz="4" w:space="0"/>
            </w:tcBorders>
            <w:shd w:val="clear" w:color="auto" w:fill="auto"/>
          </w:tcPr>
          <w:p w:rsidRPr="002F50DB" w:rsidR="009867C4" w:rsidP="00D23FDD" w:rsidRDefault="00E879DE" w14:paraId="592DCE36" w14:textId="77777777">
            <w:pPr>
              <w:overflowPunct/>
              <w:autoSpaceDE/>
              <w:autoSpaceDN/>
              <w:adjustRightInd/>
              <w:jc w:val="center"/>
              <w:textAlignment w:val="auto"/>
              <w:rPr>
                <w:color w:val="000000" w:themeColor="text1"/>
              </w:rPr>
            </w:pPr>
            <w:r w:rsidRPr="002F50DB">
              <w:rPr>
                <w:color w:val="000000" w:themeColor="text1"/>
              </w:rPr>
              <w:t>1.00</w:t>
            </w:r>
          </w:p>
        </w:tc>
        <w:tc>
          <w:tcPr>
            <w:tcW w:w="1145" w:type="dxa"/>
            <w:tcBorders>
              <w:top w:val="nil"/>
              <w:left w:val="nil"/>
              <w:bottom w:val="single" w:color="auto" w:sz="4" w:space="0"/>
              <w:right w:val="single" w:color="auto" w:sz="4" w:space="0"/>
            </w:tcBorders>
            <w:shd w:val="clear" w:color="auto" w:fill="auto"/>
          </w:tcPr>
          <w:p w:rsidRPr="002F50DB" w:rsidR="009867C4" w:rsidP="00D23FDD" w:rsidRDefault="00E879DE" w14:paraId="4D4CC1C3" w14:textId="77777777">
            <w:pPr>
              <w:overflowPunct/>
              <w:autoSpaceDE/>
              <w:autoSpaceDN/>
              <w:adjustRightInd/>
              <w:jc w:val="center"/>
              <w:textAlignment w:val="auto"/>
              <w:rPr>
                <w:color w:val="000000" w:themeColor="text1"/>
              </w:rPr>
            </w:pPr>
            <w:r w:rsidRPr="002F50DB">
              <w:rPr>
                <w:color w:val="000000" w:themeColor="text1"/>
              </w:rPr>
              <w:t>330.00</w:t>
            </w:r>
          </w:p>
        </w:tc>
        <w:tc>
          <w:tcPr>
            <w:tcW w:w="1060" w:type="dxa"/>
            <w:tcBorders>
              <w:top w:val="nil"/>
              <w:left w:val="nil"/>
              <w:bottom w:val="single" w:color="auto" w:sz="4" w:space="0"/>
              <w:right w:val="single" w:color="auto" w:sz="4" w:space="0"/>
            </w:tcBorders>
            <w:shd w:val="clear" w:color="auto" w:fill="auto"/>
          </w:tcPr>
          <w:p w:rsidRPr="002F50DB" w:rsidR="009867C4" w:rsidP="00D23FDD" w:rsidRDefault="00E879DE" w14:paraId="14B22F02" w14:textId="77777777">
            <w:pPr>
              <w:overflowPunct/>
              <w:autoSpaceDE/>
              <w:autoSpaceDN/>
              <w:adjustRightInd/>
              <w:jc w:val="center"/>
              <w:textAlignment w:val="auto"/>
              <w:rPr>
                <w:color w:val="000000" w:themeColor="text1"/>
              </w:rPr>
            </w:pPr>
            <w:r w:rsidRPr="002F50DB">
              <w:rPr>
                <w:color w:val="000000" w:themeColor="text1"/>
              </w:rPr>
              <w:t>0.50</w:t>
            </w:r>
          </w:p>
        </w:tc>
        <w:tc>
          <w:tcPr>
            <w:tcW w:w="1096" w:type="dxa"/>
            <w:tcBorders>
              <w:top w:val="nil"/>
              <w:left w:val="nil"/>
              <w:bottom w:val="single" w:color="auto" w:sz="4" w:space="0"/>
              <w:right w:val="single" w:color="auto" w:sz="4" w:space="0"/>
            </w:tcBorders>
            <w:shd w:val="clear" w:color="auto" w:fill="auto"/>
          </w:tcPr>
          <w:p w:rsidRPr="002F50DB" w:rsidR="009867C4" w:rsidP="00D23FDD" w:rsidRDefault="00E879DE" w14:paraId="12C2190D" w14:textId="77777777">
            <w:pPr>
              <w:overflowPunct/>
              <w:autoSpaceDE/>
              <w:autoSpaceDN/>
              <w:adjustRightInd/>
              <w:jc w:val="center"/>
              <w:textAlignment w:val="auto"/>
              <w:rPr>
                <w:color w:val="000000" w:themeColor="text1"/>
              </w:rPr>
            </w:pPr>
            <w:r w:rsidRPr="002F50DB">
              <w:rPr>
                <w:color w:val="000000" w:themeColor="text1"/>
              </w:rPr>
              <w:t>165.00</w:t>
            </w:r>
          </w:p>
        </w:tc>
        <w:tc>
          <w:tcPr>
            <w:tcW w:w="840" w:type="dxa"/>
            <w:tcBorders>
              <w:top w:val="nil"/>
              <w:left w:val="nil"/>
              <w:bottom w:val="single" w:color="auto" w:sz="4" w:space="0"/>
              <w:right w:val="single" w:color="auto" w:sz="4" w:space="0"/>
            </w:tcBorders>
            <w:shd w:val="clear" w:color="auto" w:fill="auto"/>
          </w:tcPr>
          <w:p w:rsidRPr="002F50DB" w:rsidR="009867C4" w:rsidP="00D23FDD" w:rsidRDefault="00E879DE" w14:paraId="3B47B97A" w14:textId="77777777">
            <w:pPr>
              <w:overflowPunct/>
              <w:autoSpaceDE/>
              <w:autoSpaceDN/>
              <w:adjustRightInd/>
              <w:jc w:val="center"/>
              <w:textAlignment w:val="auto"/>
              <w:rPr>
                <w:color w:val="000000" w:themeColor="text1"/>
              </w:rPr>
            </w:pPr>
            <w:r w:rsidRPr="002F50DB">
              <w:rPr>
                <w:color w:val="000000" w:themeColor="text1"/>
              </w:rPr>
              <w:t>26.00</w:t>
            </w:r>
          </w:p>
        </w:tc>
        <w:tc>
          <w:tcPr>
            <w:tcW w:w="1554" w:type="dxa"/>
            <w:tcBorders>
              <w:top w:val="nil"/>
              <w:left w:val="nil"/>
              <w:bottom w:val="single" w:color="auto" w:sz="4" w:space="0"/>
              <w:right w:val="single" w:color="auto" w:sz="4" w:space="0"/>
            </w:tcBorders>
            <w:shd w:val="clear" w:color="auto" w:fill="auto"/>
          </w:tcPr>
          <w:p w:rsidRPr="002F50DB" w:rsidR="009867C4" w:rsidP="00D23FDD" w:rsidRDefault="00E879DE" w14:paraId="49A3482C" w14:textId="77777777">
            <w:pPr>
              <w:overflowPunct/>
              <w:autoSpaceDE/>
              <w:autoSpaceDN/>
              <w:adjustRightInd/>
              <w:jc w:val="center"/>
              <w:textAlignment w:val="auto"/>
              <w:rPr>
                <w:color w:val="000000" w:themeColor="text1"/>
              </w:rPr>
            </w:pPr>
            <w:r w:rsidRPr="002F50DB">
              <w:rPr>
                <w:color w:val="000000" w:themeColor="text1"/>
              </w:rPr>
              <w:t>4,290.00</w:t>
            </w:r>
          </w:p>
        </w:tc>
      </w:tr>
      <w:tr w:rsidRPr="002F50DB" w:rsidR="002F50DB" w:rsidTr="005808A7" w14:paraId="0B986C6E" w14:textId="77777777">
        <w:trPr>
          <w:trHeight w:val="300"/>
        </w:trPr>
        <w:tc>
          <w:tcPr>
            <w:tcW w:w="2070" w:type="dxa"/>
            <w:tcBorders>
              <w:top w:val="nil"/>
              <w:left w:val="single" w:color="auto" w:sz="4" w:space="0"/>
              <w:bottom w:val="single" w:color="auto" w:sz="4" w:space="0"/>
              <w:right w:val="single" w:color="auto" w:sz="4" w:space="0"/>
            </w:tcBorders>
            <w:shd w:val="clear" w:color="auto" w:fill="auto"/>
            <w:hideMark/>
          </w:tcPr>
          <w:p w:rsidRPr="002F50DB" w:rsidR="006C5ED6" w:rsidP="006C5ED6" w:rsidRDefault="006C5ED6" w14:paraId="6C0186EE" w14:textId="77777777">
            <w:pPr>
              <w:overflowPunct/>
              <w:autoSpaceDE/>
              <w:autoSpaceDN/>
              <w:adjustRightInd/>
              <w:textAlignment w:val="auto"/>
              <w:rPr>
                <w:b/>
                <w:bCs/>
                <w:color w:val="000000" w:themeColor="text1"/>
              </w:rPr>
            </w:pPr>
            <w:r w:rsidRPr="002F50DB">
              <w:rPr>
                <w:b/>
                <w:bCs/>
                <w:color w:val="000000" w:themeColor="text1"/>
              </w:rPr>
              <w:t>Totals</w:t>
            </w:r>
          </w:p>
        </w:tc>
        <w:tc>
          <w:tcPr>
            <w:tcW w:w="1260" w:type="dxa"/>
            <w:tcBorders>
              <w:top w:val="nil"/>
              <w:left w:val="nil"/>
              <w:bottom w:val="single" w:color="auto" w:sz="4" w:space="0"/>
              <w:right w:val="single" w:color="auto" w:sz="4" w:space="0"/>
            </w:tcBorders>
            <w:shd w:val="clear" w:color="auto" w:fill="auto"/>
            <w:hideMark/>
          </w:tcPr>
          <w:p w:rsidRPr="002F50DB" w:rsidR="006C5ED6" w:rsidP="00D23FDD" w:rsidRDefault="000F7DFA" w14:paraId="11A24EDA" w14:textId="77777777">
            <w:pPr>
              <w:overflowPunct/>
              <w:autoSpaceDE/>
              <w:autoSpaceDN/>
              <w:adjustRightInd/>
              <w:jc w:val="center"/>
              <w:textAlignment w:val="auto"/>
              <w:rPr>
                <w:b/>
                <w:bCs/>
                <w:color w:val="000000" w:themeColor="text1"/>
              </w:rPr>
            </w:pPr>
            <w:r w:rsidRPr="002F50DB">
              <w:rPr>
                <w:color w:val="000000" w:themeColor="text1"/>
              </w:rPr>
              <w:t>942</w:t>
            </w:r>
          </w:p>
        </w:tc>
        <w:tc>
          <w:tcPr>
            <w:tcW w:w="1145" w:type="dxa"/>
            <w:tcBorders>
              <w:top w:val="nil"/>
              <w:left w:val="nil"/>
              <w:bottom w:val="single" w:color="auto" w:sz="4" w:space="0"/>
              <w:right w:val="single" w:color="auto" w:sz="4" w:space="0"/>
            </w:tcBorders>
            <w:shd w:val="clear" w:color="auto" w:fill="auto"/>
            <w:hideMark/>
          </w:tcPr>
          <w:p w:rsidRPr="002F50DB" w:rsidR="006C5ED6" w:rsidP="00D23FDD" w:rsidRDefault="00D23FDD" w14:paraId="1AB7B460" w14:textId="77777777">
            <w:pPr>
              <w:overflowPunct/>
              <w:autoSpaceDE/>
              <w:autoSpaceDN/>
              <w:adjustRightInd/>
              <w:jc w:val="center"/>
              <w:textAlignment w:val="auto"/>
              <w:rPr>
                <w:b/>
                <w:bCs/>
                <w:color w:val="000000" w:themeColor="text1"/>
              </w:rPr>
            </w:pPr>
            <w:r w:rsidRPr="002F50DB">
              <w:rPr>
                <w:color w:val="000000" w:themeColor="text1"/>
              </w:rPr>
              <w:t>2</w:t>
            </w:r>
          </w:p>
        </w:tc>
        <w:tc>
          <w:tcPr>
            <w:tcW w:w="1145" w:type="dxa"/>
            <w:tcBorders>
              <w:top w:val="nil"/>
              <w:left w:val="nil"/>
              <w:bottom w:val="single" w:color="auto" w:sz="4" w:space="0"/>
              <w:right w:val="single" w:color="auto" w:sz="4" w:space="0"/>
            </w:tcBorders>
            <w:shd w:val="clear" w:color="000000" w:fill="FFFFFF"/>
            <w:hideMark/>
          </w:tcPr>
          <w:p w:rsidRPr="002F50DB" w:rsidR="006C5ED6" w:rsidP="00D23FDD" w:rsidRDefault="00D23FDD" w14:paraId="148F7CAD" w14:textId="77777777">
            <w:pPr>
              <w:overflowPunct/>
              <w:autoSpaceDE/>
              <w:autoSpaceDN/>
              <w:adjustRightInd/>
              <w:jc w:val="center"/>
              <w:textAlignment w:val="auto"/>
              <w:rPr>
                <w:b/>
                <w:bCs/>
                <w:color w:val="000000" w:themeColor="text1"/>
              </w:rPr>
            </w:pPr>
            <w:r w:rsidRPr="002F50DB">
              <w:rPr>
                <w:color w:val="000000" w:themeColor="text1"/>
              </w:rPr>
              <w:t>1,</w:t>
            </w:r>
            <w:r w:rsidRPr="002F50DB" w:rsidR="007A5AA2">
              <w:rPr>
                <w:color w:val="000000" w:themeColor="text1"/>
              </w:rPr>
              <w:t>55</w:t>
            </w:r>
            <w:r w:rsidRPr="002F50DB">
              <w:rPr>
                <w:color w:val="000000" w:themeColor="text1"/>
              </w:rPr>
              <w:t>4</w:t>
            </w:r>
          </w:p>
        </w:tc>
        <w:tc>
          <w:tcPr>
            <w:tcW w:w="1060" w:type="dxa"/>
            <w:tcBorders>
              <w:top w:val="nil"/>
              <w:left w:val="nil"/>
              <w:bottom w:val="single" w:color="auto" w:sz="4" w:space="0"/>
              <w:right w:val="single" w:color="auto" w:sz="4" w:space="0"/>
            </w:tcBorders>
            <w:shd w:val="clear" w:color="000000" w:fill="FFFFFF"/>
            <w:hideMark/>
          </w:tcPr>
          <w:p w:rsidRPr="002F50DB" w:rsidR="006C5ED6" w:rsidP="00D23FDD" w:rsidRDefault="006C5ED6" w14:paraId="5FAEBC5B" w14:textId="77777777">
            <w:pPr>
              <w:overflowPunct/>
              <w:autoSpaceDE/>
              <w:autoSpaceDN/>
              <w:adjustRightInd/>
              <w:jc w:val="center"/>
              <w:textAlignment w:val="auto"/>
              <w:rPr>
                <w:color w:val="000000" w:themeColor="text1"/>
              </w:rPr>
            </w:pPr>
          </w:p>
        </w:tc>
        <w:tc>
          <w:tcPr>
            <w:tcW w:w="1096" w:type="dxa"/>
            <w:tcBorders>
              <w:top w:val="nil"/>
              <w:left w:val="nil"/>
              <w:bottom w:val="single" w:color="auto" w:sz="4" w:space="0"/>
              <w:right w:val="single" w:color="auto" w:sz="4" w:space="0"/>
            </w:tcBorders>
            <w:shd w:val="clear" w:color="000000" w:fill="FFFFFF"/>
            <w:hideMark/>
          </w:tcPr>
          <w:p w:rsidRPr="002F50DB" w:rsidR="002B0481" w:rsidP="00D23FDD" w:rsidRDefault="009A44B7" w14:paraId="4D7CE226" w14:textId="77777777">
            <w:pPr>
              <w:overflowPunct/>
              <w:autoSpaceDE/>
              <w:autoSpaceDN/>
              <w:adjustRightInd/>
              <w:jc w:val="center"/>
              <w:textAlignment w:val="auto"/>
              <w:rPr>
                <w:b/>
                <w:bCs/>
                <w:color w:val="000000" w:themeColor="text1"/>
              </w:rPr>
            </w:pPr>
            <w:r w:rsidRPr="002F50DB">
              <w:rPr>
                <w:color w:val="000000" w:themeColor="text1"/>
              </w:rPr>
              <w:t>1,389</w:t>
            </w:r>
          </w:p>
        </w:tc>
        <w:tc>
          <w:tcPr>
            <w:tcW w:w="840" w:type="dxa"/>
            <w:tcBorders>
              <w:top w:val="nil"/>
              <w:left w:val="nil"/>
              <w:bottom w:val="single" w:color="auto" w:sz="4" w:space="0"/>
              <w:right w:val="single" w:color="auto" w:sz="4" w:space="0"/>
            </w:tcBorders>
            <w:shd w:val="clear" w:color="000000" w:fill="FFFFFF"/>
            <w:hideMark/>
          </w:tcPr>
          <w:p w:rsidRPr="002F50DB" w:rsidR="006C5ED6" w:rsidP="00D23FDD" w:rsidRDefault="006C5ED6" w14:paraId="4AFCA5A5" w14:textId="77777777">
            <w:pPr>
              <w:overflowPunct/>
              <w:autoSpaceDE/>
              <w:autoSpaceDN/>
              <w:adjustRightInd/>
              <w:jc w:val="center"/>
              <w:textAlignment w:val="auto"/>
              <w:rPr>
                <w:color w:val="000000" w:themeColor="text1"/>
              </w:rPr>
            </w:pPr>
          </w:p>
        </w:tc>
        <w:tc>
          <w:tcPr>
            <w:tcW w:w="1554" w:type="dxa"/>
            <w:tcBorders>
              <w:top w:val="nil"/>
              <w:left w:val="nil"/>
              <w:bottom w:val="single" w:color="auto" w:sz="4" w:space="0"/>
              <w:right w:val="single" w:color="auto" w:sz="4" w:space="0"/>
            </w:tcBorders>
            <w:shd w:val="clear" w:color="000000" w:fill="FFFFFF"/>
            <w:hideMark/>
          </w:tcPr>
          <w:p w:rsidRPr="002F50DB" w:rsidR="00BC1792" w:rsidP="00D23FDD" w:rsidRDefault="009A44B7" w14:paraId="596B7C9D" w14:textId="77777777">
            <w:pPr>
              <w:overflowPunct/>
              <w:autoSpaceDE/>
              <w:autoSpaceDN/>
              <w:adjustRightInd/>
              <w:jc w:val="center"/>
              <w:textAlignment w:val="auto"/>
              <w:rPr>
                <w:b/>
                <w:bCs/>
                <w:color w:val="000000" w:themeColor="text1"/>
              </w:rPr>
            </w:pPr>
            <w:r w:rsidRPr="002F50DB">
              <w:rPr>
                <w:color w:val="000000" w:themeColor="text1"/>
              </w:rPr>
              <w:t>36,114</w:t>
            </w:r>
          </w:p>
        </w:tc>
      </w:tr>
    </w:tbl>
    <w:p w:rsidRPr="002F50DB" w:rsidR="006C5ED6" w:rsidP="006C5ED6" w:rsidRDefault="006C5ED6" w14:paraId="71845FD2" w14:textId="77777777">
      <w:pPr>
        <w:pStyle w:val="BodyTextIndent3"/>
        <w:tabs>
          <w:tab w:val="center" w:pos="1680"/>
          <w:tab w:val="center" w:pos="3120"/>
          <w:tab w:val="center" w:pos="4560"/>
          <w:tab w:val="center" w:pos="6000"/>
          <w:tab w:val="center" w:pos="7440"/>
          <w:tab w:val="center" w:pos="8880"/>
        </w:tabs>
        <w:spacing w:after="0"/>
        <w:rPr>
          <w:color w:val="000000" w:themeColor="text1"/>
        </w:rPr>
      </w:pPr>
    </w:p>
    <w:p w:rsidRPr="002F50DB" w:rsidR="00854015" w:rsidP="001C4099" w:rsidRDefault="00854015" w14:paraId="7E5CED67" w14:textId="77777777">
      <w:pPr>
        <w:tabs>
          <w:tab w:val="left" w:pos="360"/>
        </w:tabs>
        <w:ind w:left="1440" w:hanging="360"/>
        <w:rPr>
          <w:color w:val="000000" w:themeColor="text1"/>
          <w:sz w:val="22"/>
        </w:rPr>
      </w:pPr>
    </w:p>
    <w:p w:rsidRPr="002F50DB" w:rsidR="00854015" w:rsidRDefault="00854015" w14:paraId="4E0C7AD5" w14:textId="4AC03BDE">
      <w:pPr>
        <w:tabs>
          <w:tab w:val="left" w:pos="360"/>
        </w:tabs>
        <w:ind w:left="360" w:hanging="360"/>
        <w:rPr>
          <w:b/>
          <w:color w:val="000000" w:themeColor="text1"/>
          <w:sz w:val="18"/>
        </w:rPr>
      </w:pPr>
      <w:r w:rsidRPr="002F50DB">
        <w:rPr>
          <w:b/>
          <w:color w:val="000000" w:themeColor="text1"/>
          <w:sz w:val="18"/>
        </w:rPr>
        <w:t>13.</w:t>
      </w:r>
      <w:r w:rsidRPr="002F50DB">
        <w:rPr>
          <w:b/>
          <w:color w:val="000000" w:themeColor="text1"/>
          <w:sz w:val="18"/>
        </w:rPr>
        <w:tab/>
        <w:t xml:space="preserve">Provide an estimate of the total annual cost burden to respondents or recordkeepers resulting from the collection of information (do not include the cost of any hour burden shown in Items 12 and 14). </w:t>
      </w:r>
      <w:r w:rsidR="00495E45">
        <w:rPr>
          <w:b/>
          <w:color w:val="000000" w:themeColor="text1"/>
          <w:sz w:val="18"/>
        </w:rPr>
        <w:br/>
      </w:r>
    </w:p>
    <w:p w:rsidRPr="002F50DB" w:rsidR="00854015" w:rsidRDefault="00854015" w14:paraId="4FD1254E" w14:textId="4BC59BA6">
      <w:pPr>
        <w:numPr>
          <w:ilvl w:val="0"/>
          <w:numId w:val="14"/>
        </w:numPr>
        <w:tabs>
          <w:tab w:val="left" w:pos="360"/>
        </w:tabs>
        <w:ind w:left="480"/>
        <w:rPr>
          <w:b/>
          <w:color w:val="000000" w:themeColor="text1"/>
          <w:sz w:val="18"/>
        </w:rPr>
      </w:pPr>
      <w:r w:rsidRPr="002F50DB">
        <w:rPr>
          <w:b/>
          <w:color w:val="000000" w:themeColor="text1"/>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2F50DB">
        <w:rPr>
          <w:b/>
          <w:color w:val="000000" w:themeColor="text1"/>
          <w:sz w:val="18"/>
        </w:rPr>
        <w:t>drilling</w:t>
      </w:r>
      <w:proofErr w:type="gramEnd"/>
      <w:r w:rsidRPr="002F50DB">
        <w:rPr>
          <w:b/>
          <w:color w:val="000000" w:themeColor="text1"/>
          <w:sz w:val="18"/>
        </w:rPr>
        <w:t xml:space="preserve"> and testing equipment; and record storage facilities; </w:t>
      </w:r>
      <w:r w:rsidR="00495E45">
        <w:rPr>
          <w:b/>
          <w:color w:val="000000" w:themeColor="text1"/>
          <w:sz w:val="18"/>
        </w:rPr>
        <w:br/>
      </w:r>
    </w:p>
    <w:p w:rsidRPr="002F50DB" w:rsidR="00854015" w:rsidRDefault="00854015" w14:paraId="2590F8B4" w14:textId="76F10DA3">
      <w:pPr>
        <w:numPr>
          <w:ilvl w:val="0"/>
          <w:numId w:val="14"/>
        </w:numPr>
        <w:tabs>
          <w:tab w:val="left" w:pos="360"/>
        </w:tabs>
        <w:ind w:left="480"/>
        <w:rPr>
          <w:b/>
          <w:color w:val="000000" w:themeColor="text1"/>
          <w:sz w:val="18"/>
        </w:rPr>
      </w:pPr>
      <w:r w:rsidRPr="002F50DB">
        <w:rPr>
          <w:b/>
          <w:color w:val="000000" w:themeColor="text1"/>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r w:rsidR="00495E45">
        <w:rPr>
          <w:b/>
          <w:color w:val="000000" w:themeColor="text1"/>
          <w:sz w:val="18"/>
        </w:rPr>
        <w:br/>
      </w:r>
    </w:p>
    <w:p w:rsidRPr="002F50DB" w:rsidR="00854015" w:rsidRDefault="00854015" w14:paraId="45A1E34A" w14:textId="77777777">
      <w:pPr>
        <w:keepLines/>
        <w:numPr>
          <w:ilvl w:val="0"/>
          <w:numId w:val="14"/>
        </w:numPr>
        <w:tabs>
          <w:tab w:val="left" w:pos="360"/>
        </w:tabs>
        <w:spacing w:after="80"/>
        <w:ind w:left="480"/>
        <w:rPr>
          <w:b/>
          <w:color w:val="000000" w:themeColor="text1"/>
          <w:sz w:val="18"/>
        </w:rPr>
      </w:pPr>
      <w:r w:rsidRPr="002F50DB">
        <w:rPr>
          <w:b/>
          <w:color w:val="000000" w:themeColor="text1"/>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F50DB" w:rsidR="00854015" w:rsidP="0098306D" w:rsidRDefault="00E879DE" w14:paraId="6E9955D0" w14:textId="77777777">
      <w:pPr>
        <w:keepLines/>
        <w:tabs>
          <w:tab w:val="left" w:pos="360"/>
          <w:tab w:val="left" w:pos="720"/>
        </w:tabs>
        <w:ind w:left="480"/>
        <w:jc w:val="both"/>
        <w:rPr>
          <w:i/>
          <w:iCs/>
          <w:color w:val="000000" w:themeColor="text1"/>
          <w:szCs w:val="18"/>
        </w:rPr>
      </w:pPr>
      <w:r w:rsidRPr="002F50DB">
        <w:rPr>
          <w:i/>
          <w:iCs/>
          <w:color w:val="000000" w:themeColor="text1"/>
          <w:szCs w:val="18"/>
        </w:rPr>
        <w:t xml:space="preserve">Multifamily </w:t>
      </w:r>
      <w:r w:rsidRPr="002F50DB" w:rsidR="00D23FDD">
        <w:rPr>
          <w:i/>
          <w:iCs/>
          <w:color w:val="000000" w:themeColor="text1"/>
          <w:szCs w:val="18"/>
        </w:rPr>
        <w:t xml:space="preserve">Programs found </w:t>
      </w:r>
      <w:r w:rsidRPr="002F50DB">
        <w:rPr>
          <w:i/>
          <w:iCs/>
          <w:color w:val="000000" w:themeColor="text1"/>
          <w:szCs w:val="18"/>
        </w:rPr>
        <w:t>t</w:t>
      </w:r>
      <w:r w:rsidRPr="002F50DB" w:rsidR="00854015">
        <w:rPr>
          <w:i/>
          <w:iCs/>
          <w:color w:val="000000" w:themeColor="text1"/>
          <w:szCs w:val="18"/>
        </w:rPr>
        <w:t>here are no capital or start-up costs.  There are no cost burdens to respondents for operation and maintenance</w:t>
      </w:r>
      <w:r w:rsidRPr="002F50DB">
        <w:rPr>
          <w:i/>
          <w:iCs/>
          <w:color w:val="000000" w:themeColor="text1"/>
          <w:szCs w:val="18"/>
        </w:rPr>
        <w:t>.</w:t>
      </w:r>
      <w:r w:rsidRPr="002F50DB" w:rsidR="00854015">
        <w:rPr>
          <w:i/>
          <w:iCs/>
          <w:color w:val="000000" w:themeColor="text1"/>
          <w:szCs w:val="18"/>
        </w:rPr>
        <w:t xml:space="preserve"> </w:t>
      </w:r>
    </w:p>
    <w:p w:rsidRPr="002F50DB" w:rsidR="00854015" w:rsidRDefault="00854015" w14:paraId="0B7DF4CB" w14:textId="77777777">
      <w:pPr>
        <w:tabs>
          <w:tab w:val="left" w:pos="360"/>
        </w:tabs>
        <w:ind w:left="360" w:hanging="360"/>
        <w:rPr>
          <w:color w:val="000000" w:themeColor="text1"/>
          <w:sz w:val="22"/>
        </w:rPr>
      </w:pPr>
    </w:p>
    <w:p w:rsidRPr="002F50DB" w:rsidR="00854015" w:rsidRDefault="00854015" w14:paraId="7A24B655" w14:textId="77777777">
      <w:pPr>
        <w:pStyle w:val="BodyTextIndent"/>
        <w:rPr>
          <w:b/>
          <w:color w:val="000000" w:themeColor="text1"/>
        </w:rPr>
      </w:pPr>
      <w:r w:rsidRPr="002F50DB">
        <w:rPr>
          <w:b/>
          <w:color w:val="000000" w:themeColor="text1"/>
        </w:rPr>
        <w:t>14.</w:t>
      </w:r>
      <w:r w:rsidRPr="002F50DB">
        <w:rPr>
          <w:b/>
          <w:color w:val="000000" w:themeColor="text1"/>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2F50DB" w:rsidR="00854015" w:rsidRDefault="00854015" w14:paraId="6D73C99F" w14:textId="77777777">
      <w:pPr>
        <w:pStyle w:val="BodyTextIndent"/>
        <w:rPr>
          <w:b/>
          <w:color w:val="000000" w:themeColor="text1"/>
        </w:rPr>
      </w:pPr>
    </w:p>
    <w:p w:rsidRPr="002F50DB" w:rsidR="00025CAA" w:rsidP="0098306D" w:rsidRDefault="00025CAA" w14:paraId="0E0AC496" w14:textId="77777777">
      <w:pPr>
        <w:pStyle w:val="BodyTextIndent2"/>
        <w:ind w:left="720" w:firstLine="0"/>
        <w:jc w:val="both"/>
        <w:rPr>
          <w:rStyle w:val="HTMLCite"/>
          <w:rFonts w:ascii="Arial" w:hAnsi="Arial" w:cs="Arial"/>
          <w:i w:val="0"/>
          <w:iCs w:val="0"/>
          <w:color w:val="000000" w:themeColor="text1"/>
          <w:sz w:val="20"/>
          <w:szCs w:val="20"/>
        </w:rPr>
      </w:pPr>
      <w:r w:rsidRPr="002F50DB">
        <w:rPr>
          <w:i/>
          <w:iCs/>
          <w:color w:val="000000" w:themeColor="text1"/>
          <w:sz w:val="20"/>
          <w:szCs w:val="20"/>
        </w:rPr>
        <w:t>All MF Closing documents are reviewed by an attorney in one of HUD’s Field Office</w:t>
      </w:r>
      <w:r w:rsidRPr="002F50DB" w:rsidR="00CC15BC">
        <w:rPr>
          <w:i/>
          <w:iCs/>
          <w:color w:val="000000" w:themeColor="text1"/>
          <w:sz w:val="20"/>
          <w:szCs w:val="20"/>
        </w:rPr>
        <w:t>s</w:t>
      </w:r>
      <w:r w:rsidRPr="002F50DB">
        <w:rPr>
          <w:i/>
          <w:iCs/>
          <w:color w:val="000000" w:themeColor="text1"/>
          <w:sz w:val="20"/>
          <w:szCs w:val="20"/>
        </w:rPr>
        <w:t>.  The attorneys range from a GS-12 to a GS-14.  Therefore, the grade of a GS-13 is used as an average.  The time it takes to review each document corresponds to the time that it takes for the party to complete the form. Per the following website, the hourly rate of a GS-13 attorney is $</w:t>
      </w:r>
      <w:r w:rsidRPr="002F50DB" w:rsidR="001F25EC">
        <w:rPr>
          <w:i/>
          <w:iCs/>
          <w:color w:val="000000" w:themeColor="text1"/>
          <w:sz w:val="20"/>
          <w:szCs w:val="20"/>
        </w:rPr>
        <w:t xml:space="preserve"> 51.48</w:t>
      </w:r>
      <w:r w:rsidRPr="002F50DB">
        <w:rPr>
          <w:i/>
          <w:iCs/>
          <w:color w:val="000000" w:themeColor="text1"/>
          <w:sz w:val="20"/>
          <w:szCs w:val="20"/>
        </w:rPr>
        <w:t xml:space="preserve"> (rounded to $</w:t>
      </w:r>
      <w:r w:rsidRPr="002F50DB" w:rsidR="001F25EC">
        <w:rPr>
          <w:i/>
          <w:iCs/>
          <w:color w:val="000000" w:themeColor="text1"/>
          <w:sz w:val="20"/>
          <w:szCs w:val="20"/>
        </w:rPr>
        <w:t>51</w:t>
      </w:r>
      <w:r w:rsidRPr="002F50DB">
        <w:rPr>
          <w:i/>
          <w:iCs/>
          <w:color w:val="000000" w:themeColor="text1"/>
          <w:sz w:val="20"/>
          <w:szCs w:val="20"/>
        </w:rPr>
        <w:t xml:space="preserve">) per the following website </w:t>
      </w:r>
      <w:hyperlink w:history="1" r:id="rId11">
        <w:r w:rsidRPr="002F50DB">
          <w:rPr>
            <w:rStyle w:val="Hyperlink"/>
            <w:i/>
            <w:iCs/>
            <w:color w:val="000000" w:themeColor="text1"/>
            <w:sz w:val="20"/>
            <w:szCs w:val="20"/>
          </w:rPr>
          <w:t>www.opm.gov/oca/10tables/html/RUS.asp</w:t>
        </w:r>
      </w:hyperlink>
      <w:r w:rsidRPr="002F50DB">
        <w:rPr>
          <w:rStyle w:val="HTMLCite"/>
          <w:i w:val="0"/>
          <w:iCs w:val="0"/>
          <w:color w:val="000000" w:themeColor="text1"/>
          <w:sz w:val="20"/>
          <w:szCs w:val="20"/>
          <w:u w:val="single"/>
        </w:rPr>
        <w:t xml:space="preserve">. </w:t>
      </w:r>
      <w:r w:rsidRPr="002F50DB">
        <w:rPr>
          <w:rStyle w:val="HTMLCite"/>
          <w:i w:val="0"/>
          <w:iCs w:val="0"/>
          <w:color w:val="000000" w:themeColor="text1"/>
          <w:sz w:val="20"/>
          <w:szCs w:val="20"/>
        </w:rPr>
        <w:t xml:space="preserve">   </w:t>
      </w:r>
    </w:p>
    <w:p w:rsidRPr="002F50DB" w:rsidR="00F33749" w:rsidP="0098306D" w:rsidRDefault="00F33749" w14:paraId="4E2470A7" w14:textId="77777777">
      <w:pPr>
        <w:pStyle w:val="BodyTextIndent"/>
        <w:ind w:left="720"/>
        <w:jc w:val="both"/>
        <w:rPr>
          <w:color w:val="000000" w:themeColor="text1"/>
          <w:sz w:val="20"/>
        </w:rPr>
      </w:pPr>
    </w:p>
    <w:p w:rsidRPr="002F50DB" w:rsidR="00E26AD4" w:rsidP="0098306D" w:rsidRDefault="00025CAA" w14:paraId="67029F6A" w14:textId="77777777">
      <w:pPr>
        <w:pStyle w:val="BodyTextIndent"/>
        <w:ind w:left="720"/>
        <w:jc w:val="both"/>
        <w:rPr>
          <w:i/>
          <w:iCs/>
          <w:color w:val="000000" w:themeColor="text1"/>
          <w:sz w:val="20"/>
        </w:rPr>
      </w:pPr>
      <w:r w:rsidRPr="002F50DB">
        <w:rPr>
          <w:i/>
          <w:iCs/>
          <w:color w:val="000000" w:themeColor="text1"/>
          <w:sz w:val="20"/>
        </w:rPr>
        <w:tab/>
      </w:r>
      <w:r w:rsidRPr="002F50DB" w:rsidR="00991178">
        <w:rPr>
          <w:rStyle w:val="HTMLCite"/>
          <w:i w:val="0"/>
          <w:iCs w:val="0"/>
          <w:color w:val="000000" w:themeColor="text1"/>
          <w:sz w:val="20"/>
        </w:rPr>
        <w:t xml:space="preserve">The </w:t>
      </w:r>
      <w:r w:rsidRPr="002F50DB" w:rsidR="00E56E98">
        <w:rPr>
          <w:i/>
          <w:iCs/>
          <w:color w:val="000000" w:themeColor="text1"/>
          <w:sz w:val="20"/>
        </w:rPr>
        <w:t xml:space="preserve">Electronic Lender’s Certification’s </w:t>
      </w:r>
      <w:r w:rsidRPr="002F50DB" w:rsidR="00991178">
        <w:rPr>
          <w:rStyle w:val="HTMLCite"/>
          <w:i w:val="0"/>
          <w:iCs w:val="0"/>
          <w:color w:val="000000" w:themeColor="text1"/>
          <w:sz w:val="20"/>
        </w:rPr>
        <w:t>b</w:t>
      </w:r>
      <w:r w:rsidRPr="002F50DB" w:rsidR="002B0481">
        <w:rPr>
          <w:rStyle w:val="HTMLCite"/>
          <w:i w:val="0"/>
          <w:iCs w:val="0"/>
          <w:color w:val="000000" w:themeColor="text1"/>
          <w:sz w:val="20"/>
        </w:rPr>
        <w:t xml:space="preserve">ase hourly rate </w:t>
      </w:r>
      <w:r w:rsidRPr="002F50DB" w:rsidR="00991178">
        <w:rPr>
          <w:rStyle w:val="HTMLCite"/>
          <w:i w:val="0"/>
          <w:iCs w:val="0"/>
          <w:color w:val="000000" w:themeColor="text1"/>
          <w:sz w:val="20"/>
        </w:rPr>
        <w:t>is</w:t>
      </w:r>
      <w:r w:rsidRPr="002F50DB" w:rsidR="002B0481">
        <w:rPr>
          <w:rStyle w:val="HTMLCite"/>
          <w:i w:val="0"/>
          <w:iCs w:val="0"/>
          <w:color w:val="000000" w:themeColor="text1"/>
          <w:sz w:val="20"/>
        </w:rPr>
        <w:t xml:space="preserve"> $51 </w:t>
      </w:r>
      <w:r w:rsidRPr="002F50DB" w:rsidR="00E56E98">
        <w:rPr>
          <w:i/>
          <w:iCs/>
          <w:color w:val="000000" w:themeColor="text1"/>
          <w:sz w:val="20"/>
        </w:rPr>
        <w:t>to</w:t>
      </w:r>
      <w:r w:rsidRPr="002F50DB" w:rsidR="008702AD">
        <w:rPr>
          <w:i/>
          <w:iCs/>
          <w:color w:val="000000" w:themeColor="text1"/>
          <w:sz w:val="20"/>
        </w:rPr>
        <w:t xml:space="preserve"> </w:t>
      </w:r>
      <w:r w:rsidRPr="002F50DB" w:rsidR="002B0481">
        <w:rPr>
          <w:rStyle w:val="HTMLCite"/>
          <w:i w:val="0"/>
          <w:iCs w:val="0"/>
          <w:color w:val="000000" w:themeColor="text1"/>
          <w:sz w:val="20"/>
        </w:rPr>
        <w:t xml:space="preserve">review and </w:t>
      </w:r>
      <w:r w:rsidRPr="002F50DB" w:rsidR="002B0481">
        <w:rPr>
          <w:i/>
          <w:iCs/>
          <w:color w:val="000000" w:themeColor="text1"/>
          <w:sz w:val="20"/>
        </w:rPr>
        <w:t>process</w:t>
      </w:r>
      <w:r w:rsidRPr="002F50DB" w:rsidR="00E56E98">
        <w:rPr>
          <w:i/>
          <w:iCs/>
          <w:color w:val="000000" w:themeColor="text1"/>
          <w:sz w:val="20"/>
        </w:rPr>
        <w:t xml:space="preserve"> the Form.  The </w:t>
      </w:r>
      <w:r w:rsidRPr="002F50DB" w:rsidR="00C85199">
        <w:rPr>
          <w:i/>
          <w:iCs/>
          <w:color w:val="000000" w:themeColor="text1"/>
          <w:sz w:val="20"/>
        </w:rPr>
        <w:t xml:space="preserve">new form’s </w:t>
      </w:r>
      <w:r w:rsidRPr="002F50DB" w:rsidR="00E56E98">
        <w:rPr>
          <w:i/>
          <w:iCs/>
          <w:color w:val="000000" w:themeColor="text1"/>
          <w:sz w:val="20"/>
        </w:rPr>
        <w:t>annual burden hours</w:t>
      </w:r>
      <w:r w:rsidRPr="002F50DB" w:rsidR="00B91583">
        <w:rPr>
          <w:i/>
          <w:iCs/>
          <w:color w:val="000000" w:themeColor="text1"/>
          <w:sz w:val="20"/>
        </w:rPr>
        <w:t xml:space="preserve"> are</w:t>
      </w:r>
      <w:r w:rsidRPr="002F50DB" w:rsidR="00E56E98">
        <w:rPr>
          <w:i/>
          <w:iCs/>
          <w:color w:val="000000" w:themeColor="text1"/>
          <w:sz w:val="20"/>
        </w:rPr>
        <w:t xml:space="preserve"> 1,224</w:t>
      </w:r>
      <w:r w:rsidRPr="002F50DB" w:rsidR="00A96C2B">
        <w:rPr>
          <w:i/>
          <w:iCs/>
          <w:color w:val="000000" w:themeColor="text1"/>
          <w:sz w:val="20"/>
        </w:rPr>
        <w:t xml:space="preserve"> hours</w:t>
      </w:r>
      <w:r w:rsidRPr="002F50DB" w:rsidR="00E26AD4">
        <w:rPr>
          <w:i/>
          <w:iCs/>
          <w:color w:val="000000" w:themeColor="text1"/>
          <w:sz w:val="20"/>
        </w:rPr>
        <w:t>.</w:t>
      </w:r>
    </w:p>
    <w:p w:rsidRPr="002F50DB" w:rsidR="00E56E98" w:rsidP="0098306D" w:rsidRDefault="00E56E98" w14:paraId="6AAAA329" w14:textId="77777777">
      <w:pPr>
        <w:pStyle w:val="BodyTextIndent"/>
        <w:ind w:left="720"/>
        <w:jc w:val="both"/>
        <w:rPr>
          <w:i/>
          <w:iCs/>
          <w:color w:val="000000" w:themeColor="text1"/>
          <w:sz w:val="20"/>
        </w:rPr>
      </w:pPr>
      <w:r w:rsidRPr="002F50DB">
        <w:rPr>
          <w:i/>
          <w:iCs/>
          <w:color w:val="000000" w:themeColor="text1"/>
          <w:sz w:val="20"/>
        </w:rPr>
        <w:tab/>
      </w:r>
      <w:r w:rsidRPr="002F50DB" w:rsidR="00E26AD4">
        <w:rPr>
          <w:i/>
          <w:iCs/>
          <w:color w:val="000000" w:themeColor="text1"/>
          <w:sz w:val="20"/>
        </w:rPr>
        <w:t xml:space="preserve">The </w:t>
      </w:r>
      <w:r w:rsidRPr="002F50DB" w:rsidR="00C85199">
        <w:rPr>
          <w:i/>
          <w:iCs/>
          <w:color w:val="000000" w:themeColor="text1"/>
          <w:sz w:val="20"/>
        </w:rPr>
        <w:t xml:space="preserve">form’s </w:t>
      </w:r>
      <w:r w:rsidRPr="002F50DB" w:rsidR="00E26AD4">
        <w:rPr>
          <w:i/>
          <w:iCs/>
          <w:color w:val="000000" w:themeColor="text1"/>
          <w:sz w:val="20"/>
        </w:rPr>
        <w:t>total estimated annualized costs</w:t>
      </w:r>
      <w:r w:rsidRPr="002F50DB" w:rsidR="005808A7">
        <w:rPr>
          <w:i/>
          <w:iCs/>
          <w:color w:val="000000" w:themeColor="text1"/>
          <w:sz w:val="20"/>
        </w:rPr>
        <w:t>,</w:t>
      </w:r>
      <w:r w:rsidRPr="002F50DB" w:rsidR="00E26AD4">
        <w:rPr>
          <w:i/>
          <w:iCs/>
          <w:color w:val="000000" w:themeColor="text1"/>
          <w:sz w:val="20"/>
        </w:rPr>
        <w:t xml:space="preserve"> to the Federal governmen</w:t>
      </w:r>
      <w:r w:rsidRPr="002F50DB">
        <w:rPr>
          <w:i/>
          <w:iCs/>
          <w:color w:val="000000" w:themeColor="text1"/>
          <w:sz w:val="20"/>
        </w:rPr>
        <w:t>t is $62,424. [51 x 1,224 = 62,424]</w:t>
      </w:r>
    </w:p>
    <w:p w:rsidRPr="002F50DB" w:rsidR="00C85199" w:rsidP="0098306D" w:rsidRDefault="00C85199" w14:paraId="2F424D30" w14:textId="77777777">
      <w:pPr>
        <w:pStyle w:val="BodyTextIndent"/>
        <w:ind w:left="720"/>
        <w:jc w:val="both"/>
        <w:rPr>
          <w:i/>
          <w:iCs/>
          <w:color w:val="000000" w:themeColor="text1"/>
          <w:sz w:val="20"/>
        </w:rPr>
      </w:pPr>
    </w:p>
    <w:p w:rsidRPr="002F50DB" w:rsidR="00C85199" w:rsidP="0098306D" w:rsidRDefault="00C85199" w14:paraId="1D97F67E" w14:textId="77777777">
      <w:pPr>
        <w:pStyle w:val="BodyTextIndent"/>
        <w:ind w:left="720"/>
        <w:jc w:val="both"/>
        <w:rPr>
          <w:i/>
          <w:iCs/>
          <w:color w:val="000000" w:themeColor="text1"/>
          <w:sz w:val="20"/>
        </w:rPr>
      </w:pPr>
      <w:r w:rsidRPr="002F50DB">
        <w:rPr>
          <w:i/>
          <w:iCs/>
          <w:color w:val="000000" w:themeColor="text1"/>
          <w:sz w:val="20"/>
        </w:rPr>
        <w:tab/>
        <w:t xml:space="preserve">The Debt Service Escrow Agreement’s </w:t>
      </w:r>
      <w:r w:rsidRPr="002F50DB">
        <w:rPr>
          <w:rStyle w:val="HTMLCite"/>
          <w:i w:val="0"/>
          <w:iCs w:val="0"/>
          <w:color w:val="000000" w:themeColor="text1"/>
          <w:sz w:val="20"/>
        </w:rPr>
        <w:t xml:space="preserve">base hourly rate is $51 </w:t>
      </w:r>
      <w:r w:rsidRPr="002F50DB">
        <w:rPr>
          <w:i/>
          <w:iCs/>
          <w:color w:val="000000" w:themeColor="text1"/>
          <w:sz w:val="20"/>
        </w:rPr>
        <w:t xml:space="preserve">to </w:t>
      </w:r>
      <w:r w:rsidRPr="002F50DB">
        <w:rPr>
          <w:rStyle w:val="HTMLCite"/>
          <w:i w:val="0"/>
          <w:iCs w:val="0"/>
          <w:color w:val="000000" w:themeColor="text1"/>
          <w:sz w:val="20"/>
        </w:rPr>
        <w:t xml:space="preserve">review and </w:t>
      </w:r>
      <w:r w:rsidRPr="002F50DB">
        <w:rPr>
          <w:i/>
          <w:iCs/>
          <w:color w:val="000000" w:themeColor="text1"/>
          <w:sz w:val="20"/>
        </w:rPr>
        <w:t xml:space="preserve">process the Form.  The new form’s annual burden hours </w:t>
      </w:r>
      <w:r w:rsidRPr="002F50DB" w:rsidR="00B91583">
        <w:rPr>
          <w:i/>
          <w:iCs/>
          <w:color w:val="000000" w:themeColor="text1"/>
          <w:sz w:val="20"/>
        </w:rPr>
        <w:t>are</w:t>
      </w:r>
      <w:r w:rsidRPr="002F50DB">
        <w:rPr>
          <w:i/>
          <w:iCs/>
          <w:color w:val="000000" w:themeColor="text1"/>
          <w:sz w:val="20"/>
        </w:rPr>
        <w:t xml:space="preserve"> </w:t>
      </w:r>
      <w:r w:rsidRPr="002F50DB" w:rsidR="00B91583">
        <w:rPr>
          <w:i/>
          <w:iCs/>
          <w:color w:val="000000" w:themeColor="text1"/>
          <w:sz w:val="20"/>
        </w:rPr>
        <w:t>1</w:t>
      </w:r>
      <w:r w:rsidRPr="002F50DB">
        <w:rPr>
          <w:i/>
          <w:iCs/>
          <w:color w:val="000000" w:themeColor="text1"/>
          <w:sz w:val="20"/>
        </w:rPr>
        <w:t>65</w:t>
      </w:r>
      <w:r w:rsidRPr="002F50DB" w:rsidR="00A96C2B">
        <w:rPr>
          <w:i/>
          <w:iCs/>
          <w:color w:val="000000" w:themeColor="text1"/>
          <w:sz w:val="20"/>
        </w:rPr>
        <w:t xml:space="preserve"> hours</w:t>
      </w:r>
      <w:r w:rsidRPr="002F50DB">
        <w:rPr>
          <w:i/>
          <w:iCs/>
          <w:color w:val="000000" w:themeColor="text1"/>
          <w:sz w:val="20"/>
        </w:rPr>
        <w:t>.</w:t>
      </w:r>
    </w:p>
    <w:p w:rsidRPr="002F50DB" w:rsidR="00C85199" w:rsidP="0098306D" w:rsidRDefault="00C85199" w14:paraId="69D80142" w14:textId="77777777">
      <w:pPr>
        <w:pStyle w:val="BodyTextIndent"/>
        <w:ind w:left="720"/>
        <w:jc w:val="both"/>
        <w:rPr>
          <w:i/>
          <w:iCs/>
          <w:color w:val="000000" w:themeColor="text1"/>
          <w:sz w:val="20"/>
        </w:rPr>
      </w:pPr>
      <w:r w:rsidRPr="002F50DB">
        <w:rPr>
          <w:i/>
          <w:iCs/>
          <w:color w:val="000000" w:themeColor="text1"/>
          <w:sz w:val="20"/>
        </w:rPr>
        <w:tab/>
        <w:t xml:space="preserve">The </w:t>
      </w:r>
      <w:r w:rsidRPr="002F50DB" w:rsidR="00B91583">
        <w:rPr>
          <w:i/>
          <w:iCs/>
          <w:color w:val="000000" w:themeColor="text1"/>
          <w:sz w:val="20"/>
        </w:rPr>
        <w:t xml:space="preserve">form’s </w:t>
      </w:r>
      <w:r w:rsidRPr="002F50DB">
        <w:rPr>
          <w:i/>
          <w:iCs/>
          <w:color w:val="000000" w:themeColor="text1"/>
          <w:sz w:val="20"/>
        </w:rPr>
        <w:t>total estimated annualized costs</w:t>
      </w:r>
      <w:r w:rsidRPr="002F50DB" w:rsidR="005808A7">
        <w:rPr>
          <w:i/>
          <w:iCs/>
          <w:color w:val="000000" w:themeColor="text1"/>
          <w:sz w:val="20"/>
        </w:rPr>
        <w:t>,</w:t>
      </w:r>
      <w:r w:rsidRPr="002F50DB">
        <w:rPr>
          <w:i/>
          <w:iCs/>
          <w:color w:val="000000" w:themeColor="text1"/>
          <w:sz w:val="20"/>
        </w:rPr>
        <w:t xml:space="preserve"> to the Federal government is $</w:t>
      </w:r>
      <w:r w:rsidRPr="002F50DB" w:rsidR="00A96C2B">
        <w:rPr>
          <w:i/>
          <w:iCs/>
          <w:color w:val="000000" w:themeColor="text1"/>
          <w:sz w:val="20"/>
        </w:rPr>
        <w:t>8,415</w:t>
      </w:r>
      <w:r w:rsidRPr="002F50DB">
        <w:rPr>
          <w:i/>
          <w:iCs/>
          <w:color w:val="000000" w:themeColor="text1"/>
          <w:sz w:val="20"/>
        </w:rPr>
        <w:t>. [51 x 1</w:t>
      </w:r>
      <w:r w:rsidRPr="002F50DB" w:rsidR="00A96C2B">
        <w:rPr>
          <w:i/>
          <w:iCs/>
          <w:color w:val="000000" w:themeColor="text1"/>
          <w:sz w:val="20"/>
        </w:rPr>
        <w:t>65</w:t>
      </w:r>
      <w:r w:rsidRPr="002F50DB">
        <w:rPr>
          <w:i/>
          <w:iCs/>
          <w:color w:val="000000" w:themeColor="text1"/>
          <w:sz w:val="20"/>
        </w:rPr>
        <w:t xml:space="preserve"> = </w:t>
      </w:r>
      <w:r w:rsidRPr="002F50DB" w:rsidR="00A96C2B">
        <w:rPr>
          <w:i/>
          <w:iCs/>
          <w:color w:val="000000" w:themeColor="text1"/>
          <w:sz w:val="20"/>
        </w:rPr>
        <w:t>8,415</w:t>
      </w:r>
      <w:r w:rsidRPr="002F50DB">
        <w:rPr>
          <w:i/>
          <w:iCs/>
          <w:color w:val="000000" w:themeColor="text1"/>
          <w:sz w:val="20"/>
        </w:rPr>
        <w:t>]</w:t>
      </w:r>
    </w:p>
    <w:p w:rsidRPr="002F50DB" w:rsidR="00030356" w:rsidP="0098306D" w:rsidRDefault="00030356" w14:paraId="1EB537BE" w14:textId="77777777">
      <w:pPr>
        <w:pStyle w:val="BodyTextIndent"/>
        <w:tabs>
          <w:tab w:val="clear" w:pos="360"/>
        </w:tabs>
        <w:ind w:left="0" w:firstLine="0"/>
        <w:jc w:val="both"/>
        <w:rPr>
          <w:color w:val="000000" w:themeColor="text1"/>
          <w:sz w:val="20"/>
        </w:rPr>
      </w:pPr>
    </w:p>
    <w:p w:rsidRPr="002F50DB" w:rsidR="005808A7" w:rsidP="0098306D" w:rsidRDefault="005808A7" w14:paraId="292823AE" w14:textId="77777777">
      <w:pPr>
        <w:pStyle w:val="BodyTextIndent"/>
        <w:tabs>
          <w:tab w:val="clear" w:pos="360"/>
        </w:tabs>
        <w:ind w:left="0" w:firstLine="0"/>
        <w:jc w:val="both"/>
        <w:rPr>
          <w:i/>
          <w:color w:val="000000" w:themeColor="text1"/>
          <w:sz w:val="20"/>
        </w:rPr>
      </w:pPr>
      <w:r w:rsidRPr="002F50DB">
        <w:rPr>
          <w:color w:val="000000" w:themeColor="text1"/>
          <w:sz w:val="20"/>
        </w:rPr>
        <w:tab/>
      </w:r>
      <w:r w:rsidRPr="002F50DB">
        <w:rPr>
          <w:i/>
          <w:color w:val="000000" w:themeColor="text1"/>
          <w:sz w:val="20"/>
        </w:rPr>
        <w:t>The total estimated annualized costs for both Forms, to the Federal government is $70,839.</w:t>
      </w:r>
      <w:r w:rsidRPr="002F50DB" w:rsidR="00ED2A88">
        <w:rPr>
          <w:i/>
          <w:color w:val="000000" w:themeColor="text1"/>
          <w:sz w:val="20"/>
        </w:rPr>
        <w:t xml:space="preserve"> [</w:t>
      </w:r>
      <w:r w:rsidRPr="002F50DB" w:rsidR="00ED2A88">
        <w:rPr>
          <w:i/>
          <w:iCs/>
          <w:color w:val="000000" w:themeColor="text1"/>
          <w:sz w:val="20"/>
        </w:rPr>
        <w:t>62,424 x 8,415 = 70,839]</w:t>
      </w:r>
    </w:p>
    <w:p w:rsidRPr="002F50DB" w:rsidR="00030356" w:rsidP="00030356" w:rsidRDefault="00030356" w14:paraId="03ED91C5" w14:textId="77777777">
      <w:pPr>
        <w:pStyle w:val="BodyTextIndent"/>
        <w:tabs>
          <w:tab w:val="clear" w:pos="360"/>
        </w:tabs>
        <w:ind w:left="720" w:firstLine="0"/>
        <w:rPr>
          <w:i/>
          <w:color w:val="000000" w:themeColor="text1"/>
          <w:sz w:val="22"/>
        </w:rPr>
      </w:pPr>
    </w:p>
    <w:tbl>
      <w:tblPr>
        <w:tblW w:w="10185" w:type="dxa"/>
        <w:tblInd w:w="738" w:type="dxa"/>
        <w:tblLook w:val="04A0" w:firstRow="1" w:lastRow="0" w:firstColumn="1" w:lastColumn="0" w:noHBand="0" w:noVBand="1"/>
      </w:tblPr>
      <w:tblGrid>
        <w:gridCol w:w="2096"/>
        <w:gridCol w:w="1341"/>
        <w:gridCol w:w="1168"/>
        <w:gridCol w:w="1170"/>
        <w:gridCol w:w="1080"/>
        <w:gridCol w:w="1096"/>
        <w:gridCol w:w="884"/>
        <w:gridCol w:w="1350"/>
      </w:tblGrid>
      <w:tr w:rsidRPr="002F50DB" w:rsidR="002F50DB" w:rsidTr="0099775D" w14:paraId="005F4307" w14:textId="77777777">
        <w:trPr>
          <w:trHeight w:val="900"/>
          <w:tblHeader/>
        </w:trPr>
        <w:tc>
          <w:tcPr>
            <w:tcW w:w="2096" w:type="dxa"/>
            <w:tcBorders>
              <w:top w:val="single" w:color="auto" w:sz="4" w:space="0"/>
              <w:left w:val="single" w:color="auto" w:sz="4" w:space="0"/>
              <w:bottom w:val="single" w:color="auto" w:sz="4" w:space="0"/>
              <w:right w:val="single" w:color="auto" w:sz="4" w:space="0"/>
            </w:tcBorders>
            <w:shd w:val="clear" w:color="000000" w:fill="D8D8D8"/>
            <w:vAlign w:val="bottom"/>
            <w:hideMark/>
          </w:tcPr>
          <w:p w:rsidRPr="002F50DB" w:rsidR="00533DF0" w:rsidP="00533DF0" w:rsidRDefault="00533DF0" w14:paraId="4BFDF7F3" w14:textId="77777777">
            <w:pPr>
              <w:overflowPunct/>
              <w:autoSpaceDE/>
              <w:autoSpaceDN/>
              <w:adjustRightInd/>
              <w:jc w:val="center"/>
              <w:textAlignment w:val="auto"/>
              <w:rPr>
                <w:color w:val="000000" w:themeColor="text1"/>
                <w:sz w:val="22"/>
                <w:szCs w:val="22"/>
              </w:rPr>
            </w:pPr>
            <w:r w:rsidRPr="002F50DB">
              <w:rPr>
                <w:color w:val="000000" w:themeColor="text1"/>
                <w:sz w:val="22"/>
                <w:szCs w:val="22"/>
              </w:rPr>
              <w:lastRenderedPageBreak/>
              <w:t>Information Collection</w:t>
            </w:r>
          </w:p>
        </w:tc>
        <w:tc>
          <w:tcPr>
            <w:tcW w:w="1341" w:type="dxa"/>
            <w:tcBorders>
              <w:top w:val="single" w:color="auto" w:sz="4" w:space="0"/>
              <w:left w:val="nil"/>
              <w:bottom w:val="single" w:color="auto" w:sz="4" w:space="0"/>
              <w:right w:val="single" w:color="auto" w:sz="4" w:space="0"/>
            </w:tcBorders>
            <w:shd w:val="clear" w:color="000000" w:fill="D8D8D8"/>
            <w:vAlign w:val="bottom"/>
            <w:hideMark/>
          </w:tcPr>
          <w:p w:rsidRPr="002F50DB" w:rsidR="00533DF0" w:rsidP="00533DF0" w:rsidRDefault="00533DF0" w14:paraId="691E06C2" w14:textId="77777777">
            <w:pPr>
              <w:overflowPunct/>
              <w:autoSpaceDE/>
              <w:autoSpaceDN/>
              <w:adjustRightInd/>
              <w:jc w:val="center"/>
              <w:textAlignment w:val="auto"/>
              <w:rPr>
                <w:color w:val="000000" w:themeColor="text1"/>
                <w:sz w:val="22"/>
                <w:szCs w:val="22"/>
              </w:rPr>
            </w:pPr>
            <w:r w:rsidRPr="002F50DB">
              <w:rPr>
                <w:color w:val="000000" w:themeColor="text1"/>
                <w:sz w:val="22"/>
                <w:szCs w:val="22"/>
              </w:rPr>
              <w:t>Number of Respondents</w:t>
            </w:r>
          </w:p>
        </w:tc>
        <w:tc>
          <w:tcPr>
            <w:tcW w:w="1168" w:type="dxa"/>
            <w:tcBorders>
              <w:top w:val="single" w:color="auto" w:sz="4" w:space="0"/>
              <w:left w:val="nil"/>
              <w:bottom w:val="single" w:color="auto" w:sz="4" w:space="0"/>
              <w:right w:val="single" w:color="auto" w:sz="4" w:space="0"/>
            </w:tcBorders>
            <w:shd w:val="clear" w:color="000000" w:fill="D8D8D8"/>
            <w:vAlign w:val="bottom"/>
            <w:hideMark/>
          </w:tcPr>
          <w:p w:rsidRPr="002F50DB" w:rsidR="00533DF0" w:rsidP="00533DF0" w:rsidRDefault="00533DF0" w14:paraId="3FF62661" w14:textId="77777777">
            <w:pPr>
              <w:overflowPunct/>
              <w:autoSpaceDE/>
              <w:autoSpaceDN/>
              <w:adjustRightInd/>
              <w:jc w:val="center"/>
              <w:textAlignment w:val="auto"/>
              <w:rPr>
                <w:color w:val="000000" w:themeColor="text1"/>
                <w:sz w:val="22"/>
                <w:szCs w:val="22"/>
              </w:rPr>
            </w:pPr>
            <w:r w:rsidRPr="002F50DB">
              <w:rPr>
                <w:color w:val="000000" w:themeColor="text1"/>
                <w:sz w:val="22"/>
                <w:szCs w:val="22"/>
              </w:rPr>
              <w:t>Frequency of Response</w:t>
            </w:r>
          </w:p>
        </w:tc>
        <w:tc>
          <w:tcPr>
            <w:tcW w:w="1170" w:type="dxa"/>
            <w:tcBorders>
              <w:top w:val="single" w:color="auto" w:sz="4" w:space="0"/>
              <w:left w:val="nil"/>
              <w:bottom w:val="single" w:color="auto" w:sz="4" w:space="0"/>
              <w:right w:val="single" w:color="auto" w:sz="4" w:space="0"/>
            </w:tcBorders>
            <w:shd w:val="clear" w:color="000000" w:fill="D8D8D8"/>
            <w:vAlign w:val="bottom"/>
            <w:hideMark/>
          </w:tcPr>
          <w:p w:rsidRPr="002F50DB" w:rsidR="00533DF0" w:rsidP="00533DF0" w:rsidRDefault="00533DF0" w14:paraId="612B3246" w14:textId="77777777">
            <w:pPr>
              <w:overflowPunct/>
              <w:autoSpaceDE/>
              <w:autoSpaceDN/>
              <w:adjustRightInd/>
              <w:jc w:val="center"/>
              <w:textAlignment w:val="auto"/>
              <w:rPr>
                <w:color w:val="000000" w:themeColor="text1"/>
                <w:sz w:val="22"/>
                <w:szCs w:val="22"/>
              </w:rPr>
            </w:pPr>
            <w:r w:rsidRPr="002F50DB">
              <w:rPr>
                <w:color w:val="000000" w:themeColor="text1"/>
                <w:sz w:val="22"/>
                <w:szCs w:val="22"/>
              </w:rPr>
              <w:t>Responses Per Annum</w:t>
            </w:r>
          </w:p>
        </w:tc>
        <w:tc>
          <w:tcPr>
            <w:tcW w:w="1080" w:type="dxa"/>
            <w:tcBorders>
              <w:top w:val="single" w:color="auto" w:sz="4" w:space="0"/>
              <w:left w:val="nil"/>
              <w:bottom w:val="single" w:color="auto" w:sz="4" w:space="0"/>
              <w:right w:val="single" w:color="auto" w:sz="4" w:space="0"/>
            </w:tcBorders>
            <w:shd w:val="clear" w:color="000000" w:fill="D8D8D8"/>
            <w:vAlign w:val="bottom"/>
            <w:hideMark/>
          </w:tcPr>
          <w:p w:rsidRPr="002F50DB" w:rsidR="00533DF0" w:rsidP="00533DF0" w:rsidRDefault="00533DF0" w14:paraId="51349BDE" w14:textId="77777777">
            <w:pPr>
              <w:overflowPunct/>
              <w:autoSpaceDE/>
              <w:autoSpaceDN/>
              <w:adjustRightInd/>
              <w:jc w:val="center"/>
              <w:textAlignment w:val="auto"/>
              <w:rPr>
                <w:color w:val="000000" w:themeColor="text1"/>
                <w:sz w:val="22"/>
                <w:szCs w:val="22"/>
              </w:rPr>
            </w:pPr>
            <w:r w:rsidRPr="002F50DB">
              <w:rPr>
                <w:color w:val="000000" w:themeColor="text1"/>
                <w:sz w:val="22"/>
                <w:szCs w:val="22"/>
              </w:rPr>
              <w:t>Burden Hours Per Response</w:t>
            </w:r>
          </w:p>
        </w:tc>
        <w:tc>
          <w:tcPr>
            <w:tcW w:w="1096" w:type="dxa"/>
            <w:tcBorders>
              <w:top w:val="single" w:color="auto" w:sz="4" w:space="0"/>
              <w:left w:val="nil"/>
              <w:bottom w:val="single" w:color="auto" w:sz="4" w:space="0"/>
              <w:right w:val="single" w:color="auto" w:sz="4" w:space="0"/>
            </w:tcBorders>
            <w:shd w:val="clear" w:color="000000" w:fill="D8D8D8"/>
            <w:vAlign w:val="bottom"/>
            <w:hideMark/>
          </w:tcPr>
          <w:p w:rsidRPr="002F50DB" w:rsidR="00533DF0" w:rsidP="00533DF0" w:rsidRDefault="00533DF0" w14:paraId="6A4C77D3" w14:textId="77777777">
            <w:pPr>
              <w:overflowPunct/>
              <w:autoSpaceDE/>
              <w:autoSpaceDN/>
              <w:adjustRightInd/>
              <w:jc w:val="center"/>
              <w:textAlignment w:val="auto"/>
              <w:rPr>
                <w:color w:val="000000" w:themeColor="text1"/>
                <w:sz w:val="22"/>
                <w:szCs w:val="22"/>
              </w:rPr>
            </w:pPr>
            <w:r w:rsidRPr="002F50DB">
              <w:rPr>
                <w:color w:val="000000" w:themeColor="text1"/>
                <w:sz w:val="22"/>
                <w:szCs w:val="22"/>
              </w:rPr>
              <w:t>Annual Burden Hours</w:t>
            </w:r>
          </w:p>
        </w:tc>
        <w:tc>
          <w:tcPr>
            <w:tcW w:w="884" w:type="dxa"/>
            <w:tcBorders>
              <w:top w:val="single" w:color="auto" w:sz="4" w:space="0"/>
              <w:left w:val="nil"/>
              <w:bottom w:val="single" w:color="auto" w:sz="4" w:space="0"/>
              <w:right w:val="single" w:color="auto" w:sz="4" w:space="0"/>
            </w:tcBorders>
            <w:shd w:val="clear" w:color="000000" w:fill="D8D8D8"/>
            <w:vAlign w:val="bottom"/>
            <w:hideMark/>
          </w:tcPr>
          <w:p w:rsidRPr="002F50DB" w:rsidR="00533DF0" w:rsidP="00533DF0" w:rsidRDefault="00533DF0" w14:paraId="129DD43D" w14:textId="77777777">
            <w:pPr>
              <w:overflowPunct/>
              <w:autoSpaceDE/>
              <w:autoSpaceDN/>
              <w:adjustRightInd/>
              <w:jc w:val="center"/>
              <w:textAlignment w:val="auto"/>
              <w:rPr>
                <w:color w:val="000000" w:themeColor="text1"/>
                <w:sz w:val="22"/>
                <w:szCs w:val="22"/>
              </w:rPr>
            </w:pPr>
            <w:r w:rsidRPr="002F50DB">
              <w:rPr>
                <w:color w:val="000000" w:themeColor="text1"/>
                <w:sz w:val="22"/>
                <w:szCs w:val="22"/>
              </w:rPr>
              <w:t>Hourly Cost</w:t>
            </w:r>
          </w:p>
        </w:tc>
        <w:tc>
          <w:tcPr>
            <w:tcW w:w="1350" w:type="dxa"/>
            <w:tcBorders>
              <w:top w:val="single" w:color="auto" w:sz="4" w:space="0"/>
              <w:left w:val="nil"/>
              <w:bottom w:val="single" w:color="auto" w:sz="4" w:space="0"/>
              <w:right w:val="single" w:color="auto" w:sz="4" w:space="0"/>
            </w:tcBorders>
            <w:shd w:val="clear" w:color="000000" w:fill="D8D8D8"/>
            <w:vAlign w:val="bottom"/>
            <w:hideMark/>
          </w:tcPr>
          <w:p w:rsidRPr="002F50DB" w:rsidR="00533DF0" w:rsidP="00533DF0" w:rsidRDefault="00533DF0" w14:paraId="4BE3E1EE" w14:textId="77777777">
            <w:pPr>
              <w:overflowPunct/>
              <w:autoSpaceDE/>
              <w:autoSpaceDN/>
              <w:adjustRightInd/>
              <w:jc w:val="center"/>
              <w:textAlignment w:val="auto"/>
              <w:rPr>
                <w:color w:val="000000" w:themeColor="text1"/>
                <w:sz w:val="22"/>
                <w:szCs w:val="22"/>
              </w:rPr>
            </w:pPr>
            <w:r w:rsidRPr="002F50DB">
              <w:rPr>
                <w:color w:val="000000" w:themeColor="text1"/>
                <w:sz w:val="22"/>
                <w:szCs w:val="22"/>
              </w:rPr>
              <w:t>Total Annual Cost</w:t>
            </w:r>
          </w:p>
        </w:tc>
      </w:tr>
      <w:tr w:rsidRPr="002F50DB" w:rsidR="002F50DB" w:rsidTr="00533DF0" w14:paraId="5797628C" w14:textId="77777777">
        <w:trPr>
          <w:trHeight w:val="300"/>
        </w:trPr>
        <w:tc>
          <w:tcPr>
            <w:tcW w:w="2096" w:type="dxa"/>
            <w:tcBorders>
              <w:top w:val="nil"/>
              <w:left w:val="single" w:color="auto" w:sz="4" w:space="0"/>
              <w:bottom w:val="single" w:color="auto" w:sz="4" w:space="0"/>
              <w:right w:val="single" w:color="auto" w:sz="4" w:space="0"/>
            </w:tcBorders>
            <w:shd w:val="clear" w:color="auto" w:fill="auto"/>
          </w:tcPr>
          <w:p w:rsidRPr="002F50DB" w:rsidR="005808A7" w:rsidP="002B0481" w:rsidRDefault="002B0481" w14:paraId="619B15AB" w14:textId="77777777">
            <w:pPr>
              <w:overflowPunct/>
              <w:autoSpaceDE/>
              <w:autoSpaceDN/>
              <w:adjustRightInd/>
              <w:textAlignment w:val="auto"/>
              <w:rPr>
                <w:rFonts w:cs="Calibri"/>
                <w:b/>
                <w:bCs/>
                <w:color w:val="000000" w:themeColor="text1"/>
              </w:rPr>
            </w:pPr>
            <w:r w:rsidRPr="002F50DB">
              <w:rPr>
                <w:rFonts w:cs="Calibri"/>
                <w:b/>
                <w:bCs/>
                <w:color w:val="000000" w:themeColor="text1"/>
              </w:rPr>
              <w:t>Electronic Lender’s Certification</w:t>
            </w:r>
          </w:p>
          <w:p w:rsidRPr="002F50DB" w:rsidR="005808A7" w:rsidP="005808A7" w:rsidRDefault="005808A7" w14:paraId="159B2ED2" w14:textId="77777777">
            <w:pPr>
              <w:overflowPunct/>
              <w:autoSpaceDE/>
              <w:autoSpaceDN/>
              <w:adjustRightInd/>
              <w:textAlignment w:val="auto"/>
              <w:rPr>
                <w:rFonts w:cs="Calibri"/>
                <w:b/>
                <w:bCs/>
                <w:color w:val="000000" w:themeColor="text1"/>
                <w:sz w:val="18"/>
                <w:szCs w:val="18"/>
              </w:rPr>
            </w:pPr>
            <w:r w:rsidRPr="002F50DB">
              <w:rPr>
                <w:rFonts w:cs="Calibri"/>
                <w:b/>
                <w:bCs/>
                <w:color w:val="000000" w:themeColor="text1"/>
                <w:sz w:val="18"/>
                <w:szCs w:val="18"/>
              </w:rPr>
              <w:t>{Construction Projects}</w:t>
            </w:r>
          </w:p>
          <w:p w:rsidRPr="002F50DB" w:rsidR="002B0481" w:rsidP="002B0481" w:rsidRDefault="002B0481" w14:paraId="7D5FED27" w14:textId="77777777">
            <w:pPr>
              <w:overflowPunct/>
              <w:autoSpaceDE/>
              <w:autoSpaceDN/>
              <w:adjustRightInd/>
              <w:textAlignment w:val="auto"/>
              <w:rPr>
                <w:color w:val="000000" w:themeColor="text1"/>
              </w:rPr>
            </w:pPr>
            <w:r w:rsidRPr="002F50DB">
              <w:rPr>
                <w:rFonts w:cs="Calibri"/>
                <w:b/>
                <w:bCs/>
                <w:color w:val="000000" w:themeColor="text1"/>
              </w:rPr>
              <w:t>(no form number</w:t>
            </w:r>
            <w:r w:rsidRPr="002F50DB" w:rsidR="005808A7">
              <w:rPr>
                <w:rFonts w:cs="Calibri"/>
                <w:b/>
                <w:bCs/>
                <w:color w:val="000000" w:themeColor="text1"/>
              </w:rPr>
              <w:t>)</w:t>
            </w:r>
          </w:p>
        </w:tc>
        <w:tc>
          <w:tcPr>
            <w:tcW w:w="1341" w:type="dxa"/>
            <w:tcBorders>
              <w:top w:val="nil"/>
              <w:left w:val="nil"/>
              <w:bottom w:val="single" w:color="auto" w:sz="4" w:space="0"/>
              <w:right w:val="single" w:color="auto" w:sz="4" w:space="0"/>
            </w:tcBorders>
            <w:shd w:val="clear" w:color="auto" w:fill="auto"/>
          </w:tcPr>
          <w:p w:rsidRPr="002F50DB" w:rsidR="002B0481" w:rsidP="005808A7" w:rsidRDefault="002B0481" w14:paraId="6419DA37" w14:textId="77777777">
            <w:pPr>
              <w:overflowPunct/>
              <w:autoSpaceDE/>
              <w:autoSpaceDN/>
              <w:adjustRightInd/>
              <w:jc w:val="center"/>
              <w:textAlignment w:val="auto"/>
              <w:rPr>
                <w:color w:val="000000" w:themeColor="text1"/>
              </w:rPr>
            </w:pPr>
            <w:r w:rsidRPr="002F50DB">
              <w:rPr>
                <w:color w:val="000000" w:themeColor="text1"/>
              </w:rPr>
              <w:t>612.00</w:t>
            </w:r>
          </w:p>
        </w:tc>
        <w:tc>
          <w:tcPr>
            <w:tcW w:w="1168" w:type="dxa"/>
            <w:tcBorders>
              <w:top w:val="nil"/>
              <w:left w:val="nil"/>
              <w:bottom w:val="single" w:color="auto" w:sz="4" w:space="0"/>
              <w:right w:val="single" w:color="auto" w:sz="4" w:space="0"/>
            </w:tcBorders>
            <w:shd w:val="clear" w:color="auto" w:fill="auto"/>
          </w:tcPr>
          <w:p w:rsidRPr="002F50DB" w:rsidR="002B0481" w:rsidP="005808A7" w:rsidRDefault="00064541" w14:paraId="4ED5634B" w14:textId="77777777">
            <w:pPr>
              <w:overflowPunct/>
              <w:autoSpaceDE/>
              <w:autoSpaceDN/>
              <w:adjustRightInd/>
              <w:jc w:val="center"/>
              <w:textAlignment w:val="auto"/>
              <w:rPr>
                <w:color w:val="000000" w:themeColor="text1"/>
              </w:rPr>
            </w:pPr>
            <w:r w:rsidRPr="002F50DB">
              <w:rPr>
                <w:color w:val="000000" w:themeColor="text1"/>
              </w:rPr>
              <w:t>2</w:t>
            </w:r>
            <w:r w:rsidRPr="002F50DB" w:rsidR="002B0481">
              <w:rPr>
                <w:color w:val="000000" w:themeColor="text1"/>
              </w:rPr>
              <w:t>.00</w:t>
            </w:r>
          </w:p>
        </w:tc>
        <w:tc>
          <w:tcPr>
            <w:tcW w:w="1170" w:type="dxa"/>
            <w:tcBorders>
              <w:top w:val="nil"/>
              <w:left w:val="nil"/>
              <w:bottom w:val="single" w:color="auto" w:sz="4" w:space="0"/>
              <w:right w:val="single" w:color="auto" w:sz="4" w:space="0"/>
            </w:tcBorders>
            <w:shd w:val="clear" w:color="auto" w:fill="auto"/>
          </w:tcPr>
          <w:p w:rsidRPr="002F50DB" w:rsidR="002B0481" w:rsidP="005808A7" w:rsidRDefault="00991178" w14:paraId="6B4F22FD" w14:textId="77777777">
            <w:pPr>
              <w:overflowPunct/>
              <w:autoSpaceDE/>
              <w:autoSpaceDN/>
              <w:adjustRightInd/>
              <w:jc w:val="center"/>
              <w:textAlignment w:val="auto"/>
              <w:rPr>
                <w:color w:val="000000" w:themeColor="text1"/>
              </w:rPr>
            </w:pPr>
            <w:r w:rsidRPr="002F50DB">
              <w:rPr>
                <w:color w:val="000000" w:themeColor="text1"/>
              </w:rPr>
              <w:t>1,224.</w:t>
            </w:r>
            <w:r w:rsidRPr="002F50DB" w:rsidR="002B0481">
              <w:rPr>
                <w:color w:val="000000" w:themeColor="text1"/>
              </w:rPr>
              <w:t>00</w:t>
            </w:r>
          </w:p>
        </w:tc>
        <w:tc>
          <w:tcPr>
            <w:tcW w:w="1080" w:type="dxa"/>
            <w:tcBorders>
              <w:top w:val="nil"/>
              <w:left w:val="nil"/>
              <w:bottom w:val="single" w:color="auto" w:sz="4" w:space="0"/>
              <w:right w:val="single" w:color="auto" w:sz="4" w:space="0"/>
            </w:tcBorders>
            <w:shd w:val="clear" w:color="auto" w:fill="auto"/>
          </w:tcPr>
          <w:p w:rsidRPr="002F50DB" w:rsidR="002B0481" w:rsidP="005808A7" w:rsidRDefault="00292B28" w14:paraId="55FE2F95" w14:textId="77777777">
            <w:pPr>
              <w:overflowPunct/>
              <w:autoSpaceDE/>
              <w:autoSpaceDN/>
              <w:adjustRightInd/>
              <w:jc w:val="center"/>
              <w:textAlignment w:val="auto"/>
              <w:rPr>
                <w:color w:val="000000" w:themeColor="text1"/>
              </w:rPr>
            </w:pPr>
            <w:r w:rsidRPr="002F50DB">
              <w:rPr>
                <w:color w:val="000000" w:themeColor="text1"/>
              </w:rPr>
              <w:t>1</w:t>
            </w:r>
            <w:r w:rsidRPr="002F50DB" w:rsidR="002B0481">
              <w:rPr>
                <w:color w:val="000000" w:themeColor="text1"/>
              </w:rPr>
              <w:t>.</w:t>
            </w:r>
            <w:r w:rsidRPr="002F50DB">
              <w:rPr>
                <w:color w:val="000000" w:themeColor="text1"/>
              </w:rPr>
              <w:t>0</w:t>
            </w:r>
            <w:r w:rsidRPr="002F50DB" w:rsidR="002B0481">
              <w:rPr>
                <w:color w:val="000000" w:themeColor="text1"/>
              </w:rPr>
              <w:t>0</w:t>
            </w:r>
          </w:p>
        </w:tc>
        <w:tc>
          <w:tcPr>
            <w:tcW w:w="1096" w:type="dxa"/>
            <w:tcBorders>
              <w:top w:val="nil"/>
              <w:left w:val="nil"/>
              <w:bottom w:val="single" w:color="auto" w:sz="4" w:space="0"/>
              <w:right w:val="single" w:color="auto" w:sz="4" w:space="0"/>
            </w:tcBorders>
            <w:shd w:val="clear" w:color="auto" w:fill="auto"/>
          </w:tcPr>
          <w:p w:rsidRPr="002F50DB" w:rsidR="002B0481" w:rsidP="005808A7" w:rsidRDefault="00991178" w14:paraId="137441B8" w14:textId="77777777">
            <w:pPr>
              <w:overflowPunct/>
              <w:autoSpaceDE/>
              <w:autoSpaceDN/>
              <w:adjustRightInd/>
              <w:jc w:val="center"/>
              <w:textAlignment w:val="auto"/>
              <w:rPr>
                <w:color w:val="000000" w:themeColor="text1"/>
              </w:rPr>
            </w:pPr>
            <w:r w:rsidRPr="002F50DB">
              <w:rPr>
                <w:color w:val="000000" w:themeColor="text1"/>
              </w:rPr>
              <w:t>1,224</w:t>
            </w:r>
            <w:r w:rsidRPr="002F50DB" w:rsidR="00292B28">
              <w:rPr>
                <w:color w:val="000000" w:themeColor="text1"/>
              </w:rPr>
              <w:t>.</w:t>
            </w:r>
            <w:r w:rsidRPr="002F50DB" w:rsidR="002B0481">
              <w:rPr>
                <w:color w:val="000000" w:themeColor="text1"/>
              </w:rPr>
              <w:t>00</w:t>
            </w:r>
          </w:p>
        </w:tc>
        <w:tc>
          <w:tcPr>
            <w:tcW w:w="884" w:type="dxa"/>
            <w:tcBorders>
              <w:top w:val="nil"/>
              <w:left w:val="nil"/>
              <w:bottom w:val="single" w:color="auto" w:sz="4" w:space="0"/>
              <w:right w:val="single" w:color="auto" w:sz="4" w:space="0"/>
            </w:tcBorders>
            <w:shd w:val="clear" w:color="auto" w:fill="auto"/>
          </w:tcPr>
          <w:p w:rsidRPr="002F50DB" w:rsidR="002B0481" w:rsidP="005808A7" w:rsidRDefault="002B0481" w14:paraId="6E09FA78" w14:textId="77777777">
            <w:pPr>
              <w:overflowPunct/>
              <w:autoSpaceDE/>
              <w:autoSpaceDN/>
              <w:adjustRightInd/>
              <w:jc w:val="center"/>
              <w:textAlignment w:val="auto"/>
              <w:rPr>
                <w:color w:val="000000" w:themeColor="text1"/>
              </w:rPr>
            </w:pPr>
            <w:r w:rsidRPr="002F50DB">
              <w:rPr>
                <w:color w:val="000000" w:themeColor="text1"/>
              </w:rPr>
              <w:t>51.00</w:t>
            </w:r>
          </w:p>
        </w:tc>
        <w:tc>
          <w:tcPr>
            <w:tcW w:w="1350" w:type="dxa"/>
            <w:tcBorders>
              <w:top w:val="nil"/>
              <w:left w:val="nil"/>
              <w:bottom w:val="single" w:color="auto" w:sz="4" w:space="0"/>
              <w:right w:val="single" w:color="auto" w:sz="4" w:space="0"/>
            </w:tcBorders>
            <w:shd w:val="clear" w:color="auto" w:fill="auto"/>
          </w:tcPr>
          <w:p w:rsidRPr="002F50DB" w:rsidR="002B0481" w:rsidP="005808A7" w:rsidRDefault="00E56E98" w14:paraId="0FDACA81" w14:textId="77777777">
            <w:pPr>
              <w:overflowPunct/>
              <w:autoSpaceDE/>
              <w:autoSpaceDN/>
              <w:adjustRightInd/>
              <w:jc w:val="center"/>
              <w:textAlignment w:val="auto"/>
              <w:rPr>
                <w:color w:val="000000" w:themeColor="text1"/>
              </w:rPr>
            </w:pPr>
            <w:r w:rsidRPr="002F50DB">
              <w:rPr>
                <w:color w:val="000000" w:themeColor="text1"/>
              </w:rPr>
              <w:t>$</w:t>
            </w:r>
            <w:r w:rsidRPr="002F50DB" w:rsidR="00FF4476">
              <w:rPr>
                <w:color w:val="000000" w:themeColor="text1"/>
              </w:rPr>
              <w:t>62</w:t>
            </w:r>
            <w:r w:rsidRPr="002F50DB" w:rsidR="00AF4429">
              <w:rPr>
                <w:color w:val="000000" w:themeColor="text1"/>
              </w:rPr>
              <w:t>,</w:t>
            </w:r>
            <w:r w:rsidRPr="002F50DB" w:rsidR="00FF4476">
              <w:rPr>
                <w:color w:val="000000" w:themeColor="text1"/>
              </w:rPr>
              <w:t>424</w:t>
            </w:r>
            <w:r w:rsidRPr="002F50DB" w:rsidR="00BC0835">
              <w:rPr>
                <w:color w:val="000000" w:themeColor="text1"/>
              </w:rPr>
              <w:t>.00</w:t>
            </w:r>
          </w:p>
        </w:tc>
      </w:tr>
      <w:tr w:rsidRPr="002F50DB" w:rsidR="002F50DB" w:rsidTr="00AF4429" w14:paraId="78BC039E" w14:textId="77777777">
        <w:trPr>
          <w:trHeight w:val="300"/>
        </w:trPr>
        <w:tc>
          <w:tcPr>
            <w:tcW w:w="2096" w:type="dxa"/>
            <w:tcBorders>
              <w:top w:val="nil"/>
              <w:left w:val="single" w:color="auto" w:sz="4" w:space="0"/>
              <w:bottom w:val="single" w:color="auto" w:sz="4" w:space="0"/>
              <w:right w:val="single" w:color="auto" w:sz="4" w:space="0"/>
            </w:tcBorders>
            <w:shd w:val="clear" w:color="auto" w:fill="auto"/>
          </w:tcPr>
          <w:p w:rsidRPr="002F50DB" w:rsidR="005808A7" w:rsidP="002B0481" w:rsidRDefault="002B0481" w14:paraId="65AC6ABA" w14:textId="77777777">
            <w:pPr>
              <w:overflowPunct/>
              <w:autoSpaceDE/>
              <w:autoSpaceDN/>
              <w:adjustRightInd/>
              <w:textAlignment w:val="auto"/>
              <w:rPr>
                <w:rFonts w:cs="Calibri"/>
                <w:b/>
                <w:bCs/>
                <w:color w:val="000000" w:themeColor="text1"/>
              </w:rPr>
            </w:pPr>
            <w:r w:rsidRPr="002F50DB">
              <w:rPr>
                <w:rFonts w:cs="Calibri"/>
                <w:b/>
                <w:bCs/>
                <w:color w:val="000000" w:themeColor="text1"/>
              </w:rPr>
              <w:t>Repair Escrow Debt Service - 223(f)</w:t>
            </w:r>
          </w:p>
          <w:p w:rsidRPr="002F50DB" w:rsidR="002B0481" w:rsidP="002B0481" w:rsidRDefault="005808A7" w14:paraId="2287418E" w14:textId="77777777">
            <w:pPr>
              <w:overflowPunct/>
              <w:autoSpaceDE/>
              <w:autoSpaceDN/>
              <w:adjustRightInd/>
              <w:textAlignment w:val="auto"/>
              <w:rPr>
                <w:color w:val="000000" w:themeColor="text1"/>
              </w:rPr>
            </w:pPr>
            <w:r w:rsidRPr="002F50DB">
              <w:rPr>
                <w:rFonts w:cs="Calibri"/>
                <w:b/>
                <w:bCs/>
                <w:color w:val="000000" w:themeColor="text1"/>
              </w:rPr>
              <w:t>{Existing Projects}</w:t>
            </w:r>
            <w:r w:rsidRPr="002F50DB" w:rsidR="002B0481">
              <w:rPr>
                <w:rFonts w:cs="Calibri"/>
                <w:b/>
                <w:bCs/>
                <w:color w:val="000000" w:themeColor="text1"/>
              </w:rPr>
              <w:t xml:space="preserve"> (no form number)</w:t>
            </w:r>
          </w:p>
        </w:tc>
        <w:tc>
          <w:tcPr>
            <w:tcW w:w="1341" w:type="dxa"/>
            <w:tcBorders>
              <w:top w:val="nil"/>
              <w:left w:val="nil"/>
              <w:bottom w:val="single" w:color="auto" w:sz="4" w:space="0"/>
              <w:right w:val="single" w:color="auto" w:sz="4" w:space="0"/>
            </w:tcBorders>
            <w:shd w:val="clear" w:color="auto" w:fill="auto"/>
          </w:tcPr>
          <w:p w:rsidRPr="002F50DB" w:rsidR="002B0481" w:rsidP="005808A7" w:rsidRDefault="002B0481" w14:paraId="39EAB236" w14:textId="77777777">
            <w:pPr>
              <w:overflowPunct/>
              <w:autoSpaceDE/>
              <w:autoSpaceDN/>
              <w:adjustRightInd/>
              <w:jc w:val="center"/>
              <w:textAlignment w:val="auto"/>
              <w:rPr>
                <w:color w:val="000000" w:themeColor="text1"/>
              </w:rPr>
            </w:pPr>
            <w:r w:rsidRPr="002F50DB">
              <w:rPr>
                <w:color w:val="000000" w:themeColor="text1"/>
              </w:rPr>
              <w:t>330.00</w:t>
            </w:r>
          </w:p>
        </w:tc>
        <w:tc>
          <w:tcPr>
            <w:tcW w:w="1168" w:type="dxa"/>
            <w:tcBorders>
              <w:top w:val="nil"/>
              <w:left w:val="nil"/>
              <w:bottom w:val="single" w:color="auto" w:sz="4" w:space="0"/>
              <w:right w:val="single" w:color="auto" w:sz="4" w:space="0"/>
            </w:tcBorders>
            <w:shd w:val="clear" w:color="auto" w:fill="auto"/>
          </w:tcPr>
          <w:p w:rsidRPr="002F50DB" w:rsidR="002B0481" w:rsidP="005808A7" w:rsidRDefault="002B0481" w14:paraId="7BC3A259" w14:textId="77777777">
            <w:pPr>
              <w:overflowPunct/>
              <w:autoSpaceDE/>
              <w:autoSpaceDN/>
              <w:adjustRightInd/>
              <w:jc w:val="center"/>
              <w:textAlignment w:val="auto"/>
              <w:rPr>
                <w:color w:val="000000" w:themeColor="text1"/>
              </w:rPr>
            </w:pPr>
            <w:r w:rsidRPr="002F50DB">
              <w:rPr>
                <w:color w:val="000000" w:themeColor="text1"/>
              </w:rPr>
              <w:t>1.00</w:t>
            </w:r>
          </w:p>
        </w:tc>
        <w:tc>
          <w:tcPr>
            <w:tcW w:w="1170" w:type="dxa"/>
            <w:tcBorders>
              <w:top w:val="nil"/>
              <w:left w:val="nil"/>
              <w:bottom w:val="single" w:color="auto" w:sz="4" w:space="0"/>
              <w:right w:val="single" w:color="auto" w:sz="4" w:space="0"/>
            </w:tcBorders>
            <w:shd w:val="clear" w:color="auto" w:fill="auto"/>
          </w:tcPr>
          <w:p w:rsidRPr="002F50DB" w:rsidR="002B0481" w:rsidP="005808A7" w:rsidRDefault="002B0481" w14:paraId="1B381D48" w14:textId="77777777">
            <w:pPr>
              <w:overflowPunct/>
              <w:autoSpaceDE/>
              <w:autoSpaceDN/>
              <w:adjustRightInd/>
              <w:jc w:val="center"/>
              <w:textAlignment w:val="auto"/>
              <w:rPr>
                <w:color w:val="000000" w:themeColor="text1"/>
              </w:rPr>
            </w:pPr>
            <w:r w:rsidRPr="002F50DB">
              <w:rPr>
                <w:color w:val="000000" w:themeColor="text1"/>
              </w:rPr>
              <w:t>330.00</w:t>
            </w:r>
          </w:p>
        </w:tc>
        <w:tc>
          <w:tcPr>
            <w:tcW w:w="1080" w:type="dxa"/>
            <w:tcBorders>
              <w:top w:val="nil"/>
              <w:left w:val="nil"/>
              <w:bottom w:val="single" w:color="auto" w:sz="4" w:space="0"/>
              <w:right w:val="single" w:color="auto" w:sz="4" w:space="0"/>
            </w:tcBorders>
            <w:shd w:val="clear" w:color="auto" w:fill="auto"/>
          </w:tcPr>
          <w:p w:rsidRPr="002F50DB" w:rsidR="002B0481" w:rsidP="005808A7" w:rsidRDefault="002B0481" w14:paraId="52C80AD4" w14:textId="77777777">
            <w:pPr>
              <w:overflowPunct/>
              <w:autoSpaceDE/>
              <w:autoSpaceDN/>
              <w:adjustRightInd/>
              <w:jc w:val="center"/>
              <w:textAlignment w:val="auto"/>
              <w:rPr>
                <w:color w:val="000000" w:themeColor="text1"/>
              </w:rPr>
            </w:pPr>
            <w:r w:rsidRPr="002F50DB">
              <w:rPr>
                <w:color w:val="000000" w:themeColor="text1"/>
              </w:rPr>
              <w:t>0.50</w:t>
            </w:r>
          </w:p>
        </w:tc>
        <w:tc>
          <w:tcPr>
            <w:tcW w:w="1096" w:type="dxa"/>
            <w:tcBorders>
              <w:top w:val="nil"/>
              <w:left w:val="nil"/>
              <w:bottom w:val="single" w:color="auto" w:sz="4" w:space="0"/>
              <w:right w:val="single" w:color="auto" w:sz="4" w:space="0"/>
            </w:tcBorders>
            <w:shd w:val="clear" w:color="auto" w:fill="auto"/>
          </w:tcPr>
          <w:p w:rsidRPr="002F50DB" w:rsidR="002B0481" w:rsidP="005808A7" w:rsidRDefault="002B0481" w14:paraId="5F543F48" w14:textId="77777777">
            <w:pPr>
              <w:overflowPunct/>
              <w:autoSpaceDE/>
              <w:autoSpaceDN/>
              <w:adjustRightInd/>
              <w:jc w:val="center"/>
              <w:textAlignment w:val="auto"/>
              <w:rPr>
                <w:color w:val="000000" w:themeColor="text1"/>
              </w:rPr>
            </w:pPr>
            <w:r w:rsidRPr="002F50DB">
              <w:rPr>
                <w:color w:val="000000" w:themeColor="text1"/>
              </w:rPr>
              <w:t>165.00</w:t>
            </w:r>
          </w:p>
        </w:tc>
        <w:tc>
          <w:tcPr>
            <w:tcW w:w="884" w:type="dxa"/>
            <w:tcBorders>
              <w:top w:val="nil"/>
              <w:left w:val="nil"/>
              <w:bottom w:val="single" w:color="auto" w:sz="4" w:space="0"/>
              <w:right w:val="single" w:color="auto" w:sz="4" w:space="0"/>
            </w:tcBorders>
            <w:shd w:val="clear" w:color="auto" w:fill="auto"/>
          </w:tcPr>
          <w:p w:rsidRPr="002F50DB" w:rsidR="002B0481" w:rsidP="005808A7" w:rsidRDefault="002B0481" w14:paraId="3E0C85F2" w14:textId="77777777">
            <w:pPr>
              <w:overflowPunct/>
              <w:autoSpaceDE/>
              <w:autoSpaceDN/>
              <w:adjustRightInd/>
              <w:jc w:val="center"/>
              <w:textAlignment w:val="auto"/>
              <w:rPr>
                <w:color w:val="000000" w:themeColor="text1"/>
              </w:rPr>
            </w:pPr>
            <w:r w:rsidRPr="002F50DB">
              <w:rPr>
                <w:color w:val="000000" w:themeColor="text1"/>
              </w:rPr>
              <w:t>51.00</w:t>
            </w:r>
          </w:p>
        </w:tc>
        <w:tc>
          <w:tcPr>
            <w:tcW w:w="1350" w:type="dxa"/>
            <w:tcBorders>
              <w:top w:val="nil"/>
              <w:left w:val="nil"/>
              <w:bottom w:val="single" w:color="auto" w:sz="4" w:space="0"/>
              <w:right w:val="single" w:color="auto" w:sz="4" w:space="0"/>
            </w:tcBorders>
            <w:shd w:val="clear" w:color="auto" w:fill="auto"/>
          </w:tcPr>
          <w:p w:rsidRPr="002F50DB" w:rsidR="002B0481" w:rsidP="005808A7" w:rsidRDefault="00E56E98" w14:paraId="017B7820" w14:textId="77777777">
            <w:pPr>
              <w:overflowPunct/>
              <w:autoSpaceDE/>
              <w:autoSpaceDN/>
              <w:adjustRightInd/>
              <w:jc w:val="center"/>
              <w:textAlignment w:val="auto"/>
              <w:rPr>
                <w:color w:val="000000" w:themeColor="text1"/>
              </w:rPr>
            </w:pPr>
            <w:r w:rsidRPr="002F50DB">
              <w:rPr>
                <w:color w:val="000000" w:themeColor="text1"/>
              </w:rPr>
              <w:t>$</w:t>
            </w:r>
            <w:r w:rsidRPr="002F50DB" w:rsidR="00AF4429">
              <w:rPr>
                <w:color w:val="000000" w:themeColor="text1"/>
              </w:rPr>
              <w:t>8,415</w:t>
            </w:r>
            <w:r w:rsidRPr="002F50DB" w:rsidR="00BC0835">
              <w:rPr>
                <w:color w:val="000000" w:themeColor="text1"/>
              </w:rPr>
              <w:t>.00</w:t>
            </w:r>
          </w:p>
        </w:tc>
      </w:tr>
      <w:tr w:rsidRPr="002F50DB" w:rsidR="002F50DB" w:rsidTr="00AF4429" w14:paraId="278326AA" w14:textId="77777777">
        <w:trPr>
          <w:trHeight w:val="300"/>
        </w:trPr>
        <w:tc>
          <w:tcPr>
            <w:tcW w:w="2096" w:type="dxa"/>
            <w:tcBorders>
              <w:top w:val="single" w:color="auto" w:sz="4" w:space="0"/>
              <w:left w:val="single" w:color="auto" w:sz="4" w:space="0"/>
              <w:bottom w:val="single" w:color="auto" w:sz="18" w:space="0"/>
              <w:right w:val="single" w:color="auto" w:sz="4" w:space="0"/>
            </w:tcBorders>
            <w:shd w:val="clear" w:color="auto" w:fill="auto"/>
          </w:tcPr>
          <w:p w:rsidRPr="002F50DB" w:rsidR="00AF4429" w:rsidP="002B0481" w:rsidRDefault="005808A7" w14:paraId="5FE3B3BE" w14:textId="77777777">
            <w:pPr>
              <w:overflowPunct/>
              <w:autoSpaceDE/>
              <w:autoSpaceDN/>
              <w:adjustRightInd/>
              <w:textAlignment w:val="auto"/>
              <w:rPr>
                <w:rFonts w:cs="Calibri"/>
                <w:b/>
                <w:bCs/>
                <w:color w:val="000000" w:themeColor="text1"/>
              </w:rPr>
            </w:pPr>
            <w:r w:rsidRPr="002F50DB">
              <w:rPr>
                <w:rFonts w:cs="Calibri"/>
                <w:b/>
                <w:bCs/>
                <w:color w:val="000000" w:themeColor="text1"/>
              </w:rPr>
              <w:t>T</w:t>
            </w:r>
            <w:r w:rsidRPr="002F50DB" w:rsidR="00AF4429">
              <w:rPr>
                <w:rFonts w:cs="Calibri"/>
                <w:b/>
                <w:bCs/>
                <w:color w:val="000000" w:themeColor="text1"/>
              </w:rPr>
              <w:t>otal</w:t>
            </w:r>
          </w:p>
        </w:tc>
        <w:tc>
          <w:tcPr>
            <w:tcW w:w="1341" w:type="dxa"/>
            <w:tcBorders>
              <w:top w:val="single" w:color="auto" w:sz="4" w:space="0"/>
              <w:left w:val="nil"/>
              <w:bottom w:val="single" w:color="auto" w:sz="18" w:space="0"/>
              <w:right w:val="single" w:color="auto" w:sz="4" w:space="0"/>
            </w:tcBorders>
            <w:shd w:val="clear" w:color="auto" w:fill="auto"/>
          </w:tcPr>
          <w:p w:rsidRPr="002F50DB" w:rsidR="00AF4429" w:rsidP="005808A7" w:rsidRDefault="005C632E" w14:paraId="3D736241" w14:textId="77777777">
            <w:pPr>
              <w:overflowPunct/>
              <w:autoSpaceDE/>
              <w:autoSpaceDN/>
              <w:adjustRightInd/>
              <w:jc w:val="center"/>
              <w:textAlignment w:val="auto"/>
              <w:rPr>
                <w:color w:val="000000" w:themeColor="text1"/>
              </w:rPr>
            </w:pPr>
            <w:r w:rsidRPr="002F50DB">
              <w:rPr>
                <w:color w:val="000000" w:themeColor="text1"/>
              </w:rPr>
              <w:t>942</w:t>
            </w:r>
          </w:p>
        </w:tc>
        <w:tc>
          <w:tcPr>
            <w:tcW w:w="1168" w:type="dxa"/>
            <w:tcBorders>
              <w:top w:val="single" w:color="auto" w:sz="4" w:space="0"/>
              <w:left w:val="nil"/>
              <w:bottom w:val="single" w:color="auto" w:sz="18" w:space="0"/>
              <w:right w:val="single" w:color="auto" w:sz="4" w:space="0"/>
            </w:tcBorders>
            <w:shd w:val="clear" w:color="auto" w:fill="auto"/>
          </w:tcPr>
          <w:p w:rsidRPr="002F50DB" w:rsidR="00AF4429" w:rsidP="005808A7" w:rsidRDefault="00AF4429" w14:paraId="0E8D367A" w14:textId="77777777">
            <w:pPr>
              <w:overflowPunct/>
              <w:autoSpaceDE/>
              <w:autoSpaceDN/>
              <w:adjustRightInd/>
              <w:jc w:val="center"/>
              <w:textAlignment w:val="auto"/>
              <w:rPr>
                <w:color w:val="000000" w:themeColor="text1"/>
              </w:rPr>
            </w:pPr>
          </w:p>
        </w:tc>
        <w:tc>
          <w:tcPr>
            <w:tcW w:w="1170" w:type="dxa"/>
            <w:tcBorders>
              <w:top w:val="single" w:color="auto" w:sz="4" w:space="0"/>
              <w:left w:val="nil"/>
              <w:bottom w:val="single" w:color="auto" w:sz="18" w:space="0"/>
              <w:right w:val="single" w:color="auto" w:sz="4" w:space="0"/>
            </w:tcBorders>
            <w:shd w:val="clear" w:color="auto" w:fill="auto"/>
          </w:tcPr>
          <w:p w:rsidRPr="002F50DB" w:rsidR="00AF4429" w:rsidP="005808A7" w:rsidRDefault="005C632E" w14:paraId="5A6F9825" w14:textId="77777777">
            <w:pPr>
              <w:overflowPunct/>
              <w:autoSpaceDE/>
              <w:autoSpaceDN/>
              <w:adjustRightInd/>
              <w:jc w:val="center"/>
              <w:textAlignment w:val="auto"/>
              <w:rPr>
                <w:color w:val="000000" w:themeColor="text1"/>
              </w:rPr>
            </w:pPr>
            <w:r w:rsidRPr="002F50DB">
              <w:rPr>
                <w:color w:val="000000" w:themeColor="text1"/>
              </w:rPr>
              <w:t>1,554</w:t>
            </w:r>
          </w:p>
        </w:tc>
        <w:tc>
          <w:tcPr>
            <w:tcW w:w="1080" w:type="dxa"/>
            <w:tcBorders>
              <w:top w:val="single" w:color="auto" w:sz="4" w:space="0"/>
              <w:left w:val="nil"/>
              <w:bottom w:val="single" w:color="auto" w:sz="18" w:space="0"/>
              <w:right w:val="single" w:color="auto" w:sz="4" w:space="0"/>
            </w:tcBorders>
            <w:shd w:val="clear" w:color="auto" w:fill="auto"/>
          </w:tcPr>
          <w:p w:rsidRPr="002F50DB" w:rsidR="00AF4429" w:rsidP="005808A7" w:rsidRDefault="00AF4429" w14:paraId="062CBBA1" w14:textId="77777777">
            <w:pPr>
              <w:overflowPunct/>
              <w:autoSpaceDE/>
              <w:autoSpaceDN/>
              <w:adjustRightInd/>
              <w:jc w:val="center"/>
              <w:textAlignment w:val="auto"/>
              <w:rPr>
                <w:color w:val="000000" w:themeColor="text1"/>
              </w:rPr>
            </w:pPr>
          </w:p>
        </w:tc>
        <w:tc>
          <w:tcPr>
            <w:tcW w:w="1096" w:type="dxa"/>
            <w:tcBorders>
              <w:top w:val="single" w:color="auto" w:sz="4" w:space="0"/>
              <w:left w:val="nil"/>
              <w:bottom w:val="single" w:color="auto" w:sz="18" w:space="0"/>
              <w:right w:val="single" w:color="auto" w:sz="4" w:space="0"/>
            </w:tcBorders>
            <w:shd w:val="clear" w:color="auto" w:fill="auto"/>
          </w:tcPr>
          <w:p w:rsidRPr="002F50DB" w:rsidR="00AF4429" w:rsidP="005808A7" w:rsidRDefault="005C632E" w14:paraId="7D26D073" w14:textId="77777777">
            <w:pPr>
              <w:overflowPunct/>
              <w:autoSpaceDE/>
              <w:autoSpaceDN/>
              <w:adjustRightInd/>
              <w:jc w:val="center"/>
              <w:textAlignment w:val="auto"/>
              <w:rPr>
                <w:color w:val="000000" w:themeColor="text1"/>
              </w:rPr>
            </w:pPr>
            <w:r w:rsidRPr="002F50DB">
              <w:rPr>
                <w:color w:val="000000" w:themeColor="text1"/>
              </w:rPr>
              <w:t>1,389</w:t>
            </w:r>
          </w:p>
        </w:tc>
        <w:tc>
          <w:tcPr>
            <w:tcW w:w="884" w:type="dxa"/>
            <w:tcBorders>
              <w:top w:val="single" w:color="auto" w:sz="4" w:space="0"/>
              <w:left w:val="nil"/>
              <w:bottom w:val="single" w:color="auto" w:sz="18" w:space="0"/>
              <w:right w:val="single" w:color="auto" w:sz="4" w:space="0"/>
            </w:tcBorders>
            <w:shd w:val="clear" w:color="auto" w:fill="auto"/>
          </w:tcPr>
          <w:p w:rsidRPr="002F50DB" w:rsidR="00AF4429" w:rsidP="005808A7" w:rsidRDefault="00AF4429" w14:paraId="5517B81F" w14:textId="77777777">
            <w:pPr>
              <w:overflowPunct/>
              <w:autoSpaceDE/>
              <w:autoSpaceDN/>
              <w:adjustRightInd/>
              <w:jc w:val="center"/>
              <w:textAlignment w:val="auto"/>
              <w:rPr>
                <w:color w:val="000000" w:themeColor="text1"/>
              </w:rPr>
            </w:pPr>
          </w:p>
        </w:tc>
        <w:tc>
          <w:tcPr>
            <w:tcW w:w="1350" w:type="dxa"/>
            <w:tcBorders>
              <w:top w:val="single" w:color="auto" w:sz="4" w:space="0"/>
              <w:left w:val="nil"/>
              <w:bottom w:val="single" w:color="auto" w:sz="18" w:space="0"/>
              <w:right w:val="single" w:color="auto" w:sz="4" w:space="0"/>
            </w:tcBorders>
            <w:shd w:val="clear" w:color="auto" w:fill="auto"/>
          </w:tcPr>
          <w:p w:rsidRPr="002F50DB" w:rsidR="00AF4429" w:rsidP="005808A7" w:rsidRDefault="005808A7" w14:paraId="09FF7048" w14:textId="77777777">
            <w:pPr>
              <w:overflowPunct/>
              <w:autoSpaceDE/>
              <w:autoSpaceDN/>
              <w:adjustRightInd/>
              <w:jc w:val="center"/>
              <w:textAlignment w:val="auto"/>
              <w:rPr>
                <w:color w:val="000000" w:themeColor="text1"/>
              </w:rPr>
            </w:pPr>
            <w:r w:rsidRPr="002F50DB">
              <w:rPr>
                <w:color w:val="000000" w:themeColor="text1"/>
              </w:rPr>
              <w:t>$</w:t>
            </w:r>
            <w:r w:rsidRPr="002F50DB" w:rsidR="005C632E">
              <w:rPr>
                <w:color w:val="000000" w:themeColor="text1"/>
              </w:rPr>
              <w:t>70,839</w:t>
            </w:r>
          </w:p>
        </w:tc>
      </w:tr>
    </w:tbl>
    <w:p w:rsidRPr="002F50DB" w:rsidR="00854015" w:rsidRDefault="00854015" w14:paraId="6D6F1D8C" w14:textId="77777777">
      <w:pPr>
        <w:pStyle w:val="BodyTextIndent"/>
        <w:ind w:left="720"/>
        <w:rPr>
          <w:b/>
          <w:color w:val="000000" w:themeColor="text1"/>
        </w:rPr>
      </w:pPr>
    </w:p>
    <w:p w:rsidRPr="002F50DB" w:rsidR="00854015" w:rsidRDefault="00854015" w14:paraId="5ACD833C" w14:textId="77777777">
      <w:pPr>
        <w:keepLines/>
        <w:tabs>
          <w:tab w:val="left" w:pos="360"/>
        </w:tabs>
        <w:spacing w:after="80"/>
        <w:ind w:left="360" w:hanging="360"/>
        <w:rPr>
          <w:color w:val="000000" w:themeColor="text1"/>
          <w:sz w:val="18"/>
        </w:rPr>
      </w:pPr>
      <w:r w:rsidRPr="002F50DB">
        <w:rPr>
          <w:b/>
          <w:color w:val="000000" w:themeColor="text1"/>
          <w:sz w:val="18"/>
        </w:rPr>
        <w:t>15.</w:t>
      </w:r>
      <w:r w:rsidRPr="002F50DB">
        <w:rPr>
          <w:b/>
          <w:color w:val="000000" w:themeColor="text1"/>
          <w:sz w:val="18"/>
        </w:rPr>
        <w:tab/>
        <w:t>Explain the reasons for any program changes or adjustments reported in Items 13 and 14 of the OMB Form 83-I.</w:t>
      </w:r>
    </w:p>
    <w:p w:rsidRPr="002F50DB" w:rsidR="00F10026" w:rsidP="005473A2" w:rsidRDefault="00714394" w14:paraId="19308CE9" w14:textId="0444683A">
      <w:pPr>
        <w:keepLines/>
        <w:tabs>
          <w:tab w:val="left" w:pos="360"/>
          <w:tab w:val="left" w:pos="720"/>
        </w:tabs>
        <w:ind w:left="360"/>
        <w:rPr>
          <w:i/>
          <w:iCs/>
          <w:color w:val="000000" w:themeColor="text1"/>
        </w:rPr>
      </w:pPr>
      <w:r w:rsidRPr="002F50DB">
        <w:rPr>
          <w:i/>
          <w:iCs/>
          <w:color w:val="000000" w:themeColor="text1"/>
        </w:rPr>
        <w:t xml:space="preserve">This is a </w:t>
      </w:r>
      <w:r w:rsidR="00495E45">
        <w:rPr>
          <w:i/>
          <w:iCs/>
          <w:color w:val="000000" w:themeColor="text1"/>
        </w:rPr>
        <w:t xml:space="preserve">revision </w:t>
      </w:r>
      <w:r w:rsidRPr="002F50DB" w:rsidR="00F10026">
        <w:rPr>
          <w:i/>
          <w:iCs/>
          <w:color w:val="000000" w:themeColor="text1"/>
        </w:rPr>
        <w:t xml:space="preserve">request </w:t>
      </w:r>
      <w:r w:rsidR="00495E45">
        <w:rPr>
          <w:i/>
          <w:iCs/>
          <w:color w:val="000000" w:themeColor="text1"/>
        </w:rPr>
        <w:t>of a currently</w:t>
      </w:r>
      <w:r w:rsidRPr="002F50DB" w:rsidR="00F10026">
        <w:rPr>
          <w:i/>
          <w:iCs/>
          <w:color w:val="000000" w:themeColor="text1"/>
        </w:rPr>
        <w:t xml:space="preserve"> approv</w:t>
      </w:r>
      <w:r w:rsidR="00495E45">
        <w:rPr>
          <w:i/>
          <w:iCs/>
          <w:color w:val="000000" w:themeColor="text1"/>
        </w:rPr>
        <w:t xml:space="preserve">ed </w:t>
      </w:r>
      <w:r w:rsidRPr="002F50DB" w:rsidR="00F10026">
        <w:rPr>
          <w:i/>
          <w:iCs/>
          <w:color w:val="000000" w:themeColor="text1"/>
        </w:rPr>
        <w:t xml:space="preserve">information collection.  This collection </w:t>
      </w:r>
      <w:r w:rsidR="00495E45">
        <w:rPr>
          <w:i/>
          <w:iCs/>
          <w:color w:val="000000" w:themeColor="text1"/>
        </w:rPr>
        <w:t>was</w:t>
      </w:r>
      <w:r w:rsidRPr="002F50DB" w:rsidR="00F10026">
        <w:rPr>
          <w:i/>
          <w:iCs/>
          <w:color w:val="000000" w:themeColor="text1"/>
        </w:rPr>
        <w:t xml:space="preserve"> established in response to the current COVID19 pandemic.  The collection will serve the purpose of addressing </w:t>
      </w:r>
      <w:r w:rsidRPr="002F50DB">
        <w:rPr>
          <w:i/>
          <w:iCs/>
          <w:color w:val="000000" w:themeColor="text1"/>
        </w:rPr>
        <w:t xml:space="preserve">situational </w:t>
      </w:r>
      <w:r w:rsidRPr="002F50DB" w:rsidR="00F10026">
        <w:rPr>
          <w:i/>
          <w:iCs/>
          <w:color w:val="000000" w:themeColor="text1"/>
        </w:rPr>
        <w:t xml:space="preserve">conditions to accommodate collections for multifamily programs impacted by unforeseen circumstances associated with COVID19 and </w:t>
      </w:r>
      <w:r w:rsidRPr="002F50DB" w:rsidR="00F633ED">
        <w:rPr>
          <w:i/>
          <w:iCs/>
          <w:color w:val="000000" w:themeColor="text1"/>
        </w:rPr>
        <w:t xml:space="preserve">other </w:t>
      </w:r>
      <w:r w:rsidRPr="002F50DB" w:rsidR="00F10026">
        <w:rPr>
          <w:i/>
          <w:iCs/>
          <w:color w:val="000000" w:themeColor="text1"/>
        </w:rPr>
        <w:t>related situations</w:t>
      </w:r>
      <w:r w:rsidRPr="002F50DB" w:rsidR="00F633ED">
        <w:rPr>
          <w:i/>
          <w:iCs/>
          <w:color w:val="000000" w:themeColor="text1"/>
        </w:rPr>
        <w:t xml:space="preserve"> in the future as the need may be</w:t>
      </w:r>
      <w:r w:rsidRPr="002F50DB" w:rsidR="00F10026">
        <w:rPr>
          <w:i/>
          <w:iCs/>
          <w:color w:val="000000" w:themeColor="text1"/>
        </w:rPr>
        <w:t xml:space="preserve">. </w:t>
      </w:r>
    </w:p>
    <w:p w:rsidRPr="002F50DB" w:rsidR="00F10026" w:rsidP="005473A2" w:rsidRDefault="00F10026" w14:paraId="769A80A3" w14:textId="77777777">
      <w:pPr>
        <w:keepLines/>
        <w:tabs>
          <w:tab w:val="left" w:pos="360"/>
          <w:tab w:val="left" w:pos="720"/>
        </w:tabs>
        <w:ind w:left="360"/>
        <w:rPr>
          <w:i/>
          <w:iCs/>
          <w:color w:val="000000" w:themeColor="text1"/>
        </w:rPr>
      </w:pPr>
    </w:p>
    <w:p w:rsidRPr="002F50DB" w:rsidR="005473A2" w:rsidP="005473A2" w:rsidRDefault="00714394" w14:paraId="2045DDAF" w14:textId="0C99BE4C">
      <w:pPr>
        <w:keepLines/>
        <w:tabs>
          <w:tab w:val="left" w:pos="360"/>
          <w:tab w:val="left" w:pos="720"/>
        </w:tabs>
        <w:ind w:left="360"/>
        <w:rPr>
          <w:color w:val="000000" w:themeColor="text1"/>
        </w:rPr>
      </w:pPr>
      <w:r w:rsidRPr="002F50DB">
        <w:rPr>
          <w:i/>
          <w:iCs/>
          <w:color w:val="000000" w:themeColor="text1"/>
        </w:rPr>
        <w:t>Th</w:t>
      </w:r>
      <w:r w:rsidR="00495E45">
        <w:rPr>
          <w:i/>
          <w:iCs/>
          <w:color w:val="000000" w:themeColor="text1"/>
        </w:rPr>
        <w:t xml:space="preserve">e collection </w:t>
      </w:r>
      <w:r w:rsidRPr="002F50DB" w:rsidR="00F10026">
        <w:rPr>
          <w:i/>
          <w:iCs/>
          <w:color w:val="000000" w:themeColor="text1"/>
        </w:rPr>
        <w:t xml:space="preserve">involves </w:t>
      </w:r>
      <w:r w:rsidRPr="002F50DB">
        <w:rPr>
          <w:i/>
          <w:iCs/>
          <w:color w:val="000000" w:themeColor="text1"/>
        </w:rPr>
        <w:t>two new temporary closing forms to conduct electronic closings on all closing types and to set up</w:t>
      </w:r>
      <w:r w:rsidRPr="002F50DB" w:rsidR="00064541">
        <w:rPr>
          <w:i/>
          <w:iCs/>
          <w:color w:val="000000" w:themeColor="text1"/>
        </w:rPr>
        <w:t xml:space="preserve"> a</w:t>
      </w:r>
      <w:r w:rsidRPr="002F50DB">
        <w:rPr>
          <w:i/>
          <w:iCs/>
          <w:color w:val="000000" w:themeColor="text1"/>
        </w:rPr>
        <w:t xml:space="preserve"> debt service escrow for FHA-insured mortgage closings for</w:t>
      </w:r>
      <w:r w:rsidRPr="002F50DB" w:rsidR="00064541">
        <w:rPr>
          <w:i/>
          <w:iCs/>
          <w:color w:val="000000" w:themeColor="text1"/>
        </w:rPr>
        <w:t xml:space="preserve"> </w:t>
      </w:r>
      <w:r w:rsidRPr="002F50DB">
        <w:rPr>
          <w:i/>
          <w:iCs/>
          <w:color w:val="000000" w:themeColor="text1"/>
        </w:rPr>
        <w:t>Section 223(f)</w:t>
      </w:r>
      <w:r w:rsidRPr="002F50DB" w:rsidR="00064541">
        <w:rPr>
          <w:i/>
          <w:iCs/>
          <w:color w:val="000000" w:themeColor="text1"/>
        </w:rPr>
        <w:t xml:space="preserve"> market rate refinances</w:t>
      </w:r>
      <w:r w:rsidRPr="002F50DB">
        <w:rPr>
          <w:i/>
          <w:iCs/>
          <w:color w:val="000000" w:themeColor="text1"/>
        </w:rPr>
        <w:t xml:space="preserve">.  This relates to </w:t>
      </w:r>
      <w:r w:rsidRPr="002F50DB">
        <w:rPr>
          <w:i/>
          <w:iCs/>
          <w:color w:val="000000" w:themeColor="text1"/>
          <w:spacing w:val="-4"/>
        </w:rPr>
        <w:t>the current COVID-19 Coronavirus outbreak and the Presidential declaration that declared a national emergency.  While HUD offices remain open for business, employees are now engaged in full-time telework and closing</w:t>
      </w:r>
      <w:r w:rsidRPr="002F50DB" w:rsidR="00064541">
        <w:rPr>
          <w:i/>
          <w:iCs/>
          <w:color w:val="000000" w:themeColor="text1"/>
          <w:spacing w:val="-4"/>
        </w:rPr>
        <w:t>s</w:t>
      </w:r>
      <w:r w:rsidRPr="002F50DB">
        <w:rPr>
          <w:i/>
          <w:iCs/>
          <w:color w:val="000000" w:themeColor="text1"/>
          <w:spacing w:val="-4"/>
        </w:rPr>
        <w:t xml:space="preserve"> are </w:t>
      </w:r>
      <w:r w:rsidRPr="002F50DB" w:rsidR="00064541">
        <w:rPr>
          <w:i/>
          <w:iCs/>
          <w:color w:val="000000" w:themeColor="text1"/>
          <w:spacing w:val="-4"/>
        </w:rPr>
        <w:t xml:space="preserve">being </w:t>
      </w:r>
      <w:r w:rsidRPr="002F50DB">
        <w:rPr>
          <w:i/>
          <w:iCs/>
          <w:color w:val="000000" w:themeColor="text1"/>
          <w:spacing w:val="-4"/>
        </w:rPr>
        <w:t xml:space="preserve">conducted electronically. </w:t>
      </w:r>
      <w:r w:rsidRPr="002F50DB">
        <w:rPr>
          <w:i/>
          <w:iCs/>
          <w:color w:val="000000" w:themeColor="text1"/>
        </w:rPr>
        <w:t>Therefore, the current collection’s burden hours and cost will</w:t>
      </w:r>
      <w:r w:rsidRPr="002F50DB" w:rsidR="00064541">
        <w:rPr>
          <w:i/>
          <w:iCs/>
          <w:color w:val="000000" w:themeColor="text1"/>
        </w:rPr>
        <w:t xml:space="preserve"> </w:t>
      </w:r>
      <w:r w:rsidRPr="002F50DB">
        <w:rPr>
          <w:i/>
          <w:iCs/>
          <w:color w:val="000000" w:themeColor="text1"/>
        </w:rPr>
        <w:t xml:space="preserve">increase </w:t>
      </w:r>
      <w:r w:rsidRPr="002F50DB" w:rsidR="00064541">
        <w:rPr>
          <w:i/>
          <w:iCs/>
          <w:color w:val="000000" w:themeColor="text1"/>
        </w:rPr>
        <w:t>by 2</w:t>
      </w:r>
      <w:r w:rsidRPr="002F50DB">
        <w:rPr>
          <w:i/>
          <w:iCs/>
          <w:color w:val="000000" w:themeColor="text1"/>
        </w:rPr>
        <w:t>.0 hours as reported in line 13 and 14 of the OMB Form 83-I.</w:t>
      </w:r>
      <w:r w:rsidRPr="002F50DB" w:rsidR="005473A2">
        <w:rPr>
          <w:color w:val="000000" w:themeColor="text1"/>
        </w:rPr>
        <w:t xml:space="preserve"> </w:t>
      </w:r>
    </w:p>
    <w:p w:rsidRPr="002F50DB" w:rsidR="00854015" w:rsidRDefault="00854015" w14:paraId="33564EC7" w14:textId="77777777">
      <w:pPr>
        <w:tabs>
          <w:tab w:val="left" w:pos="360"/>
        </w:tabs>
        <w:ind w:left="360" w:hanging="360"/>
        <w:rPr>
          <w:color w:val="000000" w:themeColor="text1"/>
          <w:sz w:val="18"/>
        </w:rPr>
      </w:pPr>
    </w:p>
    <w:p w:rsidRPr="002F50DB" w:rsidR="00854015" w:rsidRDefault="00854015" w14:paraId="1118F7B8" w14:textId="77777777">
      <w:pPr>
        <w:keepLines/>
        <w:tabs>
          <w:tab w:val="left" w:pos="360"/>
        </w:tabs>
        <w:spacing w:after="80"/>
        <w:ind w:left="360" w:hanging="360"/>
        <w:rPr>
          <w:b/>
          <w:color w:val="000000" w:themeColor="text1"/>
          <w:sz w:val="18"/>
        </w:rPr>
      </w:pPr>
      <w:r w:rsidRPr="002F50DB">
        <w:rPr>
          <w:b/>
          <w:color w:val="000000" w:themeColor="text1"/>
          <w:sz w:val="18"/>
        </w:rPr>
        <w:t>16.</w:t>
      </w:r>
      <w:r w:rsidRPr="002F50DB">
        <w:rPr>
          <w:b/>
          <w:color w:val="000000" w:themeColor="text1"/>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F50DB" w:rsidR="00854015" w:rsidRDefault="00854015" w14:paraId="05E41601" w14:textId="77777777">
      <w:pPr>
        <w:keepLines/>
        <w:tabs>
          <w:tab w:val="left" w:pos="360"/>
          <w:tab w:val="left" w:pos="720"/>
        </w:tabs>
        <w:ind w:left="576"/>
        <w:rPr>
          <w:i/>
          <w:iCs/>
          <w:color w:val="000000" w:themeColor="text1"/>
          <w:sz w:val="16"/>
          <w:szCs w:val="18"/>
        </w:rPr>
      </w:pPr>
      <w:r w:rsidRPr="002F50DB">
        <w:rPr>
          <w:i/>
          <w:iCs/>
          <w:color w:val="000000" w:themeColor="text1"/>
          <w:szCs w:val="18"/>
        </w:rPr>
        <w:t>The information</w:t>
      </w:r>
      <w:r w:rsidRPr="002F50DB" w:rsidR="00DA353F">
        <w:rPr>
          <w:i/>
          <w:iCs/>
          <w:color w:val="000000" w:themeColor="text1"/>
          <w:szCs w:val="18"/>
        </w:rPr>
        <w:t xml:space="preserve"> </w:t>
      </w:r>
      <w:r w:rsidRPr="002F50DB">
        <w:rPr>
          <w:i/>
          <w:iCs/>
          <w:color w:val="000000" w:themeColor="text1"/>
          <w:szCs w:val="18"/>
        </w:rPr>
        <w:t>will not be published.</w:t>
      </w:r>
      <w:r w:rsidRPr="002F50DB">
        <w:rPr>
          <w:i/>
          <w:iCs/>
          <w:color w:val="000000" w:themeColor="text1"/>
          <w:sz w:val="16"/>
          <w:szCs w:val="18"/>
        </w:rPr>
        <w:t xml:space="preserve"> </w:t>
      </w:r>
    </w:p>
    <w:p w:rsidRPr="002F50DB" w:rsidR="00854015" w:rsidRDefault="00854015" w14:paraId="1A2CD4C5" w14:textId="77777777">
      <w:pPr>
        <w:tabs>
          <w:tab w:val="left" w:pos="360"/>
        </w:tabs>
        <w:ind w:left="360" w:hanging="360"/>
        <w:rPr>
          <w:color w:val="000000" w:themeColor="text1"/>
          <w:sz w:val="18"/>
        </w:rPr>
      </w:pPr>
    </w:p>
    <w:p w:rsidRPr="002F50DB" w:rsidR="00854015" w:rsidRDefault="00854015" w14:paraId="44EB4A14" w14:textId="77777777">
      <w:pPr>
        <w:keepLines/>
        <w:tabs>
          <w:tab w:val="left" w:pos="360"/>
        </w:tabs>
        <w:spacing w:after="80"/>
        <w:ind w:left="360" w:hanging="360"/>
        <w:rPr>
          <w:b/>
          <w:color w:val="000000" w:themeColor="text1"/>
          <w:sz w:val="18"/>
        </w:rPr>
      </w:pPr>
      <w:r w:rsidRPr="002F50DB">
        <w:rPr>
          <w:b/>
          <w:color w:val="000000" w:themeColor="text1"/>
          <w:sz w:val="18"/>
        </w:rPr>
        <w:t>17.</w:t>
      </w:r>
      <w:r w:rsidRPr="002F50DB">
        <w:rPr>
          <w:b/>
          <w:color w:val="000000" w:themeColor="text1"/>
          <w:sz w:val="18"/>
        </w:rPr>
        <w:tab/>
        <w:t>If seeking approval to not display the expiration date for OMB approval of the information collection, explain the reasons that display would be inappropriate.</w:t>
      </w:r>
    </w:p>
    <w:p w:rsidRPr="002F50DB" w:rsidR="00854015" w:rsidRDefault="00854015" w14:paraId="1185CA2B" w14:textId="77777777">
      <w:pPr>
        <w:keepLines/>
        <w:tabs>
          <w:tab w:val="left" w:pos="360"/>
          <w:tab w:val="left" w:pos="720"/>
        </w:tabs>
        <w:ind w:left="576"/>
        <w:rPr>
          <w:i/>
          <w:iCs/>
          <w:color w:val="000000" w:themeColor="text1"/>
          <w:sz w:val="16"/>
          <w:szCs w:val="18"/>
        </w:rPr>
      </w:pPr>
      <w:r w:rsidRPr="002F50DB">
        <w:rPr>
          <w:i/>
          <w:iCs/>
          <w:color w:val="000000" w:themeColor="text1"/>
          <w:szCs w:val="18"/>
        </w:rPr>
        <w:t>There is no request to not display the expiration date.</w:t>
      </w:r>
      <w:r w:rsidRPr="002F50DB">
        <w:rPr>
          <w:i/>
          <w:iCs/>
          <w:color w:val="000000" w:themeColor="text1"/>
          <w:sz w:val="16"/>
          <w:szCs w:val="18"/>
        </w:rPr>
        <w:t xml:space="preserve"> </w:t>
      </w:r>
    </w:p>
    <w:p w:rsidRPr="002F50DB" w:rsidR="00854015" w:rsidRDefault="00854015" w14:paraId="54A9927C" w14:textId="77777777">
      <w:pPr>
        <w:tabs>
          <w:tab w:val="left" w:pos="360"/>
        </w:tabs>
        <w:ind w:left="360" w:hanging="360"/>
        <w:rPr>
          <w:color w:val="000000" w:themeColor="text1"/>
          <w:sz w:val="18"/>
        </w:rPr>
      </w:pPr>
    </w:p>
    <w:p w:rsidRPr="002F50DB" w:rsidR="00854015" w:rsidRDefault="00854015" w14:paraId="0865881A" w14:textId="77777777">
      <w:pPr>
        <w:keepLines/>
        <w:tabs>
          <w:tab w:val="left" w:pos="360"/>
        </w:tabs>
        <w:spacing w:after="80"/>
        <w:ind w:left="360" w:hanging="360"/>
        <w:rPr>
          <w:rFonts w:ascii="Courier" w:hAnsi="Courier"/>
          <w:b/>
          <w:color w:val="000000" w:themeColor="text1"/>
        </w:rPr>
      </w:pPr>
      <w:r w:rsidRPr="002F50DB">
        <w:rPr>
          <w:b/>
          <w:color w:val="000000" w:themeColor="text1"/>
          <w:sz w:val="18"/>
        </w:rPr>
        <w:t>18.</w:t>
      </w:r>
      <w:r w:rsidRPr="002F50DB">
        <w:rPr>
          <w:b/>
          <w:color w:val="000000" w:themeColor="text1"/>
          <w:sz w:val="18"/>
        </w:rPr>
        <w:tab/>
        <w:t>Explain each exception to the certification statement identified in item 19.</w:t>
      </w:r>
    </w:p>
    <w:p w:rsidRPr="002F50DB" w:rsidR="00854015" w:rsidRDefault="00854015" w14:paraId="3A22F3E2" w14:textId="77777777">
      <w:pPr>
        <w:keepLines/>
        <w:tabs>
          <w:tab w:val="left" w:pos="360"/>
          <w:tab w:val="left" w:pos="720"/>
        </w:tabs>
        <w:ind w:left="576"/>
        <w:rPr>
          <w:i/>
          <w:iCs/>
          <w:color w:val="000000" w:themeColor="text1"/>
          <w:sz w:val="18"/>
          <w:szCs w:val="18"/>
        </w:rPr>
      </w:pPr>
      <w:r w:rsidRPr="002F50DB">
        <w:rPr>
          <w:i/>
          <w:iCs/>
          <w:color w:val="000000" w:themeColor="text1"/>
          <w:szCs w:val="18"/>
        </w:rPr>
        <w:t>There are no exceptions to the certification statement identified in item 19.</w:t>
      </w:r>
      <w:r w:rsidRPr="002F50DB">
        <w:rPr>
          <w:i/>
          <w:iCs/>
          <w:color w:val="000000" w:themeColor="text1"/>
          <w:sz w:val="18"/>
          <w:szCs w:val="18"/>
        </w:rPr>
        <w:t xml:space="preserve"> </w:t>
      </w:r>
    </w:p>
    <w:p w:rsidRPr="002F50DB" w:rsidR="00854015" w:rsidRDefault="00854015" w14:paraId="69F305E8" w14:textId="77777777">
      <w:pPr>
        <w:tabs>
          <w:tab w:val="left" w:pos="360"/>
          <w:tab w:val="left" w:pos="720"/>
        </w:tabs>
        <w:rPr>
          <w:color w:val="000000" w:themeColor="text1"/>
        </w:rPr>
      </w:pPr>
    </w:p>
    <w:p w:rsidRPr="002F50DB" w:rsidR="00854015" w:rsidRDefault="00854015" w14:paraId="2B368932"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themeColor="text1"/>
          <w:sz w:val="18"/>
        </w:rPr>
      </w:pPr>
      <w:r w:rsidRPr="002F50DB">
        <w:rPr>
          <w:rFonts w:ascii="Helvetica" w:hAnsi="Helvetica"/>
          <w:b/>
          <w:color w:val="000000" w:themeColor="text1"/>
          <w:sz w:val="18"/>
        </w:rPr>
        <w:t xml:space="preserve">B. </w:t>
      </w:r>
      <w:r w:rsidRPr="002F50DB">
        <w:rPr>
          <w:rFonts w:ascii="Helvetica" w:hAnsi="Helvetica"/>
          <w:b/>
          <w:color w:val="000000" w:themeColor="text1"/>
          <w:sz w:val="18"/>
        </w:rPr>
        <w:tab/>
        <w:t>Collections of Information Employing Statistical Methods</w:t>
      </w:r>
    </w:p>
    <w:p w:rsidRPr="002F50DB" w:rsidR="00854015" w:rsidRDefault="00854015" w14:paraId="663A1CED"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themeColor="text1"/>
          <w:sz w:val="18"/>
        </w:rPr>
      </w:pPr>
    </w:p>
    <w:p w:rsidRPr="002F50DB" w:rsidR="00854015" w:rsidRDefault="00854015" w14:paraId="5E74A12A" w14:textId="77777777">
      <w:pPr>
        <w:pStyle w:val="BodyTextIndent3"/>
        <w:tabs>
          <w:tab w:val="left" w:pos="720"/>
        </w:tabs>
        <w:spacing w:after="0"/>
        <w:ind w:left="576"/>
        <w:rPr>
          <w:color w:val="000000" w:themeColor="text1"/>
          <w:sz w:val="16"/>
          <w:szCs w:val="18"/>
        </w:rPr>
      </w:pPr>
      <w:r w:rsidRPr="002F50DB">
        <w:rPr>
          <w:i/>
          <w:iCs/>
          <w:color w:val="000000" w:themeColor="text1"/>
          <w:sz w:val="20"/>
          <w:szCs w:val="18"/>
        </w:rPr>
        <w:t>This collection will not employ statistical methods.</w:t>
      </w:r>
    </w:p>
    <w:p w:rsidRPr="002F50DB" w:rsidR="00854015" w:rsidRDefault="00854015" w14:paraId="3B57A5C5" w14:textId="77777777">
      <w:pPr>
        <w:pBdr>
          <w:top w:val="single" w:color="auto" w:sz="4" w:space="1"/>
        </w:pBdr>
        <w:tabs>
          <w:tab w:val="left" w:pos="240"/>
        </w:tabs>
        <w:rPr>
          <w:rFonts w:ascii="Helvetica" w:hAnsi="Helvetica"/>
          <w:color w:val="000000" w:themeColor="text1"/>
          <w:sz w:val="16"/>
        </w:rPr>
      </w:pPr>
    </w:p>
    <w:sectPr w:rsidRPr="002F50DB" w:rsidR="00854015" w:rsidSect="00AD27DB">
      <w:footerReference w:type="default" r:id="rId12"/>
      <w:pgSz w:w="12240" w:h="15840"/>
      <w:pgMar w:top="720" w:right="720" w:bottom="480" w:left="600" w:header="480" w:footer="480" w:gutter="0"/>
      <w:cols w:equalWidth="0" w:space="480">
        <w:col w:w="10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BF441" w14:textId="77777777" w:rsidR="00A86F68" w:rsidRDefault="00A86F68">
      <w:r>
        <w:separator/>
      </w:r>
    </w:p>
  </w:endnote>
  <w:endnote w:type="continuationSeparator" w:id="0">
    <w:p w14:paraId="3C65CA3E" w14:textId="77777777" w:rsidR="00A86F68" w:rsidRDefault="00A8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auto"/>
    <w:pitch w:val="variable"/>
    <w:sig w:usb0="00000001"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E8B65" w14:textId="77777777" w:rsidR="00A67D1B" w:rsidRDefault="00A67D1B">
    <w:pPr>
      <w:pStyle w:val="Footer"/>
      <w:jc w:val="center"/>
    </w:pPr>
  </w:p>
  <w:p w14:paraId="0BD65C83" w14:textId="77777777" w:rsidR="00A67D1B" w:rsidRDefault="00A6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08C26" w14:textId="77777777" w:rsidR="00A86F68" w:rsidRDefault="00A86F68">
      <w:r>
        <w:separator/>
      </w:r>
    </w:p>
  </w:footnote>
  <w:footnote w:type="continuationSeparator" w:id="0">
    <w:p w14:paraId="4180ED30" w14:textId="77777777" w:rsidR="00A86F68" w:rsidRDefault="00A8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E235030"/>
    <w:multiLevelType w:val="multilevel"/>
    <w:tmpl w:val="21F4F6E8"/>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243E1BD3"/>
    <w:multiLevelType w:val="hybridMultilevel"/>
    <w:tmpl w:val="31FCE1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202D7F"/>
    <w:multiLevelType w:val="multilevel"/>
    <w:tmpl w:val="3A563D6A"/>
    <w:lvl w:ilvl="0">
      <w:start w:val="1"/>
      <w:numFmt w:val="lowerLetter"/>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3D4D7697"/>
    <w:multiLevelType w:val="multilevel"/>
    <w:tmpl w:val="C7081AC8"/>
    <w:lvl w:ilvl="0">
      <w:start w:val="1"/>
      <w:numFmt w:val="lowerLetter"/>
      <w:lvlText w:val="%1."/>
      <w:lvlJc w:val="left"/>
      <w:pPr>
        <w:tabs>
          <w:tab w:val="left" w:pos="216"/>
        </w:tabs>
        <w:ind w:left="720"/>
      </w:pPr>
      <w:rPr>
        <w:rFonts w:ascii="Arial" w:eastAsia="Arial" w:hAnsi="Arial"/>
        <w:b/>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AE0A87"/>
    <w:multiLevelType w:val="multilevel"/>
    <w:tmpl w:val="200E1B2E"/>
    <w:lvl w:ilvl="0">
      <w:start w:val="1"/>
      <w:numFmt w:val="lowerLetter"/>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002C7B"/>
    <w:multiLevelType w:val="multilevel"/>
    <w:tmpl w:val="6F3CE20C"/>
    <w:lvl w:ilvl="0">
      <w:start w:val="1"/>
      <w:numFmt w:val="decimal"/>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15:restartNumberingAfterBreak="0">
    <w:nsid w:val="411D34CF"/>
    <w:multiLevelType w:val="multilevel"/>
    <w:tmpl w:val="430ED75C"/>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16"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15:restartNumberingAfterBreak="0">
    <w:nsid w:val="616C2AC0"/>
    <w:multiLevelType w:val="multilevel"/>
    <w:tmpl w:val="7F72BB3C"/>
    <w:lvl w:ilvl="0">
      <w:start w:val="1"/>
      <w:numFmt w:val="decimal"/>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5E11B8"/>
    <w:multiLevelType w:val="multilevel"/>
    <w:tmpl w:val="C99E567C"/>
    <w:lvl w:ilvl="0">
      <w:start w:val="2"/>
      <w:numFmt w:val="lowerLetter"/>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EB144A"/>
    <w:multiLevelType w:val="multilevel"/>
    <w:tmpl w:val="1F767B8C"/>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3" w15:restartNumberingAfterBreak="0">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16"/>
  </w:num>
  <w:num w:numId="4">
    <w:abstractNumId w:val="9"/>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22"/>
  </w:num>
  <w:num w:numId="9">
    <w:abstractNumId w:val="1"/>
  </w:num>
  <w:num w:numId="10">
    <w:abstractNumId w:val="21"/>
  </w:num>
  <w:num w:numId="11">
    <w:abstractNumId w:val="20"/>
  </w:num>
  <w:num w:numId="12">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5"/>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23"/>
  </w:num>
  <w:num w:numId="16">
    <w:abstractNumId w:val="7"/>
  </w:num>
  <w:num w:numId="17">
    <w:abstractNumId w:val="6"/>
  </w:num>
  <w:num w:numId="18">
    <w:abstractNumId w:val="18"/>
  </w:num>
  <w:num w:numId="19">
    <w:abstractNumId w:val="8"/>
  </w:num>
  <w:num w:numId="20">
    <w:abstractNumId w:val="11"/>
  </w:num>
  <w:num w:numId="21">
    <w:abstractNumId w:val="4"/>
  </w:num>
  <w:num w:numId="22">
    <w:abstractNumId w:val="17"/>
  </w:num>
  <w:num w:numId="23">
    <w:abstractNumId w:val="14"/>
  </w:num>
  <w:num w:numId="24">
    <w:abstractNumId w:val="12"/>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86"/>
    <w:rsid w:val="0000025E"/>
    <w:rsid w:val="00005707"/>
    <w:rsid w:val="00010587"/>
    <w:rsid w:val="00023B15"/>
    <w:rsid w:val="00025CAA"/>
    <w:rsid w:val="00030356"/>
    <w:rsid w:val="000376E7"/>
    <w:rsid w:val="00045DCC"/>
    <w:rsid w:val="000518CE"/>
    <w:rsid w:val="00064541"/>
    <w:rsid w:val="00073008"/>
    <w:rsid w:val="00094248"/>
    <w:rsid w:val="000A056B"/>
    <w:rsid w:val="000A301E"/>
    <w:rsid w:val="000A6B9E"/>
    <w:rsid w:val="000A6F0F"/>
    <w:rsid w:val="000B42AC"/>
    <w:rsid w:val="000B5462"/>
    <w:rsid w:val="000C1A8E"/>
    <w:rsid w:val="000C66C8"/>
    <w:rsid w:val="000D0410"/>
    <w:rsid w:val="000E5233"/>
    <w:rsid w:val="000F7DFA"/>
    <w:rsid w:val="00104566"/>
    <w:rsid w:val="001074EA"/>
    <w:rsid w:val="00127866"/>
    <w:rsid w:val="00157082"/>
    <w:rsid w:val="001640F9"/>
    <w:rsid w:val="00167F61"/>
    <w:rsid w:val="00175FDB"/>
    <w:rsid w:val="00176CA2"/>
    <w:rsid w:val="00181E0D"/>
    <w:rsid w:val="00186DD1"/>
    <w:rsid w:val="00193CF4"/>
    <w:rsid w:val="00195011"/>
    <w:rsid w:val="001A2E97"/>
    <w:rsid w:val="001B101A"/>
    <w:rsid w:val="001B6837"/>
    <w:rsid w:val="001B70C2"/>
    <w:rsid w:val="001C0F85"/>
    <w:rsid w:val="001C4099"/>
    <w:rsid w:val="001D5DB9"/>
    <w:rsid w:val="001E5124"/>
    <w:rsid w:val="001E78C0"/>
    <w:rsid w:val="001F25EC"/>
    <w:rsid w:val="002204C2"/>
    <w:rsid w:val="00236128"/>
    <w:rsid w:val="0024537D"/>
    <w:rsid w:val="002548D8"/>
    <w:rsid w:val="00255BBE"/>
    <w:rsid w:val="002819AD"/>
    <w:rsid w:val="002857B8"/>
    <w:rsid w:val="00292B28"/>
    <w:rsid w:val="00296190"/>
    <w:rsid w:val="002A0C6A"/>
    <w:rsid w:val="002A2B4B"/>
    <w:rsid w:val="002A708E"/>
    <w:rsid w:val="002B0481"/>
    <w:rsid w:val="002B60C6"/>
    <w:rsid w:val="002C2E6F"/>
    <w:rsid w:val="002C5E20"/>
    <w:rsid w:val="002D23F3"/>
    <w:rsid w:val="002D7CEF"/>
    <w:rsid w:val="002F50DB"/>
    <w:rsid w:val="002F7AE6"/>
    <w:rsid w:val="00306E0E"/>
    <w:rsid w:val="00323B5E"/>
    <w:rsid w:val="00336617"/>
    <w:rsid w:val="00340124"/>
    <w:rsid w:val="00343299"/>
    <w:rsid w:val="00360BF3"/>
    <w:rsid w:val="00375717"/>
    <w:rsid w:val="00386727"/>
    <w:rsid w:val="00386EBF"/>
    <w:rsid w:val="00391B16"/>
    <w:rsid w:val="003A1640"/>
    <w:rsid w:val="003C1E33"/>
    <w:rsid w:val="003D0A10"/>
    <w:rsid w:val="003D73BE"/>
    <w:rsid w:val="003E7A9D"/>
    <w:rsid w:val="003E7AFA"/>
    <w:rsid w:val="003F0725"/>
    <w:rsid w:val="003F1AD8"/>
    <w:rsid w:val="003F1AF2"/>
    <w:rsid w:val="003F7AD4"/>
    <w:rsid w:val="004048FB"/>
    <w:rsid w:val="00406FFC"/>
    <w:rsid w:val="00414A5B"/>
    <w:rsid w:val="004156B0"/>
    <w:rsid w:val="00415FEE"/>
    <w:rsid w:val="0046077D"/>
    <w:rsid w:val="00475A46"/>
    <w:rsid w:val="00487772"/>
    <w:rsid w:val="00495E45"/>
    <w:rsid w:val="004A6710"/>
    <w:rsid w:val="004B0075"/>
    <w:rsid w:val="004C09FD"/>
    <w:rsid w:val="004D7C0D"/>
    <w:rsid w:val="004E1F23"/>
    <w:rsid w:val="004E2D99"/>
    <w:rsid w:val="00500FD2"/>
    <w:rsid w:val="0050363C"/>
    <w:rsid w:val="00527ED4"/>
    <w:rsid w:val="00533131"/>
    <w:rsid w:val="00533DF0"/>
    <w:rsid w:val="005410BC"/>
    <w:rsid w:val="005473A2"/>
    <w:rsid w:val="00562468"/>
    <w:rsid w:val="0056312D"/>
    <w:rsid w:val="005808A7"/>
    <w:rsid w:val="00584CC7"/>
    <w:rsid w:val="00586385"/>
    <w:rsid w:val="00591E1E"/>
    <w:rsid w:val="00595481"/>
    <w:rsid w:val="005C632E"/>
    <w:rsid w:val="005C7F64"/>
    <w:rsid w:val="005D6DFD"/>
    <w:rsid w:val="005E5816"/>
    <w:rsid w:val="0064069E"/>
    <w:rsid w:val="00646A6C"/>
    <w:rsid w:val="00653F0B"/>
    <w:rsid w:val="0066580B"/>
    <w:rsid w:val="00677AE5"/>
    <w:rsid w:val="00685383"/>
    <w:rsid w:val="00686A85"/>
    <w:rsid w:val="006935EF"/>
    <w:rsid w:val="006B25FE"/>
    <w:rsid w:val="006B5212"/>
    <w:rsid w:val="006B5931"/>
    <w:rsid w:val="006C193A"/>
    <w:rsid w:val="006C5ED6"/>
    <w:rsid w:val="006F5215"/>
    <w:rsid w:val="006F7DBC"/>
    <w:rsid w:val="007072D6"/>
    <w:rsid w:val="00712D31"/>
    <w:rsid w:val="00714394"/>
    <w:rsid w:val="00715CF0"/>
    <w:rsid w:val="0071776E"/>
    <w:rsid w:val="00717AE0"/>
    <w:rsid w:val="00720EF1"/>
    <w:rsid w:val="007220ED"/>
    <w:rsid w:val="00724DBC"/>
    <w:rsid w:val="00751D65"/>
    <w:rsid w:val="007773FB"/>
    <w:rsid w:val="007A5AA2"/>
    <w:rsid w:val="007A78DC"/>
    <w:rsid w:val="007B154E"/>
    <w:rsid w:val="007B6B63"/>
    <w:rsid w:val="007C4F51"/>
    <w:rsid w:val="007E3CD0"/>
    <w:rsid w:val="007E726D"/>
    <w:rsid w:val="007E74E8"/>
    <w:rsid w:val="00806C11"/>
    <w:rsid w:val="0081070C"/>
    <w:rsid w:val="00814CEE"/>
    <w:rsid w:val="00826D49"/>
    <w:rsid w:val="00827D2A"/>
    <w:rsid w:val="00833833"/>
    <w:rsid w:val="008455F1"/>
    <w:rsid w:val="0085276D"/>
    <w:rsid w:val="00854015"/>
    <w:rsid w:val="008702AD"/>
    <w:rsid w:val="00873F4F"/>
    <w:rsid w:val="00880E5D"/>
    <w:rsid w:val="00886404"/>
    <w:rsid w:val="00893EBD"/>
    <w:rsid w:val="008944CF"/>
    <w:rsid w:val="008A0924"/>
    <w:rsid w:val="008A44B6"/>
    <w:rsid w:val="008B7A05"/>
    <w:rsid w:val="008D33E6"/>
    <w:rsid w:val="008E1A7B"/>
    <w:rsid w:val="008E481C"/>
    <w:rsid w:val="008F3C01"/>
    <w:rsid w:val="009132CE"/>
    <w:rsid w:val="009228FA"/>
    <w:rsid w:val="00935BD2"/>
    <w:rsid w:val="0093733C"/>
    <w:rsid w:val="009432AA"/>
    <w:rsid w:val="00953768"/>
    <w:rsid w:val="00960D10"/>
    <w:rsid w:val="009640AA"/>
    <w:rsid w:val="0098088B"/>
    <w:rsid w:val="0098306D"/>
    <w:rsid w:val="00985A7F"/>
    <w:rsid w:val="009867C4"/>
    <w:rsid w:val="00991178"/>
    <w:rsid w:val="009933BA"/>
    <w:rsid w:val="009946F9"/>
    <w:rsid w:val="0099775D"/>
    <w:rsid w:val="009A2A60"/>
    <w:rsid w:val="009A44B7"/>
    <w:rsid w:val="009B3D7F"/>
    <w:rsid w:val="009B4834"/>
    <w:rsid w:val="009B67F0"/>
    <w:rsid w:val="009B6A3A"/>
    <w:rsid w:val="009C2E11"/>
    <w:rsid w:val="009E5DE4"/>
    <w:rsid w:val="009F302C"/>
    <w:rsid w:val="009F5FC0"/>
    <w:rsid w:val="00A032C0"/>
    <w:rsid w:val="00A04209"/>
    <w:rsid w:val="00A05ECF"/>
    <w:rsid w:val="00A138AD"/>
    <w:rsid w:val="00A250F0"/>
    <w:rsid w:val="00A53491"/>
    <w:rsid w:val="00A6035A"/>
    <w:rsid w:val="00A61C47"/>
    <w:rsid w:val="00A6512D"/>
    <w:rsid w:val="00A67D1B"/>
    <w:rsid w:val="00A73DE3"/>
    <w:rsid w:val="00A75B1E"/>
    <w:rsid w:val="00A75C9F"/>
    <w:rsid w:val="00A8007B"/>
    <w:rsid w:val="00A814A5"/>
    <w:rsid w:val="00A82931"/>
    <w:rsid w:val="00A86F68"/>
    <w:rsid w:val="00A96C2B"/>
    <w:rsid w:val="00AB18E8"/>
    <w:rsid w:val="00AB6BFE"/>
    <w:rsid w:val="00AD27DB"/>
    <w:rsid w:val="00AD3755"/>
    <w:rsid w:val="00AF4429"/>
    <w:rsid w:val="00B0444F"/>
    <w:rsid w:val="00B11683"/>
    <w:rsid w:val="00B13312"/>
    <w:rsid w:val="00B24123"/>
    <w:rsid w:val="00B27319"/>
    <w:rsid w:val="00B3027C"/>
    <w:rsid w:val="00B3139D"/>
    <w:rsid w:val="00B328EC"/>
    <w:rsid w:val="00B43275"/>
    <w:rsid w:val="00B63CB3"/>
    <w:rsid w:val="00B73E82"/>
    <w:rsid w:val="00B74559"/>
    <w:rsid w:val="00B7602F"/>
    <w:rsid w:val="00B830DD"/>
    <w:rsid w:val="00B859C6"/>
    <w:rsid w:val="00B8689C"/>
    <w:rsid w:val="00B91583"/>
    <w:rsid w:val="00BA133D"/>
    <w:rsid w:val="00BA733A"/>
    <w:rsid w:val="00BB6151"/>
    <w:rsid w:val="00BB7629"/>
    <w:rsid w:val="00BC0192"/>
    <w:rsid w:val="00BC0835"/>
    <w:rsid w:val="00BC1792"/>
    <w:rsid w:val="00BD1593"/>
    <w:rsid w:val="00BD20D7"/>
    <w:rsid w:val="00BE1147"/>
    <w:rsid w:val="00BE7352"/>
    <w:rsid w:val="00C14D1D"/>
    <w:rsid w:val="00C15C95"/>
    <w:rsid w:val="00C20216"/>
    <w:rsid w:val="00C22111"/>
    <w:rsid w:val="00C228AF"/>
    <w:rsid w:val="00C42FD5"/>
    <w:rsid w:val="00C51C3C"/>
    <w:rsid w:val="00C63DB3"/>
    <w:rsid w:val="00C85199"/>
    <w:rsid w:val="00C85502"/>
    <w:rsid w:val="00C90B01"/>
    <w:rsid w:val="00C959CE"/>
    <w:rsid w:val="00CA0177"/>
    <w:rsid w:val="00CA08AA"/>
    <w:rsid w:val="00CA373F"/>
    <w:rsid w:val="00CB12FF"/>
    <w:rsid w:val="00CB4B86"/>
    <w:rsid w:val="00CB5D22"/>
    <w:rsid w:val="00CC15BC"/>
    <w:rsid w:val="00CC5F86"/>
    <w:rsid w:val="00CD4481"/>
    <w:rsid w:val="00CE35FB"/>
    <w:rsid w:val="00CF182A"/>
    <w:rsid w:val="00CF2A5F"/>
    <w:rsid w:val="00CF2C91"/>
    <w:rsid w:val="00D0567D"/>
    <w:rsid w:val="00D067B1"/>
    <w:rsid w:val="00D06C46"/>
    <w:rsid w:val="00D13119"/>
    <w:rsid w:val="00D1378B"/>
    <w:rsid w:val="00D20D65"/>
    <w:rsid w:val="00D23FDD"/>
    <w:rsid w:val="00D247E0"/>
    <w:rsid w:val="00D30828"/>
    <w:rsid w:val="00D308D7"/>
    <w:rsid w:val="00D351EA"/>
    <w:rsid w:val="00D40EF7"/>
    <w:rsid w:val="00D51330"/>
    <w:rsid w:val="00D5724A"/>
    <w:rsid w:val="00D71675"/>
    <w:rsid w:val="00D720D1"/>
    <w:rsid w:val="00DA0068"/>
    <w:rsid w:val="00DA353F"/>
    <w:rsid w:val="00DC2572"/>
    <w:rsid w:val="00DD2FF4"/>
    <w:rsid w:val="00DD3249"/>
    <w:rsid w:val="00DE5552"/>
    <w:rsid w:val="00E16005"/>
    <w:rsid w:val="00E26AD4"/>
    <w:rsid w:val="00E334BF"/>
    <w:rsid w:val="00E43D62"/>
    <w:rsid w:val="00E53170"/>
    <w:rsid w:val="00E55DCF"/>
    <w:rsid w:val="00E56E98"/>
    <w:rsid w:val="00E73655"/>
    <w:rsid w:val="00E74814"/>
    <w:rsid w:val="00E879DE"/>
    <w:rsid w:val="00E91309"/>
    <w:rsid w:val="00E94F4D"/>
    <w:rsid w:val="00EA054D"/>
    <w:rsid w:val="00EB6778"/>
    <w:rsid w:val="00EC5BEF"/>
    <w:rsid w:val="00ED2A88"/>
    <w:rsid w:val="00EE417A"/>
    <w:rsid w:val="00EE49F1"/>
    <w:rsid w:val="00F007BD"/>
    <w:rsid w:val="00F07936"/>
    <w:rsid w:val="00F10026"/>
    <w:rsid w:val="00F1159D"/>
    <w:rsid w:val="00F20C61"/>
    <w:rsid w:val="00F21709"/>
    <w:rsid w:val="00F2211B"/>
    <w:rsid w:val="00F2349D"/>
    <w:rsid w:val="00F33749"/>
    <w:rsid w:val="00F41F96"/>
    <w:rsid w:val="00F4618E"/>
    <w:rsid w:val="00F633ED"/>
    <w:rsid w:val="00F72A1D"/>
    <w:rsid w:val="00F86B2E"/>
    <w:rsid w:val="00FB28FC"/>
    <w:rsid w:val="00FC2D8C"/>
    <w:rsid w:val="00FC5133"/>
    <w:rsid w:val="00FD0C9E"/>
    <w:rsid w:val="00FD1136"/>
    <w:rsid w:val="00FD257E"/>
    <w:rsid w:val="00FE2741"/>
    <w:rsid w:val="00FE2865"/>
    <w:rsid w:val="00FE7BC3"/>
    <w:rsid w:val="00FF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2408444"/>
  <w15:chartTrackingRefBased/>
  <w15:docId w15:val="{6F856586-559C-4985-86FB-05BC8549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37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link w:val="FooterChar"/>
    <w:uiPriority w:val="99"/>
    <w:rsid w:val="0024537D"/>
    <w:pPr>
      <w:tabs>
        <w:tab w:val="center" w:pos="4320"/>
        <w:tab w:val="right" w:pos="8640"/>
      </w:tabs>
    </w:pPr>
  </w:style>
  <w:style w:type="paragraph" w:styleId="Title">
    <w:name w:val="Title"/>
    <w:basedOn w:val="Normal"/>
    <w:link w:val="TitleChar"/>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link w:val="BodyTextIndent2Char"/>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link w:val="BodyTextIndentChar"/>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semiHidden/>
    <w:rsid w:val="0024537D"/>
    <w:rPr>
      <w:color w:val="0000FF"/>
      <w:u w:val="single"/>
    </w:rPr>
  </w:style>
  <w:style w:type="character" w:styleId="FollowedHyperlink">
    <w:name w:val="FollowedHyperlink"/>
    <w:semiHidden/>
    <w:rsid w:val="0024537D"/>
    <w:rPr>
      <w:color w:val="800080"/>
      <w:u w:val="single"/>
    </w:rPr>
  </w:style>
  <w:style w:type="character" w:customStyle="1" w:styleId="BodyTextIndent2Char">
    <w:name w:val="Body Text Indent 2 Char"/>
    <w:link w:val="BodyTextIndent2"/>
    <w:semiHidden/>
    <w:rsid w:val="00AD3755"/>
    <w:rPr>
      <w:sz w:val="22"/>
      <w:szCs w:val="24"/>
    </w:rPr>
  </w:style>
  <w:style w:type="character" w:customStyle="1" w:styleId="BodyTextIndentChar">
    <w:name w:val="Body Text Indent Char"/>
    <w:link w:val="BodyTextIndent"/>
    <w:semiHidden/>
    <w:rsid w:val="00AD3755"/>
    <w:rPr>
      <w:sz w:val="18"/>
    </w:rPr>
  </w:style>
  <w:style w:type="character" w:styleId="HTMLCite">
    <w:name w:val="HTML Cite"/>
    <w:uiPriority w:val="99"/>
    <w:semiHidden/>
    <w:unhideWhenUsed/>
    <w:rsid w:val="00AD3755"/>
    <w:rPr>
      <w:i/>
      <w:iCs/>
    </w:rPr>
  </w:style>
  <w:style w:type="paragraph" w:styleId="ListParagraph">
    <w:name w:val="List Paragraph"/>
    <w:basedOn w:val="Normal"/>
    <w:uiPriority w:val="34"/>
    <w:qFormat/>
    <w:rsid w:val="00527ED4"/>
    <w:pPr>
      <w:ind w:left="720"/>
      <w:contextualSpacing/>
    </w:pPr>
  </w:style>
  <w:style w:type="table" w:styleId="TableGrid">
    <w:name w:val="Table Grid"/>
    <w:basedOn w:val="TableNormal"/>
    <w:uiPriority w:val="59"/>
    <w:rsid w:val="00CF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F302C"/>
  </w:style>
  <w:style w:type="character" w:styleId="CommentReference">
    <w:name w:val="annotation reference"/>
    <w:uiPriority w:val="99"/>
    <w:semiHidden/>
    <w:unhideWhenUsed/>
    <w:rsid w:val="00712D31"/>
    <w:rPr>
      <w:sz w:val="16"/>
      <w:szCs w:val="16"/>
    </w:rPr>
  </w:style>
  <w:style w:type="paragraph" w:styleId="CommentText">
    <w:name w:val="annotation text"/>
    <w:basedOn w:val="Normal"/>
    <w:link w:val="CommentTextChar"/>
    <w:uiPriority w:val="99"/>
    <w:semiHidden/>
    <w:unhideWhenUsed/>
    <w:rsid w:val="00712D31"/>
  </w:style>
  <w:style w:type="character" w:customStyle="1" w:styleId="CommentTextChar">
    <w:name w:val="Comment Text Char"/>
    <w:basedOn w:val="DefaultParagraphFont"/>
    <w:link w:val="CommentText"/>
    <w:uiPriority w:val="99"/>
    <w:semiHidden/>
    <w:rsid w:val="00712D31"/>
  </w:style>
  <w:style w:type="paragraph" w:styleId="CommentSubject">
    <w:name w:val="annotation subject"/>
    <w:basedOn w:val="CommentText"/>
    <w:next w:val="CommentText"/>
    <w:link w:val="CommentSubjectChar"/>
    <w:uiPriority w:val="99"/>
    <w:semiHidden/>
    <w:unhideWhenUsed/>
    <w:rsid w:val="00712D31"/>
    <w:rPr>
      <w:b/>
      <w:bCs/>
    </w:rPr>
  </w:style>
  <w:style w:type="character" w:customStyle="1" w:styleId="CommentSubjectChar">
    <w:name w:val="Comment Subject Char"/>
    <w:link w:val="CommentSubject"/>
    <w:uiPriority w:val="99"/>
    <w:semiHidden/>
    <w:rsid w:val="00712D31"/>
    <w:rPr>
      <w:b/>
      <w:bCs/>
    </w:rPr>
  </w:style>
  <w:style w:type="paragraph" w:styleId="BalloonText">
    <w:name w:val="Balloon Text"/>
    <w:basedOn w:val="Normal"/>
    <w:link w:val="BalloonTextChar"/>
    <w:uiPriority w:val="99"/>
    <w:semiHidden/>
    <w:unhideWhenUsed/>
    <w:rsid w:val="00712D31"/>
    <w:rPr>
      <w:rFonts w:ascii="Tahoma" w:hAnsi="Tahoma" w:cs="Tahoma"/>
      <w:sz w:val="16"/>
      <w:szCs w:val="16"/>
    </w:rPr>
  </w:style>
  <w:style w:type="character" w:customStyle="1" w:styleId="BalloonTextChar">
    <w:name w:val="Balloon Text Char"/>
    <w:link w:val="BalloonText"/>
    <w:uiPriority w:val="99"/>
    <w:semiHidden/>
    <w:rsid w:val="00712D31"/>
    <w:rPr>
      <w:rFonts w:ascii="Tahoma" w:hAnsi="Tahoma" w:cs="Tahoma"/>
      <w:sz w:val="16"/>
      <w:szCs w:val="16"/>
    </w:rPr>
  </w:style>
  <w:style w:type="paragraph" w:customStyle="1" w:styleId="Default">
    <w:name w:val="Default"/>
    <w:rsid w:val="008455F1"/>
    <w:pPr>
      <w:autoSpaceDE w:val="0"/>
      <w:autoSpaceDN w:val="0"/>
      <w:adjustRightInd w:val="0"/>
    </w:pPr>
    <w:rPr>
      <w:rFonts w:eastAsia="Calibri"/>
      <w:color w:val="000000"/>
      <w:sz w:val="24"/>
      <w:szCs w:val="24"/>
    </w:rPr>
  </w:style>
  <w:style w:type="character" w:customStyle="1" w:styleId="TitleChar">
    <w:name w:val="Title Char"/>
    <w:link w:val="Title"/>
    <w:rsid w:val="009867C4"/>
    <w:rPr>
      <w:rFonts w:ascii="Helvetica" w:hAnsi="Helvetic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7385">
      <w:bodyDiv w:val="1"/>
      <w:marLeft w:val="0"/>
      <w:marRight w:val="0"/>
      <w:marTop w:val="0"/>
      <w:marBottom w:val="0"/>
      <w:divBdr>
        <w:top w:val="none" w:sz="0" w:space="0" w:color="auto"/>
        <w:left w:val="none" w:sz="0" w:space="0" w:color="auto"/>
        <w:bottom w:val="none" w:sz="0" w:space="0" w:color="auto"/>
        <w:right w:val="none" w:sz="0" w:space="0" w:color="auto"/>
      </w:divBdr>
    </w:div>
    <w:div w:id="184177663">
      <w:bodyDiv w:val="1"/>
      <w:marLeft w:val="0"/>
      <w:marRight w:val="0"/>
      <w:marTop w:val="0"/>
      <w:marBottom w:val="0"/>
      <w:divBdr>
        <w:top w:val="none" w:sz="0" w:space="0" w:color="auto"/>
        <w:left w:val="none" w:sz="0" w:space="0" w:color="auto"/>
        <w:bottom w:val="none" w:sz="0" w:space="0" w:color="auto"/>
        <w:right w:val="none" w:sz="0" w:space="0" w:color="auto"/>
      </w:divBdr>
    </w:div>
    <w:div w:id="382101671">
      <w:bodyDiv w:val="1"/>
      <w:marLeft w:val="0"/>
      <w:marRight w:val="0"/>
      <w:marTop w:val="0"/>
      <w:marBottom w:val="0"/>
      <w:divBdr>
        <w:top w:val="none" w:sz="0" w:space="0" w:color="auto"/>
        <w:left w:val="none" w:sz="0" w:space="0" w:color="auto"/>
        <w:bottom w:val="none" w:sz="0" w:space="0" w:color="auto"/>
        <w:right w:val="none" w:sz="0" w:space="0" w:color="auto"/>
      </w:divBdr>
    </w:div>
    <w:div w:id="866796237">
      <w:bodyDiv w:val="1"/>
      <w:marLeft w:val="0"/>
      <w:marRight w:val="0"/>
      <w:marTop w:val="0"/>
      <w:marBottom w:val="0"/>
      <w:divBdr>
        <w:top w:val="none" w:sz="0" w:space="0" w:color="auto"/>
        <w:left w:val="none" w:sz="0" w:space="0" w:color="auto"/>
        <w:bottom w:val="none" w:sz="0" w:space="0" w:color="auto"/>
        <w:right w:val="none" w:sz="0" w:space="0" w:color="auto"/>
      </w:divBdr>
    </w:div>
    <w:div w:id="991639092">
      <w:bodyDiv w:val="1"/>
      <w:marLeft w:val="0"/>
      <w:marRight w:val="0"/>
      <w:marTop w:val="0"/>
      <w:marBottom w:val="0"/>
      <w:divBdr>
        <w:top w:val="none" w:sz="0" w:space="0" w:color="auto"/>
        <w:left w:val="none" w:sz="0" w:space="0" w:color="auto"/>
        <w:bottom w:val="none" w:sz="0" w:space="0" w:color="auto"/>
        <w:right w:val="none" w:sz="0" w:space="0" w:color="auto"/>
      </w:divBdr>
    </w:div>
    <w:div w:id="1117525911">
      <w:bodyDiv w:val="1"/>
      <w:marLeft w:val="0"/>
      <w:marRight w:val="0"/>
      <w:marTop w:val="0"/>
      <w:marBottom w:val="0"/>
      <w:divBdr>
        <w:top w:val="none" w:sz="0" w:space="0" w:color="auto"/>
        <w:left w:val="none" w:sz="0" w:space="0" w:color="auto"/>
        <w:bottom w:val="none" w:sz="0" w:space="0" w:color="auto"/>
        <w:right w:val="none" w:sz="0" w:space="0" w:color="auto"/>
      </w:divBdr>
    </w:div>
    <w:div w:id="1184710901">
      <w:bodyDiv w:val="1"/>
      <w:marLeft w:val="0"/>
      <w:marRight w:val="0"/>
      <w:marTop w:val="0"/>
      <w:marBottom w:val="0"/>
      <w:divBdr>
        <w:top w:val="none" w:sz="0" w:space="0" w:color="auto"/>
        <w:left w:val="none" w:sz="0" w:space="0" w:color="auto"/>
        <w:bottom w:val="none" w:sz="0" w:space="0" w:color="auto"/>
        <w:right w:val="none" w:sz="0" w:space="0" w:color="auto"/>
      </w:divBdr>
    </w:div>
    <w:div w:id="1592157209">
      <w:bodyDiv w:val="1"/>
      <w:marLeft w:val="0"/>
      <w:marRight w:val="0"/>
      <w:marTop w:val="0"/>
      <w:marBottom w:val="0"/>
      <w:divBdr>
        <w:top w:val="none" w:sz="0" w:space="0" w:color="auto"/>
        <w:left w:val="none" w:sz="0" w:space="0" w:color="auto"/>
        <w:bottom w:val="none" w:sz="0" w:space="0" w:color="auto"/>
        <w:right w:val="none" w:sz="0" w:space="0" w:color="auto"/>
      </w:divBdr>
    </w:div>
    <w:div w:id="1678773370">
      <w:bodyDiv w:val="1"/>
      <w:marLeft w:val="0"/>
      <w:marRight w:val="0"/>
      <w:marTop w:val="0"/>
      <w:marBottom w:val="0"/>
      <w:divBdr>
        <w:top w:val="none" w:sz="0" w:space="0" w:color="auto"/>
        <w:left w:val="none" w:sz="0" w:space="0" w:color="auto"/>
        <w:bottom w:val="none" w:sz="0" w:space="0" w:color="auto"/>
        <w:right w:val="none" w:sz="0" w:space="0" w:color="auto"/>
      </w:divBdr>
    </w:div>
    <w:div w:id="17921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m.gov/oca/10tables/html/RUS.as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5533907e36d55175df49916a1fe8ef4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28d7949ded0f4883535457e18b93e26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2C5AF6-7C23-4745-8635-1A10C5DDBA4C}">
  <ds:schemaRefs>
    <ds:schemaRef ds:uri="http://schemas.openxmlformats.org/officeDocument/2006/bibliography"/>
  </ds:schemaRefs>
</ds:datastoreItem>
</file>

<file path=customXml/itemProps2.xml><?xml version="1.0" encoding="utf-8"?>
<ds:datastoreItem xmlns:ds="http://schemas.openxmlformats.org/officeDocument/2006/customXml" ds:itemID="{CAB15693-BD1B-4B83-900D-D7C5E9AD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2CB4C-6866-4E02-8493-EF78D681B8D4}">
  <ds:schemaRefs>
    <ds:schemaRef ds:uri="http://schemas.microsoft.com/sharepoint/v3/contenttype/forms"/>
  </ds:schemaRefs>
</ds:datastoreItem>
</file>

<file path=customXml/itemProps4.xml><?xml version="1.0" encoding="utf-8"?>
<ds:datastoreItem xmlns:ds="http://schemas.openxmlformats.org/officeDocument/2006/customXml" ds:itemID="{9B8D117E-5925-4CD2-B3A5-75BDCCD65A5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4556</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30352</CharactersWithSpaces>
  <SharedDoc>false</SharedDoc>
  <HLinks>
    <vt:vector size="6" baseType="variant">
      <vt:variant>
        <vt:i4>5439566</vt:i4>
      </vt:variant>
      <vt:variant>
        <vt:i4>0</vt:i4>
      </vt:variant>
      <vt:variant>
        <vt:i4>0</vt:i4>
      </vt:variant>
      <vt:variant>
        <vt:i4>5</vt:i4>
      </vt:variant>
      <vt:variant>
        <vt:lpwstr>http://www.opm.gov/oca/10tables/html/RUS.asp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Herring, Vivian M</cp:lastModifiedBy>
  <cp:revision>2</cp:revision>
  <cp:lastPrinted>2014-02-27T20:45:00Z</cp:lastPrinted>
  <dcterms:created xsi:type="dcterms:W3CDTF">2020-11-12T18:44:00Z</dcterms:created>
  <dcterms:modified xsi:type="dcterms:W3CDTF">2020-11-12T18:44:00Z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