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1BB6" w:rsidP="00C71BB6" w:rsidRDefault="00C71BB6" w14:paraId="72B609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Pr="003D31A3" w:rsidR="00C71BB6" w:rsidP="00C71BB6" w:rsidRDefault="00C71BB6" w14:paraId="4CAA03A7" w14:textId="17112599">
      <w:pPr>
        <w:pStyle w:val="Heading1"/>
        <w:jc w:val="center"/>
        <w:rPr>
          <w:color w:val="auto"/>
        </w:rPr>
      </w:pPr>
      <w:r w:rsidRPr="003D31A3">
        <w:rPr>
          <w:color w:val="auto"/>
        </w:rPr>
        <w:t xml:space="preserve">Mortgage </w:t>
      </w:r>
      <w:r w:rsidR="00644153">
        <w:rPr>
          <w:color w:val="auto"/>
        </w:rPr>
        <w:t>Record Change</w:t>
      </w:r>
    </w:p>
    <w:p w:rsidRPr="003D31A3" w:rsidR="00C71BB6" w:rsidP="00C71BB6" w:rsidRDefault="001E4789" w14:paraId="315B084B" w14:textId="3429CF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w:t>
      </w:r>
      <w:r w:rsidR="008328D4">
        <w:rPr>
          <w:rFonts w:ascii="Helvetica" w:hAnsi="Helvetica"/>
          <w:b/>
          <w:sz w:val="24"/>
        </w:rPr>
        <w:t>B</w:t>
      </w:r>
      <w:r>
        <w:rPr>
          <w:rFonts w:ascii="Helvetica" w:hAnsi="Helvetica"/>
          <w:b/>
          <w:sz w:val="24"/>
        </w:rPr>
        <w:t xml:space="preserve"> Control Number </w:t>
      </w:r>
      <w:r w:rsidRPr="003D31A3" w:rsidR="00C71BB6">
        <w:rPr>
          <w:rFonts w:ascii="Helvetica" w:hAnsi="Helvetica"/>
          <w:b/>
          <w:sz w:val="24"/>
        </w:rPr>
        <w:t>2502-</w:t>
      </w:r>
      <w:r w:rsidR="00644153">
        <w:rPr>
          <w:rFonts w:ascii="Helvetica" w:hAnsi="Helvetica"/>
          <w:b/>
          <w:sz w:val="24"/>
        </w:rPr>
        <w:t>0422</w:t>
      </w:r>
    </w:p>
    <w:p w:rsidRPr="00531DCA" w:rsidR="00C71BB6" w:rsidP="00C71BB6" w:rsidRDefault="00C71BB6" w14:paraId="593DCE8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3134C4">
        <w:rPr>
          <w:rFonts w:ascii="Helvetica" w:hAnsi="Helvetica"/>
          <w:b/>
          <w:sz w:val="24"/>
        </w:rPr>
        <w:t>A</w:t>
      </w:r>
      <w:r w:rsidRPr="00531DCA">
        <w:rPr>
          <w:rFonts w:ascii="Helvetica" w:hAnsi="Helvetica"/>
          <w:b/>
          <w:sz w:val="24"/>
        </w:rPr>
        <w:t xml:space="preserve">. </w:t>
      </w:r>
      <w:r w:rsidRPr="00531DCA">
        <w:rPr>
          <w:rFonts w:ascii="Helvetica" w:hAnsi="Helvetica"/>
          <w:b/>
          <w:sz w:val="24"/>
        </w:rPr>
        <w:tab/>
        <w:t>Justification</w:t>
      </w:r>
    </w:p>
    <w:p w:rsidR="001C7C8C" w:rsidP="00C71BB6" w:rsidRDefault="00C71BB6" w14:paraId="39B90F58" w14:textId="703E2761">
      <w:pPr>
        <w:rPr>
          <w:rFonts w:ascii="Times New Roman" w:hAnsi="Times New Roman"/>
          <w:sz w:val="24"/>
          <w:szCs w:val="24"/>
        </w:rPr>
      </w:pPr>
      <w:r w:rsidRPr="00531DCA">
        <w:rPr>
          <w:rFonts w:ascii="Times New Roman" w:hAnsi="Times New Roman" w:cs="Times New Roman"/>
          <w:sz w:val="24"/>
          <w:szCs w:val="24"/>
        </w:rPr>
        <w:t xml:space="preserve">1. </w:t>
      </w:r>
      <w:r w:rsidRPr="00575D07" w:rsidR="001C7C8C">
        <w:rPr>
          <w:rFonts w:ascii="Times New Roman" w:hAnsi="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B47B6A" w:rsidR="004A03E4" w:rsidP="00B47B6A" w:rsidRDefault="004A03E4" w14:paraId="1B79A096" w14:textId="7B83C3BC">
      <w:pPr>
        <w:rPr>
          <w:rFonts w:ascii="Times New Roman" w:hAnsi="Times New Roman" w:cs="Times New Roman"/>
          <w:sz w:val="24"/>
          <w:szCs w:val="24"/>
        </w:rPr>
      </w:pPr>
      <w:r w:rsidRPr="00B47B6A">
        <w:rPr>
          <w:rFonts w:ascii="Times New Roman" w:hAnsi="Times New Roman" w:cs="Times New Roman"/>
          <w:sz w:val="24"/>
          <w:szCs w:val="24"/>
        </w:rPr>
        <w:t>The servicing of insured mortgages must be performed by a mortgagee that is approved by HUD to service insured mortgages.  The Mortgage Record Change information is used by FHA-approved mortgagees to comply with HUD requirements for reporting the sale of a mortgage between investors and/or the transfer of the mortgage servicing responsibility, as appropriate.  The information is collected electronically through Electronic Data Interchange and via FHA Connection.  The authority for this collection of information is specified in 24 CFR 203.431 and 24 CFR 203.502.</w:t>
      </w:r>
    </w:p>
    <w:p w:rsidRPr="00575D07" w:rsidR="00132616" w:rsidP="00132616" w:rsidRDefault="00C71BB6" w14:paraId="5B25A19D" w14:textId="7D861EDA">
      <w:pPr>
        <w:rPr>
          <w:rFonts w:ascii="Times New Roman" w:hAnsi="Times New Roman"/>
          <w:sz w:val="24"/>
          <w:szCs w:val="24"/>
        </w:rPr>
      </w:pPr>
      <w:r w:rsidRPr="00531DCA">
        <w:rPr>
          <w:rFonts w:ascii="Times New Roman" w:hAnsi="Times New Roman" w:cs="Times New Roman"/>
          <w:sz w:val="24"/>
          <w:szCs w:val="24"/>
        </w:rPr>
        <w:t xml:space="preserve">2. </w:t>
      </w:r>
      <w:r w:rsidRPr="00575D07" w:rsidR="00132616">
        <w:rPr>
          <w:rFonts w:ascii="Times New Roman" w:hAnsi="Times New Roman"/>
          <w:sz w:val="24"/>
          <w:szCs w:val="24"/>
        </w:rPr>
        <w:t xml:space="preserve">Indicate how, by whom, and for what purpose the information is to be used. Except for a new </w:t>
      </w:r>
      <w:proofErr w:type="gramStart"/>
      <w:r w:rsidRPr="00575D07" w:rsidR="00132616">
        <w:rPr>
          <w:rFonts w:ascii="Times New Roman" w:hAnsi="Times New Roman"/>
          <w:sz w:val="24"/>
          <w:szCs w:val="24"/>
        </w:rPr>
        <w:t>collection,</w:t>
      </w:r>
      <w:proofErr w:type="gramEnd"/>
      <w:r w:rsidRPr="00575D07" w:rsidR="00132616">
        <w:rPr>
          <w:rFonts w:ascii="Times New Roman" w:hAnsi="Times New Roman"/>
          <w:sz w:val="24"/>
          <w:szCs w:val="24"/>
        </w:rPr>
        <w:t xml:space="preserve"> indicate the actual use the agency has made of the information received from the current collection. </w:t>
      </w:r>
    </w:p>
    <w:p w:rsidRPr="005036B7" w:rsidR="005036B7" w:rsidP="00132616" w:rsidRDefault="005036B7" w14:paraId="1D5A93CC" w14:textId="3E3EC549">
      <w:pPr>
        <w:rPr>
          <w:rFonts w:ascii="Times New Roman" w:hAnsi="Times New Roman" w:cs="Times New Roman"/>
          <w:sz w:val="24"/>
          <w:szCs w:val="24"/>
        </w:rPr>
      </w:pPr>
      <w:r w:rsidRPr="005036B7">
        <w:rPr>
          <w:rFonts w:ascii="Times New Roman" w:hAnsi="Times New Roman" w:cs="Times New Roman"/>
          <w:sz w:val="24"/>
          <w:szCs w:val="24"/>
        </w:rPr>
        <w:t>The information required is used to update HUD's Single Family Insurance System and other related systems.  Current data is necessary to establish mortgage premium liability, forward annual premium mortgage data to the appropriate mortgagee/</w:t>
      </w:r>
      <w:proofErr w:type="gramStart"/>
      <w:r w:rsidRPr="005036B7">
        <w:rPr>
          <w:rFonts w:ascii="Times New Roman" w:hAnsi="Times New Roman" w:cs="Times New Roman"/>
          <w:sz w:val="24"/>
          <w:szCs w:val="24"/>
        </w:rPr>
        <w:t>servicer, and</w:t>
      </w:r>
      <w:proofErr w:type="gramEnd"/>
      <w:r w:rsidRPr="005036B7">
        <w:rPr>
          <w:rFonts w:ascii="Times New Roman" w:hAnsi="Times New Roman" w:cs="Times New Roman"/>
          <w:sz w:val="24"/>
          <w:szCs w:val="24"/>
        </w:rPr>
        <w:t xml:space="preserve"> maintain premium receivables and program data regarding investors/servicer activity.  Without the required data the premium collection/monitoring function would be severely impeded and program data would be unreliable. This information is essential because the data is used to update the </w:t>
      </w:r>
      <w:proofErr w:type="gramStart"/>
      <w:r w:rsidRPr="005036B7">
        <w:rPr>
          <w:rFonts w:ascii="Times New Roman" w:hAnsi="Times New Roman" w:cs="Times New Roman"/>
          <w:sz w:val="24"/>
          <w:szCs w:val="24"/>
        </w:rPr>
        <w:t>Single Family</w:t>
      </w:r>
      <w:proofErr w:type="gramEnd"/>
      <w:r w:rsidRPr="005036B7">
        <w:rPr>
          <w:rFonts w:ascii="Times New Roman" w:hAnsi="Times New Roman" w:cs="Times New Roman"/>
          <w:sz w:val="24"/>
          <w:szCs w:val="24"/>
        </w:rPr>
        <w:t xml:space="preserve"> Premium Collection System-Periodic and is used in the accurate billing of monthly premiums as HUD does case level accounting in recording premium payments by mortgagees.</w:t>
      </w:r>
    </w:p>
    <w:p w:rsidRPr="00575D07" w:rsidR="00E02FBE" w:rsidP="00E02FBE" w:rsidRDefault="00C71BB6" w14:paraId="209B8C9C" w14:textId="7881A4B4">
      <w:pPr>
        <w:rPr>
          <w:rFonts w:ascii="Times New Roman" w:hAnsi="Times New Roman"/>
          <w:sz w:val="24"/>
          <w:szCs w:val="24"/>
        </w:rPr>
      </w:pPr>
      <w:r w:rsidRPr="00531DCA">
        <w:rPr>
          <w:rFonts w:ascii="Times New Roman" w:hAnsi="Times New Roman" w:cs="Times New Roman"/>
          <w:sz w:val="24"/>
          <w:szCs w:val="24"/>
        </w:rPr>
        <w:t>3.</w:t>
      </w:r>
      <w:r w:rsidRPr="00E02FBE" w:rsidR="00E02FBE">
        <w:rPr>
          <w:rFonts w:ascii="Times New Roman" w:hAnsi="Times New Roman"/>
          <w:sz w:val="24"/>
          <w:szCs w:val="24"/>
        </w:rPr>
        <w:t xml:space="preserve"> </w:t>
      </w:r>
      <w:r w:rsidRPr="00575D07" w:rsidR="00E02FBE">
        <w:rPr>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551E9" w:rsidR="006551E9" w:rsidP="00E02FBE" w:rsidRDefault="006551E9" w14:paraId="2098958A" w14:textId="7974CAC8">
      <w:pPr>
        <w:rPr>
          <w:rFonts w:ascii="Times New Roman" w:hAnsi="Times New Roman" w:cs="Times New Roman"/>
          <w:sz w:val="24"/>
          <w:szCs w:val="24"/>
        </w:rPr>
      </w:pPr>
      <w:r w:rsidRPr="006551E9">
        <w:rPr>
          <w:rFonts w:ascii="Times New Roman" w:hAnsi="Times New Roman" w:cs="Times New Roman"/>
          <w:sz w:val="24"/>
          <w:szCs w:val="24"/>
        </w:rPr>
        <w:t xml:space="preserve">The information is collected 100% through electronic means. Last fiscal </w:t>
      </w:r>
      <w:r w:rsidRPr="002B3D35">
        <w:rPr>
          <w:rFonts w:ascii="Times New Roman" w:hAnsi="Times New Roman" w:cs="Times New Roman"/>
          <w:sz w:val="24"/>
          <w:szCs w:val="24"/>
        </w:rPr>
        <w:t xml:space="preserve">year approximately </w:t>
      </w:r>
      <w:r w:rsidRPr="002B3D35" w:rsidR="00F15B16">
        <w:rPr>
          <w:rFonts w:ascii="Times New Roman" w:hAnsi="Times New Roman" w:cs="Times New Roman"/>
          <w:sz w:val="24"/>
          <w:szCs w:val="24"/>
        </w:rPr>
        <w:t>10,000</w:t>
      </w:r>
      <w:r w:rsidRPr="002B3D35">
        <w:rPr>
          <w:rFonts w:ascii="Times New Roman" w:hAnsi="Times New Roman" w:cs="Times New Roman"/>
          <w:sz w:val="24"/>
          <w:szCs w:val="24"/>
        </w:rPr>
        <w:t xml:space="preserve"> </w:t>
      </w:r>
      <w:r w:rsidRPr="002B3D35" w:rsidR="00CF339E">
        <w:rPr>
          <w:rFonts w:ascii="Times New Roman" w:hAnsi="Times New Roman" w:cs="Times New Roman"/>
          <w:sz w:val="24"/>
          <w:szCs w:val="24"/>
        </w:rPr>
        <w:t>respondents</w:t>
      </w:r>
      <w:r w:rsidRPr="002B3D35">
        <w:rPr>
          <w:rFonts w:ascii="Times New Roman" w:hAnsi="Times New Roman" w:cs="Times New Roman"/>
          <w:sz w:val="24"/>
          <w:szCs w:val="24"/>
        </w:rPr>
        <w:t xml:space="preserve"> submitted </w:t>
      </w:r>
      <w:r w:rsidRPr="002B3D35" w:rsidR="00544DE8">
        <w:rPr>
          <w:rFonts w:ascii="Times New Roman" w:hAnsi="Times New Roman" w:cs="Times New Roman"/>
          <w:sz w:val="24"/>
          <w:szCs w:val="24"/>
        </w:rPr>
        <w:t>1</w:t>
      </w:r>
      <w:r w:rsidRPr="002B3D35" w:rsidR="00E81B1F">
        <w:rPr>
          <w:rFonts w:ascii="Times New Roman" w:hAnsi="Times New Roman" w:cs="Times New Roman"/>
          <w:sz w:val="24"/>
          <w:szCs w:val="24"/>
        </w:rPr>
        <w:t>4</w:t>
      </w:r>
      <w:r w:rsidRPr="002B3D35" w:rsidR="00544DE8">
        <w:rPr>
          <w:rFonts w:ascii="Times New Roman" w:hAnsi="Times New Roman" w:cs="Times New Roman"/>
          <w:sz w:val="24"/>
          <w:szCs w:val="24"/>
        </w:rPr>
        <w:t>,4</w:t>
      </w:r>
      <w:r w:rsidRPr="002B3D35">
        <w:rPr>
          <w:rFonts w:ascii="Times New Roman" w:hAnsi="Times New Roman" w:cs="Times New Roman"/>
          <w:sz w:val="24"/>
          <w:szCs w:val="24"/>
        </w:rPr>
        <w:t>00,000</w:t>
      </w:r>
      <w:r w:rsidRPr="006551E9">
        <w:rPr>
          <w:rFonts w:ascii="Times New Roman" w:hAnsi="Times New Roman" w:cs="Times New Roman"/>
          <w:sz w:val="24"/>
          <w:szCs w:val="24"/>
        </w:rPr>
        <w:t xml:space="preserve"> transfers electronically through Business-to-Government, Electronic Data Interchange and HUD’s FHA Connection.  The utilization of the Business-to-Government (B2G), Electronic Data Interchange and FHA Connection eliminate the completion and submission of hard copy source documents for the submission of transfer information.</w:t>
      </w:r>
    </w:p>
    <w:p w:rsidR="00C81361" w:rsidP="00C71BB6" w:rsidRDefault="00C71BB6" w14:paraId="22E211BD" w14:textId="3FDA0160">
      <w:pPr>
        <w:rPr>
          <w:rFonts w:ascii="Times New Roman" w:hAnsi="Times New Roman"/>
          <w:sz w:val="24"/>
          <w:szCs w:val="24"/>
        </w:rPr>
      </w:pPr>
      <w:r w:rsidRPr="00531DCA">
        <w:rPr>
          <w:rFonts w:ascii="Times New Roman" w:hAnsi="Times New Roman" w:cs="Times New Roman"/>
          <w:sz w:val="24"/>
          <w:szCs w:val="24"/>
        </w:rPr>
        <w:lastRenderedPageBreak/>
        <w:t xml:space="preserve">4. </w:t>
      </w:r>
      <w:r w:rsidRPr="00575D07" w:rsidR="00C81361">
        <w:rPr>
          <w:rFonts w:ascii="Times New Roman" w:hAnsi="Times New Roman"/>
          <w:sz w:val="24"/>
          <w:szCs w:val="24"/>
        </w:rPr>
        <w:t xml:space="preserve">Describe efforts to identify duplication. Show specifically why any similar information already available cannot be used or modified for use for the purposes described in Item 2 above. </w:t>
      </w:r>
    </w:p>
    <w:p w:rsidRPr="00531DCA" w:rsidR="00C71BB6" w:rsidP="00C71BB6" w:rsidRDefault="00C71BB6" w14:paraId="29738376" w14:textId="7E5155C6">
      <w:pPr>
        <w:rPr>
          <w:rFonts w:ascii="Times New Roman" w:hAnsi="Times New Roman" w:cs="Times New Roman"/>
          <w:sz w:val="24"/>
          <w:szCs w:val="24"/>
        </w:rPr>
      </w:pPr>
      <w:r>
        <w:rPr>
          <w:rFonts w:ascii="Times New Roman" w:hAnsi="Times New Roman" w:cs="Times New Roman"/>
          <w:sz w:val="24"/>
          <w:szCs w:val="24"/>
        </w:rPr>
        <w:t xml:space="preserve">No other duplicate data </w:t>
      </w:r>
      <w:r w:rsidRPr="00A771C0" w:rsidR="00A771C0">
        <w:rPr>
          <w:rFonts w:ascii="Times New Roman" w:hAnsi="Times New Roman" w:cs="Times New Roman"/>
          <w:sz w:val="24"/>
          <w:szCs w:val="24"/>
        </w:rPr>
        <w:t xml:space="preserve">exits. </w:t>
      </w:r>
      <w:r>
        <w:rPr>
          <w:rFonts w:ascii="Times New Roman" w:hAnsi="Times New Roman" w:cs="Times New Roman"/>
          <w:sz w:val="24"/>
          <w:szCs w:val="24"/>
        </w:rPr>
        <w:t xml:space="preserve"> The</w:t>
      </w:r>
      <w:r w:rsidR="004E44F0">
        <w:rPr>
          <w:rFonts w:ascii="Times New Roman" w:hAnsi="Times New Roman" w:cs="Times New Roman"/>
          <w:sz w:val="24"/>
          <w:szCs w:val="24"/>
        </w:rPr>
        <w:t xml:space="preserve">re is </w:t>
      </w:r>
      <w:proofErr w:type="spellStart"/>
      <w:r w:rsidR="004E44F0">
        <w:rPr>
          <w:rFonts w:ascii="Times New Roman" w:hAnsi="Times New Roman" w:cs="Times New Roman"/>
          <w:sz w:val="24"/>
          <w:szCs w:val="24"/>
        </w:rPr>
        <w:t>not</w:t>
      </w:r>
      <w:proofErr w:type="spellEnd"/>
      <w:r w:rsidR="004E44F0">
        <w:rPr>
          <w:rFonts w:ascii="Times New Roman" w:hAnsi="Times New Roman" w:cs="Times New Roman"/>
          <w:sz w:val="24"/>
          <w:szCs w:val="24"/>
        </w:rPr>
        <w:t xml:space="preserve"> other available data that can be used or modified for the required purpose. </w:t>
      </w:r>
    </w:p>
    <w:p w:rsidRPr="00575D07" w:rsidR="00212A80" w:rsidP="00212A80" w:rsidRDefault="00C71BB6" w14:paraId="3E82C766" w14:textId="390B9E1B">
      <w:pPr>
        <w:rPr>
          <w:rFonts w:ascii="Times New Roman" w:hAnsi="Times New Roman"/>
          <w:sz w:val="24"/>
          <w:szCs w:val="24"/>
        </w:rPr>
      </w:pPr>
      <w:r w:rsidRPr="00531DCA">
        <w:rPr>
          <w:rFonts w:ascii="Times New Roman" w:hAnsi="Times New Roman" w:cs="Times New Roman"/>
          <w:sz w:val="24"/>
          <w:szCs w:val="24"/>
        </w:rPr>
        <w:t xml:space="preserve">5. </w:t>
      </w:r>
      <w:r w:rsidRPr="00575D07" w:rsidR="00212A80">
        <w:rPr>
          <w:rFonts w:ascii="Times New Roman" w:hAnsi="Times New Roman"/>
          <w:sz w:val="24"/>
          <w:szCs w:val="24"/>
        </w:rPr>
        <w:t xml:space="preserve">If the collection of information impacts small businesses or other small entities (Item 5 of OMB Form 83-I), describe any methods used to minimize burden. </w:t>
      </w:r>
    </w:p>
    <w:p w:rsidRPr="00531DCA" w:rsidR="00C71BB6" w:rsidP="00C71BB6" w:rsidRDefault="00C71BB6" w14:paraId="0DBD3DB7" w14:textId="744BAEB8">
      <w:pPr>
        <w:rPr>
          <w:rFonts w:ascii="Times New Roman" w:hAnsi="Times New Roman" w:cs="Times New Roman"/>
          <w:sz w:val="24"/>
          <w:szCs w:val="24"/>
        </w:rPr>
      </w:pPr>
      <w:r>
        <w:rPr>
          <w:rFonts w:ascii="Times New Roman" w:hAnsi="Times New Roman" w:cs="Times New Roman"/>
          <w:sz w:val="24"/>
          <w:szCs w:val="24"/>
        </w:rPr>
        <w:t xml:space="preserve">The collection of information does not impact small businesses or other small entities, as they are not respondents. </w:t>
      </w:r>
    </w:p>
    <w:p w:rsidRPr="00575D07" w:rsidR="00944962" w:rsidP="00944962" w:rsidRDefault="00C71BB6" w14:paraId="7EE0FE9D" w14:textId="4FEC2220">
      <w:pPr>
        <w:rPr>
          <w:rFonts w:ascii="Times New Roman" w:hAnsi="Times New Roman"/>
          <w:sz w:val="24"/>
          <w:szCs w:val="24"/>
        </w:rPr>
      </w:pPr>
      <w:r w:rsidRPr="00531DCA">
        <w:rPr>
          <w:rFonts w:ascii="Times New Roman" w:hAnsi="Times New Roman" w:cs="Times New Roman"/>
          <w:sz w:val="24"/>
          <w:szCs w:val="24"/>
        </w:rPr>
        <w:t xml:space="preserve">6. </w:t>
      </w:r>
      <w:r w:rsidRPr="00575D07" w:rsidR="00944962">
        <w:rPr>
          <w:rFonts w:ascii="Times New Roman" w:hAnsi="Times New Roman"/>
          <w:sz w:val="24"/>
          <w:szCs w:val="24"/>
        </w:rPr>
        <w:t xml:space="preserve">Describe the consequence to Federal program or policy activities if the collection is not conducted or is conducted less frequently, as well as any technical or legal obstacles to reducing burden. </w:t>
      </w:r>
    </w:p>
    <w:p w:rsidRPr="00E06448" w:rsidR="00E06448" w:rsidP="00E06448" w:rsidRDefault="00E06448" w14:paraId="30E60FF3" w14:textId="07FC49BF">
      <w:pPr>
        <w:rPr>
          <w:rFonts w:ascii="Times New Roman" w:hAnsi="Times New Roman" w:cs="Times New Roman"/>
          <w:sz w:val="24"/>
          <w:szCs w:val="24"/>
        </w:rPr>
      </w:pPr>
      <w:r w:rsidRPr="00E06448">
        <w:rPr>
          <w:rFonts w:ascii="Times New Roman" w:hAnsi="Times New Roman" w:cs="Times New Roman"/>
          <w:sz w:val="24"/>
          <w:szCs w:val="24"/>
        </w:rPr>
        <w:t>Information is collected whenever servicing of any mortgage is transferred from one mortgage holder or service to another.  Without the required data the premium collection/monitoring function would be severely impeded and program data would be unreliable.</w:t>
      </w:r>
    </w:p>
    <w:p w:rsidRPr="00575D07" w:rsidR="0063215D" w:rsidP="0063215D" w:rsidRDefault="00C71BB6" w14:paraId="61B6DD2A" w14:textId="73684504">
      <w:pPr>
        <w:rPr>
          <w:rFonts w:ascii="Times New Roman" w:hAnsi="Times New Roman"/>
          <w:sz w:val="24"/>
          <w:szCs w:val="24"/>
        </w:rPr>
      </w:pPr>
      <w:r w:rsidRPr="00531DCA">
        <w:rPr>
          <w:rFonts w:ascii="Times New Roman" w:hAnsi="Times New Roman" w:cs="Times New Roman"/>
          <w:sz w:val="24"/>
          <w:szCs w:val="24"/>
        </w:rPr>
        <w:t xml:space="preserve">7. </w:t>
      </w:r>
      <w:r w:rsidRPr="00575D07" w:rsidR="0063215D">
        <w:rPr>
          <w:rFonts w:ascii="Times New Roman" w:hAnsi="Times New Roman"/>
          <w:sz w:val="24"/>
          <w:szCs w:val="24"/>
        </w:rPr>
        <w:t xml:space="preserve">Explain any special circumstances that would cause an information collection to be conducted in a manner: </w:t>
      </w:r>
    </w:p>
    <w:p w:rsidRPr="008D5A1A" w:rsidR="007119B5" w:rsidP="0063215D" w:rsidRDefault="008D5A1A" w14:paraId="022CAD22" w14:textId="23C7A57A">
      <w:pPr>
        <w:rPr>
          <w:rFonts w:ascii="Times New Roman" w:hAnsi="Times New Roman" w:cs="Times New Roman"/>
          <w:sz w:val="24"/>
          <w:szCs w:val="24"/>
        </w:rPr>
      </w:pPr>
      <w:r w:rsidRPr="008D5A1A">
        <w:rPr>
          <w:rFonts w:ascii="Times New Roman" w:hAnsi="Times New Roman" w:cs="Times New Roman"/>
          <w:sz w:val="24"/>
          <w:szCs w:val="24"/>
        </w:rPr>
        <w:t>Current guidelines for servicing procedures give the mortgagee 15 days from the date of the sale of a mortgage or the transfer of servicing to provide the required data.  Any further delay in providing the data would erode the reliability and effectiveness of the program functions, which depend on timely mortgage activity information.</w:t>
      </w:r>
    </w:p>
    <w:p w:rsidR="0063215D" w:rsidP="0063215D" w:rsidRDefault="0063215D" w14:paraId="3F4F7BBC" w14:textId="594816DA">
      <w:pPr>
        <w:rPr>
          <w:rFonts w:ascii="Times New Roman" w:hAnsi="Times New Roman"/>
          <w:sz w:val="24"/>
          <w:szCs w:val="24"/>
        </w:rPr>
      </w:pPr>
      <w:r w:rsidRPr="00575D07">
        <w:rPr>
          <w:rFonts w:ascii="Times New Roman" w:hAnsi="Times New Roman"/>
          <w:sz w:val="24"/>
          <w:szCs w:val="24"/>
        </w:rPr>
        <w:t xml:space="preserve">* requiring respondents to report information to the agency more often than </w:t>
      </w:r>
      <w:proofErr w:type="gramStart"/>
      <w:r w:rsidRPr="00575D07">
        <w:rPr>
          <w:rFonts w:ascii="Times New Roman" w:hAnsi="Times New Roman"/>
          <w:sz w:val="24"/>
          <w:szCs w:val="24"/>
        </w:rPr>
        <w:t>quarterly;</w:t>
      </w:r>
      <w:proofErr w:type="gramEnd"/>
      <w:r w:rsidRPr="00575D07">
        <w:rPr>
          <w:rFonts w:ascii="Times New Roman" w:hAnsi="Times New Roman"/>
          <w:sz w:val="24"/>
          <w:szCs w:val="24"/>
        </w:rPr>
        <w:t xml:space="preserve"> </w:t>
      </w:r>
    </w:p>
    <w:p w:rsidRPr="00B02C66" w:rsidR="00B02C66" w:rsidP="0063215D" w:rsidRDefault="00B02C66" w14:paraId="06BF4BA4" w14:textId="77777777">
      <w:pPr>
        <w:rPr>
          <w:rFonts w:ascii="Times New Roman" w:hAnsi="Times New Roman" w:cs="Times New Roman"/>
          <w:sz w:val="24"/>
          <w:szCs w:val="24"/>
        </w:rPr>
      </w:pPr>
      <w:r w:rsidRPr="00B02C66">
        <w:rPr>
          <w:rFonts w:ascii="Times New Roman" w:hAnsi="Times New Roman" w:cs="Times New Roman"/>
          <w:sz w:val="24"/>
          <w:szCs w:val="24"/>
        </w:rPr>
        <w:t>Lenders report any time the servicing on a loan is transferred to another lender.</w:t>
      </w:r>
    </w:p>
    <w:p w:rsidR="0063215D" w:rsidP="0063215D" w:rsidRDefault="0063215D" w14:paraId="674AAF37" w14:textId="10FAF615">
      <w:pPr>
        <w:rPr>
          <w:rFonts w:ascii="Times New Roman" w:hAnsi="Times New Roman"/>
          <w:sz w:val="24"/>
          <w:szCs w:val="24"/>
        </w:rPr>
      </w:pPr>
      <w:r w:rsidRPr="00575D07">
        <w:rPr>
          <w:rFonts w:ascii="Times New Roman" w:hAnsi="Times New Roman"/>
          <w:sz w:val="24"/>
          <w:szCs w:val="24"/>
        </w:rPr>
        <w:t xml:space="preserve">* requiring respondents to prepare a written response to a collection of information in fewer than 30 days after receipt of </w:t>
      </w:r>
      <w:proofErr w:type="gramStart"/>
      <w:r w:rsidRPr="00575D07">
        <w:rPr>
          <w:rFonts w:ascii="Times New Roman" w:hAnsi="Times New Roman"/>
          <w:sz w:val="24"/>
          <w:szCs w:val="24"/>
        </w:rPr>
        <w:t>it;</w:t>
      </w:r>
      <w:proofErr w:type="gramEnd"/>
      <w:r w:rsidRPr="00575D07">
        <w:rPr>
          <w:rFonts w:ascii="Times New Roman" w:hAnsi="Times New Roman"/>
          <w:sz w:val="24"/>
          <w:szCs w:val="24"/>
        </w:rPr>
        <w:t xml:space="preserve"> </w:t>
      </w:r>
    </w:p>
    <w:p w:rsidRPr="003A3B07" w:rsidR="001B3915" w:rsidP="0063215D" w:rsidRDefault="001B3915" w14:paraId="7F383F0E" w14:textId="77777777">
      <w:pPr>
        <w:rPr>
          <w:rFonts w:ascii="Times New Roman" w:hAnsi="Times New Roman" w:cs="Times New Roman"/>
          <w:sz w:val="24"/>
          <w:szCs w:val="24"/>
        </w:rPr>
      </w:pPr>
      <w:r w:rsidRPr="003A3B07">
        <w:rPr>
          <w:rFonts w:ascii="Times New Roman" w:hAnsi="Times New Roman" w:cs="Times New Roman"/>
          <w:sz w:val="24"/>
          <w:szCs w:val="24"/>
        </w:rPr>
        <w:t xml:space="preserve">The mortgagee 15 days from the date of the sale of a mortgage or the transfer of servicing to provide the required data.  </w:t>
      </w:r>
    </w:p>
    <w:p w:rsidR="00B231C1" w:rsidP="0063215D" w:rsidRDefault="0063215D" w14:paraId="43B1F3EE" w14:textId="1237BC1C">
      <w:pPr>
        <w:rPr>
          <w:rFonts w:ascii="Times New Roman" w:hAnsi="Times New Roman"/>
          <w:sz w:val="24"/>
          <w:szCs w:val="24"/>
        </w:rPr>
      </w:pPr>
      <w:r w:rsidRPr="00575D07">
        <w:rPr>
          <w:rFonts w:ascii="Times New Roman" w:hAnsi="Times New Roman"/>
          <w:sz w:val="24"/>
          <w:szCs w:val="24"/>
        </w:rPr>
        <w:t xml:space="preserve">* requiring respondents to submit more than an original and two copies of any </w:t>
      </w:r>
      <w:proofErr w:type="gramStart"/>
      <w:r w:rsidRPr="00575D07">
        <w:rPr>
          <w:rFonts w:ascii="Times New Roman" w:hAnsi="Times New Roman"/>
          <w:sz w:val="24"/>
          <w:szCs w:val="24"/>
        </w:rPr>
        <w:t>document;</w:t>
      </w:r>
      <w:proofErr w:type="gramEnd"/>
    </w:p>
    <w:p w:rsidRPr="00B231C1" w:rsidR="00B231C1" w:rsidP="0063215D" w:rsidRDefault="00B231C1" w14:paraId="04A86C8D" w14:textId="783DFC0F">
      <w:pPr>
        <w:rPr>
          <w:rFonts w:ascii="Times New Roman" w:hAnsi="Times New Roman" w:cs="Times New Roman"/>
          <w:sz w:val="24"/>
          <w:szCs w:val="24"/>
        </w:rPr>
      </w:pPr>
      <w:r w:rsidRPr="00B231C1">
        <w:rPr>
          <w:rFonts w:ascii="Times New Roman" w:hAnsi="Times New Roman" w:cs="Times New Roman"/>
          <w:sz w:val="24"/>
          <w:szCs w:val="24"/>
        </w:rPr>
        <w:t>The respondents are not required to submit more than an original and two copies of any document.</w:t>
      </w:r>
    </w:p>
    <w:p w:rsidR="0063215D" w:rsidP="0063215D" w:rsidRDefault="0063215D" w14:paraId="3730BB9B" w14:textId="4275FE84">
      <w:pPr>
        <w:rPr>
          <w:rFonts w:ascii="Times New Roman" w:hAnsi="Times New Roman"/>
          <w:sz w:val="24"/>
          <w:szCs w:val="24"/>
        </w:rPr>
      </w:pPr>
      <w:r w:rsidRPr="00575D07">
        <w:rPr>
          <w:rFonts w:ascii="Times New Roman" w:hAnsi="Times New Roman"/>
          <w:sz w:val="24"/>
          <w:szCs w:val="24"/>
        </w:rPr>
        <w:t xml:space="preserve"> * requiring respondents to retain records, other than health, medical, government contract, grant-in-aid, or tax records, for more than three </w:t>
      </w:r>
      <w:proofErr w:type="gramStart"/>
      <w:r w:rsidRPr="00575D07">
        <w:rPr>
          <w:rFonts w:ascii="Times New Roman" w:hAnsi="Times New Roman"/>
          <w:sz w:val="24"/>
          <w:szCs w:val="24"/>
        </w:rPr>
        <w:t>years;</w:t>
      </w:r>
      <w:proofErr w:type="gramEnd"/>
      <w:r w:rsidRPr="00575D07">
        <w:rPr>
          <w:rFonts w:ascii="Times New Roman" w:hAnsi="Times New Roman"/>
          <w:sz w:val="24"/>
          <w:szCs w:val="24"/>
        </w:rPr>
        <w:t xml:space="preserve"> </w:t>
      </w:r>
    </w:p>
    <w:p w:rsidRPr="00F007F1" w:rsidR="00B231C1" w:rsidP="0063215D" w:rsidRDefault="009E470B" w14:paraId="23B68788" w14:textId="14EEF3A3">
      <w:pPr>
        <w:rPr>
          <w:rFonts w:ascii="Times New Roman" w:hAnsi="Times New Roman" w:cs="Times New Roman"/>
          <w:sz w:val="24"/>
          <w:szCs w:val="24"/>
        </w:rPr>
      </w:pPr>
      <w:r w:rsidRPr="00F007F1">
        <w:rPr>
          <w:rFonts w:ascii="Times New Roman" w:hAnsi="Times New Roman" w:cs="Times New Roman"/>
          <w:sz w:val="24"/>
          <w:szCs w:val="24"/>
        </w:rPr>
        <w:t xml:space="preserve">The respondents are required to retain records, other than health, medical, government contract, grant-in-aid, or tax records, for </w:t>
      </w:r>
      <w:r w:rsidRPr="00F007F1" w:rsidR="005F1E0E">
        <w:rPr>
          <w:rFonts w:ascii="Times New Roman" w:hAnsi="Times New Roman" w:cs="Times New Roman"/>
          <w:sz w:val="24"/>
          <w:szCs w:val="24"/>
        </w:rPr>
        <w:t xml:space="preserve">up to seven </w:t>
      </w:r>
      <w:r w:rsidRPr="00F007F1">
        <w:rPr>
          <w:rFonts w:ascii="Times New Roman" w:hAnsi="Times New Roman" w:cs="Times New Roman"/>
          <w:sz w:val="24"/>
          <w:szCs w:val="24"/>
        </w:rPr>
        <w:t xml:space="preserve">years. </w:t>
      </w:r>
    </w:p>
    <w:p w:rsidR="0063215D" w:rsidP="0063215D" w:rsidRDefault="0063215D" w14:paraId="6399EEFD" w14:textId="0CA36B0F">
      <w:pPr>
        <w:rPr>
          <w:rFonts w:ascii="Times New Roman" w:hAnsi="Times New Roman"/>
          <w:sz w:val="24"/>
          <w:szCs w:val="24"/>
        </w:rPr>
      </w:pPr>
      <w:r w:rsidRPr="00575D07">
        <w:rPr>
          <w:rFonts w:ascii="Times New Roman" w:hAnsi="Times New Roman"/>
          <w:sz w:val="24"/>
          <w:szCs w:val="24"/>
        </w:rPr>
        <w:lastRenderedPageBreak/>
        <w:t xml:space="preserve">* in connection with a statistical survey, that is not designed to produce valid and reliable results that can be generalized to the universe of </w:t>
      </w:r>
      <w:proofErr w:type="gramStart"/>
      <w:r w:rsidRPr="00575D07">
        <w:rPr>
          <w:rFonts w:ascii="Times New Roman" w:hAnsi="Times New Roman"/>
          <w:sz w:val="24"/>
          <w:szCs w:val="24"/>
        </w:rPr>
        <w:t>study;</w:t>
      </w:r>
      <w:proofErr w:type="gramEnd"/>
      <w:r w:rsidRPr="00575D07">
        <w:rPr>
          <w:rFonts w:ascii="Times New Roman" w:hAnsi="Times New Roman"/>
          <w:sz w:val="24"/>
          <w:szCs w:val="24"/>
        </w:rPr>
        <w:t xml:space="preserve"> </w:t>
      </w:r>
    </w:p>
    <w:p w:rsidRPr="00575D07" w:rsidR="009E470B" w:rsidP="0063215D" w:rsidRDefault="009E470B" w14:paraId="744EDD63" w14:textId="10FEB1C5">
      <w:pPr>
        <w:rPr>
          <w:rFonts w:ascii="Times New Roman" w:hAnsi="Times New Roman"/>
          <w:sz w:val="24"/>
          <w:szCs w:val="24"/>
        </w:rPr>
      </w:pPr>
      <w:r>
        <w:rPr>
          <w:rFonts w:ascii="Times New Roman" w:hAnsi="Times New Roman" w:cs="Times New Roman"/>
          <w:sz w:val="24"/>
          <w:szCs w:val="24"/>
        </w:rPr>
        <w:t xml:space="preserve">There are no special circumstances that would cause any information collection to be conducted in a manner that is </w:t>
      </w:r>
      <w:r w:rsidRPr="00575D07">
        <w:rPr>
          <w:rFonts w:ascii="Times New Roman" w:hAnsi="Times New Roman"/>
          <w:sz w:val="24"/>
          <w:szCs w:val="24"/>
        </w:rPr>
        <w:t>in connection with a statistical survey, that is not designed to produce valid and reliable results that can be generalized to the universe of study</w:t>
      </w:r>
      <w:r>
        <w:rPr>
          <w:rFonts w:ascii="Times New Roman" w:hAnsi="Times New Roman"/>
          <w:sz w:val="24"/>
          <w:szCs w:val="24"/>
        </w:rPr>
        <w:t>.</w:t>
      </w:r>
    </w:p>
    <w:p w:rsidR="0063215D" w:rsidP="0063215D" w:rsidRDefault="0063215D" w14:paraId="23725D44" w14:textId="15F6939B">
      <w:pPr>
        <w:rPr>
          <w:rFonts w:ascii="Times New Roman" w:hAnsi="Times New Roman"/>
          <w:sz w:val="24"/>
          <w:szCs w:val="24"/>
        </w:rPr>
      </w:pPr>
      <w:r w:rsidRPr="00575D07">
        <w:rPr>
          <w:rFonts w:ascii="Times New Roman" w:hAnsi="Times New Roman"/>
          <w:sz w:val="24"/>
          <w:szCs w:val="24"/>
        </w:rPr>
        <w:t xml:space="preserve">* requiring the use of a statistical data classification that has not been reviewed and approved by </w:t>
      </w:r>
      <w:proofErr w:type="gramStart"/>
      <w:r w:rsidRPr="00575D07">
        <w:rPr>
          <w:rFonts w:ascii="Times New Roman" w:hAnsi="Times New Roman"/>
          <w:sz w:val="24"/>
          <w:szCs w:val="24"/>
        </w:rPr>
        <w:t>OMB;</w:t>
      </w:r>
      <w:proofErr w:type="gramEnd"/>
      <w:r w:rsidRPr="00575D07">
        <w:rPr>
          <w:rFonts w:ascii="Times New Roman" w:hAnsi="Times New Roman"/>
          <w:sz w:val="24"/>
          <w:szCs w:val="24"/>
        </w:rPr>
        <w:t xml:space="preserve"> </w:t>
      </w:r>
    </w:p>
    <w:p w:rsidRPr="00575D07" w:rsidR="009E470B" w:rsidP="0063215D" w:rsidRDefault="009E470B" w14:paraId="332BB99A" w14:textId="78BD6009">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the use of a statistical data classification that has not been reviewed and approved by OMB</w:t>
      </w:r>
      <w:r>
        <w:rPr>
          <w:rFonts w:ascii="Times New Roman" w:hAnsi="Times New Roman"/>
          <w:sz w:val="24"/>
          <w:szCs w:val="24"/>
        </w:rPr>
        <w:t>.</w:t>
      </w:r>
    </w:p>
    <w:p w:rsidR="0063215D" w:rsidP="0063215D" w:rsidRDefault="0063215D" w14:paraId="7570CF1E" w14:textId="2F545744">
      <w:pPr>
        <w:rPr>
          <w:rFonts w:ascii="Times New Roman" w:hAnsi="Times New Roman"/>
          <w:sz w:val="24"/>
          <w:szCs w:val="24"/>
        </w:rPr>
      </w:pP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75D07" w:rsidR="009E470B" w:rsidP="0063215D" w:rsidRDefault="009E470B" w14:paraId="51A498F4" w14:textId="5B356D40">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p>
    <w:p w:rsidRPr="00575D07" w:rsidR="0063215D" w:rsidP="0063215D" w:rsidRDefault="0063215D" w14:paraId="03C6B4CD" w14:textId="77777777">
      <w:pPr>
        <w:rPr>
          <w:rFonts w:ascii="Times New Roman" w:hAnsi="Times New Roman"/>
          <w:sz w:val="24"/>
          <w:szCs w:val="24"/>
        </w:rPr>
      </w:pP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9E470B" w:rsidR="009E470B" w:rsidP="00C71BB6" w:rsidRDefault="001F6CE3" w14:paraId="3927B11C" w14:textId="42C24FA5">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w:t>
      </w:r>
      <w:r w:rsidR="009E470B">
        <w:rPr>
          <w:rFonts w:ascii="Times New Roman" w:hAnsi="Times New Roman"/>
          <w:sz w:val="24"/>
          <w:szCs w:val="24"/>
        </w:rPr>
        <w:t>.</w:t>
      </w:r>
    </w:p>
    <w:p w:rsidRPr="00575D07" w:rsidR="000F3E16" w:rsidP="000F3E16" w:rsidRDefault="00C71BB6" w14:paraId="6FA17E47" w14:textId="45760437">
      <w:pPr>
        <w:rPr>
          <w:rFonts w:ascii="Times New Roman" w:hAnsi="Times New Roman"/>
          <w:sz w:val="24"/>
          <w:szCs w:val="24"/>
        </w:rPr>
      </w:pPr>
      <w:r w:rsidRPr="00531DCA">
        <w:rPr>
          <w:rFonts w:ascii="Times New Roman" w:hAnsi="Times New Roman" w:cs="Times New Roman"/>
          <w:sz w:val="24"/>
          <w:szCs w:val="24"/>
        </w:rPr>
        <w:t xml:space="preserve">8. </w:t>
      </w:r>
      <w:r w:rsidRPr="00575D07" w:rsidR="000F3E16">
        <w:rPr>
          <w:rFonts w:ascii="Times New Roman" w:hAnsi="Times New Roman"/>
          <w:sz w:val="24"/>
          <w:szCs w:val="24"/>
        </w:rPr>
        <w:t xml:space="preserve">If applicable, provide a copy and identify the date and page number of </w:t>
      </w:r>
      <w:r w:rsidRPr="00575D07" w:rsidR="009E470B">
        <w:rPr>
          <w:rFonts w:ascii="Times New Roman" w:hAnsi="Times New Roman"/>
          <w:sz w:val="24"/>
          <w:szCs w:val="24"/>
        </w:rPr>
        <w:t>publications</w:t>
      </w:r>
      <w:r w:rsidRPr="00575D07" w:rsidR="000F3E16">
        <w:rPr>
          <w:rFonts w:ascii="Times New Roman" w:hAnsi="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115AE0" w:rsidR="00C16EFC" w:rsidP="00C71BB6" w:rsidRDefault="00115AE0" w14:paraId="139705A6" w14:textId="58D2C964">
      <w:pPr>
        <w:rPr>
          <w:rFonts w:ascii="Times New Roman" w:hAnsi="Times New Roman" w:cs="Times New Roman"/>
          <w:sz w:val="24"/>
          <w:szCs w:val="24"/>
        </w:rPr>
      </w:pPr>
      <w:proofErr w:type="gramStart"/>
      <w:r w:rsidRPr="00115AE0">
        <w:rPr>
          <w:rFonts w:ascii="Times New Roman" w:hAnsi="Times New Roman" w:cs="Times New Roman"/>
          <w:sz w:val="24"/>
          <w:szCs w:val="24"/>
        </w:rPr>
        <w:lastRenderedPageBreak/>
        <w:t>HUD  consults</w:t>
      </w:r>
      <w:proofErr w:type="gramEnd"/>
      <w:r w:rsidRPr="00115AE0">
        <w:rPr>
          <w:rFonts w:ascii="Times New Roman" w:hAnsi="Times New Roman" w:cs="Times New Roman"/>
          <w:sz w:val="24"/>
          <w:szCs w:val="24"/>
        </w:rPr>
        <w:t xml:space="preserve"> with Mortgage Bankers through the Mortgage Bankers Association (MBA) outside the agency to obtain their views on the availability of data, frequency of collection, the clarity of  instructions and recordkeeping disclosure, or reporting format (if any) and the data elements to be recorded, disclosed, or reported. Consultation with MBA representatives of those from whom information is to be obtained or those who must compile records should occurs every year. </w:t>
      </w:r>
    </w:p>
    <w:p w:rsidR="005540C2" w:rsidP="00C71BB6" w:rsidRDefault="00C71BB6" w14:paraId="24CF6C77" w14:textId="77777777">
      <w:pPr>
        <w:rPr>
          <w:rFonts w:ascii="Times New Roman" w:hAnsi="Times New Roman"/>
          <w:sz w:val="24"/>
          <w:szCs w:val="24"/>
        </w:rPr>
      </w:pPr>
      <w:r w:rsidRPr="00531DCA">
        <w:rPr>
          <w:rFonts w:ascii="Times New Roman" w:hAnsi="Times New Roman" w:cs="Times New Roman"/>
          <w:sz w:val="24"/>
          <w:szCs w:val="24"/>
        </w:rPr>
        <w:t xml:space="preserve">9. </w:t>
      </w:r>
      <w:r w:rsidRPr="00575D07" w:rsidR="005540C2">
        <w:rPr>
          <w:rFonts w:ascii="Times New Roman" w:hAnsi="Times New Roman"/>
          <w:sz w:val="24"/>
          <w:szCs w:val="24"/>
        </w:rPr>
        <w:t xml:space="preserve">Explain any decision to provide any payment or gift to respondents, other than renumeration of contractors or grantees. </w:t>
      </w:r>
    </w:p>
    <w:p w:rsidRPr="00531DCA" w:rsidR="00C71BB6" w:rsidP="00C71BB6" w:rsidRDefault="00C71BB6" w14:paraId="2B5A8418" w14:textId="7C6E0C01">
      <w:pPr>
        <w:rPr>
          <w:rFonts w:ascii="Times New Roman" w:hAnsi="Times New Roman" w:cs="Times New Roman"/>
          <w:sz w:val="24"/>
          <w:szCs w:val="24"/>
        </w:rPr>
      </w:pPr>
      <w:r>
        <w:rPr>
          <w:rFonts w:ascii="Times New Roman" w:hAnsi="Times New Roman" w:cs="Times New Roman"/>
          <w:sz w:val="24"/>
          <w:szCs w:val="24"/>
        </w:rPr>
        <w:t xml:space="preserve">No gift or payment is provided to respondents. </w:t>
      </w:r>
      <w:r w:rsidRPr="00531DCA">
        <w:rPr>
          <w:rFonts w:ascii="Times New Roman" w:hAnsi="Times New Roman" w:cs="Times New Roman"/>
          <w:sz w:val="24"/>
          <w:szCs w:val="24"/>
        </w:rPr>
        <w:t xml:space="preserve"> </w:t>
      </w:r>
    </w:p>
    <w:p w:rsidRPr="00575D07" w:rsidR="00976AAF" w:rsidP="00976AAF" w:rsidRDefault="00C71BB6" w14:paraId="0B182B00" w14:textId="77777777">
      <w:pPr>
        <w:rPr>
          <w:rFonts w:ascii="Times New Roman" w:hAnsi="Times New Roman"/>
          <w:sz w:val="24"/>
          <w:szCs w:val="24"/>
        </w:rPr>
      </w:pPr>
      <w:r w:rsidRPr="00531DCA">
        <w:rPr>
          <w:rFonts w:ascii="Times New Roman" w:hAnsi="Times New Roman" w:cs="Times New Roman"/>
          <w:sz w:val="24"/>
          <w:szCs w:val="24"/>
        </w:rPr>
        <w:t xml:space="preserve">10. </w:t>
      </w:r>
      <w:r w:rsidRPr="00575D07" w:rsidR="00976AAF">
        <w:rPr>
          <w:rFonts w:ascii="Times New Roman" w:hAnsi="Times New Roman"/>
          <w:sz w:val="24"/>
          <w:szCs w:val="24"/>
        </w:rPr>
        <w:t xml:space="preserve">Describe any assurance of confidentiality provided to respondents and the basis for the assurance in statute, regulation, or agency policy. </w:t>
      </w:r>
    </w:p>
    <w:p w:rsidRPr="00531DCA" w:rsidR="00C71BB6" w:rsidP="00C71BB6" w:rsidRDefault="00B7449E" w14:paraId="4A8A5194" w14:textId="66348F9C">
      <w:pPr>
        <w:rPr>
          <w:rFonts w:ascii="Times New Roman" w:hAnsi="Times New Roman" w:cs="Times New Roman"/>
          <w:sz w:val="24"/>
          <w:szCs w:val="24"/>
        </w:rPr>
      </w:pPr>
      <w:r>
        <w:rPr>
          <w:rFonts w:ascii="Times New Roman" w:hAnsi="Times New Roman" w:cs="Times New Roman"/>
          <w:sz w:val="24"/>
          <w:szCs w:val="24"/>
        </w:rPr>
        <w:t xml:space="preserve">Confidentiality is not an issue for the data involved. </w:t>
      </w:r>
    </w:p>
    <w:p w:rsidRPr="00575D07" w:rsidR="000E3302" w:rsidP="000E3302" w:rsidRDefault="00C71BB6" w14:paraId="3F8C2454" w14:textId="77777777">
      <w:pPr>
        <w:rPr>
          <w:rFonts w:ascii="Times New Roman" w:hAnsi="Times New Roman"/>
          <w:sz w:val="24"/>
          <w:szCs w:val="24"/>
        </w:rPr>
      </w:pPr>
      <w:r w:rsidRPr="00531DCA">
        <w:rPr>
          <w:rFonts w:ascii="Times New Roman" w:hAnsi="Times New Roman" w:cs="Times New Roman"/>
          <w:sz w:val="24"/>
          <w:szCs w:val="24"/>
        </w:rPr>
        <w:t xml:space="preserve">11. </w:t>
      </w:r>
      <w:r w:rsidRPr="00575D07" w:rsidR="000E3302">
        <w:rPr>
          <w:rFonts w:ascii="Times New Roman" w:hAnsi="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71BB6" w:rsidP="00C71BB6" w:rsidRDefault="002A3D9F" w14:paraId="376871D5" w14:textId="65495C5D">
      <w:pPr>
        <w:rPr>
          <w:rFonts w:ascii="Times New Roman" w:hAnsi="Times New Roman" w:cs="Times New Roman"/>
          <w:sz w:val="24"/>
          <w:szCs w:val="24"/>
        </w:rPr>
      </w:pPr>
      <w:r>
        <w:rPr>
          <w:rFonts w:ascii="Times New Roman" w:hAnsi="Times New Roman" w:cs="Times New Roman"/>
          <w:sz w:val="24"/>
          <w:szCs w:val="24"/>
        </w:rPr>
        <w:t>This form contains n</w:t>
      </w:r>
      <w:r w:rsidR="00C71BB6">
        <w:rPr>
          <w:rFonts w:ascii="Times New Roman" w:hAnsi="Times New Roman" w:cs="Times New Roman"/>
          <w:sz w:val="24"/>
          <w:szCs w:val="24"/>
        </w:rPr>
        <w:t>o questions of a sensitive nature</w:t>
      </w:r>
      <w:r>
        <w:rPr>
          <w:rFonts w:ascii="Times New Roman" w:hAnsi="Times New Roman" w:cs="Times New Roman"/>
          <w:sz w:val="24"/>
          <w:szCs w:val="24"/>
        </w:rPr>
        <w:t>.</w:t>
      </w:r>
      <w:r w:rsidR="00C71BB6">
        <w:rPr>
          <w:rFonts w:ascii="Times New Roman" w:hAnsi="Times New Roman" w:cs="Times New Roman"/>
          <w:sz w:val="24"/>
          <w:szCs w:val="24"/>
        </w:rPr>
        <w:t xml:space="preserve"> </w:t>
      </w:r>
    </w:p>
    <w:p w:rsidRPr="00575D07" w:rsidR="00094B0F" w:rsidP="00094B0F" w:rsidRDefault="00094B0F" w14:paraId="4A288090" w14:textId="49C263B6">
      <w:pPr>
        <w:rPr>
          <w:rFonts w:ascii="Times New Roman" w:hAnsi="Times New Roman"/>
          <w:sz w:val="24"/>
          <w:szCs w:val="24"/>
        </w:rPr>
      </w:pPr>
      <w:r>
        <w:rPr>
          <w:rFonts w:ascii="Times New Roman" w:hAnsi="Times New Roman" w:cs="Times New Roman"/>
          <w:sz w:val="24"/>
          <w:szCs w:val="24"/>
        </w:rPr>
        <w:t>1</w:t>
      </w:r>
      <w:r w:rsidRPr="00531DCA" w:rsidR="00C71BB6">
        <w:rPr>
          <w:rFonts w:ascii="Times New Roman" w:hAnsi="Times New Roman" w:cs="Times New Roman"/>
          <w:sz w:val="24"/>
          <w:szCs w:val="24"/>
        </w:rPr>
        <w:t xml:space="preserve">2. </w:t>
      </w:r>
      <w:r w:rsidRPr="00575D07">
        <w:rPr>
          <w:rFonts w:ascii="Times New Roman" w:hAnsi="Times New Roman"/>
          <w:sz w:val="24"/>
          <w:szCs w:val="24"/>
        </w:rPr>
        <w:t xml:space="preserve">Provide estimates of the hour burden of the collection of information. The statement should: </w:t>
      </w:r>
    </w:p>
    <w:p w:rsidRPr="00575D07" w:rsidR="00094B0F" w:rsidP="00094B0F" w:rsidRDefault="00094B0F" w14:paraId="310778EE" w14:textId="2CE10C25">
      <w:pPr>
        <w:rPr>
          <w:rFonts w:ascii="Times New Roman" w:hAnsi="Times New Roman"/>
          <w:sz w:val="24"/>
          <w:szCs w:val="24"/>
        </w:rPr>
      </w:pPr>
      <w:r w:rsidRPr="00575D07">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75D07" w:rsidR="00094B0F" w:rsidP="00094B0F" w:rsidRDefault="00094B0F" w14:paraId="06B715B6" w14:textId="77777777">
      <w:pPr>
        <w:rPr>
          <w:rFonts w:ascii="Times New Roman" w:hAnsi="Times New Roman"/>
          <w:sz w:val="24"/>
          <w:szCs w:val="24"/>
        </w:rPr>
      </w:pPr>
      <w:r w:rsidRPr="00575D07">
        <w:rPr>
          <w:rFonts w:ascii="Times New Roman" w:hAnsi="Times New Roman"/>
          <w:sz w:val="24"/>
          <w:szCs w:val="24"/>
        </w:rPr>
        <w:t xml:space="preserve">* If this request for approval covers more than one form, provide separate hour burden estimates for each </w:t>
      </w:r>
      <w:proofErr w:type="gramStart"/>
      <w:r w:rsidRPr="00575D07">
        <w:rPr>
          <w:rFonts w:ascii="Times New Roman" w:hAnsi="Times New Roman"/>
          <w:sz w:val="24"/>
          <w:szCs w:val="24"/>
        </w:rPr>
        <w:t>form</w:t>
      </w:r>
      <w:proofErr w:type="gramEnd"/>
      <w:r w:rsidRPr="00575D07">
        <w:rPr>
          <w:rFonts w:ascii="Times New Roman" w:hAnsi="Times New Roman"/>
          <w:sz w:val="24"/>
          <w:szCs w:val="24"/>
        </w:rPr>
        <w:t xml:space="preserve"> and aggregate the hour burdens in Item 13 of OMB Form 83-I. </w:t>
      </w:r>
    </w:p>
    <w:p w:rsidRPr="00575D07" w:rsidR="00094B0F" w:rsidP="00094B0F" w:rsidRDefault="00094B0F" w14:paraId="38C89307" w14:textId="0732631B">
      <w:pPr>
        <w:rPr>
          <w:rFonts w:ascii="Times New Roman" w:hAnsi="Times New Roman"/>
          <w:sz w:val="24"/>
          <w:szCs w:val="24"/>
        </w:rPr>
      </w:pPr>
      <w:r w:rsidRPr="00575D07">
        <w:rPr>
          <w:rFonts w:ascii="Times New Roman" w:hAnsi="Times New Roman"/>
          <w:sz w:val="24"/>
          <w:szCs w:val="24"/>
        </w:rPr>
        <w:t xml:space="preserve">* </w:t>
      </w:r>
      <w:r w:rsidRPr="007C64E4">
        <w:rPr>
          <w:rFonts w:ascii="Times New Roman" w:hAnsi="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575D07">
        <w:rPr>
          <w:rFonts w:ascii="Times New Roman" w:hAnsi="Times New Roman"/>
          <w:sz w:val="24"/>
          <w:szCs w:val="24"/>
        </w:rPr>
        <w:t xml:space="preserve"> </w:t>
      </w:r>
    </w:p>
    <w:p w:rsidRPr="00EA3BB0" w:rsidR="009D303B" w:rsidP="00094B0F" w:rsidRDefault="009D303B" w14:paraId="3310CA71" w14:textId="6176B414">
      <w:pPr>
        <w:rPr>
          <w:rFonts w:ascii="Times New Roman" w:hAnsi="Times New Roman" w:cs="Times New Roman"/>
          <w:sz w:val="24"/>
          <w:szCs w:val="24"/>
        </w:rPr>
      </w:pPr>
      <w:r w:rsidRPr="00EA3BB0">
        <w:rPr>
          <w:rFonts w:ascii="Times New Roman" w:hAnsi="Times New Roman" w:cs="Times New Roman"/>
          <w:sz w:val="24"/>
          <w:szCs w:val="24"/>
        </w:rPr>
        <w:t xml:space="preserve">An estimate of the total number of burden hours needed to prepare the information collection is </w:t>
      </w:r>
      <w:r w:rsidR="00D413EE">
        <w:rPr>
          <w:rFonts w:ascii="Times New Roman" w:hAnsi="Times New Roman" w:cs="Times New Roman"/>
          <w:sz w:val="24"/>
          <w:szCs w:val="24"/>
        </w:rPr>
        <w:t>391,250</w:t>
      </w:r>
      <w:r w:rsidRPr="001E1DD1">
        <w:rPr>
          <w:rFonts w:ascii="Times New Roman" w:hAnsi="Times New Roman" w:cs="Times New Roman"/>
          <w:sz w:val="24"/>
          <w:szCs w:val="24"/>
        </w:rPr>
        <w:t xml:space="preserve"> </w:t>
      </w:r>
      <w:r w:rsidRPr="00EA3BB0">
        <w:rPr>
          <w:rFonts w:ascii="Times New Roman" w:hAnsi="Times New Roman" w:cs="Times New Roman"/>
          <w:sz w:val="24"/>
          <w:szCs w:val="24"/>
        </w:rPr>
        <w:t xml:space="preserve">(a burden of one tenth hour per response based on the actual time required to key and transmit data to B2G, the FHA Connection or EDI) (HUD-92080), the number of respondents is approximately </w:t>
      </w:r>
      <w:r w:rsidRPr="002C411A" w:rsidR="00874519">
        <w:rPr>
          <w:rFonts w:ascii="Times New Roman" w:hAnsi="Times New Roman" w:cs="Times New Roman"/>
          <w:sz w:val="24"/>
          <w:szCs w:val="24"/>
        </w:rPr>
        <w:t>10,000</w:t>
      </w:r>
      <w:r w:rsidRPr="002C411A">
        <w:rPr>
          <w:rFonts w:ascii="Times New Roman" w:hAnsi="Times New Roman" w:cs="Times New Roman"/>
          <w:sz w:val="24"/>
          <w:szCs w:val="24"/>
        </w:rPr>
        <w:t xml:space="preserve">, </w:t>
      </w:r>
      <w:r w:rsidRPr="00EA3BB0">
        <w:rPr>
          <w:rFonts w:ascii="Times New Roman" w:hAnsi="Times New Roman" w:cs="Times New Roman"/>
          <w:sz w:val="24"/>
          <w:szCs w:val="24"/>
        </w:rPr>
        <w:t xml:space="preserve">the frequency of response is as required, and the volume of response per </w:t>
      </w:r>
      <w:r w:rsidRPr="00EA3BB0">
        <w:rPr>
          <w:rFonts w:ascii="Times New Roman" w:hAnsi="Times New Roman" w:cs="Times New Roman"/>
          <w:sz w:val="24"/>
          <w:szCs w:val="24"/>
        </w:rPr>
        <w:lastRenderedPageBreak/>
        <w:t xml:space="preserve">respondent is </w:t>
      </w:r>
      <w:r w:rsidR="00086B5B">
        <w:rPr>
          <w:rFonts w:ascii="Times New Roman" w:hAnsi="Times New Roman" w:cs="Times New Roman"/>
          <w:sz w:val="24"/>
          <w:szCs w:val="24"/>
        </w:rPr>
        <w:t xml:space="preserve">100 to </w:t>
      </w:r>
      <w:r w:rsidR="003152A1">
        <w:rPr>
          <w:rFonts w:ascii="Times New Roman" w:hAnsi="Times New Roman" w:cs="Times New Roman"/>
          <w:sz w:val="24"/>
          <w:szCs w:val="24"/>
        </w:rPr>
        <w:t>3,000</w:t>
      </w:r>
      <w:r w:rsidRPr="00EA3BB0">
        <w:rPr>
          <w:rFonts w:ascii="Times New Roman" w:hAnsi="Times New Roman" w:cs="Times New Roman"/>
          <w:color w:val="FF0000"/>
          <w:sz w:val="24"/>
          <w:szCs w:val="24"/>
        </w:rPr>
        <w:t xml:space="preserve"> </w:t>
      </w:r>
      <w:r w:rsidRPr="00086B5B">
        <w:rPr>
          <w:rFonts w:ascii="Times New Roman" w:hAnsi="Times New Roman" w:cs="Times New Roman"/>
          <w:sz w:val="24"/>
          <w:szCs w:val="24"/>
        </w:rPr>
        <w:t xml:space="preserve">annually depending </w:t>
      </w:r>
      <w:r w:rsidRPr="00EA3BB0">
        <w:rPr>
          <w:rFonts w:ascii="Times New Roman" w:hAnsi="Times New Roman" w:cs="Times New Roman"/>
          <w:sz w:val="24"/>
          <w:szCs w:val="24"/>
        </w:rPr>
        <w:t xml:space="preserve">on the size of their FHA portfolio.  The public reporting burden for this collection of information is estimated to average 0.1 hour per response, including the time for reviewing instructions, searching existing data sources, </w:t>
      </w:r>
      <w:proofErr w:type="gramStart"/>
      <w:r w:rsidRPr="00EA3BB0">
        <w:rPr>
          <w:rFonts w:ascii="Times New Roman" w:hAnsi="Times New Roman" w:cs="Times New Roman"/>
          <w:sz w:val="24"/>
          <w:szCs w:val="24"/>
        </w:rPr>
        <w:t>gathering</w:t>
      </w:r>
      <w:proofErr w:type="gramEnd"/>
      <w:r w:rsidRPr="00EA3BB0">
        <w:rPr>
          <w:rFonts w:ascii="Times New Roman" w:hAnsi="Times New Roman" w:cs="Times New Roman"/>
          <w:sz w:val="24"/>
          <w:szCs w:val="24"/>
        </w:rPr>
        <w:t xml:space="preserve"> and maintaining the data needed, and keying and transmitting the collection of information.</w:t>
      </w:r>
    </w:p>
    <w:p w:rsidR="00C71BB6" w:rsidP="00C71BB6" w:rsidRDefault="00C71BB6" w14:paraId="42515569" w14:textId="2E1DB6F9">
      <w:pPr>
        <w:rPr>
          <w:rFonts w:ascii="Times New Roman" w:hAnsi="Times New Roman" w:cs="Times New Roman"/>
          <w:sz w:val="24"/>
          <w:szCs w:val="24"/>
        </w:rPr>
      </w:pPr>
      <w:r w:rsidRPr="004C7874">
        <w:rPr>
          <w:rFonts w:ascii="Times New Roman" w:hAnsi="Times New Roman" w:cs="Times New Roman"/>
          <w:sz w:val="24"/>
          <w:szCs w:val="24"/>
        </w:rPr>
        <w:t>Estimate of the Public Burden</w:t>
      </w:r>
    </w:p>
    <w:tbl>
      <w:tblPr>
        <w:tblW w:w="10675"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1575"/>
        <w:gridCol w:w="1350"/>
        <w:gridCol w:w="1260"/>
        <w:gridCol w:w="1450"/>
        <w:gridCol w:w="1080"/>
        <w:gridCol w:w="1440"/>
        <w:gridCol w:w="1170"/>
        <w:gridCol w:w="1350"/>
      </w:tblGrid>
      <w:tr w:rsidR="00C71BB6" w:rsidTr="00086B5B" w14:paraId="4069AB79" w14:textId="77777777">
        <w:trPr>
          <w:trHeight w:val="503"/>
        </w:trPr>
        <w:tc>
          <w:tcPr>
            <w:tcW w:w="1575" w:type="dxa"/>
            <w:vAlign w:val="center"/>
          </w:tcPr>
          <w:p w:rsidR="00C71BB6" w:rsidP="00D347A4" w:rsidRDefault="00C71BB6" w14:paraId="454668BF" w14:textId="77777777">
            <w:pPr>
              <w:tabs>
                <w:tab w:val="left" w:pos="360"/>
              </w:tabs>
              <w:spacing w:line="240" w:lineRule="atLeast"/>
              <w:ind w:left="108" w:right="108"/>
              <w:jc w:val="center"/>
              <w:rPr>
                <w:rFonts w:ascii="Arial" w:hAnsi="Arial" w:cs="Arial"/>
                <w:color w:val="000000"/>
                <w:sz w:val="18"/>
                <w:szCs w:val="24"/>
              </w:rPr>
            </w:pPr>
            <w:bookmarkStart w:name="_Hlk10127490" w:id="0"/>
            <w:r>
              <w:rPr>
                <w:rFonts w:ascii="Arial" w:hAnsi="Arial" w:cs="Arial"/>
                <w:color w:val="000000"/>
                <w:sz w:val="18"/>
                <w:szCs w:val="24"/>
              </w:rPr>
              <w:t>Information Collection</w:t>
            </w:r>
          </w:p>
        </w:tc>
        <w:tc>
          <w:tcPr>
            <w:tcW w:w="1350" w:type="dxa"/>
            <w:vAlign w:val="center"/>
          </w:tcPr>
          <w:p w:rsidR="00C71BB6" w:rsidP="00D347A4" w:rsidRDefault="00C71BB6" w14:paraId="392D4BCB"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Number of Respondents</w:t>
            </w:r>
          </w:p>
        </w:tc>
        <w:tc>
          <w:tcPr>
            <w:tcW w:w="1260" w:type="dxa"/>
            <w:vAlign w:val="center"/>
          </w:tcPr>
          <w:p w:rsidR="00C71BB6" w:rsidP="00D347A4" w:rsidRDefault="00C71BB6" w14:paraId="19C16D83"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Frequency of Response</w:t>
            </w:r>
          </w:p>
        </w:tc>
        <w:tc>
          <w:tcPr>
            <w:tcW w:w="1450" w:type="dxa"/>
            <w:vAlign w:val="center"/>
          </w:tcPr>
          <w:p w:rsidR="00C71BB6" w:rsidP="00D347A4" w:rsidRDefault="00C71BB6" w14:paraId="2C92E7FF"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Responses</w:t>
            </w:r>
          </w:p>
        </w:tc>
        <w:tc>
          <w:tcPr>
            <w:tcW w:w="1080" w:type="dxa"/>
            <w:vAlign w:val="center"/>
          </w:tcPr>
          <w:p w:rsidR="00C71BB6" w:rsidP="00D347A4" w:rsidRDefault="00C71BB6" w14:paraId="1ADAFE53"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Hours Per Response</w:t>
            </w:r>
          </w:p>
        </w:tc>
        <w:tc>
          <w:tcPr>
            <w:tcW w:w="1440" w:type="dxa"/>
            <w:vAlign w:val="center"/>
          </w:tcPr>
          <w:p w:rsidR="00C71BB6" w:rsidP="00D347A4" w:rsidRDefault="00C71BB6" w14:paraId="5E5B8414"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Hours</w:t>
            </w:r>
          </w:p>
        </w:tc>
        <w:tc>
          <w:tcPr>
            <w:tcW w:w="1170" w:type="dxa"/>
            <w:vAlign w:val="center"/>
          </w:tcPr>
          <w:p w:rsidR="00C71BB6" w:rsidP="00D347A4" w:rsidRDefault="00C71BB6" w14:paraId="77E6C981" w14:textId="7F0A70D8">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Hourly Cost</w:t>
            </w:r>
            <w:r w:rsidR="00273F7A">
              <w:rPr>
                <w:rFonts w:ascii="Arial" w:hAnsi="Arial" w:cs="Arial"/>
                <w:color w:val="000000"/>
                <w:sz w:val="18"/>
                <w:szCs w:val="24"/>
              </w:rPr>
              <w:t>*</w:t>
            </w:r>
          </w:p>
        </w:tc>
        <w:tc>
          <w:tcPr>
            <w:tcW w:w="1350" w:type="dxa"/>
            <w:vAlign w:val="center"/>
          </w:tcPr>
          <w:p w:rsidR="00C71BB6" w:rsidP="00D347A4" w:rsidRDefault="00C71BB6" w14:paraId="6BCD5CB0"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Cost</w:t>
            </w:r>
          </w:p>
        </w:tc>
      </w:tr>
      <w:tr w:rsidR="00C71BB6" w:rsidTr="00086B5B" w14:paraId="7978ADAE" w14:textId="77777777">
        <w:trPr>
          <w:trHeight w:val="260"/>
        </w:trPr>
        <w:tc>
          <w:tcPr>
            <w:tcW w:w="1575" w:type="dxa"/>
            <w:vAlign w:val="center"/>
          </w:tcPr>
          <w:p w:rsidR="00C71BB6" w:rsidP="00D347A4" w:rsidRDefault="00C71BB6" w14:paraId="378EF0AF" w14:textId="08EC3DAF">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 xml:space="preserve">Mortgage </w:t>
            </w:r>
            <w:r w:rsidR="00847535">
              <w:rPr>
                <w:rFonts w:ascii="Arial" w:hAnsi="Arial" w:cs="Arial"/>
                <w:color w:val="000000"/>
                <w:sz w:val="18"/>
                <w:szCs w:val="24"/>
              </w:rPr>
              <w:t>Record Change</w:t>
            </w:r>
            <w:r w:rsidR="00BC64DA">
              <w:rPr>
                <w:rFonts w:ascii="Arial" w:hAnsi="Arial" w:cs="Arial"/>
                <w:color w:val="000000"/>
                <w:sz w:val="18"/>
                <w:szCs w:val="24"/>
              </w:rPr>
              <w:t xml:space="preserve"> – Lenders</w:t>
            </w:r>
          </w:p>
        </w:tc>
        <w:tc>
          <w:tcPr>
            <w:tcW w:w="1350" w:type="dxa"/>
            <w:vAlign w:val="center"/>
          </w:tcPr>
          <w:p w:rsidRPr="00147E4D" w:rsidR="00C71BB6" w:rsidP="00D347A4" w:rsidRDefault="00CC5685" w14:paraId="01B429CB" w14:textId="7417D1F2">
            <w:pPr>
              <w:tabs>
                <w:tab w:val="left" w:pos="360"/>
              </w:tabs>
              <w:spacing w:line="240" w:lineRule="atLeast"/>
              <w:ind w:left="15" w:right="320"/>
              <w:jc w:val="right"/>
              <w:rPr>
                <w:rFonts w:ascii="Arial" w:hAnsi="Arial" w:cs="Arial"/>
                <w:sz w:val="18"/>
                <w:szCs w:val="24"/>
              </w:rPr>
            </w:pPr>
            <w:r w:rsidRPr="00147E4D">
              <w:rPr>
                <w:rFonts w:ascii="Arial" w:hAnsi="Arial" w:cs="Arial"/>
                <w:sz w:val="18"/>
                <w:szCs w:val="24"/>
              </w:rPr>
              <w:t>10</w:t>
            </w:r>
            <w:r w:rsidRPr="00147E4D" w:rsidR="00C71BB6">
              <w:rPr>
                <w:rFonts w:ascii="Arial" w:hAnsi="Arial" w:cs="Arial"/>
                <w:sz w:val="18"/>
                <w:szCs w:val="24"/>
              </w:rPr>
              <w:t>,000</w:t>
            </w:r>
          </w:p>
        </w:tc>
        <w:tc>
          <w:tcPr>
            <w:tcW w:w="1260" w:type="dxa"/>
            <w:vAlign w:val="center"/>
          </w:tcPr>
          <w:p w:rsidRPr="00147E4D" w:rsidR="00C71BB6" w:rsidP="00D347A4" w:rsidRDefault="00C71BB6" w14:paraId="77B3F768" w14:textId="77777777">
            <w:pPr>
              <w:spacing w:line="240" w:lineRule="atLeast"/>
              <w:ind w:left="108"/>
              <w:jc w:val="center"/>
              <w:rPr>
                <w:rFonts w:ascii="Arial" w:hAnsi="Arial" w:cs="Arial"/>
                <w:sz w:val="18"/>
                <w:szCs w:val="24"/>
              </w:rPr>
            </w:pPr>
            <w:r w:rsidRPr="00147E4D">
              <w:rPr>
                <w:rFonts w:ascii="Arial" w:hAnsi="Arial" w:cs="Arial"/>
                <w:sz w:val="18"/>
                <w:szCs w:val="24"/>
              </w:rPr>
              <w:t>Varies</w:t>
            </w:r>
          </w:p>
        </w:tc>
        <w:tc>
          <w:tcPr>
            <w:tcW w:w="1450" w:type="dxa"/>
            <w:vAlign w:val="center"/>
          </w:tcPr>
          <w:p w:rsidRPr="00147E4D" w:rsidR="00C71BB6" w:rsidP="00D347A4" w:rsidRDefault="00A17228" w14:paraId="4E27467F" w14:textId="292FA9B9">
            <w:pPr>
              <w:tabs>
                <w:tab w:val="left" w:pos="360"/>
              </w:tabs>
              <w:spacing w:line="240" w:lineRule="atLeast"/>
              <w:ind w:left="108" w:right="320"/>
              <w:jc w:val="right"/>
              <w:rPr>
                <w:rFonts w:ascii="Arial" w:hAnsi="Arial" w:cs="Arial"/>
                <w:sz w:val="18"/>
                <w:szCs w:val="24"/>
              </w:rPr>
            </w:pPr>
            <w:r>
              <w:rPr>
                <w:rFonts w:ascii="Arial" w:hAnsi="Arial" w:cs="Arial"/>
                <w:sz w:val="18"/>
                <w:szCs w:val="24"/>
              </w:rPr>
              <w:t>3,</w:t>
            </w:r>
            <w:r w:rsidR="00BC64DA">
              <w:rPr>
                <w:rFonts w:ascii="Arial" w:hAnsi="Arial" w:cs="Arial"/>
                <w:sz w:val="18"/>
                <w:szCs w:val="24"/>
              </w:rPr>
              <w:t>50</w:t>
            </w:r>
            <w:r w:rsidRPr="00147E4D" w:rsidR="00CC5685">
              <w:rPr>
                <w:rFonts w:ascii="Arial" w:hAnsi="Arial" w:cs="Arial"/>
                <w:sz w:val="18"/>
                <w:szCs w:val="24"/>
              </w:rPr>
              <w:t>0,000</w:t>
            </w:r>
          </w:p>
        </w:tc>
        <w:tc>
          <w:tcPr>
            <w:tcW w:w="1080" w:type="dxa"/>
            <w:vAlign w:val="center"/>
          </w:tcPr>
          <w:p w:rsidRPr="00147E4D" w:rsidR="00C71BB6" w:rsidP="00D347A4" w:rsidRDefault="00C71BB6" w14:paraId="53C84E54" w14:textId="474C56C3">
            <w:pPr>
              <w:tabs>
                <w:tab w:val="left" w:pos="360"/>
              </w:tabs>
              <w:spacing w:line="240" w:lineRule="atLeast"/>
              <w:ind w:left="108" w:right="320"/>
              <w:jc w:val="right"/>
              <w:rPr>
                <w:rFonts w:ascii="Arial" w:hAnsi="Arial" w:cs="Arial"/>
                <w:sz w:val="18"/>
                <w:szCs w:val="24"/>
              </w:rPr>
            </w:pPr>
            <w:r w:rsidRPr="00147E4D">
              <w:rPr>
                <w:rFonts w:ascii="Arial" w:hAnsi="Arial" w:cs="Arial"/>
                <w:sz w:val="18"/>
                <w:szCs w:val="24"/>
              </w:rPr>
              <w:t>.</w:t>
            </w:r>
            <w:r w:rsidRPr="00147E4D" w:rsidR="006F258B">
              <w:rPr>
                <w:rFonts w:ascii="Arial" w:hAnsi="Arial" w:cs="Arial"/>
                <w:sz w:val="18"/>
                <w:szCs w:val="24"/>
              </w:rPr>
              <w:t>1</w:t>
            </w:r>
          </w:p>
        </w:tc>
        <w:tc>
          <w:tcPr>
            <w:tcW w:w="1440" w:type="dxa"/>
            <w:vAlign w:val="center"/>
          </w:tcPr>
          <w:p w:rsidRPr="00147E4D" w:rsidR="00C71BB6" w:rsidP="00D347A4" w:rsidRDefault="00A5203B" w14:paraId="4671BE56" w14:textId="692FDF80">
            <w:pPr>
              <w:tabs>
                <w:tab w:val="left" w:pos="360"/>
              </w:tabs>
              <w:spacing w:line="240" w:lineRule="atLeast"/>
              <w:ind w:left="108" w:right="320"/>
              <w:jc w:val="right"/>
              <w:rPr>
                <w:rFonts w:ascii="Arial" w:hAnsi="Arial" w:cs="Arial"/>
                <w:sz w:val="18"/>
                <w:szCs w:val="24"/>
              </w:rPr>
            </w:pPr>
            <w:r>
              <w:rPr>
                <w:rFonts w:ascii="Arial" w:hAnsi="Arial" w:cs="Arial"/>
                <w:sz w:val="18"/>
                <w:szCs w:val="24"/>
              </w:rPr>
              <w:t>3</w:t>
            </w:r>
            <w:r w:rsidR="00BC64DA">
              <w:rPr>
                <w:rFonts w:ascii="Arial" w:hAnsi="Arial" w:cs="Arial"/>
                <w:sz w:val="18"/>
                <w:szCs w:val="24"/>
              </w:rPr>
              <w:t>50</w:t>
            </w:r>
            <w:r w:rsidRPr="00147E4D" w:rsidR="00C71BB6">
              <w:rPr>
                <w:rFonts w:ascii="Arial" w:hAnsi="Arial" w:cs="Arial"/>
                <w:sz w:val="18"/>
                <w:szCs w:val="24"/>
              </w:rPr>
              <w:t>,000</w:t>
            </w:r>
          </w:p>
        </w:tc>
        <w:tc>
          <w:tcPr>
            <w:tcW w:w="1170" w:type="dxa"/>
            <w:vAlign w:val="center"/>
          </w:tcPr>
          <w:p w:rsidRPr="00147E4D" w:rsidR="00C71BB6" w:rsidP="00D347A4" w:rsidRDefault="00C71BB6" w14:paraId="149FD092" w14:textId="4A8DCDCB">
            <w:pPr>
              <w:tabs>
                <w:tab w:val="left" w:pos="360"/>
              </w:tabs>
              <w:spacing w:line="240" w:lineRule="atLeast"/>
              <w:ind w:left="108" w:right="320"/>
              <w:jc w:val="right"/>
              <w:rPr>
                <w:rFonts w:ascii="Arial" w:hAnsi="Arial" w:cs="Arial"/>
                <w:sz w:val="18"/>
                <w:szCs w:val="24"/>
              </w:rPr>
            </w:pPr>
            <w:r w:rsidRPr="00147E4D">
              <w:rPr>
                <w:rFonts w:ascii="Arial" w:hAnsi="Arial" w:cs="Arial"/>
                <w:sz w:val="18"/>
                <w:szCs w:val="24"/>
              </w:rPr>
              <w:t>$</w:t>
            </w:r>
            <w:r w:rsidRPr="00147E4D" w:rsidR="007076A1">
              <w:rPr>
                <w:rFonts w:ascii="Arial" w:hAnsi="Arial" w:cs="Arial"/>
                <w:sz w:val="18"/>
                <w:szCs w:val="24"/>
              </w:rPr>
              <w:t>19.02</w:t>
            </w:r>
          </w:p>
        </w:tc>
        <w:tc>
          <w:tcPr>
            <w:tcW w:w="1350" w:type="dxa"/>
            <w:vAlign w:val="center"/>
          </w:tcPr>
          <w:p w:rsidRPr="00147E4D" w:rsidR="00C71BB6" w:rsidP="00D347A4" w:rsidRDefault="00C71BB6" w14:paraId="52113705" w14:textId="5ADD73A0">
            <w:pPr>
              <w:tabs>
                <w:tab w:val="left" w:pos="360"/>
              </w:tabs>
              <w:spacing w:line="240" w:lineRule="atLeast"/>
              <w:ind w:left="108" w:right="90"/>
              <w:jc w:val="right"/>
              <w:rPr>
                <w:rFonts w:ascii="Arial" w:hAnsi="Arial" w:cs="Arial"/>
                <w:sz w:val="18"/>
                <w:szCs w:val="24"/>
              </w:rPr>
            </w:pPr>
            <w:r w:rsidRPr="00147E4D">
              <w:rPr>
                <w:rFonts w:ascii="Arial" w:hAnsi="Arial" w:cs="Arial"/>
                <w:sz w:val="18"/>
                <w:szCs w:val="24"/>
              </w:rPr>
              <w:t>$</w:t>
            </w:r>
            <w:r w:rsidR="00186BBF">
              <w:rPr>
                <w:rFonts w:ascii="Arial" w:hAnsi="Arial" w:cs="Arial"/>
                <w:sz w:val="18"/>
                <w:szCs w:val="24"/>
              </w:rPr>
              <w:t>6,</w:t>
            </w:r>
            <w:r w:rsidR="005B2280">
              <w:rPr>
                <w:rFonts w:ascii="Arial" w:hAnsi="Arial" w:cs="Arial"/>
                <w:sz w:val="18"/>
                <w:szCs w:val="24"/>
              </w:rPr>
              <w:t>980,340</w:t>
            </w:r>
          </w:p>
        </w:tc>
      </w:tr>
      <w:tr w:rsidR="00BC64DA" w:rsidTr="00086B5B" w14:paraId="416BA87D" w14:textId="77777777">
        <w:tc>
          <w:tcPr>
            <w:tcW w:w="1575" w:type="dxa"/>
            <w:vAlign w:val="center"/>
          </w:tcPr>
          <w:p w:rsidRPr="00BC64DA" w:rsidR="00BC64DA" w:rsidP="00D347A4" w:rsidRDefault="00BC64DA" w14:paraId="3DEE4576" w14:textId="53102842">
            <w:pPr>
              <w:tabs>
                <w:tab w:val="left" w:pos="360"/>
              </w:tabs>
              <w:spacing w:line="240" w:lineRule="atLeast"/>
              <w:ind w:left="108" w:right="108"/>
              <w:rPr>
                <w:rFonts w:ascii="Arial" w:hAnsi="Arial" w:cs="Arial"/>
                <w:color w:val="000000"/>
                <w:sz w:val="18"/>
                <w:szCs w:val="24"/>
              </w:rPr>
            </w:pPr>
            <w:r>
              <w:rPr>
                <w:rFonts w:ascii="Arial" w:hAnsi="Arial" w:cs="Arial"/>
                <w:color w:val="000000"/>
                <w:sz w:val="18"/>
                <w:szCs w:val="24"/>
              </w:rPr>
              <w:t>Mortgage Record Change – HUD Analysts</w:t>
            </w:r>
          </w:p>
        </w:tc>
        <w:tc>
          <w:tcPr>
            <w:tcW w:w="1350" w:type="dxa"/>
            <w:vAlign w:val="center"/>
          </w:tcPr>
          <w:p w:rsidRPr="00C325F9" w:rsidR="00BC64DA" w:rsidP="00D347A4" w:rsidRDefault="00C325F9" w14:paraId="78EBA16C" w14:textId="6B9AE618">
            <w:pPr>
              <w:tabs>
                <w:tab w:val="left" w:pos="360"/>
              </w:tabs>
              <w:spacing w:line="240" w:lineRule="atLeast"/>
              <w:ind w:left="108" w:right="320"/>
              <w:jc w:val="right"/>
              <w:rPr>
                <w:rFonts w:ascii="Arial" w:hAnsi="Arial" w:cs="Arial"/>
                <w:bCs/>
                <w:sz w:val="18"/>
                <w:szCs w:val="24"/>
              </w:rPr>
            </w:pPr>
            <w:r>
              <w:rPr>
                <w:rFonts w:ascii="Arial" w:hAnsi="Arial" w:cs="Arial"/>
                <w:bCs/>
                <w:sz w:val="18"/>
                <w:szCs w:val="24"/>
              </w:rPr>
              <w:t>10</w:t>
            </w:r>
          </w:p>
        </w:tc>
        <w:tc>
          <w:tcPr>
            <w:tcW w:w="1260" w:type="dxa"/>
            <w:vAlign w:val="center"/>
          </w:tcPr>
          <w:p w:rsidRPr="00C325F9" w:rsidR="00BC64DA" w:rsidP="00D347A4" w:rsidRDefault="00C325F9" w14:paraId="029C991C" w14:textId="102B5A35">
            <w:pPr>
              <w:spacing w:line="240" w:lineRule="atLeast"/>
              <w:ind w:left="15"/>
              <w:jc w:val="center"/>
              <w:rPr>
                <w:rFonts w:ascii="Arial" w:hAnsi="Arial" w:cs="Arial"/>
                <w:sz w:val="18"/>
                <w:szCs w:val="24"/>
              </w:rPr>
            </w:pPr>
            <w:r>
              <w:rPr>
                <w:rFonts w:ascii="Arial" w:hAnsi="Arial" w:cs="Arial"/>
                <w:sz w:val="18"/>
                <w:szCs w:val="24"/>
              </w:rPr>
              <w:t>Varies</w:t>
            </w:r>
          </w:p>
        </w:tc>
        <w:tc>
          <w:tcPr>
            <w:tcW w:w="1450" w:type="dxa"/>
            <w:vAlign w:val="center"/>
          </w:tcPr>
          <w:p w:rsidRPr="00C325F9" w:rsidR="00BC64DA" w:rsidP="00D347A4" w:rsidRDefault="00C325F9" w14:paraId="4CAA77CD" w14:textId="3C8D92B1">
            <w:pPr>
              <w:tabs>
                <w:tab w:val="left" w:pos="360"/>
              </w:tabs>
              <w:spacing w:line="240" w:lineRule="atLeast"/>
              <w:ind w:left="15" w:right="320"/>
              <w:jc w:val="right"/>
              <w:rPr>
                <w:rFonts w:ascii="Arial" w:hAnsi="Arial" w:cs="Arial"/>
                <w:bCs/>
                <w:sz w:val="18"/>
                <w:szCs w:val="24"/>
              </w:rPr>
            </w:pPr>
            <w:r>
              <w:rPr>
                <w:rFonts w:ascii="Arial" w:hAnsi="Arial" w:cs="Arial"/>
                <w:bCs/>
                <w:sz w:val="18"/>
                <w:szCs w:val="24"/>
              </w:rPr>
              <w:t>165,000</w:t>
            </w:r>
          </w:p>
        </w:tc>
        <w:tc>
          <w:tcPr>
            <w:tcW w:w="1080" w:type="dxa"/>
            <w:vAlign w:val="center"/>
          </w:tcPr>
          <w:p w:rsidRPr="00C325F9" w:rsidR="00BC64DA" w:rsidP="00D347A4" w:rsidRDefault="00C325F9" w14:paraId="42C2C8E5" w14:textId="79D02FFC">
            <w:pPr>
              <w:tabs>
                <w:tab w:val="left" w:pos="360"/>
              </w:tabs>
              <w:spacing w:line="240" w:lineRule="atLeast"/>
              <w:ind w:left="15" w:right="320"/>
              <w:jc w:val="right"/>
              <w:rPr>
                <w:rFonts w:ascii="Arial" w:hAnsi="Arial" w:cs="Arial"/>
                <w:sz w:val="18"/>
                <w:szCs w:val="24"/>
              </w:rPr>
            </w:pPr>
            <w:r>
              <w:rPr>
                <w:rFonts w:ascii="Arial" w:hAnsi="Arial" w:cs="Arial"/>
                <w:b/>
                <w:bCs/>
                <w:sz w:val="18"/>
                <w:szCs w:val="24"/>
              </w:rPr>
              <w:t>.</w:t>
            </w:r>
            <w:r>
              <w:rPr>
                <w:rFonts w:ascii="Arial" w:hAnsi="Arial" w:cs="Arial"/>
                <w:sz w:val="18"/>
                <w:szCs w:val="24"/>
              </w:rPr>
              <w:t>25</w:t>
            </w:r>
          </w:p>
        </w:tc>
        <w:tc>
          <w:tcPr>
            <w:tcW w:w="1440" w:type="dxa"/>
            <w:vAlign w:val="center"/>
          </w:tcPr>
          <w:p w:rsidRPr="0003358E" w:rsidR="00BC64DA" w:rsidP="00D347A4" w:rsidRDefault="0003358E" w14:paraId="45A1C65E" w14:textId="5B3B83DA">
            <w:pPr>
              <w:tabs>
                <w:tab w:val="left" w:pos="360"/>
              </w:tabs>
              <w:spacing w:line="240" w:lineRule="atLeast"/>
              <w:ind w:left="15" w:right="320"/>
              <w:jc w:val="right"/>
              <w:rPr>
                <w:rFonts w:ascii="Arial" w:hAnsi="Arial" w:cs="Arial"/>
                <w:bCs/>
                <w:sz w:val="18"/>
                <w:szCs w:val="24"/>
              </w:rPr>
            </w:pPr>
            <w:r w:rsidRPr="0003358E">
              <w:rPr>
                <w:rFonts w:ascii="Arial" w:hAnsi="Arial" w:cs="Arial"/>
                <w:bCs/>
                <w:sz w:val="18"/>
                <w:szCs w:val="24"/>
              </w:rPr>
              <w:t>41,250</w:t>
            </w:r>
          </w:p>
        </w:tc>
        <w:tc>
          <w:tcPr>
            <w:tcW w:w="1170" w:type="dxa"/>
            <w:vAlign w:val="center"/>
          </w:tcPr>
          <w:p w:rsidRPr="006F26C1" w:rsidR="00BC64DA" w:rsidP="00D347A4" w:rsidRDefault="006F26C1" w14:paraId="6A43E16F" w14:textId="28186410">
            <w:pPr>
              <w:tabs>
                <w:tab w:val="left" w:pos="360"/>
              </w:tabs>
              <w:spacing w:line="240" w:lineRule="atLeast"/>
              <w:ind w:left="15" w:right="320"/>
              <w:jc w:val="right"/>
              <w:rPr>
                <w:rFonts w:ascii="Arial" w:hAnsi="Arial" w:cs="Arial"/>
                <w:bCs/>
                <w:sz w:val="18"/>
                <w:szCs w:val="24"/>
              </w:rPr>
            </w:pPr>
            <w:r w:rsidRPr="006F26C1">
              <w:rPr>
                <w:rFonts w:ascii="Arial" w:hAnsi="Arial" w:cs="Arial"/>
                <w:bCs/>
                <w:sz w:val="18"/>
                <w:szCs w:val="24"/>
              </w:rPr>
              <w:t>$41.37</w:t>
            </w:r>
          </w:p>
        </w:tc>
        <w:tc>
          <w:tcPr>
            <w:tcW w:w="1350" w:type="dxa"/>
            <w:vAlign w:val="center"/>
          </w:tcPr>
          <w:p w:rsidRPr="00A45DA1" w:rsidR="00BC64DA" w:rsidP="00D347A4" w:rsidRDefault="00A45DA1" w14:paraId="492C3EA2" w14:textId="37B849AD">
            <w:pPr>
              <w:tabs>
                <w:tab w:val="left" w:pos="360"/>
              </w:tabs>
              <w:spacing w:line="240" w:lineRule="atLeast"/>
              <w:ind w:left="15" w:right="90"/>
              <w:jc w:val="right"/>
              <w:rPr>
                <w:rFonts w:ascii="Arial" w:hAnsi="Arial" w:cs="Arial"/>
                <w:bCs/>
                <w:sz w:val="18"/>
                <w:szCs w:val="24"/>
              </w:rPr>
            </w:pPr>
            <w:r w:rsidRPr="00A45DA1">
              <w:rPr>
                <w:rFonts w:ascii="Arial" w:hAnsi="Arial" w:cs="Arial"/>
                <w:bCs/>
                <w:sz w:val="18"/>
                <w:szCs w:val="24"/>
              </w:rPr>
              <w:t>$1,706,512</w:t>
            </w:r>
          </w:p>
        </w:tc>
      </w:tr>
      <w:tr w:rsidR="00C71BB6" w:rsidTr="00086B5B" w14:paraId="27AABB33" w14:textId="77777777">
        <w:tc>
          <w:tcPr>
            <w:tcW w:w="1575" w:type="dxa"/>
            <w:vAlign w:val="center"/>
          </w:tcPr>
          <w:p w:rsidR="00C71BB6" w:rsidP="00D347A4" w:rsidRDefault="00C71BB6" w14:paraId="6D89DF99" w14:textId="77777777">
            <w:pPr>
              <w:tabs>
                <w:tab w:val="left" w:pos="360"/>
              </w:tabs>
              <w:spacing w:line="240" w:lineRule="atLeast"/>
              <w:ind w:left="108" w:right="108"/>
              <w:rPr>
                <w:rFonts w:ascii="Arial" w:hAnsi="Arial" w:cs="Arial"/>
                <w:b/>
                <w:bCs/>
                <w:color w:val="000000"/>
                <w:sz w:val="18"/>
                <w:szCs w:val="24"/>
              </w:rPr>
            </w:pPr>
            <w:r>
              <w:rPr>
                <w:rFonts w:ascii="Arial" w:hAnsi="Arial" w:cs="Arial"/>
                <w:b/>
                <w:bCs/>
                <w:color w:val="000000"/>
                <w:sz w:val="18"/>
                <w:szCs w:val="24"/>
              </w:rPr>
              <w:t>Totals</w:t>
            </w:r>
          </w:p>
        </w:tc>
        <w:tc>
          <w:tcPr>
            <w:tcW w:w="1350" w:type="dxa"/>
            <w:vAlign w:val="center"/>
          </w:tcPr>
          <w:p w:rsidRPr="00147E4D" w:rsidR="00C71BB6" w:rsidP="00D347A4" w:rsidRDefault="00147E4D" w14:paraId="5D53DD27" w14:textId="59F69288">
            <w:pPr>
              <w:tabs>
                <w:tab w:val="left" w:pos="360"/>
              </w:tabs>
              <w:spacing w:line="240" w:lineRule="atLeast"/>
              <w:ind w:left="108" w:right="320"/>
              <w:jc w:val="right"/>
              <w:rPr>
                <w:rFonts w:ascii="Arial" w:hAnsi="Arial" w:cs="Arial"/>
                <w:b/>
                <w:sz w:val="18"/>
                <w:szCs w:val="24"/>
              </w:rPr>
            </w:pPr>
            <w:r w:rsidRPr="00147E4D">
              <w:rPr>
                <w:rFonts w:ascii="Arial" w:hAnsi="Arial" w:cs="Arial"/>
                <w:b/>
                <w:sz w:val="18"/>
                <w:szCs w:val="24"/>
              </w:rPr>
              <w:t>10,0</w:t>
            </w:r>
            <w:r w:rsidR="00C325F9">
              <w:rPr>
                <w:rFonts w:ascii="Arial" w:hAnsi="Arial" w:cs="Arial"/>
                <w:b/>
                <w:sz w:val="18"/>
                <w:szCs w:val="24"/>
              </w:rPr>
              <w:t>10</w:t>
            </w:r>
          </w:p>
        </w:tc>
        <w:tc>
          <w:tcPr>
            <w:tcW w:w="1260" w:type="dxa"/>
            <w:vAlign w:val="center"/>
          </w:tcPr>
          <w:p w:rsidRPr="00147E4D" w:rsidR="00C71BB6" w:rsidP="00D347A4" w:rsidRDefault="00C71BB6" w14:paraId="755802A6" w14:textId="77777777">
            <w:pPr>
              <w:spacing w:line="240" w:lineRule="atLeast"/>
              <w:ind w:left="15"/>
              <w:jc w:val="center"/>
              <w:rPr>
                <w:rFonts w:ascii="Arial" w:hAnsi="Arial" w:cs="Arial"/>
                <w:b/>
                <w:bCs/>
                <w:sz w:val="18"/>
                <w:szCs w:val="24"/>
              </w:rPr>
            </w:pPr>
          </w:p>
        </w:tc>
        <w:tc>
          <w:tcPr>
            <w:tcW w:w="1450" w:type="dxa"/>
            <w:vAlign w:val="center"/>
          </w:tcPr>
          <w:p w:rsidRPr="00147E4D" w:rsidR="00C71BB6" w:rsidP="00D347A4" w:rsidRDefault="00A5203B" w14:paraId="4C6A8035" w14:textId="2DC62B64">
            <w:pPr>
              <w:tabs>
                <w:tab w:val="left" w:pos="360"/>
              </w:tabs>
              <w:spacing w:line="240" w:lineRule="atLeast"/>
              <w:ind w:left="15" w:right="320"/>
              <w:jc w:val="right"/>
              <w:rPr>
                <w:rFonts w:ascii="Arial" w:hAnsi="Arial" w:cs="Arial"/>
                <w:b/>
                <w:sz w:val="18"/>
                <w:szCs w:val="24"/>
              </w:rPr>
            </w:pPr>
            <w:r>
              <w:rPr>
                <w:rFonts w:ascii="Arial" w:hAnsi="Arial" w:cs="Arial"/>
                <w:b/>
                <w:sz w:val="18"/>
                <w:szCs w:val="24"/>
              </w:rPr>
              <w:t>3,</w:t>
            </w:r>
            <w:r w:rsidR="00D5394C">
              <w:rPr>
                <w:rFonts w:ascii="Arial" w:hAnsi="Arial" w:cs="Arial"/>
                <w:b/>
                <w:sz w:val="18"/>
                <w:szCs w:val="24"/>
              </w:rPr>
              <w:t>67</w:t>
            </w:r>
            <w:r w:rsidRPr="00147E4D" w:rsidR="00086B5B">
              <w:rPr>
                <w:rFonts w:ascii="Arial" w:hAnsi="Arial" w:cs="Arial"/>
                <w:b/>
                <w:sz w:val="18"/>
                <w:szCs w:val="24"/>
              </w:rPr>
              <w:t>0,000</w:t>
            </w:r>
          </w:p>
        </w:tc>
        <w:tc>
          <w:tcPr>
            <w:tcW w:w="1080" w:type="dxa"/>
            <w:vAlign w:val="center"/>
          </w:tcPr>
          <w:p w:rsidRPr="00147E4D" w:rsidR="00C71BB6" w:rsidP="00D347A4" w:rsidRDefault="00C71BB6" w14:paraId="2CC54C4B" w14:textId="77777777">
            <w:pPr>
              <w:tabs>
                <w:tab w:val="left" w:pos="360"/>
              </w:tabs>
              <w:spacing w:line="240" w:lineRule="atLeast"/>
              <w:ind w:left="15" w:right="320"/>
              <w:jc w:val="right"/>
              <w:rPr>
                <w:rFonts w:ascii="Arial" w:hAnsi="Arial" w:cs="Arial"/>
                <w:b/>
                <w:bCs/>
                <w:sz w:val="18"/>
                <w:szCs w:val="24"/>
              </w:rPr>
            </w:pPr>
          </w:p>
        </w:tc>
        <w:tc>
          <w:tcPr>
            <w:tcW w:w="1440" w:type="dxa"/>
            <w:vAlign w:val="center"/>
          </w:tcPr>
          <w:p w:rsidRPr="00147E4D" w:rsidR="00C71BB6" w:rsidP="00D347A4" w:rsidRDefault="00A5203B" w14:paraId="280CA753" w14:textId="0125CA94">
            <w:pPr>
              <w:tabs>
                <w:tab w:val="left" w:pos="360"/>
              </w:tabs>
              <w:spacing w:line="240" w:lineRule="atLeast"/>
              <w:ind w:left="15" w:right="320"/>
              <w:jc w:val="right"/>
              <w:rPr>
                <w:rFonts w:ascii="Arial" w:hAnsi="Arial" w:cs="Arial"/>
                <w:b/>
                <w:sz w:val="18"/>
                <w:szCs w:val="24"/>
              </w:rPr>
            </w:pPr>
            <w:r>
              <w:rPr>
                <w:rFonts w:ascii="Arial" w:hAnsi="Arial" w:cs="Arial"/>
                <w:b/>
                <w:sz w:val="18"/>
                <w:szCs w:val="24"/>
              </w:rPr>
              <w:t>3</w:t>
            </w:r>
            <w:r w:rsidR="00EA7BA7">
              <w:rPr>
                <w:rFonts w:ascii="Arial" w:hAnsi="Arial" w:cs="Arial"/>
                <w:b/>
                <w:sz w:val="18"/>
                <w:szCs w:val="24"/>
              </w:rPr>
              <w:t>91</w:t>
            </w:r>
            <w:r w:rsidRPr="00147E4D" w:rsidR="00086B5B">
              <w:rPr>
                <w:rFonts w:ascii="Arial" w:hAnsi="Arial" w:cs="Arial"/>
                <w:b/>
                <w:sz w:val="18"/>
                <w:szCs w:val="24"/>
              </w:rPr>
              <w:t>,</w:t>
            </w:r>
            <w:r w:rsidR="00EA7BA7">
              <w:rPr>
                <w:rFonts w:ascii="Arial" w:hAnsi="Arial" w:cs="Arial"/>
                <w:b/>
                <w:sz w:val="18"/>
                <w:szCs w:val="24"/>
              </w:rPr>
              <w:t>25</w:t>
            </w:r>
            <w:r w:rsidRPr="00147E4D" w:rsidR="00086B5B">
              <w:rPr>
                <w:rFonts w:ascii="Arial" w:hAnsi="Arial" w:cs="Arial"/>
                <w:b/>
                <w:sz w:val="18"/>
                <w:szCs w:val="24"/>
              </w:rPr>
              <w:t>0</w:t>
            </w:r>
          </w:p>
        </w:tc>
        <w:tc>
          <w:tcPr>
            <w:tcW w:w="1170" w:type="dxa"/>
            <w:vAlign w:val="center"/>
          </w:tcPr>
          <w:p w:rsidRPr="00147E4D" w:rsidR="00C71BB6" w:rsidP="00D347A4" w:rsidRDefault="00C71BB6" w14:paraId="087BD8F9" w14:textId="77777777">
            <w:pPr>
              <w:tabs>
                <w:tab w:val="left" w:pos="360"/>
              </w:tabs>
              <w:spacing w:line="240" w:lineRule="atLeast"/>
              <w:ind w:left="15" w:right="320"/>
              <w:jc w:val="right"/>
              <w:rPr>
                <w:rFonts w:ascii="Arial" w:hAnsi="Arial" w:cs="Arial"/>
                <w:b/>
                <w:sz w:val="18"/>
                <w:szCs w:val="24"/>
              </w:rPr>
            </w:pPr>
          </w:p>
        </w:tc>
        <w:tc>
          <w:tcPr>
            <w:tcW w:w="1350" w:type="dxa"/>
            <w:vAlign w:val="center"/>
          </w:tcPr>
          <w:p w:rsidRPr="00147E4D" w:rsidR="00C71BB6" w:rsidP="00D347A4" w:rsidRDefault="00C71BB6" w14:paraId="123F7651" w14:textId="2038C03C">
            <w:pPr>
              <w:tabs>
                <w:tab w:val="left" w:pos="360"/>
              </w:tabs>
              <w:spacing w:line="240" w:lineRule="atLeast"/>
              <w:ind w:left="15" w:right="90"/>
              <w:jc w:val="right"/>
              <w:rPr>
                <w:rFonts w:ascii="Arial" w:hAnsi="Arial" w:cs="Arial"/>
                <w:b/>
                <w:sz w:val="18"/>
                <w:szCs w:val="24"/>
              </w:rPr>
            </w:pPr>
            <w:r w:rsidRPr="00147E4D">
              <w:rPr>
                <w:rFonts w:ascii="Arial" w:hAnsi="Arial" w:cs="Arial"/>
                <w:b/>
                <w:sz w:val="18"/>
                <w:szCs w:val="24"/>
              </w:rPr>
              <w:t>$</w:t>
            </w:r>
            <w:r w:rsidR="00186BBF">
              <w:rPr>
                <w:rFonts w:ascii="Arial" w:hAnsi="Arial" w:cs="Arial"/>
                <w:b/>
                <w:sz w:val="18"/>
                <w:szCs w:val="24"/>
              </w:rPr>
              <w:t>6,</w:t>
            </w:r>
            <w:r w:rsidR="005B2280">
              <w:rPr>
                <w:rFonts w:ascii="Arial" w:hAnsi="Arial" w:cs="Arial"/>
                <w:b/>
                <w:sz w:val="18"/>
                <w:szCs w:val="24"/>
              </w:rPr>
              <w:t>980,340</w:t>
            </w:r>
          </w:p>
        </w:tc>
      </w:tr>
    </w:tbl>
    <w:bookmarkEnd w:id="0"/>
    <w:p w:rsidR="00273F7A" w:rsidP="00C71BB6" w:rsidRDefault="00C71BB6" w14:paraId="1C8405A9" w14:textId="4AC385DD">
      <w:pPr>
        <w:rPr>
          <w:rFonts w:ascii="Times New Roman" w:hAnsi="Times New Roman" w:cs="Times New Roman"/>
          <w:sz w:val="24"/>
          <w:szCs w:val="24"/>
        </w:rPr>
      </w:pPr>
      <w:r w:rsidRPr="00531DCA">
        <w:rPr>
          <w:rFonts w:ascii="Times New Roman" w:hAnsi="Times New Roman" w:cs="Times New Roman"/>
          <w:sz w:val="24"/>
          <w:szCs w:val="24"/>
        </w:rPr>
        <w:t xml:space="preserve"> </w:t>
      </w:r>
      <w:r w:rsidR="00273F7A">
        <w:rPr>
          <w:rFonts w:ascii="Times New Roman" w:hAnsi="Times New Roman" w:cs="Times New Roman"/>
          <w:sz w:val="24"/>
          <w:szCs w:val="24"/>
        </w:rPr>
        <w:br/>
        <w:t xml:space="preserve">*Hourly cost was pulled from </w:t>
      </w:r>
      <w:hyperlink w:history="1" r:id="rId8">
        <w:r w:rsidRPr="00912703" w:rsidR="00273F7A">
          <w:rPr>
            <w:rStyle w:val="Hyperlink"/>
            <w:rFonts w:ascii="Times New Roman" w:hAnsi="Times New Roman" w:cs="Times New Roman"/>
            <w:sz w:val="24"/>
            <w:szCs w:val="24"/>
          </w:rPr>
          <w:t>https://www.bls.gov/oes/current/oes_nat.htm</w:t>
        </w:r>
      </w:hyperlink>
      <w:r w:rsidRPr="00912703" w:rsidR="00273F7A">
        <w:rPr>
          <w:rFonts w:ascii="Times New Roman" w:hAnsi="Times New Roman" w:cs="Times New Roman"/>
          <w:sz w:val="24"/>
          <w:szCs w:val="24"/>
        </w:rPr>
        <w:t xml:space="preserve"> using the mean</w:t>
      </w:r>
      <w:r w:rsidR="00273F7A">
        <w:rPr>
          <w:rFonts w:ascii="Times New Roman" w:hAnsi="Times New Roman" w:cs="Times New Roman"/>
          <w:sz w:val="24"/>
          <w:szCs w:val="24"/>
        </w:rPr>
        <w:t xml:space="preserve"> </w:t>
      </w:r>
      <w:r w:rsidRPr="00912703" w:rsidR="00273F7A">
        <w:rPr>
          <w:rFonts w:ascii="Times New Roman" w:hAnsi="Times New Roman" w:cs="Times New Roman"/>
          <w:sz w:val="24"/>
          <w:szCs w:val="24"/>
        </w:rPr>
        <w:t xml:space="preserve">hourly wage for </w:t>
      </w:r>
      <w:r w:rsidR="00620EEE">
        <w:rPr>
          <w:rFonts w:ascii="Times New Roman" w:hAnsi="Times New Roman" w:cs="Times New Roman"/>
          <w:sz w:val="24"/>
          <w:szCs w:val="24"/>
        </w:rPr>
        <w:t>financial clerks</w:t>
      </w:r>
      <w:r w:rsidRPr="00912703" w:rsidR="00273F7A">
        <w:rPr>
          <w:rFonts w:ascii="Times New Roman" w:hAnsi="Times New Roman" w:cs="Times New Roman"/>
          <w:sz w:val="24"/>
          <w:szCs w:val="24"/>
        </w:rPr>
        <w:t>.</w:t>
      </w:r>
    </w:p>
    <w:p w:rsidRPr="00531DCA" w:rsidR="006F26C1" w:rsidP="00C71BB6" w:rsidRDefault="006F26C1" w14:paraId="49F35723" w14:textId="44BD5A1F">
      <w:pPr>
        <w:rPr>
          <w:rFonts w:ascii="Times New Roman" w:hAnsi="Times New Roman" w:cs="Times New Roman"/>
          <w:sz w:val="24"/>
          <w:szCs w:val="24"/>
        </w:rPr>
      </w:pPr>
      <w:r>
        <w:rPr>
          <w:rFonts w:ascii="Times New Roman" w:hAnsi="Times New Roman" w:cs="Times New Roman"/>
          <w:sz w:val="24"/>
          <w:szCs w:val="24"/>
        </w:rPr>
        <w:t xml:space="preserve">*Hourly cost for HUD Analysts </w:t>
      </w:r>
      <w:r w:rsidR="00E14EAF">
        <w:rPr>
          <w:rFonts w:ascii="Times New Roman" w:hAnsi="Times New Roman" w:cs="Times New Roman"/>
          <w:sz w:val="24"/>
          <w:szCs w:val="24"/>
        </w:rPr>
        <w:t xml:space="preserve">was </w:t>
      </w:r>
      <w:r>
        <w:rPr>
          <w:rFonts w:ascii="Times New Roman" w:hAnsi="Times New Roman" w:cs="Times New Roman"/>
          <w:sz w:val="24"/>
          <w:szCs w:val="24"/>
        </w:rPr>
        <w:t xml:space="preserve">pulled from </w:t>
      </w:r>
      <w:hyperlink w:history="1" r:id="rId9">
        <w:r w:rsidRPr="002975B9" w:rsidR="00E14EAF">
          <w:rPr>
            <w:rStyle w:val="Hyperlink"/>
            <w:rFonts w:ascii="Times New Roman" w:hAnsi="Times New Roman" w:cs="Times New Roman"/>
            <w:sz w:val="24"/>
            <w:szCs w:val="24"/>
          </w:rPr>
          <w:t>https://www.opm.gov/policy-data-oversight/pay-leave/salaries-wages/salary-tables/pdf/2020/DCB.pdf</w:t>
        </w:r>
      </w:hyperlink>
      <w:r w:rsidR="00E14EAF">
        <w:rPr>
          <w:rFonts w:ascii="Times New Roman" w:hAnsi="Times New Roman" w:cs="Times New Roman"/>
          <w:sz w:val="24"/>
          <w:szCs w:val="24"/>
        </w:rPr>
        <w:t xml:space="preserve"> </w:t>
      </w:r>
      <w:r w:rsidR="009D0B82">
        <w:rPr>
          <w:rFonts w:ascii="Times New Roman" w:hAnsi="Times New Roman" w:cs="Times New Roman"/>
          <w:sz w:val="24"/>
          <w:szCs w:val="24"/>
        </w:rPr>
        <w:t xml:space="preserve">using the rate of GS12 step 1 employee </w:t>
      </w:r>
      <w:r w:rsidR="004B31E2">
        <w:rPr>
          <w:rFonts w:ascii="Times New Roman" w:hAnsi="Times New Roman" w:cs="Times New Roman"/>
          <w:sz w:val="24"/>
          <w:szCs w:val="24"/>
        </w:rPr>
        <w:t xml:space="preserve">based in Washington DC. </w:t>
      </w:r>
    </w:p>
    <w:p w:rsidRPr="00575D07" w:rsidR="00867D9E" w:rsidP="00867D9E" w:rsidRDefault="00C71BB6" w14:paraId="6863A3AC" w14:textId="77777777">
      <w:pPr>
        <w:rPr>
          <w:rFonts w:ascii="Times New Roman" w:hAnsi="Times New Roman"/>
          <w:sz w:val="24"/>
          <w:szCs w:val="24"/>
        </w:rPr>
      </w:pPr>
      <w:r w:rsidRPr="00531DCA">
        <w:rPr>
          <w:rFonts w:ascii="Times New Roman" w:hAnsi="Times New Roman" w:cs="Times New Roman"/>
          <w:sz w:val="24"/>
          <w:szCs w:val="24"/>
        </w:rPr>
        <w:t xml:space="preserve">13. </w:t>
      </w:r>
      <w:r w:rsidRPr="00575D07" w:rsidR="00867D9E">
        <w:rPr>
          <w:rFonts w:ascii="Times New Roman" w:hAnsi="Times New Roman"/>
          <w:sz w:val="24"/>
          <w:szCs w:val="24"/>
        </w:rPr>
        <w:t xml:space="preserve">Provide an estimate for the total annual cost burden to respondents or recordkeepers resulting from the collection of information. (Do not include the cost of any hour burden shown in Items 12 and 14). </w:t>
      </w:r>
    </w:p>
    <w:p w:rsidRPr="00575D07" w:rsidR="00867D9E" w:rsidP="00867D9E" w:rsidRDefault="00867D9E" w14:paraId="518AFC7D" w14:textId="77777777">
      <w:pPr>
        <w:rPr>
          <w:rFonts w:ascii="Times New Roman" w:hAnsi="Times New Roman"/>
          <w:sz w:val="24"/>
          <w:szCs w:val="24"/>
        </w:rPr>
      </w:pPr>
      <w:r w:rsidRPr="00575D07">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75D07">
        <w:rPr>
          <w:rFonts w:ascii="Times New Roman" w:hAnsi="Times New Roman"/>
          <w:sz w:val="24"/>
          <w:szCs w:val="24"/>
        </w:rPr>
        <w:t>take into account</w:t>
      </w:r>
      <w:proofErr w:type="gramEnd"/>
      <w:r w:rsidRPr="00575D07">
        <w:rPr>
          <w:rFonts w:ascii="Times New Roman" w:hAnsi="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75D07">
        <w:rPr>
          <w:rFonts w:ascii="Times New Roman" w:hAnsi="Times New Roman"/>
          <w:sz w:val="24"/>
          <w:szCs w:val="24"/>
        </w:rPr>
        <w:t>time period</w:t>
      </w:r>
      <w:proofErr w:type="gramEnd"/>
      <w:r w:rsidRPr="00575D07">
        <w:rPr>
          <w:rFonts w:ascii="Times New Roman" w:hAnsi="Times New Roman"/>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575D07">
        <w:rPr>
          <w:rFonts w:ascii="Times New Roman" w:hAnsi="Times New Roman"/>
          <w:sz w:val="24"/>
          <w:szCs w:val="24"/>
        </w:rPr>
        <w:t>drilling</w:t>
      </w:r>
      <w:proofErr w:type="gramEnd"/>
      <w:r w:rsidRPr="00575D07">
        <w:rPr>
          <w:rFonts w:ascii="Times New Roman" w:hAnsi="Times New Roman"/>
          <w:sz w:val="24"/>
          <w:szCs w:val="24"/>
        </w:rPr>
        <w:t xml:space="preserve"> and testing equipment; and record storage facilities. </w:t>
      </w:r>
    </w:p>
    <w:p w:rsidRPr="00575D07" w:rsidR="00867D9E" w:rsidP="00867D9E" w:rsidRDefault="00867D9E" w14:paraId="5C051CAD" w14:textId="77777777">
      <w:pPr>
        <w:rPr>
          <w:rFonts w:ascii="Times New Roman" w:hAnsi="Times New Roman"/>
          <w:sz w:val="24"/>
          <w:szCs w:val="24"/>
        </w:rPr>
      </w:pPr>
      <w:r w:rsidRPr="00575D07">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575D07">
        <w:rPr>
          <w:rFonts w:ascii="Times New Roman" w:hAnsi="Times New Roman"/>
          <w:sz w:val="24"/>
          <w:szCs w:val="24"/>
        </w:rPr>
        <w:t>process</w:t>
      </w:r>
      <w:proofErr w:type="gramEnd"/>
      <w:r w:rsidRPr="00575D07">
        <w:rPr>
          <w:rFonts w:ascii="Times New Roman" w:hAnsi="Times New Roman"/>
          <w:sz w:val="24"/>
          <w:szCs w:val="24"/>
        </w:rPr>
        <w:t xml:space="preserve"> and use existing economic or regulatory impact analysis associated with the rulemaking containing the information collection, as appropriate. </w:t>
      </w:r>
    </w:p>
    <w:p w:rsidRPr="00575D07" w:rsidR="00867D9E" w:rsidP="00867D9E" w:rsidRDefault="00867D9E" w14:paraId="4B2A0DCF" w14:textId="77777777">
      <w:pPr>
        <w:rPr>
          <w:rFonts w:ascii="Times New Roman" w:hAnsi="Times New Roman"/>
          <w:sz w:val="24"/>
          <w:szCs w:val="24"/>
        </w:rPr>
      </w:pPr>
      <w:r w:rsidRPr="00575D07">
        <w:rPr>
          <w:rFonts w:ascii="Times New Roman" w:hAnsi="Times New Roman"/>
          <w:sz w:val="24"/>
          <w:szCs w:val="24"/>
        </w:rPr>
        <w:lastRenderedPageBreak/>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531DCA" w:rsidR="00C71BB6" w:rsidP="00C71BB6" w:rsidRDefault="00C71BB6" w14:paraId="2CDEE010" w14:textId="77777777">
      <w:pPr>
        <w:rPr>
          <w:rFonts w:ascii="Times New Roman" w:hAnsi="Times New Roman" w:cs="Times New Roman"/>
          <w:sz w:val="24"/>
          <w:szCs w:val="24"/>
        </w:rPr>
      </w:pPr>
      <w:r>
        <w:rPr>
          <w:rFonts w:ascii="Times New Roman" w:hAnsi="Times New Roman" w:cs="Times New Roman"/>
          <w:sz w:val="24"/>
          <w:szCs w:val="24"/>
        </w:rPr>
        <w:t xml:space="preserve">There are no additional costs to the respondents. </w:t>
      </w:r>
    </w:p>
    <w:p w:rsidR="00A478E1" w:rsidP="00C71BB6" w:rsidRDefault="00C71BB6" w14:paraId="20173875" w14:textId="2F372E1B">
      <w:pPr>
        <w:rPr>
          <w:rFonts w:ascii="Times New Roman" w:hAnsi="Times New Roman"/>
          <w:sz w:val="24"/>
          <w:szCs w:val="24"/>
        </w:rPr>
      </w:pPr>
      <w:r w:rsidRPr="00531DCA">
        <w:rPr>
          <w:rFonts w:ascii="Times New Roman" w:hAnsi="Times New Roman" w:cs="Times New Roman"/>
          <w:sz w:val="24"/>
          <w:szCs w:val="24"/>
        </w:rPr>
        <w:t xml:space="preserve">14. </w:t>
      </w:r>
      <w:r w:rsidRPr="00575D07" w:rsidR="00A478E1">
        <w:rPr>
          <w:rFonts w:ascii="Times New Roman" w:hAnsi="Times New Roman"/>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B31E2" w:rsidP="00C71BB6" w:rsidRDefault="004B31E2" w14:paraId="72F0894A" w14:textId="278C70A0">
      <w:pPr>
        <w:rPr>
          <w:rFonts w:ascii="Times New Roman" w:hAnsi="Times New Roman"/>
          <w:sz w:val="24"/>
          <w:szCs w:val="24"/>
        </w:rPr>
      </w:pPr>
      <w:r>
        <w:rPr>
          <w:rFonts w:ascii="Times New Roman" w:hAnsi="Times New Roman"/>
          <w:sz w:val="24"/>
          <w:szCs w:val="24"/>
        </w:rPr>
        <w:t xml:space="preserve">The cost estimate is provided in the table above in item 12. </w:t>
      </w:r>
    </w:p>
    <w:p w:rsidR="003B7122" w:rsidP="003B7122" w:rsidRDefault="00C71BB6" w14:paraId="6F982E72" w14:textId="08FD2363">
      <w:pPr>
        <w:rPr>
          <w:rFonts w:ascii="Times New Roman" w:hAnsi="Times New Roman"/>
          <w:sz w:val="24"/>
          <w:szCs w:val="24"/>
        </w:rPr>
      </w:pPr>
      <w:r w:rsidRPr="00531DCA">
        <w:rPr>
          <w:rFonts w:ascii="Times New Roman" w:hAnsi="Times New Roman" w:cs="Times New Roman"/>
          <w:sz w:val="24"/>
          <w:szCs w:val="24"/>
        </w:rPr>
        <w:t xml:space="preserve">15. </w:t>
      </w:r>
      <w:r w:rsidRPr="00575D07" w:rsidR="003B7122">
        <w:rPr>
          <w:rFonts w:ascii="Times New Roman" w:hAnsi="Times New Roman"/>
          <w:sz w:val="24"/>
          <w:szCs w:val="24"/>
        </w:rPr>
        <w:t xml:space="preserve">Explain the reasons for any program changes or adjustments reported in Items 13 or 14 of the OMB Form 83-I. </w:t>
      </w:r>
    </w:p>
    <w:p w:rsidRPr="008A349B" w:rsidR="00230CD7" w:rsidP="003B7122" w:rsidRDefault="008A349B" w14:paraId="7243448F" w14:textId="4E4E7DE6">
      <w:pPr>
        <w:rPr>
          <w:rFonts w:ascii="Times New Roman" w:hAnsi="Times New Roman" w:cs="Times New Roman"/>
          <w:sz w:val="24"/>
          <w:szCs w:val="24"/>
        </w:rPr>
      </w:pPr>
      <w:r>
        <w:rPr>
          <w:rFonts w:ascii="Times New Roman" w:hAnsi="Times New Roman" w:cs="Times New Roman"/>
          <w:sz w:val="24"/>
          <w:szCs w:val="24"/>
        </w:rPr>
        <w:t>This is a r</w:t>
      </w:r>
      <w:r w:rsidRPr="00C11A34">
        <w:rPr>
          <w:rFonts w:ascii="Times New Roman" w:hAnsi="Times New Roman" w:cs="Times New Roman"/>
          <w:sz w:val="24"/>
          <w:szCs w:val="24"/>
        </w:rPr>
        <w:t xml:space="preserve">evision </w:t>
      </w:r>
      <w:r>
        <w:rPr>
          <w:rFonts w:ascii="Times New Roman" w:hAnsi="Times New Roman" w:cs="Times New Roman"/>
          <w:sz w:val="24"/>
          <w:szCs w:val="24"/>
        </w:rPr>
        <w:t xml:space="preserve">of a </w:t>
      </w:r>
      <w:r w:rsidRPr="004C7874">
        <w:rPr>
          <w:rFonts w:ascii="Times New Roman" w:hAnsi="Times New Roman" w:cs="Times New Roman"/>
          <w:sz w:val="24"/>
          <w:szCs w:val="24"/>
        </w:rPr>
        <w:t>currently approved</w:t>
      </w:r>
      <w:r>
        <w:rPr>
          <w:rFonts w:ascii="Times New Roman" w:hAnsi="Times New Roman" w:cs="Times New Roman"/>
          <w:sz w:val="24"/>
          <w:szCs w:val="24"/>
        </w:rPr>
        <w:t xml:space="preserve"> collection. The </w:t>
      </w:r>
      <w:r w:rsidR="0077627F">
        <w:rPr>
          <w:rFonts w:ascii="Times New Roman" w:hAnsi="Times New Roman" w:cs="Times New Roman"/>
          <w:sz w:val="24"/>
          <w:szCs w:val="24"/>
        </w:rPr>
        <w:t xml:space="preserve">increase </w:t>
      </w:r>
      <w:r w:rsidR="00B62BA5">
        <w:rPr>
          <w:rFonts w:ascii="Times New Roman" w:hAnsi="Times New Roman" w:cs="Times New Roman"/>
          <w:sz w:val="24"/>
          <w:szCs w:val="24"/>
        </w:rPr>
        <w:t>in transactions is primarily due to the current financial climate</w:t>
      </w:r>
      <w:r w:rsidR="00BA7064">
        <w:rPr>
          <w:rFonts w:ascii="Times New Roman" w:hAnsi="Times New Roman" w:cs="Times New Roman"/>
          <w:sz w:val="24"/>
          <w:szCs w:val="24"/>
        </w:rPr>
        <w:t xml:space="preserve">. There is </w:t>
      </w:r>
      <w:r w:rsidR="005E3DE9">
        <w:rPr>
          <w:rFonts w:ascii="Times New Roman" w:hAnsi="Times New Roman" w:cs="Times New Roman"/>
          <w:sz w:val="24"/>
          <w:szCs w:val="24"/>
        </w:rPr>
        <w:t>increased</w:t>
      </w:r>
      <w:r w:rsidR="00BA7064">
        <w:rPr>
          <w:rFonts w:ascii="Times New Roman" w:hAnsi="Times New Roman" w:cs="Times New Roman"/>
          <w:sz w:val="24"/>
          <w:szCs w:val="24"/>
        </w:rPr>
        <w:t xml:space="preserve"> lender activity related to </w:t>
      </w:r>
      <w:r w:rsidR="005E3DE9">
        <w:rPr>
          <w:rFonts w:ascii="Times New Roman" w:hAnsi="Times New Roman" w:cs="Times New Roman"/>
          <w:sz w:val="24"/>
          <w:szCs w:val="24"/>
        </w:rPr>
        <w:t xml:space="preserve">record changes </w:t>
      </w:r>
      <w:r w:rsidR="00B43CA4">
        <w:rPr>
          <w:rFonts w:ascii="Times New Roman" w:hAnsi="Times New Roman" w:cs="Times New Roman"/>
          <w:sz w:val="24"/>
          <w:szCs w:val="24"/>
        </w:rPr>
        <w:t>with</w:t>
      </w:r>
      <w:r w:rsidR="00ED0093">
        <w:rPr>
          <w:rFonts w:ascii="Times New Roman" w:hAnsi="Times New Roman" w:cs="Times New Roman"/>
          <w:sz w:val="24"/>
          <w:szCs w:val="24"/>
        </w:rPr>
        <w:t>s</w:t>
      </w:r>
      <w:r w:rsidR="005E3DE9">
        <w:rPr>
          <w:rFonts w:ascii="Times New Roman" w:hAnsi="Times New Roman" w:cs="Times New Roman"/>
          <w:sz w:val="24"/>
          <w:szCs w:val="24"/>
        </w:rPr>
        <w:t xml:space="preserve"> </w:t>
      </w:r>
      <w:r w:rsidR="00521C7E">
        <w:rPr>
          <w:rFonts w:ascii="Times New Roman" w:hAnsi="Times New Roman" w:cs="Times New Roman"/>
          <w:sz w:val="24"/>
          <w:szCs w:val="24"/>
        </w:rPr>
        <w:t xml:space="preserve">more </w:t>
      </w:r>
      <w:r w:rsidR="00ED0093">
        <w:rPr>
          <w:rFonts w:ascii="Times New Roman" w:hAnsi="Times New Roman" w:cs="Times New Roman"/>
          <w:sz w:val="24"/>
          <w:szCs w:val="24"/>
        </w:rPr>
        <w:t xml:space="preserve">large </w:t>
      </w:r>
      <w:r w:rsidR="00521C7E">
        <w:rPr>
          <w:rFonts w:ascii="Times New Roman" w:hAnsi="Times New Roman" w:cs="Times New Roman"/>
          <w:sz w:val="24"/>
          <w:szCs w:val="24"/>
        </w:rPr>
        <w:t>lender</w:t>
      </w:r>
      <w:r w:rsidR="005E3DE9">
        <w:rPr>
          <w:rFonts w:ascii="Times New Roman" w:hAnsi="Times New Roman" w:cs="Times New Roman"/>
          <w:sz w:val="24"/>
          <w:szCs w:val="24"/>
        </w:rPr>
        <w:t xml:space="preserve">s </w:t>
      </w:r>
      <w:r w:rsidR="00B43CA4">
        <w:rPr>
          <w:rFonts w:ascii="Times New Roman" w:hAnsi="Times New Roman" w:cs="Times New Roman"/>
          <w:sz w:val="24"/>
          <w:szCs w:val="24"/>
        </w:rPr>
        <w:t>acquiring</w:t>
      </w:r>
      <w:r w:rsidR="005E3DE9">
        <w:rPr>
          <w:rFonts w:ascii="Times New Roman" w:hAnsi="Times New Roman" w:cs="Times New Roman"/>
          <w:sz w:val="24"/>
          <w:szCs w:val="24"/>
        </w:rPr>
        <w:t xml:space="preserve"> smaller lenders, smaller lenders leaving the program</w:t>
      </w:r>
      <w:r w:rsidR="00B43CA4">
        <w:rPr>
          <w:rFonts w:ascii="Times New Roman" w:hAnsi="Times New Roman" w:cs="Times New Roman"/>
          <w:sz w:val="24"/>
          <w:szCs w:val="24"/>
        </w:rPr>
        <w:t xml:space="preserve"> outright</w:t>
      </w:r>
      <w:r w:rsidR="008214E8">
        <w:rPr>
          <w:rFonts w:ascii="Times New Roman" w:hAnsi="Times New Roman" w:cs="Times New Roman"/>
          <w:sz w:val="24"/>
          <w:szCs w:val="24"/>
        </w:rPr>
        <w:t xml:space="preserve">, or </w:t>
      </w:r>
      <w:r w:rsidR="00B43CA4">
        <w:rPr>
          <w:rFonts w:ascii="Times New Roman" w:hAnsi="Times New Roman" w:cs="Times New Roman"/>
          <w:sz w:val="24"/>
          <w:szCs w:val="24"/>
        </w:rPr>
        <w:t>lenders going bankrupt and selling off their portfolio</w:t>
      </w:r>
      <w:r w:rsidR="00FC0097">
        <w:rPr>
          <w:rFonts w:ascii="Times New Roman" w:hAnsi="Times New Roman" w:cs="Times New Roman"/>
          <w:sz w:val="24"/>
          <w:szCs w:val="24"/>
        </w:rPr>
        <w:t xml:space="preserve">. </w:t>
      </w:r>
    </w:p>
    <w:p w:rsidR="009C6E87" w:rsidP="00C71BB6" w:rsidRDefault="00C71BB6" w14:paraId="5A12A43C" w14:textId="77777777">
      <w:pPr>
        <w:rPr>
          <w:rFonts w:ascii="Times New Roman" w:hAnsi="Times New Roman"/>
          <w:sz w:val="24"/>
          <w:szCs w:val="24"/>
        </w:rPr>
      </w:pPr>
      <w:r w:rsidRPr="00531DCA">
        <w:rPr>
          <w:rFonts w:ascii="Times New Roman" w:hAnsi="Times New Roman" w:cs="Times New Roman"/>
          <w:sz w:val="24"/>
          <w:szCs w:val="24"/>
        </w:rPr>
        <w:t xml:space="preserve">16. </w:t>
      </w:r>
      <w:r w:rsidRPr="00575D07" w:rsidR="009C6E87">
        <w:rPr>
          <w:rFonts w:ascii="Times New Roman" w:hAnsi="Times New Roman"/>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31DCA" w:rsidR="00C71BB6" w:rsidP="00C71BB6" w:rsidRDefault="00C71BB6" w14:paraId="65228580" w14:textId="7FEFFC11">
      <w:pPr>
        <w:rPr>
          <w:rFonts w:ascii="Times New Roman" w:hAnsi="Times New Roman" w:cs="Times New Roman"/>
          <w:sz w:val="24"/>
          <w:szCs w:val="24"/>
        </w:rPr>
      </w:pPr>
      <w:r>
        <w:rPr>
          <w:rFonts w:ascii="Times New Roman" w:hAnsi="Times New Roman" w:cs="Times New Roman"/>
          <w:sz w:val="24"/>
          <w:szCs w:val="24"/>
        </w:rPr>
        <w:t xml:space="preserve">The results of the information collection will not be published. </w:t>
      </w:r>
      <w:r w:rsidR="0024155D">
        <w:rPr>
          <w:rFonts w:ascii="Times New Roman" w:hAnsi="Times New Roman" w:cs="Times New Roman"/>
          <w:sz w:val="24"/>
          <w:szCs w:val="24"/>
        </w:rPr>
        <w:t xml:space="preserve">The time schedule of the project is ongoing and </w:t>
      </w:r>
      <w:r w:rsidR="00BB7138">
        <w:rPr>
          <w:rFonts w:ascii="Times New Roman" w:hAnsi="Times New Roman" w:cs="Times New Roman"/>
          <w:sz w:val="24"/>
          <w:szCs w:val="24"/>
        </w:rPr>
        <w:t xml:space="preserve">will remain ongoing </w:t>
      </w:r>
      <w:proofErr w:type="gramStart"/>
      <w:r w:rsidR="00BB7138">
        <w:rPr>
          <w:rFonts w:ascii="Times New Roman" w:hAnsi="Times New Roman" w:cs="Times New Roman"/>
          <w:sz w:val="24"/>
          <w:szCs w:val="24"/>
        </w:rPr>
        <w:t>as long as</w:t>
      </w:r>
      <w:proofErr w:type="gramEnd"/>
      <w:r w:rsidR="00AE0795">
        <w:rPr>
          <w:rFonts w:ascii="Times New Roman" w:hAnsi="Times New Roman" w:cs="Times New Roman"/>
          <w:sz w:val="24"/>
          <w:szCs w:val="24"/>
        </w:rPr>
        <w:t xml:space="preserve"> the FHA program is active.</w:t>
      </w:r>
      <w:r w:rsidR="00BB7138">
        <w:rPr>
          <w:rFonts w:ascii="Times New Roman" w:hAnsi="Times New Roman" w:cs="Times New Roman"/>
          <w:sz w:val="24"/>
          <w:szCs w:val="24"/>
        </w:rPr>
        <w:t xml:space="preserve"> </w:t>
      </w:r>
    </w:p>
    <w:p w:rsidRPr="00575D07" w:rsidR="00347D70" w:rsidP="00347D70" w:rsidRDefault="00C71BB6" w14:paraId="0EB5793E" w14:textId="77777777">
      <w:pPr>
        <w:rPr>
          <w:rFonts w:ascii="Times New Roman" w:hAnsi="Times New Roman"/>
          <w:sz w:val="24"/>
          <w:szCs w:val="24"/>
        </w:rPr>
      </w:pPr>
      <w:r w:rsidRPr="00531DCA">
        <w:rPr>
          <w:rFonts w:ascii="Times New Roman" w:hAnsi="Times New Roman" w:cs="Times New Roman"/>
          <w:sz w:val="24"/>
          <w:szCs w:val="24"/>
        </w:rPr>
        <w:t xml:space="preserve">17. </w:t>
      </w:r>
      <w:r w:rsidRPr="00575D07" w:rsidR="00347D70">
        <w:rPr>
          <w:rFonts w:ascii="Times New Roman" w:hAnsi="Times New Roman"/>
          <w:sz w:val="24"/>
          <w:szCs w:val="24"/>
        </w:rPr>
        <w:t xml:space="preserve">If seeking approval to not display the expiration date for OMB approval of the information collection, explain the reasons that display would be inappropriate. </w:t>
      </w:r>
    </w:p>
    <w:p w:rsidRPr="00531DCA" w:rsidR="00C71BB6" w:rsidP="00C71BB6" w:rsidRDefault="00C71BB6" w14:paraId="7868688C" w14:textId="77777777">
      <w:pPr>
        <w:rPr>
          <w:rFonts w:ascii="Times New Roman" w:hAnsi="Times New Roman" w:cs="Times New Roman"/>
          <w:sz w:val="24"/>
          <w:szCs w:val="24"/>
        </w:rPr>
      </w:pPr>
      <w:r>
        <w:rPr>
          <w:rFonts w:ascii="Times New Roman" w:hAnsi="Times New Roman" w:cs="Times New Roman"/>
          <w:sz w:val="24"/>
          <w:szCs w:val="24"/>
        </w:rPr>
        <w:t xml:space="preserve">We are not seeking approval to avoid displaying the expiration date for the OMB approval. </w:t>
      </w:r>
    </w:p>
    <w:p w:rsidRPr="00575D07" w:rsidR="00F31CF3" w:rsidP="00F31CF3" w:rsidRDefault="00C71BB6" w14:paraId="59D3776E" w14:textId="77777777">
      <w:pPr>
        <w:rPr>
          <w:rFonts w:ascii="Times New Roman" w:hAnsi="Times New Roman"/>
          <w:sz w:val="24"/>
          <w:szCs w:val="24"/>
        </w:rPr>
      </w:pPr>
      <w:r w:rsidRPr="00531DCA">
        <w:rPr>
          <w:rFonts w:ascii="Times New Roman" w:hAnsi="Times New Roman" w:cs="Times New Roman"/>
          <w:sz w:val="24"/>
          <w:szCs w:val="24"/>
        </w:rPr>
        <w:t xml:space="preserve">18. </w:t>
      </w:r>
      <w:r w:rsidRPr="00575D07" w:rsidR="00F31CF3">
        <w:rPr>
          <w:rFonts w:ascii="Times New Roman" w:hAnsi="Times New Roman"/>
          <w:sz w:val="24"/>
          <w:szCs w:val="24"/>
        </w:rPr>
        <w:t xml:space="preserve">Explain each exception to the certification statement identified in Item 19, "Certification for Paperwork Reduction Act Submissions," of OMB Form 83-I. </w:t>
      </w:r>
    </w:p>
    <w:p w:rsidRPr="00531DCA" w:rsidR="00C71BB6" w:rsidP="00C71BB6" w:rsidRDefault="00C71BB6" w14:paraId="587FB606" w14:textId="77777777">
      <w:pPr>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identified in item 19 of the OMB 83-I. </w:t>
      </w:r>
    </w:p>
    <w:p w:rsidRPr="00531DCA" w:rsidR="00C71BB6" w:rsidP="00C71BB6" w:rsidRDefault="00C71BB6" w14:paraId="3676E510" w14:textId="77777777">
      <w:pPr>
        <w:rPr>
          <w:rFonts w:ascii="Times New Roman" w:hAnsi="Times New Roman" w:cs="Times New Roman"/>
          <w:sz w:val="24"/>
          <w:szCs w:val="24"/>
        </w:rPr>
      </w:pPr>
    </w:p>
    <w:p w:rsidRPr="00531DCA" w:rsidR="00C71BB6" w:rsidP="00C71BB6" w:rsidRDefault="00C71BB6" w14:paraId="0A3E6B56" w14:textId="77777777">
      <w:pPr>
        <w:rPr>
          <w:rFonts w:ascii="Times New Roman" w:hAnsi="Times New Roman" w:cs="Times New Roman"/>
          <w:sz w:val="24"/>
          <w:szCs w:val="24"/>
        </w:rPr>
      </w:pPr>
      <w:r w:rsidRPr="00531DCA">
        <w:rPr>
          <w:rFonts w:ascii="Times New Roman" w:hAnsi="Times New Roman" w:cs="Times New Roman"/>
          <w:b/>
          <w:bCs/>
          <w:sz w:val="24"/>
          <w:szCs w:val="24"/>
        </w:rPr>
        <w:t xml:space="preserve">B. Collections of Information Employing Statistical Methods </w:t>
      </w:r>
    </w:p>
    <w:p w:rsidRPr="00531DCA" w:rsidR="00C71BB6" w:rsidP="00C71BB6" w:rsidRDefault="00C71BB6" w14:paraId="17A87186" w14:textId="77777777">
      <w:pPr>
        <w:rPr>
          <w:rFonts w:ascii="Times New Roman" w:hAnsi="Times New Roman" w:cs="Times New Roman"/>
          <w:sz w:val="24"/>
          <w:szCs w:val="24"/>
        </w:rPr>
      </w:pPr>
      <w:r>
        <w:rPr>
          <w:rFonts w:ascii="Times New Roman" w:hAnsi="Times New Roman" w:cs="Times New Roman"/>
          <w:sz w:val="24"/>
          <w:szCs w:val="24"/>
        </w:rPr>
        <w:t xml:space="preserve">The collection of information does not employ any statistical methods. </w:t>
      </w:r>
    </w:p>
    <w:p w:rsidRPr="009E118C" w:rsidR="00C71BB6" w:rsidP="00C71BB6" w:rsidRDefault="00C71BB6" w14:paraId="3417ECC2" w14:textId="77777777">
      <w:pPr>
        <w:rPr>
          <w:rFonts w:ascii="Times New Roman" w:hAnsi="Times New Roman" w:cs="Times New Roman"/>
          <w:color w:val="0070C0"/>
          <w:sz w:val="24"/>
          <w:szCs w:val="24"/>
        </w:rPr>
      </w:pPr>
    </w:p>
    <w:p w:rsidR="003212FE" w:rsidRDefault="003212FE" w14:paraId="3E65BDE3" w14:textId="77777777"/>
    <w:sectPr w:rsidR="003212FE" w:rsidSect="00075224">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B23D0"/>
    <w:multiLevelType w:val="hybridMultilevel"/>
    <w:tmpl w:val="E9A638A6"/>
    <w:lvl w:ilvl="0" w:tplc="A0F09D7C">
      <w:start w:val="1"/>
      <w:numFmt w:val="decimal"/>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BB26FD"/>
    <w:multiLevelType w:val="hybridMultilevel"/>
    <w:tmpl w:val="E9A638A6"/>
    <w:lvl w:ilvl="0" w:tplc="A0F09D7C">
      <w:start w:val="1"/>
      <w:numFmt w:val="decimal"/>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3C5C27"/>
    <w:multiLevelType w:val="hybridMultilevel"/>
    <w:tmpl w:val="381E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B6"/>
    <w:rsid w:val="00023D3B"/>
    <w:rsid w:val="0003358E"/>
    <w:rsid w:val="00040C7A"/>
    <w:rsid w:val="00086B5B"/>
    <w:rsid w:val="000902D5"/>
    <w:rsid w:val="00094B0F"/>
    <w:rsid w:val="000E3302"/>
    <w:rsid w:val="000F3E16"/>
    <w:rsid w:val="00115AE0"/>
    <w:rsid w:val="00132616"/>
    <w:rsid w:val="00147E4D"/>
    <w:rsid w:val="00171C78"/>
    <w:rsid w:val="00186BBF"/>
    <w:rsid w:val="001B3915"/>
    <w:rsid w:val="001B5543"/>
    <w:rsid w:val="001C7C8C"/>
    <w:rsid w:val="001E1DD1"/>
    <w:rsid w:val="001E4789"/>
    <w:rsid w:val="001F6CE3"/>
    <w:rsid w:val="00207D13"/>
    <w:rsid w:val="00212A80"/>
    <w:rsid w:val="00230CD7"/>
    <w:rsid w:val="00231763"/>
    <w:rsid w:val="0024155D"/>
    <w:rsid w:val="0025740D"/>
    <w:rsid w:val="00273F7A"/>
    <w:rsid w:val="002A3D9F"/>
    <w:rsid w:val="002B3D35"/>
    <w:rsid w:val="002C411A"/>
    <w:rsid w:val="002E3975"/>
    <w:rsid w:val="003152A1"/>
    <w:rsid w:val="003212FE"/>
    <w:rsid w:val="00345C39"/>
    <w:rsid w:val="00346C94"/>
    <w:rsid w:val="00347D70"/>
    <w:rsid w:val="00370757"/>
    <w:rsid w:val="003A3B07"/>
    <w:rsid w:val="003B3149"/>
    <w:rsid w:val="003B7122"/>
    <w:rsid w:val="0042643F"/>
    <w:rsid w:val="004943C2"/>
    <w:rsid w:val="004A02AB"/>
    <w:rsid w:val="004A03E4"/>
    <w:rsid w:val="004B31E2"/>
    <w:rsid w:val="004E44F0"/>
    <w:rsid w:val="005036B7"/>
    <w:rsid w:val="00521117"/>
    <w:rsid w:val="00521C7E"/>
    <w:rsid w:val="00544DE8"/>
    <w:rsid w:val="005540C2"/>
    <w:rsid w:val="00562553"/>
    <w:rsid w:val="00571706"/>
    <w:rsid w:val="00571A1B"/>
    <w:rsid w:val="00594DC5"/>
    <w:rsid w:val="00597309"/>
    <w:rsid w:val="005B2280"/>
    <w:rsid w:val="005B5D8D"/>
    <w:rsid w:val="005E3DE9"/>
    <w:rsid w:val="005F1CFD"/>
    <w:rsid w:val="005F1E0E"/>
    <w:rsid w:val="00620EEE"/>
    <w:rsid w:val="0063215D"/>
    <w:rsid w:val="00644153"/>
    <w:rsid w:val="00647ECF"/>
    <w:rsid w:val="006551E9"/>
    <w:rsid w:val="0068704D"/>
    <w:rsid w:val="006A4E59"/>
    <w:rsid w:val="006A7429"/>
    <w:rsid w:val="006C7ECC"/>
    <w:rsid w:val="006D50D3"/>
    <w:rsid w:val="006F258B"/>
    <w:rsid w:val="006F26C1"/>
    <w:rsid w:val="007076A1"/>
    <w:rsid w:val="007119B5"/>
    <w:rsid w:val="00724BC1"/>
    <w:rsid w:val="00730435"/>
    <w:rsid w:val="00763BA0"/>
    <w:rsid w:val="0077627F"/>
    <w:rsid w:val="007776D4"/>
    <w:rsid w:val="00793D43"/>
    <w:rsid w:val="007A33DE"/>
    <w:rsid w:val="007C64E4"/>
    <w:rsid w:val="007D2499"/>
    <w:rsid w:val="007E7158"/>
    <w:rsid w:val="007F3C46"/>
    <w:rsid w:val="00803E6F"/>
    <w:rsid w:val="008214E8"/>
    <w:rsid w:val="008328D4"/>
    <w:rsid w:val="00835918"/>
    <w:rsid w:val="00847535"/>
    <w:rsid w:val="00867D9E"/>
    <w:rsid w:val="00874519"/>
    <w:rsid w:val="008758F2"/>
    <w:rsid w:val="008A349B"/>
    <w:rsid w:val="008A6401"/>
    <w:rsid w:val="008B475D"/>
    <w:rsid w:val="008C6F22"/>
    <w:rsid w:val="008D5A1A"/>
    <w:rsid w:val="008E668E"/>
    <w:rsid w:val="00927CE7"/>
    <w:rsid w:val="00944962"/>
    <w:rsid w:val="0096232A"/>
    <w:rsid w:val="00976AAF"/>
    <w:rsid w:val="009C1BD4"/>
    <w:rsid w:val="009C50BD"/>
    <w:rsid w:val="009C6E87"/>
    <w:rsid w:val="009D0B82"/>
    <w:rsid w:val="009D303B"/>
    <w:rsid w:val="009E0B76"/>
    <w:rsid w:val="009E470B"/>
    <w:rsid w:val="00A17228"/>
    <w:rsid w:val="00A45DA1"/>
    <w:rsid w:val="00A478E1"/>
    <w:rsid w:val="00A510D8"/>
    <w:rsid w:val="00A5203B"/>
    <w:rsid w:val="00A717B9"/>
    <w:rsid w:val="00A771C0"/>
    <w:rsid w:val="00AE0795"/>
    <w:rsid w:val="00B02C66"/>
    <w:rsid w:val="00B231C1"/>
    <w:rsid w:val="00B43CA4"/>
    <w:rsid w:val="00B46FD7"/>
    <w:rsid w:val="00B47144"/>
    <w:rsid w:val="00B47B6A"/>
    <w:rsid w:val="00B62BA5"/>
    <w:rsid w:val="00B70392"/>
    <w:rsid w:val="00B71E49"/>
    <w:rsid w:val="00B73332"/>
    <w:rsid w:val="00B7449E"/>
    <w:rsid w:val="00BA7064"/>
    <w:rsid w:val="00BB7138"/>
    <w:rsid w:val="00BC64DA"/>
    <w:rsid w:val="00C11A34"/>
    <w:rsid w:val="00C16EFC"/>
    <w:rsid w:val="00C2128B"/>
    <w:rsid w:val="00C23AE6"/>
    <w:rsid w:val="00C325F9"/>
    <w:rsid w:val="00C33A20"/>
    <w:rsid w:val="00C37469"/>
    <w:rsid w:val="00C71BB6"/>
    <w:rsid w:val="00C81361"/>
    <w:rsid w:val="00C8727F"/>
    <w:rsid w:val="00CB31CD"/>
    <w:rsid w:val="00CC451A"/>
    <w:rsid w:val="00CC5685"/>
    <w:rsid w:val="00CF339E"/>
    <w:rsid w:val="00CF48B6"/>
    <w:rsid w:val="00D05C7F"/>
    <w:rsid w:val="00D36EB5"/>
    <w:rsid w:val="00D413EE"/>
    <w:rsid w:val="00D5394C"/>
    <w:rsid w:val="00D60DC9"/>
    <w:rsid w:val="00E02FBE"/>
    <w:rsid w:val="00E06448"/>
    <w:rsid w:val="00E07AC2"/>
    <w:rsid w:val="00E14EAF"/>
    <w:rsid w:val="00E35150"/>
    <w:rsid w:val="00E36A09"/>
    <w:rsid w:val="00E80046"/>
    <w:rsid w:val="00E81B1F"/>
    <w:rsid w:val="00EA3BB0"/>
    <w:rsid w:val="00EA7BA7"/>
    <w:rsid w:val="00EB04EE"/>
    <w:rsid w:val="00EC76E9"/>
    <w:rsid w:val="00ED0093"/>
    <w:rsid w:val="00ED3D13"/>
    <w:rsid w:val="00F007F1"/>
    <w:rsid w:val="00F06C31"/>
    <w:rsid w:val="00F1231B"/>
    <w:rsid w:val="00F15B16"/>
    <w:rsid w:val="00F31506"/>
    <w:rsid w:val="00F31CF3"/>
    <w:rsid w:val="00F357BB"/>
    <w:rsid w:val="00F43694"/>
    <w:rsid w:val="00F936EF"/>
    <w:rsid w:val="00FC0097"/>
    <w:rsid w:val="00FC1CCF"/>
    <w:rsid w:val="00FF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632"/>
  <w15:chartTrackingRefBased/>
  <w15:docId w15:val="{838EAEF6-D2C2-41FD-A0C0-1167E67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F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B6"/>
    <w:pPr>
      <w:spacing w:after="200" w:line="276"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C71B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B6"/>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8B475D"/>
    <w:rPr>
      <w:sz w:val="16"/>
      <w:szCs w:val="16"/>
    </w:rPr>
  </w:style>
  <w:style w:type="paragraph" w:styleId="CommentText">
    <w:name w:val="annotation text"/>
    <w:basedOn w:val="Normal"/>
    <w:link w:val="CommentTextChar"/>
    <w:uiPriority w:val="99"/>
    <w:semiHidden/>
    <w:unhideWhenUsed/>
    <w:rsid w:val="008B475D"/>
    <w:pPr>
      <w:spacing w:line="240" w:lineRule="auto"/>
    </w:pPr>
    <w:rPr>
      <w:sz w:val="20"/>
      <w:szCs w:val="20"/>
    </w:rPr>
  </w:style>
  <w:style w:type="character" w:customStyle="1" w:styleId="CommentTextChar">
    <w:name w:val="Comment Text Char"/>
    <w:basedOn w:val="DefaultParagraphFont"/>
    <w:link w:val="CommentText"/>
    <w:uiPriority w:val="99"/>
    <w:semiHidden/>
    <w:rsid w:val="008B475D"/>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8B475D"/>
    <w:rPr>
      <w:b/>
      <w:bCs/>
    </w:rPr>
  </w:style>
  <w:style w:type="character" w:customStyle="1" w:styleId="CommentSubjectChar">
    <w:name w:val="Comment Subject Char"/>
    <w:basedOn w:val="CommentTextChar"/>
    <w:link w:val="CommentSubject"/>
    <w:uiPriority w:val="99"/>
    <w:semiHidden/>
    <w:rsid w:val="008B475D"/>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8B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5D"/>
    <w:rPr>
      <w:rFonts w:ascii="Segoe UI" w:hAnsi="Segoe UI" w:cs="Segoe UI"/>
      <w:color w:val="auto"/>
      <w:sz w:val="18"/>
      <w:szCs w:val="18"/>
    </w:rPr>
  </w:style>
  <w:style w:type="character" w:styleId="Hyperlink">
    <w:name w:val="Hyperlink"/>
    <w:basedOn w:val="DefaultParagraphFont"/>
    <w:uiPriority w:val="99"/>
    <w:unhideWhenUsed/>
    <w:rsid w:val="00C8727F"/>
    <w:rPr>
      <w:color w:val="0563C1" w:themeColor="hyperlink"/>
      <w:u w:val="single"/>
    </w:rPr>
  </w:style>
  <w:style w:type="character" w:styleId="FollowedHyperlink">
    <w:name w:val="FollowedHyperlink"/>
    <w:basedOn w:val="DefaultParagraphFont"/>
    <w:uiPriority w:val="99"/>
    <w:semiHidden/>
    <w:unhideWhenUsed/>
    <w:rsid w:val="003B3149"/>
    <w:rPr>
      <w:color w:val="954F72" w:themeColor="followedHyperlink"/>
      <w:u w:val="single"/>
    </w:rPr>
  </w:style>
  <w:style w:type="paragraph" w:styleId="ListParagraph">
    <w:name w:val="List Paragraph"/>
    <w:basedOn w:val="Normal"/>
    <w:uiPriority w:val="34"/>
    <w:qFormat/>
    <w:rsid w:val="00594DC5"/>
    <w:pPr>
      <w:ind w:left="720"/>
      <w:contextualSpacing/>
    </w:pPr>
  </w:style>
  <w:style w:type="character" w:styleId="UnresolvedMention">
    <w:name w:val="Unresolved Mention"/>
    <w:basedOn w:val="DefaultParagraphFont"/>
    <w:uiPriority w:val="99"/>
    <w:semiHidden/>
    <w:unhideWhenUsed/>
    <w:rsid w:val="00E14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08325">
      <w:bodyDiv w:val="1"/>
      <w:marLeft w:val="0"/>
      <w:marRight w:val="0"/>
      <w:marTop w:val="0"/>
      <w:marBottom w:val="0"/>
      <w:divBdr>
        <w:top w:val="none" w:sz="0" w:space="0" w:color="auto"/>
        <w:left w:val="none" w:sz="0" w:space="0" w:color="auto"/>
        <w:bottom w:val="none" w:sz="0" w:space="0" w:color="auto"/>
        <w:right w:val="none" w:sz="0" w:space="0" w:color="auto"/>
      </w:divBdr>
    </w:div>
    <w:div w:id="300892725">
      <w:bodyDiv w:val="1"/>
      <w:marLeft w:val="0"/>
      <w:marRight w:val="0"/>
      <w:marTop w:val="0"/>
      <w:marBottom w:val="0"/>
      <w:divBdr>
        <w:top w:val="none" w:sz="0" w:space="0" w:color="auto"/>
        <w:left w:val="none" w:sz="0" w:space="0" w:color="auto"/>
        <w:bottom w:val="none" w:sz="0" w:space="0" w:color="auto"/>
        <w:right w:val="none" w:sz="0" w:space="0" w:color="auto"/>
      </w:divBdr>
    </w:div>
    <w:div w:id="3853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97f9364d6e166a89101d8a9da410593c">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9e8e4c087528df2c2a24726b780c0862"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7D0673-79F3-4530-B3C8-11E48243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96F43-7C36-4276-88EA-E56363AB525E}">
  <ds:schemaRefs>
    <ds:schemaRef ds:uri="http://schemas.microsoft.com/sharepoint/v3/contenttype/forms"/>
  </ds:schemaRefs>
</ds:datastoreItem>
</file>

<file path=customXml/itemProps3.xml><?xml version="1.0" encoding="utf-8"?>
<ds:datastoreItem xmlns:ds="http://schemas.openxmlformats.org/officeDocument/2006/customXml" ds:itemID="{A5D8F388-A5AE-410C-8ABC-E0861DC76E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Silas C</dc:creator>
  <cp:keywords/>
  <dc:description/>
  <cp:lastModifiedBy>Sanders, Kim N</cp:lastModifiedBy>
  <cp:revision>2</cp:revision>
  <dcterms:created xsi:type="dcterms:W3CDTF">2021-01-12T22:07:00Z</dcterms:created>
  <dcterms:modified xsi:type="dcterms:W3CDTF">2021-01-12T22:07:00Z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