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2B6A" w:rsidR="00642B6A" w:rsidP="00642B6A" w:rsidRDefault="00642B6A" w14:paraId="50F42292" w14:textId="77777777">
      <w:pPr>
        <w:suppressAutoHyphens/>
        <w:jc w:val="center"/>
        <w:rPr>
          <w:rFonts w:eastAsia="Times New Roman" w:cs="Times New Roman"/>
          <w:b/>
          <w:szCs w:val="24"/>
        </w:rPr>
      </w:pPr>
      <w:bookmarkStart w:name="_GoBack" w:id="0"/>
      <w:bookmarkEnd w:id="0"/>
      <w:r w:rsidRPr="00642B6A">
        <w:rPr>
          <w:rFonts w:eastAsia="Times New Roman" w:cs="Times New Roman"/>
          <w:b/>
          <w:szCs w:val="24"/>
        </w:rPr>
        <w:t>SUPPORTING STATEMENT FOR NEW AND</w:t>
      </w:r>
    </w:p>
    <w:p w:rsidRPr="00642B6A" w:rsidR="00642B6A" w:rsidP="00642B6A" w:rsidRDefault="00642B6A" w14:paraId="50F42293" w14:textId="77777777">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P="00642B6A" w:rsidRDefault="00642B6A" w14:paraId="50F42294" w14:textId="7E7C1241">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E54279">
        <w:rPr>
          <w:rFonts w:eastAsia="Times New Roman" w:cs="Times New Roman"/>
          <w:b/>
          <w:szCs w:val="24"/>
        </w:rPr>
        <w:t>00</w:t>
      </w:r>
      <w:r w:rsidR="006104B2">
        <w:rPr>
          <w:rFonts w:eastAsia="Times New Roman" w:cs="Times New Roman"/>
          <w:b/>
          <w:szCs w:val="24"/>
        </w:rPr>
        <w:t>89</w:t>
      </w:r>
    </w:p>
    <w:p w:rsidR="00607B6C" w:rsidP="002A0C56" w:rsidRDefault="006104B2" w14:paraId="0C8EB42D" w14:textId="78D55154">
      <w:pPr>
        <w:jc w:val="center"/>
        <w:outlineLvl w:val="0"/>
        <w:rPr>
          <w:rFonts w:eastAsia="Times New Roman" w:cs="Times New Roman"/>
          <w:szCs w:val="24"/>
        </w:rPr>
      </w:pPr>
      <w:r>
        <w:rPr>
          <w:rFonts w:eastAsia="Times New Roman" w:cs="Times New Roman"/>
          <w:szCs w:val="24"/>
        </w:rPr>
        <w:t>Swap Data Recordkeeping and Reporting Requirements:</w:t>
      </w:r>
    </w:p>
    <w:p w:rsidR="006104B2" w:rsidP="002A0C56" w:rsidRDefault="006104B2" w14:paraId="41E87C7E" w14:textId="150C467B">
      <w:pPr>
        <w:jc w:val="center"/>
        <w:outlineLvl w:val="0"/>
        <w:rPr>
          <w:rFonts w:eastAsia="Times New Roman" w:cs="Times New Roman"/>
          <w:szCs w:val="24"/>
        </w:rPr>
      </w:pPr>
      <w:r>
        <w:rPr>
          <w:rFonts w:eastAsia="Times New Roman" w:cs="Times New Roman"/>
          <w:szCs w:val="24"/>
        </w:rPr>
        <w:t>Pre-Enactment and Transition Swaps</w:t>
      </w:r>
    </w:p>
    <w:p w:rsidR="006104B2" w:rsidP="002A0C56" w:rsidRDefault="006104B2" w14:paraId="0E08A4A0" w14:textId="77777777">
      <w:pPr>
        <w:jc w:val="center"/>
        <w:outlineLvl w:val="0"/>
        <w:rPr>
          <w:rFonts w:eastAsia="Times New Roman" w:cs="Times New Roman"/>
          <w:szCs w:val="24"/>
        </w:rPr>
      </w:pPr>
    </w:p>
    <w:p w:rsidRPr="00642B6A" w:rsidR="00642B6A" w:rsidP="00642B6A" w:rsidRDefault="00642B6A" w14:paraId="50F42296" w14:textId="77777777">
      <w:pPr>
        <w:spacing w:after="240"/>
        <w:outlineLvl w:val="0"/>
        <w:rPr>
          <w:rFonts w:eastAsia="Times New Roman" w:cs="Times New Roman"/>
          <w:b/>
          <w:szCs w:val="24"/>
        </w:rPr>
      </w:pPr>
      <w:r w:rsidRPr="00642B6A">
        <w:rPr>
          <w:rFonts w:eastAsia="Times New Roman" w:cs="Times New Roman"/>
          <w:b/>
          <w:szCs w:val="24"/>
        </w:rPr>
        <w:t>Justification</w:t>
      </w:r>
    </w:p>
    <w:p w:rsidRPr="00642B6A" w:rsidR="00642B6A" w:rsidP="00D945B5" w:rsidRDefault="00642B6A" w14:paraId="50F42297" w14:textId="5EAFA160">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w:t>
      </w:r>
      <w:r w:rsidR="00C83EDF">
        <w:rPr>
          <w:rFonts w:eastAsia="Times New Roman" w:cs="Times New Roman"/>
          <w:b/>
          <w:szCs w:val="24"/>
        </w:rPr>
        <w:t>ction of information necessary.</w:t>
      </w:r>
      <w:r w:rsidRPr="00642B6A">
        <w:rPr>
          <w:rFonts w:eastAsia="Times New Roman" w:cs="Times New Roman"/>
          <w:b/>
          <w:szCs w:val="24"/>
        </w:rPr>
        <w:t xml:space="preserve"> Identify any legal or administrative requirements th</w:t>
      </w:r>
      <w:r w:rsidR="00C83EDF">
        <w:rPr>
          <w:rFonts w:eastAsia="Times New Roman" w:cs="Times New Roman"/>
          <w:b/>
          <w:szCs w:val="24"/>
        </w:rPr>
        <w:t xml:space="preserve">at necessitate the collection. </w:t>
      </w:r>
      <w:r w:rsidRPr="00642B6A">
        <w:rPr>
          <w:rFonts w:eastAsia="Times New Roman" w:cs="Times New Roman"/>
          <w:b/>
          <w:szCs w:val="24"/>
        </w:rPr>
        <w:t>Attach a copy of the appropriate section of each statute and regulation mandating or authorizing the collection of information.</w:t>
      </w:r>
    </w:p>
    <w:p w:rsidR="009133C3" w:rsidP="00E54279" w:rsidRDefault="00607B6C" w14:paraId="37C4C7CE" w14:textId="47E41602">
      <w:pPr>
        <w:tabs>
          <w:tab w:val="left" w:pos="-720"/>
          <w:tab w:val="left" w:pos="0"/>
        </w:tabs>
        <w:spacing w:after="240"/>
        <w:ind w:firstLine="720"/>
        <w:rPr>
          <w:rFonts w:eastAsia="Times New Roman" w:cs="Times New Roman"/>
          <w:szCs w:val="20"/>
        </w:rPr>
      </w:pPr>
      <w:r>
        <w:t>S</w:t>
      </w:r>
      <w:r w:rsidRPr="0073151D">
        <w:t>ection 2(a)(13)(G) of the Commodity Exchange Act (“CEA”</w:t>
      </w:r>
      <w:r>
        <w:t xml:space="preserve">) requires that </w:t>
      </w:r>
      <w:r w:rsidR="00E73BC6">
        <w:t xml:space="preserve">all swaps </w:t>
      </w:r>
      <w:r w:rsidRPr="0073151D">
        <w:t xml:space="preserve"> must be reported to SDRs. CEA section 21(b) directs the Commission to prescribe standards for swap data recordkeeping and reporting, which are to apply to both registered entities and cou</w:t>
      </w:r>
      <w:r>
        <w:t>nterparties involved with swaps</w:t>
      </w:r>
      <w:r w:rsidR="00E54279">
        <w:rPr>
          <w:rFonts w:eastAsia="Times New Roman" w:cs="Times New Roman"/>
          <w:szCs w:val="20"/>
        </w:rPr>
        <w:t>.</w:t>
      </w:r>
      <w:r w:rsidR="009133C3">
        <w:rPr>
          <w:rFonts w:eastAsia="Times New Roman" w:cs="Times New Roman"/>
          <w:szCs w:val="20"/>
        </w:rPr>
        <w:t xml:space="preserve"> CEA s</w:t>
      </w:r>
      <w:r w:rsidRPr="009133C3" w:rsidR="009133C3">
        <w:rPr>
          <w:rFonts w:eastAsia="Times New Roman" w:cs="Times New Roman"/>
          <w:szCs w:val="20"/>
        </w:rPr>
        <w:t>ection 2(h)(5)(B) provide</w:t>
      </w:r>
      <w:r w:rsidR="009133C3">
        <w:rPr>
          <w:rFonts w:eastAsia="Times New Roman" w:cs="Times New Roman"/>
          <w:szCs w:val="20"/>
        </w:rPr>
        <w:t>s</w:t>
      </w:r>
      <w:r w:rsidRPr="009133C3" w:rsidR="009133C3">
        <w:rPr>
          <w:rFonts w:eastAsia="Times New Roman" w:cs="Times New Roman"/>
          <w:szCs w:val="20"/>
        </w:rPr>
        <w:t xml:space="preserve"> for the reporting of data relating to both: (</w:t>
      </w:r>
      <w:proofErr w:type="spellStart"/>
      <w:r w:rsidRPr="009133C3" w:rsidR="009133C3">
        <w:rPr>
          <w:rFonts w:eastAsia="Times New Roman" w:cs="Times New Roman"/>
          <w:szCs w:val="20"/>
        </w:rPr>
        <w:t>i</w:t>
      </w:r>
      <w:proofErr w:type="spellEnd"/>
      <w:r w:rsidRPr="009133C3" w:rsidR="009133C3">
        <w:rPr>
          <w:rFonts w:eastAsia="Times New Roman" w:cs="Times New Roman"/>
          <w:szCs w:val="20"/>
        </w:rPr>
        <w:t>) swaps entered into before the date of enactment of the Dodd-Frank Act, the terms of which have not expired as of the date of enactment of that Act (“pre-enactment swaps”) and (ii) swaps entered into on or after the date of enactment of the Dodd-Frank Act and prior to the compliance date specified in Commission swap data reporting rules implementing Section 2(h)(5)(B) (“transition swaps”)</w:t>
      </w:r>
      <w:r w:rsidR="00E73BC6">
        <w:rPr>
          <w:rFonts w:eastAsia="Times New Roman" w:cs="Times New Roman"/>
          <w:szCs w:val="20"/>
        </w:rPr>
        <w:t xml:space="preserve"> (together, “historic swaps”)</w:t>
      </w:r>
      <w:r w:rsidRPr="009133C3" w:rsidR="009133C3">
        <w:rPr>
          <w:rFonts w:eastAsia="Times New Roman" w:cs="Times New Roman"/>
          <w:szCs w:val="20"/>
        </w:rPr>
        <w:t>.</w:t>
      </w:r>
    </w:p>
    <w:p w:rsidRPr="00E54279" w:rsidR="00642B6A" w:rsidP="00E54279" w:rsidRDefault="00ED251F" w14:paraId="50F42298" w14:textId="1DEBA73B">
      <w:pPr>
        <w:tabs>
          <w:tab w:val="left" w:pos="-720"/>
          <w:tab w:val="left" w:pos="0"/>
        </w:tabs>
        <w:spacing w:after="240"/>
        <w:ind w:firstLine="720"/>
        <w:rPr>
          <w:rFonts w:eastAsia="Times New Roman" w:cs="Times New Roman"/>
          <w:szCs w:val="20"/>
        </w:rPr>
      </w:pPr>
      <w:r>
        <w:rPr>
          <w:rFonts w:eastAsia="Times New Roman" w:cs="Times New Roman"/>
          <w:szCs w:val="20"/>
        </w:rPr>
        <w:t xml:space="preserve">The Commission established these regulations in </w:t>
      </w:r>
      <w:r w:rsidR="00E54279">
        <w:rPr>
          <w:rFonts w:eastAsia="Times New Roman" w:cs="Times New Roman"/>
          <w:szCs w:val="20"/>
        </w:rPr>
        <w:t xml:space="preserve">Part </w:t>
      </w:r>
      <w:r w:rsidR="009133C3">
        <w:rPr>
          <w:rFonts w:eastAsia="Times New Roman" w:cs="Times New Roman"/>
          <w:szCs w:val="20"/>
        </w:rPr>
        <w:t xml:space="preserve">46 </w:t>
      </w:r>
      <w:r w:rsidR="00E54279">
        <w:rPr>
          <w:rFonts w:eastAsia="Times New Roman" w:cs="Times New Roman"/>
          <w:szCs w:val="20"/>
        </w:rPr>
        <w:t>of the Commission’s regulations</w:t>
      </w:r>
      <w:r>
        <w:rPr>
          <w:rFonts w:eastAsia="Times New Roman" w:cs="Times New Roman"/>
          <w:szCs w:val="20"/>
        </w:rPr>
        <w:t xml:space="preserve">. The regulations </w:t>
      </w:r>
      <w:r w:rsidR="007C72FB">
        <w:rPr>
          <w:rFonts w:eastAsia="Times New Roman" w:cs="Times New Roman"/>
          <w:szCs w:val="20"/>
        </w:rPr>
        <w:t xml:space="preserve">establish swap </w:t>
      </w:r>
      <w:r w:rsidR="00E54279">
        <w:rPr>
          <w:rFonts w:eastAsia="Times New Roman" w:cs="Times New Roman"/>
          <w:szCs w:val="20"/>
        </w:rPr>
        <w:t>reporting</w:t>
      </w:r>
      <w:r w:rsidR="007C72FB">
        <w:rPr>
          <w:rFonts w:eastAsia="Times New Roman" w:cs="Times New Roman"/>
          <w:szCs w:val="20"/>
        </w:rPr>
        <w:t xml:space="preserve"> and recordkeeping requirements for </w:t>
      </w:r>
      <w:r w:rsidR="009133C3">
        <w:rPr>
          <w:rFonts w:eastAsia="Times New Roman" w:cs="Times New Roman"/>
          <w:szCs w:val="20"/>
        </w:rPr>
        <w:t>reporting counterparties to pre-enactment swaps and transition swaps</w:t>
      </w:r>
      <w:r w:rsidR="00E54279">
        <w:rPr>
          <w:rFonts w:eastAsia="Times New Roman" w:cs="Times New Roman"/>
          <w:szCs w:val="20"/>
        </w:rPr>
        <w:t xml:space="preserve">. </w:t>
      </w:r>
    </w:p>
    <w:p w:rsidR="00A02F67" w:rsidP="00A02F67" w:rsidRDefault="00E54279" w14:paraId="7CC1F1F7" w14:textId="3BB26CBC">
      <w:pPr>
        <w:autoSpaceDE w:val="0"/>
        <w:autoSpaceDN w:val="0"/>
        <w:adjustRightInd w:val="0"/>
        <w:rPr>
          <w:rFonts w:eastAsia="Times New Roman" w:cs="Times New Roman"/>
          <w:color w:val="000000"/>
          <w:szCs w:val="24"/>
        </w:rPr>
      </w:pPr>
      <w:r>
        <w:rPr>
          <w:rFonts w:eastAsia="Times New Roman" w:cs="Times New Roman"/>
          <w:color w:val="000000"/>
          <w:szCs w:val="24"/>
        </w:rPr>
        <w:tab/>
      </w:r>
      <w:r w:rsidR="00ED251F">
        <w:rPr>
          <w:rFonts w:eastAsia="Times New Roman" w:cs="Times New Roman"/>
          <w:color w:val="000000"/>
          <w:szCs w:val="24"/>
        </w:rPr>
        <w:t xml:space="preserve">The Commission is </w:t>
      </w:r>
      <w:r w:rsidR="00E73BC6">
        <w:rPr>
          <w:rFonts w:eastAsia="Times New Roman" w:cs="Times New Roman"/>
          <w:color w:val="000000"/>
          <w:szCs w:val="24"/>
        </w:rPr>
        <w:t>adopting</w:t>
      </w:r>
      <w:r w:rsidR="00ED251F">
        <w:rPr>
          <w:rFonts w:eastAsia="Times New Roman" w:cs="Times New Roman"/>
          <w:color w:val="000000"/>
          <w:szCs w:val="24"/>
        </w:rPr>
        <w:t xml:space="preserve"> amendments to Part 4</w:t>
      </w:r>
      <w:r w:rsidR="00FD472D">
        <w:rPr>
          <w:rFonts w:eastAsia="Times New Roman" w:cs="Times New Roman"/>
          <w:color w:val="000000"/>
          <w:szCs w:val="24"/>
        </w:rPr>
        <w:t>5</w:t>
      </w:r>
      <w:r w:rsidR="00ED251F">
        <w:rPr>
          <w:rFonts w:eastAsia="Times New Roman" w:cs="Times New Roman"/>
          <w:color w:val="000000"/>
          <w:szCs w:val="24"/>
        </w:rPr>
        <w:t xml:space="preserve"> to</w:t>
      </w:r>
      <w:r w:rsidRPr="00E54279">
        <w:rPr>
          <w:rFonts w:eastAsia="Times New Roman" w:cs="Times New Roman"/>
          <w:color w:val="000000"/>
          <w:szCs w:val="24"/>
        </w:rPr>
        <w:t xml:space="preserve"> streamline</w:t>
      </w:r>
      <w:r w:rsidR="00A02F67">
        <w:rPr>
          <w:rFonts w:eastAsia="Times New Roman" w:cs="Times New Roman"/>
          <w:color w:val="000000"/>
          <w:szCs w:val="24"/>
        </w:rPr>
        <w:t xml:space="preserve"> reporting requirements</w:t>
      </w:r>
      <w:r w:rsidR="00ED251F">
        <w:rPr>
          <w:rFonts w:eastAsia="Times New Roman" w:cs="Times New Roman"/>
          <w:color w:val="000000"/>
          <w:szCs w:val="24"/>
        </w:rPr>
        <w:t xml:space="preserve"> and clarify and update certain provisions</w:t>
      </w:r>
      <w:r w:rsidRPr="00E54279">
        <w:rPr>
          <w:rFonts w:eastAsia="Times New Roman" w:cs="Times New Roman"/>
          <w:color w:val="000000"/>
          <w:szCs w:val="24"/>
        </w:rPr>
        <w:t>.</w:t>
      </w:r>
      <w:r w:rsidR="00A02F67">
        <w:rPr>
          <w:rFonts w:eastAsia="Calibri" w:cs="Times New Roman"/>
          <w:szCs w:val="24"/>
        </w:rPr>
        <w:t xml:space="preserve"> </w:t>
      </w:r>
      <w:r w:rsidR="00FD472D">
        <w:rPr>
          <w:rFonts w:eastAsia="Calibri" w:cs="Times New Roman"/>
          <w:szCs w:val="24"/>
        </w:rPr>
        <w:t>Since Part 46 relies on many of the requirements set out in Part 4</w:t>
      </w:r>
      <w:r w:rsidR="00E73BC6">
        <w:rPr>
          <w:rFonts w:eastAsia="Calibri" w:cs="Times New Roman"/>
          <w:szCs w:val="24"/>
        </w:rPr>
        <w:t xml:space="preserve">5, the changes to Part 45 </w:t>
      </w:r>
      <w:r w:rsidR="00FD472D">
        <w:rPr>
          <w:rFonts w:eastAsia="Calibri" w:cs="Times New Roman"/>
          <w:szCs w:val="24"/>
        </w:rPr>
        <w:t xml:space="preserve">necessitate changes for reporting counterparties with respect to the regulatory requirement in </w:t>
      </w:r>
      <w:r w:rsidR="00E73BC6">
        <w:rPr>
          <w:rFonts w:eastAsia="Calibri" w:cs="Times New Roman"/>
          <w:szCs w:val="24"/>
        </w:rPr>
        <w:t>part 46</w:t>
      </w:r>
      <w:r w:rsidR="00B03E65">
        <w:rPr>
          <w:rFonts w:eastAsia="Calibri" w:cs="Times New Roman"/>
          <w:szCs w:val="24"/>
        </w:rPr>
        <w:t xml:space="preserve"> (i.e.,</w:t>
      </w:r>
      <w:r w:rsidR="00E73BC6">
        <w:rPr>
          <w:rFonts w:eastAsia="Calibri" w:cs="Times New Roman"/>
          <w:szCs w:val="24"/>
        </w:rPr>
        <w:t xml:space="preserve"> </w:t>
      </w:r>
      <w:r w:rsidR="00B03E65">
        <w:rPr>
          <w:rFonts w:eastAsia="Calibri" w:cs="Times New Roman"/>
          <w:szCs w:val="24"/>
        </w:rPr>
        <w:t>s</w:t>
      </w:r>
      <w:r w:rsidR="00E73BC6">
        <w:rPr>
          <w:rFonts w:eastAsia="Calibri" w:cs="Times New Roman"/>
          <w:szCs w:val="24"/>
        </w:rPr>
        <w:t xml:space="preserve">pecifically </w:t>
      </w:r>
      <w:r w:rsidR="00FD472D">
        <w:rPr>
          <w:rFonts w:eastAsia="Calibri" w:cs="Times New Roman"/>
          <w:szCs w:val="24"/>
        </w:rPr>
        <w:t>§ 46.11 providing the option for reporting changes to historical swaps using the state data method of reporting</w:t>
      </w:r>
      <w:r w:rsidR="00B03E65">
        <w:rPr>
          <w:rFonts w:eastAsia="Calibri" w:cs="Times New Roman"/>
          <w:szCs w:val="24"/>
        </w:rPr>
        <w:t>)</w:t>
      </w:r>
      <w:r w:rsidR="00FD472D">
        <w:rPr>
          <w:rFonts w:eastAsia="Calibri" w:cs="Times New Roman"/>
          <w:szCs w:val="24"/>
        </w:rPr>
        <w:t xml:space="preserve">. </w:t>
      </w:r>
      <w:r w:rsidR="00ED251F">
        <w:rPr>
          <w:rFonts w:eastAsia="Times New Roman" w:cs="Times New Roman"/>
          <w:color w:val="000000"/>
          <w:szCs w:val="24"/>
        </w:rPr>
        <w:t>T</w:t>
      </w:r>
      <w:r w:rsidR="00E73BC6">
        <w:rPr>
          <w:rFonts w:eastAsia="Times New Roman" w:cs="Times New Roman"/>
          <w:color w:val="000000"/>
          <w:szCs w:val="24"/>
        </w:rPr>
        <w:t>he Commission is</w:t>
      </w:r>
      <w:r w:rsidRPr="00A02F67" w:rsidR="00A02F67">
        <w:rPr>
          <w:rFonts w:eastAsia="Times New Roman" w:cs="Times New Roman"/>
          <w:color w:val="000000"/>
          <w:szCs w:val="24"/>
        </w:rPr>
        <w:t xml:space="preserve"> </w:t>
      </w:r>
      <w:r w:rsidR="00FD472D">
        <w:rPr>
          <w:rFonts w:eastAsia="Times New Roman" w:cs="Times New Roman"/>
          <w:color w:val="000000"/>
          <w:szCs w:val="24"/>
        </w:rPr>
        <w:t>amend</w:t>
      </w:r>
      <w:r w:rsidR="00E73BC6">
        <w:rPr>
          <w:rFonts w:eastAsia="Times New Roman" w:cs="Times New Roman"/>
          <w:color w:val="000000"/>
          <w:szCs w:val="24"/>
        </w:rPr>
        <w:t xml:space="preserve">ing </w:t>
      </w:r>
      <w:r w:rsidR="00A02F67">
        <w:rPr>
          <w:rFonts w:eastAsia="Times New Roman" w:cs="Times New Roman"/>
          <w:color w:val="000000"/>
          <w:szCs w:val="24"/>
        </w:rPr>
        <w:t>Information Collection 3038-</w:t>
      </w:r>
      <w:r w:rsidR="009133C3">
        <w:rPr>
          <w:rFonts w:eastAsia="Times New Roman" w:cs="Times New Roman"/>
          <w:color w:val="000000"/>
          <w:szCs w:val="24"/>
        </w:rPr>
        <w:t>0089</w:t>
      </w:r>
      <w:r w:rsidRPr="00A02F67" w:rsidR="009133C3">
        <w:rPr>
          <w:rFonts w:eastAsia="Times New Roman" w:cs="Times New Roman"/>
          <w:color w:val="000000"/>
          <w:szCs w:val="24"/>
        </w:rPr>
        <w:t xml:space="preserve"> </w:t>
      </w:r>
      <w:r w:rsidRPr="00A02F67" w:rsidR="00A02F67">
        <w:rPr>
          <w:rFonts w:eastAsia="Times New Roman" w:cs="Times New Roman"/>
          <w:color w:val="000000"/>
          <w:szCs w:val="24"/>
        </w:rPr>
        <w:t xml:space="preserve">to account for </w:t>
      </w:r>
      <w:r w:rsidR="00FD472D">
        <w:rPr>
          <w:rFonts w:eastAsia="Times New Roman" w:cs="Times New Roman"/>
          <w:color w:val="000000"/>
          <w:szCs w:val="24"/>
        </w:rPr>
        <w:t>this</w:t>
      </w:r>
      <w:r w:rsidRPr="00A02F67" w:rsidR="00ED251F">
        <w:rPr>
          <w:rFonts w:eastAsia="Times New Roman" w:cs="Times New Roman"/>
          <w:color w:val="000000"/>
          <w:szCs w:val="24"/>
        </w:rPr>
        <w:t xml:space="preserve"> </w:t>
      </w:r>
      <w:r w:rsidR="00FD472D">
        <w:rPr>
          <w:rFonts w:eastAsia="Times New Roman" w:cs="Times New Roman"/>
          <w:color w:val="000000"/>
          <w:szCs w:val="24"/>
        </w:rPr>
        <w:t>amendment</w:t>
      </w:r>
      <w:r w:rsidR="00731C82">
        <w:rPr>
          <w:rFonts w:eastAsia="Times New Roman" w:cs="Times New Roman"/>
          <w:color w:val="000000"/>
          <w:szCs w:val="24"/>
        </w:rPr>
        <w:t>.</w:t>
      </w:r>
    </w:p>
    <w:p w:rsidR="00405AC8" w:rsidP="0066471D" w:rsidRDefault="00405AC8" w14:paraId="4AA0ACC5" w14:textId="77777777"/>
    <w:p w:rsidRPr="00FD472D" w:rsidR="00FD472D" w:rsidP="00FD472D" w:rsidRDefault="00FD472D" w14:paraId="2011CEC7" w14:textId="203AFD1C">
      <w:pPr>
        <w:rPr>
          <w:bCs/>
        </w:rPr>
      </w:pPr>
      <w:r w:rsidRPr="00FD472D">
        <w:rPr>
          <w:bCs/>
        </w:rPr>
        <w:tab/>
        <w:t>Current § 46.11 provides that for pre-enactment or transition swaps for which part 46 requires reporting of continuation data, reporting counterparties reporting state data as provided in part 45 may fulfill the requirement to report errors or omissions by making appropriate corrections in their next daily report of state data pursuant to p</w:t>
      </w:r>
      <w:r w:rsidR="00E73BC6">
        <w:rPr>
          <w:bCs/>
        </w:rPr>
        <w:t>art 45. Since the Commission is removing</w:t>
      </w:r>
      <w:r w:rsidRPr="00FD472D">
        <w:rPr>
          <w:bCs/>
        </w:rPr>
        <w:t xml:space="preserve"> this requirement from § 45.4, the Commission is also </w:t>
      </w:r>
      <w:r w:rsidR="00E73BC6">
        <w:rPr>
          <w:bCs/>
        </w:rPr>
        <w:t>removing</w:t>
      </w:r>
      <w:r w:rsidRPr="00FD472D">
        <w:rPr>
          <w:bCs/>
        </w:rPr>
        <w:t xml:space="preserve"> the option for state data reporting from § 46.11.</w:t>
      </w:r>
    </w:p>
    <w:p w:rsidRPr="00FD472D" w:rsidR="00A02F67" w:rsidP="00FD472D" w:rsidRDefault="00A02F67" w14:paraId="606FCFB3" w14:textId="149C0896">
      <w:pPr>
        <w:rPr>
          <w:bCs/>
        </w:rPr>
      </w:pPr>
    </w:p>
    <w:p w:rsidRPr="00B86819" w:rsidR="00642B6A" w:rsidP="00FE503D" w:rsidRDefault="00642B6A" w14:paraId="50F4229A" w14:textId="313EBC04">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w:t>
      </w:r>
      <w:r w:rsidR="00C83EDF">
        <w:rPr>
          <w:rFonts w:eastAsia="Times New Roman" w:cs="Times New Roman"/>
          <w:b/>
          <w:szCs w:val="24"/>
        </w:rPr>
        <w:t xml:space="preserve">urpose the data would be used. </w:t>
      </w:r>
      <w:r w:rsidRPr="00B86819">
        <w:rPr>
          <w:rFonts w:eastAsia="Times New Roman" w:cs="Times New Roman"/>
          <w:b/>
          <w:szCs w:val="24"/>
        </w:rPr>
        <w:t>Except for a new collection, indicate the actual use the agency has made of the information received from the current collection.</w:t>
      </w:r>
    </w:p>
    <w:p w:rsidR="00642B6A" w:rsidP="001577B2" w:rsidRDefault="009E356F" w14:paraId="50F4229B" w14:textId="251319D3">
      <w:pPr>
        <w:rPr>
          <w:rFonts w:eastAsia="Times New Roman" w:cs="Times New Roman"/>
          <w:color w:val="000000"/>
          <w:szCs w:val="24"/>
        </w:rPr>
      </w:pPr>
      <w:r>
        <w:rPr>
          <w:rFonts w:eastAsia="Times New Roman" w:cs="Times New Roman"/>
          <w:color w:val="000000"/>
          <w:szCs w:val="24"/>
        </w:rPr>
        <w:lastRenderedPageBreak/>
        <w:tab/>
        <w:t xml:space="preserve">The Commission’s regulations in </w:t>
      </w:r>
      <w:r w:rsidR="00DC1C85">
        <w:rPr>
          <w:rFonts w:eastAsia="Times New Roman" w:cs="Times New Roman"/>
          <w:color w:val="000000"/>
          <w:szCs w:val="24"/>
        </w:rPr>
        <w:t xml:space="preserve">Part </w:t>
      </w:r>
      <w:r>
        <w:rPr>
          <w:rFonts w:eastAsia="Times New Roman" w:cs="Times New Roman"/>
          <w:color w:val="000000"/>
          <w:szCs w:val="24"/>
        </w:rPr>
        <w:t>4</w:t>
      </w:r>
      <w:r w:rsidR="00DC1C85">
        <w:rPr>
          <w:rFonts w:eastAsia="Times New Roman" w:cs="Times New Roman"/>
          <w:color w:val="000000"/>
          <w:szCs w:val="24"/>
        </w:rPr>
        <w:t>6</w:t>
      </w:r>
      <w:r>
        <w:rPr>
          <w:rFonts w:eastAsia="Times New Roman" w:cs="Times New Roman"/>
          <w:color w:val="000000"/>
          <w:szCs w:val="24"/>
        </w:rPr>
        <w:t xml:space="preserve"> require reporting counterparties to report </w:t>
      </w:r>
      <w:r w:rsidR="00DC1C85">
        <w:rPr>
          <w:rFonts w:eastAsia="Times New Roman" w:cs="Times New Roman"/>
          <w:color w:val="000000"/>
          <w:szCs w:val="24"/>
        </w:rPr>
        <w:t xml:space="preserve">data for pre-enactment swap and transition swaps </w:t>
      </w:r>
      <w:r>
        <w:rPr>
          <w:rFonts w:eastAsia="Times New Roman" w:cs="Times New Roman"/>
          <w:color w:val="000000"/>
          <w:szCs w:val="24"/>
        </w:rPr>
        <w:t xml:space="preserve">to SDRs. The SDRs provide this data to the Commission directly. The Commission </w:t>
      </w:r>
      <w:r w:rsidR="0035705B">
        <w:rPr>
          <w:rFonts w:eastAsia="Times New Roman" w:cs="Times New Roman"/>
          <w:color w:val="000000"/>
          <w:szCs w:val="24"/>
        </w:rPr>
        <w:t xml:space="preserve">uses </w:t>
      </w:r>
      <w:r w:rsidR="00DC1C85">
        <w:rPr>
          <w:rFonts w:eastAsia="Times New Roman" w:cs="Times New Roman"/>
          <w:color w:val="000000"/>
          <w:szCs w:val="24"/>
        </w:rPr>
        <w:t xml:space="preserve">this </w:t>
      </w:r>
      <w:r>
        <w:rPr>
          <w:rFonts w:eastAsia="Times New Roman" w:cs="Times New Roman"/>
          <w:color w:val="000000"/>
          <w:szCs w:val="24"/>
        </w:rPr>
        <w:t>data in connection with fulfilling its regulatory duties.</w:t>
      </w:r>
    </w:p>
    <w:p w:rsidRPr="00B86819" w:rsidR="00B46731" w:rsidP="001577B2" w:rsidRDefault="00B46731" w14:paraId="0E543588" w14:textId="77777777">
      <w:pPr>
        <w:rPr>
          <w:rFonts w:eastAsia="Times New Roman" w:cs="Times New Roman"/>
          <w:color w:val="000000"/>
          <w:szCs w:val="24"/>
        </w:rPr>
      </w:pPr>
    </w:p>
    <w:p w:rsidRPr="00642B6A" w:rsidR="00642B6A" w:rsidP="00FE503D" w:rsidRDefault="00642B6A" w14:paraId="50F4229C" w14:textId="01173A35">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w:t>
      </w:r>
      <w:r w:rsidR="00C83EDF">
        <w:rPr>
          <w:rFonts w:eastAsia="Times New Roman" w:cs="Times New Roman"/>
          <w:b/>
          <w:szCs w:val="24"/>
        </w:rPr>
        <w:t xml:space="preserve">ting this means of collection. </w:t>
      </w:r>
      <w:r w:rsidRPr="00642B6A">
        <w:rPr>
          <w:rFonts w:eastAsia="Times New Roman" w:cs="Times New Roman"/>
          <w:b/>
          <w:szCs w:val="24"/>
        </w:rPr>
        <w:t>Also describe any consideration of using information technology to reduce burden.</w:t>
      </w:r>
    </w:p>
    <w:p w:rsidRPr="00642B6A" w:rsidR="00642B6A" w:rsidP="00AD0896" w:rsidRDefault="00836741" w14:paraId="50F4229D" w14:textId="47023121">
      <w:pPr>
        <w:tabs>
          <w:tab w:val="left" w:pos="-720"/>
          <w:tab w:val="left" w:pos="0"/>
        </w:tabs>
        <w:spacing w:after="240"/>
        <w:rPr>
          <w:rFonts w:eastAsia="Times New Roman" w:cs="Times New Roman"/>
          <w:szCs w:val="24"/>
        </w:rPr>
      </w:pPr>
      <w:r>
        <w:rPr>
          <w:rFonts w:eastAsia="Times New Roman" w:cs="Times New Roman"/>
          <w:szCs w:val="24"/>
        </w:rPr>
        <w:tab/>
      </w:r>
      <w:r w:rsidRPr="00B46731" w:rsidR="00B46731">
        <w:rPr>
          <w:rFonts w:eastAsia="Times New Roman" w:cs="Times New Roman"/>
          <w:szCs w:val="24"/>
        </w:rPr>
        <w:t xml:space="preserve">All of the information collections within Information Collection </w:t>
      </w:r>
      <w:r w:rsidR="00B46731">
        <w:rPr>
          <w:rFonts w:eastAsia="Times New Roman" w:cs="Times New Roman"/>
          <w:szCs w:val="24"/>
        </w:rPr>
        <w:t>3038-00</w:t>
      </w:r>
      <w:r w:rsidR="00DC1C85">
        <w:rPr>
          <w:rFonts w:eastAsia="Times New Roman" w:cs="Times New Roman"/>
          <w:szCs w:val="24"/>
        </w:rPr>
        <w:t>89</w:t>
      </w:r>
      <w:r w:rsidRPr="00B46731" w:rsidR="00B46731">
        <w:rPr>
          <w:rFonts w:eastAsia="Times New Roman" w:cs="Times New Roman"/>
          <w:szCs w:val="24"/>
        </w:rPr>
        <w:t xml:space="preserve"> involve the use of electronic collection protocols. All required data submissions to the Commission must be electronic.</w:t>
      </w:r>
    </w:p>
    <w:p w:rsidRPr="00642B6A" w:rsidR="00642B6A" w:rsidP="00FE503D" w:rsidRDefault="00642B6A" w14:paraId="50F4229E" w14:textId="55961634">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w:t>
      </w:r>
      <w:r w:rsidR="00C83EDF">
        <w:rPr>
          <w:rFonts w:eastAsia="Times New Roman" w:cs="Times New Roman"/>
          <w:b/>
          <w:szCs w:val="24"/>
        </w:rPr>
        <w:t xml:space="preserve">forts to identify duplication. </w:t>
      </w:r>
      <w:r w:rsidRPr="00642B6A">
        <w:rPr>
          <w:rFonts w:eastAsia="Times New Roman" w:cs="Times New Roman"/>
          <w:b/>
          <w:szCs w:val="24"/>
        </w:rPr>
        <w:t>Show specifically why any similar information already available cannot be used or modified for use for the purposes described in Item 2 above.</w:t>
      </w:r>
    </w:p>
    <w:p w:rsidRPr="00AD0896" w:rsidR="00642B6A" w:rsidP="00AD0896" w:rsidRDefault="00642B6A" w14:paraId="50F4229F" w14:textId="001B6C2E">
      <w:pPr>
        <w:tabs>
          <w:tab w:val="left" w:pos="-720"/>
        </w:tabs>
        <w:spacing w:after="240"/>
        <w:rPr>
          <w:rFonts w:eastAsia="Times New Roman" w:cs="Times New Roman"/>
          <w:b/>
          <w:szCs w:val="24"/>
        </w:rPr>
      </w:pPr>
      <w:r w:rsidRPr="00642B6A">
        <w:rPr>
          <w:rFonts w:eastAsia="Times New Roman" w:cs="Times New Roman"/>
          <w:szCs w:val="24"/>
        </w:rPr>
        <w:tab/>
      </w:r>
      <w:r w:rsidRPr="00AD0896" w:rsidR="00AD0896">
        <w:rPr>
          <w:rFonts w:eastAsia="Times New Roman" w:cs="Times New Roman"/>
          <w:szCs w:val="24"/>
        </w:rPr>
        <w:t xml:space="preserve">The information </w:t>
      </w:r>
      <w:r w:rsidR="00AD0896">
        <w:rPr>
          <w:rFonts w:eastAsia="Times New Roman" w:cs="Times New Roman"/>
          <w:szCs w:val="24"/>
        </w:rPr>
        <w:t xml:space="preserve">collected pursuant to part </w:t>
      </w:r>
      <w:r w:rsidR="00DC1C85">
        <w:rPr>
          <w:rFonts w:eastAsia="Times New Roman" w:cs="Times New Roman"/>
          <w:szCs w:val="24"/>
        </w:rPr>
        <w:t>46</w:t>
      </w:r>
      <w:r w:rsidRPr="00AD0896" w:rsidR="00DC1C85">
        <w:rPr>
          <w:rFonts w:eastAsia="Times New Roman" w:cs="Times New Roman"/>
          <w:szCs w:val="24"/>
        </w:rPr>
        <w:t xml:space="preserve"> </w:t>
      </w:r>
      <w:r w:rsidRPr="00AD0896" w:rsidR="00AD0896">
        <w:rPr>
          <w:rFonts w:eastAsia="Times New Roman" w:cs="Times New Roman"/>
          <w:szCs w:val="24"/>
        </w:rPr>
        <w:t>of the Commission’s regulations is not already collected by the Commission or other regulator</w:t>
      </w:r>
      <w:r w:rsidR="002A5EE7">
        <w:rPr>
          <w:rFonts w:eastAsia="Times New Roman" w:cs="Times New Roman"/>
          <w:szCs w:val="24"/>
        </w:rPr>
        <w:t>s</w:t>
      </w:r>
      <w:r w:rsidRPr="00AD0896" w:rsidR="00AD0896">
        <w:rPr>
          <w:rFonts w:eastAsia="Times New Roman" w:cs="Times New Roman"/>
          <w:szCs w:val="24"/>
        </w:rPr>
        <w:t xml:space="preserve"> for any other purpose and is not publicly available through </w:t>
      </w:r>
      <w:r w:rsidR="00AD0896">
        <w:rPr>
          <w:rFonts w:eastAsia="Times New Roman" w:cs="Times New Roman"/>
          <w:szCs w:val="24"/>
        </w:rPr>
        <w:t xml:space="preserve">another source. The data </w:t>
      </w:r>
      <w:r w:rsidRPr="00AD0896" w:rsidR="00AD0896">
        <w:rPr>
          <w:rFonts w:eastAsia="Times New Roman" w:cs="Times New Roman"/>
          <w:szCs w:val="24"/>
        </w:rPr>
        <w:t>is unique and no other similar</w:t>
      </w:r>
      <w:r w:rsidR="00330578">
        <w:rPr>
          <w:rFonts w:eastAsia="Times New Roman" w:cs="Times New Roman"/>
          <w:szCs w:val="24"/>
        </w:rPr>
        <w:t xml:space="preserve"> transaction-level</w:t>
      </w:r>
      <w:r w:rsidRPr="00AD0896" w:rsidR="00AD0896">
        <w:rPr>
          <w:rFonts w:eastAsia="Times New Roman" w:cs="Times New Roman"/>
          <w:szCs w:val="24"/>
        </w:rPr>
        <w:t xml:space="preserve"> information is available. There are no other existing regulations that could be modified to serve a similar purpose in any practical way.</w:t>
      </w:r>
    </w:p>
    <w:p w:rsidRPr="00642B6A" w:rsidR="00642B6A" w:rsidP="00FE503D" w:rsidRDefault="00642B6A" w14:paraId="50F422A0"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rsidRPr="00642B6A" w:rsidR="00642B6A" w:rsidP="00AD0896" w:rsidRDefault="00642B6A" w14:paraId="50F422A1" w14:textId="184B4743">
      <w:pPr>
        <w:tabs>
          <w:tab w:val="left" w:pos="-720"/>
        </w:tabs>
        <w:spacing w:after="240"/>
        <w:rPr>
          <w:rFonts w:eastAsia="Times New Roman" w:cs="Times New Roman"/>
          <w:szCs w:val="24"/>
        </w:rPr>
      </w:pPr>
      <w:r w:rsidRPr="00642B6A">
        <w:rPr>
          <w:rFonts w:eastAsia="Times New Roman" w:cs="Times New Roman"/>
          <w:szCs w:val="24"/>
        </w:rPr>
        <w:tab/>
      </w:r>
      <w:r w:rsidR="00AD0896">
        <w:rPr>
          <w:rFonts w:eastAsia="Times New Roman" w:cs="Times New Roman"/>
          <w:szCs w:val="24"/>
        </w:rPr>
        <w:t>The Commission has previously established that</w:t>
      </w:r>
      <w:r w:rsidR="00DB5211">
        <w:rPr>
          <w:rFonts w:eastAsia="Times New Roman" w:cs="Times New Roman"/>
          <w:szCs w:val="24"/>
        </w:rPr>
        <w:t xml:space="preserve"> </w:t>
      </w:r>
      <w:r w:rsidRPr="00E010A4" w:rsidR="00DB5211">
        <w:rPr>
          <w:rFonts w:eastAsia="Times New Roman" w:cs="Times New Roman"/>
          <w:szCs w:val="24"/>
        </w:rPr>
        <w:t xml:space="preserve">DCMs, DCOs, MSPs, SDs, SDRs, and SEFs are not small entities. In addition, based on its review of publicly available data, the Commission believes that the overwhelming majority of non-SD/MSP/DCO reporting counterparties affected by this rulemaking are eligible contract participants (“ECPs”) that the Commission has previously determined are not small entities or do not otherwise meet the definition of “small entity.” Accordingly, the Commission does not believe that this collection of information </w:t>
      </w:r>
      <w:r w:rsidR="00087856">
        <w:rPr>
          <w:rFonts w:eastAsia="Times New Roman" w:cs="Times New Roman"/>
          <w:szCs w:val="24"/>
        </w:rPr>
        <w:t>will</w:t>
      </w:r>
      <w:r w:rsidRPr="00E010A4" w:rsidR="00DB5211">
        <w:rPr>
          <w:rFonts w:eastAsia="Times New Roman" w:cs="Times New Roman"/>
          <w:szCs w:val="24"/>
        </w:rPr>
        <w:t xml:space="preserve"> affect a substantial number of small entities</w:t>
      </w:r>
      <w:r w:rsidR="00844100">
        <w:rPr>
          <w:rFonts w:eastAsia="Times New Roman" w:cs="Times New Roman"/>
          <w:szCs w:val="24"/>
        </w:rPr>
        <w:t xml:space="preserve"> or small businesses</w:t>
      </w:r>
      <w:r w:rsidR="00AD0896">
        <w:rPr>
          <w:rFonts w:eastAsia="Times New Roman" w:cs="Times New Roman"/>
          <w:szCs w:val="24"/>
        </w:rPr>
        <w:t>.</w:t>
      </w:r>
    </w:p>
    <w:p w:rsidRPr="00642B6A" w:rsidR="00642B6A" w:rsidP="00FE503D" w:rsidRDefault="00642B6A" w14:paraId="50F422A2"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Pr="00AD0896" w:rsidR="00AD0896" w:rsidP="00AD0896" w:rsidRDefault="00AD0896" w14:paraId="46B6C82E" w14:textId="6D290762">
      <w:pPr>
        <w:ind w:firstLine="720"/>
        <w:rPr>
          <w:rFonts w:eastAsia="Times New Roman" w:cs="Times New Roman"/>
          <w:color w:val="000000"/>
          <w:szCs w:val="24"/>
        </w:rPr>
      </w:pPr>
      <w:r>
        <w:rPr>
          <w:rFonts w:eastAsia="Times New Roman" w:cs="Times New Roman"/>
          <w:color w:val="000000"/>
          <w:szCs w:val="24"/>
        </w:rPr>
        <w:t xml:space="preserve">Without the required frequency of reporting set forth in the Commission’s regulations, </w:t>
      </w:r>
      <w:r w:rsidR="00330578">
        <w:rPr>
          <w:rFonts w:eastAsia="Times New Roman" w:cs="Times New Roman"/>
          <w:color w:val="000000"/>
          <w:szCs w:val="24"/>
        </w:rPr>
        <w:t>the Commission would be unable to fulfill its regulatory mandate of monitoring systemic risk.</w:t>
      </w:r>
    </w:p>
    <w:p w:rsidRPr="00642B6A" w:rsidR="00642B6A" w:rsidP="00642B6A" w:rsidRDefault="00642B6A" w14:paraId="50F422A3" w14:textId="77777777">
      <w:pPr>
        <w:ind w:firstLine="720"/>
        <w:rPr>
          <w:rFonts w:eastAsia="Times New Roman" w:cs="Times New Roman"/>
          <w:color w:val="000000"/>
          <w:szCs w:val="24"/>
        </w:rPr>
      </w:pPr>
    </w:p>
    <w:p w:rsidRPr="00642B6A" w:rsidR="00642B6A" w:rsidP="00FE503D" w:rsidRDefault="00642B6A" w14:paraId="50F422A4"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Pr="00642B6A" w:rsidR="00642B6A" w:rsidP="00FE503D" w:rsidRDefault="00642B6A" w14:paraId="50F422A5"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Pr="00642B6A" w:rsidR="00642B6A" w:rsidP="00642B6A" w:rsidRDefault="00642B6A" w14:paraId="50F422A6" w14:textId="5A0D2C57">
      <w:pPr>
        <w:tabs>
          <w:tab w:val="left" w:pos="-720"/>
        </w:tabs>
        <w:spacing w:after="240"/>
        <w:rPr>
          <w:rFonts w:eastAsia="Times New Roman" w:cs="Times New Roman"/>
          <w:szCs w:val="24"/>
        </w:rPr>
      </w:pPr>
      <w:r w:rsidRPr="00642B6A">
        <w:rPr>
          <w:rFonts w:eastAsia="Times New Roman" w:cs="Times New Roman"/>
          <w:szCs w:val="24"/>
        </w:rPr>
        <w:lastRenderedPageBreak/>
        <w:tab/>
      </w:r>
      <w:r w:rsidR="00330578">
        <w:rPr>
          <w:rFonts w:eastAsia="Times New Roman" w:cs="Times New Roman"/>
          <w:szCs w:val="24"/>
        </w:rPr>
        <w:t>Swap data</w:t>
      </w:r>
      <w:r w:rsidR="009402E6">
        <w:rPr>
          <w:rFonts w:eastAsia="Times New Roman" w:cs="Times New Roman"/>
          <w:szCs w:val="24"/>
        </w:rPr>
        <w:t xml:space="preserve"> is not required to be reported to the Commission.</w:t>
      </w:r>
    </w:p>
    <w:p w:rsidRPr="00642B6A" w:rsidR="00642B6A" w:rsidP="00FE503D" w:rsidRDefault="00642B6A" w14:paraId="50F422A7" w14:textId="77777777">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Pr="00642B6A" w:rsidR="00642B6A" w:rsidP="00642B6A" w:rsidRDefault="00ED251F" w14:paraId="50F422A8" w14:textId="0B2F9EE9">
      <w:pPr>
        <w:tabs>
          <w:tab w:val="left" w:pos="-720"/>
          <w:tab w:val="left" w:pos="0"/>
          <w:tab w:val="left" w:pos="720"/>
        </w:tabs>
        <w:spacing w:after="240"/>
        <w:rPr>
          <w:rFonts w:eastAsia="Times New Roman" w:cs="Times New Roman"/>
          <w:szCs w:val="24"/>
        </w:rPr>
      </w:pPr>
      <w:r>
        <w:rPr>
          <w:rFonts w:eastAsia="Times New Roman" w:cs="Times New Roman"/>
          <w:szCs w:val="24"/>
        </w:rPr>
        <w:tab/>
      </w:r>
      <w:r w:rsidR="009402E6">
        <w:rPr>
          <w:rFonts w:eastAsia="Times New Roman" w:cs="Times New Roman"/>
          <w:szCs w:val="24"/>
        </w:rPr>
        <w:t>This does not apply.</w:t>
      </w:r>
    </w:p>
    <w:p w:rsidRPr="00642B6A" w:rsidR="00642B6A" w:rsidP="00FE503D" w:rsidRDefault="00642B6A" w14:paraId="50F422A9"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Pr="00642B6A" w:rsidR="00642B6A" w:rsidP="00AD0896" w:rsidRDefault="00747BF5" w14:paraId="50F422AA" w14:textId="6EA1E273">
      <w:pPr>
        <w:tabs>
          <w:tab w:val="left" w:pos="-720"/>
          <w:tab w:val="left" w:pos="0"/>
          <w:tab w:val="left" w:pos="720"/>
        </w:tabs>
        <w:spacing w:after="240"/>
        <w:rPr>
          <w:rFonts w:eastAsia="Times New Roman" w:cs="Times New Roman"/>
          <w:b/>
          <w:szCs w:val="24"/>
        </w:rPr>
      </w:pPr>
      <w:r>
        <w:rPr>
          <w:rFonts w:eastAsia="Times New Roman" w:cs="Times New Roman"/>
          <w:szCs w:val="24"/>
        </w:rPr>
        <w:tab/>
      </w:r>
      <w:r w:rsidRPr="00AD0896" w:rsidR="00AD0896">
        <w:rPr>
          <w:rFonts w:eastAsia="Times New Roman" w:cs="Times New Roman"/>
          <w:szCs w:val="24"/>
        </w:rPr>
        <w:t>Not applicable, respondents are not required to submit more than an original and two copies of any document.</w:t>
      </w:r>
    </w:p>
    <w:p w:rsidRPr="00642B6A" w:rsidR="00642B6A" w:rsidP="00FE503D" w:rsidRDefault="00642B6A" w14:paraId="50F422AB" w14:textId="77777777">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Pr="00642B6A" w:rsidR="00642B6A" w:rsidP="00642B6A" w:rsidRDefault="00642B6A" w14:paraId="50F422AC" w14:textId="49A2554C">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r>
      <w:r w:rsidRPr="00CE561C" w:rsidR="00BA10C3">
        <w:rPr>
          <w:rFonts w:eastAsia="Times New Roman" w:cs="Times New Roman"/>
          <w:szCs w:val="24"/>
        </w:rPr>
        <w:t xml:space="preserve">The amendments to </w:t>
      </w:r>
      <w:r w:rsidR="00DC1C85">
        <w:rPr>
          <w:rFonts w:eastAsia="Times New Roman" w:cs="Times New Roman"/>
          <w:szCs w:val="24"/>
        </w:rPr>
        <w:t>P</w:t>
      </w:r>
      <w:r w:rsidRPr="00CE561C" w:rsidR="00DC1C85">
        <w:rPr>
          <w:rFonts w:eastAsia="Times New Roman" w:cs="Times New Roman"/>
          <w:szCs w:val="24"/>
        </w:rPr>
        <w:t>art 4</w:t>
      </w:r>
      <w:r w:rsidR="00DC1C85">
        <w:rPr>
          <w:rFonts w:eastAsia="Times New Roman" w:cs="Times New Roman"/>
          <w:szCs w:val="24"/>
        </w:rPr>
        <w:t xml:space="preserve">6 </w:t>
      </w:r>
      <w:r w:rsidRPr="00D55B1C" w:rsidR="00D55B1C">
        <w:rPr>
          <w:rFonts w:eastAsia="Times New Roman" w:cs="Times New Roman"/>
          <w:szCs w:val="24"/>
        </w:rPr>
        <w:t>will</w:t>
      </w:r>
      <w:r w:rsidRPr="00CE561C" w:rsidR="00BA10C3">
        <w:rPr>
          <w:rFonts w:eastAsia="Times New Roman" w:cs="Times New Roman"/>
          <w:szCs w:val="24"/>
        </w:rPr>
        <w:t xml:space="preserve"> not modify Information Collection 3038-</w:t>
      </w:r>
      <w:r w:rsidRPr="00CE561C" w:rsidR="00BC452C">
        <w:rPr>
          <w:rFonts w:eastAsia="Times New Roman" w:cs="Times New Roman"/>
          <w:szCs w:val="24"/>
        </w:rPr>
        <w:t>00</w:t>
      </w:r>
      <w:r w:rsidR="00BC452C">
        <w:rPr>
          <w:rFonts w:eastAsia="Times New Roman" w:cs="Times New Roman"/>
          <w:szCs w:val="24"/>
        </w:rPr>
        <w:t>89</w:t>
      </w:r>
      <w:r w:rsidRPr="00CE561C" w:rsidR="00BA10C3">
        <w:rPr>
          <w:rFonts w:eastAsia="Times New Roman" w:cs="Times New Roman"/>
          <w:szCs w:val="24"/>
        </w:rPr>
        <w:t xml:space="preserve"> in regards to recordkeeping </w:t>
      </w:r>
      <w:proofErr w:type="spellStart"/>
      <w:proofErr w:type="gramStart"/>
      <w:r w:rsidRPr="00CE561C" w:rsidR="00BA10C3">
        <w:rPr>
          <w:rFonts w:eastAsia="Times New Roman" w:cs="Times New Roman"/>
          <w:szCs w:val="24"/>
        </w:rPr>
        <w:t>requirements</w:t>
      </w:r>
      <w:r w:rsidR="00CF4C53">
        <w:rPr>
          <w:rFonts w:eastAsia="Times New Roman" w:cs="Times New Roman"/>
          <w:szCs w:val="24"/>
        </w:rPr>
        <w:t>.</w:t>
      </w:r>
      <w:r w:rsidRPr="00311A8F" w:rsidR="00311A8F">
        <w:rPr>
          <w:rFonts w:eastAsia="Times New Roman" w:cs="Times New Roman"/>
          <w:szCs w:val="24"/>
        </w:rPr>
        <w:t>Other</w:t>
      </w:r>
      <w:proofErr w:type="spellEnd"/>
      <w:proofErr w:type="gramEnd"/>
      <w:r w:rsidRPr="00311A8F" w:rsidR="00311A8F">
        <w:rPr>
          <w:rFonts w:eastAsia="Times New Roman" w:cs="Times New Roman"/>
          <w:szCs w:val="24"/>
        </w:rPr>
        <w:t xml:space="preserve"> Commission regulations, including §§ 1.31, 45.2, and 49.12, would require records, including much of the information provided under Information Collection 3038-0096, to be kept for at least five years. Those recordkeeping requirements are discussed in the information collections for those other regulations.</w:t>
      </w:r>
    </w:p>
    <w:p w:rsidRPr="00642B6A" w:rsidR="00642B6A" w:rsidP="00FE503D" w:rsidRDefault="00642B6A" w14:paraId="50F422A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97065" w:rsidP="00AD0896" w:rsidRDefault="00AD0896" w14:paraId="50F422AE" w14:textId="2F030E0C">
      <w:pPr>
        <w:tabs>
          <w:tab w:val="left" w:pos="-720"/>
          <w:tab w:val="left" w:pos="0"/>
          <w:tab w:val="left" w:pos="720"/>
        </w:tabs>
        <w:spacing w:after="240"/>
        <w:ind w:firstLine="720"/>
        <w:contextualSpacing/>
        <w:rPr>
          <w:rFonts w:eastAsia="Times New Roman" w:cs="Times New Roman"/>
        </w:rPr>
      </w:pPr>
      <w:r w:rsidRPr="00AD0896">
        <w:rPr>
          <w:rFonts w:eastAsia="Times New Roman" w:cs="Times New Roman"/>
        </w:rPr>
        <w:t>Not applicable, the collection is not connected or related to any statistical survey.</w:t>
      </w:r>
    </w:p>
    <w:p w:rsidRPr="00642B6A" w:rsidR="00AD0896" w:rsidP="00AD0896" w:rsidRDefault="00AD0896" w14:paraId="6C30B678" w14:textId="77777777">
      <w:pPr>
        <w:tabs>
          <w:tab w:val="left" w:pos="-720"/>
          <w:tab w:val="left" w:pos="0"/>
          <w:tab w:val="left" w:pos="720"/>
        </w:tabs>
        <w:spacing w:after="240"/>
        <w:contextualSpacing/>
        <w:rPr>
          <w:rFonts w:eastAsia="Times New Roman" w:cs="Times New Roman"/>
        </w:rPr>
      </w:pPr>
    </w:p>
    <w:p w:rsidR="00642B6A" w:rsidP="004618A5" w:rsidRDefault="00642B6A" w14:paraId="50F422AF" w14:textId="77777777">
      <w:pPr>
        <w:numPr>
          <w:ilvl w:val="0"/>
          <w:numId w:val="1"/>
        </w:numPr>
        <w:tabs>
          <w:tab w:val="clear" w:pos="936"/>
          <w:tab w:val="left" w:pos="-720"/>
          <w:tab w:val="left" w:pos="0"/>
          <w:tab w:val="left" w:pos="720"/>
          <w:tab w:val="num" w:pos="1080"/>
        </w:tabs>
        <w:spacing w:after="240"/>
        <w:ind w:left="1080" w:hanging="360"/>
        <w:jc w:val="both"/>
        <w:rPr>
          <w:rFonts w:eastAsia="Times New Roman" w:cs="Times New Roman"/>
          <w:szCs w:val="24"/>
        </w:rPr>
      </w:pPr>
      <w:r w:rsidRPr="004618A5">
        <w:rPr>
          <w:rFonts w:eastAsia="Times New Roman" w:cs="Times New Roman"/>
          <w:b/>
          <w:szCs w:val="24"/>
        </w:rPr>
        <w:t>requiring the use of a statistical data classification that has not been reviewed and approved by OMB;</w:t>
      </w:r>
      <w:r w:rsidRPr="004618A5">
        <w:rPr>
          <w:rFonts w:eastAsia="Times New Roman" w:cs="Times New Roman"/>
          <w:szCs w:val="24"/>
        </w:rPr>
        <w:tab/>
      </w:r>
    </w:p>
    <w:p w:rsidRPr="004618A5" w:rsidR="00AD0896" w:rsidP="00AD0896" w:rsidRDefault="00AD0896" w14:paraId="71BC1115" w14:textId="233EAAF8">
      <w:pPr>
        <w:tabs>
          <w:tab w:val="left" w:pos="-720"/>
          <w:tab w:val="left" w:pos="0"/>
          <w:tab w:val="left" w:pos="720"/>
        </w:tabs>
        <w:spacing w:after="240"/>
        <w:ind w:firstLine="720"/>
        <w:rPr>
          <w:rFonts w:eastAsia="Times New Roman" w:cs="Times New Roman"/>
          <w:szCs w:val="24"/>
        </w:rPr>
      </w:pPr>
      <w:r w:rsidRPr="00AD0896">
        <w:rPr>
          <w:rFonts w:eastAsia="Times New Roman" w:cs="Times New Roman"/>
          <w:szCs w:val="24"/>
        </w:rPr>
        <w:t>Not applicable, the collection does not involve the use of any statistical data classification.</w:t>
      </w:r>
    </w:p>
    <w:p w:rsidR="00642B6A" w:rsidP="00FE503D" w:rsidRDefault="00642B6A" w14:paraId="50F422B0"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rsidR="00AD0896" w:rsidP="00AD0896" w:rsidRDefault="00AD0896" w14:paraId="28473775" w14:textId="36319FF2">
      <w:pPr>
        <w:tabs>
          <w:tab w:val="left" w:pos="-720"/>
          <w:tab w:val="left" w:pos="0"/>
          <w:tab w:val="left" w:pos="720"/>
        </w:tabs>
        <w:spacing w:after="240"/>
        <w:ind w:firstLine="720"/>
        <w:rPr>
          <w:rFonts w:eastAsia="Times New Roman" w:cs="Times New Roman"/>
          <w:b/>
          <w:szCs w:val="24"/>
        </w:rPr>
      </w:pPr>
      <w:r>
        <w:rPr>
          <w:rFonts w:eastAsia="Times New Roman" w:cs="Times New Roman"/>
          <w:szCs w:val="24"/>
        </w:rPr>
        <w:t>Not applicable, the collection does not include any pledges of confidentiality that are not supported by authority established in statute or regulation.</w:t>
      </w:r>
    </w:p>
    <w:p w:rsidRPr="00B86819" w:rsidR="00642B6A" w:rsidP="00FE503D" w:rsidRDefault="00642B6A" w14:paraId="50F422B1" w14:textId="77777777">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Pr="00B86819" w:rsid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C9497A" w:rsidR="00642B6A" w:rsidP="00E42A80" w:rsidRDefault="00AD0896" w14:paraId="50F422B2" w14:textId="28D1D511">
      <w:pPr>
        <w:tabs>
          <w:tab w:val="left" w:pos="-720"/>
          <w:tab w:val="left" w:pos="0"/>
          <w:tab w:val="left" w:pos="720"/>
        </w:tabs>
        <w:spacing w:after="240"/>
        <w:ind w:firstLine="720"/>
        <w:rPr>
          <w:rFonts w:eastAsia="Times New Roman" w:cs="Times New Roman"/>
          <w:b/>
          <w:szCs w:val="24"/>
        </w:rPr>
      </w:pPr>
      <w:r w:rsidRPr="00AD0896">
        <w:rPr>
          <w:rFonts w:eastAsia="Times New Roman" w:cs="Times New Roman"/>
          <w:szCs w:val="24"/>
        </w:rPr>
        <w:t xml:space="preserve">All requirements </w:t>
      </w:r>
      <w:r w:rsidR="00840FA4">
        <w:rPr>
          <w:rFonts w:eastAsia="Times New Roman" w:cs="Times New Roman"/>
          <w:szCs w:val="24"/>
        </w:rPr>
        <w:t>in the collection</w:t>
      </w:r>
      <w:r w:rsidRPr="00AD0896">
        <w:rPr>
          <w:rFonts w:eastAsia="Times New Roman" w:cs="Times New Roman"/>
          <w:szCs w:val="24"/>
        </w:rPr>
        <w:t xml:space="preserve"> to submit proprietary or other confidential information are subject to the Commission’s existing statutory, regulatory, and procedural requirements to </w:t>
      </w:r>
      <w:r w:rsidRPr="00AD0896">
        <w:rPr>
          <w:rFonts w:eastAsia="Times New Roman" w:cs="Times New Roman"/>
          <w:szCs w:val="24"/>
        </w:rPr>
        <w:lastRenderedPageBreak/>
        <w:t xml:space="preserve">protect the confidentiality of such information. This includes the requirements of sections 8(a) and 21(c)(6) of the Act as well as in §§ </w:t>
      </w:r>
      <w:r w:rsidR="007A1013">
        <w:rPr>
          <w:rFonts w:eastAsia="Times New Roman" w:cs="Times New Roman"/>
          <w:szCs w:val="24"/>
        </w:rPr>
        <w:t xml:space="preserve">43.4, </w:t>
      </w:r>
      <w:r w:rsidRPr="00AD0896">
        <w:rPr>
          <w:rFonts w:eastAsia="Times New Roman" w:cs="Times New Roman"/>
          <w:szCs w:val="24"/>
        </w:rPr>
        <w:t>49.16, 49.17, and 49.18, and parts 145 and 147 of the Commission’s regulations.</w:t>
      </w:r>
    </w:p>
    <w:p w:rsidRPr="00642B6A" w:rsidR="00642B6A" w:rsidP="00FE503D" w:rsidRDefault="00642B6A" w14:paraId="50F422B3" w14:textId="704971F2">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w:t>
      </w:r>
      <w:r w:rsidR="00C83EDF">
        <w:rPr>
          <w:rFonts w:eastAsia="Times New Roman" w:cs="Times New Roman"/>
          <w:b/>
          <w:szCs w:val="24"/>
        </w:rPr>
        <w:t xml:space="preserve">on prior to submission to OMB. </w:t>
      </w:r>
      <w:r w:rsidRPr="00642B6A">
        <w:rPr>
          <w:rFonts w:eastAsia="Times New Roman" w:cs="Times New Roman"/>
          <w:b/>
          <w:szCs w:val="24"/>
        </w:rPr>
        <w:t xml:space="preserve">Summarize public comments received in response to that notice and describe actions taken by the agency </w:t>
      </w:r>
      <w:r w:rsidR="00C83EDF">
        <w:rPr>
          <w:rFonts w:eastAsia="Times New Roman" w:cs="Times New Roman"/>
          <w:b/>
          <w:szCs w:val="24"/>
        </w:rPr>
        <w:t xml:space="preserve">in response to these comments. </w:t>
      </w:r>
      <w:r w:rsidRPr="00642B6A">
        <w:rPr>
          <w:rFonts w:eastAsia="Times New Roman" w:cs="Times New Roman"/>
          <w:b/>
          <w:szCs w:val="24"/>
        </w:rPr>
        <w:t>Specifically address comments received on cost and hour burden.</w:t>
      </w:r>
    </w:p>
    <w:p w:rsidR="003A5159" w:rsidP="003A5159" w:rsidRDefault="003A5159" w14:paraId="01363C35" w14:textId="626F87BD">
      <w:pPr>
        <w:tabs>
          <w:tab w:val="left" w:pos="-720"/>
          <w:tab w:val="left" w:pos="0"/>
        </w:tabs>
        <w:spacing w:after="240"/>
        <w:ind w:hanging="720"/>
        <w:jc w:val="both"/>
        <w:rPr>
          <w:rFonts w:eastAsia="Times New Roman" w:cs="Times New Roman"/>
          <w:szCs w:val="24"/>
        </w:rPr>
      </w:pPr>
      <w:r>
        <w:rPr>
          <w:rFonts w:eastAsia="Times New Roman" w:cs="Times New Roman"/>
          <w:szCs w:val="24"/>
        </w:rPr>
        <w:tab/>
      </w:r>
      <w:r>
        <w:rPr>
          <w:rFonts w:eastAsia="Times New Roman" w:cs="Times New Roman"/>
          <w:szCs w:val="24"/>
        </w:rPr>
        <w:tab/>
      </w:r>
      <w:r w:rsidRPr="003A5159">
        <w:rPr>
          <w:rFonts w:eastAsia="Times New Roman" w:cs="Times New Roman"/>
          <w:szCs w:val="24"/>
        </w:rPr>
        <w:t>As part of the rulemaking process, the proposed a</w:t>
      </w:r>
      <w:r>
        <w:rPr>
          <w:rFonts w:eastAsia="Times New Roman" w:cs="Times New Roman"/>
          <w:szCs w:val="24"/>
        </w:rPr>
        <w:t xml:space="preserve">mendments were published in the </w:t>
      </w:r>
      <w:r w:rsidRPr="003A5159">
        <w:rPr>
          <w:rFonts w:eastAsia="Times New Roman" w:cs="Times New Roman"/>
          <w:szCs w:val="24"/>
        </w:rPr>
        <w:t>Federal Register at 85 FR 21578 (Apr. 17, 202</w:t>
      </w:r>
      <w:r>
        <w:rPr>
          <w:rFonts w:eastAsia="Times New Roman" w:cs="Times New Roman"/>
          <w:szCs w:val="24"/>
        </w:rPr>
        <w:t xml:space="preserve">0). </w:t>
      </w:r>
      <w:r w:rsidRPr="003A5159">
        <w:rPr>
          <w:rFonts w:eastAsia="Times New Roman" w:cs="Times New Roman"/>
          <w:szCs w:val="24"/>
        </w:rPr>
        <w:t>The Commission did not receive any comments on the information collection.</w:t>
      </w:r>
      <w:r w:rsidRPr="006D62FA" w:rsidR="006D62FA">
        <w:rPr>
          <w:rFonts w:eastAsia="Times New Roman" w:cs="Times New Roman"/>
          <w:szCs w:val="24"/>
        </w:rPr>
        <w:t xml:space="preserve"> </w:t>
      </w:r>
    </w:p>
    <w:p w:rsidRPr="00642B6A" w:rsidR="00642B6A" w:rsidP="00FE503D" w:rsidRDefault="00642B6A" w14:paraId="50F422B5" w14:textId="18B077DA">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P="007A1013" w:rsidRDefault="007A1013" w14:paraId="50F422B6" w14:textId="002D470A">
      <w:pPr>
        <w:tabs>
          <w:tab w:val="left" w:pos="-720"/>
          <w:tab w:val="left" w:pos="1305"/>
        </w:tabs>
        <w:spacing w:after="240"/>
        <w:ind w:firstLine="720"/>
        <w:rPr>
          <w:rFonts w:eastAsia="Times New Roman" w:cs="Times New Roman"/>
          <w:szCs w:val="24"/>
        </w:rPr>
      </w:pPr>
      <w:r w:rsidRPr="007A1013">
        <w:rPr>
          <w:rFonts w:eastAsia="Times New Roman" w:cs="Times New Roman"/>
          <w:szCs w:val="24"/>
        </w:rPr>
        <w:t>Not applicable, no payment or gift will be provided to respondents.</w:t>
      </w:r>
      <w:r>
        <w:rPr>
          <w:rFonts w:eastAsia="Times New Roman" w:cs="Times New Roman"/>
          <w:szCs w:val="24"/>
        </w:rPr>
        <w:tab/>
      </w:r>
    </w:p>
    <w:p w:rsidRPr="00642B6A" w:rsidR="00642B6A" w:rsidP="00FE503D" w:rsidRDefault="00642B6A" w14:paraId="50F422B7"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Pr="007A1013" w:rsidR="00D945B5" w:rsidP="007A1013" w:rsidRDefault="00FB2184" w14:paraId="50F422B8" w14:textId="6E93FE46">
      <w:pPr>
        <w:tabs>
          <w:tab w:val="left" w:pos="-720"/>
        </w:tabs>
        <w:spacing w:after="240"/>
        <w:ind w:firstLine="720"/>
        <w:rPr>
          <w:rFonts w:eastAsia="Times New Roman" w:cs="Times New Roman"/>
          <w:szCs w:val="24"/>
        </w:rPr>
      </w:pPr>
      <w:r w:rsidRPr="00FB2184">
        <w:rPr>
          <w:rFonts w:eastAsia="Times New Roman" w:cs="Times New Roman"/>
          <w:szCs w:val="24"/>
        </w:rPr>
        <w:t xml:space="preserve">The Commission does not provide respondents with an assurance of confidentiality beyond that provided by applicable law. </w:t>
      </w:r>
      <w:r w:rsidRPr="007A1013" w:rsidR="007A1013">
        <w:rPr>
          <w:rFonts w:eastAsia="Times New Roman" w:cs="Times New Roman"/>
          <w:szCs w:val="24"/>
        </w:rPr>
        <w:t xml:space="preserve">All requirements </w:t>
      </w:r>
      <w:r w:rsidR="00840FA4">
        <w:rPr>
          <w:rFonts w:eastAsia="Times New Roman" w:cs="Times New Roman"/>
          <w:szCs w:val="24"/>
        </w:rPr>
        <w:t>in the collection</w:t>
      </w:r>
      <w:r w:rsidRPr="007A1013" w:rsidR="007A1013">
        <w:rPr>
          <w:rFonts w:eastAsia="Times New Roman" w:cs="Times New Roman"/>
          <w:szCs w:val="24"/>
        </w:rPr>
        <w:t xml:space="preserve"> to submit proprietary or other confidential information are subject to the Commission’s existing statutory, regulatory, and procedural requirements to protect the confidentiality of such information. This includes the requirements of sections 8(a) and 21(c)(6) of the Act as well as in §§ </w:t>
      </w:r>
      <w:r w:rsidR="007A1013">
        <w:rPr>
          <w:rFonts w:eastAsia="Times New Roman" w:cs="Times New Roman"/>
          <w:szCs w:val="24"/>
        </w:rPr>
        <w:t xml:space="preserve">43.4, </w:t>
      </w:r>
      <w:r w:rsidRPr="007A1013" w:rsidR="007A1013">
        <w:rPr>
          <w:rFonts w:eastAsia="Times New Roman" w:cs="Times New Roman"/>
          <w:szCs w:val="24"/>
        </w:rPr>
        <w:t>49.16, 49.17, and 49.18, and parts 145 and 147 of the Commission’s regulations.</w:t>
      </w:r>
    </w:p>
    <w:p w:rsidRPr="00642B6A" w:rsidR="00642B6A" w:rsidP="00FE503D" w:rsidRDefault="00642B6A" w14:paraId="50F422B9" w14:textId="78B0910F">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w:t>
      </w:r>
      <w:r w:rsidR="00C83EDF">
        <w:rPr>
          <w:rFonts w:eastAsia="Times New Roman" w:cs="Times New Roman"/>
          <w:b/>
          <w:szCs w:val="24"/>
        </w:rPr>
        <w:t xml:space="preserve">e commonly considered private. </w:t>
      </w:r>
      <w:r w:rsidRPr="00642B6A">
        <w:rPr>
          <w:rFonts w:eastAsia="Times New Roman" w:cs="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F41C5" w:rsidR="008F41C5" w:rsidP="008F41C5" w:rsidRDefault="008F41C5" w14:paraId="6D0DBF20" w14:textId="77777777">
      <w:pPr>
        <w:tabs>
          <w:tab w:val="left" w:pos="-720"/>
        </w:tabs>
        <w:suppressAutoHyphens/>
        <w:ind w:firstLine="720"/>
        <w:rPr>
          <w:rFonts w:eastAsia="Times New Roman" w:cs="Times New Roman"/>
          <w:szCs w:val="24"/>
        </w:rPr>
      </w:pPr>
      <w:r w:rsidRPr="008F41C5">
        <w:rPr>
          <w:rFonts w:eastAsia="Times New Roman" w:cs="Times New Roman"/>
          <w:szCs w:val="24"/>
        </w:rPr>
        <w:t>Not applicable, the collection does not involve any questions of a sensitive nature, as the term is used in this question.</w:t>
      </w:r>
    </w:p>
    <w:p w:rsidRPr="00642B6A" w:rsidR="008F41C5" w:rsidP="008F41C5" w:rsidRDefault="008F41C5" w14:paraId="04A5B53A" w14:textId="77777777">
      <w:pPr>
        <w:tabs>
          <w:tab w:val="left" w:pos="-720"/>
        </w:tabs>
        <w:suppressAutoHyphens/>
        <w:rPr>
          <w:rFonts w:eastAsia="Times New Roman" w:cs="Times New Roman"/>
          <w:szCs w:val="24"/>
        </w:rPr>
      </w:pPr>
    </w:p>
    <w:p w:rsidRPr="00642B6A" w:rsidR="00642B6A" w:rsidP="00505251" w:rsidRDefault="00642B6A" w14:paraId="50F422BB" w14:textId="1D96D698">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 xml:space="preserve">Provide estimates of the hour burden of </w:t>
      </w:r>
      <w:r w:rsidR="00C83EDF">
        <w:rPr>
          <w:rFonts w:eastAsia="Times New Roman" w:cs="Times New Roman"/>
          <w:b/>
          <w:szCs w:val="24"/>
        </w:rPr>
        <w:t xml:space="preserve">the collection of information. </w:t>
      </w:r>
      <w:r w:rsidRPr="00642B6A">
        <w:rPr>
          <w:rFonts w:eastAsia="Times New Roman" w:cs="Times New Roman"/>
          <w:b/>
          <w:szCs w:val="24"/>
        </w:rPr>
        <w:t>The Statement should:</w:t>
      </w:r>
    </w:p>
    <w:p w:rsidR="00642B6A" w:rsidP="00FE503D" w:rsidRDefault="00642B6A" w14:paraId="50F422BC" w14:textId="320B0D8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w:t>
      </w:r>
      <w:r w:rsidR="00C83EDF">
        <w:rPr>
          <w:rFonts w:eastAsia="Times New Roman" w:cs="Times New Roman"/>
          <w:b/>
          <w:szCs w:val="24"/>
        </w:rPr>
        <w:t xml:space="preserve"> how the burden was estimated. </w:t>
      </w:r>
      <w:r w:rsidRPr="00642B6A">
        <w:rPr>
          <w:rFonts w:eastAsia="Times New Roman" w:cs="Times New Roman"/>
          <w:b/>
          <w:szCs w:val="24"/>
        </w:rPr>
        <w:t>Unless directed to do so, agencies should not conduct special surveys to obtain information on which to base hour burden esti</w:t>
      </w:r>
      <w:r w:rsidR="00C83EDF">
        <w:rPr>
          <w:rFonts w:eastAsia="Times New Roman" w:cs="Times New Roman"/>
          <w:b/>
          <w:szCs w:val="24"/>
        </w:rPr>
        <w:t xml:space="preserve">mates. </w:t>
      </w:r>
      <w:r w:rsidRPr="00642B6A">
        <w:rPr>
          <w:rFonts w:eastAsia="Times New Roman" w:cs="Times New Roman"/>
          <w:b/>
          <w:szCs w:val="24"/>
        </w:rPr>
        <w:t>Consultation with a sample (fewer than ten) of poten</w:t>
      </w:r>
      <w:r w:rsidR="00C83EDF">
        <w:rPr>
          <w:rFonts w:eastAsia="Times New Roman" w:cs="Times New Roman"/>
          <w:b/>
          <w:szCs w:val="24"/>
        </w:rPr>
        <w:t xml:space="preserve">tial respondents is desirable. </w:t>
      </w:r>
      <w:r w:rsidRPr="00642B6A">
        <w:rPr>
          <w:rFonts w:eastAsia="Times New Roman" w:cs="Times New Roman"/>
          <w:b/>
          <w:szCs w:val="24"/>
        </w:rPr>
        <w:t xml:space="preserve">If the hour burden on respondents is expected </w:t>
      </w:r>
      <w:r w:rsidRPr="00642B6A">
        <w:rPr>
          <w:rFonts w:eastAsia="Times New Roman" w:cs="Times New Roman"/>
          <w:b/>
          <w:szCs w:val="24"/>
        </w:rPr>
        <w:lastRenderedPageBreak/>
        <w:t>to vary widely because of differences in activity, size or complexity, show the range of estimated hour burden, and explain</w:t>
      </w:r>
      <w:r w:rsidR="00C83EDF">
        <w:rPr>
          <w:rFonts w:eastAsia="Times New Roman" w:cs="Times New Roman"/>
          <w:b/>
          <w:szCs w:val="24"/>
        </w:rPr>
        <w:t xml:space="preserve"> the reasons for the variance. </w:t>
      </w:r>
      <w:r w:rsidRPr="00642B6A">
        <w:rPr>
          <w:rFonts w:eastAsia="Times New Roman" w:cs="Times New Roman"/>
          <w:b/>
          <w:szCs w:val="24"/>
        </w:rPr>
        <w:t>Generally, estimates should not include burden hours for customary and usual business practices.</w:t>
      </w:r>
    </w:p>
    <w:p w:rsidRPr="00642B6A" w:rsidR="00642B6A" w:rsidP="00FE503D" w:rsidRDefault="00642B6A" w14:paraId="50F422B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Pr="00642B6A" w:rsidR="00642B6A" w:rsidP="00FE503D" w:rsidRDefault="00642B6A" w14:paraId="50F422BE" w14:textId="5292C408">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w:t>
      </w:r>
      <w:r w:rsidR="00C83EDF">
        <w:rPr>
          <w:rFonts w:eastAsia="Times New Roman" w:cs="Times New Roman"/>
          <w:b/>
          <w:szCs w:val="24"/>
        </w:rPr>
        <w:t xml:space="preserve">ropriate wage rate categories. </w:t>
      </w:r>
      <w:r w:rsidRPr="00642B6A">
        <w:rPr>
          <w:rFonts w:eastAsia="Times New Roman" w:cs="Times New Roman"/>
          <w:b/>
          <w:szCs w:val="24"/>
        </w:rPr>
        <w:t>The cost of contracting out or paying outside parties for information collection activitie</w:t>
      </w:r>
      <w:r w:rsidR="00C83EDF">
        <w:rPr>
          <w:rFonts w:eastAsia="Times New Roman" w:cs="Times New Roman"/>
          <w:b/>
          <w:szCs w:val="24"/>
        </w:rPr>
        <w:t xml:space="preserve">s should not be included here. </w:t>
      </w:r>
      <w:r w:rsidRPr="00642B6A">
        <w:rPr>
          <w:rFonts w:eastAsia="Times New Roman" w:cs="Times New Roman"/>
          <w:b/>
          <w:szCs w:val="24"/>
        </w:rPr>
        <w:t>Instead, this cost should be included in Item 13.</w:t>
      </w:r>
    </w:p>
    <w:p w:rsidR="008B7145" w:rsidP="00DE5DA9" w:rsidRDefault="008F41C5" w14:paraId="65B0B072" w14:textId="120CEB59">
      <w:pPr>
        <w:ind w:firstLine="720"/>
        <w:rPr>
          <w:rFonts w:eastAsia="Times New Roman" w:cs="Times New Roman"/>
          <w:color w:val="000000"/>
          <w:szCs w:val="24"/>
        </w:rPr>
      </w:pPr>
      <w:r w:rsidRPr="008F41C5">
        <w:rPr>
          <w:rFonts w:eastAsia="Times New Roman" w:cs="Times New Roman"/>
          <w:color w:val="000000"/>
          <w:szCs w:val="24"/>
        </w:rPr>
        <w:t xml:space="preserve">Please see </w:t>
      </w:r>
      <w:r w:rsidR="00DC1C85">
        <w:rPr>
          <w:rFonts w:eastAsia="Times New Roman" w:cs="Times New Roman"/>
          <w:color w:val="000000"/>
          <w:szCs w:val="24"/>
        </w:rPr>
        <w:t>A</w:t>
      </w:r>
      <w:r w:rsidRPr="008F41C5" w:rsidR="00DC1C85">
        <w:rPr>
          <w:rFonts w:eastAsia="Times New Roman" w:cs="Times New Roman"/>
          <w:color w:val="000000"/>
          <w:szCs w:val="24"/>
        </w:rPr>
        <w:t xml:space="preserve">ttachment </w:t>
      </w:r>
      <w:r w:rsidRPr="008F41C5">
        <w:rPr>
          <w:rFonts w:eastAsia="Times New Roman" w:cs="Times New Roman"/>
          <w:color w:val="000000"/>
          <w:szCs w:val="24"/>
        </w:rPr>
        <w:t>A for the estimated hour burden for the collections of information discussed in this supporting statement.</w:t>
      </w:r>
      <w:r w:rsidR="00DE5DA9">
        <w:rPr>
          <w:rFonts w:eastAsia="Times New Roman" w:cs="Times New Roman"/>
          <w:color w:val="000000"/>
          <w:szCs w:val="24"/>
        </w:rPr>
        <w:t xml:space="preserve">  </w:t>
      </w:r>
    </w:p>
    <w:p w:rsidR="008B7145" w:rsidP="00DE5DA9" w:rsidRDefault="008B7145" w14:paraId="3266914B" w14:textId="77777777">
      <w:pPr>
        <w:ind w:firstLine="720"/>
        <w:rPr>
          <w:rFonts w:eastAsia="Times New Roman" w:cs="Times New Roman"/>
          <w:color w:val="000000"/>
          <w:szCs w:val="24"/>
        </w:rPr>
      </w:pPr>
    </w:p>
    <w:p w:rsidR="00DE5DA9" w:rsidP="00DE5DA9" w:rsidRDefault="008B7145" w14:paraId="389F539A" w14:textId="037B8C0E">
      <w:pPr>
        <w:ind w:firstLine="720"/>
        <w:rPr>
          <w:rFonts w:eastAsia="Times New Roman"/>
          <w:color w:val="000000"/>
        </w:rPr>
      </w:pPr>
      <w:r>
        <w:rPr>
          <w:rFonts w:eastAsia="Times New Roman" w:cs="Times New Roman"/>
          <w:color w:val="000000"/>
          <w:szCs w:val="24"/>
        </w:rPr>
        <w:t xml:space="preserve">As noted above, to conform to the changes to </w:t>
      </w:r>
      <w:r w:rsidRPr="00DE5DA9">
        <w:rPr>
          <w:rFonts w:eastAsia="Times New Roman"/>
          <w:color w:val="000000"/>
        </w:rPr>
        <w:t>§</w:t>
      </w:r>
      <w:r>
        <w:rPr>
          <w:rFonts w:eastAsia="Times New Roman"/>
          <w:color w:val="000000"/>
        </w:rPr>
        <w:t xml:space="preserve"> 45.4, the Commission is </w:t>
      </w:r>
      <w:r w:rsidR="00E73BC6">
        <w:rPr>
          <w:rFonts w:eastAsia="Times New Roman"/>
          <w:color w:val="000000"/>
        </w:rPr>
        <w:t>removing</w:t>
      </w:r>
      <w:r>
        <w:rPr>
          <w:rFonts w:eastAsia="Times New Roman"/>
          <w:color w:val="000000"/>
        </w:rPr>
        <w:t xml:space="preserve"> the option for state data reporting from </w:t>
      </w:r>
      <w:r w:rsidRPr="00DE5DA9">
        <w:rPr>
          <w:rFonts w:eastAsia="Times New Roman"/>
          <w:color w:val="000000"/>
        </w:rPr>
        <w:t>§ 46.11</w:t>
      </w:r>
      <w:r>
        <w:rPr>
          <w:rFonts w:eastAsia="Times New Roman"/>
          <w:color w:val="000000"/>
        </w:rPr>
        <w:t xml:space="preserve">. </w:t>
      </w:r>
      <w:r w:rsidRPr="00DE5DA9" w:rsidR="00DE5DA9">
        <w:rPr>
          <w:rFonts w:eastAsia="Times New Roman"/>
          <w:color w:val="000000"/>
        </w:rPr>
        <w:t xml:space="preserve">The Commission believes </w:t>
      </w:r>
      <w:r w:rsidR="00844100">
        <w:rPr>
          <w:rFonts w:eastAsia="Times New Roman"/>
          <w:color w:val="000000"/>
        </w:rPr>
        <w:t xml:space="preserve">that </w:t>
      </w:r>
      <w:r w:rsidR="00E73BC6">
        <w:rPr>
          <w:rFonts w:eastAsia="Times New Roman"/>
          <w:color w:val="000000"/>
        </w:rPr>
        <w:t xml:space="preserve">this </w:t>
      </w:r>
      <w:r w:rsidR="00087856">
        <w:rPr>
          <w:rFonts w:eastAsia="Times New Roman"/>
          <w:color w:val="000000"/>
        </w:rPr>
        <w:t>will</w:t>
      </w:r>
      <w:r w:rsidRPr="00DE5DA9" w:rsidR="00DE5DA9">
        <w:rPr>
          <w:rFonts w:eastAsia="Times New Roman"/>
          <w:color w:val="000000"/>
        </w:rPr>
        <w:t xml:space="preserve"> reduce the number of continuation data reports reporting counterparties send SDRs for historical swaps by 50%. </w:t>
      </w:r>
      <w:r w:rsidR="00731C82">
        <w:rPr>
          <w:rFonts w:eastAsia="Times New Roman"/>
          <w:color w:val="000000"/>
        </w:rPr>
        <w:t>A</w:t>
      </w:r>
      <w:r>
        <w:rPr>
          <w:rFonts w:eastAsia="Times New Roman"/>
          <w:color w:val="000000"/>
        </w:rPr>
        <w:t xml:space="preserve">s shown on Attachment A, </w:t>
      </w:r>
      <w:r w:rsidRPr="00DE5DA9" w:rsidR="00DE5DA9">
        <w:rPr>
          <w:rFonts w:eastAsia="Times New Roman"/>
          <w:color w:val="000000"/>
        </w:rPr>
        <w:t xml:space="preserve">the Commission now estimates that to comply with </w:t>
      </w:r>
      <w:r w:rsidR="00E73BC6">
        <w:rPr>
          <w:rFonts w:eastAsia="Times New Roman"/>
          <w:color w:val="000000"/>
        </w:rPr>
        <w:t xml:space="preserve">amended </w:t>
      </w:r>
      <w:r w:rsidRPr="00DE5DA9" w:rsidR="00DE5DA9">
        <w:rPr>
          <w:rFonts w:eastAsia="Times New Roman"/>
          <w:color w:val="000000"/>
        </w:rPr>
        <w:t>§ 46</w:t>
      </w:r>
      <w:r w:rsidR="008D2774">
        <w:rPr>
          <w:rFonts w:eastAsia="Times New Roman"/>
          <w:color w:val="000000"/>
        </w:rPr>
        <w:t>.11</w:t>
      </w:r>
      <w:r w:rsidR="007E73BD">
        <w:rPr>
          <w:rFonts w:eastAsia="Times New Roman"/>
          <w:color w:val="000000"/>
        </w:rPr>
        <w:t>,</w:t>
      </w:r>
      <w:r w:rsidR="00906A3C">
        <w:rPr>
          <w:rFonts w:eastAsia="Times New Roman"/>
          <w:color w:val="000000"/>
        </w:rPr>
        <w:t xml:space="preserve"> the 625</w:t>
      </w:r>
      <w:r w:rsidR="00906A3C">
        <w:rPr>
          <w:rStyle w:val="FootnoteReference"/>
          <w:rFonts w:eastAsia="Times New Roman"/>
          <w:color w:val="000000"/>
        </w:rPr>
        <w:footnoteReference w:id="2"/>
      </w:r>
      <w:r w:rsidRPr="00DE5DA9" w:rsidR="00DE5DA9">
        <w:rPr>
          <w:rFonts w:eastAsia="Times New Roman"/>
          <w:color w:val="000000"/>
        </w:rPr>
        <w:t xml:space="preserve"> SD, MSP, and non-SD/MSP reporting counterparties that the Commission estimates are reporting historical swaps </w:t>
      </w:r>
      <w:r w:rsidR="00087856">
        <w:rPr>
          <w:rFonts w:eastAsia="Times New Roman"/>
          <w:color w:val="000000"/>
        </w:rPr>
        <w:t>will</w:t>
      </w:r>
      <w:r w:rsidRPr="00DE5DA9" w:rsidR="00DE5DA9">
        <w:rPr>
          <w:rFonts w:eastAsia="Times New Roman"/>
          <w:color w:val="000000"/>
        </w:rPr>
        <w:t xml:space="preserve"> each </w:t>
      </w:r>
      <w:r w:rsidR="007E73BD">
        <w:rPr>
          <w:rFonts w:eastAsia="Times New Roman"/>
          <w:color w:val="000000"/>
        </w:rPr>
        <w:t>spend 50% less time reporting their historical swaps</w:t>
      </w:r>
      <w:r w:rsidR="008D2774">
        <w:rPr>
          <w:rFonts w:eastAsia="Times New Roman"/>
          <w:color w:val="000000"/>
        </w:rPr>
        <w:t xml:space="preserve"> under part 46</w:t>
      </w:r>
      <w:r w:rsidR="006657D1">
        <w:rPr>
          <w:rFonts w:eastAsia="Times New Roman"/>
          <w:color w:val="000000"/>
        </w:rPr>
        <w:t>, for a total annual reporting burden of 945 hours.</w:t>
      </w:r>
      <w:r w:rsidR="006657D1">
        <w:rPr>
          <w:rStyle w:val="FootnoteReference"/>
          <w:rFonts w:eastAsia="Times New Roman"/>
          <w:color w:val="000000"/>
        </w:rPr>
        <w:footnoteReference w:id="3"/>
      </w:r>
      <w:r w:rsidR="00394B5F">
        <w:rPr>
          <w:rFonts w:eastAsia="Times New Roman"/>
          <w:color w:val="000000"/>
        </w:rPr>
        <w:t xml:space="preserve">  </w:t>
      </w:r>
      <w:r w:rsidR="0035380A">
        <w:rPr>
          <w:rFonts w:eastAsia="Times New Roman"/>
          <w:color w:val="000000"/>
        </w:rPr>
        <w:t xml:space="preserve"> </w:t>
      </w:r>
    </w:p>
    <w:p w:rsidR="005129C3" w:rsidP="00DE5DA9" w:rsidRDefault="005129C3" w14:paraId="6859D3FF" w14:textId="77777777">
      <w:pPr>
        <w:ind w:firstLine="720"/>
        <w:rPr>
          <w:rFonts w:eastAsia="Times New Roman"/>
          <w:color w:val="000000"/>
        </w:rPr>
      </w:pPr>
    </w:p>
    <w:p w:rsidR="005129C3" w:rsidP="005129C3" w:rsidRDefault="005129C3" w14:paraId="5926C7E2" w14:textId="77777777">
      <w:pPr>
        <w:ind w:firstLine="720"/>
        <w:rPr>
          <w:rFonts w:eastAsia="Times New Roman"/>
          <w:color w:val="000000"/>
        </w:rPr>
      </w:pPr>
      <w:r w:rsidRPr="00251F62">
        <w:rPr>
          <w:rFonts w:eastAsia="Times New Roman"/>
          <w:color w:val="000000"/>
        </w:rPr>
        <w:t>In the last renewal for collection 3038-0089, the Commission estimated the total recordkeeping burden to be 78.225 hours per respondent, at a cost of $5,670 per entity, with an aggregate annual burden of 15,753 hours at an aggregate cost of $1,156,875. The Commission is not updating the recordk</w:t>
      </w:r>
      <w:r>
        <w:rPr>
          <w:rFonts w:eastAsia="Times New Roman"/>
          <w:color w:val="000000"/>
        </w:rPr>
        <w:t>eeping requirements in part 46.</w:t>
      </w:r>
    </w:p>
    <w:p w:rsidR="005129C3" w:rsidP="005129C3" w:rsidRDefault="005129C3" w14:paraId="3FCF18AC" w14:textId="77777777">
      <w:pPr>
        <w:ind w:firstLine="720"/>
        <w:rPr>
          <w:rFonts w:eastAsia="Times New Roman"/>
          <w:color w:val="000000"/>
        </w:rPr>
      </w:pPr>
    </w:p>
    <w:p w:rsidRPr="00844100" w:rsidR="005129C3" w:rsidP="000D0CFF" w:rsidRDefault="005129C3" w14:paraId="449A6D1C" w14:textId="1B9883E6">
      <w:pPr>
        <w:rPr>
          <w:rFonts w:eastAsia="Times New Roman" w:cs="Times New Roman"/>
          <w:color w:val="000000"/>
          <w:szCs w:val="24"/>
        </w:rPr>
      </w:pPr>
      <w:r>
        <w:rPr>
          <w:rFonts w:eastAsia="Times New Roman" w:cs="Times New Roman"/>
          <w:color w:val="000000"/>
          <w:szCs w:val="24"/>
        </w:rPr>
        <w:tab/>
        <w:t>As a result of the proposed changes to the reporting burden,</w:t>
      </w:r>
      <w:r w:rsidRPr="009E6241">
        <w:rPr>
          <w:rFonts w:eastAsia="Times New Roman" w:cs="Times New Roman"/>
          <w:color w:val="000000"/>
          <w:szCs w:val="24"/>
        </w:rPr>
        <w:t xml:space="preserve"> the Commission’s estimated recordkeeping and reporting total </w:t>
      </w:r>
      <w:r>
        <w:rPr>
          <w:rFonts w:eastAsia="Times New Roman" w:cs="Times New Roman"/>
          <w:color w:val="000000"/>
          <w:szCs w:val="24"/>
        </w:rPr>
        <w:t xml:space="preserve">would be the estimated </w:t>
      </w:r>
      <w:r w:rsidRPr="009E6241">
        <w:rPr>
          <w:rFonts w:eastAsia="Times New Roman" w:cs="Times New Roman"/>
          <w:color w:val="000000"/>
          <w:szCs w:val="24"/>
        </w:rPr>
        <w:t>945 hours for reporting</w:t>
      </w:r>
      <w:r>
        <w:rPr>
          <w:rFonts w:eastAsia="Times New Roman" w:cs="Times New Roman"/>
          <w:color w:val="000000"/>
          <w:szCs w:val="24"/>
        </w:rPr>
        <w:t xml:space="preserve"> added</w:t>
      </w:r>
      <w:r w:rsidRPr="009E6241">
        <w:rPr>
          <w:rFonts w:eastAsia="Times New Roman" w:cs="Times New Roman"/>
          <w:color w:val="000000"/>
          <w:szCs w:val="24"/>
        </w:rPr>
        <w:t xml:space="preserve"> to the </w:t>
      </w:r>
      <w:r w:rsidRPr="009E6241">
        <w:rPr>
          <w:rFonts w:eastAsia="Times New Roman" w:cs="Times New Roman"/>
          <w:color w:val="000000"/>
          <w:szCs w:val="24"/>
        </w:rPr>
        <w:lastRenderedPageBreak/>
        <w:t>current 15,753 hours for recordkeeping</w:t>
      </w:r>
      <w:r>
        <w:rPr>
          <w:rFonts w:eastAsia="Times New Roman" w:cs="Times New Roman"/>
          <w:color w:val="000000"/>
          <w:szCs w:val="24"/>
        </w:rPr>
        <w:t xml:space="preserve"> that the Commission is not changing</w:t>
      </w:r>
      <w:r w:rsidRPr="009E6241">
        <w:rPr>
          <w:rFonts w:eastAsia="Times New Roman" w:cs="Times New Roman"/>
          <w:color w:val="000000"/>
          <w:szCs w:val="24"/>
        </w:rPr>
        <w:t>.</w:t>
      </w:r>
      <w:r>
        <w:rPr>
          <w:rFonts w:eastAsia="Times New Roman" w:cs="Times New Roman"/>
          <w:color w:val="000000"/>
          <w:szCs w:val="24"/>
        </w:rPr>
        <w:t xml:space="preserve"> The result is a total estimated recordkeeping and report burden of 16,698 hours for </w:t>
      </w:r>
      <w:r w:rsidRPr="00783CCF">
        <w:rPr>
          <w:rFonts w:cs="Times New Roman"/>
          <w:szCs w:val="24"/>
        </w:rPr>
        <w:t>30,125 total annual responses.</w:t>
      </w:r>
      <w:r w:rsidRPr="009E6241">
        <w:rPr>
          <w:rFonts w:eastAsia="Times New Roman" w:cs="Times New Roman"/>
          <w:color w:val="000000"/>
          <w:szCs w:val="24"/>
        </w:rPr>
        <w:t xml:space="preserve"> </w:t>
      </w:r>
    </w:p>
    <w:p w:rsidRPr="008F41C5" w:rsidR="008F41C5" w:rsidP="008B7145" w:rsidRDefault="008F41C5" w14:paraId="235558A2" w14:textId="171CBD64">
      <w:pPr>
        <w:rPr>
          <w:rFonts w:eastAsia="Times New Roman" w:cs="Times New Roman"/>
          <w:color w:val="000000"/>
          <w:szCs w:val="24"/>
        </w:rPr>
      </w:pPr>
    </w:p>
    <w:p w:rsidRPr="00642B6A" w:rsidR="00642B6A" w:rsidP="008F41C5" w:rsidRDefault="008F41C5" w14:paraId="50F422BF" w14:textId="2D4C5DA1">
      <w:pPr>
        <w:ind w:firstLine="720"/>
        <w:rPr>
          <w:rFonts w:eastAsia="Times New Roman" w:cs="Times New Roman"/>
          <w:color w:val="000000"/>
          <w:szCs w:val="24"/>
        </w:rPr>
      </w:pPr>
      <w:r w:rsidRPr="008F41C5">
        <w:rPr>
          <w:rFonts w:eastAsia="Times New Roman" w:cs="Times New Roman"/>
          <w:color w:val="000000"/>
          <w:szCs w:val="24"/>
        </w:rPr>
        <w:t>In calculating this cost estimate, the Commission estimates the appropriate wage rate based on salary information for the securities industry compiled by the Department of Labor’s Bureau of Labor Statistics (“BLS”). Commission staff arrived at an hourly rate of $72.23 using figures from a weighted average of salaries and bonuses across different professions contained in the most recent BLS Occupational Employme</w:t>
      </w:r>
      <w:r w:rsidR="00755F59">
        <w:rPr>
          <w:rFonts w:eastAsia="Times New Roman" w:cs="Times New Roman"/>
          <w:color w:val="000000"/>
          <w:szCs w:val="24"/>
        </w:rPr>
        <w:t xml:space="preserve">nt and Wages Report (May 2018) </w:t>
      </w:r>
      <w:r w:rsidRPr="008F41C5">
        <w:rPr>
          <w:rFonts w:eastAsia="Times New Roman" w:cs="Times New Roman"/>
          <w:color w:val="000000"/>
          <w:szCs w:val="24"/>
        </w:rPr>
        <w:t>multiplied by 1.3 to account for overhead and other benefits. The Commission estimated appropriate wage rate is a weighted national average of mean hourly wages for the following occupations (and their relative weight): “computer programmer – industry: securities, commodity contracts, and other financial investment and related activities” (50% weight); “compliance officer – industry: securities, commodity contracts, and other financial investment and related activities” (25%); and “lawyer – legal services” (25%). Commission staff chose this methodology to account for the variance in skill sets that may be used to accomplish the collection of information.</w:t>
      </w:r>
    </w:p>
    <w:p w:rsidRPr="00642B6A" w:rsidR="00642B6A" w:rsidP="00642B6A" w:rsidRDefault="00642B6A" w14:paraId="50F422C0" w14:textId="77777777">
      <w:pPr>
        <w:ind w:firstLine="720"/>
        <w:rPr>
          <w:rFonts w:eastAsia="Times New Roman" w:cs="Times New Roman"/>
          <w:color w:val="000000"/>
          <w:szCs w:val="24"/>
        </w:rPr>
      </w:pPr>
    </w:p>
    <w:p w:rsidRPr="00642B6A" w:rsidR="00642B6A" w:rsidP="00FE503D" w:rsidRDefault="00642B6A" w14:paraId="50F422C1" w14:textId="5F035295">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recordkeepers resulting from </w:t>
      </w:r>
      <w:r w:rsidR="00C83EDF">
        <w:rPr>
          <w:rFonts w:eastAsia="Times New Roman" w:cs="Times New Roman"/>
          <w:b/>
          <w:szCs w:val="24"/>
        </w:rPr>
        <w:t xml:space="preserve">the collection of information. </w:t>
      </w:r>
      <w:r w:rsidRPr="00642B6A">
        <w:rPr>
          <w:rFonts w:eastAsia="Times New Roman" w:cs="Times New Roman"/>
          <w:b/>
          <w:szCs w:val="24"/>
        </w:rPr>
        <w:t>(Do not include the cost of any hour burden shown in Items 12 and 14).</w:t>
      </w:r>
    </w:p>
    <w:p w:rsidRPr="00642B6A" w:rsidR="00642B6A" w:rsidP="00FE503D" w:rsidRDefault="00642B6A" w14:paraId="50F422C2" w14:textId="1F35A16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The cost estimate should be split into two components; (a) a total capital and start-up cost component (annualized over its expected useful life) and (b) a total operation and maintenance and purchase of </w:t>
      </w:r>
      <w:r w:rsidR="00C83EDF">
        <w:rPr>
          <w:rFonts w:eastAsia="Times New Roman" w:cs="Times New Roman"/>
          <w:b/>
          <w:szCs w:val="24"/>
        </w:rPr>
        <w:t xml:space="preserve">services component. </w:t>
      </w:r>
      <w:r w:rsidRPr="00642B6A">
        <w:rPr>
          <w:rFonts w:eastAsia="Times New Roman" w:cs="Times New Roman"/>
          <w:b/>
          <w:szCs w:val="24"/>
        </w:rPr>
        <w:t>The estimates should take into account costs associated with generating, maintaining, and disclosing</w:t>
      </w:r>
      <w:r w:rsidR="00C83EDF">
        <w:rPr>
          <w:rFonts w:eastAsia="Times New Roman" w:cs="Times New Roman"/>
          <w:b/>
          <w:szCs w:val="24"/>
        </w:rPr>
        <w:t xml:space="preserve"> or providing the information. </w:t>
      </w:r>
      <w:r w:rsidRPr="00642B6A">
        <w:rPr>
          <w:rFonts w:eastAsia="Times New Roman" w:cs="Times New Roman"/>
          <w:b/>
          <w:szCs w:val="24"/>
        </w:rPr>
        <w:t>Include descriptions of methods used to estimate major costs factors including system and technology acquisition, expected useful life of capital equipment, the discount rate(s), and the time period over</w:t>
      </w:r>
      <w:r w:rsidR="00C83EDF">
        <w:rPr>
          <w:rFonts w:eastAsia="Times New Roman" w:cs="Times New Roman"/>
          <w:b/>
          <w:szCs w:val="24"/>
        </w:rPr>
        <w:t xml:space="preserve"> which costs will be incurred. </w:t>
      </w:r>
      <w:r w:rsidRPr="00642B6A">
        <w:rPr>
          <w:rFonts w:eastAsia="Times New Roman" w:cs="Times New Roman"/>
          <w:b/>
          <w:szCs w:val="24"/>
        </w:rPr>
        <w:t>Capital and start-up costs include, among other items, preparations for collecting information such as purchasing computers and software, monitoring, sampling, drilling and testing equipment, and record storage facilities.</w:t>
      </w:r>
    </w:p>
    <w:p w:rsidRPr="00642B6A" w:rsidR="00642B6A" w:rsidP="00FE503D" w:rsidRDefault="00642B6A" w14:paraId="50F422C3" w14:textId="5AA257E5">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w:t>
      </w:r>
      <w:r w:rsidR="00C83EDF">
        <w:rPr>
          <w:rFonts w:eastAsia="Times New Roman" w:cs="Times New Roman"/>
          <w:b/>
          <w:szCs w:val="24"/>
        </w:rPr>
        <w:t xml:space="preserve"> the reasons for the variance. </w:t>
      </w:r>
      <w:r w:rsidRPr="00642B6A">
        <w:rPr>
          <w:rFonts w:eastAsia="Times New Roman" w:cs="Times New Roman"/>
          <w:b/>
          <w:szCs w:val="24"/>
        </w:rPr>
        <w:t>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642B6A" w:rsidR="00642B6A" w:rsidP="00FE503D" w:rsidRDefault="00642B6A" w14:paraId="50F422C4"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47613" w:rsidP="00642B6A" w:rsidRDefault="00FD472D" w14:paraId="157A3524" w14:textId="3A436A74">
      <w:pPr>
        <w:ind w:firstLine="720"/>
        <w:rPr>
          <w:rFonts w:eastAsia="Times New Roman" w:cs="Times New Roman"/>
          <w:color w:val="000000"/>
          <w:szCs w:val="24"/>
        </w:rPr>
      </w:pPr>
      <w:r w:rsidRPr="00FD472D">
        <w:rPr>
          <w:rFonts w:eastAsia="Times New Roman" w:cs="Times New Roman"/>
          <w:color w:val="000000"/>
          <w:szCs w:val="24"/>
        </w:rPr>
        <w:lastRenderedPageBreak/>
        <w:t xml:space="preserve">The Commission does not believe this amendment </w:t>
      </w:r>
      <w:r w:rsidR="000B687F">
        <w:rPr>
          <w:rFonts w:eastAsia="Times New Roman" w:cs="Times New Roman"/>
          <w:color w:val="000000"/>
          <w:szCs w:val="24"/>
        </w:rPr>
        <w:t>to part 46</w:t>
      </w:r>
      <w:r w:rsidRPr="00FD472D">
        <w:rPr>
          <w:rFonts w:eastAsia="Times New Roman" w:cs="Times New Roman"/>
          <w:color w:val="000000"/>
          <w:szCs w:val="24"/>
        </w:rPr>
        <w:t xml:space="preserve"> </w:t>
      </w:r>
      <w:r w:rsidR="00087856">
        <w:rPr>
          <w:rFonts w:eastAsia="Times New Roman" w:cs="Times New Roman"/>
          <w:color w:val="000000"/>
          <w:szCs w:val="24"/>
        </w:rPr>
        <w:t>will</w:t>
      </w:r>
      <w:r w:rsidRPr="00FD472D">
        <w:rPr>
          <w:rFonts w:eastAsia="Times New Roman" w:cs="Times New Roman"/>
          <w:color w:val="000000"/>
          <w:szCs w:val="24"/>
        </w:rPr>
        <w:t xml:space="preserve"> require any system updates by SDRs or reporting counterparties.</w:t>
      </w:r>
    </w:p>
    <w:p w:rsidRPr="00642B6A" w:rsidR="00FD472D" w:rsidP="00642B6A" w:rsidRDefault="00FD472D" w14:paraId="6C1BC3C4" w14:textId="77777777">
      <w:pPr>
        <w:ind w:firstLine="720"/>
        <w:rPr>
          <w:rFonts w:eastAsia="Times New Roman" w:cs="Times New Roman"/>
          <w:color w:val="000000"/>
          <w:szCs w:val="24"/>
        </w:rPr>
      </w:pPr>
    </w:p>
    <w:p w:rsidRPr="00642B6A" w:rsidR="00642B6A" w:rsidP="00FE503D" w:rsidRDefault="00642B6A" w14:paraId="50F422C7" w14:textId="3471EF54">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Provide estimates of the annualized co</w:t>
      </w:r>
      <w:r w:rsidR="00C83EDF">
        <w:rPr>
          <w:rFonts w:eastAsia="Times New Roman" w:cs="Times New Roman"/>
          <w:b/>
          <w:szCs w:val="24"/>
        </w:rPr>
        <w:t xml:space="preserve">sts to the Federal Government. </w:t>
      </w:r>
      <w:r w:rsidRPr="00642B6A">
        <w:rPr>
          <w:rFonts w:eastAsia="Times New Roman" w:cs="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00C83EDF">
        <w:rPr>
          <w:rFonts w:eastAsia="Times New Roman" w:cs="Times New Roman"/>
          <w:b/>
          <w:szCs w:val="24"/>
        </w:rPr>
        <w:t xml:space="preserve">his collection of information. </w:t>
      </w:r>
      <w:r w:rsidRPr="00642B6A">
        <w:rPr>
          <w:rFonts w:eastAsia="Times New Roman" w:cs="Times New Roman"/>
          <w:b/>
          <w:szCs w:val="24"/>
        </w:rPr>
        <w:t>Agencies may also aggregate cost estimates from Items 12,</w:t>
      </w:r>
      <w:r w:rsidR="00C83EDF">
        <w:rPr>
          <w:rFonts w:eastAsia="Times New Roman" w:cs="Times New Roman"/>
          <w:b/>
          <w:szCs w:val="24"/>
        </w:rPr>
        <w:t xml:space="preserve"> 13, and 14 in a single table.</w:t>
      </w:r>
    </w:p>
    <w:p w:rsidRPr="00642B6A" w:rsidR="00642B6A" w:rsidP="007553BE" w:rsidRDefault="00642B6A" w14:paraId="50F422C8" w14:textId="080D61F0">
      <w:pPr>
        <w:tabs>
          <w:tab w:val="left" w:pos="-720"/>
        </w:tabs>
        <w:spacing w:after="240"/>
        <w:rPr>
          <w:rFonts w:eastAsia="Times New Roman" w:cs="Times New Roman"/>
          <w:szCs w:val="24"/>
        </w:rPr>
      </w:pPr>
      <w:r w:rsidRPr="00642B6A">
        <w:rPr>
          <w:rFonts w:eastAsia="Times New Roman" w:cs="Times New Roman"/>
          <w:szCs w:val="24"/>
        </w:rPr>
        <w:tab/>
      </w:r>
      <w:r w:rsidR="007553BE">
        <w:rPr>
          <w:rFonts w:eastAsia="Times New Roman" w:cs="Times New Roman"/>
          <w:szCs w:val="24"/>
        </w:rPr>
        <w:t>The Commission does not</w:t>
      </w:r>
      <w:r w:rsidRPr="007553BE" w:rsidR="007553BE">
        <w:rPr>
          <w:rFonts w:eastAsia="Times New Roman" w:cs="Times New Roman"/>
          <w:szCs w:val="24"/>
        </w:rPr>
        <w:t xml:space="preserve"> anticipate that </w:t>
      </w:r>
      <w:r w:rsidR="007553BE">
        <w:rPr>
          <w:rFonts w:eastAsia="Times New Roman" w:cs="Times New Roman"/>
          <w:szCs w:val="24"/>
        </w:rPr>
        <w:t>the</w:t>
      </w:r>
      <w:r w:rsidRPr="007553BE" w:rsidR="007553BE">
        <w:rPr>
          <w:rFonts w:eastAsia="Times New Roman" w:cs="Times New Roman"/>
          <w:szCs w:val="24"/>
        </w:rPr>
        <w:t xml:space="preserve"> changes will require additional staff time or technology resources beyond what is already dedicated to this collection, as discussed in previous filings related to Information C</w:t>
      </w:r>
      <w:r w:rsidR="007553BE">
        <w:rPr>
          <w:rFonts w:eastAsia="Times New Roman" w:cs="Times New Roman"/>
          <w:szCs w:val="24"/>
        </w:rPr>
        <w:t>ollection 3038-</w:t>
      </w:r>
      <w:r w:rsidR="00DC1C85">
        <w:rPr>
          <w:rFonts w:eastAsia="Times New Roman" w:cs="Times New Roman"/>
          <w:szCs w:val="24"/>
        </w:rPr>
        <w:t>0089</w:t>
      </w:r>
      <w:r w:rsidRPr="007553BE" w:rsidR="007553BE">
        <w:rPr>
          <w:rFonts w:eastAsia="Times New Roman" w:cs="Times New Roman"/>
          <w:szCs w:val="24"/>
        </w:rPr>
        <w:t>.</w:t>
      </w:r>
    </w:p>
    <w:p w:rsidRPr="00642B6A" w:rsidR="00642B6A" w:rsidP="00FE503D" w:rsidRDefault="00642B6A" w14:paraId="50F422C9"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Pr="00642B6A" w:rsidR="00642B6A" w:rsidP="00BE76BF" w:rsidRDefault="00642B6A" w14:paraId="50F422CA" w14:textId="671D8208">
      <w:pPr>
        <w:tabs>
          <w:tab w:val="left" w:pos="-720"/>
        </w:tabs>
        <w:spacing w:after="240"/>
        <w:rPr>
          <w:rFonts w:eastAsia="Times New Roman" w:cs="Times New Roman"/>
          <w:szCs w:val="24"/>
        </w:rPr>
      </w:pPr>
      <w:r w:rsidRPr="00642B6A">
        <w:rPr>
          <w:rFonts w:eastAsia="Times New Roman" w:cs="Times New Roman"/>
          <w:szCs w:val="24"/>
        </w:rPr>
        <w:tab/>
      </w:r>
      <w:r w:rsidRPr="00752AE8" w:rsidR="00752AE8">
        <w:rPr>
          <w:rFonts w:eastAsia="Times New Roman" w:cs="Times New Roman"/>
          <w:szCs w:val="24"/>
        </w:rPr>
        <w:t>As discussed above, the Commission is</w:t>
      </w:r>
      <w:r w:rsidR="00752AE8">
        <w:rPr>
          <w:rFonts w:eastAsia="Times New Roman" w:cs="Times New Roman"/>
          <w:szCs w:val="24"/>
        </w:rPr>
        <w:t xml:space="preserve"> amend</w:t>
      </w:r>
      <w:r w:rsidR="00E20714">
        <w:rPr>
          <w:rFonts w:eastAsia="Times New Roman" w:cs="Times New Roman"/>
          <w:szCs w:val="24"/>
        </w:rPr>
        <w:t>ing</w:t>
      </w:r>
      <w:r w:rsidR="00752AE8">
        <w:rPr>
          <w:rFonts w:eastAsia="Times New Roman" w:cs="Times New Roman"/>
          <w:szCs w:val="24"/>
        </w:rPr>
        <w:t xml:space="preserve"> </w:t>
      </w:r>
      <w:r w:rsidR="00DC1C85">
        <w:rPr>
          <w:rFonts w:eastAsia="Times New Roman" w:cs="Times New Roman"/>
          <w:szCs w:val="24"/>
        </w:rPr>
        <w:t>P</w:t>
      </w:r>
      <w:r w:rsidR="00752AE8">
        <w:rPr>
          <w:rFonts w:eastAsia="Times New Roman" w:cs="Times New Roman"/>
          <w:szCs w:val="24"/>
        </w:rPr>
        <w:t>art 4</w:t>
      </w:r>
      <w:r w:rsidR="00DC1C85">
        <w:rPr>
          <w:rFonts w:eastAsia="Times New Roman" w:cs="Times New Roman"/>
          <w:szCs w:val="24"/>
        </w:rPr>
        <w:t>6</w:t>
      </w:r>
      <w:r w:rsidRPr="00752AE8" w:rsidR="00752AE8">
        <w:rPr>
          <w:rFonts w:eastAsia="Times New Roman" w:cs="Times New Roman"/>
          <w:szCs w:val="24"/>
        </w:rPr>
        <w:t xml:space="preserve"> of the Commission</w:t>
      </w:r>
      <w:r w:rsidR="00AA013C">
        <w:rPr>
          <w:rFonts w:eastAsia="Times New Roman" w:cs="Times New Roman"/>
          <w:szCs w:val="24"/>
        </w:rPr>
        <w:t>’s</w:t>
      </w:r>
      <w:r w:rsidRPr="00752AE8" w:rsidR="00752AE8">
        <w:rPr>
          <w:rFonts w:eastAsia="Times New Roman" w:cs="Times New Roman"/>
          <w:szCs w:val="24"/>
        </w:rPr>
        <w:t xml:space="preserve"> regulations in order to improve the quality of </w:t>
      </w:r>
      <w:r w:rsidR="00625287">
        <w:rPr>
          <w:rFonts w:eastAsia="Times New Roman" w:cs="Times New Roman"/>
          <w:szCs w:val="24"/>
        </w:rPr>
        <w:t xml:space="preserve">swap data and </w:t>
      </w:r>
      <w:r w:rsidRPr="00752AE8" w:rsidR="00752AE8">
        <w:rPr>
          <w:rFonts w:eastAsia="Times New Roman" w:cs="Times New Roman"/>
          <w:szCs w:val="24"/>
        </w:rPr>
        <w:t>to streamline regulatory requirements govern</w:t>
      </w:r>
      <w:r w:rsidR="00752AE8">
        <w:rPr>
          <w:rFonts w:eastAsia="Times New Roman" w:cs="Times New Roman"/>
          <w:szCs w:val="24"/>
        </w:rPr>
        <w:t>ing data reporting</w:t>
      </w:r>
      <w:r w:rsidRPr="00752AE8" w:rsidR="00752AE8">
        <w:rPr>
          <w:rFonts w:eastAsia="Times New Roman" w:cs="Times New Roman"/>
          <w:szCs w:val="24"/>
        </w:rPr>
        <w:t xml:space="preserve">. This supporting statement discusses adjustments to burden hours calculations for </w:t>
      </w:r>
      <w:r w:rsidR="00752AE8">
        <w:rPr>
          <w:rFonts w:eastAsia="Times New Roman" w:cs="Times New Roman"/>
          <w:szCs w:val="24"/>
        </w:rPr>
        <w:t>Information Collection 3038-00</w:t>
      </w:r>
      <w:r w:rsidR="00DC1C85">
        <w:rPr>
          <w:rFonts w:eastAsia="Times New Roman" w:cs="Times New Roman"/>
          <w:szCs w:val="24"/>
        </w:rPr>
        <w:t>89</w:t>
      </w:r>
      <w:r w:rsidRPr="00752AE8" w:rsidR="00752AE8">
        <w:rPr>
          <w:rFonts w:eastAsia="Times New Roman" w:cs="Times New Roman"/>
          <w:szCs w:val="24"/>
        </w:rPr>
        <w:t xml:space="preserve"> to account for modified </w:t>
      </w:r>
      <w:r w:rsidR="00FD472D">
        <w:rPr>
          <w:rFonts w:eastAsia="Times New Roman" w:cs="Times New Roman"/>
          <w:szCs w:val="24"/>
        </w:rPr>
        <w:t xml:space="preserve">burdens </w:t>
      </w:r>
      <w:r w:rsidRPr="00752AE8" w:rsidR="00752AE8">
        <w:rPr>
          <w:rFonts w:eastAsia="Times New Roman" w:cs="Times New Roman"/>
          <w:szCs w:val="24"/>
        </w:rPr>
        <w:t>associated with the changes to t</w:t>
      </w:r>
      <w:r w:rsidR="00752AE8">
        <w:rPr>
          <w:rFonts w:eastAsia="Times New Roman" w:cs="Times New Roman"/>
          <w:szCs w:val="24"/>
        </w:rPr>
        <w:t xml:space="preserve">he regulation. The Commission </w:t>
      </w:r>
      <w:r w:rsidRPr="00752AE8" w:rsidR="00752AE8">
        <w:rPr>
          <w:rFonts w:eastAsia="Times New Roman" w:cs="Times New Roman"/>
          <w:szCs w:val="24"/>
        </w:rPr>
        <w:t xml:space="preserve">is </w:t>
      </w:r>
      <w:r w:rsidR="00FD472D">
        <w:rPr>
          <w:rFonts w:eastAsia="Times New Roman" w:cs="Times New Roman"/>
          <w:szCs w:val="24"/>
        </w:rPr>
        <w:t>not</w:t>
      </w:r>
      <w:r w:rsidRPr="00752AE8" w:rsidR="00752AE8">
        <w:rPr>
          <w:rFonts w:eastAsia="Times New Roman" w:cs="Times New Roman"/>
          <w:szCs w:val="24"/>
        </w:rPr>
        <w:t xml:space="preserve"> updating the overall burden hours, collection volumes, and costs related to </w:t>
      </w:r>
      <w:r w:rsidR="00752AE8">
        <w:rPr>
          <w:rFonts w:eastAsia="Times New Roman" w:cs="Times New Roman"/>
          <w:szCs w:val="24"/>
        </w:rPr>
        <w:t>Information Collection 3038-00</w:t>
      </w:r>
      <w:r w:rsidR="00FD472D">
        <w:rPr>
          <w:rFonts w:eastAsia="Times New Roman" w:cs="Times New Roman"/>
          <w:szCs w:val="24"/>
        </w:rPr>
        <w:t>89.</w:t>
      </w:r>
    </w:p>
    <w:p w:rsidRPr="00642B6A" w:rsidR="00642B6A" w:rsidP="00FE503D" w:rsidRDefault="00642B6A" w14:paraId="50F422CB" w14:textId="0616E26F">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w:t>
      </w:r>
      <w:r w:rsidR="00C83EDF">
        <w:rPr>
          <w:rFonts w:eastAsia="Times New Roman" w:cs="Times New Roman"/>
          <w:b/>
          <w:szCs w:val="24"/>
        </w:rPr>
        <w:t xml:space="preserve">cal analysis, and publication. </w:t>
      </w:r>
      <w:r w:rsidRPr="00642B6A">
        <w:rPr>
          <w:rFonts w:eastAsia="Times New Roman" w:cs="Times New Roman"/>
          <w:b/>
          <w:szCs w:val="24"/>
        </w:rPr>
        <w:t>Provide the time schedule for the entire project, including beginning and ending dates of the collection of information, completion of report, publication dates, and other actions.</w:t>
      </w:r>
    </w:p>
    <w:p w:rsidRPr="00642B6A" w:rsidR="00642B6A" w:rsidP="00642B6A" w:rsidRDefault="00642B6A" w14:paraId="50F422CC" w14:textId="0731BBEC">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 results of this collection of information are not planned to be published for statistical use.</w:t>
      </w:r>
    </w:p>
    <w:p w:rsidRPr="00642B6A" w:rsidR="00642B6A" w:rsidP="00FE503D" w:rsidRDefault="00642B6A" w14:paraId="50F422CD"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Pr="00642B6A" w:rsidR="00642B6A" w:rsidP="00642B6A" w:rsidRDefault="00642B6A" w14:paraId="50F422CE" w14:textId="7D71A652">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 Commission is not seeking such approval for this publication.</w:t>
      </w:r>
    </w:p>
    <w:p w:rsidRPr="00642B6A" w:rsidR="00642B6A" w:rsidP="00FE503D" w:rsidRDefault="00642B6A" w14:paraId="50F422CF" w14:textId="77777777">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9D00FB" w:rsidP="009D00FB" w:rsidRDefault="00642B6A" w14:paraId="50F422D0" w14:textId="40F729D4">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there are no</w:t>
      </w:r>
      <w:r w:rsidR="00BE76BF">
        <w:rPr>
          <w:rFonts w:eastAsia="Times New Roman" w:cs="Times New Roman"/>
          <w:szCs w:val="24"/>
        </w:rPr>
        <w:t xml:space="preserve"> exceptions.</w:t>
      </w:r>
    </w:p>
    <w:p w:rsidR="00B74CE1" w:rsidRDefault="00B74CE1" w14:paraId="50F422D1" w14:textId="77777777">
      <w:pPr>
        <w:spacing w:after="200" w:line="276" w:lineRule="auto"/>
        <w:rPr>
          <w:rFonts w:eastAsia="Times New Roman" w:cs="Times New Roman"/>
          <w:szCs w:val="24"/>
        </w:rPr>
      </w:pPr>
      <w:r>
        <w:rPr>
          <w:rFonts w:eastAsia="Times New Roman" w:cs="Times New Roman"/>
          <w:szCs w:val="24"/>
        </w:rPr>
        <w:br w:type="page"/>
      </w:r>
    </w:p>
    <w:p w:rsidR="00642B6A" w:rsidP="005E4E5C" w:rsidRDefault="00642B6A" w14:paraId="50F422D3" w14:textId="77777777">
      <w:pPr>
        <w:tabs>
          <w:tab w:val="left" w:pos="-720"/>
        </w:tabs>
        <w:spacing w:after="240"/>
        <w:jc w:val="center"/>
        <w:rPr>
          <w:rFonts w:eastAsia="Times New Roman" w:cs="Times New Roman"/>
          <w:b/>
          <w:szCs w:val="24"/>
        </w:rPr>
      </w:pPr>
      <w:r w:rsidRPr="00642B6A">
        <w:rPr>
          <w:rFonts w:eastAsia="Times New Roman" w:cs="Times New Roman"/>
          <w:b/>
          <w:szCs w:val="24"/>
        </w:rPr>
        <w:lastRenderedPageBreak/>
        <w:t>Attachment A</w:t>
      </w:r>
    </w:p>
    <w:p w:rsidRPr="00CF4C53" w:rsidR="00E73934" w:rsidP="005E4E5C" w:rsidRDefault="00E73934" w14:paraId="50AE44B5" w14:textId="543F376F">
      <w:pPr>
        <w:tabs>
          <w:tab w:val="left" w:pos="-720"/>
        </w:tabs>
        <w:spacing w:after="240"/>
        <w:jc w:val="center"/>
        <w:rPr>
          <w:rFonts w:eastAsia="Times New Roman" w:cs="Times New Roman"/>
          <w:szCs w:val="24"/>
        </w:rPr>
      </w:pPr>
      <w:r w:rsidRPr="00CF4C53">
        <w:rPr>
          <w:rFonts w:eastAsia="Times New Roman" w:cs="Times New Roman"/>
          <w:szCs w:val="24"/>
        </w:rPr>
        <w:t>Reporting Burden</w:t>
      </w:r>
    </w:p>
    <w:tbl>
      <w:tblPr>
        <w:tblStyle w:val="TableGrid"/>
        <w:tblW w:w="10170" w:type="dxa"/>
        <w:tblInd w:w="18" w:type="dxa"/>
        <w:tblLook w:val="04A0" w:firstRow="1" w:lastRow="0" w:firstColumn="1" w:lastColumn="0" w:noHBand="0" w:noVBand="1"/>
      </w:tblPr>
      <w:tblGrid>
        <w:gridCol w:w="3690"/>
        <w:gridCol w:w="1170"/>
        <w:gridCol w:w="1530"/>
        <w:gridCol w:w="1620"/>
        <w:gridCol w:w="2160"/>
      </w:tblGrid>
      <w:tr w:rsidRPr="00E73934" w:rsidR="00E73934" w:rsidTr="00173153" w14:paraId="07A97AAE" w14:textId="77777777">
        <w:trPr>
          <w:trHeight w:val="1152"/>
        </w:trPr>
        <w:tc>
          <w:tcPr>
            <w:tcW w:w="3690" w:type="dxa"/>
            <w:vMerge w:val="restart"/>
            <w:hideMark/>
          </w:tcPr>
          <w:p w:rsidRPr="00E73934" w:rsidR="00E73934" w:rsidP="00E73934" w:rsidRDefault="00E73934" w14:paraId="2A789D0B" w14:textId="77777777">
            <w:pPr>
              <w:tabs>
                <w:tab w:val="left" w:pos="-720"/>
                <w:tab w:val="left" w:pos="0"/>
              </w:tabs>
              <w:suppressAutoHyphens/>
              <w:rPr>
                <w:rFonts w:eastAsia="Calibri" w:cs="Times New Roman"/>
                <w:szCs w:val="24"/>
              </w:rPr>
            </w:pPr>
            <w:r w:rsidRPr="00E73934">
              <w:rPr>
                <w:rFonts w:eastAsia="Calibri" w:cs="Times New Roman"/>
                <w:szCs w:val="24"/>
              </w:rPr>
              <w:t>Entity</w:t>
            </w:r>
          </w:p>
        </w:tc>
        <w:tc>
          <w:tcPr>
            <w:tcW w:w="1170" w:type="dxa"/>
            <w:vMerge w:val="restart"/>
            <w:hideMark/>
          </w:tcPr>
          <w:p w:rsidRPr="00E73934" w:rsidR="00E73934" w:rsidP="00E73934" w:rsidRDefault="00E73934" w14:paraId="702D6C5C" w14:textId="77777777">
            <w:pPr>
              <w:tabs>
                <w:tab w:val="left" w:pos="-720"/>
                <w:tab w:val="left" w:pos="0"/>
              </w:tabs>
              <w:suppressAutoHyphens/>
              <w:rPr>
                <w:rFonts w:eastAsia="Calibri" w:cs="Times New Roman"/>
                <w:szCs w:val="24"/>
              </w:rPr>
            </w:pPr>
            <w:r w:rsidRPr="00E73934">
              <w:rPr>
                <w:rFonts w:eastAsia="Calibri" w:cs="Times New Roman"/>
                <w:szCs w:val="24"/>
              </w:rPr>
              <w:t>Annual burden hours      (per entity)</w:t>
            </w:r>
          </w:p>
        </w:tc>
        <w:tc>
          <w:tcPr>
            <w:tcW w:w="1530" w:type="dxa"/>
            <w:vMerge w:val="restart"/>
            <w:hideMark/>
          </w:tcPr>
          <w:p w:rsidRPr="00E73934" w:rsidR="00E73934" w:rsidP="00E73934" w:rsidRDefault="00E73934" w14:paraId="1CBFCC73" w14:textId="77777777">
            <w:pPr>
              <w:tabs>
                <w:tab w:val="left" w:pos="-720"/>
                <w:tab w:val="left" w:pos="0"/>
              </w:tabs>
              <w:suppressAutoHyphens/>
              <w:rPr>
                <w:rFonts w:eastAsia="Calibri" w:cs="Times New Roman"/>
                <w:szCs w:val="24"/>
              </w:rPr>
            </w:pPr>
            <w:r w:rsidRPr="00E73934">
              <w:rPr>
                <w:rFonts w:eastAsia="Calibri" w:cs="Times New Roman"/>
                <w:szCs w:val="24"/>
              </w:rPr>
              <w:t>Annual cost       (per entity)</w:t>
            </w:r>
          </w:p>
        </w:tc>
        <w:tc>
          <w:tcPr>
            <w:tcW w:w="1620" w:type="dxa"/>
            <w:vMerge w:val="restart"/>
            <w:hideMark/>
          </w:tcPr>
          <w:p w:rsidRPr="00E73934" w:rsidR="00E73934" w:rsidP="00E73934" w:rsidRDefault="00E73934" w14:paraId="05130ABC" w14:textId="77777777">
            <w:pPr>
              <w:tabs>
                <w:tab w:val="left" w:pos="-720"/>
                <w:tab w:val="left" w:pos="0"/>
              </w:tabs>
              <w:suppressAutoHyphens/>
              <w:rPr>
                <w:rFonts w:eastAsia="Calibri" w:cs="Times New Roman"/>
                <w:szCs w:val="24"/>
              </w:rPr>
            </w:pPr>
            <w:r w:rsidRPr="00E73934">
              <w:rPr>
                <w:rFonts w:eastAsia="Calibri" w:cs="Times New Roman"/>
                <w:szCs w:val="24"/>
              </w:rPr>
              <w:t>Aggregate annual burden hours  (all entities)</w:t>
            </w:r>
          </w:p>
        </w:tc>
        <w:tc>
          <w:tcPr>
            <w:tcW w:w="2160" w:type="dxa"/>
            <w:vMerge w:val="restart"/>
            <w:hideMark/>
          </w:tcPr>
          <w:p w:rsidRPr="00E73934" w:rsidR="00E73934" w:rsidP="00E73934" w:rsidRDefault="00E73934" w14:paraId="468F6F31" w14:textId="77777777">
            <w:pPr>
              <w:tabs>
                <w:tab w:val="left" w:pos="-720"/>
                <w:tab w:val="left" w:pos="0"/>
              </w:tabs>
              <w:suppressAutoHyphens/>
              <w:rPr>
                <w:rFonts w:eastAsia="Calibri" w:cs="Times New Roman"/>
                <w:szCs w:val="24"/>
              </w:rPr>
            </w:pPr>
            <w:r w:rsidRPr="00E73934">
              <w:rPr>
                <w:rFonts w:eastAsia="Calibri" w:cs="Times New Roman"/>
                <w:szCs w:val="24"/>
              </w:rPr>
              <w:t>Aggregate annual cost    (all entities)</w:t>
            </w:r>
          </w:p>
        </w:tc>
      </w:tr>
      <w:tr w:rsidRPr="00E73934" w:rsidR="00E73934" w:rsidTr="00173153" w14:paraId="61A4B3F5" w14:textId="77777777">
        <w:trPr>
          <w:trHeight w:val="517"/>
        </w:trPr>
        <w:tc>
          <w:tcPr>
            <w:tcW w:w="3690" w:type="dxa"/>
            <w:vMerge/>
            <w:hideMark/>
          </w:tcPr>
          <w:p w:rsidRPr="00E73934" w:rsidR="00E73934" w:rsidP="00E73934" w:rsidRDefault="00E73934" w14:paraId="0BD40A74" w14:textId="77777777">
            <w:pPr>
              <w:tabs>
                <w:tab w:val="left" w:pos="-720"/>
                <w:tab w:val="left" w:pos="0"/>
              </w:tabs>
              <w:suppressAutoHyphens/>
              <w:rPr>
                <w:rFonts w:eastAsia="Calibri" w:cs="Times New Roman"/>
                <w:szCs w:val="24"/>
              </w:rPr>
            </w:pPr>
          </w:p>
        </w:tc>
        <w:tc>
          <w:tcPr>
            <w:tcW w:w="1170" w:type="dxa"/>
            <w:vMerge/>
            <w:hideMark/>
          </w:tcPr>
          <w:p w:rsidRPr="00E73934" w:rsidR="00E73934" w:rsidP="00E73934" w:rsidRDefault="00E73934" w14:paraId="60A1C22E" w14:textId="77777777">
            <w:pPr>
              <w:tabs>
                <w:tab w:val="left" w:pos="-720"/>
                <w:tab w:val="left" w:pos="0"/>
              </w:tabs>
              <w:suppressAutoHyphens/>
              <w:rPr>
                <w:rFonts w:eastAsia="Calibri" w:cs="Times New Roman"/>
                <w:szCs w:val="24"/>
              </w:rPr>
            </w:pPr>
          </w:p>
        </w:tc>
        <w:tc>
          <w:tcPr>
            <w:tcW w:w="1530" w:type="dxa"/>
            <w:vMerge/>
            <w:hideMark/>
          </w:tcPr>
          <w:p w:rsidRPr="00E73934" w:rsidR="00E73934" w:rsidP="00E73934" w:rsidRDefault="00E73934" w14:paraId="6B07B082" w14:textId="77777777">
            <w:pPr>
              <w:tabs>
                <w:tab w:val="left" w:pos="-720"/>
                <w:tab w:val="left" w:pos="0"/>
              </w:tabs>
              <w:suppressAutoHyphens/>
              <w:rPr>
                <w:rFonts w:eastAsia="Calibri" w:cs="Times New Roman"/>
                <w:szCs w:val="24"/>
              </w:rPr>
            </w:pPr>
          </w:p>
        </w:tc>
        <w:tc>
          <w:tcPr>
            <w:tcW w:w="1620" w:type="dxa"/>
            <w:vMerge/>
            <w:hideMark/>
          </w:tcPr>
          <w:p w:rsidRPr="00E73934" w:rsidR="00E73934" w:rsidP="00E73934" w:rsidRDefault="00E73934" w14:paraId="210B6E47" w14:textId="77777777">
            <w:pPr>
              <w:tabs>
                <w:tab w:val="left" w:pos="-720"/>
                <w:tab w:val="left" w:pos="0"/>
              </w:tabs>
              <w:suppressAutoHyphens/>
              <w:rPr>
                <w:rFonts w:eastAsia="Calibri" w:cs="Times New Roman"/>
                <w:szCs w:val="24"/>
              </w:rPr>
            </w:pPr>
          </w:p>
        </w:tc>
        <w:tc>
          <w:tcPr>
            <w:tcW w:w="2160" w:type="dxa"/>
            <w:vMerge/>
            <w:hideMark/>
          </w:tcPr>
          <w:p w:rsidRPr="00E73934" w:rsidR="00E73934" w:rsidP="00E73934" w:rsidRDefault="00E73934" w14:paraId="4E9267CB" w14:textId="77777777">
            <w:pPr>
              <w:tabs>
                <w:tab w:val="left" w:pos="-720"/>
                <w:tab w:val="left" w:pos="0"/>
              </w:tabs>
              <w:suppressAutoHyphens/>
              <w:rPr>
                <w:rFonts w:eastAsia="Calibri" w:cs="Times New Roman"/>
                <w:szCs w:val="24"/>
              </w:rPr>
            </w:pPr>
          </w:p>
        </w:tc>
      </w:tr>
      <w:tr w:rsidRPr="00E73934" w:rsidR="00E73934" w:rsidTr="00173153" w14:paraId="31B25940" w14:textId="77777777">
        <w:trPr>
          <w:trHeight w:val="288"/>
        </w:trPr>
        <w:tc>
          <w:tcPr>
            <w:tcW w:w="3690" w:type="dxa"/>
            <w:noWrap/>
            <w:hideMark/>
          </w:tcPr>
          <w:p w:rsidRPr="00E73934" w:rsidR="00E73934" w:rsidP="00E73934" w:rsidRDefault="00E73934" w14:paraId="06989659" w14:textId="7A23CDE5">
            <w:pPr>
              <w:tabs>
                <w:tab w:val="left" w:pos="-720"/>
                <w:tab w:val="left" w:pos="0"/>
              </w:tabs>
              <w:suppressAutoHyphens/>
              <w:rPr>
                <w:rFonts w:eastAsia="Calibri" w:cs="Times New Roman"/>
                <w:szCs w:val="24"/>
              </w:rPr>
            </w:pPr>
            <w:r w:rsidRPr="00E73934">
              <w:rPr>
                <w:rFonts w:eastAsia="Calibri" w:cs="Times New Roman"/>
                <w:szCs w:val="24"/>
              </w:rPr>
              <w:t>125</w:t>
            </w:r>
            <w:r>
              <w:rPr>
                <w:rFonts w:eastAsia="Calibri" w:cs="Times New Roman"/>
                <w:szCs w:val="24"/>
              </w:rPr>
              <w:t xml:space="preserve"> SDs/MSPs</w:t>
            </w:r>
            <w:r>
              <w:rPr>
                <w:rStyle w:val="FootnoteReference"/>
                <w:rFonts w:eastAsia="Calibri" w:cs="Times New Roman"/>
                <w:szCs w:val="24"/>
              </w:rPr>
              <w:footnoteReference w:id="4"/>
            </w:r>
          </w:p>
        </w:tc>
        <w:tc>
          <w:tcPr>
            <w:tcW w:w="1170" w:type="dxa"/>
            <w:noWrap/>
            <w:hideMark/>
          </w:tcPr>
          <w:p w:rsidRPr="00E73934" w:rsidR="00E73934" w:rsidP="00E73934" w:rsidRDefault="00E73934" w14:paraId="26CC8DBB" w14:textId="183E8ACC">
            <w:pPr>
              <w:tabs>
                <w:tab w:val="left" w:pos="-720"/>
                <w:tab w:val="left" w:pos="0"/>
              </w:tabs>
              <w:suppressAutoHyphens/>
              <w:rPr>
                <w:rFonts w:eastAsia="Calibri" w:cs="Times New Roman"/>
                <w:szCs w:val="24"/>
              </w:rPr>
            </w:pPr>
            <w:r w:rsidRPr="00E73934">
              <w:rPr>
                <w:rFonts w:eastAsia="Calibri" w:cs="Times New Roman"/>
                <w:szCs w:val="24"/>
              </w:rPr>
              <w:t>5</w:t>
            </w:r>
            <w:r>
              <w:rPr>
                <w:rStyle w:val="FootnoteReference"/>
                <w:rFonts w:eastAsia="Calibri" w:cs="Times New Roman"/>
                <w:szCs w:val="24"/>
              </w:rPr>
              <w:footnoteReference w:id="5"/>
            </w:r>
          </w:p>
        </w:tc>
        <w:tc>
          <w:tcPr>
            <w:tcW w:w="1530" w:type="dxa"/>
            <w:noWrap/>
            <w:hideMark/>
          </w:tcPr>
          <w:p w:rsidRPr="00E73934" w:rsidR="00E73934" w:rsidP="00E73934" w:rsidRDefault="00E73934" w14:paraId="32DAAEC4" w14:textId="707494C8">
            <w:pPr>
              <w:tabs>
                <w:tab w:val="left" w:pos="-720"/>
                <w:tab w:val="left" w:pos="0"/>
              </w:tabs>
              <w:suppressAutoHyphens/>
              <w:rPr>
                <w:rFonts w:eastAsia="Calibri" w:cs="Times New Roman"/>
                <w:szCs w:val="24"/>
              </w:rPr>
            </w:pPr>
            <w:r>
              <w:rPr>
                <w:rFonts w:eastAsia="Calibri" w:cs="Times New Roman"/>
                <w:szCs w:val="24"/>
              </w:rPr>
              <w:t>$361</w:t>
            </w:r>
            <w:r>
              <w:rPr>
                <w:rStyle w:val="FootnoteReference"/>
                <w:rFonts w:eastAsia="Calibri" w:cs="Times New Roman"/>
                <w:szCs w:val="24"/>
              </w:rPr>
              <w:footnoteReference w:id="6"/>
            </w:r>
          </w:p>
        </w:tc>
        <w:tc>
          <w:tcPr>
            <w:tcW w:w="1620" w:type="dxa"/>
            <w:noWrap/>
            <w:hideMark/>
          </w:tcPr>
          <w:p w:rsidRPr="00E73934" w:rsidR="00E73934" w:rsidP="00E73934" w:rsidRDefault="00E73934" w14:paraId="0A6F5AAA" w14:textId="77777777">
            <w:pPr>
              <w:tabs>
                <w:tab w:val="left" w:pos="-720"/>
                <w:tab w:val="left" w:pos="0"/>
              </w:tabs>
              <w:suppressAutoHyphens/>
              <w:rPr>
                <w:rFonts w:eastAsia="Calibri" w:cs="Times New Roman"/>
                <w:szCs w:val="24"/>
              </w:rPr>
            </w:pPr>
            <w:r w:rsidRPr="00E73934">
              <w:rPr>
                <w:rFonts w:eastAsia="Calibri" w:cs="Times New Roman"/>
                <w:szCs w:val="24"/>
              </w:rPr>
              <w:t>625</w:t>
            </w:r>
          </w:p>
        </w:tc>
        <w:tc>
          <w:tcPr>
            <w:tcW w:w="2160" w:type="dxa"/>
            <w:noWrap/>
            <w:hideMark/>
          </w:tcPr>
          <w:p w:rsidRPr="00E73934" w:rsidR="00E73934" w:rsidP="00E73934" w:rsidRDefault="00E73934" w14:paraId="6CF5EDD8" w14:textId="77777777">
            <w:pPr>
              <w:tabs>
                <w:tab w:val="left" w:pos="-720"/>
                <w:tab w:val="left" w:pos="0"/>
              </w:tabs>
              <w:suppressAutoHyphens/>
              <w:rPr>
                <w:rFonts w:eastAsia="Calibri" w:cs="Times New Roman"/>
                <w:szCs w:val="24"/>
              </w:rPr>
            </w:pPr>
            <w:r w:rsidRPr="00E73934">
              <w:rPr>
                <w:rFonts w:eastAsia="Calibri" w:cs="Times New Roman"/>
                <w:szCs w:val="24"/>
              </w:rPr>
              <w:t xml:space="preserve">$45,144 </w:t>
            </w:r>
          </w:p>
        </w:tc>
      </w:tr>
      <w:tr w:rsidRPr="00E73934" w:rsidR="00E73934" w:rsidTr="00173153" w14:paraId="52BD73C2" w14:textId="77777777">
        <w:trPr>
          <w:trHeight w:val="288"/>
        </w:trPr>
        <w:tc>
          <w:tcPr>
            <w:tcW w:w="3690" w:type="dxa"/>
            <w:noWrap/>
            <w:hideMark/>
          </w:tcPr>
          <w:p w:rsidRPr="00E73934" w:rsidR="00E73934" w:rsidP="00E73934" w:rsidRDefault="00E73934" w14:paraId="2216C7BD" w14:textId="4757A434">
            <w:pPr>
              <w:tabs>
                <w:tab w:val="left" w:pos="-720"/>
                <w:tab w:val="left" w:pos="0"/>
              </w:tabs>
              <w:suppressAutoHyphens/>
              <w:rPr>
                <w:rFonts w:eastAsia="Calibri" w:cs="Times New Roman"/>
                <w:szCs w:val="24"/>
              </w:rPr>
            </w:pPr>
            <w:r w:rsidRPr="00E73934">
              <w:rPr>
                <w:rFonts w:eastAsia="Calibri" w:cs="Times New Roman"/>
                <w:szCs w:val="24"/>
              </w:rPr>
              <w:t>500</w:t>
            </w:r>
            <w:r>
              <w:rPr>
                <w:rFonts w:eastAsia="Calibri" w:cs="Times New Roman"/>
                <w:szCs w:val="24"/>
              </w:rPr>
              <w:t xml:space="preserve"> Non-SDs/MSPs</w:t>
            </w:r>
            <w:r>
              <w:rPr>
                <w:rStyle w:val="FootnoteReference"/>
                <w:rFonts w:eastAsia="Calibri" w:cs="Times New Roman"/>
                <w:szCs w:val="24"/>
              </w:rPr>
              <w:footnoteReference w:id="7"/>
            </w:r>
          </w:p>
        </w:tc>
        <w:tc>
          <w:tcPr>
            <w:tcW w:w="1170" w:type="dxa"/>
            <w:noWrap/>
            <w:hideMark/>
          </w:tcPr>
          <w:p w:rsidRPr="00E73934" w:rsidR="00E73934" w:rsidP="00E73934" w:rsidRDefault="00E73934" w14:paraId="5EF96F2E" w14:textId="6835D944">
            <w:pPr>
              <w:tabs>
                <w:tab w:val="left" w:pos="-720"/>
                <w:tab w:val="left" w:pos="0"/>
              </w:tabs>
              <w:suppressAutoHyphens/>
              <w:rPr>
                <w:rFonts w:eastAsia="Calibri" w:cs="Times New Roman"/>
                <w:szCs w:val="24"/>
              </w:rPr>
            </w:pPr>
            <w:r w:rsidRPr="00E73934">
              <w:rPr>
                <w:rFonts w:eastAsia="Calibri" w:cs="Times New Roman"/>
                <w:szCs w:val="24"/>
              </w:rPr>
              <w:t>0.64</w:t>
            </w:r>
            <w:r>
              <w:rPr>
                <w:rStyle w:val="FootnoteReference"/>
                <w:rFonts w:eastAsia="Calibri" w:cs="Times New Roman"/>
                <w:szCs w:val="24"/>
              </w:rPr>
              <w:footnoteReference w:id="8"/>
            </w:r>
          </w:p>
        </w:tc>
        <w:tc>
          <w:tcPr>
            <w:tcW w:w="1530" w:type="dxa"/>
            <w:noWrap/>
            <w:hideMark/>
          </w:tcPr>
          <w:p w:rsidRPr="00E73934" w:rsidR="00E73934" w:rsidP="00E73934" w:rsidRDefault="00A66675" w14:paraId="6CE4F682" w14:textId="79DC1A16">
            <w:pPr>
              <w:tabs>
                <w:tab w:val="left" w:pos="-720"/>
                <w:tab w:val="left" w:pos="0"/>
              </w:tabs>
              <w:suppressAutoHyphens/>
              <w:rPr>
                <w:rFonts w:eastAsia="Calibri" w:cs="Times New Roman"/>
                <w:szCs w:val="24"/>
              </w:rPr>
            </w:pPr>
            <w:r>
              <w:rPr>
                <w:rFonts w:eastAsia="Calibri" w:cs="Times New Roman"/>
                <w:szCs w:val="24"/>
              </w:rPr>
              <w:t>$46</w:t>
            </w:r>
            <w:r>
              <w:rPr>
                <w:rStyle w:val="FootnoteReference"/>
                <w:rFonts w:eastAsia="Calibri" w:cs="Times New Roman"/>
                <w:szCs w:val="24"/>
              </w:rPr>
              <w:footnoteReference w:id="9"/>
            </w:r>
          </w:p>
        </w:tc>
        <w:tc>
          <w:tcPr>
            <w:tcW w:w="1620" w:type="dxa"/>
            <w:noWrap/>
            <w:hideMark/>
          </w:tcPr>
          <w:p w:rsidRPr="00E73934" w:rsidR="00E73934" w:rsidP="00E73934" w:rsidRDefault="00E73934" w14:paraId="26D1CA98" w14:textId="77777777">
            <w:pPr>
              <w:tabs>
                <w:tab w:val="left" w:pos="-720"/>
                <w:tab w:val="left" w:pos="0"/>
              </w:tabs>
              <w:suppressAutoHyphens/>
              <w:rPr>
                <w:rFonts w:eastAsia="Calibri" w:cs="Times New Roman"/>
                <w:szCs w:val="24"/>
              </w:rPr>
            </w:pPr>
            <w:r w:rsidRPr="00E73934">
              <w:rPr>
                <w:rFonts w:eastAsia="Calibri" w:cs="Times New Roman"/>
                <w:szCs w:val="24"/>
              </w:rPr>
              <w:t>320</w:t>
            </w:r>
          </w:p>
        </w:tc>
        <w:tc>
          <w:tcPr>
            <w:tcW w:w="2160" w:type="dxa"/>
            <w:noWrap/>
            <w:hideMark/>
          </w:tcPr>
          <w:p w:rsidRPr="00E73934" w:rsidR="00E73934" w:rsidP="00E73934" w:rsidRDefault="00E73934" w14:paraId="5955FC50" w14:textId="77777777">
            <w:pPr>
              <w:tabs>
                <w:tab w:val="left" w:pos="-720"/>
                <w:tab w:val="left" w:pos="0"/>
              </w:tabs>
              <w:suppressAutoHyphens/>
              <w:rPr>
                <w:rFonts w:eastAsia="Calibri" w:cs="Times New Roman"/>
                <w:szCs w:val="24"/>
              </w:rPr>
            </w:pPr>
            <w:r w:rsidRPr="00E73934">
              <w:rPr>
                <w:rFonts w:eastAsia="Calibri" w:cs="Times New Roman"/>
                <w:szCs w:val="24"/>
              </w:rPr>
              <w:t xml:space="preserve">$23,114 </w:t>
            </w:r>
          </w:p>
        </w:tc>
      </w:tr>
      <w:tr w:rsidRPr="00E73934" w:rsidR="00E73934" w:rsidTr="00173153" w14:paraId="00458F0F" w14:textId="77777777">
        <w:trPr>
          <w:trHeight w:val="288"/>
        </w:trPr>
        <w:tc>
          <w:tcPr>
            <w:tcW w:w="3690" w:type="dxa"/>
            <w:noWrap/>
            <w:hideMark/>
          </w:tcPr>
          <w:p w:rsidRPr="00E73934" w:rsidR="00E73934" w:rsidP="00E73934" w:rsidRDefault="00E73934" w14:paraId="490ECC7E" w14:textId="2AD074FD">
            <w:pPr>
              <w:tabs>
                <w:tab w:val="left" w:pos="-720"/>
                <w:tab w:val="left" w:pos="0"/>
              </w:tabs>
              <w:suppressAutoHyphens/>
              <w:rPr>
                <w:rFonts w:eastAsia="Calibri" w:cs="Times New Roman"/>
                <w:szCs w:val="24"/>
              </w:rPr>
            </w:pPr>
            <w:r w:rsidRPr="00E73934">
              <w:rPr>
                <w:rFonts w:eastAsia="Calibri" w:cs="Times New Roman"/>
                <w:szCs w:val="24"/>
              </w:rPr>
              <w:t>Total</w:t>
            </w:r>
            <w:r>
              <w:rPr>
                <w:rFonts w:eastAsia="Calibri" w:cs="Times New Roman"/>
                <w:szCs w:val="24"/>
              </w:rPr>
              <w:t xml:space="preserve"> for Reporting</w:t>
            </w:r>
            <w:r w:rsidR="00F31977">
              <w:rPr>
                <w:rStyle w:val="FootnoteReference"/>
                <w:rFonts w:eastAsia="Calibri" w:cs="Times New Roman"/>
                <w:szCs w:val="24"/>
              </w:rPr>
              <w:footnoteReference w:id="10"/>
            </w:r>
          </w:p>
        </w:tc>
        <w:tc>
          <w:tcPr>
            <w:tcW w:w="1170" w:type="dxa"/>
            <w:noWrap/>
            <w:hideMark/>
          </w:tcPr>
          <w:p w:rsidRPr="00E73934" w:rsidR="00E73934" w:rsidP="00E73934" w:rsidRDefault="00E73934" w14:paraId="57C7D0A5" w14:textId="77777777">
            <w:pPr>
              <w:tabs>
                <w:tab w:val="left" w:pos="-720"/>
                <w:tab w:val="left" w:pos="0"/>
              </w:tabs>
              <w:suppressAutoHyphens/>
              <w:rPr>
                <w:rFonts w:eastAsia="Calibri" w:cs="Times New Roman"/>
                <w:szCs w:val="24"/>
              </w:rPr>
            </w:pPr>
            <w:r w:rsidRPr="00E73934">
              <w:rPr>
                <w:rFonts w:eastAsia="Calibri" w:cs="Times New Roman"/>
                <w:szCs w:val="24"/>
              </w:rPr>
              <w:t>5.64</w:t>
            </w:r>
          </w:p>
        </w:tc>
        <w:tc>
          <w:tcPr>
            <w:tcW w:w="1530" w:type="dxa"/>
            <w:noWrap/>
            <w:hideMark/>
          </w:tcPr>
          <w:p w:rsidRPr="00E73934" w:rsidR="00E73934" w:rsidP="00E73934" w:rsidRDefault="00E73934" w14:paraId="2B7A4850" w14:textId="77777777">
            <w:pPr>
              <w:tabs>
                <w:tab w:val="left" w:pos="-720"/>
                <w:tab w:val="left" w:pos="0"/>
              </w:tabs>
              <w:suppressAutoHyphens/>
              <w:rPr>
                <w:rFonts w:eastAsia="Calibri" w:cs="Times New Roman"/>
                <w:szCs w:val="24"/>
              </w:rPr>
            </w:pPr>
            <w:r w:rsidRPr="00E73934">
              <w:rPr>
                <w:rFonts w:eastAsia="Calibri" w:cs="Times New Roman"/>
                <w:szCs w:val="24"/>
              </w:rPr>
              <w:t xml:space="preserve">$407 </w:t>
            </w:r>
          </w:p>
        </w:tc>
        <w:tc>
          <w:tcPr>
            <w:tcW w:w="1620" w:type="dxa"/>
            <w:noWrap/>
            <w:hideMark/>
          </w:tcPr>
          <w:p w:rsidRPr="00E73934" w:rsidR="00E73934" w:rsidP="00E73934" w:rsidRDefault="00E73934" w14:paraId="0D34F6D0" w14:textId="77777777">
            <w:pPr>
              <w:tabs>
                <w:tab w:val="left" w:pos="-720"/>
                <w:tab w:val="left" w:pos="0"/>
              </w:tabs>
              <w:suppressAutoHyphens/>
              <w:rPr>
                <w:rFonts w:eastAsia="Calibri" w:cs="Times New Roman"/>
                <w:szCs w:val="24"/>
              </w:rPr>
            </w:pPr>
            <w:r w:rsidRPr="00E73934">
              <w:rPr>
                <w:rFonts w:eastAsia="Calibri" w:cs="Times New Roman"/>
                <w:szCs w:val="24"/>
              </w:rPr>
              <w:t>945</w:t>
            </w:r>
          </w:p>
        </w:tc>
        <w:tc>
          <w:tcPr>
            <w:tcW w:w="2160" w:type="dxa"/>
            <w:noWrap/>
            <w:hideMark/>
          </w:tcPr>
          <w:p w:rsidRPr="00E73934" w:rsidR="00E73934" w:rsidP="00E73934" w:rsidRDefault="00E73934" w14:paraId="43ED438F" w14:textId="77777777">
            <w:pPr>
              <w:tabs>
                <w:tab w:val="left" w:pos="-720"/>
                <w:tab w:val="left" w:pos="0"/>
              </w:tabs>
              <w:suppressAutoHyphens/>
              <w:rPr>
                <w:rFonts w:eastAsia="Calibri" w:cs="Times New Roman"/>
                <w:szCs w:val="24"/>
              </w:rPr>
            </w:pPr>
            <w:r w:rsidRPr="00E73934">
              <w:rPr>
                <w:rFonts w:eastAsia="Calibri" w:cs="Times New Roman"/>
                <w:szCs w:val="24"/>
              </w:rPr>
              <w:t xml:space="preserve">$68,257 </w:t>
            </w:r>
          </w:p>
        </w:tc>
      </w:tr>
    </w:tbl>
    <w:p w:rsidR="009B10DF" w:rsidP="00CF4C53" w:rsidRDefault="009B10DF" w14:paraId="1115ADE1" w14:textId="77777777">
      <w:pPr>
        <w:tabs>
          <w:tab w:val="left" w:pos="-720"/>
          <w:tab w:val="left" w:pos="0"/>
        </w:tabs>
        <w:suppressAutoHyphens/>
        <w:rPr>
          <w:sz w:val="20"/>
        </w:rPr>
      </w:pPr>
    </w:p>
    <w:p w:rsidR="00D76EE0" w:rsidRDefault="00D76EE0" w14:paraId="07BC475D" w14:textId="77777777">
      <w:pPr>
        <w:spacing w:after="200" w:line="276" w:lineRule="auto"/>
      </w:pPr>
    </w:p>
    <w:p w:rsidR="009E7E06" w:rsidRDefault="009E7E06" w14:paraId="5D0A7E38" w14:textId="77777777">
      <w:pPr>
        <w:spacing w:after="200" w:line="276" w:lineRule="auto"/>
      </w:pPr>
      <w:r>
        <w:br w:type="page"/>
      </w:r>
    </w:p>
    <w:p w:rsidR="002B7C7E" w:rsidP="002B7C7E" w:rsidRDefault="002B7C7E" w14:paraId="76991676" w14:textId="77777777">
      <w:pPr>
        <w:jc w:val="center"/>
      </w:pPr>
      <w:r>
        <w:lastRenderedPageBreak/>
        <w:t>Recordkeeping</w:t>
      </w:r>
    </w:p>
    <w:tbl>
      <w:tblPr>
        <w:tblStyle w:val="TableGrid"/>
        <w:tblpPr w:leftFromText="180" w:rightFromText="180" w:vertAnchor="page" w:horzAnchor="margin" w:tblpY="2106"/>
        <w:tblW w:w="5320" w:type="pct"/>
        <w:tblLook w:val="04A0" w:firstRow="1" w:lastRow="0" w:firstColumn="1" w:lastColumn="0" w:noHBand="0" w:noVBand="1"/>
      </w:tblPr>
      <w:tblGrid>
        <w:gridCol w:w="3683"/>
        <w:gridCol w:w="1199"/>
        <w:gridCol w:w="1476"/>
        <w:gridCol w:w="1659"/>
        <w:gridCol w:w="2172"/>
      </w:tblGrid>
      <w:tr w:rsidR="009E7E06" w:rsidTr="00173153" w14:paraId="11A15522" w14:textId="77777777">
        <w:tc>
          <w:tcPr>
            <w:tcW w:w="1807" w:type="pct"/>
          </w:tcPr>
          <w:p w:rsidRPr="002B7C7E" w:rsidR="009E7E06" w:rsidP="009E7E06" w:rsidRDefault="009E7E06" w14:paraId="69FFB130" w14:textId="77777777">
            <w:pPr>
              <w:rPr>
                <w:rFonts w:cs="Times New Roman"/>
              </w:rPr>
            </w:pPr>
            <w:bookmarkStart w:name="_Hlk55910159" w:id="1"/>
            <w:r w:rsidRPr="002B7C7E">
              <w:rPr>
                <w:rFonts w:cs="Times New Roman"/>
              </w:rPr>
              <w:t>Entity</w:t>
            </w:r>
          </w:p>
        </w:tc>
        <w:tc>
          <w:tcPr>
            <w:tcW w:w="588" w:type="pct"/>
          </w:tcPr>
          <w:p w:rsidRPr="002B7C7E" w:rsidR="009E7E06" w:rsidP="009E7E06" w:rsidRDefault="009E7E06" w14:paraId="113D7640" w14:textId="77777777">
            <w:pPr>
              <w:jc w:val="center"/>
              <w:rPr>
                <w:rFonts w:cs="Times New Roman"/>
              </w:rPr>
            </w:pPr>
            <w:r w:rsidRPr="002B7C7E">
              <w:rPr>
                <w:rFonts w:cs="Times New Roman"/>
              </w:rPr>
              <w:t xml:space="preserve">Annual burden hours   </w:t>
            </w:r>
            <w:proofErr w:type="gramStart"/>
            <w:r w:rsidRPr="002B7C7E">
              <w:rPr>
                <w:rFonts w:cs="Times New Roman"/>
              </w:rPr>
              <w:t xml:space="preserve">   (</w:t>
            </w:r>
            <w:proofErr w:type="gramEnd"/>
            <w:r w:rsidRPr="002B7C7E">
              <w:rPr>
                <w:rFonts w:cs="Times New Roman"/>
              </w:rPr>
              <w:t>per entity)</w:t>
            </w:r>
          </w:p>
        </w:tc>
        <w:tc>
          <w:tcPr>
            <w:tcW w:w="724" w:type="pct"/>
            <w:vAlign w:val="center"/>
          </w:tcPr>
          <w:p w:rsidRPr="002B7C7E" w:rsidR="009E7E06" w:rsidP="009E7E06" w:rsidRDefault="009E7E06" w14:paraId="7DEE39BB" w14:textId="77777777">
            <w:pPr>
              <w:jc w:val="center"/>
              <w:rPr>
                <w:rFonts w:cs="Times New Roman"/>
              </w:rPr>
            </w:pPr>
            <w:r w:rsidRPr="002B7C7E">
              <w:rPr>
                <w:rFonts w:cs="Times New Roman"/>
              </w:rPr>
              <w:t xml:space="preserve">Annual cost    </w:t>
            </w:r>
            <w:proofErr w:type="gramStart"/>
            <w:r w:rsidRPr="002B7C7E">
              <w:rPr>
                <w:rFonts w:cs="Times New Roman"/>
              </w:rPr>
              <w:t xml:space="preserve">   (</w:t>
            </w:r>
            <w:proofErr w:type="gramEnd"/>
            <w:r w:rsidRPr="002B7C7E">
              <w:rPr>
                <w:rFonts w:cs="Times New Roman"/>
              </w:rPr>
              <w:t>per entity)</w:t>
            </w:r>
          </w:p>
        </w:tc>
        <w:tc>
          <w:tcPr>
            <w:tcW w:w="814" w:type="pct"/>
          </w:tcPr>
          <w:p w:rsidRPr="002B7C7E" w:rsidR="009E7E06" w:rsidP="009E7E06" w:rsidRDefault="009E7E06" w14:paraId="3729BBE3" w14:textId="77777777">
            <w:pPr>
              <w:jc w:val="center"/>
              <w:rPr>
                <w:rFonts w:cs="Times New Roman"/>
              </w:rPr>
            </w:pPr>
            <w:r w:rsidRPr="002B7C7E">
              <w:rPr>
                <w:rFonts w:cs="Times New Roman"/>
              </w:rPr>
              <w:t xml:space="preserve">Aggregate annual burden </w:t>
            </w:r>
            <w:proofErr w:type="gramStart"/>
            <w:r w:rsidRPr="002B7C7E">
              <w:rPr>
                <w:rFonts w:cs="Times New Roman"/>
              </w:rPr>
              <w:t>hours  (</w:t>
            </w:r>
            <w:proofErr w:type="gramEnd"/>
            <w:r w:rsidRPr="002B7C7E">
              <w:rPr>
                <w:rFonts w:cs="Times New Roman"/>
              </w:rPr>
              <w:t>all entities)</w:t>
            </w:r>
          </w:p>
        </w:tc>
        <w:tc>
          <w:tcPr>
            <w:tcW w:w="1066" w:type="pct"/>
          </w:tcPr>
          <w:p w:rsidRPr="002B7C7E" w:rsidR="009E7E06" w:rsidP="009E7E06" w:rsidRDefault="009E7E06" w14:paraId="5719BE2B" w14:textId="77777777">
            <w:pPr>
              <w:jc w:val="center"/>
              <w:rPr>
                <w:rFonts w:cs="Times New Roman"/>
              </w:rPr>
            </w:pPr>
            <w:r w:rsidRPr="002B7C7E">
              <w:rPr>
                <w:rFonts w:cs="Times New Roman"/>
              </w:rPr>
              <w:t xml:space="preserve">Aggregate annual cost </w:t>
            </w:r>
            <w:proofErr w:type="gramStart"/>
            <w:r w:rsidRPr="002B7C7E">
              <w:rPr>
                <w:rFonts w:cs="Times New Roman"/>
              </w:rPr>
              <w:t xml:space="preserve">   (</w:t>
            </w:r>
            <w:proofErr w:type="gramEnd"/>
            <w:r w:rsidRPr="002B7C7E">
              <w:rPr>
                <w:rFonts w:cs="Times New Roman"/>
              </w:rPr>
              <w:t>all entities)</w:t>
            </w:r>
          </w:p>
        </w:tc>
      </w:tr>
      <w:tr w:rsidR="009E7E06" w:rsidTr="00173153" w14:paraId="54E9AEA2" w14:textId="77777777">
        <w:tc>
          <w:tcPr>
            <w:tcW w:w="1807" w:type="pct"/>
            <w:vAlign w:val="center"/>
          </w:tcPr>
          <w:p w:rsidRPr="002B7C7E" w:rsidR="009E7E06" w:rsidP="009E7E06" w:rsidRDefault="009E7E06" w14:paraId="754BC733" w14:textId="77777777">
            <w:pPr>
              <w:jc w:val="center"/>
              <w:rPr>
                <w:rFonts w:cs="Times New Roman"/>
              </w:rPr>
            </w:pPr>
            <w:r w:rsidRPr="002B7C7E">
              <w:rPr>
                <w:rFonts w:cs="Times New Roman"/>
              </w:rPr>
              <w:t>125 SD/MSPs</w:t>
            </w:r>
          </w:p>
        </w:tc>
        <w:tc>
          <w:tcPr>
            <w:tcW w:w="588" w:type="pct"/>
            <w:vAlign w:val="center"/>
          </w:tcPr>
          <w:p w:rsidRPr="002B7C7E" w:rsidR="009E7E06" w:rsidP="009E7E06" w:rsidRDefault="009E7E06" w14:paraId="7725E529" w14:textId="77777777">
            <w:pPr>
              <w:jc w:val="right"/>
              <w:rPr>
                <w:rFonts w:cs="Times New Roman"/>
              </w:rPr>
            </w:pPr>
            <w:r w:rsidRPr="002B7C7E">
              <w:rPr>
                <w:rFonts w:cs="Times New Roman"/>
              </w:rPr>
              <w:t>78.025</w:t>
            </w:r>
          </w:p>
        </w:tc>
        <w:tc>
          <w:tcPr>
            <w:tcW w:w="724" w:type="pct"/>
            <w:vAlign w:val="center"/>
          </w:tcPr>
          <w:p w:rsidRPr="002B7C7E" w:rsidR="009E7E06" w:rsidP="009E7E06" w:rsidRDefault="009E7E06" w14:paraId="03D55CFF" w14:textId="77777777">
            <w:pPr>
              <w:jc w:val="right"/>
              <w:rPr>
                <w:rFonts w:cs="Times New Roman"/>
              </w:rPr>
            </w:pPr>
            <w:r w:rsidRPr="002B7C7E">
              <w:rPr>
                <w:rFonts w:cs="Times New Roman"/>
                <w:color w:val="000000"/>
              </w:rPr>
              <w:t>$5,655</w:t>
            </w:r>
          </w:p>
        </w:tc>
        <w:tc>
          <w:tcPr>
            <w:tcW w:w="814" w:type="pct"/>
            <w:vAlign w:val="center"/>
          </w:tcPr>
          <w:p w:rsidRPr="002B7C7E" w:rsidR="009E7E06" w:rsidP="009E7E06" w:rsidRDefault="009E7E06" w14:paraId="2B5D42EF" w14:textId="77777777">
            <w:pPr>
              <w:jc w:val="right"/>
              <w:rPr>
                <w:rFonts w:cs="Times New Roman"/>
              </w:rPr>
            </w:pPr>
            <w:r w:rsidRPr="002B7C7E">
              <w:rPr>
                <w:rFonts w:cs="Times New Roman"/>
              </w:rPr>
              <w:t>9,753</w:t>
            </w:r>
          </w:p>
        </w:tc>
        <w:tc>
          <w:tcPr>
            <w:tcW w:w="1066" w:type="pct"/>
            <w:vAlign w:val="center"/>
          </w:tcPr>
          <w:p w:rsidRPr="002B7C7E" w:rsidR="009E7E06" w:rsidP="009E7E06" w:rsidRDefault="009E7E06" w14:paraId="33DD8951" w14:textId="77777777">
            <w:pPr>
              <w:jc w:val="right"/>
              <w:rPr>
                <w:rFonts w:cs="Times New Roman"/>
              </w:rPr>
            </w:pPr>
            <w:r w:rsidRPr="002B7C7E">
              <w:rPr>
                <w:rFonts w:cs="Times New Roman"/>
              </w:rPr>
              <w:t>$706,875</w:t>
            </w:r>
          </w:p>
        </w:tc>
      </w:tr>
      <w:bookmarkEnd w:id="1"/>
      <w:tr w:rsidR="009E7E06" w:rsidTr="00173153" w14:paraId="67226C33" w14:textId="77777777">
        <w:tc>
          <w:tcPr>
            <w:tcW w:w="1807" w:type="pct"/>
            <w:vAlign w:val="center"/>
          </w:tcPr>
          <w:p w:rsidRPr="002B7C7E" w:rsidR="009E7E06" w:rsidP="009E7E06" w:rsidRDefault="009E7E06" w14:paraId="23DD5E43" w14:textId="77777777">
            <w:pPr>
              <w:jc w:val="center"/>
              <w:rPr>
                <w:rFonts w:cs="Times New Roman"/>
              </w:rPr>
            </w:pPr>
            <w:r w:rsidRPr="002B7C7E">
              <w:rPr>
                <w:rFonts w:cs="Times New Roman"/>
              </w:rPr>
              <w:t>30,000 Non-SD/MSPs</w:t>
            </w:r>
          </w:p>
        </w:tc>
        <w:tc>
          <w:tcPr>
            <w:tcW w:w="588" w:type="pct"/>
            <w:vAlign w:val="center"/>
          </w:tcPr>
          <w:p w:rsidRPr="002B7C7E" w:rsidR="009E7E06" w:rsidP="009E7E06" w:rsidRDefault="009E7E06" w14:paraId="7E75E8E8" w14:textId="77777777">
            <w:pPr>
              <w:jc w:val="right"/>
              <w:rPr>
                <w:rFonts w:cs="Times New Roman"/>
              </w:rPr>
            </w:pPr>
            <w:r w:rsidRPr="002B7C7E">
              <w:rPr>
                <w:rFonts w:cs="Times New Roman"/>
              </w:rPr>
              <w:t>0.2</w:t>
            </w:r>
          </w:p>
        </w:tc>
        <w:tc>
          <w:tcPr>
            <w:tcW w:w="724" w:type="pct"/>
            <w:vAlign w:val="center"/>
          </w:tcPr>
          <w:p w:rsidRPr="002B7C7E" w:rsidR="009E7E06" w:rsidP="009E7E06" w:rsidRDefault="009E7E06" w14:paraId="0C7511CF" w14:textId="77777777">
            <w:pPr>
              <w:jc w:val="right"/>
              <w:rPr>
                <w:rFonts w:cs="Times New Roman"/>
              </w:rPr>
            </w:pPr>
            <w:r w:rsidRPr="002B7C7E">
              <w:rPr>
                <w:rFonts w:cs="Times New Roman"/>
                <w:color w:val="000000"/>
              </w:rPr>
              <w:t>$15</w:t>
            </w:r>
          </w:p>
        </w:tc>
        <w:tc>
          <w:tcPr>
            <w:tcW w:w="814" w:type="pct"/>
            <w:vAlign w:val="center"/>
          </w:tcPr>
          <w:p w:rsidRPr="002B7C7E" w:rsidR="009E7E06" w:rsidP="009E7E06" w:rsidRDefault="009E7E06" w14:paraId="0238D9B1" w14:textId="77777777">
            <w:pPr>
              <w:jc w:val="right"/>
              <w:rPr>
                <w:rFonts w:cs="Times New Roman"/>
              </w:rPr>
            </w:pPr>
            <w:r w:rsidRPr="002B7C7E">
              <w:rPr>
                <w:rFonts w:cs="Times New Roman"/>
              </w:rPr>
              <w:t>6,000</w:t>
            </w:r>
          </w:p>
        </w:tc>
        <w:tc>
          <w:tcPr>
            <w:tcW w:w="1066" w:type="pct"/>
            <w:vAlign w:val="center"/>
          </w:tcPr>
          <w:p w:rsidRPr="002B7C7E" w:rsidR="009E7E06" w:rsidP="009E7E06" w:rsidRDefault="009E7E06" w14:paraId="5A040436" w14:textId="77777777">
            <w:pPr>
              <w:jc w:val="right"/>
              <w:rPr>
                <w:rFonts w:cs="Times New Roman"/>
              </w:rPr>
            </w:pPr>
            <w:r w:rsidRPr="002B7C7E">
              <w:rPr>
                <w:rFonts w:cs="Times New Roman"/>
              </w:rPr>
              <w:t>$450,000</w:t>
            </w:r>
          </w:p>
        </w:tc>
      </w:tr>
      <w:tr w:rsidR="009E7E06" w:rsidTr="00173153" w14:paraId="289B34BE" w14:textId="77777777">
        <w:tc>
          <w:tcPr>
            <w:tcW w:w="1807" w:type="pct"/>
            <w:vAlign w:val="center"/>
          </w:tcPr>
          <w:p w:rsidRPr="002B7C7E" w:rsidR="009E7E06" w:rsidP="009E7E06" w:rsidRDefault="009E7E06" w14:paraId="2E9DD68A" w14:textId="17A1BB90">
            <w:pPr>
              <w:rPr>
                <w:rFonts w:cs="Times New Roman"/>
              </w:rPr>
            </w:pPr>
            <w:r w:rsidRPr="002B7C7E">
              <w:rPr>
                <w:rFonts w:cs="Times New Roman"/>
              </w:rPr>
              <w:t>Total</w:t>
            </w:r>
            <w:r w:rsidR="000B39DC">
              <w:rPr>
                <w:rFonts w:cs="Times New Roman"/>
              </w:rPr>
              <w:t xml:space="preserve"> for Recordkeeping</w:t>
            </w:r>
          </w:p>
        </w:tc>
        <w:tc>
          <w:tcPr>
            <w:tcW w:w="588" w:type="pct"/>
            <w:vAlign w:val="center"/>
          </w:tcPr>
          <w:p w:rsidRPr="002B7C7E" w:rsidR="009E7E06" w:rsidP="009E7E06" w:rsidRDefault="009E7E06" w14:paraId="783C4931" w14:textId="77777777">
            <w:pPr>
              <w:jc w:val="right"/>
              <w:rPr>
                <w:rFonts w:cs="Times New Roman"/>
              </w:rPr>
            </w:pPr>
            <w:r w:rsidRPr="002B7C7E">
              <w:rPr>
                <w:rFonts w:cs="Times New Roman"/>
              </w:rPr>
              <w:t>78.225</w:t>
            </w:r>
          </w:p>
        </w:tc>
        <w:tc>
          <w:tcPr>
            <w:tcW w:w="724" w:type="pct"/>
            <w:vAlign w:val="center"/>
          </w:tcPr>
          <w:p w:rsidRPr="002B7C7E" w:rsidR="009E7E06" w:rsidP="009E7E06" w:rsidRDefault="009E7E06" w14:paraId="3BD0CD92" w14:textId="77777777">
            <w:pPr>
              <w:jc w:val="right"/>
              <w:rPr>
                <w:rFonts w:cs="Times New Roman"/>
                <w:color w:val="000000"/>
              </w:rPr>
            </w:pPr>
            <w:r w:rsidRPr="002B7C7E">
              <w:rPr>
                <w:rFonts w:cs="Times New Roman"/>
                <w:color w:val="000000"/>
              </w:rPr>
              <w:t>$5,670</w:t>
            </w:r>
          </w:p>
        </w:tc>
        <w:tc>
          <w:tcPr>
            <w:tcW w:w="814" w:type="pct"/>
            <w:vAlign w:val="center"/>
          </w:tcPr>
          <w:p w:rsidRPr="002B7C7E" w:rsidR="009E7E06" w:rsidP="009E7E06" w:rsidRDefault="009E7E06" w14:paraId="546B1BC0" w14:textId="77777777">
            <w:pPr>
              <w:jc w:val="right"/>
              <w:rPr>
                <w:rFonts w:cs="Times New Roman"/>
              </w:rPr>
            </w:pPr>
            <w:r w:rsidRPr="002B7C7E">
              <w:rPr>
                <w:rFonts w:cs="Times New Roman"/>
              </w:rPr>
              <w:t>15,753</w:t>
            </w:r>
          </w:p>
        </w:tc>
        <w:tc>
          <w:tcPr>
            <w:tcW w:w="1066" w:type="pct"/>
            <w:vAlign w:val="center"/>
          </w:tcPr>
          <w:p w:rsidRPr="002B7C7E" w:rsidR="009E7E06" w:rsidP="009E7E06" w:rsidRDefault="009E7E06" w14:paraId="2C147A0E" w14:textId="77777777">
            <w:pPr>
              <w:jc w:val="right"/>
              <w:rPr>
                <w:rFonts w:cs="Times New Roman"/>
              </w:rPr>
            </w:pPr>
            <w:r w:rsidRPr="002B7C7E">
              <w:rPr>
                <w:rFonts w:cs="Times New Roman"/>
              </w:rPr>
              <w:t>$1,156,875</w:t>
            </w:r>
          </w:p>
        </w:tc>
      </w:tr>
    </w:tbl>
    <w:p w:rsidR="004F211B" w:rsidP="00CF4C53" w:rsidRDefault="000B39DC" w14:paraId="32A543C1" w14:textId="77777777">
      <w:pPr>
        <w:tabs>
          <w:tab w:val="left" w:pos="-720"/>
          <w:tab w:val="left" w:pos="0"/>
        </w:tabs>
        <w:suppressAutoHyphens/>
        <w:rPr>
          <w:szCs w:val="24"/>
        </w:rPr>
      </w:pPr>
      <w:r>
        <w:rPr>
          <w:sz w:val="20"/>
        </w:rPr>
        <w:br/>
      </w:r>
      <w:r>
        <w:rPr>
          <w:sz w:val="20"/>
        </w:rPr>
        <w:br/>
      </w:r>
    </w:p>
    <w:p w:rsidR="004F211B" w:rsidP="00CF4C53" w:rsidRDefault="004F211B" w14:paraId="0924FEAF" w14:textId="77777777">
      <w:pPr>
        <w:tabs>
          <w:tab w:val="left" w:pos="-720"/>
          <w:tab w:val="left" w:pos="0"/>
        </w:tabs>
        <w:suppressAutoHyphens/>
        <w:rPr>
          <w:szCs w:val="24"/>
        </w:rPr>
      </w:pPr>
    </w:p>
    <w:p w:rsidR="004F211B" w:rsidP="00CF4C53" w:rsidRDefault="004F211B" w14:paraId="6B4B428F" w14:textId="77777777">
      <w:pPr>
        <w:tabs>
          <w:tab w:val="left" w:pos="-720"/>
          <w:tab w:val="left" w:pos="0"/>
        </w:tabs>
        <w:suppressAutoHyphens/>
        <w:rPr>
          <w:szCs w:val="24"/>
        </w:rPr>
      </w:pPr>
    </w:p>
    <w:p w:rsidR="004F211B" w:rsidP="00CF4C53" w:rsidRDefault="004F211B" w14:paraId="414550A0" w14:textId="77777777">
      <w:pPr>
        <w:tabs>
          <w:tab w:val="left" w:pos="-720"/>
          <w:tab w:val="left" w:pos="0"/>
        </w:tabs>
        <w:suppressAutoHyphens/>
        <w:rPr>
          <w:szCs w:val="24"/>
        </w:rPr>
      </w:pPr>
    </w:p>
    <w:tbl>
      <w:tblPr>
        <w:tblStyle w:val="TableGrid"/>
        <w:tblW w:w="9985" w:type="dxa"/>
        <w:tblLook w:val="04A0" w:firstRow="1" w:lastRow="0" w:firstColumn="1" w:lastColumn="0" w:noHBand="0" w:noVBand="1"/>
      </w:tblPr>
      <w:tblGrid>
        <w:gridCol w:w="3502"/>
        <w:gridCol w:w="1263"/>
        <w:gridCol w:w="1440"/>
        <w:gridCol w:w="1620"/>
        <w:gridCol w:w="2160"/>
      </w:tblGrid>
      <w:tr w:rsidR="004F211B" w:rsidTr="004F211B" w14:paraId="5C2347C6" w14:textId="77777777">
        <w:tc>
          <w:tcPr>
            <w:tcW w:w="3502" w:type="dxa"/>
          </w:tcPr>
          <w:p w:rsidRPr="004F211B" w:rsidR="004F211B" w:rsidP="004F211B" w:rsidRDefault="004F211B" w14:paraId="1B32DA87" w14:textId="77777777">
            <w:pPr>
              <w:tabs>
                <w:tab w:val="left" w:pos="-720"/>
                <w:tab w:val="left" w:pos="0"/>
              </w:tabs>
              <w:suppressAutoHyphens/>
              <w:rPr>
                <w:szCs w:val="24"/>
              </w:rPr>
            </w:pPr>
            <w:r w:rsidRPr="004F211B">
              <w:rPr>
                <w:szCs w:val="24"/>
              </w:rPr>
              <w:t xml:space="preserve">Total for Reporting and </w:t>
            </w:r>
          </w:p>
          <w:p w:rsidR="004F211B" w:rsidP="00CF4C53" w:rsidRDefault="004F211B" w14:paraId="08F61CB3" w14:textId="39BD5886">
            <w:pPr>
              <w:tabs>
                <w:tab w:val="left" w:pos="-720"/>
                <w:tab w:val="left" w:pos="0"/>
              </w:tabs>
              <w:suppressAutoHyphens/>
              <w:rPr>
                <w:szCs w:val="24"/>
              </w:rPr>
            </w:pPr>
            <w:r w:rsidRPr="004F211B">
              <w:rPr>
                <w:szCs w:val="24"/>
              </w:rPr>
              <w:t xml:space="preserve"> Recordkeeping</w:t>
            </w:r>
          </w:p>
        </w:tc>
        <w:tc>
          <w:tcPr>
            <w:tcW w:w="1263" w:type="dxa"/>
          </w:tcPr>
          <w:p w:rsidR="004F211B" w:rsidP="00173153" w:rsidRDefault="004F211B" w14:paraId="64B7C695" w14:textId="46827650">
            <w:pPr>
              <w:tabs>
                <w:tab w:val="left" w:pos="-720"/>
                <w:tab w:val="left" w:pos="0"/>
              </w:tabs>
              <w:suppressAutoHyphens/>
              <w:jc w:val="right"/>
              <w:rPr>
                <w:szCs w:val="24"/>
              </w:rPr>
            </w:pPr>
            <w:r>
              <w:rPr>
                <w:szCs w:val="24"/>
              </w:rPr>
              <w:t>83.865</w:t>
            </w:r>
          </w:p>
        </w:tc>
        <w:tc>
          <w:tcPr>
            <w:tcW w:w="1440" w:type="dxa"/>
          </w:tcPr>
          <w:p w:rsidR="004F211B" w:rsidP="00173153" w:rsidRDefault="004F211B" w14:paraId="794A2DDF" w14:textId="39DA6B83">
            <w:pPr>
              <w:tabs>
                <w:tab w:val="left" w:pos="-720"/>
                <w:tab w:val="left" w:pos="0"/>
              </w:tabs>
              <w:suppressAutoHyphens/>
              <w:jc w:val="right"/>
              <w:rPr>
                <w:szCs w:val="24"/>
              </w:rPr>
            </w:pPr>
            <w:r>
              <w:rPr>
                <w:szCs w:val="24"/>
              </w:rPr>
              <w:t>$6,077</w:t>
            </w:r>
          </w:p>
        </w:tc>
        <w:tc>
          <w:tcPr>
            <w:tcW w:w="1620" w:type="dxa"/>
          </w:tcPr>
          <w:p w:rsidR="004F211B" w:rsidP="00173153" w:rsidRDefault="004F211B" w14:paraId="2DCECBDC" w14:textId="699EE491">
            <w:pPr>
              <w:tabs>
                <w:tab w:val="left" w:pos="-720"/>
                <w:tab w:val="left" w:pos="0"/>
              </w:tabs>
              <w:suppressAutoHyphens/>
              <w:jc w:val="right"/>
              <w:rPr>
                <w:szCs w:val="24"/>
              </w:rPr>
            </w:pPr>
            <w:r>
              <w:rPr>
                <w:szCs w:val="24"/>
              </w:rPr>
              <w:t>16,698</w:t>
            </w:r>
          </w:p>
        </w:tc>
        <w:tc>
          <w:tcPr>
            <w:tcW w:w="2160" w:type="dxa"/>
          </w:tcPr>
          <w:p w:rsidR="004F211B" w:rsidP="00173153" w:rsidRDefault="004F211B" w14:paraId="716F7689" w14:textId="1C7EBE87">
            <w:pPr>
              <w:tabs>
                <w:tab w:val="left" w:pos="-720"/>
                <w:tab w:val="left" w:pos="0"/>
              </w:tabs>
              <w:suppressAutoHyphens/>
              <w:jc w:val="right"/>
              <w:rPr>
                <w:szCs w:val="24"/>
              </w:rPr>
            </w:pPr>
            <w:r>
              <w:rPr>
                <w:szCs w:val="24"/>
              </w:rPr>
              <w:t>$1,225,132</w:t>
            </w:r>
          </w:p>
        </w:tc>
      </w:tr>
    </w:tbl>
    <w:p w:rsidRPr="00173153" w:rsidR="009B10DF" w:rsidP="00CF4C53" w:rsidRDefault="009B10DF" w14:paraId="3DDB511F" w14:textId="77777777">
      <w:pPr>
        <w:tabs>
          <w:tab w:val="left" w:pos="-720"/>
          <w:tab w:val="left" w:pos="0"/>
        </w:tabs>
        <w:suppressAutoHyphens/>
      </w:pPr>
    </w:p>
    <w:sectPr w:rsidRPr="00173153" w:rsidR="009B10DF" w:rsidSect="0058571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42384" w14:textId="77777777" w:rsidR="009C6DB4" w:rsidRDefault="009C6DB4" w:rsidP="009C6DB4">
      <w:r>
        <w:separator/>
      </w:r>
    </w:p>
  </w:endnote>
  <w:endnote w:type="continuationSeparator" w:id="0">
    <w:p w14:paraId="50F42385" w14:textId="77777777" w:rsidR="009C6DB4" w:rsidRDefault="009C6DB4" w:rsidP="009C6DB4">
      <w:r>
        <w:continuationSeparator/>
      </w:r>
    </w:p>
  </w:endnote>
  <w:endnote w:type="continuationNotice" w:id="1">
    <w:p w14:paraId="743D377B" w14:textId="77777777" w:rsidR="00A47AFA" w:rsidRDefault="00A47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EF5BB" w14:textId="77777777" w:rsidR="00435E09" w:rsidRDefault="00435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3617204"/>
      <w:docPartObj>
        <w:docPartGallery w:val="Page Numbers (Bottom of Page)"/>
        <w:docPartUnique/>
      </w:docPartObj>
    </w:sdtPr>
    <w:sdtEndPr>
      <w:rPr>
        <w:noProof/>
      </w:rPr>
    </w:sdtEndPr>
    <w:sdtContent>
      <w:p w14:paraId="530D38DF" w14:textId="3125323F" w:rsidR="00435E09" w:rsidRDefault="00435E09" w:rsidP="00435E09">
        <w:pPr>
          <w:pStyle w:val="Footer"/>
          <w:jc w:val="center"/>
        </w:pPr>
        <w:r>
          <w:fldChar w:fldCharType="begin"/>
        </w:r>
        <w:r>
          <w:instrText xml:space="preserve"> PAGE   \* MERGEFORMAT </w:instrText>
        </w:r>
        <w:r>
          <w:fldChar w:fldCharType="separate"/>
        </w:r>
        <w:r w:rsidR="00E20714">
          <w:rPr>
            <w:noProof/>
          </w:rPr>
          <w:t>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4ADBD" w14:textId="77777777" w:rsidR="00435E09" w:rsidRDefault="00435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42382" w14:textId="77777777" w:rsidR="009C6DB4" w:rsidRDefault="009C6DB4" w:rsidP="009C6DB4">
      <w:r>
        <w:separator/>
      </w:r>
    </w:p>
  </w:footnote>
  <w:footnote w:type="continuationSeparator" w:id="0">
    <w:p w14:paraId="50F42383" w14:textId="77777777" w:rsidR="009C6DB4" w:rsidRDefault="009C6DB4" w:rsidP="009C6DB4">
      <w:r>
        <w:continuationSeparator/>
      </w:r>
    </w:p>
  </w:footnote>
  <w:footnote w:type="continuationNotice" w:id="1">
    <w:p w14:paraId="5C0A4B92" w14:textId="77777777" w:rsidR="00A47AFA" w:rsidRDefault="00A47AFA"/>
  </w:footnote>
  <w:footnote w:id="2">
    <w:p w14:paraId="2AB0A856" w14:textId="74F04A85" w:rsidR="00906A3C" w:rsidRDefault="00906A3C">
      <w:pPr>
        <w:pStyle w:val="FootnoteText"/>
      </w:pPr>
      <w:r>
        <w:rPr>
          <w:rStyle w:val="FootnoteReference"/>
        </w:rPr>
        <w:footnoteRef/>
      </w:r>
      <w:r>
        <w:t xml:space="preserve"> The preamble accompanying the </w:t>
      </w:r>
      <w:r w:rsidR="00E73BC6">
        <w:t>proposal</w:t>
      </w:r>
      <w:r>
        <w:t xml:space="preserve"> erroneously stated</w:t>
      </w:r>
      <w:r w:rsidR="00FB647C">
        <w:t xml:space="preserve"> that</w:t>
      </w:r>
      <w:r>
        <w:t xml:space="preserve"> there were 500 SD, MSP, and non-SD/MSP respondents. This misstated the number of respondents by failing to separate the 125 SD/MSP respondents from the 500 non-SD/MSP respondents. The correct </w:t>
      </w:r>
      <w:r w:rsidR="00FB647C">
        <w:t>estimate of</w:t>
      </w:r>
      <w:r>
        <w:t xml:space="preserve"> 625 SD, MSP, and non-SD/MSP reporting counterparti</w:t>
      </w:r>
      <w:r w:rsidR="00E73BC6">
        <w:t>es is used in Attachment A, and was updated in the preamble accompanying the final rule.</w:t>
      </w:r>
    </w:p>
  </w:footnote>
  <w:footnote w:id="3">
    <w:p w14:paraId="39C647DA" w14:textId="7CDF152C" w:rsidR="006657D1" w:rsidRPr="00173153" w:rsidRDefault="006657D1">
      <w:pPr>
        <w:pStyle w:val="FootnoteText"/>
        <w:rPr>
          <w:color w:val="000000"/>
          <w:u w:color="000000"/>
          <w:bdr w:val="nil"/>
        </w:rPr>
      </w:pPr>
      <w:r>
        <w:rPr>
          <w:rStyle w:val="FootnoteReference"/>
        </w:rPr>
        <w:footnoteRef/>
      </w:r>
      <w:r>
        <w:t xml:space="preserve"> </w:t>
      </w:r>
      <w:r w:rsidR="008D2774" w:rsidRPr="008D2774">
        <w:rPr>
          <w:rFonts w:eastAsia="Times New Roman" w:cs="Times New Roman"/>
          <w:color w:val="000000"/>
          <w:u w:color="000000"/>
          <w:bdr w:val="nil"/>
        </w:rPr>
        <w:t xml:space="preserve">In the </w:t>
      </w:r>
      <w:r w:rsidR="00A94547">
        <w:rPr>
          <w:rFonts w:eastAsia="Times New Roman" w:cs="Times New Roman"/>
          <w:color w:val="000000"/>
          <w:u w:color="000000"/>
          <w:bdr w:val="nil"/>
        </w:rPr>
        <w:t>preamble accompanying the proposal</w:t>
      </w:r>
      <w:r w:rsidR="008D2774" w:rsidRPr="008D2774">
        <w:rPr>
          <w:rFonts w:eastAsia="Times New Roman" w:cs="Times New Roman"/>
          <w:color w:val="000000"/>
          <w:u w:color="000000"/>
          <w:bdr w:val="nil"/>
        </w:rPr>
        <w:t xml:space="preserve">, the Commission estimated that to comply with proposed amended § 46.11, 500 SD, MSP, and non-SD/MSP reporting counterparties that the Commission estimated are reporting historical swaps would each </w:t>
      </w:r>
      <w:r w:rsidR="00A94547">
        <w:rPr>
          <w:rFonts w:eastAsia="Times New Roman" w:cs="Times New Roman"/>
          <w:color w:val="000000"/>
          <w:u w:color="000000"/>
          <w:bdr w:val="nil"/>
        </w:rPr>
        <w:t>submit</w:t>
      </w:r>
      <w:r w:rsidR="008D2774" w:rsidRPr="008D2774">
        <w:rPr>
          <w:rFonts w:eastAsia="Times New Roman" w:cs="Times New Roman"/>
          <w:color w:val="000000"/>
          <w:u w:color="000000"/>
          <w:bdr w:val="nil"/>
        </w:rPr>
        <w:t xml:space="preserve"> 200 reports under part 46 with an average burden of .01 hours per report, for a burden of 2 hours per respondent or 1,000 burden hours in the aggregate.  The correct aggregate burden hours estimate, which was reflected in the supporting statement filed w</w:t>
      </w:r>
      <w:r w:rsidR="00A94547">
        <w:rPr>
          <w:rFonts w:eastAsia="Times New Roman" w:cs="Times New Roman"/>
          <w:color w:val="000000"/>
          <w:u w:color="000000"/>
          <w:bdr w:val="nil"/>
        </w:rPr>
        <w:t>ith OMB in connection with the p</w:t>
      </w:r>
      <w:r w:rsidR="008D2774" w:rsidRPr="008D2774">
        <w:rPr>
          <w:rFonts w:eastAsia="Times New Roman" w:cs="Times New Roman"/>
          <w:color w:val="000000"/>
          <w:u w:color="000000"/>
          <w:bdr w:val="nil"/>
        </w:rPr>
        <w:t>roposal, is 945 (consisting of 625 aggregate annual burden hours for the 125 SD/MSP reporting counterparties and 320 ag</w:t>
      </w:r>
      <w:r w:rsidR="00A94547">
        <w:rPr>
          <w:rFonts w:eastAsia="Times New Roman" w:cs="Times New Roman"/>
          <w:color w:val="000000"/>
          <w:u w:color="000000"/>
          <w:bdr w:val="nil"/>
        </w:rPr>
        <w:t>g</w:t>
      </w:r>
      <w:r w:rsidR="008D2774" w:rsidRPr="008D2774">
        <w:rPr>
          <w:rFonts w:eastAsia="Times New Roman" w:cs="Times New Roman"/>
          <w:color w:val="000000"/>
          <w:u w:color="000000"/>
          <w:bdr w:val="nil"/>
        </w:rPr>
        <w:t>regate burden hours for the 500 non-SD/MSP reporting counterparties). The Commission is also revising the estimated number of reports filed per respondent under part 46 from 200 reports to 151.</w:t>
      </w:r>
      <w:r w:rsidR="00A94547">
        <w:rPr>
          <w:rFonts w:eastAsia="Times New Roman" w:cs="Times New Roman"/>
          <w:color w:val="000000"/>
          <w:u w:color="000000"/>
          <w:bdr w:val="nil"/>
        </w:rPr>
        <w:t xml:space="preserve"> These numbers were updated in the preamble accompanying the final rule</w:t>
      </w:r>
      <w:r w:rsidR="00E3768B">
        <w:rPr>
          <w:rFonts w:eastAsia="Times New Roman" w:cs="Times New Roman"/>
          <w:color w:val="000000"/>
          <w:u w:color="000000"/>
          <w:bdr w:val="nil"/>
        </w:rPr>
        <w:t xml:space="preserve"> and are shown in Attachment A to this supporting statement</w:t>
      </w:r>
      <w:r w:rsidR="00A94547">
        <w:rPr>
          <w:rFonts w:eastAsia="Times New Roman" w:cs="Times New Roman"/>
          <w:color w:val="000000"/>
          <w:u w:color="000000"/>
          <w:bdr w:val="nil"/>
        </w:rPr>
        <w:t>.</w:t>
      </w:r>
    </w:p>
  </w:footnote>
  <w:footnote w:id="4">
    <w:p w14:paraId="4A9ECDFD" w14:textId="721269BC" w:rsidR="00E73934" w:rsidRDefault="00E73934">
      <w:pPr>
        <w:pStyle w:val="FootnoteText"/>
      </w:pPr>
      <w:r>
        <w:rPr>
          <w:rStyle w:val="FootnoteReference"/>
        </w:rPr>
        <w:footnoteRef/>
      </w:r>
      <w:r>
        <w:t xml:space="preserve"> In the last renewal for collection 3038-0089, the Commission estimated that 125 SD/MSP respondents spend 10 hours on historical reports under part 46, at an annual cost of $737 per entity, for a total of 1,250 burden hours for all entities at a total cost of $92,125. The Commission is updating this estimate based on the </w:t>
      </w:r>
      <w:r w:rsidR="00FB647C">
        <w:t>changes to part</w:t>
      </w:r>
      <w:r w:rsidR="006657D1">
        <w:t xml:space="preserve"> 46.</w:t>
      </w:r>
    </w:p>
  </w:footnote>
  <w:footnote w:id="5">
    <w:p w14:paraId="325F760C" w14:textId="153C2B8D" w:rsidR="00E73934" w:rsidRDefault="00E73934">
      <w:pPr>
        <w:pStyle w:val="FootnoteText"/>
      </w:pPr>
      <w:r>
        <w:rPr>
          <w:rStyle w:val="FootnoteReference"/>
        </w:rPr>
        <w:footnoteRef/>
      </w:r>
      <w:r>
        <w:t xml:space="preserve"> The Commission had previously estimated that the 125 SD/MSP respondents spend 10 hours per entity for historical swap reporting. As discussed above, the Commission estimate</w:t>
      </w:r>
      <w:r w:rsidR="00FB647C">
        <w:t>s that the changes to part</w:t>
      </w:r>
      <w:r>
        <w:t xml:space="preserve"> 46 </w:t>
      </w:r>
      <w:r w:rsidR="003005C5">
        <w:t>will</w:t>
      </w:r>
      <w:r>
        <w:t xml:space="preserve"> reduce the </w:t>
      </w:r>
      <w:r w:rsidR="00F22C9D">
        <w:t>number of report</w:t>
      </w:r>
      <w:r w:rsidR="00B41ECB">
        <w:t>s</w:t>
      </w:r>
      <w:r>
        <w:t xml:space="preserve"> each SD/MSP respondent </w:t>
      </w:r>
      <w:r w:rsidR="00F22C9D">
        <w:t>sends to SDRs</w:t>
      </w:r>
      <w:r>
        <w:t xml:space="preserve"> by 50%, </w:t>
      </w:r>
      <w:r w:rsidR="00FF3316">
        <w:t xml:space="preserve">and thereby reduce the amount of time spent on reporting by </w:t>
      </w:r>
      <w:r>
        <w:t>5 hours per</w:t>
      </w:r>
      <w:r w:rsidR="00FF3316">
        <w:t xml:space="preserve"> SD/MSP</w:t>
      </w:r>
      <w:r>
        <w:t xml:space="preserve"> entity. The Commission is updating the rest of the estimate accordingly.</w:t>
      </w:r>
    </w:p>
  </w:footnote>
  <w:footnote w:id="6">
    <w:p w14:paraId="437CA63B" w14:textId="409047EB" w:rsidR="00E73934" w:rsidRDefault="00E73934">
      <w:pPr>
        <w:pStyle w:val="FootnoteText"/>
      </w:pPr>
      <w:r>
        <w:rPr>
          <w:rStyle w:val="FootnoteReference"/>
        </w:rPr>
        <w:footnoteRef/>
      </w:r>
      <w:r>
        <w:t xml:space="preserve"> The Commission had previously estimated the cost based on an average wage rate of $72.48. The Commission is updating the wage rate to $72.23.</w:t>
      </w:r>
    </w:p>
  </w:footnote>
  <w:footnote w:id="7">
    <w:p w14:paraId="68709791" w14:textId="7BFFDEF6" w:rsidR="00E73934" w:rsidRDefault="00E73934">
      <w:pPr>
        <w:pStyle w:val="FootnoteText"/>
      </w:pPr>
      <w:r>
        <w:rPr>
          <w:rStyle w:val="FootnoteReference"/>
        </w:rPr>
        <w:footnoteRef/>
      </w:r>
      <w:r>
        <w:t xml:space="preserve"> </w:t>
      </w:r>
      <w:r w:rsidRPr="00E73934">
        <w:t>In the last renewal for collection 3038-0089, t</w:t>
      </w:r>
      <w:r>
        <w:t>he Commission estimated that 500</w:t>
      </w:r>
      <w:r w:rsidRPr="00E73934">
        <w:t xml:space="preserve"> </w:t>
      </w:r>
      <w:r>
        <w:t>non-SD/MSP respondents spend 1.275</w:t>
      </w:r>
      <w:r w:rsidRPr="00E73934">
        <w:t xml:space="preserve"> hours on historical reports under pa</w:t>
      </w:r>
      <w:r>
        <w:t>rt 46, at an annual cost of $94</w:t>
      </w:r>
      <w:r w:rsidRPr="00E73934">
        <w:t xml:space="preserve"> </w:t>
      </w:r>
      <w:r>
        <w:t>per entity, for a total of 325</w:t>
      </w:r>
      <w:r w:rsidRPr="00E73934">
        <w:t xml:space="preserve"> burden hours for all entities at a total cos</w:t>
      </w:r>
      <w:r>
        <w:t>t of $47,000</w:t>
      </w:r>
      <w:r w:rsidRPr="00E73934">
        <w:t xml:space="preserve">. </w:t>
      </w:r>
      <w:r w:rsidR="003D08E8">
        <w:t xml:space="preserve">The </w:t>
      </w:r>
      <w:proofErr w:type="gramStart"/>
      <w:r w:rsidR="003D08E8">
        <w:t>325 burden</w:t>
      </w:r>
      <w:proofErr w:type="gramEnd"/>
      <w:r w:rsidR="003D08E8">
        <w:t xml:space="preserve"> hour estimate should have been 638 burden hours rather than 325 (500 respondents x 1.275 hours). </w:t>
      </w:r>
      <w:r w:rsidRPr="00E73934">
        <w:t xml:space="preserve">The Commission is </w:t>
      </w:r>
      <w:r w:rsidR="003D08E8">
        <w:t xml:space="preserve">correcting and then </w:t>
      </w:r>
      <w:r w:rsidRPr="00E73934">
        <w:t>updating this estimate ba</w:t>
      </w:r>
      <w:r w:rsidR="00FB647C">
        <w:t>sed on the changes to part</w:t>
      </w:r>
      <w:r w:rsidRPr="00E73934">
        <w:t xml:space="preserve"> 46.</w:t>
      </w:r>
    </w:p>
  </w:footnote>
  <w:footnote w:id="8">
    <w:p w14:paraId="74DCEFA6" w14:textId="2D197B55" w:rsidR="00E73934" w:rsidRDefault="00E73934">
      <w:pPr>
        <w:pStyle w:val="FootnoteText"/>
      </w:pPr>
      <w:r>
        <w:rPr>
          <w:rStyle w:val="FootnoteReference"/>
        </w:rPr>
        <w:footnoteRef/>
      </w:r>
      <w:r>
        <w:t xml:space="preserve"> </w:t>
      </w:r>
      <w:r w:rsidRPr="00E73934">
        <w:t>The Commission had p</w:t>
      </w:r>
      <w:r>
        <w:t>reviously estimated that the 500 non-SD/MSP respondents spend 1.275</w:t>
      </w:r>
      <w:r w:rsidRPr="00E73934">
        <w:t xml:space="preserve"> hours per entity for historical swap reporting. As discussed above, the Commission estimate</w:t>
      </w:r>
      <w:r w:rsidR="00FB647C">
        <w:t>s that the changes to part</w:t>
      </w:r>
      <w:r w:rsidRPr="00E73934">
        <w:t xml:space="preserve"> 46 </w:t>
      </w:r>
      <w:r w:rsidR="003005C5">
        <w:t>will</w:t>
      </w:r>
      <w:r w:rsidRPr="00E73934">
        <w:t xml:space="preserve"> reduce the </w:t>
      </w:r>
      <w:r w:rsidR="00B41ECB">
        <w:t>number of reports</w:t>
      </w:r>
      <w:r w:rsidRPr="00E73934">
        <w:t xml:space="preserve"> each </w:t>
      </w:r>
      <w:r>
        <w:t>non-</w:t>
      </w:r>
      <w:r w:rsidRPr="00E73934">
        <w:t xml:space="preserve">SD/MSP respondent </w:t>
      </w:r>
      <w:r w:rsidR="00B41ECB">
        <w:t>sends by SDRs</w:t>
      </w:r>
      <w:r w:rsidRPr="00E73934">
        <w:t xml:space="preserve"> by 50%, </w:t>
      </w:r>
      <w:r w:rsidR="00FF3316">
        <w:t>thereby reducing the amount of time spent on reporting by non-SD/MSP reporting counterparties by 50% to</w:t>
      </w:r>
      <w:r w:rsidRPr="00E73934">
        <w:t xml:space="preserve"> </w:t>
      </w:r>
      <w:r w:rsidR="00A66675">
        <w:t xml:space="preserve">.64 </w:t>
      </w:r>
      <w:r w:rsidRPr="00E73934">
        <w:t>hours per entity. The Commission is updating the rest of the estimate accordingly.</w:t>
      </w:r>
      <w:r w:rsidR="00737129">
        <w:t xml:space="preserve"> </w:t>
      </w:r>
    </w:p>
  </w:footnote>
  <w:footnote w:id="9">
    <w:p w14:paraId="0BE1C072" w14:textId="515FCF40" w:rsidR="00A66675" w:rsidRDefault="00A66675">
      <w:pPr>
        <w:pStyle w:val="FootnoteText"/>
      </w:pPr>
      <w:r>
        <w:rPr>
          <w:rStyle w:val="FootnoteReference"/>
        </w:rPr>
        <w:footnoteRef/>
      </w:r>
      <w:r>
        <w:t xml:space="preserve"> </w:t>
      </w:r>
      <w:r w:rsidRPr="00A66675">
        <w:t>The Commission had previously estimated the cost based on an average wage rate of $72.48. The Commission is updating the wage rate to $72.23.</w:t>
      </w:r>
    </w:p>
  </w:footnote>
  <w:footnote w:id="10">
    <w:p w14:paraId="1A24CE93" w14:textId="77777777" w:rsidR="00F31977" w:rsidRDefault="00F31977">
      <w:pPr>
        <w:pStyle w:val="FootnoteText"/>
      </w:pPr>
      <w:r>
        <w:rPr>
          <w:rStyle w:val="FootnoteReference"/>
        </w:rPr>
        <w:footnoteRef/>
      </w:r>
      <w:r>
        <w:t xml:space="preserve"> </w:t>
      </w:r>
      <w:r w:rsidRPr="00F31977">
        <w:t>In the preamble accompanying the proposal, the Commission estimated that to comply with proposed amended § 46.11, 500 SD, MSP, and non-SD/MSP reporting counterparties that the Commission estimated are reporting historical swaps would each submit 200 reports under part 46 with an average burden of .01 hours per report, for a burden of 2 hours per respondent or 1,000 burden hours in the aggregate.  The correct aggregate burden hours estimate, which was reflected in the supporting statement filed with OMB in connection with the proposal,</w:t>
      </w:r>
      <w:r>
        <w:t xml:space="preserve"> is 945.</w:t>
      </w:r>
      <w:r w:rsidRPr="00F31977">
        <w:t xml:space="preserve"> The Commission is also revising the estimated number of reports filed per respondent under part 46 from 200 reports to 151. These numbers </w:t>
      </w:r>
      <w:r>
        <w:t xml:space="preserve">are reflected in the </w:t>
      </w:r>
      <w:r w:rsidR="00FD484A">
        <w:t xml:space="preserve">estimates in the </w:t>
      </w:r>
      <w:r>
        <w:t>above 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0A68" w14:textId="77777777" w:rsidR="00435E09" w:rsidRDefault="00435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0944" w14:textId="77777777" w:rsidR="00435E09" w:rsidRDefault="00435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0490E" w14:textId="77777777" w:rsidR="00435E09" w:rsidRDefault="00435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0F9"/>
    <w:multiLevelType w:val="hybridMultilevel"/>
    <w:tmpl w:val="93547A32"/>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6F079C"/>
    <w:multiLevelType w:val="hybridMultilevel"/>
    <w:tmpl w:val="1AFE0AF6"/>
    <w:lvl w:ilvl="0" w:tplc="7ECA6AE4">
      <w:start w:val="4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76532"/>
    <w:multiLevelType w:val="hybridMultilevel"/>
    <w:tmpl w:val="8C26F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ED6527"/>
    <w:multiLevelType w:val="hybridMultilevel"/>
    <w:tmpl w:val="C3228042"/>
    <w:lvl w:ilvl="0" w:tplc="5908128C">
      <w:start w:val="43"/>
      <w:numFmt w:val="bullet"/>
      <w:lvlText w:val="-"/>
      <w:lvlJc w:val="left"/>
      <w:pPr>
        <w:ind w:left="765" w:hanging="360"/>
      </w:pPr>
      <w:rPr>
        <w:rFonts w:ascii="Times New Roman" w:eastAsiaTheme="minorHAnsi" w:hAnsi="Times New Roman" w:cs="Times New Roman" w:hint="default"/>
        <w:sz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31D20AAE"/>
    <w:multiLevelType w:val="hybridMultilevel"/>
    <w:tmpl w:val="1CBE23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894802"/>
    <w:multiLevelType w:val="hybridMultilevel"/>
    <w:tmpl w:val="8EDE799E"/>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9346A6"/>
    <w:multiLevelType w:val="hybridMultilevel"/>
    <w:tmpl w:val="15FA9B74"/>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67727A"/>
    <w:multiLevelType w:val="hybridMultilevel"/>
    <w:tmpl w:val="EA4E65CC"/>
    <w:lvl w:ilvl="0" w:tplc="A49EF17C">
      <w:start w:val="43"/>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4AFA13B0"/>
    <w:multiLevelType w:val="hybridMultilevel"/>
    <w:tmpl w:val="EE189606"/>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7A80FF2"/>
    <w:multiLevelType w:val="hybridMultilevel"/>
    <w:tmpl w:val="2A1CEFEE"/>
    <w:lvl w:ilvl="0" w:tplc="F69667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E5093D"/>
    <w:multiLevelType w:val="hybridMultilevel"/>
    <w:tmpl w:val="267A7F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
  </w:num>
  <w:num w:numId="3">
    <w:abstractNumId w:val="7"/>
  </w:num>
  <w:num w:numId="4">
    <w:abstractNumId w:val="3"/>
  </w:num>
  <w:num w:numId="5">
    <w:abstractNumId w:val="1"/>
  </w:num>
  <w:num w:numId="6">
    <w:abstractNumId w:val="0"/>
  </w:num>
  <w:num w:numId="7">
    <w:abstractNumId w:val="5"/>
  </w:num>
  <w:num w:numId="8">
    <w:abstractNumId w:val="8"/>
  </w:num>
  <w:num w:numId="9">
    <w:abstractNumId w:val="6"/>
  </w:num>
  <w:num w:numId="10">
    <w:abstractNumId w:val="1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6A"/>
    <w:rsid w:val="00032BDD"/>
    <w:rsid w:val="00037E90"/>
    <w:rsid w:val="00045C43"/>
    <w:rsid w:val="00053F35"/>
    <w:rsid w:val="000576BF"/>
    <w:rsid w:val="0007012C"/>
    <w:rsid w:val="00072761"/>
    <w:rsid w:val="000803D6"/>
    <w:rsid w:val="000835FF"/>
    <w:rsid w:val="00083F72"/>
    <w:rsid w:val="00087856"/>
    <w:rsid w:val="000B39DC"/>
    <w:rsid w:val="000B42C4"/>
    <w:rsid w:val="000B5FCB"/>
    <w:rsid w:val="000B687F"/>
    <w:rsid w:val="000C2733"/>
    <w:rsid w:val="000C2D0E"/>
    <w:rsid w:val="000C3307"/>
    <w:rsid w:val="000D0CFF"/>
    <w:rsid w:val="000E0987"/>
    <w:rsid w:val="000F7B50"/>
    <w:rsid w:val="00107258"/>
    <w:rsid w:val="00116FC7"/>
    <w:rsid w:val="0012080B"/>
    <w:rsid w:val="001246F4"/>
    <w:rsid w:val="00142EAD"/>
    <w:rsid w:val="00153901"/>
    <w:rsid w:val="00153AED"/>
    <w:rsid w:val="001577B2"/>
    <w:rsid w:val="00173153"/>
    <w:rsid w:val="00175D03"/>
    <w:rsid w:val="00176391"/>
    <w:rsid w:val="00176670"/>
    <w:rsid w:val="00180982"/>
    <w:rsid w:val="00181EC6"/>
    <w:rsid w:val="001A2F34"/>
    <w:rsid w:val="001D4BB9"/>
    <w:rsid w:val="001D7B90"/>
    <w:rsid w:val="00200207"/>
    <w:rsid w:val="002220A6"/>
    <w:rsid w:val="00233D65"/>
    <w:rsid w:val="00237E4A"/>
    <w:rsid w:val="00241E30"/>
    <w:rsid w:val="00243435"/>
    <w:rsid w:val="00250ABB"/>
    <w:rsid w:val="002600FA"/>
    <w:rsid w:val="00260C07"/>
    <w:rsid w:val="00276808"/>
    <w:rsid w:val="0027708A"/>
    <w:rsid w:val="0028549D"/>
    <w:rsid w:val="002879E8"/>
    <w:rsid w:val="00294EB4"/>
    <w:rsid w:val="002A0C56"/>
    <w:rsid w:val="002A40CC"/>
    <w:rsid w:val="002A5EE7"/>
    <w:rsid w:val="002A6ACD"/>
    <w:rsid w:val="002B4220"/>
    <w:rsid w:val="002B4A1D"/>
    <w:rsid w:val="002B6DFB"/>
    <w:rsid w:val="002B7C7E"/>
    <w:rsid w:val="002C7E70"/>
    <w:rsid w:val="002D0489"/>
    <w:rsid w:val="002E05BD"/>
    <w:rsid w:val="002E0DEB"/>
    <w:rsid w:val="002E2C94"/>
    <w:rsid w:val="002E5E5E"/>
    <w:rsid w:val="002F1E80"/>
    <w:rsid w:val="003005C5"/>
    <w:rsid w:val="00304145"/>
    <w:rsid w:val="00307E70"/>
    <w:rsid w:val="00311A8F"/>
    <w:rsid w:val="00330578"/>
    <w:rsid w:val="00330DF8"/>
    <w:rsid w:val="00337642"/>
    <w:rsid w:val="00337E86"/>
    <w:rsid w:val="003407E9"/>
    <w:rsid w:val="00347613"/>
    <w:rsid w:val="003536DC"/>
    <w:rsid w:val="0035380A"/>
    <w:rsid w:val="0035705B"/>
    <w:rsid w:val="00357784"/>
    <w:rsid w:val="00357E35"/>
    <w:rsid w:val="003607A6"/>
    <w:rsid w:val="00361683"/>
    <w:rsid w:val="0036758D"/>
    <w:rsid w:val="003677B4"/>
    <w:rsid w:val="00370522"/>
    <w:rsid w:val="0037312F"/>
    <w:rsid w:val="0037421B"/>
    <w:rsid w:val="003755F4"/>
    <w:rsid w:val="00394B5F"/>
    <w:rsid w:val="003A5159"/>
    <w:rsid w:val="003B777D"/>
    <w:rsid w:val="003C1CFA"/>
    <w:rsid w:val="003D08E8"/>
    <w:rsid w:val="003D2506"/>
    <w:rsid w:val="003D6F96"/>
    <w:rsid w:val="003E1141"/>
    <w:rsid w:val="003E7EE3"/>
    <w:rsid w:val="004004A9"/>
    <w:rsid w:val="00401896"/>
    <w:rsid w:val="00405AC8"/>
    <w:rsid w:val="00417820"/>
    <w:rsid w:val="00422FB0"/>
    <w:rsid w:val="00435E09"/>
    <w:rsid w:val="00443D7B"/>
    <w:rsid w:val="0044799F"/>
    <w:rsid w:val="0046160F"/>
    <w:rsid w:val="004618A5"/>
    <w:rsid w:val="00464286"/>
    <w:rsid w:val="00476AB6"/>
    <w:rsid w:val="004917AF"/>
    <w:rsid w:val="004A1170"/>
    <w:rsid w:val="004A2A2B"/>
    <w:rsid w:val="004A5F11"/>
    <w:rsid w:val="004A7924"/>
    <w:rsid w:val="004C063B"/>
    <w:rsid w:val="004C2276"/>
    <w:rsid w:val="004D4BEA"/>
    <w:rsid w:val="004E0A52"/>
    <w:rsid w:val="004F211B"/>
    <w:rsid w:val="004F4C42"/>
    <w:rsid w:val="00505251"/>
    <w:rsid w:val="00506FE2"/>
    <w:rsid w:val="005129C3"/>
    <w:rsid w:val="00517E9A"/>
    <w:rsid w:val="00525395"/>
    <w:rsid w:val="0052742B"/>
    <w:rsid w:val="005503C6"/>
    <w:rsid w:val="00551E62"/>
    <w:rsid w:val="00553608"/>
    <w:rsid w:val="00554929"/>
    <w:rsid w:val="00557EF2"/>
    <w:rsid w:val="00560340"/>
    <w:rsid w:val="005625FD"/>
    <w:rsid w:val="00567001"/>
    <w:rsid w:val="00577F1F"/>
    <w:rsid w:val="00585718"/>
    <w:rsid w:val="005B28F9"/>
    <w:rsid w:val="005B5403"/>
    <w:rsid w:val="005D34A0"/>
    <w:rsid w:val="005E41B2"/>
    <w:rsid w:val="005E4E5C"/>
    <w:rsid w:val="005F316D"/>
    <w:rsid w:val="005F4DE1"/>
    <w:rsid w:val="006061AF"/>
    <w:rsid w:val="00607B6C"/>
    <w:rsid w:val="00607D38"/>
    <w:rsid w:val="006104B2"/>
    <w:rsid w:val="00616E27"/>
    <w:rsid w:val="006243BC"/>
    <w:rsid w:val="00625287"/>
    <w:rsid w:val="0063622E"/>
    <w:rsid w:val="00637711"/>
    <w:rsid w:val="00640784"/>
    <w:rsid w:val="00642B6A"/>
    <w:rsid w:val="00643925"/>
    <w:rsid w:val="00653547"/>
    <w:rsid w:val="0066471D"/>
    <w:rsid w:val="006657D1"/>
    <w:rsid w:val="00666FBF"/>
    <w:rsid w:val="00667CD6"/>
    <w:rsid w:val="006913E4"/>
    <w:rsid w:val="00697065"/>
    <w:rsid w:val="006A3659"/>
    <w:rsid w:val="006B2A40"/>
    <w:rsid w:val="006B5336"/>
    <w:rsid w:val="006D35E3"/>
    <w:rsid w:val="006D62FA"/>
    <w:rsid w:val="006F00A1"/>
    <w:rsid w:val="007029A9"/>
    <w:rsid w:val="007067FE"/>
    <w:rsid w:val="00713511"/>
    <w:rsid w:val="00714765"/>
    <w:rsid w:val="00715F21"/>
    <w:rsid w:val="0072353B"/>
    <w:rsid w:val="00731C82"/>
    <w:rsid w:val="00737129"/>
    <w:rsid w:val="0074122B"/>
    <w:rsid w:val="00747BF5"/>
    <w:rsid w:val="00751B4D"/>
    <w:rsid w:val="00752AE8"/>
    <w:rsid w:val="007553BE"/>
    <w:rsid w:val="00755826"/>
    <w:rsid w:val="00755F59"/>
    <w:rsid w:val="00760311"/>
    <w:rsid w:val="00761BD2"/>
    <w:rsid w:val="0076443A"/>
    <w:rsid w:val="00771D97"/>
    <w:rsid w:val="007724B6"/>
    <w:rsid w:val="00774C1A"/>
    <w:rsid w:val="00777A0D"/>
    <w:rsid w:val="00782083"/>
    <w:rsid w:val="0078471A"/>
    <w:rsid w:val="007A1013"/>
    <w:rsid w:val="007B1735"/>
    <w:rsid w:val="007B7CE3"/>
    <w:rsid w:val="007C3E0A"/>
    <w:rsid w:val="007C5B3F"/>
    <w:rsid w:val="007C72FB"/>
    <w:rsid w:val="007C771C"/>
    <w:rsid w:val="007C779E"/>
    <w:rsid w:val="007D22E3"/>
    <w:rsid w:val="007D7026"/>
    <w:rsid w:val="007E10D4"/>
    <w:rsid w:val="007E1E67"/>
    <w:rsid w:val="007E73BD"/>
    <w:rsid w:val="007F27F5"/>
    <w:rsid w:val="007F3179"/>
    <w:rsid w:val="00826F27"/>
    <w:rsid w:val="008307FE"/>
    <w:rsid w:val="00833DC9"/>
    <w:rsid w:val="00836741"/>
    <w:rsid w:val="00840FA4"/>
    <w:rsid w:val="008435FA"/>
    <w:rsid w:val="00843603"/>
    <w:rsid w:val="00844100"/>
    <w:rsid w:val="00850C3A"/>
    <w:rsid w:val="00882745"/>
    <w:rsid w:val="0089239F"/>
    <w:rsid w:val="00896CF0"/>
    <w:rsid w:val="008A3797"/>
    <w:rsid w:val="008A4E5D"/>
    <w:rsid w:val="008B7145"/>
    <w:rsid w:val="008D2774"/>
    <w:rsid w:val="008F2F98"/>
    <w:rsid w:val="008F41C5"/>
    <w:rsid w:val="008F6D4A"/>
    <w:rsid w:val="00901380"/>
    <w:rsid w:val="00902356"/>
    <w:rsid w:val="00906A3C"/>
    <w:rsid w:val="009102C1"/>
    <w:rsid w:val="009133C3"/>
    <w:rsid w:val="009138D7"/>
    <w:rsid w:val="009309EC"/>
    <w:rsid w:val="009402E6"/>
    <w:rsid w:val="0095667A"/>
    <w:rsid w:val="00963975"/>
    <w:rsid w:val="009729E7"/>
    <w:rsid w:val="00981C2F"/>
    <w:rsid w:val="00990ED5"/>
    <w:rsid w:val="0099690D"/>
    <w:rsid w:val="009B10DF"/>
    <w:rsid w:val="009B1E93"/>
    <w:rsid w:val="009B2F52"/>
    <w:rsid w:val="009C6DB4"/>
    <w:rsid w:val="009D00FB"/>
    <w:rsid w:val="009E356F"/>
    <w:rsid w:val="009E5611"/>
    <w:rsid w:val="009E5AF5"/>
    <w:rsid w:val="009E7E06"/>
    <w:rsid w:val="009F0027"/>
    <w:rsid w:val="00A012F0"/>
    <w:rsid w:val="00A014A3"/>
    <w:rsid w:val="00A02F67"/>
    <w:rsid w:val="00A13E98"/>
    <w:rsid w:val="00A14497"/>
    <w:rsid w:val="00A22D0E"/>
    <w:rsid w:val="00A257E3"/>
    <w:rsid w:val="00A34FBC"/>
    <w:rsid w:val="00A43EC0"/>
    <w:rsid w:val="00A47AFA"/>
    <w:rsid w:val="00A54471"/>
    <w:rsid w:val="00A616FB"/>
    <w:rsid w:val="00A64603"/>
    <w:rsid w:val="00A652AC"/>
    <w:rsid w:val="00A66675"/>
    <w:rsid w:val="00A708B1"/>
    <w:rsid w:val="00A80B52"/>
    <w:rsid w:val="00A94547"/>
    <w:rsid w:val="00AA013C"/>
    <w:rsid w:val="00AA2893"/>
    <w:rsid w:val="00AA3183"/>
    <w:rsid w:val="00AB00BD"/>
    <w:rsid w:val="00AB3F2D"/>
    <w:rsid w:val="00AB4BD7"/>
    <w:rsid w:val="00AC2529"/>
    <w:rsid w:val="00AC59BE"/>
    <w:rsid w:val="00AD0896"/>
    <w:rsid w:val="00AD0B9F"/>
    <w:rsid w:val="00AD5FD4"/>
    <w:rsid w:val="00AE0F1B"/>
    <w:rsid w:val="00AE2437"/>
    <w:rsid w:val="00AF2C79"/>
    <w:rsid w:val="00AF47B8"/>
    <w:rsid w:val="00B03E65"/>
    <w:rsid w:val="00B1090B"/>
    <w:rsid w:val="00B235EE"/>
    <w:rsid w:val="00B31A84"/>
    <w:rsid w:val="00B328FB"/>
    <w:rsid w:val="00B33652"/>
    <w:rsid w:val="00B362D7"/>
    <w:rsid w:val="00B40C91"/>
    <w:rsid w:val="00B41ECB"/>
    <w:rsid w:val="00B46731"/>
    <w:rsid w:val="00B50D7F"/>
    <w:rsid w:val="00B6776C"/>
    <w:rsid w:val="00B712CC"/>
    <w:rsid w:val="00B74CE1"/>
    <w:rsid w:val="00B8619C"/>
    <w:rsid w:val="00B86819"/>
    <w:rsid w:val="00B91704"/>
    <w:rsid w:val="00BA0A82"/>
    <w:rsid w:val="00BA10C3"/>
    <w:rsid w:val="00BA24C6"/>
    <w:rsid w:val="00BB4652"/>
    <w:rsid w:val="00BB57CB"/>
    <w:rsid w:val="00BC452C"/>
    <w:rsid w:val="00BE3923"/>
    <w:rsid w:val="00BE6AC8"/>
    <w:rsid w:val="00BE76BF"/>
    <w:rsid w:val="00BF3442"/>
    <w:rsid w:val="00BF3472"/>
    <w:rsid w:val="00C032F4"/>
    <w:rsid w:val="00C03FBF"/>
    <w:rsid w:val="00C05EB6"/>
    <w:rsid w:val="00C173E1"/>
    <w:rsid w:val="00C2000F"/>
    <w:rsid w:val="00C20143"/>
    <w:rsid w:val="00C23A3C"/>
    <w:rsid w:val="00C72FCE"/>
    <w:rsid w:val="00C831F8"/>
    <w:rsid w:val="00C83EDF"/>
    <w:rsid w:val="00C90C42"/>
    <w:rsid w:val="00C91CB5"/>
    <w:rsid w:val="00C93702"/>
    <w:rsid w:val="00C9497A"/>
    <w:rsid w:val="00CC57CD"/>
    <w:rsid w:val="00CE561C"/>
    <w:rsid w:val="00CF1C34"/>
    <w:rsid w:val="00CF4155"/>
    <w:rsid w:val="00CF4C53"/>
    <w:rsid w:val="00D0347F"/>
    <w:rsid w:val="00D04832"/>
    <w:rsid w:val="00D07D8F"/>
    <w:rsid w:val="00D10E69"/>
    <w:rsid w:val="00D12FEB"/>
    <w:rsid w:val="00D25BD2"/>
    <w:rsid w:val="00D25FC4"/>
    <w:rsid w:val="00D27AE8"/>
    <w:rsid w:val="00D37F72"/>
    <w:rsid w:val="00D45D14"/>
    <w:rsid w:val="00D46559"/>
    <w:rsid w:val="00D51979"/>
    <w:rsid w:val="00D5232E"/>
    <w:rsid w:val="00D54C29"/>
    <w:rsid w:val="00D55B1C"/>
    <w:rsid w:val="00D65E7C"/>
    <w:rsid w:val="00D66E97"/>
    <w:rsid w:val="00D76EE0"/>
    <w:rsid w:val="00D945B5"/>
    <w:rsid w:val="00DA5113"/>
    <w:rsid w:val="00DB00E1"/>
    <w:rsid w:val="00DB08F2"/>
    <w:rsid w:val="00DB192A"/>
    <w:rsid w:val="00DB1AD1"/>
    <w:rsid w:val="00DB5211"/>
    <w:rsid w:val="00DB7297"/>
    <w:rsid w:val="00DC10F5"/>
    <w:rsid w:val="00DC1C85"/>
    <w:rsid w:val="00DC3A95"/>
    <w:rsid w:val="00DC77C0"/>
    <w:rsid w:val="00DD36CC"/>
    <w:rsid w:val="00DD51EE"/>
    <w:rsid w:val="00DE5DA9"/>
    <w:rsid w:val="00E102D1"/>
    <w:rsid w:val="00E12FD5"/>
    <w:rsid w:val="00E15E4F"/>
    <w:rsid w:val="00E20714"/>
    <w:rsid w:val="00E317E0"/>
    <w:rsid w:val="00E3768B"/>
    <w:rsid w:val="00E42A80"/>
    <w:rsid w:val="00E446C6"/>
    <w:rsid w:val="00E54279"/>
    <w:rsid w:val="00E57EF7"/>
    <w:rsid w:val="00E73934"/>
    <w:rsid w:val="00E73A61"/>
    <w:rsid w:val="00E73BC6"/>
    <w:rsid w:val="00E74CA5"/>
    <w:rsid w:val="00E7701F"/>
    <w:rsid w:val="00E81E1F"/>
    <w:rsid w:val="00E87F36"/>
    <w:rsid w:val="00E87F90"/>
    <w:rsid w:val="00E94836"/>
    <w:rsid w:val="00EA49A2"/>
    <w:rsid w:val="00EB0FA7"/>
    <w:rsid w:val="00EB5E77"/>
    <w:rsid w:val="00EC238C"/>
    <w:rsid w:val="00EC6E7E"/>
    <w:rsid w:val="00ED075E"/>
    <w:rsid w:val="00ED251F"/>
    <w:rsid w:val="00F02CC0"/>
    <w:rsid w:val="00F21958"/>
    <w:rsid w:val="00F22C9D"/>
    <w:rsid w:val="00F22FCB"/>
    <w:rsid w:val="00F30CF9"/>
    <w:rsid w:val="00F31977"/>
    <w:rsid w:val="00F320BE"/>
    <w:rsid w:val="00F336E8"/>
    <w:rsid w:val="00F378A6"/>
    <w:rsid w:val="00F4707F"/>
    <w:rsid w:val="00F568E5"/>
    <w:rsid w:val="00F71C48"/>
    <w:rsid w:val="00F825B7"/>
    <w:rsid w:val="00F860C4"/>
    <w:rsid w:val="00FA28E9"/>
    <w:rsid w:val="00FA5B88"/>
    <w:rsid w:val="00FA6189"/>
    <w:rsid w:val="00FA7B73"/>
    <w:rsid w:val="00FB0145"/>
    <w:rsid w:val="00FB2184"/>
    <w:rsid w:val="00FB647C"/>
    <w:rsid w:val="00FC51F5"/>
    <w:rsid w:val="00FC54D4"/>
    <w:rsid w:val="00FD472D"/>
    <w:rsid w:val="00FD484A"/>
    <w:rsid w:val="00FD6D7D"/>
    <w:rsid w:val="00FD7B8D"/>
    <w:rsid w:val="00FE1133"/>
    <w:rsid w:val="00FE503D"/>
    <w:rsid w:val="00FE6860"/>
    <w:rsid w:val="00FE6FE8"/>
    <w:rsid w:val="00FF1461"/>
    <w:rsid w:val="00FF28D7"/>
    <w:rsid w:val="00FF3316"/>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0F42292"/>
  <w15:docId w15:val="{CF9D3F2D-C00F-4457-93BB-97D2A176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12,Style 39,Style 14,16 Point,Superscript 6 Point,Footnote Reference Number,Footnote Reference_LVL6,Footnote Reference_LVL61,Footnote Reference_LVL62,Footnote Reference_LVL63,Footnote Reference_LVL64"/>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PlainText">
    <w:name w:val="Plain Text"/>
    <w:basedOn w:val="Normal"/>
    <w:link w:val="PlainTextChar"/>
    <w:uiPriority w:val="99"/>
    <w:semiHidden/>
    <w:unhideWhenUsed/>
    <w:rsid w:val="00E54279"/>
    <w:rPr>
      <w:rFonts w:ascii="Consolas" w:hAnsi="Consolas"/>
      <w:sz w:val="21"/>
      <w:szCs w:val="21"/>
    </w:rPr>
  </w:style>
  <w:style w:type="character" w:customStyle="1" w:styleId="PlainTextChar">
    <w:name w:val="Plain Text Char"/>
    <w:basedOn w:val="DefaultParagraphFont"/>
    <w:link w:val="PlainText"/>
    <w:uiPriority w:val="99"/>
    <w:semiHidden/>
    <w:rsid w:val="00E54279"/>
    <w:rPr>
      <w:rFonts w:ascii="Consolas" w:hAnsi="Consolas"/>
      <w:sz w:val="21"/>
      <w:szCs w:val="21"/>
    </w:rPr>
  </w:style>
  <w:style w:type="paragraph" w:styleId="ListParagraph">
    <w:name w:val="List Paragraph"/>
    <w:basedOn w:val="Normal"/>
    <w:uiPriority w:val="34"/>
    <w:qFormat/>
    <w:rsid w:val="009E356F"/>
    <w:pPr>
      <w:ind w:left="720"/>
      <w:contextualSpacing/>
    </w:pPr>
  </w:style>
  <w:style w:type="character" w:styleId="Hyperlink">
    <w:name w:val="Hyperlink"/>
    <w:basedOn w:val="DefaultParagraphFont"/>
    <w:uiPriority w:val="99"/>
    <w:unhideWhenUsed/>
    <w:rsid w:val="00FD472D"/>
    <w:rPr>
      <w:color w:val="0000FF"/>
      <w:u w:val="single"/>
    </w:rPr>
  </w:style>
  <w:style w:type="paragraph" w:styleId="NormalWeb">
    <w:name w:val="Normal (Web)"/>
    <w:basedOn w:val="Normal"/>
    <w:uiPriority w:val="99"/>
    <w:semiHidden/>
    <w:unhideWhenUsed/>
    <w:rsid w:val="00FD472D"/>
    <w:rPr>
      <w:rFonts w:cs="Times New Roman"/>
      <w:szCs w:val="24"/>
    </w:rPr>
  </w:style>
  <w:style w:type="table" w:customStyle="1" w:styleId="TableGrid1">
    <w:name w:val="Table Grid1"/>
    <w:basedOn w:val="TableNormal"/>
    <w:next w:val="TableGrid"/>
    <w:uiPriority w:val="59"/>
    <w:rsid w:val="00731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31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E77"/>
    <w:rPr>
      <w:color w:val="800080" w:themeColor="followedHyperlink"/>
      <w:u w:val="single"/>
    </w:rPr>
  </w:style>
  <w:style w:type="paragraph" w:styleId="Revision">
    <w:name w:val="Revision"/>
    <w:hidden/>
    <w:uiPriority w:val="99"/>
    <w:semiHidden/>
    <w:rsid w:val="00A47AF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210575">
      <w:bodyDiv w:val="1"/>
      <w:marLeft w:val="0"/>
      <w:marRight w:val="0"/>
      <w:marTop w:val="0"/>
      <w:marBottom w:val="0"/>
      <w:divBdr>
        <w:top w:val="none" w:sz="0" w:space="0" w:color="auto"/>
        <w:left w:val="none" w:sz="0" w:space="0" w:color="auto"/>
        <w:bottom w:val="none" w:sz="0" w:space="0" w:color="auto"/>
        <w:right w:val="none" w:sz="0" w:space="0" w:color="auto"/>
      </w:divBdr>
    </w:div>
    <w:div w:id="1408722913">
      <w:bodyDiv w:val="1"/>
      <w:marLeft w:val="0"/>
      <w:marRight w:val="0"/>
      <w:marTop w:val="0"/>
      <w:marBottom w:val="0"/>
      <w:divBdr>
        <w:top w:val="none" w:sz="0" w:space="0" w:color="auto"/>
        <w:left w:val="none" w:sz="0" w:space="0" w:color="auto"/>
        <w:bottom w:val="none" w:sz="0" w:space="0" w:color="auto"/>
        <w:right w:val="none" w:sz="0" w:space="0" w:color="auto"/>
      </w:divBdr>
    </w:div>
    <w:div w:id="145374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8F8C64E8EF5D4F838F827AA9BAC992" ma:contentTypeVersion="0" ma:contentTypeDescription="Create a new document." ma:contentTypeScope="" ma:versionID="58eccbbde2b8734d5698cba15988f96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67CBB-B949-4A71-ACFE-8DD0396879C0}">
  <ds:schemaRef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8A6830F-4055-49A1-B980-1416E748F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50A2B3-3350-4B41-ADD8-BDF7822C5EEB}">
  <ds:schemaRefs>
    <ds:schemaRef ds:uri="http://schemas.microsoft.com/sharepoint/v3/contenttype/forms"/>
  </ds:schemaRefs>
</ds:datastoreItem>
</file>

<file path=customXml/itemProps4.xml><?xml version="1.0" encoding="utf-8"?>
<ds:datastoreItem xmlns:ds="http://schemas.openxmlformats.org/officeDocument/2006/customXml" ds:itemID="{98985024-2D9F-4D8B-938C-E609DBADB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2857</Words>
  <Characters>16287</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WMcobb</dc:creator>
  <cp:keywords>PRA Blank</cp:keywords>
  <cp:lastModifiedBy>OGC-HC</cp:lastModifiedBy>
  <cp:revision>2</cp:revision>
  <cp:lastPrinted>2020-03-04T15:42:00Z</cp:lastPrinted>
  <dcterms:created xsi:type="dcterms:W3CDTF">2020-11-19T17:00:00Z</dcterms:created>
  <dcterms:modified xsi:type="dcterms:W3CDTF">2020-11-19T17:00:00Z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0x0101004A8F8C64E8EF5D4F838F827AA9BAC992</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2268;#PRA Blank|bbbd82c5-0437-4006-80e0-1ee767fc1cab</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