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1CC6" w:rsidR="00527B1F" w:rsidP="005E0F5C" w:rsidRDefault="00527B1F" w14:paraId="6F62FF1A" w14:textId="77777777">
      <w:pPr>
        <w:pStyle w:val="BodyText"/>
        <w:jc w:val="center"/>
        <w:rPr>
          <w:b/>
          <w:szCs w:val="24"/>
        </w:rPr>
      </w:pPr>
      <w:bookmarkStart w:name="_GoBack" w:id="0"/>
      <w:bookmarkEnd w:id="0"/>
    </w:p>
    <w:p w:rsidRPr="003D1CC6" w:rsidR="005E0F5C" w:rsidP="005E0F5C" w:rsidRDefault="005E0F5C" w14:paraId="43E17790" w14:textId="77777777">
      <w:pPr>
        <w:pStyle w:val="BodyText"/>
        <w:jc w:val="center"/>
        <w:rPr>
          <w:b/>
          <w:szCs w:val="24"/>
        </w:rPr>
      </w:pPr>
      <w:r w:rsidRPr="003D1CC6">
        <w:rPr>
          <w:b/>
          <w:szCs w:val="24"/>
        </w:rPr>
        <w:t>SUPPORTING STATEMENT</w:t>
      </w:r>
    </w:p>
    <w:p w:rsidRPr="003D1CC6" w:rsidR="00CF5DA5" w:rsidP="005E0F5C" w:rsidRDefault="00CF5DA5" w14:paraId="3BB4B78A" w14:textId="77777777">
      <w:pPr>
        <w:pStyle w:val="BodyText"/>
        <w:jc w:val="center"/>
        <w:rPr>
          <w:b/>
          <w:szCs w:val="24"/>
        </w:rPr>
      </w:pPr>
    </w:p>
    <w:p w:rsidRPr="003D1CC6" w:rsidR="005E0F5C" w:rsidP="005E0F5C" w:rsidRDefault="00CF5DA5" w14:paraId="1EF1F603" w14:textId="77777777">
      <w:pPr>
        <w:pStyle w:val="BodyText"/>
        <w:rPr>
          <w:b/>
          <w:szCs w:val="24"/>
        </w:rPr>
      </w:pPr>
      <w:r w:rsidRPr="003D1CC6">
        <w:rPr>
          <w:b/>
          <w:szCs w:val="24"/>
        </w:rPr>
        <w:t xml:space="preserve">A.  </w:t>
      </w:r>
      <w:r w:rsidRPr="001430AD">
        <w:rPr>
          <w:b/>
          <w:szCs w:val="24"/>
          <w:u w:val="single"/>
        </w:rPr>
        <w:t>Justification:</w:t>
      </w:r>
    </w:p>
    <w:p w:rsidRPr="003D1CC6" w:rsidR="003E4AE2" w:rsidP="003E4AE2" w:rsidRDefault="003E4AE2" w14:paraId="43779281" w14:textId="77777777">
      <w:pPr>
        <w:pStyle w:val="Default"/>
      </w:pPr>
    </w:p>
    <w:p w:rsidRPr="003D1CC6" w:rsidR="003E4AE2" w:rsidP="001430AD" w:rsidRDefault="003E4AE2" w14:paraId="5D3C284B" w14:textId="77777777">
      <w:pPr>
        <w:pStyle w:val="BodyText"/>
        <w:jc w:val="both"/>
        <w:rPr>
          <w:szCs w:val="24"/>
        </w:rPr>
      </w:pPr>
      <w:r w:rsidRPr="003D1CC6">
        <w:rPr>
          <w:b/>
          <w:bCs/>
          <w:szCs w:val="24"/>
        </w:rPr>
        <w:t>1. Explain in detail the circumstances that make the collection of information necessary. Identify any legal or administrative requirements that necessitate the collection. Provide a copy of the appropriate section of each statu</w:t>
      </w:r>
      <w:r w:rsidR="00635324">
        <w:rPr>
          <w:b/>
          <w:bCs/>
          <w:szCs w:val="24"/>
        </w:rPr>
        <w:t>t</w:t>
      </w:r>
      <w:r w:rsidRPr="003D1CC6">
        <w:rPr>
          <w:b/>
          <w:bCs/>
          <w:szCs w:val="24"/>
        </w:rPr>
        <w:t xml:space="preserve">e and regulation mandating or authorizing the information collection. </w:t>
      </w:r>
      <w:r w:rsidRPr="003D1CC6" w:rsidR="00F85AEA">
        <w:rPr>
          <w:szCs w:val="24"/>
        </w:rPr>
        <w:t xml:space="preserve">  </w:t>
      </w:r>
    </w:p>
    <w:p w:rsidRPr="003D1CC6" w:rsidR="003E4AE2" w:rsidP="003D1CC6" w:rsidRDefault="003E4AE2" w14:paraId="67E29F62" w14:textId="77777777">
      <w:pPr>
        <w:pStyle w:val="BodyText"/>
        <w:jc w:val="both"/>
        <w:rPr>
          <w:szCs w:val="24"/>
          <w:u w:val="single"/>
        </w:rPr>
      </w:pPr>
    </w:p>
    <w:p w:rsidRPr="00502457" w:rsidR="00BB10CE" w:rsidP="003D1CC6" w:rsidRDefault="003E4AE2" w14:paraId="7C096025" w14:textId="77777777">
      <w:pPr>
        <w:pStyle w:val="ParaNum"/>
        <w:numPr>
          <w:ilvl w:val="0"/>
          <w:numId w:val="0"/>
        </w:numPr>
        <w:jc w:val="both"/>
        <w:rPr>
          <w:sz w:val="24"/>
          <w:szCs w:val="24"/>
        </w:rPr>
      </w:pPr>
      <w:r w:rsidRPr="003D1CC6">
        <w:rPr>
          <w:sz w:val="24"/>
          <w:szCs w:val="24"/>
        </w:rPr>
        <w:t xml:space="preserve">The Commission is requesting Office of Management and Budget (OMB) approval for a revision of this information collection.  </w:t>
      </w:r>
      <w:r w:rsidR="00BB10CE">
        <w:rPr>
          <w:sz w:val="24"/>
          <w:szCs w:val="24"/>
        </w:rPr>
        <w:t>T</w:t>
      </w:r>
      <w:r w:rsidRPr="003D1CC6" w:rsidR="0008615A">
        <w:rPr>
          <w:sz w:val="24"/>
          <w:szCs w:val="24"/>
        </w:rPr>
        <w:t>he</w:t>
      </w:r>
      <w:r w:rsidRPr="003D1CC6">
        <w:rPr>
          <w:sz w:val="24"/>
          <w:szCs w:val="24"/>
        </w:rPr>
        <w:t xml:space="preserve"> </w:t>
      </w:r>
      <w:r w:rsidR="00BB10CE">
        <w:rPr>
          <w:sz w:val="24"/>
          <w:szCs w:val="24"/>
        </w:rPr>
        <w:t>December 2019</w:t>
      </w:r>
      <w:r w:rsidRPr="003D1CC6" w:rsidR="00BB10CE">
        <w:rPr>
          <w:sz w:val="24"/>
          <w:szCs w:val="24"/>
        </w:rPr>
        <w:t xml:space="preserve"> </w:t>
      </w:r>
      <w:r w:rsidR="00033D51">
        <w:rPr>
          <w:sz w:val="24"/>
          <w:szCs w:val="24"/>
        </w:rPr>
        <w:t>radiofrequency (</w:t>
      </w:r>
      <w:r w:rsidRPr="003D1CC6">
        <w:rPr>
          <w:sz w:val="24"/>
          <w:szCs w:val="24"/>
        </w:rPr>
        <w:t>RF</w:t>
      </w:r>
      <w:r w:rsidR="00033D51">
        <w:rPr>
          <w:sz w:val="24"/>
          <w:szCs w:val="24"/>
        </w:rPr>
        <w:t>)</w:t>
      </w:r>
      <w:r w:rsidRPr="003D1CC6" w:rsidR="00926018">
        <w:rPr>
          <w:sz w:val="24"/>
          <w:szCs w:val="24"/>
        </w:rPr>
        <w:t xml:space="preserve"> </w:t>
      </w:r>
      <w:r w:rsidR="00033D51">
        <w:rPr>
          <w:sz w:val="24"/>
          <w:szCs w:val="24"/>
        </w:rPr>
        <w:t>e</w:t>
      </w:r>
      <w:r w:rsidRPr="003D1CC6" w:rsidR="00926018">
        <w:rPr>
          <w:sz w:val="24"/>
          <w:szCs w:val="24"/>
        </w:rPr>
        <w:t>xposure Second Report and Order</w:t>
      </w:r>
      <w:r w:rsidRPr="003D1CC6" w:rsidR="0008615A">
        <w:rPr>
          <w:sz w:val="24"/>
          <w:szCs w:val="24"/>
        </w:rPr>
        <w:t xml:space="preserve">, ET Docket </w:t>
      </w:r>
      <w:r w:rsidRPr="003D1CC6" w:rsidR="00926018">
        <w:rPr>
          <w:sz w:val="24"/>
          <w:szCs w:val="24"/>
        </w:rPr>
        <w:t>Nos. 03-137 and 13-184</w:t>
      </w:r>
      <w:r w:rsidRPr="003D1CC6" w:rsidR="0008615A">
        <w:rPr>
          <w:sz w:val="24"/>
          <w:szCs w:val="24"/>
        </w:rPr>
        <w:t>, FCC 19-</w:t>
      </w:r>
      <w:r w:rsidRPr="003D1CC6" w:rsidR="00926018">
        <w:rPr>
          <w:sz w:val="24"/>
          <w:szCs w:val="24"/>
        </w:rPr>
        <w:t>126</w:t>
      </w:r>
      <w:r w:rsidR="00BB10CE">
        <w:rPr>
          <w:sz w:val="24"/>
          <w:szCs w:val="24"/>
        </w:rPr>
        <w:t xml:space="preserve">, included amendments to rule sections 1.1307, 2.1091, and 2.1093 requiring </w:t>
      </w:r>
      <w:r w:rsidRPr="00BB10CE" w:rsidR="00BB10CE">
        <w:rPr>
          <w:sz w:val="24"/>
          <w:szCs w:val="24"/>
        </w:rPr>
        <w:t xml:space="preserve">approval by </w:t>
      </w:r>
      <w:r w:rsidR="00EC2F77">
        <w:rPr>
          <w:sz w:val="24"/>
          <w:szCs w:val="24"/>
        </w:rPr>
        <w:t>OMB</w:t>
      </w:r>
      <w:r w:rsidRPr="00BB10CE" w:rsidR="00BB10CE">
        <w:rPr>
          <w:sz w:val="24"/>
          <w:szCs w:val="24"/>
        </w:rPr>
        <w:t xml:space="preserve"> under the Paperwork </w:t>
      </w:r>
      <w:r w:rsidRPr="00502457" w:rsidR="00BB10CE">
        <w:rPr>
          <w:sz w:val="24"/>
          <w:szCs w:val="24"/>
        </w:rPr>
        <w:t>Reduction Act</w:t>
      </w:r>
      <w:r w:rsidRPr="00502457" w:rsidR="0008615A">
        <w:rPr>
          <w:sz w:val="24"/>
          <w:szCs w:val="24"/>
        </w:rPr>
        <w:t xml:space="preserve">.  </w:t>
      </w:r>
      <w:r w:rsidRPr="00502457" w:rsidR="00BB10CE">
        <w:rPr>
          <w:sz w:val="24"/>
          <w:szCs w:val="24"/>
        </w:rPr>
        <w:t xml:space="preserve">Revision to </w:t>
      </w:r>
      <w:bookmarkStart w:name="_Hlk43896067" w:id="1"/>
      <w:r w:rsidRPr="00502457" w:rsidR="00BB10CE">
        <w:rPr>
          <w:sz w:val="24"/>
          <w:szCs w:val="24"/>
        </w:rPr>
        <w:t>i</w:t>
      </w:r>
      <w:r w:rsidRPr="001C7D54" w:rsidR="00BB10CE">
        <w:rPr>
          <w:sz w:val="24"/>
          <w:szCs w:val="24"/>
        </w:rPr>
        <w:t xml:space="preserve">nformation collection </w:t>
      </w:r>
      <w:r w:rsidR="00635324">
        <w:rPr>
          <w:sz w:val="24"/>
          <w:szCs w:val="24"/>
        </w:rPr>
        <w:t>e</w:t>
      </w:r>
      <w:r w:rsidR="00EC2F77">
        <w:rPr>
          <w:sz w:val="24"/>
          <w:szCs w:val="24"/>
        </w:rPr>
        <w:t>ffected by amendments to</w:t>
      </w:r>
      <w:r w:rsidRPr="00502457" w:rsidR="00BB10CE">
        <w:rPr>
          <w:sz w:val="24"/>
          <w:szCs w:val="24"/>
        </w:rPr>
        <w:t xml:space="preserve"> rule section</w:t>
      </w:r>
      <w:r w:rsidR="00BB10CE">
        <w:rPr>
          <w:sz w:val="24"/>
          <w:szCs w:val="24"/>
        </w:rPr>
        <w:t xml:space="preserve"> 1.1307 is reported herein</w:t>
      </w:r>
      <w:bookmarkEnd w:id="1"/>
      <w:r w:rsidR="00BB10CE">
        <w:rPr>
          <w:sz w:val="24"/>
          <w:szCs w:val="24"/>
        </w:rPr>
        <w:t xml:space="preserve">.  </w:t>
      </w:r>
      <w:r w:rsidRPr="00E30D55" w:rsidR="00BB10CE">
        <w:rPr>
          <w:sz w:val="24"/>
          <w:szCs w:val="24"/>
        </w:rPr>
        <w:t xml:space="preserve">Revision to information collection </w:t>
      </w:r>
      <w:r w:rsidR="00635324">
        <w:rPr>
          <w:sz w:val="24"/>
          <w:szCs w:val="24"/>
        </w:rPr>
        <w:t>e</w:t>
      </w:r>
      <w:r w:rsidR="00EC2F77">
        <w:rPr>
          <w:sz w:val="24"/>
          <w:szCs w:val="24"/>
        </w:rPr>
        <w:t>ffected by amendments to</w:t>
      </w:r>
      <w:r w:rsidRPr="00E30D55" w:rsidR="00BB10CE">
        <w:rPr>
          <w:sz w:val="24"/>
          <w:szCs w:val="24"/>
        </w:rPr>
        <w:t xml:space="preserve"> rule sectio</w:t>
      </w:r>
      <w:r w:rsidR="00BB10CE">
        <w:rPr>
          <w:sz w:val="24"/>
          <w:szCs w:val="24"/>
        </w:rPr>
        <w:t>n</w:t>
      </w:r>
      <w:r w:rsidRPr="00502457" w:rsidR="00BB10CE">
        <w:rPr>
          <w:sz w:val="24"/>
          <w:szCs w:val="24"/>
        </w:rPr>
        <w:t xml:space="preserve">s 2.1091 and 2.1093 is </w:t>
      </w:r>
      <w:r w:rsidRPr="001430AD" w:rsidR="00BB10CE">
        <w:rPr>
          <w:sz w:val="24"/>
          <w:szCs w:val="24"/>
        </w:rPr>
        <w:t>reported separately under OMB 3060-0057.</w:t>
      </w:r>
    </w:p>
    <w:p w:rsidR="0008615A" w:rsidP="003D1CC6" w:rsidRDefault="00BB10CE" w14:paraId="0EBA5AB7" w14:textId="77777777">
      <w:pPr>
        <w:pStyle w:val="ParaNum"/>
        <w:numPr>
          <w:ilvl w:val="0"/>
          <w:numId w:val="0"/>
        </w:numPr>
        <w:jc w:val="both"/>
        <w:rPr>
          <w:sz w:val="24"/>
          <w:szCs w:val="24"/>
        </w:rPr>
      </w:pPr>
      <w:r w:rsidRPr="001C7D54">
        <w:rPr>
          <w:sz w:val="24"/>
          <w:szCs w:val="24"/>
        </w:rPr>
        <w:t>In amendme</w:t>
      </w:r>
      <w:r>
        <w:rPr>
          <w:sz w:val="24"/>
          <w:szCs w:val="24"/>
        </w:rPr>
        <w:t>nts to rule section 1.1307, t</w:t>
      </w:r>
      <w:r w:rsidRPr="003D1CC6" w:rsidR="0008615A">
        <w:rPr>
          <w:sz w:val="24"/>
          <w:szCs w:val="24"/>
        </w:rPr>
        <w:t xml:space="preserve">he Commission revised </w:t>
      </w:r>
      <w:r w:rsidRPr="003D1CC6" w:rsidR="00926018">
        <w:rPr>
          <w:sz w:val="24"/>
          <w:szCs w:val="24"/>
        </w:rPr>
        <w:t>its</w:t>
      </w:r>
      <w:r w:rsidRPr="003D1CC6" w:rsidR="0008615A">
        <w:rPr>
          <w:sz w:val="24"/>
          <w:szCs w:val="24"/>
        </w:rPr>
        <w:t xml:space="preserve"> implementing rules to reflect modern technology and today’s uses.  We streamline</w:t>
      </w:r>
      <w:r w:rsidRPr="003D1CC6" w:rsidR="00926018">
        <w:rPr>
          <w:sz w:val="24"/>
          <w:szCs w:val="24"/>
        </w:rPr>
        <w:t>d</w:t>
      </w:r>
      <w:r w:rsidRPr="003D1CC6" w:rsidR="0008615A">
        <w:rPr>
          <w:sz w:val="24"/>
          <w:szCs w:val="24"/>
        </w:rPr>
        <w:t xml:space="preserve"> </w:t>
      </w:r>
      <w:r w:rsidRPr="003D1CC6" w:rsidR="00926018">
        <w:rPr>
          <w:sz w:val="24"/>
          <w:szCs w:val="24"/>
        </w:rPr>
        <w:t>the</w:t>
      </w:r>
      <w:r w:rsidRPr="003D1CC6" w:rsidR="0008615A">
        <w:rPr>
          <w:sz w:val="24"/>
          <w:szCs w:val="24"/>
        </w:rPr>
        <w:t xml:space="preserve"> criteria for determining when a</w:t>
      </w:r>
      <w:r w:rsidR="00B61EC7">
        <w:rPr>
          <w:sz w:val="24"/>
          <w:szCs w:val="24"/>
        </w:rPr>
        <w:t>n applicant or</w:t>
      </w:r>
      <w:r w:rsidRPr="003D1CC6" w:rsidR="0008615A">
        <w:rPr>
          <w:sz w:val="24"/>
          <w:szCs w:val="24"/>
        </w:rPr>
        <w:t xml:space="preserve"> licensee is exempt from our RF exposure evaluation criteria</w:t>
      </w:r>
      <w:r w:rsidR="00565D7C">
        <w:rPr>
          <w:sz w:val="24"/>
          <w:szCs w:val="24"/>
        </w:rPr>
        <w:t xml:space="preserve"> by </w:t>
      </w:r>
      <w:r w:rsidRPr="003D1CC6" w:rsidR="0008615A">
        <w:rPr>
          <w:sz w:val="24"/>
          <w:szCs w:val="24"/>
        </w:rPr>
        <w:t>replacing service-based exemptions with a formula</w:t>
      </w:r>
      <w:r w:rsidR="00E93EBC">
        <w:rPr>
          <w:sz w:val="24"/>
          <w:szCs w:val="24"/>
        </w:rPr>
        <w:t>-based approach</w:t>
      </w:r>
      <w:r w:rsidRPr="003D1CC6" w:rsidR="0008615A">
        <w:rPr>
          <w:sz w:val="24"/>
          <w:szCs w:val="24"/>
        </w:rPr>
        <w:t xml:space="preserve">.  For those </w:t>
      </w:r>
      <w:r w:rsidR="00B61EC7">
        <w:rPr>
          <w:sz w:val="24"/>
          <w:szCs w:val="24"/>
        </w:rPr>
        <w:t xml:space="preserve">applicants and </w:t>
      </w:r>
      <w:r w:rsidRPr="003D1CC6" w:rsidR="0008615A">
        <w:rPr>
          <w:sz w:val="24"/>
          <w:szCs w:val="24"/>
        </w:rPr>
        <w:t>licensees who do not qualify for an exemption, we provide</w:t>
      </w:r>
      <w:r w:rsidRPr="003D1CC6" w:rsidR="00926018">
        <w:rPr>
          <w:sz w:val="24"/>
          <w:szCs w:val="24"/>
        </w:rPr>
        <w:t>d</w:t>
      </w:r>
      <w:r w:rsidRPr="003D1CC6" w:rsidR="0008615A">
        <w:rPr>
          <w:sz w:val="24"/>
          <w:szCs w:val="24"/>
        </w:rPr>
        <w:t xml:space="preserve"> more flexibility to establish compliance with our RF exposure limits.  </w:t>
      </w:r>
      <w:r w:rsidR="00173B30">
        <w:rPr>
          <w:sz w:val="24"/>
          <w:szCs w:val="24"/>
        </w:rPr>
        <w:t>W</w:t>
      </w:r>
      <w:r w:rsidRPr="003D1CC6" w:rsidR="0008615A">
        <w:rPr>
          <w:sz w:val="24"/>
          <w:szCs w:val="24"/>
        </w:rPr>
        <w:t xml:space="preserve">e </w:t>
      </w:r>
      <w:r w:rsidR="00173B30">
        <w:rPr>
          <w:sz w:val="24"/>
          <w:szCs w:val="24"/>
        </w:rPr>
        <w:t xml:space="preserve">also </w:t>
      </w:r>
      <w:r w:rsidRPr="003D1CC6" w:rsidR="0008615A">
        <w:rPr>
          <w:sz w:val="24"/>
          <w:szCs w:val="24"/>
        </w:rPr>
        <w:t>specif</w:t>
      </w:r>
      <w:r w:rsidRPr="003D1CC6" w:rsidR="00926018">
        <w:rPr>
          <w:sz w:val="24"/>
          <w:szCs w:val="24"/>
        </w:rPr>
        <w:t>ied</w:t>
      </w:r>
      <w:r w:rsidRPr="003D1CC6" w:rsidR="0008615A">
        <w:rPr>
          <w:sz w:val="24"/>
          <w:szCs w:val="24"/>
        </w:rPr>
        <w:t xml:space="preserve"> methods that RF equipment operators can use to mitigate the risk of excess exposure, both to members of the public and trained workers (such as training, supervision, and signage).  </w:t>
      </w:r>
      <w:r w:rsidRPr="00173B30" w:rsidR="00173B30">
        <w:rPr>
          <w:sz w:val="24"/>
          <w:szCs w:val="24"/>
        </w:rPr>
        <w:t>The amended rules provide more efficient, practical, and consistent RF exposure evaluation procedures and mitigation measures to help ensure compliance with the existing RF exposure limits.</w:t>
      </w:r>
    </w:p>
    <w:p w:rsidR="00635324" w:rsidP="00F76A07" w:rsidRDefault="00D8427A" w14:paraId="1E36C7EB" w14:textId="093AC574">
      <w:pPr>
        <w:pStyle w:val="ParaNum"/>
        <w:numPr>
          <w:ilvl w:val="0"/>
          <w:numId w:val="0"/>
        </w:numPr>
        <w:jc w:val="both"/>
        <w:rPr>
          <w:sz w:val="24"/>
          <w:szCs w:val="24"/>
        </w:rPr>
      </w:pPr>
      <w:r>
        <w:rPr>
          <w:sz w:val="24"/>
          <w:szCs w:val="24"/>
        </w:rPr>
        <w:t>M</w:t>
      </w:r>
      <w:r w:rsidR="00D97EE0">
        <w:rPr>
          <w:sz w:val="24"/>
          <w:szCs w:val="24"/>
        </w:rPr>
        <w:t xml:space="preserve">ost of the changes to rule section 1.1307 </w:t>
      </w:r>
      <w:r>
        <w:rPr>
          <w:sz w:val="24"/>
          <w:szCs w:val="24"/>
        </w:rPr>
        <w:t>represent</w:t>
      </w:r>
      <w:r w:rsidR="00D97EE0">
        <w:rPr>
          <w:sz w:val="24"/>
          <w:szCs w:val="24"/>
        </w:rPr>
        <w:t xml:space="preserve"> clarification or simplification of existing requirements and are not expected to significant</w:t>
      </w:r>
      <w:r>
        <w:rPr>
          <w:sz w:val="24"/>
          <w:szCs w:val="24"/>
        </w:rPr>
        <w:t>ly</w:t>
      </w:r>
      <w:r w:rsidR="00D97EE0">
        <w:rPr>
          <w:sz w:val="24"/>
          <w:szCs w:val="24"/>
        </w:rPr>
        <w:t xml:space="preserve"> </w:t>
      </w:r>
      <w:r>
        <w:rPr>
          <w:sz w:val="24"/>
          <w:szCs w:val="24"/>
        </w:rPr>
        <w:t>increase or decrease</w:t>
      </w:r>
      <w:r w:rsidR="00D97EE0">
        <w:rPr>
          <w:sz w:val="24"/>
          <w:szCs w:val="24"/>
        </w:rPr>
        <w:t xml:space="preserve"> the estimated burden</w:t>
      </w:r>
      <w:r>
        <w:rPr>
          <w:sz w:val="24"/>
          <w:szCs w:val="24"/>
        </w:rPr>
        <w:t xml:space="preserve"> to respondents</w:t>
      </w:r>
      <w:r w:rsidR="00F90F52">
        <w:rPr>
          <w:sz w:val="24"/>
          <w:szCs w:val="24"/>
        </w:rPr>
        <w:t xml:space="preserve"> or to the Federal government</w:t>
      </w:r>
      <w:r w:rsidR="00D97EE0">
        <w:rPr>
          <w:sz w:val="24"/>
          <w:szCs w:val="24"/>
        </w:rPr>
        <w:t>.</w:t>
      </w:r>
      <w:r w:rsidR="00FC1332">
        <w:rPr>
          <w:sz w:val="24"/>
          <w:szCs w:val="24"/>
        </w:rPr>
        <w:t xml:space="preserve">  Some existing licensees will undergo a one-time burden as they transition to the new rules. </w:t>
      </w:r>
      <w:r w:rsidR="00E93EBC">
        <w:rPr>
          <w:i/>
          <w:iCs/>
          <w:sz w:val="24"/>
          <w:szCs w:val="24"/>
        </w:rPr>
        <w:t xml:space="preserve"> </w:t>
      </w:r>
      <w:r w:rsidRPr="00DD611F" w:rsidR="00E93EBC">
        <w:rPr>
          <w:sz w:val="24"/>
          <w:szCs w:val="24"/>
        </w:rPr>
        <w:t>Item</w:t>
      </w:r>
      <w:r w:rsidRPr="00DD611F" w:rsidR="00FC1332">
        <w:rPr>
          <w:sz w:val="24"/>
          <w:szCs w:val="24"/>
        </w:rPr>
        <w:t>s</w:t>
      </w:r>
      <w:r w:rsidR="00FC1332">
        <w:rPr>
          <w:sz w:val="24"/>
          <w:szCs w:val="24"/>
        </w:rPr>
        <w:t xml:space="preserve"> 12 through</w:t>
      </w:r>
      <w:r w:rsidR="00E93EBC">
        <w:rPr>
          <w:sz w:val="24"/>
          <w:szCs w:val="24"/>
        </w:rPr>
        <w:t xml:space="preserve"> 15, below, </w:t>
      </w:r>
      <w:r w:rsidR="00D066E0">
        <w:rPr>
          <w:sz w:val="24"/>
          <w:szCs w:val="24"/>
        </w:rPr>
        <w:t>address</w:t>
      </w:r>
      <w:r w:rsidR="00E93EBC">
        <w:rPr>
          <w:sz w:val="24"/>
          <w:szCs w:val="24"/>
        </w:rPr>
        <w:t xml:space="preserve"> those</w:t>
      </w:r>
      <w:r w:rsidR="00D066E0">
        <w:rPr>
          <w:sz w:val="24"/>
          <w:szCs w:val="24"/>
        </w:rPr>
        <w:t xml:space="preserve"> </w:t>
      </w:r>
      <w:r w:rsidR="00F90F52">
        <w:rPr>
          <w:sz w:val="24"/>
          <w:szCs w:val="24"/>
        </w:rPr>
        <w:t>components of the amended requirements that were not included in previous burden estimates</w:t>
      </w:r>
      <w:r w:rsidR="00D066E0">
        <w:rPr>
          <w:sz w:val="24"/>
          <w:szCs w:val="24"/>
        </w:rPr>
        <w:t xml:space="preserve">.  To update burden estimates </w:t>
      </w:r>
      <w:r w:rsidR="00F90F52">
        <w:rPr>
          <w:sz w:val="24"/>
          <w:szCs w:val="24"/>
        </w:rPr>
        <w:t xml:space="preserve">based on </w:t>
      </w:r>
      <w:r w:rsidR="00370261">
        <w:rPr>
          <w:sz w:val="24"/>
          <w:szCs w:val="24"/>
        </w:rPr>
        <w:t>the</w:t>
      </w:r>
      <w:r w:rsidR="00F56035">
        <w:rPr>
          <w:sz w:val="24"/>
          <w:szCs w:val="24"/>
        </w:rPr>
        <w:t xml:space="preserve"> </w:t>
      </w:r>
      <w:r w:rsidR="00F90F52">
        <w:rPr>
          <w:sz w:val="24"/>
          <w:szCs w:val="24"/>
        </w:rPr>
        <w:t>most recently available data</w:t>
      </w:r>
      <w:r>
        <w:rPr>
          <w:sz w:val="24"/>
          <w:szCs w:val="24"/>
        </w:rPr>
        <w:t>,</w:t>
      </w:r>
      <w:r w:rsidR="00173B30">
        <w:rPr>
          <w:sz w:val="24"/>
          <w:szCs w:val="24"/>
        </w:rPr>
        <w:t xml:space="preserve"> w</w:t>
      </w:r>
      <w:r w:rsidRPr="003D1CC6" w:rsidR="0008615A">
        <w:rPr>
          <w:sz w:val="24"/>
          <w:szCs w:val="24"/>
        </w:rPr>
        <w:t>e also</w:t>
      </w:r>
      <w:r w:rsidRPr="003D1CC6" w:rsidR="003E4AE2">
        <w:rPr>
          <w:sz w:val="24"/>
          <w:szCs w:val="24"/>
        </w:rPr>
        <w:t xml:space="preserve"> adjusted the total number of respondents/responses, the total annual hourly burden, and the total annual cost</w:t>
      </w:r>
      <w:r w:rsidR="00F90F52">
        <w:rPr>
          <w:sz w:val="24"/>
          <w:szCs w:val="24"/>
        </w:rPr>
        <w:t>s</w:t>
      </w:r>
      <w:r w:rsidRPr="003D1CC6" w:rsidR="003E4AE2">
        <w:rPr>
          <w:sz w:val="24"/>
          <w:szCs w:val="24"/>
        </w:rPr>
        <w:t xml:space="preserve"> from the previous estimates, based on licensing data for calendar year 20</w:t>
      </w:r>
      <w:r w:rsidRPr="003D1CC6" w:rsidR="0008615A">
        <w:rPr>
          <w:sz w:val="24"/>
          <w:szCs w:val="24"/>
        </w:rPr>
        <w:t>19</w:t>
      </w:r>
      <w:r w:rsidRPr="003D1CC6" w:rsidR="003E4AE2">
        <w:rPr>
          <w:sz w:val="24"/>
          <w:szCs w:val="24"/>
        </w:rPr>
        <w:t xml:space="preserve">. </w:t>
      </w:r>
    </w:p>
    <w:p w:rsidRPr="003D1CC6" w:rsidR="003D1CC6" w:rsidP="003D1CC6" w:rsidRDefault="003D1CC6" w14:paraId="36A04702" w14:textId="77777777">
      <w:pPr>
        <w:pStyle w:val="ParaNum"/>
        <w:numPr>
          <w:ilvl w:val="0"/>
          <w:numId w:val="0"/>
        </w:numPr>
        <w:jc w:val="both"/>
        <w:rPr>
          <w:sz w:val="24"/>
          <w:szCs w:val="24"/>
        </w:rPr>
      </w:pPr>
      <w:r>
        <w:rPr>
          <w:sz w:val="24"/>
          <w:szCs w:val="24"/>
        </w:rPr>
        <w:t xml:space="preserve">The </w:t>
      </w:r>
      <w:r w:rsidRPr="003D1CC6">
        <w:rPr>
          <w:sz w:val="24"/>
          <w:szCs w:val="24"/>
        </w:rPr>
        <w:t xml:space="preserve">latest RF </w:t>
      </w:r>
      <w:r w:rsidR="00BC3E62">
        <w:rPr>
          <w:sz w:val="24"/>
          <w:szCs w:val="24"/>
        </w:rPr>
        <w:t>e</w:t>
      </w:r>
      <w:r w:rsidRPr="003D1CC6">
        <w:rPr>
          <w:sz w:val="24"/>
          <w:szCs w:val="24"/>
        </w:rPr>
        <w:t>xposure Second Report and Order, ET Docket Nos. 03-137 and 13-184, FCC 19-126</w:t>
      </w:r>
      <w:r>
        <w:rPr>
          <w:sz w:val="24"/>
          <w:szCs w:val="24"/>
        </w:rPr>
        <w:t>, amended rule s</w:t>
      </w:r>
      <w:r w:rsidRPr="003D1CC6">
        <w:rPr>
          <w:sz w:val="24"/>
          <w:szCs w:val="24"/>
        </w:rPr>
        <w:t>ection 1.1307 by revising paragraph (b) to read as follows</w:t>
      </w:r>
      <w:r>
        <w:rPr>
          <w:sz w:val="24"/>
          <w:szCs w:val="24"/>
        </w:rPr>
        <w:t>:</w:t>
      </w:r>
    </w:p>
    <w:p w:rsidRPr="00D66ADC" w:rsidR="00D66ADC" w:rsidP="00D66ADC" w:rsidRDefault="00D66ADC" w14:paraId="3DD0D9E4" w14:textId="77777777">
      <w:pPr>
        <w:rPr>
          <w:rFonts w:ascii="Times New Roman" w:hAnsi="Times New Roman"/>
          <w:b/>
          <w:sz w:val="22"/>
          <w:szCs w:val="22"/>
        </w:rPr>
      </w:pPr>
      <w:bookmarkStart w:name="_Hlk44488358" w:id="2"/>
      <w:r w:rsidRPr="00D66ADC">
        <w:rPr>
          <w:rFonts w:ascii="Times New Roman" w:hAnsi="Times New Roman"/>
          <w:b/>
          <w:sz w:val="22"/>
          <w:szCs w:val="22"/>
        </w:rPr>
        <w:t>§ 1.1307   Actions that may have a significant environmental effect, for which Environmental Assessments (EA) must be prepared.</w:t>
      </w:r>
    </w:p>
    <w:p w:rsidRPr="00D66ADC" w:rsidR="00D66ADC" w:rsidP="00D66ADC" w:rsidRDefault="00D66ADC" w14:paraId="1043C238" w14:textId="77777777">
      <w:pPr>
        <w:suppressAutoHyphens/>
        <w:rPr>
          <w:rFonts w:ascii="Times New Roman" w:hAnsi="Times New Roman"/>
          <w:b/>
          <w:spacing w:val="-3"/>
          <w:sz w:val="22"/>
          <w:szCs w:val="22"/>
        </w:rPr>
      </w:pPr>
    </w:p>
    <w:p w:rsidRPr="00D66ADC" w:rsidR="00D66ADC" w:rsidP="00D66ADC" w:rsidRDefault="00D66ADC" w14:paraId="127E8F46" w14:textId="77777777">
      <w:pPr>
        <w:suppressAutoHyphens/>
        <w:rPr>
          <w:rFonts w:ascii="Times New Roman" w:hAnsi="Times New Roman"/>
          <w:spacing w:val="-3"/>
          <w:sz w:val="22"/>
          <w:szCs w:val="22"/>
        </w:rPr>
      </w:pPr>
      <w:r w:rsidRPr="00D66ADC">
        <w:rPr>
          <w:rFonts w:ascii="Times New Roman" w:hAnsi="Times New Roman"/>
          <w:sz w:val="22"/>
          <w:szCs w:val="22"/>
        </w:rPr>
        <w:t>*  *  *  *  *</w:t>
      </w:r>
    </w:p>
    <w:p w:rsidRPr="00D66ADC" w:rsidR="00D66ADC" w:rsidP="00D66ADC" w:rsidRDefault="00D66ADC" w14:paraId="1C4B3B5C" w14:textId="77777777">
      <w:pPr>
        <w:suppressAutoHyphens/>
        <w:rPr>
          <w:rFonts w:ascii="Times New Roman" w:hAnsi="Times New Roman"/>
          <w:spacing w:val="-3"/>
          <w:sz w:val="22"/>
          <w:szCs w:val="22"/>
        </w:rPr>
      </w:pPr>
    </w:p>
    <w:p w:rsidR="00C30C5C" w:rsidP="00D66ADC" w:rsidRDefault="00D66ADC" w14:paraId="0D31047A"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(b)(1)</w:t>
      </w:r>
      <w:r w:rsidR="00C30C5C">
        <w:rPr>
          <w:rFonts w:ascii="Times New Roman" w:hAnsi="Times New Roman"/>
          <w:spacing w:val="-3"/>
          <w:sz w:val="22"/>
          <w:szCs w:val="22"/>
        </w:rPr>
        <w:t xml:space="preserve"> </w:t>
      </w:r>
      <w:r w:rsidR="00C30C5C">
        <w:rPr>
          <w:rFonts w:ascii="Times New Roman" w:hAnsi="Times New Roman"/>
          <w:i/>
          <w:iCs/>
          <w:spacing w:val="-3"/>
          <w:sz w:val="22"/>
          <w:szCs w:val="22"/>
        </w:rPr>
        <w:t>Requirements.</w:t>
      </w:r>
      <w:r w:rsidR="00C30C5C">
        <w:rPr>
          <w:rFonts w:ascii="Times New Roman" w:hAnsi="Times New Roman"/>
          <w:spacing w:val="-3"/>
          <w:sz w:val="22"/>
          <w:szCs w:val="22"/>
        </w:rPr>
        <w:t xml:space="preserve"> (i)</w:t>
      </w:r>
      <w:r w:rsidRPr="00D66ADC">
        <w:rPr>
          <w:rFonts w:ascii="Times New Roman" w:hAnsi="Times New Roman"/>
          <w:spacing w:val="-3"/>
          <w:sz w:val="22"/>
          <w:szCs w:val="22"/>
        </w:rPr>
        <w:t xml:space="preserve"> With respect to the limits on human exposure to RF provided in Section 1.1310 of this chapter, applicants to the Commission for the grant or modification of construction permits, licenses or renewals thereof, temporary authorities, equipment authorizations, or any other authorizations for radiofrequency sources must either: </w:t>
      </w:r>
    </w:p>
    <w:p w:rsidR="00C30C5C" w:rsidP="00D66ADC" w:rsidRDefault="00C30C5C" w14:paraId="2C857DCF" w14:textId="77777777">
      <w:pPr>
        <w:suppressAutoHyphens/>
        <w:ind w:firstLine="360"/>
        <w:rPr>
          <w:rFonts w:ascii="Times New Roman" w:hAnsi="Times New Roman"/>
          <w:spacing w:val="-3"/>
          <w:sz w:val="22"/>
          <w:szCs w:val="22"/>
        </w:rPr>
      </w:pPr>
    </w:p>
    <w:p w:rsidR="00C30C5C" w:rsidP="00D66ADC" w:rsidRDefault="00D66ADC" w14:paraId="18383E9A"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w:t>
      </w:r>
      <w:r w:rsidR="00C30C5C">
        <w:rPr>
          <w:rFonts w:ascii="Times New Roman" w:hAnsi="Times New Roman"/>
          <w:spacing w:val="-3"/>
          <w:sz w:val="22"/>
          <w:szCs w:val="22"/>
        </w:rPr>
        <w:t>A</w:t>
      </w:r>
      <w:r w:rsidRPr="00D66ADC">
        <w:rPr>
          <w:rFonts w:ascii="Times New Roman" w:hAnsi="Times New Roman"/>
          <w:spacing w:val="-3"/>
          <w:sz w:val="22"/>
          <w:szCs w:val="22"/>
        </w:rPr>
        <w:t xml:space="preserve">) </w:t>
      </w:r>
      <w:r w:rsidR="00C30C5C">
        <w:rPr>
          <w:rFonts w:ascii="Times New Roman" w:hAnsi="Times New Roman"/>
          <w:spacing w:val="-3"/>
          <w:sz w:val="22"/>
          <w:szCs w:val="22"/>
        </w:rPr>
        <w:t>D</w:t>
      </w:r>
      <w:r w:rsidRPr="00D66ADC">
        <w:rPr>
          <w:rFonts w:ascii="Times New Roman" w:hAnsi="Times New Roman"/>
          <w:spacing w:val="-3"/>
          <w:sz w:val="22"/>
          <w:szCs w:val="22"/>
        </w:rPr>
        <w:t xml:space="preserve">etermine that they qualify for an exemption pursuant to Section 1.1307(b)(3); </w:t>
      </w:r>
    </w:p>
    <w:p w:rsidR="00C30C5C" w:rsidP="00D66ADC" w:rsidRDefault="00C30C5C" w14:paraId="40C6499A" w14:textId="77777777">
      <w:pPr>
        <w:suppressAutoHyphens/>
        <w:ind w:firstLine="360"/>
        <w:rPr>
          <w:rFonts w:ascii="Times New Roman" w:hAnsi="Times New Roman"/>
          <w:spacing w:val="-3"/>
          <w:sz w:val="22"/>
          <w:szCs w:val="22"/>
        </w:rPr>
      </w:pPr>
    </w:p>
    <w:p w:rsidR="00C30C5C" w:rsidP="00D66ADC" w:rsidRDefault="00D66ADC" w14:paraId="12026081"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w:t>
      </w:r>
      <w:r w:rsidR="00C30C5C">
        <w:rPr>
          <w:rFonts w:ascii="Times New Roman" w:hAnsi="Times New Roman"/>
          <w:spacing w:val="-3"/>
          <w:sz w:val="22"/>
          <w:szCs w:val="22"/>
        </w:rPr>
        <w:t>B</w:t>
      </w:r>
      <w:r w:rsidRPr="00D66ADC">
        <w:rPr>
          <w:rFonts w:ascii="Times New Roman" w:hAnsi="Times New Roman"/>
          <w:spacing w:val="-3"/>
          <w:sz w:val="22"/>
          <w:szCs w:val="22"/>
        </w:rPr>
        <w:t xml:space="preserve">) </w:t>
      </w:r>
      <w:r w:rsidR="00C30C5C">
        <w:rPr>
          <w:rFonts w:ascii="Times New Roman" w:hAnsi="Times New Roman"/>
          <w:spacing w:val="-3"/>
          <w:sz w:val="22"/>
          <w:szCs w:val="22"/>
        </w:rPr>
        <w:t>P</w:t>
      </w:r>
      <w:r w:rsidRPr="00D66ADC">
        <w:rPr>
          <w:rFonts w:ascii="Times New Roman" w:hAnsi="Times New Roman"/>
          <w:spacing w:val="-3"/>
          <w:sz w:val="22"/>
          <w:szCs w:val="22"/>
        </w:rPr>
        <w:t xml:space="preserve">repare an evaluation of the human exposure to RF radiation pursuant to Section 1.1310 and include in the application a statement confirming compliance with the limits in Section 1.1310; or </w:t>
      </w:r>
    </w:p>
    <w:p w:rsidR="00C30C5C" w:rsidP="00D66ADC" w:rsidRDefault="00C30C5C" w14:paraId="003CFA40" w14:textId="77777777">
      <w:pPr>
        <w:suppressAutoHyphens/>
        <w:ind w:firstLine="360"/>
        <w:rPr>
          <w:rFonts w:ascii="Times New Roman" w:hAnsi="Times New Roman"/>
          <w:spacing w:val="-3"/>
          <w:sz w:val="22"/>
          <w:szCs w:val="22"/>
        </w:rPr>
      </w:pPr>
    </w:p>
    <w:p w:rsidR="00C30C5C" w:rsidP="00D66ADC" w:rsidRDefault="00D66ADC" w14:paraId="3E59245E"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w:t>
      </w:r>
      <w:r w:rsidR="00C30C5C">
        <w:rPr>
          <w:rFonts w:ascii="Times New Roman" w:hAnsi="Times New Roman"/>
          <w:spacing w:val="-3"/>
          <w:sz w:val="22"/>
          <w:szCs w:val="22"/>
        </w:rPr>
        <w:t>C</w:t>
      </w:r>
      <w:r w:rsidRPr="00D66ADC">
        <w:rPr>
          <w:rFonts w:ascii="Times New Roman" w:hAnsi="Times New Roman"/>
          <w:spacing w:val="-3"/>
          <w:sz w:val="22"/>
          <w:szCs w:val="22"/>
        </w:rPr>
        <w:t xml:space="preserve">) </w:t>
      </w:r>
      <w:r w:rsidR="00C30C5C">
        <w:rPr>
          <w:rFonts w:ascii="Times New Roman" w:hAnsi="Times New Roman"/>
          <w:spacing w:val="-3"/>
          <w:sz w:val="22"/>
          <w:szCs w:val="22"/>
        </w:rPr>
        <w:t>P</w:t>
      </w:r>
      <w:r w:rsidRPr="00D66ADC">
        <w:rPr>
          <w:rFonts w:ascii="Times New Roman" w:hAnsi="Times New Roman"/>
          <w:spacing w:val="-3"/>
          <w:sz w:val="22"/>
          <w:szCs w:val="22"/>
        </w:rPr>
        <w:t xml:space="preserve">repare an Environmental Assessment if those RF sources would cause human exposure to levels of RF radiation in excess of the limits in Section 1.1310.  </w:t>
      </w:r>
    </w:p>
    <w:p w:rsidR="00C30C5C" w:rsidP="00D66ADC" w:rsidRDefault="00C30C5C" w14:paraId="7CD5100D" w14:textId="77777777">
      <w:pPr>
        <w:suppressAutoHyphens/>
        <w:ind w:firstLine="360"/>
        <w:rPr>
          <w:rFonts w:ascii="Times New Roman" w:hAnsi="Times New Roman"/>
          <w:spacing w:val="-3"/>
          <w:sz w:val="22"/>
          <w:szCs w:val="22"/>
        </w:rPr>
      </w:pPr>
    </w:p>
    <w:p w:rsidRPr="00D66ADC" w:rsidR="00D66ADC" w:rsidP="00D66ADC" w:rsidRDefault="00C30C5C" w14:paraId="14D5AC26" w14:textId="77777777">
      <w:pPr>
        <w:suppressAutoHyphens/>
        <w:ind w:firstLine="360"/>
        <w:rPr>
          <w:rFonts w:ascii="Times New Roman" w:hAnsi="Times New Roman"/>
          <w:spacing w:val="-3"/>
          <w:sz w:val="22"/>
          <w:szCs w:val="22"/>
        </w:rPr>
      </w:pPr>
      <w:r>
        <w:rPr>
          <w:rFonts w:ascii="Times New Roman" w:hAnsi="Times New Roman"/>
          <w:spacing w:val="-3"/>
          <w:sz w:val="22"/>
          <w:szCs w:val="22"/>
        </w:rPr>
        <w:t xml:space="preserve">(ii) </w:t>
      </w:r>
      <w:r w:rsidRPr="00D66ADC" w:rsidR="00D66ADC">
        <w:rPr>
          <w:rFonts w:ascii="Times New Roman" w:hAnsi="Times New Roman"/>
          <w:spacing w:val="-3"/>
          <w:sz w:val="22"/>
          <w:szCs w:val="22"/>
        </w:rPr>
        <w:t>Compliance with these limits for fixed RF source(s) may be accomplished by use of mitigation actions, as provided in Section 1.1307(b)(4).  Upon request by the Commission, the party seeking or holding such authorization must submit technical information showing the basis for such compliance, either by exemption or evaluation.  Notwithstanding the preceding requirements, in the event that RF sources cause human exposure to levels of RF radiation in excess of the limits in Section 1.1310 of this chapter, such RF exposure exemptions and evaluations are not deemed sufficient to show that there is no significant effect on the quality of the human environment or that the RF sources are categorically excluded from environmental processing</w:t>
      </w:r>
      <w:r w:rsidRPr="00D66ADC" w:rsidR="00D66ADC">
        <w:rPr>
          <w:rFonts w:ascii="Times New Roman" w:hAnsi="Times New Roman"/>
          <w:sz w:val="22"/>
          <w:szCs w:val="22"/>
        </w:rPr>
        <w:t>.</w:t>
      </w:r>
    </w:p>
    <w:p w:rsidRPr="00D66ADC" w:rsidR="00D66ADC" w:rsidP="00D66ADC" w:rsidRDefault="00D66ADC" w14:paraId="6439F728"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p>
    <w:p w:rsidRPr="00D66ADC" w:rsidR="00D66ADC" w:rsidP="00D66ADC" w:rsidRDefault="00D66ADC" w14:paraId="1ECBB311"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 xml:space="preserve">(2)  </w:t>
      </w:r>
      <w:r w:rsidRPr="00D66ADC">
        <w:rPr>
          <w:rFonts w:ascii="Times New Roman" w:hAnsi="Times New Roman"/>
          <w:i/>
          <w:spacing w:val="-3"/>
          <w:sz w:val="22"/>
          <w:szCs w:val="22"/>
        </w:rPr>
        <w:t xml:space="preserve">Definitions.  </w:t>
      </w:r>
      <w:r w:rsidRPr="00D66ADC">
        <w:rPr>
          <w:rFonts w:ascii="Times New Roman" w:hAnsi="Times New Roman"/>
          <w:spacing w:val="-3"/>
          <w:sz w:val="22"/>
          <w:szCs w:val="22"/>
        </w:rPr>
        <w:t xml:space="preserve">For the purposes of this </w:t>
      </w:r>
      <w:r w:rsidR="009864CE">
        <w:rPr>
          <w:rFonts w:ascii="Times New Roman" w:hAnsi="Times New Roman"/>
          <w:spacing w:val="-3"/>
          <w:sz w:val="22"/>
          <w:szCs w:val="22"/>
        </w:rPr>
        <w:t>s</w:t>
      </w:r>
      <w:r w:rsidRPr="00D66ADC">
        <w:rPr>
          <w:rFonts w:ascii="Times New Roman" w:hAnsi="Times New Roman"/>
          <w:spacing w:val="-3"/>
          <w:sz w:val="22"/>
          <w:szCs w:val="22"/>
        </w:rPr>
        <w:t>ection, the following definitions shall apply.</w:t>
      </w:r>
    </w:p>
    <w:p w:rsidRPr="00D66ADC" w:rsidR="00D66ADC" w:rsidP="00D66ADC" w:rsidRDefault="00D66ADC" w14:paraId="07A15E7C" w14:textId="77777777">
      <w:pPr>
        <w:suppressAutoHyphens/>
        <w:ind w:firstLine="360"/>
        <w:rPr>
          <w:rFonts w:ascii="Times New Roman" w:hAnsi="Times New Roman"/>
          <w:spacing w:val="-3"/>
          <w:sz w:val="22"/>
          <w:szCs w:val="22"/>
        </w:rPr>
      </w:pPr>
    </w:p>
    <w:p w:rsidRPr="00D66ADC" w:rsidR="00D66ADC" w:rsidP="00D66ADC" w:rsidRDefault="00D66ADC" w14:paraId="54B25D37" w14:textId="77777777">
      <w:pPr>
        <w:suppressAutoHyphens/>
        <w:ind w:firstLine="360"/>
        <w:rPr>
          <w:rFonts w:ascii="Times New Roman" w:hAnsi="Times New Roman"/>
          <w:sz w:val="22"/>
          <w:szCs w:val="22"/>
        </w:rPr>
      </w:pPr>
      <w:r w:rsidRPr="00D66ADC">
        <w:rPr>
          <w:rFonts w:ascii="Times New Roman" w:hAnsi="Times New Roman"/>
          <w:i/>
          <w:sz w:val="22"/>
          <w:szCs w:val="22"/>
        </w:rPr>
        <w:t>Available maximum time-averaged power</w:t>
      </w:r>
      <w:r w:rsidRPr="00D66ADC">
        <w:rPr>
          <w:rFonts w:ascii="Times New Roman" w:hAnsi="Times New Roman"/>
          <w:sz w:val="22"/>
          <w:szCs w:val="22"/>
        </w:rPr>
        <w:t xml:space="preserve"> for an RF source is the maximum available RF power (into a matched load) as averaged over a </w:t>
      </w:r>
      <w:r w:rsidRPr="00D66ADC">
        <w:rPr>
          <w:rFonts w:ascii="Times New Roman" w:hAnsi="Times New Roman"/>
          <w:i/>
          <w:sz w:val="22"/>
          <w:szCs w:val="22"/>
        </w:rPr>
        <w:t>time-averaging period</w:t>
      </w:r>
      <w:r w:rsidRPr="00D66ADC">
        <w:rPr>
          <w:rFonts w:ascii="Times New Roman" w:hAnsi="Times New Roman"/>
          <w:sz w:val="22"/>
          <w:szCs w:val="22"/>
        </w:rPr>
        <w:t>;</w:t>
      </w:r>
    </w:p>
    <w:p w:rsidRPr="00D66ADC" w:rsidR="00D66ADC" w:rsidP="00D66ADC" w:rsidRDefault="00D66ADC" w14:paraId="59AEDA39" w14:textId="77777777">
      <w:pPr>
        <w:suppressAutoHyphens/>
        <w:ind w:firstLine="360"/>
        <w:rPr>
          <w:rFonts w:ascii="Times New Roman" w:hAnsi="Times New Roman"/>
          <w:sz w:val="22"/>
          <w:szCs w:val="22"/>
        </w:rPr>
      </w:pPr>
    </w:p>
    <w:p w:rsidRPr="00D66ADC" w:rsidR="00D66ADC" w:rsidP="00D66ADC" w:rsidRDefault="00D66ADC" w14:paraId="23F6B558" w14:textId="77777777">
      <w:pPr>
        <w:suppressAutoHyphens/>
        <w:ind w:firstLine="360"/>
        <w:rPr>
          <w:rFonts w:ascii="Times New Roman" w:hAnsi="Times New Roman"/>
          <w:sz w:val="22"/>
          <w:szCs w:val="22"/>
        </w:rPr>
      </w:pPr>
      <w:r w:rsidRPr="00D66ADC">
        <w:rPr>
          <w:rFonts w:ascii="Times New Roman" w:hAnsi="Times New Roman"/>
          <w:i/>
          <w:sz w:val="22"/>
          <w:szCs w:val="22"/>
        </w:rPr>
        <w:t>Category One</w:t>
      </w:r>
      <w:r w:rsidRPr="00D66ADC">
        <w:rPr>
          <w:rFonts w:ascii="Times New Roman" w:hAnsi="Times New Roman"/>
          <w:sz w:val="22"/>
          <w:szCs w:val="22"/>
        </w:rPr>
        <w:t xml:space="preserve"> is any spatial region that is compliant with the general population exposure limit with </w:t>
      </w:r>
      <w:r w:rsidRPr="00D66ADC">
        <w:rPr>
          <w:rFonts w:ascii="Times New Roman" w:hAnsi="Times New Roman"/>
          <w:i/>
          <w:sz w:val="22"/>
          <w:szCs w:val="22"/>
        </w:rPr>
        <w:t>continuous exposure</w:t>
      </w:r>
      <w:r w:rsidRPr="00D66ADC">
        <w:rPr>
          <w:rFonts w:ascii="Times New Roman" w:hAnsi="Times New Roman"/>
          <w:sz w:val="22"/>
          <w:szCs w:val="22"/>
        </w:rPr>
        <w:t xml:space="preserve"> or </w:t>
      </w:r>
      <w:r w:rsidRPr="00D66ADC">
        <w:rPr>
          <w:rFonts w:ascii="Times New Roman" w:hAnsi="Times New Roman"/>
          <w:i/>
          <w:sz w:val="22"/>
          <w:szCs w:val="22"/>
        </w:rPr>
        <w:t>source-based time-averaged exposure</w:t>
      </w:r>
      <w:r w:rsidRPr="00D66ADC">
        <w:rPr>
          <w:rFonts w:ascii="Times New Roman" w:hAnsi="Times New Roman"/>
          <w:sz w:val="22"/>
          <w:szCs w:val="22"/>
        </w:rPr>
        <w:t>;</w:t>
      </w:r>
    </w:p>
    <w:p w:rsidRPr="00D66ADC" w:rsidR="00D66ADC" w:rsidP="00D66ADC" w:rsidRDefault="00D66ADC" w14:paraId="4A97B561" w14:textId="77777777">
      <w:pPr>
        <w:suppressAutoHyphens/>
        <w:ind w:firstLine="360"/>
        <w:rPr>
          <w:rFonts w:ascii="Times New Roman" w:hAnsi="Times New Roman"/>
          <w:sz w:val="22"/>
          <w:szCs w:val="22"/>
        </w:rPr>
      </w:pPr>
    </w:p>
    <w:p w:rsidRPr="00D66ADC" w:rsidR="00D66ADC" w:rsidP="00D66ADC" w:rsidRDefault="00D66ADC" w14:paraId="39161DDC" w14:textId="77777777">
      <w:pPr>
        <w:suppressAutoHyphens/>
        <w:ind w:firstLine="360"/>
        <w:rPr>
          <w:rFonts w:ascii="Times New Roman" w:hAnsi="Times New Roman"/>
          <w:sz w:val="22"/>
          <w:szCs w:val="22"/>
        </w:rPr>
      </w:pPr>
      <w:r w:rsidRPr="00D66ADC">
        <w:rPr>
          <w:rFonts w:ascii="Times New Roman" w:hAnsi="Times New Roman"/>
          <w:i/>
          <w:sz w:val="22"/>
          <w:szCs w:val="22"/>
        </w:rPr>
        <w:t>Category Two</w:t>
      </w:r>
      <w:r w:rsidRPr="00D66ADC">
        <w:rPr>
          <w:rFonts w:ascii="Times New Roman" w:hAnsi="Times New Roman"/>
          <w:sz w:val="22"/>
          <w:szCs w:val="22"/>
        </w:rPr>
        <w:t xml:space="preserve"> is any spatial region where the general population exposure limit is exceeded but that is compliant with the occupational exposure limit with </w:t>
      </w:r>
      <w:r w:rsidRPr="00D66ADC">
        <w:rPr>
          <w:rFonts w:ascii="Times New Roman" w:hAnsi="Times New Roman"/>
          <w:i/>
          <w:sz w:val="22"/>
          <w:szCs w:val="22"/>
        </w:rPr>
        <w:t>continuous exposure</w:t>
      </w:r>
      <w:r w:rsidRPr="00D66ADC">
        <w:rPr>
          <w:rFonts w:ascii="Times New Roman" w:hAnsi="Times New Roman"/>
          <w:sz w:val="22"/>
          <w:szCs w:val="22"/>
        </w:rPr>
        <w:t>;</w:t>
      </w:r>
    </w:p>
    <w:p w:rsidRPr="00D66ADC" w:rsidR="00D66ADC" w:rsidP="00D66ADC" w:rsidRDefault="00D66ADC" w14:paraId="20844FAC" w14:textId="77777777">
      <w:pPr>
        <w:suppressAutoHyphens/>
        <w:ind w:firstLine="360"/>
        <w:rPr>
          <w:rFonts w:ascii="Times New Roman" w:hAnsi="Times New Roman"/>
          <w:sz w:val="22"/>
          <w:szCs w:val="22"/>
        </w:rPr>
      </w:pPr>
    </w:p>
    <w:p w:rsidRPr="00D66ADC" w:rsidR="00D66ADC" w:rsidP="00D66ADC" w:rsidRDefault="00D66ADC" w14:paraId="0EF14FA8" w14:textId="77777777">
      <w:pPr>
        <w:suppressAutoHyphens/>
        <w:ind w:firstLine="360"/>
        <w:rPr>
          <w:rFonts w:ascii="Times New Roman" w:hAnsi="Times New Roman"/>
          <w:sz w:val="22"/>
          <w:szCs w:val="22"/>
        </w:rPr>
      </w:pPr>
      <w:r w:rsidRPr="00D66ADC">
        <w:rPr>
          <w:rFonts w:ascii="Times New Roman" w:hAnsi="Times New Roman"/>
          <w:i/>
          <w:sz w:val="22"/>
          <w:szCs w:val="22"/>
        </w:rPr>
        <w:t>Category Three</w:t>
      </w:r>
      <w:r w:rsidRPr="00D66ADC">
        <w:rPr>
          <w:rFonts w:ascii="Times New Roman" w:hAnsi="Times New Roman"/>
          <w:sz w:val="22"/>
          <w:szCs w:val="22"/>
        </w:rPr>
        <w:t xml:space="preserve"> is any spatial region where the occupational exposure limit is exceeded but by no more than ten times the limit;</w:t>
      </w:r>
    </w:p>
    <w:p w:rsidRPr="00D66ADC" w:rsidR="00D66ADC" w:rsidP="00D66ADC" w:rsidRDefault="00D66ADC" w14:paraId="5A898F29" w14:textId="77777777">
      <w:pPr>
        <w:suppressAutoHyphens/>
        <w:ind w:firstLine="360"/>
        <w:rPr>
          <w:rFonts w:ascii="Times New Roman" w:hAnsi="Times New Roman"/>
          <w:sz w:val="22"/>
          <w:szCs w:val="22"/>
        </w:rPr>
      </w:pPr>
    </w:p>
    <w:p w:rsidRPr="00D66ADC" w:rsidR="00D66ADC" w:rsidP="00D66ADC" w:rsidRDefault="00D66ADC" w14:paraId="6A45FB66" w14:textId="77777777">
      <w:pPr>
        <w:suppressAutoHyphens/>
        <w:ind w:firstLine="360"/>
        <w:rPr>
          <w:rFonts w:ascii="Times New Roman" w:hAnsi="Times New Roman"/>
          <w:sz w:val="22"/>
          <w:szCs w:val="22"/>
        </w:rPr>
      </w:pPr>
      <w:r w:rsidRPr="00D66ADC">
        <w:rPr>
          <w:rFonts w:ascii="Times New Roman" w:hAnsi="Times New Roman"/>
          <w:i/>
          <w:sz w:val="22"/>
          <w:szCs w:val="22"/>
        </w:rPr>
        <w:t>Category Four</w:t>
      </w:r>
      <w:r w:rsidRPr="00D66ADC">
        <w:rPr>
          <w:rFonts w:ascii="Times New Roman" w:hAnsi="Times New Roman"/>
          <w:sz w:val="22"/>
          <w:szCs w:val="22"/>
        </w:rPr>
        <w:t xml:space="preserve"> is any spatial region where the exposure is more than ten times the occupational exposure limit or where there is a possibility for serious injury on contact.</w:t>
      </w:r>
    </w:p>
    <w:p w:rsidRPr="00D66ADC" w:rsidR="00D66ADC" w:rsidP="00D66ADC" w:rsidRDefault="00D66ADC" w14:paraId="19CA5A4A" w14:textId="77777777">
      <w:pPr>
        <w:suppressAutoHyphens/>
        <w:ind w:firstLine="360"/>
        <w:rPr>
          <w:rFonts w:ascii="Times New Roman" w:hAnsi="Times New Roman"/>
          <w:spacing w:val="-3"/>
          <w:sz w:val="22"/>
          <w:szCs w:val="22"/>
        </w:rPr>
      </w:pPr>
    </w:p>
    <w:p w:rsidRPr="00D66ADC" w:rsidR="00D66ADC" w:rsidP="00D66ADC" w:rsidRDefault="00D66ADC" w14:paraId="02F68162" w14:textId="77777777">
      <w:pPr>
        <w:suppressAutoHyphens/>
        <w:ind w:firstLine="360"/>
        <w:rPr>
          <w:rFonts w:ascii="Times New Roman" w:hAnsi="Times New Roman"/>
          <w:spacing w:val="-3"/>
          <w:sz w:val="22"/>
          <w:szCs w:val="22"/>
        </w:rPr>
      </w:pPr>
      <w:r w:rsidRPr="00D66ADC">
        <w:rPr>
          <w:rFonts w:ascii="Times New Roman" w:hAnsi="Times New Roman"/>
          <w:i/>
          <w:spacing w:val="-3"/>
          <w:sz w:val="22"/>
          <w:szCs w:val="22"/>
        </w:rPr>
        <w:t>Continuous exposure</w:t>
      </w:r>
      <w:r w:rsidRPr="00D66ADC">
        <w:rPr>
          <w:rFonts w:ascii="Times New Roman" w:hAnsi="Times New Roman"/>
          <w:spacing w:val="-3"/>
          <w:sz w:val="22"/>
          <w:szCs w:val="22"/>
        </w:rPr>
        <w:t xml:space="preserve"> refers to the maximum time-averaged exposure at a given location for an </w:t>
      </w:r>
      <w:r w:rsidRPr="00D66ADC">
        <w:rPr>
          <w:rFonts w:ascii="Times New Roman" w:hAnsi="Times New Roman"/>
          <w:i/>
          <w:spacing w:val="-3"/>
          <w:sz w:val="22"/>
          <w:szCs w:val="22"/>
        </w:rPr>
        <w:t>RF source</w:t>
      </w:r>
      <w:r w:rsidRPr="00D66ADC">
        <w:rPr>
          <w:rFonts w:ascii="Times New Roman" w:hAnsi="Times New Roman"/>
          <w:spacing w:val="-3"/>
          <w:sz w:val="22"/>
          <w:szCs w:val="22"/>
        </w:rPr>
        <w:t xml:space="preserve"> and assumes that exposure may take place indefinitely. </w:t>
      </w:r>
      <w:r w:rsidRPr="00D66ADC">
        <w:rPr>
          <w:rFonts w:ascii="Times New Roman" w:hAnsi="Times New Roman"/>
          <w:sz w:val="22"/>
          <w:szCs w:val="22"/>
        </w:rPr>
        <w:t xml:space="preserve"> </w:t>
      </w:r>
      <w:r w:rsidRPr="00D66ADC">
        <w:rPr>
          <w:rFonts w:ascii="Times New Roman" w:hAnsi="Times New Roman"/>
          <w:spacing w:val="-3"/>
          <w:sz w:val="22"/>
          <w:szCs w:val="22"/>
        </w:rPr>
        <w:t xml:space="preserve">The exposure limits in Section 1.1310 of this chapter are used to establish the spatial regions where mitigation measures are necessary assuming continuous exposure as prescribed in Section 1.1307(b)(4) of this chapter. </w:t>
      </w:r>
    </w:p>
    <w:p w:rsidRPr="00D66ADC" w:rsidR="00D66ADC" w:rsidP="00D66ADC" w:rsidRDefault="00D66ADC" w14:paraId="45CE3E6E" w14:textId="77777777">
      <w:pPr>
        <w:suppressAutoHyphens/>
        <w:ind w:firstLine="360"/>
        <w:rPr>
          <w:rFonts w:ascii="Times New Roman" w:hAnsi="Times New Roman"/>
          <w:i/>
          <w:spacing w:val="-3"/>
          <w:sz w:val="22"/>
          <w:szCs w:val="22"/>
        </w:rPr>
      </w:pPr>
    </w:p>
    <w:p w:rsidRPr="00D66ADC" w:rsidR="00D66ADC" w:rsidP="00D66ADC" w:rsidRDefault="00D66ADC" w14:paraId="143DD3CA" w14:textId="77777777">
      <w:pPr>
        <w:suppressAutoHyphens/>
        <w:ind w:firstLine="360"/>
        <w:rPr>
          <w:rFonts w:ascii="Times New Roman" w:hAnsi="Times New Roman"/>
          <w:sz w:val="22"/>
          <w:szCs w:val="22"/>
        </w:rPr>
      </w:pPr>
      <w:r w:rsidRPr="00D66ADC">
        <w:rPr>
          <w:rFonts w:ascii="Times New Roman" w:hAnsi="Times New Roman"/>
          <w:i/>
          <w:spacing w:val="-3"/>
          <w:sz w:val="22"/>
          <w:szCs w:val="22"/>
        </w:rPr>
        <w:t>Effective Radiated Power (ERP)</w:t>
      </w:r>
      <w:r w:rsidRPr="00D66ADC">
        <w:rPr>
          <w:rFonts w:ascii="Times New Roman" w:hAnsi="Times New Roman"/>
          <w:spacing w:val="-3"/>
          <w:sz w:val="22"/>
          <w:szCs w:val="22"/>
        </w:rPr>
        <w:t xml:space="preserve"> is</w:t>
      </w:r>
      <w:r w:rsidRPr="00D66ADC">
        <w:rPr>
          <w:rFonts w:ascii="Times New Roman" w:hAnsi="Times New Roman"/>
          <w:sz w:val="22"/>
          <w:szCs w:val="22"/>
        </w:rPr>
        <w:t xml:space="preserve"> the product of the </w:t>
      </w:r>
      <w:r w:rsidRPr="00D66ADC">
        <w:rPr>
          <w:rFonts w:ascii="Times New Roman" w:hAnsi="Times New Roman"/>
          <w:i/>
          <w:sz w:val="22"/>
          <w:szCs w:val="22"/>
        </w:rPr>
        <w:t>maximum antenna gain</w:t>
      </w:r>
      <w:r w:rsidRPr="00D66ADC">
        <w:rPr>
          <w:rFonts w:ascii="Times New Roman" w:hAnsi="Times New Roman"/>
          <w:sz w:val="22"/>
          <w:szCs w:val="22"/>
        </w:rPr>
        <w:t xml:space="preserve"> which is the largest far-field power gain relative to a dipole in any direction for each transverse polarization component, and the </w:t>
      </w:r>
      <w:r w:rsidRPr="00D66ADC">
        <w:rPr>
          <w:rFonts w:ascii="Times New Roman" w:hAnsi="Times New Roman"/>
          <w:i/>
          <w:sz w:val="22"/>
          <w:szCs w:val="22"/>
        </w:rPr>
        <w:lastRenderedPageBreak/>
        <w:t>maximum delivered time-averaged power</w:t>
      </w:r>
      <w:r w:rsidRPr="00D66ADC">
        <w:rPr>
          <w:rFonts w:ascii="Times New Roman" w:hAnsi="Times New Roman"/>
          <w:sz w:val="22"/>
          <w:szCs w:val="22"/>
        </w:rPr>
        <w:t xml:space="preserve"> which is the largest net power delivered or supplied to an antenna as averaged over a </w:t>
      </w:r>
      <w:r w:rsidRPr="00D66ADC">
        <w:rPr>
          <w:rFonts w:ascii="Times New Roman" w:hAnsi="Times New Roman"/>
          <w:i/>
          <w:sz w:val="22"/>
          <w:szCs w:val="22"/>
        </w:rPr>
        <w:t>time-averaging period</w:t>
      </w:r>
      <w:r w:rsidRPr="00D66ADC">
        <w:rPr>
          <w:rFonts w:ascii="Times New Roman" w:hAnsi="Times New Roman"/>
          <w:sz w:val="22"/>
          <w:szCs w:val="22"/>
        </w:rPr>
        <w:t xml:space="preserve">; </w:t>
      </w:r>
      <w:r w:rsidRPr="00D66ADC">
        <w:rPr>
          <w:rFonts w:ascii="Times New Roman" w:hAnsi="Times New Roman"/>
          <w:i/>
          <w:sz w:val="22"/>
          <w:szCs w:val="22"/>
        </w:rPr>
        <w:t>ERP</w:t>
      </w:r>
      <w:r w:rsidRPr="00D66ADC">
        <w:rPr>
          <w:rFonts w:ascii="Times New Roman" w:hAnsi="Times New Roman"/>
          <w:sz w:val="22"/>
          <w:szCs w:val="22"/>
        </w:rPr>
        <w:t xml:space="preserve"> is summed over two polarizations when present;</w:t>
      </w:r>
    </w:p>
    <w:p w:rsidRPr="00D66ADC" w:rsidR="00D66ADC" w:rsidP="00D66ADC" w:rsidRDefault="00D66ADC" w14:paraId="22F29DFD" w14:textId="77777777">
      <w:pPr>
        <w:suppressAutoHyphens/>
        <w:ind w:firstLine="360"/>
        <w:rPr>
          <w:rFonts w:ascii="Times New Roman" w:hAnsi="Times New Roman"/>
          <w:i/>
          <w:sz w:val="22"/>
          <w:szCs w:val="22"/>
        </w:rPr>
      </w:pPr>
    </w:p>
    <w:p w:rsidRPr="00D66ADC" w:rsidR="00D66ADC" w:rsidP="00D66ADC" w:rsidRDefault="00D66ADC" w14:paraId="50A3AFD3" w14:textId="77777777">
      <w:pPr>
        <w:suppressAutoHyphens/>
        <w:ind w:firstLine="360"/>
        <w:rPr>
          <w:rFonts w:ascii="Times New Roman" w:hAnsi="Times New Roman"/>
          <w:sz w:val="22"/>
          <w:szCs w:val="22"/>
        </w:rPr>
      </w:pPr>
      <w:r w:rsidRPr="00D66ADC">
        <w:rPr>
          <w:rFonts w:ascii="Times New Roman" w:hAnsi="Times New Roman"/>
          <w:i/>
          <w:sz w:val="22"/>
          <w:szCs w:val="22"/>
        </w:rPr>
        <w:t>Exemption</w:t>
      </w:r>
      <w:r w:rsidRPr="00D66ADC">
        <w:rPr>
          <w:rFonts w:ascii="Times New Roman" w:hAnsi="Times New Roman"/>
          <w:sz w:val="22"/>
          <w:szCs w:val="22"/>
        </w:rPr>
        <w:t xml:space="preserve"> for (an) </w:t>
      </w:r>
      <w:r w:rsidRPr="00D66ADC">
        <w:rPr>
          <w:rFonts w:ascii="Times New Roman" w:hAnsi="Times New Roman"/>
          <w:i/>
          <w:sz w:val="22"/>
          <w:szCs w:val="22"/>
        </w:rPr>
        <w:t>RF source(s)</w:t>
      </w:r>
      <w:r w:rsidRPr="00D66ADC">
        <w:rPr>
          <w:rFonts w:ascii="Times New Roman" w:hAnsi="Times New Roman"/>
          <w:sz w:val="22"/>
          <w:szCs w:val="22"/>
        </w:rPr>
        <w:t xml:space="preserve"> is solely from the obligation to perform a routine environmental evaluation to demonstrate compliance with the RF exposure limits in Section 1.1310 of this chapter; it is not exemption from the equipment authorization procedures described in Part 2 of this chapter, not exemption from general obligations of compliance with the RF exposure limits in Section 1.1310 of this chapter, and not exemption from determination of whether there is no significant effect on the quality of the human environment under Section 1.1306 of this chapter.</w:t>
      </w:r>
    </w:p>
    <w:p w:rsidRPr="00D66ADC" w:rsidR="00D66ADC" w:rsidP="00D66ADC" w:rsidRDefault="00D66ADC" w14:paraId="329D2558" w14:textId="77777777">
      <w:pPr>
        <w:suppressAutoHyphens/>
        <w:ind w:firstLine="360"/>
        <w:rPr>
          <w:rFonts w:ascii="Times New Roman" w:hAnsi="Times New Roman"/>
          <w:i/>
          <w:sz w:val="22"/>
          <w:szCs w:val="22"/>
        </w:rPr>
      </w:pPr>
    </w:p>
    <w:p w:rsidRPr="00D66ADC" w:rsidR="00D66ADC" w:rsidP="00D66ADC" w:rsidRDefault="00D66ADC" w14:paraId="51AE65D4" w14:textId="77777777">
      <w:pPr>
        <w:suppressAutoHyphens/>
        <w:ind w:firstLine="360"/>
        <w:rPr>
          <w:rFonts w:ascii="Times New Roman" w:hAnsi="Times New Roman"/>
          <w:sz w:val="22"/>
          <w:szCs w:val="22"/>
        </w:rPr>
      </w:pPr>
      <w:r w:rsidRPr="00D66ADC">
        <w:rPr>
          <w:rFonts w:ascii="Times New Roman" w:hAnsi="Times New Roman"/>
          <w:i/>
          <w:sz w:val="22"/>
          <w:szCs w:val="22"/>
        </w:rPr>
        <w:t>Fixed RF source</w:t>
      </w:r>
      <w:r w:rsidRPr="00D66ADC">
        <w:rPr>
          <w:rFonts w:ascii="Times New Roman" w:hAnsi="Times New Roman"/>
          <w:sz w:val="22"/>
          <w:szCs w:val="22"/>
        </w:rPr>
        <w:t xml:space="preserve"> is one that is physically secured at one location, even temporarily, and is not able to be easily moved to another location while radiating;</w:t>
      </w:r>
    </w:p>
    <w:p w:rsidRPr="00D66ADC" w:rsidR="00D66ADC" w:rsidP="00D66ADC" w:rsidRDefault="00D66ADC" w14:paraId="2A854D15" w14:textId="77777777">
      <w:pPr>
        <w:suppressAutoHyphens/>
        <w:ind w:firstLine="360"/>
        <w:rPr>
          <w:rFonts w:ascii="Times New Roman" w:hAnsi="Times New Roman"/>
          <w:sz w:val="22"/>
          <w:szCs w:val="22"/>
        </w:rPr>
      </w:pPr>
    </w:p>
    <w:p w:rsidRPr="00D66ADC" w:rsidR="00D66ADC" w:rsidP="00D66ADC" w:rsidRDefault="00D66ADC" w14:paraId="56EAFB04" w14:textId="77777777">
      <w:pPr>
        <w:suppressAutoHyphens/>
        <w:ind w:firstLine="360"/>
        <w:rPr>
          <w:rFonts w:ascii="Times New Roman" w:hAnsi="Times New Roman"/>
          <w:spacing w:val="-3"/>
          <w:sz w:val="22"/>
          <w:szCs w:val="22"/>
        </w:rPr>
      </w:pPr>
      <w:r w:rsidRPr="00D66ADC">
        <w:rPr>
          <w:rFonts w:ascii="Times New Roman" w:hAnsi="Times New Roman"/>
          <w:i/>
          <w:sz w:val="22"/>
          <w:szCs w:val="22"/>
        </w:rPr>
        <w:t xml:space="preserve">Mobile device </w:t>
      </w:r>
      <w:r w:rsidRPr="00D66ADC">
        <w:rPr>
          <w:rFonts w:ascii="Times New Roman" w:hAnsi="Times New Roman"/>
          <w:sz w:val="22"/>
          <w:szCs w:val="22"/>
        </w:rPr>
        <w:t>is as defined in</w:t>
      </w:r>
      <w:r w:rsidRPr="00D66ADC">
        <w:rPr>
          <w:rFonts w:ascii="Times New Roman" w:hAnsi="Times New Roman"/>
          <w:b/>
          <w:spacing w:val="-3"/>
          <w:sz w:val="22"/>
          <w:szCs w:val="22"/>
        </w:rPr>
        <w:t xml:space="preserve"> </w:t>
      </w:r>
      <w:r w:rsidRPr="00D66ADC">
        <w:rPr>
          <w:rFonts w:ascii="Times New Roman" w:hAnsi="Times New Roman"/>
          <w:spacing w:val="-3"/>
          <w:sz w:val="22"/>
          <w:szCs w:val="22"/>
        </w:rPr>
        <w:t>Section 2.1091(b) of this chapter;</w:t>
      </w:r>
    </w:p>
    <w:p w:rsidRPr="00D66ADC" w:rsidR="00D66ADC" w:rsidP="00D66ADC" w:rsidRDefault="00D66ADC" w14:paraId="0FACA0DF" w14:textId="77777777">
      <w:pPr>
        <w:suppressAutoHyphens/>
        <w:ind w:firstLine="360"/>
        <w:rPr>
          <w:rFonts w:ascii="Times New Roman" w:hAnsi="Times New Roman"/>
          <w:spacing w:val="-3"/>
          <w:sz w:val="22"/>
          <w:szCs w:val="22"/>
        </w:rPr>
      </w:pPr>
    </w:p>
    <w:p w:rsidRPr="00D66ADC" w:rsidR="00D66ADC" w:rsidP="00D66ADC" w:rsidRDefault="00D66ADC" w14:paraId="6CA44B5F" w14:textId="77777777">
      <w:pPr>
        <w:suppressAutoHyphens/>
        <w:ind w:firstLine="360"/>
        <w:rPr>
          <w:rFonts w:ascii="Times New Roman" w:hAnsi="Times New Roman"/>
          <w:i/>
          <w:spacing w:val="-3"/>
          <w:sz w:val="22"/>
          <w:szCs w:val="22"/>
        </w:rPr>
      </w:pPr>
      <w:r w:rsidRPr="00D66ADC">
        <w:rPr>
          <w:rFonts w:ascii="Times New Roman" w:hAnsi="Times New Roman"/>
          <w:i/>
          <w:sz w:val="22"/>
          <w:szCs w:val="22"/>
        </w:rPr>
        <w:t xml:space="preserve">Plane-wave equivalent power density </w:t>
      </w:r>
      <w:r w:rsidRPr="00D66ADC">
        <w:rPr>
          <w:rFonts w:ascii="Times New Roman" w:hAnsi="Times New Roman"/>
          <w:sz w:val="22"/>
          <w:szCs w:val="22"/>
        </w:rPr>
        <w:t>is the square of the root-mean-square (rms) electric field strength divided by the impedance of free space (377 ohms)</w:t>
      </w:r>
      <w:r w:rsidRPr="00D66ADC">
        <w:rPr>
          <w:rFonts w:ascii="Times New Roman" w:hAnsi="Times New Roman"/>
          <w:spacing w:val="-3"/>
          <w:sz w:val="22"/>
          <w:szCs w:val="22"/>
        </w:rPr>
        <w:t>.</w:t>
      </w:r>
    </w:p>
    <w:p w:rsidRPr="00D66ADC" w:rsidR="00D66ADC" w:rsidP="00D66ADC" w:rsidRDefault="00D66ADC" w14:paraId="75EC7CD6" w14:textId="77777777">
      <w:pPr>
        <w:suppressAutoHyphens/>
        <w:ind w:firstLine="360"/>
        <w:rPr>
          <w:rFonts w:ascii="Times New Roman" w:hAnsi="Times New Roman"/>
          <w:sz w:val="22"/>
          <w:szCs w:val="22"/>
        </w:rPr>
      </w:pPr>
    </w:p>
    <w:p w:rsidRPr="00D66ADC" w:rsidR="00D66ADC" w:rsidP="00D66ADC" w:rsidRDefault="00D66ADC" w14:paraId="0C7E0B5E" w14:textId="77777777">
      <w:pPr>
        <w:suppressAutoHyphens/>
        <w:ind w:firstLine="360"/>
        <w:rPr>
          <w:rFonts w:ascii="Times New Roman" w:hAnsi="Times New Roman"/>
          <w:sz w:val="22"/>
          <w:szCs w:val="22"/>
        </w:rPr>
      </w:pPr>
      <w:r w:rsidRPr="00D66ADC">
        <w:rPr>
          <w:rFonts w:ascii="Times New Roman" w:hAnsi="Times New Roman"/>
          <w:i/>
          <w:spacing w:val="-3"/>
          <w:sz w:val="22"/>
          <w:szCs w:val="22"/>
        </w:rPr>
        <w:t>Portable device</w:t>
      </w:r>
      <w:r w:rsidRPr="00D66ADC">
        <w:rPr>
          <w:rFonts w:ascii="Times New Roman" w:hAnsi="Times New Roman"/>
          <w:spacing w:val="-3"/>
          <w:sz w:val="22"/>
          <w:szCs w:val="22"/>
        </w:rPr>
        <w:t xml:space="preserve"> is as defined in Section 2.1093(b) of this chapter;</w:t>
      </w:r>
    </w:p>
    <w:p w:rsidRPr="00D66ADC" w:rsidR="00D66ADC" w:rsidP="00D66ADC" w:rsidRDefault="00D66ADC" w14:paraId="5A86BEBB" w14:textId="77777777">
      <w:pPr>
        <w:suppressAutoHyphens/>
        <w:ind w:firstLine="360"/>
        <w:rPr>
          <w:rFonts w:ascii="Times New Roman" w:hAnsi="Times New Roman"/>
          <w:i/>
          <w:sz w:val="22"/>
          <w:szCs w:val="22"/>
        </w:rPr>
      </w:pPr>
    </w:p>
    <w:p w:rsidRPr="00D66ADC" w:rsidR="00D66ADC" w:rsidP="00D66ADC" w:rsidRDefault="00D66ADC" w14:paraId="7E5004DD" w14:textId="77777777">
      <w:pPr>
        <w:suppressAutoHyphens/>
        <w:ind w:firstLine="360"/>
        <w:rPr>
          <w:rFonts w:ascii="Times New Roman" w:hAnsi="Times New Roman"/>
          <w:sz w:val="22"/>
          <w:szCs w:val="22"/>
        </w:rPr>
      </w:pPr>
      <w:r w:rsidRPr="00D66ADC">
        <w:rPr>
          <w:rFonts w:ascii="Times New Roman" w:hAnsi="Times New Roman"/>
          <w:i/>
          <w:sz w:val="22"/>
          <w:szCs w:val="22"/>
        </w:rPr>
        <w:t>Positive access control</w:t>
      </w:r>
      <w:r w:rsidRPr="00D66ADC">
        <w:rPr>
          <w:rFonts w:ascii="Times New Roman" w:hAnsi="Times New Roman"/>
          <w:sz w:val="22"/>
          <w:szCs w:val="22"/>
        </w:rPr>
        <w:t xml:space="preserve"> is mitigation by proactive preclusion of unauthorized access to the region surrounding an RF source where the continuous exposure limit for the general population is exceeded.  Examples of such controls include locked doors, ladder cages, or effective fences, as well as enforced prohibition of public access to external surfaces of buildings.  However, it does not include natural barriers or other access restrictions that did not require any action on the part of the licensee or property management.</w:t>
      </w:r>
    </w:p>
    <w:p w:rsidRPr="00D66ADC" w:rsidR="00D66ADC" w:rsidP="00D66ADC" w:rsidRDefault="00D66ADC" w14:paraId="5ED798EE" w14:textId="77777777">
      <w:pPr>
        <w:suppressAutoHyphens/>
        <w:ind w:firstLine="360"/>
        <w:rPr>
          <w:rFonts w:ascii="Times New Roman" w:hAnsi="Times New Roman"/>
          <w:i/>
          <w:sz w:val="22"/>
          <w:szCs w:val="22"/>
        </w:rPr>
      </w:pPr>
    </w:p>
    <w:p w:rsidRPr="00D66ADC" w:rsidR="00D66ADC" w:rsidP="00D66ADC" w:rsidRDefault="00D66ADC" w14:paraId="1012CC0A" w14:textId="77777777">
      <w:pPr>
        <w:suppressAutoHyphens/>
        <w:ind w:firstLine="360"/>
        <w:rPr>
          <w:rFonts w:ascii="Times New Roman" w:hAnsi="Times New Roman"/>
          <w:sz w:val="22"/>
          <w:szCs w:val="22"/>
        </w:rPr>
      </w:pPr>
      <w:r w:rsidRPr="00D66ADC">
        <w:rPr>
          <w:rFonts w:ascii="Times New Roman" w:hAnsi="Times New Roman"/>
          <w:i/>
          <w:sz w:val="22"/>
          <w:szCs w:val="22"/>
        </w:rPr>
        <w:t>Radiating structure</w:t>
      </w:r>
      <w:r w:rsidRPr="00D66ADC">
        <w:rPr>
          <w:rFonts w:ascii="Times New Roman" w:hAnsi="Times New Roman"/>
          <w:sz w:val="22"/>
          <w:szCs w:val="22"/>
        </w:rPr>
        <w:t xml:space="preserve"> is an unshielded RF current-carrying conductor that generates an RF reactive near electric or magnetic field and/or radiates an RF electromagnetic wave.  It is the component of an </w:t>
      </w:r>
      <w:r w:rsidRPr="00D66ADC">
        <w:rPr>
          <w:rFonts w:ascii="Times New Roman" w:hAnsi="Times New Roman"/>
          <w:i/>
          <w:sz w:val="22"/>
          <w:szCs w:val="22"/>
        </w:rPr>
        <w:t>RF source</w:t>
      </w:r>
      <w:r w:rsidRPr="00D66ADC">
        <w:rPr>
          <w:rFonts w:ascii="Times New Roman" w:hAnsi="Times New Roman"/>
          <w:sz w:val="22"/>
          <w:szCs w:val="22"/>
        </w:rPr>
        <w:t xml:space="preserve"> that transmits, generates, or reradiates an RF fields, such as an antenna, aperture, coil, or plate.</w:t>
      </w:r>
    </w:p>
    <w:p w:rsidRPr="00D66ADC" w:rsidR="00D66ADC" w:rsidP="00D66ADC" w:rsidRDefault="00D66ADC" w14:paraId="3C2A4C7D" w14:textId="77777777">
      <w:pPr>
        <w:suppressAutoHyphens/>
        <w:ind w:firstLine="360"/>
        <w:rPr>
          <w:rFonts w:ascii="Times New Roman" w:hAnsi="Times New Roman"/>
          <w:i/>
          <w:sz w:val="22"/>
          <w:szCs w:val="22"/>
        </w:rPr>
      </w:pPr>
    </w:p>
    <w:p w:rsidRPr="00D66ADC" w:rsidR="00D66ADC" w:rsidP="00D66ADC" w:rsidRDefault="00D66ADC" w14:paraId="3DC51B5F" w14:textId="77777777">
      <w:pPr>
        <w:suppressAutoHyphens/>
        <w:ind w:firstLine="360"/>
        <w:rPr>
          <w:rFonts w:ascii="Times New Roman" w:hAnsi="Times New Roman"/>
          <w:i/>
          <w:sz w:val="22"/>
          <w:szCs w:val="22"/>
        </w:rPr>
      </w:pPr>
      <w:r w:rsidRPr="00D66ADC">
        <w:rPr>
          <w:rFonts w:ascii="Times New Roman" w:hAnsi="Times New Roman"/>
          <w:i/>
          <w:sz w:val="22"/>
          <w:szCs w:val="22"/>
        </w:rPr>
        <w:t>RF source</w:t>
      </w:r>
      <w:r w:rsidRPr="00D66ADC">
        <w:rPr>
          <w:rFonts w:ascii="Times New Roman" w:hAnsi="Times New Roman"/>
          <w:sz w:val="22"/>
          <w:szCs w:val="22"/>
        </w:rPr>
        <w:t xml:space="preserve"> is Commission-regulated equipment that transmits or generates RF fields or waves, whether intentionally or unintentionally, via one or more </w:t>
      </w:r>
      <w:r w:rsidRPr="00D66ADC">
        <w:rPr>
          <w:rFonts w:ascii="Times New Roman" w:hAnsi="Times New Roman"/>
          <w:i/>
          <w:sz w:val="22"/>
          <w:szCs w:val="22"/>
        </w:rPr>
        <w:t>radiating structure</w:t>
      </w:r>
      <w:r w:rsidRPr="00D66ADC">
        <w:rPr>
          <w:rFonts w:ascii="Times New Roman" w:hAnsi="Times New Roman"/>
          <w:sz w:val="22"/>
          <w:szCs w:val="22"/>
        </w:rPr>
        <w:t>(</w:t>
      </w:r>
      <w:r w:rsidRPr="00D66ADC">
        <w:rPr>
          <w:rFonts w:ascii="Times New Roman" w:hAnsi="Times New Roman"/>
          <w:i/>
          <w:sz w:val="22"/>
          <w:szCs w:val="22"/>
        </w:rPr>
        <w:t>s</w:t>
      </w:r>
      <w:r w:rsidRPr="00D66ADC">
        <w:rPr>
          <w:rFonts w:ascii="Times New Roman" w:hAnsi="Times New Roman"/>
          <w:sz w:val="22"/>
          <w:szCs w:val="22"/>
        </w:rPr>
        <w:t xml:space="preserve">).  Multiple </w:t>
      </w:r>
      <w:r w:rsidRPr="00D66ADC">
        <w:rPr>
          <w:rFonts w:ascii="Times New Roman" w:hAnsi="Times New Roman"/>
          <w:i/>
          <w:sz w:val="22"/>
          <w:szCs w:val="22"/>
        </w:rPr>
        <w:t>RF sources</w:t>
      </w:r>
      <w:r w:rsidRPr="00D66ADC">
        <w:rPr>
          <w:rFonts w:ascii="Times New Roman" w:hAnsi="Times New Roman"/>
          <w:sz w:val="22"/>
          <w:szCs w:val="22"/>
        </w:rPr>
        <w:t xml:space="preserve"> may exist in a single </w:t>
      </w:r>
      <w:r w:rsidRPr="00D66ADC">
        <w:rPr>
          <w:rFonts w:ascii="Times New Roman" w:hAnsi="Times New Roman"/>
          <w:i/>
          <w:sz w:val="22"/>
          <w:szCs w:val="22"/>
        </w:rPr>
        <w:t>device</w:t>
      </w:r>
      <w:r w:rsidRPr="00D66ADC">
        <w:rPr>
          <w:rFonts w:ascii="Times New Roman" w:hAnsi="Times New Roman"/>
          <w:sz w:val="22"/>
          <w:szCs w:val="22"/>
        </w:rPr>
        <w:t>.</w:t>
      </w:r>
    </w:p>
    <w:p w:rsidRPr="00D66ADC" w:rsidR="00D66ADC" w:rsidP="00D66ADC" w:rsidRDefault="00D66ADC" w14:paraId="4DB7DBAF" w14:textId="77777777">
      <w:pPr>
        <w:suppressAutoHyphens/>
        <w:ind w:firstLine="360"/>
        <w:rPr>
          <w:rFonts w:ascii="Times New Roman" w:hAnsi="Times New Roman"/>
          <w:i/>
          <w:sz w:val="22"/>
          <w:szCs w:val="22"/>
        </w:rPr>
      </w:pPr>
    </w:p>
    <w:p w:rsidRPr="00D66ADC" w:rsidR="00D66ADC" w:rsidP="00D66ADC" w:rsidRDefault="00D66ADC" w14:paraId="2173B00D" w14:textId="77777777">
      <w:pPr>
        <w:suppressAutoHyphens/>
        <w:ind w:firstLine="360"/>
        <w:rPr>
          <w:rFonts w:ascii="Times New Roman" w:hAnsi="Times New Roman"/>
          <w:sz w:val="22"/>
          <w:szCs w:val="22"/>
        </w:rPr>
      </w:pPr>
      <w:r w:rsidRPr="00D66ADC">
        <w:rPr>
          <w:rFonts w:ascii="Times New Roman" w:hAnsi="Times New Roman"/>
          <w:i/>
          <w:sz w:val="22"/>
          <w:szCs w:val="22"/>
        </w:rPr>
        <w:t>Separation distance</w:t>
      </w:r>
      <w:r w:rsidRPr="00D66ADC">
        <w:rPr>
          <w:rFonts w:ascii="Times New Roman" w:hAnsi="Times New Roman"/>
          <w:sz w:val="22"/>
          <w:szCs w:val="22"/>
        </w:rPr>
        <w:t xml:space="preserve"> (variable R in Table 1) is the minimum distance in any direction from any part of a </w:t>
      </w:r>
      <w:r w:rsidRPr="00D66ADC">
        <w:rPr>
          <w:rFonts w:ascii="Times New Roman" w:hAnsi="Times New Roman"/>
          <w:i/>
          <w:sz w:val="22"/>
          <w:szCs w:val="22"/>
        </w:rPr>
        <w:t>radiating structure</w:t>
      </w:r>
      <w:r w:rsidRPr="00D66ADC">
        <w:rPr>
          <w:rFonts w:ascii="Times New Roman" w:hAnsi="Times New Roman"/>
          <w:sz w:val="22"/>
          <w:szCs w:val="22"/>
        </w:rPr>
        <w:t xml:space="preserve"> and any part of the body of a nearby person;</w:t>
      </w:r>
    </w:p>
    <w:p w:rsidRPr="00D66ADC" w:rsidR="00D66ADC" w:rsidP="00D66ADC" w:rsidRDefault="00D66ADC" w14:paraId="6E35B6A4" w14:textId="77777777">
      <w:pPr>
        <w:suppressAutoHyphens/>
        <w:ind w:firstLine="360"/>
        <w:rPr>
          <w:rFonts w:ascii="Times New Roman" w:hAnsi="Times New Roman"/>
          <w:sz w:val="22"/>
          <w:szCs w:val="22"/>
        </w:rPr>
      </w:pPr>
    </w:p>
    <w:p w:rsidRPr="00D66ADC" w:rsidR="00D66ADC" w:rsidP="00D66ADC" w:rsidRDefault="00D66ADC" w14:paraId="1DAC9C34" w14:textId="77777777">
      <w:pPr>
        <w:suppressAutoHyphens/>
        <w:ind w:firstLine="360"/>
        <w:rPr>
          <w:rFonts w:ascii="Times New Roman" w:hAnsi="Times New Roman"/>
          <w:i/>
          <w:sz w:val="22"/>
          <w:szCs w:val="22"/>
        </w:rPr>
      </w:pPr>
      <w:r w:rsidRPr="00D66ADC">
        <w:rPr>
          <w:rFonts w:ascii="Times New Roman" w:hAnsi="Times New Roman"/>
          <w:i/>
          <w:sz w:val="22"/>
          <w:szCs w:val="22"/>
        </w:rPr>
        <w:t>Source-based time averaging</w:t>
      </w:r>
      <w:r w:rsidRPr="00D66ADC">
        <w:rPr>
          <w:rFonts w:ascii="Times New Roman" w:hAnsi="Times New Roman"/>
          <w:sz w:val="22"/>
          <w:szCs w:val="22"/>
        </w:rPr>
        <w:t xml:space="preserve"> is an average of instantaneous exposure over a </w:t>
      </w:r>
      <w:r w:rsidRPr="00D66ADC">
        <w:rPr>
          <w:rFonts w:ascii="Times New Roman" w:hAnsi="Times New Roman"/>
          <w:i/>
          <w:sz w:val="22"/>
          <w:szCs w:val="22"/>
        </w:rPr>
        <w:t>time-averaging period</w:t>
      </w:r>
      <w:r w:rsidRPr="00D66ADC">
        <w:rPr>
          <w:rFonts w:ascii="Times New Roman" w:hAnsi="Times New Roman"/>
          <w:sz w:val="22"/>
          <w:szCs w:val="22"/>
        </w:rPr>
        <w:t xml:space="preserve"> that is based on an inherent property or duty-cycle of a device to ensure compliance with the </w:t>
      </w:r>
      <w:r w:rsidRPr="00D66ADC">
        <w:rPr>
          <w:rFonts w:ascii="Times New Roman" w:hAnsi="Times New Roman"/>
          <w:i/>
          <w:sz w:val="22"/>
          <w:szCs w:val="22"/>
        </w:rPr>
        <w:t>continuous exposure</w:t>
      </w:r>
      <w:r w:rsidRPr="00D66ADC">
        <w:rPr>
          <w:rFonts w:ascii="Times New Roman" w:hAnsi="Times New Roman"/>
          <w:sz w:val="22"/>
          <w:szCs w:val="22"/>
        </w:rPr>
        <w:t xml:space="preserve"> limits;</w:t>
      </w:r>
    </w:p>
    <w:p w:rsidRPr="00D66ADC" w:rsidR="00D66ADC" w:rsidP="00D66ADC" w:rsidRDefault="00D66ADC" w14:paraId="01F13CA7" w14:textId="77777777">
      <w:pPr>
        <w:suppressAutoHyphens/>
        <w:ind w:firstLine="360"/>
        <w:rPr>
          <w:rFonts w:ascii="Times New Roman" w:hAnsi="Times New Roman"/>
          <w:i/>
          <w:sz w:val="22"/>
          <w:szCs w:val="22"/>
        </w:rPr>
      </w:pPr>
    </w:p>
    <w:p w:rsidRPr="00D66ADC" w:rsidR="00D66ADC" w:rsidP="00D66ADC" w:rsidRDefault="00D66ADC" w14:paraId="1EB08A44" w14:textId="77777777">
      <w:pPr>
        <w:widowControl/>
        <w:suppressAutoHyphens/>
        <w:ind w:firstLine="360"/>
        <w:rPr>
          <w:rFonts w:ascii="Times New Roman" w:hAnsi="Times New Roman"/>
          <w:sz w:val="22"/>
          <w:szCs w:val="22"/>
        </w:rPr>
      </w:pPr>
      <w:r w:rsidRPr="00D66ADC">
        <w:rPr>
          <w:rFonts w:ascii="Times New Roman" w:hAnsi="Times New Roman"/>
          <w:i/>
          <w:sz w:val="22"/>
          <w:szCs w:val="22"/>
        </w:rPr>
        <w:t>Time-averaging period</w:t>
      </w:r>
      <w:r w:rsidRPr="00D66ADC">
        <w:rPr>
          <w:rFonts w:ascii="Times New Roman" w:hAnsi="Times New Roman"/>
          <w:sz w:val="22"/>
          <w:szCs w:val="22"/>
        </w:rPr>
        <w:t xml:space="preserve"> is a time period not to exceed 30 minutes for fixed RF sources or a time period inherent from device transmission characteristics not to exceed 30 minutes for mobile and portable RF sources;</w:t>
      </w:r>
    </w:p>
    <w:p w:rsidRPr="00D66ADC" w:rsidR="00D66ADC" w:rsidP="00D66ADC" w:rsidRDefault="00D66ADC" w14:paraId="75B52400" w14:textId="77777777">
      <w:pPr>
        <w:suppressAutoHyphens/>
        <w:ind w:firstLine="360"/>
        <w:rPr>
          <w:rFonts w:ascii="Times New Roman" w:hAnsi="Times New Roman"/>
          <w:sz w:val="22"/>
          <w:szCs w:val="22"/>
        </w:rPr>
      </w:pPr>
    </w:p>
    <w:p w:rsidRPr="00D66ADC" w:rsidR="00D66ADC" w:rsidP="00D66ADC" w:rsidRDefault="00D66ADC" w14:paraId="413307EA" w14:textId="77777777">
      <w:pPr>
        <w:suppressAutoHyphens/>
        <w:ind w:firstLine="360"/>
        <w:rPr>
          <w:rFonts w:ascii="Times New Roman" w:hAnsi="Times New Roman"/>
          <w:sz w:val="22"/>
          <w:szCs w:val="22"/>
        </w:rPr>
      </w:pPr>
      <w:r w:rsidRPr="00D66ADC">
        <w:rPr>
          <w:rFonts w:ascii="Times New Roman" w:hAnsi="Times New Roman"/>
          <w:i/>
          <w:sz w:val="22"/>
          <w:szCs w:val="22"/>
        </w:rPr>
        <w:t>Transient individual</w:t>
      </w:r>
      <w:r w:rsidRPr="00D66ADC">
        <w:rPr>
          <w:rFonts w:ascii="Times New Roman" w:hAnsi="Times New Roman"/>
          <w:sz w:val="22"/>
          <w:szCs w:val="22"/>
        </w:rPr>
        <w:t xml:space="preserve"> is an untrained person in a location where occupational/controlled limits apply, </w:t>
      </w:r>
      <w:r w:rsidRPr="00D66ADC">
        <w:rPr>
          <w:rFonts w:ascii="Times New Roman" w:hAnsi="Times New Roman"/>
          <w:sz w:val="22"/>
          <w:szCs w:val="22"/>
        </w:rPr>
        <w:lastRenderedPageBreak/>
        <w:t>and he or she must be made aware of the potential for exposure and be supervised by trained personnel pursuant to Section 1.1307(b)(4) of this chapter where use of time averaging is required to ensure compliance with the general population exposure limits in Section 1.1310 of this chapter.</w:t>
      </w:r>
    </w:p>
    <w:p w:rsidRPr="00D66ADC" w:rsidR="00D66ADC" w:rsidP="00D66ADC" w:rsidRDefault="00D66ADC" w14:paraId="5DC375D8"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bookmarkStart w:name="OLE_LINK20" w:id="3"/>
    </w:p>
    <w:p w:rsidRPr="00D66ADC" w:rsidR="00D66ADC" w:rsidP="00D66ADC" w:rsidRDefault="00D66ADC" w14:paraId="2E8CD781" w14:textId="77777777">
      <w:pPr>
        <w:suppressAutoHyphens/>
        <w:ind w:firstLine="360"/>
        <w:rPr>
          <w:rFonts w:ascii="Times New Roman" w:hAnsi="Times New Roman"/>
          <w:spacing w:val="-3"/>
          <w:sz w:val="22"/>
          <w:szCs w:val="22"/>
        </w:rPr>
      </w:pPr>
      <w:bookmarkStart w:name="OLE_LINK21" w:id="4"/>
      <w:bookmarkEnd w:id="3"/>
      <w:r w:rsidRPr="00D66ADC">
        <w:rPr>
          <w:rFonts w:ascii="Times New Roman" w:hAnsi="Times New Roman"/>
          <w:sz w:val="22"/>
          <w:szCs w:val="22"/>
        </w:rPr>
        <w:t>(</w:t>
      </w:r>
      <w:r w:rsidRPr="00D66ADC">
        <w:rPr>
          <w:rFonts w:ascii="Times New Roman" w:hAnsi="Times New Roman"/>
          <w:spacing w:val="-3"/>
          <w:sz w:val="22"/>
          <w:szCs w:val="22"/>
        </w:rPr>
        <w:t>3) Determination of exemption.</w:t>
      </w:r>
    </w:p>
    <w:p w:rsidRPr="00D66ADC" w:rsidR="00D66ADC" w:rsidP="00D66ADC" w:rsidRDefault="00D66ADC" w14:paraId="6C344940"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p>
    <w:p w:rsidRPr="00D66ADC" w:rsidR="00D66ADC" w:rsidP="00D66ADC" w:rsidRDefault="00D66ADC" w14:paraId="2CEB10D7" w14:textId="77777777">
      <w:pPr>
        <w:suppressAutoHyphens/>
        <w:ind w:firstLine="360"/>
        <w:rPr>
          <w:rFonts w:ascii="Times New Roman" w:hAnsi="Times New Roman"/>
          <w:spacing w:val="-3"/>
          <w:sz w:val="22"/>
          <w:szCs w:val="22"/>
        </w:rPr>
      </w:pPr>
      <w:r w:rsidRPr="00D66ADC">
        <w:rPr>
          <w:rFonts w:ascii="Times New Roman" w:hAnsi="Times New Roman"/>
          <w:sz w:val="22"/>
          <w:szCs w:val="22"/>
        </w:rPr>
        <w:t>(</w:t>
      </w:r>
      <w:r w:rsidRPr="00D66ADC">
        <w:rPr>
          <w:rFonts w:ascii="Times New Roman" w:hAnsi="Times New Roman"/>
          <w:spacing w:val="-3"/>
          <w:sz w:val="22"/>
          <w:szCs w:val="22"/>
        </w:rPr>
        <w:t>i) For single RF sources (</w:t>
      </w:r>
      <w:r w:rsidRPr="00D66ADC">
        <w:rPr>
          <w:rFonts w:ascii="Times New Roman" w:hAnsi="Times New Roman"/>
          <w:i/>
          <w:spacing w:val="-3"/>
          <w:sz w:val="22"/>
          <w:szCs w:val="22"/>
        </w:rPr>
        <w:t>i.e.</w:t>
      </w:r>
      <w:r w:rsidRPr="00D66ADC">
        <w:rPr>
          <w:rFonts w:ascii="Times New Roman" w:hAnsi="Times New Roman"/>
          <w:spacing w:val="-3"/>
          <w:sz w:val="22"/>
          <w:szCs w:val="22"/>
        </w:rPr>
        <w:t xml:space="preserve">, any single fixed RF source, mobile device, or portable device, as defined in </w:t>
      </w:r>
      <w:r w:rsidR="009864CE">
        <w:rPr>
          <w:rFonts w:ascii="Times New Roman" w:hAnsi="Times New Roman"/>
          <w:spacing w:val="-3"/>
          <w:sz w:val="22"/>
          <w:szCs w:val="22"/>
        </w:rPr>
        <w:t xml:space="preserve">paragraph </w:t>
      </w:r>
      <w:r w:rsidRPr="00D66ADC">
        <w:rPr>
          <w:rFonts w:ascii="Times New Roman" w:hAnsi="Times New Roman"/>
          <w:spacing w:val="-3"/>
          <w:sz w:val="22"/>
          <w:szCs w:val="22"/>
        </w:rPr>
        <w:t xml:space="preserve">(b)(2) of this </w:t>
      </w:r>
      <w:r w:rsidR="009864CE">
        <w:rPr>
          <w:rFonts w:ascii="Times New Roman" w:hAnsi="Times New Roman"/>
          <w:spacing w:val="-3"/>
          <w:sz w:val="22"/>
          <w:szCs w:val="22"/>
        </w:rPr>
        <w:t>section</w:t>
      </w:r>
      <w:r w:rsidRPr="00D66ADC">
        <w:rPr>
          <w:rFonts w:ascii="Times New Roman" w:hAnsi="Times New Roman"/>
          <w:spacing w:val="-3"/>
          <w:sz w:val="22"/>
          <w:szCs w:val="22"/>
        </w:rPr>
        <w:t xml:space="preserve">):  A single RF source is exempt if: </w:t>
      </w:r>
    </w:p>
    <w:p w:rsidRPr="00D66ADC" w:rsidR="00D66ADC" w:rsidP="00D66ADC" w:rsidRDefault="00D66ADC" w14:paraId="50F1D3DB"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p>
    <w:p w:rsidRPr="00D66ADC" w:rsidR="00D66ADC" w:rsidP="00D66ADC" w:rsidRDefault="00D66ADC" w14:paraId="68596AE6" w14:textId="77777777">
      <w:pPr>
        <w:suppressAutoHyphens/>
        <w:ind w:firstLine="360"/>
        <w:rPr>
          <w:rFonts w:ascii="Times New Roman" w:hAnsi="Times New Roman"/>
          <w:spacing w:val="-3"/>
          <w:sz w:val="22"/>
          <w:szCs w:val="22"/>
        </w:rPr>
      </w:pPr>
      <w:r w:rsidRPr="00D66ADC">
        <w:rPr>
          <w:rFonts w:ascii="Times New Roman" w:hAnsi="Times New Roman"/>
          <w:spacing w:val="-3"/>
          <w:sz w:val="22"/>
          <w:szCs w:val="22"/>
        </w:rPr>
        <w:t xml:space="preserve">(A) </w:t>
      </w:r>
      <w:r w:rsidR="009864CE">
        <w:rPr>
          <w:rFonts w:ascii="Times New Roman" w:hAnsi="Times New Roman"/>
          <w:spacing w:val="-3"/>
          <w:sz w:val="22"/>
          <w:szCs w:val="22"/>
        </w:rPr>
        <w:t>T</w:t>
      </w:r>
      <w:r w:rsidRPr="00D66ADC">
        <w:rPr>
          <w:rFonts w:ascii="Times New Roman" w:hAnsi="Times New Roman"/>
          <w:spacing w:val="-3"/>
          <w:sz w:val="22"/>
          <w:szCs w:val="22"/>
        </w:rPr>
        <w:t xml:space="preserve">he available maximum time-averaged power is no more than 1 </w:t>
      </w:r>
      <w:proofErr w:type="spellStart"/>
      <w:r w:rsidRPr="00D66ADC">
        <w:rPr>
          <w:rFonts w:ascii="Times New Roman" w:hAnsi="Times New Roman"/>
          <w:spacing w:val="-3"/>
          <w:sz w:val="22"/>
          <w:szCs w:val="22"/>
        </w:rPr>
        <w:t>mW</w:t>
      </w:r>
      <w:proofErr w:type="spellEnd"/>
      <w:r w:rsidRPr="00D66ADC">
        <w:rPr>
          <w:rFonts w:ascii="Times New Roman" w:hAnsi="Times New Roman"/>
          <w:spacing w:val="-3"/>
          <w:sz w:val="22"/>
          <w:szCs w:val="22"/>
        </w:rPr>
        <w:t>, regardless of separation distance</w:t>
      </w:r>
      <w:r w:rsidRPr="00D66ADC">
        <w:rPr>
          <w:rFonts w:ascii="Times New Roman" w:hAnsi="Times New Roman"/>
          <w:sz w:val="22"/>
          <w:szCs w:val="22"/>
        </w:rPr>
        <w:t xml:space="preserve">. </w:t>
      </w:r>
      <w:r w:rsidRPr="00D66ADC">
        <w:rPr>
          <w:rFonts w:ascii="Times New Roman" w:hAnsi="Times New Roman"/>
          <w:spacing w:val="-3"/>
          <w:sz w:val="22"/>
          <w:szCs w:val="22"/>
        </w:rPr>
        <w:t xml:space="preserve">This exemption may not be used in conjunction with other exemption criteria other than those in </w:t>
      </w:r>
      <w:r w:rsidR="009864CE">
        <w:rPr>
          <w:rFonts w:ascii="Times New Roman" w:hAnsi="Times New Roman"/>
          <w:spacing w:val="-3"/>
          <w:sz w:val="22"/>
          <w:szCs w:val="22"/>
        </w:rPr>
        <w:t xml:space="preserve">paragraph </w:t>
      </w:r>
      <w:r w:rsidRPr="00D66ADC">
        <w:rPr>
          <w:rFonts w:ascii="Times New Roman" w:hAnsi="Times New Roman"/>
          <w:spacing w:val="-3"/>
          <w:sz w:val="22"/>
          <w:szCs w:val="22"/>
        </w:rPr>
        <w:t>(b)(3)(ii)(A)</w:t>
      </w:r>
      <w:r w:rsidR="009864CE">
        <w:rPr>
          <w:rFonts w:ascii="Times New Roman" w:hAnsi="Times New Roman"/>
          <w:spacing w:val="-3"/>
          <w:sz w:val="22"/>
          <w:szCs w:val="22"/>
        </w:rPr>
        <w:t xml:space="preserve"> of this section</w:t>
      </w:r>
      <w:r w:rsidRPr="00D66ADC">
        <w:rPr>
          <w:rFonts w:ascii="Times New Roman" w:hAnsi="Times New Roman"/>
          <w:spacing w:val="-3"/>
          <w:sz w:val="22"/>
          <w:szCs w:val="22"/>
        </w:rPr>
        <w:t xml:space="preserve">.  Medical implant devices may only use this exemption and that in </w:t>
      </w:r>
      <w:r w:rsidR="009864CE">
        <w:rPr>
          <w:rFonts w:ascii="Times New Roman" w:hAnsi="Times New Roman"/>
          <w:spacing w:val="-3"/>
          <w:sz w:val="22"/>
          <w:szCs w:val="22"/>
        </w:rPr>
        <w:t xml:space="preserve">paragraph </w:t>
      </w:r>
      <w:r w:rsidRPr="00D66ADC">
        <w:rPr>
          <w:rFonts w:ascii="Times New Roman" w:hAnsi="Times New Roman"/>
          <w:spacing w:val="-3"/>
          <w:sz w:val="22"/>
          <w:szCs w:val="22"/>
        </w:rPr>
        <w:t>(b)(3)(ii)(A);</w:t>
      </w:r>
    </w:p>
    <w:p w:rsidRPr="00D66ADC" w:rsidR="00D66ADC" w:rsidP="00D66ADC" w:rsidRDefault="00D66ADC" w14:paraId="4966DA70"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p>
    <w:p w:rsidRPr="00D66ADC" w:rsidR="00D66ADC" w:rsidP="00D66ADC" w:rsidRDefault="00D66ADC" w14:paraId="09D6CF36" w14:textId="77777777">
      <w:pPr>
        <w:tabs>
          <w:tab w:val="left" w:pos="-1440"/>
          <w:tab w:val="left" w:pos="-720"/>
          <w:tab w:val="left" w:pos="4320"/>
          <w:tab w:val="left" w:leader="dot" w:pos="8190"/>
          <w:tab w:val="left" w:pos="8640"/>
        </w:tabs>
        <w:suppressAutoHyphens/>
        <w:ind w:firstLine="360"/>
        <w:rPr>
          <w:rFonts w:ascii="Times New Roman" w:hAnsi="Times New Roman"/>
          <w:spacing w:val="-3"/>
          <w:sz w:val="22"/>
          <w:szCs w:val="22"/>
        </w:rPr>
      </w:pPr>
      <w:r w:rsidRPr="00D66ADC">
        <w:rPr>
          <w:rFonts w:ascii="Times New Roman" w:hAnsi="Times New Roman"/>
          <w:spacing w:val="-3"/>
          <w:sz w:val="22"/>
          <w:szCs w:val="22"/>
        </w:rPr>
        <w:t xml:space="preserve">(B) </w:t>
      </w:r>
      <w:r w:rsidR="009864CE">
        <w:rPr>
          <w:rFonts w:ascii="Times New Roman" w:hAnsi="Times New Roman"/>
          <w:spacing w:val="-3"/>
          <w:sz w:val="22"/>
          <w:szCs w:val="22"/>
        </w:rPr>
        <w:t>T</w:t>
      </w:r>
      <w:r w:rsidRPr="00D66ADC">
        <w:rPr>
          <w:rFonts w:ascii="Times New Roman" w:hAnsi="Times New Roman"/>
          <w:spacing w:val="-3"/>
          <w:sz w:val="22"/>
          <w:szCs w:val="22"/>
        </w:rPr>
        <w:t>r the available maximum time-averaged power or effective radiated power (ERP), whichever is greater,</w:t>
      </w:r>
      <w:r w:rsidRPr="00D66ADC">
        <w:rPr>
          <w:rFonts w:ascii="Times New Roman" w:hAnsi="Times New Roman"/>
          <w:sz w:val="22"/>
          <w:szCs w:val="22"/>
        </w:rPr>
        <w:t xml:space="preserve"> </w:t>
      </w:r>
      <w:r w:rsidRPr="00D66ADC">
        <w:rPr>
          <w:rFonts w:ascii="Times New Roman" w:hAnsi="Times New Roman"/>
          <w:spacing w:val="-3"/>
          <w:sz w:val="22"/>
          <w:szCs w:val="22"/>
        </w:rPr>
        <w:t xml:space="preserve">is less than or equal to the threshold </w:t>
      </w:r>
      <w:proofErr w:type="spellStart"/>
      <w:r w:rsidRPr="00D66ADC">
        <w:rPr>
          <w:rFonts w:ascii="Times New Roman" w:hAnsi="Times New Roman"/>
          <w:i/>
          <w:spacing w:val="-3"/>
          <w:sz w:val="22"/>
          <w:szCs w:val="22"/>
        </w:rPr>
        <w:t>P</w:t>
      </w:r>
      <w:r w:rsidRPr="00D66ADC">
        <w:rPr>
          <w:rFonts w:ascii="Times New Roman" w:hAnsi="Times New Roman"/>
          <w:i/>
          <w:spacing w:val="-3"/>
          <w:sz w:val="22"/>
          <w:szCs w:val="22"/>
          <w:vertAlign w:val="subscript"/>
        </w:rPr>
        <w:t>th</w:t>
      </w:r>
      <w:proofErr w:type="spellEnd"/>
      <w:r w:rsidRPr="00D66ADC">
        <w:rPr>
          <w:rFonts w:ascii="Times New Roman" w:hAnsi="Times New Roman"/>
          <w:sz w:val="22"/>
          <w:szCs w:val="22"/>
        </w:rPr>
        <w:t xml:space="preserve"> (</w:t>
      </w:r>
      <w:proofErr w:type="spellStart"/>
      <w:r w:rsidRPr="00D66ADC">
        <w:rPr>
          <w:rFonts w:ascii="Times New Roman" w:hAnsi="Times New Roman"/>
          <w:spacing w:val="-3"/>
          <w:sz w:val="22"/>
          <w:szCs w:val="22"/>
        </w:rPr>
        <w:t>mW</w:t>
      </w:r>
      <w:proofErr w:type="spellEnd"/>
      <w:r w:rsidRPr="00D66ADC">
        <w:rPr>
          <w:rFonts w:ascii="Times New Roman" w:hAnsi="Times New Roman"/>
          <w:spacing w:val="-3"/>
          <w:sz w:val="22"/>
          <w:szCs w:val="22"/>
        </w:rPr>
        <w:t xml:space="preserve">) described in the following formula.  This method shall only be used at separation distances (cm) from 0.5 centimeters to 40 centimeters and at frequencies from 0.3 GHz to 6 GHz (inclusive).  </w:t>
      </w:r>
      <w:proofErr w:type="spellStart"/>
      <w:r w:rsidRPr="00D66ADC">
        <w:rPr>
          <w:rFonts w:ascii="Times New Roman" w:hAnsi="Times New Roman"/>
          <w:i/>
          <w:spacing w:val="-3"/>
          <w:sz w:val="22"/>
          <w:szCs w:val="22"/>
        </w:rPr>
        <w:t>P</w:t>
      </w:r>
      <w:r w:rsidRPr="00D66ADC">
        <w:rPr>
          <w:rFonts w:ascii="Times New Roman" w:hAnsi="Times New Roman"/>
          <w:i/>
          <w:spacing w:val="-3"/>
          <w:sz w:val="22"/>
          <w:szCs w:val="22"/>
          <w:vertAlign w:val="subscript"/>
        </w:rPr>
        <w:t>th</w:t>
      </w:r>
      <w:proofErr w:type="spellEnd"/>
      <w:r w:rsidRPr="00D66ADC">
        <w:rPr>
          <w:rFonts w:ascii="Times New Roman" w:hAnsi="Times New Roman"/>
          <w:spacing w:val="-3"/>
          <w:sz w:val="22"/>
          <w:szCs w:val="22"/>
        </w:rPr>
        <w:t xml:space="preserve"> is given by:</w:t>
      </w:r>
    </w:p>
    <w:p w:rsidRPr="00D66ADC" w:rsidR="00D66ADC" w:rsidP="00D66ADC" w:rsidRDefault="00D66ADC" w14:paraId="10D7F9E6" w14:textId="77777777">
      <w:pPr>
        <w:ind w:left="360"/>
        <w:rPr>
          <w:rFonts w:ascii="Times New Roman" w:hAnsi="Times New Roman"/>
          <w:sz w:val="22"/>
          <w:szCs w:val="22"/>
        </w:rPr>
      </w:pPr>
    </w:p>
    <w:p w:rsidRPr="00C741C7" w:rsidR="00D66ADC" w:rsidP="00D66ADC" w:rsidRDefault="003D250C" w14:paraId="489AB7A2" w14:textId="24B66B5A">
      <w:pPr>
        <w:tabs>
          <w:tab w:val="left" w:pos="1440"/>
        </w:tabs>
        <w:ind w:left="360"/>
        <w:jc w:val="center"/>
        <w:rPr>
          <w:rFonts w:ascii="Times New Roman" w:hAnsi="Times New Roman"/>
          <w:sz w:val="22"/>
          <w:szCs w:val="22"/>
        </w:rPr>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th</m:t>
              </m:r>
            </m:sub>
          </m:sSub>
          <m:r>
            <w:rPr>
              <w:rFonts w:ascii="Cambria Math" w:hAnsi="Cambria Math"/>
            </w:rPr>
            <m:t xml:space="preserve"> </m:t>
          </m:r>
          <m:d>
            <m:dPr>
              <m:ctrlPr>
                <w:rPr>
                  <w:rFonts w:ascii="Cambria Math" w:hAnsi="Cambria Math"/>
                  <w:i/>
                </w:rPr>
              </m:ctrlPr>
            </m:dPr>
            <m:e>
              <m:r>
                <m:rPr>
                  <m:nor/>
                </m:rPr>
                <m:t>mW</m:t>
              </m:r>
            </m:e>
          </m:d>
          <m:r>
            <w:rPr>
              <w:rFonts w:ascii="Cambria Math" w:hAnsi="Cambria Math"/>
            </w:rPr>
            <m:t>=</m:t>
          </m:r>
          <m:d>
            <m:dPr>
              <m:begChr m:val="{"/>
              <m:endChr m:val=""/>
              <m:ctrlPr>
                <w:rPr>
                  <w:rFonts w:ascii="Cambria Math" w:hAnsi="Cambria Math"/>
                  <w:i/>
                </w:rPr>
              </m:ctrlPr>
            </m:dPr>
            <m:e>
              <m:m>
                <m:mPr>
                  <m:rSpRule m:val="2"/>
                  <m:mcs>
                    <m:mc>
                      <m:mcPr>
                        <m:count m:val="2"/>
                        <m:mcJc m:val="left"/>
                      </m:mcPr>
                    </m:mc>
                  </m:mcs>
                  <m:ctrlPr>
                    <w:rPr>
                      <w:rFonts w:ascii="Cambria Math" w:hAnsi="Cambria Math"/>
                      <w:i/>
                    </w:rPr>
                  </m:ctrlPr>
                </m:mPr>
                <m:mr>
                  <m:e>
                    <m:sSub>
                      <m:sSubPr>
                        <m:ctrlPr>
                          <w:rPr>
                            <w:rFonts w:ascii="Cambria Math" w:hAnsi="Cambria Math"/>
                            <w:i/>
                          </w:rPr>
                        </m:ctrlPr>
                      </m:sSubPr>
                      <m:e>
                        <m:r>
                          <w:rPr>
                            <w:rFonts w:ascii="Cambria Math" w:hAnsi="Cambria Math"/>
                          </w:rPr>
                          <m:t>ERP</m:t>
                        </m:r>
                      </m:e>
                      <m:sub>
                        <m:r>
                          <w:rPr>
                            <w:rFonts w:ascii="Cambria Math" w:hAnsi="Cambria Math"/>
                          </w:rPr>
                          <m:t>20 cm</m:t>
                        </m:r>
                      </m:sub>
                    </m:sSub>
                    <m:sSup>
                      <m:sSupPr>
                        <m:ctrlPr>
                          <w:rPr>
                            <w:rFonts w:ascii="Cambria Math" w:hAnsi="Cambria Math"/>
                            <w:i/>
                          </w:rPr>
                        </m:ctrlPr>
                      </m:sSupPr>
                      <m:e>
                        <m:d>
                          <m:dPr>
                            <m:ctrlPr>
                              <w:rPr>
                                <w:rFonts w:ascii="Cambria Math" w:hAnsi="Cambria Math"/>
                                <w:i/>
                              </w:rPr>
                            </m:ctrlPr>
                          </m:dPr>
                          <m:e>
                            <m:f>
                              <m:fPr>
                                <m:type m:val="lin"/>
                                <m:ctrlPr>
                                  <w:rPr>
                                    <w:rFonts w:ascii="Cambria Math" w:hAnsi="Cambria Math"/>
                                    <w:i/>
                                  </w:rPr>
                                </m:ctrlPr>
                              </m:fPr>
                              <m:num>
                                <m:r>
                                  <w:rPr>
                                    <w:rFonts w:ascii="Cambria Math" w:hAnsi="Cambria Math"/>
                                  </w:rPr>
                                  <m:t>d</m:t>
                                </m:r>
                              </m:num>
                              <m:den>
                                <m:r>
                                  <w:rPr>
                                    <w:rFonts w:ascii="Cambria Math" w:hAnsi="Cambria Math"/>
                                  </w:rPr>
                                  <m:t>20</m:t>
                                </m:r>
                                <m:r>
                                  <m:rPr>
                                    <m:nor/>
                                  </m:rPr>
                                  <m:t xml:space="preserve"> cm</m:t>
                                </m:r>
                              </m:den>
                            </m:f>
                          </m:e>
                        </m:d>
                      </m:e>
                      <m:sup>
                        <m:r>
                          <w:rPr>
                            <w:rFonts w:ascii="Cambria Math" w:hAnsi="Cambria Math"/>
                          </w:rPr>
                          <m:t>x</m:t>
                        </m:r>
                      </m:sup>
                    </m:sSup>
                  </m:e>
                  <m:e>
                    <m:r>
                      <w:rPr>
                        <w:rFonts w:ascii="Cambria Math" w:hAnsi="Cambria Math"/>
                      </w:rPr>
                      <m:t>d≤20</m:t>
                    </m:r>
                    <m:r>
                      <m:rPr>
                        <m:nor/>
                      </m:rPr>
                      <m:t xml:space="preserve"> cm</m:t>
                    </m:r>
                  </m:e>
                </m:mr>
                <m:mr>
                  <m:e>
                    <m:sSub>
                      <m:sSubPr>
                        <m:ctrlPr>
                          <w:rPr>
                            <w:rFonts w:ascii="Cambria Math" w:hAnsi="Cambria Math"/>
                            <w:i/>
                          </w:rPr>
                        </m:ctrlPr>
                      </m:sSubPr>
                      <m:e>
                        <m:r>
                          <w:rPr>
                            <w:rFonts w:ascii="Cambria Math" w:hAnsi="Cambria Math"/>
                          </w:rPr>
                          <m:t>ERP</m:t>
                        </m:r>
                      </m:e>
                      <m:sub>
                        <m:r>
                          <w:rPr>
                            <w:rFonts w:ascii="Cambria Math" w:hAnsi="Cambria Math"/>
                          </w:rPr>
                          <m:t>20 cm</m:t>
                        </m:r>
                      </m:sub>
                    </m:sSub>
                  </m:e>
                  <m:e>
                    <m:r>
                      <w:rPr>
                        <w:rFonts w:ascii="Cambria Math" w:hAnsi="Cambria Math"/>
                      </w:rPr>
                      <m:t>20</m:t>
                    </m:r>
                    <m:r>
                      <m:rPr>
                        <m:nor/>
                      </m:rPr>
                      <m:t xml:space="preserve"> cm</m:t>
                    </m:r>
                    <m:r>
                      <w:rPr>
                        <w:rFonts w:ascii="Cambria Math" w:hAnsi="Cambria Math"/>
                      </w:rPr>
                      <m:t>&lt;d≤40</m:t>
                    </m:r>
                    <m:r>
                      <m:rPr>
                        <m:nor/>
                      </m:rPr>
                      <m:t xml:space="preserve"> cm</m:t>
                    </m:r>
                  </m:e>
                </m:mr>
              </m:m>
            </m:e>
          </m:d>
        </m:oMath>
      </m:oMathPara>
    </w:p>
    <w:p w:rsidRPr="00D66ADC" w:rsidR="00D66ADC" w:rsidP="00D66ADC" w:rsidRDefault="00D66ADC" w14:paraId="72839BD6" w14:textId="77777777">
      <w:pPr>
        <w:ind w:left="360"/>
        <w:rPr>
          <w:rFonts w:ascii="Times New Roman" w:hAnsi="Times New Roman"/>
          <w:sz w:val="22"/>
          <w:szCs w:val="22"/>
        </w:rPr>
      </w:pPr>
    </w:p>
    <w:p w:rsidRPr="00D66ADC" w:rsidR="00D66ADC" w:rsidP="00D66ADC" w:rsidRDefault="00D66ADC" w14:paraId="3DFE66B7" w14:textId="77777777">
      <w:pPr>
        <w:tabs>
          <w:tab w:val="left" w:pos="1440"/>
        </w:tabs>
        <w:ind w:left="360"/>
        <w:rPr>
          <w:rFonts w:ascii="Times New Roman" w:hAnsi="Times New Roman"/>
          <w:sz w:val="22"/>
          <w:szCs w:val="22"/>
        </w:rPr>
      </w:pPr>
      <w:r w:rsidRPr="00D66ADC">
        <w:rPr>
          <w:rFonts w:ascii="Times New Roman" w:hAnsi="Times New Roman"/>
          <w:sz w:val="22"/>
          <w:szCs w:val="22"/>
        </w:rPr>
        <w:t>Where</w:t>
      </w:r>
    </w:p>
    <w:p w:rsidRPr="00C741C7" w:rsidR="00D66ADC" w:rsidP="003D1CC6" w:rsidRDefault="00C741C7" w14:paraId="63B74BA0" w14:textId="4C953D25">
      <w:pPr>
        <w:tabs>
          <w:tab w:val="left" w:pos="1440"/>
        </w:tabs>
        <w:ind w:left="360"/>
        <w:jc w:val="center"/>
        <w:rPr>
          <w:rFonts w:ascii="Times New Roman" w:hAnsi="Times New Roman"/>
          <w:sz w:val="22"/>
          <w:szCs w:val="22"/>
        </w:rPr>
      </w:pPr>
      <m:oMathPara>
        <m:oMathParaPr>
          <m:jc m:val="center"/>
        </m:oMathParaPr>
        <m:oMath>
          <m:r>
            <w:rPr>
              <w:rFonts w:ascii="Cambria Math" w:hAnsi="Cambria Math"/>
            </w:rPr>
            <m:t>x=-</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r>
                        <w:rPr>
                          <w:rFonts w:ascii="Cambria Math" w:hAnsi="Cambria Math"/>
                        </w:rPr>
                        <m:t>60</m:t>
                      </m:r>
                    </m:num>
                    <m:den>
                      <m:sSub>
                        <m:sSubPr>
                          <m:ctrlPr>
                            <w:rPr>
                              <w:rFonts w:ascii="Cambria Math" w:hAnsi="Cambria Math"/>
                              <w:i/>
                            </w:rPr>
                          </m:ctrlPr>
                        </m:sSubPr>
                        <m:e>
                          <m:r>
                            <w:rPr>
                              <w:rFonts w:ascii="Cambria Math" w:hAnsi="Cambria Math"/>
                            </w:rPr>
                            <m:t>ERP</m:t>
                          </m:r>
                        </m:e>
                        <m:sub>
                          <m:r>
                            <w:rPr>
                              <w:rFonts w:ascii="Cambria Math" w:hAnsi="Cambria Math"/>
                            </w:rPr>
                            <m:t>20 cm</m:t>
                          </m:r>
                        </m:sub>
                      </m:sSub>
                      <m:rad>
                        <m:radPr>
                          <m:degHide m:val="1"/>
                          <m:ctrlPr>
                            <w:rPr>
                              <w:rFonts w:ascii="Cambria Math" w:hAnsi="Cambria Math"/>
                              <w:i/>
                            </w:rPr>
                          </m:ctrlPr>
                        </m:radPr>
                        <m:deg/>
                        <m:e>
                          <m:r>
                            <w:rPr>
                              <w:rFonts w:ascii="Cambria Math" w:hAnsi="Cambria Math"/>
                            </w:rPr>
                            <m:t>f</m:t>
                          </m:r>
                        </m:e>
                      </m:rad>
                    </m:den>
                  </m:f>
                </m:e>
              </m:d>
            </m:e>
          </m:func>
          <m:r>
            <m:rPr>
              <m:nor/>
            </m:rPr>
            <m:t xml:space="preserve"> and f is in GHz;</m:t>
          </m:r>
        </m:oMath>
      </m:oMathPara>
    </w:p>
    <w:p w:rsidRPr="00D66ADC" w:rsidR="00D66ADC" w:rsidP="00D66ADC" w:rsidRDefault="00D66ADC" w14:paraId="09DD2E77" w14:textId="77777777">
      <w:pPr>
        <w:tabs>
          <w:tab w:val="left" w:pos="1440"/>
        </w:tabs>
        <w:ind w:left="360"/>
        <w:rPr>
          <w:rFonts w:ascii="Times New Roman" w:hAnsi="Times New Roman"/>
          <w:sz w:val="22"/>
          <w:szCs w:val="22"/>
        </w:rPr>
      </w:pPr>
      <w:r w:rsidRPr="00D66ADC">
        <w:rPr>
          <w:rFonts w:ascii="Times New Roman" w:hAnsi="Times New Roman"/>
          <w:sz w:val="22"/>
          <w:szCs w:val="22"/>
        </w:rPr>
        <w:t>and</w:t>
      </w:r>
    </w:p>
    <w:p w:rsidRPr="00C741C7" w:rsidR="00D66ADC" w:rsidP="00D66ADC" w:rsidRDefault="00D66ADC" w14:paraId="054C4FF2" w14:textId="56ADAABC">
      <w:pPr>
        <w:tabs>
          <w:tab w:val="left" w:pos="-1440"/>
          <w:tab w:val="left" w:pos="-720"/>
          <w:tab w:val="left" w:pos="1440"/>
          <w:tab w:val="left" w:pos="4320"/>
          <w:tab w:val="left" w:leader="dot" w:pos="8190"/>
          <w:tab w:val="left" w:pos="8640"/>
        </w:tabs>
        <w:suppressAutoHyphens/>
        <w:ind w:left="1440"/>
        <w:contextualSpacing/>
        <w:jc w:val="center"/>
        <w:rPr>
          <w:rFonts w:ascii="Times New Roman" w:hAnsi="Times New Roman"/>
          <w:sz w:val="22"/>
          <w:szCs w:val="22"/>
        </w:rPr>
      </w:pPr>
      <w:r w:rsidRPr="00D66ADC">
        <w:rPr>
          <w:rFonts w:ascii="Times New Roman" w:hAnsi="Times New Roman"/>
          <w:sz w:val="22"/>
          <w:szCs w:val="22"/>
        </w:rPr>
        <w:br/>
      </w:r>
      <m:oMathPara>
        <m:oMath>
          <m:sSub>
            <m:sSubPr>
              <m:ctrlPr>
                <w:rPr>
                  <w:rFonts w:ascii="Cambria Math" w:hAnsi="Cambria Math"/>
                  <w:i/>
                </w:rPr>
              </m:ctrlPr>
            </m:sSubPr>
            <m:e>
              <m:r>
                <w:rPr>
                  <w:rFonts w:ascii="Cambria Math" w:hAnsi="Cambria Math"/>
                </w:rPr>
                <m:t>ERP</m:t>
              </m:r>
            </m:e>
            <m:sub>
              <m:r>
                <w:rPr>
                  <w:rFonts w:ascii="Cambria Math" w:hAnsi="Cambria Math"/>
                </w:rPr>
                <m:t>20 cm</m:t>
              </m:r>
            </m:sub>
          </m:sSub>
          <m:r>
            <w:rPr>
              <w:rFonts w:ascii="Cambria Math" w:hAnsi="Cambria Math"/>
            </w:rPr>
            <m:t xml:space="preserve"> </m:t>
          </m:r>
          <m:d>
            <m:dPr>
              <m:ctrlPr>
                <w:rPr>
                  <w:rFonts w:ascii="Cambria Math" w:hAnsi="Cambria Math"/>
                  <w:i/>
                </w:rPr>
              </m:ctrlPr>
            </m:dPr>
            <m:e>
              <m:r>
                <m:rPr>
                  <m:nor/>
                </m:rPr>
                <m:t>mW</m:t>
              </m:r>
            </m:e>
          </m:d>
          <m:r>
            <w:rPr>
              <w:rFonts w:ascii="Cambria Math" w:hAnsi="Cambria Math"/>
            </w:rPr>
            <m:t>=</m:t>
          </m:r>
          <m:d>
            <m:dPr>
              <m:begChr m:val="{"/>
              <m:endChr m:val=""/>
              <m:ctrlPr>
                <w:rPr>
                  <w:rFonts w:ascii="Cambria Math" w:hAnsi="Cambria Math"/>
                  <w:i/>
                </w:rPr>
              </m:ctrlPr>
            </m:dPr>
            <m:e>
              <m:m>
                <m:mPr>
                  <m:rSpRule m:val="2"/>
                  <m:mcs>
                    <m:mc>
                      <m:mcPr>
                        <m:count m:val="2"/>
                        <m:mcJc m:val="left"/>
                      </m:mcPr>
                    </m:mc>
                  </m:mcs>
                  <m:ctrlPr>
                    <w:rPr>
                      <w:rFonts w:ascii="Cambria Math" w:hAnsi="Cambria Math"/>
                      <w:i/>
                    </w:rPr>
                  </m:ctrlPr>
                </m:mPr>
                <m:mr>
                  <m:e>
                    <m:r>
                      <w:rPr>
                        <w:rFonts w:ascii="Cambria Math" w:hAnsi="Cambria Math"/>
                      </w:rPr>
                      <m:t>2040f</m:t>
                    </m:r>
                  </m:e>
                  <m:e>
                    <m:r>
                      <w:rPr>
                        <w:rFonts w:ascii="Cambria Math" w:hAnsi="Cambria Math"/>
                      </w:rPr>
                      <m:t>0.3</m:t>
                    </m:r>
                    <m:r>
                      <m:rPr>
                        <m:nor/>
                      </m:rPr>
                      <m:t xml:space="preserve"> GHz</m:t>
                    </m:r>
                    <m:r>
                      <w:rPr>
                        <w:rFonts w:ascii="Cambria Math" w:hAnsi="Cambria Math"/>
                      </w:rPr>
                      <m:t>≤f&lt;1.5</m:t>
                    </m:r>
                    <m:r>
                      <m:rPr>
                        <m:nor/>
                      </m:rPr>
                      <m:t xml:space="preserve"> GHz</m:t>
                    </m:r>
                  </m:e>
                </m:mr>
                <m:mr>
                  <m:e>
                    <m:r>
                      <w:rPr>
                        <w:rFonts w:ascii="Cambria Math" w:hAnsi="Cambria Math"/>
                      </w:rPr>
                      <m:t>3060</m:t>
                    </m:r>
                  </m:e>
                  <m:e>
                    <m:r>
                      <w:rPr>
                        <w:rFonts w:ascii="Cambria Math" w:hAnsi="Cambria Math"/>
                      </w:rPr>
                      <m:t>1.5</m:t>
                    </m:r>
                    <m:r>
                      <m:rPr>
                        <m:nor/>
                      </m:rPr>
                      <m:t xml:space="preserve"> GHz</m:t>
                    </m:r>
                    <m:r>
                      <w:rPr>
                        <w:rFonts w:ascii="Cambria Math" w:hAnsi="Cambria Math"/>
                      </w:rPr>
                      <m:t>≤f≤6</m:t>
                    </m:r>
                    <m:r>
                      <m:rPr>
                        <m:nor/>
                      </m:rPr>
                      <m:t xml:space="preserve"> GHz</m:t>
                    </m:r>
                  </m:e>
                </m:mr>
              </m:m>
            </m:e>
          </m:d>
        </m:oMath>
      </m:oMathPara>
    </w:p>
    <w:p w:rsidRPr="00D66ADC" w:rsidR="00D66ADC" w:rsidP="00D66ADC" w:rsidRDefault="00D66ADC" w14:paraId="5BA399AE" w14:textId="77777777">
      <w:pPr>
        <w:ind w:left="360"/>
        <w:rPr>
          <w:rFonts w:ascii="Times New Roman" w:hAnsi="Times New Roman"/>
          <w:sz w:val="22"/>
          <w:szCs w:val="22"/>
        </w:rPr>
      </w:pPr>
    </w:p>
    <w:p w:rsidRPr="00D66ADC" w:rsidR="00D66ADC" w:rsidP="00D66ADC" w:rsidRDefault="00D66ADC" w14:paraId="2E4B8CD7" w14:textId="77777777">
      <w:pPr>
        <w:tabs>
          <w:tab w:val="left" w:pos="1440"/>
        </w:tabs>
        <w:ind w:left="360"/>
        <w:jc w:val="center"/>
        <w:rPr>
          <w:rFonts w:ascii="Times New Roman" w:hAnsi="Times New Roman"/>
          <w:sz w:val="22"/>
          <w:szCs w:val="22"/>
        </w:rPr>
      </w:pPr>
      <w:r w:rsidRPr="00D66ADC">
        <w:rPr>
          <w:rFonts w:ascii="Times New Roman" w:hAnsi="Times New Roman"/>
          <w:i/>
          <w:sz w:val="22"/>
          <w:szCs w:val="22"/>
        </w:rPr>
        <w:t>d</w:t>
      </w:r>
      <w:r w:rsidRPr="00D66ADC">
        <w:rPr>
          <w:rFonts w:ascii="Times New Roman" w:hAnsi="Times New Roman"/>
          <w:sz w:val="22"/>
          <w:szCs w:val="22"/>
        </w:rPr>
        <w:t xml:space="preserve"> = the separation distance (cm);</w:t>
      </w:r>
    </w:p>
    <w:p w:rsidRPr="00D66ADC" w:rsidR="00D66ADC" w:rsidP="00D66ADC" w:rsidRDefault="00D66ADC" w14:paraId="2366EBC6" w14:textId="77777777">
      <w:pPr>
        <w:suppressAutoHyphens/>
        <w:ind w:left="360"/>
        <w:contextualSpacing/>
        <w:rPr>
          <w:rFonts w:ascii="Times New Roman" w:hAnsi="Times New Roman"/>
          <w:sz w:val="22"/>
          <w:szCs w:val="22"/>
        </w:rPr>
      </w:pPr>
    </w:p>
    <w:p w:rsidRPr="00D66ADC" w:rsidR="00D66ADC" w:rsidP="00D66ADC" w:rsidRDefault="00D66ADC" w14:paraId="3E6FD256" w14:textId="77777777">
      <w:pPr>
        <w:ind w:firstLine="360"/>
        <w:rPr>
          <w:rFonts w:ascii="Times New Roman" w:hAnsi="Times New Roman"/>
          <w:sz w:val="22"/>
          <w:szCs w:val="22"/>
        </w:rPr>
      </w:pPr>
      <w:r w:rsidRPr="00D66ADC">
        <w:rPr>
          <w:rFonts w:ascii="Times New Roman" w:hAnsi="Times New Roman"/>
          <w:sz w:val="22"/>
          <w:szCs w:val="22"/>
        </w:rPr>
        <w:t xml:space="preserve">(C) </w:t>
      </w:r>
      <w:r w:rsidR="009864CE">
        <w:rPr>
          <w:rFonts w:ascii="Times New Roman" w:hAnsi="Times New Roman"/>
          <w:sz w:val="22"/>
          <w:szCs w:val="22"/>
        </w:rPr>
        <w:t>O</w:t>
      </w:r>
      <w:r w:rsidRPr="00D66ADC">
        <w:rPr>
          <w:rFonts w:ascii="Times New Roman" w:hAnsi="Times New Roman"/>
          <w:sz w:val="22"/>
          <w:szCs w:val="22"/>
        </w:rPr>
        <w:t>r using Table 1 and the minimum separation distance (R in meters) from the body of a nearby person for the frequency (f in MHz) at which the source operates, the ERP (watts) is no more than the calculated value prescribed for that frequency.  For the exemption in Table 1 to apply, R must be at least λ/2π, where λ is the free-space operating wavelength in meters.  If the ERP of a single RF source is not easily obtained, then the available maximum time-averaged power may be used in lieu of ERP if the physical dimensions of the radiating structure(s) do not exceed the electrical length of λ/4</w:t>
      </w:r>
      <w:r w:rsidRPr="00D66ADC">
        <w:rPr>
          <w:rFonts w:ascii="Times New Roman" w:hAnsi="Times New Roman"/>
          <w:spacing w:val="-3"/>
          <w:sz w:val="22"/>
          <w:szCs w:val="22"/>
        </w:rPr>
        <w:t xml:space="preserve"> or if the antenna gain is less than that of a half-wave dipole (1.64 linear value)</w:t>
      </w:r>
      <w:r w:rsidRPr="00D66ADC">
        <w:rPr>
          <w:rFonts w:ascii="Times New Roman" w:hAnsi="Times New Roman"/>
          <w:sz w:val="22"/>
          <w:szCs w:val="22"/>
        </w:rPr>
        <w:t>.</w:t>
      </w:r>
    </w:p>
    <w:p w:rsidRPr="00D66ADC" w:rsidR="00D66ADC" w:rsidP="00D66ADC" w:rsidRDefault="00D66ADC" w14:paraId="62E50B0D" w14:textId="77777777">
      <w:pPr>
        <w:suppressAutoHyphens/>
        <w:contextualSpacing/>
        <w:rPr>
          <w:rFonts w:ascii="Times New Roman" w:hAnsi="Times New Roman"/>
          <w:sz w:val="22"/>
          <w:szCs w:val="22"/>
        </w:rPr>
      </w:pPr>
    </w:p>
    <w:p w:rsidRPr="00D66ADC" w:rsidR="00D66ADC" w:rsidP="00D66ADC" w:rsidRDefault="00D66ADC" w14:paraId="07E5DB73" w14:textId="77777777">
      <w:pPr>
        <w:keepNext/>
        <w:spacing w:after="120"/>
        <w:jc w:val="center"/>
        <w:rPr>
          <w:rFonts w:ascii="Times New Roman" w:hAnsi="Times New Roman"/>
          <w:sz w:val="22"/>
          <w:szCs w:val="22"/>
        </w:rPr>
      </w:pPr>
      <w:bookmarkStart w:name="OLE_LINK23" w:id="5"/>
      <w:r w:rsidRPr="00D66ADC">
        <w:rPr>
          <w:rFonts w:ascii="Times New Roman" w:hAnsi="Times New Roman"/>
          <w:b/>
          <w:sz w:val="22"/>
          <w:szCs w:val="22"/>
        </w:rPr>
        <w:t>Table 1</w:t>
      </w:r>
      <w:r w:rsidRPr="001430AD">
        <w:rPr>
          <w:rFonts w:ascii="Times New Roman" w:hAnsi="Times New Roman"/>
          <w:b/>
          <w:bCs/>
          <w:sz w:val="22"/>
          <w:szCs w:val="22"/>
        </w:rPr>
        <w:t>—</w:t>
      </w:r>
      <w:r w:rsidRPr="001430AD" w:rsidR="009864CE">
        <w:rPr>
          <w:rFonts w:ascii="Times New Roman" w:hAnsi="Times New Roman"/>
          <w:b/>
          <w:bCs/>
          <w:sz w:val="22"/>
          <w:szCs w:val="22"/>
        </w:rPr>
        <w:t xml:space="preserve"> </w:t>
      </w:r>
      <w:r w:rsidRPr="001430AD" w:rsidR="009864CE">
        <w:rPr>
          <w:rFonts w:ascii="Times New Roman" w:hAnsi="Times New Roman"/>
          <w:b/>
          <w:bCs/>
          <w:sz w:val="21"/>
          <w:szCs w:val="21"/>
        </w:rPr>
        <w:t>TO</w:t>
      </w:r>
      <w:r w:rsidRPr="001430AD" w:rsidR="009864CE">
        <w:rPr>
          <w:rFonts w:ascii="Times New Roman" w:hAnsi="Times New Roman"/>
          <w:b/>
          <w:bCs/>
          <w:sz w:val="22"/>
          <w:szCs w:val="22"/>
        </w:rPr>
        <w:t xml:space="preserve"> §1.1307(b)(3)(i)(C)—</w:t>
      </w:r>
      <w:r w:rsidRPr="009864CE">
        <w:rPr>
          <w:rFonts w:ascii="Times New Roman" w:hAnsi="Times New Roman"/>
          <w:b/>
          <w:bCs/>
          <w:sz w:val="22"/>
          <w:szCs w:val="22"/>
        </w:rPr>
        <w:t>Single RF</w:t>
      </w:r>
      <w:r w:rsidRPr="00D66ADC">
        <w:rPr>
          <w:rFonts w:ascii="Times New Roman" w:hAnsi="Times New Roman"/>
          <w:b/>
          <w:sz w:val="22"/>
          <w:szCs w:val="22"/>
        </w:rPr>
        <w:t xml:space="preserve"> Sources Subject to Routine Environmental </w:t>
      </w:r>
      <w:r w:rsidRPr="00D66ADC">
        <w:rPr>
          <w:rFonts w:ascii="Times New Roman" w:hAnsi="Times New Roman"/>
          <w:b/>
          <w:sz w:val="22"/>
          <w:szCs w:val="22"/>
        </w:rPr>
        <w:lastRenderedPageBreak/>
        <w:t>Evaluation</w:t>
      </w:r>
    </w:p>
    <w:tbl>
      <w:tblPr>
        <w:tblW w:w="9000" w:type="dxa"/>
        <w:tblInd w:w="85" w:type="dxa"/>
        <w:tblLook w:val="0000" w:firstRow="0" w:lastRow="0" w:firstColumn="0" w:lastColumn="0" w:noHBand="0" w:noVBand="0"/>
      </w:tblPr>
      <w:tblGrid>
        <w:gridCol w:w="4420"/>
        <w:gridCol w:w="4580"/>
      </w:tblGrid>
      <w:tr w:rsidRPr="00D66ADC" w:rsidR="00D66ADC" w:rsidTr="009C2C55" w14:paraId="47952066" w14:textId="77777777">
        <w:trPr>
          <w:trHeight w:val="300"/>
        </w:trPr>
        <w:tc>
          <w:tcPr>
            <w:tcW w:w="4420" w:type="dxa"/>
            <w:tcBorders>
              <w:top w:val="double" w:color="auto" w:sz="6" w:space="0"/>
              <w:left w:val="double" w:color="auto" w:sz="6" w:space="0"/>
              <w:bottom w:val="nil"/>
              <w:right w:val="double" w:color="auto" w:sz="6" w:space="0"/>
            </w:tcBorders>
            <w:shd w:val="clear" w:color="auto" w:fill="FFFFFF"/>
          </w:tcPr>
          <w:p w:rsidRPr="00D66ADC" w:rsidR="00D66ADC" w:rsidP="009C2C55" w:rsidRDefault="00D66ADC" w14:paraId="18208992"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 xml:space="preserve">RF Source </w:t>
            </w:r>
            <w:r w:rsidR="009864CE">
              <w:rPr>
                <w:rFonts w:ascii="Times New Roman" w:hAnsi="Times New Roman"/>
                <w:b/>
                <w:sz w:val="22"/>
                <w:szCs w:val="22"/>
              </w:rPr>
              <w:t>f</w:t>
            </w:r>
            <w:r w:rsidRPr="00D66ADC">
              <w:rPr>
                <w:rFonts w:ascii="Times New Roman" w:hAnsi="Times New Roman"/>
                <w:b/>
                <w:sz w:val="22"/>
                <w:szCs w:val="22"/>
              </w:rPr>
              <w:t>requency</w:t>
            </w:r>
          </w:p>
        </w:tc>
        <w:tc>
          <w:tcPr>
            <w:tcW w:w="4580" w:type="dxa"/>
            <w:tcBorders>
              <w:top w:val="double" w:color="auto" w:sz="6" w:space="0"/>
              <w:left w:val="nil"/>
              <w:bottom w:val="nil"/>
              <w:right w:val="double" w:color="000000" w:sz="6" w:space="0"/>
            </w:tcBorders>
            <w:shd w:val="clear" w:color="auto" w:fill="FFFFFF"/>
          </w:tcPr>
          <w:p w:rsidRPr="00D66ADC" w:rsidR="00D66ADC" w:rsidP="009C2C55" w:rsidRDefault="00D66ADC" w14:paraId="334A61C2"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Threshold ERP</w:t>
            </w:r>
          </w:p>
        </w:tc>
      </w:tr>
      <w:tr w:rsidRPr="00D66ADC" w:rsidR="00D66ADC" w:rsidTr="009C2C55" w14:paraId="15A80A0E" w14:textId="77777777">
        <w:trPr>
          <w:trHeight w:val="300"/>
        </w:trPr>
        <w:tc>
          <w:tcPr>
            <w:tcW w:w="4420" w:type="dxa"/>
            <w:tcBorders>
              <w:top w:val="nil"/>
              <w:left w:val="double" w:color="auto" w:sz="6" w:space="0"/>
              <w:bottom w:val="double" w:color="auto" w:sz="6" w:space="0"/>
              <w:right w:val="double" w:color="auto" w:sz="6" w:space="0"/>
            </w:tcBorders>
            <w:shd w:val="clear" w:color="auto" w:fill="FFFFFF"/>
          </w:tcPr>
          <w:p w:rsidRPr="00D66ADC" w:rsidR="00D66ADC" w:rsidP="009C2C55" w:rsidRDefault="00D66ADC" w14:paraId="3F08C97D"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(MHz)</w:t>
            </w:r>
          </w:p>
        </w:tc>
        <w:tc>
          <w:tcPr>
            <w:tcW w:w="4580" w:type="dxa"/>
            <w:tcBorders>
              <w:top w:val="nil"/>
              <w:left w:val="nil"/>
              <w:bottom w:val="double" w:color="auto" w:sz="6" w:space="0"/>
              <w:right w:val="double" w:color="000000" w:sz="6" w:space="0"/>
            </w:tcBorders>
            <w:shd w:val="clear" w:color="auto" w:fill="FFFFFF"/>
          </w:tcPr>
          <w:p w:rsidRPr="00D66ADC" w:rsidR="00D66ADC" w:rsidP="009C2C55" w:rsidRDefault="00D66ADC" w14:paraId="4F26917B"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(watts)</w:t>
            </w:r>
          </w:p>
        </w:tc>
      </w:tr>
      <w:tr w:rsidRPr="00D66ADC" w:rsidR="00D66ADC" w:rsidTr="009C2C55" w14:paraId="27658EC7" w14:textId="77777777">
        <w:trPr>
          <w:trHeight w:val="480"/>
        </w:trPr>
        <w:tc>
          <w:tcPr>
            <w:tcW w:w="4420" w:type="dxa"/>
            <w:tcBorders>
              <w:top w:val="nil"/>
              <w:left w:val="double" w:color="auto" w:sz="6" w:space="0"/>
              <w:bottom w:val="nil"/>
              <w:right w:val="single" w:color="auto" w:sz="8" w:space="0"/>
            </w:tcBorders>
            <w:shd w:val="clear" w:color="auto" w:fill="auto"/>
            <w:vAlign w:val="center"/>
          </w:tcPr>
          <w:p w:rsidRPr="00D66ADC" w:rsidR="00D66ADC" w:rsidP="009C2C55" w:rsidRDefault="00D66ADC" w14:paraId="6A9683EA"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0.3 – 1.34</w:t>
            </w:r>
          </w:p>
        </w:tc>
        <w:tc>
          <w:tcPr>
            <w:tcW w:w="4580" w:type="dxa"/>
            <w:tcBorders>
              <w:top w:val="single" w:color="auto" w:sz="8" w:space="0"/>
              <w:left w:val="nil"/>
              <w:bottom w:val="nil"/>
              <w:right w:val="double" w:color="000000" w:sz="6" w:space="0"/>
            </w:tcBorders>
            <w:shd w:val="clear" w:color="auto" w:fill="auto"/>
            <w:vAlign w:val="center"/>
          </w:tcPr>
          <w:p w:rsidRPr="00D66ADC" w:rsidR="00D66ADC" w:rsidP="009C2C55" w:rsidRDefault="00D66ADC" w14:paraId="2B4F9721" w14:textId="77777777">
            <w:pPr>
              <w:keepNext/>
              <w:tabs>
                <w:tab w:val="left" w:pos="1440"/>
              </w:tabs>
              <w:jc w:val="center"/>
              <w:rPr>
                <w:rFonts w:ascii="Times New Roman" w:hAnsi="Times New Roman"/>
                <w:sz w:val="22"/>
                <w:szCs w:val="22"/>
              </w:rPr>
            </w:pPr>
            <w:r w:rsidRPr="00D66ADC">
              <w:rPr>
                <w:rFonts w:ascii="Times New Roman" w:hAnsi="Times New Roman"/>
                <w:sz w:val="22"/>
                <w:szCs w:val="22"/>
              </w:rPr>
              <w:t>1,920 R²</w:t>
            </w:r>
          </w:p>
        </w:tc>
      </w:tr>
      <w:tr w:rsidRPr="00D66ADC" w:rsidR="00D66ADC" w:rsidTr="009C2C55" w14:paraId="538A8CA7" w14:textId="77777777">
        <w:trPr>
          <w:trHeight w:val="480"/>
        </w:trPr>
        <w:tc>
          <w:tcPr>
            <w:tcW w:w="4420" w:type="dxa"/>
            <w:tcBorders>
              <w:top w:val="single" w:color="auto" w:sz="8" w:space="0"/>
              <w:left w:val="double" w:color="auto" w:sz="6" w:space="0"/>
              <w:bottom w:val="single" w:color="auto" w:sz="4" w:space="0"/>
              <w:right w:val="nil"/>
            </w:tcBorders>
            <w:shd w:val="clear" w:color="auto" w:fill="auto"/>
            <w:vAlign w:val="center"/>
          </w:tcPr>
          <w:p w:rsidRPr="00D66ADC" w:rsidR="00D66ADC" w:rsidP="009C2C55" w:rsidRDefault="00D66ADC" w14:paraId="7E232E33"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1.34 – 30</w:t>
            </w:r>
          </w:p>
        </w:tc>
        <w:tc>
          <w:tcPr>
            <w:tcW w:w="4580" w:type="dxa"/>
            <w:tcBorders>
              <w:top w:val="single" w:color="auto" w:sz="8" w:space="0"/>
              <w:left w:val="single" w:color="auto" w:sz="8" w:space="0"/>
              <w:bottom w:val="single" w:color="auto" w:sz="8" w:space="0"/>
              <w:right w:val="double" w:color="000000" w:sz="6" w:space="0"/>
            </w:tcBorders>
            <w:shd w:val="clear" w:color="auto" w:fill="auto"/>
            <w:vAlign w:val="center"/>
          </w:tcPr>
          <w:p w:rsidRPr="00D66ADC" w:rsidR="00D66ADC" w:rsidP="009C2C55" w:rsidRDefault="00D66ADC" w14:paraId="26B0466D" w14:textId="77777777">
            <w:pPr>
              <w:keepNext/>
              <w:tabs>
                <w:tab w:val="left" w:pos="1440"/>
              </w:tabs>
              <w:jc w:val="center"/>
              <w:rPr>
                <w:rFonts w:ascii="Times New Roman" w:hAnsi="Times New Roman"/>
                <w:sz w:val="22"/>
                <w:szCs w:val="22"/>
              </w:rPr>
            </w:pPr>
            <w:r w:rsidRPr="00D66ADC">
              <w:rPr>
                <w:rFonts w:ascii="Times New Roman" w:hAnsi="Times New Roman"/>
                <w:sz w:val="22"/>
                <w:szCs w:val="22"/>
              </w:rPr>
              <w:t>3,450 R²/f²</w:t>
            </w:r>
          </w:p>
        </w:tc>
      </w:tr>
      <w:tr w:rsidRPr="00D66ADC" w:rsidR="00D66ADC" w:rsidTr="009C2C55" w14:paraId="636BA15E" w14:textId="77777777">
        <w:trPr>
          <w:trHeight w:val="480"/>
        </w:trPr>
        <w:tc>
          <w:tcPr>
            <w:tcW w:w="4420" w:type="dxa"/>
            <w:tcBorders>
              <w:top w:val="single" w:color="auto" w:sz="4" w:space="0"/>
              <w:left w:val="double" w:color="auto" w:sz="6" w:space="0"/>
              <w:bottom w:val="single" w:color="auto" w:sz="8" w:space="0"/>
              <w:right w:val="nil"/>
            </w:tcBorders>
            <w:shd w:val="clear" w:color="auto" w:fill="auto"/>
            <w:vAlign w:val="center"/>
          </w:tcPr>
          <w:p w:rsidRPr="00D66ADC" w:rsidR="00D66ADC" w:rsidP="009C2C55" w:rsidRDefault="00D66ADC" w14:paraId="0542C055"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30 – 300</w:t>
            </w:r>
          </w:p>
        </w:tc>
        <w:tc>
          <w:tcPr>
            <w:tcW w:w="4580" w:type="dxa"/>
            <w:tcBorders>
              <w:top w:val="single" w:color="auto" w:sz="8" w:space="0"/>
              <w:left w:val="single" w:color="auto" w:sz="8" w:space="0"/>
              <w:bottom w:val="single" w:color="auto" w:sz="8" w:space="0"/>
              <w:right w:val="double" w:color="000000" w:sz="6" w:space="0"/>
            </w:tcBorders>
            <w:shd w:val="clear" w:color="auto" w:fill="auto"/>
            <w:vAlign w:val="center"/>
          </w:tcPr>
          <w:p w:rsidRPr="00D66ADC" w:rsidR="00D66ADC" w:rsidP="009C2C55" w:rsidRDefault="00D66ADC" w14:paraId="6CD9324D" w14:textId="77777777">
            <w:pPr>
              <w:keepNext/>
              <w:tabs>
                <w:tab w:val="left" w:pos="1440"/>
              </w:tabs>
              <w:jc w:val="center"/>
              <w:rPr>
                <w:rFonts w:ascii="Times New Roman" w:hAnsi="Times New Roman"/>
                <w:sz w:val="22"/>
                <w:szCs w:val="22"/>
              </w:rPr>
            </w:pPr>
            <w:r w:rsidRPr="00D66ADC">
              <w:rPr>
                <w:rFonts w:ascii="Times New Roman" w:hAnsi="Times New Roman"/>
                <w:sz w:val="22"/>
                <w:szCs w:val="22"/>
              </w:rPr>
              <w:t>3.83 R²</w:t>
            </w:r>
          </w:p>
        </w:tc>
      </w:tr>
      <w:tr w:rsidRPr="00D66ADC" w:rsidR="00D66ADC" w:rsidTr="009C2C55" w14:paraId="4D4F4596" w14:textId="77777777">
        <w:trPr>
          <w:trHeight w:val="480"/>
        </w:trPr>
        <w:tc>
          <w:tcPr>
            <w:tcW w:w="4420" w:type="dxa"/>
            <w:tcBorders>
              <w:top w:val="nil"/>
              <w:left w:val="double" w:color="auto" w:sz="6" w:space="0"/>
              <w:bottom w:val="single" w:color="auto" w:sz="8" w:space="0"/>
              <w:right w:val="nil"/>
            </w:tcBorders>
            <w:shd w:val="clear" w:color="auto" w:fill="auto"/>
            <w:vAlign w:val="center"/>
          </w:tcPr>
          <w:p w:rsidRPr="00D66ADC" w:rsidR="00D66ADC" w:rsidP="009C2C55" w:rsidRDefault="00D66ADC" w14:paraId="331A747B"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300 – 1,500</w:t>
            </w:r>
          </w:p>
        </w:tc>
        <w:tc>
          <w:tcPr>
            <w:tcW w:w="4580" w:type="dxa"/>
            <w:tcBorders>
              <w:top w:val="single" w:color="auto" w:sz="8" w:space="0"/>
              <w:left w:val="single" w:color="auto" w:sz="8" w:space="0"/>
              <w:bottom w:val="single" w:color="auto" w:sz="8" w:space="0"/>
              <w:right w:val="double" w:color="000000" w:sz="6" w:space="0"/>
            </w:tcBorders>
            <w:shd w:val="clear" w:color="auto" w:fill="auto"/>
            <w:vAlign w:val="center"/>
          </w:tcPr>
          <w:p w:rsidRPr="00D66ADC" w:rsidR="00D66ADC" w:rsidP="009C2C55" w:rsidRDefault="00D66ADC" w14:paraId="18F36AA7" w14:textId="77777777">
            <w:pPr>
              <w:keepNext/>
              <w:tabs>
                <w:tab w:val="left" w:pos="1440"/>
              </w:tabs>
              <w:jc w:val="center"/>
              <w:rPr>
                <w:rFonts w:ascii="Times New Roman" w:hAnsi="Times New Roman"/>
                <w:sz w:val="22"/>
                <w:szCs w:val="22"/>
              </w:rPr>
            </w:pPr>
            <w:r w:rsidRPr="00D66ADC">
              <w:rPr>
                <w:rFonts w:ascii="Times New Roman" w:hAnsi="Times New Roman"/>
                <w:sz w:val="22"/>
                <w:szCs w:val="22"/>
              </w:rPr>
              <w:t>0.0128 R²f</w:t>
            </w:r>
          </w:p>
        </w:tc>
      </w:tr>
      <w:tr w:rsidRPr="00D66ADC" w:rsidR="00D66ADC" w:rsidTr="009C2C55" w14:paraId="2DC4C9F3" w14:textId="77777777">
        <w:trPr>
          <w:trHeight w:val="450"/>
        </w:trPr>
        <w:tc>
          <w:tcPr>
            <w:tcW w:w="4420" w:type="dxa"/>
            <w:tcBorders>
              <w:top w:val="single" w:color="auto" w:sz="8" w:space="0"/>
              <w:left w:val="double" w:color="auto" w:sz="6" w:space="0"/>
              <w:bottom w:val="double" w:color="auto" w:sz="6" w:space="0"/>
              <w:right w:val="nil"/>
            </w:tcBorders>
            <w:shd w:val="clear" w:color="auto" w:fill="auto"/>
            <w:vAlign w:val="center"/>
          </w:tcPr>
          <w:p w:rsidRPr="00D66ADC" w:rsidR="00D66ADC" w:rsidP="009C2C55" w:rsidRDefault="00D66ADC" w14:paraId="752D58D1" w14:textId="77777777">
            <w:pPr>
              <w:keepNext/>
              <w:tabs>
                <w:tab w:val="left" w:pos="1440"/>
              </w:tabs>
              <w:jc w:val="center"/>
              <w:rPr>
                <w:rFonts w:ascii="Times New Roman" w:hAnsi="Times New Roman"/>
                <w:b/>
                <w:sz w:val="22"/>
                <w:szCs w:val="22"/>
              </w:rPr>
            </w:pPr>
            <w:r w:rsidRPr="00D66ADC">
              <w:rPr>
                <w:rFonts w:ascii="Times New Roman" w:hAnsi="Times New Roman"/>
                <w:b/>
                <w:sz w:val="22"/>
                <w:szCs w:val="22"/>
              </w:rPr>
              <w:t>1,500 – 100,000</w:t>
            </w:r>
          </w:p>
        </w:tc>
        <w:tc>
          <w:tcPr>
            <w:tcW w:w="4580" w:type="dxa"/>
            <w:tcBorders>
              <w:top w:val="single" w:color="auto" w:sz="8" w:space="0"/>
              <w:left w:val="single" w:color="auto" w:sz="8" w:space="0"/>
              <w:bottom w:val="double" w:color="auto" w:sz="6" w:space="0"/>
              <w:right w:val="double" w:color="000000" w:sz="6" w:space="0"/>
            </w:tcBorders>
            <w:shd w:val="clear" w:color="auto" w:fill="auto"/>
            <w:vAlign w:val="center"/>
          </w:tcPr>
          <w:p w:rsidRPr="00D66ADC" w:rsidR="00D66ADC" w:rsidP="009C2C55" w:rsidRDefault="00D66ADC" w14:paraId="67B53525" w14:textId="77777777">
            <w:pPr>
              <w:keepNext/>
              <w:tabs>
                <w:tab w:val="left" w:pos="1440"/>
              </w:tabs>
              <w:jc w:val="center"/>
              <w:rPr>
                <w:rFonts w:ascii="Times New Roman" w:hAnsi="Times New Roman"/>
                <w:sz w:val="22"/>
                <w:szCs w:val="22"/>
              </w:rPr>
            </w:pPr>
            <w:r w:rsidRPr="00D66ADC">
              <w:rPr>
                <w:rFonts w:ascii="Times New Roman" w:hAnsi="Times New Roman"/>
                <w:sz w:val="22"/>
                <w:szCs w:val="22"/>
              </w:rPr>
              <w:t>19.2R²</w:t>
            </w:r>
          </w:p>
        </w:tc>
      </w:tr>
      <w:bookmarkEnd w:id="5"/>
    </w:tbl>
    <w:p w:rsidRPr="00D66ADC" w:rsidR="00D66ADC" w:rsidP="00D66ADC" w:rsidRDefault="00D66ADC" w14:paraId="71842C44" w14:textId="77777777">
      <w:pPr>
        <w:rPr>
          <w:rFonts w:ascii="Times New Roman" w:hAnsi="Times New Roman"/>
          <w:sz w:val="22"/>
          <w:szCs w:val="22"/>
        </w:rPr>
      </w:pPr>
    </w:p>
    <w:p w:rsidRPr="00D66ADC" w:rsidR="00D66ADC" w:rsidP="00D66ADC" w:rsidRDefault="00D66ADC" w14:paraId="76A3275C" w14:textId="77777777">
      <w:pPr>
        <w:ind w:firstLine="360"/>
        <w:rPr>
          <w:rFonts w:ascii="Times New Roman" w:hAnsi="Times New Roman"/>
          <w:sz w:val="22"/>
          <w:szCs w:val="22"/>
        </w:rPr>
      </w:pPr>
      <w:r w:rsidRPr="00D66ADC">
        <w:rPr>
          <w:rFonts w:ascii="Times New Roman" w:hAnsi="Times New Roman"/>
          <w:sz w:val="22"/>
          <w:szCs w:val="22"/>
        </w:rPr>
        <w:t>(ii) For multiple RF sources.  Multiple RF sources are exempt if:</w:t>
      </w:r>
    </w:p>
    <w:p w:rsidRPr="00D66ADC" w:rsidR="00D66ADC" w:rsidP="00D66ADC" w:rsidRDefault="00D66ADC" w14:paraId="6C29DB99" w14:textId="77777777">
      <w:pPr>
        <w:tabs>
          <w:tab w:val="left" w:pos="-1440"/>
          <w:tab w:val="left" w:pos="-720"/>
          <w:tab w:val="left" w:pos="1440"/>
          <w:tab w:val="left" w:pos="4320"/>
          <w:tab w:val="left" w:leader="dot" w:pos="8190"/>
          <w:tab w:val="left" w:pos="8640"/>
        </w:tabs>
        <w:suppressAutoHyphens/>
        <w:ind w:firstLine="360"/>
        <w:contextualSpacing/>
        <w:rPr>
          <w:rFonts w:ascii="Times New Roman" w:hAnsi="Times New Roman"/>
          <w:sz w:val="22"/>
          <w:szCs w:val="22"/>
        </w:rPr>
      </w:pPr>
    </w:p>
    <w:p w:rsidRPr="00D66ADC" w:rsidR="00D66ADC" w:rsidP="00D66ADC" w:rsidRDefault="00D66ADC" w14:paraId="1CDA5B12" w14:textId="77777777">
      <w:pPr>
        <w:ind w:firstLine="360"/>
        <w:rPr>
          <w:rFonts w:ascii="Times New Roman" w:hAnsi="Times New Roman"/>
          <w:sz w:val="22"/>
          <w:szCs w:val="22"/>
        </w:rPr>
      </w:pPr>
      <w:r w:rsidRPr="00D66ADC">
        <w:rPr>
          <w:rFonts w:ascii="Times New Roman" w:hAnsi="Times New Roman"/>
          <w:sz w:val="22"/>
          <w:szCs w:val="22"/>
        </w:rPr>
        <w:t xml:space="preserve">(A) </w:t>
      </w:r>
      <w:r w:rsidR="009864CE">
        <w:rPr>
          <w:rFonts w:ascii="Times New Roman" w:hAnsi="Times New Roman"/>
          <w:sz w:val="22"/>
          <w:szCs w:val="22"/>
        </w:rPr>
        <w:t>T</w:t>
      </w:r>
      <w:r w:rsidRPr="00D66ADC">
        <w:rPr>
          <w:rFonts w:ascii="Times New Roman" w:hAnsi="Times New Roman"/>
          <w:sz w:val="22"/>
          <w:szCs w:val="22"/>
        </w:rPr>
        <w:t xml:space="preserve">he available maximum time-averaged power of each source is no more than 1 </w:t>
      </w:r>
      <w:proofErr w:type="spellStart"/>
      <w:r w:rsidRPr="00D66ADC">
        <w:rPr>
          <w:rFonts w:ascii="Times New Roman" w:hAnsi="Times New Roman"/>
          <w:sz w:val="22"/>
          <w:szCs w:val="22"/>
        </w:rPr>
        <w:t>mW</w:t>
      </w:r>
      <w:proofErr w:type="spellEnd"/>
      <w:r w:rsidRPr="00D66ADC">
        <w:rPr>
          <w:rFonts w:ascii="Times New Roman" w:hAnsi="Times New Roman"/>
          <w:sz w:val="22"/>
          <w:szCs w:val="22"/>
        </w:rPr>
        <w:t xml:space="preserve"> and there is a separation distance of two centimeters between any portion of a radiating structure operating and the nearest portion of any other radiating structure in the same device, except if the sum of multiple sources is less than 1 </w:t>
      </w:r>
      <w:proofErr w:type="spellStart"/>
      <w:r w:rsidRPr="00D66ADC">
        <w:rPr>
          <w:rFonts w:ascii="Times New Roman" w:hAnsi="Times New Roman"/>
          <w:sz w:val="22"/>
          <w:szCs w:val="22"/>
        </w:rPr>
        <w:t>mW</w:t>
      </w:r>
      <w:proofErr w:type="spellEnd"/>
      <w:r w:rsidRPr="00D66ADC">
        <w:rPr>
          <w:rFonts w:ascii="Times New Roman" w:hAnsi="Times New Roman"/>
          <w:sz w:val="22"/>
          <w:szCs w:val="22"/>
        </w:rPr>
        <w:t xml:space="preserve"> during the time-averaging period, in which case they may be treated as a single source (separation is not required).  This exemption may not be used in conjunction with other exemption criteria other than those is </w:t>
      </w:r>
      <w:r w:rsidR="009864CE">
        <w:rPr>
          <w:rFonts w:ascii="Times New Roman" w:hAnsi="Times New Roman"/>
          <w:sz w:val="22"/>
          <w:szCs w:val="22"/>
        </w:rPr>
        <w:t>paragraph</w:t>
      </w:r>
      <w:r w:rsidRPr="00D66ADC" w:rsidR="009864CE">
        <w:rPr>
          <w:rFonts w:ascii="Times New Roman" w:hAnsi="Times New Roman"/>
          <w:sz w:val="22"/>
          <w:szCs w:val="22"/>
        </w:rPr>
        <w:t xml:space="preserve"> </w:t>
      </w:r>
      <w:r w:rsidRPr="00D66ADC">
        <w:rPr>
          <w:rFonts w:ascii="Times New Roman" w:hAnsi="Times New Roman"/>
          <w:sz w:val="22"/>
          <w:szCs w:val="22"/>
        </w:rPr>
        <w:t>1.1307(b)(3)(i)(A)</w:t>
      </w:r>
      <w:r w:rsidR="009864CE">
        <w:rPr>
          <w:rFonts w:ascii="Times New Roman" w:hAnsi="Times New Roman"/>
          <w:sz w:val="22"/>
          <w:szCs w:val="22"/>
        </w:rPr>
        <w:t xml:space="preserve"> of this section</w:t>
      </w:r>
      <w:r w:rsidRPr="00D66ADC">
        <w:rPr>
          <w:rFonts w:ascii="Times New Roman" w:hAnsi="Times New Roman"/>
          <w:sz w:val="22"/>
          <w:szCs w:val="22"/>
        </w:rPr>
        <w:t xml:space="preserve">.  Medical implant devices may only use this exemption and that in </w:t>
      </w:r>
      <w:r w:rsidR="009864CE">
        <w:rPr>
          <w:rFonts w:ascii="Times New Roman" w:hAnsi="Times New Roman"/>
          <w:sz w:val="22"/>
          <w:szCs w:val="22"/>
        </w:rPr>
        <w:t>paragraph</w:t>
      </w:r>
      <w:r w:rsidRPr="00D66ADC" w:rsidR="009864CE">
        <w:rPr>
          <w:rFonts w:ascii="Times New Roman" w:hAnsi="Times New Roman"/>
          <w:sz w:val="22"/>
          <w:szCs w:val="22"/>
        </w:rPr>
        <w:t xml:space="preserve"> </w:t>
      </w:r>
      <w:r w:rsidRPr="00D66ADC">
        <w:rPr>
          <w:rFonts w:ascii="Times New Roman" w:hAnsi="Times New Roman"/>
          <w:sz w:val="22"/>
          <w:szCs w:val="22"/>
        </w:rPr>
        <w:t>1.1307(b)(3)(i)(A).</w:t>
      </w:r>
    </w:p>
    <w:p w:rsidRPr="00D66ADC" w:rsidR="00D66ADC" w:rsidP="00D66ADC" w:rsidRDefault="00D66ADC" w14:paraId="7FE476F6" w14:textId="77777777">
      <w:pPr>
        <w:tabs>
          <w:tab w:val="left" w:pos="-1440"/>
          <w:tab w:val="left" w:pos="-720"/>
          <w:tab w:val="left" w:pos="1440"/>
          <w:tab w:val="left" w:pos="4320"/>
          <w:tab w:val="left" w:leader="dot" w:pos="8190"/>
          <w:tab w:val="left" w:pos="8640"/>
        </w:tabs>
        <w:suppressAutoHyphens/>
        <w:ind w:firstLine="360"/>
        <w:contextualSpacing/>
        <w:rPr>
          <w:rFonts w:ascii="Times New Roman" w:hAnsi="Times New Roman"/>
          <w:sz w:val="22"/>
          <w:szCs w:val="22"/>
        </w:rPr>
      </w:pPr>
    </w:p>
    <w:p w:rsidRPr="00D66ADC" w:rsidR="00D66ADC" w:rsidP="00D66ADC" w:rsidRDefault="00D66ADC" w14:paraId="7AB4A8C2" w14:textId="77777777">
      <w:pPr>
        <w:ind w:firstLine="360"/>
        <w:rPr>
          <w:rFonts w:ascii="Times New Roman" w:hAnsi="Times New Roman"/>
          <w:sz w:val="22"/>
          <w:szCs w:val="22"/>
        </w:rPr>
      </w:pPr>
      <w:r w:rsidRPr="00D66ADC">
        <w:rPr>
          <w:rFonts w:ascii="Times New Roman" w:hAnsi="Times New Roman"/>
          <w:sz w:val="22"/>
          <w:szCs w:val="22"/>
        </w:rPr>
        <w:t>(B) in the case of fixed RF sources operating in the same time-averaging period, or of multiple mobile or portable RF sources within a device operating in the same time averaging period, if the sum of the fractional contributions to the applicable thresholds is less than or equal to 1 as indicated in the following equation.</w:t>
      </w:r>
    </w:p>
    <w:p w:rsidRPr="00D66ADC" w:rsidR="00D66ADC" w:rsidP="00D66ADC" w:rsidRDefault="00D66ADC" w14:paraId="7FBB222B" w14:textId="77777777">
      <w:pPr>
        <w:tabs>
          <w:tab w:val="left" w:pos="1440"/>
        </w:tabs>
        <w:contextualSpacing/>
        <w:rPr>
          <w:rFonts w:ascii="Times New Roman" w:hAnsi="Times New Roman"/>
          <w:sz w:val="22"/>
          <w:szCs w:val="22"/>
        </w:rPr>
      </w:pPr>
    </w:p>
    <w:p w:rsidRPr="00C741C7" w:rsidR="00D66ADC" w:rsidP="00D66ADC" w:rsidRDefault="003D250C" w14:paraId="491ACA06" w14:textId="10854EF1">
      <w:pPr>
        <w:spacing w:after="120"/>
        <w:jc w:val="center"/>
        <w:rPr>
          <w:rFonts w:ascii="Times New Roman" w:hAnsi="Times New Roman"/>
          <w:sz w:val="22"/>
          <w:szCs w:val="22"/>
        </w:rPr>
      </w:pPr>
      <m:oMathPara>
        <m:oMath>
          <m:nary>
            <m:naryPr>
              <m:chr m:val="∑"/>
              <m:limLoc m:val="undOvr"/>
              <m:ctrlPr>
                <w:rPr>
                  <w:rFonts w:ascii="Cambria Math" w:hAnsi="Cambria Math"/>
                  <w:i/>
                  <w:sz w:val="36"/>
                </w:rPr>
              </m:ctrlPr>
            </m:naryPr>
            <m:sub>
              <m:r>
                <w:rPr>
                  <w:rFonts w:ascii="Cambria Math" w:hAnsi="Cambria Math"/>
                  <w:sz w:val="36"/>
                  <w:szCs w:val="28"/>
                </w:rPr>
                <m:t>i=1</m:t>
              </m:r>
            </m:sub>
            <m:sup>
              <m:r>
                <w:rPr>
                  <w:rFonts w:ascii="Cambria Math" w:hAnsi="Cambria Math"/>
                  <w:sz w:val="36"/>
                  <w:szCs w:val="28"/>
                </w:rPr>
                <m:t>a</m:t>
              </m:r>
            </m:sup>
            <m:e>
              <m:f>
                <m:fPr>
                  <m:ctrlPr>
                    <w:rPr>
                      <w:rFonts w:ascii="Cambria Math" w:hAnsi="Cambria Math"/>
                      <w:i/>
                      <w:sz w:val="36"/>
                    </w:rPr>
                  </m:ctrlPr>
                </m:fPr>
                <m:num>
                  <m:sSub>
                    <m:sSubPr>
                      <m:ctrlPr>
                        <w:rPr>
                          <w:rFonts w:ascii="Cambria Math" w:hAnsi="Cambria Math"/>
                          <w:i/>
                          <w:sz w:val="36"/>
                        </w:rPr>
                      </m:ctrlPr>
                    </m:sSubPr>
                    <m:e>
                      <m:r>
                        <w:rPr>
                          <w:rFonts w:ascii="Cambria Math" w:hAnsi="Cambria Math"/>
                          <w:sz w:val="36"/>
                          <w:szCs w:val="28"/>
                        </w:rPr>
                        <m:t>P</m:t>
                      </m:r>
                    </m:e>
                    <m:sub>
                      <m:r>
                        <w:rPr>
                          <w:rFonts w:ascii="Cambria Math" w:hAnsi="Cambria Math"/>
                          <w:sz w:val="36"/>
                          <w:szCs w:val="28"/>
                        </w:rPr>
                        <m:t>i</m:t>
                      </m:r>
                    </m:sub>
                  </m:sSub>
                </m:num>
                <m:den>
                  <m:sSub>
                    <m:sSubPr>
                      <m:ctrlPr>
                        <w:rPr>
                          <w:rFonts w:ascii="Cambria Math" w:hAnsi="Cambria Math"/>
                          <w:i/>
                          <w:sz w:val="36"/>
                        </w:rPr>
                      </m:ctrlPr>
                    </m:sSubPr>
                    <m:e>
                      <m:r>
                        <w:rPr>
                          <w:rFonts w:ascii="Cambria Math" w:hAnsi="Cambria Math"/>
                          <w:sz w:val="36"/>
                          <w:szCs w:val="28"/>
                        </w:rPr>
                        <m:t>P</m:t>
                      </m:r>
                    </m:e>
                    <m:sub>
                      <m:r>
                        <w:rPr>
                          <w:rFonts w:ascii="Cambria Math" w:hAnsi="Cambria Math"/>
                          <w:sz w:val="36"/>
                          <w:szCs w:val="28"/>
                        </w:rPr>
                        <m:t>th, i</m:t>
                      </m:r>
                    </m:sub>
                  </m:sSub>
                </m:den>
              </m:f>
            </m:e>
          </m:nary>
          <m:r>
            <w:rPr>
              <w:rFonts w:ascii="Cambria Math" w:hAnsi="Cambria Math"/>
              <w:sz w:val="36"/>
              <w:szCs w:val="28"/>
            </w:rPr>
            <m:t>+</m:t>
          </m:r>
          <m:nary>
            <m:naryPr>
              <m:chr m:val="∑"/>
              <m:limLoc m:val="undOvr"/>
              <m:ctrlPr>
                <w:rPr>
                  <w:rFonts w:ascii="Cambria Math" w:hAnsi="Cambria Math"/>
                  <w:i/>
                  <w:sz w:val="36"/>
                </w:rPr>
              </m:ctrlPr>
            </m:naryPr>
            <m:sub>
              <m:r>
                <w:rPr>
                  <w:rFonts w:ascii="Cambria Math" w:hAnsi="Cambria Math"/>
                  <w:sz w:val="36"/>
                  <w:szCs w:val="28"/>
                </w:rPr>
                <m:t>j=1</m:t>
              </m:r>
            </m:sub>
            <m:sup>
              <m:r>
                <w:rPr>
                  <w:rFonts w:ascii="Cambria Math" w:hAnsi="Cambria Math"/>
                  <w:sz w:val="36"/>
                  <w:szCs w:val="28"/>
                </w:rPr>
                <m:t>b</m:t>
              </m:r>
            </m:sup>
            <m:e>
              <m:f>
                <m:fPr>
                  <m:ctrlPr>
                    <w:rPr>
                      <w:rFonts w:ascii="Cambria Math" w:hAnsi="Cambria Math"/>
                      <w:i/>
                      <w:sz w:val="36"/>
                    </w:rPr>
                  </m:ctrlPr>
                </m:fPr>
                <m:num>
                  <m:sSub>
                    <m:sSubPr>
                      <m:ctrlPr>
                        <w:rPr>
                          <w:rFonts w:ascii="Cambria Math" w:hAnsi="Cambria Math"/>
                          <w:i/>
                          <w:sz w:val="36"/>
                        </w:rPr>
                      </m:ctrlPr>
                    </m:sSubPr>
                    <m:e>
                      <m:r>
                        <w:rPr>
                          <w:rFonts w:ascii="Cambria Math" w:hAnsi="Cambria Math"/>
                          <w:sz w:val="36"/>
                          <w:szCs w:val="28"/>
                        </w:rPr>
                        <m:t>ERP</m:t>
                      </m:r>
                    </m:e>
                    <m:sub>
                      <m:r>
                        <w:rPr>
                          <w:rFonts w:ascii="Cambria Math" w:hAnsi="Cambria Math"/>
                          <w:sz w:val="36"/>
                          <w:szCs w:val="28"/>
                        </w:rPr>
                        <m:t>j</m:t>
                      </m:r>
                    </m:sub>
                  </m:sSub>
                </m:num>
                <m:den>
                  <m:sSub>
                    <m:sSubPr>
                      <m:ctrlPr>
                        <w:rPr>
                          <w:rFonts w:ascii="Cambria Math" w:hAnsi="Cambria Math"/>
                          <w:i/>
                          <w:sz w:val="36"/>
                        </w:rPr>
                      </m:ctrlPr>
                    </m:sSubPr>
                    <m:e>
                      <m:r>
                        <w:rPr>
                          <w:rFonts w:ascii="Cambria Math" w:hAnsi="Cambria Math"/>
                          <w:sz w:val="36"/>
                          <w:szCs w:val="28"/>
                        </w:rPr>
                        <m:t>ERP</m:t>
                      </m:r>
                    </m:e>
                    <m:sub>
                      <m:r>
                        <w:rPr>
                          <w:rFonts w:ascii="Cambria Math" w:hAnsi="Cambria Math"/>
                          <w:sz w:val="36"/>
                          <w:szCs w:val="28"/>
                        </w:rPr>
                        <m:t>th, j</m:t>
                      </m:r>
                    </m:sub>
                  </m:sSub>
                </m:den>
              </m:f>
            </m:e>
          </m:nary>
          <m:r>
            <w:rPr>
              <w:rFonts w:ascii="Cambria Math" w:hAnsi="Cambria Math"/>
              <w:sz w:val="36"/>
              <w:szCs w:val="28"/>
            </w:rPr>
            <m:t>+</m:t>
          </m:r>
          <m:nary>
            <m:naryPr>
              <m:chr m:val="∑"/>
              <m:limLoc m:val="undOvr"/>
              <m:ctrlPr>
                <w:rPr>
                  <w:rFonts w:ascii="Cambria Math" w:hAnsi="Cambria Math"/>
                  <w:i/>
                  <w:sz w:val="36"/>
                </w:rPr>
              </m:ctrlPr>
            </m:naryPr>
            <m:sub>
              <m:r>
                <w:rPr>
                  <w:rFonts w:ascii="Cambria Math" w:hAnsi="Cambria Math"/>
                  <w:sz w:val="36"/>
                  <w:szCs w:val="28"/>
                </w:rPr>
                <m:t>k=1</m:t>
              </m:r>
            </m:sub>
            <m:sup>
              <m:r>
                <w:rPr>
                  <w:rFonts w:ascii="Cambria Math" w:hAnsi="Cambria Math"/>
                  <w:sz w:val="36"/>
                  <w:szCs w:val="28"/>
                </w:rPr>
                <m:t>c</m:t>
              </m:r>
            </m:sup>
            <m:e>
              <m:f>
                <m:fPr>
                  <m:ctrlPr>
                    <w:rPr>
                      <w:rFonts w:ascii="Cambria Math" w:hAnsi="Cambria Math"/>
                      <w:i/>
                      <w:sz w:val="36"/>
                    </w:rPr>
                  </m:ctrlPr>
                </m:fPr>
                <m:num>
                  <m:sSub>
                    <m:sSubPr>
                      <m:ctrlPr>
                        <w:rPr>
                          <w:rFonts w:ascii="Cambria Math" w:hAnsi="Cambria Math"/>
                          <w:i/>
                          <w:sz w:val="36"/>
                        </w:rPr>
                      </m:ctrlPr>
                    </m:sSubPr>
                    <m:e>
                      <m:r>
                        <w:rPr>
                          <w:rFonts w:ascii="Cambria Math" w:hAnsi="Cambria Math"/>
                          <w:sz w:val="36"/>
                          <w:szCs w:val="28"/>
                        </w:rPr>
                        <m:t>Evaluated</m:t>
                      </m:r>
                    </m:e>
                    <m:sub>
                      <m:r>
                        <w:rPr>
                          <w:rFonts w:ascii="Cambria Math" w:hAnsi="Cambria Math"/>
                          <w:sz w:val="36"/>
                          <w:szCs w:val="28"/>
                        </w:rPr>
                        <m:t>k</m:t>
                      </m:r>
                    </m:sub>
                  </m:sSub>
                </m:num>
                <m:den>
                  <m:sSub>
                    <m:sSubPr>
                      <m:ctrlPr>
                        <w:rPr>
                          <w:rFonts w:ascii="Cambria Math" w:hAnsi="Cambria Math"/>
                          <w:i/>
                          <w:sz w:val="36"/>
                        </w:rPr>
                      </m:ctrlPr>
                    </m:sSubPr>
                    <m:e>
                      <m:r>
                        <w:rPr>
                          <w:rFonts w:ascii="Cambria Math" w:hAnsi="Cambria Math"/>
                          <w:sz w:val="36"/>
                          <w:szCs w:val="28"/>
                        </w:rPr>
                        <m:t>Exposure Limit</m:t>
                      </m:r>
                    </m:e>
                    <m:sub>
                      <m:r>
                        <w:rPr>
                          <w:rFonts w:ascii="Cambria Math" w:hAnsi="Cambria Math"/>
                          <w:sz w:val="36"/>
                          <w:szCs w:val="28"/>
                        </w:rPr>
                        <m:t>k</m:t>
                      </m:r>
                    </m:sub>
                  </m:sSub>
                </m:den>
              </m:f>
            </m:e>
          </m:nary>
          <m:r>
            <w:rPr>
              <w:rFonts w:ascii="Cambria Math" w:hAnsi="Cambria Math"/>
              <w:sz w:val="36"/>
              <w:szCs w:val="28"/>
            </w:rPr>
            <m:t>≤</m:t>
          </m:r>
          <m:r>
            <w:rPr>
              <w:rFonts w:ascii="Cambria Math" w:hAnsi="Cambria Math"/>
              <w:sz w:val="36"/>
            </w:rPr>
            <m:t>1</m:t>
          </m:r>
        </m:oMath>
      </m:oMathPara>
    </w:p>
    <w:p w:rsidRPr="003D1CC6" w:rsidR="00D66ADC" w:rsidP="00D66ADC" w:rsidRDefault="00D66ADC" w14:paraId="23C53281" w14:textId="77777777">
      <w:pPr>
        <w:rPr>
          <w:rFonts w:ascii="Times New Roman" w:hAnsi="Times New Roman"/>
          <w:sz w:val="22"/>
          <w:szCs w:val="22"/>
        </w:rPr>
      </w:pPr>
      <w:r w:rsidRPr="003D1CC6">
        <w:rPr>
          <w:rFonts w:ascii="Times New Roman" w:hAnsi="Times New Roman"/>
          <w:sz w:val="22"/>
          <w:szCs w:val="22"/>
        </w:rPr>
        <w:t>Where</w:t>
      </w:r>
    </w:p>
    <w:p w:rsidRPr="003D1CC6" w:rsidR="00D66ADC" w:rsidP="00D66ADC" w:rsidRDefault="00D66ADC" w14:paraId="5F2F4F09" w14:textId="77777777">
      <w:pPr>
        <w:ind w:left="900" w:right="-360" w:hanging="900"/>
        <w:rPr>
          <w:rFonts w:ascii="Times New Roman" w:hAnsi="Times New Roman"/>
          <w:sz w:val="22"/>
          <w:szCs w:val="22"/>
        </w:rPr>
      </w:pPr>
      <w:r w:rsidRPr="003D1CC6">
        <w:rPr>
          <w:rFonts w:ascii="Times New Roman" w:hAnsi="Times New Roman"/>
          <w:i/>
          <w:sz w:val="22"/>
          <w:szCs w:val="22"/>
        </w:rPr>
        <w:t>a</w:t>
      </w:r>
      <w:r w:rsidR="009864CE">
        <w:rPr>
          <w:rFonts w:ascii="Times New Roman" w:hAnsi="Times New Roman"/>
          <w:sz w:val="22"/>
          <w:szCs w:val="22"/>
        </w:rPr>
        <w:t xml:space="preserve"> </w:t>
      </w:r>
      <w:r w:rsidRPr="003D1CC6">
        <w:rPr>
          <w:rFonts w:ascii="Times New Roman" w:hAnsi="Times New Roman"/>
          <w:sz w:val="22"/>
          <w:szCs w:val="22"/>
        </w:rPr>
        <w:t>= number of fixed, mobile, or portable RF sources claiming exemption using paragraph (b)(3)(i)(B) of this section for </w:t>
      </w:r>
      <w:proofErr w:type="spellStart"/>
      <w:r w:rsidRPr="003D1CC6">
        <w:rPr>
          <w:rFonts w:ascii="Times New Roman" w:hAnsi="Times New Roman"/>
          <w:i/>
          <w:sz w:val="22"/>
          <w:szCs w:val="22"/>
        </w:rPr>
        <w:t>P</w:t>
      </w:r>
      <w:r w:rsidRPr="003D1CC6">
        <w:rPr>
          <w:rFonts w:ascii="Times New Roman" w:hAnsi="Times New Roman"/>
          <w:i/>
          <w:sz w:val="22"/>
          <w:szCs w:val="22"/>
          <w:vertAlign w:val="subscript"/>
        </w:rPr>
        <w:t>th</w:t>
      </w:r>
      <w:proofErr w:type="spellEnd"/>
      <w:r w:rsidRPr="003D1CC6">
        <w:rPr>
          <w:rFonts w:ascii="Times New Roman" w:hAnsi="Times New Roman"/>
          <w:sz w:val="22"/>
          <w:szCs w:val="22"/>
        </w:rPr>
        <w:t xml:space="preserve">, including existing exempt transmitters and those being added. </w:t>
      </w:r>
    </w:p>
    <w:p w:rsidRPr="003D1CC6" w:rsidR="00D66ADC" w:rsidP="00D66ADC" w:rsidRDefault="00D66ADC" w14:paraId="34F7F3BF" w14:textId="77777777">
      <w:pPr>
        <w:ind w:left="900" w:right="-360" w:hanging="900"/>
        <w:rPr>
          <w:rFonts w:ascii="Times New Roman" w:hAnsi="Times New Roman"/>
          <w:sz w:val="22"/>
          <w:szCs w:val="22"/>
        </w:rPr>
      </w:pPr>
      <w:r w:rsidRPr="003D1CC6">
        <w:rPr>
          <w:rFonts w:ascii="Times New Roman" w:hAnsi="Times New Roman"/>
          <w:i/>
          <w:sz w:val="22"/>
          <w:szCs w:val="22"/>
        </w:rPr>
        <w:t>b</w:t>
      </w:r>
      <w:r w:rsidR="009864CE">
        <w:rPr>
          <w:rFonts w:ascii="Times New Roman" w:hAnsi="Times New Roman"/>
          <w:sz w:val="22"/>
          <w:szCs w:val="22"/>
        </w:rPr>
        <w:t xml:space="preserve"> </w:t>
      </w:r>
      <w:r w:rsidRPr="003D1CC6">
        <w:rPr>
          <w:rFonts w:ascii="Times New Roman" w:hAnsi="Times New Roman"/>
          <w:sz w:val="22"/>
          <w:szCs w:val="22"/>
        </w:rPr>
        <w:t>= number of fixed, mobile, or portable RF sources claiming exemption using paragraph (b)(3)(i)(C) of this section for Threshold ERP, including existing exempt transmitters and those being added.</w:t>
      </w:r>
    </w:p>
    <w:p w:rsidRPr="003D1CC6" w:rsidR="00D66ADC" w:rsidP="00D66ADC" w:rsidRDefault="00D66ADC" w14:paraId="274EBA4F" w14:textId="77777777">
      <w:pPr>
        <w:ind w:left="900" w:right="-360" w:hanging="900"/>
        <w:rPr>
          <w:rFonts w:ascii="Times New Roman" w:hAnsi="Times New Roman"/>
          <w:sz w:val="22"/>
          <w:szCs w:val="22"/>
        </w:rPr>
      </w:pPr>
      <w:r w:rsidRPr="003D1CC6">
        <w:rPr>
          <w:rFonts w:ascii="Times New Roman" w:hAnsi="Times New Roman"/>
          <w:i/>
          <w:sz w:val="22"/>
          <w:szCs w:val="22"/>
        </w:rPr>
        <w:t>c</w:t>
      </w:r>
      <w:r w:rsidR="009864CE">
        <w:rPr>
          <w:rFonts w:ascii="Times New Roman" w:hAnsi="Times New Roman"/>
          <w:sz w:val="22"/>
          <w:szCs w:val="22"/>
        </w:rPr>
        <w:t xml:space="preserve"> </w:t>
      </w:r>
      <w:r w:rsidRPr="003D1CC6">
        <w:rPr>
          <w:rFonts w:ascii="Times New Roman" w:hAnsi="Times New Roman"/>
          <w:sz w:val="22"/>
          <w:szCs w:val="22"/>
        </w:rPr>
        <w:t>= number of existing fixed, mobile, or portable RF sources with known evaluation for the specified minimum distance including existing evaluated transmitters.</w:t>
      </w:r>
    </w:p>
    <w:p w:rsidRPr="003D1CC6" w:rsidR="00D66ADC" w:rsidP="00D66ADC" w:rsidRDefault="00D66ADC" w14:paraId="124E2CF6" w14:textId="77777777">
      <w:pPr>
        <w:ind w:left="900" w:right="-360" w:hanging="900"/>
        <w:rPr>
          <w:rFonts w:ascii="Times New Roman" w:hAnsi="Times New Roman"/>
          <w:sz w:val="22"/>
          <w:szCs w:val="22"/>
        </w:rPr>
      </w:pPr>
      <w:r w:rsidRPr="003D1CC6">
        <w:rPr>
          <w:rFonts w:ascii="Times New Roman" w:hAnsi="Times New Roman"/>
          <w:i/>
          <w:sz w:val="22"/>
          <w:szCs w:val="22"/>
        </w:rPr>
        <w:t>P</w:t>
      </w:r>
      <w:r w:rsidRPr="003D1CC6">
        <w:rPr>
          <w:rFonts w:ascii="Times New Roman" w:hAnsi="Times New Roman"/>
          <w:i/>
          <w:sz w:val="22"/>
          <w:szCs w:val="22"/>
          <w:vertAlign w:val="subscript"/>
        </w:rPr>
        <w:t>i</w:t>
      </w:r>
      <w:r w:rsidR="009864CE">
        <w:rPr>
          <w:rFonts w:ascii="Times New Roman" w:hAnsi="Times New Roman"/>
          <w:sz w:val="22"/>
          <w:szCs w:val="22"/>
        </w:rPr>
        <w:t xml:space="preserve"> </w:t>
      </w:r>
      <w:r w:rsidRPr="003D1CC6">
        <w:rPr>
          <w:rFonts w:ascii="Times New Roman" w:hAnsi="Times New Roman"/>
          <w:sz w:val="22"/>
          <w:szCs w:val="22"/>
        </w:rPr>
        <w:t xml:space="preserve">= the available maximum time-averaged power or the ERP, whichever is greater, for fixed, mobile, or portable RF source </w:t>
      </w:r>
      <w:r w:rsidRPr="003D1CC6">
        <w:rPr>
          <w:rFonts w:ascii="Times New Roman" w:hAnsi="Times New Roman"/>
          <w:i/>
          <w:sz w:val="22"/>
          <w:szCs w:val="22"/>
        </w:rPr>
        <w:t>i</w:t>
      </w:r>
      <w:r w:rsidRPr="003D1CC6">
        <w:rPr>
          <w:rFonts w:ascii="Times New Roman" w:hAnsi="Times New Roman"/>
          <w:sz w:val="22"/>
          <w:szCs w:val="22"/>
        </w:rPr>
        <w:t xml:space="preserve"> at a distance between 0.5 cm and 40 cm (inclusive). </w:t>
      </w:r>
    </w:p>
    <w:p w:rsidRPr="003D1CC6" w:rsidR="00D66ADC" w:rsidP="00D66ADC" w:rsidRDefault="00D66ADC" w14:paraId="5C1F9F0D" w14:textId="77777777">
      <w:pPr>
        <w:ind w:left="900" w:hanging="900"/>
        <w:rPr>
          <w:rFonts w:ascii="Times New Roman" w:hAnsi="Times New Roman"/>
          <w:i/>
          <w:sz w:val="22"/>
          <w:szCs w:val="22"/>
        </w:rPr>
      </w:pPr>
      <w:proofErr w:type="spellStart"/>
      <w:proofErr w:type="gramStart"/>
      <w:r w:rsidRPr="003D1CC6">
        <w:rPr>
          <w:rFonts w:ascii="Times New Roman" w:hAnsi="Times New Roman"/>
          <w:i/>
          <w:sz w:val="22"/>
          <w:szCs w:val="22"/>
        </w:rPr>
        <w:t>P</w:t>
      </w:r>
      <w:r w:rsidRPr="003D1CC6">
        <w:rPr>
          <w:rFonts w:ascii="Times New Roman" w:hAnsi="Times New Roman"/>
          <w:i/>
          <w:sz w:val="22"/>
          <w:szCs w:val="22"/>
          <w:vertAlign w:val="subscript"/>
        </w:rPr>
        <w:t>th,i</w:t>
      </w:r>
      <w:proofErr w:type="spellEnd"/>
      <w:proofErr w:type="gramEnd"/>
      <w:r w:rsidR="009864CE">
        <w:rPr>
          <w:rFonts w:ascii="Times New Roman" w:hAnsi="Times New Roman"/>
          <w:sz w:val="22"/>
          <w:szCs w:val="22"/>
          <w:vertAlign w:val="subscript"/>
        </w:rPr>
        <w:t xml:space="preserve"> </w:t>
      </w:r>
      <w:r w:rsidRPr="003D1CC6">
        <w:rPr>
          <w:rFonts w:ascii="Times New Roman" w:hAnsi="Times New Roman"/>
          <w:sz w:val="22"/>
          <w:szCs w:val="22"/>
        </w:rPr>
        <w:t xml:space="preserve">= the exemption threshold power </w:t>
      </w:r>
      <w:r w:rsidRPr="003D1CC6">
        <w:rPr>
          <w:rFonts w:ascii="Times New Roman" w:hAnsi="Times New Roman" w:eastAsia="Calibri"/>
          <w:sz w:val="22"/>
          <w:szCs w:val="22"/>
        </w:rPr>
        <w:t>(</w:t>
      </w:r>
      <w:proofErr w:type="spellStart"/>
      <w:r w:rsidRPr="003D1CC6">
        <w:rPr>
          <w:rFonts w:ascii="Times New Roman" w:hAnsi="Times New Roman" w:eastAsia="Calibri"/>
          <w:i/>
          <w:sz w:val="22"/>
          <w:szCs w:val="22"/>
        </w:rPr>
        <w:t>P</w:t>
      </w:r>
      <w:r w:rsidRPr="003D1CC6">
        <w:rPr>
          <w:rFonts w:ascii="Times New Roman" w:hAnsi="Times New Roman" w:eastAsia="Calibri"/>
          <w:i/>
          <w:sz w:val="22"/>
          <w:szCs w:val="22"/>
          <w:vertAlign w:val="subscript"/>
        </w:rPr>
        <w:t>th</w:t>
      </w:r>
      <w:proofErr w:type="spellEnd"/>
      <w:r w:rsidRPr="003D1CC6">
        <w:rPr>
          <w:rFonts w:ascii="Times New Roman" w:hAnsi="Times New Roman" w:eastAsia="Calibri"/>
          <w:sz w:val="22"/>
          <w:szCs w:val="22"/>
        </w:rPr>
        <w:t xml:space="preserve">) </w:t>
      </w:r>
      <w:r w:rsidRPr="003D1CC6">
        <w:rPr>
          <w:rFonts w:ascii="Times New Roman" w:hAnsi="Times New Roman"/>
          <w:sz w:val="22"/>
          <w:szCs w:val="22"/>
        </w:rPr>
        <w:t xml:space="preserve">according to </w:t>
      </w:r>
      <w:bookmarkStart w:name="_Hlk512585080" w:id="6"/>
      <w:r w:rsidRPr="003D1CC6">
        <w:rPr>
          <w:rFonts w:ascii="Times New Roman" w:hAnsi="Times New Roman"/>
          <w:sz w:val="22"/>
          <w:szCs w:val="22"/>
        </w:rPr>
        <w:t>paragraph (b)(3)(i)(B) of this section</w:t>
      </w:r>
      <w:bookmarkEnd w:id="6"/>
      <w:r w:rsidRPr="003D1CC6">
        <w:rPr>
          <w:rFonts w:ascii="Times New Roman" w:hAnsi="Times New Roman"/>
          <w:sz w:val="22"/>
          <w:szCs w:val="22"/>
        </w:rPr>
        <w:t xml:space="preserve"> for fixed, mobile, or portable RF source </w:t>
      </w:r>
      <w:r w:rsidRPr="003D1CC6">
        <w:rPr>
          <w:rFonts w:ascii="Times New Roman" w:hAnsi="Times New Roman"/>
          <w:i/>
          <w:sz w:val="22"/>
          <w:szCs w:val="22"/>
        </w:rPr>
        <w:t>i</w:t>
      </w:r>
      <w:r w:rsidRPr="003D1CC6">
        <w:rPr>
          <w:rFonts w:ascii="Times New Roman" w:hAnsi="Times New Roman"/>
          <w:sz w:val="22"/>
          <w:szCs w:val="22"/>
        </w:rPr>
        <w:t>.</w:t>
      </w:r>
    </w:p>
    <w:p w:rsidRPr="003D1CC6" w:rsidR="00D66ADC" w:rsidP="00D66ADC" w:rsidRDefault="00D66ADC" w14:paraId="44258CB7" w14:textId="77777777">
      <w:pPr>
        <w:ind w:left="900" w:hanging="900"/>
        <w:rPr>
          <w:rFonts w:ascii="Times New Roman" w:hAnsi="Times New Roman"/>
          <w:sz w:val="22"/>
          <w:szCs w:val="22"/>
        </w:rPr>
      </w:pPr>
      <w:proofErr w:type="spellStart"/>
      <w:r w:rsidRPr="003D1CC6">
        <w:rPr>
          <w:rFonts w:ascii="Times New Roman" w:hAnsi="Times New Roman"/>
          <w:i/>
          <w:sz w:val="22"/>
          <w:szCs w:val="22"/>
        </w:rPr>
        <w:lastRenderedPageBreak/>
        <w:t>ERP</w:t>
      </w:r>
      <w:r w:rsidRPr="003D1CC6">
        <w:rPr>
          <w:rFonts w:ascii="Times New Roman" w:hAnsi="Times New Roman"/>
          <w:i/>
          <w:sz w:val="22"/>
          <w:szCs w:val="22"/>
          <w:vertAlign w:val="subscript"/>
        </w:rPr>
        <w:t>j</w:t>
      </w:r>
      <w:proofErr w:type="spellEnd"/>
      <w:r w:rsidR="009864CE">
        <w:rPr>
          <w:rFonts w:ascii="Times New Roman" w:hAnsi="Times New Roman"/>
          <w:sz w:val="22"/>
          <w:szCs w:val="22"/>
          <w:vertAlign w:val="subscript"/>
        </w:rPr>
        <w:t xml:space="preserve"> </w:t>
      </w:r>
      <w:r w:rsidRPr="003D1CC6">
        <w:rPr>
          <w:rFonts w:ascii="Times New Roman" w:hAnsi="Times New Roman"/>
          <w:sz w:val="22"/>
          <w:szCs w:val="22"/>
        </w:rPr>
        <w:t xml:space="preserve">= the ERP of fixed, mobile, or portable RF source </w:t>
      </w:r>
      <w:r w:rsidRPr="003D1CC6">
        <w:rPr>
          <w:rFonts w:ascii="Times New Roman" w:hAnsi="Times New Roman"/>
          <w:i/>
          <w:sz w:val="22"/>
          <w:szCs w:val="22"/>
        </w:rPr>
        <w:t>j</w:t>
      </w:r>
      <w:r w:rsidRPr="003D1CC6">
        <w:rPr>
          <w:rFonts w:ascii="Times New Roman" w:hAnsi="Times New Roman"/>
          <w:sz w:val="22"/>
          <w:szCs w:val="22"/>
        </w:rPr>
        <w:t>.</w:t>
      </w:r>
    </w:p>
    <w:p w:rsidRPr="003D1CC6" w:rsidR="00D66ADC" w:rsidP="00D66ADC" w:rsidRDefault="00D66ADC" w14:paraId="6F941DE5" w14:textId="77777777">
      <w:pPr>
        <w:ind w:left="900" w:right="-360" w:hanging="900"/>
        <w:rPr>
          <w:rFonts w:ascii="Times New Roman" w:hAnsi="Times New Roman"/>
          <w:sz w:val="22"/>
          <w:szCs w:val="22"/>
        </w:rPr>
      </w:pPr>
      <w:proofErr w:type="spellStart"/>
      <w:proofErr w:type="gramStart"/>
      <w:r w:rsidRPr="003D1CC6">
        <w:rPr>
          <w:rFonts w:ascii="Times New Roman" w:hAnsi="Times New Roman"/>
          <w:i/>
          <w:sz w:val="22"/>
          <w:szCs w:val="22"/>
        </w:rPr>
        <w:t>ERP</w:t>
      </w:r>
      <w:r w:rsidRPr="003D1CC6">
        <w:rPr>
          <w:rFonts w:ascii="Times New Roman" w:hAnsi="Times New Roman"/>
          <w:i/>
          <w:sz w:val="22"/>
          <w:szCs w:val="22"/>
          <w:vertAlign w:val="subscript"/>
        </w:rPr>
        <w:t>th,j</w:t>
      </w:r>
      <w:proofErr w:type="spellEnd"/>
      <w:proofErr w:type="gramEnd"/>
      <w:r w:rsidR="009864CE">
        <w:rPr>
          <w:rFonts w:ascii="Times New Roman" w:hAnsi="Times New Roman"/>
          <w:sz w:val="22"/>
          <w:szCs w:val="22"/>
          <w:vertAlign w:val="subscript"/>
        </w:rPr>
        <w:t xml:space="preserve"> </w:t>
      </w:r>
      <w:r w:rsidRPr="003D1CC6">
        <w:rPr>
          <w:rFonts w:ascii="Times New Roman" w:hAnsi="Times New Roman"/>
          <w:sz w:val="22"/>
          <w:szCs w:val="22"/>
        </w:rPr>
        <w:t xml:space="preserve">= exemption threshold ERP for fixed, mobile, or portable RF source </w:t>
      </w:r>
      <w:r w:rsidRPr="003D1CC6">
        <w:rPr>
          <w:rFonts w:ascii="Times New Roman" w:hAnsi="Times New Roman"/>
          <w:i/>
          <w:sz w:val="22"/>
          <w:szCs w:val="22"/>
        </w:rPr>
        <w:t>j</w:t>
      </w:r>
      <w:r w:rsidRPr="003D1CC6">
        <w:rPr>
          <w:rFonts w:ascii="Times New Roman" w:hAnsi="Times New Roman"/>
          <w:sz w:val="22"/>
          <w:szCs w:val="22"/>
        </w:rPr>
        <w:t>, at a distance of at least λ/2π according to the applicable formula of paragraph (b)(3)(i)(C) of this section.</w:t>
      </w:r>
    </w:p>
    <w:p w:rsidRPr="003D1CC6" w:rsidR="00D66ADC" w:rsidP="00D66ADC" w:rsidRDefault="00D66ADC" w14:paraId="204BDD18" w14:textId="77777777">
      <w:pPr>
        <w:widowControl/>
        <w:ind w:left="907" w:right="-360" w:hanging="907"/>
        <w:rPr>
          <w:rFonts w:ascii="Times New Roman" w:hAnsi="Times New Roman"/>
          <w:i/>
          <w:sz w:val="22"/>
          <w:szCs w:val="22"/>
        </w:rPr>
      </w:pPr>
      <w:proofErr w:type="spellStart"/>
      <w:r w:rsidRPr="003D1CC6">
        <w:rPr>
          <w:rFonts w:ascii="Times New Roman" w:hAnsi="Times New Roman"/>
          <w:i/>
          <w:sz w:val="22"/>
          <w:szCs w:val="22"/>
        </w:rPr>
        <w:t>Evaluated</w:t>
      </w:r>
      <w:r w:rsidRPr="003D1CC6">
        <w:rPr>
          <w:rFonts w:ascii="Times New Roman" w:hAnsi="Times New Roman"/>
          <w:i/>
          <w:sz w:val="22"/>
          <w:szCs w:val="22"/>
          <w:vertAlign w:val="subscript"/>
        </w:rPr>
        <w:t>k</w:t>
      </w:r>
      <w:proofErr w:type="spellEnd"/>
      <w:r w:rsidR="009864CE">
        <w:rPr>
          <w:rFonts w:ascii="Times New Roman" w:hAnsi="Times New Roman"/>
          <w:sz w:val="22"/>
          <w:szCs w:val="22"/>
        </w:rPr>
        <w:t xml:space="preserve"> </w:t>
      </w:r>
      <w:r w:rsidRPr="003D1CC6">
        <w:rPr>
          <w:rFonts w:ascii="Times New Roman" w:hAnsi="Times New Roman"/>
          <w:sz w:val="22"/>
          <w:szCs w:val="22"/>
        </w:rPr>
        <w:t xml:space="preserve">= the maximum reported SAR or MPE of fixed, mobile, or portable RF source </w:t>
      </w:r>
      <w:r w:rsidRPr="003D1CC6">
        <w:rPr>
          <w:rFonts w:ascii="Times New Roman" w:hAnsi="Times New Roman"/>
          <w:i/>
          <w:sz w:val="22"/>
          <w:szCs w:val="22"/>
        </w:rPr>
        <w:t>k</w:t>
      </w:r>
      <w:r w:rsidRPr="003D1CC6">
        <w:rPr>
          <w:rFonts w:ascii="Times New Roman" w:hAnsi="Times New Roman"/>
          <w:sz w:val="22"/>
          <w:szCs w:val="22"/>
        </w:rPr>
        <w:t xml:space="preserve"> either in the device or at the transmitter site from an existing evaluation at the location of exposure.</w:t>
      </w:r>
    </w:p>
    <w:p w:rsidRPr="003D1CC6" w:rsidR="00D66ADC" w:rsidP="00D66ADC" w:rsidRDefault="00D66ADC" w14:paraId="196DA1C9" w14:textId="77777777">
      <w:pPr>
        <w:ind w:left="900" w:right="-360" w:hanging="900"/>
        <w:rPr>
          <w:rFonts w:ascii="Times New Roman" w:hAnsi="Times New Roman"/>
          <w:sz w:val="22"/>
          <w:szCs w:val="22"/>
        </w:rPr>
      </w:pPr>
      <w:r w:rsidRPr="003D1CC6">
        <w:rPr>
          <w:rFonts w:ascii="Times New Roman" w:hAnsi="Times New Roman"/>
          <w:i/>
          <w:sz w:val="22"/>
          <w:szCs w:val="22"/>
        </w:rPr>
        <w:t xml:space="preserve">Exposure </w:t>
      </w:r>
      <w:proofErr w:type="spellStart"/>
      <w:r w:rsidRPr="003D1CC6">
        <w:rPr>
          <w:rFonts w:ascii="Times New Roman" w:hAnsi="Times New Roman"/>
          <w:i/>
          <w:sz w:val="22"/>
          <w:szCs w:val="22"/>
        </w:rPr>
        <w:t>Limit</w:t>
      </w:r>
      <w:r w:rsidRPr="003D1CC6">
        <w:rPr>
          <w:rFonts w:ascii="Times New Roman" w:hAnsi="Times New Roman"/>
          <w:i/>
          <w:sz w:val="22"/>
          <w:szCs w:val="22"/>
          <w:vertAlign w:val="subscript"/>
        </w:rPr>
        <w:t>k</w:t>
      </w:r>
      <w:proofErr w:type="spellEnd"/>
      <w:r w:rsidRPr="003D1CC6">
        <w:rPr>
          <w:rFonts w:ascii="Times New Roman" w:hAnsi="Times New Roman"/>
          <w:sz w:val="22"/>
          <w:szCs w:val="22"/>
        </w:rPr>
        <w:t xml:space="preserve"> = either the general population/uncontrolled maximum permissible exposure (MPE) or specific absorption rate (SAR) limit for each fixed, mobile, or portable RF source </w:t>
      </w:r>
      <w:r w:rsidRPr="003D1CC6">
        <w:rPr>
          <w:rFonts w:ascii="Times New Roman" w:hAnsi="Times New Roman"/>
          <w:i/>
          <w:sz w:val="22"/>
          <w:szCs w:val="22"/>
        </w:rPr>
        <w:t>k</w:t>
      </w:r>
      <w:r w:rsidRPr="003D1CC6">
        <w:rPr>
          <w:rFonts w:ascii="Times New Roman" w:hAnsi="Times New Roman"/>
          <w:sz w:val="22"/>
          <w:szCs w:val="22"/>
        </w:rPr>
        <w:t>, as applicable from Section 1.1310 of this chapter.</w:t>
      </w:r>
    </w:p>
    <w:bookmarkEnd w:id="4"/>
    <w:p w:rsidRPr="003D1CC6" w:rsidR="00D66ADC" w:rsidP="00D66ADC" w:rsidRDefault="00D66ADC" w14:paraId="1DE45B1D" w14:textId="77777777">
      <w:pPr>
        <w:suppressAutoHyphens/>
        <w:rPr>
          <w:rFonts w:ascii="Times New Roman" w:hAnsi="Times New Roman"/>
          <w:sz w:val="22"/>
          <w:szCs w:val="22"/>
        </w:rPr>
      </w:pPr>
    </w:p>
    <w:p w:rsidRPr="003D1CC6" w:rsidR="00D66ADC" w:rsidP="00D66ADC" w:rsidRDefault="00D66ADC" w14:paraId="5C8818C3" w14:textId="77777777">
      <w:pPr>
        <w:ind w:firstLine="360"/>
        <w:rPr>
          <w:rFonts w:ascii="Times New Roman" w:hAnsi="Times New Roman"/>
          <w:sz w:val="22"/>
          <w:szCs w:val="22"/>
        </w:rPr>
      </w:pPr>
      <w:bookmarkStart w:name="OLE_LINK32" w:id="7"/>
      <w:r w:rsidRPr="003D1CC6">
        <w:rPr>
          <w:rFonts w:ascii="Times New Roman" w:hAnsi="Times New Roman"/>
          <w:sz w:val="22"/>
          <w:szCs w:val="22"/>
        </w:rPr>
        <w:t>(4) Mitigation.  (i) As provided in paragraphs</w:t>
      </w:r>
      <w:r w:rsidR="00A41A4F">
        <w:rPr>
          <w:rFonts w:ascii="Times New Roman" w:hAnsi="Times New Roman"/>
          <w:sz w:val="22"/>
          <w:szCs w:val="22"/>
        </w:rPr>
        <w:t xml:space="preserve"> </w:t>
      </w:r>
      <w:r w:rsidRPr="00A41A4F" w:rsidR="00A41A4F">
        <w:rPr>
          <w:rFonts w:ascii="Times New Roman" w:hAnsi="Times New Roman"/>
          <w:sz w:val="22"/>
          <w:szCs w:val="22"/>
        </w:rPr>
        <w:t>(b)(4)(ii) through (vi) of this section</w:t>
      </w:r>
      <w:r w:rsidRPr="003D1CC6">
        <w:rPr>
          <w:rFonts w:ascii="Times New Roman" w:hAnsi="Times New Roman"/>
          <w:sz w:val="22"/>
          <w:szCs w:val="22"/>
        </w:rPr>
        <w:t xml:space="preserve">, specific mitigation actions are required for fixed RF sources to the extent necessary to ensure compliance with our exposure limits, including the implementation of an RF safety plan, restriction of access to those RF sources, and disclosure of spatial regions where exposure limits are exceeded.  </w:t>
      </w:r>
    </w:p>
    <w:bookmarkEnd w:id="7"/>
    <w:p w:rsidRPr="003D1CC6" w:rsidR="00D66ADC" w:rsidP="00D66ADC" w:rsidRDefault="00D66ADC" w14:paraId="6C2AD7A4" w14:textId="77777777">
      <w:pPr>
        <w:ind w:firstLine="360"/>
        <w:rPr>
          <w:rFonts w:ascii="Times New Roman" w:hAnsi="Times New Roman"/>
          <w:sz w:val="22"/>
          <w:szCs w:val="22"/>
        </w:rPr>
      </w:pPr>
    </w:p>
    <w:p w:rsidRPr="003D1CC6" w:rsidR="00D66ADC" w:rsidP="00D66ADC" w:rsidRDefault="00D66ADC" w14:paraId="429F9082" w14:textId="77777777">
      <w:pPr>
        <w:ind w:firstLine="360"/>
        <w:rPr>
          <w:rFonts w:ascii="Times New Roman" w:hAnsi="Times New Roman"/>
          <w:sz w:val="22"/>
          <w:szCs w:val="22"/>
        </w:rPr>
      </w:pPr>
      <w:bookmarkStart w:name="OLE_LINK33" w:id="8"/>
      <w:r w:rsidRPr="003D1CC6">
        <w:rPr>
          <w:rFonts w:ascii="Times New Roman" w:hAnsi="Times New Roman"/>
          <w:sz w:val="22"/>
          <w:szCs w:val="22"/>
        </w:rPr>
        <w:t>(ii)</w:t>
      </w:r>
      <w:r w:rsidRPr="003D1CC6">
        <w:rPr>
          <w:rFonts w:ascii="Times New Roman" w:hAnsi="Times New Roman"/>
          <w:bCs/>
          <w:sz w:val="22"/>
          <w:szCs w:val="22"/>
        </w:rPr>
        <w:t xml:space="preserve"> </w:t>
      </w:r>
      <w:r w:rsidRPr="003D1CC6">
        <w:rPr>
          <w:rFonts w:ascii="Times New Roman" w:hAnsi="Times New Roman"/>
          <w:sz w:val="22"/>
          <w:szCs w:val="22"/>
        </w:rPr>
        <w:t xml:space="preserve">Category One – INFORMATION: No mitigation actions are required when the RF source does not cause continuous or source-based time-averaged exposure in excess of the general population limit in Section 1.1310 of this </w:t>
      </w:r>
      <w:r w:rsidR="00A41A4F">
        <w:rPr>
          <w:rFonts w:ascii="Times New Roman" w:hAnsi="Times New Roman"/>
          <w:sz w:val="22"/>
          <w:szCs w:val="22"/>
        </w:rPr>
        <w:t>part</w:t>
      </w:r>
      <w:r w:rsidRPr="003D1CC6">
        <w:rPr>
          <w:rFonts w:ascii="Times New Roman" w:hAnsi="Times New Roman"/>
          <w:sz w:val="22"/>
          <w:szCs w:val="22"/>
        </w:rPr>
        <w:t xml:space="preserve">.  Optionally a green “INFORMATION” sign may offer information to those persons who might be approaching RF sources.  This optional sign, when used, must include at least the following information: </w:t>
      </w:r>
      <w:r w:rsidR="00A41A4F">
        <w:rPr>
          <w:rFonts w:ascii="Times New Roman" w:hAnsi="Times New Roman"/>
          <w:sz w:val="22"/>
          <w:szCs w:val="22"/>
        </w:rPr>
        <w:t>A</w:t>
      </w:r>
      <w:r w:rsidRPr="003D1CC6">
        <w:rPr>
          <w:rFonts w:ascii="Times New Roman" w:hAnsi="Times New Roman"/>
          <w:sz w:val="22"/>
          <w:szCs w:val="22"/>
        </w:rPr>
        <w:t>ppropriate signal word “INFORMATION” and associated color (green), an explanation of the safety precautions to be observed when closer to the antenna than the information sign, a reminder to obey all postings and boundaries (if higher categories are nearby), up-to-date licensee (or operator) contact information (if higher categories are nearby), and a place to get additional information (such as a website, if no higher categories are nearby).</w:t>
      </w:r>
    </w:p>
    <w:bookmarkEnd w:id="8"/>
    <w:p w:rsidRPr="003D1CC6" w:rsidR="00D66ADC" w:rsidP="00D66ADC" w:rsidRDefault="00D66ADC" w14:paraId="7E77B4A6" w14:textId="77777777">
      <w:pPr>
        <w:ind w:firstLine="360"/>
        <w:rPr>
          <w:rFonts w:ascii="Times New Roman" w:hAnsi="Times New Roman"/>
          <w:sz w:val="22"/>
          <w:szCs w:val="22"/>
        </w:rPr>
      </w:pPr>
    </w:p>
    <w:p w:rsidRPr="003D1CC6" w:rsidR="00D66ADC" w:rsidP="00D66ADC" w:rsidRDefault="00D66ADC" w14:paraId="515A33F2" w14:textId="77777777">
      <w:pPr>
        <w:ind w:firstLine="360"/>
        <w:rPr>
          <w:rFonts w:ascii="Times New Roman" w:hAnsi="Times New Roman"/>
          <w:sz w:val="22"/>
          <w:szCs w:val="22"/>
        </w:rPr>
      </w:pPr>
      <w:bookmarkStart w:name="OLE_LINK34" w:id="9"/>
      <w:r w:rsidRPr="003D1CC6">
        <w:rPr>
          <w:rFonts w:ascii="Times New Roman" w:hAnsi="Times New Roman"/>
          <w:sz w:val="22"/>
          <w:szCs w:val="22"/>
        </w:rPr>
        <w:t xml:space="preserve">(iii) Category Two – NOTICE: Mitigation actions are required in the form of signs and positive access control surrounding the boundary where the continuous exposure limit is exceeded for the general population, with the appropriate signal word “NOTICE” and associated color (blue) on the signs.  Signs must contain the components discussed in paragraph (b)(4)(vi) of this section.  Under certain controlled conditions, such as on a rooftop with limited access, a sign attached directly to the surface of an antenna will be considered sufficient if the sign specifies a minimum approach distance and is readable at this separation distance and at locations required for compliance with the general population exposure limit in Section 1.1310 of this </w:t>
      </w:r>
      <w:r w:rsidR="00A41A4F">
        <w:rPr>
          <w:rFonts w:ascii="Times New Roman" w:hAnsi="Times New Roman"/>
          <w:sz w:val="22"/>
          <w:szCs w:val="22"/>
        </w:rPr>
        <w:t>part</w:t>
      </w:r>
      <w:r w:rsidRPr="003D1CC6">
        <w:rPr>
          <w:rFonts w:ascii="Times New Roman" w:hAnsi="Times New Roman"/>
          <w:sz w:val="22"/>
          <w:szCs w:val="22"/>
        </w:rPr>
        <w:t>.  Appropriate training is required for any occupational personnel with access to controlled areas within restrictive barriers where the general population exposure limit is exceeded, and transient individuals must be supervised by trained occupational personnel upon entering any of these areas.  Use of time averaging is required for transient individuals to ensure compliance with the general population exposure limit.</w:t>
      </w:r>
    </w:p>
    <w:bookmarkEnd w:id="9"/>
    <w:p w:rsidRPr="003D1CC6" w:rsidR="00D66ADC" w:rsidP="00D66ADC" w:rsidRDefault="00D66ADC" w14:paraId="0C87BDA2" w14:textId="77777777">
      <w:pPr>
        <w:ind w:firstLine="360"/>
        <w:rPr>
          <w:rFonts w:ascii="Times New Roman" w:hAnsi="Times New Roman"/>
          <w:sz w:val="22"/>
          <w:szCs w:val="22"/>
        </w:rPr>
      </w:pPr>
    </w:p>
    <w:p w:rsidRPr="003D1CC6" w:rsidR="00D66ADC" w:rsidP="00D66ADC" w:rsidRDefault="00D66ADC" w14:paraId="4E82A6D9" w14:textId="77777777">
      <w:pPr>
        <w:ind w:firstLine="360"/>
        <w:rPr>
          <w:rFonts w:ascii="Times New Roman" w:hAnsi="Times New Roman"/>
          <w:sz w:val="22"/>
          <w:szCs w:val="22"/>
        </w:rPr>
      </w:pPr>
      <w:bookmarkStart w:name="OLE_LINK35" w:id="10"/>
      <w:r w:rsidRPr="003D1CC6">
        <w:rPr>
          <w:rFonts w:ascii="Times New Roman" w:hAnsi="Times New Roman"/>
          <w:sz w:val="22"/>
          <w:szCs w:val="22"/>
        </w:rPr>
        <w:t>(iv) Category Three – CAUTION: Signs (with the appropriate signal word “CAUTION” and associated color (yellow) on the signs), controls, or indicators (</w:t>
      </w:r>
      <w:r w:rsidRPr="003D1CC6">
        <w:rPr>
          <w:rFonts w:ascii="Times New Roman" w:hAnsi="Times New Roman"/>
          <w:i/>
          <w:sz w:val="22"/>
          <w:szCs w:val="22"/>
        </w:rPr>
        <w:t>e.g</w:t>
      </w:r>
      <w:r w:rsidRPr="003D1CC6">
        <w:rPr>
          <w:rFonts w:ascii="Times New Roman" w:hAnsi="Times New Roman"/>
          <w:sz w:val="22"/>
          <w:szCs w:val="22"/>
        </w:rPr>
        <w:t xml:space="preserve">., chains, railings, contrasting paint, diagrams) are required (in addition to the positive access control established for Category Two) surrounding the area in which the exposure limit for occupational personnel in a controlled environment is exceeded by no more than a factor of ten.  Signs must contain the components discussed in paragraph (b)(4)(vi) of this section.  If the boundaries between Category Two and Three are such that placement of both Category Two and Three signs would be in the same location, then the Category Two sign is optional.  Under certain controlled conditions, such as on a rooftop with limited access, a sign may be attached directly to the surface of an antenna within a controlled environment if it specifies the minimum approach distance and is readable at this distance and at locations required for compliance with the </w:t>
      </w:r>
      <w:r w:rsidRPr="003D1CC6">
        <w:rPr>
          <w:rFonts w:ascii="Times New Roman" w:hAnsi="Times New Roman"/>
          <w:sz w:val="22"/>
          <w:szCs w:val="22"/>
        </w:rPr>
        <w:lastRenderedPageBreak/>
        <w:t xml:space="preserve">occupational exposure limit in Section 1.1310 of this </w:t>
      </w:r>
      <w:r w:rsidR="00A41A4F">
        <w:rPr>
          <w:rFonts w:ascii="Times New Roman" w:hAnsi="Times New Roman"/>
          <w:sz w:val="22"/>
          <w:szCs w:val="22"/>
        </w:rPr>
        <w:t>part</w:t>
      </w:r>
      <w:r w:rsidRPr="003D1CC6">
        <w:rPr>
          <w:rFonts w:ascii="Times New Roman" w:hAnsi="Times New Roman"/>
          <w:sz w:val="22"/>
          <w:szCs w:val="22"/>
        </w:rPr>
        <w:t>.  If signs are not used at the occupational exposure limit boundary, controls or indicators (</w:t>
      </w:r>
      <w:r w:rsidRPr="003D1CC6">
        <w:rPr>
          <w:rFonts w:ascii="Times New Roman" w:hAnsi="Times New Roman"/>
          <w:i/>
          <w:sz w:val="22"/>
          <w:szCs w:val="22"/>
        </w:rPr>
        <w:t>e.g</w:t>
      </w:r>
      <w:r w:rsidRPr="003D1CC6">
        <w:rPr>
          <w:rFonts w:ascii="Times New Roman" w:hAnsi="Times New Roman"/>
          <w:sz w:val="22"/>
          <w:szCs w:val="22"/>
        </w:rPr>
        <w:t xml:space="preserve">., chains, railings, contrasting paint, diagrams, </w:t>
      </w:r>
      <w:r w:rsidRPr="003D1CC6">
        <w:rPr>
          <w:rFonts w:ascii="Times New Roman" w:hAnsi="Times New Roman"/>
          <w:i/>
          <w:sz w:val="22"/>
          <w:szCs w:val="22"/>
        </w:rPr>
        <w:t>etc</w:t>
      </w:r>
      <w:r w:rsidRPr="003D1CC6">
        <w:rPr>
          <w:rFonts w:ascii="Times New Roman" w:hAnsi="Times New Roman"/>
          <w:sz w:val="22"/>
          <w:szCs w:val="22"/>
        </w:rPr>
        <w:t>.) must designate the boundary where the occupational exposure limit is exceeded.  Additionally, appropriate training is required for any occupational personnel with access to the controlled area where the general population exposure limit is exceeded, and transient individuals must be supervised by trained personnel upon entering any of these areas.  Use of time averaging is required for transient individuals to ensure compliance with the general population exposure limit.  Further mitigation by reducing exposure time in accord</w:t>
      </w:r>
      <w:r w:rsidR="00370261">
        <w:rPr>
          <w:rFonts w:ascii="Times New Roman" w:hAnsi="Times New Roman"/>
          <w:sz w:val="22"/>
          <w:szCs w:val="22"/>
        </w:rPr>
        <w:t>ance</w:t>
      </w:r>
      <w:r w:rsidRPr="003D1CC6">
        <w:rPr>
          <w:rFonts w:ascii="Times New Roman" w:hAnsi="Times New Roman"/>
          <w:sz w:val="22"/>
          <w:szCs w:val="22"/>
        </w:rPr>
        <w:t xml:space="preserve"> with six-minute time averaging is required for occupational personnel in the area in which the occupational exposure limit is exceeded.  However, proper use of RF personal protective equipment may be considered </w:t>
      </w:r>
      <w:proofErr w:type="gramStart"/>
      <w:r w:rsidRPr="003D1CC6">
        <w:rPr>
          <w:rFonts w:ascii="Times New Roman" w:hAnsi="Times New Roman"/>
          <w:sz w:val="22"/>
          <w:szCs w:val="22"/>
        </w:rPr>
        <w:t>sufficient</w:t>
      </w:r>
      <w:proofErr w:type="gramEnd"/>
      <w:r w:rsidRPr="003D1CC6">
        <w:rPr>
          <w:rFonts w:ascii="Times New Roman" w:hAnsi="Times New Roman"/>
          <w:sz w:val="22"/>
          <w:szCs w:val="22"/>
        </w:rPr>
        <w:t xml:space="preserve"> in lieu of time averaging for occupational personnel in the areas in which the occupational exposure limit is exceeded.  If such procedures or power reduction, and therefore Category reduction, are not feasible, then lockout/tagout procedures in 29 CFR Section 1910.147 must be followed.</w:t>
      </w:r>
    </w:p>
    <w:bookmarkEnd w:id="10"/>
    <w:p w:rsidRPr="003D1CC6" w:rsidR="00D66ADC" w:rsidP="00D66ADC" w:rsidRDefault="00D66ADC" w14:paraId="0547B91D" w14:textId="77777777">
      <w:pPr>
        <w:ind w:firstLine="360"/>
        <w:rPr>
          <w:rFonts w:ascii="Times New Roman" w:hAnsi="Times New Roman"/>
          <w:sz w:val="22"/>
          <w:szCs w:val="22"/>
        </w:rPr>
      </w:pPr>
    </w:p>
    <w:p w:rsidRPr="003D1CC6" w:rsidR="00D66ADC" w:rsidP="00D66ADC" w:rsidRDefault="00D66ADC" w14:paraId="2B953EB1" w14:textId="77777777">
      <w:pPr>
        <w:ind w:firstLine="360"/>
        <w:rPr>
          <w:rFonts w:ascii="Times New Roman" w:hAnsi="Times New Roman"/>
          <w:sz w:val="22"/>
          <w:szCs w:val="22"/>
        </w:rPr>
      </w:pPr>
      <w:bookmarkStart w:name="OLE_LINK36" w:id="11"/>
      <w:r w:rsidRPr="003D1CC6">
        <w:rPr>
          <w:rFonts w:ascii="Times New Roman" w:hAnsi="Times New Roman"/>
          <w:sz w:val="22"/>
          <w:szCs w:val="22"/>
        </w:rPr>
        <w:t>(v) Category Four – WARNING/DANGER: Where the occupational limit could be exceeded by a factor of more than ten, “WARNING” signs with the associated color (orange), controls, or indicators (</w:t>
      </w:r>
      <w:r w:rsidRPr="003D1CC6">
        <w:rPr>
          <w:rFonts w:ascii="Times New Roman" w:hAnsi="Times New Roman"/>
          <w:i/>
          <w:sz w:val="22"/>
          <w:szCs w:val="22"/>
        </w:rPr>
        <w:t>e.g</w:t>
      </w:r>
      <w:r w:rsidRPr="003D1CC6">
        <w:rPr>
          <w:rFonts w:ascii="Times New Roman" w:hAnsi="Times New Roman"/>
          <w:sz w:val="22"/>
          <w:szCs w:val="22"/>
        </w:rPr>
        <w:t>., chains, railings, contrasting paint, diagrams) are required (in addition to the positive access control established for Category Two) surrounding the area in which the occupational exposure limit in a controlled environment is exceeded by more than a factor of ten  Signs must contain the components discussed in paragraph (b)(4)(vi) of this section.  “DANGER” signs with the associated color (red) are required where immediate and serious injury will occur on contact, in addition to positive access control, regardless of mitigation actions taken in Categories Two or Three.  If the boundaries between Category Three and Four are such that placement of both Category Three and Four signs would be in the same location, then the Category Three sign is optional.  No access is permitted without Category reduction.  If power reduction, and therefore Category reduction, is not feasible, then lockout/tagout procedures in 29 CFR Section 1910.147 must be followed.</w:t>
      </w:r>
    </w:p>
    <w:bookmarkEnd w:id="11"/>
    <w:p w:rsidRPr="003D1CC6" w:rsidR="00D66ADC" w:rsidP="00D66ADC" w:rsidRDefault="00D66ADC" w14:paraId="1792C5C6" w14:textId="77777777">
      <w:pPr>
        <w:ind w:firstLine="360"/>
        <w:rPr>
          <w:rFonts w:ascii="Times New Roman" w:hAnsi="Times New Roman"/>
          <w:sz w:val="22"/>
          <w:szCs w:val="22"/>
        </w:rPr>
      </w:pPr>
    </w:p>
    <w:p w:rsidRPr="003D1CC6" w:rsidR="00D66ADC" w:rsidP="00D66ADC" w:rsidRDefault="00D66ADC" w14:paraId="74B9FC9E" w14:textId="77777777">
      <w:pPr>
        <w:ind w:firstLine="360"/>
        <w:rPr>
          <w:rFonts w:ascii="Times New Roman" w:hAnsi="Times New Roman"/>
          <w:sz w:val="22"/>
          <w:szCs w:val="22"/>
        </w:rPr>
      </w:pPr>
      <w:bookmarkStart w:name="OLE_LINK37" w:id="12"/>
      <w:r w:rsidRPr="003D1CC6">
        <w:rPr>
          <w:rFonts w:ascii="Times New Roman" w:hAnsi="Times New Roman"/>
          <w:sz w:val="22"/>
          <w:szCs w:val="22"/>
        </w:rPr>
        <w:t>(vi) RF exposure advisory signs must be viewable and readable from the boundary where the applicable exposure limits are exceeded, pursuant to 29 CFR Section 1910.145, and include at least the following five components:</w:t>
      </w:r>
    </w:p>
    <w:bookmarkEnd w:id="12"/>
    <w:p w:rsidRPr="003D1CC6" w:rsidR="00D66ADC" w:rsidP="00D66ADC" w:rsidRDefault="00D66ADC" w14:paraId="1E1D2260" w14:textId="77777777">
      <w:pPr>
        <w:ind w:firstLine="360"/>
        <w:rPr>
          <w:rFonts w:ascii="Times New Roman" w:hAnsi="Times New Roman"/>
          <w:sz w:val="22"/>
          <w:szCs w:val="22"/>
        </w:rPr>
      </w:pPr>
    </w:p>
    <w:p w:rsidRPr="003D1CC6" w:rsidR="00D66ADC" w:rsidP="00D66ADC" w:rsidRDefault="00D66ADC" w14:paraId="5EBC82C8" w14:textId="77777777">
      <w:pPr>
        <w:ind w:firstLine="360"/>
        <w:rPr>
          <w:rFonts w:ascii="Times New Roman" w:hAnsi="Times New Roman"/>
          <w:sz w:val="22"/>
          <w:szCs w:val="22"/>
        </w:rPr>
      </w:pPr>
      <w:bookmarkStart w:name="OLE_LINK38" w:id="13"/>
      <w:r w:rsidRPr="003D1CC6">
        <w:rPr>
          <w:rFonts w:ascii="Times New Roman" w:hAnsi="Times New Roman"/>
          <w:sz w:val="22"/>
          <w:szCs w:val="22"/>
        </w:rPr>
        <w:t>(A) Appropriate signal word, associated color {</w:t>
      </w:r>
      <w:r w:rsidRPr="003D1CC6">
        <w:rPr>
          <w:rFonts w:ascii="Times New Roman" w:hAnsi="Times New Roman"/>
          <w:i/>
          <w:sz w:val="22"/>
          <w:szCs w:val="22"/>
        </w:rPr>
        <w:t>i</w:t>
      </w:r>
      <w:r w:rsidRPr="003D1CC6">
        <w:rPr>
          <w:rFonts w:ascii="Times New Roman" w:hAnsi="Times New Roman"/>
          <w:sz w:val="22"/>
          <w:szCs w:val="22"/>
        </w:rPr>
        <w:t>.</w:t>
      </w:r>
      <w:r w:rsidRPr="003D1CC6">
        <w:rPr>
          <w:rFonts w:ascii="Times New Roman" w:hAnsi="Times New Roman"/>
          <w:i/>
          <w:sz w:val="22"/>
          <w:szCs w:val="22"/>
        </w:rPr>
        <w:t>e</w:t>
      </w:r>
      <w:r w:rsidRPr="003D1CC6">
        <w:rPr>
          <w:rFonts w:ascii="Times New Roman" w:hAnsi="Times New Roman"/>
          <w:sz w:val="22"/>
          <w:szCs w:val="22"/>
        </w:rPr>
        <w:t xml:space="preserve">., </w:t>
      </w:r>
      <w:r w:rsidR="00A41A4F">
        <w:rPr>
          <w:rFonts w:ascii="Times New Roman" w:hAnsi="Times New Roman"/>
          <w:sz w:val="22"/>
          <w:szCs w:val="22"/>
        </w:rPr>
        <w:t>{</w:t>
      </w:r>
      <w:r w:rsidRPr="003D1CC6">
        <w:rPr>
          <w:rFonts w:ascii="Times New Roman" w:hAnsi="Times New Roman"/>
          <w:sz w:val="22"/>
          <w:szCs w:val="22"/>
        </w:rPr>
        <w:t>DANGER” (red), “WARNING” (orange), “CAUTION,” (yellow) “NOTICE” (blue)};</w:t>
      </w:r>
    </w:p>
    <w:bookmarkEnd w:id="13"/>
    <w:p w:rsidRPr="003D1CC6" w:rsidR="00D66ADC" w:rsidP="00D66ADC" w:rsidRDefault="00D66ADC" w14:paraId="00F21E8F" w14:textId="77777777">
      <w:pPr>
        <w:ind w:left="1080" w:firstLine="360"/>
        <w:rPr>
          <w:rFonts w:ascii="Times New Roman" w:hAnsi="Times New Roman"/>
          <w:sz w:val="22"/>
          <w:szCs w:val="22"/>
        </w:rPr>
      </w:pPr>
    </w:p>
    <w:p w:rsidRPr="003D1CC6" w:rsidR="00D66ADC" w:rsidP="00D66ADC" w:rsidRDefault="00D66ADC" w14:paraId="638AF6A4" w14:textId="77777777">
      <w:pPr>
        <w:ind w:firstLine="360"/>
        <w:rPr>
          <w:rFonts w:ascii="Times New Roman" w:hAnsi="Times New Roman"/>
          <w:sz w:val="22"/>
          <w:szCs w:val="22"/>
        </w:rPr>
      </w:pPr>
      <w:bookmarkStart w:name="OLE_LINK39" w:id="14"/>
      <w:r w:rsidRPr="003D1CC6">
        <w:rPr>
          <w:rFonts w:ascii="Times New Roman" w:hAnsi="Times New Roman"/>
          <w:sz w:val="22"/>
          <w:szCs w:val="22"/>
        </w:rPr>
        <w:t>(B) RF energy advisory symbol;</w:t>
      </w:r>
    </w:p>
    <w:bookmarkEnd w:id="14"/>
    <w:p w:rsidRPr="003D1CC6" w:rsidR="00D66ADC" w:rsidP="00D66ADC" w:rsidRDefault="00D66ADC" w14:paraId="6524CF3D" w14:textId="77777777">
      <w:pPr>
        <w:ind w:left="1080" w:firstLine="360"/>
        <w:rPr>
          <w:rFonts w:ascii="Times New Roman" w:hAnsi="Times New Roman"/>
          <w:sz w:val="22"/>
          <w:szCs w:val="22"/>
        </w:rPr>
      </w:pPr>
    </w:p>
    <w:p w:rsidRPr="003D1CC6" w:rsidR="00D66ADC" w:rsidP="00D66ADC" w:rsidRDefault="00D66ADC" w14:paraId="502F3E69" w14:textId="77777777">
      <w:pPr>
        <w:ind w:firstLine="360"/>
        <w:rPr>
          <w:rFonts w:ascii="Times New Roman" w:hAnsi="Times New Roman"/>
          <w:sz w:val="22"/>
          <w:szCs w:val="22"/>
        </w:rPr>
      </w:pPr>
      <w:bookmarkStart w:name="OLE_LINK40" w:id="15"/>
      <w:r w:rsidRPr="003D1CC6">
        <w:rPr>
          <w:rFonts w:ascii="Times New Roman" w:hAnsi="Times New Roman"/>
          <w:sz w:val="22"/>
          <w:szCs w:val="22"/>
        </w:rPr>
        <w:t>(C) An explanation of the RF source;</w:t>
      </w:r>
    </w:p>
    <w:bookmarkEnd w:id="15"/>
    <w:p w:rsidRPr="003D1CC6" w:rsidR="00D66ADC" w:rsidP="00D66ADC" w:rsidRDefault="00D66ADC" w14:paraId="3F7A2786" w14:textId="77777777">
      <w:pPr>
        <w:ind w:left="1080" w:firstLine="360"/>
        <w:rPr>
          <w:rFonts w:ascii="Times New Roman" w:hAnsi="Times New Roman"/>
          <w:sz w:val="22"/>
          <w:szCs w:val="22"/>
        </w:rPr>
      </w:pPr>
    </w:p>
    <w:p w:rsidRPr="003D1CC6" w:rsidR="00D66ADC" w:rsidP="00D66ADC" w:rsidRDefault="00D66ADC" w14:paraId="4C4B104D" w14:textId="77777777">
      <w:pPr>
        <w:ind w:firstLine="360"/>
        <w:rPr>
          <w:rFonts w:ascii="Times New Roman" w:hAnsi="Times New Roman"/>
          <w:sz w:val="22"/>
          <w:szCs w:val="22"/>
        </w:rPr>
      </w:pPr>
      <w:bookmarkStart w:name="OLE_LINK41" w:id="16"/>
      <w:r w:rsidRPr="003D1CC6">
        <w:rPr>
          <w:rFonts w:ascii="Times New Roman" w:hAnsi="Times New Roman"/>
          <w:sz w:val="22"/>
          <w:szCs w:val="22"/>
        </w:rPr>
        <w:t>(D) Behavior necessary to comply with the exposure limits; and</w:t>
      </w:r>
    </w:p>
    <w:bookmarkEnd w:id="16"/>
    <w:p w:rsidRPr="003D1CC6" w:rsidR="00D66ADC" w:rsidP="00D66ADC" w:rsidRDefault="00D66ADC" w14:paraId="76BD44E4" w14:textId="77777777">
      <w:pPr>
        <w:ind w:left="1080" w:firstLine="360"/>
        <w:rPr>
          <w:rFonts w:ascii="Times New Roman" w:hAnsi="Times New Roman"/>
          <w:sz w:val="22"/>
          <w:szCs w:val="22"/>
        </w:rPr>
      </w:pPr>
    </w:p>
    <w:p w:rsidRPr="003D1CC6" w:rsidR="00D66ADC" w:rsidP="00D66ADC" w:rsidRDefault="00D66ADC" w14:paraId="5608E6BF" w14:textId="77777777">
      <w:pPr>
        <w:ind w:firstLine="360"/>
        <w:rPr>
          <w:rFonts w:ascii="Times New Roman" w:hAnsi="Times New Roman"/>
          <w:sz w:val="22"/>
          <w:szCs w:val="22"/>
        </w:rPr>
      </w:pPr>
      <w:bookmarkStart w:name="OLE_LINK42" w:id="17"/>
      <w:r w:rsidRPr="003D1CC6">
        <w:rPr>
          <w:rFonts w:ascii="Times New Roman" w:hAnsi="Times New Roman"/>
          <w:sz w:val="22"/>
          <w:szCs w:val="22"/>
        </w:rPr>
        <w:t>(E) Up-to-date contact information.</w:t>
      </w:r>
    </w:p>
    <w:bookmarkEnd w:id="17"/>
    <w:p w:rsidRPr="003D1CC6" w:rsidR="00D66ADC" w:rsidP="00D66ADC" w:rsidRDefault="00D66ADC" w14:paraId="2E891A69" w14:textId="77777777">
      <w:pPr>
        <w:tabs>
          <w:tab w:val="left" w:pos="-1440"/>
          <w:tab w:val="left" w:pos="-720"/>
        </w:tabs>
        <w:suppressAutoHyphens/>
        <w:ind w:left="1080" w:firstLine="360"/>
        <w:rPr>
          <w:rFonts w:ascii="Times New Roman" w:hAnsi="Times New Roman"/>
          <w:sz w:val="22"/>
          <w:szCs w:val="22"/>
        </w:rPr>
      </w:pPr>
    </w:p>
    <w:p w:rsidRPr="003D1CC6" w:rsidR="00D66ADC" w:rsidP="00D66ADC" w:rsidRDefault="00D66ADC" w14:paraId="5CC6ECA2" w14:textId="77777777">
      <w:pPr>
        <w:ind w:firstLine="360"/>
        <w:rPr>
          <w:rFonts w:ascii="Times New Roman" w:hAnsi="Times New Roman"/>
          <w:sz w:val="22"/>
          <w:szCs w:val="22"/>
        </w:rPr>
      </w:pPr>
      <w:bookmarkStart w:name="OLE_LINK43" w:id="18"/>
      <w:r w:rsidRPr="003D1CC6">
        <w:rPr>
          <w:rFonts w:ascii="Times New Roman" w:hAnsi="Times New Roman"/>
          <w:sz w:val="22"/>
          <w:szCs w:val="22"/>
        </w:rPr>
        <w:t>(5)</w:t>
      </w:r>
      <w:r w:rsidR="00A41A4F">
        <w:rPr>
          <w:rFonts w:ascii="Times New Roman" w:hAnsi="Times New Roman"/>
          <w:sz w:val="22"/>
          <w:szCs w:val="22"/>
        </w:rPr>
        <w:t xml:space="preserve"> </w:t>
      </w:r>
      <w:r w:rsidRPr="001430AD" w:rsidR="00A41A4F">
        <w:rPr>
          <w:rFonts w:ascii="Times New Roman" w:hAnsi="Times New Roman"/>
          <w:i/>
          <w:iCs/>
          <w:sz w:val="22"/>
          <w:szCs w:val="22"/>
        </w:rPr>
        <w:t>Responsibility for compliance.</w:t>
      </w:r>
      <w:r w:rsidRPr="00A41A4F" w:rsidR="00A41A4F">
        <w:rPr>
          <w:rFonts w:ascii="Times New Roman" w:hAnsi="Times New Roman"/>
          <w:sz w:val="22"/>
          <w:szCs w:val="22"/>
        </w:rPr>
        <w:t xml:space="preserve"> </w:t>
      </w:r>
      <w:r w:rsidRPr="003D1CC6">
        <w:rPr>
          <w:rFonts w:ascii="Times New Roman" w:hAnsi="Times New Roman"/>
          <w:sz w:val="22"/>
          <w:szCs w:val="22"/>
        </w:rPr>
        <w:t xml:space="preserve">(i) In general, when the exposure limits specified in Section 1.1310 </w:t>
      </w:r>
      <w:r w:rsidR="00A41A4F">
        <w:rPr>
          <w:rFonts w:ascii="Times New Roman" w:hAnsi="Times New Roman"/>
          <w:sz w:val="22"/>
          <w:szCs w:val="22"/>
        </w:rPr>
        <w:t xml:space="preserve">of this part </w:t>
      </w:r>
      <w:r w:rsidRPr="003D1CC6">
        <w:rPr>
          <w:rFonts w:ascii="Times New Roman" w:hAnsi="Times New Roman"/>
          <w:sz w:val="22"/>
          <w:szCs w:val="22"/>
        </w:rPr>
        <w:t xml:space="preserve">are exceeded in an accessible area due to the emissions from multiple fixed RF sources, actions necessary to bring the area into compliance or preparation of an Environmental Assessment (EA) as specified in Section 1.1311 </w:t>
      </w:r>
      <w:r w:rsidR="00A41A4F">
        <w:rPr>
          <w:rFonts w:ascii="Times New Roman" w:hAnsi="Times New Roman"/>
          <w:sz w:val="22"/>
          <w:szCs w:val="22"/>
        </w:rPr>
        <w:t xml:space="preserve">of this part </w:t>
      </w:r>
      <w:r w:rsidRPr="003D1CC6">
        <w:rPr>
          <w:rFonts w:ascii="Times New Roman" w:hAnsi="Times New Roman"/>
          <w:sz w:val="22"/>
          <w:szCs w:val="22"/>
        </w:rPr>
        <w:t xml:space="preserve">are the shared responsibility of all licensees whose RF sources produce, at the area in question, levels that exceed 5% of the applicable exposure limit proportional to </w:t>
      </w:r>
      <w:r w:rsidRPr="003D1CC6">
        <w:rPr>
          <w:rFonts w:ascii="Times New Roman" w:hAnsi="Times New Roman"/>
          <w:sz w:val="22"/>
          <w:szCs w:val="22"/>
        </w:rPr>
        <w:lastRenderedPageBreak/>
        <w:t xml:space="preserve">power.  However, a licensee demonstrating that its facility was not the most recently modified or </w:t>
      </w:r>
      <w:proofErr w:type="gramStart"/>
      <w:r w:rsidRPr="003D1CC6">
        <w:rPr>
          <w:rFonts w:ascii="Times New Roman" w:hAnsi="Times New Roman"/>
          <w:sz w:val="22"/>
          <w:szCs w:val="22"/>
        </w:rPr>
        <w:t>newly-constructed</w:t>
      </w:r>
      <w:proofErr w:type="gramEnd"/>
      <w:r w:rsidRPr="003D1CC6">
        <w:rPr>
          <w:rFonts w:ascii="Times New Roman" w:hAnsi="Times New Roman"/>
          <w:sz w:val="22"/>
          <w:szCs w:val="22"/>
        </w:rPr>
        <w:t xml:space="preserve"> facility at the site establishes a rebuttable presumption that such licensee should not be liable in an enforcement proceeding relating to the period of non-compliance.  Field strengths must be squared to be proportional to SAR or power density.  Specifically, these compliance requirements apply if the square of the electric or magnetic field strength exposure level applicable to a particular RF source exceeds 5% of the square of the electric or magnetic field strength limit at the area in question where the levels due to multiple fixed RF sources exceed the exposure limit.  Site owners and managers are expected to allow applicants and licensees to take reasonable steps to comply with the requirements contained in </w:t>
      </w:r>
      <w:r w:rsidR="00A41A4F">
        <w:rPr>
          <w:rFonts w:ascii="Times New Roman" w:hAnsi="Times New Roman"/>
          <w:sz w:val="22"/>
          <w:szCs w:val="22"/>
        </w:rPr>
        <w:t>paragraph</w:t>
      </w:r>
      <w:r w:rsidRPr="003D1CC6" w:rsidR="00A41A4F">
        <w:rPr>
          <w:rFonts w:ascii="Times New Roman" w:hAnsi="Times New Roman"/>
          <w:sz w:val="22"/>
          <w:szCs w:val="22"/>
        </w:rPr>
        <w:t xml:space="preserve"> </w:t>
      </w:r>
      <w:r w:rsidRPr="003D1CC6">
        <w:rPr>
          <w:rFonts w:ascii="Times New Roman" w:hAnsi="Times New Roman"/>
          <w:sz w:val="22"/>
          <w:szCs w:val="22"/>
        </w:rPr>
        <w:t xml:space="preserve">1.1307(b)(1) </w:t>
      </w:r>
      <w:r w:rsidR="00A41A4F">
        <w:rPr>
          <w:rFonts w:ascii="Times New Roman" w:hAnsi="Times New Roman"/>
          <w:sz w:val="22"/>
          <w:szCs w:val="22"/>
        </w:rPr>
        <w:t xml:space="preserve">of this section </w:t>
      </w:r>
      <w:r w:rsidRPr="003D1CC6">
        <w:rPr>
          <w:rFonts w:ascii="Times New Roman" w:hAnsi="Times New Roman"/>
          <w:sz w:val="22"/>
          <w:szCs w:val="22"/>
        </w:rPr>
        <w:t xml:space="preserve">and, where feasible, should encourage co-location of RF sources and common solutions for controlling access to areas where the RF exposure limits contained in Section 1.1310 </w:t>
      </w:r>
      <w:r w:rsidR="00A41A4F">
        <w:rPr>
          <w:rFonts w:ascii="Times New Roman" w:hAnsi="Times New Roman"/>
          <w:sz w:val="22"/>
          <w:szCs w:val="22"/>
        </w:rPr>
        <w:t xml:space="preserve">of this part </w:t>
      </w:r>
      <w:r w:rsidRPr="003D1CC6">
        <w:rPr>
          <w:rFonts w:ascii="Times New Roman" w:hAnsi="Times New Roman"/>
          <w:sz w:val="22"/>
          <w:szCs w:val="22"/>
        </w:rPr>
        <w:t>might be exceeded.  Applicants and licensees are required to share technical information necessary to ensure joint compliance with the exposure limits, including informing other licensees at a site in question of evaluations indicating possible non-compliance with the exposure limits.</w:t>
      </w:r>
    </w:p>
    <w:bookmarkEnd w:id="18"/>
    <w:p w:rsidRPr="003D1CC6" w:rsidR="00D66ADC" w:rsidP="00D66ADC" w:rsidRDefault="00D66ADC" w14:paraId="5670EF6C" w14:textId="77777777">
      <w:pPr>
        <w:ind w:firstLine="360"/>
        <w:rPr>
          <w:rFonts w:ascii="Times New Roman" w:hAnsi="Times New Roman"/>
          <w:spacing w:val="-3"/>
          <w:sz w:val="22"/>
          <w:szCs w:val="22"/>
        </w:rPr>
      </w:pPr>
    </w:p>
    <w:p w:rsidRPr="003D1CC6" w:rsidR="00D66ADC" w:rsidP="00D66ADC" w:rsidRDefault="00D66ADC" w14:paraId="459DE3A4" w14:textId="77777777">
      <w:pPr>
        <w:widowControl/>
        <w:ind w:firstLine="360"/>
        <w:rPr>
          <w:rFonts w:ascii="Times New Roman" w:hAnsi="Times New Roman"/>
          <w:sz w:val="22"/>
          <w:szCs w:val="22"/>
        </w:rPr>
      </w:pPr>
      <w:bookmarkStart w:name="OLE_LINK44" w:id="19"/>
      <w:r w:rsidRPr="003D1CC6">
        <w:rPr>
          <w:rFonts w:ascii="Times New Roman" w:hAnsi="Times New Roman"/>
          <w:sz w:val="22"/>
          <w:szCs w:val="22"/>
        </w:rPr>
        <w:t xml:space="preserve">(ii) Applicants for proposed RF sources that would cause non-compliance with the limits specified in Section 1.1310 at an accessible area previously in compliance must submit an EA if emissions from the applicant's RF source would produce, at the area in question, levels that exceed 5% of the applicable exposure limit.  Field strengths must be squared if </w:t>
      </w:r>
      <w:proofErr w:type="gramStart"/>
      <w:r w:rsidRPr="003D1CC6">
        <w:rPr>
          <w:rFonts w:ascii="Times New Roman" w:hAnsi="Times New Roman"/>
          <w:sz w:val="22"/>
          <w:szCs w:val="22"/>
        </w:rPr>
        <w:t>necessary</w:t>
      </w:r>
      <w:proofErr w:type="gramEnd"/>
      <w:r w:rsidRPr="003D1CC6">
        <w:rPr>
          <w:rFonts w:ascii="Times New Roman" w:hAnsi="Times New Roman"/>
          <w:sz w:val="22"/>
          <w:szCs w:val="22"/>
        </w:rPr>
        <w:t xml:space="preserve"> to be proportional to SAR or power density.</w:t>
      </w:r>
    </w:p>
    <w:bookmarkEnd w:id="19"/>
    <w:p w:rsidRPr="003D1CC6" w:rsidR="00D66ADC" w:rsidP="00D66ADC" w:rsidRDefault="00D66ADC" w14:paraId="5532E983" w14:textId="77777777">
      <w:pPr>
        <w:ind w:firstLine="360"/>
        <w:rPr>
          <w:rFonts w:ascii="Times New Roman" w:hAnsi="Times New Roman"/>
          <w:spacing w:val="-3"/>
          <w:sz w:val="22"/>
          <w:szCs w:val="22"/>
        </w:rPr>
      </w:pPr>
    </w:p>
    <w:p w:rsidRPr="003D1CC6" w:rsidR="00D66ADC" w:rsidP="00D66ADC" w:rsidRDefault="00D66ADC" w14:paraId="1D3525C0" w14:textId="77777777">
      <w:pPr>
        <w:ind w:firstLine="360"/>
        <w:rPr>
          <w:rFonts w:ascii="Times New Roman" w:hAnsi="Times New Roman"/>
          <w:sz w:val="22"/>
          <w:szCs w:val="22"/>
        </w:rPr>
      </w:pPr>
      <w:bookmarkStart w:name="OLE_LINK45" w:id="20"/>
      <w:r w:rsidRPr="003D1CC6">
        <w:rPr>
          <w:rFonts w:ascii="Times New Roman" w:hAnsi="Times New Roman"/>
          <w:sz w:val="22"/>
          <w:szCs w:val="22"/>
        </w:rPr>
        <w:t xml:space="preserve">(iii) Renewal applicants whose RF sources would cause non-compliance with the limits specified in Section 1.1310 at an accessible area previously in compliance must submit an EA if emissions from the applicant's RF source would produce, at the area in question, levels that exceed 5% of the applicable exposure limit.  Field strengths must be squared if </w:t>
      </w:r>
      <w:proofErr w:type="gramStart"/>
      <w:r w:rsidRPr="003D1CC6">
        <w:rPr>
          <w:rFonts w:ascii="Times New Roman" w:hAnsi="Times New Roman"/>
          <w:sz w:val="22"/>
          <w:szCs w:val="22"/>
        </w:rPr>
        <w:t>necessary</w:t>
      </w:r>
      <w:proofErr w:type="gramEnd"/>
      <w:r w:rsidRPr="003D1CC6">
        <w:rPr>
          <w:rFonts w:ascii="Times New Roman" w:hAnsi="Times New Roman"/>
          <w:sz w:val="22"/>
          <w:szCs w:val="22"/>
        </w:rPr>
        <w:t xml:space="preserve"> to be proportional to SAR or power density.</w:t>
      </w:r>
    </w:p>
    <w:bookmarkEnd w:id="20"/>
    <w:p w:rsidRPr="003D1CC6" w:rsidR="00D66ADC" w:rsidP="00D66ADC" w:rsidRDefault="00D66ADC" w14:paraId="1AF60474" w14:textId="77777777">
      <w:pPr>
        <w:rPr>
          <w:rFonts w:ascii="Times New Roman" w:hAnsi="Times New Roman"/>
          <w:spacing w:val="-3"/>
          <w:sz w:val="22"/>
          <w:szCs w:val="22"/>
        </w:rPr>
      </w:pPr>
    </w:p>
    <w:p w:rsidRPr="003D1CC6" w:rsidR="00D66ADC" w:rsidP="00D66ADC" w:rsidRDefault="00D66ADC" w14:paraId="6B15977A" w14:textId="77777777">
      <w:pPr>
        <w:suppressAutoHyphens/>
        <w:rPr>
          <w:rFonts w:ascii="Times New Roman" w:hAnsi="Times New Roman"/>
          <w:spacing w:val="-3"/>
          <w:sz w:val="22"/>
          <w:szCs w:val="22"/>
        </w:rPr>
      </w:pPr>
      <w:r w:rsidRPr="003D1CC6">
        <w:rPr>
          <w:rFonts w:ascii="Times New Roman" w:hAnsi="Times New Roman"/>
          <w:sz w:val="22"/>
          <w:szCs w:val="22"/>
        </w:rPr>
        <w:t>*  *  *  *  *</w:t>
      </w:r>
    </w:p>
    <w:bookmarkEnd w:id="2"/>
    <w:p w:rsidR="006F165C" w:rsidP="00517FA3" w:rsidRDefault="006F165C" w14:paraId="36610C25" w14:textId="77777777">
      <w:pPr>
        <w:pStyle w:val="BodyText"/>
        <w:jc w:val="both"/>
        <w:rPr>
          <w:szCs w:val="24"/>
        </w:rPr>
      </w:pPr>
    </w:p>
    <w:p w:rsidR="003E4AE2" w:rsidP="00517FA3" w:rsidRDefault="003E4AE2" w14:paraId="441BC5C7" w14:textId="77777777">
      <w:pPr>
        <w:pStyle w:val="BodyText"/>
        <w:jc w:val="both"/>
        <w:rPr>
          <w:szCs w:val="24"/>
          <w:u w:val="single"/>
        </w:rPr>
      </w:pPr>
      <w:r w:rsidRPr="003E4AE2">
        <w:rPr>
          <w:szCs w:val="24"/>
          <w:u w:val="single"/>
        </w:rPr>
        <w:t>History of Information Collection</w:t>
      </w:r>
    </w:p>
    <w:p w:rsidRPr="003E4AE2" w:rsidR="003E4AE2" w:rsidP="00517FA3" w:rsidRDefault="003E4AE2" w14:paraId="787F3111" w14:textId="77777777">
      <w:pPr>
        <w:pStyle w:val="BodyText"/>
        <w:jc w:val="both"/>
        <w:rPr>
          <w:szCs w:val="24"/>
          <w:u w:val="single"/>
        </w:rPr>
      </w:pPr>
    </w:p>
    <w:p w:rsidRPr="008334B2" w:rsidR="006E5E0F" w:rsidP="00454020" w:rsidRDefault="00CF4423" w14:paraId="428A47D8" w14:textId="77777777">
      <w:pPr>
        <w:pStyle w:val="BodyText"/>
        <w:jc w:val="both"/>
        <w:rPr>
          <w:szCs w:val="24"/>
        </w:rPr>
      </w:pPr>
      <w:r w:rsidRPr="008334B2">
        <w:rPr>
          <w:szCs w:val="24"/>
        </w:rPr>
        <w:t>The National Environmental Policy Act (NEPA) of 1969 requires agencies of the Federal Government to evaluate the effects of their actions on the quality of the human environment.  To meet its responsibilities under NEPA, the Commission</w:t>
      </w:r>
      <w:r w:rsidRPr="008334B2" w:rsidR="006E5E0F">
        <w:rPr>
          <w:szCs w:val="24"/>
        </w:rPr>
        <w:t xml:space="preserve"> adopted</w:t>
      </w:r>
      <w:r w:rsidRPr="008334B2">
        <w:rPr>
          <w:szCs w:val="24"/>
        </w:rPr>
        <w:t xml:space="preserve"> RF exposure guidelines for the purpose of evaluating the potential environmental effects of RF radiation from FCC-regulated facilit</w:t>
      </w:r>
      <w:r w:rsidRPr="008334B2" w:rsidR="006E5E0F">
        <w:rPr>
          <w:szCs w:val="24"/>
        </w:rPr>
        <w:t>ies.  These guidelines reflect</w:t>
      </w:r>
      <w:r w:rsidRPr="008334B2">
        <w:rPr>
          <w:szCs w:val="24"/>
        </w:rPr>
        <w:t xml:space="preserve"> scientific studies of the biological effects of RF radiation</w:t>
      </w:r>
      <w:r w:rsidR="00850E91">
        <w:rPr>
          <w:szCs w:val="24"/>
        </w:rPr>
        <w:t>.</w:t>
      </w:r>
      <w:r w:rsidRPr="008334B2">
        <w:rPr>
          <w:szCs w:val="24"/>
        </w:rPr>
        <w:t xml:space="preserve">  </w:t>
      </w:r>
      <w:r w:rsidR="00302EA1">
        <w:rPr>
          <w:szCs w:val="24"/>
        </w:rPr>
        <w:t>U</w:t>
      </w:r>
      <w:r w:rsidRPr="008334B2">
        <w:rPr>
          <w:szCs w:val="24"/>
        </w:rPr>
        <w:t>se of these guidelines ensure</w:t>
      </w:r>
      <w:r w:rsidR="00302EA1">
        <w:rPr>
          <w:szCs w:val="24"/>
        </w:rPr>
        <w:t>s</w:t>
      </w:r>
      <w:r w:rsidRPr="008334B2">
        <w:rPr>
          <w:szCs w:val="24"/>
        </w:rPr>
        <w:t xml:space="preserve"> that the FCC’s applicants are evaluating their facilities </w:t>
      </w:r>
      <w:r w:rsidR="009E4350">
        <w:rPr>
          <w:szCs w:val="24"/>
        </w:rPr>
        <w:t xml:space="preserve">and implementing appropriate mitigation measures in line </w:t>
      </w:r>
      <w:r w:rsidRPr="008334B2">
        <w:rPr>
          <w:szCs w:val="24"/>
        </w:rPr>
        <w:t xml:space="preserve">with the </w:t>
      </w:r>
      <w:r w:rsidRPr="008334B2" w:rsidR="002F31D8">
        <w:rPr>
          <w:szCs w:val="24"/>
        </w:rPr>
        <w:t>prevailing</w:t>
      </w:r>
      <w:r w:rsidRPr="008334B2">
        <w:rPr>
          <w:szCs w:val="24"/>
        </w:rPr>
        <w:t xml:space="preserve"> standards for RF exposure.</w:t>
      </w:r>
    </w:p>
    <w:p w:rsidRPr="008334B2" w:rsidR="00CF4423" w:rsidRDefault="00CF4423" w14:paraId="4DF30E3F" w14:textId="77777777">
      <w:pPr>
        <w:tabs>
          <w:tab w:val="left" w:pos="-720"/>
        </w:tabs>
        <w:suppressAutoHyphens/>
        <w:rPr>
          <w:rFonts w:ascii="Times New Roman" w:hAnsi="Times New Roman"/>
          <w:sz w:val="24"/>
          <w:szCs w:val="24"/>
        </w:rPr>
      </w:pPr>
    </w:p>
    <w:p w:rsidRPr="008334B2" w:rsidR="00CF4423" w:rsidP="00517FA3" w:rsidRDefault="00CF4423" w14:paraId="00766C7E" w14:textId="77777777">
      <w:pPr>
        <w:tabs>
          <w:tab w:val="left" w:pos="-720"/>
        </w:tabs>
        <w:suppressAutoHyphens/>
        <w:jc w:val="both"/>
        <w:rPr>
          <w:rFonts w:ascii="Times New Roman" w:hAnsi="Times New Roman"/>
          <w:sz w:val="24"/>
          <w:szCs w:val="24"/>
        </w:rPr>
      </w:pPr>
      <w:r w:rsidRPr="008334B2">
        <w:rPr>
          <w:rFonts w:ascii="Times New Roman" w:hAnsi="Times New Roman"/>
          <w:sz w:val="24"/>
          <w:szCs w:val="24"/>
        </w:rPr>
        <w:t xml:space="preserve">The Commission requires </w:t>
      </w:r>
      <w:r w:rsidRPr="008334B2" w:rsidR="006E5E0F">
        <w:rPr>
          <w:rFonts w:ascii="Times New Roman" w:hAnsi="Times New Roman"/>
          <w:sz w:val="24"/>
          <w:szCs w:val="24"/>
        </w:rPr>
        <w:t xml:space="preserve">some </w:t>
      </w:r>
      <w:r w:rsidRPr="008334B2">
        <w:rPr>
          <w:rFonts w:ascii="Times New Roman" w:hAnsi="Times New Roman"/>
          <w:sz w:val="24"/>
          <w:szCs w:val="24"/>
        </w:rPr>
        <w:t xml:space="preserve">applicants to submit limited information during the licensing and authorization process.  In many services, the Commission simply requires </w:t>
      </w:r>
      <w:r w:rsidR="00B61EC7">
        <w:rPr>
          <w:rFonts w:ascii="Times New Roman" w:hAnsi="Times New Roman"/>
          <w:sz w:val="24"/>
          <w:szCs w:val="24"/>
        </w:rPr>
        <w:t xml:space="preserve">applicants and </w:t>
      </w:r>
      <w:r w:rsidRPr="008334B2">
        <w:rPr>
          <w:rFonts w:ascii="Times New Roman" w:hAnsi="Times New Roman"/>
          <w:sz w:val="24"/>
          <w:szCs w:val="24"/>
        </w:rPr>
        <w:t>licensees to provide reliable service to specific geographic area</w:t>
      </w:r>
      <w:r w:rsidRPr="008334B2" w:rsidR="00124925">
        <w:rPr>
          <w:rFonts w:ascii="Times New Roman" w:hAnsi="Times New Roman"/>
          <w:sz w:val="24"/>
          <w:szCs w:val="24"/>
        </w:rPr>
        <w:t>s</w:t>
      </w:r>
      <w:r w:rsidRPr="008334B2">
        <w:rPr>
          <w:rFonts w:ascii="Times New Roman" w:hAnsi="Times New Roman"/>
          <w:sz w:val="24"/>
          <w:szCs w:val="24"/>
        </w:rPr>
        <w:t xml:space="preserve"> but does not require </w:t>
      </w:r>
      <w:r w:rsidR="00B61EC7">
        <w:rPr>
          <w:rFonts w:ascii="Times New Roman" w:hAnsi="Times New Roman"/>
          <w:sz w:val="24"/>
          <w:szCs w:val="24"/>
        </w:rPr>
        <w:t>they</w:t>
      </w:r>
      <w:r w:rsidRPr="008334B2">
        <w:rPr>
          <w:rFonts w:ascii="Times New Roman" w:hAnsi="Times New Roman"/>
          <w:sz w:val="24"/>
          <w:szCs w:val="24"/>
        </w:rPr>
        <w:t xml:space="preserve"> file site-specific information.  It does not appear that the FCC’s present</w:t>
      </w:r>
      <w:r w:rsidRPr="008334B2" w:rsidR="006E5E0F">
        <w:rPr>
          <w:rFonts w:ascii="Times New Roman" w:hAnsi="Times New Roman"/>
          <w:sz w:val="24"/>
          <w:szCs w:val="24"/>
        </w:rPr>
        <w:t xml:space="preserve"> geographic</w:t>
      </w:r>
      <w:r w:rsidRPr="008334B2">
        <w:rPr>
          <w:rFonts w:ascii="Times New Roman" w:hAnsi="Times New Roman"/>
          <w:sz w:val="24"/>
          <w:szCs w:val="24"/>
        </w:rPr>
        <w:t xml:space="preserve"> licensing methods can provide public notification of site-specific information without imposing </w:t>
      </w:r>
      <w:r w:rsidR="00850E91">
        <w:rPr>
          <w:rFonts w:ascii="Times New Roman" w:hAnsi="Times New Roman"/>
          <w:sz w:val="24"/>
          <w:szCs w:val="24"/>
        </w:rPr>
        <w:t xml:space="preserve">a </w:t>
      </w:r>
      <w:r w:rsidRPr="008334B2">
        <w:rPr>
          <w:rFonts w:ascii="Times New Roman" w:hAnsi="Times New Roman"/>
          <w:sz w:val="24"/>
          <w:szCs w:val="24"/>
        </w:rPr>
        <w:t xml:space="preserve">new and significant additional burden to the Commission’s applicants.  However, we note that applicants </w:t>
      </w:r>
      <w:r w:rsidR="00FC469B">
        <w:rPr>
          <w:rFonts w:ascii="Times New Roman" w:hAnsi="Times New Roman"/>
          <w:sz w:val="24"/>
          <w:szCs w:val="24"/>
        </w:rPr>
        <w:t xml:space="preserve">proposing facilities or devices </w:t>
      </w:r>
      <w:r w:rsidRPr="008334B2">
        <w:rPr>
          <w:rFonts w:ascii="Times New Roman" w:hAnsi="Times New Roman"/>
          <w:sz w:val="24"/>
          <w:szCs w:val="24"/>
        </w:rPr>
        <w:t xml:space="preserve">with the greatest potential to exceed the Commission’s exposure limits are required to routinely perform an environmental evaluation as part of the licensing and authorization process. </w:t>
      </w:r>
      <w:r w:rsidRPr="008334B2" w:rsidR="002F31D8">
        <w:rPr>
          <w:rFonts w:ascii="Times New Roman" w:hAnsi="Times New Roman"/>
          <w:sz w:val="24"/>
          <w:szCs w:val="24"/>
        </w:rPr>
        <w:lastRenderedPageBreak/>
        <w:t xml:space="preserve">The Commission </w:t>
      </w:r>
      <w:r w:rsidRPr="008334B2">
        <w:rPr>
          <w:rFonts w:ascii="Times New Roman" w:hAnsi="Times New Roman"/>
          <w:sz w:val="24"/>
          <w:szCs w:val="24"/>
        </w:rPr>
        <w:t>encourages all service providers to provide site-specific technical information and environmental evaluation documentation upon public request.</w:t>
      </w:r>
      <w:r w:rsidR="00302EA1">
        <w:rPr>
          <w:rFonts w:ascii="Times New Roman" w:hAnsi="Times New Roman"/>
          <w:sz w:val="24"/>
          <w:szCs w:val="24"/>
        </w:rPr>
        <w:t xml:space="preserve">  M</w:t>
      </w:r>
      <w:r w:rsidRPr="008334B2" w:rsidR="00302EA1">
        <w:rPr>
          <w:rFonts w:ascii="Times New Roman" w:hAnsi="Times New Roman"/>
          <w:sz w:val="24"/>
          <w:szCs w:val="24"/>
        </w:rPr>
        <w:t>embers of the public</w:t>
      </w:r>
      <w:r w:rsidR="00302EA1">
        <w:rPr>
          <w:rFonts w:ascii="Times New Roman" w:hAnsi="Times New Roman"/>
          <w:sz w:val="24"/>
          <w:szCs w:val="24"/>
        </w:rPr>
        <w:t xml:space="preserve"> may </w:t>
      </w:r>
      <w:r w:rsidR="009A6B67">
        <w:rPr>
          <w:rFonts w:ascii="Times New Roman" w:hAnsi="Times New Roman"/>
          <w:sz w:val="24"/>
          <w:szCs w:val="24"/>
        </w:rPr>
        <w:t>ask</w:t>
      </w:r>
      <w:r w:rsidRPr="008334B2" w:rsidR="00302EA1">
        <w:rPr>
          <w:rFonts w:ascii="Times New Roman" w:hAnsi="Times New Roman"/>
          <w:sz w:val="24"/>
          <w:szCs w:val="24"/>
        </w:rPr>
        <w:t xml:space="preserve"> the Commission for contact information for the service providers in </w:t>
      </w:r>
      <w:r w:rsidR="00302EA1">
        <w:rPr>
          <w:rFonts w:ascii="Times New Roman" w:hAnsi="Times New Roman"/>
          <w:sz w:val="24"/>
          <w:szCs w:val="24"/>
        </w:rPr>
        <w:t xml:space="preserve">a </w:t>
      </w:r>
      <w:proofErr w:type="gramStart"/>
      <w:r w:rsidR="00302EA1">
        <w:rPr>
          <w:rFonts w:ascii="Times New Roman" w:hAnsi="Times New Roman"/>
          <w:sz w:val="24"/>
          <w:szCs w:val="24"/>
        </w:rPr>
        <w:t>particular geographic</w:t>
      </w:r>
      <w:proofErr w:type="gramEnd"/>
      <w:r w:rsidRPr="008334B2" w:rsidR="00302EA1">
        <w:rPr>
          <w:rFonts w:ascii="Times New Roman" w:hAnsi="Times New Roman"/>
          <w:sz w:val="24"/>
          <w:szCs w:val="24"/>
        </w:rPr>
        <w:t xml:space="preserve"> area</w:t>
      </w:r>
      <w:r w:rsidR="009A6B67">
        <w:rPr>
          <w:rFonts w:ascii="Times New Roman" w:hAnsi="Times New Roman"/>
          <w:sz w:val="24"/>
          <w:szCs w:val="24"/>
        </w:rPr>
        <w:t xml:space="preserve">.  State and local governments may also be a source of information, to the extent they collect site-specific data </w:t>
      </w:r>
      <w:r w:rsidR="00AD5765">
        <w:rPr>
          <w:rFonts w:ascii="Times New Roman" w:hAnsi="Times New Roman"/>
          <w:sz w:val="24"/>
          <w:szCs w:val="24"/>
        </w:rPr>
        <w:t xml:space="preserve">as </w:t>
      </w:r>
      <w:r w:rsidR="009A6B67">
        <w:rPr>
          <w:rFonts w:ascii="Times New Roman" w:hAnsi="Times New Roman"/>
          <w:sz w:val="24"/>
          <w:szCs w:val="24"/>
        </w:rPr>
        <w:t>part of the</w:t>
      </w:r>
      <w:r w:rsidR="00F76A07">
        <w:rPr>
          <w:rFonts w:ascii="Times New Roman" w:hAnsi="Times New Roman"/>
          <w:sz w:val="24"/>
          <w:szCs w:val="24"/>
        </w:rPr>
        <w:t>ir regulatory processes</w:t>
      </w:r>
      <w:r w:rsidR="009A6B67">
        <w:rPr>
          <w:rFonts w:ascii="Times New Roman" w:hAnsi="Times New Roman"/>
          <w:sz w:val="24"/>
          <w:szCs w:val="24"/>
        </w:rPr>
        <w:t>.</w:t>
      </w:r>
      <w:r w:rsidR="009E4350">
        <w:rPr>
          <w:rFonts w:ascii="Times New Roman" w:hAnsi="Times New Roman"/>
          <w:sz w:val="24"/>
          <w:szCs w:val="24"/>
        </w:rPr>
        <w:t xml:space="preserve">  </w:t>
      </w:r>
      <w:r w:rsidR="009A6B67">
        <w:rPr>
          <w:rFonts w:ascii="Times New Roman" w:hAnsi="Times New Roman"/>
          <w:sz w:val="24"/>
          <w:szCs w:val="24"/>
        </w:rPr>
        <w:t>In addition, the</w:t>
      </w:r>
      <w:r w:rsidR="009E4350">
        <w:rPr>
          <w:rFonts w:ascii="Times New Roman" w:hAnsi="Times New Roman"/>
          <w:sz w:val="24"/>
          <w:szCs w:val="24"/>
        </w:rPr>
        <w:t xml:space="preserve"> amendments to</w:t>
      </w:r>
      <w:r w:rsidR="000B6651">
        <w:rPr>
          <w:rFonts w:ascii="Times New Roman" w:hAnsi="Times New Roman"/>
          <w:sz w:val="24"/>
          <w:szCs w:val="24"/>
        </w:rPr>
        <w:t xml:space="preserve"> rule section</w:t>
      </w:r>
      <w:r w:rsidR="009E4350">
        <w:rPr>
          <w:rFonts w:ascii="Times New Roman" w:hAnsi="Times New Roman"/>
          <w:sz w:val="24"/>
          <w:szCs w:val="24"/>
        </w:rPr>
        <w:t xml:space="preserve"> 1.1307</w:t>
      </w:r>
      <w:r w:rsidR="000B6651">
        <w:rPr>
          <w:rFonts w:ascii="Times New Roman" w:hAnsi="Times New Roman"/>
          <w:sz w:val="24"/>
          <w:szCs w:val="24"/>
        </w:rPr>
        <w:t xml:space="preserve"> </w:t>
      </w:r>
      <w:r w:rsidR="009A6B67">
        <w:rPr>
          <w:rFonts w:ascii="Times New Roman" w:hAnsi="Times New Roman"/>
          <w:sz w:val="24"/>
          <w:szCs w:val="24"/>
        </w:rPr>
        <w:t>require the use of posted signs that identify places</w:t>
      </w:r>
      <w:r w:rsidRPr="000B6651" w:rsidR="000B6651">
        <w:rPr>
          <w:rFonts w:ascii="Times New Roman" w:hAnsi="Times New Roman"/>
          <w:sz w:val="24"/>
          <w:szCs w:val="24"/>
        </w:rPr>
        <w:t xml:space="preserve"> where RF exposure exceed</w:t>
      </w:r>
      <w:r w:rsidR="000B6651">
        <w:rPr>
          <w:rFonts w:ascii="Times New Roman" w:hAnsi="Times New Roman"/>
          <w:sz w:val="24"/>
          <w:szCs w:val="24"/>
        </w:rPr>
        <w:t>s</w:t>
      </w:r>
      <w:r w:rsidRPr="000B6651" w:rsidR="000B6651">
        <w:rPr>
          <w:rFonts w:ascii="Times New Roman" w:hAnsi="Times New Roman"/>
          <w:sz w:val="24"/>
          <w:szCs w:val="24"/>
        </w:rPr>
        <w:t xml:space="preserve"> the FCC limits</w:t>
      </w:r>
      <w:r w:rsidR="009A6B67">
        <w:rPr>
          <w:rFonts w:ascii="Times New Roman" w:hAnsi="Times New Roman"/>
          <w:sz w:val="24"/>
          <w:szCs w:val="24"/>
        </w:rPr>
        <w:t xml:space="preserve"> and provide</w:t>
      </w:r>
      <w:r w:rsidRPr="000B6651" w:rsidR="000B6651">
        <w:rPr>
          <w:rFonts w:ascii="Times New Roman" w:hAnsi="Times New Roman"/>
          <w:sz w:val="24"/>
          <w:szCs w:val="24"/>
        </w:rPr>
        <w:t xml:space="preserve"> </w:t>
      </w:r>
      <w:r w:rsidR="009A6B67">
        <w:rPr>
          <w:rFonts w:ascii="Times New Roman" w:hAnsi="Times New Roman"/>
          <w:sz w:val="24"/>
          <w:szCs w:val="24"/>
        </w:rPr>
        <w:t xml:space="preserve">appropriate </w:t>
      </w:r>
      <w:r w:rsidRPr="000B6651" w:rsidR="000B6651">
        <w:rPr>
          <w:rFonts w:ascii="Times New Roman" w:hAnsi="Times New Roman"/>
          <w:sz w:val="24"/>
          <w:szCs w:val="24"/>
        </w:rPr>
        <w:t>contact information.</w:t>
      </w:r>
      <w:r w:rsidRPr="008334B2">
        <w:rPr>
          <w:rFonts w:ascii="Times New Roman" w:hAnsi="Times New Roman"/>
          <w:sz w:val="24"/>
          <w:szCs w:val="24"/>
        </w:rPr>
        <w:t xml:space="preserve"> </w:t>
      </w:r>
    </w:p>
    <w:p w:rsidRPr="008334B2" w:rsidR="00CF4423" w:rsidRDefault="00CF4423" w14:paraId="5A2CDCF0" w14:textId="77777777">
      <w:pPr>
        <w:tabs>
          <w:tab w:val="left" w:pos="-720"/>
        </w:tabs>
        <w:suppressAutoHyphens/>
        <w:rPr>
          <w:rFonts w:ascii="Times New Roman" w:hAnsi="Times New Roman"/>
          <w:sz w:val="24"/>
          <w:szCs w:val="24"/>
        </w:rPr>
      </w:pPr>
    </w:p>
    <w:p w:rsidRPr="008334B2" w:rsidR="00B61EC7" w:rsidP="00517FA3" w:rsidRDefault="00DF1D9B" w14:paraId="0624C1C1" w14:textId="77777777">
      <w:pPr>
        <w:tabs>
          <w:tab w:val="left" w:pos="-720"/>
        </w:tabs>
        <w:suppressAutoHyphens/>
        <w:jc w:val="both"/>
        <w:rPr>
          <w:rFonts w:ascii="Times New Roman" w:hAnsi="Times New Roman"/>
          <w:sz w:val="24"/>
          <w:szCs w:val="24"/>
        </w:rPr>
      </w:pPr>
      <w:r w:rsidRPr="008334B2">
        <w:rPr>
          <w:rFonts w:ascii="Times New Roman" w:hAnsi="Times New Roman"/>
          <w:sz w:val="24"/>
          <w:szCs w:val="24"/>
        </w:rPr>
        <w:t>This collection of information is authorized under Section</w:t>
      </w:r>
      <w:r w:rsidRPr="008334B2" w:rsidR="00957E36">
        <w:rPr>
          <w:rFonts w:ascii="Times New Roman" w:hAnsi="Times New Roman"/>
          <w:sz w:val="24"/>
          <w:szCs w:val="24"/>
        </w:rPr>
        <w:t>s 4, 302, 303 and 307 of the Communications Act of 1934, as amended, 47 U.S.C. Sections 154, 302, 303 and 307.</w:t>
      </w:r>
    </w:p>
    <w:p w:rsidRPr="008334B2" w:rsidR="00957E36" w:rsidRDefault="00957E36" w14:paraId="4B29AA88" w14:textId="77777777">
      <w:pPr>
        <w:tabs>
          <w:tab w:val="left" w:pos="-720"/>
        </w:tabs>
        <w:suppressAutoHyphens/>
        <w:rPr>
          <w:rFonts w:ascii="Times New Roman" w:hAnsi="Times New Roman"/>
          <w:sz w:val="24"/>
          <w:szCs w:val="24"/>
        </w:rPr>
      </w:pPr>
    </w:p>
    <w:p w:rsidRPr="002A3414" w:rsidR="00152339" w:rsidP="00517FA3" w:rsidRDefault="004A5E98" w14:paraId="187FFDB3" w14:textId="77777777">
      <w:pPr>
        <w:tabs>
          <w:tab w:val="left" w:pos="-720"/>
        </w:tabs>
        <w:suppressAutoHyphens/>
        <w:jc w:val="both"/>
        <w:rPr>
          <w:rFonts w:ascii="Times New Roman" w:hAnsi="Times New Roman"/>
          <w:sz w:val="24"/>
          <w:szCs w:val="24"/>
        </w:rPr>
      </w:pPr>
      <w:bookmarkStart w:name="_Hlk43896981" w:id="21"/>
      <w:r w:rsidRPr="002A3414">
        <w:rPr>
          <w:rFonts w:ascii="Times New Roman" w:hAnsi="Times New Roman"/>
          <w:sz w:val="24"/>
          <w:szCs w:val="24"/>
        </w:rPr>
        <w:t>T</w:t>
      </w:r>
      <w:r w:rsidRPr="002A3414" w:rsidR="00957E36">
        <w:rPr>
          <w:rFonts w:ascii="Times New Roman" w:hAnsi="Times New Roman"/>
          <w:sz w:val="24"/>
          <w:szCs w:val="24"/>
        </w:rPr>
        <w:t xml:space="preserve">his information collection </w:t>
      </w:r>
      <w:r w:rsidR="00F76A07">
        <w:rPr>
          <w:rFonts w:ascii="Times New Roman" w:hAnsi="Times New Roman"/>
          <w:sz w:val="24"/>
          <w:szCs w:val="24"/>
        </w:rPr>
        <w:t xml:space="preserve">only </w:t>
      </w:r>
      <w:r w:rsidRPr="002A3414" w:rsidR="00957E36">
        <w:rPr>
          <w:rFonts w:ascii="Times New Roman" w:hAnsi="Times New Roman"/>
          <w:sz w:val="24"/>
          <w:szCs w:val="24"/>
        </w:rPr>
        <w:t>affect</w:t>
      </w:r>
      <w:r w:rsidRPr="002A3414" w:rsidR="00B7686B">
        <w:rPr>
          <w:rFonts w:ascii="Times New Roman" w:hAnsi="Times New Roman"/>
          <w:sz w:val="24"/>
          <w:szCs w:val="24"/>
        </w:rPr>
        <w:t>s</w:t>
      </w:r>
      <w:r w:rsidRPr="002A3414" w:rsidR="00FA459D">
        <w:rPr>
          <w:rFonts w:ascii="Times New Roman" w:hAnsi="Times New Roman"/>
          <w:sz w:val="24"/>
          <w:szCs w:val="24"/>
        </w:rPr>
        <w:t xml:space="preserve"> </w:t>
      </w:r>
      <w:r w:rsidRPr="002A3414" w:rsidR="00957E36">
        <w:rPr>
          <w:rFonts w:ascii="Times New Roman" w:hAnsi="Times New Roman"/>
          <w:sz w:val="24"/>
          <w:szCs w:val="24"/>
        </w:rPr>
        <w:t>individual</w:t>
      </w:r>
      <w:r w:rsidRPr="002A3414" w:rsidR="00B20713">
        <w:rPr>
          <w:rFonts w:ascii="Times New Roman" w:hAnsi="Times New Roman"/>
          <w:sz w:val="24"/>
          <w:szCs w:val="24"/>
        </w:rPr>
        <w:t xml:space="preserve"> consumers</w:t>
      </w:r>
      <w:r w:rsidRPr="002A3414" w:rsidR="00957E36">
        <w:rPr>
          <w:rFonts w:ascii="Times New Roman" w:hAnsi="Times New Roman"/>
          <w:sz w:val="24"/>
          <w:szCs w:val="24"/>
        </w:rPr>
        <w:t xml:space="preserve"> or households</w:t>
      </w:r>
      <w:r w:rsidR="00F76A07">
        <w:rPr>
          <w:rFonts w:ascii="Times New Roman" w:hAnsi="Times New Roman"/>
          <w:sz w:val="24"/>
          <w:szCs w:val="24"/>
        </w:rPr>
        <w:t xml:space="preserve"> to a limited extent</w:t>
      </w:r>
      <w:r w:rsidRPr="002A3414" w:rsidR="00B20713">
        <w:rPr>
          <w:rFonts w:ascii="Times New Roman" w:hAnsi="Times New Roman"/>
          <w:sz w:val="24"/>
          <w:szCs w:val="24"/>
        </w:rPr>
        <w:t xml:space="preserve">.  </w:t>
      </w:r>
      <w:bookmarkStart w:name="_Hlk43896249" w:id="22"/>
      <w:r w:rsidRPr="002A3414" w:rsidR="00B20713">
        <w:rPr>
          <w:rFonts w:ascii="Times New Roman" w:hAnsi="Times New Roman"/>
          <w:sz w:val="24"/>
          <w:szCs w:val="24"/>
        </w:rPr>
        <w:t>Pertinent information that results from environmental evaluations is typically only collected from applicants for licenses</w:t>
      </w:r>
      <w:r w:rsidR="001752A1">
        <w:rPr>
          <w:rFonts w:ascii="Times New Roman" w:hAnsi="Times New Roman"/>
          <w:sz w:val="24"/>
          <w:szCs w:val="24"/>
        </w:rPr>
        <w:t xml:space="preserve"> (reported herein)</w:t>
      </w:r>
      <w:r w:rsidRPr="002A3414" w:rsidR="00B20713">
        <w:rPr>
          <w:rFonts w:ascii="Times New Roman" w:hAnsi="Times New Roman"/>
          <w:sz w:val="24"/>
          <w:szCs w:val="24"/>
        </w:rPr>
        <w:t xml:space="preserve"> or grant</w:t>
      </w:r>
      <w:r w:rsidR="003578F7">
        <w:rPr>
          <w:rFonts w:ascii="Times New Roman" w:hAnsi="Times New Roman"/>
          <w:sz w:val="24"/>
          <w:szCs w:val="24"/>
        </w:rPr>
        <w:t>ee</w:t>
      </w:r>
      <w:r w:rsidRPr="002A3414" w:rsidR="00B20713">
        <w:rPr>
          <w:rFonts w:ascii="Times New Roman" w:hAnsi="Times New Roman"/>
          <w:sz w:val="24"/>
          <w:szCs w:val="24"/>
        </w:rPr>
        <w:t>s of equipment authorization</w:t>
      </w:r>
      <w:r w:rsidRPr="002A3414" w:rsidR="002F31D8">
        <w:rPr>
          <w:rFonts w:ascii="Times New Roman" w:hAnsi="Times New Roman"/>
          <w:sz w:val="24"/>
          <w:szCs w:val="24"/>
        </w:rPr>
        <w:t xml:space="preserve"> (reported </w:t>
      </w:r>
      <w:r w:rsidRPr="002A3414" w:rsidR="00517FA3">
        <w:rPr>
          <w:rFonts w:ascii="Times New Roman" w:hAnsi="Times New Roman"/>
          <w:sz w:val="24"/>
          <w:szCs w:val="24"/>
        </w:rPr>
        <w:t xml:space="preserve">separately </w:t>
      </w:r>
      <w:r w:rsidRPr="002A3414" w:rsidR="002F31D8">
        <w:rPr>
          <w:rFonts w:ascii="Times New Roman" w:hAnsi="Times New Roman"/>
          <w:sz w:val="24"/>
          <w:szCs w:val="24"/>
        </w:rPr>
        <w:t>under OMB 3060-0057)</w:t>
      </w:r>
      <w:r w:rsidR="00B61EC7">
        <w:rPr>
          <w:rFonts w:ascii="Times New Roman" w:hAnsi="Times New Roman"/>
          <w:sz w:val="24"/>
          <w:szCs w:val="24"/>
        </w:rPr>
        <w:t xml:space="preserve">.  </w:t>
      </w:r>
      <w:proofErr w:type="gramStart"/>
      <w:r w:rsidRPr="00B61EC7" w:rsidR="00B61EC7">
        <w:rPr>
          <w:rFonts w:ascii="Times New Roman" w:hAnsi="Times New Roman"/>
          <w:sz w:val="24"/>
          <w:szCs w:val="24"/>
        </w:rPr>
        <w:t>With the exception of</w:t>
      </w:r>
      <w:proofErr w:type="gramEnd"/>
      <w:r w:rsidRPr="00B61EC7" w:rsidR="00B61EC7">
        <w:rPr>
          <w:rFonts w:ascii="Times New Roman" w:hAnsi="Times New Roman"/>
          <w:sz w:val="24"/>
          <w:szCs w:val="24"/>
        </w:rPr>
        <w:t xml:space="preserve"> amateur radio operators, these entities ordinarily are not individuals or households.</w:t>
      </w:r>
      <w:bookmarkEnd w:id="21"/>
      <w:bookmarkEnd w:id="22"/>
      <w:r w:rsidRPr="002A3414" w:rsidR="00957E36">
        <w:rPr>
          <w:rFonts w:ascii="Times New Roman" w:hAnsi="Times New Roman"/>
          <w:sz w:val="24"/>
          <w:szCs w:val="24"/>
        </w:rPr>
        <w:t xml:space="preserve"> </w:t>
      </w:r>
      <w:r w:rsidRPr="002A3414" w:rsidR="008E6647">
        <w:rPr>
          <w:rFonts w:ascii="Times New Roman" w:hAnsi="Times New Roman"/>
          <w:sz w:val="24"/>
          <w:szCs w:val="24"/>
        </w:rPr>
        <w:t xml:space="preserve"> </w:t>
      </w:r>
    </w:p>
    <w:p w:rsidRPr="002A3414" w:rsidR="00152339" w:rsidRDefault="00152339" w14:paraId="01346AC9" w14:textId="77777777">
      <w:pPr>
        <w:tabs>
          <w:tab w:val="left" w:pos="-720"/>
        </w:tabs>
        <w:suppressAutoHyphens/>
        <w:rPr>
          <w:rFonts w:ascii="Times New Roman" w:hAnsi="Times New Roman"/>
          <w:sz w:val="24"/>
          <w:szCs w:val="24"/>
        </w:rPr>
      </w:pPr>
    </w:p>
    <w:p w:rsidRPr="002A3414" w:rsidR="00957E36" w:rsidP="00517FA3" w:rsidRDefault="002F31D8" w14:paraId="52F161AF"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 Commission has</w:t>
      </w:r>
      <w:r w:rsidRPr="002A3414" w:rsidR="003F7C72">
        <w:rPr>
          <w:rFonts w:ascii="Times New Roman" w:hAnsi="Times New Roman"/>
          <w:sz w:val="24"/>
          <w:szCs w:val="24"/>
        </w:rPr>
        <w:t xml:space="preserve"> </w:t>
      </w:r>
      <w:r w:rsidRPr="002A3414" w:rsidR="00152339">
        <w:rPr>
          <w:rFonts w:ascii="Times New Roman" w:hAnsi="Times New Roman"/>
          <w:sz w:val="24"/>
          <w:szCs w:val="24"/>
        </w:rPr>
        <w:t>S</w:t>
      </w:r>
      <w:r w:rsidRPr="002A3414" w:rsidR="003F7C72">
        <w:rPr>
          <w:rFonts w:ascii="Times New Roman" w:hAnsi="Times New Roman"/>
          <w:sz w:val="24"/>
          <w:szCs w:val="24"/>
        </w:rPr>
        <w:t>ystem</w:t>
      </w:r>
      <w:r w:rsidRPr="002A3414">
        <w:rPr>
          <w:rFonts w:ascii="Times New Roman" w:hAnsi="Times New Roman"/>
          <w:sz w:val="24"/>
          <w:szCs w:val="24"/>
        </w:rPr>
        <w:t>s</w:t>
      </w:r>
      <w:r w:rsidRPr="002A3414" w:rsidR="003F7C72">
        <w:rPr>
          <w:rFonts w:ascii="Times New Roman" w:hAnsi="Times New Roman"/>
          <w:sz w:val="24"/>
          <w:szCs w:val="24"/>
        </w:rPr>
        <w:t xml:space="preserve"> of </w:t>
      </w:r>
      <w:r w:rsidRPr="002A3414" w:rsidR="00152339">
        <w:rPr>
          <w:rFonts w:ascii="Times New Roman" w:hAnsi="Times New Roman"/>
          <w:sz w:val="24"/>
          <w:szCs w:val="24"/>
        </w:rPr>
        <w:t>R</w:t>
      </w:r>
      <w:r w:rsidRPr="002A3414" w:rsidR="003F7C72">
        <w:rPr>
          <w:rFonts w:ascii="Times New Roman" w:hAnsi="Times New Roman"/>
          <w:sz w:val="24"/>
          <w:szCs w:val="24"/>
        </w:rPr>
        <w:t xml:space="preserve">ecords, </w:t>
      </w:r>
      <w:r w:rsidRPr="002A3414">
        <w:rPr>
          <w:rFonts w:ascii="Times New Roman" w:hAnsi="Times New Roman"/>
          <w:sz w:val="24"/>
          <w:szCs w:val="24"/>
        </w:rPr>
        <w:t xml:space="preserve">FCC/MB-1, “Ownership Report for Commercial Broadcast Stations,” FCC/OET-1, “Experimental Radio Station License Files,” and </w:t>
      </w:r>
      <w:r w:rsidRPr="002A3414" w:rsidR="003F7C72">
        <w:rPr>
          <w:rFonts w:ascii="Times New Roman" w:hAnsi="Times New Roman"/>
          <w:sz w:val="24"/>
          <w:szCs w:val="24"/>
        </w:rPr>
        <w:t xml:space="preserve">FCC/WTB-1, “Wireless Services </w:t>
      </w:r>
      <w:r w:rsidRPr="002A3414">
        <w:rPr>
          <w:rFonts w:ascii="Times New Roman" w:hAnsi="Times New Roman"/>
          <w:sz w:val="24"/>
          <w:szCs w:val="24"/>
        </w:rPr>
        <w:t>Licensing Records,” which cover</w:t>
      </w:r>
      <w:r w:rsidRPr="002A3414" w:rsidR="003F7C72">
        <w:rPr>
          <w:rFonts w:ascii="Times New Roman" w:hAnsi="Times New Roman"/>
          <w:sz w:val="24"/>
          <w:szCs w:val="24"/>
        </w:rPr>
        <w:t xml:space="preserve"> the </w:t>
      </w:r>
      <w:r w:rsidRPr="002A3414" w:rsidR="00276DB6">
        <w:rPr>
          <w:rFonts w:ascii="Times New Roman" w:hAnsi="Times New Roman"/>
          <w:sz w:val="24"/>
          <w:szCs w:val="24"/>
        </w:rPr>
        <w:t>personally</w:t>
      </w:r>
      <w:r w:rsidRPr="002A3414" w:rsidR="003F7C72">
        <w:rPr>
          <w:rFonts w:ascii="Times New Roman" w:hAnsi="Times New Roman"/>
          <w:sz w:val="24"/>
          <w:szCs w:val="24"/>
        </w:rPr>
        <w:t xml:space="preserve"> identifiable information (PII) that individual applicant</w:t>
      </w:r>
      <w:r w:rsidRPr="002A3414" w:rsidR="00D61FE1">
        <w:rPr>
          <w:rFonts w:ascii="Times New Roman" w:hAnsi="Times New Roman"/>
          <w:sz w:val="24"/>
          <w:szCs w:val="24"/>
        </w:rPr>
        <w:t>s</w:t>
      </w:r>
      <w:r w:rsidRPr="002A3414" w:rsidR="003F7C72">
        <w:rPr>
          <w:rFonts w:ascii="Times New Roman" w:hAnsi="Times New Roman"/>
          <w:sz w:val="24"/>
          <w:szCs w:val="24"/>
        </w:rPr>
        <w:t xml:space="preserve"> may </w:t>
      </w:r>
      <w:r w:rsidRPr="002A3414" w:rsidR="00D61FE1">
        <w:rPr>
          <w:rFonts w:ascii="Times New Roman" w:hAnsi="Times New Roman"/>
          <w:sz w:val="24"/>
          <w:szCs w:val="24"/>
        </w:rPr>
        <w:t>include in their submissions for licenses or grants of equipment authorization.</w:t>
      </w:r>
      <w:r w:rsidRPr="002A3414" w:rsidR="00D61FE1">
        <w:rPr>
          <w:rStyle w:val="FootnoteReference"/>
          <w:rFonts w:ascii="Times New Roman" w:hAnsi="Times New Roman"/>
          <w:sz w:val="24"/>
          <w:szCs w:val="24"/>
        </w:rPr>
        <w:footnoteReference w:id="2"/>
      </w:r>
      <w:r w:rsidRPr="002A3414" w:rsidR="003F7C72">
        <w:rPr>
          <w:rFonts w:ascii="Times New Roman" w:hAnsi="Times New Roman"/>
          <w:sz w:val="24"/>
          <w:szCs w:val="24"/>
        </w:rPr>
        <w:t xml:space="preserve"> </w:t>
      </w:r>
      <w:r w:rsidRPr="002A3414" w:rsidR="007A2174">
        <w:rPr>
          <w:rFonts w:ascii="Times New Roman" w:hAnsi="Times New Roman"/>
          <w:sz w:val="24"/>
          <w:szCs w:val="24"/>
        </w:rPr>
        <w:t xml:space="preserve"> </w:t>
      </w:r>
      <w:r w:rsidRPr="002A3414" w:rsidR="00152339">
        <w:rPr>
          <w:rFonts w:ascii="Times New Roman" w:hAnsi="Times New Roman"/>
          <w:sz w:val="24"/>
          <w:szCs w:val="24"/>
        </w:rPr>
        <w:t xml:space="preserve">At such time </w:t>
      </w:r>
      <w:r w:rsidRPr="002A3414" w:rsidR="009F77DE">
        <w:rPr>
          <w:rFonts w:ascii="Times New Roman" w:hAnsi="Times New Roman"/>
          <w:sz w:val="24"/>
          <w:szCs w:val="24"/>
        </w:rPr>
        <w:t>as</w:t>
      </w:r>
      <w:r w:rsidRPr="002A3414" w:rsidR="00152339">
        <w:rPr>
          <w:rFonts w:ascii="Times New Roman" w:hAnsi="Times New Roman"/>
          <w:sz w:val="24"/>
          <w:szCs w:val="24"/>
        </w:rPr>
        <w:t xml:space="preserve"> the Commission revises th</w:t>
      </w:r>
      <w:r w:rsidR="007D7FDC">
        <w:rPr>
          <w:rFonts w:ascii="Times New Roman" w:hAnsi="Times New Roman"/>
          <w:sz w:val="24"/>
          <w:szCs w:val="24"/>
        </w:rPr>
        <w:t>ese</w:t>
      </w:r>
      <w:r w:rsidRPr="002A3414" w:rsidR="00152339">
        <w:rPr>
          <w:rFonts w:ascii="Times New Roman" w:hAnsi="Times New Roman"/>
          <w:sz w:val="24"/>
          <w:szCs w:val="24"/>
        </w:rPr>
        <w:t xml:space="preserve"> System</w:t>
      </w:r>
      <w:r w:rsidR="007D7FDC">
        <w:rPr>
          <w:rFonts w:ascii="Times New Roman" w:hAnsi="Times New Roman"/>
          <w:sz w:val="24"/>
          <w:szCs w:val="24"/>
        </w:rPr>
        <w:t>s</w:t>
      </w:r>
      <w:r w:rsidRPr="002A3414" w:rsidR="00152339">
        <w:rPr>
          <w:rFonts w:ascii="Times New Roman" w:hAnsi="Times New Roman"/>
          <w:sz w:val="24"/>
          <w:szCs w:val="24"/>
        </w:rPr>
        <w:t xml:space="preserve"> of Records Notice</w:t>
      </w:r>
      <w:r w:rsidR="007D7FDC">
        <w:rPr>
          <w:rFonts w:ascii="Times New Roman" w:hAnsi="Times New Roman"/>
          <w:sz w:val="24"/>
          <w:szCs w:val="24"/>
        </w:rPr>
        <w:t>s</w:t>
      </w:r>
      <w:r w:rsidRPr="002A3414" w:rsidR="00152339">
        <w:rPr>
          <w:rFonts w:ascii="Times New Roman" w:hAnsi="Times New Roman"/>
          <w:sz w:val="24"/>
          <w:szCs w:val="24"/>
        </w:rPr>
        <w:t xml:space="preserve"> (SORN</w:t>
      </w:r>
      <w:r w:rsidR="007D7FDC">
        <w:rPr>
          <w:rFonts w:ascii="Times New Roman" w:hAnsi="Times New Roman"/>
          <w:sz w:val="24"/>
          <w:szCs w:val="24"/>
        </w:rPr>
        <w:t>s</w:t>
      </w:r>
      <w:r w:rsidRPr="002A3414" w:rsidR="00152339">
        <w:rPr>
          <w:rFonts w:ascii="Times New Roman" w:hAnsi="Times New Roman"/>
          <w:sz w:val="24"/>
          <w:szCs w:val="24"/>
        </w:rPr>
        <w:t xml:space="preserve">), the Commission will conduct a Privacy Impact Assessment (PIA) and </w:t>
      </w:r>
      <w:r w:rsidRPr="002A3414" w:rsidR="005E6D7A">
        <w:rPr>
          <w:rFonts w:ascii="Times New Roman" w:hAnsi="Times New Roman"/>
          <w:sz w:val="24"/>
          <w:szCs w:val="24"/>
        </w:rPr>
        <w:t xml:space="preserve">publish the revised SORN in the </w:t>
      </w:r>
      <w:r w:rsidRPr="002A3414" w:rsidR="005E6D7A">
        <w:rPr>
          <w:rFonts w:ascii="Times New Roman" w:hAnsi="Times New Roman"/>
          <w:i/>
          <w:sz w:val="24"/>
          <w:szCs w:val="24"/>
        </w:rPr>
        <w:t xml:space="preserve">Federal Register.  </w:t>
      </w:r>
      <w:r w:rsidRPr="002A3414" w:rsidR="005E6D7A">
        <w:rPr>
          <w:rFonts w:ascii="Times New Roman" w:hAnsi="Times New Roman"/>
          <w:sz w:val="24"/>
          <w:szCs w:val="24"/>
        </w:rPr>
        <w:t>In addition, the Commission will</w:t>
      </w:r>
      <w:r w:rsidRPr="002A3414" w:rsidR="005E6D7A">
        <w:rPr>
          <w:rFonts w:ascii="Times New Roman" w:hAnsi="Times New Roman"/>
          <w:i/>
          <w:sz w:val="24"/>
          <w:szCs w:val="24"/>
        </w:rPr>
        <w:t xml:space="preserve"> </w:t>
      </w:r>
      <w:r w:rsidRPr="002A3414" w:rsidR="00152339">
        <w:rPr>
          <w:rFonts w:ascii="Times New Roman" w:hAnsi="Times New Roman"/>
          <w:sz w:val="24"/>
          <w:szCs w:val="24"/>
        </w:rPr>
        <w:t>p</w:t>
      </w:r>
      <w:r w:rsidRPr="002A3414" w:rsidR="005E6D7A">
        <w:rPr>
          <w:rFonts w:ascii="Times New Roman" w:hAnsi="Times New Roman"/>
          <w:sz w:val="24"/>
          <w:szCs w:val="24"/>
        </w:rPr>
        <w:t>ost</w:t>
      </w:r>
      <w:r w:rsidRPr="002A3414" w:rsidR="00152339">
        <w:rPr>
          <w:rFonts w:ascii="Times New Roman" w:hAnsi="Times New Roman"/>
          <w:sz w:val="24"/>
          <w:szCs w:val="24"/>
        </w:rPr>
        <w:t xml:space="preserve"> a copy of</w:t>
      </w:r>
      <w:r w:rsidRPr="002A3414" w:rsidR="005E6D7A">
        <w:rPr>
          <w:rFonts w:ascii="Times New Roman" w:hAnsi="Times New Roman"/>
          <w:sz w:val="24"/>
          <w:szCs w:val="24"/>
        </w:rPr>
        <w:t xml:space="preserve"> both</w:t>
      </w:r>
      <w:r w:rsidRPr="002A3414" w:rsidR="00152339">
        <w:rPr>
          <w:rFonts w:ascii="Times New Roman" w:hAnsi="Times New Roman"/>
          <w:sz w:val="24"/>
          <w:szCs w:val="24"/>
        </w:rPr>
        <w:t xml:space="preserve"> the PIA </w:t>
      </w:r>
      <w:r w:rsidRPr="002A3414" w:rsidR="005E6D7A">
        <w:rPr>
          <w:rFonts w:ascii="Times New Roman" w:hAnsi="Times New Roman"/>
          <w:sz w:val="24"/>
          <w:szCs w:val="24"/>
        </w:rPr>
        <w:t xml:space="preserve">and the SORN </w:t>
      </w:r>
      <w:r w:rsidRPr="002A3414" w:rsidR="00152339">
        <w:rPr>
          <w:rFonts w:ascii="Times New Roman" w:hAnsi="Times New Roman"/>
          <w:sz w:val="24"/>
          <w:szCs w:val="24"/>
        </w:rPr>
        <w:t>on the FCC’s Privacy webpage.</w:t>
      </w:r>
    </w:p>
    <w:p w:rsidR="00E321CB" w:rsidP="00E321CB" w:rsidRDefault="00CF4423" w14:paraId="113D470D" w14:textId="77777777">
      <w:pPr>
        <w:pStyle w:val="Default"/>
      </w:pPr>
      <w:r w:rsidRPr="002A3414">
        <w:t xml:space="preserve">  </w:t>
      </w:r>
    </w:p>
    <w:p w:rsidR="00475E60" w:rsidP="00E321CB" w:rsidRDefault="00475E60" w14:paraId="76DB7FCE" w14:textId="77777777">
      <w:pPr>
        <w:pStyle w:val="Default"/>
      </w:pPr>
    </w:p>
    <w:p w:rsidR="002C2E7E" w:rsidP="00E321CB" w:rsidRDefault="00E321CB" w14:paraId="5DC309FB" w14:textId="77777777">
      <w:pPr>
        <w:tabs>
          <w:tab w:val="left" w:pos="-720"/>
        </w:tabs>
        <w:suppressAutoHyphens/>
        <w:jc w:val="both"/>
        <w:rPr>
          <w:b/>
          <w:bCs/>
          <w:sz w:val="22"/>
          <w:szCs w:val="22"/>
        </w:rPr>
      </w:pPr>
      <w:r>
        <w:t xml:space="preserve"> </w:t>
      </w:r>
      <w:r w:rsidRPr="00E321CB">
        <w:rPr>
          <w:rFonts w:ascii="Times New Roman" w:hAnsi="Times New Roman"/>
          <w:b/>
          <w:bCs/>
          <w:sz w:val="24"/>
          <w:szCs w:val="24"/>
        </w:rPr>
        <w:t>2. Indicate how, by whom and for what purpose the information is to be used. Except for a new collection, indicate the actual use the agency has made of the information received from the current collection.</w:t>
      </w:r>
      <w:r>
        <w:rPr>
          <w:b/>
          <w:bCs/>
          <w:sz w:val="22"/>
          <w:szCs w:val="22"/>
        </w:rPr>
        <w:t xml:space="preserve"> </w:t>
      </w:r>
    </w:p>
    <w:p w:rsidR="002C2E7E" w:rsidP="00E321CB" w:rsidRDefault="002C2E7E" w14:paraId="1E62BDAC" w14:textId="77777777">
      <w:pPr>
        <w:tabs>
          <w:tab w:val="left" w:pos="-720"/>
        </w:tabs>
        <w:suppressAutoHyphens/>
        <w:jc w:val="both"/>
        <w:rPr>
          <w:b/>
          <w:bCs/>
          <w:sz w:val="22"/>
          <w:szCs w:val="22"/>
        </w:rPr>
      </w:pPr>
    </w:p>
    <w:p w:rsidRPr="002A3414" w:rsidR="00CF4423" w:rsidP="00E321CB" w:rsidRDefault="00957E36" w14:paraId="4D134102"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w:t>
      </w:r>
      <w:r w:rsidRPr="002A3414" w:rsidR="00124925">
        <w:rPr>
          <w:rFonts w:ascii="Times New Roman" w:hAnsi="Times New Roman"/>
          <w:sz w:val="24"/>
          <w:szCs w:val="24"/>
        </w:rPr>
        <w:t>e</w:t>
      </w:r>
      <w:r w:rsidRPr="002A3414">
        <w:rPr>
          <w:rFonts w:ascii="Times New Roman" w:hAnsi="Times New Roman"/>
          <w:sz w:val="24"/>
          <w:szCs w:val="24"/>
        </w:rPr>
        <w:t xml:space="preserve"> information collected is needed, because t</w:t>
      </w:r>
      <w:r w:rsidRPr="002A3414" w:rsidR="00CF4423">
        <w:rPr>
          <w:rFonts w:ascii="Times New Roman" w:hAnsi="Times New Roman"/>
          <w:sz w:val="24"/>
          <w:szCs w:val="24"/>
        </w:rPr>
        <w:t>he Commission requires applicants to perform an environmental evaluation with respect to radio frequency electromagnetic fields</w:t>
      </w:r>
      <w:r w:rsidR="009E2E16">
        <w:rPr>
          <w:rFonts w:ascii="Times New Roman" w:hAnsi="Times New Roman"/>
          <w:sz w:val="24"/>
          <w:szCs w:val="24"/>
        </w:rPr>
        <w:t xml:space="preserve"> and, if necessary, </w:t>
      </w:r>
      <w:r w:rsidR="00BD5B97">
        <w:rPr>
          <w:rFonts w:ascii="Times New Roman" w:hAnsi="Times New Roman"/>
          <w:sz w:val="24"/>
          <w:szCs w:val="24"/>
        </w:rPr>
        <w:t xml:space="preserve">to </w:t>
      </w:r>
      <w:r w:rsidR="009E2E16">
        <w:rPr>
          <w:rFonts w:ascii="Times New Roman" w:hAnsi="Times New Roman"/>
          <w:sz w:val="24"/>
          <w:szCs w:val="24"/>
        </w:rPr>
        <w:t>implement mitigation measures t</w:t>
      </w:r>
      <w:r w:rsidR="00BD5B97">
        <w:rPr>
          <w:rFonts w:ascii="Times New Roman" w:hAnsi="Times New Roman"/>
          <w:sz w:val="24"/>
          <w:szCs w:val="24"/>
        </w:rPr>
        <w:t>hat</w:t>
      </w:r>
      <w:r w:rsidR="009E2E16">
        <w:rPr>
          <w:rFonts w:ascii="Times New Roman" w:hAnsi="Times New Roman"/>
          <w:sz w:val="24"/>
          <w:szCs w:val="24"/>
        </w:rPr>
        <w:t xml:space="preserve"> ensure compliance with the Commission’s exposure limits</w:t>
      </w:r>
      <w:r w:rsidRPr="002A3414" w:rsidR="00CF4423">
        <w:rPr>
          <w:rFonts w:ascii="Times New Roman" w:hAnsi="Times New Roman"/>
          <w:sz w:val="24"/>
          <w:szCs w:val="24"/>
        </w:rPr>
        <w:t xml:space="preserve">.  Applicants are required </w:t>
      </w:r>
      <w:r w:rsidRPr="002A3414">
        <w:rPr>
          <w:rFonts w:ascii="Times New Roman" w:hAnsi="Times New Roman"/>
          <w:sz w:val="24"/>
          <w:szCs w:val="24"/>
        </w:rPr>
        <w:t xml:space="preserve">to consider contributions from other </w:t>
      </w:r>
      <w:r w:rsidRPr="002A3414" w:rsidR="00CF4423">
        <w:rPr>
          <w:rFonts w:ascii="Times New Roman" w:hAnsi="Times New Roman"/>
          <w:sz w:val="24"/>
          <w:szCs w:val="24"/>
        </w:rPr>
        <w:t xml:space="preserve">transmitters within the vicinity of their facility in order to assess the </w:t>
      </w:r>
      <w:r w:rsidR="00F81A91">
        <w:rPr>
          <w:rFonts w:ascii="Times New Roman" w:hAnsi="Times New Roman"/>
          <w:sz w:val="24"/>
          <w:szCs w:val="24"/>
        </w:rPr>
        <w:t>additive</w:t>
      </w:r>
      <w:r w:rsidRPr="002A3414" w:rsidR="00F81A91">
        <w:rPr>
          <w:rFonts w:ascii="Times New Roman" w:hAnsi="Times New Roman"/>
          <w:sz w:val="24"/>
          <w:szCs w:val="24"/>
        </w:rPr>
        <w:t xml:space="preserve"> </w:t>
      </w:r>
      <w:r w:rsidRPr="002A3414" w:rsidR="00CF4423">
        <w:rPr>
          <w:rFonts w:ascii="Times New Roman" w:hAnsi="Times New Roman"/>
          <w:sz w:val="24"/>
          <w:szCs w:val="24"/>
        </w:rPr>
        <w:t xml:space="preserve">exposure.  Accordingly, to correctly determine compliance with the Commission’s exposure limits, an applicant must locate, determine ownership, and gather technical information for all contributing transmitters.  </w:t>
      </w:r>
    </w:p>
    <w:p w:rsidRPr="002A3414" w:rsidR="00CF4423" w:rsidRDefault="00CF4423" w14:paraId="76B1B52D" w14:textId="77777777">
      <w:pPr>
        <w:tabs>
          <w:tab w:val="left" w:pos="-720"/>
        </w:tabs>
        <w:suppressAutoHyphens/>
        <w:rPr>
          <w:rFonts w:ascii="Times New Roman" w:hAnsi="Times New Roman"/>
          <w:sz w:val="24"/>
          <w:szCs w:val="24"/>
        </w:rPr>
      </w:pPr>
    </w:p>
    <w:p w:rsidRPr="002A3414" w:rsidR="00CF4423" w:rsidP="00517FA3" w:rsidRDefault="00CF4423" w14:paraId="1A807C2E"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Applicants are generally required, as part</w:t>
      </w:r>
      <w:r w:rsidRPr="002A3414" w:rsidR="00124925">
        <w:rPr>
          <w:rFonts w:ascii="Times New Roman" w:hAnsi="Times New Roman"/>
          <w:sz w:val="24"/>
          <w:szCs w:val="24"/>
        </w:rPr>
        <w:t xml:space="preserve"> of</w:t>
      </w:r>
      <w:r w:rsidRPr="002A3414">
        <w:rPr>
          <w:rFonts w:ascii="Times New Roman" w:hAnsi="Times New Roman"/>
          <w:sz w:val="24"/>
          <w:szCs w:val="24"/>
        </w:rPr>
        <w:t xml:space="preserve"> the authorization and licensing process, to indicate compliance with the Commission</w:t>
      </w:r>
      <w:r w:rsidR="00173B30">
        <w:rPr>
          <w:rFonts w:ascii="Times New Roman" w:hAnsi="Times New Roman"/>
          <w:sz w:val="24"/>
          <w:szCs w:val="24"/>
        </w:rPr>
        <w:t>’</w:t>
      </w:r>
      <w:r w:rsidRPr="002A3414">
        <w:rPr>
          <w:rFonts w:ascii="Times New Roman" w:hAnsi="Times New Roman"/>
          <w:sz w:val="24"/>
          <w:szCs w:val="24"/>
        </w:rPr>
        <w:t xml:space="preserve">s environmental rules.  Supporting information may be requested and reviewed by the Commission’s engineers, attorneys, and paraprofessional staff to determine whether the environmental evaluation is sufficiently complete and in accordance with the Commission's </w:t>
      </w:r>
      <w:r w:rsidR="00BD5B97">
        <w:rPr>
          <w:rFonts w:ascii="Times New Roman" w:hAnsi="Times New Roman"/>
          <w:sz w:val="24"/>
          <w:szCs w:val="24"/>
        </w:rPr>
        <w:t>r</w:t>
      </w:r>
      <w:r w:rsidRPr="002A3414">
        <w:rPr>
          <w:rFonts w:ascii="Times New Roman" w:hAnsi="Times New Roman"/>
          <w:sz w:val="24"/>
          <w:szCs w:val="24"/>
        </w:rPr>
        <w:t>ules.</w:t>
      </w:r>
    </w:p>
    <w:p w:rsidRPr="002A3414" w:rsidR="00CF4423" w:rsidRDefault="00CF4423" w14:paraId="4E28BBDD" w14:textId="77777777">
      <w:pPr>
        <w:tabs>
          <w:tab w:val="left" w:pos="-720"/>
        </w:tabs>
        <w:suppressAutoHyphens/>
        <w:rPr>
          <w:rFonts w:ascii="Times New Roman" w:hAnsi="Times New Roman"/>
          <w:sz w:val="24"/>
          <w:szCs w:val="24"/>
        </w:rPr>
      </w:pPr>
    </w:p>
    <w:p w:rsidR="002C2E7E" w:rsidP="002C2E7E" w:rsidRDefault="002C2E7E" w14:paraId="0BBBEE3F" w14:textId="77777777">
      <w:pPr>
        <w:pStyle w:val="Default"/>
      </w:pPr>
    </w:p>
    <w:p w:rsidR="002C2E7E" w:rsidP="002C2E7E" w:rsidRDefault="002C2E7E" w14:paraId="43AF9C03" w14:textId="77777777">
      <w:pPr>
        <w:tabs>
          <w:tab w:val="left" w:pos="-720"/>
        </w:tabs>
        <w:suppressAutoHyphens/>
        <w:jc w:val="both"/>
        <w:rPr>
          <w:b/>
          <w:bCs/>
          <w:sz w:val="22"/>
          <w:szCs w:val="22"/>
        </w:rPr>
      </w:pPr>
      <w:r>
        <w:t xml:space="preserve"> </w:t>
      </w:r>
      <w:r w:rsidRPr="002C2E7E">
        <w:rPr>
          <w:rFonts w:ascii="Times New Roman" w:hAnsi="Times New Roman"/>
          <w:b/>
          <w:bCs/>
          <w:sz w:val="24"/>
          <w:szCs w:val="24"/>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r>
        <w:rPr>
          <w:b/>
          <w:bCs/>
          <w:sz w:val="22"/>
          <w:szCs w:val="22"/>
        </w:rPr>
        <w:t xml:space="preserve"> </w:t>
      </w:r>
    </w:p>
    <w:p w:rsidR="002C2E7E" w:rsidP="002C2E7E" w:rsidRDefault="002C2E7E" w14:paraId="4300F09D" w14:textId="77777777">
      <w:pPr>
        <w:tabs>
          <w:tab w:val="left" w:pos="-720"/>
        </w:tabs>
        <w:suppressAutoHyphens/>
        <w:jc w:val="both"/>
        <w:rPr>
          <w:b/>
          <w:bCs/>
          <w:sz w:val="22"/>
          <w:szCs w:val="22"/>
        </w:rPr>
      </w:pPr>
    </w:p>
    <w:p w:rsidRPr="002A3414" w:rsidR="00CF4423" w:rsidP="002C2E7E" w:rsidRDefault="00CF4423" w14:paraId="161B827E"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w:t>
      </w:r>
      <w:r w:rsidRPr="002A3414">
        <w:rPr>
          <w:rFonts w:ascii="Times New Roman" w:hAnsi="Times New Roman"/>
          <w:sz w:val="24"/>
          <w:szCs w:val="24"/>
          <w:shd w:val="clear" w:color="auto" w:fill="FFFFFF"/>
        </w:rPr>
        <w:t xml:space="preserve"> </w:t>
      </w:r>
      <w:r w:rsidRPr="002A3414" w:rsidR="00E550E9">
        <w:rPr>
          <w:rFonts w:ascii="Times New Roman" w:hAnsi="Times New Roman"/>
          <w:sz w:val="24"/>
          <w:szCs w:val="24"/>
          <w:shd w:val="clear" w:color="auto" w:fill="FFFFFF"/>
        </w:rPr>
        <w:t xml:space="preserve">information </w:t>
      </w:r>
      <w:r w:rsidRPr="002A3414">
        <w:rPr>
          <w:rFonts w:ascii="Times New Roman" w:hAnsi="Times New Roman"/>
          <w:sz w:val="24"/>
          <w:szCs w:val="24"/>
        </w:rPr>
        <w:t>collection</w:t>
      </w:r>
      <w:r w:rsidRPr="002A3414" w:rsidR="00793907">
        <w:rPr>
          <w:rFonts w:ascii="Times New Roman" w:hAnsi="Times New Roman"/>
          <w:sz w:val="24"/>
          <w:szCs w:val="24"/>
        </w:rPr>
        <w:t xml:space="preserve"> almost always</w:t>
      </w:r>
      <w:r w:rsidRPr="002A3414">
        <w:rPr>
          <w:rFonts w:ascii="Times New Roman" w:hAnsi="Times New Roman"/>
          <w:sz w:val="24"/>
          <w:szCs w:val="24"/>
        </w:rPr>
        <w:t xml:space="preserve"> involve</w:t>
      </w:r>
      <w:r w:rsidRPr="002A3414" w:rsidR="00793907">
        <w:rPr>
          <w:rFonts w:ascii="Times New Roman" w:hAnsi="Times New Roman"/>
          <w:sz w:val="24"/>
          <w:szCs w:val="24"/>
        </w:rPr>
        <w:t>s</w:t>
      </w:r>
      <w:r w:rsidRPr="002A3414">
        <w:rPr>
          <w:rFonts w:ascii="Times New Roman" w:hAnsi="Times New Roman"/>
          <w:sz w:val="24"/>
          <w:szCs w:val="24"/>
        </w:rPr>
        <w:t xml:space="preserve"> the use of electronic techniques.  The </w:t>
      </w:r>
      <w:r w:rsidRPr="002A3414" w:rsidR="00793907">
        <w:rPr>
          <w:rFonts w:ascii="Times New Roman" w:hAnsi="Times New Roman"/>
          <w:sz w:val="24"/>
          <w:szCs w:val="24"/>
        </w:rPr>
        <w:t>Commission estimate</w:t>
      </w:r>
      <w:r w:rsidRPr="002A3414" w:rsidR="00B7686B">
        <w:rPr>
          <w:rFonts w:ascii="Times New Roman" w:hAnsi="Times New Roman"/>
          <w:sz w:val="24"/>
          <w:szCs w:val="24"/>
        </w:rPr>
        <w:t>s</w:t>
      </w:r>
      <w:r w:rsidRPr="002A3414" w:rsidR="00793907">
        <w:rPr>
          <w:rFonts w:ascii="Times New Roman" w:hAnsi="Times New Roman"/>
          <w:sz w:val="24"/>
          <w:szCs w:val="24"/>
        </w:rPr>
        <w:t xml:space="preserve"> that the </w:t>
      </w:r>
      <w:r w:rsidRPr="002A3414">
        <w:rPr>
          <w:rFonts w:ascii="Times New Roman" w:hAnsi="Times New Roman"/>
          <w:sz w:val="24"/>
          <w:szCs w:val="24"/>
        </w:rPr>
        <w:t xml:space="preserve">use of information technology to reduce the burden </w:t>
      </w:r>
      <w:r w:rsidRPr="002A3414" w:rsidR="008560F2">
        <w:rPr>
          <w:rFonts w:ascii="Times New Roman" w:hAnsi="Times New Roman"/>
          <w:sz w:val="24"/>
          <w:szCs w:val="24"/>
          <w:shd w:val="clear" w:color="auto" w:fill="FFFFFF"/>
        </w:rPr>
        <w:t xml:space="preserve">may </w:t>
      </w:r>
      <w:r w:rsidRPr="002A3414" w:rsidR="006C7982">
        <w:rPr>
          <w:rFonts w:ascii="Times New Roman" w:hAnsi="Times New Roman"/>
          <w:sz w:val="24"/>
          <w:szCs w:val="24"/>
          <w:shd w:val="clear" w:color="auto" w:fill="FFFFFF"/>
        </w:rPr>
        <w:t>be</w:t>
      </w:r>
      <w:r w:rsidRPr="002A3414" w:rsidR="006C7982">
        <w:rPr>
          <w:rFonts w:ascii="Times New Roman" w:hAnsi="Times New Roman"/>
          <w:sz w:val="24"/>
          <w:szCs w:val="24"/>
        </w:rPr>
        <w:t xml:space="preserve"> </w:t>
      </w:r>
      <w:r w:rsidRPr="002A3414">
        <w:rPr>
          <w:rFonts w:ascii="Times New Roman" w:hAnsi="Times New Roman"/>
          <w:sz w:val="24"/>
          <w:szCs w:val="24"/>
        </w:rPr>
        <w:t xml:space="preserve">feasible in </w:t>
      </w:r>
      <w:r w:rsidRPr="002A3414" w:rsidR="00793907">
        <w:rPr>
          <w:rFonts w:ascii="Times New Roman" w:hAnsi="Times New Roman"/>
          <w:sz w:val="24"/>
          <w:szCs w:val="24"/>
        </w:rPr>
        <w:t>99% of cases</w:t>
      </w:r>
      <w:r w:rsidRPr="002A3414">
        <w:rPr>
          <w:rFonts w:ascii="Times New Roman" w:hAnsi="Times New Roman"/>
          <w:sz w:val="24"/>
          <w:szCs w:val="24"/>
        </w:rPr>
        <w:t>.</w:t>
      </w:r>
    </w:p>
    <w:p w:rsidR="002C2E7E" w:rsidP="00517FA3" w:rsidRDefault="002C2E7E" w14:paraId="3869CBE1" w14:textId="77777777">
      <w:pPr>
        <w:tabs>
          <w:tab w:val="left" w:pos="-720"/>
        </w:tabs>
        <w:suppressAutoHyphens/>
        <w:jc w:val="both"/>
        <w:rPr>
          <w:rFonts w:ascii="Times New Roman" w:hAnsi="Times New Roman"/>
          <w:sz w:val="24"/>
          <w:szCs w:val="24"/>
        </w:rPr>
      </w:pPr>
    </w:p>
    <w:p w:rsidR="002C2E7E" w:rsidP="002C2E7E" w:rsidRDefault="002C2E7E" w14:paraId="4DBF41BE" w14:textId="77777777">
      <w:pPr>
        <w:pStyle w:val="Default"/>
      </w:pPr>
    </w:p>
    <w:p w:rsidR="002C2E7E" w:rsidP="002C2E7E" w:rsidRDefault="002C2E7E" w14:paraId="3D49E90B" w14:textId="77777777">
      <w:pPr>
        <w:tabs>
          <w:tab w:val="left" w:pos="-720"/>
        </w:tabs>
        <w:suppressAutoHyphens/>
        <w:jc w:val="both"/>
        <w:rPr>
          <w:rFonts w:ascii="Times New Roman" w:hAnsi="Times New Roman"/>
          <w:b/>
          <w:bCs/>
          <w:sz w:val="24"/>
          <w:szCs w:val="24"/>
        </w:rPr>
      </w:pPr>
      <w:r w:rsidRPr="002C2E7E">
        <w:rPr>
          <w:rFonts w:ascii="Times New Roman" w:hAnsi="Times New Roman"/>
          <w:sz w:val="24"/>
          <w:szCs w:val="24"/>
        </w:rPr>
        <w:t xml:space="preserve"> </w:t>
      </w:r>
      <w:r w:rsidRPr="002C2E7E">
        <w:rPr>
          <w:rFonts w:ascii="Times New Roman" w:hAnsi="Times New Roman"/>
          <w:b/>
          <w:bCs/>
          <w:sz w:val="24"/>
          <w:szCs w:val="24"/>
        </w:rPr>
        <w:t xml:space="preserve">4. Describe efforts to identify duplication. </w:t>
      </w:r>
    </w:p>
    <w:p w:rsidR="002C2E7E" w:rsidP="002C2E7E" w:rsidRDefault="002C2E7E" w14:paraId="577E2EB9" w14:textId="77777777">
      <w:pPr>
        <w:tabs>
          <w:tab w:val="left" w:pos="-720"/>
        </w:tabs>
        <w:suppressAutoHyphens/>
        <w:jc w:val="both"/>
        <w:rPr>
          <w:rFonts w:ascii="Times New Roman" w:hAnsi="Times New Roman"/>
          <w:b/>
          <w:bCs/>
          <w:sz w:val="24"/>
          <w:szCs w:val="24"/>
        </w:rPr>
      </w:pPr>
    </w:p>
    <w:p w:rsidRPr="002A3414" w:rsidR="00CF4423" w:rsidP="002C2E7E" w:rsidRDefault="00CF4423" w14:paraId="1ED36658"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 Commission recognizes the possibility of duplication of effort in the preparation and submission of environmental information and has provi</w:t>
      </w:r>
      <w:r w:rsidRPr="002A3414" w:rsidR="00F50E01">
        <w:rPr>
          <w:rFonts w:ascii="Times New Roman" w:hAnsi="Times New Roman"/>
          <w:sz w:val="24"/>
          <w:szCs w:val="24"/>
        </w:rPr>
        <w:t>ded in Section 1.1311(e) that: “</w:t>
      </w:r>
      <w:r w:rsidRPr="002A3414">
        <w:rPr>
          <w:rFonts w:ascii="Times New Roman" w:hAnsi="Times New Roman"/>
          <w:sz w:val="24"/>
          <w:szCs w:val="24"/>
        </w:rPr>
        <w:t>An Environmental Assessment (EA) need not be submitted to the Commission if another agency of the Federal Government has assumed responsibility for determining whether the facilities in question will have significant effect on the quality of the human environment and, if it will, for invoking the environmen</w:t>
      </w:r>
      <w:r w:rsidRPr="002A3414" w:rsidR="00F50E01">
        <w:rPr>
          <w:rFonts w:ascii="Times New Roman" w:hAnsi="Times New Roman"/>
          <w:sz w:val="24"/>
          <w:szCs w:val="24"/>
        </w:rPr>
        <w:t>tal impact statement process.”</w:t>
      </w:r>
      <w:r w:rsidRPr="002A3414">
        <w:rPr>
          <w:rFonts w:ascii="Times New Roman" w:hAnsi="Times New Roman"/>
          <w:sz w:val="24"/>
          <w:szCs w:val="24"/>
        </w:rPr>
        <w:t xml:space="preserve"> </w:t>
      </w:r>
    </w:p>
    <w:p w:rsidRPr="002A3414" w:rsidR="00CF4423" w:rsidRDefault="00CF4423" w14:paraId="2F0A1077" w14:textId="77777777">
      <w:pPr>
        <w:tabs>
          <w:tab w:val="left" w:pos="-720"/>
        </w:tabs>
        <w:suppressAutoHyphens/>
        <w:rPr>
          <w:rFonts w:ascii="Times New Roman" w:hAnsi="Times New Roman"/>
          <w:sz w:val="24"/>
          <w:szCs w:val="24"/>
        </w:rPr>
      </w:pPr>
    </w:p>
    <w:p w:rsidRPr="002A3414" w:rsidR="00CF4423" w:rsidP="00517FA3" w:rsidRDefault="00CF4423" w14:paraId="30267E8C"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 xml:space="preserve">Section 1.1311(d) provides: “to the extent that such information is submitted in another part of the application, it need not be duplicated in an EA, but adequate cross-reference to such information shall be supplied.”  </w:t>
      </w:r>
    </w:p>
    <w:p w:rsidRPr="002A3414" w:rsidR="00CF4423" w:rsidRDefault="00CF4423" w14:paraId="4FD1881E" w14:textId="77777777">
      <w:pPr>
        <w:tabs>
          <w:tab w:val="left" w:pos="-720"/>
        </w:tabs>
        <w:suppressAutoHyphens/>
        <w:rPr>
          <w:rFonts w:ascii="Times New Roman" w:hAnsi="Times New Roman"/>
          <w:sz w:val="24"/>
          <w:szCs w:val="24"/>
        </w:rPr>
      </w:pPr>
    </w:p>
    <w:p w:rsidRPr="002A3414" w:rsidR="00CF4423" w:rsidP="00517FA3" w:rsidRDefault="00CF4423" w14:paraId="345FB6C6"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 Commission's rules do not require multiple submissions of the same environmental information for different purposes.</w:t>
      </w:r>
    </w:p>
    <w:p w:rsidRPr="002A3414" w:rsidR="00475E60" w:rsidRDefault="00475E60" w14:paraId="56F39588" w14:textId="77777777">
      <w:pPr>
        <w:tabs>
          <w:tab w:val="left" w:pos="-720"/>
        </w:tabs>
        <w:suppressAutoHyphens/>
        <w:rPr>
          <w:rFonts w:ascii="Times New Roman" w:hAnsi="Times New Roman"/>
          <w:sz w:val="24"/>
          <w:szCs w:val="24"/>
        </w:rPr>
      </w:pPr>
    </w:p>
    <w:p w:rsidR="002C2E7E" w:rsidP="002C2E7E" w:rsidRDefault="002C2E7E" w14:paraId="59BC66CF" w14:textId="77777777">
      <w:pPr>
        <w:pStyle w:val="Default"/>
      </w:pPr>
    </w:p>
    <w:p w:rsidR="002C2E7E" w:rsidP="002C2E7E" w:rsidRDefault="002C2E7E" w14:paraId="2BC0FC53" w14:textId="77777777">
      <w:pPr>
        <w:tabs>
          <w:tab w:val="left" w:pos="-720"/>
        </w:tabs>
        <w:suppressAutoHyphens/>
        <w:jc w:val="both"/>
        <w:rPr>
          <w:rFonts w:ascii="Times New Roman" w:hAnsi="Times New Roman"/>
          <w:sz w:val="24"/>
          <w:szCs w:val="24"/>
        </w:rPr>
      </w:pPr>
      <w:r w:rsidRPr="002C2E7E">
        <w:rPr>
          <w:rFonts w:ascii="Times New Roman" w:hAnsi="Times New Roman"/>
        </w:rPr>
        <w:t xml:space="preserve"> </w:t>
      </w:r>
      <w:r w:rsidRPr="002C2E7E">
        <w:rPr>
          <w:rFonts w:ascii="Times New Roman" w:hAnsi="Times New Roman"/>
          <w:b/>
          <w:bCs/>
          <w:sz w:val="22"/>
          <w:szCs w:val="22"/>
        </w:rPr>
        <w:t xml:space="preserve">5. If the collection of information will have </w:t>
      </w:r>
      <w:r w:rsidRPr="002C2E7E">
        <w:rPr>
          <w:rFonts w:ascii="Times New Roman" w:hAnsi="Times New Roman"/>
          <w:b/>
          <w:bCs/>
          <w:i/>
          <w:iCs/>
          <w:sz w:val="22"/>
          <w:szCs w:val="22"/>
        </w:rPr>
        <w:t xml:space="preserve">significant </w:t>
      </w:r>
      <w:r w:rsidRPr="002C2E7E">
        <w:rPr>
          <w:rFonts w:ascii="Times New Roman" w:hAnsi="Times New Roman"/>
          <w:b/>
          <w:bCs/>
          <w:sz w:val="22"/>
          <w:szCs w:val="22"/>
        </w:rPr>
        <w:t xml:space="preserve">economic impacts on small businesses, organizations or other small entities, </w:t>
      </w:r>
      <w:r w:rsidRPr="002C2E7E">
        <w:rPr>
          <w:rFonts w:ascii="Times New Roman" w:hAnsi="Times New Roman"/>
          <w:b/>
          <w:bCs/>
          <w:i/>
          <w:iCs/>
          <w:sz w:val="22"/>
          <w:szCs w:val="22"/>
        </w:rPr>
        <w:t>describe any methods used to minimize the burden on these entities</w:t>
      </w:r>
      <w:r>
        <w:rPr>
          <w:b/>
          <w:bCs/>
          <w:i/>
          <w:iCs/>
          <w:sz w:val="22"/>
          <w:szCs w:val="22"/>
        </w:rPr>
        <w:t xml:space="preserve">. </w:t>
      </w:r>
      <w:r w:rsidRPr="002A3414" w:rsidR="00CF4423">
        <w:rPr>
          <w:rFonts w:ascii="Times New Roman" w:hAnsi="Times New Roman"/>
          <w:sz w:val="24"/>
          <w:szCs w:val="24"/>
        </w:rPr>
        <w:t xml:space="preserve"> </w:t>
      </w:r>
    </w:p>
    <w:p w:rsidR="002C2E7E" w:rsidP="002C2E7E" w:rsidRDefault="002C2E7E" w14:paraId="259CCFED" w14:textId="77777777">
      <w:pPr>
        <w:tabs>
          <w:tab w:val="left" w:pos="-720"/>
        </w:tabs>
        <w:suppressAutoHyphens/>
        <w:jc w:val="both"/>
        <w:rPr>
          <w:rFonts w:ascii="Times New Roman" w:hAnsi="Times New Roman"/>
          <w:sz w:val="24"/>
          <w:szCs w:val="24"/>
        </w:rPr>
      </w:pPr>
    </w:p>
    <w:p w:rsidR="00CF4423" w:rsidP="002C2E7E" w:rsidRDefault="00CF4423" w14:paraId="0BE16D6D" w14:textId="67091C45">
      <w:pPr>
        <w:tabs>
          <w:tab w:val="left" w:pos="-720"/>
        </w:tabs>
        <w:suppressAutoHyphens/>
        <w:jc w:val="both"/>
        <w:rPr>
          <w:rFonts w:ascii="Times New Roman" w:hAnsi="Times New Roman"/>
          <w:sz w:val="24"/>
          <w:szCs w:val="24"/>
        </w:rPr>
      </w:pPr>
      <w:r w:rsidRPr="002A3414">
        <w:rPr>
          <w:rFonts w:ascii="Times New Roman" w:hAnsi="Times New Roman"/>
          <w:sz w:val="24"/>
          <w:szCs w:val="24"/>
        </w:rPr>
        <w:t xml:space="preserve">In conformance with the Paperwork Reduction Act of 1995, the Commission has limited the information </w:t>
      </w:r>
      <w:r w:rsidRPr="002A3414" w:rsidR="00124925">
        <w:rPr>
          <w:rFonts w:ascii="Times New Roman" w:hAnsi="Times New Roman"/>
          <w:sz w:val="24"/>
          <w:szCs w:val="24"/>
        </w:rPr>
        <w:t xml:space="preserve">collection </w:t>
      </w:r>
      <w:r w:rsidRPr="002A3414">
        <w:rPr>
          <w:rFonts w:ascii="Times New Roman" w:hAnsi="Times New Roman"/>
          <w:sz w:val="24"/>
          <w:szCs w:val="24"/>
        </w:rPr>
        <w:t xml:space="preserve">requirements </w:t>
      </w:r>
      <w:r w:rsidR="00B71A82">
        <w:rPr>
          <w:rFonts w:ascii="Times New Roman" w:hAnsi="Times New Roman"/>
          <w:sz w:val="24"/>
          <w:szCs w:val="24"/>
        </w:rPr>
        <w:t>for determining compliance with its rules on RF exposure</w:t>
      </w:r>
      <w:r w:rsidRPr="002A3414">
        <w:rPr>
          <w:rFonts w:ascii="Times New Roman" w:hAnsi="Times New Roman"/>
          <w:sz w:val="24"/>
          <w:szCs w:val="24"/>
        </w:rPr>
        <w:t xml:space="preserve">.  </w:t>
      </w:r>
      <w:r w:rsidR="005D5909">
        <w:rPr>
          <w:rFonts w:ascii="Times New Roman" w:hAnsi="Times New Roman"/>
          <w:sz w:val="24"/>
          <w:szCs w:val="24"/>
        </w:rPr>
        <w:t>We have made e</w:t>
      </w:r>
      <w:r w:rsidRPr="002A3414">
        <w:rPr>
          <w:rFonts w:ascii="Times New Roman" w:hAnsi="Times New Roman"/>
          <w:sz w:val="24"/>
          <w:szCs w:val="24"/>
        </w:rPr>
        <w:t xml:space="preserve">fforts to </w:t>
      </w:r>
      <w:r w:rsidR="001D0687">
        <w:rPr>
          <w:rFonts w:ascii="Times New Roman" w:hAnsi="Times New Roman"/>
          <w:sz w:val="24"/>
          <w:szCs w:val="24"/>
        </w:rPr>
        <w:t>exempt</w:t>
      </w:r>
      <w:r w:rsidRPr="002A3414" w:rsidR="00E80EFB">
        <w:rPr>
          <w:rFonts w:ascii="Times New Roman" w:hAnsi="Times New Roman"/>
          <w:sz w:val="24"/>
          <w:szCs w:val="24"/>
        </w:rPr>
        <w:t xml:space="preserve"> </w:t>
      </w:r>
      <w:r w:rsidR="00370261">
        <w:rPr>
          <w:rFonts w:ascii="Times New Roman" w:hAnsi="Times New Roman"/>
          <w:sz w:val="24"/>
          <w:szCs w:val="24"/>
        </w:rPr>
        <w:t xml:space="preserve">those </w:t>
      </w:r>
      <w:r w:rsidRPr="002A3414" w:rsidR="00370261">
        <w:rPr>
          <w:rFonts w:ascii="Times New Roman" w:hAnsi="Times New Roman"/>
          <w:sz w:val="24"/>
          <w:szCs w:val="24"/>
        </w:rPr>
        <w:t>facilities</w:t>
      </w:r>
      <w:r w:rsidR="00370261">
        <w:rPr>
          <w:rFonts w:ascii="Times New Roman" w:hAnsi="Times New Roman"/>
          <w:sz w:val="24"/>
          <w:szCs w:val="24"/>
        </w:rPr>
        <w:t xml:space="preserve"> </w:t>
      </w:r>
      <w:r w:rsidR="00F81A91">
        <w:rPr>
          <w:rFonts w:ascii="Times New Roman" w:hAnsi="Times New Roman"/>
          <w:sz w:val="24"/>
          <w:szCs w:val="24"/>
        </w:rPr>
        <w:t xml:space="preserve">from </w:t>
      </w:r>
      <w:r w:rsidR="001D0687">
        <w:rPr>
          <w:rFonts w:ascii="Times New Roman" w:hAnsi="Times New Roman"/>
          <w:sz w:val="24"/>
          <w:szCs w:val="24"/>
        </w:rPr>
        <w:t>more detailed evaluation</w:t>
      </w:r>
      <w:r w:rsidR="00370261">
        <w:rPr>
          <w:rFonts w:ascii="Times New Roman" w:hAnsi="Times New Roman"/>
          <w:sz w:val="24"/>
          <w:szCs w:val="24"/>
        </w:rPr>
        <w:t>s</w:t>
      </w:r>
      <w:r w:rsidRPr="002A3414">
        <w:rPr>
          <w:rFonts w:ascii="Times New Roman" w:hAnsi="Times New Roman"/>
          <w:sz w:val="24"/>
          <w:szCs w:val="24"/>
        </w:rPr>
        <w:t>, commonly used by smaller businesses and entities</w:t>
      </w:r>
      <w:r w:rsidRPr="002A3414" w:rsidR="00E80EFB">
        <w:rPr>
          <w:rFonts w:ascii="Times New Roman" w:hAnsi="Times New Roman"/>
          <w:sz w:val="24"/>
          <w:szCs w:val="24"/>
        </w:rPr>
        <w:t xml:space="preserve">, </w:t>
      </w:r>
      <w:r w:rsidR="005D5909">
        <w:rPr>
          <w:rFonts w:ascii="Times New Roman" w:hAnsi="Times New Roman"/>
          <w:sz w:val="24"/>
          <w:szCs w:val="24"/>
        </w:rPr>
        <w:t>that</w:t>
      </w:r>
      <w:r w:rsidRPr="002A3414" w:rsidR="005D5909">
        <w:rPr>
          <w:rFonts w:ascii="Times New Roman" w:hAnsi="Times New Roman"/>
          <w:sz w:val="24"/>
          <w:szCs w:val="24"/>
        </w:rPr>
        <w:t xml:space="preserve"> </w:t>
      </w:r>
      <w:r w:rsidRPr="002A3414">
        <w:rPr>
          <w:rFonts w:ascii="Times New Roman" w:hAnsi="Times New Roman"/>
          <w:sz w:val="24"/>
          <w:szCs w:val="24"/>
        </w:rPr>
        <w:t xml:space="preserve">appear to have </w:t>
      </w:r>
      <w:r w:rsidRPr="002A3414" w:rsidR="00E80EFB">
        <w:rPr>
          <w:rFonts w:ascii="Times New Roman" w:hAnsi="Times New Roman"/>
          <w:sz w:val="24"/>
          <w:szCs w:val="24"/>
        </w:rPr>
        <w:t xml:space="preserve">little potential for causing exposures in </w:t>
      </w:r>
      <w:r w:rsidRPr="002A3414" w:rsidR="00E80EFB">
        <w:rPr>
          <w:rFonts w:ascii="Times New Roman" w:hAnsi="Times New Roman"/>
          <w:sz w:val="24"/>
          <w:szCs w:val="24"/>
        </w:rPr>
        <w:lastRenderedPageBreak/>
        <w:t xml:space="preserve">excess of the guidelines.  </w:t>
      </w:r>
      <w:r w:rsidR="00095B87">
        <w:rPr>
          <w:rFonts w:ascii="Times New Roman" w:hAnsi="Times New Roman"/>
          <w:sz w:val="24"/>
          <w:szCs w:val="24"/>
        </w:rPr>
        <w:t>For</w:t>
      </w:r>
      <w:r w:rsidR="00464138">
        <w:rPr>
          <w:rFonts w:ascii="Times New Roman" w:hAnsi="Times New Roman"/>
          <w:sz w:val="24"/>
          <w:szCs w:val="24"/>
        </w:rPr>
        <w:t xml:space="preserve"> </w:t>
      </w:r>
      <w:r w:rsidR="00095B87">
        <w:rPr>
          <w:rFonts w:ascii="Times New Roman" w:hAnsi="Times New Roman"/>
          <w:sz w:val="24"/>
          <w:szCs w:val="24"/>
        </w:rPr>
        <w:t>simplification and consistent application of</w:t>
      </w:r>
      <w:r w:rsidR="00464138">
        <w:rPr>
          <w:rFonts w:ascii="Times New Roman" w:hAnsi="Times New Roman"/>
          <w:sz w:val="24"/>
          <w:szCs w:val="24"/>
        </w:rPr>
        <w:t xml:space="preserve"> </w:t>
      </w:r>
      <w:r w:rsidR="00095B87">
        <w:rPr>
          <w:rFonts w:ascii="Times New Roman" w:hAnsi="Times New Roman"/>
          <w:sz w:val="24"/>
          <w:szCs w:val="24"/>
        </w:rPr>
        <w:t>its</w:t>
      </w:r>
      <w:r w:rsidR="00464138">
        <w:rPr>
          <w:rFonts w:ascii="Times New Roman" w:hAnsi="Times New Roman"/>
          <w:sz w:val="24"/>
          <w:szCs w:val="24"/>
        </w:rPr>
        <w:t xml:space="preserve"> RF exposure evaluation procedures, the Commission </w:t>
      </w:r>
      <w:r w:rsidR="00FE3E89">
        <w:rPr>
          <w:rFonts w:ascii="Times New Roman" w:hAnsi="Times New Roman"/>
          <w:sz w:val="24"/>
          <w:szCs w:val="24"/>
        </w:rPr>
        <w:t xml:space="preserve">has </w:t>
      </w:r>
      <w:r w:rsidR="00464138">
        <w:rPr>
          <w:rFonts w:ascii="Times New Roman" w:hAnsi="Times New Roman"/>
          <w:sz w:val="24"/>
          <w:szCs w:val="24"/>
        </w:rPr>
        <w:t>created three broad categories for exemption from the RF exposure evaluation requirements</w:t>
      </w:r>
      <w:r w:rsidR="008B4FA3">
        <w:rPr>
          <w:rFonts w:ascii="Times New Roman" w:hAnsi="Times New Roman"/>
          <w:sz w:val="24"/>
          <w:szCs w:val="24"/>
        </w:rPr>
        <w:t xml:space="preserve"> and adopted a set of technical definitions related to output power and separation distance.  These exemptions apply to</w:t>
      </w:r>
      <w:r w:rsidR="00464138">
        <w:rPr>
          <w:rFonts w:ascii="Times New Roman" w:hAnsi="Times New Roman"/>
          <w:sz w:val="24"/>
          <w:szCs w:val="24"/>
        </w:rPr>
        <w:t xml:space="preserve"> all fixed, mobile, and portable RF sources</w:t>
      </w:r>
      <w:r w:rsidR="008B4FA3">
        <w:rPr>
          <w:rFonts w:ascii="Times New Roman" w:hAnsi="Times New Roman"/>
          <w:sz w:val="24"/>
          <w:szCs w:val="24"/>
        </w:rPr>
        <w:t xml:space="preserve"> and are</w:t>
      </w:r>
      <w:r w:rsidR="00464138">
        <w:rPr>
          <w:rFonts w:ascii="Times New Roman" w:hAnsi="Times New Roman"/>
          <w:sz w:val="24"/>
          <w:szCs w:val="24"/>
        </w:rPr>
        <w:t xml:space="preserve"> based on power, separation distance (minimum distance in any direction from any part of a radiating structure to any part of the body of a person), and frequency</w:t>
      </w:r>
      <w:r w:rsidR="008B4FA3">
        <w:rPr>
          <w:rFonts w:ascii="Times New Roman" w:hAnsi="Times New Roman"/>
          <w:sz w:val="24"/>
          <w:szCs w:val="24"/>
        </w:rPr>
        <w:t>.  Exemptions</w:t>
      </w:r>
      <w:r w:rsidR="00464138">
        <w:rPr>
          <w:rFonts w:ascii="Times New Roman" w:hAnsi="Times New Roman"/>
          <w:sz w:val="24"/>
          <w:szCs w:val="24"/>
        </w:rPr>
        <w:t xml:space="preserve"> provide for both single- and multiple-transmitter cases and treat like sources similarly</w:t>
      </w:r>
      <w:r w:rsidR="00095B87">
        <w:rPr>
          <w:rFonts w:ascii="Times New Roman" w:hAnsi="Times New Roman"/>
          <w:sz w:val="24"/>
          <w:szCs w:val="24"/>
        </w:rPr>
        <w:t xml:space="preserve"> even if </w:t>
      </w:r>
      <w:r w:rsidR="00464138">
        <w:rPr>
          <w:rFonts w:ascii="Times New Roman" w:hAnsi="Times New Roman"/>
          <w:sz w:val="24"/>
          <w:szCs w:val="24"/>
        </w:rPr>
        <w:t>th</w:t>
      </w:r>
      <w:r w:rsidR="00095B87">
        <w:rPr>
          <w:rFonts w:ascii="Times New Roman" w:hAnsi="Times New Roman"/>
          <w:sz w:val="24"/>
          <w:szCs w:val="24"/>
        </w:rPr>
        <w:t>ey operate under different</w:t>
      </w:r>
      <w:r w:rsidR="00464138">
        <w:rPr>
          <w:rFonts w:ascii="Times New Roman" w:hAnsi="Times New Roman"/>
          <w:sz w:val="24"/>
          <w:szCs w:val="24"/>
        </w:rPr>
        <w:t xml:space="preserve"> service</w:t>
      </w:r>
      <w:r w:rsidR="00095B87">
        <w:rPr>
          <w:rFonts w:ascii="Times New Roman" w:hAnsi="Times New Roman"/>
          <w:sz w:val="24"/>
          <w:szCs w:val="24"/>
        </w:rPr>
        <w:t xml:space="preserve"> rules</w:t>
      </w:r>
      <w:r w:rsidR="008B4FA3">
        <w:rPr>
          <w:rFonts w:ascii="Times New Roman" w:hAnsi="Times New Roman"/>
          <w:sz w:val="24"/>
          <w:szCs w:val="24"/>
        </w:rPr>
        <w:t>.</w:t>
      </w:r>
      <w:r w:rsidR="005D5909">
        <w:rPr>
          <w:rFonts w:ascii="Times New Roman" w:hAnsi="Times New Roman"/>
          <w:sz w:val="24"/>
          <w:szCs w:val="24"/>
        </w:rPr>
        <w:t xml:space="preserve">  The use of a</w:t>
      </w:r>
      <w:r w:rsidR="00B71A82">
        <w:rPr>
          <w:rFonts w:ascii="Times New Roman" w:hAnsi="Times New Roman"/>
          <w:sz w:val="24"/>
          <w:szCs w:val="24"/>
        </w:rPr>
        <w:t xml:space="preserve"> simplified</w:t>
      </w:r>
      <w:r w:rsidR="005D5909">
        <w:rPr>
          <w:rFonts w:ascii="Times New Roman" w:hAnsi="Times New Roman"/>
          <w:sz w:val="24"/>
          <w:szCs w:val="24"/>
        </w:rPr>
        <w:t xml:space="preserve"> categorical approach with clearly expressed definitions makes it easier for small entities to understand and apply our rules while still allowing us to meet our </w:t>
      </w:r>
      <w:r w:rsidR="003971A5">
        <w:rPr>
          <w:rFonts w:ascii="Times New Roman" w:hAnsi="Times New Roman"/>
          <w:sz w:val="24"/>
          <w:szCs w:val="24"/>
        </w:rPr>
        <w:t xml:space="preserve">RF exposure-related </w:t>
      </w:r>
      <w:r w:rsidR="005D5909">
        <w:rPr>
          <w:rFonts w:ascii="Times New Roman" w:hAnsi="Times New Roman"/>
          <w:sz w:val="24"/>
          <w:szCs w:val="24"/>
        </w:rPr>
        <w:t xml:space="preserve">goals. </w:t>
      </w:r>
      <w:r w:rsidR="00BB760D">
        <w:rPr>
          <w:rFonts w:ascii="Times New Roman" w:hAnsi="Times New Roman"/>
          <w:sz w:val="24"/>
          <w:szCs w:val="24"/>
        </w:rPr>
        <w:t xml:space="preserve"> </w:t>
      </w:r>
      <w:r w:rsidR="003971A5">
        <w:rPr>
          <w:rFonts w:ascii="Times New Roman" w:hAnsi="Times New Roman"/>
          <w:sz w:val="24"/>
          <w:szCs w:val="24"/>
        </w:rPr>
        <w:t>In addition, t</w:t>
      </w:r>
      <w:r w:rsidR="00FE3E89">
        <w:rPr>
          <w:rFonts w:ascii="Times New Roman" w:hAnsi="Times New Roman"/>
          <w:sz w:val="24"/>
          <w:szCs w:val="24"/>
        </w:rPr>
        <w:t xml:space="preserve">he Commission </w:t>
      </w:r>
      <w:r w:rsidR="00AC7014">
        <w:rPr>
          <w:rFonts w:ascii="Times New Roman" w:hAnsi="Times New Roman"/>
          <w:sz w:val="24"/>
          <w:szCs w:val="24"/>
        </w:rPr>
        <w:t>removed</w:t>
      </w:r>
      <w:r w:rsidR="00FE3E89">
        <w:rPr>
          <w:rFonts w:ascii="Times New Roman" w:hAnsi="Times New Roman"/>
          <w:sz w:val="24"/>
          <w:szCs w:val="24"/>
        </w:rPr>
        <w:t xml:space="preserve"> restrictive and outdated provisions that only specified a single acceptable numerical approach to RF exposure evaluation </w:t>
      </w:r>
      <w:r w:rsidR="00AC7014">
        <w:rPr>
          <w:rFonts w:ascii="Times New Roman" w:hAnsi="Times New Roman"/>
          <w:sz w:val="24"/>
          <w:szCs w:val="24"/>
        </w:rPr>
        <w:t>and instead</w:t>
      </w:r>
      <w:r w:rsidR="00FE3E89">
        <w:rPr>
          <w:rFonts w:ascii="Times New Roman" w:hAnsi="Times New Roman"/>
          <w:sz w:val="24"/>
          <w:szCs w:val="24"/>
        </w:rPr>
        <w:t xml:space="preserve"> allow</w:t>
      </w:r>
      <w:r w:rsidR="00095B87">
        <w:rPr>
          <w:rFonts w:ascii="Times New Roman" w:hAnsi="Times New Roman"/>
          <w:sz w:val="24"/>
          <w:szCs w:val="24"/>
        </w:rPr>
        <w:t>s for</w:t>
      </w:r>
      <w:r w:rsidR="00FE3E89">
        <w:rPr>
          <w:rFonts w:ascii="Times New Roman" w:hAnsi="Times New Roman"/>
          <w:sz w:val="24"/>
          <w:szCs w:val="24"/>
        </w:rPr>
        <w:t xml:space="preserve"> the use of any valid computational method to determine RF exposure levels</w:t>
      </w:r>
      <w:r w:rsidR="00AC7014">
        <w:rPr>
          <w:rFonts w:ascii="Times New Roman" w:hAnsi="Times New Roman"/>
          <w:sz w:val="24"/>
          <w:szCs w:val="24"/>
        </w:rPr>
        <w:t>.</w:t>
      </w:r>
      <w:r w:rsidRPr="002A3414">
        <w:rPr>
          <w:rFonts w:ascii="Times New Roman" w:hAnsi="Times New Roman"/>
          <w:sz w:val="24"/>
          <w:szCs w:val="24"/>
        </w:rPr>
        <w:t xml:space="preserve"> </w:t>
      </w:r>
    </w:p>
    <w:p w:rsidR="008B6BB6" w:rsidP="002C2E7E" w:rsidRDefault="008B6BB6" w14:paraId="622F9628" w14:textId="77777777">
      <w:pPr>
        <w:tabs>
          <w:tab w:val="left" w:pos="-720"/>
        </w:tabs>
        <w:suppressAutoHyphens/>
        <w:jc w:val="both"/>
        <w:rPr>
          <w:rFonts w:ascii="Times New Roman" w:hAnsi="Times New Roman"/>
          <w:sz w:val="24"/>
          <w:szCs w:val="24"/>
        </w:rPr>
      </w:pPr>
    </w:p>
    <w:p w:rsidRPr="002A3414" w:rsidR="008B6BB6" w:rsidP="002C2E7E" w:rsidRDefault="008B6BB6" w14:paraId="56A07923" w14:textId="77777777">
      <w:pPr>
        <w:tabs>
          <w:tab w:val="left" w:pos="-720"/>
        </w:tabs>
        <w:suppressAutoHyphens/>
        <w:jc w:val="both"/>
        <w:rPr>
          <w:rFonts w:ascii="Times New Roman" w:hAnsi="Times New Roman"/>
          <w:sz w:val="24"/>
          <w:szCs w:val="24"/>
        </w:rPr>
      </w:pPr>
      <w:r w:rsidRPr="008B6BB6">
        <w:rPr>
          <w:rFonts w:ascii="Times New Roman" w:hAnsi="Times New Roman"/>
          <w:sz w:val="24"/>
          <w:szCs w:val="24"/>
        </w:rPr>
        <w:t xml:space="preserve">The amendments </w:t>
      </w:r>
      <w:r>
        <w:rPr>
          <w:rFonts w:ascii="Times New Roman" w:hAnsi="Times New Roman"/>
          <w:sz w:val="24"/>
          <w:szCs w:val="24"/>
        </w:rPr>
        <w:t xml:space="preserve">to rule section 1.1307 </w:t>
      </w:r>
      <w:r w:rsidRPr="008B6BB6">
        <w:rPr>
          <w:rFonts w:ascii="Times New Roman" w:hAnsi="Times New Roman"/>
          <w:sz w:val="24"/>
          <w:szCs w:val="24"/>
        </w:rPr>
        <w:t xml:space="preserve">do not change reporting </w:t>
      </w:r>
      <w:proofErr w:type="gramStart"/>
      <w:r w:rsidRPr="008B6BB6">
        <w:rPr>
          <w:rFonts w:ascii="Times New Roman" w:hAnsi="Times New Roman"/>
          <w:sz w:val="24"/>
          <w:szCs w:val="24"/>
        </w:rPr>
        <w:t>requirements</w:t>
      </w:r>
      <w:r w:rsidR="00095B87">
        <w:rPr>
          <w:rFonts w:ascii="Times New Roman" w:hAnsi="Times New Roman"/>
          <w:sz w:val="24"/>
          <w:szCs w:val="24"/>
        </w:rPr>
        <w:t>,</w:t>
      </w:r>
      <w:r w:rsidRPr="008B6BB6">
        <w:rPr>
          <w:rFonts w:ascii="Times New Roman" w:hAnsi="Times New Roman"/>
          <w:sz w:val="24"/>
          <w:szCs w:val="24"/>
        </w:rPr>
        <w:t xml:space="preserve"> but</w:t>
      </w:r>
      <w:proofErr w:type="gramEnd"/>
      <w:r w:rsidRPr="008B6BB6">
        <w:rPr>
          <w:rFonts w:ascii="Times New Roman" w:hAnsi="Times New Roman"/>
          <w:sz w:val="24"/>
          <w:szCs w:val="24"/>
        </w:rPr>
        <w:t xml:space="preserve"> may require additional training </w:t>
      </w:r>
      <w:r w:rsidR="009F0A88">
        <w:rPr>
          <w:rFonts w:ascii="Times New Roman" w:hAnsi="Times New Roman"/>
          <w:sz w:val="24"/>
          <w:szCs w:val="24"/>
        </w:rPr>
        <w:t>or more specific signage or access control</w:t>
      </w:r>
      <w:r w:rsidR="00095B87">
        <w:rPr>
          <w:rFonts w:ascii="Times New Roman" w:hAnsi="Times New Roman"/>
          <w:sz w:val="24"/>
          <w:szCs w:val="24"/>
        </w:rPr>
        <w:t xml:space="preserve"> that is</w:t>
      </w:r>
      <w:r w:rsidR="009F0A88">
        <w:rPr>
          <w:rFonts w:ascii="Times New Roman" w:hAnsi="Times New Roman"/>
          <w:sz w:val="24"/>
          <w:szCs w:val="24"/>
        </w:rPr>
        <w:t xml:space="preserve"> </w:t>
      </w:r>
      <w:r w:rsidRPr="008B6BB6">
        <w:rPr>
          <w:rFonts w:ascii="Times New Roman" w:hAnsi="Times New Roman"/>
          <w:sz w:val="24"/>
          <w:szCs w:val="24"/>
        </w:rPr>
        <w:t>consistent with industry RF safety program standards</w:t>
      </w:r>
      <w:r w:rsidR="00095B87">
        <w:rPr>
          <w:rFonts w:ascii="Times New Roman" w:hAnsi="Times New Roman"/>
          <w:sz w:val="24"/>
          <w:szCs w:val="24"/>
        </w:rPr>
        <w:t xml:space="preserve"> for certain transmitting facilities</w:t>
      </w:r>
      <w:r>
        <w:rPr>
          <w:rFonts w:ascii="Times New Roman" w:hAnsi="Times New Roman"/>
          <w:sz w:val="24"/>
          <w:szCs w:val="24"/>
        </w:rPr>
        <w:t>.</w:t>
      </w:r>
      <w:r w:rsidR="009F0A88">
        <w:rPr>
          <w:rFonts w:ascii="Times New Roman" w:hAnsi="Times New Roman"/>
          <w:sz w:val="24"/>
          <w:szCs w:val="24"/>
        </w:rPr>
        <w:t xml:space="preserve">  The amendments </w:t>
      </w:r>
      <w:r w:rsidR="00384DD4">
        <w:rPr>
          <w:rFonts w:ascii="Times New Roman" w:hAnsi="Times New Roman"/>
          <w:sz w:val="24"/>
          <w:szCs w:val="24"/>
        </w:rPr>
        <w:t>are designed to improve</w:t>
      </w:r>
      <w:r w:rsidR="00095B87">
        <w:rPr>
          <w:rFonts w:ascii="Times New Roman" w:hAnsi="Times New Roman"/>
          <w:sz w:val="24"/>
          <w:szCs w:val="24"/>
        </w:rPr>
        <w:t xml:space="preserve"> rule consistency and clarity</w:t>
      </w:r>
      <w:r w:rsidRPr="009F0A88" w:rsidR="009F0A88">
        <w:rPr>
          <w:rFonts w:ascii="Times New Roman" w:hAnsi="Times New Roman"/>
          <w:sz w:val="24"/>
          <w:szCs w:val="24"/>
        </w:rPr>
        <w:t>.</w:t>
      </w:r>
    </w:p>
    <w:p w:rsidRPr="002A3414" w:rsidR="003744E7" w:rsidRDefault="003744E7" w14:paraId="6554102D" w14:textId="77777777">
      <w:pPr>
        <w:tabs>
          <w:tab w:val="left" w:pos="-720"/>
        </w:tabs>
        <w:suppressAutoHyphens/>
        <w:rPr>
          <w:rFonts w:ascii="Times New Roman" w:hAnsi="Times New Roman"/>
          <w:sz w:val="24"/>
          <w:szCs w:val="24"/>
        </w:rPr>
      </w:pPr>
    </w:p>
    <w:p w:rsidRPr="002A3414" w:rsidR="00CF4423" w:rsidP="00517FA3" w:rsidRDefault="00CF4423" w14:paraId="64FD6DBB"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 xml:space="preserve">In addition, the Commission has minimized environmental evaluation considerations by providing technical documentation and analysis techniques in the form of OET Bulletin 65, </w:t>
      </w:r>
      <w:r w:rsidRPr="002A3414">
        <w:rPr>
          <w:rFonts w:ascii="Times New Roman" w:hAnsi="Times New Roman"/>
          <w:i/>
          <w:sz w:val="24"/>
          <w:szCs w:val="24"/>
        </w:rPr>
        <w:t>Evaluating Compliance with FCC Guidelines for Human Exposure to</w:t>
      </w:r>
      <w:r w:rsidR="00386CA9">
        <w:rPr>
          <w:rFonts w:ascii="Times New Roman" w:hAnsi="Times New Roman"/>
          <w:i/>
          <w:sz w:val="24"/>
          <w:szCs w:val="24"/>
        </w:rPr>
        <w:t xml:space="preserve"> </w:t>
      </w:r>
      <w:r w:rsidRPr="002A3414">
        <w:rPr>
          <w:rFonts w:ascii="Times New Roman" w:hAnsi="Times New Roman"/>
          <w:i/>
          <w:sz w:val="24"/>
          <w:szCs w:val="24"/>
        </w:rPr>
        <w:t>Radiofrequency Electromagnetic Fields</w:t>
      </w:r>
      <w:r w:rsidRPr="002A3414" w:rsidR="000B52FD">
        <w:rPr>
          <w:rFonts w:ascii="Times New Roman" w:hAnsi="Times New Roman"/>
          <w:sz w:val="24"/>
          <w:szCs w:val="24"/>
        </w:rPr>
        <w:t xml:space="preserve"> and worksheets in Media Bureau Form 301, </w:t>
      </w:r>
      <w:r w:rsidRPr="002A3414" w:rsidR="000B52FD">
        <w:rPr>
          <w:rFonts w:ascii="Times New Roman" w:hAnsi="Times New Roman"/>
          <w:i/>
          <w:sz w:val="24"/>
          <w:szCs w:val="24"/>
        </w:rPr>
        <w:t>General Environmental Worksheet and RF Worksheets 1, 1A, 2, and 2A.</w:t>
      </w:r>
      <w:r w:rsidRPr="002A3414">
        <w:rPr>
          <w:rFonts w:ascii="Times New Roman" w:hAnsi="Times New Roman"/>
          <w:sz w:val="24"/>
          <w:szCs w:val="24"/>
        </w:rPr>
        <w:t xml:space="preserve">  </w:t>
      </w:r>
      <w:r w:rsidR="00384DD4">
        <w:rPr>
          <w:rFonts w:ascii="Times New Roman" w:hAnsi="Times New Roman"/>
          <w:sz w:val="24"/>
          <w:szCs w:val="24"/>
        </w:rPr>
        <w:t>We</w:t>
      </w:r>
      <w:r w:rsidRPr="002A3414" w:rsidR="000B52FD">
        <w:rPr>
          <w:rFonts w:ascii="Times New Roman" w:hAnsi="Times New Roman"/>
          <w:sz w:val="24"/>
          <w:szCs w:val="24"/>
        </w:rPr>
        <w:t xml:space="preserve"> estimate that 90</w:t>
      </w:r>
      <w:r w:rsidRPr="002A3414">
        <w:rPr>
          <w:rFonts w:ascii="Times New Roman" w:hAnsi="Times New Roman"/>
          <w:sz w:val="24"/>
          <w:szCs w:val="24"/>
        </w:rPr>
        <w:t xml:space="preserve">% of the affected parties will use </w:t>
      </w:r>
      <w:r w:rsidRPr="002A3414" w:rsidR="000B52FD">
        <w:rPr>
          <w:rFonts w:ascii="Times New Roman" w:hAnsi="Times New Roman"/>
          <w:sz w:val="24"/>
          <w:szCs w:val="24"/>
        </w:rPr>
        <w:t>these</w:t>
      </w:r>
      <w:r w:rsidRPr="002A3414">
        <w:rPr>
          <w:rFonts w:ascii="Times New Roman" w:hAnsi="Times New Roman"/>
          <w:sz w:val="24"/>
          <w:szCs w:val="24"/>
        </w:rPr>
        <w:t xml:space="preserve"> document</w:t>
      </w:r>
      <w:r w:rsidRPr="002A3414" w:rsidR="000B52FD">
        <w:rPr>
          <w:rFonts w:ascii="Times New Roman" w:hAnsi="Times New Roman"/>
          <w:sz w:val="24"/>
          <w:szCs w:val="24"/>
        </w:rPr>
        <w:t>s</w:t>
      </w:r>
      <w:r w:rsidRPr="002A3414">
        <w:rPr>
          <w:rFonts w:ascii="Times New Roman" w:hAnsi="Times New Roman"/>
          <w:sz w:val="24"/>
          <w:szCs w:val="24"/>
        </w:rPr>
        <w:t xml:space="preserve"> to determine compliance.</w:t>
      </w:r>
    </w:p>
    <w:p w:rsidRPr="002A3414" w:rsidR="00475E60" w:rsidRDefault="00475E60" w14:paraId="69678189" w14:textId="77777777">
      <w:pPr>
        <w:tabs>
          <w:tab w:val="left" w:pos="-720"/>
        </w:tabs>
        <w:suppressAutoHyphens/>
        <w:rPr>
          <w:rFonts w:ascii="Times New Roman" w:hAnsi="Times New Roman"/>
          <w:sz w:val="24"/>
          <w:szCs w:val="24"/>
        </w:rPr>
      </w:pPr>
    </w:p>
    <w:p w:rsidR="002C2E7E" w:rsidP="002C2E7E" w:rsidRDefault="002C2E7E" w14:paraId="42E16678" w14:textId="77777777">
      <w:pPr>
        <w:pStyle w:val="Default"/>
        <w:rPr>
          <w:b/>
          <w:bCs/>
        </w:rPr>
      </w:pPr>
    </w:p>
    <w:p w:rsidRPr="002C2E7E" w:rsidR="002C2E7E" w:rsidP="002C2E7E" w:rsidRDefault="002C2E7E" w14:paraId="5C24F38A" w14:textId="77777777">
      <w:pPr>
        <w:pStyle w:val="Default"/>
      </w:pPr>
      <w:r w:rsidRPr="002C2E7E">
        <w:rPr>
          <w:b/>
          <w:bCs/>
        </w:rPr>
        <w:t xml:space="preserve">6. Describe the consequences to Federal program or policy activities if the collection </w:t>
      </w:r>
    </w:p>
    <w:p w:rsidR="002C2E7E" w:rsidP="002C2E7E" w:rsidRDefault="002C2E7E" w14:paraId="109FEF32" w14:textId="77777777">
      <w:pPr>
        <w:tabs>
          <w:tab w:val="left" w:pos="-720"/>
        </w:tabs>
        <w:suppressAutoHyphens/>
        <w:jc w:val="both"/>
        <w:rPr>
          <w:rFonts w:ascii="Times New Roman" w:hAnsi="Times New Roman"/>
          <w:sz w:val="24"/>
          <w:szCs w:val="24"/>
        </w:rPr>
      </w:pPr>
      <w:r w:rsidRPr="002C2E7E">
        <w:rPr>
          <w:rFonts w:ascii="Times New Roman" w:hAnsi="Times New Roman"/>
          <w:b/>
          <w:bCs/>
          <w:sz w:val="24"/>
          <w:szCs w:val="24"/>
        </w:rPr>
        <w:t xml:space="preserve">is </w:t>
      </w:r>
      <w:r w:rsidRPr="002C2E7E">
        <w:rPr>
          <w:rFonts w:ascii="Times New Roman" w:hAnsi="Times New Roman"/>
          <w:b/>
          <w:bCs/>
          <w:i/>
          <w:iCs/>
          <w:sz w:val="24"/>
          <w:szCs w:val="24"/>
        </w:rPr>
        <w:t xml:space="preserve">not </w:t>
      </w:r>
      <w:r w:rsidRPr="002C2E7E">
        <w:rPr>
          <w:rFonts w:ascii="Times New Roman" w:hAnsi="Times New Roman"/>
          <w:b/>
          <w:bCs/>
          <w:sz w:val="24"/>
          <w:szCs w:val="24"/>
        </w:rPr>
        <w:t>conducted or is conducted less frequently, as well as any technical or legal obstacles to reducing the burden.</w:t>
      </w:r>
      <w:r>
        <w:rPr>
          <w:b/>
          <w:bCs/>
          <w:sz w:val="22"/>
          <w:szCs w:val="22"/>
        </w:rPr>
        <w:t xml:space="preserve"> </w:t>
      </w:r>
      <w:r w:rsidRPr="002A3414" w:rsidR="00CF4423">
        <w:rPr>
          <w:rFonts w:ascii="Times New Roman" w:hAnsi="Times New Roman"/>
          <w:sz w:val="24"/>
          <w:szCs w:val="24"/>
        </w:rPr>
        <w:t xml:space="preserve"> </w:t>
      </w:r>
    </w:p>
    <w:p w:rsidR="002C2E7E" w:rsidP="002C2E7E" w:rsidRDefault="002C2E7E" w14:paraId="62A80084" w14:textId="77777777">
      <w:pPr>
        <w:tabs>
          <w:tab w:val="left" w:pos="-720"/>
        </w:tabs>
        <w:suppressAutoHyphens/>
        <w:jc w:val="both"/>
        <w:rPr>
          <w:rFonts w:ascii="Times New Roman" w:hAnsi="Times New Roman"/>
          <w:sz w:val="24"/>
          <w:szCs w:val="24"/>
        </w:rPr>
      </w:pPr>
    </w:p>
    <w:p w:rsidRPr="002A3414" w:rsidR="00CF4423" w:rsidP="002C2E7E" w:rsidRDefault="00CF4423" w14:paraId="6228C05C"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 xml:space="preserve">If the </w:t>
      </w:r>
      <w:r w:rsidRPr="002A3414" w:rsidR="00697795">
        <w:rPr>
          <w:rFonts w:ascii="Times New Roman" w:hAnsi="Times New Roman"/>
          <w:sz w:val="24"/>
          <w:szCs w:val="24"/>
        </w:rPr>
        <w:t>information were not collected,</w:t>
      </w:r>
      <w:r w:rsidRPr="002A3414">
        <w:rPr>
          <w:rFonts w:ascii="Times New Roman" w:hAnsi="Times New Roman"/>
          <w:sz w:val="24"/>
          <w:szCs w:val="24"/>
        </w:rPr>
        <w:t xml:space="preserve"> the Commission could not ensure compliance with the National Environmental Policy Act (NEPA), specifically, to minimize the potential environmental effect</w:t>
      </w:r>
      <w:r w:rsidRPr="002A3414" w:rsidR="00512EFA">
        <w:rPr>
          <w:rFonts w:ascii="Times New Roman" w:hAnsi="Times New Roman"/>
          <w:sz w:val="24"/>
          <w:szCs w:val="24"/>
        </w:rPr>
        <w:t>s</w:t>
      </w:r>
      <w:r w:rsidRPr="002A3414">
        <w:rPr>
          <w:rFonts w:ascii="Times New Roman" w:hAnsi="Times New Roman"/>
          <w:sz w:val="24"/>
          <w:szCs w:val="24"/>
        </w:rPr>
        <w:t xml:space="preserve"> of RF radiation from FCC-regulated facilities.</w:t>
      </w:r>
    </w:p>
    <w:p w:rsidR="00CE4044" w:rsidRDefault="00CE4044" w14:paraId="506885A7" w14:textId="77777777">
      <w:pPr>
        <w:tabs>
          <w:tab w:val="left" w:pos="-720"/>
        </w:tabs>
        <w:suppressAutoHyphens/>
        <w:rPr>
          <w:rFonts w:ascii="Times New Roman" w:hAnsi="Times New Roman"/>
          <w:sz w:val="24"/>
          <w:szCs w:val="24"/>
        </w:rPr>
      </w:pPr>
    </w:p>
    <w:p w:rsidRPr="002A3414" w:rsidR="00475E60" w:rsidRDefault="00475E60" w14:paraId="54DC37A6" w14:textId="77777777">
      <w:pPr>
        <w:tabs>
          <w:tab w:val="left" w:pos="-720"/>
        </w:tabs>
        <w:suppressAutoHyphens/>
        <w:rPr>
          <w:rFonts w:ascii="Times New Roman" w:hAnsi="Times New Roman"/>
          <w:sz w:val="24"/>
          <w:szCs w:val="24"/>
        </w:rPr>
      </w:pPr>
    </w:p>
    <w:p w:rsidRPr="002C2E7E" w:rsidR="002C2E7E" w:rsidP="002C2E7E" w:rsidRDefault="002C2E7E" w14:paraId="1F4FCF4C" w14:textId="77777777">
      <w:pPr>
        <w:pStyle w:val="Default"/>
      </w:pPr>
      <w:r w:rsidRPr="002C2E7E">
        <w:rPr>
          <w:b/>
          <w:bCs/>
        </w:rPr>
        <w:t xml:space="preserve">7. Explain any special circumstances that would cause an information collected in a </w:t>
      </w:r>
    </w:p>
    <w:p w:rsidR="002C2E7E" w:rsidP="002C2E7E" w:rsidRDefault="002C2E7E" w14:paraId="53D050FA" w14:textId="77777777">
      <w:pPr>
        <w:tabs>
          <w:tab w:val="left" w:pos="-720"/>
        </w:tabs>
        <w:suppressAutoHyphens/>
        <w:jc w:val="both"/>
        <w:rPr>
          <w:rFonts w:ascii="Times New Roman" w:hAnsi="Times New Roman"/>
          <w:b/>
          <w:bCs/>
          <w:sz w:val="24"/>
          <w:szCs w:val="24"/>
        </w:rPr>
      </w:pPr>
      <w:r w:rsidRPr="002C2E7E">
        <w:rPr>
          <w:rFonts w:ascii="Times New Roman" w:hAnsi="Times New Roman"/>
          <w:b/>
          <w:bCs/>
          <w:sz w:val="24"/>
          <w:szCs w:val="24"/>
        </w:rPr>
        <w:t xml:space="preserve">manner </w:t>
      </w:r>
      <w:r w:rsidRPr="002C2E7E">
        <w:rPr>
          <w:rFonts w:ascii="Times New Roman" w:hAnsi="Times New Roman"/>
          <w:b/>
          <w:bCs/>
          <w:i/>
          <w:iCs/>
          <w:sz w:val="24"/>
          <w:szCs w:val="24"/>
        </w:rPr>
        <w:t xml:space="preserve">inconsistent </w:t>
      </w:r>
      <w:r w:rsidRPr="002C2E7E">
        <w:rPr>
          <w:rFonts w:ascii="Times New Roman" w:hAnsi="Times New Roman"/>
          <w:b/>
          <w:bCs/>
          <w:sz w:val="24"/>
          <w:szCs w:val="24"/>
        </w:rPr>
        <w:t xml:space="preserve">with OMB’s guidelines which are stated in 5 C.F.R. § 1320.5(d)(2). </w:t>
      </w:r>
    </w:p>
    <w:p w:rsidR="002C2E7E" w:rsidP="002C2E7E" w:rsidRDefault="002C2E7E" w14:paraId="79BF73C3" w14:textId="77777777">
      <w:pPr>
        <w:tabs>
          <w:tab w:val="left" w:pos="-720"/>
        </w:tabs>
        <w:suppressAutoHyphens/>
        <w:jc w:val="both"/>
        <w:rPr>
          <w:rFonts w:ascii="Times New Roman" w:hAnsi="Times New Roman"/>
          <w:b/>
          <w:bCs/>
          <w:sz w:val="24"/>
          <w:szCs w:val="24"/>
        </w:rPr>
      </w:pPr>
    </w:p>
    <w:p w:rsidRPr="002A3414" w:rsidR="00CF4423" w:rsidP="002C2E7E" w:rsidRDefault="00CF4423" w14:paraId="40C90417"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 xml:space="preserve">Applicants would generally perform an environmental evaluation </w:t>
      </w:r>
      <w:r w:rsidRPr="002A3414" w:rsidR="00512EFA">
        <w:rPr>
          <w:rFonts w:ascii="Times New Roman" w:hAnsi="Times New Roman"/>
          <w:sz w:val="24"/>
          <w:szCs w:val="24"/>
        </w:rPr>
        <w:t xml:space="preserve">only </w:t>
      </w:r>
      <w:r w:rsidRPr="002A3414">
        <w:rPr>
          <w:rFonts w:ascii="Times New Roman" w:hAnsi="Times New Roman"/>
          <w:sz w:val="24"/>
          <w:szCs w:val="24"/>
        </w:rPr>
        <w:t xml:space="preserve">when submitting an initial application for authorization or license, modification of the authorization or license, or renewal of the authorization or license.  In most situations, we expect that an applicant is only required to indicate compliance with the Commission’s environmental rules.  However, under 47 CFR §§ </w:t>
      </w:r>
      <w:r w:rsidRPr="002A3414">
        <w:rPr>
          <w:rFonts w:ascii="Times New Roman" w:hAnsi="Times New Roman"/>
          <w:sz w:val="24"/>
          <w:szCs w:val="24"/>
        </w:rPr>
        <w:lastRenderedPageBreak/>
        <w:t xml:space="preserve">1.1307(c) and (d), the Commission may require the collection of additional information if it determines that a significant environmental effect </w:t>
      </w:r>
      <w:r w:rsidRPr="002A3414" w:rsidR="008050D8">
        <w:rPr>
          <w:rFonts w:ascii="Times New Roman" w:hAnsi="Times New Roman"/>
          <w:sz w:val="24"/>
          <w:szCs w:val="24"/>
        </w:rPr>
        <w:t xml:space="preserve">may </w:t>
      </w:r>
      <w:r w:rsidRPr="002A3414">
        <w:rPr>
          <w:rFonts w:ascii="Times New Roman" w:hAnsi="Times New Roman"/>
          <w:sz w:val="24"/>
          <w:szCs w:val="24"/>
        </w:rPr>
        <w:t xml:space="preserve">exist.  Further, if the Commission deems it necessary, it may require applicants previously </w:t>
      </w:r>
      <w:r w:rsidR="00ED75E9">
        <w:rPr>
          <w:rFonts w:ascii="Times New Roman" w:hAnsi="Times New Roman"/>
          <w:sz w:val="24"/>
          <w:szCs w:val="24"/>
        </w:rPr>
        <w:t>exempt</w:t>
      </w:r>
      <w:r w:rsidRPr="002A3414" w:rsidR="00ED75E9">
        <w:rPr>
          <w:rFonts w:ascii="Times New Roman" w:hAnsi="Times New Roman"/>
          <w:sz w:val="24"/>
          <w:szCs w:val="24"/>
        </w:rPr>
        <w:t xml:space="preserve"> </w:t>
      </w:r>
      <w:r w:rsidRPr="002A3414">
        <w:rPr>
          <w:rFonts w:ascii="Times New Roman" w:hAnsi="Times New Roman"/>
          <w:sz w:val="24"/>
          <w:szCs w:val="24"/>
        </w:rPr>
        <w:t>from performing an environmental evaluation to submit environmental information.</w:t>
      </w:r>
    </w:p>
    <w:p w:rsidR="00CF4423" w:rsidRDefault="00CF4423" w14:paraId="7AAEB0C2" w14:textId="77777777">
      <w:pPr>
        <w:tabs>
          <w:tab w:val="left" w:pos="-720"/>
        </w:tabs>
        <w:suppressAutoHyphens/>
        <w:rPr>
          <w:rFonts w:ascii="Times New Roman" w:hAnsi="Times New Roman"/>
          <w:sz w:val="24"/>
          <w:szCs w:val="24"/>
        </w:rPr>
      </w:pPr>
    </w:p>
    <w:p w:rsidRPr="002A3414" w:rsidR="00475E60" w:rsidRDefault="00475E60" w14:paraId="1ABFEA7B" w14:textId="77777777">
      <w:pPr>
        <w:tabs>
          <w:tab w:val="left" w:pos="-720"/>
        </w:tabs>
        <w:suppressAutoHyphens/>
        <w:rPr>
          <w:rFonts w:ascii="Times New Roman" w:hAnsi="Times New Roman"/>
          <w:sz w:val="24"/>
          <w:szCs w:val="24"/>
        </w:rPr>
      </w:pPr>
    </w:p>
    <w:p w:rsidRPr="002C2E7E" w:rsidR="002C2E7E" w:rsidP="002C2E7E" w:rsidRDefault="002C2E7E" w14:paraId="4F9328A8" w14:textId="77777777">
      <w:pPr>
        <w:pStyle w:val="Default"/>
      </w:pPr>
      <w:r w:rsidRPr="002C2E7E">
        <w:rPr>
          <w:b/>
          <w:bCs/>
        </w:rPr>
        <w:t xml:space="preserve">8. Identify the date and page number of </w:t>
      </w:r>
      <w:proofErr w:type="gramStart"/>
      <w:r w:rsidRPr="002C2E7E">
        <w:rPr>
          <w:b/>
          <w:bCs/>
        </w:rPr>
        <w:t>publication</w:t>
      </w:r>
      <w:proofErr w:type="gramEnd"/>
      <w:r w:rsidRPr="002C2E7E">
        <w:rPr>
          <w:b/>
          <w:bCs/>
        </w:rPr>
        <w:t xml:space="preserve"> in the Federal Register of the </w:t>
      </w:r>
    </w:p>
    <w:p w:rsidR="002C2E7E" w:rsidP="002C2E7E" w:rsidRDefault="002C2E7E" w14:paraId="5B8B82CE" w14:textId="77777777">
      <w:pPr>
        <w:tabs>
          <w:tab w:val="left" w:pos="-720"/>
        </w:tabs>
        <w:suppressAutoHyphens/>
        <w:jc w:val="both"/>
        <w:rPr>
          <w:b/>
          <w:bCs/>
          <w:sz w:val="22"/>
          <w:szCs w:val="22"/>
        </w:rPr>
      </w:pPr>
      <w:r w:rsidRPr="002C2E7E">
        <w:rPr>
          <w:rFonts w:ascii="Times New Roman" w:hAnsi="Times New Roman"/>
          <w:b/>
          <w:bCs/>
          <w:sz w:val="24"/>
          <w:szCs w:val="24"/>
        </w:rPr>
        <w:t>agency’s Paperwork Reduction Act (PRA) 60-day notice, required by 5 C.F.R. § 1320.8(d), soliciting comments on the information collection requirement(s) prior to submission to OMB.</w:t>
      </w:r>
      <w:r>
        <w:rPr>
          <w:b/>
          <w:bCs/>
          <w:sz w:val="22"/>
          <w:szCs w:val="22"/>
        </w:rPr>
        <w:t xml:space="preserve"> </w:t>
      </w:r>
    </w:p>
    <w:p w:rsidR="002C2E7E" w:rsidP="002C2E7E" w:rsidRDefault="002C2E7E" w14:paraId="12260782" w14:textId="77777777">
      <w:pPr>
        <w:tabs>
          <w:tab w:val="left" w:pos="-720"/>
        </w:tabs>
        <w:suppressAutoHyphens/>
        <w:jc w:val="both"/>
        <w:rPr>
          <w:b/>
          <w:bCs/>
          <w:sz w:val="22"/>
          <w:szCs w:val="22"/>
        </w:rPr>
      </w:pPr>
    </w:p>
    <w:p w:rsidRPr="002A3414" w:rsidR="009B46AF" w:rsidP="002C2E7E" w:rsidRDefault="00CF4423" w14:paraId="57FAC491" w14:textId="49B25EA5">
      <w:pPr>
        <w:tabs>
          <w:tab w:val="left" w:pos="-720"/>
        </w:tabs>
        <w:suppressAutoHyphens/>
        <w:jc w:val="both"/>
        <w:rPr>
          <w:rFonts w:ascii="Times New Roman" w:hAnsi="Times New Roman"/>
          <w:sz w:val="24"/>
          <w:szCs w:val="24"/>
        </w:rPr>
      </w:pPr>
      <w:r w:rsidRPr="00326357">
        <w:rPr>
          <w:rFonts w:ascii="Times New Roman" w:hAnsi="Times New Roman"/>
          <w:sz w:val="24"/>
          <w:szCs w:val="24"/>
        </w:rPr>
        <w:t xml:space="preserve">The Commission solicited the views of industry and the general public by </w:t>
      </w:r>
      <w:r w:rsidRPr="00326357">
        <w:rPr>
          <w:rFonts w:ascii="Times New Roman" w:hAnsi="Times New Roman"/>
          <w:i/>
          <w:sz w:val="24"/>
          <w:szCs w:val="24"/>
        </w:rPr>
        <w:t xml:space="preserve">Federal </w:t>
      </w:r>
      <w:r w:rsidRPr="00326357" w:rsidR="00041F08">
        <w:rPr>
          <w:rFonts w:ascii="Times New Roman" w:hAnsi="Times New Roman"/>
          <w:i/>
          <w:sz w:val="24"/>
          <w:szCs w:val="24"/>
        </w:rPr>
        <w:t>Register</w:t>
      </w:r>
      <w:r w:rsidRPr="00326357" w:rsidR="00041F08">
        <w:rPr>
          <w:rFonts w:ascii="Times New Roman" w:hAnsi="Times New Roman"/>
          <w:sz w:val="24"/>
          <w:szCs w:val="24"/>
        </w:rPr>
        <w:t xml:space="preserve"> </w:t>
      </w:r>
      <w:r w:rsidR="007D7FDC">
        <w:rPr>
          <w:rFonts w:ascii="Times New Roman" w:hAnsi="Times New Roman"/>
          <w:sz w:val="24"/>
          <w:szCs w:val="24"/>
        </w:rPr>
        <w:t xml:space="preserve">notice </w:t>
      </w:r>
      <w:r w:rsidRPr="00326357" w:rsidR="00F121F3">
        <w:rPr>
          <w:rFonts w:ascii="Times New Roman" w:hAnsi="Times New Roman"/>
          <w:sz w:val="24"/>
          <w:szCs w:val="24"/>
        </w:rPr>
        <w:t xml:space="preserve">on </w:t>
      </w:r>
      <w:r w:rsidR="00AD6F13">
        <w:rPr>
          <w:rFonts w:ascii="Times New Roman" w:hAnsi="Times New Roman"/>
          <w:sz w:val="24"/>
          <w:szCs w:val="24"/>
        </w:rPr>
        <w:t xml:space="preserve">October 7, 2020 (85 FR 63273) </w:t>
      </w:r>
      <w:r w:rsidRPr="00326357" w:rsidR="004A5E98">
        <w:rPr>
          <w:rFonts w:ascii="Times New Roman" w:hAnsi="Times New Roman"/>
          <w:sz w:val="24"/>
          <w:szCs w:val="24"/>
        </w:rPr>
        <w:t>regarding the information collection requirements that are contained in this collection</w:t>
      </w:r>
      <w:r w:rsidRPr="00326357">
        <w:rPr>
          <w:rFonts w:ascii="Times New Roman" w:hAnsi="Times New Roman"/>
          <w:sz w:val="24"/>
          <w:szCs w:val="24"/>
        </w:rPr>
        <w:t>.</w:t>
      </w:r>
      <w:r w:rsidRPr="002A3414">
        <w:rPr>
          <w:rFonts w:ascii="Times New Roman" w:hAnsi="Times New Roman"/>
          <w:sz w:val="24"/>
          <w:szCs w:val="24"/>
        </w:rPr>
        <w:t xml:space="preserve">   </w:t>
      </w:r>
      <w:r w:rsidRPr="002A3414" w:rsidR="00E80EFB">
        <w:rPr>
          <w:rFonts w:ascii="Times New Roman" w:hAnsi="Times New Roman"/>
          <w:sz w:val="24"/>
          <w:szCs w:val="24"/>
        </w:rPr>
        <w:t xml:space="preserve"> </w:t>
      </w:r>
    </w:p>
    <w:p w:rsidR="009B46AF" w:rsidRDefault="009B46AF" w14:paraId="4A53CD4F" w14:textId="77777777">
      <w:pPr>
        <w:tabs>
          <w:tab w:val="left" w:pos="-720"/>
        </w:tabs>
        <w:suppressAutoHyphens/>
        <w:rPr>
          <w:rFonts w:ascii="Times New Roman" w:hAnsi="Times New Roman"/>
          <w:sz w:val="24"/>
          <w:szCs w:val="24"/>
        </w:rPr>
      </w:pPr>
    </w:p>
    <w:p w:rsidRPr="002A3414" w:rsidR="00475E60" w:rsidRDefault="00475E60" w14:paraId="0BF8395A" w14:textId="77777777">
      <w:pPr>
        <w:tabs>
          <w:tab w:val="left" w:pos="-720"/>
        </w:tabs>
        <w:suppressAutoHyphens/>
        <w:rPr>
          <w:rFonts w:ascii="Times New Roman" w:hAnsi="Times New Roman"/>
          <w:sz w:val="24"/>
          <w:szCs w:val="24"/>
        </w:rPr>
      </w:pPr>
    </w:p>
    <w:p w:rsidRPr="002C2E7E" w:rsidR="002C2E7E" w:rsidP="002C2E7E" w:rsidRDefault="002C2E7E" w14:paraId="4CBCE984" w14:textId="77777777">
      <w:pPr>
        <w:pStyle w:val="Default"/>
      </w:pPr>
      <w:r w:rsidRPr="002C2E7E">
        <w:rPr>
          <w:b/>
          <w:bCs/>
        </w:rPr>
        <w:t xml:space="preserve">9. Explain any decision to provide any payment or gift to respondents, other than </w:t>
      </w:r>
    </w:p>
    <w:p w:rsidR="002C2E7E" w:rsidP="002C2E7E" w:rsidRDefault="002C2E7E" w14:paraId="06575329" w14:textId="77777777">
      <w:pPr>
        <w:tabs>
          <w:tab w:val="left" w:pos="-720"/>
        </w:tabs>
        <w:suppressAutoHyphens/>
        <w:rPr>
          <w:b/>
          <w:bCs/>
          <w:sz w:val="22"/>
          <w:szCs w:val="22"/>
        </w:rPr>
      </w:pPr>
      <w:r w:rsidRPr="002C2E7E">
        <w:rPr>
          <w:rFonts w:ascii="Times New Roman" w:hAnsi="Times New Roman"/>
          <w:b/>
          <w:bCs/>
          <w:sz w:val="24"/>
          <w:szCs w:val="24"/>
        </w:rPr>
        <w:t>the remuneration of contractors or grantees.</w:t>
      </w:r>
      <w:r>
        <w:rPr>
          <w:b/>
          <w:bCs/>
          <w:sz w:val="22"/>
          <w:szCs w:val="22"/>
        </w:rPr>
        <w:t xml:space="preserve"> </w:t>
      </w:r>
    </w:p>
    <w:p w:rsidR="002C2E7E" w:rsidP="002C2E7E" w:rsidRDefault="002C2E7E" w14:paraId="5F1DF614" w14:textId="77777777">
      <w:pPr>
        <w:tabs>
          <w:tab w:val="left" w:pos="-720"/>
        </w:tabs>
        <w:suppressAutoHyphens/>
        <w:rPr>
          <w:b/>
          <w:bCs/>
          <w:sz w:val="22"/>
          <w:szCs w:val="22"/>
        </w:rPr>
      </w:pPr>
    </w:p>
    <w:p w:rsidRPr="002A3414" w:rsidR="00CF4423" w:rsidP="002C2E7E" w:rsidRDefault="00CF4423" w14:paraId="1B764139" w14:textId="77777777">
      <w:pPr>
        <w:tabs>
          <w:tab w:val="left" w:pos="-720"/>
        </w:tabs>
        <w:suppressAutoHyphens/>
        <w:rPr>
          <w:rFonts w:ascii="Times New Roman" w:hAnsi="Times New Roman"/>
          <w:sz w:val="24"/>
          <w:szCs w:val="24"/>
        </w:rPr>
      </w:pPr>
      <w:r w:rsidRPr="002A3414">
        <w:rPr>
          <w:rFonts w:ascii="Times New Roman" w:hAnsi="Times New Roman"/>
          <w:sz w:val="24"/>
          <w:szCs w:val="24"/>
        </w:rPr>
        <w:t xml:space="preserve">No payment </w:t>
      </w:r>
      <w:r w:rsidR="00527B1F">
        <w:rPr>
          <w:rFonts w:ascii="Times New Roman" w:hAnsi="Times New Roman"/>
          <w:sz w:val="24"/>
          <w:szCs w:val="24"/>
        </w:rPr>
        <w:t xml:space="preserve">or gift will be </w:t>
      </w:r>
      <w:r w:rsidRPr="002A3414">
        <w:rPr>
          <w:rFonts w:ascii="Times New Roman" w:hAnsi="Times New Roman"/>
          <w:sz w:val="24"/>
          <w:szCs w:val="24"/>
        </w:rPr>
        <w:t>made to the respondent</w:t>
      </w:r>
      <w:r w:rsidR="007D7FDC">
        <w:rPr>
          <w:rFonts w:ascii="Times New Roman" w:hAnsi="Times New Roman"/>
          <w:sz w:val="24"/>
          <w:szCs w:val="24"/>
        </w:rPr>
        <w:t>s</w:t>
      </w:r>
      <w:r w:rsidRPr="002A3414">
        <w:rPr>
          <w:rFonts w:ascii="Times New Roman" w:hAnsi="Times New Roman"/>
          <w:sz w:val="24"/>
          <w:szCs w:val="24"/>
        </w:rPr>
        <w:t>.</w:t>
      </w:r>
    </w:p>
    <w:p w:rsidRPr="002A3414" w:rsidR="00CF4423" w:rsidRDefault="00CF4423" w14:paraId="22B0E706" w14:textId="77777777">
      <w:pPr>
        <w:tabs>
          <w:tab w:val="left" w:pos="-720"/>
        </w:tabs>
        <w:suppressAutoHyphens/>
        <w:rPr>
          <w:rFonts w:ascii="Times New Roman" w:hAnsi="Times New Roman"/>
          <w:sz w:val="24"/>
          <w:szCs w:val="24"/>
        </w:rPr>
      </w:pPr>
    </w:p>
    <w:p w:rsidR="002C2E7E" w:rsidP="002C2E7E" w:rsidRDefault="002C2E7E" w14:paraId="779B974F" w14:textId="77777777">
      <w:pPr>
        <w:pStyle w:val="Default"/>
        <w:rPr>
          <w:b/>
          <w:bCs/>
        </w:rPr>
      </w:pPr>
    </w:p>
    <w:p w:rsidRPr="002C2E7E" w:rsidR="002C2E7E" w:rsidP="002C2E7E" w:rsidRDefault="002C2E7E" w14:paraId="2708B281" w14:textId="77777777">
      <w:pPr>
        <w:pStyle w:val="Default"/>
      </w:pPr>
      <w:r w:rsidRPr="002C2E7E">
        <w:rPr>
          <w:b/>
          <w:bCs/>
        </w:rPr>
        <w:t xml:space="preserve">10. Describe any assurance of confidentiality provided to respondents and the basis </w:t>
      </w:r>
    </w:p>
    <w:p w:rsidR="002C2E7E" w:rsidP="002C2E7E" w:rsidRDefault="002C2E7E" w14:paraId="13B4BBA2" w14:textId="77777777">
      <w:pPr>
        <w:tabs>
          <w:tab w:val="left" w:pos="-720"/>
        </w:tabs>
        <w:suppressAutoHyphens/>
        <w:jc w:val="both"/>
        <w:rPr>
          <w:rFonts w:ascii="Times New Roman" w:hAnsi="Times New Roman"/>
          <w:b/>
          <w:bCs/>
          <w:sz w:val="24"/>
          <w:szCs w:val="24"/>
        </w:rPr>
      </w:pPr>
      <w:r w:rsidRPr="002C2E7E">
        <w:rPr>
          <w:rFonts w:ascii="Times New Roman" w:hAnsi="Times New Roman"/>
          <w:b/>
          <w:bCs/>
          <w:sz w:val="24"/>
          <w:szCs w:val="24"/>
        </w:rPr>
        <w:t xml:space="preserve">for the assurance in statute, regulation, or agency policy. </w:t>
      </w:r>
    </w:p>
    <w:p w:rsidR="002C2E7E" w:rsidP="002C2E7E" w:rsidRDefault="002C2E7E" w14:paraId="178EF53E" w14:textId="77777777">
      <w:pPr>
        <w:tabs>
          <w:tab w:val="left" w:pos="-720"/>
        </w:tabs>
        <w:suppressAutoHyphens/>
        <w:jc w:val="both"/>
        <w:rPr>
          <w:rFonts w:ascii="Times New Roman" w:hAnsi="Times New Roman"/>
          <w:b/>
          <w:bCs/>
          <w:sz w:val="24"/>
          <w:szCs w:val="24"/>
        </w:rPr>
      </w:pPr>
    </w:p>
    <w:p w:rsidRPr="002A3414" w:rsidR="008A4AA4" w:rsidP="002C2E7E" w:rsidRDefault="008A4AA4" w14:paraId="6263189F"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There is a minimal exemption from the Freedom of Information Act, Title 5, U.S.C. 552(b)(4),</w:t>
      </w:r>
      <w:r w:rsidRPr="002A3414" w:rsidR="00697795">
        <w:rPr>
          <w:rFonts w:ascii="Times New Roman" w:hAnsi="Times New Roman"/>
          <w:sz w:val="24"/>
          <w:szCs w:val="24"/>
        </w:rPr>
        <w:t xml:space="preserve"> and</w:t>
      </w:r>
      <w:r w:rsidRPr="002A3414">
        <w:rPr>
          <w:rFonts w:ascii="Times New Roman" w:hAnsi="Times New Roman"/>
          <w:sz w:val="24"/>
          <w:szCs w:val="24"/>
        </w:rPr>
        <w:t xml:space="preserve"> FCC Rules </w:t>
      </w:r>
      <w:r w:rsidRPr="002A3414" w:rsidR="00697795">
        <w:rPr>
          <w:rFonts w:ascii="Times New Roman" w:hAnsi="Times New Roman"/>
          <w:sz w:val="24"/>
          <w:szCs w:val="24"/>
        </w:rPr>
        <w:t xml:space="preserve">47 </w:t>
      </w:r>
      <w:r w:rsidRPr="002A3414">
        <w:rPr>
          <w:rFonts w:ascii="Times New Roman" w:hAnsi="Times New Roman"/>
          <w:sz w:val="24"/>
          <w:szCs w:val="24"/>
        </w:rPr>
        <w:t>CFR § 0.459(d), that is granted for trade secrets</w:t>
      </w:r>
      <w:r w:rsidR="007D7FDC">
        <w:rPr>
          <w:rFonts w:ascii="Times New Roman" w:hAnsi="Times New Roman"/>
          <w:sz w:val="24"/>
          <w:szCs w:val="24"/>
        </w:rPr>
        <w:t xml:space="preserve"> and privileged or confidential commercial or financial information</w:t>
      </w:r>
      <w:r w:rsidRPr="002A3414">
        <w:rPr>
          <w:rFonts w:ascii="Times New Roman" w:hAnsi="Times New Roman"/>
          <w:sz w:val="24"/>
          <w:szCs w:val="24"/>
        </w:rPr>
        <w:t>, which may be submitted to the Com</w:t>
      </w:r>
      <w:r w:rsidRPr="002A3414" w:rsidR="006103D9">
        <w:rPr>
          <w:rFonts w:ascii="Times New Roman" w:hAnsi="Times New Roman"/>
          <w:sz w:val="24"/>
          <w:szCs w:val="24"/>
        </w:rPr>
        <w:t>m</w:t>
      </w:r>
      <w:r w:rsidRPr="002A3414">
        <w:rPr>
          <w:rFonts w:ascii="Times New Roman" w:hAnsi="Times New Roman"/>
          <w:sz w:val="24"/>
          <w:szCs w:val="24"/>
        </w:rPr>
        <w:t xml:space="preserve">ission as part of the documentation of test results.  </w:t>
      </w:r>
      <w:bookmarkStart w:name="_Hlk45691925" w:id="23"/>
      <w:r w:rsidRPr="002A3414">
        <w:rPr>
          <w:rFonts w:ascii="Times New Roman" w:hAnsi="Times New Roman"/>
          <w:sz w:val="24"/>
          <w:szCs w:val="24"/>
        </w:rPr>
        <w:t>No other assurances of confidentiality are provided to respondents.</w:t>
      </w:r>
      <w:r w:rsidRPr="002A3414" w:rsidR="00CF4423">
        <w:rPr>
          <w:rFonts w:ascii="Times New Roman" w:hAnsi="Times New Roman"/>
          <w:sz w:val="24"/>
          <w:szCs w:val="24"/>
        </w:rPr>
        <w:t xml:space="preserve"> </w:t>
      </w:r>
      <w:bookmarkEnd w:id="23"/>
    </w:p>
    <w:p w:rsidR="008A4AA4" w:rsidRDefault="008A4AA4" w14:paraId="0EB48872" w14:textId="77777777">
      <w:pPr>
        <w:tabs>
          <w:tab w:val="left" w:pos="-720"/>
        </w:tabs>
        <w:suppressAutoHyphens/>
        <w:rPr>
          <w:rFonts w:ascii="Times New Roman" w:hAnsi="Times New Roman"/>
          <w:sz w:val="24"/>
          <w:szCs w:val="24"/>
        </w:rPr>
      </w:pPr>
    </w:p>
    <w:p w:rsidRPr="002A3414" w:rsidR="00475E60" w:rsidRDefault="00475E60" w14:paraId="3EE33A7B" w14:textId="77777777">
      <w:pPr>
        <w:tabs>
          <w:tab w:val="left" w:pos="-720"/>
        </w:tabs>
        <w:suppressAutoHyphens/>
        <w:rPr>
          <w:rFonts w:ascii="Times New Roman" w:hAnsi="Times New Roman"/>
          <w:sz w:val="24"/>
          <w:szCs w:val="24"/>
        </w:rPr>
      </w:pPr>
    </w:p>
    <w:p w:rsidR="002C2E7E" w:rsidP="00517FA3" w:rsidRDefault="002C2E7E" w14:paraId="2E475BF3" w14:textId="77777777">
      <w:pPr>
        <w:tabs>
          <w:tab w:val="left" w:pos="-720"/>
        </w:tabs>
        <w:suppressAutoHyphens/>
        <w:jc w:val="both"/>
        <w:rPr>
          <w:rFonts w:ascii="Times New Roman" w:hAnsi="Times New Roman"/>
          <w:sz w:val="24"/>
          <w:szCs w:val="24"/>
        </w:rPr>
      </w:pPr>
      <w:r w:rsidRPr="002C2E7E">
        <w:rPr>
          <w:rFonts w:ascii="Times New Roman" w:hAnsi="Times New Roman"/>
          <w:b/>
          <w:bCs/>
          <w:sz w:val="24"/>
          <w:szCs w:val="24"/>
        </w:rPr>
        <w:t>11. Provide additional justification for any questions of a sensitive nature.</w:t>
      </w:r>
      <w:r>
        <w:rPr>
          <w:b/>
          <w:bCs/>
          <w:sz w:val="22"/>
          <w:szCs w:val="22"/>
        </w:rPr>
        <w:t xml:space="preserve"> </w:t>
      </w:r>
    </w:p>
    <w:p w:rsidR="002C2E7E" w:rsidP="00517FA3" w:rsidRDefault="002C2E7E" w14:paraId="029F35E6" w14:textId="77777777">
      <w:pPr>
        <w:tabs>
          <w:tab w:val="left" w:pos="-720"/>
        </w:tabs>
        <w:suppressAutoHyphens/>
        <w:jc w:val="both"/>
        <w:rPr>
          <w:rFonts w:ascii="Times New Roman" w:hAnsi="Times New Roman"/>
          <w:sz w:val="24"/>
          <w:szCs w:val="24"/>
        </w:rPr>
      </w:pPr>
    </w:p>
    <w:p w:rsidR="002C2E7E" w:rsidP="006F165C" w:rsidRDefault="00CF4423" w14:paraId="30E36A02"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No sensitive information is requested.</w:t>
      </w:r>
      <w:r w:rsidRPr="002A3414" w:rsidR="003138CE">
        <w:rPr>
          <w:rFonts w:ascii="Times New Roman" w:hAnsi="Times New Roman"/>
          <w:sz w:val="24"/>
          <w:szCs w:val="24"/>
        </w:rPr>
        <w:t xml:space="preserve"> </w:t>
      </w:r>
      <w:r w:rsidRPr="002A3414" w:rsidR="00294DE5">
        <w:rPr>
          <w:rFonts w:ascii="Times New Roman" w:hAnsi="Times New Roman"/>
          <w:sz w:val="24"/>
          <w:szCs w:val="24"/>
        </w:rPr>
        <w:t xml:space="preserve"> As noted above in </w:t>
      </w:r>
      <w:r w:rsidR="00953EE8">
        <w:rPr>
          <w:rFonts w:ascii="Times New Roman" w:hAnsi="Times New Roman"/>
          <w:sz w:val="24"/>
          <w:szCs w:val="24"/>
        </w:rPr>
        <w:t>item</w:t>
      </w:r>
      <w:r w:rsidRPr="002A3414" w:rsidR="00953EE8">
        <w:rPr>
          <w:rFonts w:ascii="Times New Roman" w:hAnsi="Times New Roman"/>
          <w:sz w:val="24"/>
          <w:szCs w:val="24"/>
        </w:rPr>
        <w:t xml:space="preserve"> </w:t>
      </w:r>
      <w:r w:rsidRPr="002A3414" w:rsidR="00294DE5">
        <w:rPr>
          <w:rFonts w:ascii="Times New Roman" w:hAnsi="Times New Roman"/>
          <w:sz w:val="24"/>
          <w:szCs w:val="24"/>
        </w:rPr>
        <w:t>1, this information collection may affect individuals or households</w:t>
      </w:r>
      <w:r w:rsidR="007E3A38">
        <w:rPr>
          <w:rFonts w:ascii="Times New Roman" w:hAnsi="Times New Roman"/>
          <w:sz w:val="24"/>
          <w:szCs w:val="24"/>
        </w:rPr>
        <w:t xml:space="preserve"> in some cases</w:t>
      </w:r>
      <w:r w:rsidRPr="002A3414" w:rsidR="00294DE5">
        <w:rPr>
          <w:rFonts w:ascii="Times New Roman" w:hAnsi="Times New Roman"/>
          <w:sz w:val="24"/>
          <w:szCs w:val="24"/>
        </w:rPr>
        <w:t>.  Any personally identifiable information that is submitted by individuals is covered by a SORN</w:t>
      </w:r>
      <w:r w:rsidRPr="002A3414" w:rsidR="00004B27">
        <w:rPr>
          <w:rFonts w:ascii="Times New Roman" w:hAnsi="Times New Roman"/>
          <w:sz w:val="24"/>
          <w:szCs w:val="24"/>
        </w:rPr>
        <w:t>, FCC/MB-1, “Ownership Report for Commercial Broadcast Stations,” FCC/OET-1, “Experimental Radio Station License Files,” or FCC/WTB-1, “Wireless Services Licensing Records</w:t>
      </w:r>
      <w:r w:rsidR="00ED75E9">
        <w:rPr>
          <w:rFonts w:ascii="Times New Roman" w:hAnsi="Times New Roman"/>
          <w:sz w:val="24"/>
          <w:szCs w:val="24"/>
        </w:rPr>
        <w:t>.</w:t>
      </w:r>
      <w:r w:rsidRPr="002A3414" w:rsidR="00004B27">
        <w:rPr>
          <w:rFonts w:ascii="Times New Roman" w:hAnsi="Times New Roman"/>
          <w:sz w:val="24"/>
          <w:szCs w:val="24"/>
        </w:rPr>
        <w:t>”</w:t>
      </w:r>
    </w:p>
    <w:p w:rsidR="002C2E7E" w:rsidP="002C2E7E" w:rsidRDefault="002C2E7E" w14:paraId="1F66A413" w14:textId="77777777">
      <w:pPr>
        <w:tabs>
          <w:tab w:val="left" w:pos="-720"/>
          <w:tab w:val="left" w:pos="360"/>
        </w:tabs>
        <w:suppressAutoHyphens/>
        <w:jc w:val="both"/>
        <w:rPr>
          <w:rFonts w:ascii="Times New Roman" w:hAnsi="Times New Roman"/>
          <w:sz w:val="24"/>
          <w:szCs w:val="24"/>
        </w:rPr>
      </w:pPr>
    </w:p>
    <w:p w:rsidR="00475E60" w:rsidP="002C2E7E" w:rsidRDefault="00475E60" w14:paraId="3FB1331C" w14:textId="77777777">
      <w:pPr>
        <w:tabs>
          <w:tab w:val="left" w:pos="-720"/>
          <w:tab w:val="left" w:pos="360"/>
        </w:tabs>
        <w:suppressAutoHyphens/>
        <w:jc w:val="both"/>
        <w:rPr>
          <w:rFonts w:ascii="Times New Roman" w:hAnsi="Times New Roman"/>
          <w:sz w:val="24"/>
          <w:szCs w:val="24"/>
        </w:rPr>
      </w:pPr>
    </w:p>
    <w:p w:rsidR="002C2E7E" w:rsidP="002C2E7E" w:rsidRDefault="002C2E7E" w14:paraId="0C029A95" w14:textId="77777777">
      <w:pPr>
        <w:tabs>
          <w:tab w:val="left" w:pos="-720"/>
          <w:tab w:val="left" w:pos="360"/>
        </w:tabs>
        <w:suppressAutoHyphens/>
        <w:jc w:val="both"/>
        <w:rPr>
          <w:rFonts w:ascii="Times New Roman" w:hAnsi="Times New Roman"/>
          <w:sz w:val="24"/>
          <w:szCs w:val="24"/>
        </w:rPr>
      </w:pPr>
      <w:r w:rsidRPr="002C2E7E">
        <w:rPr>
          <w:rFonts w:ascii="Times New Roman" w:hAnsi="Times New Roman"/>
          <w:b/>
          <w:bCs/>
          <w:sz w:val="24"/>
          <w:szCs w:val="24"/>
        </w:rPr>
        <w:t>12. Provide estimates of the burden hours for the collection of information.</w:t>
      </w:r>
      <w:r w:rsidRPr="002C2E7E">
        <w:rPr>
          <w:rFonts w:ascii="Times New Roman" w:hAnsi="Times New Roman"/>
          <w:sz w:val="24"/>
          <w:szCs w:val="24"/>
        </w:rPr>
        <w:t xml:space="preserve"> </w:t>
      </w:r>
      <w:r w:rsidRPr="002A3414" w:rsidR="009D0C5F">
        <w:rPr>
          <w:rFonts w:ascii="Times New Roman" w:hAnsi="Times New Roman"/>
          <w:sz w:val="24"/>
          <w:szCs w:val="24"/>
        </w:rPr>
        <w:t xml:space="preserve"> </w:t>
      </w:r>
    </w:p>
    <w:p w:rsidR="002C2E7E" w:rsidP="002C2E7E" w:rsidRDefault="002C2E7E" w14:paraId="5AF0FEB3" w14:textId="77777777">
      <w:pPr>
        <w:tabs>
          <w:tab w:val="left" w:pos="-720"/>
          <w:tab w:val="left" w:pos="360"/>
        </w:tabs>
        <w:suppressAutoHyphens/>
        <w:jc w:val="both"/>
        <w:rPr>
          <w:rFonts w:ascii="Times New Roman" w:hAnsi="Times New Roman"/>
          <w:sz w:val="24"/>
          <w:szCs w:val="24"/>
        </w:rPr>
      </w:pPr>
    </w:p>
    <w:p w:rsidR="00BC3E62" w:rsidP="002A262B" w:rsidRDefault="00BC3E62" w14:paraId="6A67F82F"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The burden</w:t>
      </w:r>
      <w:r w:rsidR="002A262B">
        <w:rPr>
          <w:rFonts w:ascii="Times New Roman" w:hAnsi="Times New Roman"/>
          <w:sz w:val="24"/>
          <w:szCs w:val="24"/>
        </w:rPr>
        <w:t xml:space="preserve"> to applicants and licensees (respondents)</w:t>
      </w:r>
      <w:r>
        <w:rPr>
          <w:rFonts w:ascii="Times New Roman" w:hAnsi="Times New Roman"/>
          <w:sz w:val="24"/>
          <w:szCs w:val="24"/>
        </w:rPr>
        <w:t xml:space="preserve"> for </w:t>
      </w:r>
      <w:r w:rsidR="00370261">
        <w:rPr>
          <w:rFonts w:ascii="Times New Roman" w:hAnsi="Times New Roman"/>
          <w:sz w:val="24"/>
          <w:szCs w:val="24"/>
        </w:rPr>
        <w:t xml:space="preserve">the </w:t>
      </w:r>
      <w:r>
        <w:rPr>
          <w:rFonts w:ascii="Times New Roman" w:hAnsi="Times New Roman"/>
          <w:sz w:val="24"/>
          <w:szCs w:val="24"/>
        </w:rPr>
        <w:t xml:space="preserve">collection of information is estimated </w:t>
      </w:r>
      <w:r>
        <w:rPr>
          <w:rFonts w:ascii="Times New Roman" w:hAnsi="Times New Roman"/>
          <w:sz w:val="24"/>
          <w:szCs w:val="24"/>
        </w:rPr>
        <w:lastRenderedPageBreak/>
        <w:t xml:space="preserve">in two </w:t>
      </w:r>
      <w:r w:rsidR="00741AB8">
        <w:rPr>
          <w:rFonts w:ascii="Times New Roman" w:hAnsi="Times New Roman"/>
          <w:sz w:val="24"/>
          <w:szCs w:val="24"/>
        </w:rPr>
        <w:t>components</w:t>
      </w:r>
      <w:r>
        <w:rPr>
          <w:rFonts w:ascii="Times New Roman" w:hAnsi="Times New Roman"/>
          <w:sz w:val="24"/>
          <w:szCs w:val="24"/>
        </w:rPr>
        <w:t>: the recurring annual burden, and</w:t>
      </w:r>
      <w:r w:rsidR="002A262B">
        <w:rPr>
          <w:rFonts w:ascii="Times New Roman" w:hAnsi="Times New Roman"/>
          <w:sz w:val="24"/>
          <w:szCs w:val="24"/>
        </w:rPr>
        <w:t xml:space="preserve"> </w:t>
      </w:r>
      <w:r>
        <w:rPr>
          <w:rFonts w:ascii="Times New Roman" w:hAnsi="Times New Roman"/>
          <w:sz w:val="24"/>
          <w:szCs w:val="24"/>
        </w:rPr>
        <w:t xml:space="preserve">the one-time burden of transitioning to the </w:t>
      </w:r>
      <w:r w:rsidR="002A262B">
        <w:rPr>
          <w:rFonts w:ascii="Times New Roman" w:hAnsi="Times New Roman"/>
          <w:sz w:val="24"/>
          <w:szCs w:val="24"/>
        </w:rPr>
        <w:t xml:space="preserve">new </w:t>
      </w:r>
      <w:r w:rsidR="00741AB8">
        <w:rPr>
          <w:rFonts w:ascii="Times New Roman" w:hAnsi="Times New Roman"/>
          <w:sz w:val="24"/>
          <w:szCs w:val="24"/>
        </w:rPr>
        <w:t>section 1.1307(b) rules</w:t>
      </w:r>
      <w:r w:rsidR="002A262B">
        <w:rPr>
          <w:rFonts w:ascii="Times New Roman" w:hAnsi="Times New Roman"/>
          <w:sz w:val="24"/>
          <w:szCs w:val="24"/>
        </w:rPr>
        <w:t xml:space="preserve">.  </w:t>
      </w:r>
      <w:r w:rsidR="00741AB8">
        <w:rPr>
          <w:rFonts w:ascii="Times New Roman" w:hAnsi="Times New Roman"/>
          <w:sz w:val="24"/>
          <w:szCs w:val="24"/>
        </w:rPr>
        <w:t xml:space="preserve">As discussed in </w:t>
      </w:r>
      <w:r w:rsidR="00953EE8">
        <w:rPr>
          <w:rFonts w:ascii="Times New Roman" w:hAnsi="Times New Roman"/>
          <w:sz w:val="24"/>
          <w:szCs w:val="24"/>
        </w:rPr>
        <w:t>item</w:t>
      </w:r>
      <w:r w:rsidR="00741AB8">
        <w:rPr>
          <w:rFonts w:ascii="Times New Roman" w:hAnsi="Times New Roman"/>
          <w:sz w:val="24"/>
          <w:szCs w:val="24"/>
        </w:rPr>
        <w:t xml:space="preserve"> 15, the recurring annual burden per-respondent is estimated to remain roughly the same as under the prior rules.  </w:t>
      </w:r>
      <w:r w:rsidR="002A262B">
        <w:rPr>
          <w:rFonts w:ascii="Times New Roman" w:hAnsi="Times New Roman"/>
          <w:sz w:val="24"/>
          <w:szCs w:val="24"/>
        </w:rPr>
        <w:t xml:space="preserve">The two </w:t>
      </w:r>
      <w:r w:rsidR="00741AB8">
        <w:rPr>
          <w:rFonts w:ascii="Times New Roman" w:hAnsi="Times New Roman"/>
          <w:sz w:val="24"/>
          <w:szCs w:val="24"/>
        </w:rPr>
        <w:t>burden components</w:t>
      </w:r>
      <w:r w:rsidR="002A262B">
        <w:rPr>
          <w:rFonts w:ascii="Times New Roman" w:hAnsi="Times New Roman"/>
          <w:sz w:val="24"/>
          <w:szCs w:val="24"/>
        </w:rPr>
        <w:t xml:space="preserve"> are discussed separately below and then combined into a total annualized burden.</w:t>
      </w:r>
    </w:p>
    <w:p w:rsidR="00BC3E62" w:rsidP="002C2E7E" w:rsidRDefault="00BC3E62" w14:paraId="31A91724" w14:textId="77777777">
      <w:pPr>
        <w:tabs>
          <w:tab w:val="left" w:pos="-720"/>
          <w:tab w:val="left" w:pos="360"/>
        </w:tabs>
        <w:suppressAutoHyphens/>
        <w:jc w:val="both"/>
        <w:rPr>
          <w:rFonts w:ascii="Times New Roman" w:hAnsi="Times New Roman"/>
          <w:sz w:val="24"/>
          <w:szCs w:val="24"/>
        </w:rPr>
      </w:pPr>
    </w:p>
    <w:p w:rsidR="002A262B" w:rsidP="002C2E7E" w:rsidRDefault="002A262B" w14:paraId="3EE9816A"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(a) Recurring Annual </w:t>
      </w:r>
      <w:r w:rsidR="00EF7562">
        <w:rPr>
          <w:rFonts w:ascii="Times New Roman" w:hAnsi="Times New Roman"/>
          <w:sz w:val="24"/>
          <w:szCs w:val="24"/>
        </w:rPr>
        <w:t xml:space="preserve">Hours </w:t>
      </w:r>
      <w:r>
        <w:rPr>
          <w:rFonts w:ascii="Times New Roman" w:hAnsi="Times New Roman"/>
          <w:sz w:val="24"/>
          <w:szCs w:val="24"/>
        </w:rPr>
        <w:t>Burden</w:t>
      </w:r>
    </w:p>
    <w:p w:rsidR="002A262B" w:rsidP="002C2E7E" w:rsidRDefault="002A262B" w14:paraId="1F16A856" w14:textId="77777777">
      <w:pPr>
        <w:tabs>
          <w:tab w:val="left" w:pos="-720"/>
          <w:tab w:val="left" w:pos="360"/>
        </w:tabs>
        <w:suppressAutoHyphens/>
        <w:jc w:val="both"/>
        <w:rPr>
          <w:rFonts w:ascii="Times New Roman" w:hAnsi="Times New Roman"/>
          <w:sz w:val="24"/>
          <w:szCs w:val="24"/>
        </w:rPr>
      </w:pPr>
    </w:p>
    <w:p w:rsidRPr="002A3414" w:rsidR="000F1D3E" w:rsidP="00517FA3" w:rsidRDefault="009D0C5F" w14:paraId="4344A324" w14:textId="5A792C3D">
      <w:pPr>
        <w:tabs>
          <w:tab w:val="left" w:pos="-720"/>
          <w:tab w:val="left" w:pos="360"/>
        </w:tabs>
        <w:suppressAutoHyphens/>
        <w:jc w:val="both"/>
        <w:rPr>
          <w:rFonts w:ascii="Times New Roman" w:hAnsi="Times New Roman"/>
          <w:sz w:val="24"/>
          <w:szCs w:val="24"/>
        </w:rPr>
      </w:pPr>
      <w:r w:rsidRPr="002A3414">
        <w:rPr>
          <w:rFonts w:ascii="Times New Roman" w:hAnsi="Times New Roman"/>
          <w:sz w:val="24"/>
          <w:szCs w:val="24"/>
        </w:rPr>
        <w:t>Based on data for calendar year 201</w:t>
      </w:r>
      <w:r w:rsidR="006F165C">
        <w:rPr>
          <w:rFonts w:ascii="Times New Roman" w:hAnsi="Times New Roman"/>
          <w:sz w:val="24"/>
          <w:szCs w:val="24"/>
        </w:rPr>
        <w:t>9</w:t>
      </w:r>
      <w:r w:rsidRPr="002A3414">
        <w:rPr>
          <w:rFonts w:ascii="Times New Roman" w:hAnsi="Times New Roman"/>
          <w:sz w:val="24"/>
          <w:szCs w:val="24"/>
        </w:rPr>
        <w:t xml:space="preserve"> supplied by its licensing bureaus, t</w:t>
      </w:r>
      <w:r w:rsidRPr="002A3414" w:rsidR="0040628F">
        <w:rPr>
          <w:rFonts w:ascii="Times New Roman" w:hAnsi="Times New Roman"/>
          <w:sz w:val="24"/>
          <w:szCs w:val="24"/>
        </w:rPr>
        <w:t xml:space="preserve">he Commission estimates </w:t>
      </w:r>
      <w:r w:rsidR="002A262B">
        <w:rPr>
          <w:rFonts w:ascii="Times New Roman" w:hAnsi="Times New Roman"/>
          <w:sz w:val="24"/>
          <w:szCs w:val="24"/>
        </w:rPr>
        <w:t>141,55</w:t>
      </w:r>
      <w:r w:rsidR="0045238C">
        <w:rPr>
          <w:rFonts w:ascii="Times New Roman" w:hAnsi="Times New Roman"/>
          <w:sz w:val="24"/>
          <w:szCs w:val="24"/>
        </w:rPr>
        <w:t>8</w:t>
      </w:r>
      <w:r w:rsidR="002A262B">
        <w:rPr>
          <w:rFonts w:ascii="Times New Roman" w:hAnsi="Times New Roman"/>
          <w:sz w:val="24"/>
          <w:szCs w:val="24"/>
        </w:rPr>
        <w:t xml:space="preserve"> respondents annually</w:t>
      </w:r>
      <w:r w:rsidR="00F510C8">
        <w:rPr>
          <w:rFonts w:ascii="Times New Roman" w:hAnsi="Times New Roman"/>
          <w:sz w:val="24"/>
          <w:szCs w:val="24"/>
        </w:rPr>
        <w:t xml:space="preserve"> will need to perform new RF exposure analysis for this information collection</w:t>
      </w:r>
      <w:r w:rsidR="002A262B">
        <w:rPr>
          <w:rFonts w:ascii="Times New Roman" w:hAnsi="Times New Roman"/>
          <w:sz w:val="24"/>
          <w:szCs w:val="24"/>
        </w:rPr>
        <w:t xml:space="preserve">. </w:t>
      </w:r>
      <w:r w:rsidRPr="002A3414">
        <w:rPr>
          <w:rFonts w:ascii="Times New Roman" w:hAnsi="Times New Roman"/>
          <w:sz w:val="24"/>
          <w:szCs w:val="24"/>
        </w:rPr>
        <w:t xml:space="preserve"> </w:t>
      </w:r>
      <w:r w:rsidRPr="002A3414" w:rsidR="000F1D3E">
        <w:rPr>
          <w:rFonts w:ascii="Times New Roman" w:hAnsi="Times New Roman"/>
          <w:sz w:val="24"/>
          <w:szCs w:val="24"/>
        </w:rPr>
        <w:t xml:space="preserve">Because the number of applications that the Commission receives varies each year, </w:t>
      </w:r>
      <w:r w:rsidR="002A262B">
        <w:rPr>
          <w:rFonts w:ascii="Times New Roman" w:hAnsi="Times New Roman"/>
          <w:sz w:val="24"/>
          <w:szCs w:val="24"/>
        </w:rPr>
        <w:t>this estimate</w:t>
      </w:r>
      <w:r w:rsidRPr="002A3414" w:rsidR="000F1D3E">
        <w:rPr>
          <w:rFonts w:ascii="Times New Roman" w:hAnsi="Times New Roman"/>
          <w:sz w:val="24"/>
          <w:szCs w:val="24"/>
        </w:rPr>
        <w:t xml:space="preserve"> is </w:t>
      </w:r>
      <w:r w:rsidR="00502457">
        <w:rPr>
          <w:rFonts w:ascii="Times New Roman" w:hAnsi="Times New Roman"/>
          <w:sz w:val="24"/>
          <w:szCs w:val="24"/>
        </w:rPr>
        <w:t>less</w:t>
      </w:r>
      <w:r w:rsidRPr="002A3414" w:rsidR="00502457">
        <w:rPr>
          <w:rFonts w:ascii="Times New Roman" w:hAnsi="Times New Roman"/>
          <w:sz w:val="24"/>
          <w:szCs w:val="24"/>
        </w:rPr>
        <w:t xml:space="preserve"> </w:t>
      </w:r>
      <w:r w:rsidRPr="002A3414" w:rsidR="000F1D3E">
        <w:rPr>
          <w:rFonts w:ascii="Times New Roman" w:hAnsi="Times New Roman"/>
          <w:sz w:val="24"/>
          <w:szCs w:val="24"/>
        </w:rPr>
        <w:t>than</w:t>
      </w:r>
      <w:r w:rsidR="002A262B">
        <w:rPr>
          <w:rFonts w:ascii="Times New Roman" w:hAnsi="Times New Roman"/>
          <w:sz w:val="24"/>
          <w:szCs w:val="24"/>
        </w:rPr>
        <w:t xml:space="preserve"> that of</w:t>
      </w:r>
      <w:r w:rsidRPr="002A3414" w:rsidR="000F1D3E">
        <w:rPr>
          <w:rFonts w:ascii="Times New Roman" w:hAnsi="Times New Roman"/>
          <w:sz w:val="24"/>
          <w:szCs w:val="24"/>
        </w:rPr>
        <w:t xml:space="preserve"> the previous submission.</w:t>
      </w:r>
      <w:r w:rsidR="00502457">
        <w:rPr>
          <w:rFonts w:ascii="Times New Roman" w:hAnsi="Times New Roman"/>
          <w:sz w:val="24"/>
          <w:szCs w:val="24"/>
        </w:rPr>
        <w:t xml:space="preserve">  In particular, the number of broadcast applications has decreased relative to the previous submission.</w:t>
      </w:r>
      <w:r w:rsidRPr="002A3414" w:rsidR="000F1D3E">
        <w:rPr>
          <w:rFonts w:ascii="Times New Roman" w:hAnsi="Times New Roman"/>
          <w:sz w:val="24"/>
          <w:szCs w:val="24"/>
        </w:rPr>
        <w:t xml:space="preserve">  From time to time, the Commission auctions new licenses, which result in a large number of applications being filed afterward</w:t>
      </w:r>
      <w:r w:rsidRPr="002A3414" w:rsidR="00004B27">
        <w:rPr>
          <w:rFonts w:ascii="Times New Roman" w:hAnsi="Times New Roman"/>
          <w:sz w:val="24"/>
          <w:szCs w:val="24"/>
        </w:rPr>
        <w:t>,</w:t>
      </w:r>
      <w:r w:rsidRPr="002A3414" w:rsidR="000F1D3E">
        <w:rPr>
          <w:rFonts w:ascii="Times New Roman" w:hAnsi="Times New Roman"/>
          <w:sz w:val="24"/>
          <w:szCs w:val="24"/>
        </w:rPr>
        <w:t xml:space="preserve"> </w:t>
      </w:r>
      <w:r w:rsidRPr="002A3414" w:rsidR="00004B27">
        <w:rPr>
          <w:rFonts w:ascii="Times New Roman" w:hAnsi="Times New Roman"/>
          <w:sz w:val="24"/>
          <w:szCs w:val="24"/>
        </w:rPr>
        <w:t xml:space="preserve">and </w:t>
      </w:r>
      <w:r w:rsidRPr="002A3414" w:rsidR="000F1D3E">
        <w:rPr>
          <w:rFonts w:ascii="Times New Roman" w:hAnsi="Times New Roman"/>
          <w:sz w:val="24"/>
          <w:szCs w:val="24"/>
        </w:rPr>
        <w:t>certain program changes (including prohibitions on certain</w:t>
      </w:r>
      <w:r w:rsidRPr="002A3414" w:rsidR="00004B27">
        <w:rPr>
          <w:rFonts w:ascii="Times New Roman" w:hAnsi="Times New Roman"/>
          <w:sz w:val="24"/>
          <w:szCs w:val="24"/>
        </w:rPr>
        <w:t xml:space="preserve"> types of applications) result</w:t>
      </w:r>
      <w:r w:rsidRPr="002A3414" w:rsidR="000F1D3E">
        <w:rPr>
          <w:rFonts w:ascii="Times New Roman" w:hAnsi="Times New Roman"/>
          <w:sz w:val="24"/>
          <w:szCs w:val="24"/>
        </w:rPr>
        <w:t xml:space="preserve"> in </w:t>
      </w:r>
      <w:r w:rsidRPr="002A3414" w:rsidR="00004B27">
        <w:rPr>
          <w:rFonts w:ascii="Times New Roman" w:hAnsi="Times New Roman"/>
          <w:sz w:val="24"/>
          <w:szCs w:val="24"/>
        </w:rPr>
        <w:t>changes</w:t>
      </w:r>
      <w:r w:rsidRPr="002A3414" w:rsidR="000F1D3E">
        <w:rPr>
          <w:rFonts w:ascii="Times New Roman" w:hAnsi="Times New Roman"/>
          <w:sz w:val="24"/>
          <w:szCs w:val="24"/>
        </w:rPr>
        <w:t xml:space="preserve"> in the number of applications filed in comparison with the previous submission. </w:t>
      </w:r>
      <w:r w:rsidR="00F510C8">
        <w:rPr>
          <w:rFonts w:ascii="Times New Roman" w:hAnsi="Times New Roman"/>
          <w:sz w:val="24"/>
          <w:szCs w:val="24"/>
        </w:rPr>
        <w:t xml:space="preserve"> We have also revised our calculation methods slightly relative to the previous submission to </w:t>
      </w:r>
      <w:r w:rsidR="0019647C">
        <w:rPr>
          <w:rFonts w:ascii="Times New Roman" w:hAnsi="Times New Roman"/>
          <w:sz w:val="24"/>
          <w:szCs w:val="24"/>
        </w:rPr>
        <w:t xml:space="preserve">handle applications for the various radio services more consistently.  Specifically, it is now assumed that all renewal-only applications can reuse their prior RF exposure analysis and do not incur </w:t>
      </w:r>
      <w:r w:rsidR="00370261">
        <w:rPr>
          <w:rFonts w:ascii="Times New Roman" w:hAnsi="Times New Roman"/>
          <w:sz w:val="24"/>
          <w:szCs w:val="24"/>
        </w:rPr>
        <w:t xml:space="preserve">a </w:t>
      </w:r>
      <w:r w:rsidR="0019647C">
        <w:rPr>
          <w:rFonts w:ascii="Times New Roman" w:hAnsi="Times New Roman"/>
          <w:sz w:val="24"/>
          <w:szCs w:val="24"/>
        </w:rPr>
        <w:t xml:space="preserve">new annual burden for this collection (they are still expected to incur a one-time transition burden as discussed below).  In prior </w:t>
      </w:r>
      <w:r w:rsidR="00451C8F">
        <w:rPr>
          <w:rFonts w:ascii="Times New Roman" w:hAnsi="Times New Roman"/>
          <w:sz w:val="24"/>
          <w:szCs w:val="24"/>
        </w:rPr>
        <w:t>submissions</w:t>
      </w:r>
      <w:r w:rsidR="0019647C">
        <w:rPr>
          <w:rFonts w:ascii="Times New Roman" w:hAnsi="Times New Roman"/>
          <w:sz w:val="24"/>
          <w:szCs w:val="24"/>
        </w:rPr>
        <w:t>, this assumption was made for some radio services but not others.  This revision contributed to the decrease in estimated number of annual respondents, but it is balanced by an increase in the estimated fraction of remaining respondents requiring the more burdensome evaluations described below.</w:t>
      </w:r>
    </w:p>
    <w:p w:rsidRPr="002A3414" w:rsidR="00512EFA" w:rsidP="00C27DF2" w:rsidRDefault="00512EFA" w14:paraId="3B3362E3" w14:textId="77777777">
      <w:pPr>
        <w:tabs>
          <w:tab w:val="left" w:pos="-720"/>
        </w:tabs>
        <w:suppressAutoHyphens/>
        <w:rPr>
          <w:rFonts w:ascii="Times New Roman" w:hAnsi="Times New Roman"/>
          <w:sz w:val="24"/>
          <w:szCs w:val="24"/>
        </w:rPr>
      </w:pPr>
    </w:p>
    <w:p w:rsidRPr="002A3414" w:rsidR="008D79E6" w:rsidP="00D80B47" w:rsidRDefault="003C42F9" w14:paraId="3D656AE4" w14:textId="77777777">
      <w:pPr>
        <w:tabs>
          <w:tab w:val="left" w:pos="-720"/>
          <w:tab w:val="left" w:pos="360"/>
        </w:tabs>
        <w:suppressAutoHyphens/>
        <w:jc w:val="both"/>
        <w:rPr>
          <w:rFonts w:ascii="Times New Roman" w:hAnsi="Times New Roman"/>
          <w:sz w:val="24"/>
          <w:szCs w:val="24"/>
        </w:rPr>
      </w:pPr>
      <w:r w:rsidRPr="002A3414">
        <w:rPr>
          <w:rFonts w:ascii="Times New Roman" w:hAnsi="Times New Roman"/>
          <w:sz w:val="24"/>
          <w:szCs w:val="24"/>
        </w:rPr>
        <w:t xml:space="preserve">There is considerable variation in the range of hour burden for respondents.  </w:t>
      </w:r>
      <w:r w:rsidRPr="002A3414" w:rsidR="008D79E6">
        <w:rPr>
          <w:rFonts w:ascii="Times New Roman" w:hAnsi="Times New Roman"/>
          <w:sz w:val="24"/>
          <w:szCs w:val="24"/>
        </w:rPr>
        <w:t>For purposes of estimating burden</w:t>
      </w:r>
      <w:r w:rsidR="00370261">
        <w:rPr>
          <w:rFonts w:ascii="Times New Roman" w:hAnsi="Times New Roman"/>
          <w:sz w:val="24"/>
          <w:szCs w:val="24"/>
        </w:rPr>
        <w:t>s</w:t>
      </w:r>
      <w:r w:rsidRPr="002A3414" w:rsidR="008D79E6">
        <w:rPr>
          <w:rFonts w:ascii="Times New Roman" w:hAnsi="Times New Roman"/>
          <w:sz w:val="24"/>
          <w:szCs w:val="24"/>
        </w:rPr>
        <w:t>, three general categories of burden</w:t>
      </w:r>
      <w:r w:rsidR="00370261">
        <w:rPr>
          <w:rFonts w:ascii="Times New Roman" w:hAnsi="Times New Roman"/>
          <w:sz w:val="24"/>
          <w:szCs w:val="24"/>
        </w:rPr>
        <w:t>s</w:t>
      </w:r>
      <w:r w:rsidRPr="002A3414" w:rsidR="008D79E6">
        <w:rPr>
          <w:rFonts w:ascii="Times New Roman" w:hAnsi="Times New Roman"/>
          <w:sz w:val="24"/>
          <w:szCs w:val="24"/>
        </w:rPr>
        <w:t xml:space="preserve"> are used depending upon the amount of time and resources required: (1) </w:t>
      </w:r>
      <w:r w:rsidR="00502457">
        <w:rPr>
          <w:rFonts w:ascii="Times New Roman" w:hAnsi="Times New Roman"/>
          <w:sz w:val="24"/>
          <w:szCs w:val="24"/>
        </w:rPr>
        <w:t>exemption</w:t>
      </w:r>
      <w:r w:rsidRPr="002A3414" w:rsidR="008D79E6">
        <w:rPr>
          <w:rFonts w:ascii="Times New Roman" w:hAnsi="Times New Roman"/>
          <w:sz w:val="24"/>
          <w:szCs w:val="24"/>
        </w:rPr>
        <w:t xml:space="preserve">, (2) simple </w:t>
      </w:r>
      <w:r w:rsidR="00502457">
        <w:rPr>
          <w:rFonts w:ascii="Times New Roman" w:hAnsi="Times New Roman"/>
          <w:sz w:val="24"/>
          <w:szCs w:val="24"/>
        </w:rPr>
        <w:t xml:space="preserve">evaluation calculation </w:t>
      </w:r>
      <w:r w:rsidRPr="002A3414" w:rsidR="003A0200">
        <w:rPr>
          <w:rFonts w:ascii="Times New Roman" w:hAnsi="Times New Roman"/>
          <w:sz w:val="24"/>
          <w:szCs w:val="24"/>
        </w:rPr>
        <w:t>required</w:t>
      </w:r>
      <w:r w:rsidRPr="002A3414" w:rsidR="008D79E6">
        <w:rPr>
          <w:rFonts w:ascii="Times New Roman" w:hAnsi="Times New Roman"/>
          <w:sz w:val="24"/>
          <w:szCs w:val="24"/>
        </w:rPr>
        <w:t>,</w:t>
      </w:r>
      <w:r w:rsidR="00741AB8">
        <w:rPr>
          <w:rFonts w:ascii="Times New Roman" w:hAnsi="Times New Roman"/>
          <w:sz w:val="24"/>
          <w:szCs w:val="24"/>
        </w:rPr>
        <w:t xml:space="preserve"> and</w:t>
      </w:r>
      <w:r w:rsidRPr="002A3414" w:rsidR="008D79E6">
        <w:rPr>
          <w:rFonts w:ascii="Times New Roman" w:hAnsi="Times New Roman"/>
          <w:sz w:val="24"/>
          <w:szCs w:val="24"/>
        </w:rPr>
        <w:t xml:space="preserve"> (3) detailed </w:t>
      </w:r>
      <w:r w:rsidR="00502457">
        <w:rPr>
          <w:rFonts w:ascii="Times New Roman" w:hAnsi="Times New Roman"/>
          <w:sz w:val="24"/>
          <w:szCs w:val="24"/>
        </w:rPr>
        <w:t xml:space="preserve">evaluation </w:t>
      </w:r>
      <w:r w:rsidRPr="002A3414" w:rsidR="008D79E6">
        <w:rPr>
          <w:rFonts w:ascii="Times New Roman" w:hAnsi="Times New Roman"/>
          <w:sz w:val="24"/>
          <w:szCs w:val="24"/>
        </w:rPr>
        <w:t>modeling or measurement</w:t>
      </w:r>
      <w:r w:rsidRPr="002A3414" w:rsidR="003A0200">
        <w:rPr>
          <w:rFonts w:ascii="Times New Roman" w:hAnsi="Times New Roman"/>
          <w:sz w:val="24"/>
          <w:szCs w:val="24"/>
        </w:rPr>
        <w:t xml:space="preserve"> required</w:t>
      </w:r>
      <w:r w:rsidRPr="002A3414" w:rsidR="008D79E6">
        <w:rPr>
          <w:rFonts w:ascii="Times New Roman" w:hAnsi="Times New Roman"/>
          <w:sz w:val="24"/>
          <w:szCs w:val="24"/>
        </w:rPr>
        <w:t xml:space="preserve">.  </w:t>
      </w:r>
    </w:p>
    <w:p w:rsidRPr="002A3414" w:rsidR="008D79E6" w:rsidP="00D80B47" w:rsidRDefault="008D79E6" w14:paraId="76C29127" w14:textId="77777777">
      <w:pPr>
        <w:tabs>
          <w:tab w:val="left" w:pos="-720"/>
          <w:tab w:val="left" w:pos="360"/>
        </w:tabs>
        <w:suppressAutoHyphens/>
        <w:jc w:val="both"/>
        <w:rPr>
          <w:rFonts w:ascii="Times New Roman" w:hAnsi="Times New Roman"/>
          <w:sz w:val="24"/>
          <w:szCs w:val="24"/>
        </w:rPr>
      </w:pPr>
    </w:p>
    <w:p w:rsidRPr="002A3414" w:rsidR="00512EFA" w:rsidP="00D80B47" w:rsidRDefault="00512EFA" w14:paraId="21478DB1" w14:textId="77777777">
      <w:pPr>
        <w:tabs>
          <w:tab w:val="left" w:pos="-720"/>
          <w:tab w:val="left" w:pos="360"/>
        </w:tabs>
        <w:suppressAutoHyphens/>
        <w:jc w:val="both"/>
        <w:rPr>
          <w:rFonts w:ascii="Times New Roman" w:hAnsi="Times New Roman"/>
          <w:sz w:val="24"/>
          <w:szCs w:val="24"/>
        </w:rPr>
      </w:pPr>
      <w:r w:rsidRPr="002A3414">
        <w:rPr>
          <w:rFonts w:ascii="Times New Roman" w:hAnsi="Times New Roman"/>
          <w:sz w:val="24"/>
          <w:szCs w:val="24"/>
        </w:rPr>
        <w:t xml:space="preserve">The Commission estimates that </w:t>
      </w:r>
      <w:r w:rsidR="00F510C8">
        <w:rPr>
          <w:rFonts w:ascii="Times New Roman" w:hAnsi="Times New Roman"/>
          <w:sz w:val="24"/>
          <w:szCs w:val="24"/>
        </w:rPr>
        <w:t>132,799</w:t>
      </w:r>
      <w:r w:rsidRPr="002A3414">
        <w:rPr>
          <w:rFonts w:ascii="Times New Roman" w:hAnsi="Times New Roman"/>
          <w:sz w:val="24"/>
          <w:szCs w:val="24"/>
        </w:rPr>
        <w:t xml:space="preserve"> </w:t>
      </w:r>
      <w:r w:rsidRPr="002A3414" w:rsidR="003C42F9">
        <w:rPr>
          <w:rFonts w:ascii="Times New Roman" w:hAnsi="Times New Roman"/>
          <w:sz w:val="24"/>
          <w:szCs w:val="24"/>
        </w:rPr>
        <w:t xml:space="preserve">respondents </w:t>
      </w:r>
      <w:r w:rsidR="00502457">
        <w:rPr>
          <w:rFonts w:ascii="Times New Roman" w:hAnsi="Times New Roman"/>
          <w:sz w:val="24"/>
          <w:szCs w:val="24"/>
        </w:rPr>
        <w:t>will be exempt</w:t>
      </w:r>
      <w:r w:rsidRPr="002A3414">
        <w:rPr>
          <w:rFonts w:ascii="Times New Roman" w:hAnsi="Times New Roman"/>
          <w:sz w:val="24"/>
          <w:szCs w:val="24"/>
        </w:rPr>
        <w:t xml:space="preserve"> and will require approximately 5 minutes </w:t>
      </w:r>
      <w:r w:rsidRPr="002A3414" w:rsidR="009D0C5F">
        <w:rPr>
          <w:rFonts w:ascii="Times New Roman" w:hAnsi="Times New Roman"/>
          <w:sz w:val="24"/>
          <w:szCs w:val="24"/>
        </w:rPr>
        <w:t xml:space="preserve">(0.0833 hours) </w:t>
      </w:r>
      <w:r w:rsidRPr="002A3414" w:rsidR="00A96C30">
        <w:rPr>
          <w:rFonts w:ascii="Times New Roman" w:hAnsi="Times New Roman"/>
          <w:sz w:val="24"/>
          <w:szCs w:val="24"/>
        </w:rPr>
        <w:t xml:space="preserve">per response </w:t>
      </w:r>
      <w:r w:rsidRPr="002A3414" w:rsidR="003F43E2">
        <w:rPr>
          <w:rFonts w:ascii="Times New Roman" w:hAnsi="Times New Roman"/>
          <w:sz w:val="24"/>
          <w:szCs w:val="24"/>
        </w:rPr>
        <w:t>to make</w:t>
      </w:r>
      <w:r w:rsidRPr="002A3414">
        <w:rPr>
          <w:rFonts w:ascii="Times New Roman" w:hAnsi="Times New Roman"/>
          <w:sz w:val="24"/>
          <w:szCs w:val="24"/>
        </w:rPr>
        <w:t xml:space="preserve"> this determination</w:t>
      </w:r>
      <w:r w:rsidRPr="002A3414" w:rsidR="003C42F9">
        <w:rPr>
          <w:rFonts w:ascii="Times New Roman" w:hAnsi="Times New Roman"/>
          <w:sz w:val="24"/>
          <w:szCs w:val="24"/>
        </w:rPr>
        <w:t xml:space="preserve">, for a total annual burden of </w:t>
      </w:r>
      <w:r w:rsidR="00451C8F">
        <w:rPr>
          <w:rFonts w:ascii="Times New Roman" w:hAnsi="Times New Roman"/>
          <w:sz w:val="24"/>
          <w:szCs w:val="24"/>
        </w:rPr>
        <w:t>132,799</w:t>
      </w:r>
      <w:r w:rsidRPr="002A3414" w:rsidR="00A96C30">
        <w:rPr>
          <w:rFonts w:ascii="Times New Roman" w:hAnsi="Times New Roman"/>
          <w:sz w:val="24"/>
          <w:szCs w:val="24"/>
        </w:rPr>
        <w:t xml:space="preserve"> responses</w:t>
      </w:r>
      <w:r w:rsidRPr="002A3414" w:rsidR="009D0C5F">
        <w:rPr>
          <w:rFonts w:ascii="Times New Roman" w:hAnsi="Times New Roman"/>
          <w:sz w:val="24"/>
          <w:szCs w:val="24"/>
        </w:rPr>
        <w:t xml:space="preserve"> x 0.0833</w:t>
      </w:r>
      <w:r w:rsidRPr="002A3414" w:rsidR="00F3230A">
        <w:rPr>
          <w:rFonts w:ascii="Times New Roman" w:hAnsi="Times New Roman"/>
          <w:sz w:val="24"/>
          <w:szCs w:val="24"/>
        </w:rPr>
        <w:t xml:space="preserve"> hours</w:t>
      </w:r>
      <w:r w:rsidRPr="002A3414" w:rsidR="00A96C30">
        <w:rPr>
          <w:rFonts w:ascii="Times New Roman" w:hAnsi="Times New Roman"/>
          <w:sz w:val="24"/>
          <w:szCs w:val="24"/>
        </w:rPr>
        <w:t>/response</w:t>
      </w:r>
      <w:r w:rsidRPr="002A3414" w:rsidR="009D0C5F">
        <w:rPr>
          <w:rFonts w:ascii="Times New Roman" w:hAnsi="Times New Roman"/>
          <w:sz w:val="24"/>
          <w:szCs w:val="24"/>
        </w:rPr>
        <w:t xml:space="preserve"> = </w:t>
      </w:r>
      <w:r w:rsidR="00451C8F">
        <w:rPr>
          <w:rFonts w:ascii="Times New Roman" w:hAnsi="Times New Roman"/>
          <w:sz w:val="24"/>
          <w:szCs w:val="24"/>
        </w:rPr>
        <w:t>11,062</w:t>
      </w:r>
      <w:r w:rsidRPr="002A3414" w:rsidR="003C42F9">
        <w:rPr>
          <w:rFonts w:ascii="Times New Roman" w:hAnsi="Times New Roman"/>
          <w:sz w:val="24"/>
          <w:szCs w:val="24"/>
        </w:rPr>
        <w:t xml:space="preserve"> hours</w:t>
      </w:r>
      <w:r w:rsidRPr="002A3414">
        <w:rPr>
          <w:rFonts w:ascii="Times New Roman" w:hAnsi="Times New Roman"/>
          <w:b/>
          <w:sz w:val="24"/>
          <w:szCs w:val="24"/>
        </w:rPr>
        <w:t xml:space="preserve">.  </w:t>
      </w:r>
      <w:r w:rsidRPr="002A3414" w:rsidR="00B06635">
        <w:rPr>
          <w:rFonts w:ascii="Times New Roman" w:hAnsi="Times New Roman"/>
          <w:b/>
          <w:sz w:val="24"/>
          <w:szCs w:val="24"/>
        </w:rPr>
        <w:t xml:space="preserve"> </w:t>
      </w:r>
      <w:r w:rsidRPr="002A3414" w:rsidR="004F1415">
        <w:rPr>
          <w:rFonts w:ascii="Times New Roman" w:hAnsi="Times New Roman"/>
          <w:sz w:val="24"/>
          <w:szCs w:val="24"/>
        </w:rPr>
        <w:t>The Commission estimates that in all cases i</w:t>
      </w:r>
      <w:r w:rsidRPr="002A3414" w:rsidR="0038242B">
        <w:rPr>
          <w:rFonts w:ascii="Times New Roman" w:hAnsi="Times New Roman"/>
          <w:sz w:val="24"/>
          <w:szCs w:val="24"/>
        </w:rPr>
        <w:t xml:space="preserve">n-house staff will complete the requirement without outside assistance.  </w:t>
      </w:r>
    </w:p>
    <w:p w:rsidRPr="002A3414" w:rsidR="00512EFA" w:rsidP="00C23871" w:rsidRDefault="00512EFA" w14:paraId="511370FA" w14:textId="77777777">
      <w:pPr>
        <w:tabs>
          <w:tab w:val="left" w:pos="-720"/>
          <w:tab w:val="left" w:pos="360"/>
        </w:tabs>
        <w:suppressAutoHyphens/>
        <w:rPr>
          <w:rFonts w:ascii="Times New Roman" w:hAnsi="Times New Roman"/>
          <w:sz w:val="24"/>
          <w:szCs w:val="24"/>
        </w:rPr>
      </w:pPr>
    </w:p>
    <w:p w:rsidRPr="002A3414" w:rsidR="0038242B" w:rsidP="0038242B" w:rsidRDefault="00512EFA" w14:paraId="71E21111" w14:textId="2EB5B59A">
      <w:pPr>
        <w:tabs>
          <w:tab w:val="left" w:pos="-720"/>
          <w:tab w:val="left" w:pos="360"/>
        </w:tabs>
        <w:suppressAutoHyphens/>
        <w:jc w:val="both"/>
        <w:rPr>
          <w:rFonts w:ascii="Times New Roman" w:hAnsi="Times New Roman"/>
          <w:sz w:val="24"/>
          <w:szCs w:val="24"/>
        </w:rPr>
      </w:pPr>
      <w:r w:rsidRPr="002A3414">
        <w:rPr>
          <w:rFonts w:ascii="Times New Roman" w:hAnsi="Times New Roman"/>
          <w:sz w:val="24"/>
          <w:szCs w:val="24"/>
        </w:rPr>
        <w:t xml:space="preserve">Respondents that are unable to claim </w:t>
      </w:r>
      <w:proofErr w:type="gramStart"/>
      <w:r w:rsidR="00502457">
        <w:rPr>
          <w:rFonts w:ascii="Times New Roman" w:hAnsi="Times New Roman"/>
          <w:sz w:val="24"/>
          <w:szCs w:val="24"/>
        </w:rPr>
        <w:t>exemption, but</w:t>
      </w:r>
      <w:proofErr w:type="gramEnd"/>
      <w:r w:rsidR="00502457">
        <w:rPr>
          <w:rFonts w:ascii="Times New Roman" w:hAnsi="Times New Roman"/>
          <w:sz w:val="24"/>
          <w:szCs w:val="24"/>
        </w:rPr>
        <w:t xml:space="preserve"> are still able to demonstrate compliance through a simple evaluation,</w:t>
      </w:r>
      <w:r w:rsidRPr="002A3414">
        <w:rPr>
          <w:rFonts w:ascii="Times New Roman" w:hAnsi="Times New Roman"/>
          <w:sz w:val="24"/>
          <w:szCs w:val="24"/>
        </w:rPr>
        <w:t xml:space="preserve"> will have to </w:t>
      </w:r>
      <w:r w:rsidRPr="002A3414" w:rsidR="004D14BE">
        <w:rPr>
          <w:rFonts w:ascii="Times New Roman" w:hAnsi="Times New Roman"/>
          <w:sz w:val="24"/>
          <w:szCs w:val="24"/>
        </w:rPr>
        <w:t>complete</w:t>
      </w:r>
      <w:r w:rsidRPr="002A3414" w:rsidR="001E5EC0">
        <w:rPr>
          <w:rFonts w:ascii="Times New Roman" w:hAnsi="Times New Roman"/>
          <w:sz w:val="24"/>
          <w:szCs w:val="24"/>
        </w:rPr>
        <w:t xml:space="preserve"> worksheets or </w:t>
      </w:r>
      <w:r w:rsidRPr="002A3414" w:rsidR="004D14BE">
        <w:rPr>
          <w:rFonts w:ascii="Times New Roman" w:hAnsi="Times New Roman"/>
          <w:sz w:val="24"/>
          <w:szCs w:val="24"/>
        </w:rPr>
        <w:t xml:space="preserve">perform </w:t>
      </w:r>
      <w:r w:rsidRPr="002A3414" w:rsidR="003C42F9">
        <w:rPr>
          <w:rFonts w:ascii="Times New Roman" w:hAnsi="Times New Roman"/>
          <w:sz w:val="24"/>
          <w:szCs w:val="24"/>
        </w:rPr>
        <w:t xml:space="preserve">simple </w:t>
      </w:r>
      <w:r w:rsidRPr="002A3414" w:rsidR="004D14BE">
        <w:rPr>
          <w:rFonts w:ascii="Times New Roman" w:hAnsi="Times New Roman"/>
          <w:sz w:val="24"/>
          <w:szCs w:val="24"/>
        </w:rPr>
        <w:t xml:space="preserve">calculations described </w:t>
      </w:r>
      <w:r w:rsidRPr="002A3414" w:rsidR="001E5EC0">
        <w:rPr>
          <w:rFonts w:ascii="Times New Roman" w:hAnsi="Times New Roman"/>
          <w:sz w:val="24"/>
          <w:szCs w:val="24"/>
        </w:rPr>
        <w:t>in OET Bulletin No. 65 to determine compliance with the environmental rules concerning RF exposure.</w:t>
      </w:r>
      <w:r w:rsidR="00FD42CF">
        <w:rPr>
          <w:rFonts w:ascii="Times New Roman" w:hAnsi="Times New Roman"/>
          <w:sz w:val="24"/>
          <w:szCs w:val="24"/>
        </w:rPr>
        <w:t xml:space="preserve">  </w:t>
      </w:r>
      <w:r w:rsidR="007D7FDC">
        <w:rPr>
          <w:rFonts w:ascii="Times New Roman" w:hAnsi="Times New Roman"/>
          <w:sz w:val="24"/>
          <w:szCs w:val="24"/>
        </w:rPr>
        <w:t>T</w:t>
      </w:r>
      <w:r w:rsidR="00FD42CF">
        <w:rPr>
          <w:rFonts w:ascii="Times New Roman" w:hAnsi="Times New Roman"/>
          <w:sz w:val="24"/>
          <w:szCs w:val="24"/>
        </w:rPr>
        <w:t>hese respondents will</w:t>
      </w:r>
      <w:r w:rsidR="007D7FDC">
        <w:rPr>
          <w:rFonts w:ascii="Times New Roman" w:hAnsi="Times New Roman"/>
          <w:sz w:val="24"/>
          <w:szCs w:val="24"/>
        </w:rPr>
        <w:t xml:space="preserve"> also</w:t>
      </w:r>
      <w:r w:rsidR="00FD42CF">
        <w:rPr>
          <w:rFonts w:ascii="Times New Roman" w:hAnsi="Times New Roman"/>
          <w:sz w:val="24"/>
          <w:szCs w:val="24"/>
        </w:rPr>
        <w:t xml:space="preserve"> need to ensure that appropriate mitigation measures are in place as part of their evaluation.</w:t>
      </w:r>
      <w:r w:rsidRPr="002A3414" w:rsidR="001E5EC0">
        <w:rPr>
          <w:rFonts w:ascii="Times New Roman" w:hAnsi="Times New Roman"/>
          <w:sz w:val="24"/>
          <w:szCs w:val="24"/>
        </w:rPr>
        <w:t xml:space="preserve">  </w:t>
      </w:r>
      <w:r w:rsidRPr="002A3414" w:rsidR="004D14BE">
        <w:rPr>
          <w:rFonts w:ascii="Times New Roman" w:hAnsi="Times New Roman"/>
          <w:sz w:val="24"/>
          <w:szCs w:val="24"/>
        </w:rPr>
        <w:t xml:space="preserve">It is estimated that </w:t>
      </w:r>
      <w:r w:rsidR="00136D0C">
        <w:rPr>
          <w:rFonts w:ascii="Times New Roman" w:hAnsi="Times New Roman"/>
          <w:sz w:val="24"/>
          <w:szCs w:val="24"/>
        </w:rPr>
        <w:t>7,</w:t>
      </w:r>
      <w:r w:rsidR="00451C8F">
        <w:rPr>
          <w:rFonts w:ascii="Times New Roman" w:hAnsi="Times New Roman"/>
          <w:sz w:val="24"/>
          <w:szCs w:val="24"/>
        </w:rPr>
        <w:t>73</w:t>
      </w:r>
      <w:r w:rsidR="006642DF">
        <w:rPr>
          <w:rFonts w:ascii="Times New Roman" w:hAnsi="Times New Roman"/>
          <w:sz w:val="24"/>
          <w:szCs w:val="24"/>
        </w:rPr>
        <w:t>9</w:t>
      </w:r>
      <w:r w:rsidRPr="002A3414" w:rsidR="00451C8F">
        <w:rPr>
          <w:rFonts w:ascii="Times New Roman" w:hAnsi="Times New Roman"/>
          <w:sz w:val="24"/>
          <w:szCs w:val="24"/>
        </w:rPr>
        <w:t xml:space="preserve"> </w:t>
      </w:r>
      <w:r w:rsidRPr="002A3414" w:rsidR="0046341C">
        <w:rPr>
          <w:rFonts w:ascii="Times New Roman" w:hAnsi="Times New Roman"/>
          <w:sz w:val="24"/>
          <w:szCs w:val="24"/>
        </w:rPr>
        <w:t>respondents will fall into this category</w:t>
      </w:r>
      <w:r w:rsidR="001C7D54">
        <w:rPr>
          <w:rFonts w:ascii="Times New Roman" w:hAnsi="Times New Roman"/>
          <w:sz w:val="24"/>
          <w:szCs w:val="24"/>
        </w:rPr>
        <w:t>,</w:t>
      </w:r>
      <w:r w:rsidR="00136D0C">
        <w:rPr>
          <w:rFonts w:ascii="Times New Roman" w:hAnsi="Times New Roman"/>
          <w:sz w:val="24"/>
          <w:szCs w:val="24"/>
        </w:rPr>
        <w:t xml:space="preserve"> </w:t>
      </w:r>
      <w:r w:rsidR="00CE1077">
        <w:rPr>
          <w:rFonts w:ascii="Times New Roman" w:hAnsi="Times New Roman"/>
          <w:sz w:val="24"/>
          <w:szCs w:val="24"/>
        </w:rPr>
        <w:t>which includes</w:t>
      </w:r>
      <w:r w:rsidR="00136D0C">
        <w:rPr>
          <w:rFonts w:ascii="Times New Roman" w:hAnsi="Times New Roman"/>
          <w:sz w:val="24"/>
          <w:szCs w:val="24"/>
        </w:rPr>
        <w:t xml:space="preserve"> </w:t>
      </w:r>
      <w:r w:rsidR="00451C8F">
        <w:rPr>
          <w:rFonts w:ascii="Times New Roman" w:hAnsi="Times New Roman"/>
          <w:sz w:val="24"/>
          <w:szCs w:val="24"/>
        </w:rPr>
        <w:t>4,445</w:t>
      </w:r>
      <w:r w:rsidR="00136D0C">
        <w:rPr>
          <w:rFonts w:ascii="Times New Roman" w:hAnsi="Times New Roman"/>
          <w:sz w:val="24"/>
          <w:szCs w:val="24"/>
        </w:rPr>
        <w:t xml:space="preserve"> amateur radio </w:t>
      </w:r>
      <w:r w:rsidR="00CE1077">
        <w:rPr>
          <w:rFonts w:ascii="Times New Roman" w:hAnsi="Times New Roman"/>
          <w:sz w:val="24"/>
          <w:szCs w:val="24"/>
        </w:rPr>
        <w:t>applicants</w:t>
      </w:r>
      <w:r w:rsidRPr="002A3414" w:rsidR="0046341C">
        <w:rPr>
          <w:rFonts w:ascii="Times New Roman" w:hAnsi="Times New Roman"/>
          <w:sz w:val="24"/>
          <w:szCs w:val="24"/>
        </w:rPr>
        <w:t>.</w:t>
      </w:r>
      <w:r w:rsidR="00136D0C">
        <w:rPr>
          <w:rFonts w:ascii="Times New Roman" w:hAnsi="Times New Roman"/>
          <w:sz w:val="24"/>
          <w:szCs w:val="24"/>
        </w:rPr>
        <w:t xml:space="preserve">  </w:t>
      </w:r>
      <w:r w:rsidRPr="002A3414" w:rsidR="00136D0C">
        <w:rPr>
          <w:rFonts w:ascii="Times New Roman" w:hAnsi="Times New Roman"/>
          <w:sz w:val="24"/>
          <w:szCs w:val="24"/>
        </w:rPr>
        <w:t xml:space="preserve">We estimate that </w:t>
      </w:r>
      <w:r w:rsidR="00136D0C">
        <w:rPr>
          <w:rFonts w:ascii="Times New Roman" w:hAnsi="Times New Roman"/>
          <w:sz w:val="24"/>
          <w:szCs w:val="24"/>
        </w:rPr>
        <w:t xml:space="preserve">the </w:t>
      </w:r>
      <w:r w:rsidRPr="002A3414" w:rsidR="00136D0C">
        <w:rPr>
          <w:rFonts w:ascii="Times New Roman" w:hAnsi="Times New Roman"/>
          <w:sz w:val="24"/>
          <w:szCs w:val="24"/>
        </w:rPr>
        <w:t>amateur radio operators will</w:t>
      </w:r>
      <w:r w:rsidR="00136D0C">
        <w:rPr>
          <w:rFonts w:ascii="Times New Roman" w:hAnsi="Times New Roman"/>
          <w:sz w:val="24"/>
          <w:szCs w:val="24"/>
        </w:rPr>
        <w:t xml:space="preserve"> each</w:t>
      </w:r>
      <w:r w:rsidRPr="002A3414" w:rsidR="00136D0C">
        <w:rPr>
          <w:rFonts w:ascii="Times New Roman" w:hAnsi="Times New Roman"/>
          <w:sz w:val="24"/>
          <w:szCs w:val="24"/>
        </w:rPr>
        <w:t xml:space="preserve"> spend an average of one hour evaluating</w:t>
      </w:r>
      <w:r w:rsidR="007D7FDC">
        <w:rPr>
          <w:rFonts w:ascii="Times New Roman" w:hAnsi="Times New Roman"/>
          <w:sz w:val="24"/>
          <w:szCs w:val="24"/>
        </w:rPr>
        <w:t xml:space="preserve"> and mitigating</w:t>
      </w:r>
      <w:r w:rsidRPr="002A3414" w:rsidR="00136D0C">
        <w:rPr>
          <w:rFonts w:ascii="Times New Roman" w:hAnsi="Times New Roman"/>
          <w:sz w:val="24"/>
          <w:szCs w:val="24"/>
        </w:rPr>
        <w:t xml:space="preserve"> their own hobby operations</w:t>
      </w:r>
      <w:r w:rsidR="00136D0C">
        <w:rPr>
          <w:rFonts w:ascii="Times New Roman" w:hAnsi="Times New Roman"/>
          <w:sz w:val="24"/>
          <w:szCs w:val="24"/>
        </w:rPr>
        <w:t>,</w:t>
      </w:r>
      <w:r w:rsidRPr="002A3414" w:rsidR="00136D0C">
        <w:rPr>
          <w:rFonts w:ascii="Times New Roman" w:hAnsi="Times New Roman"/>
          <w:sz w:val="24"/>
          <w:szCs w:val="24"/>
        </w:rPr>
        <w:t xml:space="preserve"> giving a total of </w:t>
      </w:r>
      <w:r w:rsidR="00451C8F">
        <w:rPr>
          <w:rFonts w:ascii="Times New Roman" w:hAnsi="Times New Roman"/>
          <w:sz w:val="24"/>
          <w:szCs w:val="24"/>
        </w:rPr>
        <w:t>4,445</w:t>
      </w:r>
      <w:r w:rsidRPr="002A3414" w:rsidR="00136D0C">
        <w:rPr>
          <w:rFonts w:ascii="Times New Roman" w:hAnsi="Times New Roman"/>
          <w:sz w:val="24"/>
          <w:szCs w:val="24"/>
        </w:rPr>
        <w:t xml:space="preserve"> evaluations x 1 hour/evaluation = </w:t>
      </w:r>
      <w:r w:rsidR="00451C8F">
        <w:rPr>
          <w:rFonts w:ascii="Times New Roman" w:hAnsi="Times New Roman"/>
          <w:sz w:val="24"/>
          <w:szCs w:val="24"/>
        </w:rPr>
        <w:t>4,445</w:t>
      </w:r>
      <w:r w:rsidRPr="002A3414" w:rsidR="00136D0C">
        <w:rPr>
          <w:rFonts w:ascii="Times New Roman" w:hAnsi="Times New Roman"/>
          <w:sz w:val="24"/>
          <w:szCs w:val="24"/>
        </w:rPr>
        <w:t xml:space="preserve"> hours. Amateur radio operators are hobbyists who are expected to complete the requirement without outside assistance.</w:t>
      </w:r>
      <w:r w:rsidRPr="002A3414" w:rsidR="0046341C">
        <w:rPr>
          <w:rFonts w:ascii="Times New Roman" w:hAnsi="Times New Roman"/>
          <w:sz w:val="24"/>
          <w:szCs w:val="24"/>
        </w:rPr>
        <w:t xml:space="preserve">  </w:t>
      </w:r>
      <w:r w:rsidR="00136D0C">
        <w:rPr>
          <w:rFonts w:ascii="Times New Roman" w:hAnsi="Times New Roman"/>
          <w:sz w:val="24"/>
          <w:szCs w:val="24"/>
        </w:rPr>
        <w:lastRenderedPageBreak/>
        <w:t>We</w:t>
      </w:r>
      <w:r w:rsidRPr="002A3414" w:rsidR="004F1415">
        <w:rPr>
          <w:rFonts w:ascii="Times New Roman" w:hAnsi="Times New Roman"/>
          <w:sz w:val="24"/>
          <w:szCs w:val="24"/>
        </w:rPr>
        <w:t xml:space="preserve"> estimate that h</w:t>
      </w:r>
      <w:r w:rsidRPr="002A3414" w:rsidR="0038242B">
        <w:rPr>
          <w:rFonts w:ascii="Times New Roman" w:hAnsi="Times New Roman"/>
          <w:sz w:val="24"/>
          <w:szCs w:val="24"/>
        </w:rPr>
        <w:t>alf of the</w:t>
      </w:r>
      <w:r w:rsidR="00136D0C">
        <w:rPr>
          <w:rFonts w:ascii="Times New Roman" w:hAnsi="Times New Roman"/>
          <w:sz w:val="24"/>
          <w:szCs w:val="24"/>
        </w:rPr>
        <w:t xml:space="preserve"> </w:t>
      </w:r>
      <w:r w:rsidR="00F96CB4">
        <w:rPr>
          <w:rFonts w:ascii="Times New Roman" w:hAnsi="Times New Roman"/>
          <w:sz w:val="24"/>
          <w:szCs w:val="24"/>
        </w:rPr>
        <w:t>other</w:t>
      </w:r>
      <w:r w:rsidR="00136D0C">
        <w:rPr>
          <w:rFonts w:ascii="Times New Roman" w:hAnsi="Times New Roman"/>
          <w:sz w:val="24"/>
          <w:szCs w:val="24"/>
        </w:rPr>
        <w:t xml:space="preserve"> 3,</w:t>
      </w:r>
      <w:r w:rsidR="00451C8F">
        <w:rPr>
          <w:rFonts w:ascii="Times New Roman" w:hAnsi="Times New Roman"/>
          <w:sz w:val="24"/>
          <w:szCs w:val="24"/>
        </w:rPr>
        <w:t>294</w:t>
      </w:r>
      <w:r w:rsidRPr="002A3414" w:rsidR="00451C8F">
        <w:rPr>
          <w:rFonts w:ascii="Times New Roman" w:hAnsi="Times New Roman"/>
          <w:sz w:val="24"/>
          <w:szCs w:val="24"/>
        </w:rPr>
        <w:t xml:space="preserve"> </w:t>
      </w:r>
      <w:r w:rsidRPr="002A3414" w:rsidR="0038242B">
        <w:rPr>
          <w:rFonts w:ascii="Times New Roman" w:hAnsi="Times New Roman"/>
          <w:sz w:val="24"/>
          <w:szCs w:val="24"/>
        </w:rPr>
        <w:t xml:space="preserve">respondents will complete the </w:t>
      </w:r>
      <w:r w:rsidR="00502457">
        <w:rPr>
          <w:rFonts w:ascii="Times New Roman" w:hAnsi="Times New Roman"/>
          <w:sz w:val="24"/>
          <w:szCs w:val="24"/>
        </w:rPr>
        <w:t>simple evaluation</w:t>
      </w:r>
      <w:r w:rsidRPr="002A3414" w:rsidR="00502457">
        <w:rPr>
          <w:rFonts w:ascii="Times New Roman" w:hAnsi="Times New Roman"/>
          <w:sz w:val="24"/>
          <w:szCs w:val="24"/>
        </w:rPr>
        <w:t xml:space="preserve"> </w:t>
      </w:r>
      <w:r w:rsidRPr="002A3414" w:rsidR="0038242B">
        <w:rPr>
          <w:rFonts w:ascii="Times New Roman" w:hAnsi="Times New Roman"/>
          <w:sz w:val="24"/>
          <w:szCs w:val="24"/>
        </w:rPr>
        <w:t>without outside assistance (</w:t>
      </w:r>
      <w:r w:rsidR="001C7D54">
        <w:rPr>
          <w:rFonts w:ascii="Times New Roman" w:hAnsi="Times New Roman"/>
          <w:sz w:val="24"/>
          <w:szCs w:val="24"/>
        </w:rPr>
        <w:t>1,6</w:t>
      </w:r>
      <w:r w:rsidR="00451C8F">
        <w:rPr>
          <w:rFonts w:ascii="Times New Roman" w:hAnsi="Times New Roman"/>
          <w:sz w:val="24"/>
          <w:szCs w:val="24"/>
        </w:rPr>
        <w:t>47</w:t>
      </w:r>
      <w:r w:rsidRPr="002A3414" w:rsidR="0038242B">
        <w:rPr>
          <w:rFonts w:ascii="Times New Roman" w:hAnsi="Times New Roman"/>
          <w:sz w:val="24"/>
          <w:szCs w:val="24"/>
        </w:rPr>
        <w:t>)</w:t>
      </w:r>
      <w:r w:rsidR="00845E75">
        <w:rPr>
          <w:rFonts w:ascii="Times New Roman" w:hAnsi="Times New Roman"/>
          <w:sz w:val="24"/>
          <w:szCs w:val="24"/>
        </w:rPr>
        <w:t>,</w:t>
      </w:r>
      <w:r w:rsidRPr="002A3414" w:rsidR="0038242B">
        <w:rPr>
          <w:rFonts w:ascii="Times New Roman" w:hAnsi="Times New Roman"/>
          <w:sz w:val="24"/>
          <w:szCs w:val="24"/>
        </w:rPr>
        <w:t xml:space="preserve"> and the remaining respondents will require outside assistance (</w:t>
      </w:r>
      <w:r w:rsidR="001C7D54">
        <w:rPr>
          <w:rFonts w:ascii="Times New Roman" w:hAnsi="Times New Roman"/>
          <w:sz w:val="24"/>
          <w:szCs w:val="24"/>
        </w:rPr>
        <w:t>1,</w:t>
      </w:r>
      <w:r w:rsidR="00451C8F">
        <w:rPr>
          <w:rFonts w:ascii="Times New Roman" w:hAnsi="Times New Roman"/>
          <w:sz w:val="24"/>
          <w:szCs w:val="24"/>
        </w:rPr>
        <w:t>647</w:t>
      </w:r>
      <w:r w:rsidR="003E7C85">
        <w:rPr>
          <w:rFonts w:ascii="Times New Roman" w:hAnsi="Times New Roman"/>
          <w:sz w:val="24"/>
          <w:szCs w:val="24"/>
        </w:rPr>
        <w:t>; see item 13 below</w:t>
      </w:r>
      <w:r w:rsidRPr="002A3414" w:rsidR="0038242B">
        <w:rPr>
          <w:rFonts w:ascii="Times New Roman" w:hAnsi="Times New Roman"/>
          <w:sz w:val="24"/>
          <w:szCs w:val="24"/>
        </w:rPr>
        <w:t xml:space="preserve">).  </w:t>
      </w:r>
      <w:r w:rsidRPr="002A3414" w:rsidR="0046341C">
        <w:rPr>
          <w:rFonts w:ascii="Times New Roman" w:hAnsi="Times New Roman"/>
          <w:sz w:val="24"/>
          <w:szCs w:val="24"/>
        </w:rPr>
        <w:t>T</w:t>
      </w:r>
      <w:r w:rsidRPr="002A3414" w:rsidR="004D14BE">
        <w:rPr>
          <w:rFonts w:ascii="Times New Roman" w:hAnsi="Times New Roman"/>
          <w:sz w:val="24"/>
          <w:szCs w:val="24"/>
        </w:rPr>
        <w:t xml:space="preserve">he </w:t>
      </w:r>
      <w:r w:rsidRPr="002A3414" w:rsidR="0046341C">
        <w:rPr>
          <w:rFonts w:ascii="Times New Roman" w:hAnsi="Times New Roman"/>
          <w:sz w:val="24"/>
          <w:szCs w:val="24"/>
        </w:rPr>
        <w:t xml:space="preserve">estimated </w:t>
      </w:r>
      <w:r w:rsidRPr="002A3414" w:rsidR="004D14BE">
        <w:rPr>
          <w:rFonts w:ascii="Times New Roman" w:hAnsi="Times New Roman"/>
          <w:sz w:val="24"/>
          <w:szCs w:val="24"/>
        </w:rPr>
        <w:t xml:space="preserve">amount of time for </w:t>
      </w:r>
      <w:r w:rsidRPr="002A3414" w:rsidR="003F43E2">
        <w:rPr>
          <w:rFonts w:ascii="Times New Roman" w:hAnsi="Times New Roman"/>
          <w:sz w:val="24"/>
          <w:szCs w:val="24"/>
        </w:rPr>
        <w:t xml:space="preserve">most </w:t>
      </w:r>
      <w:r w:rsidR="00136D0C">
        <w:rPr>
          <w:rFonts w:ascii="Times New Roman" w:hAnsi="Times New Roman"/>
          <w:sz w:val="24"/>
          <w:szCs w:val="24"/>
        </w:rPr>
        <w:t>respondents</w:t>
      </w:r>
      <w:r w:rsidR="00D1412A">
        <w:rPr>
          <w:rFonts w:ascii="Times New Roman" w:hAnsi="Times New Roman"/>
          <w:sz w:val="24"/>
          <w:szCs w:val="24"/>
        </w:rPr>
        <w:t xml:space="preserve"> requiring simple evaluations</w:t>
      </w:r>
      <w:r w:rsidRPr="002A3414" w:rsidR="00502457">
        <w:rPr>
          <w:rFonts w:ascii="Times New Roman" w:hAnsi="Times New Roman"/>
          <w:sz w:val="24"/>
          <w:szCs w:val="24"/>
        </w:rPr>
        <w:t xml:space="preserve"> </w:t>
      </w:r>
      <w:r w:rsidRPr="002A3414" w:rsidR="004D14BE">
        <w:rPr>
          <w:rFonts w:ascii="Times New Roman" w:hAnsi="Times New Roman"/>
          <w:sz w:val="24"/>
          <w:szCs w:val="24"/>
        </w:rPr>
        <w:t xml:space="preserve">would be </w:t>
      </w:r>
      <w:r w:rsidRPr="002A3414" w:rsidR="008D79E6">
        <w:rPr>
          <w:rFonts w:ascii="Times New Roman" w:hAnsi="Times New Roman"/>
          <w:sz w:val="24"/>
          <w:szCs w:val="24"/>
        </w:rPr>
        <w:t xml:space="preserve">three </w:t>
      </w:r>
      <w:r w:rsidRPr="002A3414" w:rsidR="004D14BE">
        <w:rPr>
          <w:rFonts w:ascii="Times New Roman" w:hAnsi="Times New Roman"/>
          <w:sz w:val="24"/>
          <w:szCs w:val="24"/>
        </w:rPr>
        <w:t>hour</w:t>
      </w:r>
      <w:r w:rsidRPr="002A3414" w:rsidR="0046341C">
        <w:rPr>
          <w:rFonts w:ascii="Times New Roman" w:hAnsi="Times New Roman"/>
          <w:sz w:val="24"/>
          <w:szCs w:val="24"/>
        </w:rPr>
        <w:t>s</w:t>
      </w:r>
      <w:r w:rsidRPr="002A3414" w:rsidR="00F5036B">
        <w:rPr>
          <w:rFonts w:ascii="Times New Roman" w:hAnsi="Times New Roman"/>
          <w:sz w:val="24"/>
          <w:szCs w:val="24"/>
        </w:rPr>
        <w:t xml:space="preserve"> </w:t>
      </w:r>
      <w:r w:rsidRPr="002A3414" w:rsidR="0038242B">
        <w:rPr>
          <w:rFonts w:ascii="Times New Roman" w:hAnsi="Times New Roman"/>
          <w:sz w:val="24"/>
          <w:szCs w:val="24"/>
        </w:rPr>
        <w:t>for in-house staff</w:t>
      </w:r>
      <w:r w:rsidR="00136D0C">
        <w:rPr>
          <w:rFonts w:ascii="Times New Roman" w:hAnsi="Times New Roman"/>
          <w:sz w:val="24"/>
          <w:szCs w:val="24"/>
        </w:rPr>
        <w:t>,</w:t>
      </w:r>
      <w:r w:rsidRPr="002A3414" w:rsidR="0038242B">
        <w:rPr>
          <w:rFonts w:ascii="Times New Roman" w:hAnsi="Times New Roman"/>
          <w:sz w:val="24"/>
          <w:szCs w:val="24"/>
        </w:rPr>
        <w:t xml:space="preserve"> </w:t>
      </w:r>
      <w:r w:rsidRPr="002A3414" w:rsidR="0046341C">
        <w:rPr>
          <w:rFonts w:ascii="Times New Roman" w:hAnsi="Times New Roman"/>
          <w:sz w:val="24"/>
          <w:szCs w:val="24"/>
        </w:rPr>
        <w:t xml:space="preserve">giving a total </w:t>
      </w:r>
      <w:r w:rsidRPr="002A3414" w:rsidR="00E545D5">
        <w:rPr>
          <w:rFonts w:ascii="Times New Roman" w:hAnsi="Times New Roman"/>
          <w:sz w:val="24"/>
          <w:szCs w:val="24"/>
        </w:rPr>
        <w:t xml:space="preserve">of about </w:t>
      </w:r>
      <w:r w:rsidR="001C7D54">
        <w:rPr>
          <w:rFonts w:ascii="Times New Roman" w:hAnsi="Times New Roman"/>
          <w:sz w:val="24"/>
          <w:szCs w:val="24"/>
        </w:rPr>
        <w:t>1,</w:t>
      </w:r>
      <w:r w:rsidR="00451C8F">
        <w:rPr>
          <w:rFonts w:ascii="Times New Roman" w:hAnsi="Times New Roman"/>
          <w:sz w:val="24"/>
          <w:szCs w:val="24"/>
        </w:rPr>
        <w:t>647</w:t>
      </w:r>
      <w:r w:rsidRPr="002A3414" w:rsidR="00451C8F">
        <w:rPr>
          <w:rFonts w:ascii="Times New Roman" w:hAnsi="Times New Roman"/>
          <w:sz w:val="24"/>
          <w:szCs w:val="24"/>
        </w:rPr>
        <w:t xml:space="preserve"> </w:t>
      </w:r>
      <w:r w:rsidRPr="002A3414" w:rsidR="00A96C30">
        <w:rPr>
          <w:rFonts w:ascii="Times New Roman" w:hAnsi="Times New Roman"/>
          <w:sz w:val="24"/>
          <w:szCs w:val="24"/>
        </w:rPr>
        <w:t xml:space="preserve">responses </w:t>
      </w:r>
      <w:r w:rsidRPr="002A3414" w:rsidR="00F609DD">
        <w:rPr>
          <w:rFonts w:ascii="Times New Roman" w:hAnsi="Times New Roman"/>
          <w:sz w:val="24"/>
          <w:szCs w:val="24"/>
        </w:rPr>
        <w:t>x 3</w:t>
      </w:r>
      <w:r w:rsidRPr="002A3414" w:rsidR="00F3230A">
        <w:rPr>
          <w:rFonts w:ascii="Times New Roman" w:hAnsi="Times New Roman"/>
          <w:sz w:val="24"/>
          <w:szCs w:val="24"/>
        </w:rPr>
        <w:t xml:space="preserve"> hours</w:t>
      </w:r>
      <w:r w:rsidRPr="002A3414" w:rsidR="00A96C30">
        <w:rPr>
          <w:rFonts w:ascii="Times New Roman" w:hAnsi="Times New Roman"/>
          <w:sz w:val="24"/>
          <w:szCs w:val="24"/>
        </w:rPr>
        <w:t>/response</w:t>
      </w:r>
      <w:r w:rsidRPr="002A3414" w:rsidR="00F609DD">
        <w:rPr>
          <w:rFonts w:ascii="Times New Roman" w:hAnsi="Times New Roman"/>
          <w:sz w:val="24"/>
          <w:szCs w:val="24"/>
        </w:rPr>
        <w:t xml:space="preserve"> = </w:t>
      </w:r>
      <w:r w:rsidR="001C7D54">
        <w:rPr>
          <w:rFonts w:ascii="Times New Roman" w:hAnsi="Times New Roman"/>
          <w:sz w:val="24"/>
          <w:szCs w:val="24"/>
        </w:rPr>
        <w:t>4,</w:t>
      </w:r>
      <w:r w:rsidR="00451C8F">
        <w:rPr>
          <w:rFonts w:ascii="Times New Roman" w:hAnsi="Times New Roman"/>
          <w:sz w:val="24"/>
          <w:szCs w:val="24"/>
        </w:rPr>
        <w:t>94</w:t>
      </w:r>
      <w:r w:rsidR="00370261">
        <w:rPr>
          <w:rFonts w:ascii="Times New Roman" w:hAnsi="Times New Roman"/>
          <w:sz w:val="24"/>
          <w:szCs w:val="24"/>
        </w:rPr>
        <w:t>1</w:t>
      </w:r>
      <w:r w:rsidRPr="002A3414" w:rsidR="00451C8F">
        <w:rPr>
          <w:rFonts w:ascii="Times New Roman" w:hAnsi="Times New Roman"/>
          <w:sz w:val="24"/>
          <w:szCs w:val="24"/>
        </w:rPr>
        <w:t xml:space="preserve"> </w:t>
      </w:r>
      <w:r w:rsidRPr="002A3414" w:rsidR="00E545D5">
        <w:rPr>
          <w:rFonts w:ascii="Times New Roman" w:hAnsi="Times New Roman"/>
          <w:sz w:val="24"/>
          <w:szCs w:val="24"/>
        </w:rPr>
        <w:t>hours</w:t>
      </w:r>
      <w:r w:rsidRPr="002A3414" w:rsidR="004D14BE">
        <w:rPr>
          <w:rFonts w:ascii="Times New Roman" w:hAnsi="Times New Roman"/>
          <w:sz w:val="24"/>
          <w:szCs w:val="24"/>
        </w:rPr>
        <w:t xml:space="preserve">.  </w:t>
      </w:r>
      <w:r w:rsidR="00136D0C">
        <w:rPr>
          <w:rFonts w:ascii="Times New Roman" w:hAnsi="Times New Roman"/>
          <w:sz w:val="24"/>
          <w:szCs w:val="24"/>
        </w:rPr>
        <w:t xml:space="preserve">In summary, the total number of </w:t>
      </w:r>
      <w:r w:rsidR="00F96CB4">
        <w:rPr>
          <w:rFonts w:ascii="Times New Roman" w:hAnsi="Times New Roman"/>
          <w:sz w:val="24"/>
          <w:szCs w:val="24"/>
        </w:rPr>
        <w:t>respondents requiring a simple evaluation is 4,</w:t>
      </w:r>
      <w:r w:rsidR="00451C8F">
        <w:rPr>
          <w:rFonts w:ascii="Times New Roman" w:hAnsi="Times New Roman"/>
          <w:sz w:val="24"/>
          <w:szCs w:val="24"/>
        </w:rPr>
        <w:t xml:space="preserve">445 </w:t>
      </w:r>
      <w:r w:rsidR="00F96CB4">
        <w:rPr>
          <w:rFonts w:ascii="Times New Roman" w:hAnsi="Times New Roman"/>
          <w:sz w:val="24"/>
          <w:szCs w:val="24"/>
        </w:rPr>
        <w:t>+ 3,</w:t>
      </w:r>
      <w:r w:rsidR="00451C8F">
        <w:rPr>
          <w:rFonts w:ascii="Times New Roman" w:hAnsi="Times New Roman"/>
          <w:sz w:val="24"/>
          <w:szCs w:val="24"/>
        </w:rPr>
        <w:t xml:space="preserve">294 </w:t>
      </w:r>
      <w:r w:rsidR="00F96CB4">
        <w:rPr>
          <w:rFonts w:ascii="Times New Roman" w:hAnsi="Times New Roman"/>
          <w:sz w:val="24"/>
          <w:szCs w:val="24"/>
        </w:rPr>
        <w:t>= 7,</w:t>
      </w:r>
      <w:r w:rsidR="00451C8F">
        <w:rPr>
          <w:rFonts w:ascii="Times New Roman" w:hAnsi="Times New Roman"/>
          <w:sz w:val="24"/>
          <w:szCs w:val="24"/>
        </w:rPr>
        <w:t>73</w:t>
      </w:r>
      <w:r w:rsidR="00370261">
        <w:rPr>
          <w:rFonts w:ascii="Times New Roman" w:hAnsi="Times New Roman"/>
          <w:sz w:val="24"/>
          <w:szCs w:val="24"/>
        </w:rPr>
        <w:t>9</w:t>
      </w:r>
      <w:r w:rsidR="00F96CB4">
        <w:rPr>
          <w:rFonts w:ascii="Times New Roman" w:hAnsi="Times New Roman"/>
          <w:sz w:val="24"/>
          <w:szCs w:val="24"/>
        </w:rPr>
        <w:t xml:space="preserve"> and their total in-house burden hours is estimated to be 4,</w:t>
      </w:r>
      <w:r w:rsidR="00451C8F">
        <w:rPr>
          <w:rFonts w:ascii="Times New Roman" w:hAnsi="Times New Roman"/>
          <w:sz w:val="24"/>
          <w:szCs w:val="24"/>
        </w:rPr>
        <w:t xml:space="preserve">445 </w:t>
      </w:r>
      <w:r w:rsidR="00F96CB4">
        <w:rPr>
          <w:rFonts w:ascii="Times New Roman" w:hAnsi="Times New Roman"/>
          <w:sz w:val="24"/>
          <w:szCs w:val="24"/>
        </w:rPr>
        <w:t>+ 4,</w:t>
      </w:r>
      <w:r w:rsidR="00451C8F">
        <w:rPr>
          <w:rFonts w:ascii="Times New Roman" w:hAnsi="Times New Roman"/>
          <w:sz w:val="24"/>
          <w:szCs w:val="24"/>
        </w:rPr>
        <w:t>94</w:t>
      </w:r>
      <w:r w:rsidR="00370261">
        <w:rPr>
          <w:rFonts w:ascii="Times New Roman" w:hAnsi="Times New Roman"/>
          <w:sz w:val="24"/>
          <w:szCs w:val="24"/>
        </w:rPr>
        <w:t>1</w:t>
      </w:r>
      <w:r w:rsidR="00451C8F">
        <w:rPr>
          <w:rFonts w:ascii="Times New Roman" w:hAnsi="Times New Roman"/>
          <w:sz w:val="24"/>
          <w:szCs w:val="24"/>
        </w:rPr>
        <w:t xml:space="preserve"> </w:t>
      </w:r>
      <w:r w:rsidR="00F96CB4">
        <w:rPr>
          <w:rFonts w:ascii="Times New Roman" w:hAnsi="Times New Roman"/>
          <w:sz w:val="24"/>
          <w:szCs w:val="24"/>
        </w:rPr>
        <w:t>= 9,</w:t>
      </w:r>
      <w:r w:rsidR="00451C8F">
        <w:rPr>
          <w:rFonts w:ascii="Times New Roman" w:hAnsi="Times New Roman"/>
          <w:sz w:val="24"/>
          <w:szCs w:val="24"/>
        </w:rPr>
        <w:t>38</w:t>
      </w:r>
      <w:r w:rsidR="00370261">
        <w:rPr>
          <w:rFonts w:ascii="Times New Roman" w:hAnsi="Times New Roman"/>
          <w:sz w:val="24"/>
          <w:szCs w:val="24"/>
        </w:rPr>
        <w:t>6</w:t>
      </w:r>
      <w:r w:rsidR="00451C8F">
        <w:rPr>
          <w:rFonts w:ascii="Times New Roman" w:hAnsi="Times New Roman"/>
          <w:sz w:val="24"/>
          <w:szCs w:val="24"/>
        </w:rPr>
        <w:t xml:space="preserve"> </w:t>
      </w:r>
      <w:r w:rsidR="00F96CB4">
        <w:rPr>
          <w:rFonts w:ascii="Times New Roman" w:hAnsi="Times New Roman"/>
          <w:sz w:val="24"/>
          <w:szCs w:val="24"/>
        </w:rPr>
        <w:t>hours.</w:t>
      </w:r>
    </w:p>
    <w:p w:rsidRPr="002A3414" w:rsidR="004D14BE" w:rsidP="002A3414" w:rsidRDefault="004D14BE" w14:paraId="08B5A8BF" w14:textId="77777777">
      <w:pPr>
        <w:tabs>
          <w:tab w:val="left" w:pos="-720"/>
          <w:tab w:val="left" w:pos="360"/>
        </w:tabs>
        <w:suppressAutoHyphens/>
        <w:jc w:val="both"/>
        <w:rPr>
          <w:rFonts w:ascii="Times New Roman" w:hAnsi="Times New Roman"/>
          <w:sz w:val="24"/>
          <w:szCs w:val="24"/>
        </w:rPr>
      </w:pPr>
    </w:p>
    <w:p w:rsidRPr="002A3414" w:rsidR="00F609DD" w:rsidP="00D80B47" w:rsidRDefault="004D14BE" w14:paraId="3C176CB2" w14:textId="352908E8">
      <w:pPr>
        <w:tabs>
          <w:tab w:val="left" w:pos="-720"/>
          <w:tab w:val="left" w:pos="360"/>
        </w:tabs>
        <w:suppressAutoHyphens/>
        <w:jc w:val="both"/>
        <w:rPr>
          <w:rFonts w:ascii="Times New Roman" w:hAnsi="Times New Roman"/>
          <w:sz w:val="24"/>
          <w:szCs w:val="24"/>
        </w:rPr>
      </w:pPr>
      <w:r w:rsidRPr="002A3414">
        <w:rPr>
          <w:rFonts w:ascii="Times New Roman" w:hAnsi="Times New Roman"/>
          <w:sz w:val="24"/>
          <w:szCs w:val="24"/>
        </w:rPr>
        <w:t>For</w:t>
      </w:r>
      <w:r w:rsidRPr="002A3414" w:rsidR="005619D7">
        <w:rPr>
          <w:rFonts w:ascii="Times New Roman" w:hAnsi="Times New Roman"/>
          <w:sz w:val="24"/>
          <w:szCs w:val="24"/>
        </w:rPr>
        <w:t xml:space="preserve"> </w:t>
      </w:r>
      <w:r w:rsidR="003E7C85">
        <w:rPr>
          <w:rFonts w:ascii="Times New Roman" w:hAnsi="Times New Roman"/>
          <w:sz w:val="24"/>
          <w:szCs w:val="24"/>
        </w:rPr>
        <w:t>the estimated 1,0</w:t>
      </w:r>
      <w:r w:rsidR="00761637">
        <w:rPr>
          <w:rFonts w:ascii="Times New Roman" w:hAnsi="Times New Roman"/>
          <w:sz w:val="24"/>
          <w:szCs w:val="24"/>
        </w:rPr>
        <w:t>20</w:t>
      </w:r>
      <w:r w:rsidR="003E7C85">
        <w:rPr>
          <w:rFonts w:ascii="Times New Roman" w:hAnsi="Times New Roman"/>
          <w:sz w:val="24"/>
          <w:szCs w:val="24"/>
        </w:rPr>
        <w:t xml:space="preserve"> </w:t>
      </w:r>
      <w:r w:rsidRPr="002A3414">
        <w:rPr>
          <w:rFonts w:ascii="Times New Roman" w:hAnsi="Times New Roman"/>
          <w:sz w:val="24"/>
          <w:szCs w:val="24"/>
        </w:rPr>
        <w:t>respondents having commingled RF sources</w:t>
      </w:r>
      <w:r w:rsidRPr="002A3414" w:rsidR="0046341C">
        <w:rPr>
          <w:rFonts w:ascii="Times New Roman" w:hAnsi="Times New Roman"/>
          <w:sz w:val="24"/>
          <w:szCs w:val="24"/>
        </w:rPr>
        <w:t xml:space="preserve">, </w:t>
      </w:r>
      <w:r w:rsidRPr="002A3414" w:rsidR="00004B27">
        <w:rPr>
          <w:rFonts w:ascii="Times New Roman" w:hAnsi="Times New Roman"/>
          <w:sz w:val="24"/>
          <w:szCs w:val="24"/>
        </w:rPr>
        <w:t>high-powered sources</w:t>
      </w:r>
      <w:r w:rsidRPr="002A3414" w:rsidR="0046341C">
        <w:rPr>
          <w:rFonts w:ascii="Times New Roman" w:hAnsi="Times New Roman"/>
          <w:sz w:val="24"/>
          <w:szCs w:val="24"/>
        </w:rPr>
        <w:t>,</w:t>
      </w:r>
      <w:r w:rsidRPr="002A3414">
        <w:rPr>
          <w:rFonts w:ascii="Times New Roman" w:hAnsi="Times New Roman"/>
          <w:sz w:val="24"/>
          <w:szCs w:val="24"/>
        </w:rPr>
        <w:t xml:space="preserve"> or otherwise </w:t>
      </w:r>
      <w:r w:rsidRPr="002A3414" w:rsidR="003C42F9">
        <w:rPr>
          <w:rFonts w:ascii="Times New Roman" w:hAnsi="Times New Roman"/>
          <w:sz w:val="24"/>
          <w:szCs w:val="24"/>
        </w:rPr>
        <w:t xml:space="preserve">having authorizations </w:t>
      </w:r>
      <w:r w:rsidRPr="002A3414">
        <w:rPr>
          <w:rFonts w:ascii="Times New Roman" w:hAnsi="Times New Roman"/>
          <w:sz w:val="24"/>
          <w:szCs w:val="24"/>
        </w:rPr>
        <w:t xml:space="preserve">requiring detailed </w:t>
      </w:r>
      <w:r w:rsidRPr="002A3414" w:rsidR="0046341C">
        <w:rPr>
          <w:rFonts w:ascii="Times New Roman" w:hAnsi="Times New Roman"/>
          <w:sz w:val="24"/>
          <w:szCs w:val="24"/>
        </w:rPr>
        <w:t>evaluation by calculation</w:t>
      </w:r>
      <w:r w:rsidRPr="002A3414">
        <w:rPr>
          <w:rFonts w:ascii="Times New Roman" w:hAnsi="Times New Roman"/>
          <w:sz w:val="24"/>
          <w:szCs w:val="24"/>
        </w:rPr>
        <w:t xml:space="preserve"> </w:t>
      </w:r>
      <w:r w:rsidRPr="002A3414" w:rsidR="0046341C">
        <w:rPr>
          <w:rFonts w:ascii="Times New Roman" w:hAnsi="Times New Roman"/>
          <w:sz w:val="24"/>
          <w:szCs w:val="24"/>
        </w:rPr>
        <w:t>and/or measurement</w:t>
      </w:r>
      <w:r w:rsidRPr="002A3414">
        <w:rPr>
          <w:rFonts w:ascii="Times New Roman" w:hAnsi="Times New Roman"/>
          <w:sz w:val="24"/>
          <w:szCs w:val="24"/>
        </w:rPr>
        <w:t xml:space="preserve">, the </w:t>
      </w:r>
      <w:r w:rsidRPr="002A3414" w:rsidR="003F43E2">
        <w:rPr>
          <w:rFonts w:ascii="Times New Roman" w:hAnsi="Times New Roman"/>
          <w:sz w:val="24"/>
          <w:szCs w:val="24"/>
        </w:rPr>
        <w:t xml:space="preserve">amount of time required is estimated to range from </w:t>
      </w:r>
      <w:r w:rsidRPr="002A3414" w:rsidR="005619D7">
        <w:rPr>
          <w:rFonts w:ascii="Times New Roman" w:hAnsi="Times New Roman"/>
          <w:sz w:val="24"/>
          <w:szCs w:val="24"/>
        </w:rPr>
        <w:t>4</w:t>
      </w:r>
      <w:r w:rsidRPr="002A3414" w:rsidR="003F43E2">
        <w:rPr>
          <w:rFonts w:ascii="Times New Roman" w:hAnsi="Times New Roman"/>
          <w:sz w:val="24"/>
          <w:szCs w:val="24"/>
        </w:rPr>
        <w:t xml:space="preserve"> </w:t>
      </w:r>
      <w:r w:rsidRPr="002A3414" w:rsidR="003F43E2">
        <w:rPr>
          <w:rFonts w:ascii="Times New Roman" w:hAnsi="Times New Roman"/>
          <w:sz w:val="24"/>
          <w:szCs w:val="24"/>
        </w:rPr>
        <w:softHyphen/>
        <w:t xml:space="preserve">to </w:t>
      </w:r>
      <w:r w:rsidRPr="002A3414" w:rsidR="00F609DD">
        <w:rPr>
          <w:rFonts w:ascii="Times New Roman" w:hAnsi="Times New Roman"/>
          <w:sz w:val="24"/>
          <w:szCs w:val="24"/>
        </w:rPr>
        <w:t>20</w:t>
      </w:r>
      <w:r w:rsidRPr="002A3414" w:rsidR="003F43E2">
        <w:rPr>
          <w:rFonts w:ascii="Times New Roman" w:hAnsi="Times New Roman"/>
          <w:sz w:val="24"/>
          <w:szCs w:val="24"/>
        </w:rPr>
        <w:t xml:space="preserve"> hours</w:t>
      </w:r>
      <w:r w:rsidRPr="002A3414" w:rsidR="00F609DD">
        <w:rPr>
          <w:rFonts w:ascii="Times New Roman" w:hAnsi="Times New Roman"/>
          <w:sz w:val="24"/>
          <w:szCs w:val="24"/>
        </w:rPr>
        <w:t>, depending upon the level of detail of the analysis and the information required to</w:t>
      </w:r>
      <w:r w:rsidRPr="002A3414" w:rsidR="00C62129">
        <w:rPr>
          <w:rFonts w:ascii="Times New Roman" w:hAnsi="Times New Roman"/>
          <w:sz w:val="24"/>
          <w:szCs w:val="24"/>
        </w:rPr>
        <w:t xml:space="preserve"> </w:t>
      </w:r>
      <w:r w:rsidRPr="002A3414" w:rsidR="00F609DD">
        <w:rPr>
          <w:rFonts w:ascii="Times New Roman" w:hAnsi="Times New Roman"/>
          <w:sz w:val="24"/>
          <w:szCs w:val="24"/>
        </w:rPr>
        <w:t>conduct it</w:t>
      </w:r>
      <w:r w:rsidRPr="002A3414" w:rsidR="003F43E2">
        <w:rPr>
          <w:rFonts w:ascii="Times New Roman" w:hAnsi="Times New Roman"/>
          <w:sz w:val="24"/>
          <w:szCs w:val="24"/>
        </w:rPr>
        <w:t>.</w:t>
      </w:r>
      <w:r w:rsidR="00FD42CF">
        <w:rPr>
          <w:rFonts w:ascii="Times New Roman" w:hAnsi="Times New Roman"/>
          <w:sz w:val="24"/>
          <w:szCs w:val="24"/>
        </w:rPr>
        <w:t xml:space="preserve">  </w:t>
      </w:r>
      <w:r w:rsidR="00365F35">
        <w:rPr>
          <w:rFonts w:ascii="Times New Roman" w:hAnsi="Times New Roman"/>
          <w:sz w:val="24"/>
          <w:szCs w:val="24"/>
        </w:rPr>
        <w:t xml:space="preserve">As part of their evaluation, </w:t>
      </w:r>
      <w:r w:rsidR="00FD42CF">
        <w:rPr>
          <w:rFonts w:ascii="Times New Roman" w:hAnsi="Times New Roman"/>
          <w:sz w:val="24"/>
          <w:szCs w:val="24"/>
        </w:rPr>
        <w:t>these respondents will need to ensure that appropriate mitigation measures are in place.</w:t>
      </w:r>
      <w:r w:rsidRPr="002A3414" w:rsidR="003F43E2">
        <w:rPr>
          <w:rFonts w:ascii="Times New Roman" w:hAnsi="Times New Roman"/>
          <w:sz w:val="24"/>
          <w:szCs w:val="24"/>
        </w:rPr>
        <w:t xml:space="preserve">  </w:t>
      </w:r>
      <w:r w:rsidRPr="002A3414" w:rsidR="00EF60B2">
        <w:rPr>
          <w:rFonts w:ascii="Times New Roman" w:hAnsi="Times New Roman"/>
          <w:sz w:val="24"/>
          <w:szCs w:val="24"/>
        </w:rPr>
        <w:t xml:space="preserve">The Commission estimates that in-house </w:t>
      </w:r>
      <w:r w:rsidRPr="002A3414" w:rsidR="00670665">
        <w:rPr>
          <w:rFonts w:ascii="Times New Roman" w:hAnsi="Times New Roman"/>
          <w:sz w:val="24"/>
          <w:szCs w:val="24"/>
        </w:rPr>
        <w:t xml:space="preserve">staff </w:t>
      </w:r>
      <w:r w:rsidRPr="002A3414" w:rsidR="00EF60B2">
        <w:rPr>
          <w:rFonts w:ascii="Times New Roman" w:hAnsi="Times New Roman"/>
          <w:sz w:val="24"/>
          <w:szCs w:val="24"/>
        </w:rPr>
        <w:t>will complete 10% of the responses</w:t>
      </w:r>
      <w:r w:rsidR="00845E75">
        <w:rPr>
          <w:rFonts w:ascii="Times New Roman" w:hAnsi="Times New Roman"/>
          <w:sz w:val="24"/>
          <w:szCs w:val="24"/>
        </w:rPr>
        <w:t xml:space="preserve"> (10</w:t>
      </w:r>
      <w:r w:rsidR="00761637">
        <w:rPr>
          <w:rFonts w:ascii="Times New Roman" w:hAnsi="Times New Roman"/>
          <w:sz w:val="24"/>
          <w:szCs w:val="24"/>
        </w:rPr>
        <w:t>2</w:t>
      </w:r>
      <w:r w:rsidR="00845E75">
        <w:rPr>
          <w:rFonts w:ascii="Times New Roman" w:hAnsi="Times New Roman"/>
          <w:sz w:val="24"/>
          <w:szCs w:val="24"/>
        </w:rPr>
        <w:t>)</w:t>
      </w:r>
      <w:r w:rsidRPr="002A3414" w:rsidR="00EF60B2">
        <w:rPr>
          <w:rFonts w:ascii="Times New Roman" w:hAnsi="Times New Roman"/>
          <w:sz w:val="24"/>
          <w:szCs w:val="24"/>
        </w:rPr>
        <w:t xml:space="preserve"> without outside assistance and the remaining 90% of responses (</w:t>
      </w:r>
      <w:r w:rsidR="001C7D54">
        <w:rPr>
          <w:rFonts w:ascii="Times New Roman" w:hAnsi="Times New Roman"/>
          <w:sz w:val="24"/>
          <w:szCs w:val="24"/>
        </w:rPr>
        <w:t>9</w:t>
      </w:r>
      <w:r w:rsidR="00761637">
        <w:rPr>
          <w:rFonts w:ascii="Times New Roman" w:hAnsi="Times New Roman"/>
          <w:sz w:val="24"/>
          <w:szCs w:val="24"/>
        </w:rPr>
        <w:t>1</w:t>
      </w:r>
      <w:r w:rsidR="001C7D54">
        <w:rPr>
          <w:rFonts w:ascii="Times New Roman" w:hAnsi="Times New Roman"/>
          <w:sz w:val="24"/>
          <w:szCs w:val="24"/>
        </w:rPr>
        <w:t>8</w:t>
      </w:r>
      <w:r w:rsidRPr="002A3414" w:rsidR="00EF60B2">
        <w:rPr>
          <w:rFonts w:ascii="Times New Roman" w:hAnsi="Times New Roman"/>
          <w:sz w:val="24"/>
          <w:szCs w:val="24"/>
        </w:rPr>
        <w:t xml:space="preserve">) will require outside assistance to complete them for a total of </w:t>
      </w:r>
      <w:r w:rsidR="001C7D54">
        <w:rPr>
          <w:rFonts w:ascii="Times New Roman" w:hAnsi="Times New Roman"/>
          <w:sz w:val="24"/>
          <w:szCs w:val="24"/>
        </w:rPr>
        <w:t>1,0</w:t>
      </w:r>
      <w:r w:rsidR="00761637">
        <w:rPr>
          <w:rFonts w:ascii="Times New Roman" w:hAnsi="Times New Roman"/>
          <w:sz w:val="24"/>
          <w:szCs w:val="24"/>
        </w:rPr>
        <w:t>20</w:t>
      </w:r>
      <w:r w:rsidRPr="002A3414" w:rsidR="00EF60B2">
        <w:rPr>
          <w:rFonts w:ascii="Times New Roman" w:hAnsi="Times New Roman"/>
          <w:sz w:val="24"/>
          <w:szCs w:val="24"/>
        </w:rPr>
        <w:t xml:space="preserve"> responses.  </w:t>
      </w:r>
      <w:r w:rsidRPr="002A3414" w:rsidR="0046341C">
        <w:rPr>
          <w:rFonts w:ascii="Times New Roman" w:hAnsi="Times New Roman"/>
          <w:sz w:val="24"/>
          <w:szCs w:val="24"/>
        </w:rPr>
        <w:t>The total number</w:t>
      </w:r>
      <w:r w:rsidRPr="002A3414" w:rsidR="00F5036B">
        <w:rPr>
          <w:rFonts w:ascii="Times New Roman" w:hAnsi="Times New Roman"/>
          <w:sz w:val="24"/>
          <w:szCs w:val="24"/>
        </w:rPr>
        <w:t xml:space="preserve"> of</w:t>
      </w:r>
      <w:r w:rsidRPr="002A3414" w:rsidR="0046341C">
        <w:rPr>
          <w:rFonts w:ascii="Times New Roman" w:hAnsi="Times New Roman"/>
          <w:sz w:val="24"/>
          <w:szCs w:val="24"/>
        </w:rPr>
        <w:t xml:space="preserve"> responses </w:t>
      </w:r>
      <w:r w:rsidRPr="002A3414" w:rsidR="00EF60B2">
        <w:rPr>
          <w:rFonts w:ascii="Times New Roman" w:hAnsi="Times New Roman"/>
          <w:sz w:val="24"/>
          <w:szCs w:val="24"/>
        </w:rPr>
        <w:t xml:space="preserve">completed in-house and </w:t>
      </w:r>
      <w:r w:rsidRPr="002A3414" w:rsidR="0046341C">
        <w:rPr>
          <w:rFonts w:ascii="Times New Roman" w:hAnsi="Times New Roman"/>
          <w:sz w:val="24"/>
          <w:szCs w:val="24"/>
        </w:rPr>
        <w:t>requiring detailed or complex evaluations is estimated to be</w:t>
      </w:r>
      <w:r w:rsidRPr="002A3414" w:rsidR="00765F5D">
        <w:rPr>
          <w:rFonts w:ascii="Times New Roman" w:hAnsi="Times New Roman"/>
          <w:sz w:val="24"/>
          <w:szCs w:val="24"/>
        </w:rPr>
        <w:t xml:space="preserve"> </w:t>
      </w:r>
      <w:r w:rsidR="00200E7B">
        <w:rPr>
          <w:rFonts w:ascii="Times New Roman" w:hAnsi="Times New Roman"/>
          <w:sz w:val="24"/>
          <w:szCs w:val="24"/>
        </w:rPr>
        <w:t>10</w:t>
      </w:r>
      <w:r w:rsidR="00761637">
        <w:rPr>
          <w:rFonts w:ascii="Times New Roman" w:hAnsi="Times New Roman"/>
          <w:sz w:val="24"/>
          <w:szCs w:val="24"/>
        </w:rPr>
        <w:t>2</w:t>
      </w:r>
      <w:r w:rsidRPr="002A3414" w:rsidR="0046341C">
        <w:rPr>
          <w:rFonts w:ascii="Times New Roman" w:hAnsi="Times New Roman"/>
          <w:sz w:val="24"/>
          <w:szCs w:val="24"/>
        </w:rPr>
        <w:t xml:space="preserve">, representing </w:t>
      </w:r>
      <w:r w:rsidRPr="002A3414" w:rsidR="00F609DD">
        <w:rPr>
          <w:rFonts w:ascii="Times New Roman" w:hAnsi="Times New Roman"/>
          <w:sz w:val="24"/>
          <w:szCs w:val="24"/>
        </w:rPr>
        <w:t xml:space="preserve">a total of </w:t>
      </w:r>
      <w:r w:rsidRPr="00F3011A" w:rsidR="003E7C85">
        <w:rPr>
          <w:rFonts w:ascii="Times New Roman" w:hAnsi="Times New Roman"/>
          <w:sz w:val="24"/>
          <w:szCs w:val="24"/>
        </w:rPr>
        <w:t>8</w:t>
      </w:r>
      <w:r w:rsidRPr="00F3011A" w:rsidR="009623CF">
        <w:rPr>
          <w:rFonts w:ascii="Times New Roman" w:hAnsi="Times New Roman"/>
          <w:sz w:val="24"/>
          <w:szCs w:val="24"/>
        </w:rPr>
        <w:t>4</w:t>
      </w:r>
      <w:r w:rsidRPr="00FE1B0B" w:rsidR="009623CF">
        <w:rPr>
          <w:rFonts w:ascii="Times New Roman" w:hAnsi="Times New Roman"/>
          <w:sz w:val="24"/>
          <w:szCs w:val="24"/>
        </w:rPr>
        <w:t>0</w:t>
      </w:r>
      <w:r w:rsidRPr="002A3414" w:rsidR="00EC6E3B">
        <w:rPr>
          <w:rFonts w:ascii="Times New Roman" w:hAnsi="Times New Roman"/>
          <w:sz w:val="24"/>
          <w:szCs w:val="24"/>
        </w:rPr>
        <w:t xml:space="preserve"> </w:t>
      </w:r>
      <w:r w:rsidRPr="002A3414" w:rsidR="00E545D5">
        <w:rPr>
          <w:rFonts w:ascii="Times New Roman" w:hAnsi="Times New Roman"/>
          <w:sz w:val="24"/>
          <w:szCs w:val="24"/>
        </w:rPr>
        <w:t>hours</w:t>
      </w:r>
      <w:r w:rsidRPr="002A3414" w:rsidR="0046341C">
        <w:rPr>
          <w:rFonts w:ascii="Times New Roman" w:hAnsi="Times New Roman"/>
          <w:b/>
          <w:sz w:val="24"/>
          <w:szCs w:val="24"/>
        </w:rPr>
        <w:t xml:space="preserve">. </w:t>
      </w:r>
      <w:r w:rsidRPr="002A3414" w:rsidR="00F609DD">
        <w:rPr>
          <w:rFonts w:ascii="Times New Roman" w:hAnsi="Times New Roman"/>
          <w:sz w:val="24"/>
          <w:szCs w:val="24"/>
        </w:rPr>
        <w:t xml:space="preserve"> The burden breakdown </w:t>
      </w:r>
      <w:r w:rsidRPr="002A3414" w:rsidR="00765F5D">
        <w:rPr>
          <w:rFonts w:ascii="Times New Roman" w:hAnsi="Times New Roman"/>
          <w:sz w:val="24"/>
          <w:szCs w:val="24"/>
        </w:rPr>
        <w:t xml:space="preserve">for in-house staff </w:t>
      </w:r>
      <w:r w:rsidRPr="002A3414" w:rsidR="00F609DD">
        <w:rPr>
          <w:rFonts w:ascii="Times New Roman" w:hAnsi="Times New Roman"/>
          <w:sz w:val="24"/>
          <w:szCs w:val="24"/>
        </w:rPr>
        <w:t>is as follows:</w:t>
      </w:r>
    </w:p>
    <w:p w:rsidRPr="002A3414" w:rsidR="00F609DD" w:rsidP="00D80B47" w:rsidRDefault="00F609DD" w14:paraId="69B1C32D" w14:textId="77777777">
      <w:pPr>
        <w:tabs>
          <w:tab w:val="left" w:pos="-720"/>
          <w:tab w:val="left" w:pos="360"/>
        </w:tabs>
        <w:suppressAutoHyphens/>
        <w:jc w:val="both"/>
        <w:rPr>
          <w:rFonts w:ascii="Times New Roman" w:hAnsi="Times New Roman"/>
          <w:sz w:val="24"/>
          <w:szCs w:val="24"/>
        </w:rPr>
      </w:pPr>
    </w:p>
    <w:p w:rsidRPr="002A3414" w:rsidR="00F609DD" w:rsidP="00D80B47" w:rsidRDefault="00F609DD" w14:paraId="63997F5F" w14:textId="77777777">
      <w:pPr>
        <w:tabs>
          <w:tab w:val="left" w:pos="-720"/>
          <w:tab w:val="left" w:pos="360"/>
        </w:tabs>
        <w:suppressAutoHyphens/>
        <w:jc w:val="both"/>
        <w:rPr>
          <w:rFonts w:ascii="Times New Roman" w:hAnsi="Times New Roman"/>
        </w:rPr>
      </w:pPr>
      <w:r w:rsidRPr="002A3414">
        <w:rPr>
          <w:rFonts w:ascii="Times New Roman" w:hAnsi="Times New Roman"/>
          <w:u w:val="single"/>
        </w:rPr>
        <w:t>Reporting Time</w:t>
      </w:r>
      <w:r w:rsidRPr="002A3414">
        <w:rPr>
          <w:rFonts w:ascii="Times New Roman" w:hAnsi="Times New Roman"/>
        </w:rPr>
        <w:tab/>
      </w:r>
      <w:r w:rsidRPr="002A3414">
        <w:rPr>
          <w:rFonts w:ascii="Times New Roman" w:hAnsi="Times New Roman"/>
          <w:u w:val="single"/>
        </w:rPr>
        <w:t>Radio Service(s)</w:t>
      </w:r>
      <w:r w:rsidRPr="002A3414">
        <w:rPr>
          <w:rFonts w:ascii="Times New Roman" w:hAnsi="Times New Roman"/>
        </w:rPr>
        <w:tab/>
      </w:r>
      <w:r w:rsidRPr="002A3414">
        <w:rPr>
          <w:rFonts w:ascii="Times New Roman" w:hAnsi="Times New Roman"/>
          <w:u w:val="single"/>
        </w:rPr>
        <w:t xml:space="preserve">Number of </w:t>
      </w:r>
      <w:r w:rsidRPr="002A3414" w:rsidR="00F5036B">
        <w:rPr>
          <w:rFonts w:ascii="Times New Roman" w:hAnsi="Times New Roman"/>
          <w:u w:val="single"/>
        </w:rPr>
        <w:t>Responses</w:t>
      </w:r>
      <w:r w:rsidRPr="002A3414">
        <w:rPr>
          <w:rFonts w:ascii="Times New Roman" w:hAnsi="Times New Roman"/>
        </w:rPr>
        <w:tab/>
      </w:r>
      <w:r w:rsidRPr="00F56035">
        <w:rPr>
          <w:rFonts w:ascii="Times New Roman" w:hAnsi="Times New Roman"/>
          <w:u w:val="single"/>
        </w:rPr>
        <w:t>Total Hours</w:t>
      </w:r>
    </w:p>
    <w:p w:rsidRPr="002A3414" w:rsidR="00F609DD" w:rsidP="00ED3638" w:rsidRDefault="00F609DD" w14:paraId="12B83A2E" w14:textId="0193AA7E">
      <w:pPr>
        <w:tabs>
          <w:tab w:val="left" w:pos="-720"/>
          <w:tab w:val="decimal" w:pos="540"/>
          <w:tab w:val="left" w:pos="1620"/>
          <w:tab w:val="decimal" w:pos="3870"/>
          <w:tab w:val="decimal" w:pos="5850"/>
        </w:tabs>
        <w:suppressAutoHyphens/>
        <w:jc w:val="both"/>
        <w:rPr>
          <w:rFonts w:ascii="Times New Roman" w:hAnsi="Times New Roman"/>
          <w:sz w:val="24"/>
          <w:szCs w:val="24"/>
        </w:rPr>
      </w:pPr>
      <w:r w:rsidRPr="002A3414">
        <w:rPr>
          <w:rFonts w:ascii="Times New Roman" w:hAnsi="Times New Roman"/>
          <w:sz w:val="24"/>
          <w:szCs w:val="24"/>
        </w:rPr>
        <w:tab/>
        <w:t>4 hours</w:t>
      </w:r>
      <w:r w:rsidRPr="002A3414">
        <w:rPr>
          <w:rFonts w:ascii="Times New Roman" w:hAnsi="Times New Roman"/>
          <w:sz w:val="24"/>
          <w:szCs w:val="24"/>
        </w:rPr>
        <w:tab/>
        <w:t>Amateur</w:t>
      </w:r>
      <w:r w:rsidRPr="002A3414">
        <w:rPr>
          <w:rFonts w:ascii="Times New Roman" w:hAnsi="Times New Roman"/>
          <w:sz w:val="24"/>
          <w:szCs w:val="24"/>
        </w:rPr>
        <w:tab/>
      </w:r>
      <w:r w:rsidR="00761637">
        <w:rPr>
          <w:rFonts w:ascii="Times New Roman" w:hAnsi="Times New Roman"/>
          <w:sz w:val="24"/>
          <w:szCs w:val="24"/>
        </w:rPr>
        <w:t>49</w:t>
      </w:r>
      <w:r w:rsidRPr="002A3414">
        <w:rPr>
          <w:rFonts w:ascii="Times New Roman" w:hAnsi="Times New Roman"/>
          <w:sz w:val="24"/>
          <w:szCs w:val="24"/>
        </w:rPr>
        <w:tab/>
      </w:r>
      <w:r w:rsidR="00761637">
        <w:rPr>
          <w:rFonts w:ascii="Times New Roman" w:hAnsi="Times New Roman"/>
          <w:sz w:val="24"/>
          <w:szCs w:val="24"/>
        </w:rPr>
        <w:t>19</w:t>
      </w:r>
      <w:r w:rsidR="009F4A0C">
        <w:rPr>
          <w:rFonts w:ascii="Times New Roman" w:hAnsi="Times New Roman"/>
          <w:sz w:val="24"/>
          <w:szCs w:val="24"/>
        </w:rPr>
        <w:t>6</w:t>
      </w:r>
    </w:p>
    <w:p w:rsidRPr="002A3414" w:rsidR="00F609DD" w:rsidP="00ED3638" w:rsidRDefault="00F609DD" w14:paraId="409CA1F2" w14:textId="190050F5">
      <w:pPr>
        <w:tabs>
          <w:tab w:val="left" w:pos="-720"/>
          <w:tab w:val="decimal" w:pos="540"/>
          <w:tab w:val="left" w:pos="1620"/>
          <w:tab w:val="decimal" w:pos="3870"/>
          <w:tab w:val="decimal" w:pos="5850"/>
        </w:tabs>
        <w:suppressAutoHyphens/>
        <w:jc w:val="both"/>
        <w:rPr>
          <w:rFonts w:ascii="Times New Roman" w:hAnsi="Times New Roman"/>
          <w:sz w:val="24"/>
          <w:szCs w:val="24"/>
        </w:rPr>
      </w:pPr>
      <w:r w:rsidRPr="002A3414">
        <w:rPr>
          <w:rFonts w:ascii="Times New Roman" w:hAnsi="Times New Roman"/>
          <w:sz w:val="24"/>
          <w:szCs w:val="24"/>
        </w:rPr>
        <w:tab/>
        <w:t>6</w:t>
      </w:r>
      <w:r w:rsidRPr="002A3414" w:rsidR="00765F5D">
        <w:rPr>
          <w:rFonts w:ascii="Times New Roman" w:hAnsi="Times New Roman"/>
          <w:sz w:val="24"/>
          <w:szCs w:val="24"/>
        </w:rPr>
        <w:t xml:space="preserve"> hours</w:t>
      </w:r>
      <w:r w:rsidRPr="002A3414">
        <w:rPr>
          <w:rFonts w:ascii="Times New Roman" w:hAnsi="Times New Roman"/>
          <w:sz w:val="24"/>
          <w:szCs w:val="24"/>
        </w:rPr>
        <w:tab/>
      </w:r>
      <w:r w:rsidR="00200E7B">
        <w:rPr>
          <w:rFonts w:ascii="Times New Roman" w:hAnsi="Times New Roman"/>
          <w:sz w:val="24"/>
          <w:szCs w:val="24"/>
        </w:rPr>
        <w:t>V</w:t>
      </w:r>
      <w:r w:rsidRPr="002A3414">
        <w:rPr>
          <w:rFonts w:ascii="Times New Roman" w:hAnsi="Times New Roman"/>
          <w:sz w:val="24"/>
          <w:szCs w:val="24"/>
        </w:rPr>
        <w:t>arious</w:t>
      </w:r>
      <w:r w:rsidRPr="002A3414">
        <w:rPr>
          <w:rStyle w:val="FootnoteReference"/>
          <w:rFonts w:ascii="Times New Roman" w:hAnsi="Times New Roman"/>
          <w:sz w:val="24"/>
          <w:szCs w:val="24"/>
        </w:rPr>
        <w:footnoteReference w:id="3"/>
      </w:r>
      <w:r w:rsidRPr="002A3414" w:rsidR="0097790D">
        <w:rPr>
          <w:rFonts w:ascii="Times New Roman" w:hAnsi="Times New Roman"/>
          <w:sz w:val="24"/>
          <w:szCs w:val="24"/>
        </w:rPr>
        <w:tab/>
      </w:r>
      <w:r w:rsidR="00761637">
        <w:rPr>
          <w:rFonts w:ascii="Times New Roman" w:hAnsi="Times New Roman"/>
          <w:sz w:val="24"/>
          <w:szCs w:val="24"/>
        </w:rPr>
        <w:t>29</w:t>
      </w:r>
      <w:r w:rsidRPr="002A3414" w:rsidR="0097790D">
        <w:rPr>
          <w:rFonts w:ascii="Times New Roman" w:hAnsi="Times New Roman"/>
          <w:sz w:val="24"/>
          <w:szCs w:val="24"/>
        </w:rPr>
        <w:tab/>
      </w:r>
      <w:r w:rsidR="00761637">
        <w:rPr>
          <w:rFonts w:ascii="Times New Roman" w:hAnsi="Times New Roman"/>
          <w:sz w:val="24"/>
          <w:szCs w:val="24"/>
        </w:rPr>
        <w:t>17</w:t>
      </w:r>
      <w:r w:rsidR="009F4A0C">
        <w:rPr>
          <w:rFonts w:ascii="Times New Roman" w:hAnsi="Times New Roman"/>
          <w:sz w:val="24"/>
          <w:szCs w:val="24"/>
        </w:rPr>
        <w:t>4</w:t>
      </w:r>
    </w:p>
    <w:p w:rsidRPr="002A3414" w:rsidR="0097790D" w:rsidP="00ED3638" w:rsidRDefault="0097790D" w14:paraId="53FD9356" w14:textId="3C2E8EC9">
      <w:pPr>
        <w:tabs>
          <w:tab w:val="left" w:pos="-720"/>
          <w:tab w:val="decimal" w:pos="540"/>
          <w:tab w:val="left" w:pos="1620"/>
          <w:tab w:val="decimal" w:pos="3870"/>
          <w:tab w:val="decimal" w:pos="5850"/>
        </w:tabs>
        <w:suppressAutoHyphens/>
        <w:jc w:val="both"/>
        <w:rPr>
          <w:rFonts w:ascii="Times New Roman" w:hAnsi="Times New Roman"/>
          <w:sz w:val="24"/>
          <w:szCs w:val="24"/>
        </w:rPr>
      </w:pPr>
      <w:r w:rsidRPr="002A3414">
        <w:rPr>
          <w:rFonts w:ascii="Times New Roman" w:hAnsi="Times New Roman"/>
          <w:sz w:val="24"/>
          <w:szCs w:val="24"/>
        </w:rPr>
        <w:tab/>
        <w:t>10</w:t>
      </w:r>
      <w:r w:rsidRPr="002A3414" w:rsidR="00765F5D">
        <w:rPr>
          <w:rFonts w:ascii="Times New Roman" w:hAnsi="Times New Roman"/>
          <w:sz w:val="24"/>
          <w:szCs w:val="24"/>
        </w:rPr>
        <w:t xml:space="preserve"> hours</w:t>
      </w:r>
      <w:r w:rsidRPr="002A3414">
        <w:rPr>
          <w:rFonts w:ascii="Times New Roman" w:hAnsi="Times New Roman"/>
          <w:sz w:val="24"/>
          <w:szCs w:val="24"/>
        </w:rPr>
        <w:tab/>
        <w:t>Experimental</w:t>
      </w:r>
      <w:r w:rsidRPr="002A3414">
        <w:rPr>
          <w:rFonts w:ascii="Times New Roman" w:hAnsi="Times New Roman"/>
          <w:sz w:val="24"/>
          <w:szCs w:val="24"/>
        </w:rPr>
        <w:tab/>
      </w:r>
      <w:r w:rsidRPr="002A3414" w:rsidR="00765F5D">
        <w:rPr>
          <w:rFonts w:ascii="Times New Roman" w:hAnsi="Times New Roman"/>
          <w:sz w:val="24"/>
          <w:szCs w:val="24"/>
        </w:rPr>
        <w:t>1</w:t>
      </w:r>
      <w:r w:rsidRPr="002A3414">
        <w:rPr>
          <w:rFonts w:ascii="Times New Roman" w:hAnsi="Times New Roman"/>
          <w:sz w:val="24"/>
          <w:szCs w:val="24"/>
        </w:rPr>
        <w:tab/>
      </w:r>
      <w:r w:rsidRPr="002A3414" w:rsidR="00765F5D">
        <w:rPr>
          <w:rFonts w:ascii="Times New Roman" w:hAnsi="Times New Roman"/>
          <w:sz w:val="24"/>
          <w:szCs w:val="24"/>
        </w:rPr>
        <w:t>1</w:t>
      </w:r>
      <w:r w:rsidR="009F4A0C">
        <w:rPr>
          <w:rFonts w:ascii="Times New Roman" w:hAnsi="Times New Roman"/>
          <w:sz w:val="24"/>
          <w:szCs w:val="24"/>
        </w:rPr>
        <w:t>0</w:t>
      </w:r>
    </w:p>
    <w:p w:rsidRPr="002A3414" w:rsidR="0097790D" w:rsidP="005C3B17" w:rsidRDefault="0097790D" w14:paraId="420A1C97" w14:textId="61289ACF">
      <w:pPr>
        <w:keepNext/>
        <w:keepLines/>
        <w:widowControl/>
        <w:tabs>
          <w:tab w:val="left" w:pos="-720"/>
          <w:tab w:val="decimal" w:pos="540"/>
          <w:tab w:val="left" w:pos="1620"/>
          <w:tab w:val="decimal" w:pos="3870"/>
          <w:tab w:val="decimal" w:pos="5850"/>
        </w:tabs>
        <w:suppressAutoHyphens/>
        <w:jc w:val="both"/>
        <w:rPr>
          <w:rFonts w:ascii="Times New Roman" w:hAnsi="Times New Roman"/>
          <w:sz w:val="24"/>
          <w:szCs w:val="24"/>
        </w:rPr>
      </w:pPr>
      <w:r w:rsidRPr="002A3414">
        <w:rPr>
          <w:rFonts w:ascii="Times New Roman" w:hAnsi="Times New Roman"/>
          <w:sz w:val="24"/>
          <w:szCs w:val="24"/>
        </w:rPr>
        <w:tab/>
        <w:t>20</w:t>
      </w:r>
      <w:r w:rsidRPr="002A3414" w:rsidR="00765F5D">
        <w:rPr>
          <w:rFonts w:ascii="Times New Roman" w:hAnsi="Times New Roman"/>
          <w:sz w:val="24"/>
          <w:szCs w:val="24"/>
        </w:rPr>
        <w:t xml:space="preserve"> hours</w:t>
      </w:r>
      <w:r w:rsidRPr="002A3414">
        <w:rPr>
          <w:rFonts w:ascii="Times New Roman" w:hAnsi="Times New Roman"/>
          <w:sz w:val="24"/>
          <w:szCs w:val="24"/>
        </w:rPr>
        <w:tab/>
      </w:r>
      <w:r w:rsidRPr="001430AD">
        <w:rPr>
          <w:rFonts w:ascii="Times New Roman" w:hAnsi="Times New Roman"/>
          <w:sz w:val="24"/>
          <w:szCs w:val="24"/>
          <w:u w:val="single"/>
        </w:rPr>
        <w:t>Broadcast</w:t>
      </w:r>
      <w:r w:rsidRPr="002A3414">
        <w:rPr>
          <w:rFonts w:ascii="Times New Roman" w:hAnsi="Times New Roman"/>
          <w:sz w:val="24"/>
          <w:szCs w:val="24"/>
        </w:rPr>
        <w:tab/>
      </w:r>
      <w:r w:rsidR="00200E7B">
        <w:rPr>
          <w:rFonts w:ascii="Times New Roman" w:hAnsi="Times New Roman"/>
          <w:sz w:val="24"/>
          <w:szCs w:val="24"/>
          <w:u w:val="single"/>
        </w:rPr>
        <w:t>2</w:t>
      </w:r>
      <w:r w:rsidR="00D93F6E">
        <w:rPr>
          <w:rFonts w:ascii="Times New Roman" w:hAnsi="Times New Roman"/>
          <w:sz w:val="24"/>
          <w:szCs w:val="24"/>
          <w:u w:val="single"/>
        </w:rPr>
        <w:t>3</w:t>
      </w:r>
      <w:r w:rsidRPr="002A3414">
        <w:rPr>
          <w:rFonts w:ascii="Times New Roman" w:hAnsi="Times New Roman"/>
          <w:sz w:val="24"/>
          <w:szCs w:val="24"/>
        </w:rPr>
        <w:tab/>
      </w:r>
      <w:r w:rsidR="00761637">
        <w:rPr>
          <w:rFonts w:ascii="Times New Roman" w:hAnsi="Times New Roman"/>
          <w:sz w:val="24"/>
          <w:szCs w:val="24"/>
          <w:u w:val="single"/>
        </w:rPr>
        <w:t>4</w:t>
      </w:r>
      <w:r w:rsidR="009F4A0C">
        <w:rPr>
          <w:rFonts w:ascii="Times New Roman" w:hAnsi="Times New Roman"/>
          <w:sz w:val="24"/>
          <w:szCs w:val="24"/>
          <w:u w:val="single"/>
        </w:rPr>
        <w:t>6</w:t>
      </w:r>
      <w:r w:rsidR="00D93F6E">
        <w:rPr>
          <w:rFonts w:ascii="Times New Roman" w:hAnsi="Times New Roman"/>
          <w:sz w:val="24"/>
          <w:szCs w:val="24"/>
          <w:u w:val="single"/>
        </w:rPr>
        <w:t>0</w:t>
      </w:r>
    </w:p>
    <w:p w:rsidRPr="002A3414" w:rsidR="00A96C30" w:rsidP="005C3B17" w:rsidRDefault="00F5036B" w14:paraId="18F7983C" w14:textId="6DC7DB00">
      <w:pPr>
        <w:keepNext/>
        <w:keepLines/>
        <w:widowControl/>
        <w:tabs>
          <w:tab w:val="left" w:pos="-720"/>
          <w:tab w:val="decimal" w:pos="540"/>
          <w:tab w:val="left" w:pos="1620"/>
          <w:tab w:val="decimal" w:pos="3870"/>
          <w:tab w:val="decimal" w:pos="5850"/>
        </w:tabs>
        <w:suppressAutoHyphens/>
        <w:jc w:val="both"/>
        <w:rPr>
          <w:rFonts w:ascii="Times New Roman" w:hAnsi="Times New Roman"/>
          <w:sz w:val="24"/>
          <w:szCs w:val="24"/>
        </w:rPr>
      </w:pPr>
      <w:r w:rsidRPr="002A3414">
        <w:rPr>
          <w:rFonts w:ascii="Times New Roman" w:hAnsi="Times New Roman"/>
          <w:sz w:val="24"/>
          <w:szCs w:val="24"/>
        </w:rPr>
        <w:tab/>
      </w:r>
      <w:r w:rsidRPr="002A3414">
        <w:rPr>
          <w:rFonts w:ascii="Times New Roman" w:hAnsi="Times New Roman"/>
          <w:sz w:val="24"/>
          <w:szCs w:val="24"/>
        </w:rPr>
        <w:tab/>
        <w:t>Grand total</w:t>
      </w:r>
      <w:r w:rsidRPr="002A3414">
        <w:rPr>
          <w:rFonts w:ascii="Times New Roman" w:hAnsi="Times New Roman"/>
          <w:sz w:val="24"/>
          <w:szCs w:val="24"/>
        </w:rPr>
        <w:tab/>
      </w:r>
      <w:r w:rsidR="00761637">
        <w:rPr>
          <w:rFonts w:ascii="Times New Roman" w:hAnsi="Times New Roman"/>
          <w:sz w:val="24"/>
          <w:szCs w:val="24"/>
        </w:rPr>
        <w:t>102</w:t>
      </w:r>
      <w:r w:rsidRPr="002A3414" w:rsidR="00EC6E3B">
        <w:rPr>
          <w:rFonts w:ascii="Times New Roman" w:hAnsi="Times New Roman"/>
          <w:sz w:val="24"/>
          <w:szCs w:val="24"/>
        </w:rPr>
        <w:tab/>
      </w:r>
      <w:r w:rsidR="00761637">
        <w:rPr>
          <w:rFonts w:ascii="Times New Roman" w:hAnsi="Times New Roman"/>
          <w:sz w:val="24"/>
          <w:szCs w:val="24"/>
        </w:rPr>
        <w:t>84</w:t>
      </w:r>
      <w:r w:rsidR="009F4A0C">
        <w:rPr>
          <w:rFonts w:ascii="Times New Roman" w:hAnsi="Times New Roman"/>
          <w:sz w:val="24"/>
          <w:szCs w:val="24"/>
        </w:rPr>
        <w:t>0</w:t>
      </w:r>
      <w:r w:rsidRPr="002A3414" w:rsidR="00761637">
        <w:rPr>
          <w:rFonts w:ascii="Times New Roman" w:hAnsi="Times New Roman"/>
          <w:sz w:val="24"/>
          <w:szCs w:val="24"/>
        </w:rPr>
        <w:t xml:space="preserve"> </w:t>
      </w:r>
    </w:p>
    <w:p w:rsidR="00F5036B" w:rsidP="001430AD" w:rsidRDefault="00F5036B" w14:paraId="6D98054B" w14:textId="77777777">
      <w:pPr>
        <w:suppressAutoHyphens/>
        <w:jc w:val="both"/>
        <w:rPr>
          <w:rFonts w:ascii="Times New Roman" w:hAnsi="Times New Roman"/>
          <w:sz w:val="24"/>
          <w:szCs w:val="24"/>
        </w:rPr>
      </w:pPr>
    </w:p>
    <w:p w:rsidR="00631E5E" w:rsidP="001430AD" w:rsidRDefault="00631E5E" w14:paraId="7C1003BB" w14:textId="77777777">
      <w:pPr>
        <w:suppressAutoHyphens/>
        <w:jc w:val="both"/>
        <w:rPr>
          <w:rFonts w:ascii="Times New Roman" w:hAnsi="Times New Roman"/>
          <w:sz w:val="24"/>
          <w:szCs w:val="24"/>
        </w:rPr>
      </w:pPr>
      <w:r>
        <w:rPr>
          <w:rFonts w:ascii="Times New Roman" w:hAnsi="Times New Roman"/>
          <w:sz w:val="24"/>
          <w:szCs w:val="24"/>
        </w:rPr>
        <w:t>The total number of responses and burden hours is the sum of the above amounts, summarized as follows:</w:t>
      </w:r>
    </w:p>
    <w:p w:rsidR="00631E5E" w:rsidP="00ED3638" w:rsidRDefault="00631E5E" w14:paraId="0D6C15F2" w14:textId="77777777">
      <w:pPr>
        <w:tabs>
          <w:tab w:val="left" w:pos="-720"/>
          <w:tab w:val="decimal" w:pos="540"/>
          <w:tab w:val="left" w:pos="1620"/>
          <w:tab w:val="decimal" w:pos="3870"/>
          <w:tab w:val="decimal" w:pos="5850"/>
        </w:tabs>
        <w:suppressAutoHyphens/>
        <w:jc w:val="both"/>
        <w:rPr>
          <w:rFonts w:ascii="Times New Roman" w:hAnsi="Times New Roman"/>
          <w:sz w:val="24"/>
          <w:szCs w:val="24"/>
        </w:rPr>
      </w:pPr>
    </w:p>
    <w:p w:rsidRPr="001430AD" w:rsidR="00631E5E" w:rsidP="001430AD" w:rsidRDefault="00631E5E" w14:paraId="0692A5E1" w14:textId="77777777">
      <w:pPr>
        <w:tabs>
          <w:tab w:val="left" w:pos="-720"/>
          <w:tab w:val="left" w:pos="2250"/>
          <w:tab w:val="left" w:pos="4680"/>
        </w:tabs>
        <w:suppressAutoHyphens/>
        <w:jc w:val="both"/>
        <w:rPr>
          <w:rFonts w:ascii="Times New Roman" w:hAnsi="Times New Roman"/>
          <w:u w:val="single"/>
        </w:rPr>
      </w:pPr>
      <w:r>
        <w:rPr>
          <w:rFonts w:ascii="Times New Roman" w:hAnsi="Times New Roman"/>
          <w:u w:val="single"/>
        </w:rPr>
        <w:t>Category</w:t>
      </w:r>
      <w:r w:rsidRPr="002A3414">
        <w:rPr>
          <w:rFonts w:ascii="Times New Roman" w:hAnsi="Times New Roman"/>
        </w:rPr>
        <w:tab/>
      </w:r>
      <w:r>
        <w:rPr>
          <w:rFonts w:ascii="Times New Roman" w:hAnsi="Times New Roman"/>
          <w:u w:val="single"/>
        </w:rPr>
        <w:t>Number of Responses</w:t>
      </w:r>
      <w:r>
        <w:rPr>
          <w:rFonts w:ascii="Times New Roman" w:hAnsi="Times New Roman"/>
        </w:rPr>
        <w:tab/>
      </w:r>
      <w:r w:rsidRPr="001430AD">
        <w:rPr>
          <w:rFonts w:ascii="Times New Roman" w:hAnsi="Times New Roman"/>
          <w:u w:val="single"/>
        </w:rPr>
        <w:t xml:space="preserve">Burden </w:t>
      </w:r>
      <w:r>
        <w:rPr>
          <w:rFonts w:ascii="Times New Roman" w:hAnsi="Times New Roman"/>
          <w:u w:val="single"/>
        </w:rPr>
        <w:t>Hours</w:t>
      </w:r>
    </w:p>
    <w:p w:rsidR="00631E5E" w:rsidP="001430AD" w:rsidRDefault="00631E5E" w14:paraId="42F26EB9" w14:textId="77777777">
      <w:pPr>
        <w:tabs>
          <w:tab w:val="left" w:pos="-720"/>
          <w:tab w:val="decimal" w:pos="450"/>
          <w:tab w:val="left" w:pos="1620"/>
          <w:tab w:val="decimal" w:pos="3510"/>
          <w:tab w:val="decimal" w:pos="5580"/>
        </w:tabs>
        <w:suppressAutoHyphens/>
        <w:jc w:val="both"/>
        <w:rPr>
          <w:rFonts w:ascii="Times New Roman" w:hAnsi="Times New Roman"/>
          <w:sz w:val="24"/>
          <w:szCs w:val="24"/>
        </w:rPr>
      </w:pPr>
      <w:r>
        <w:rPr>
          <w:rFonts w:ascii="Times New Roman" w:hAnsi="Times New Roman"/>
          <w:sz w:val="24"/>
          <w:szCs w:val="24"/>
        </w:rPr>
        <w:t>Exempt</w:t>
      </w:r>
      <w:r>
        <w:rPr>
          <w:rFonts w:ascii="Times New Roman" w:hAnsi="Times New Roman"/>
          <w:sz w:val="24"/>
          <w:szCs w:val="24"/>
        </w:rPr>
        <w:tab/>
      </w:r>
      <w:r w:rsidR="00B87CB2">
        <w:rPr>
          <w:rFonts w:ascii="Times New Roman" w:hAnsi="Times New Roman"/>
          <w:sz w:val="24"/>
          <w:szCs w:val="24"/>
        </w:rPr>
        <w:tab/>
      </w:r>
      <w:r w:rsidR="00D93F6E">
        <w:rPr>
          <w:rFonts w:ascii="Times New Roman" w:hAnsi="Times New Roman"/>
          <w:sz w:val="24"/>
          <w:szCs w:val="24"/>
        </w:rPr>
        <w:t>132,799</w:t>
      </w:r>
      <w:r w:rsidRPr="002A3414">
        <w:rPr>
          <w:rFonts w:ascii="Times New Roman" w:hAnsi="Times New Roman"/>
          <w:sz w:val="24"/>
          <w:szCs w:val="24"/>
        </w:rPr>
        <w:tab/>
      </w:r>
      <w:r w:rsidR="00D93F6E">
        <w:rPr>
          <w:rFonts w:ascii="Times New Roman" w:hAnsi="Times New Roman"/>
          <w:sz w:val="24"/>
          <w:szCs w:val="24"/>
        </w:rPr>
        <w:t>11,062</w:t>
      </w:r>
    </w:p>
    <w:p w:rsidR="00B87CB2" w:rsidP="001430AD" w:rsidRDefault="00B87CB2" w14:paraId="698E7BB5" w14:textId="0FAF4FE2">
      <w:pPr>
        <w:tabs>
          <w:tab w:val="left" w:pos="-720"/>
          <w:tab w:val="decimal" w:pos="450"/>
          <w:tab w:val="left" w:pos="1620"/>
          <w:tab w:val="decimal" w:pos="3510"/>
          <w:tab w:val="decimal" w:pos="5580"/>
        </w:tabs>
        <w:suppressAutoHyphens/>
        <w:jc w:val="both"/>
        <w:rPr>
          <w:rFonts w:ascii="Times New Roman" w:hAnsi="Times New Roman"/>
          <w:sz w:val="24"/>
          <w:szCs w:val="24"/>
        </w:rPr>
      </w:pPr>
      <w:r>
        <w:rPr>
          <w:rFonts w:ascii="Times New Roman" w:hAnsi="Times New Roman"/>
          <w:sz w:val="24"/>
          <w:szCs w:val="24"/>
        </w:rPr>
        <w:t>Simple Evaluation</w:t>
      </w:r>
      <w:r>
        <w:rPr>
          <w:rFonts w:ascii="Times New Roman" w:hAnsi="Times New Roman"/>
          <w:sz w:val="24"/>
          <w:szCs w:val="24"/>
        </w:rPr>
        <w:tab/>
      </w:r>
      <w:r w:rsidRPr="00F56035">
        <w:rPr>
          <w:rFonts w:ascii="Times New Roman" w:hAnsi="Times New Roman"/>
          <w:sz w:val="24"/>
          <w:szCs w:val="24"/>
        </w:rPr>
        <w:t>7,</w:t>
      </w:r>
      <w:r w:rsidRPr="00F56035" w:rsidR="00D93F6E">
        <w:rPr>
          <w:rFonts w:ascii="Times New Roman" w:hAnsi="Times New Roman"/>
          <w:sz w:val="24"/>
          <w:szCs w:val="24"/>
        </w:rPr>
        <w:t>73</w:t>
      </w:r>
      <w:r w:rsidRPr="00F56035" w:rsidR="009F4A0C">
        <w:rPr>
          <w:rFonts w:ascii="Times New Roman" w:hAnsi="Times New Roman"/>
          <w:sz w:val="24"/>
          <w:szCs w:val="24"/>
        </w:rPr>
        <w:t>9</w:t>
      </w:r>
      <w:r w:rsidRPr="00F56035">
        <w:rPr>
          <w:rFonts w:ascii="Times New Roman" w:hAnsi="Times New Roman"/>
          <w:sz w:val="24"/>
          <w:szCs w:val="24"/>
        </w:rPr>
        <w:tab/>
        <w:t>9,3</w:t>
      </w:r>
      <w:r w:rsidRPr="00F56035" w:rsidR="008D2EAF">
        <w:rPr>
          <w:rFonts w:ascii="Times New Roman" w:hAnsi="Times New Roman"/>
          <w:sz w:val="24"/>
          <w:szCs w:val="24"/>
        </w:rPr>
        <w:t>8</w:t>
      </w:r>
      <w:r w:rsidRPr="00F56035" w:rsidR="009F4A0C">
        <w:rPr>
          <w:rFonts w:ascii="Times New Roman" w:hAnsi="Times New Roman"/>
          <w:sz w:val="24"/>
          <w:szCs w:val="24"/>
        </w:rPr>
        <w:t>6</w:t>
      </w:r>
    </w:p>
    <w:p w:rsidR="00B87CB2" w:rsidP="001430AD" w:rsidRDefault="00B87CB2" w14:paraId="1A2CBA0E" w14:textId="53985356">
      <w:pPr>
        <w:tabs>
          <w:tab w:val="left" w:pos="-720"/>
          <w:tab w:val="decimal" w:pos="450"/>
          <w:tab w:val="left" w:pos="1620"/>
          <w:tab w:val="decimal" w:pos="3510"/>
          <w:tab w:val="decimal" w:pos="5580"/>
        </w:tabs>
        <w:suppressAutoHyphens/>
        <w:jc w:val="both"/>
        <w:rPr>
          <w:rFonts w:ascii="Times New Roman" w:hAnsi="Times New Roman"/>
          <w:sz w:val="24"/>
          <w:szCs w:val="24"/>
        </w:rPr>
      </w:pPr>
      <w:r w:rsidRPr="001430AD">
        <w:rPr>
          <w:rFonts w:ascii="Times New Roman" w:hAnsi="Times New Roman"/>
          <w:sz w:val="24"/>
          <w:szCs w:val="24"/>
          <w:u w:val="single"/>
        </w:rPr>
        <w:t>Detailed Evaluation</w:t>
      </w:r>
      <w:r>
        <w:rPr>
          <w:rFonts w:ascii="Times New Roman" w:hAnsi="Times New Roman"/>
          <w:sz w:val="24"/>
          <w:szCs w:val="24"/>
        </w:rPr>
        <w:tab/>
      </w:r>
      <w:r w:rsidRPr="001430AD">
        <w:rPr>
          <w:rFonts w:ascii="Times New Roman" w:hAnsi="Times New Roman"/>
          <w:sz w:val="24"/>
          <w:szCs w:val="24"/>
          <w:u w:val="single"/>
        </w:rPr>
        <w:t xml:space="preserve">  </w:t>
      </w:r>
      <w:r>
        <w:rPr>
          <w:rFonts w:ascii="Times New Roman" w:hAnsi="Times New Roman"/>
          <w:sz w:val="24"/>
          <w:szCs w:val="24"/>
          <w:u w:val="single"/>
        </w:rPr>
        <w:t xml:space="preserve">  </w:t>
      </w:r>
      <w:r w:rsidRPr="001430AD">
        <w:rPr>
          <w:rFonts w:ascii="Times New Roman" w:hAnsi="Times New Roman"/>
          <w:sz w:val="24"/>
          <w:szCs w:val="24"/>
          <w:u w:val="single"/>
        </w:rPr>
        <w:t>1,</w:t>
      </w:r>
      <w:r w:rsidRPr="001430AD" w:rsidR="008D2EAF">
        <w:rPr>
          <w:rFonts w:ascii="Times New Roman" w:hAnsi="Times New Roman"/>
          <w:sz w:val="24"/>
          <w:szCs w:val="24"/>
          <w:u w:val="single"/>
        </w:rPr>
        <w:t>0</w:t>
      </w:r>
      <w:r w:rsidR="008D2EAF">
        <w:rPr>
          <w:rFonts w:ascii="Times New Roman" w:hAnsi="Times New Roman"/>
          <w:sz w:val="24"/>
          <w:szCs w:val="24"/>
          <w:u w:val="single"/>
        </w:rPr>
        <w:t>20</w:t>
      </w:r>
      <w:r w:rsidRPr="002A3414">
        <w:rPr>
          <w:rFonts w:ascii="Times New Roman" w:hAnsi="Times New Roman"/>
          <w:sz w:val="24"/>
          <w:szCs w:val="24"/>
        </w:rPr>
        <w:tab/>
      </w:r>
      <w:r>
        <w:rPr>
          <w:rFonts w:ascii="Times New Roman" w:hAnsi="Times New Roman"/>
          <w:sz w:val="24"/>
          <w:szCs w:val="24"/>
          <w:u w:val="single"/>
        </w:rPr>
        <w:t xml:space="preserve">     </w:t>
      </w:r>
      <w:r w:rsidRPr="00F56035">
        <w:rPr>
          <w:rFonts w:ascii="Times New Roman" w:hAnsi="Times New Roman"/>
          <w:sz w:val="24"/>
          <w:szCs w:val="24"/>
          <w:u w:val="single"/>
        </w:rPr>
        <w:t>8</w:t>
      </w:r>
      <w:r w:rsidRPr="00F56035" w:rsidR="008D2EAF">
        <w:rPr>
          <w:rFonts w:ascii="Times New Roman" w:hAnsi="Times New Roman"/>
          <w:sz w:val="24"/>
          <w:szCs w:val="24"/>
          <w:u w:val="single"/>
        </w:rPr>
        <w:t>4</w:t>
      </w:r>
      <w:r w:rsidR="009F4A0C">
        <w:rPr>
          <w:rFonts w:ascii="Times New Roman" w:hAnsi="Times New Roman"/>
          <w:sz w:val="24"/>
          <w:szCs w:val="24"/>
          <w:u w:val="single"/>
        </w:rPr>
        <w:t>0</w:t>
      </w:r>
    </w:p>
    <w:p w:rsidRPr="00136D0C" w:rsidR="00B87CB2" w:rsidP="001430AD" w:rsidRDefault="00B87CB2" w14:paraId="40EA62C2" w14:textId="15C1F9F7">
      <w:pPr>
        <w:tabs>
          <w:tab w:val="left" w:pos="-720"/>
          <w:tab w:val="decimal" w:pos="450"/>
          <w:tab w:val="left" w:pos="1620"/>
          <w:tab w:val="decimal" w:pos="3510"/>
          <w:tab w:val="decimal" w:pos="5580"/>
        </w:tabs>
        <w:suppressAutoHyphens/>
        <w:jc w:val="both"/>
        <w:rPr>
          <w:rFonts w:ascii="Times New Roman" w:hAnsi="Times New Roman"/>
          <w:sz w:val="24"/>
          <w:szCs w:val="24"/>
        </w:rPr>
      </w:pPr>
      <w:r w:rsidRPr="00136D0C">
        <w:rPr>
          <w:rFonts w:ascii="Times New Roman" w:hAnsi="Times New Roman"/>
          <w:sz w:val="24"/>
          <w:szCs w:val="24"/>
        </w:rPr>
        <w:t>Grand T</w:t>
      </w:r>
      <w:r w:rsidRPr="00F96CB4">
        <w:rPr>
          <w:rFonts w:ascii="Times New Roman" w:hAnsi="Times New Roman"/>
          <w:sz w:val="24"/>
          <w:szCs w:val="24"/>
        </w:rPr>
        <w:t>otal</w:t>
      </w:r>
      <w:r w:rsidRPr="001430AD">
        <w:rPr>
          <w:rFonts w:ascii="Times New Roman" w:hAnsi="Times New Roman"/>
          <w:sz w:val="24"/>
          <w:szCs w:val="24"/>
        </w:rPr>
        <w:tab/>
      </w:r>
      <w:r w:rsidRPr="001430AD">
        <w:rPr>
          <w:rFonts w:ascii="Times New Roman" w:hAnsi="Times New Roman"/>
          <w:sz w:val="24"/>
          <w:szCs w:val="24"/>
        </w:rPr>
        <w:tab/>
      </w:r>
      <w:r w:rsidR="008D2EAF">
        <w:rPr>
          <w:rFonts w:ascii="Times New Roman" w:hAnsi="Times New Roman"/>
          <w:sz w:val="24"/>
          <w:szCs w:val="24"/>
        </w:rPr>
        <w:t>141,55</w:t>
      </w:r>
      <w:r w:rsidR="009F4A0C">
        <w:rPr>
          <w:rFonts w:ascii="Times New Roman" w:hAnsi="Times New Roman"/>
          <w:sz w:val="24"/>
          <w:szCs w:val="24"/>
        </w:rPr>
        <w:t>8</w:t>
      </w:r>
      <w:r w:rsidRPr="00136D0C">
        <w:rPr>
          <w:rFonts w:ascii="Times New Roman" w:hAnsi="Times New Roman"/>
          <w:sz w:val="24"/>
          <w:szCs w:val="24"/>
        </w:rPr>
        <w:tab/>
      </w:r>
      <w:r w:rsidR="008D2EAF">
        <w:rPr>
          <w:rFonts w:ascii="Times New Roman" w:hAnsi="Times New Roman"/>
          <w:sz w:val="24"/>
          <w:szCs w:val="24"/>
        </w:rPr>
        <w:t>21,28</w:t>
      </w:r>
      <w:r w:rsidR="009F4A0C">
        <w:rPr>
          <w:rFonts w:ascii="Times New Roman" w:hAnsi="Times New Roman"/>
          <w:sz w:val="24"/>
          <w:szCs w:val="24"/>
        </w:rPr>
        <w:t>8</w:t>
      </w:r>
    </w:p>
    <w:p w:rsidRPr="002A3414" w:rsidR="00B87CB2" w:rsidP="001430AD" w:rsidRDefault="00B87CB2" w14:paraId="7ADB84BD" w14:textId="77777777">
      <w:pPr>
        <w:suppressAutoHyphens/>
        <w:jc w:val="both"/>
        <w:rPr>
          <w:rFonts w:ascii="Times New Roman" w:hAnsi="Times New Roman"/>
          <w:sz w:val="24"/>
          <w:szCs w:val="24"/>
        </w:rPr>
      </w:pPr>
    </w:p>
    <w:p w:rsidRPr="001430AD" w:rsidR="0080236E" w:rsidP="001430AD" w:rsidRDefault="00B87CB2" w14:paraId="528045D0" w14:textId="79819337">
      <w:pPr>
        <w:suppressAutoHyphens/>
        <w:jc w:val="both"/>
        <w:rPr>
          <w:rFonts w:ascii="Times New Roman" w:hAnsi="Times New Roman"/>
          <w:sz w:val="24"/>
          <w:szCs w:val="24"/>
        </w:rPr>
      </w:pPr>
      <w:r w:rsidRPr="00136D0C">
        <w:rPr>
          <w:rFonts w:ascii="Times New Roman" w:hAnsi="Times New Roman"/>
          <w:sz w:val="24"/>
          <w:szCs w:val="24"/>
        </w:rPr>
        <w:t xml:space="preserve">The total </w:t>
      </w:r>
      <w:r w:rsidR="00C7798F">
        <w:rPr>
          <w:rFonts w:ascii="Times New Roman" w:hAnsi="Times New Roman"/>
          <w:sz w:val="24"/>
          <w:szCs w:val="24"/>
        </w:rPr>
        <w:t xml:space="preserve">recurring annual in-house burden is estimated to consist of </w:t>
      </w:r>
      <w:r w:rsidRPr="00F56035" w:rsidR="008D2EAF">
        <w:rPr>
          <w:rFonts w:ascii="Times New Roman" w:hAnsi="Times New Roman"/>
          <w:b/>
          <w:bCs/>
          <w:sz w:val="24"/>
          <w:szCs w:val="24"/>
        </w:rPr>
        <w:t>141,55</w:t>
      </w:r>
      <w:r w:rsidRPr="00F56035" w:rsidR="00482C45">
        <w:rPr>
          <w:rFonts w:ascii="Times New Roman" w:hAnsi="Times New Roman"/>
          <w:b/>
          <w:bCs/>
          <w:sz w:val="24"/>
          <w:szCs w:val="24"/>
        </w:rPr>
        <w:t>8</w:t>
      </w:r>
      <w:r w:rsidRPr="00F56035" w:rsidR="00C7798F">
        <w:rPr>
          <w:rFonts w:ascii="Times New Roman" w:hAnsi="Times New Roman"/>
          <w:b/>
          <w:bCs/>
          <w:sz w:val="24"/>
          <w:szCs w:val="24"/>
        </w:rPr>
        <w:t xml:space="preserve"> responses</w:t>
      </w:r>
      <w:r w:rsidR="00C7798F">
        <w:rPr>
          <w:rFonts w:ascii="Times New Roman" w:hAnsi="Times New Roman"/>
          <w:sz w:val="24"/>
          <w:szCs w:val="24"/>
        </w:rPr>
        <w:t xml:space="preserve"> and total </w:t>
      </w:r>
      <w:r w:rsidRPr="00F56035" w:rsidR="00C7798F">
        <w:rPr>
          <w:rFonts w:ascii="Times New Roman" w:hAnsi="Times New Roman"/>
          <w:b/>
          <w:bCs/>
          <w:sz w:val="24"/>
          <w:szCs w:val="24"/>
        </w:rPr>
        <w:t>21,28</w:t>
      </w:r>
      <w:r w:rsidRPr="00F56035" w:rsidR="00482C45">
        <w:rPr>
          <w:rFonts w:ascii="Times New Roman" w:hAnsi="Times New Roman"/>
          <w:b/>
          <w:bCs/>
          <w:sz w:val="24"/>
          <w:szCs w:val="24"/>
        </w:rPr>
        <w:t>8</w:t>
      </w:r>
      <w:r w:rsidRPr="00F56035" w:rsidR="00C7798F">
        <w:rPr>
          <w:rFonts w:ascii="Times New Roman" w:hAnsi="Times New Roman"/>
          <w:b/>
          <w:bCs/>
          <w:sz w:val="24"/>
          <w:szCs w:val="24"/>
        </w:rPr>
        <w:t xml:space="preserve"> hours</w:t>
      </w:r>
      <w:r w:rsidRPr="00B37F9D">
        <w:rPr>
          <w:rFonts w:ascii="Times New Roman" w:hAnsi="Times New Roman"/>
          <w:sz w:val="24"/>
          <w:szCs w:val="24"/>
        </w:rPr>
        <w:t xml:space="preserve">.  The number of respondents is equal to the number of </w:t>
      </w:r>
      <w:r w:rsidRPr="00845E75">
        <w:rPr>
          <w:rFonts w:ascii="Times New Roman" w:hAnsi="Times New Roman"/>
          <w:sz w:val="24"/>
          <w:szCs w:val="24"/>
        </w:rPr>
        <w:t>responses.</w:t>
      </w:r>
      <w:r w:rsidRPr="00850E91">
        <w:rPr>
          <w:rFonts w:ascii="Times New Roman" w:hAnsi="Times New Roman"/>
          <w:sz w:val="24"/>
          <w:szCs w:val="24"/>
        </w:rPr>
        <w:t xml:space="preserve">  </w:t>
      </w:r>
      <w:r w:rsidR="003E7C85">
        <w:rPr>
          <w:rFonts w:ascii="Times New Roman" w:hAnsi="Times New Roman"/>
          <w:sz w:val="24"/>
          <w:szCs w:val="24"/>
        </w:rPr>
        <w:t>Burden associated with outside assistance and material expenses is covered in item 13 below.</w:t>
      </w:r>
    </w:p>
    <w:p w:rsidRPr="002A3414" w:rsidR="009A4F04" w:rsidP="00025DC4" w:rsidRDefault="009A4F04" w14:paraId="1E031FD8" w14:textId="77777777">
      <w:pPr>
        <w:tabs>
          <w:tab w:val="left" w:pos="-720"/>
        </w:tabs>
        <w:suppressAutoHyphens/>
        <w:rPr>
          <w:rFonts w:ascii="Times New Roman" w:hAnsi="Times New Roman"/>
          <w:b/>
          <w:sz w:val="24"/>
          <w:szCs w:val="24"/>
        </w:rPr>
      </w:pPr>
    </w:p>
    <w:p w:rsidR="009A4F04" w:rsidP="00025DC4" w:rsidRDefault="009A4F04" w14:paraId="78E96ECB" w14:textId="4742C4D7">
      <w:pPr>
        <w:tabs>
          <w:tab w:val="left" w:pos="-720"/>
        </w:tabs>
        <w:suppressAutoHyphens/>
        <w:rPr>
          <w:rFonts w:ascii="Times New Roman" w:hAnsi="Times New Roman"/>
          <w:sz w:val="24"/>
          <w:szCs w:val="24"/>
        </w:rPr>
      </w:pPr>
      <w:r w:rsidRPr="00F5218E">
        <w:rPr>
          <w:rFonts w:ascii="Times New Roman" w:hAnsi="Times New Roman"/>
          <w:bCs/>
          <w:sz w:val="24"/>
          <w:szCs w:val="24"/>
        </w:rPr>
        <w:t xml:space="preserve">In-House Cost: </w:t>
      </w:r>
      <w:r w:rsidRPr="009A7072">
        <w:rPr>
          <w:rFonts w:ascii="Times New Roman" w:hAnsi="Times New Roman"/>
          <w:b/>
          <w:sz w:val="24"/>
          <w:szCs w:val="24"/>
        </w:rPr>
        <w:t xml:space="preserve"> </w:t>
      </w:r>
      <w:r w:rsidRPr="009A7072">
        <w:rPr>
          <w:rFonts w:ascii="Times New Roman" w:hAnsi="Times New Roman"/>
          <w:sz w:val="24"/>
          <w:szCs w:val="24"/>
        </w:rPr>
        <w:t xml:space="preserve">The Commission estimates that in-house staff will be paid </w:t>
      </w:r>
      <w:r w:rsidR="00845E75">
        <w:rPr>
          <w:rFonts w:ascii="Times New Roman" w:hAnsi="Times New Roman"/>
          <w:sz w:val="24"/>
          <w:szCs w:val="24"/>
        </w:rPr>
        <w:t>approximately</w:t>
      </w:r>
      <w:r w:rsidRPr="009A7072" w:rsidR="00845E75">
        <w:rPr>
          <w:rFonts w:ascii="Times New Roman" w:hAnsi="Times New Roman"/>
          <w:sz w:val="24"/>
          <w:szCs w:val="24"/>
        </w:rPr>
        <w:t xml:space="preserve"> </w:t>
      </w:r>
      <w:r w:rsidRPr="009A7072">
        <w:rPr>
          <w:rFonts w:ascii="Times New Roman" w:hAnsi="Times New Roman"/>
          <w:sz w:val="24"/>
          <w:szCs w:val="24"/>
        </w:rPr>
        <w:t>$</w:t>
      </w:r>
      <w:r w:rsidR="007A448C">
        <w:rPr>
          <w:rFonts w:ascii="Times New Roman" w:hAnsi="Times New Roman"/>
          <w:sz w:val="24"/>
          <w:szCs w:val="24"/>
        </w:rPr>
        <w:t>165</w:t>
      </w:r>
      <w:r w:rsidRPr="009A7072">
        <w:rPr>
          <w:rFonts w:ascii="Times New Roman" w:hAnsi="Times New Roman"/>
          <w:sz w:val="24"/>
          <w:szCs w:val="24"/>
        </w:rPr>
        <w:t xml:space="preserve">/hour to fulfill the requirements.  Therefore, the in-house cost is as follows: </w:t>
      </w:r>
      <w:r w:rsidRPr="00F56035" w:rsidR="008D2EAF">
        <w:rPr>
          <w:rFonts w:ascii="Times New Roman" w:hAnsi="Times New Roman"/>
          <w:sz w:val="24"/>
          <w:szCs w:val="24"/>
        </w:rPr>
        <w:t>21,28</w:t>
      </w:r>
      <w:r w:rsidRPr="00F56035" w:rsidR="00482C45">
        <w:rPr>
          <w:rFonts w:ascii="Times New Roman" w:hAnsi="Times New Roman"/>
          <w:sz w:val="24"/>
          <w:szCs w:val="24"/>
        </w:rPr>
        <w:t>8</w:t>
      </w:r>
      <w:r w:rsidRPr="00F56035">
        <w:rPr>
          <w:rFonts w:ascii="Times New Roman" w:hAnsi="Times New Roman"/>
          <w:sz w:val="24"/>
          <w:szCs w:val="24"/>
        </w:rPr>
        <w:t xml:space="preserve"> hours x </w:t>
      </w:r>
      <w:r w:rsidRPr="00884FE1" w:rsidR="009D4BB2">
        <w:rPr>
          <w:rFonts w:ascii="Times New Roman" w:hAnsi="Times New Roman"/>
          <w:sz w:val="24"/>
          <w:szCs w:val="24"/>
        </w:rPr>
        <w:lastRenderedPageBreak/>
        <w:t>$</w:t>
      </w:r>
      <w:r w:rsidRPr="00884FE1" w:rsidR="007A448C">
        <w:rPr>
          <w:rFonts w:ascii="Times New Roman" w:hAnsi="Times New Roman"/>
          <w:sz w:val="24"/>
          <w:szCs w:val="24"/>
        </w:rPr>
        <w:t>165</w:t>
      </w:r>
      <w:r w:rsidRPr="00884FE1">
        <w:rPr>
          <w:rFonts w:ascii="Times New Roman" w:hAnsi="Times New Roman"/>
          <w:sz w:val="24"/>
          <w:szCs w:val="24"/>
        </w:rPr>
        <w:t xml:space="preserve">/hour = </w:t>
      </w:r>
      <w:r w:rsidRPr="00884FE1">
        <w:rPr>
          <w:rFonts w:ascii="Times New Roman" w:hAnsi="Times New Roman"/>
          <w:b/>
          <w:sz w:val="24"/>
          <w:szCs w:val="24"/>
        </w:rPr>
        <w:t>$</w:t>
      </w:r>
      <w:r w:rsidRPr="00884FE1" w:rsidR="008D2EAF">
        <w:rPr>
          <w:rFonts w:ascii="Times New Roman" w:hAnsi="Times New Roman"/>
          <w:b/>
          <w:sz w:val="24"/>
          <w:szCs w:val="24"/>
        </w:rPr>
        <w:t>3,51</w:t>
      </w:r>
      <w:r w:rsidRPr="00884FE1" w:rsidR="00482C45">
        <w:rPr>
          <w:rFonts w:ascii="Times New Roman" w:hAnsi="Times New Roman"/>
          <w:b/>
          <w:sz w:val="24"/>
          <w:szCs w:val="24"/>
        </w:rPr>
        <w:t>2</w:t>
      </w:r>
      <w:r w:rsidRPr="00884FE1" w:rsidR="008D2EAF">
        <w:rPr>
          <w:rFonts w:ascii="Times New Roman" w:hAnsi="Times New Roman"/>
          <w:b/>
          <w:sz w:val="24"/>
          <w:szCs w:val="24"/>
        </w:rPr>
        <w:t>,</w:t>
      </w:r>
      <w:r w:rsidRPr="00884FE1" w:rsidR="00482C45">
        <w:rPr>
          <w:rFonts w:ascii="Times New Roman" w:hAnsi="Times New Roman"/>
          <w:b/>
          <w:sz w:val="24"/>
          <w:szCs w:val="24"/>
        </w:rPr>
        <w:t>520</w:t>
      </w:r>
      <w:r w:rsidR="00A06151">
        <w:rPr>
          <w:rFonts w:ascii="Times New Roman" w:hAnsi="Times New Roman"/>
          <w:sz w:val="24"/>
          <w:szCs w:val="24"/>
        </w:rPr>
        <w:t xml:space="preserve"> </w:t>
      </w:r>
    </w:p>
    <w:p w:rsidR="00C96380" w:rsidP="00025DC4" w:rsidRDefault="00C96380" w14:paraId="2E4C4CF8" w14:textId="77777777">
      <w:pPr>
        <w:tabs>
          <w:tab w:val="left" w:pos="-720"/>
        </w:tabs>
        <w:suppressAutoHyphens/>
        <w:rPr>
          <w:rFonts w:ascii="Times New Roman" w:hAnsi="Times New Roman"/>
          <w:sz w:val="24"/>
          <w:szCs w:val="24"/>
        </w:rPr>
      </w:pPr>
    </w:p>
    <w:p w:rsidR="00C96380" w:rsidP="00C96380" w:rsidRDefault="00C96380" w14:paraId="40319D3C"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(b) One-Time Transition</w:t>
      </w:r>
      <w:r w:rsidR="00EF7562">
        <w:rPr>
          <w:rFonts w:ascii="Times New Roman" w:hAnsi="Times New Roman"/>
          <w:sz w:val="24"/>
          <w:szCs w:val="24"/>
        </w:rPr>
        <w:t xml:space="preserve"> Hours</w:t>
      </w:r>
      <w:r>
        <w:rPr>
          <w:rFonts w:ascii="Times New Roman" w:hAnsi="Times New Roman"/>
          <w:sz w:val="24"/>
          <w:szCs w:val="24"/>
        </w:rPr>
        <w:t xml:space="preserve"> Burden</w:t>
      </w:r>
    </w:p>
    <w:p w:rsidR="00C96380" w:rsidP="00C96380" w:rsidRDefault="00C96380" w14:paraId="4A69EA27" w14:textId="77777777">
      <w:pPr>
        <w:tabs>
          <w:tab w:val="left" w:pos="-720"/>
          <w:tab w:val="left" w:pos="360"/>
        </w:tabs>
        <w:suppressAutoHyphens/>
        <w:jc w:val="both"/>
        <w:rPr>
          <w:rFonts w:ascii="Times New Roman" w:hAnsi="Times New Roman"/>
          <w:sz w:val="24"/>
          <w:szCs w:val="24"/>
        </w:rPr>
      </w:pPr>
    </w:p>
    <w:p w:rsidR="006C1DF2" w:rsidP="00C96380" w:rsidRDefault="006C47E0" w14:paraId="5C48AE76"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Some existing licensees will experience a one-time burden </w:t>
      </w:r>
      <w:r w:rsidRPr="006C47E0">
        <w:rPr>
          <w:rFonts w:ascii="Times New Roman" w:hAnsi="Times New Roman"/>
          <w:sz w:val="24"/>
          <w:szCs w:val="24"/>
        </w:rPr>
        <w:t>of transitioning to the new section 1.1307(b) rules</w:t>
      </w:r>
      <w:r>
        <w:rPr>
          <w:rFonts w:ascii="Times New Roman" w:hAnsi="Times New Roman"/>
          <w:sz w:val="24"/>
          <w:szCs w:val="24"/>
        </w:rPr>
        <w:t xml:space="preserve">.  </w:t>
      </w:r>
      <w:r w:rsidR="006C1DF2">
        <w:rPr>
          <w:rFonts w:ascii="Times New Roman" w:hAnsi="Times New Roman"/>
          <w:sz w:val="24"/>
          <w:szCs w:val="24"/>
        </w:rPr>
        <w:t xml:space="preserve">This burden consists of the transitioning, exempt licensees determining whether they remain exempt under the new rules, </w:t>
      </w:r>
      <w:r w:rsidR="00D96AD8">
        <w:rPr>
          <w:rFonts w:ascii="Times New Roman" w:hAnsi="Times New Roman"/>
          <w:sz w:val="24"/>
          <w:szCs w:val="24"/>
        </w:rPr>
        <w:t>plus</w:t>
      </w:r>
      <w:r w:rsidR="006C1DF2">
        <w:rPr>
          <w:rFonts w:ascii="Times New Roman" w:hAnsi="Times New Roman"/>
          <w:sz w:val="24"/>
          <w:szCs w:val="24"/>
        </w:rPr>
        <w:t xml:space="preserve"> the fraction of transitioning licensees updating their mitigation measures to meet the new, more specific requirements.  </w:t>
      </w:r>
      <w:r w:rsidR="00D96AD8">
        <w:rPr>
          <w:rFonts w:ascii="Times New Roman" w:hAnsi="Times New Roman"/>
          <w:sz w:val="24"/>
          <w:szCs w:val="24"/>
        </w:rPr>
        <w:t>Since this is a one-time burden that will occur over the course of the transition period for the new rules, we will first discuss the total transition burden before calculating the annualized burden for this three-year collection period and combining with the recurring annual burden detailed above.</w:t>
      </w:r>
    </w:p>
    <w:p w:rsidR="006C1DF2" w:rsidP="00C96380" w:rsidRDefault="006C1DF2" w14:paraId="6B59CBF7" w14:textId="77777777">
      <w:pPr>
        <w:tabs>
          <w:tab w:val="left" w:pos="-720"/>
          <w:tab w:val="left" w:pos="360"/>
        </w:tabs>
        <w:suppressAutoHyphens/>
        <w:jc w:val="both"/>
        <w:rPr>
          <w:rFonts w:ascii="Times New Roman" w:hAnsi="Times New Roman"/>
          <w:sz w:val="24"/>
          <w:szCs w:val="24"/>
        </w:rPr>
      </w:pPr>
    </w:p>
    <w:p w:rsidR="00DB647C" w:rsidP="00C96380" w:rsidRDefault="006C47E0" w14:paraId="6EF2C088"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It is expected that</w:t>
      </w:r>
      <w:r w:rsidR="00314D4E">
        <w:rPr>
          <w:rFonts w:ascii="Times New Roman" w:hAnsi="Times New Roman"/>
          <w:sz w:val="24"/>
          <w:szCs w:val="24"/>
        </w:rPr>
        <w:t xml:space="preserve"> most</w:t>
      </w:r>
      <w:r>
        <w:rPr>
          <w:rFonts w:ascii="Times New Roman" w:hAnsi="Times New Roman"/>
          <w:sz w:val="24"/>
          <w:szCs w:val="24"/>
        </w:rPr>
        <w:t xml:space="preserve"> </w:t>
      </w:r>
      <w:r w:rsidR="00314D4E">
        <w:rPr>
          <w:rFonts w:ascii="Times New Roman" w:hAnsi="Times New Roman"/>
          <w:sz w:val="24"/>
          <w:szCs w:val="24"/>
        </w:rPr>
        <w:t>licensees who</w:t>
      </w:r>
      <w:r>
        <w:rPr>
          <w:rFonts w:ascii="Times New Roman" w:hAnsi="Times New Roman"/>
          <w:sz w:val="24"/>
          <w:szCs w:val="24"/>
        </w:rPr>
        <w:t xml:space="preserve"> were</w:t>
      </w:r>
      <w:r w:rsidR="00314D4E">
        <w:rPr>
          <w:rFonts w:ascii="Times New Roman" w:hAnsi="Times New Roman"/>
          <w:sz w:val="24"/>
          <w:szCs w:val="24"/>
        </w:rPr>
        <w:t xml:space="preserve"> exempt (previously referred to as</w:t>
      </w:r>
      <w:r>
        <w:rPr>
          <w:rFonts w:ascii="Times New Roman" w:hAnsi="Times New Roman"/>
          <w:sz w:val="24"/>
          <w:szCs w:val="24"/>
        </w:rPr>
        <w:t xml:space="preserve"> </w:t>
      </w:r>
      <w:r w:rsidR="00314D4E">
        <w:rPr>
          <w:rFonts w:ascii="Times New Roman" w:hAnsi="Times New Roman"/>
          <w:sz w:val="24"/>
          <w:szCs w:val="24"/>
        </w:rPr>
        <w:t>“</w:t>
      </w:r>
      <w:r>
        <w:rPr>
          <w:rFonts w:ascii="Times New Roman" w:hAnsi="Times New Roman"/>
          <w:sz w:val="24"/>
          <w:szCs w:val="24"/>
        </w:rPr>
        <w:t>categorically excluded</w:t>
      </w:r>
      <w:r w:rsidR="00314D4E">
        <w:rPr>
          <w:rFonts w:ascii="Times New Roman" w:hAnsi="Times New Roman"/>
          <w:sz w:val="24"/>
          <w:szCs w:val="24"/>
        </w:rPr>
        <w:t>”)</w:t>
      </w:r>
      <w:r>
        <w:rPr>
          <w:rFonts w:ascii="Times New Roman" w:hAnsi="Times New Roman"/>
          <w:sz w:val="24"/>
          <w:szCs w:val="24"/>
        </w:rPr>
        <w:t xml:space="preserve"> from routine evaluation under the prior rules will</w:t>
      </w:r>
      <w:r w:rsidR="00314D4E">
        <w:rPr>
          <w:rFonts w:ascii="Times New Roman" w:hAnsi="Times New Roman"/>
          <w:sz w:val="24"/>
          <w:szCs w:val="24"/>
        </w:rPr>
        <w:t xml:space="preserve"> remain exempt under the new rules. </w:t>
      </w:r>
      <w:r w:rsidR="00D96AD8">
        <w:rPr>
          <w:rFonts w:ascii="Times New Roman" w:hAnsi="Times New Roman"/>
          <w:sz w:val="24"/>
          <w:szCs w:val="24"/>
        </w:rPr>
        <w:t>We estimate 574,514</w:t>
      </w:r>
      <w:r w:rsidR="00314D4E">
        <w:rPr>
          <w:rFonts w:ascii="Times New Roman" w:hAnsi="Times New Roman"/>
          <w:sz w:val="24"/>
          <w:szCs w:val="24"/>
        </w:rPr>
        <w:t xml:space="preserve"> existing, exempt licensee</w:t>
      </w:r>
      <w:r w:rsidR="00D96AD8">
        <w:rPr>
          <w:rFonts w:ascii="Times New Roman" w:hAnsi="Times New Roman"/>
          <w:sz w:val="24"/>
          <w:szCs w:val="24"/>
        </w:rPr>
        <w:t>s</w:t>
      </w:r>
      <w:r w:rsidR="00314D4E">
        <w:rPr>
          <w:rFonts w:ascii="Times New Roman" w:hAnsi="Times New Roman"/>
          <w:sz w:val="24"/>
          <w:szCs w:val="24"/>
        </w:rPr>
        <w:t xml:space="preserve"> will require </w:t>
      </w:r>
      <w:r w:rsidRPr="002A3414" w:rsidR="00314D4E">
        <w:rPr>
          <w:rFonts w:ascii="Times New Roman" w:hAnsi="Times New Roman"/>
          <w:sz w:val="24"/>
          <w:szCs w:val="24"/>
        </w:rPr>
        <w:t xml:space="preserve">approximately 5 minutes (0.0833 hours) </w:t>
      </w:r>
      <w:r w:rsidR="00D96AD8">
        <w:rPr>
          <w:rFonts w:ascii="Times New Roman" w:hAnsi="Times New Roman"/>
          <w:sz w:val="24"/>
          <w:szCs w:val="24"/>
        </w:rPr>
        <w:t>each</w:t>
      </w:r>
      <w:r w:rsidR="00314D4E">
        <w:rPr>
          <w:rFonts w:ascii="Times New Roman" w:hAnsi="Times New Roman"/>
          <w:sz w:val="24"/>
          <w:szCs w:val="24"/>
        </w:rPr>
        <w:t xml:space="preserve"> to determine if they are still exempt under the new rules.</w:t>
      </w:r>
      <w:r w:rsidR="006C1DF2">
        <w:rPr>
          <w:rFonts w:ascii="Times New Roman" w:hAnsi="Times New Roman"/>
          <w:sz w:val="24"/>
          <w:szCs w:val="24"/>
        </w:rPr>
        <w:t xml:space="preserve">  </w:t>
      </w:r>
      <w:r w:rsidR="00D96AD8">
        <w:rPr>
          <w:rFonts w:ascii="Times New Roman" w:hAnsi="Times New Roman"/>
          <w:sz w:val="24"/>
          <w:szCs w:val="24"/>
        </w:rPr>
        <w:t>This estimate excludes those who are expected to file for modification or allow their license to expire without renewal before the end of the transition period.  It also excludes e</w:t>
      </w:r>
      <w:r w:rsidR="006C1DF2">
        <w:rPr>
          <w:rFonts w:ascii="Times New Roman" w:hAnsi="Times New Roman"/>
          <w:sz w:val="24"/>
          <w:szCs w:val="24"/>
        </w:rPr>
        <w:t xml:space="preserve">xisting licensees who were not exempt under the prior rules </w:t>
      </w:r>
      <w:r w:rsidR="00D96AD8">
        <w:rPr>
          <w:rFonts w:ascii="Times New Roman" w:hAnsi="Times New Roman"/>
          <w:sz w:val="24"/>
          <w:szCs w:val="24"/>
        </w:rPr>
        <w:t xml:space="preserve">as they </w:t>
      </w:r>
      <w:r w:rsidR="006C1DF2">
        <w:rPr>
          <w:rFonts w:ascii="Times New Roman" w:hAnsi="Times New Roman"/>
          <w:sz w:val="24"/>
          <w:szCs w:val="24"/>
        </w:rPr>
        <w:t xml:space="preserve">would have </w:t>
      </w:r>
      <w:r w:rsidR="00D96AD8">
        <w:rPr>
          <w:rFonts w:ascii="Times New Roman" w:hAnsi="Times New Roman"/>
          <w:sz w:val="24"/>
          <w:szCs w:val="24"/>
        </w:rPr>
        <w:t xml:space="preserve">previously </w:t>
      </w:r>
      <w:r w:rsidR="006C1DF2">
        <w:rPr>
          <w:rFonts w:ascii="Times New Roman" w:hAnsi="Times New Roman"/>
          <w:sz w:val="24"/>
          <w:szCs w:val="24"/>
        </w:rPr>
        <w:t>performed an evaluation and can reuse that evaluation.</w:t>
      </w:r>
      <w:r w:rsidR="00D96AD8">
        <w:rPr>
          <w:rFonts w:ascii="Times New Roman" w:hAnsi="Times New Roman"/>
          <w:sz w:val="24"/>
          <w:szCs w:val="24"/>
        </w:rPr>
        <w:t xml:space="preserve">  </w:t>
      </w:r>
      <w:r w:rsidR="004C1251">
        <w:rPr>
          <w:rFonts w:ascii="Times New Roman" w:hAnsi="Times New Roman"/>
          <w:sz w:val="24"/>
          <w:szCs w:val="24"/>
        </w:rPr>
        <w:t xml:space="preserve">The total burden associated with these exemption calculations for the transition is </w:t>
      </w:r>
      <w:r w:rsidR="00482D59">
        <w:rPr>
          <w:rFonts w:ascii="Times New Roman" w:hAnsi="Times New Roman"/>
          <w:sz w:val="24"/>
          <w:szCs w:val="24"/>
        </w:rPr>
        <w:t xml:space="preserve">estimated to be </w:t>
      </w:r>
      <w:r w:rsidR="004C1251">
        <w:rPr>
          <w:rFonts w:ascii="Times New Roman" w:hAnsi="Times New Roman"/>
          <w:sz w:val="24"/>
          <w:szCs w:val="24"/>
        </w:rPr>
        <w:t>574,514</w:t>
      </w:r>
      <w:r w:rsidRPr="002A3414" w:rsidR="004C1251">
        <w:rPr>
          <w:rFonts w:ascii="Times New Roman" w:hAnsi="Times New Roman"/>
          <w:sz w:val="24"/>
          <w:szCs w:val="24"/>
        </w:rPr>
        <w:t xml:space="preserve"> </w:t>
      </w:r>
      <w:r w:rsidR="004C1251">
        <w:rPr>
          <w:rFonts w:ascii="Times New Roman" w:hAnsi="Times New Roman"/>
          <w:sz w:val="24"/>
          <w:szCs w:val="24"/>
        </w:rPr>
        <w:t>licensees</w:t>
      </w:r>
      <w:r w:rsidRPr="002A3414" w:rsidR="004C1251">
        <w:rPr>
          <w:rFonts w:ascii="Times New Roman" w:hAnsi="Times New Roman"/>
          <w:sz w:val="24"/>
          <w:szCs w:val="24"/>
        </w:rPr>
        <w:t xml:space="preserve"> x 0.0833 hours/</w:t>
      </w:r>
      <w:r w:rsidR="004C1251">
        <w:rPr>
          <w:rFonts w:ascii="Times New Roman" w:hAnsi="Times New Roman"/>
          <w:sz w:val="24"/>
          <w:szCs w:val="24"/>
        </w:rPr>
        <w:t>licensee</w:t>
      </w:r>
      <w:r w:rsidRPr="002A3414" w:rsidR="004C1251">
        <w:rPr>
          <w:rFonts w:ascii="Times New Roman" w:hAnsi="Times New Roman"/>
          <w:sz w:val="24"/>
          <w:szCs w:val="24"/>
        </w:rPr>
        <w:t xml:space="preserve"> = </w:t>
      </w:r>
      <w:r w:rsidR="004C1251">
        <w:rPr>
          <w:rFonts w:ascii="Times New Roman" w:hAnsi="Times New Roman"/>
          <w:sz w:val="24"/>
          <w:szCs w:val="24"/>
        </w:rPr>
        <w:t>47,857</w:t>
      </w:r>
      <w:r w:rsidRPr="002A3414" w:rsidR="004C1251">
        <w:rPr>
          <w:rFonts w:ascii="Times New Roman" w:hAnsi="Times New Roman"/>
          <w:sz w:val="24"/>
          <w:szCs w:val="24"/>
        </w:rPr>
        <w:t xml:space="preserve"> hours</w:t>
      </w:r>
      <w:r w:rsidR="004C1251">
        <w:rPr>
          <w:rFonts w:ascii="Times New Roman" w:hAnsi="Times New Roman"/>
          <w:sz w:val="24"/>
          <w:szCs w:val="24"/>
        </w:rPr>
        <w:t>.</w:t>
      </w:r>
    </w:p>
    <w:p w:rsidR="004C1251" w:rsidP="00C96380" w:rsidRDefault="004C1251" w14:paraId="71D120B5" w14:textId="77777777">
      <w:pPr>
        <w:tabs>
          <w:tab w:val="left" w:pos="-720"/>
          <w:tab w:val="left" w:pos="360"/>
        </w:tabs>
        <w:suppressAutoHyphens/>
        <w:jc w:val="both"/>
        <w:rPr>
          <w:rFonts w:ascii="Times New Roman" w:hAnsi="Times New Roman"/>
          <w:sz w:val="24"/>
          <w:szCs w:val="24"/>
        </w:rPr>
      </w:pPr>
    </w:p>
    <w:p w:rsidR="004C1251" w:rsidP="00C96380" w:rsidRDefault="004C1251" w14:paraId="7EE0B0F8"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It is estimated that approximately 10% of transitioning licensees requiring mitigation measures such as signage will need to update their mitigation measures to meet our new, more specific mitigation requirements.  We estimate this will affect 7,135 existing licensees, requiring 2 hours plus signage costs each.  The total burden associated with these mitigation measure updates for the transition is</w:t>
      </w:r>
      <w:r w:rsidR="00482D59">
        <w:rPr>
          <w:rFonts w:ascii="Times New Roman" w:hAnsi="Times New Roman"/>
          <w:sz w:val="24"/>
          <w:szCs w:val="24"/>
        </w:rPr>
        <w:t xml:space="preserve"> estimated to be</w:t>
      </w:r>
      <w:r>
        <w:rPr>
          <w:rFonts w:ascii="Times New Roman" w:hAnsi="Times New Roman"/>
          <w:sz w:val="24"/>
          <w:szCs w:val="24"/>
        </w:rPr>
        <w:t xml:space="preserve"> 7,135 licensees x 2 hours/licensee = 14,270 hours (plus signage costs to be discussed in item 13).</w:t>
      </w:r>
    </w:p>
    <w:p w:rsidR="00482D59" w:rsidP="00C96380" w:rsidRDefault="00482D59" w14:paraId="0CF2059F" w14:textId="77777777">
      <w:pPr>
        <w:tabs>
          <w:tab w:val="left" w:pos="-720"/>
          <w:tab w:val="left" w:pos="360"/>
        </w:tabs>
        <w:suppressAutoHyphens/>
        <w:jc w:val="both"/>
        <w:rPr>
          <w:rFonts w:ascii="Times New Roman" w:hAnsi="Times New Roman"/>
          <w:sz w:val="24"/>
          <w:szCs w:val="24"/>
        </w:rPr>
      </w:pPr>
    </w:p>
    <w:p w:rsidR="00EA5B4B" w:rsidP="00C96380" w:rsidRDefault="00482D59" w14:paraId="3BCE4B0D"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Combining the above totals, we estimate the one-time transition burden to affect 574,514 + 7,135 = 581,649 </w:t>
      </w:r>
      <w:r w:rsidR="00EA5B4B">
        <w:rPr>
          <w:rFonts w:ascii="Times New Roman" w:hAnsi="Times New Roman"/>
          <w:sz w:val="24"/>
          <w:szCs w:val="24"/>
        </w:rPr>
        <w:t>respondents</w:t>
      </w:r>
      <w:r w:rsidR="00EA5B4B">
        <w:rPr>
          <w:rStyle w:val="FootnoteReference"/>
          <w:rFonts w:ascii="Times New Roman" w:hAnsi="Times New Roman"/>
          <w:sz w:val="24"/>
          <w:szCs w:val="24"/>
        </w:rPr>
        <w:footnoteReference w:id="4"/>
      </w:r>
      <w:r>
        <w:rPr>
          <w:rFonts w:ascii="Times New Roman" w:hAnsi="Times New Roman"/>
          <w:sz w:val="24"/>
          <w:szCs w:val="24"/>
        </w:rPr>
        <w:t xml:space="preserve"> and total 47,857 + 14,270 = 62,127 hours.  This burden will occur over the course of the transition period.</w:t>
      </w:r>
      <w:r w:rsidR="00DD611F">
        <w:rPr>
          <w:rFonts w:ascii="Times New Roman" w:hAnsi="Times New Roman"/>
          <w:sz w:val="24"/>
          <w:szCs w:val="24"/>
        </w:rPr>
        <w:t xml:space="preserve">  T</w:t>
      </w:r>
      <w:r w:rsidRPr="00DD611F" w:rsidR="00DD611F">
        <w:rPr>
          <w:rFonts w:ascii="Times New Roman" w:hAnsi="Times New Roman"/>
          <w:sz w:val="24"/>
          <w:szCs w:val="24"/>
        </w:rPr>
        <w:t xml:space="preserve">he transition </w:t>
      </w:r>
      <w:r w:rsidR="00DD611F">
        <w:rPr>
          <w:rFonts w:ascii="Times New Roman" w:hAnsi="Times New Roman"/>
          <w:sz w:val="24"/>
          <w:szCs w:val="24"/>
        </w:rPr>
        <w:t>is</w:t>
      </w:r>
      <w:r w:rsidRPr="00DD611F" w:rsidR="00DD611F">
        <w:rPr>
          <w:rFonts w:ascii="Times New Roman" w:hAnsi="Times New Roman"/>
          <w:sz w:val="24"/>
          <w:szCs w:val="24"/>
        </w:rPr>
        <w:t xml:space="preserve"> required to occur in the first two years following the effective date of the new rules, but we are dividing by three in order to annualize the estimated burden</w:t>
      </w:r>
      <w:r w:rsidR="00DD611F">
        <w:rPr>
          <w:rFonts w:ascii="Times New Roman" w:hAnsi="Times New Roman"/>
          <w:sz w:val="24"/>
          <w:szCs w:val="24"/>
        </w:rPr>
        <w:t xml:space="preserve"> for the three-year collection period</w:t>
      </w:r>
      <w:r w:rsidRPr="00DD611F" w:rsidR="00DD611F">
        <w:rPr>
          <w:rFonts w:ascii="Times New Roman" w:hAnsi="Times New Roman"/>
          <w:sz w:val="24"/>
          <w:szCs w:val="24"/>
        </w:rPr>
        <w:t>.</w:t>
      </w:r>
      <w:r>
        <w:rPr>
          <w:rFonts w:ascii="Times New Roman" w:hAnsi="Times New Roman"/>
          <w:sz w:val="24"/>
          <w:szCs w:val="24"/>
        </w:rPr>
        <w:t xml:space="preserve"> </w:t>
      </w:r>
      <w:r w:rsidR="00DD611F">
        <w:rPr>
          <w:rFonts w:ascii="Times New Roman" w:hAnsi="Times New Roman"/>
          <w:sz w:val="24"/>
          <w:szCs w:val="24"/>
        </w:rPr>
        <w:t xml:space="preserve"> T</w:t>
      </w:r>
      <w:r>
        <w:rPr>
          <w:rFonts w:ascii="Times New Roman" w:hAnsi="Times New Roman"/>
          <w:sz w:val="24"/>
          <w:szCs w:val="24"/>
        </w:rPr>
        <w:t xml:space="preserve">he annualized burden associated with the transition is estimated to be </w:t>
      </w:r>
      <w:r w:rsidR="00EA5B4B">
        <w:rPr>
          <w:rFonts w:ascii="Times New Roman" w:hAnsi="Times New Roman"/>
          <w:sz w:val="24"/>
          <w:szCs w:val="24"/>
        </w:rPr>
        <w:t>581,649 ÷ 3 =</w:t>
      </w:r>
      <w:r w:rsidRPr="00DD611F" w:rsidR="00EA5B4B">
        <w:rPr>
          <w:rFonts w:ascii="Times New Roman" w:hAnsi="Times New Roman"/>
          <w:sz w:val="24"/>
          <w:szCs w:val="24"/>
        </w:rPr>
        <w:t xml:space="preserve"> </w:t>
      </w:r>
      <w:r w:rsidRPr="00F5218E" w:rsidR="00EA5B4B">
        <w:rPr>
          <w:rFonts w:ascii="Times New Roman" w:hAnsi="Times New Roman"/>
          <w:b/>
          <w:bCs/>
          <w:sz w:val="24"/>
          <w:szCs w:val="24"/>
        </w:rPr>
        <w:t xml:space="preserve">193,883 </w:t>
      </w:r>
      <w:r w:rsidRPr="00DD611F" w:rsidR="00EA5B4B">
        <w:rPr>
          <w:rFonts w:ascii="Times New Roman" w:hAnsi="Times New Roman"/>
          <w:b/>
          <w:bCs/>
          <w:sz w:val="24"/>
          <w:szCs w:val="24"/>
        </w:rPr>
        <w:t>respondents</w:t>
      </w:r>
      <w:r w:rsidRPr="00DD611F" w:rsidR="00EA5B4B">
        <w:rPr>
          <w:rFonts w:ascii="Times New Roman" w:hAnsi="Times New Roman"/>
          <w:sz w:val="24"/>
          <w:szCs w:val="24"/>
        </w:rPr>
        <w:t xml:space="preserve"> and 62,127 ÷ 3 = </w:t>
      </w:r>
      <w:r w:rsidRPr="00F5218E" w:rsidR="00EA5B4B">
        <w:rPr>
          <w:rFonts w:ascii="Times New Roman" w:hAnsi="Times New Roman"/>
          <w:b/>
          <w:bCs/>
          <w:sz w:val="24"/>
          <w:szCs w:val="24"/>
        </w:rPr>
        <w:t>20,709 hours</w:t>
      </w:r>
      <w:r w:rsidRPr="00DD611F" w:rsidR="00EA5B4B">
        <w:rPr>
          <w:rFonts w:ascii="Times New Roman" w:hAnsi="Times New Roman"/>
          <w:sz w:val="24"/>
          <w:szCs w:val="24"/>
        </w:rPr>
        <w:t>.</w:t>
      </w:r>
    </w:p>
    <w:p w:rsidR="00EA5B4B" w:rsidP="00C96380" w:rsidRDefault="00EA5B4B" w14:paraId="74220497" w14:textId="77777777">
      <w:pPr>
        <w:tabs>
          <w:tab w:val="left" w:pos="-720"/>
          <w:tab w:val="left" w:pos="360"/>
        </w:tabs>
        <w:suppressAutoHyphens/>
        <w:jc w:val="both"/>
        <w:rPr>
          <w:rFonts w:ascii="Times New Roman" w:hAnsi="Times New Roman"/>
          <w:sz w:val="24"/>
          <w:szCs w:val="24"/>
        </w:rPr>
      </w:pPr>
    </w:p>
    <w:p w:rsidR="00EA5B4B" w:rsidP="00C96380" w:rsidRDefault="00EA5B4B" w14:paraId="58171103" w14:textId="47F22A81">
      <w:pPr>
        <w:tabs>
          <w:tab w:val="left" w:pos="-720"/>
          <w:tab w:val="left" w:pos="360"/>
        </w:tabs>
        <w:suppressAutoHyphens/>
        <w:jc w:val="both"/>
        <w:rPr>
          <w:rFonts w:ascii="Times New Roman" w:hAnsi="Times New Roman"/>
          <w:sz w:val="24"/>
          <w:szCs w:val="24"/>
        </w:rPr>
      </w:pPr>
      <w:r w:rsidRPr="00F5218E">
        <w:rPr>
          <w:rFonts w:ascii="Times New Roman" w:hAnsi="Times New Roman"/>
          <w:bCs/>
          <w:sz w:val="24"/>
          <w:szCs w:val="24"/>
        </w:rPr>
        <w:t>In-House Cost:</w:t>
      </w:r>
      <w:r w:rsidRPr="009A7072">
        <w:rPr>
          <w:rFonts w:ascii="Times New Roman" w:hAnsi="Times New Roman"/>
          <w:b/>
          <w:sz w:val="24"/>
          <w:szCs w:val="24"/>
        </w:rPr>
        <w:t xml:space="preserve"> </w:t>
      </w:r>
      <w:r w:rsidRPr="009A7072">
        <w:rPr>
          <w:rFonts w:ascii="Times New Roman" w:hAnsi="Times New Roman"/>
          <w:sz w:val="24"/>
          <w:szCs w:val="24"/>
        </w:rPr>
        <w:t xml:space="preserve">The Commission estimates that in-house staff will be paid </w:t>
      </w:r>
      <w:r>
        <w:rPr>
          <w:rFonts w:ascii="Times New Roman" w:hAnsi="Times New Roman"/>
          <w:sz w:val="24"/>
          <w:szCs w:val="24"/>
        </w:rPr>
        <w:t>approximately</w:t>
      </w:r>
      <w:r w:rsidRPr="009A7072">
        <w:rPr>
          <w:rFonts w:ascii="Times New Roman" w:hAnsi="Times New Roman"/>
          <w:sz w:val="24"/>
          <w:szCs w:val="24"/>
        </w:rPr>
        <w:t xml:space="preserve"> $</w:t>
      </w:r>
      <w:r>
        <w:rPr>
          <w:rFonts w:ascii="Times New Roman" w:hAnsi="Times New Roman"/>
          <w:sz w:val="24"/>
          <w:szCs w:val="24"/>
        </w:rPr>
        <w:t>165</w:t>
      </w:r>
      <w:r w:rsidRPr="009A7072">
        <w:rPr>
          <w:rFonts w:ascii="Times New Roman" w:hAnsi="Times New Roman"/>
          <w:sz w:val="24"/>
          <w:szCs w:val="24"/>
        </w:rPr>
        <w:t>/hour to fulfill the requirements.  Therefore, the</w:t>
      </w:r>
      <w:r w:rsidR="0096123C">
        <w:rPr>
          <w:rFonts w:ascii="Times New Roman" w:hAnsi="Times New Roman"/>
          <w:sz w:val="24"/>
          <w:szCs w:val="24"/>
        </w:rPr>
        <w:t xml:space="preserve"> annualized</w:t>
      </w:r>
      <w:r w:rsidRPr="009A7072">
        <w:rPr>
          <w:rFonts w:ascii="Times New Roman" w:hAnsi="Times New Roman"/>
          <w:sz w:val="24"/>
          <w:szCs w:val="24"/>
        </w:rPr>
        <w:t xml:space="preserve"> in-house cost</w:t>
      </w:r>
      <w:r w:rsidR="0096123C">
        <w:rPr>
          <w:rFonts w:ascii="Times New Roman" w:hAnsi="Times New Roman"/>
          <w:sz w:val="24"/>
          <w:szCs w:val="24"/>
        </w:rPr>
        <w:t xml:space="preserve"> associated with </w:t>
      </w:r>
      <w:r w:rsidR="0096123C">
        <w:rPr>
          <w:rFonts w:ascii="Times New Roman" w:hAnsi="Times New Roman"/>
          <w:sz w:val="24"/>
          <w:szCs w:val="24"/>
        </w:rPr>
        <w:lastRenderedPageBreak/>
        <w:t>transition</w:t>
      </w:r>
      <w:r w:rsidRPr="009A7072">
        <w:rPr>
          <w:rFonts w:ascii="Times New Roman" w:hAnsi="Times New Roman"/>
          <w:sz w:val="24"/>
          <w:szCs w:val="24"/>
        </w:rPr>
        <w:t xml:space="preserve"> is as follows: </w:t>
      </w:r>
      <w:r>
        <w:rPr>
          <w:rFonts w:ascii="Times New Roman" w:hAnsi="Times New Roman"/>
          <w:sz w:val="24"/>
          <w:szCs w:val="24"/>
        </w:rPr>
        <w:t>20,709</w:t>
      </w:r>
      <w:r w:rsidRPr="009A7072">
        <w:rPr>
          <w:rFonts w:ascii="Times New Roman" w:hAnsi="Times New Roman"/>
          <w:sz w:val="24"/>
          <w:szCs w:val="24"/>
        </w:rPr>
        <w:t xml:space="preserve"> hours x $</w:t>
      </w:r>
      <w:r>
        <w:rPr>
          <w:rFonts w:ascii="Times New Roman" w:hAnsi="Times New Roman"/>
          <w:sz w:val="24"/>
          <w:szCs w:val="24"/>
        </w:rPr>
        <w:t>165</w:t>
      </w:r>
      <w:r w:rsidRPr="009A7072">
        <w:rPr>
          <w:rFonts w:ascii="Times New Roman" w:hAnsi="Times New Roman"/>
          <w:sz w:val="24"/>
          <w:szCs w:val="24"/>
        </w:rPr>
        <w:t xml:space="preserve">/hour = </w:t>
      </w:r>
      <w:r w:rsidRPr="00FE1B0B">
        <w:rPr>
          <w:rFonts w:ascii="Times New Roman" w:hAnsi="Times New Roman"/>
          <w:b/>
          <w:sz w:val="24"/>
          <w:szCs w:val="24"/>
        </w:rPr>
        <w:t>$3,41</w:t>
      </w:r>
      <w:r w:rsidRPr="00F638F3" w:rsidR="00FE1B0B">
        <w:rPr>
          <w:rFonts w:ascii="Times New Roman" w:hAnsi="Times New Roman"/>
          <w:b/>
          <w:sz w:val="24"/>
          <w:szCs w:val="24"/>
        </w:rPr>
        <w:t>6,985</w:t>
      </w:r>
      <w:r w:rsidRPr="0080521F">
        <w:rPr>
          <w:rFonts w:ascii="Times New Roman" w:hAnsi="Times New Roman"/>
          <w:bCs/>
          <w:sz w:val="24"/>
          <w:szCs w:val="24"/>
        </w:rPr>
        <w:t>.</w:t>
      </w:r>
    </w:p>
    <w:p w:rsidR="00D96AD8" w:rsidP="00C96380" w:rsidRDefault="00D96AD8" w14:paraId="07F4792F" w14:textId="77777777">
      <w:pPr>
        <w:tabs>
          <w:tab w:val="left" w:pos="-720"/>
          <w:tab w:val="left" w:pos="360"/>
        </w:tabs>
        <w:suppressAutoHyphens/>
        <w:jc w:val="both"/>
        <w:rPr>
          <w:rFonts w:ascii="Times New Roman" w:hAnsi="Times New Roman"/>
          <w:sz w:val="24"/>
          <w:szCs w:val="24"/>
        </w:rPr>
      </w:pPr>
    </w:p>
    <w:p w:rsidR="00C96380" w:rsidP="00C96380" w:rsidRDefault="00EA5B4B" w14:paraId="48D9B26D"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(c) Total Annualized </w:t>
      </w:r>
      <w:r w:rsidR="00EF7562">
        <w:rPr>
          <w:rFonts w:ascii="Times New Roman" w:hAnsi="Times New Roman"/>
          <w:sz w:val="24"/>
          <w:szCs w:val="24"/>
        </w:rPr>
        <w:t xml:space="preserve">Hours </w:t>
      </w:r>
      <w:r>
        <w:rPr>
          <w:rFonts w:ascii="Times New Roman" w:hAnsi="Times New Roman"/>
          <w:sz w:val="24"/>
          <w:szCs w:val="24"/>
        </w:rPr>
        <w:t>Burden</w:t>
      </w:r>
    </w:p>
    <w:p w:rsidR="00EA5B4B" w:rsidP="00C96380" w:rsidRDefault="00EA5B4B" w14:paraId="629EDBD5" w14:textId="77777777">
      <w:pPr>
        <w:tabs>
          <w:tab w:val="left" w:pos="-720"/>
          <w:tab w:val="left" w:pos="360"/>
        </w:tabs>
        <w:suppressAutoHyphens/>
        <w:jc w:val="both"/>
        <w:rPr>
          <w:rFonts w:ascii="Times New Roman" w:hAnsi="Times New Roman"/>
          <w:sz w:val="24"/>
          <w:szCs w:val="24"/>
        </w:rPr>
      </w:pPr>
    </w:p>
    <w:p w:rsidRPr="002A3414" w:rsidR="00C96380" w:rsidP="00F5218E" w:rsidRDefault="00EA5B4B" w14:paraId="03646B3A" w14:textId="00407CE2">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Combining the recurring annual burden with the annualized one-time transition burden, </w:t>
      </w:r>
      <w:r w:rsidR="005D24B7">
        <w:rPr>
          <w:rFonts w:ascii="Times New Roman" w:hAnsi="Times New Roman"/>
          <w:sz w:val="24"/>
          <w:szCs w:val="24"/>
        </w:rPr>
        <w:t xml:space="preserve">we estimate the total annualized burden to be </w:t>
      </w:r>
      <w:r w:rsidRPr="00884FE1" w:rsidR="005D24B7">
        <w:rPr>
          <w:rFonts w:ascii="Times New Roman" w:hAnsi="Times New Roman"/>
          <w:sz w:val="24"/>
          <w:szCs w:val="24"/>
        </w:rPr>
        <w:t>141,55</w:t>
      </w:r>
      <w:r w:rsidRPr="00884FE1" w:rsidR="00EB60DF">
        <w:rPr>
          <w:rFonts w:ascii="Times New Roman" w:hAnsi="Times New Roman"/>
          <w:sz w:val="24"/>
          <w:szCs w:val="24"/>
        </w:rPr>
        <w:t>8</w:t>
      </w:r>
      <w:r w:rsidRPr="00884FE1" w:rsidR="005D24B7">
        <w:rPr>
          <w:rFonts w:ascii="Times New Roman" w:hAnsi="Times New Roman"/>
          <w:sz w:val="24"/>
          <w:szCs w:val="24"/>
        </w:rPr>
        <w:t xml:space="preserve"> + 193,883 = </w:t>
      </w:r>
      <w:r w:rsidRPr="00884FE1" w:rsidR="005D24B7">
        <w:rPr>
          <w:rFonts w:ascii="Times New Roman" w:hAnsi="Times New Roman"/>
          <w:b/>
          <w:bCs/>
          <w:sz w:val="24"/>
          <w:szCs w:val="24"/>
        </w:rPr>
        <w:t>335,44</w:t>
      </w:r>
      <w:r w:rsidRPr="00884FE1" w:rsidR="00EB60DF">
        <w:rPr>
          <w:rFonts w:ascii="Times New Roman" w:hAnsi="Times New Roman"/>
          <w:b/>
          <w:bCs/>
          <w:sz w:val="24"/>
          <w:szCs w:val="24"/>
        </w:rPr>
        <w:t>1</w:t>
      </w:r>
      <w:r w:rsidRPr="00884FE1" w:rsidR="005D24B7">
        <w:rPr>
          <w:rFonts w:ascii="Times New Roman" w:hAnsi="Times New Roman"/>
          <w:b/>
          <w:bCs/>
          <w:sz w:val="24"/>
          <w:szCs w:val="24"/>
        </w:rPr>
        <w:t xml:space="preserve"> respondents</w:t>
      </w:r>
      <w:r w:rsidRPr="00884FE1" w:rsidR="005D24B7">
        <w:rPr>
          <w:rFonts w:ascii="Times New Roman" w:hAnsi="Times New Roman"/>
          <w:sz w:val="24"/>
          <w:szCs w:val="24"/>
        </w:rPr>
        <w:t xml:space="preserve"> and 21,28</w:t>
      </w:r>
      <w:r w:rsidRPr="00884FE1" w:rsidR="00EB60DF">
        <w:rPr>
          <w:rFonts w:ascii="Times New Roman" w:hAnsi="Times New Roman"/>
          <w:sz w:val="24"/>
          <w:szCs w:val="24"/>
        </w:rPr>
        <w:t>8</w:t>
      </w:r>
      <w:r w:rsidRPr="00884FE1" w:rsidR="005D24B7">
        <w:rPr>
          <w:rFonts w:ascii="Times New Roman" w:hAnsi="Times New Roman"/>
          <w:sz w:val="24"/>
          <w:szCs w:val="24"/>
        </w:rPr>
        <w:t xml:space="preserve"> + 20,709 = </w:t>
      </w:r>
      <w:r w:rsidRPr="00884FE1" w:rsidR="005D24B7">
        <w:rPr>
          <w:rFonts w:ascii="Times New Roman" w:hAnsi="Times New Roman"/>
          <w:b/>
          <w:bCs/>
          <w:sz w:val="24"/>
          <w:szCs w:val="24"/>
        </w:rPr>
        <w:t>41,99</w:t>
      </w:r>
      <w:r w:rsidRPr="00884FE1" w:rsidR="00EB60DF">
        <w:rPr>
          <w:rFonts w:ascii="Times New Roman" w:hAnsi="Times New Roman"/>
          <w:b/>
          <w:bCs/>
          <w:sz w:val="24"/>
          <w:szCs w:val="24"/>
        </w:rPr>
        <w:t>7</w:t>
      </w:r>
      <w:r w:rsidRPr="00884FE1" w:rsidR="005D24B7">
        <w:rPr>
          <w:rFonts w:ascii="Times New Roman" w:hAnsi="Times New Roman"/>
          <w:b/>
          <w:bCs/>
          <w:sz w:val="24"/>
          <w:szCs w:val="24"/>
        </w:rPr>
        <w:t xml:space="preserve"> hours</w:t>
      </w:r>
      <w:r w:rsidRPr="00884FE1" w:rsidR="005D24B7">
        <w:rPr>
          <w:rFonts w:ascii="Times New Roman" w:hAnsi="Times New Roman"/>
          <w:sz w:val="24"/>
          <w:szCs w:val="24"/>
        </w:rPr>
        <w:t>.</w:t>
      </w:r>
      <w:r w:rsidR="00953EE8">
        <w:rPr>
          <w:rFonts w:ascii="Times New Roman" w:hAnsi="Times New Roman"/>
          <w:sz w:val="24"/>
          <w:szCs w:val="24"/>
        </w:rPr>
        <w:t xml:space="preserve">  </w:t>
      </w:r>
      <w:r w:rsidRPr="009A7072" w:rsidR="00953EE8">
        <w:rPr>
          <w:rFonts w:ascii="Times New Roman" w:hAnsi="Times New Roman"/>
          <w:sz w:val="24"/>
          <w:szCs w:val="24"/>
        </w:rPr>
        <w:t xml:space="preserve">The Commission estimates that in-house staff will be paid </w:t>
      </w:r>
      <w:r w:rsidR="00953EE8">
        <w:rPr>
          <w:rFonts w:ascii="Times New Roman" w:hAnsi="Times New Roman"/>
          <w:sz w:val="24"/>
          <w:szCs w:val="24"/>
        </w:rPr>
        <w:t>approximately</w:t>
      </w:r>
      <w:r w:rsidRPr="009A7072" w:rsidR="00953EE8">
        <w:rPr>
          <w:rFonts w:ascii="Times New Roman" w:hAnsi="Times New Roman"/>
          <w:sz w:val="24"/>
          <w:szCs w:val="24"/>
        </w:rPr>
        <w:t xml:space="preserve"> $</w:t>
      </w:r>
      <w:r w:rsidR="00953EE8">
        <w:rPr>
          <w:rFonts w:ascii="Times New Roman" w:hAnsi="Times New Roman"/>
          <w:sz w:val="24"/>
          <w:szCs w:val="24"/>
        </w:rPr>
        <w:t>165</w:t>
      </w:r>
      <w:r w:rsidRPr="009A7072" w:rsidR="00953EE8">
        <w:rPr>
          <w:rFonts w:ascii="Times New Roman" w:hAnsi="Times New Roman"/>
          <w:sz w:val="24"/>
          <w:szCs w:val="24"/>
        </w:rPr>
        <w:t>/hour to fulfill the requirements.  Therefore, the</w:t>
      </w:r>
      <w:r w:rsidR="00953EE8">
        <w:rPr>
          <w:rFonts w:ascii="Times New Roman" w:hAnsi="Times New Roman"/>
          <w:sz w:val="24"/>
          <w:szCs w:val="24"/>
        </w:rPr>
        <w:t xml:space="preserve"> annualized</w:t>
      </w:r>
      <w:r w:rsidRPr="009A7072" w:rsidR="00953EE8">
        <w:rPr>
          <w:rFonts w:ascii="Times New Roman" w:hAnsi="Times New Roman"/>
          <w:sz w:val="24"/>
          <w:szCs w:val="24"/>
        </w:rPr>
        <w:t xml:space="preserve"> in-house cost</w:t>
      </w:r>
      <w:r w:rsidR="00953EE8">
        <w:rPr>
          <w:rFonts w:ascii="Times New Roman" w:hAnsi="Times New Roman"/>
          <w:sz w:val="24"/>
          <w:szCs w:val="24"/>
        </w:rPr>
        <w:t xml:space="preserve"> associated with transition</w:t>
      </w:r>
      <w:r w:rsidRPr="009A7072" w:rsidR="00953EE8">
        <w:rPr>
          <w:rFonts w:ascii="Times New Roman" w:hAnsi="Times New Roman"/>
          <w:sz w:val="24"/>
          <w:szCs w:val="24"/>
        </w:rPr>
        <w:t xml:space="preserve"> is as follows: </w:t>
      </w:r>
      <w:r w:rsidR="00953EE8">
        <w:rPr>
          <w:rFonts w:ascii="Times New Roman" w:hAnsi="Times New Roman"/>
          <w:sz w:val="24"/>
          <w:szCs w:val="24"/>
        </w:rPr>
        <w:t>41,99</w:t>
      </w:r>
      <w:r w:rsidR="00EB60DF">
        <w:rPr>
          <w:rFonts w:ascii="Times New Roman" w:hAnsi="Times New Roman"/>
          <w:sz w:val="24"/>
          <w:szCs w:val="24"/>
        </w:rPr>
        <w:t>7</w:t>
      </w:r>
      <w:r w:rsidRPr="009A7072" w:rsidR="00953EE8">
        <w:rPr>
          <w:rFonts w:ascii="Times New Roman" w:hAnsi="Times New Roman"/>
          <w:sz w:val="24"/>
          <w:szCs w:val="24"/>
        </w:rPr>
        <w:t xml:space="preserve"> hours x $</w:t>
      </w:r>
      <w:r w:rsidR="00953EE8">
        <w:rPr>
          <w:rFonts w:ascii="Times New Roman" w:hAnsi="Times New Roman"/>
          <w:sz w:val="24"/>
          <w:szCs w:val="24"/>
        </w:rPr>
        <w:t>165</w:t>
      </w:r>
      <w:r w:rsidRPr="009A7072" w:rsidR="00953EE8">
        <w:rPr>
          <w:rFonts w:ascii="Times New Roman" w:hAnsi="Times New Roman"/>
          <w:sz w:val="24"/>
          <w:szCs w:val="24"/>
        </w:rPr>
        <w:t xml:space="preserve">/hour = </w:t>
      </w:r>
      <w:r w:rsidRPr="009A7072" w:rsidR="00953EE8">
        <w:rPr>
          <w:rFonts w:ascii="Times New Roman" w:hAnsi="Times New Roman"/>
          <w:b/>
          <w:sz w:val="24"/>
          <w:szCs w:val="24"/>
        </w:rPr>
        <w:t>$</w:t>
      </w:r>
      <w:r w:rsidR="00953EE8">
        <w:rPr>
          <w:rFonts w:ascii="Times New Roman" w:hAnsi="Times New Roman"/>
          <w:b/>
          <w:sz w:val="24"/>
          <w:szCs w:val="24"/>
        </w:rPr>
        <w:t>6,92</w:t>
      </w:r>
      <w:r w:rsidR="00EB60DF">
        <w:rPr>
          <w:rFonts w:ascii="Times New Roman" w:hAnsi="Times New Roman"/>
          <w:b/>
          <w:sz w:val="24"/>
          <w:szCs w:val="24"/>
        </w:rPr>
        <w:t>9</w:t>
      </w:r>
      <w:r w:rsidR="00953EE8">
        <w:rPr>
          <w:rFonts w:ascii="Times New Roman" w:hAnsi="Times New Roman"/>
          <w:b/>
          <w:sz w:val="24"/>
          <w:szCs w:val="24"/>
        </w:rPr>
        <w:t>,</w:t>
      </w:r>
      <w:r w:rsidR="00EB60DF">
        <w:rPr>
          <w:rFonts w:ascii="Times New Roman" w:hAnsi="Times New Roman"/>
          <w:b/>
          <w:sz w:val="24"/>
          <w:szCs w:val="24"/>
        </w:rPr>
        <w:t>505</w:t>
      </w:r>
      <w:r w:rsidR="00884FE1">
        <w:rPr>
          <w:rFonts w:ascii="Times New Roman" w:hAnsi="Times New Roman"/>
          <w:b/>
          <w:sz w:val="24"/>
          <w:szCs w:val="24"/>
        </w:rPr>
        <w:t>.</w:t>
      </w:r>
    </w:p>
    <w:p w:rsidR="00C62129" w:rsidP="00025DC4" w:rsidRDefault="00C62129" w14:paraId="3E723250" w14:textId="77777777">
      <w:pPr>
        <w:tabs>
          <w:tab w:val="left" w:pos="-720"/>
        </w:tabs>
        <w:suppressAutoHyphens/>
        <w:rPr>
          <w:rFonts w:ascii="Times New Roman" w:hAnsi="Times New Roman"/>
          <w:b/>
          <w:sz w:val="24"/>
          <w:szCs w:val="24"/>
        </w:rPr>
      </w:pPr>
    </w:p>
    <w:p w:rsidRPr="002A3414" w:rsidR="00475E60" w:rsidP="00025DC4" w:rsidRDefault="00475E60" w14:paraId="3E010147" w14:textId="77777777">
      <w:pPr>
        <w:tabs>
          <w:tab w:val="left" w:pos="-720"/>
        </w:tabs>
        <w:suppressAutoHyphens/>
        <w:rPr>
          <w:rFonts w:ascii="Times New Roman" w:hAnsi="Times New Roman"/>
          <w:b/>
          <w:sz w:val="24"/>
          <w:szCs w:val="24"/>
        </w:rPr>
      </w:pPr>
    </w:p>
    <w:p w:rsidRPr="002B15BD" w:rsidR="002B15BD" w:rsidP="002B15BD" w:rsidRDefault="002B15BD" w14:paraId="479ACEF1" w14:textId="77777777">
      <w:pPr>
        <w:pStyle w:val="Default"/>
      </w:pPr>
      <w:r w:rsidRPr="002B15BD">
        <w:rPr>
          <w:b/>
          <w:bCs/>
        </w:rPr>
        <w:t xml:space="preserve">13. Provide an estimate of the total annual cost burden to respondents or </w:t>
      </w:r>
    </w:p>
    <w:p w:rsidR="002B15BD" w:rsidP="002B15BD" w:rsidRDefault="002B15BD" w14:paraId="1901DEB3" w14:textId="77777777">
      <w:pPr>
        <w:tabs>
          <w:tab w:val="left" w:pos="-720"/>
        </w:tabs>
        <w:suppressAutoHyphens/>
        <w:jc w:val="both"/>
        <w:rPr>
          <w:b/>
          <w:bCs/>
          <w:sz w:val="22"/>
          <w:szCs w:val="22"/>
        </w:rPr>
      </w:pPr>
      <w:r w:rsidRPr="002B15BD">
        <w:rPr>
          <w:rFonts w:ascii="Times New Roman" w:hAnsi="Times New Roman"/>
          <w:b/>
          <w:bCs/>
          <w:sz w:val="24"/>
          <w:szCs w:val="24"/>
        </w:rPr>
        <w:t>record keepers resulting from the collection of information. Do not include the cost of any burden hours shown in items 12 and 14.</w:t>
      </w:r>
      <w:r>
        <w:rPr>
          <w:b/>
          <w:bCs/>
          <w:sz w:val="22"/>
          <w:szCs w:val="22"/>
        </w:rPr>
        <w:t xml:space="preserve"> </w:t>
      </w:r>
    </w:p>
    <w:p w:rsidR="002B15BD" w:rsidP="002B15BD" w:rsidRDefault="002B15BD" w14:paraId="77C9491F" w14:textId="77777777">
      <w:pPr>
        <w:tabs>
          <w:tab w:val="left" w:pos="-720"/>
        </w:tabs>
        <w:suppressAutoHyphens/>
        <w:jc w:val="both"/>
        <w:rPr>
          <w:b/>
          <w:bCs/>
          <w:sz w:val="22"/>
          <w:szCs w:val="22"/>
        </w:rPr>
      </w:pPr>
    </w:p>
    <w:p w:rsidR="00953EE8" w:rsidP="00953EE8" w:rsidRDefault="00953EE8" w14:paraId="00073123"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As in item 12, the burden to respondents for collection of information is estimated in two components: the recurring annual burden, and the one-time burden of transitioning to the new section 1.1307(b) rules.  These two components are discussed separately below and then combined into a total annualized cost burden.</w:t>
      </w:r>
    </w:p>
    <w:p w:rsidR="00953EE8" w:rsidP="00953EE8" w:rsidRDefault="00953EE8" w14:paraId="2EF4BD65" w14:textId="77777777">
      <w:pPr>
        <w:tabs>
          <w:tab w:val="left" w:pos="-720"/>
          <w:tab w:val="left" w:pos="360"/>
        </w:tabs>
        <w:suppressAutoHyphens/>
        <w:jc w:val="both"/>
        <w:rPr>
          <w:rFonts w:ascii="Times New Roman" w:hAnsi="Times New Roman"/>
          <w:sz w:val="24"/>
          <w:szCs w:val="24"/>
        </w:rPr>
      </w:pPr>
    </w:p>
    <w:p w:rsidR="00953EE8" w:rsidP="00953EE8" w:rsidRDefault="00953EE8" w14:paraId="7E128F93"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(a) Recurring Annual</w:t>
      </w:r>
      <w:r w:rsidR="00EF7562">
        <w:rPr>
          <w:rFonts w:ascii="Times New Roman" w:hAnsi="Times New Roman"/>
          <w:sz w:val="24"/>
          <w:szCs w:val="24"/>
        </w:rPr>
        <w:t xml:space="preserve"> Cost</w:t>
      </w:r>
      <w:r>
        <w:rPr>
          <w:rFonts w:ascii="Times New Roman" w:hAnsi="Times New Roman"/>
          <w:sz w:val="24"/>
          <w:szCs w:val="24"/>
        </w:rPr>
        <w:t xml:space="preserve"> Burden</w:t>
      </w:r>
    </w:p>
    <w:p w:rsidR="00953EE8" w:rsidP="002B15BD" w:rsidRDefault="00953EE8" w14:paraId="291AF79C" w14:textId="77777777">
      <w:pPr>
        <w:tabs>
          <w:tab w:val="left" w:pos="-720"/>
        </w:tabs>
        <w:suppressAutoHyphens/>
        <w:jc w:val="both"/>
        <w:rPr>
          <w:rFonts w:ascii="Times New Roman" w:hAnsi="Times New Roman"/>
          <w:sz w:val="24"/>
          <w:szCs w:val="24"/>
        </w:rPr>
      </w:pPr>
    </w:p>
    <w:p w:rsidR="00953EE8" w:rsidP="00D80B47" w:rsidRDefault="00953EE8" w14:paraId="0A99E33B" w14:textId="77777777">
      <w:pPr>
        <w:tabs>
          <w:tab w:val="left" w:pos="-720"/>
        </w:tabs>
        <w:suppressAutoHyphens/>
        <w:jc w:val="both"/>
        <w:rPr>
          <w:rFonts w:ascii="Times New Roman" w:hAnsi="Times New Roman"/>
          <w:sz w:val="24"/>
          <w:szCs w:val="24"/>
        </w:rPr>
      </w:pPr>
      <w:r>
        <w:rPr>
          <w:rFonts w:ascii="Times New Roman" w:hAnsi="Times New Roman"/>
          <w:sz w:val="24"/>
          <w:szCs w:val="24"/>
        </w:rPr>
        <w:t xml:space="preserve">As in item 12, </w:t>
      </w:r>
      <w:r w:rsidRPr="002A3414">
        <w:rPr>
          <w:rFonts w:ascii="Times New Roman" w:hAnsi="Times New Roman"/>
          <w:sz w:val="24"/>
          <w:szCs w:val="24"/>
        </w:rPr>
        <w:t xml:space="preserve">three general categories of burden are used depending upon the amount of time and resources required: (1) </w:t>
      </w:r>
      <w:r>
        <w:rPr>
          <w:rFonts w:ascii="Times New Roman" w:hAnsi="Times New Roman"/>
          <w:sz w:val="24"/>
          <w:szCs w:val="24"/>
        </w:rPr>
        <w:t>exemption</w:t>
      </w:r>
      <w:r w:rsidRPr="002A3414">
        <w:rPr>
          <w:rFonts w:ascii="Times New Roman" w:hAnsi="Times New Roman"/>
          <w:sz w:val="24"/>
          <w:szCs w:val="24"/>
        </w:rPr>
        <w:t xml:space="preserve">, (2) simple </w:t>
      </w:r>
      <w:r>
        <w:rPr>
          <w:rFonts w:ascii="Times New Roman" w:hAnsi="Times New Roman"/>
          <w:sz w:val="24"/>
          <w:szCs w:val="24"/>
        </w:rPr>
        <w:t xml:space="preserve">evaluation calculation </w:t>
      </w:r>
      <w:r w:rsidRPr="002A3414">
        <w:rPr>
          <w:rFonts w:ascii="Times New Roman" w:hAnsi="Times New Roman"/>
          <w:sz w:val="24"/>
          <w:szCs w:val="24"/>
        </w:rPr>
        <w:t>required,</w:t>
      </w:r>
      <w:r>
        <w:rPr>
          <w:rFonts w:ascii="Times New Roman" w:hAnsi="Times New Roman"/>
          <w:sz w:val="24"/>
          <w:szCs w:val="24"/>
        </w:rPr>
        <w:t xml:space="preserve"> and</w:t>
      </w:r>
      <w:r w:rsidRPr="002A3414">
        <w:rPr>
          <w:rFonts w:ascii="Times New Roman" w:hAnsi="Times New Roman"/>
          <w:sz w:val="24"/>
          <w:szCs w:val="24"/>
        </w:rPr>
        <w:t xml:space="preserve"> (3) detailed </w:t>
      </w:r>
      <w:r>
        <w:rPr>
          <w:rFonts w:ascii="Times New Roman" w:hAnsi="Times New Roman"/>
          <w:sz w:val="24"/>
          <w:szCs w:val="24"/>
        </w:rPr>
        <w:t xml:space="preserve">evaluation </w:t>
      </w:r>
      <w:r w:rsidRPr="002A3414">
        <w:rPr>
          <w:rFonts w:ascii="Times New Roman" w:hAnsi="Times New Roman"/>
          <w:sz w:val="24"/>
          <w:szCs w:val="24"/>
        </w:rPr>
        <w:t>modeling or measurement required</w:t>
      </w:r>
      <w:r>
        <w:rPr>
          <w:rFonts w:ascii="Times New Roman" w:hAnsi="Times New Roman"/>
          <w:sz w:val="24"/>
          <w:szCs w:val="24"/>
        </w:rPr>
        <w:t>.</w:t>
      </w:r>
    </w:p>
    <w:p w:rsidR="00953EE8" w:rsidP="00D80B47" w:rsidRDefault="00953EE8" w14:paraId="4CAF13D1" w14:textId="77777777">
      <w:pPr>
        <w:tabs>
          <w:tab w:val="left" w:pos="-720"/>
        </w:tabs>
        <w:suppressAutoHyphens/>
        <w:jc w:val="both"/>
        <w:rPr>
          <w:rFonts w:ascii="Times New Roman" w:hAnsi="Times New Roman"/>
          <w:sz w:val="24"/>
          <w:szCs w:val="24"/>
        </w:rPr>
      </w:pPr>
    </w:p>
    <w:p w:rsidRPr="002A3414" w:rsidR="002058D1" w:rsidP="00D80B47" w:rsidRDefault="00274B1F" w14:paraId="73981A68" w14:textId="77777777">
      <w:pPr>
        <w:tabs>
          <w:tab w:val="left" w:pos="-720"/>
        </w:tabs>
        <w:suppressAutoHyphens/>
        <w:jc w:val="both"/>
        <w:rPr>
          <w:rFonts w:ascii="Times New Roman" w:hAnsi="Times New Roman"/>
          <w:sz w:val="24"/>
          <w:szCs w:val="24"/>
        </w:rPr>
      </w:pPr>
      <w:r w:rsidRPr="002A3414">
        <w:rPr>
          <w:rFonts w:ascii="Times New Roman" w:hAnsi="Times New Roman"/>
          <w:sz w:val="24"/>
          <w:szCs w:val="24"/>
        </w:rPr>
        <w:t>The</w:t>
      </w:r>
      <w:r w:rsidRPr="002A3414" w:rsidR="00670665">
        <w:rPr>
          <w:rFonts w:ascii="Times New Roman" w:hAnsi="Times New Roman"/>
          <w:sz w:val="24"/>
          <w:szCs w:val="24"/>
        </w:rPr>
        <w:t xml:space="preserve"> Commission estimates that the</w:t>
      </w:r>
      <w:r w:rsidRPr="002A3414">
        <w:rPr>
          <w:rFonts w:ascii="Times New Roman" w:hAnsi="Times New Roman"/>
          <w:sz w:val="24"/>
          <w:szCs w:val="24"/>
        </w:rPr>
        <w:t xml:space="preserve">re are no external costs associated with the </w:t>
      </w:r>
      <w:r w:rsidRPr="002A3414" w:rsidR="00025DC4">
        <w:rPr>
          <w:rFonts w:ascii="Times New Roman" w:hAnsi="Times New Roman"/>
          <w:sz w:val="24"/>
          <w:szCs w:val="24"/>
        </w:rPr>
        <w:t>determination</w:t>
      </w:r>
      <w:r w:rsidRPr="002A3414" w:rsidR="00877AED">
        <w:rPr>
          <w:rFonts w:ascii="Times New Roman" w:hAnsi="Times New Roman"/>
          <w:sz w:val="24"/>
          <w:szCs w:val="24"/>
        </w:rPr>
        <w:t>s</w:t>
      </w:r>
      <w:r w:rsidRPr="002A3414" w:rsidR="00025DC4">
        <w:rPr>
          <w:rFonts w:ascii="Times New Roman" w:hAnsi="Times New Roman"/>
          <w:sz w:val="24"/>
          <w:szCs w:val="24"/>
        </w:rPr>
        <w:t xml:space="preserve"> of </w:t>
      </w:r>
      <w:r w:rsidR="00935080">
        <w:rPr>
          <w:rFonts w:ascii="Times New Roman" w:hAnsi="Times New Roman"/>
          <w:sz w:val="24"/>
          <w:szCs w:val="24"/>
        </w:rPr>
        <w:t>exemption</w:t>
      </w:r>
      <w:r w:rsidRPr="002A3414">
        <w:rPr>
          <w:rFonts w:ascii="Times New Roman" w:hAnsi="Times New Roman"/>
          <w:sz w:val="24"/>
          <w:szCs w:val="24"/>
        </w:rPr>
        <w:t>.</w:t>
      </w:r>
      <w:r w:rsidRPr="002A3414" w:rsidR="00025DC4">
        <w:rPr>
          <w:rFonts w:ascii="Times New Roman" w:hAnsi="Times New Roman"/>
          <w:sz w:val="24"/>
          <w:szCs w:val="24"/>
        </w:rPr>
        <w:t xml:space="preserve">  </w:t>
      </w:r>
      <w:r w:rsidR="00953EE8">
        <w:rPr>
          <w:rFonts w:ascii="Times New Roman" w:hAnsi="Times New Roman"/>
          <w:sz w:val="24"/>
          <w:szCs w:val="24"/>
        </w:rPr>
        <w:t>These determinations are typically accomplished by in-house staff.</w:t>
      </w:r>
    </w:p>
    <w:p w:rsidRPr="002A3414" w:rsidR="00CE0EB1" w:rsidP="00D80B47" w:rsidRDefault="00CE0EB1" w14:paraId="2D39EDAF" w14:textId="77777777">
      <w:pPr>
        <w:tabs>
          <w:tab w:val="left" w:pos="-720"/>
        </w:tabs>
        <w:suppressAutoHyphens/>
        <w:jc w:val="both"/>
        <w:rPr>
          <w:rFonts w:ascii="Times New Roman" w:hAnsi="Times New Roman"/>
          <w:sz w:val="24"/>
          <w:szCs w:val="24"/>
        </w:rPr>
      </w:pPr>
    </w:p>
    <w:p w:rsidRPr="002A3414" w:rsidR="00CE0EB1" w:rsidP="00CE0EB1" w:rsidRDefault="00935080" w14:paraId="22602D9D" w14:textId="0D678B6C">
      <w:pPr>
        <w:tabs>
          <w:tab w:val="left" w:pos="-720"/>
        </w:tabs>
        <w:suppressAutoHyphens/>
        <w:jc w:val="both"/>
        <w:rPr>
          <w:rFonts w:ascii="Times New Roman" w:hAnsi="Times New Roman"/>
          <w:sz w:val="24"/>
          <w:szCs w:val="24"/>
        </w:rPr>
      </w:pPr>
      <w:r>
        <w:rPr>
          <w:rFonts w:ascii="Times New Roman" w:hAnsi="Times New Roman"/>
          <w:sz w:val="24"/>
          <w:szCs w:val="24"/>
        </w:rPr>
        <w:t>Some of the a</w:t>
      </w:r>
      <w:r w:rsidRPr="009A7072" w:rsidR="00CE0EB1">
        <w:rPr>
          <w:rFonts w:ascii="Times New Roman" w:hAnsi="Times New Roman"/>
          <w:sz w:val="24"/>
          <w:szCs w:val="24"/>
        </w:rPr>
        <w:t xml:space="preserve">pplications requiring simple </w:t>
      </w:r>
      <w:r>
        <w:rPr>
          <w:rFonts w:ascii="Times New Roman" w:hAnsi="Times New Roman"/>
          <w:sz w:val="24"/>
          <w:szCs w:val="24"/>
        </w:rPr>
        <w:t>evaluations</w:t>
      </w:r>
      <w:r w:rsidRPr="009A7072" w:rsidR="00CE0EB1">
        <w:rPr>
          <w:rFonts w:ascii="Times New Roman" w:hAnsi="Times New Roman"/>
          <w:sz w:val="24"/>
          <w:szCs w:val="24"/>
        </w:rPr>
        <w:t xml:space="preserve"> are assumed to require review by persons having specialized skills at a billing rate of $</w:t>
      </w:r>
      <w:r>
        <w:rPr>
          <w:rFonts w:ascii="Times New Roman" w:hAnsi="Times New Roman"/>
          <w:sz w:val="24"/>
          <w:szCs w:val="24"/>
        </w:rPr>
        <w:t>263</w:t>
      </w:r>
      <w:r w:rsidRPr="009A7072">
        <w:rPr>
          <w:rFonts w:ascii="Times New Roman" w:hAnsi="Times New Roman"/>
          <w:sz w:val="24"/>
          <w:szCs w:val="24"/>
        </w:rPr>
        <w:t xml:space="preserve"> </w:t>
      </w:r>
      <w:r w:rsidRPr="009A7072" w:rsidR="00CE0EB1">
        <w:rPr>
          <w:rFonts w:ascii="Times New Roman" w:hAnsi="Times New Roman"/>
          <w:sz w:val="24"/>
          <w:szCs w:val="24"/>
        </w:rPr>
        <w:t>per hour.</w:t>
      </w:r>
      <w:r w:rsidRPr="009A7072" w:rsidR="009A4F04">
        <w:rPr>
          <w:rFonts w:ascii="Times New Roman" w:hAnsi="Times New Roman"/>
          <w:sz w:val="24"/>
          <w:szCs w:val="24"/>
        </w:rPr>
        <w:t xml:space="preserve"> </w:t>
      </w:r>
      <w:r w:rsidRPr="009A7072" w:rsidR="00CE0EB1">
        <w:rPr>
          <w:rFonts w:ascii="Times New Roman" w:hAnsi="Times New Roman"/>
          <w:sz w:val="24"/>
          <w:szCs w:val="24"/>
        </w:rPr>
        <w:t xml:space="preserve"> </w:t>
      </w:r>
      <w:r>
        <w:rPr>
          <w:rFonts w:ascii="Times New Roman" w:hAnsi="Times New Roman"/>
          <w:sz w:val="24"/>
          <w:szCs w:val="24"/>
        </w:rPr>
        <w:t xml:space="preserve">While amateur </w:t>
      </w:r>
      <w:r w:rsidR="00EE5244">
        <w:rPr>
          <w:rFonts w:ascii="Times New Roman" w:hAnsi="Times New Roman"/>
          <w:sz w:val="24"/>
          <w:szCs w:val="24"/>
        </w:rPr>
        <w:t xml:space="preserve">radio operators are </w:t>
      </w:r>
      <w:r w:rsidRPr="002A3414" w:rsidR="00EE5244">
        <w:rPr>
          <w:rFonts w:ascii="Times New Roman" w:hAnsi="Times New Roman"/>
          <w:sz w:val="24"/>
          <w:szCs w:val="24"/>
        </w:rPr>
        <w:t xml:space="preserve">hobbyists who are expected to complete </w:t>
      </w:r>
      <w:r w:rsidR="00EE5244">
        <w:rPr>
          <w:rFonts w:ascii="Times New Roman" w:hAnsi="Times New Roman"/>
          <w:sz w:val="24"/>
          <w:szCs w:val="24"/>
        </w:rPr>
        <w:t xml:space="preserve">the simple evaluations </w:t>
      </w:r>
      <w:r w:rsidRPr="002A3414" w:rsidR="00EE5244">
        <w:rPr>
          <w:rFonts w:ascii="Times New Roman" w:hAnsi="Times New Roman"/>
          <w:sz w:val="24"/>
          <w:szCs w:val="24"/>
        </w:rPr>
        <w:t>without outside assistance</w:t>
      </w:r>
      <w:r w:rsidR="00EE5244">
        <w:rPr>
          <w:rFonts w:ascii="Times New Roman" w:hAnsi="Times New Roman"/>
          <w:sz w:val="24"/>
          <w:szCs w:val="24"/>
        </w:rPr>
        <w:t>, we estimate h</w:t>
      </w:r>
      <w:r w:rsidRPr="009A7072" w:rsidR="00CE0EB1">
        <w:rPr>
          <w:rFonts w:ascii="Times New Roman" w:hAnsi="Times New Roman"/>
          <w:sz w:val="24"/>
          <w:szCs w:val="24"/>
        </w:rPr>
        <w:t xml:space="preserve">alf of the </w:t>
      </w:r>
      <w:r w:rsidR="00EE5244">
        <w:rPr>
          <w:rFonts w:ascii="Times New Roman" w:hAnsi="Times New Roman"/>
          <w:sz w:val="24"/>
          <w:szCs w:val="24"/>
        </w:rPr>
        <w:t>other respondents</w:t>
      </w:r>
      <w:r w:rsidRPr="009A7072" w:rsidR="00EE5244">
        <w:rPr>
          <w:rFonts w:ascii="Times New Roman" w:hAnsi="Times New Roman"/>
          <w:sz w:val="24"/>
          <w:szCs w:val="24"/>
        </w:rPr>
        <w:t xml:space="preserve"> </w:t>
      </w:r>
      <w:r w:rsidRPr="009A7072" w:rsidR="00CE0EB1">
        <w:rPr>
          <w:rFonts w:ascii="Times New Roman" w:hAnsi="Times New Roman"/>
          <w:sz w:val="24"/>
          <w:szCs w:val="24"/>
        </w:rPr>
        <w:t>(</w:t>
      </w:r>
      <w:r w:rsidR="00EE5244">
        <w:rPr>
          <w:rFonts w:ascii="Times New Roman" w:hAnsi="Times New Roman"/>
          <w:sz w:val="24"/>
          <w:szCs w:val="24"/>
        </w:rPr>
        <w:t>1,6</w:t>
      </w:r>
      <w:r w:rsidR="00953EE8">
        <w:rPr>
          <w:rFonts w:ascii="Times New Roman" w:hAnsi="Times New Roman"/>
          <w:sz w:val="24"/>
          <w:szCs w:val="24"/>
        </w:rPr>
        <w:t>47</w:t>
      </w:r>
      <w:r w:rsidRPr="009A7072" w:rsidR="00CE0EB1">
        <w:rPr>
          <w:rFonts w:ascii="Times New Roman" w:hAnsi="Times New Roman"/>
          <w:sz w:val="24"/>
          <w:szCs w:val="24"/>
        </w:rPr>
        <w:t>)</w:t>
      </w:r>
      <w:r w:rsidR="00EE5244">
        <w:rPr>
          <w:rFonts w:ascii="Times New Roman" w:hAnsi="Times New Roman"/>
          <w:sz w:val="24"/>
          <w:szCs w:val="24"/>
        </w:rPr>
        <w:t xml:space="preserve"> performing simple evaluations</w:t>
      </w:r>
      <w:r w:rsidRPr="009A7072" w:rsidR="00CE0EB1">
        <w:rPr>
          <w:rFonts w:ascii="Times New Roman" w:hAnsi="Times New Roman"/>
          <w:sz w:val="24"/>
          <w:szCs w:val="24"/>
        </w:rPr>
        <w:t xml:space="preserve"> will require outside assistance</w:t>
      </w:r>
      <w:r w:rsidRPr="009A7072" w:rsidR="00A96C30">
        <w:rPr>
          <w:rFonts w:ascii="Times New Roman" w:hAnsi="Times New Roman"/>
          <w:sz w:val="24"/>
          <w:szCs w:val="24"/>
        </w:rPr>
        <w:t>/review</w:t>
      </w:r>
      <w:r w:rsidRPr="009A7072" w:rsidR="00CE0EB1">
        <w:rPr>
          <w:rFonts w:ascii="Times New Roman" w:hAnsi="Times New Roman"/>
          <w:sz w:val="24"/>
          <w:szCs w:val="24"/>
        </w:rPr>
        <w:t>.  The Commission has estimated those time requirements</w:t>
      </w:r>
      <w:r w:rsidRPr="002A3414" w:rsidR="00CE0EB1">
        <w:rPr>
          <w:rFonts w:ascii="Times New Roman" w:hAnsi="Times New Roman"/>
          <w:sz w:val="24"/>
          <w:szCs w:val="24"/>
        </w:rPr>
        <w:t xml:space="preserve"> and costs as $</w:t>
      </w:r>
      <w:r w:rsidR="009644A5">
        <w:rPr>
          <w:rFonts w:ascii="Times New Roman" w:hAnsi="Times New Roman"/>
          <w:sz w:val="24"/>
          <w:szCs w:val="24"/>
        </w:rPr>
        <w:t>2</w:t>
      </w:r>
      <w:r w:rsidR="00EE5244">
        <w:rPr>
          <w:rFonts w:ascii="Times New Roman" w:hAnsi="Times New Roman"/>
          <w:sz w:val="24"/>
          <w:szCs w:val="24"/>
        </w:rPr>
        <w:t>63</w:t>
      </w:r>
      <w:r w:rsidRPr="002A3414" w:rsidR="00A96C30">
        <w:rPr>
          <w:rFonts w:ascii="Times New Roman" w:hAnsi="Times New Roman"/>
          <w:sz w:val="24"/>
          <w:szCs w:val="24"/>
        </w:rPr>
        <w:t>/hour</w:t>
      </w:r>
      <w:r w:rsidRPr="002A3414" w:rsidR="00CE0EB1">
        <w:rPr>
          <w:rFonts w:ascii="Times New Roman" w:hAnsi="Times New Roman"/>
          <w:sz w:val="24"/>
          <w:szCs w:val="24"/>
        </w:rPr>
        <w:t xml:space="preserve"> x </w:t>
      </w:r>
      <w:r w:rsidR="00EE5244">
        <w:rPr>
          <w:rFonts w:ascii="Times New Roman" w:hAnsi="Times New Roman"/>
          <w:sz w:val="24"/>
          <w:szCs w:val="24"/>
        </w:rPr>
        <w:t>1,6</w:t>
      </w:r>
      <w:r w:rsidR="00953EE8">
        <w:rPr>
          <w:rFonts w:ascii="Times New Roman" w:hAnsi="Times New Roman"/>
          <w:sz w:val="24"/>
          <w:szCs w:val="24"/>
        </w:rPr>
        <w:t>47</w:t>
      </w:r>
      <w:r w:rsidRPr="002A3414" w:rsidR="00CE0EB1">
        <w:rPr>
          <w:rFonts w:ascii="Times New Roman" w:hAnsi="Times New Roman"/>
          <w:sz w:val="24"/>
          <w:szCs w:val="24"/>
        </w:rPr>
        <w:t xml:space="preserve"> respons</w:t>
      </w:r>
      <w:r w:rsidRPr="002A3414" w:rsidR="00A96C30">
        <w:rPr>
          <w:rFonts w:ascii="Times New Roman" w:hAnsi="Times New Roman"/>
          <w:sz w:val="24"/>
          <w:szCs w:val="24"/>
        </w:rPr>
        <w:t>es</w:t>
      </w:r>
      <w:r w:rsidRPr="002A3414" w:rsidR="00CE0EB1">
        <w:rPr>
          <w:rFonts w:ascii="Times New Roman" w:hAnsi="Times New Roman"/>
          <w:sz w:val="24"/>
          <w:szCs w:val="24"/>
        </w:rPr>
        <w:t xml:space="preserve"> x 1 hour/response = $</w:t>
      </w:r>
      <w:r w:rsidR="00EE5244">
        <w:rPr>
          <w:rFonts w:ascii="Times New Roman" w:hAnsi="Times New Roman"/>
          <w:sz w:val="24"/>
          <w:szCs w:val="24"/>
        </w:rPr>
        <w:t>4</w:t>
      </w:r>
      <w:r w:rsidR="00953EE8">
        <w:rPr>
          <w:rFonts w:ascii="Times New Roman" w:hAnsi="Times New Roman"/>
          <w:sz w:val="24"/>
          <w:szCs w:val="24"/>
        </w:rPr>
        <w:t>33</w:t>
      </w:r>
      <w:r w:rsidR="00EE5244">
        <w:rPr>
          <w:rFonts w:ascii="Times New Roman" w:hAnsi="Times New Roman"/>
          <w:sz w:val="24"/>
          <w:szCs w:val="24"/>
        </w:rPr>
        <w:t>,</w:t>
      </w:r>
      <w:r w:rsidR="00953EE8">
        <w:rPr>
          <w:rFonts w:ascii="Times New Roman" w:hAnsi="Times New Roman"/>
          <w:sz w:val="24"/>
          <w:szCs w:val="24"/>
        </w:rPr>
        <w:t>1</w:t>
      </w:r>
      <w:r w:rsidR="00CD2EFC">
        <w:rPr>
          <w:rFonts w:ascii="Times New Roman" w:hAnsi="Times New Roman"/>
          <w:sz w:val="24"/>
          <w:szCs w:val="24"/>
        </w:rPr>
        <w:t>6</w:t>
      </w:r>
      <w:r w:rsidR="00953EE8">
        <w:rPr>
          <w:rFonts w:ascii="Times New Roman" w:hAnsi="Times New Roman"/>
          <w:sz w:val="24"/>
          <w:szCs w:val="24"/>
        </w:rPr>
        <w:t>1</w:t>
      </w:r>
      <w:r w:rsidRPr="002A3414" w:rsidR="00CE0EB1">
        <w:rPr>
          <w:rFonts w:ascii="Times New Roman" w:hAnsi="Times New Roman"/>
          <w:sz w:val="24"/>
          <w:szCs w:val="24"/>
        </w:rPr>
        <w:t xml:space="preserve">.    </w:t>
      </w:r>
    </w:p>
    <w:p w:rsidRPr="002A3414" w:rsidR="002058D1" w:rsidP="00D80B47" w:rsidRDefault="002058D1" w14:paraId="5EC2AE1C" w14:textId="77777777">
      <w:pPr>
        <w:tabs>
          <w:tab w:val="left" w:pos="-720"/>
        </w:tabs>
        <w:suppressAutoHyphens/>
        <w:jc w:val="both"/>
        <w:rPr>
          <w:rFonts w:ascii="Times New Roman" w:hAnsi="Times New Roman"/>
          <w:sz w:val="24"/>
          <w:szCs w:val="24"/>
        </w:rPr>
      </w:pPr>
    </w:p>
    <w:p w:rsidR="00EE5244" w:rsidP="00EE5244" w:rsidRDefault="00EE5244" w14:paraId="6D9E4C59" w14:textId="664CA8FB">
      <w:pPr>
        <w:tabs>
          <w:tab w:val="left" w:pos="-720"/>
        </w:tabs>
        <w:suppressAutoHyphens/>
        <w:jc w:val="both"/>
        <w:rPr>
          <w:rFonts w:ascii="Times New Roman" w:hAnsi="Times New Roman"/>
          <w:sz w:val="24"/>
          <w:szCs w:val="24"/>
        </w:rPr>
      </w:pPr>
      <w:r>
        <w:rPr>
          <w:rFonts w:ascii="Times New Roman" w:hAnsi="Times New Roman"/>
          <w:sz w:val="24"/>
          <w:szCs w:val="24"/>
        </w:rPr>
        <w:t xml:space="preserve">Most of the applications requiring </w:t>
      </w:r>
      <w:r w:rsidRPr="002A3414" w:rsidR="002058D1">
        <w:rPr>
          <w:rFonts w:ascii="Times New Roman" w:hAnsi="Times New Roman"/>
          <w:sz w:val="24"/>
          <w:szCs w:val="24"/>
        </w:rPr>
        <w:t xml:space="preserve">detailed </w:t>
      </w:r>
      <w:r w:rsidRPr="002A3414" w:rsidR="00446712">
        <w:rPr>
          <w:rFonts w:ascii="Times New Roman" w:hAnsi="Times New Roman"/>
          <w:sz w:val="24"/>
          <w:szCs w:val="24"/>
        </w:rPr>
        <w:t>evaluation by calculation and/</w:t>
      </w:r>
      <w:r w:rsidRPr="002A3414" w:rsidR="002058D1">
        <w:rPr>
          <w:rFonts w:ascii="Times New Roman" w:hAnsi="Times New Roman"/>
          <w:sz w:val="24"/>
          <w:szCs w:val="24"/>
        </w:rPr>
        <w:t>or measurement are assumed to require review by persons having specialized skills at a billing rate of $</w:t>
      </w:r>
      <w:r>
        <w:rPr>
          <w:rFonts w:ascii="Times New Roman" w:hAnsi="Times New Roman"/>
          <w:sz w:val="24"/>
          <w:szCs w:val="24"/>
        </w:rPr>
        <w:t>263</w:t>
      </w:r>
      <w:r w:rsidRPr="002A3414">
        <w:rPr>
          <w:rFonts w:ascii="Times New Roman" w:hAnsi="Times New Roman"/>
          <w:sz w:val="24"/>
          <w:szCs w:val="24"/>
        </w:rPr>
        <w:t xml:space="preserve"> </w:t>
      </w:r>
      <w:r w:rsidRPr="002A3414" w:rsidR="002058D1">
        <w:rPr>
          <w:rFonts w:ascii="Times New Roman" w:hAnsi="Times New Roman"/>
          <w:sz w:val="24"/>
          <w:szCs w:val="24"/>
        </w:rPr>
        <w:t xml:space="preserve">per hour. </w:t>
      </w:r>
      <w:r w:rsidRPr="002A3414" w:rsidR="00670665">
        <w:rPr>
          <w:rFonts w:ascii="Times New Roman" w:hAnsi="Times New Roman"/>
          <w:sz w:val="24"/>
          <w:szCs w:val="24"/>
        </w:rPr>
        <w:t xml:space="preserve">The Commission estimates that </w:t>
      </w:r>
      <w:r w:rsidRPr="002A3414" w:rsidR="00446712">
        <w:rPr>
          <w:rFonts w:ascii="Times New Roman" w:hAnsi="Times New Roman"/>
          <w:sz w:val="24"/>
          <w:szCs w:val="24"/>
        </w:rPr>
        <w:t xml:space="preserve">90% of </w:t>
      </w:r>
      <w:r>
        <w:rPr>
          <w:rFonts w:ascii="Times New Roman" w:hAnsi="Times New Roman"/>
          <w:sz w:val="24"/>
          <w:szCs w:val="24"/>
        </w:rPr>
        <w:t>respondents</w:t>
      </w:r>
      <w:r w:rsidRPr="002A3414">
        <w:rPr>
          <w:rFonts w:ascii="Times New Roman" w:hAnsi="Times New Roman"/>
          <w:sz w:val="24"/>
          <w:szCs w:val="24"/>
        </w:rPr>
        <w:t xml:space="preserve"> </w:t>
      </w:r>
      <w:r w:rsidRPr="002A3414" w:rsidR="00446712">
        <w:rPr>
          <w:rFonts w:ascii="Times New Roman" w:hAnsi="Times New Roman"/>
          <w:sz w:val="24"/>
          <w:szCs w:val="24"/>
        </w:rPr>
        <w:t>(</w:t>
      </w:r>
      <w:r w:rsidR="0078217E">
        <w:rPr>
          <w:rFonts w:ascii="Times New Roman" w:hAnsi="Times New Roman"/>
          <w:sz w:val="24"/>
          <w:szCs w:val="24"/>
        </w:rPr>
        <w:t>918</w:t>
      </w:r>
      <w:r w:rsidRPr="002A3414" w:rsidR="00446712">
        <w:rPr>
          <w:rFonts w:ascii="Times New Roman" w:hAnsi="Times New Roman"/>
          <w:sz w:val="24"/>
          <w:szCs w:val="24"/>
        </w:rPr>
        <w:t>)</w:t>
      </w:r>
      <w:r>
        <w:rPr>
          <w:rFonts w:ascii="Times New Roman" w:hAnsi="Times New Roman"/>
          <w:sz w:val="24"/>
          <w:szCs w:val="24"/>
        </w:rPr>
        <w:t xml:space="preserve"> performing detailed evaluations</w:t>
      </w:r>
      <w:r w:rsidRPr="002A3414" w:rsidR="00446712">
        <w:rPr>
          <w:rFonts w:ascii="Times New Roman" w:hAnsi="Times New Roman"/>
          <w:sz w:val="24"/>
          <w:szCs w:val="24"/>
        </w:rPr>
        <w:t xml:space="preserve"> will require outside assistance</w:t>
      </w:r>
      <w:r w:rsidRPr="002A3414" w:rsidR="00A96C30">
        <w:rPr>
          <w:rFonts w:ascii="Times New Roman" w:hAnsi="Times New Roman"/>
          <w:sz w:val="24"/>
          <w:szCs w:val="24"/>
        </w:rPr>
        <w:t>/review</w:t>
      </w:r>
      <w:r w:rsidRPr="002A3414" w:rsidR="00446712">
        <w:rPr>
          <w:rFonts w:ascii="Times New Roman" w:hAnsi="Times New Roman"/>
          <w:sz w:val="24"/>
          <w:szCs w:val="24"/>
        </w:rPr>
        <w:t xml:space="preserve"> to complete them</w:t>
      </w:r>
      <w:r w:rsidRPr="002A3414" w:rsidR="00A96C30">
        <w:rPr>
          <w:rFonts w:ascii="Times New Roman" w:hAnsi="Times New Roman"/>
          <w:sz w:val="24"/>
          <w:szCs w:val="24"/>
        </w:rPr>
        <w:t>.</w:t>
      </w:r>
      <w:r w:rsidRPr="002A3414" w:rsidR="00446712">
        <w:rPr>
          <w:rFonts w:ascii="Times New Roman" w:hAnsi="Times New Roman"/>
          <w:sz w:val="24"/>
          <w:szCs w:val="24"/>
        </w:rPr>
        <w:t xml:space="preserve"> </w:t>
      </w:r>
      <w:r w:rsidRPr="002A3414" w:rsidR="002058D1">
        <w:rPr>
          <w:rFonts w:ascii="Times New Roman" w:hAnsi="Times New Roman"/>
          <w:sz w:val="24"/>
          <w:szCs w:val="24"/>
        </w:rPr>
        <w:t>The Commission has estimated those time requirements and costs as $</w:t>
      </w:r>
      <w:r>
        <w:rPr>
          <w:rFonts w:ascii="Times New Roman" w:hAnsi="Times New Roman"/>
          <w:sz w:val="24"/>
          <w:szCs w:val="24"/>
        </w:rPr>
        <w:t>263</w:t>
      </w:r>
      <w:r w:rsidRPr="002A3414" w:rsidR="00A96C30">
        <w:rPr>
          <w:rFonts w:ascii="Times New Roman" w:hAnsi="Times New Roman"/>
          <w:sz w:val="24"/>
          <w:szCs w:val="24"/>
        </w:rPr>
        <w:t>/hour</w:t>
      </w:r>
      <w:r w:rsidRPr="002A3414" w:rsidR="002058D1">
        <w:rPr>
          <w:rFonts w:ascii="Times New Roman" w:hAnsi="Times New Roman"/>
          <w:sz w:val="24"/>
          <w:szCs w:val="24"/>
        </w:rPr>
        <w:t xml:space="preserve"> x </w:t>
      </w:r>
      <w:r w:rsidR="0078217E">
        <w:rPr>
          <w:rFonts w:ascii="Times New Roman" w:hAnsi="Times New Roman"/>
          <w:sz w:val="24"/>
          <w:szCs w:val="24"/>
        </w:rPr>
        <w:t>918</w:t>
      </w:r>
      <w:r w:rsidRPr="002A3414" w:rsidR="0078217E">
        <w:rPr>
          <w:rFonts w:ascii="Times New Roman" w:hAnsi="Times New Roman"/>
          <w:sz w:val="24"/>
          <w:szCs w:val="24"/>
        </w:rPr>
        <w:t xml:space="preserve"> </w:t>
      </w:r>
      <w:r w:rsidRPr="002A3414" w:rsidR="00A96C30">
        <w:rPr>
          <w:rFonts w:ascii="Times New Roman" w:hAnsi="Times New Roman"/>
          <w:sz w:val="24"/>
          <w:szCs w:val="24"/>
        </w:rPr>
        <w:t xml:space="preserve">responses x </w:t>
      </w:r>
      <w:r w:rsidR="00A50A26">
        <w:rPr>
          <w:rFonts w:ascii="Times New Roman" w:hAnsi="Times New Roman"/>
          <w:sz w:val="24"/>
          <w:szCs w:val="24"/>
        </w:rPr>
        <w:t>5</w:t>
      </w:r>
      <w:r w:rsidRPr="002A3414" w:rsidR="00A96C30">
        <w:rPr>
          <w:rFonts w:ascii="Times New Roman" w:hAnsi="Times New Roman"/>
          <w:sz w:val="24"/>
          <w:szCs w:val="24"/>
        </w:rPr>
        <w:t xml:space="preserve"> hour</w:t>
      </w:r>
      <w:r w:rsidR="00CD2EFC">
        <w:rPr>
          <w:rFonts w:ascii="Times New Roman" w:hAnsi="Times New Roman"/>
          <w:sz w:val="24"/>
          <w:szCs w:val="24"/>
        </w:rPr>
        <w:t>s</w:t>
      </w:r>
      <w:r w:rsidRPr="002A3414" w:rsidR="00A96C30">
        <w:rPr>
          <w:rFonts w:ascii="Times New Roman" w:hAnsi="Times New Roman"/>
          <w:sz w:val="24"/>
          <w:szCs w:val="24"/>
        </w:rPr>
        <w:t>/response</w:t>
      </w:r>
      <w:r w:rsidRPr="002A3414" w:rsidR="003A0200">
        <w:rPr>
          <w:rFonts w:ascii="Times New Roman" w:hAnsi="Times New Roman"/>
          <w:sz w:val="24"/>
          <w:szCs w:val="24"/>
        </w:rPr>
        <w:t xml:space="preserve"> = $</w:t>
      </w:r>
      <w:r>
        <w:rPr>
          <w:rFonts w:ascii="Times New Roman" w:hAnsi="Times New Roman"/>
          <w:sz w:val="24"/>
          <w:szCs w:val="24"/>
        </w:rPr>
        <w:t>1,</w:t>
      </w:r>
      <w:r w:rsidR="0078217E">
        <w:rPr>
          <w:rFonts w:ascii="Times New Roman" w:hAnsi="Times New Roman"/>
          <w:sz w:val="24"/>
          <w:szCs w:val="24"/>
        </w:rPr>
        <w:t>20</w:t>
      </w:r>
      <w:r w:rsidR="00CD2EFC">
        <w:rPr>
          <w:rFonts w:ascii="Times New Roman" w:hAnsi="Times New Roman"/>
          <w:sz w:val="24"/>
          <w:szCs w:val="24"/>
        </w:rPr>
        <w:t>7,170</w:t>
      </w:r>
      <w:r w:rsidRPr="002A3414" w:rsidR="003A0200">
        <w:rPr>
          <w:rFonts w:ascii="Times New Roman" w:hAnsi="Times New Roman"/>
          <w:sz w:val="24"/>
          <w:szCs w:val="24"/>
        </w:rPr>
        <w:t>.</w:t>
      </w:r>
    </w:p>
    <w:p w:rsidR="00EE5244" w:rsidP="00EE5244" w:rsidRDefault="00EE5244" w14:paraId="6CE3ECEA" w14:textId="77777777">
      <w:pPr>
        <w:tabs>
          <w:tab w:val="left" w:pos="-720"/>
        </w:tabs>
        <w:suppressAutoHyphens/>
        <w:jc w:val="both"/>
        <w:rPr>
          <w:rFonts w:ascii="Times New Roman" w:hAnsi="Times New Roman"/>
          <w:sz w:val="24"/>
          <w:szCs w:val="24"/>
        </w:rPr>
      </w:pPr>
    </w:p>
    <w:p w:rsidRPr="002A3414" w:rsidR="002058D1" w:rsidP="00B37F9D" w:rsidRDefault="00EE5244" w14:paraId="7F04AD23" w14:textId="1277F7AA">
      <w:pPr>
        <w:tabs>
          <w:tab w:val="left" w:pos="-720"/>
        </w:tabs>
        <w:suppressAutoHyphens/>
        <w:jc w:val="both"/>
        <w:rPr>
          <w:rFonts w:ascii="Times New Roman" w:hAnsi="Times New Roman"/>
          <w:sz w:val="24"/>
          <w:szCs w:val="24"/>
        </w:rPr>
      </w:pPr>
      <w:r>
        <w:rPr>
          <w:rFonts w:ascii="Times New Roman" w:hAnsi="Times New Roman"/>
          <w:sz w:val="24"/>
          <w:szCs w:val="24"/>
        </w:rPr>
        <w:t xml:space="preserve">Respondents for all non-exempt facilities (i.e., those requiring either simple or detailed evaluation) </w:t>
      </w:r>
      <w:r>
        <w:rPr>
          <w:rFonts w:ascii="Times New Roman" w:hAnsi="Times New Roman"/>
          <w:sz w:val="24"/>
          <w:szCs w:val="24"/>
        </w:rPr>
        <w:lastRenderedPageBreak/>
        <w:t xml:space="preserve">are assumed to require the </w:t>
      </w:r>
      <w:r w:rsidR="00E4088E">
        <w:rPr>
          <w:rFonts w:ascii="Times New Roman" w:hAnsi="Times New Roman"/>
          <w:sz w:val="24"/>
          <w:szCs w:val="24"/>
        </w:rPr>
        <w:t>posting of signs to ensure compliance.  We estimate that non-exempt broadcast, cellular, paging and radiotelephone, PCS, broadband, SMR</w:t>
      </w:r>
      <w:r w:rsidR="00861665">
        <w:rPr>
          <w:rFonts w:ascii="Times New Roman" w:hAnsi="Times New Roman"/>
          <w:sz w:val="24"/>
          <w:szCs w:val="24"/>
        </w:rPr>
        <w:t>, and amateur radio</w:t>
      </w:r>
      <w:r w:rsidR="00E4088E">
        <w:rPr>
          <w:rFonts w:ascii="Times New Roman" w:hAnsi="Times New Roman"/>
          <w:sz w:val="24"/>
          <w:szCs w:val="24"/>
        </w:rPr>
        <w:t xml:space="preserve"> respondents will require 2 signs each, on average, while other respondents will require 1 sign each.</w:t>
      </w:r>
      <w:r w:rsidR="003E7C85">
        <w:rPr>
          <w:rFonts w:ascii="Times New Roman" w:hAnsi="Times New Roman"/>
          <w:sz w:val="24"/>
          <w:szCs w:val="24"/>
        </w:rPr>
        <w:t xml:space="preserve">  Considering the number of non-exempt respondents for each application type in the 2019 data, we estimate a total of 17,</w:t>
      </w:r>
      <w:r w:rsidR="00F16967">
        <w:rPr>
          <w:rFonts w:ascii="Times New Roman" w:hAnsi="Times New Roman"/>
          <w:sz w:val="24"/>
          <w:szCs w:val="24"/>
        </w:rPr>
        <w:t xml:space="preserve">041 </w:t>
      </w:r>
      <w:r w:rsidR="003E7C85">
        <w:rPr>
          <w:rFonts w:ascii="Times New Roman" w:hAnsi="Times New Roman"/>
          <w:sz w:val="24"/>
          <w:szCs w:val="24"/>
        </w:rPr>
        <w:t>signs.</w:t>
      </w:r>
      <w:r w:rsidR="00E4088E">
        <w:rPr>
          <w:rFonts w:ascii="Times New Roman" w:hAnsi="Times New Roman"/>
          <w:sz w:val="24"/>
          <w:szCs w:val="24"/>
        </w:rPr>
        <w:t xml:space="preserve">  We estimate a cost of $60 per sign.  The Commission estimate</w:t>
      </w:r>
      <w:r w:rsidR="00EF7562">
        <w:rPr>
          <w:rFonts w:ascii="Times New Roman" w:hAnsi="Times New Roman"/>
          <w:sz w:val="24"/>
          <w:szCs w:val="24"/>
        </w:rPr>
        <w:t>s</w:t>
      </w:r>
      <w:r w:rsidR="00E4088E">
        <w:rPr>
          <w:rFonts w:ascii="Times New Roman" w:hAnsi="Times New Roman"/>
          <w:sz w:val="24"/>
          <w:szCs w:val="24"/>
        </w:rPr>
        <w:t xml:space="preserve"> the cost of signs as </w:t>
      </w:r>
      <w:r w:rsidR="00113A3E">
        <w:rPr>
          <w:rFonts w:ascii="Times New Roman" w:hAnsi="Times New Roman"/>
          <w:sz w:val="24"/>
          <w:szCs w:val="24"/>
        </w:rPr>
        <w:t xml:space="preserve">$60/sign x </w:t>
      </w:r>
      <w:r w:rsidR="00E4088E">
        <w:rPr>
          <w:rFonts w:ascii="Times New Roman" w:hAnsi="Times New Roman"/>
          <w:sz w:val="24"/>
          <w:szCs w:val="24"/>
        </w:rPr>
        <w:t>1</w:t>
      </w:r>
      <w:r w:rsidR="00861665">
        <w:rPr>
          <w:rFonts w:ascii="Times New Roman" w:hAnsi="Times New Roman"/>
          <w:sz w:val="24"/>
          <w:szCs w:val="24"/>
        </w:rPr>
        <w:t>7,</w:t>
      </w:r>
      <w:r w:rsidR="00F16967">
        <w:rPr>
          <w:rFonts w:ascii="Times New Roman" w:hAnsi="Times New Roman"/>
          <w:sz w:val="24"/>
          <w:szCs w:val="24"/>
        </w:rPr>
        <w:t xml:space="preserve">041 </w:t>
      </w:r>
      <w:r w:rsidR="00E4088E">
        <w:rPr>
          <w:rFonts w:ascii="Times New Roman" w:hAnsi="Times New Roman"/>
          <w:sz w:val="24"/>
          <w:szCs w:val="24"/>
        </w:rPr>
        <w:t>signs</w:t>
      </w:r>
      <w:r w:rsidR="00113A3E">
        <w:rPr>
          <w:rFonts w:ascii="Times New Roman" w:hAnsi="Times New Roman"/>
          <w:sz w:val="24"/>
          <w:szCs w:val="24"/>
        </w:rPr>
        <w:t xml:space="preserve"> = $</w:t>
      </w:r>
      <w:r w:rsidR="00861665">
        <w:rPr>
          <w:rFonts w:ascii="Times New Roman" w:hAnsi="Times New Roman"/>
          <w:sz w:val="24"/>
          <w:szCs w:val="24"/>
        </w:rPr>
        <w:t>1,02</w:t>
      </w:r>
      <w:r w:rsidR="00F16967">
        <w:rPr>
          <w:rFonts w:ascii="Times New Roman" w:hAnsi="Times New Roman"/>
          <w:sz w:val="24"/>
          <w:szCs w:val="24"/>
        </w:rPr>
        <w:t>2</w:t>
      </w:r>
      <w:r w:rsidR="00861665">
        <w:rPr>
          <w:rFonts w:ascii="Times New Roman" w:hAnsi="Times New Roman"/>
          <w:sz w:val="24"/>
          <w:szCs w:val="24"/>
        </w:rPr>
        <w:t>,</w:t>
      </w:r>
      <w:r w:rsidR="00F16967">
        <w:rPr>
          <w:rFonts w:ascii="Times New Roman" w:hAnsi="Times New Roman"/>
          <w:sz w:val="24"/>
          <w:szCs w:val="24"/>
        </w:rPr>
        <w:t>4</w:t>
      </w:r>
      <w:r w:rsidR="008E79E5">
        <w:rPr>
          <w:rFonts w:ascii="Times New Roman" w:hAnsi="Times New Roman"/>
          <w:sz w:val="24"/>
          <w:szCs w:val="24"/>
        </w:rPr>
        <w:t>60</w:t>
      </w:r>
      <w:r w:rsidR="00EF7562">
        <w:rPr>
          <w:rFonts w:ascii="Times New Roman" w:hAnsi="Times New Roman"/>
          <w:sz w:val="24"/>
          <w:szCs w:val="24"/>
        </w:rPr>
        <w:t xml:space="preserve"> for the recurring annual burden</w:t>
      </w:r>
      <w:r w:rsidR="00113A3E">
        <w:rPr>
          <w:rFonts w:ascii="Times New Roman" w:hAnsi="Times New Roman"/>
          <w:sz w:val="24"/>
          <w:szCs w:val="24"/>
        </w:rPr>
        <w:t>.</w:t>
      </w:r>
    </w:p>
    <w:p w:rsidRPr="002A3414" w:rsidR="00025DC4" w:rsidP="00025DC4" w:rsidRDefault="00025DC4" w14:paraId="717319B6" w14:textId="77777777">
      <w:pPr>
        <w:tabs>
          <w:tab w:val="left" w:pos="-720"/>
        </w:tabs>
        <w:suppressAutoHyphens/>
        <w:rPr>
          <w:rFonts w:ascii="Times New Roman" w:hAnsi="Times New Roman"/>
          <w:sz w:val="24"/>
          <w:szCs w:val="24"/>
        </w:rPr>
      </w:pPr>
    </w:p>
    <w:p w:rsidRPr="002A3414" w:rsidR="00274B1F" w:rsidP="00274B1F" w:rsidRDefault="00274B1F" w14:paraId="67AE6103" w14:textId="0159E456">
      <w:pPr>
        <w:pStyle w:val="BodyText"/>
        <w:rPr>
          <w:szCs w:val="24"/>
        </w:rPr>
      </w:pPr>
      <w:r w:rsidRPr="002A3414">
        <w:rPr>
          <w:szCs w:val="24"/>
        </w:rPr>
        <w:t xml:space="preserve">The total </w:t>
      </w:r>
      <w:r w:rsidR="00EF7562">
        <w:rPr>
          <w:szCs w:val="24"/>
        </w:rPr>
        <w:t xml:space="preserve">recurring </w:t>
      </w:r>
      <w:r w:rsidRPr="002A3414">
        <w:rPr>
          <w:szCs w:val="24"/>
        </w:rPr>
        <w:t>annual cost is as follows: $</w:t>
      </w:r>
      <w:r w:rsidR="00F16967">
        <w:rPr>
          <w:szCs w:val="24"/>
        </w:rPr>
        <w:t>433,1</w:t>
      </w:r>
      <w:r w:rsidR="008E79E5">
        <w:rPr>
          <w:szCs w:val="24"/>
        </w:rPr>
        <w:t>6</w:t>
      </w:r>
      <w:r w:rsidR="00F16967">
        <w:rPr>
          <w:szCs w:val="24"/>
        </w:rPr>
        <w:t>1</w:t>
      </w:r>
      <w:r w:rsidRPr="002A3414" w:rsidR="009A4F04">
        <w:rPr>
          <w:szCs w:val="24"/>
        </w:rPr>
        <w:t xml:space="preserve"> + $</w:t>
      </w:r>
      <w:r w:rsidR="00F16967">
        <w:rPr>
          <w:szCs w:val="24"/>
        </w:rPr>
        <w:t>1,20</w:t>
      </w:r>
      <w:r w:rsidR="008E79E5">
        <w:rPr>
          <w:szCs w:val="24"/>
        </w:rPr>
        <w:t>7,170</w:t>
      </w:r>
      <w:r w:rsidR="00113A3E">
        <w:rPr>
          <w:szCs w:val="24"/>
        </w:rPr>
        <w:t xml:space="preserve"> + </w:t>
      </w:r>
      <w:r w:rsidR="00861665">
        <w:rPr>
          <w:szCs w:val="24"/>
        </w:rPr>
        <w:t>$</w:t>
      </w:r>
      <w:r w:rsidR="00F16967">
        <w:rPr>
          <w:szCs w:val="24"/>
        </w:rPr>
        <w:t>1,022,4</w:t>
      </w:r>
      <w:r w:rsidR="008E79E5">
        <w:rPr>
          <w:szCs w:val="24"/>
        </w:rPr>
        <w:t>60</w:t>
      </w:r>
      <w:r w:rsidRPr="002A3414" w:rsidR="009A4F04">
        <w:rPr>
          <w:szCs w:val="24"/>
        </w:rPr>
        <w:t xml:space="preserve"> </w:t>
      </w:r>
      <w:r w:rsidRPr="002A3414">
        <w:rPr>
          <w:szCs w:val="24"/>
        </w:rPr>
        <w:t xml:space="preserve">= </w:t>
      </w:r>
      <w:r w:rsidRPr="00DD611F">
        <w:rPr>
          <w:b/>
          <w:szCs w:val="24"/>
        </w:rPr>
        <w:t>$</w:t>
      </w:r>
      <w:r w:rsidRPr="00DD611F" w:rsidR="00113A3E">
        <w:rPr>
          <w:b/>
          <w:szCs w:val="24"/>
        </w:rPr>
        <w:t>2,</w:t>
      </w:r>
      <w:r w:rsidRPr="00DD611F" w:rsidR="00F16967">
        <w:rPr>
          <w:b/>
          <w:szCs w:val="24"/>
        </w:rPr>
        <w:t>662</w:t>
      </w:r>
      <w:r w:rsidRPr="00DD611F" w:rsidR="00113A3E">
        <w:rPr>
          <w:b/>
          <w:szCs w:val="24"/>
        </w:rPr>
        <w:t>,</w:t>
      </w:r>
      <w:r w:rsidR="008E79E5">
        <w:rPr>
          <w:b/>
          <w:szCs w:val="24"/>
        </w:rPr>
        <w:t>791</w:t>
      </w:r>
      <w:r w:rsidRPr="00F5218E" w:rsidR="009A4F04">
        <w:rPr>
          <w:bCs/>
          <w:szCs w:val="24"/>
        </w:rPr>
        <w:t>.</w:t>
      </w:r>
    </w:p>
    <w:p w:rsidRPr="002A3414" w:rsidR="008334B2" w:rsidP="00025DC4" w:rsidRDefault="008334B2" w14:paraId="27CCA0B5" w14:textId="77777777">
      <w:pPr>
        <w:pStyle w:val="BodyText"/>
        <w:rPr>
          <w:sz w:val="22"/>
          <w:szCs w:val="24"/>
        </w:rPr>
      </w:pPr>
    </w:p>
    <w:p w:rsidR="00F16967" w:rsidP="00F16967" w:rsidRDefault="00F16967" w14:paraId="703E19D1"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(b) One-Time Transition</w:t>
      </w:r>
      <w:r w:rsidR="00EF7562">
        <w:rPr>
          <w:rFonts w:ascii="Times New Roman" w:hAnsi="Times New Roman"/>
          <w:sz w:val="24"/>
          <w:szCs w:val="24"/>
        </w:rPr>
        <w:t xml:space="preserve"> Cost </w:t>
      </w:r>
      <w:r>
        <w:rPr>
          <w:rFonts w:ascii="Times New Roman" w:hAnsi="Times New Roman"/>
          <w:sz w:val="24"/>
          <w:szCs w:val="24"/>
        </w:rPr>
        <w:t>Burden</w:t>
      </w:r>
    </w:p>
    <w:p w:rsidR="001845DE" w:rsidP="00F16967" w:rsidRDefault="001845DE" w14:paraId="19714D81" w14:textId="77777777">
      <w:pPr>
        <w:tabs>
          <w:tab w:val="left" w:pos="-720"/>
          <w:tab w:val="left" w:pos="360"/>
        </w:tabs>
        <w:suppressAutoHyphens/>
        <w:jc w:val="both"/>
        <w:rPr>
          <w:rFonts w:ascii="Times New Roman" w:hAnsi="Times New Roman"/>
          <w:sz w:val="24"/>
          <w:szCs w:val="24"/>
        </w:rPr>
      </w:pPr>
    </w:p>
    <w:p w:rsidR="001845DE" w:rsidP="00F16967" w:rsidRDefault="001845DE" w14:paraId="2AB71AF7"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Transition burdens associated with determinations of exemption are expected to be carried out by in-house staff with no external costs.</w:t>
      </w:r>
    </w:p>
    <w:p w:rsidR="001845DE" w:rsidP="00F16967" w:rsidRDefault="001845DE" w14:paraId="4D924C0C" w14:textId="77777777">
      <w:pPr>
        <w:tabs>
          <w:tab w:val="left" w:pos="-720"/>
          <w:tab w:val="left" w:pos="360"/>
        </w:tabs>
        <w:suppressAutoHyphens/>
        <w:jc w:val="both"/>
        <w:rPr>
          <w:rFonts w:ascii="Times New Roman" w:hAnsi="Times New Roman"/>
          <w:sz w:val="24"/>
          <w:szCs w:val="24"/>
        </w:rPr>
      </w:pPr>
    </w:p>
    <w:p w:rsidR="001845DE" w:rsidP="001845DE" w:rsidRDefault="001845DE" w14:paraId="007C4BCB" w14:textId="60BB4C68">
      <w:pPr>
        <w:tabs>
          <w:tab w:val="left" w:pos="-720"/>
          <w:tab w:val="left" w:pos="360"/>
        </w:tabs>
        <w:suppressAutoHyphens/>
        <w:jc w:val="both"/>
        <w:rPr>
          <w:rFonts w:ascii="Times New Roman" w:hAnsi="Times New Roman"/>
          <w:sz w:val="24"/>
          <w:szCs w:val="24"/>
        </w:rPr>
      </w:pPr>
      <w:r>
        <w:rPr>
          <w:rFonts w:ascii="Times New Roman" w:hAnsi="Times New Roman"/>
          <w:sz w:val="24"/>
          <w:szCs w:val="24"/>
        </w:rPr>
        <w:t>Transition burdens associated with updating mitigation measures are expected to mostly be carried out by in-house, but with external costs for purchasing and mounting required signs.  Similar to the signage costs for the recurring annual burden above, we estimate that non-exempt broadcast, cellular, paging and radiotelephone, PCS, broadband, SMR, and amateur radio respondents will require 2 signs each, on average, while other non-exempt respondents will require 1 sign each.  Considering the number of such licensees needing to transition</w:t>
      </w:r>
      <w:r w:rsidR="00EF7562">
        <w:rPr>
          <w:rFonts w:ascii="Times New Roman" w:hAnsi="Times New Roman"/>
          <w:sz w:val="24"/>
          <w:szCs w:val="24"/>
        </w:rPr>
        <w:t xml:space="preserve"> to the new rules</w:t>
      </w:r>
      <w:r>
        <w:rPr>
          <w:rFonts w:ascii="Times New Roman" w:hAnsi="Times New Roman"/>
          <w:sz w:val="24"/>
          <w:szCs w:val="24"/>
        </w:rPr>
        <w:t xml:space="preserve">, we estimate a total of </w:t>
      </w:r>
      <w:r w:rsidR="00EF7562">
        <w:rPr>
          <w:rFonts w:ascii="Times New Roman" w:hAnsi="Times New Roman"/>
          <w:sz w:val="24"/>
          <w:szCs w:val="24"/>
        </w:rPr>
        <w:t>13,532</w:t>
      </w:r>
      <w:r>
        <w:rPr>
          <w:rFonts w:ascii="Times New Roman" w:hAnsi="Times New Roman"/>
          <w:sz w:val="24"/>
          <w:szCs w:val="24"/>
        </w:rPr>
        <w:t xml:space="preserve"> signs.  We estimate a cost of $60 per sign.  The </w:t>
      </w:r>
      <w:proofErr w:type="gramStart"/>
      <w:r>
        <w:rPr>
          <w:rFonts w:ascii="Times New Roman" w:hAnsi="Times New Roman"/>
          <w:sz w:val="24"/>
          <w:szCs w:val="24"/>
        </w:rPr>
        <w:t>Commission  estimate</w:t>
      </w:r>
      <w:r w:rsidR="00EF7562">
        <w:rPr>
          <w:rFonts w:ascii="Times New Roman" w:hAnsi="Times New Roman"/>
          <w:sz w:val="24"/>
          <w:szCs w:val="24"/>
        </w:rPr>
        <w:t>s</w:t>
      </w:r>
      <w:proofErr w:type="gramEnd"/>
      <w:r>
        <w:rPr>
          <w:rFonts w:ascii="Times New Roman" w:hAnsi="Times New Roman"/>
          <w:sz w:val="24"/>
          <w:szCs w:val="24"/>
        </w:rPr>
        <w:t xml:space="preserve"> the cost of signs as $60/sign x </w:t>
      </w:r>
      <w:r w:rsidR="00EF7562">
        <w:rPr>
          <w:rFonts w:ascii="Times New Roman" w:hAnsi="Times New Roman"/>
          <w:sz w:val="24"/>
          <w:szCs w:val="24"/>
        </w:rPr>
        <w:t>13,532</w:t>
      </w:r>
      <w:r>
        <w:rPr>
          <w:rFonts w:ascii="Times New Roman" w:hAnsi="Times New Roman"/>
          <w:sz w:val="24"/>
          <w:szCs w:val="24"/>
        </w:rPr>
        <w:t xml:space="preserve"> signs = $</w:t>
      </w:r>
      <w:r w:rsidR="00EF7562">
        <w:rPr>
          <w:rFonts w:ascii="Times New Roman" w:hAnsi="Times New Roman"/>
          <w:sz w:val="24"/>
          <w:szCs w:val="24"/>
        </w:rPr>
        <w:t>811,9</w:t>
      </w:r>
      <w:r w:rsidR="003F0EF0">
        <w:rPr>
          <w:rFonts w:ascii="Times New Roman" w:hAnsi="Times New Roman"/>
          <w:sz w:val="24"/>
          <w:szCs w:val="24"/>
        </w:rPr>
        <w:t>20</w:t>
      </w:r>
      <w:r w:rsidR="00EF7562">
        <w:rPr>
          <w:rFonts w:ascii="Times New Roman" w:hAnsi="Times New Roman"/>
          <w:sz w:val="24"/>
          <w:szCs w:val="24"/>
        </w:rPr>
        <w:t xml:space="preserve"> total for the transition.  This burden will occur over the course of the transition period.  </w:t>
      </w:r>
      <w:r w:rsidR="00DD611F">
        <w:rPr>
          <w:rFonts w:ascii="Times New Roman" w:hAnsi="Times New Roman"/>
          <w:sz w:val="24"/>
          <w:szCs w:val="24"/>
        </w:rPr>
        <w:t>T</w:t>
      </w:r>
      <w:r w:rsidRPr="00DD611F" w:rsidR="00DD611F">
        <w:rPr>
          <w:rFonts w:ascii="Times New Roman" w:hAnsi="Times New Roman"/>
          <w:sz w:val="24"/>
          <w:szCs w:val="24"/>
        </w:rPr>
        <w:t xml:space="preserve">he transition </w:t>
      </w:r>
      <w:r w:rsidR="00DD611F">
        <w:rPr>
          <w:rFonts w:ascii="Times New Roman" w:hAnsi="Times New Roman"/>
          <w:sz w:val="24"/>
          <w:szCs w:val="24"/>
        </w:rPr>
        <w:t>is</w:t>
      </w:r>
      <w:r w:rsidRPr="00DD611F" w:rsidR="00DD611F">
        <w:rPr>
          <w:rFonts w:ascii="Times New Roman" w:hAnsi="Times New Roman"/>
          <w:sz w:val="24"/>
          <w:szCs w:val="24"/>
        </w:rPr>
        <w:t xml:space="preserve"> required to occur in the first two years following the effective date of the new rules, but we are dividing by three in order to annualize the estimated burden</w:t>
      </w:r>
      <w:r w:rsidR="00DD611F">
        <w:rPr>
          <w:rFonts w:ascii="Times New Roman" w:hAnsi="Times New Roman"/>
          <w:sz w:val="24"/>
          <w:szCs w:val="24"/>
        </w:rPr>
        <w:t xml:space="preserve"> for the three-year collection period</w:t>
      </w:r>
      <w:r w:rsidRPr="00DD611F" w:rsidR="00DD611F">
        <w:rPr>
          <w:rFonts w:ascii="Times New Roman" w:hAnsi="Times New Roman"/>
          <w:sz w:val="24"/>
          <w:szCs w:val="24"/>
        </w:rPr>
        <w:t>.</w:t>
      </w:r>
      <w:r w:rsidR="00DD611F">
        <w:rPr>
          <w:rFonts w:ascii="Times New Roman" w:hAnsi="Times New Roman"/>
          <w:sz w:val="24"/>
          <w:szCs w:val="24"/>
        </w:rPr>
        <w:t xml:space="preserve"> </w:t>
      </w:r>
      <w:r w:rsidR="00EF7562">
        <w:rPr>
          <w:rFonts w:ascii="Times New Roman" w:hAnsi="Times New Roman"/>
          <w:sz w:val="24"/>
          <w:szCs w:val="24"/>
        </w:rPr>
        <w:t xml:space="preserve"> </w:t>
      </w:r>
      <w:r w:rsidR="00DD611F">
        <w:rPr>
          <w:rFonts w:ascii="Times New Roman" w:hAnsi="Times New Roman"/>
          <w:sz w:val="24"/>
          <w:szCs w:val="24"/>
        </w:rPr>
        <w:t>T</w:t>
      </w:r>
      <w:r w:rsidR="00EF7562">
        <w:rPr>
          <w:rFonts w:ascii="Times New Roman" w:hAnsi="Times New Roman"/>
          <w:sz w:val="24"/>
          <w:szCs w:val="24"/>
        </w:rPr>
        <w:t>he annualized cost burden associated with the transition is estimated to be $811,9</w:t>
      </w:r>
      <w:r w:rsidR="003F0EF0">
        <w:rPr>
          <w:rFonts w:ascii="Times New Roman" w:hAnsi="Times New Roman"/>
          <w:sz w:val="24"/>
          <w:szCs w:val="24"/>
        </w:rPr>
        <w:t>20</w:t>
      </w:r>
      <w:r w:rsidR="00EF7562">
        <w:rPr>
          <w:rFonts w:ascii="Times New Roman" w:hAnsi="Times New Roman"/>
          <w:sz w:val="24"/>
          <w:szCs w:val="24"/>
        </w:rPr>
        <w:t xml:space="preserve"> ÷ 3 = </w:t>
      </w:r>
      <w:r w:rsidRPr="00DD611F" w:rsidR="00EF7562">
        <w:rPr>
          <w:rFonts w:ascii="Times New Roman" w:hAnsi="Times New Roman"/>
          <w:b/>
          <w:bCs/>
          <w:sz w:val="24"/>
          <w:szCs w:val="24"/>
        </w:rPr>
        <w:t>$270,64</w:t>
      </w:r>
      <w:r w:rsidR="003F0EF0">
        <w:rPr>
          <w:rFonts w:ascii="Times New Roman" w:hAnsi="Times New Roman"/>
          <w:b/>
          <w:bCs/>
          <w:sz w:val="24"/>
          <w:szCs w:val="24"/>
        </w:rPr>
        <w:t>0</w:t>
      </w:r>
      <w:r w:rsidRPr="00DD611F" w:rsidR="00EF7562">
        <w:rPr>
          <w:rFonts w:ascii="Times New Roman" w:hAnsi="Times New Roman"/>
          <w:sz w:val="24"/>
          <w:szCs w:val="24"/>
        </w:rPr>
        <w:t>.</w:t>
      </w:r>
    </w:p>
    <w:p w:rsidR="001845DE" w:rsidP="001845DE" w:rsidRDefault="001845DE" w14:paraId="3B745FA5" w14:textId="77777777">
      <w:pPr>
        <w:tabs>
          <w:tab w:val="left" w:pos="-720"/>
          <w:tab w:val="left" w:pos="360"/>
        </w:tabs>
        <w:suppressAutoHyphens/>
        <w:jc w:val="both"/>
        <w:rPr>
          <w:rFonts w:ascii="Times New Roman" w:hAnsi="Times New Roman"/>
          <w:sz w:val="24"/>
          <w:szCs w:val="24"/>
        </w:rPr>
      </w:pPr>
    </w:p>
    <w:p w:rsidR="001845DE" w:rsidP="001845DE" w:rsidRDefault="00EF7562" w14:paraId="7A861FEB" w14:textId="77777777">
      <w:pPr>
        <w:tabs>
          <w:tab w:val="left" w:pos="-720"/>
          <w:tab w:val="left" w:pos="360"/>
        </w:tabs>
        <w:suppressAutoHyphens/>
        <w:jc w:val="both"/>
        <w:rPr>
          <w:rFonts w:ascii="Times New Roman" w:hAnsi="Times New Roman"/>
          <w:sz w:val="24"/>
          <w:szCs w:val="24"/>
        </w:rPr>
      </w:pPr>
      <w:r>
        <w:rPr>
          <w:rFonts w:ascii="Times New Roman" w:hAnsi="Times New Roman"/>
          <w:sz w:val="24"/>
          <w:szCs w:val="24"/>
        </w:rPr>
        <w:t>(c) Total Annualized Cost Burden</w:t>
      </w:r>
    </w:p>
    <w:p w:rsidR="00EF7562" w:rsidP="001845DE" w:rsidRDefault="00EF7562" w14:paraId="06838405" w14:textId="77777777">
      <w:pPr>
        <w:tabs>
          <w:tab w:val="left" w:pos="-720"/>
          <w:tab w:val="left" w:pos="360"/>
        </w:tabs>
        <w:suppressAutoHyphens/>
        <w:jc w:val="both"/>
        <w:rPr>
          <w:rFonts w:ascii="Times New Roman" w:hAnsi="Times New Roman"/>
          <w:sz w:val="24"/>
          <w:szCs w:val="24"/>
        </w:rPr>
      </w:pPr>
    </w:p>
    <w:p w:rsidRPr="002A3414" w:rsidR="00EF7562" w:rsidP="00EF7562" w:rsidRDefault="00EF7562" w14:paraId="7E6C5ADA" w14:textId="56785A14">
      <w:p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Combining the recurring annual burden with the annualized one-time transition burden, we estimate the total annualized cost </w:t>
      </w:r>
      <w:r w:rsidRPr="00194438">
        <w:rPr>
          <w:rFonts w:ascii="Times New Roman" w:hAnsi="Times New Roman"/>
          <w:sz w:val="24"/>
          <w:szCs w:val="24"/>
        </w:rPr>
        <w:t>burden to be $</w:t>
      </w:r>
      <w:r w:rsidRPr="00F52662">
        <w:rPr>
          <w:rFonts w:ascii="Times New Roman" w:hAnsi="Times New Roman"/>
          <w:sz w:val="24"/>
          <w:szCs w:val="24"/>
        </w:rPr>
        <w:t>2,662,</w:t>
      </w:r>
      <w:r w:rsidRPr="00F52662" w:rsidR="0049396D">
        <w:rPr>
          <w:rFonts w:ascii="Times New Roman" w:hAnsi="Times New Roman"/>
          <w:sz w:val="24"/>
          <w:szCs w:val="24"/>
        </w:rPr>
        <w:t>791</w:t>
      </w:r>
      <w:r w:rsidRPr="00F52662">
        <w:rPr>
          <w:rFonts w:ascii="Times New Roman" w:hAnsi="Times New Roman"/>
          <w:sz w:val="24"/>
          <w:szCs w:val="24"/>
        </w:rPr>
        <w:t xml:space="preserve"> + $270,64</w:t>
      </w:r>
      <w:r w:rsidRPr="00F52662" w:rsidR="00394597">
        <w:rPr>
          <w:rFonts w:ascii="Times New Roman" w:hAnsi="Times New Roman"/>
          <w:sz w:val="24"/>
          <w:szCs w:val="24"/>
        </w:rPr>
        <w:t>0</w:t>
      </w:r>
      <w:r w:rsidRPr="006F001B">
        <w:rPr>
          <w:rFonts w:ascii="Times New Roman" w:hAnsi="Times New Roman"/>
          <w:sz w:val="24"/>
          <w:szCs w:val="24"/>
        </w:rPr>
        <w:t xml:space="preserve"> = </w:t>
      </w:r>
      <w:r w:rsidRPr="006F001B">
        <w:rPr>
          <w:rFonts w:ascii="Times New Roman" w:hAnsi="Times New Roman"/>
          <w:b/>
          <w:bCs/>
          <w:sz w:val="24"/>
          <w:szCs w:val="24"/>
        </w:rPr>
        <w:t>$2,93</w:t>
      </w:r>
      <w:r w:rsidRPr="006F001B" w:rsidR="0049396D">
        <w:rPr>
          <w:rFonts w:ascii="Times New Roman" w:hAnsi="Times New Roman"/>
          <w:b/>
          <w:bCs/>
          <w:sz w:val="24"/>
          <w:szCs w:val="24"/>
        </w:rPr>
        <w:t>3,431</w:t>
      </w:r>
      <w:r w:rsidRPr="006F001B">
        <w:rPr>
          <w:rFonts w:ascii="Times New Roman" w:hAnsi="Times New Roman"/>
          <w:sz w:val="24"/>
          <w:szCs w:val="24"/>
        </w:rPr>
        <w:t>.</w:t>
      </w:r>
    </w:p>
    <w:p w:rsidR="00F16967" w:rsidP="00025DC4" w:rsidRDefault="00F16967" w14:paraId="1DE64F63" w14:textId="77777777">
      <w:pPr>
        <w:pStyle w:val="BodyText"/>
        <w:rPr>
          <w:b/>
          <w:bCs/>
          <w:sz w:val="22"/>
          <w:szCs w:val="22"/>
        </w:rPr>
      </w:pPr>
    </w:p>
    <w:p w:rsidR="00F16967" w:rsidP="00025DC4" w:rsidRDefault="00F16967" w14:paraId="27805BEA" w14:textId="77777777">
      <w:pPr>
        <w:pStyle w:val="BodyText"/>
        <w:rPr>
          <w:b/>
          <w:bCs/>
          <w:sz w:val="22"/>
          <w:szCs w:val="22"/>
        </w:rPr>
      </w:pPr>
    </w:p>
    <w:p w:rsidRPr="001430AD" w:rsidR="008334B2" w:rsidP="001430AD" w:rsidRDefault="00A47DEF" w14:paraId="0252D669" w14:textId="77777777">
      <w:pPr>
        <w:pStyle w:val="Default"/>
        <w:rPr>
          <w:b/>
          <w:bCs/>
        </w:rPr>
      </w:pPr>
      <w:r w:rsidRPr="001430AD">
        <w:rPr>
          <w:b/>
          <w:bCs/>
        </w:rPr>
        <w:t>14. Provide estimates of annualized costs to the Federal government.</w:t>
      </w:r>
    </w:p>
    <w:p w:rsidR="00A47DEF" w:rsidP="00B37A5A" w:rsidRDefault="00A47DEF" w14:paraId="3EF828AD" w14:textId="77777777">
      <w:pPr>
        <w:pStyle w:val="BodyText3"/>
        <w:tabs>
          <w:tab w:val="clear" w:pos="720"/>
          <w:tab w:val="clear" w:pos="1260"/>
          <w:tab w:val="clear" w:pos="2160"/>
          <w:tab w:val="left" w:pos="450"/>
          <w:tab w:val="left" w:pos="1440"/>
        </w:tabs>
        <w:jc w:val="both"/>
        <w:rPr>
          <w:sz w:val="24"/>
          <w:szCs w:val="24"/>
        </w:rPr>
      </w:pPr>
    </w:p>
    <w:p w:rsidRPr="00B37F9D" w:rsidR="00877AED" w:rsidP="00B37A5A" w:rsidRDefault="00B37A5A" w14:paraId="513D46F8" w14:textId="77777777">
      <w:pPr>
        <w:pStyle w:val="BodyText3"/>
        <w:tabs>
          <w:tab w:val="clear" w:pos="720"/>
          <w:tab w:val="clear" w:pos="1260"/>
          <w:tab w:val="clear" w:pos="2160"/>
          <w:tab w:val="left" w:pos="450"/>
          <w:tab w:val="left" w:pos="1440"/>
        </w:tabs>
        <w:jc w:val="both"/>
        <w:rPr>
          <w:sz w:val="24"/>
          <w:szCs w:val="24"/>
        </w:rPr>
      </w:pPr>
      <w:r w:rsidRPr="002A3414">
        <w:rPr>
          <w:sz w:val="24"/>
          <w:szCs w:val="24"/>
        </w:rPr>
        <w:t xml:space="preserve">It is </w:t>
      </w:r>
      <w:r w:rsidRPr="00B37F9D">
        <w:rPr>
          <w:sz w:val="24"/>
          <w:szCs w:val="24"/>
        </w:rPr>
        <w:t>estimated that a GS-855-11</w:t>
      </w:r>
      <w:r w:rsidRPr="00B37F9D" w:rsidR="00877AED">
        <w:rPr>
          <w:sz w:val="24"/>
          <w:szCs w:val="24"/>
        </w:rPr>
        <w:t xml:space="preserve">, Step 5 electronics engineer </w:t>
      </w:r>
      <w:r w:rsidRPr="00B37F9D" w:rsidR="003B6D82">
        <w:rPr>
          <w:sz w:val="24"/>
          <w:szCs w:val="24"/>
        </w:rPr>
        <w:t>($</w:t>
      </w:r>
      <w:r w:rsidRPr="00B37F9D" w:rsidR="007D5E65">
        <w:rPr>
          <w:sz w:val="24"/>
          <w:szCs w:val="24"/>
        </w:rPr>
        <w:t>3</w:t>
      </w:r>
      <w:r w:rsidRPr="00B37F9D" w:rsidR="006F165C">
        <w:rPr>
          <w:sz w:val="24"/>
          <w:szCs w:val="24"/>
        </w:rPr>
        <w:t>9</w:t>
      </w:r>
      <w:r w:rsidRPr="00B37F9D" w:rsidR="007D5E65">
        <w:rPr>
          <w:sz w:val="24"/>
          <w:szCs w:val="24"/>
        </w:rPr>
        <w:t>.12</w:t>
      </w:r>
      <w:r w:rsidRPr="00B37F9D" w:rsidR="003B6D82">
        <w:rPr>
          <w:sz w:val="24"/>
          <w:szCs w:val="24"/>
        </w:rPr>
        <w:t xml:space="preserve"> per hour) </w:t>
      </w:r>
      <w:r w:rsidRPr="00B37F9D" w:rsidR="00877AED">
        <w:rPr>
          <w:sz w:val="24"/>
          <w:szCs w:val="24"/>
        </w:rPr>
        <w:t xml:space="preserve">spends approximately </w:t>
      </w:r>
      <w:r w:rsidRPr="00B37F9D" w:rsidR="003A0200">
        <w:rPr>
          <w:sz w:val="24"/>
          <w:szCs w:val="24"/>
        </w:rPr>
        <w:t xml:space="preserve">5 </w:t>
      </w:r>
      <w:r w:rsidRPr="00B37F9D" w:rsidR="001A5370">
        <w:rPr>
          <w:sz w:val="24"/>
          <w:szCs w:val="24"/>
        </w:rPr>
        <w:t>minute</w:t>
      </w:r>
      <w:r w:rsidRPr="00B37F9D" w:rsidR="003A0200">
        <w:rPr>
          <w:sz w:val="24"/>
          <w:szCs w:val="24"/>
        </w:rPr>
        <w:t>s (0.0833 hours)</w:t>
      </w:r>
      <w:r w:rsidRPr="00B37F9D" w:rsidR="00877AED">
        <w:rPr>
          <w:sz w:val="24"/>
          <w:szCs w:val="24"/>
        </w:rPr>
        <w:t xml:space="preserve"> </w:t>
      </w:r>
      <w:r w:rsidRPr="00B37F9D" w:rsidR="003B6D82">
        <w:rPr>
          <w:sz w:val="24"/>
          <w:szCs w:val="24"/>
        </w:rPr>
        <w:t>considering</w:t>
      </w:r>
      <w:r w:rsidRPr="00B37F9D" w:rsidR="00877AED">
        <w:rPr>
          <w:sz w:val="24"/>
          <w:szCs w:val="24"/>
        </w:rPr>
        <w:t xml:space="preserve"> </w:t>
      </w:r>
      <w:r w:rsidRPr="00B37F9D" w:rsidR="003B6D82">
        <w:rPr>
          <w:sz w:val="24"/>
          <w:szCs w:val="24"/>
        </w:rPr>
        <w:t>each of the estimated</w:t>
      </w:r>
      <w:r w:rsidRPr="00B37F9D" w:rsidR="00427A0A">
        <w:rPr>
          <w:sz w:val="24"/>
          <w:szCs w:val="24"/>
        </w:rPr>
        <w:t xml:space="preserve"> </w:t>
      </w:r>
      <w:r w:rsidR="00A92BAA">
        <w:rPr>
          <w:sz w:val="24"/>
          <w:szCs w:val="24"/>
        </w:rPr>
        <w:t>132,799</w:t>
      </w:r>
      <w:r w:rsidRPr="00B37F9D" w:rsidR="00427A0A">
        <w:rPr>
          <w:sz w:val="24"/>
          <w:szCs w:val="24"/>
        </w:rPr>
        <w:t xml:space="preserve"> claims of </w:t>
      </w:r>
      <w:r w:rsidR="00B37F9D">
        <w:rPr>
          <w:sz w:val="24"/>
          <w:szCs w:val="24"/>
        </w:rPr>
        <w:t>exemption</w:t>
      </w:r>
      <w:r w:rsidRPr="00B37F9D" w:rsidR="00877AED">
        <w:rPr>
          <w:sz w:val="24"/>
          <w:szCs w:val="24"/>
        </w:rPr>
        <w:t xml:space="preserve"> (requires examining a “yes/no” entry on a form) to determine if an applicant has sufficiently demonstrated compliance.  </w:t>
      </w:r>
      <w:r w:rsidRPr="00B37F9D" w:rsidR="003B6D82">
        <w:rPr>
          <w:sz w:val="24"/>
          <w:szCs w:val="24"/>
        </w:rPr>
        <w:t>The total annualized cost to the Federal government for these reviews is ($</w:t>
      </w:r>
      <w:r w:rsidRPr="00B37F9D" w:rsidR="00F978E4">
        <w:rPr>
          <w:sz w:val="24"/>
          <w:szCs w:val="24"/>
        </w:rPr>
        <w:t>3</w:t>
      </w:r>
      <w:r w:rsidRPr="00B37F9D" w:rsidR="00B27B30">
        <w:rPr>
          <w:sz w:val="24"/>
          <w:szCs w:val="24"/>
        </w:rPr>
        <w:t>9</w:t>
      </w:r>
      <w:r w:rsidRPr="00B37F9D" w:rsidR="00F978E4">
        <w:rPr>
          <w:sz w:val="24"/>
          <w:szCs w:val="24"/>
        </w:rPr>
        <w:t>.12</w:t>
      </w:r>
      <w:r w:rsidRPr="00B37F9D" w:rsidR="009A4F04">
        <w:rPr>
          <w:sz w:val="24"/>
          <w:szCs w:val="24"/>
        </w:rPr>
        <w:t>/hour</w:t>
      </w:r>
      <w:r w:rsidRPr="00B37F9D">
        <w:rPr>
          <w:sz w:val="24"/>
          <w:szCs w:val="24"/>
        </w:rPr>
        <w:t xml:space="preserve"> x </w:t>
      </w:r>
      <w:r w:rsidR="00A92BAA">
        <w:rPr>
          <w:sz w:val="24"/>
          <w:szCs w:val="24"/>
        </w:rPr>
        <w:t>132,799</w:t>
      </w:r>
      <w:r w:rsidRPr="00B37F9D" w:rsidR="009A4F04">
        <w:rPr>
          <w:sz w:val="24"/>
          <w:szCs w:val="24"/>
        </w:rPr>
        <w:t xml:space="preserve"> responses</w:t>
      </w:r>
      <w:r w:rsidRPr="00B37F9D" w:rsidR="006B2270">
        <w:rPr>
          <w:sz w:val="24"/>
          <w:szCs w:val="24"/>
        </w:rPr>
        <w:t xml:space="preserve"> </w:t>
      </w:r>
      <w:r w:rsidRPr="00B37F9D" w:rsidR="003B6D82">
        <w:rPr>
          <w:sz w:val="24"/>
          <w:szCs w:val="24"/>
        </w:rPr>
        <w:t xml:space="preserve">x </w:t>
      </w:r>
      <w:r w:rsidRPr="00B37F9D" w:rsidR="003A0200">
        <w:rPr>
          <w:sz w:val="24"/>
          <w:szCs w:val="24"/>
        </w:rPr>
        <w:t>0.0833</w:t>
      </w:r>
      <w:r w:rsidRPr="00B37F9D" w:rsidR="009A4F04">
        <w:rPr>
          <w:sz w:val="24"/>
          <w:szCs w:val="24"/>
        </w:rPr>
        <w:t xml:space="preserve"> hours</w:t>
      </w:r>
      <w:r w:rsidRPr="00B37F9D" w:rsidR="003B6D82">
        <w:rPr>
          <w:sz w:val="24"/>
          <w:szCs w:val="24"/>
        </w:rPr>
        <w:t>)</w:t>
      </w:r>
      <w:r w:rsidRPr="00B37F9D" w:rsidR="001930CD">
        <w:rPr>
          <w:sz w:val="24"/>
          <w:szCs w:val="24"/>
        </w:rPr>
        <w:t xml:space="preserve"> =</w:t>
      </w:r>
      <w:r w:rsidRPr="00B37F9D" w:rsidR="003B6D82">
        <w:rPr>
          <w:sz w:val="24"/>
          <w:szCs w:val="24"/>
        </w:rPr>
        <w:t xml:space="preserve"> $</w:t>
      </w:r>
      <w:r w:rsidR="00A92BAA">
        <w:rPr>
          <w:sz w:val="24"/>
          <w:szCs w:val="24"/>
        </w:rPr>
        <w:t>432,752</w:t>
      </w:r>
      <w:r w:rsidRPr="00B37F9D" w:rsidR="003B6D82">
        <w:rPr>
          <w:sz w:val="24"/>
          <w:szCs w:val="24"/>
        </w:rPr>
        <w:t xml:space="preserve">.  </w:t>
      </w:r>
    </w:p>
    <w:p w:rsidRPr="00B37F9D" w:rsidR="00A84A97" w:rsidP="00B37A5A" w:rsidRDefault="00A84A97" w14:paraId="36D88BEF" w14:textId="77777777">
      <w:pPr>
        <w:pStyle w:val="BodyText3"/>
        <w:tabs>
          <w:tab w:val="clear" w:pos="720"/>
          <w:tab w:val="clear" w:pos="1260"/>
          <w:tab w:val="clear" w:pos="2160"/>
          <w:tab w:val="left" w:pos="450"/>
          <w:tab w:val="left" w:pos="1440"/>
        </w:tabs>
        <w:jc w:val="both"/>
        <w:rPr>
          <w:sz w:val="24"/>
          <w:szCs w:val="24"/>
        </w:rPr>
      </w:pPr>
      <w:r w:rsidRPr="00B37F9D">
        <w:rPr>
          <w:sz w:val="24"/>
          <w:szCs w:val="24"/>
        </w:rPr>
        <w:br/>
      </w:r>
      <w:r w:rsidRPr="00B37F9D" w:rsidR="00F9496E">
        <w:rPr>
          <w:sz w:val="24"/>
          <w:szCs w:val="24"/>
        </w:rPr>
        <w:t>The Commission collect</w:t>
      </w:r>
      <w:r w:rsidRPr="00B37F9D" w:rsidR="00670665">
        <w:rPr>
          <w:sz w:val="24"/>
          <w:szCs w:val="24"/>
        </w:rPr>
        <w:t>s</w:t>
      </w:r>
      <w:r w:rsidRPr="00B37F9D" w:rsidR="00F9496E">
        <w:rPr>
          <w:sz w:val="24"/>
          <w:szCs w:val="24"/>
        </w:rPr>
        <w:t xml:space="preserve"> and review</w:t>
      </w:r>
      <w:r w:rsidRPr="00B37F9D" w:rsidR="00670665">
        <w:rPr>
          <w:sz w:val="24"/>
          <w:szCs w:val="24"/>
        </w:rPr>
        <w:t>s</w:t>
      </w:r>
      <w:r w:rsidRPr="00B37F9D" w:rsidR="00F9496E">
        <w:rPr>
          <w:sz w:val="24"/>
          <w:szCs w:val="24"/>
        </w:rPr>
        <w:t xml:space="preserve"> </w:t>
      </w:r>
      <w:r w:rsidRPr="00B37F9D" w:rsidR="00670665">
        <w:rPr>
          <w:sz w:val="24"/>
          <w:szCs w:val="24"/>
        </w:rPr>
        <w:t xml:space="preserve">some </w:t>
      </w:r>
      <w:r w:rsidRPr="00B37F9D" w:rsidR="00F9496E">
        <w:rPr>
          <w:sz w:val="24"/>
          <w:szCs w:val="24"/>
        </w:rPr>
        <w:t xml:space="preserve">worksheets or simple calculation documents from respondents that are unable to claim </w:t>
      </w:r>
      <w:r w:rsidR="00B37F9D">
        <w:rPr>
          <w:sz w:val="24"/>
          <w:szCs w:val="24"/>
        </w:rPr>
        <w:t xml:space="preserve">exemption but can demonstrate compliance through a simple </w:t>
      </w:r>
      <w:r w:rsidR="00B37F9D">
        <w:rPr>
          <w:sz w:val="24"/>
          <w:szCs w:val="24"/>
        </w:rPr>
        <w:lastRenderedPageBreak/>
        <w:t>evaluation</w:t>
      </w:r>
      <w:r w:rsidRPr="00B37F9D" w:rsidR="00F9496E">
        <w:rPr>
          <w:sz w:val="24"/>
          <w:szCs w:val="24"/>
        </w:rPr>
        <w:t xml:space="preserve">.  </w:t>
      </w:r>
      <w:r w:rsidRPr="00B37F9D" w:rsidR="001930CD">
        <w:rPr>
          <w:sz w:val="24"/>
          <w:szCs w:val="24"/>
        </w:rPr>
        <w:t>It is estimated that a GS-855-11, Step 5 electronic engineer ($</w:t>
      </w:r>
      <w:r w:rsidRPr="00B37F9D" w:rsidR="00854BCA">
        <w:rPr>
          <w:sz w:val="24"/>
          <w:szCs w:val="24"/>
        </w:rPr>
        <w:t>3</w:t>
      </w:r>
      <w:r w:rsidRPr="00B37F9D" w:rsidR="006F165C">
        <w:rPr>
          <w:sz w:val="24"/>
          <w:szCs w:val="24"/>
        </w:rPr>
        <w:t>9</w:t>
      </w:r>
      <w:r w:rsidRPr="00B37F9D" w:rsidR="00854BCA">
        <w:rPr>
          <w:sz w:val="24"/>
          <w:szCs w:val="24"/>
        </w:rPr>
        <w:t>.12</w:t>
      </w:r>
      <w:r w:rsidRPr="00B37F9D" w:rsidR="001930CD">
        <w:rPr>
          <w:sz w:val="24"/>
          <w:szCs w:val="24"/>
        </w:rPr>
        <w:t xml:space="preserve"> per hour) spends approximately 5 minutes (0.0833 hours) collecting and reviewing </w:t>
      </w:r>
      <w:r w:rsidRPr="00B37F9D" w:rsidR="006D3EFD">
        <w:rPr>
          <w:sz w:val="24"/>
          <w:szCs w:val="24"/>
        </w:rPr>
        <w:t xml:space="preserve">each of </w:t>
      </w:r>
      <w:r w:rsidRPr="00B37F9D" w:rsidR="001930CD">
        <w:rPr>
          <w:sz w:val="24"/>
          <w:szCs w:val="24"/>
        </w:rPr>
        <w:t>the</w:t>
      </w:r>
      <w:r w:rsidR="00B37F9D">
        <w:rPr>
          <w:sz w:val="24"/>
          <w:szCs w:val="24"/>
        </w:rPr>
        <w:t>se</w:t>
      </w:r>
      <w:r w:rsidRPr="00B37F9D" w:rsidR="001930CD">
        <w:rPr>
          <w:sz w:val="24"/>
          <w:szCs w:val="24"/>
        </w:rPr>
        <w:t xml:space="preserve"> </w:t>
      </w:r>
      <w:r w:rsidR="00B37F9D">
        <w:rPr>
          <w:sz w:val="24"/>
          <w:szCs w:val="24"/>
        </w:rPr>
        <w:t>3,2</w:t>
      </w:r>
      <w:r w:rsidR="00A92BAA">
        <w:rPr>
          <w:sz w:val="24"/>
          <w:szCs w:val="24"/>
        </w:rPr>
        <w:t>94</w:t>
      </w:r>
      <w:r w:rsidRPr="00B37F9D" w:rsidR="001930CD">
        <w:rPr>
          <w:sz w:val="24"/>
          <w:szCs w:val="24"/>
        </w:rPr>
        <w:t xml:space="preserve"> responses.  </w:t>
      </w:r>
      <w:r w:rsidRPr="00B37F9D" w:rsidR="00F9496E">
        <w:rPr>
          <w:sz w:val="24"/>
          <w:szCs w:val="24"/>
        </w:rPr>
        <w:t xml:space="preserve">The total annualized cost to the Federal Government </w:t>
      </w:r>
      <w:r w:rsidRPr="00B37F9D" w:rsidR="006D3EFD">
        <w:rPr>
          <w:sz w:val="24"/>
          <w:szCs w:val="24"/>
        </w:rPr>
        <w:t>to review these</w:t>
      </w:r>
      <w:r w:rsidRPr="00B37F9D" w:rsidR="00F9496E">
        <w:rPr>
          <w:sz w:val="24"/>
          <w:szCs w:val="24"/>
        </w:rPr>
        <w:t xml:space="preserve"> documents is (</w:t>
      </w:r>
      <w:r w:rsidRPr="00B37F9D" w:rsidR="001930CD">
        <w:rPr>
          <w:sz w:val="24"/>
          <w:szCs w:val="24"/>
        </w:rPr>
        <w:t>$</w:t>
      </w:r>
      <w:r w:rsidRPr="00B37F9D" w:rsidR="00854BCA">
        <w:rPr>
          <w:sz w:val="24"/>
          <w:szCs w:val="24"/>
        </w:rPr>
        <w:t>3</w:t>
      </w:r>
      <w:r w:rsidRPr="00B37F9D" w:rsidR="006F165C">
        <w:rPr>
          <w:sz w:val="24"/>
          <w:szCs w:val="24"/>
        </w:rPr>
        <w:t>9</w:t>
      </w:r>
      <w:r w:rsidRPr="00B37F9D" w:rsidR="00854BCA">
        <w:rPr>
          <w:sz w:val="24"/>
          <w:szCs w:val="24"/>
        </w:rPr>
        <w:t>.12</w:t>
      </w:r>
      <w:r w:rsidRPr="00B37F9D" w:rsidR="001930CD">
        <w:rPr>
          <w:sz w:val="24"/>
          <w:szCs w:val="24"/>
        </w:rPr>
        <w:t xml:space="preserve">/hour x </w:t>
      </w:r>
      <w:r w:rsidR="00B37F9D">
        <w:rPr>
          <w:sz w:val="24"/>
          <w:szCs w:val="24"/>
        </w:rPr>
        <w:t>3,2</w:t>
      </w:r>
      <w:r w:rsidR="00A92BAA">
        <w:rPr>
          <w:sz w:val="24"/>
          <w:szCs w:val="24"/>
        </w:rPr>
        <w:t>94</w:t>
      </w:r>
      <w:r w:rsidRPr="00B37F9D">
        <w:rPr>
          <w:sz w:val="24"/>
          <w:szCs w:val="24"/>
        </w:rPr>
        <w:t xml:space="preserve"> respons</w:t>
      </w:r>
      <w:r w:rsidRPr="00B37F9D" w:rsidR="001930CD">
        <w:rPr>
          <w:sz w:val="24"/>
          <w:szCs w:val="24"/>
        </w:rPr>
        <w:t>es x 0.0833 hours) = $</w:t>
      </w:r>
      <w:r w:rsidR="00B37F9D">
        <w:rPr>
          <w:sz w:val="24"/>
          <w:szCs w:val="24"/>
        </w:rPr>
        <w:t>10,</w:t>
      </w:r>
      <w:r w:rsidR="00A92BAA">
        <w:rPr>
          <w:sz w:val="24"/>
          <w:szCs w:val="24"/>
        </w:rPr>
        <w:t>734</w:t>
      </w:r>
      <w:r w:rsidRPr="00B37F9D" w:rsidR="001930CD">
        <w:rPr>
          <w:sz w:val="24"/>
          <w:szCs w:val="24"/>
        </w:rPr>
        <w:t>.</w:t>
      </w:r>
    </w:p>
    <w:p w:rsidRPr="00B37F9D" w:rsidR="001A5370" w:rsidP="00877AED" w:rsidRDefault="001A5370" w14:paraId="2C7D229F" w14:textId="77777777">
      <w:pPr>
        <w:pStyle w:val="BodyText3"/>
        <w:tabs>
          <w:tab w:val="clear" w:pos="720"/>
          <w:tab w:val="clear" w:pos="1260"/>
          <w:tab w:val="clear" w:pos="2160"/>
          <w:tab w:val="left" w:pos="450"/>
          <w:tab w:val="left" w:pos="1440"/>
        </w:tabs>
        <w:rPr>
          <w:sz w:val="24"/>
          <w:szCs w:val="24"/>
        </w:rPr>
      </w:pPr>
    </w:p>
    <w:p w:rsidR="001369A2" w:rsidP="00591A88" w:rsidRDefault="001A5370" w14:paraId="57A5FC96" w14:textId="77777777">
      <w:pPr>
        <w:pStyle w:val="BodyText3"/>
        <w:tabs>
          <w:tab w:val="clear" w:pos="720"/>
          <w:tab w:val="clear" w:pos="1260"/>
          <w:tab w:val="clear" w:pos="2160"/>
          <w:tab w:val="left" w:pos="450"/>
          <w:tab w:val="left" w:pos="1440"/>
        </w:tabs>
        <w:jc w:val="both"/>
        <w:rPr>
          <w:sz w:val="24"/>
          <w:szCs w:val="24"/>
        </w:rPr>
      </w:pPr>
      <w:r w:rsidRPr="00B37F9D">
        <w:rPr>
          <w:sz w:val="24"/>
          <w:szCs w:val="24"/>
        </w:rPr>
        <w:t xml:space="preserve">The Commission currently collects </w:t>
      </w:r>
      <w:r w:rsidRPr="00B37F9D" w:rsidR="003B6D82">
        <w:rPr>
          <w:sz w:val="24"/>
          <w:szCs w:val="24"/>
        </w:rPr>
        <w:t xml:space="preserve">and analyzes additional </w:t>
      </w:r>
      <w:r w:rsidRPr="00B37F9D">
        <w:rPr>
          <w:sz w:val="24"/>
          <w:szCs w:val="24"/>
        </w:rPr>
        <w:t xml:space="preserve">supporting information for approximately 9% of the </w:t>
      </w:r>
      <w:r w:rsidR="001369A2">
        <w:rPr>
          <w:sz w:val="24"/>
          <w:szCs w:val="24"/>
        </w:rPr>
        <w:t>1,0</w:t>
      </w:r>
      <w:r w:rsidR="00A92BAA">
        <w:rPr>
          <w:sz w:val="24"/>
          <w:szCs w:val="24"/>
        </w:rPr>
        <w:t>20</w:t>
      </w:r>
      <w:r w:rsidRPr="00B37F9D">
        <w:rPr>
          <w:sz w:val="24"/>
          <w:szCs w:val="24"/>
        </w:rPr>
        <w:t xml:space="preserve"> detailed evaluations performed by the respondents, for a total of </w:t>
      </w:r>
      <w:r w:rsidR="001369A2">
        <w:rPr>
          <w:sz w:val="24"/>
          <w:szCs w:val="24"/>
        </w:rPr>
        <w:t>9</w:t>
      </w:r>
      <w:r w:rsidR="00A92BAA">
        <w:rPr>
          <w:sz w:val="24"/>
          <w:szCs w:val="24"/>
        </w:rPr>
        <w:t>2</w:t>
      </w:r>
      <w:r w:rsidRPr="00B37F9D" w:rsidR="001369A2">
        <w:rPr>
          <w:sz w:val="24"/>
          <w:szCs w:val="24"/>
        </w:rPr>
        <w:t xml:space="preserve"> </w:t>
      </w:r>
      <w:r w:rsidRPr="00B37F9D">
        <w:rPr>
          <w:sz w:val="24"/>
          <w:szCs w:val="24"/>
        </w:rPr>
        <w:t>reviews.  Review of this information requires</w:t>
      </w:r>
      <w:r w:rsidRPr="00B37F9D" w:rsidR="00877AED">
        <w:rPr>
          <w:sz w:val="24"/>
          <w:szCs w:val="24"/>
        </w:rPr>
        <w:t xml:space="preserve"> a </w:t>
      </w:r>
      <w:proofErr w:type="gramStart"/>
      <w:r w:rsidRPr="00B37F9D" w:rsidR="00877AED">
        <w:rPr>
          <w:sz w:val="24"/>
          <w:szCs w:val="24"/>
        </w:rPr>
        <w:t>higher grade</w:t>
      </w:r>
      <w:proofErr w:type="gramEnd"/>
      <w:r w:rsidRPr="00B37F9D" w:rsidR="00877AED">
        <w:rPr>
          <w:sz w:val="24"/>
          <w:szCs w:val="24"/>
        </w:rPr>
        <w:t xml:space="preserve"> level engineer and requires more time.  For this purpose</w:t>
      </w:r>
      <w:r w:rsidRPr="00B37F9D" w:rsidR="00427A0A">
        <w:rPr>
          <w:sz w:val="24"/>
          <w:szCs w:val="24"/>
        </w:rPr>
        <w:t>,</w:t>
      </w:r>
      <w:r w:rsidRPr="00B37F9D" w:rsidR="00877AED">
        <w:rPr>
          <w:sz w:val="24"/>
          <w:szCs w:val="24"/>
        </w:rPr>
        <w:t xml:space="preserve"> </w:t>
      </w:r>
      <w:r w:rsidRPr="00B37F9D" w:rsidR="00B37A5A">
        <w:rPr>
          <w:sz w:val="24"/>
          <w:szCs w:val="24"/>
        </w:rPr>
        <w:t>it is estimated that a GS-855-13</w:t>
      </w:r>
      <w:r w:rsidRPr="00B37F9D" w:rsidR="00877AED">
        <w:rPr>
          <w:sz w:val="24"/>
          <w:szCs w:val="24"/>
        </w:rPr>
        <w:t xml:space="preserve">, Step 5, electronics engineer </w:t>
      </w:r>
      <w:r w:rsidRPr="00B37F9D" w:rsidR="00591A88">
        <w:rPr>
          <w:sz w:val="24"/>
          <w:szCs w:val="24"/>
        </w:rPr>
        <w:t>($</w:t>
      </w:r>
      <w:r w:rsidRPr="00B37F9D" w:rsidR="0072078C">
        <w:rPr>
          <w:sz w:val="24"/>
          <w:szCs w:val="24"/>
        </w:rPr>
        <w:t>5</w:t>
      </w:r>
      <w:r w:rsidRPr="00B37F9D" w:rsidR="00B27B30">
        <w:rPr>
          <w:sz w:val="24"/>
          <w:szCs w:val="24"/>
        </w:rPr>
        <w:t>5.75</w:t>
      </w:r>
      <w:r w:rsidRPr="00B37F9D" w:rsidR="003B6D82">
        <w:rPr>
          <w:sz w:val="24"/>
          <w:szCs w:val="24"/>
        </w:rPr>
        <w:t xml:space="preserve"> per hour) </w:t>
      </w:r>
      <w:r w:rsidRPr="00B37F9D" w:rsidR="00877AED">
        <w:rPr>
          <w:sz w:val="24"/>
          <w:szCs w:val="24"/>
        </w:rPr>
        <w:t xml:space="preserve">spends approximately </w:t>
      </w:r>
      <w:r w:rsidRPr="00B37F9D" w:rsidR="003A0200">
        <w:rPr>
          <w:sz w:val="24"/>
          <w:szCs w:val="24"/>
        </w:rPr>
        <w:t xml:space="preserve">three </w:t>
      </w:r>
      <w:r w:rsidRPr="00B37F9D" w:rsidR="00877AED">
        <w:rPr>
          <w:sz w:val="24"/>
          <w:szCs w:val="24"/>
        </w:rPr>
        <w:t>hour</w:t>
      </w:r>
      <w:r w:rsidRPr="00B37F9D" w:rsidR="003A0200">
        <w:rPr>
          <w:sz w:val="24"/>
          <w:szCs w:val="24"/>
        </w:rPr>
        <w:t>s</w:t>
      </w:r>
      <w:r w:rsidRPr="00B37F9D" w:rsidR="00877AED">
        <w:rPr>
          <w:sz w:val="24"/>
          <w:szCs w:val="24"/>
        </w:rPr>
        <w:t xml:space="preserve"> in reviewing </w:t>
      </w:r>
      <w:r w:rsidRPr="00B37F9D" w:rsidR="00427A0A">
        <w:rPr>
          <w:sz w:val="24"/>
          <w:szCs w:val="24"/>
        </w:rPr>
        <w:t xml:space="preserve">the detailed compliance demonstrations in </w:t>
      </w:r>
      <w:r w:rsidRPr="00B37F9D" w:rsidR="00877AED">
        <w:rPr>
          <w:sz w:val="24"/>
          <w:szCs w:val="24"/>
        </w:rPr>
        <w:t xml:space="preserve">each </w:t>
      </w:r>
      <w:r w:rsidRPr="00B37F9D" w:rsidR="00427A0A">
        <w:rPr>
          <w:sz w:val="24"/>
          <w:szCs w:val="24"/>
        </w:rPr>
        <w:t>of these</w:t>
      </w:r>
      <w:r w:rsidRPr="00B37F9D" w:rsidR="00BD66B2">
        <w:rPr>
          <w:sz w:val="24"/>
          <w:szCs w:val="24"/>
        </w:rPr>
        <w:t xml:space="preserve"> cases</w:t>
      </w:r>
      <w:r w:rsidRPr="00B37F9D" w:rsidR="00877AED">
        <w:rPr>
          <w:sz w:val="24"/>
          <w:szCs w:val="24"/>
        </w:rPr>
        <w:t xml:space="preserve">. </w:t>
      </w:r>
      <w:r w:rsidRPr="00B37F9D" w:rsidR="003B6D82">
        <w:rPr>
          <w:sz w:val="24"/>
          <w:szCs w:val="24"/>
        </w:rPr>
        <w:t xml:space="preserve"> The total annualized cost to the Federal government for these reviews is ($</w:t>
      </w:r>
      <w:r w:rsidRPr="00B37F9D" w:rsidR="0072078C">
        <w:rPr>
          <w:sz w:val="24"/>
          <w:szCs w:val="24"/>
        </w:rPr>
        <w:t>5</w:t>
      </w:r>
      <w:r w:rsidRPr="00B37F9D" w:rsidR="00B27B30">
        <w:rPr>
          <w:sz w:val="24"/>
          <w:szCs w:val="24"/>
        </w:rPr>
        <w:t>5.75</w:t>
      </w:r>
      <w:r w:rsidRPr="00B37F9D" w:rsidR="00676F57">
        <w:rPr>
          <w:sz w:val="24"/>
          <w:szCs w:val="24"/>
        </w:rPr>
        <w:t>/hour</w:t>
      </w:r>
      <w:r w:rsidRPr="00B37F9D" w:rsidR="006B2270">
        <w:rPr>
          <w:sz w:val="24"/>
          <w:szCs w:val="24"/>
        </w:rPr>
        <w:t xml:space="preserve"> x </w:t>
      </w:r>
      <w:r w:rsidR="001369A2">
        <w:rPr>
          <w:sz w:val="24"/>
          <w:szCs w:val="24"/>
        </w:rPr>
        <w:t>9</w:t>
      </w:r>
      <w:r w:rsidR="00A92BAA">
        <w:rPr>
          <w:sz w:val="24"/>
          <w:szCs w:val="24"/>
        </w:rPr>
        <w:t>2</w:t>
      </w:r>
      <w:r w:rsidRPr="00B37F9D" w:rsidR="001369A2">
        <w:rPr>
          <w:sz w:val="24"/>
          <w:szCs w:val="24"/>
        </w:rPr>
        <w:t xml:space="preserve"> </w:t>
      </w:r>
      <w:r w:rsidRPr="00B37F9D" w:rsidR="00676F57">
        <w:rPr>
          <w:sz w:val="24"/>
          <w:szCs w:val="24"/>
        </w:rPr>
        <w:t xml:space="preserve">responses </w:t>
      </w:r>
      <w:r w:rsidRPr="00B37F9D" w:rsidR="003A0200">
        <w:rPr>
          <w:sz w:val="24"/>
          <w:szCs w:val="24"/>
        </w:rPr>
        <w:t>x 3</w:t>
      </w:r>
      <w:r w:rsidRPr="00B37F9D" w:rsidR="00676F57">
        <w:rPr>
          <w:sz w:val="24"/>
          <w:szCs w:val="24"/>
        </w:rPr>
        <w:t xml:space="preserve"> hours</w:t>
      </w:r>
      <w:r w:rsidRPr="00B37F9D" w:rsidR="003B6D82">
        <w:rPr>
          <w:sz w:val="24"/>
          <w:szCs w:val="24"/>
        </w:rPr>
        <w:t>)</w:t>
      </w:r>
      <w:r w:rsidRPr="00B37F9D" w:rsidR="001930CD">
        <w:rPr>
          <w:sz w:val="24"/>
          <w:szCs w:val="24"/>
        </w:rPr>
        <w:t xml:space="preserve"> = </w:t>
      </w:r>
      <w:r w:rsidRPr="00B37F9D" w:rsidR="003B6D82">
        <w:rPr>
          <w:sz w:val="24"/>
          <w:szCs w:val="24"/>
        </w:rPr>
        <w:t>$</w:t>
      </w:r>
      <w:r w:rsidR="001369A2">
        <w:rPr>
          <w:sz w:val="24"/>
          <w:szCs w:val="24"/>
        </w:rPr>
        <w:t>15,</w:t>
      </w:r>
      <w:r w:rsidR="00A92BAA">
        <w:rPr>
          <w:sz w:val="24"/>
          <w:szCs w:val="24"/>
        </w:rPr>
        <w:t>387</w:t>
      </w:r>
      <w:r w:rsidRPr="00B37F9D" w:rsidR="003B6D82">
        <w:rPr>
          <w:sz w:val="24"/>
          <w:szCs w:val="24"/>
        </w:rPr>
        <w:t>.</w:t>
      </w:r>
    </w:p>
    <w:p w:rsidR="001369A2" w:rsidP="00591A88" w:rsidRDefault="001369A2" w14:paraId="15D7E3A2" w14:textId="77777777">
      <w:pPr>
        <w:pStyle w:val="BodyText3"/>
        <w:tabs>
          <w:tab w:val="clear" w:pos="720"/>
          <w:tab w:val="clear" w:pos="1260"/>
          <w:tab w:val="clear" w:pos="2160"/>
          <w:tab w:val="left" w:pos="450"/>
          <w:tab w:val="left" w:pos="1440"/>
        </w:tabs>
        <w:jc w:val="both"/>
        <w:rPr>
          <w:sz w:val="24"/>
          <w:szCs w:val="24"/>
        </w:rPr>
      </w:pPr>
    </w:p>
    <w:p w:rsidRPr="00B37F9D" w:rsidR="00877AED" w:rsidP="00591A88" w:rsidRDefault="001369A2" w14:paraId="164468DD" w14:textId="47E083D7">
      <w:pPr>
        <w:pStyle w:val="BodyText3"/>
        <w:tabs>
          <w:tab w:val="clear" w:pos="720"/>
          <w:tab w:val="clear" w:pos="1260"/>
          <w:tab w:val="clear" w:pos="2160"/>
          <w:tab w:val="left" w:pos="450"/>
          <w:tab w:val="left" w:pos="1440"/>
        </w:tabs>
        <w:jc w:val="both"/>
        <w:rPr>
          <w:sz w:val="24"/>
          <w:szCs w:val="24"/>
        </w:rPr>
      </w:pPr>
      <w:r>
        <w:rPr>
          <w:sz w:val="24"/>
          <w:szCs w:val="24"/>
        </w:rPr>
        <w:t>The remaining 91% (</w:t>
      </w:r>
      <w:r w:rsidR="00A92BAA">
        <w:rPr>
          <w:sz w:val="24"/>
          <w:szCs w:val="24"/>
        </w:rPr>
        <w:t>928</w:t>
      </w:r>
      <w:r>
        <w:rPr>
          <w:sz w:val="24"/>
          <w:szCs w:val="24"/>
        </w:rPr>
        <w:t>) of the responses containing a detailed evaluation can be reviewed similarly to those containing only a simple evaluation but are expected to take</w:t>
      </w:r>
      <w:r w:rsidR="00845E75">
        <w:rPr>
          <w:sz w:val="24"/>
          <w:szCs w:val="24"/>
        </w:rPr>
        <w:t xml:space="preserve"> slightly</w:t>
      </w:r>
      <w:r>
        <w:rPr>
          <w:sz w:val="24"/>
          <w:szCs w:val="24"/>
        </w:rPr>
        <w:t xml:space="preserve"> longer to review.  It is estimated that </w:t>
      </w:r>
      <w:r w:rsidRPr="00B37F9D">
        <w:rPr>
          <w:sz w:val="24"/>
          <w:szCs w:val="24"/>
        </w:rPr>
        <w:t xml:space="preserve">a GS-855-11, Step 5 electronic engineer ($39.12 per hour) spends approximately </w:t>
      </w:r>
      <w:r>
        <w:rPr>
          <w:sz w:val="24"/>
          <w:szCs w:val="24"/>
        </w:rPr>
        <w:t>10</w:t>
      </w:r>
      <w:r w:rsidRPr="00B37F9D">
        <w:rPr>
          <w:sz w:val="24"/>
          <w:szCs w:val="24"/>
        </w:rPr>
        <w:t xml:space="preserve"> minutes (0.</w:t>
      </w:r>
      <w:r>
        <w:rPr>
          <w:sz w:val="24"/>
          <w:szCs w:val="24"/>
        </w:rPr>
        <w:t>1667</w:t>
      </w:r>
      <w:r w:rsidRPr="00B37F9D">
        <w:rPr>
          <w:sz w:val="24"/>
          <w:szCs w:val="24"/>
        </w:rPr>
        <w:t xml:space="preserve"> hours) collecting and reviewing each of the</w:t>
      </w:r>
      <w:r>
        <w:rPr>
          <w:sz w:val="24"/>
          <w:szCs w:val="24"/>
        </w:rPr>
        <w:t>se</w:t>
      </w:r>
      <w:r w:rsidRPr="00B37F9D">
        <w:rPr>
          <w:sz w:val="24"/>
          <w:szCs w:val="24"/>
        </w:rPr>
        <w:t xml:space="preserve"> </w:t>
      </w:r>
      <w:r w:rsidR="00A92BAA">
        <w:rPr>
          <w:sz w:val="24"/>
          <w:szCs w:val="24"/>
        </w:rPr>
        <w:t>928</w:t>
      </w:r>
      <w:r w:rsidRPr="00B37F9D" w:rsidR="00A92BAA">
        <w:rPr>
          <w:sz w:val="24"/>
          <w:szCs w:val="24"/>
        </w:rPr>
        <w:t xml:space="preserve"> </w:t>
      </w:r>
      <w:r w:rsidRPr="00B37F9D">
        <w:rPr>
          <w:sz w:val="24"/>
          <w:szCs w:val="24"/>
        </w:rPr>
        <w:t xml:space="preserve">responses.  The total annualized cost to the Federal Government to review these documents is ($39.12/hour x </w:t>
      </w:r>
      <w:r w:rsidR="00A92BAA">
        <w:rPr>
          <w:sz w:val="24"/>
          <w:szCs w:val="24"/>
        </w:rPr>
        <w:t>928</w:t>
      </w:r>
      <w:r w:rsidRPr="00B37F9D" w:rsidR="00A92BAA">
        <w:rPr>
          <w:sz w:val="24"/>
          <w:szCs w:val="24"/>
        </w:rPr>
        <w:t xml:space="preserve"> </w:t>
      </w:r>
      <w:r w:rsidRPr="00B37F9D">
        <w:rPr>
          <w:sz w:val="24"/>
          <w:szCs w:val="24"/>
        </w:rPr>
        <w:t>responses x 0.</w:t>
      </w:r>
      <w:r>
        <w:rPr>
          <w:sz w:val="24"/>
          <w:szCs w:val="24"/>
        </w:rPr>
        <w:t>1667</w:t>
      </w:r>
      <w:r w:rsidRPr="00B37F9D">
        <w:rPr>
          <w:sz w:val="24"/>
          <w:szCs w:val="24"/>
        </w:rPr>
        <w:t xml:space="preserve"> hours) = $</w:t>
      </w:r>
      <w:r>
        <w:rPr>
          <w:sz w:val="24"/>
          <w:szCs w:val="24"/>
        </w:rPr>
        <w:t>6,</w:t>
      </w:r>
      <w:r w:rsidR="00A92BAA">
        <w:rPr>
          <w:sz w:val="24"/>
          <w:szCs w:val="24"/>
        </w:rPr>
        <w:t>0</w:t>
      </w:r>
      <w:r w:rsidR="0002414F">
        <w:rPr>
          <w:sz w:val="24"/>
          <w:szCs w:val="24"/>
        </w:rPr>
        <w:t>52</w:t>
      </w:r>
      <w:r>
        <w:rPr>
          <w:sz w:val="24"/>
          <w:szCs w:val="24"/>
        </w:rPr>
        <w:t>.</w:t>
      </w:r>
    </w:p>
    <w:p w:rsidRPr="00B37F9D" w:rsidR="00877AED" w:rsidP="00877AED" w:rsidRDefault="00877AED" w14:paraId="5977A3CD" w14:textId="77777777">
      <w:pPr>
        <w:pStyle w:val="BodyText3"/>
        <w:tabs>
          <w:tab w:val="clear" w:pos="720"/>
          <w:tab w:val="clear" w:pos="1260"/>
          <w:tab w:val="clear" w:pos="2160"/>
          <w:tab w:val="left" w:pos="450"/>
          <w:tab w:val="left" w:pos="1440"/>
        </w:tabs>
        <w:rPr>
          <w:sz w:val="24"/>
          <w:szCs w:val="24"/>
        </w:rPr>
      </w:pPr>
    </w:p>
    <w:p w:rsidR="00326357" w:rsidP="00D32461" w:rsidRDefault="00877AED" w14:paraId="5DD3CE2E" w14:textId="17A402A2">
      <w:pPr>
        <w:pStyle w:val="EndnoteText"/>
        <w:tabs>
          <w:tab w:val="left" w:pos="-1080"/>
          <w:tab w:val="left" w:pos="-720"/>
          <w:tab w:val="left" w:pos="0"/>
          <w:tab w:val="left" w:pos="720"/>
          <w:tab w:val="left" w:pos="1260"/>
          <w:tab w:val="left" w:pos="2160"/>
        </w:tabs>
        <w:suppressAutoHyphens/>
        <w:rPr>
          <w:rFonts w:ascii="Times New Roman" w:hAnsi="Times New Roman"/>
        </w:rPr>
      </w:pPr>
      <w:r w:rsidRPr="00B37F9D">
        <w:rPr>
          <w:rFonts w:ascii="Times New Roman" w:hAnsi="Times New Roman"/>
          <w:szCs w:val="24"/>
        </w:rPr>
        <w:t xml:space="preserve">The </w:t>
      </w:r>
      <w:r w:rsidRPr="00B37F9D" w:rsidR="00CC7071">
        <w:rPr>
          <w:rFonts w:ascii="Times New Roman" w:hAnsi="Times New Roman"/>
          <w:szCs w:val="24"/>
        </w:rPr>
        <w:t xml:space="preserve">total annualized </w:t>
      </w:r>
      <w:r w:rsidRPr="00B37F9D">
        <w:rPr>
          <w:rFonts w:ascii="Times New Roman" w:hAnsi="Times New Roman"/>
          <w:szCs w:val="24"/>
        </w:rPr>
        <w:t>cost to the</w:t>
      </w:r>
      <w:r w:rsidRPr="00B37F9D">
        <w:rPr>
          <w:rFonts w:ascii="Times New Roman" w:hAnsi="Times New Roman"/>
        </w:rPr>
        <w:t xml:space="preserve"> Federal Government is </w:t>
      </w:r>
      <w:r w:rsidRPr="00B37F9D" w:rsidR="00427A0A">
        <w:rPr>
          <w:rFonts w:ascii="Times New Roman" w:hAnsi="Times New Roman"/>
        </w:rPr>
        <w:t>the sum of the above amounts</w:t>
      </w:r>
      <w:r w:rsidRPr="00B37F9D" w:rsidR="00563690">
        <w:rPr>
          <w:rFonts w:ascii="Times New Roman" w:hAnsi="Times New Roman"/>
        </w:rPr>
        <w:t xml:space="preserve"> </w:t>
      </w:r>
      <w:r w:rsidRPr="00B37F9D" w:rsidR="00CC7071">
        <w:rPr>
          <w:rFonts w:ascii="Times New Roman" w:hAnsi="Times New Roman"/>
        </w:rPr>
        <w:t>($</w:t>
      </w:r>
      <w:r w:rsidR="00A92BAA">
        <w:rPr>
          <w:rFonts w:ascii="Times New Roman" w:hAnsi="Times New Roman"/>
        </w:rPr>
        <w:t>432,752</w:t>
      </w:r>
      <w:r w:rsidRPr="00B37F9D" w:rsidR="00CC7071">
        <w:rPr>
          <w:rFonts w:ascii="Times New Roman" w:hAnsi="Times New Roman"/>
        </w:rPr>
        <w:t xml:space="preserve"> + </w:t>
      </w:r>
      <w:r w:rsidRPr="00B37F9D" w:rsidR="001930CD">
        <w:rPr>
          <w:rFonts w:ascii="Times New Roman" w:hAnsi="Times New Roman"/>
        </w:rPr>
        <w:t>$</w:t>
      </w:r>
      <w:r w:rsidR="001369A2">
        <w:rPr>
          <w:rFonts w:ascii="Times New Roman" w:hAnsi="Times New Roman"/>
        </w:rPr>
        <w:t>10,</w:t>
      </w:r>
      <w:r w:rsidR="00A92BAA">
        <w:rPr>
          <w:rFonts w:ascii="Times New Roman" w:hAnsi="Times New Roman"/>
        </w:rPr>
        <w:t>734</w:t>
      </w:r>
      <w:r w:rsidRPr="00B37F9D" w:rsidR="00A92BAA">
        <w:rPr>
          <w:rFonts w:ascii="Times New Roman" w:hAnsi="Times New Roman"/>
        </w:rPr>
        <w:t xml:space="preserve"> </w:t>
      </w:r>
      <w:r w:rsidRPr="00B37F9D" w:rsidR="001930CD">
        <w:rPr>
          <w:rFonts w:ascii="Times New Roman" w:hAnsi="Times New Roman"/>
        </w:rPr>
        <w:t xml:space="preserve">+ </w:t>
      </w:r>
      <w:r w:rsidRPr="00B37F9D" w:rsidR="00CC7071">
        <w:rPr>
          <w:rFonts w:ascii="Times New Roman" w:hAnsi="Times New Roman"/>
        </w:rPr>
        <w:t>$</w:t>
      </w:r>
      <w:r w:rsidR="001369A2">
        <w:rPr>
          <w:rFonts w:ascii="Times New Roman" w:hAnsi="Times New Roman"/>
        </w:rPr>
        <w:t>15,</w:t>
      </w:r>
      <w:r w:rsidR="00A92BAA">
        <w:rPr>
          <w:rFonts w:ascii="Times New Roman" w:hAnsi="Times New Roman"/>
        </w:rPr>
        <w:t xml:space="preserve">387 </w:t>
      </w:r>
      <w:r w:rsidR="001369A2">
        <w:rPr>
          <w:rFonts w:ascii="Times New Roman" w:hAnsi="Times New Roman"/>
        </w:rPr>
        <w:t>+ $6,</w:t>
      </w:r>
      <w:r w:rsidR="00A92BAA">
        <w:rPr>
          <w:rFonts w:ascii="Times New Roman" w:hAnsi="Times New Roman"/>
        </w:rPr>
        <w:t>0</w:t>
      </w:r>
      <w:r w:rsidR="0002414F">
        <w:rPr>
          <w:rFonts w:ascii="Times New Roman" w:hAnsi="Times New Roman"/>
        </w:rPr>
        <w:t>52</w:t>
      </w:r>
      <w:r w:rsidRPr="00B37F9D" w:rsidR="00CC7071">
        <w:rPr>
          <w:rFonts w:ascii="Times New Roman" w:hAnsi="Times New Roman"/>
        </w:rPr>
        <w:t>)</w:t>
      </w:r>
      <w:r w:rsidRPr="00B37F9D" w:rsidR="00FB4607">
        <w:rPr>
          <w:rFonts w:ascii="Times New Roman" w:hAnsi="Times New Roman"/>
        </w:rPr>
        <w:t xml:space="preserve"> =</w:t>
      </w:r>
      <w:r w:rsidRPr="00B37F9D" w:rsidR="00EC6E3B">
        <w:rPr>
          <w:rFonts w:ascii="Times New Roman" w:hAnsi="Times New Roman"/>
        </w:rPr>
        <w:t xml:space="preserve"> </w:t>
      </w:r>
      <w:r w:rsidRPr="00F5218E" w:rsidR="00563690">
        <w:rPr>
          <w:rFonts w:ascii="Times New Roman" w:hAnsi="Times New Roman"/>
          <w:b/>
          <w:bCs/>
        </w:rPr>
        <w:t>$</w:t>
      </w:r>
      <w:r w:rsidR="00A92BAA">
        <w:rPr>
          <w:rFonts w:ascii="Times New Roman" w:hAnsi="Times New Roman"/>
          <w:b/>
        </w:rPr>
        <w:t>464,92</w:t>
      </w:r>
      <w:r w:rsidR="00830233">
        <w:rPr>
          <w:rFonts w:ascii="Times New Roman" w:hAnsi="Times New Roman"/>
          <w:b/>
        </w:rPr>
        <w:t>5</w:t>
      </w:r>
      <w:r w:rsidRPr="00B37F9D" w:rsidR="00427A0A">
        <w:rPr>
          <w:rFonts w:ascii="Times New Roman" w:hAnsi="Times New Roman"/>
        </w:rPr>
        <w:t xml:space="preserve">. </w:t>
      </w:r>
    </w:p>
    <w:p w:rsidR="00EF7562" w:rsidP="00D32461" w:rsidRDefault="00EF7562" w14:paraId="2199AB55" w14:textId="77777777">
      <w:pPr>
        <w:pStyle w:val="EndnoteText"/>
        <w:tabs>
          <w:tab w:val="left" w:pos="-1080"/>
          <w:tab w:val="left" w:pos="-720"/>
          <w:tab w:val="left" w:pos="0"/>
          <w:tab w:val="left" w:pos="720"/>
          <w:tab w:val="left" w:pos="1260"/>
          <w:tab w:val="left" w:pos="2160"/>
        </w:tabs>
        <w:suppressAutoHyphens/>
        <w:rPr>
          <w:rFonts w:ascii="Times New Roman" w:hAnsi="Times New Roman"/>
        </w:rPr>
      </w:pPr>
    </w:p>
    <w:p w:rsidRPr="00F5218E" w:rsidR="00EF7562" w:rsidP="00D32461" w:rsidRDefault="00EF7562" w14:paraId="1F4E8F95" w14:textId="77777777">
      <w:pPr>
        <w:pStyle w:val="EndnoteText"/>
        <w:tabs>
          <w:tab w:val="left" w:pos="-1080"/>
          <w:tab w:val="left" w:pos="-720"/>
          <w:tab w:val="left" w:pos="0"/>
          <w:tab w:val="left" w:pos="720"/>
          <w:tab w:val="left" w:pos="1260"/>
          <w:tab w:val="left" w:pos="2160"/>
        </w:tabs>
        <w:suppressAutoHyphens/>
        <w:rPr>
          <w:rFonts w:ascii="Times New Roman" w:hAnsi="Times New Roman"/>
          <w:szCs w:val="24"/>
        </w:rPr>
      </w:pPr>
      <w:r w:rsidRPr="00F5218E">
        <w:rPr>
          <w:rFonts w:ascii="Times New Roman" w:hAnsi="Times New Roman"/>
          <w:szCs w:val="24"/>
        </w:rPr>
        <w:t xml:space="preserve">There is not expected to be any </w:t>
      </w:r>
      <w:r>
        <w:rPr>
          <w:rFonts w:ascii="Times New Roman" w:hAnsi="Times New Roman"/>
          <w:szCs w:val="24"/>
        </w:rPr>
        <w:t>additional costs to the Federal government associated with</w:t>
      </w:r>
      <w:r w:rsidR="00A92BAA">
        <w:rPr>
          <w:rFonts w:ascii="Times New Roman" w:hAnsi="Times New Roman"/>
          <w:szCs w:val="24"/>
        </w:rPr>
        <w:t xml:space="preserve"> collection of information for</w:t>
      </w:r>
      <w:r>
        <w:rPr>
          <w:rFonts w:ascii="Times New Roman" w:hAnsi="Times New Roman"/>
          <w:szCs w:val="24"/>
        </w:rPr>
        <w:t xml:space="preserve"> transition</w:t>
      </w:r>
      <w:r w:rsidR="00A92BAA">
        <w:rPr>
          <w:rFonts w:ascii="Times New Roman" w:hAnsi="Times New Roman"/>
          <w:szCs w:val="24"/>
        </w:rPr>
        <w:t>ing</w:t>
      </w:r>
      <w:r>
        <w:rPr>
          <w:rFonts w:ascii="Times New Roman" w:hAnsi="Times New Roman"/>
          <w:szCs w:val="24"/>
        </w:rPr>
        <w:t xml:space="preserve"> to </w:t>
      </w:r>
      <w:r w:rsidR="00A92BAA">
        <w:rPr>
          <w:rFonts w:ascii="Times New Roman" w:hAnsi="Times New Roman"/>
          <w:szCs w:val="24"/>
        </w:rPr>
        <w:t xml:space="preserve">the </w:t>
      </w:r>
      <w:r>
        <w:rPr>
          <w:rFonts w:ascii="Times New Roman" w:hAnsi="Times New Roman"/>
          <w:szCs w:val="24"/>
        </w:rPr>
        <w:t xml:space="preserve">new </w:t>
      </w:r>
      <w:r w:rsidR="00A92BAA">
        <w:rPr>
          <w:rFonts w:ascii="Times New Roman" w:hAnsi="Times New Roman"/>
          <w:szCs w:val="24"/>
        </w:rPr>
        <w:t>section 1.1307(b) rules</w:t>
      </w:r>
      <w:r>
        <w:rPr>
          <w:rFonts w:ascii="Times New Roman" w:hAnsi="Times New Roman"/>
          <w:szCs w:val="24"/>
        </w:rPr>
        <w:t>.</w:t>
      </w:r>
      <w:r w:rsidR="00A92BAA">
        <w:rPr>
          <w:rFonts w:ascii="Times New Roman" w:hAnsi="Times New Roman"/>
          <w:szCs w:val="24"/>
        </w:rPr>
        <w:t xml:space="preserve">  While e</w:t>
      </w:r>
      <w:r w:rsidRPr="00F5218E">
        <w:rPr>
          <w:rFonts w:ascii="Times New Roman" w:hAnsi="Times New Roman"/>
          <w:szCs w:val="24"/>
        </w:rPr>
        <w:t>xisting licensees</w:t>
      </w:r>
      <w:r w:rsidR="00A92BAA">
        <w:rPr>
          <w:rFonts w:ascii="Times New Roman" w:hAnsi="Times New Roman"/>
          <w:szCs w:val="24"/>
        </w:rPr>
        <w:t xml:space="preserve"> </w:t>
      </w:r>
      <w:r w:rsidRPr="00D660B9" w:rsidR="00A92BAA">
        <w:rPr>
          <w:rFonts w:ascii="Times New Roman" w:hAnsi="Times New Roman"/>
          <w:szCs w:val="24"/>
        </w:rPr>
        <w:t>are required to comply with the new rules by the end of the transition period</w:t>
      </w:r>
      <w:r w:rsidR="00A92BAA">
        <w:rPr>
          <w:rFonts w:ascii="Times New Roman" w:hAnsi="Times New Roman"/>
          <w:szCs w:val="24"/>
        </w:rPr>
        <w:t>, they</w:t>
      </w:r>
      <w:r w:rsidRPr="00F5218E">
        <w:rPr>
          <w:rFonts w:ascii="Times New Roman" w:hAnsi="Times New Roman"/>
          <w:szCs w:val="24"/>
        </w:rPr>
        <w:t xml:space="preserve"> are not required to submit new paperwork until</w:t>
      </w:r>
      <w:r w:rsidR="00A92BAA">
        <w:rPr>
          <w:rFonts w:ascii="Times New Roman" w:hAnsi="Times New Roman"/>
          <w:szCs w:val="24"/>
        </w:rPr>
        <w:t xml:space="preserve"> they would</w:t>
      </w:r>
      <w:r w:rsidRPr="00F5218E">
        <w:rPr>
          <w:rFonts w:ascii="Times New Roman" w:hAnsi="Times New Roman"/>
          <w:szCs w:val="24"/>
        </w:rPr>
        <w:t xml:space="preserve"> </w:t>
      </w:r>
      <w:r w:rsidR="00A92BAA">
        <w:rPr>
          <w:rFonts w:ascii="Times New Roman" w:hAnsi="Times New Roman"/>
          <w:szCs w:val="24"/>
        </w:rPr>
        <w:t>normally</w:t>
      </w:r>
      <w:r w:rsidRPr="00F5218E">
        <w:rPr>
          <w:rFonts w:ascii="Times New Roman" w:hAnsi="Times New Roman"/>
          <w:szCs w:val="24"/>
        </w:rPr>
        <w:t xml:space="preserve"> </w:t>
      </w:r>
      <w:r w:rsidR="00A92BAA">
        <w:rPr>
          <w:rFonts w:ascii="Times New Roman" w:hAnsi="Times New Roman"/>
          <w:szCs w:val="24"/>
        </w:rPr>
        <w:t xml:space="preserve">be </w:t>
      </w:r>
      <w:r w:rsidRPr="00F5218E">
        <w:rPr>
          <w:rFonts w:ascii="Times New Roman" w:hAnsi="Times New Roman"/>
          <w:szCs w:val="24"/>
        </w:rPr>
        <w:t>required</w:t>
      </w:r>
      <w:r w:rsidR="00A92BAA">
        <w:rPr>
          <w:rFonts w:ascii="Times New Roman" w:hAnsi="Times New Roman"/>
          <w:szCs w:val="24"/>
        </w:rPr>
        <w:t xml:space="preserve"> to do so</w:t>
      </w:r>
      <w:r w:rsidRPr="00F5218E">
        <w:rPr>
          <w:rFonts w:ascii="Times New Roman" w:hAnsi="Times New Roman"/>
          <w:szCs w:val="24"/>
        </w:rPr>
        <w:t xml:space="preserve"> for</w:t>
      </w:r>
      <w:r w:rsidR="00A92BAA">
        <w:rPr>
          <w:rFonts w:ascii="Times New Roman" w:hAnsi="Times New Roman"/>
          <w:szCs w:val="24"/>
        </w:rPr>
        <w:t xml:space="preserve"> regular</w:t>
      </w:r>
      <w:r w:rsidRPr="00F5218E">
        <w:rPr>
          <w:rFonts w:ascii="Times New Roman" w:hAnsi="Times New Roman"/>
          <w:szCs w:val="24"/>
        </w:rPr>
        <w:t xml:space="preserve"> license modification or renewal.</w:t>
      </w:r>
    </w:p>
    <w:p w:rsidRPr="00B37F9D" w:rsidR="00326357" w:rsidRDefault="00326357" w14:paraId="23E70758" w14:textId="77777777">
      <w:pPr>
        <w:tabs>
          <w:tab w:val="left" w:pos="-1080"/>
          <w:tab w:val="left" w:pos="-720"/>
          <w:tab w:val="left" w:pos="0"/>
          <w:tab w:val="left" w:pos="720"/>
          <w:tab w:val="left" w:pos="1260"/>
          <w:tab w:val="left" w:pos="2160"/>
        </w:tabs>
        <w:suppressAutoHyphens/>
        <w:rPr>
          <w:rFonts w:ascii="Times New Roman" w:hAnsi="Times New Roman"/>
          <w:sz w:val="24"/>
          <w:szCs w:val="24"/>
        </w:rPr>
      </w:pPr>
    </w:p>
    <w:p w:rsidRPr="00B37F9D" w:rsidR="00475E60" w:rsidRDefault="00475E60" w14:paraId="711187FE" w14:textId="77777777">
      <w:pPr>
        <w:tabs>
          <w:tab w:val="left" w:pos="-1080"/>
          <w:tab w:val="left" w:pos="-720"/>
          <w:tab w:val="left" w:pos="0"/>
          <w:tab w:val="left" w:pos="720"/>
          <w:tab w:val="left" w:pos="1260"/>
          <w:tab w:val="left" w:pos="2160"/>
        </w:tabs>
        <w:suppressAutoHyphens/>
        <w:rPr>
          <w:rFonts w:ascii="Times New Roman" w:hAnsi="Times New Roman"/>
          <w:sz w:val="24"/>
          <w:szCs w:val="24"/>
        </w:rPr>
      </w:pPr>
    </w:p>
    <w:p w:rsidRPr="001430AD" w:rsidR="00A47DEF" w:rsidP="00326357" w:rsidRDefault="00A47DEF" w14:paraId="489B10FC" w14:textId="77777777">
      <w:pPr>
        <w:pStyle w:val="BodyText3"/>
        <w:jc w:val="both"/>
        <w:rPr>
          <w:b/>
          <w:bCs/>
          <w:snapToGrid/>
          <w:color w:val="000000"/>
          <w:sz w:val="24"/>
          <w:szCs w:val="24"/>
        </w:rPr>
      </w:pPr>
      <w:r w:rsidRPr="001430AD">
        <w:rPr>
          <w:b/>
          <w:bCs/>
          <w:snapToGrid/>
          <w:color w:val="000000"/>
          <w:sz w:val="24"/>
          <w:szCs w:val="24"/>
        </w:rPr>
        <w:t>15. Explain the reasons for any program changes or adjustments reported.</w:t>
      </w:r>
    </w:p>
    <w:p w:rsidRPr="00B37F9D" w:rsidR="00A47DEF" w:rsidP="00326357" w:rsidRDefault="00A47DEF" w14:paraId="7FE77B2B" w14:textId="77777777">
      <w:pPr>
        <w:pStyle w:val="BodyText3"/>
        <w:jc w:val="both"/>
        <w:rPr>
          <w:sz w:val="24"/>
          <w:szCs w:val="24"/>
        </w:rPr>
      </w:pPr>
    </w:p>
    <w:p w:rsidR="000E13A9" w:rsidP="000E13A9" w:rsidRDefault="00326357" w14:paraId="6E6D28D7" w14:textId="06C77870">
      <w:pPr>
        <w:pStyle w:val="BodyText3"/>
        <w:jc w:val="both"/>
        <w:rPr>
          <w:sz w:val="24"/>
          <w:szCs w:val="24"/>
        </w:rPr>
      </w:pPr>
      <w:r w:rsidRPr="00B37F9D">
        <w:rPr>
          <w:sz w:val="24"/>
          <w:szCs w:val="24"/>
        </w:rPr>
        <w:t xml:space="preserve">The Commission is reporting adjustments to this collection since the last submission to OMB.  The total number of </w:t>
      </w:r>
      <w:r w:rsidR="00C7798F">
        <w:rPr>
          <w:sz w:val="24"/>
          <w:szCs w:val="24"/>
        </w:rPr>
        <w:t xml:space="preserve">annualized </w:t>
      </w:r>
      <w:r w:rsidRPr="00B37F9D">
        <w:rPr>
          <w:sz w:val="24"/>
          <w:szCs w:val="24"/>
        </w:rPr>
        <w:t xml:space="preserve">respondents/responses </w:t>
      </w:r>
      <w:r w:rsidR="00F26CD1">
        <w:rPr>
          <w:sz w:val="24"/>
          <w:szCs w:val="24"/>
        </w:rPr>
        <w:t>increased</w:t>
      </w:r>
      <w:r w:rsidRPr="00B37F9D" w:rsidR="00F26CD1">
        <w:rPr>
          <w:sz w:val="24"/>
          <w:szCs w:val="24"/>
        </w:rPr>
        <w:t xml:space="preserve"> </w:t>
      </w:r>
      <w:r w:rsidRPr="00B37F9D">
        <w:rPr>
          <w:sz w:val="24"/>
          <w:szCs w:val="24"/>
        </w:rPr>
        <w:t xml:space="preserve">from </w:t>
      </w:r>
      <w:r w:rsidRPr="008527CB">
        <w:rPr>
          <w:sz w:val="24"/>
          <w:szCs w:val="24"/>
        </w:rPr>
        <w:t>284,332</w:t>
      </w:r>
      <w:r w:rsidRPr="008527CB" w:rsidR="00C7798F">
        <w:rPr>
          <w:sz w:val="24"/>
          <w:szCs w:val="24"/>
        </w:rPr>
        <w:t xml:space="preserve"> </w:t>
      </w:r>
      <w:r w:rsidRPr="00F52662" w:rsidR="00845E75">
        <w:rPr>
          <w:sz w:val="24"/>
          <w:szCs w:val="24"/>
        </w:rPr>
        <w:t xml:space="preserve">to </w:t>
      </w:r>
      <w:r w:rsidRPr="00F52662" w:rsidR="00C7798F">
        <w:rPr>
          <w:sz w:val="24"/>
          <w:szCs w:val="24"/>
        </w:rPr>
        <w:t>335,44</w:t>
      </w:r>
      <w:r w:rsidRPr="00F52662" w:rsidR="00D55270">
        <w:rPr>
          <w:sz w:val="24"/>
          <w:szCs w:val="24"/>
        </w:rPr>
        <w:t>1</w:t>
      </w:r>
      <w:r w:rsidRPr="00F52662">
        <w:rPr>
          <w:sz w:val="24"/>
          <w:szCs w:val="24"/>
        </w:rPr>
        <w:t xml:space="preserve"> (</w:t>
      </w:r>
      <w:r w:rsidRPr="00F52662" w:rsidR="00C7798F">
        <w:rPr>
          <w:sz w:val="24"/>
          <w:szCs w:val="24"/>
        </w:rPr>
        <w:t>+51,10</w:t>
      </w:r>
      <w:r w:rsidRPr="00F52662" w:rsidR="00D55270">
        <w:rPr>
          <w:sz w:val="24"/>
          <w:szCs w:val="24"/>
        </w:rPr>
        <w:t>9</w:t>
      </w:r>
      <w:r w:rsidRPr="006F001B">
        <w:rPr>
          <w:sz w:val="24"/>
          <w:szCs w:val="24"/>
        </w:rPr>
        <w:t>)</w:t>
      </w:r>
      <w:r w:rsidRPr="006F001B" w:rsidR="00C7798F">
        <w:rPr>
          <w:sz w:val="24"/>
          <w:szCs w:val="24"/>
        </w:rPr>
        <w:t xml:space="preserve">, the total annualized </w:t>
      </w:r>
      <w:r w:rsidRPr="00F52662" w:rsidR="000E13A9">
        <w:rPr>
          <w:sz w:val="24"/>
          <w:szCs w:val="24"/>
        </w:rPr>
        <w:t xml:space="preserve">hours </w:t>
      </w:r>
      <w:r w:rsidRPr="00F52662" w:rsidR="00C7798F">
        <w:rPr>
          <w:sz w:val="24"/>
          <w:szCs w:val="24"/>
        </w:rPr>
        <w:t>burden decreased from 58,865 to 41,99</w:t>
      </w:r>
      <w:r w:rsidRPr="00F52662" w:rsidR="00A013E4">
        <w:rPr>
          <w:sz w:val="24"/>
          <w:szCs w:val="24"/>
        </w:rPr>
        <w:t>7</w:t>
      </w:r>
      <w:r w:rsidRPr="00F52662" w:rsidR="00C7798F">
        <w:rPr>
          <w:sz w:val="24"/>
          <w:szCs w:val="24"/>
        </w:rPr>
        <w:t xml:space="preserve"> (−16,8</w:t>
      </w:r>
      <w:r w:rsidRPr="00F52662" w:rsidR="00A013E4">
        <w:rPr>
          <w:sz w:val="24"/>
          <w:szCs w:val="24"/>
        </w:rPr>
        <w:t>68</w:t>
      </w:r>
      <w:r w:rsidRPr="00F52662" w:rsidR="00C7798F">
        <w:rPr>
          <w:sz w:val="24"/>
          <w:szCs w:val="24"/>
        </w:rPr>
        <w:t>)</w:t>
      </w:r>
      <w:r w:rsidRPr="00F52662" w:rsidR="000E13A9">
        <w:rPr>
          <w:sz w:val="24"/>
          <w:szCs w:val="24"/>
        </w:rPr>
        <w:t xml:space="preserve">, and the total </w:t>
      </w:r>
      <w:r w:rsidRPr="00F638F3" w:rsidR="000E13A9">
        <w:rPr>
          <w:sz w:val="24"/>
          <w:szCs w:val="24"/>
        </w:rPr>
        <w:t>annualized cost burden decreased from $5,449,750 to $2,93</w:t>
      </w:r>
      <w:r w:rsidRPr="00F638F3" w:rsidR="008527CB">
        <w:rPr>
          <w:sz w:val="24"/>
          <w:szCs w:val="24"/>
        </w:rPr>
        <w:t>3,431</w:t>
      </w:r>
      <w:r w:rsidRPr="00F638F3" w:rsidR="000E13A9">
        <w:rPr>
          <w:sz w:val="24"/>
          <w:szCs w:val="24"/>
        </w:rPr>
        <w:t xml:space="preserve"> (−$2,516,</w:t>
      </w:r>
      <w:r w:rsidRPr="00F638F3" w:rsidR="008527CB">
        <w:rPr>
          <w:sz w:val="24"/>
          <w:szCs w:val="24"/>
        </w:rPr>
        <w:t>319</w:t>
      </w:r>
      <w:r w:rsidRPr="00F638F3" w:rsidR="00A013E4">
        <w:rPr>
          <w:sz w:val="24"/>
          <w:szCs w:val="24"/>
        </w:rPr>
        <w:t>)</w:t>
      </w:r>
      <w:r w:rsidRPr="00F638F3" w:rsidR="000E13A9">
        <w:rPr>
          <w:sz w:val="24"/>
          <w:szCs w:val="24"/>
        </w:rPr>
        <w:t>.</w:t>
      </w:r>
      <w:r w:rsidR="000E13A9">
        <w:rPr>
          <w:sz w:val="24"/>
          <w:szCs w:val="24"/>
        </w:rPr>
        <w:t xml:space="preserve">  The number of respondents</w:t>
      </w:r>
      <w:r w:rsidR="00241302">
        <w:rPr>
          <w:rStyle w:val="FootnoteReference"/>
          <w:sz w:val="24"/>
          <w:szCs w:val="24"/>
        </w:rPr>
        <w:footnoteReference w:id="5"/>
      </w:r>
      <w:r w:rsidR="000E13A9">
        <w:rPr>
          <w:sz w:val="24"/>
          <w:szCs w:val="24"/>
        </w:rPr>
        <w:t xml:space="preserve"> increased because</w:t>
      </w:r>
      <w:r w:rsidR="00241302">
        <w:rPr>
          <w:sz w:val="24"/>
          <w:szCs w:val="24"/>
        </w:rPr>
        <w:t xml:space="preserve"> it </w:t>
      </w:r>
      <w:r w:rsidR="000E13A9">
        <w:rPr>
          <w:sz w:val="24"/>
          <w:szCs w:val="24"/>
        </w:rPr>
        <w:t>is expected t</w:t>
      </w:r>
      <w:r w:rsidR="00241302">
        <w:rPr>
          <w:sz w:val="24"/>
          <w:szCs w:val="24"/>
        </w:rPr>
        <w:t xml:space="preserve">hat </w:t>
      </w:r>
      <w:proofErr w:type="gramStart"/>
      <w:r w:rsidR="000E13A9">
        <w:rPr>
          <w:sz w:val="24"/>
          <w:szCs w:val="24"/>
        </w:rPr>
        <w:t>a large number of</w:t>
      </w:r>
      <w:proofErr w:type="gramEnd"/>
      <w:r w:rsidR="000E13A9">
        <w:rPr>
          <w:sz w:val="24"/>
          <w:szCs w:val="24"/>
        </w:rPr>
        <w:t xml:space="preserve"> existing licensees (193,883 annualized) </w:t>
      </w:r>
      <w:r w:rsidR="00241302">
        <w:rPr>
          <w:sz w:val="24"/>
          <w:szCs w:val="24"/>
        </w:rPr>
        <w:t>will be required to transition to the new section 1.1307(b) rules</w:t>
      </w:r>
      <w:r w:rsidR="000E13A9">
        <w:rPr>
          <w:sz w:val="24"/>
          <w:szCs w:val="24"/>
        </w:rPr>
        <w:t xml:space="preserve">.  </w:t>
      </w:r>
      <w:r w:rsidR="00241302">
        <w:rPr>
          <w:sz w:val="24"/>
          <w:szCs w:val="24"/>
        </w:rPr>
        <w:t>The</w:t>
      </w:r>
      <w:r w:rsidR="000E13A9">
        <w:rPr>
          <w:sz w:val="24"/>
          <w:szCs w:val="24"/>
        </w:rPr>
        <w:t xml:space="preserve"> transition burden </w:t>
      </w:r>
      <w:r w:rsidR="000E13A9">
        <w:rPr>
          <w:sz w:val="24"/>
          <w:szCs w:val="24"/>
        </w:rPr>
        <w:lastRenderedPageBreak/>
        <w:t xml:space="preserve">per respondent is expected to be relatively small, however, and thus the total annualized hours and cost burdens still show a decrease.  The </w:t>
      </w:r>
      <w:r w:rsidR="00241302">
        <w:rPr>
          <w:sz w:val="24"/>
          <w:szCs w:val="24"/>
        </w:rPr>
        <w:t xml:space="preserve">annualized hours and cost burdens </w:t>
      </w:r>
      <w:r w:rsidR="000E13A9">
        <w:rPr>
          <w:sz w:val="24"/>
          <w:szCs w:val="24"/>
        </w:rPr>
        <w:t>decreased</w:t>
      </w:r>
      <w:r w:rsidR="00FE4BF8">
        <w:rPr>
          <w:sz w:val="24"/>
          <w:szCs w:val="24"/>
        </w:rPr>
        <w:t xml:space="preserve"> primarily</w:t>
      </w:r>
      <w:r w:rsidR="000E13A9">
        <w:rPr>
          <w:sz w:val="24"/>
          <w:szCs w:val="24"/>
        </w:rPr>
        <w:t xml:space="preserve"> due to </w:t>
      </w:r>
      <w:r w:rsidR="00241302">
        <w:rPr>
          <w:sz w:val="24"/>
          <w:szCs w:val="24"/>
        </w:rPr>
        <w:t xml:space="preserve">a </w:t>
      </w:r>
      <w:r w:rsidR="000E13A9">
        <w:rPr>
          <w:sz w:val="24"/>
          <w:szCs w:val="24"/>
        </w:rPr>
        <w:t>reduction in the number of applications received relative to the previous submission to OMB, particularly the number of broadcast applications.  These decreases are based on the most current data available to the Commission.</w:t>
      </w:r>
    </w:p>
    <w:p w:rsidR="000E13A9" w:rsidP="000E13A9" w:rsidRDefault="000E13A9" w14:paraId="6CC4A2A2" w14:textId="77777777">
      <w:pPr>
        <w:pStyle w:val="BodyText3"/>
        <w:jc w:val="both"/>
        <w:rPr>
          <w:sz w:val="24"/>
          <w:szCs w:val="24"/>
        </w:rPr>
      </w:pPr>
    </w:p>
    <w:p w:rsidR="00326357" w:rsidP="00DD611F" w:rsidRDefault="00326357" w14:paraId="4EA01BA9" w14:textId="4B7CE203">
      <w:pPr>
        <w:pStyle w:val="BodyText3"/>
        <w:jc w:val="both"/>
        <w:rPr>
          <w:sz w:val="24"/>
          <w:szCs w:val="24"/>
        </w:rPr>
      </w:pPr>
      <w:r w:rsidRPr="00B37F9D">
        <w:rPr>
          <w:sz w:val="24"/>
          <w:szCs w:val="24"/>
        </w:rPr>
        <w:t xml:space="preserve">From the last submission to OMB, </w:t>
      </w:r>
      <w:r w:rsidR="00241302">
        <w:rPr>
          <w:sz w:val="24"/>
          <w:szCs w:val="24"/>
        </w:rPr>
        <w:t xml:space="preserve">we also revised our calculation methods slightly to handle applications for the various </w:t>
      </w:r>
      <w:r w:rsidRPr="00F52662" w:rsidR="00241302">
        <w:rPr>
          <w:sz w:val="24"/>
          <w:szCs w:val="24"/>
        </w:rPr>
        <w:t xml:space="preserve">radio services more consistently.  We also updated </w:t>
      </w:r>
      <w:r w:rsidRPr="00F52662">
        <w:rPr>
          <w:sz w:val="24"/>
          <w:szCs w:val="24"/>
        </w:rPr>
        <w:t xml:space="preserve">the salary per hour of </w:t>
      </w:r>
      <w:r w:rsidRPr="00F52662" w:rsidR="00A31C97">
        <w:rPr>
          <w:sz w:val="24"/>
          <w:szCs w:val="24"/>
        </w:rPr>
        <w:t>outside</w:t>
      </w:r>
      <w:r w:rsidR="00A31C97">
        <w:rPr>
          <w:sz w:val="24"/>
          <w:szCs w:val="24"/>
        </w:rPr>
        <w:t xml:space="preserve"> </w:t>
      </w:r>
      <w:r w:rsidRPr="00B37F9D">
        <w:rPr>
          <w:sz w:val="24"/>
          <w:szCs w:val="24"/>
        </w:rPr>
        <w:t>consultant</w:t>
      </w:r>
      <w:r w:rsidR="00A31C97">
        <w:rPr>
          <w:sz w:val="24"/>
          <w:szCs w:val="24"/>
        </w:rPr>
        <w:t>s</w:t>
      </w:r>
      <w:r w:rsidR="00241302">
        <w:rPr>
          <w:sz w:val="24"/>
          <w:szCs w:val="24"/>
        </w:rPr>
        <w:t>, increasing each</w:t>
      </w:r>
      <w:r w:rsidRPr="00B37F9D">
        <w:rPr>
          <w:sz w:val="24"/>
          <w:szCs w:val="24"/>
        </w:rPr>
        <w:t xml:space="preserve"> </w:t>
      </w:r>
      <w:r w:rsidR="00A31C97">
        <w:rPr>
          <w:sz w:val="24"/>
          <w:szCs w:val="24"/>
        </w:rPr>
        <w:t>by 5%</w:t>
      </w:r>
      <w:r w:rsidR="00241302">
        <w:rPr>
          <w:sz w:val="24"/>
          <w:szCs w:val="24"/>
        </w:rPr>
        <w:t xml:space="preserve"> relative to the last submission</w:t>
      </w:r>
      <w:r w:rsidR="00A31C97">
        <w:rPr>
          <w:sz w:val="24"/>
          <w:szCs w:val="24"/>
        </w:rPr>
        <w:t>.</w:t>
      </w:r>
    </w:p>
    <w:p w:rsidR="00A31C97" w:rsidP="00326357" w:rsidRDefault="00A31C97" w14:paraId="6F51F124" w14:textId="77777777">
      <w:pPr>
        <w:pStyle w:val="BodyText3"/>
        <w:jc w:val="both"/>
        <w:rPr>
          <w:sz w:val="24"/>
          <w:szCs w:val="24"/>
        </w:rPr>
      </w:pPr>
    </w:p>
    <w:p w:rsidR="00B8368E" w:rsidP="00326357" w:rsidRDefault="00B8368E" w14:paraId="359CEE9C" w14:textId="7D9C30FC">
      <w:pPr>
        <w:pStyle w:val="BodyText3"/>
        <w:jc w:val="both"/>
        <w:rPr>
          <w:sz w:val="24"/>
          <w:szCs w:val="24"/>
        </w:rPr>
      </w:pPr>
      <w:r>
        <w:rPr>
          <w:sz w:val="24"/>
          <w:szCs w:val="24"/>
        </w:rPr>
        <w:t>E</w:t>
      </w:r>
      <w:r w:rsidR="00902EB0">
        <w:rPr>
          <w:sz w:val="24"/>
          <w:szCs w:val="24"/>
        </w:rPr>
        <w:t>xcept for</w:t>
      </w:r>
      <w:r w:rsidR="00A31C97">
        <w:rPr>
          <w:sz w:val="24"/>
          <w:szCs w:val="24"/>
        </w:rPr>
        <w:t xml:space="preserve"> </w:t>
      </w:r>
      <w:r w:rsidR="00FE4BF8">
        <w:rPr>
          <w:sz w:val="24"/>
          <w:szCs w:val="24"/>
        </w:rPr>
        <w:t xml:space="preserve">one-time transition burdens and </w:t>
      </w:r>
      <w:r w:rsidR="00A31C97">
        <w:rPr>
          <w:sz w:val="24"/>
          <w:szCs w:val="24"/>
        </w:rPr>
        <w:t xml:space="preserve">material costs associated with signage, </w:t>
      </w:r>
      <w:r>
        <w:rPr>
          <w:sz w:val="24"/>
          <w:szCs w:val="24"/>
        </w:rPr>
        <w:t xml:space="preserve">we estimate that </w:t>
      </w:r>
      <w:r w:rsidR="000E24C4">
        <w:rPr>
          <w:sz w:val="24"/>
          <w:szCs w:val="24"/>
        </w:rPr>
        <w:t>the per-respondent b</w:t>
      </w:r>
      <w:r w:rsidR="00A31C97">
        <w:rPr>
          <w:sz w:val="24"/>
          <w:szCs w:val="24"/>
        </w:rPr>
        <w:t xml:space="preserve">urden </w:t>
      </w:r>
      <w:r w:rsidR="000E24C4">
        <w:rPr>
          <w:sz w:val="24"/>
          <w:szCs w:val="24"/>
        </w:rPr>
        <w:t xml:space="preserve">will remain roughly the same as under the prior </w:t>
      </w:r>
      <w:r w:rsidR="00A31C97">
        <w:rPr>
          <w:sz w:val="24"/>
          <w:szCs w:val="24"/>
        </w:rPr>
        <w:t>section 1.1307(b)</w:t>
      </w:r>
      <w:r w:rsidR="00902EB0">
        <w:rPr>
          <w:sz w:val="24"/>
          <w:szCs w:val="24"/>
        </w:rPr>
        <w:t xml:space="preserve"> </w:t>
      </w:r>
      <w:r w:rsidR="000E24C4">
        <w:rPr>
          <w:sz w:val="24"/>
          <w:szCs w:val="24"/>
        </w:rPr>
        <w:t>rules</w:t>
      </w:r>
      <w:r w:rsidR="00902EB0">
        <w:rPr>
          <w:sz w:val="24"/>
          <w:szCs w:val="24"/>
        </w:rPr>
        <w:t xml:space="preserve">.  </w:t>
      </w:r>
      <w:r>
        <w:rPr>
          <w:sz w:val="24"/>
          <w:szCs w:val="24"/>
        </w:rPr>
        <w:t>U</w:t>
      </w:r>
      <w:r w:rsidR="00B76E8B">
        <w:rPr>
          <w:sz w:val="24"/>
          <w:szCs w:val="24"/>
        </w:rPr>
        <w:t>nder the</w:t>
      </w:r>
      <w:r w:rsidR="00902EB0">
        <w:rPr>
          <w:sz w:val="24"/>
          <w:szCs w:val="24"/>
        </w:rPr>
        <w:t xml:space="preserve"> streamlined criteria </w:t>
      </w:r>
      <w:r w:rsidR="00B76E8B">
        <w:rPr>
          <w:sz w:val="24"/>
          <w:szCs w:val="24"/>
        </w:rPr>
        <w:t>for e</w:t>
      </w:r>
      <w:r w:rsidR="00902EB0">
        <w:rPr>
          <w:sz w:val="24"/>
          <w:szCs w:val="24"/>
        </w:rPr>
        <w:t>xemption</w:t>
      </w:r>
      <w:r w:rsidR="00B76E8B">
        <w:rPr>
          <w:sz w:val="24"/>
          <w:szCs w:val="24"/>
        </w:rPr>
        <w:t xml:space="preserve"> under Section 1.1307,</w:t>
      </w:r>
      <w:r w:rsidR="00902EB0">
        <w:rPr>
          <w:sz w:val="24"/>
          <w:szCs w:val="24"/>
        </w:rPr>
        <w:t xml:space="preserve"> </w:t>
      </w:r>
      <w:r w:rsidR="005A232E">
        <w:rPr>
          <w:sz w:val="24"/>
          <w:szCs w:val="24"/>
        </w:rPr>
        <w:t xml:space="preserve">the </w:t>
      </w:r>
      <w:r w:rsidR="009B4E5E">
        <w:rPr>
          <w:sz w:val="24"/>
          <w:szCs w:val="24"/>
        </w:rPr>
        <w:t>fraction</w:t>
      </w:r>
      <w:r w:rsidR="005A232E">
        <w:rPr>
          <w:sz w:val="24"/>
          <w:szCs w:val="24"/>
        </w:rPr>
        <w:t xml:space="preserve"> of respondents who will be exempt </w:t>
      </w:r>
      <w:r w:rsidR="00B76E8B">
        <w:rPr>
          <w:sz w:val="24"/>
          <w:szCs w:val="24"/>
        </w:rPr>
        <w:t xml:space="preserve">will be essentially identical to the </w:t>
      </w:r>
      <w:r w:rsidR="009B4E5E">
        <w:rPr>
          <w:sz w:val="24"/>
          <w:szCs w:val="24"/>
        </w:rPr>
        <w:t>fraction</w:t>
      </w:r>
      <w:r w:rsidR="000E24C4">
        <w:rPr>
          <w:sz w:val="24"/>
          <w:szCs w:val="24"/>
        </w:rPr>
        <w:t xml:space="preserve"> of respondents</w:t>
      </w:r>
      <w:r w:rsidR="00B76E8B">
        <w:rPr>
          <w:sz w:val="24"/>
          <w:szCs w:val="24"/>
        </w:rPr>
        <w:t xml:space="preserve"> who were categorically excluded under the previous rules</w:t>
      </w:r>
      <w:r w:rsidR="005A232E">
        <w:rPr>
          <w:sz w:val="24"/>
          <w:szCs w:val="24"/>
        </w:rPr>
        <w:t>.  W</w:t>
      </w:r>
      <w:r w:rsidR="00902EB0">
        <w:rPr>
          <w:sz w:val="24"/>
          <w:szCs w:val="24"/>
        </w:rPr>
        <w:t>e</w:t>
      </w:r>
      <w:r w:rsidR="005A232E">
        <w:rPr>
          <w:sz w:val="24"/>
          <w:szCs w:val="24"/>
        </w:rPr>
        <w:t xml:space="preserve"> </w:t>
      </w:r>
      <w:r w:rsidR="00B76E8B">
        <w:rPr>
          <w:sz w:val="24"/>
          <w:szCs w:val="24"/>
        </w:rPr>
        <w:t xml:space="preserve">estimate that the time that it will take an exempt respondent to comply with the rules will be </w:t>
      </w:r>
      <w:r w:rsidRPr="002A3414" w:rsidR="00902EB0">
        <w:rPr>
          <w:sz w:val="24"/>
          <w:szCs w:val="24"/>
        </w:rPr>
        <w:t>approximately 5 minutes (0.0833 hours) per response</w:t>
      </w:r>
      <w:r w:rsidR="00B76E8B">
        <w:rPr>
          <w:sz w:val="24"/>
          <w:szCs w:val="24"/>
        </w:rPr>
        <w:t xml:space="preserve">, which is the same amount of time that we had estimated </w:t>
      </w:r>
      <w:r w:rsidR="000E24C4">
        <w:rPr>
          <w:sz w:val="24"/>
          <w:szCs w:val="24"/>
        </w:rPr>
        <w:t xml:space="preserve">it would take for </w:t>
      </w:r>
      <w:r w:rsidR="00B76E8B">
        <w:rPr>
          <w:sz w:val="24"/>
          <w:szCs w:val="24"/>
        </w:rPr>
        <w:t xml:space="preserve">respondents who were categorically </w:t>
      </w:r>
      <w:r w:rsidR="009B4E5E">
        <w:rPr>
          <w:sz w:val="24"/>
          <w:szCs w:val="24"/>
        </w:rPr>
        <w:t>excluded</w:t>
      </w:r>
      <w:r w:rsidR="00B76E8B">
        <w:rPr>
          <w:sz w:val="24"/>
          <w:szCs w:val="24"/>
        </w:rPr>
        <w:t xml:space="preserve"> </w:t>
      </w:r>
      <w:r w:rsidR="000E24C4">
        <w:rPr>
          <w:sz w:val="24"/>
          <w:szCs w:val="24"/>
        </w:rPr>
        <w:t>to comply with t</w:t>
      </w:r>
      <w:r w:rsidR="00F918F7">
        <w:rPr>
          <w:sz w:val="24"/>
          <w:szCs w:val="24"/>
        </w:rPr>
        <w:t>he previous rules</w:t>
      </w:r>
      <w:r w:rsidR="00B76E8B">
        <w:rPr>
          <w:sz w:val="24"/>
          <w:szCs w:val="24"/>
        </w:rPr>
        <w:t xml:space="preserve">.  We do not believe that </w:t>
      </w:r>
      <w:r w:rsidR="00902EB0">
        <w:rPr>
          <w:sz w:val="24"/>
          <w:szCs w:val="24"/>
        </w:rPr>
        <w:t xml:space="preserve">the increased flexibility </w:t>
      </w:r>
      <w:r w:rsidR="00B76E8B">
        <w:rPr>
          <w:sz w:val="24"/>
          <w:szCs w:val="24"/>
        </w:rPr>
        <w:t>we are providing for</w:t>
      </w:r>
      <w:r w:rsidR="00902EB0">
        <w:rPr>
          <w:sz w:val="24"/>
          <w:szCs w:val="24"/>
        </w:rPr>
        <w:t xml:space="preserve"> evaluation options </w:t>
      </w:r>
      <w:r w:rsidR="00F918F7">
        <w:rPr>
          <w:sz w:val="24"/>
          <w:szCs w:val="24"/>
        </w:rPr>
        <w:t>will</w:t>
      </w:r>
      <w:r w:rsidR="00902EB0">
        <w:rPr>
          <w:sz w:val="24"/>
          <w:szCs w:val="24"/>
        </w:rPr>
        <w:t xml:space="preserve"> significantly increase or decrease the</w:t>
      </w:r>
      <w:r w:rsidR="00F918F7">
        <w:rPr>
          <w:sz w:val="24"/>
          <w:szCs w:val="24"/>
        </w:rPr>
        <w:t>se</w:t>
      </w:r>
      <w:r w:rsidR="00902EB0">
        <w:rPr>
          <w:sz w:val="24"/>
          <w:szCs w:val="24"/>
        </w:rPr>
        <w:t xml:space="preserve"> burden</w:t>
      </w:r>
      <w:r w:rsidR="00F918F7">
        <w:rPr>
          <w:sz w:val="24"/>
          <w:szCs w:val="24"/>
        </w:rPr>
        <w:t>s</w:t>
      </w:r>
      <w:r w:rsidR="00902EB0">
        <w:rPr>
          <w:sz w:val="24"/>
          <w:szCs w:val="24"/>
        </w:rPr>
        <w:t xml:space="preserve">.  </w:t>
      </w:r>
      <w:r w:rsidR="005A232E">
        <w:rPr>
          <w:sz w:val="24"/>
          <w:szCs w:val="24"/>
        </w:rPr>
        <w:t xml:space="preserve">The </w:t>
      </w:r>
      <w:r w:rsidR="006C4B67">
        <w:rPr>
          <w:sz w:val="24"/>
          <w:szCs w:val="24"/>
        </w:rPr>
        <w:t>more specific mitigation requirements</w:t>
      </w:r>
      <w:r w:rsidR="00F918F7">
        <w:rPr>
          <w:sz w:val="24"/>
          <w:szCs w:val="24"/>
        </w:rPr>
        <w:t xml:space="preserve"> under the new rule</w:t>
      </w:r>
      <w:r w:rsidR="000E24C4">
        <w:rPr>
          <w:sz w:val="24"/>
          <w:szCs w:val="24"/>
        </w:rPr>
        <w:t>s</w:t>
      </w:r>
      <w:r w:rsidR="006C4B67">
        <w:rPr>
          <w:sz w:val="24"/>
          <w:szCs w:val="24"/>
        </w:rPr>
        <w:t xml:space="preserve"> align with industry best practices and existing guidance</w:t>
      </w:r>
      <w:r w:rsidR="000E24C4">
        <w:rPr>
          <w:sz w:val="24"/>
          <w:szCs w:val="24"/>
        </w:rPr>
        <w:t xml:space="preserve">.  </w:t>
      </w:r>
      <w:r w:rsidR="00F52BED">
        <w:rPr>
          <w:sz w:val="24"/>
          <w:szCs w:val="24"/>
        </w:rPr>
        <w:t>T</w:t>
      </w:r>
      <w:r w:rsidR="000E24C4">
        <w:rPr>
          <w:sz w:val="24"/>
          <w:szCs w:val="24"/>
        </w:rPr>
        <w:t>his</w:t>
      </w:r>
      <w:r w:rsidR="00F918F7">
        <w:rPr>
          <w:sz w:val="24"/>
          <w:szCs w:val="24"/>
        </w:rPr>
        <w:t xml:space="preserve"> burden </w:t>
      </w:r>
      <w:r w:rsidR="00F52BED">
        <w:rPr>
          <w:sz w:val="24"/>
          <w:szCs w:val="24"/>
        </w:rPr>
        <w:t>is included in</w:t>
      </w:r>
      <w:r w:rsidR="000E24C4">
        <w:rPr>
          <w:sz w:val="24"/>
          <w:szCs w:val="24"/>
        </w:rPr>
        <w:t xml:space="preserve"> </w:t>
      </w:r>
      <w:r w:rsidR="006C4B67">
        <w:rPr>
          <w:sz w:val="24"/>
          <w:szCs w:val="24"/>
        </w:rPr>
        <w:t xml:space="preserve">our estimates.  </w:t>
      </w:r>
      <w:r w:rsidR="00F52BED">
        <w:rPr>
          <w:sz w:val="24"/>
          <w:szCs w:val="24"/>
        </w:rPr>
        <w:t>We have added t</w:t>
      </w:r>
      <w:r w:rsidR="006C4B67">
        <w:rPr>
          <w:sz w:val="24"/>
          <w:szCs w:val="24"/>
        </w:rPr>
        <w:t>he specific material costs of signage</w:t>
      </w:r>
      <w:r w:rsidR="00F52BED">
        <w:rPr>
          <w:sz w:val="24"/>
          <w:szCs w:val="24"/>
        </w:rPr>
        <w:t>, which</w:t>
      </w:r>
      <w:r w:rsidR="006C4B67">
        <w:rPr>
          <w:sz w:val="24"/>
          <w:szCs w:val="24"/>
        </w:rPr>
        <w:t xml:space="preserve"> </w:t>
      </w:r>
      <w:r w:rsidR="00F918F7">
        <w:rPr>
          <w:sz w:val="24"/>
          <w:szCs w:val="24"/>
        </w:rPr>
        <w:t xml:space="preserve">is estimated to cost </w:t>
      </w:r>
      <w:r w:rsidRPr="003C6DAD" w:rsidR="00F918F7">
        <w:rPr>
          <w:sz w:val="24"/>
          <w:szCs w:val="24"/>
        </w:rPr>
        <w:t>respondents</w:t>
      </w:r>
      <w:r w:rsidRPr="003C6DAD" w:rsidR="006C4B67">
        <w:rPr>
          <w:sz w:val="24"/>
          <w:szCs w:val="24"/>
        </w:rPr>
        <w:t xml:space="preserve"> </w:t>
      </w:r>
      <w:r w:rsidRPr="003C6DAD" w:rsidR="00861665">
        <w:rPr>
          <w:sz w:val="24"/>
          <w:szCs w:val="24"/>
        </w:rPr>
        <w:t>$1,02</w:t>
      </w:r>
      <w:r w:rsidRPr="00F638F3" w:rsidR="00F52662">
        <w:rPr>
          <w:sz w:val="24"/>
          <w:szCs w:val="24"/>
        </w:rPr>
        <w:t>2,460</w:t>
      </w:r>
      <w:r w:rsidRPr="003C6DAD" w:rsidR="005D33DD">
        <w:rPr>
          <w:sz w:val="24"/>
          <w:szCs w:val="24"/>
        </w:rPr>
        <w:t xml:space="preserve"> annual</w:t>
      </w:r>
      <w:r w:rsidRPr="003C6DAD" w:rsidR="00F918F7">
        <w:rPr>
          <w:sz w:val="24"/>
          <w:szCs w:val="24"/>
        </w:rPr>
        <w:t>ly.</w:t>
      </w:r>
      <w:r w:rsidRPr="003C6DAD" w:rsidR="00FE4BF8">
        <w:rPr>
          <w:sz w:val="24"/>
          <w:szCs w:val="24"/>
        </w:rPr>
        <w:t xml:space="preserve">  We have also added one-time transition burdens, which is estimated to be 20,709 hours plus $270,64</w:t>
      </w:r>
      <w:r w:rsidRPr="00F638F3" w:rsidR="0072664E">
        <w:rPr>
          <w:sz w:val="24"/>
          <w:szCs w:val="24"/>
        </w:rPr>
        <w:t>0</w:t>
      </w:r>
      <w:r w:rsidRPr="003C6DAD" w:rsidR="00FE4BF8">
        <w:rPr>
          <w:sz w:val="24"/>
          <w:szCs w:val="24"/>
        </w:rPr>
        <w:t>, annualized over the present three-year</w:t>
      </w:r>
      <w:r w:rsidRPr="00F5218E" w:rsidR="00FE4BF8">
        <w:rPr>
          <w:sz w:val="24"/>
          <w:szCs w:val="24"/>
        </w:rPr>
        <w:t xml:space="preserve"> collection period.</w:t>
      </w:r>
    </w:p>
    <w:p w:rsidR="00F52BED" w:rsidP="00326357" w:rsidRDefault="00F52BED" w14:paraId="607AAC50" w14:textId="77777777">
      <w:pPr>
        <w:pStyle w:val="BodyText3"/>
        <w:jc w:val="both"/>
        <w:rPr>
          <w:sz w:val="24"/>
          <w:szCs w:val="24"/>
        </w:rPr>
      </w:pPr>
    </w:p>
    <w:p w:rsidR="00B8368E" w:rsidP="00326357" w:rsidRDefault="00B8368E" w14:paraId="5D316A81" w14:textId="77777777">
      <w:pPr>
        <w:pStyle w:val="BodyText3"/>
        <w:jc w:val="both"/>
        <w:rPr>
          <w:sz w:val="24"/>
          <w:szCs w:val="24"/>
        </w:rPr>
      </w:pPr>
      <w:r>
        <w:rPr>
          <w:sz w:val="24"/>
          <w:szCs w:val="24"/>
        </w:rPr>
        <w:t xml:space="preserve">Finally, we note that compliance with the Commission’s limits on RF exposure is an ongoing requirement.  </w:t>
      </w:r>
      <w:r w:rsidR="00FA2DA2">
        <w:rPr>
          <w:sz w:val="24"/>
          <w:szCs w:val="24"/>
        </w:rPr>
        <w:t>As discussed above, w</w:t>
      </w:r>
      <w:r>
        <w:rPr>
          <w:sz w:val="24"/>
          <w:szCs w:val="24"/>
        </w:rPr>
        <w:t xml:space="preserve">e </w:t>
      </w:r>
      <w:r w:rsidR="00FA2DA2">
        <w:rPr>
          <w:sz w:val="24"/>
          <w:szCs w:val="24"/>
        </w:rPr>
        <w:t>anticipate</w:t>
      </w:r>
      <w:r>
        <w:rPr>
          <w:sz w:val="24"/>
          <w:szCs w:val="24"/>
        </w:rPr>
        <w:t xml:space="preserve"> that most facilities that </w:t>
      </w:r>
      <w:r w:rsidR="00FA2DA2">
        <w:rPr>
          <w:sz w:val="24"/>
          <w:szCs w:val="24"/>
        </w:rPr>
        <w:t xml:space="preserve">had </w:t>
      </w:r>
      <w:r>
        <w:rPr>
          <w:sz w:val="24"/>
          <w:szCs w:val="24"/>
        </w:rPr>
        <w:t>qualified as categorically excluded under the previous rules will be classified as exempt under the amended rule</w:t>
      </w:r>
      <w:r w:rsidR="00FA2DA2">
        <w:rPr>
          <w:sz w:val="24"/>
          <w:szCs w:val="24"/>
        </w:rPr>
        <w:t xml:space="preserve">s, and so any additional burdens to respondents </w:t>
      </w:r>
      <w:r w:rsidR="007D034B">
        <w:rPr>
          <w:sz w:val="24"/>
          <w:szCs w:val="24"/>
        </w:rPr>
        <w:t xml:space="preserve">not discussed above </w:t>
      </w:r>
      <w:r w:rsidR="00FA2DA2">
        <w:rPr>
          <w:sz w:val="24"/>
          <w:szCs w:val="24"/>
        </w:rPr>
        <w:t>will be minimal.</w:t>
      </w:r>
    </w:p>
    <w:p w:rsidR="00104E2D" w:rsidP="00326357" w:rsidRDefault="00104E2D" w14:paraId="4BCFB0DA" w14:textId="77777777">
      <w:pPr>
        <w:pStyle w:val="BodyText3"/>
        <w:jc w:val="both"/>
        <w:rPr>
          <w:sz w:val="24"/>
          <w:szCs w:val="24"/>
        </w:rPr>
      </w:pPr>
    </w:p>
    <w:p w:rsidR="00475E60" w:rsidP="00326357" w:rsidRDefault="00475E60" w14:paraId="79C07ACD" w14:textId="77777777">
      <w:pPr>
        <w:pStyle w:val="BodyText3"/>
        <w:jc w:val="both"/>
        <w:rPr>
          <w:sz w:val="24"/>
          <w:szCs w:val="24"/>
        </w:rPr>
      </w:pPr>
    </w:p>
    <w:p w:rsidRPr="001430AD" w:rsidR="00A47DEF" w:rsidP="001430AD" w:rsidRDefault="00A47DEF" w14:paraId="683401FB" w14:textId="77777777">
      <w:pPr>
        <w:pStyle w:val="Default"/>
        <w:rPr>
          <w:b/>
          <w:bCs/>
        </w:rPr>
      </w:pPr>
      <w:r w:rsidRPr="001430AD">
        <w:rPr>
          <w:b/>
          <w:bCs/>
        </w:rPr>
        <w:t>16. For collections of information whose results will be published, outline plans for tabulation and publication.</w:t>
      </w:r>
    </w:p>
    <w:p w:rsidR="00A47DEF" w:rsidRDefault="00A47DEF" w14:paraId="2E3CEF99"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2A3414" w:rsidR="00CF4423" w:rsidRDefault="00CF4423" w14:paraId="72C08C42"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r w:rsidRPr="002A3414">
        <w:rPr>
          <w:rFonts w:ascii="Times New Roman" w:hAnsi="Times New Roman"/>
          <w:sz w:val="24"/>
          <w:szCs w:val="24"/>
        </w:rPr>
        <w:t>The data will not be published</w:t>
      </w:r>
      <w:r w:rsidRPr="002A3414" w:rsidR="007A7D3C">
        <w:rPr>
          <w:rFonts w:ascii="Times New Roman" w:hAnsi="Times New Roman"/>
          <w:sz w:val="24"/>
          <w:szCs w:val="24"/>
        </w:rPr>
        <w:t xml:space="preserve"> for statistical use</w:t>
      </w:r>
      <w:r w:rsidRPr="002A3414">
        <w:rPr>
          <w:rFonts w:ascii="Times New Roman" w:hAnsi="Times New Roman"/>
          <w:sz w:val="24"/>
          <w:szCs w:val="24"/>
        </w:rPr>
        <w:t>.</w:t>
      </w:r>
    </w:p>
    <w:p w:rsidR="00CF4423" w:rsidRDefault="00CF4423" w14:paraId="5FD1AB59"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2A3414" w:rsidR="00475E60" w:rsidRDefault="00475E60" w14:paraId="09A75A6A"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1430AD" w:rsidR="00A47DEF" w:rsidP="001430AD" w:rsidRDefault="00A47DEF" w14:paraId="74444941" w14:textId="77777777">
      <w:pPr>
        <w:pStyle w:val="Default"/>
        <w:rPr>
          <w:b/>
          <w:bCs/>
        </w:rPr>
      </w:pPr>
      <w:r w:rsidRPr="001430AD">
        <w:rPr>
          <w:b/>
          <w:bCs/>
        </w:rPr>
        <w:t>17. If seeking approval to not display the expiration date for OMB approval of the information collection, explain the reason that a display would be inappropriate.</w:t>
      </w:r>
    </w:p>
    <w:p w:rsidR="00A47DEF" w:rsidRDefault="00A47DEF" w14:paraId="7ABB3E04"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2A3414" w:rsidR="00CF4423" w:rsidRDefault="00437BB4" w14:paraId="7C4725F2"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r w:rsidRPr="002A3414">
        <w:rPr>
          <w:rFonts w:ascii="Times New Roman" w:hAnsi="Times New Roman"/>
          <w:sz w:val="24"/>
          <w:szCs w:val="24"/>
        </w:rPr>
        <w:t>The Commission is not requesting a waiver of displaying the OMB expiration date for the reporting requirements contained in rule sections.    The Commission does display the OMB Control Number, expiration date and title of each OMB-approved IC in 47 CFR 0.408.</w:t>
      </w:r>
    </w:p>
    <w:p w:rsidR="00CF4423" w:rsidRDefault="00CF4423" w14:paraId="5087B6EA"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2A3414" w:rsidR="00475E60" w:rsidRDefault="00475E60" w14:paraId="01810E8C"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1430AD" w:rsidR="00A47DEF" w:rsidP="001430AD" w:rsidRDefault="00A47DEF" w14:paraId="4F17B4AD" w14:textId="77777777">
      <w:pPr>
        <w:pStyle w:val="Default"/>
        <w:rPr>
          <w:b/>
          <w:bCs/>
        </w:rPr>
      </w:pPr>
      <w:r w:rsidRPr="001430AD">
        <w:rPr>
          <w:b/>
          <w:bCs/>
        </w:rPr>
        <w:t>18. Explain any exceptions to the statement certifying compliance with 5 C.F.R. § 1320.9 and the related provisions of 5 C.F.R. § 1320.8(b)(3) (Item 19, OMB Form 83-i).</w:t>
      </w:r>
    </w:p>
    <w:p w:rsidR="00A47DEF" w:rsidP="00326357" w:rsidRDefault="00A47DEF" w14:paraId="5B7B23F1" w14:textId="77777777">
      <w:pPr>
        <w:tabs>
          <w:tab w:val="left" w:pos="-1181"/>
          <w:tab w:val="left" w:pos="-720"/>
          <w:tab w:val="left" w:pos="36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00CF4423" w:rsidP="00326357" w:rsidRDefault="007B78B2" w14:paraId="1E1ECAB7" w14:textId="77777777">
      <w:pPr>
        <w:tabs>
          <w:tab w:val="left" w:pos="-1181"/>
          <w:tab w:val="left" w:pos="-720"/>
          <w:tab w:val="left" w:pos="36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r w:rsidRPr="002A3414">
        <w:rPr>
          <w:rFonts w:ascii="Times New Roman" w:hAnsi="Times New Roman"/>
          <w:sz w:val="24"/>
          <w:szCs w:val="24"/>
        </w:rPr>
        <w:t xml:space="preserve">There are no exceptions </w:t>
      </w:r>
      <w:r w:rsidRPr="002A3414" w:rsidR="00FB4607">
        <w:rPr>
          <w:rFonts w:ascii="Times New Roman" w:hAnsi="Times New Roman"/>
          <w:sz w:val="24"/>
          <w:szCs w:val="24"/>
        </w:rPr>
        <w:t>to the Certification Statement.</w:t>
      </w:r>
    </w:p>
    <w:p w:rsidRPr="002A3414" w:rsidR="00A47DEF" w:rsidP="00326357" w:rsidRDefault="00A47DEF" w14:paraId="1E53931E" w14:textId="77777777">
      <w:pPr>
        <w:tabs>
          <w:tab w:val="left" w:pos="-1181"/>
          <w:tab w:val="left" w:pos="-720"/>
          <w:tab w:val="left" w:pos="360"/>
          <w:tab w:val="left" w:pos="720"/>
          <w:tab w:val="left" w:pos="1440"/>
          <w:tab w:val="left" w:pos="2160"/>
          <w:tab w:val="left" w:pos="2880"/>
          <w:tab w:val="left" w:pos="3600"/>
          <w:tab w:val="left" w:pos="4410"/>
          <w:tab w:val="left" w:pos="4590"/>
          <w:tab w:val="left" w:pos="5760"/>
        </w:tabs>
        <w:suppressAutoHyphens/>
        <w:rPr>
          <w:rFonts w:ascii="Times New Roman" w:hAnsi="Times New Roman"/>
          <w:strike/>
          <w:sz w:val="24"/>
          <w:szCs w:val="24"/>
        </w:rPr>
      </w:pPr>
    </w:p>
    <w:p w:rsidRPr="002A3414" w:rsidR="00CF4423" w:rsidRDefault="00CF4423" w14:paraId="073FA810"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sz w:val="24"/>
          <w:szCs w:val="24"/>
        </w:rPr>
      </w:pPr>
    </w:p>
    <w:p w:rsidRPr="00A47DEF" w:rsidR="00CF4423" w:rsidRDefault="00CF4423" w14:paraId="301F3033"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b/>
          <w:sz w:val="24"/>
          <w:szCs w:val="24"/>
          <w:u w:val="single"/>
        </w:rPr>
      </w:pPr>
      <w:r w:rsidRPr="001430AD">
        <w:rPr>
          <w:rFonts w:ascii="Times New Roman" w:hAnsi="Times New Roman"/>
          <w:b/>
          <w:sz w:val="24"/>
          <w:szCs w:val="24"/>
        </w:rPr>
        <w:t xml:space="preserve">B. </w:t>
      </w:r>
      <w:r w:rsidRPr="00A47DEF">
        <w:rPr>
          <w:rFonts w:ascii="Times New Roman" w:hAnsi="Times New Roman"/>
          <w:b/>
          <w:sz w:val="24"/>
          <w:szCs w:val="24"/>
          <w:u w:val="single"/>
        </w:rPr>
        <w:t>Collection of Information Employing Statistical Methods</w:t>
      </w:r>
      <w:r w:rsidRPr="00A47DEF" w:rsidR="00437BB4">
        <w:rPr>
          <w:rFonts w:ascii="Times New Roman" w:hAnsi="Times New Roman"/>
          <w:b/>
          <w:sz w:val="24"/>
          <w:szCs w:val="24"/>
          <w:u w:val="single"/>
        </w:rPr>
        <w:t>:</w:t>
      </w:r>
    </w:p>
    <w:p w:rsidRPr="002A3414" w:rsidR="00CF4423" w:rsidRDefault="00CF4423" w14:paraId="3788EBD2" w14:textId="77777777">
      <w:pPr>
        <w:tabs>
          <w:tab w:val="left" w:pos="-1181"/>
          <w:tab w:val="left" w:pos="-720"/>
          <w:tab w:val="left" w:pos="0"/>
          <w:tab w:val="left" w:pos="720"/>
          <w:tab w:val="left" w:pos="1440"/>
          <w:tab w:val="left" w:pos="2160"/>
          <w:tab w:val="left" w:pos="2880"/>
          <w:tab w:val="left" w:pos="3600"/>
          <w:tab w:val="left" w:pos="4410"/>
          <w:tab w:val="left" w:pos="4590"/>
          <w:tab w:val="left" w:pos="5760"/>
        </w:tabs>
        <w:suppressAutoHyphens/>
        <w:rPr>
          <w:rFonts w:ascii="Times New Roman" w:hAnsi="Times New Roman"/>
          <w:b/>
          <w:sz w:val="24"/>
          <w:szCs w:val="24"/>
        </w:rPr>
      </w:pPr>
    </w:p>
    <w:p w:rsidRPr="0031239C" w:rsidR="00CF4423" w:rsidRDefault="00025DC4" w14:paraId="1ACBA238" w14:textId="77777777">
      <w:pPr>
        <w:pStyle w:val="BodyText"/>
        <w:tabs>
          <w:tab w:val="left" w:pos="-1181"/>
          <w:tab w:val="left" w:pos="0"/>
          <w:tab w:val="left" w:pos="720"/>
          <w:tab w:val="left" w:pos="1440"/>
          <w:tab w:val="left" w:pos="2160"/>
          <w:tab w:val="left" w:pos="2880"/>
          <w:tab w:val="left" w:pos="3600"/>
          <w:tab w:val="left" w:pos="4410"/>
          <w:tab w:val="left" w:pos="4590"/>
          <w:tab w:val="left" w:pos="5760"/>
        </w:tabs>
        <w:rPr>
          <w:szCs w:val="24"/>
        </w:rPr>
      </w:pPr>
      <w:r w:rsidRPr="002A3414">
        <w:rPr>
          <w:szCs w:val="24"/>
        </w:rPr>
        <w:t>This c</w:t>
      </w:r>
      <w:r w:rsidRPr="002A3414" w:rsidR="00CF4423">
        <w:rPr>
          <w:szCs w:val="24"/>
        </w:rPr>
        <w:t>ollection of information does not employ statistical methods.</w:t>
      </w:r>
    </w:p>
    <w:sectPr w:rsidRPr="0031239C" w:rsidR="00CF4423" w:rsidSect="005673E0">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F3AD6" w14:textId="77777777" w:rsidR="003D250C" w:rsidRDefault="003D250C">
      <w:pPr>
        <w:spacing w:line="20" w:lineRule="exact"/>
        <w:rPr>
          <w:sz w:val="24"/>
        </w:rPr>
      </w:pPr>
    </w:p>
  </w:endnote>
  <w:endnote w:type="continuationSeparator" w:id="0">
    <w:p w14:paraId="5EAD8D14" w14:textId="77777777" w:rsidR="003D250C" w:rsidRDefault="003D250C">
      <w:r>
        <w:rPr>
          <w:sz w:val="24"/>
        </w:rPr>
        <w:t xml:space="preserve"> </w:t>
      </w:r>
    </w:p>
  </w:endnote>
  <w:endnote w:type="continuationNotice" w:id="1">
    <w:p w14:paraId="761D33B1" w14:textId="77777777" w:rsidR="003D250C" w:rsidRDefault="003D25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6E11" w14:textId="77777777" w:rsidR="0072664E" w:rsidRDefault="0072664E" w:rsidP="000273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863F4" w14:textId="77777777" w:rsidR="0072664E" w:rsidRDefault="00726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986C" w14:textId="77777777" w:rsidR="0072664E" w:rsidRPr="005E01D8" w:rsidRDefault="0072664E" w:rsidP="0002732C">
    <w:pPr>
      <w:pStyle w:val="Footer"/>
      <w:framePr w:wrap="around" w:vAnchor="text" w:hAnchor="margin" w:xAlign="center" w:y="1"/>
      <w:rPr>
        <w:rStyle w:val="PageNumber"/>
        <w:rFonts w:ascii="Times New Roman" w:hAnsi="Times New Roman"/>
      </w:rPr>
    </w:pPr>
    <w:r w:rsidRPr="005E01D8">
      <w:rPr>
        <w:rStyle w:val="PageNumber"/>
        <w:rFonts w:ascii="Times New Roman" w:hAnsi="Times New Roman"/>
      </w:rPr>
      <w:fldChar w:fldCharType="begin"/>
    </w:r>
    <w:r w:rsidRPr="005E01D8">
      <w:rPr>
        <w:rStyle w:val="PageNumber"/>
        <w:rFonts w:ascii="Times New Roman" w:hAnsi="Times New Roman"/>
      </w:rPr>
      <w:instrText xml:space="preserve">PAGE  </w:instrText>
    </w:r>
    <w:r w:rsidRPr="005E01D8">
      <w:rPr>
        <w:rStyle w:val="PageNumber"/>
        <w:rFonts w:ascii="Times New Roman" w:hAnsi="Times New Roman"/>
      </w:rPr>
      <w:fldChar w:fldCharType="separate"/>
    </w:r>
    <w:r>
      <w:rPr>
        <w:rStyle w:val="PageNumber"/>
        <w:rFonts w:ascii="Times New Roman" w:hAnsi="Times New Roman"/>
        <w:noProof/>
      </w:rPr>
      <w:t>1</w:t>
    </w:r>
    <w:r w:rsidRPr="005E01D8">
      <w:rPr>
        <w:rStyle w:val="PageNumber"/>
        <w:rFonts w:ascii="Times New Roman" w:hAnsi="Times New Roman"/>
      </w:rPr>
      <w:fldChar w:fldCharType="end"/>
    </w:r>
  </w:p>
  <w:p w14:paraId="0A8F5D2D" w14:textId="77777777" w:rsidR="0072664E" w:rsidRDefault="0072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E942F" w14:textId="77777777" w:rsidR="003D250C" w:rsidRDefault="003D250C">
      <w:r>
        <w:rPr>
          <w:sz w:val="24"/>
        </w:rPr>
        <w:separator/>
      </w:r>
    </w:p>
  </w:footnote>
  <w:footnote w:type="continuationSeparator" w:id="0">
    <w:p w14:paraId="4593BF6F" w14:textId="77777777" w:rsidR="003D250C" w:rsidRDefault="003D250C">
      <w:r>
        <w:continuationSeparator/>
      </w:r>
    </w:p>
  </w:footnote>
  <w:footnote w:type="continuationNotice" w:id="1">
    <w:p w14:paraId="099FD22B" w14:textId="77777777" w:rsidR="003D250C" w:rsidRDefault="003D250C"/>
  </w:footnote>
  <w:footnote w:id="2">
    <w:p w14:paraId="23D9BCDF" w14:textId="77777777" w:rsidR="0072664E" w:rsidRPr="00D61FE1" w:rsidRDefault="0072664E" w:rsidP="00D61FE1">
      <w:pPr>
        <w:tabs>
          <w:tab w:val="left" w:pos="-720"/>
        </w:tabs>
        <w:suppressAutoHyphens/>
        <w:rPr>
          <w:rFonts w:ascii="Times New Roman" w:hAnsi="Times New Roman"/>
        </w:rPr>
      </w:pPr>
      <w:r w:rsidRPr="00D61FE1">
        <w:rPr>
          <w:rStyle w:val="FootnoteReference"/>
          <w:rFonts w:ascii="Times New Roman" w:hAnsi="Times New Roman"/>
        </w:rPr>
        <w:footnoteRef/>
      </w:r>
      <w:r>
        <w:rPr>
          <w:rFonts w:ascii="Times New Roman" w:hAnsi="Times New Roman"/>
        </w:rPr>
        <w:t xml:space="preserve"> The system of records notice (SORN) for</w:t>
      </w:r>
      <w:r w:rsidRPr="00D61FE1">
        <w:rPr>
          <w:rFonts w:ascii="Times New Roman" w:hAnsi="Times New Roman"/>
        </w:rPr>
        <w:t xml:space="preserve"> FCC/WTB-1</w:t>
      </w:r>
      <w:r>
        <w:rPr>
          <w:rFonts w:ascii="Times New Roman" w:hAnsi="Times New Roman"/>
        </w:rPr>
        <w:t>, “Wireless Services Licensing Records,”</w:t>
      </w:r>
      <w:r w:rsidRPr="00D61FE1">
        <w:rPr>
          <w:rFonts w:ascii="Times New Roman" w:hAnsi="Times New Roman"/>
        </w:rPr>
        <w:t xml:space="preserve"> was published in the Federal Register on </w:t>
      </w:r>
      <w:r>
        <w:rPr>
          <w:rFonts w:ascii="Times New Roman" w:hAnsi="Times New Roman"/>
        </w:rPr>
        <w:t xml:space="preserve">June 11, 2019, </w:t>
      </w:r>
      <w:r w:rsidRPr="00C1206F">
        <w:rPr>
          <w:rFonts w:ascii="Times New Roman" w:hAnsi="Times New Roman"/>
          <w:i/>
        </w:rPr>
        <w:t>see</w:t>
      </w:r>
      <w:r>
        <w:rPr>
          <w:rFonts w:ascii="Times New Roman" w:hAnsi="Times New Roman"/>
        </w:rPr>
        <w:t xml:space="preserve"> 84 FR 27115</w:t>
      </w:r>
      <w:r w:rsidRPr="00D61FE1">
        <w:rPr>
          <w:rFonts w:ascii="Times New Roman" w:hAnsi="Times New Roman"/>
        </w:rPr>
        <w:t>.</w:t>
      </w:r>
      <w:r>
        <w:rPr>
          <w:rFonts w:ascii="Times New Roman" w:hAnsi="Times New Roman"/>
        </w:rPr>
        <w:t xml:space="preserve">  The SORN may also be viewed at </w:t>
      </w:r>
      <w:r w:rsidRPr="00D94F6D">
        <w:rPr>
          <w:rFonts w:ascii="Times New Roman" w:hAnsi="Times New Roman"/>
        </w:rPr>
        <w:t>http://www.fcc.gov/omd/privacyact/records-systems.html</w:t>
      </w:r>
      <w:r w:rsidRPr="00D61FE1">
        <w:rPr>
          <w:rFonts w:ascii="Times New Roman" w:hAnsi="Times New Roman"/>
        </w:rPr>
        <w:t xml:space="preserve"> </w:t>
      </w:r>
    </w:p>
    <w:p w14:paraId="732F811D" w14:textId="77777777" w:rsidR="0072664E" w:rsidRPr="00D61FE1" w:rsidRDefault="0072664E">
      <w:pPr>
        <w:pStyle w:val="FootnoteText"/>
        <w:rPr>
          <w:rFonts w:ascii="Times New Roman" w:hAnsi="Times New Roman"/>
          <w:sz w:val="20"/>
        </w:rPr>
      </w:pPr>
    </w:p>
  </w:footnote>
  <w:footnote w:id="3">
    <w:p w14:paraId="00792808" w14:textId="77777777" w:rsidR="0072664E" w:rsidRPr="002A3414" w:rsidRDefault="0072664E">
      <w:pPr>
        <w:pStyle w:val="FootnoteText"/>
        <w:rPr>
          <w:rFonts w:ascii="Times New Roman" w:hAnsi="Times New Roman"/>
          <w:sz w:val="20"/>
        </w:rPr>
      </w:pPr>
      <w:r w:rsidRPr="002A3414">
        <w:rPr>
          <w:rStyle w:val="FootnoteReference"/>
          <w:rFonts w:ascii="Times New Roman" w:hAnsi="Times New Roman"/>
          <w:sz w:val="20"/>
        </w:rPr>
        <w:footnoteRef/>
      </w:r>
      <w:r w:rsidRPr="002A3414">
        <w:rPr>
          <w:rFonts w:ascii="Times New Roman" w:hAnsi="Times New Roman"/>
          <w:sz w:val="20"/>
        </w:rPr>
        <w:t xml:space="preserve"> Includes Satellite, Cellular, Paging</w:t>
      </w:r>
      <w:r>
        <w:rPr>
          <w:rFonts w:ascii="Times New Roman" w:hAnsi="Times New Roman"/>
          <w:sz w:val="20"/>
        </w:rPr>
        <w:t xml:space="preserve"> and Radiotelephone,</w:t>
      </w:r>
      <w:r w:rsidRPr="002A3414">
        <w:rPr>
          <w:rFonts w:ascii="Times New Roman" w:hAnsi="Times New Roman"/>
          <w:sz w:val="20"/>
        </w:rPr>
        <w:t xml:space="preserve"> PCS, Broadband, and SMR.</w:t>
      </w:r>
    </w:p>
  </w:footnote>
  <w:footnote w:id="4">
    <w:p w14:paraId="43015D00" w14:textId="77777777" w:rsidR="0072664E" w:rsidRDefault="0072664E">
      <w:pPr>
        <w:pStyle w:val="FootnoteText"/>
      </w:pPr>
      <w:r w:rsidRPr="00F5218E">
        <w:rPr>
          <w:rFonts w:ascii="Times New Roman" w:hAnsi="Times New Roman"/>
          <w:sz w:val="20"/>
          <w:vertAlign w:val="superscript"/>
        </w:rPr>
        <w:footnoteRef/>
      </w:r>
      <w:r w:rsidRPr="00F5218E">
        <w:rPr>
          <w:rFonts w:ascii="Times New Roman" w:hAnsi="Times New Roman"/>
          <w:sz w:val="20"/>
        </w:rPr>
        <w:t xml:space="preserve"> The transition will affect only existing licensees, not new applicants, and while those licensees are not required to submit new paperwork until regularly required for license modification or renewal, they are required to comply with the new rules by the end of the transition period.  </w:t>
      </w:r>
      <w:proofErr w:type="gramStart"/>
      <w:r w:rsidRPr="00F5218E">
        <w:rPr>
          <w:rFonts w:ascii="Times New Roman" w:hAnsi="Times New Roman"/>
          <w:sz w:val="20"/>
        </w:rPr>
        <w:t>So</w:t>
      </w:r>
      <w:proofErr w:type="gramEnd"/>
      <w:r w:rsidRPr="00F5218E">
        <w:rPr>
          <w:rFonts w:ascii="Times New Roman" w:hAnsi="Times New Roman"/>
          <w:sz w:val="20"/>
        </w:rPr>
        <w:t xml:space="preserve"> for the purposes of estimating the transition burden, “licensees” are equivalent to “respondents.”</w:t>
      </w:r>
    </w:p>
  </w:footnote>
  <w:footnote w:id="5">
    <w:p w14:paraId="26599548" w14:textId="77777777" w:rsidR="0072664E" w:rsidRDefault="0072664E">
      <w:pPr>
        <w:pStyle w:val="FootnoteText"/>
      </w:pPr>
      <w:r w:rsidRPr="00F5218E">
        <w:rPr>
          <w:rStyle w:val="FootnoteReference"/>
          <w:rFonts w:ascii="Times New Roman" w:hAnsi="Times New Roman"/>
          <w:sz w:val="20"/>
          <w:szCs w:val="16"/>
        </w:rPr>
        <w:footnoteRef/>
      </w:r>
      <w:r w:rsidRPr="00F5218E">
        <w:rPr>
          <w:rFonts w:ascii="Times New Roman" w:hAnsi="Times New Roman"/>
          <w:sz w:val="20"/>
          <w:szCs w:val="16"/>
        </w:rPr>
        <w:t xml:space="preserve"> </w:t>
      </w:r>
      <w:r>
        <w:rPr>
          <w:rFonts w:ascii="Times New Roman" w:hAnsi="Times New Roman"/>
          <w:sz w:val="20"/>
          <w:szCs w:val="16"/>
        </w:rPr>
        <w:t xml:space="preserve">Transitioning </w:t>
      </w:r>
      <w:r w:rsidRPr="00D660B9">
        <w:rPr>
          <w:rFonts w:ascii="Times New Roman" w:hAnsi="Times New Roman"/>
          <w:sz w:val="20"/>
        </w:rPr>
        <w:t xml:space="preserve">licensees are not required to submit new paperwork until </w:t>
      </w:r>
      <w:r>
        <w:rPr>
          <w:rFonts w:ascii="Times New Roman" w:hAnsi="Times New Roman"/>
          <w:sz w:val="20"/>
        </w:rPr>
        <w:t>normally</w:t>
      </w:r>
      <w:r w:rsidRPr="00D660B9">
        <w:rPr>
          <w:rFonts w:ascii="Times New Roman" w:hAnsi="Times New Roman"/>
          <w:sz w:val="20"/>
        </w:rPr>
        <w:t xml:space="preserve"> required for </w:t>
      </w:r>
      <w:r>
        <w:rPr>
          <w:rFonts w:ascii="Times New Roman" w:hAnsi="Times New Roman"/>
          <w:sz w:val="20"/>
        </w:rPr>
        <w:t xml:space="preserve">their regular </w:t>
      </w:r>
      <w:r w:rsidRPr="00D660B9">
        <w:rPr>
          <w:rFonts w:ascii="Times New Roman" w:hAnsi="Times New Roman"/>
          <w:sz w:val="20"/>
        </w:rPr>
        <w:t xml:space="preserve">license modification or renewal, </w:t>
      </w:r>
      <w:r>
        <w:rPr>
          <w:rFonts w:ascii="Times New Roman" w:hAnsi="Times New Roman"/>
          <w:sz w:val="20"/>
        </w:rPr>
        <w:t xml:space="preserve">but </w:t>
      </w:r>
      <w:r w:rsidRPr="00D660B9">
        <w:rPr>
          <w:rFonts w:ascii="Times New Roman" w:hAnsi="Times New Roman"/>
          <w:sz w:val="20"/>
        </w:rPr>
        <w:t>they are required to comply with the new rules by the end of the transition period</w:t>
      </w:r>
      <w:r>
        <w:rPr>
          <w:rFonts w:ascii="Times New Roman" w:hAnsi="Times New Roman"/>
          <w:sz w:val="20"/>
        </w:rPr>
        <w:t xml:space="preserve">.  That burden of transitioning to the new rules has been included in present estimates, and transitioning licensees are considered “respondents” for present discussion despite them having no additional requirement to respond.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9FFA" w14:textId="77777777" w:rsidR="0072664E" w:rsidRDefault="0072664E" w:rsidP="00527B1F">
    <w:pPr>
      <w:pStyle w:val="Header"/>
      <w:rPr>
        <w:rFonts w:ascii="Times New Roman" w:hAnsi="Times New Roman"/>
        <w:b/>
        <w:sz w:val="24"/>
        <w:szCs w:val="24"/>
      </w:rPr>
    </w:pPr>
    <w:r w:rsidRPr="00527B1F">
      <w:rPr>
        <w:rFonts w:ascii="Times New Roman" w:hAnsi="Times New Roman"/>
        <w:b/>
        <w:color w:val="000000"/>
        <w:sz w:val="22"/>
        <w:szCs w:val="22"/>
      </w:rPr>
      <w:t>Sections 1.1307</w:t>
    </w:r>
    <w:r>
      <w:rPr>
        <w:rFonts w:ascii="Times New Roman" w:hAnsi="Times New Roman"/>
        <w:b/>
        <w:color w:val="000000"/>
        <w:sz w:val="22"/>
        <w:szCs w:val="22"/>
      </w:rPr>
      <w:t xml:space="preserve"> and</w:t>
    </w:r>
    <w:r w:rsidRPr="00527B1F">
      <w:rPr>
        <w:rFonts w:ascii="Times New Roman" w:hAnsi="Times New Roman"/>
        <w:b/>
        <w:color w:val="000000"/>
        <w:sz w:val="22"/>
        <w:szCs w:val="22"/>
      </w:rPr>
      <w:t xml:space="preserve"> 1.1311</w:t>
    </w:r>
    <w:r>
      <w:rPr>
        <w:rFonts w:ascii="Times New Roman" w:hAnsi="Times New Roman"/>
        <w:b/>
        <w:color w:val="000000"/>
        <w:sz w:val="22"/>
        <w:szCs w:val="22"/>
      </w:rPr>
      <w:t>,</w:t>
    </w:r>
    <w:r w:rsidRPr="00527B1F">
      <w:rPr>
        <w:rFonts w:ascii="Times New Roman" w:hAnsi="Times New Roman"/>
        <w:b/>
        <w:color w:val="000000"/>
        <w:sz w:val="22"/>
        <w:szCs w:val="22"/>
      </w:rPr>
      <w:t xml:space="preserve"> Guidelines for Evaluating the</w:t>
    </w:r>
    <w:r>
      <w:rPr>
        <w:rFonts w:ascii="Times New Roman" w:hAnsi="Times New Roman"/>
        <w:b/>
        <w:color w:val="000000"/>
        <w:sz w:val="22"/>
        <w:szCs w:val="22"/>
      </w:rPr>
      <w:tab/>
    </w:r>
    <w:r w:rsidRPr="0068726B">
      <w:rPr>
        <w:rFonts w:ascii="Times New Roman" w:hAnsi="Times New Roman"/>
        <w:b/>
        <w:sz w:val="24"/>
        <w:szCs w:val="24"/>
      </w:rPr>
      <w:t>3060-0004</w:t>
    </w:r>
  </w:p>
  <w:p w14:paraId="2522286B" w14:textId="7582FD39" w:rsidR="0072664E" w:rsidRDefault="0072664E" w:rsidP="00527B1F">
    <w:pPr>
      <w:pStyle w:val="Header"/>
      <w:rPr>
        <w:rFonts w:ascii="Times New Roman" w:hAnsi="Times New Roman"/>
        <w:b/>
        <w:sz w:val="24"/>
        <w:szCs w:val="24"/>
      </w:rPr>
    </w:pPr>
    <w:r w:rsidRPr="00527B1F">
      <w:rPr>
        <w:rFonts w:ascii="Times New Roman" w:hAnsi="Times New Roman"/>
        <w:b/>
        <w:color w:val="000000"/>
        <w:sz w:val="22"/>
        <w:szCs w:val="22"/>
      </w:rPr>
      <w:t>Environmental Eff</w:t>
    </w:r>
    <w:r>
      <w:rPr>
        <w:rFonts w:ascii="Times New Roman" w:hAnsi="Times New Roman"/>
        <w:b/>
        <w:color w:val="000000"/>
        <w:sz w:val="22"/>
        <w:szCs w:val="22"/>
      </w:rPr>
      <w:t>ects of Radiofrequency Exposure</w:t>
    </w:r>
    <w:r w:rsidR="00AD6F13">
      <w:rPr>
        <w:rFonts w:ascii="Times New Roman" w:hAnsi="Times New Roman"/>
        <w:b/>
        <w:color w:val="000000"/>
        <w:sz w:val="22"/>
        <w:szCs w:val="22"/>
      </w:rPr>
      <w:tab/>
    </w:r>
    <w:r w:rsidR="00AD6F13">
      <w:rPr>
        <w:rFonts w:ascii="Times New Roman" w:hAnsi="Times New Roman"/>
        <w:b/>
        <w:sz w:val="24"/>
        <w:szCs w:val="24"/>
      </w:rPr>
      <w:t>December</w:t>
    </w:r>
    <w:r>
      <w:rPr>
        <w:rFonts w:ascii="Times New Roman" w:hAnsi="Times New Roman"/>
        <w:b/>
        <w:sz w:val="24"/>
        <w:szCs w:val="24"/>
      </w:rPr>
      <w:t xml:space="preserve"> 2020</w:t>
    </w:r>
    <w:r>
      <w:rPr>
        <w:rFonts w:ascii="Times New Roman" w:hAnsi="Times New Roman"/>
        <w:b/>
        <w:sz w:val="24"/>
        <w:szCs w:val="24"/>
      </w:rPr>
      <w:tab/>
      <w:t xml:space="preserve"> </w:t>
    </w:r>
  </w:p>
  <w:p w14:paraId="2A75483F" w14:textId="77777777" w:rsidR="0072664E" w:rsidRPr="0068726B" w:rsidRDefault="0072664E">
    <w:pPr>
      <w:pStyle w:val="Header"/>
      <w:rPr>
        <w:rFonts w:ascii="Times New Roman" w:hAnsi="Times New Roman"/>
        <w:b/>
        <w:sz w:val="24"/>
        <w:szCs w:val="24"/>
      </w:rPr>
    </w:pPr>
    <w:r w:rsidRPr="00527B1F">
      <w:rPr>
        <w:rFonts w:ascii="Times New Roman" w:hAnsi="Times New Roman"/>
        <w:b/>
        <w:sz w:val="24"/>
        <w:szCs w:val="24"/>
      </w:rPr>
      <w:tab/>
    </w:r>
    <w:r>
      <w:rPr>
        <w:rFonts w:ascii="Times New Roman" w:hAnsi="Times New Roman"/>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8888" w14:textId="77777777" w:rsidR="0072664E" w:rsidRPr="004929C5" w:rsidRDefault="0072664E">
    <w:pPr>
      <w:pStyle w:val="Header"/>
      <w:rPr>
        <w:rFonts w:ascii="Times New Roman" w:hAnsi="Times New Roman"/>
        <w:b/>
        <w:sz w:val="24"/>
        <w:szCs w:val="24"/>
      </w:rPr>
    </w:pPr>
    <w:r w:rsidRPr="004929C5">
      <w:rPr>
        <w:rFonts w:ascii="Times New Roman" w:hAnsi="Times New Roman"/>
        <w:b/>
        <w:sz w:val="24"/>
        <w:szCs w:val="24"/>
      </w:rPr>
      <w:t>3060-0004</w:t>
    </w:r>
    <w:r w:rsidRPr="004929C5">
      <w:rPr>
        <w:rFonts w:ascii="Times New Roman" w:hAnsi="Times New Roman"/>
        <w:b/>
        <w:sz w:val="24"/>
        <w:szCs w:val="24"/>
      </w:rPr>
      <w:tab/>
    </w:r>
    <w:r w:rsidRPr="004929C5">
      <w:rPr>
        <w:rFonts w:ascii="Times New Roman" w:hAnsi="Times New Roman"/>
        <w:b/>
        <w:sz w:val="24"/>
        <w:szCs w:val="24"/>
      </w:rPr>
      <w:tab/>
    </w:r>
    <w:r>
      <w:rPr>
        <w:rFonts w:ascii="Times New Roman" w:hAnsi="Times New Roman"/>
        <w:b/>
        <w:sz w:val="24"/>
        <w:szCs w:val="24"/>
      </w:rPr>
      <w:t>November</w:t>
    </w:r>
    <w:r w:rsidRPr="004929C5">
      <w:rPr>
        <w:rFonts w:ascii="Times New Roman" w:hAnsi="Times New Roman"/>
        <w:b/>
        <w:sz w:val="24"/>
        <w:szCs w:val="24"/>
      </w:rPr>
      <w:t xml:space="preserve"> 2004</w:t>
    </w:r>
  </w:p>
  <w:p w14:paraId="2DCFA8CB" w14:textId="77777777" w:rsidR="0072664E" w:rsidRPr="004929C5" w:rsidRDefault="0072664E">
    <w:pPr>
      <w:pStyle w:val="Header"/>
      <w:rPr>
        <w:rFonts w:ascii="Times New Roman" w:hAnsi="Times New Roman"/>
        <w:b/>
        <w:sz w:val="24"/>
        <w:szCs w:val="24"/>
      </w:rPr>
    </w:pPr>
    <w:r w:rsidRPr="004929C5">
      <w:rPr>
        <w:rFonts w:ascii="Times New Roman" w:hAnsi="Times New Roman"/>
        <w:b/>
        <w:sz w:val="24"/>
        <w:szCs w:val="24"/>
      </w:rPr>
      <w:t xml:space="preserve">Second Memorandum Opinion and Order clarifying the FCC’s Guidelines for Evaluating the Environmental Effects of Radio Frequency Radiation, ET Docket No. 93-62 </w:t>
    </w:r>
  </w:p>
  <w:p w14:paraId="128B2FFE" w14:textId="77777777" w:rsidR="0072664E" w:rsidRPr="004929C5" w:rsidRDefault="0072664E">
    <w:pPr>
      <w:pStyle w:val="Header"/>
      <w:rPr>
        <w:rFonts w:ascii="Times New Roman" w:hAnsi="Times New Roman"/>
        <w:b/>
        <w:sz w:val="24"/>
        <w:szCs w:val="24"/>
      </w:rPr>
    </w:pPr>
  </w:p>
  <w:p w14:paraId="00BCD840" w14:textId="77777777" w:rsidR="0072664E" w:rsidRPr="0068726B" w:rsidRDefault="0072664E">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456"/>
    <w:multiLevelType w:val="hybridMultilevel"/>
    <w:tmpl w:val="506215B4"/>
    <w:lvl w:ilvl="0" w:tplc="FD10EE98">
      <w:start w:val="1"/>
      <w:numFmt w:val="none"/>
      <w:lvlText w:val="(1)"/>
      <w:lvlJc w:val="left"/>
      <w:pPr>
        <w:tabs>
          <w:tab w:val="num" w:pos="1440"/>
        </w:tabs>
        <w:ind w:left="144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F9C1522"/>
    <w:multiLevelType w:val="hybridMultilevel"/>
    <w:tmpl w:val="FD42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639CD"/>
    <w:multiLevelType w:val="singleLevel"/>
    <w:tmpl w:val="58A2986C"/>
    <w:lvl w:ilvl="0">
      <w:start w:val="15"/>
      <w:numFmt w:val="decimal"/>
      <w:lvlText w:val="%1."/>
      <w:lvlJc w:val="left"/>
      <w:pPr>
        <w:tabs>
          <w:tab w:val="num" w:pos="420"/>
        </w:tabs>
        <w:ind w:left="420" w:hanging="420"/>
      </w:pPr>
      <w:rPr>
        <w:rFonts w:hint="default"/>
      </w:rPr>
    </w:lvl>
  </w:abstractNum>
  <w:abstractNum w:abstractNumId="3" w15:restartNumberingAfterBreak="0">
    <w:nsid w:val="23C33567"/>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D3344D0"/>
    <w:multiLevelType w:val="hybridMultilevel"/>
    <w:tmpl w:val="97D8AE98"/>
    <w:lvl w:ilvl="0" w:tplc="2D20A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65383A"/>
    <w:multiLevelType w:val="singleLevel"/>
    <w:tmpl w:val="A93CFE78"/>
    <w:lvl w:ilvl="0">
      <w:start w:val="12"/>
      <w:numFmt w:val="decimal"/>
      <w:lvlText w:val="%1."/>
      <w:lvlJc w:val="left"/>
      <w:pPr>
        <w:tabs>
          <w:tab w:val="num" w:pos="390"/>
        </w:tabs>
        <w:ind w:left="390" w:hanging="390"/>
      </w:pPr>
      <w:rPr>
        <w:rFonts w:hint="default"/>
      </w:rPr>
    </w:lvl>
  </w:abstractNum>
  <w:abstractNum w:abstractNumId="6" w15:restartNumberingAfterBreak="0">
    <w:nsid w:val="373B17F4"/>
    <w:multiLevelType w:val="singleLevel"/>
    <w:tmpl w:val="1DD0FBB4"/>
    <w:lvl w:ilvl="0">
      <w:start w:val="1"/>
      <w:numFmt w:val="decimal"/>
      <w:lvlText w:val="%1."/>
      <w:lvlJc w:val="left"/>
      <w:pPr>
        <w:tabs>
          <w:tab w:val="num" w:pos="360"/>
        </w:tabs>
        <w:ind w:left="360" w:hanging="360"/>
      </w:pPr>
      <w:rPr>
        <w:rFonts w:hint="default"/>
      </w:rPr>
    </w:lvl>
  </w:abstractNum>
  <w:abstractNum w:abstractNumId="7" w15:restartNumberingAfterBreak="0">
    <w:nsid w:val="50127CC3"/>
    <w:multiLevelType w:val="hybridMultilevel"/>
    <w:tmpl w:val="37DA09E0"/>
    <w:lvl w:ilvl="0" w:tplc="EAF076DE">
      <w:start w:val="1"/>
      <w:numFmt w:val="none"/>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70F1B49"/>
    <w:multiLevelType w:val="singleLevel"/>
    <w:tmpl w:val="FEDE2C46"/>
    <w:lvl w:ilvl="0">
      <w:start w:val="18"/>
      <w:numFmt w:val="decimal"/>
      <w:lvlText w:val="%1."/>
      <w:lvlJc w:val="left"/>
      <w:pPr>
        <w:tabs>
          <w:tab w:val="num" w:pos="510"/>
        </w:tabs>
        <w:ind w:left="510" w:hanging="420"/>
      </w:pPr>
      <w:rPr>
        <w:rFonts w:hint="default"/>
      </w:rPr>
    </w:lvl>
  </w:abstractNum>
  <w:abstractNum w:abstractNumId="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15:restartNumberingAfterBreak="0">
    <w:nsid w:val="74C16F19"/>
    <w:multiLevelType w:val="hybridMultilevel"/>
    <w:tmpl w:val="11E26F02"/>
    <w:lvl w:ilvl="0" w:tplc="FC643CB4">
      <w:start w:val="1"/>
      <w:numFmt w:val="lowerRoman"/>
      <w:lvlText w:val="(%1)"/>
      <w:lvlJc w:val="left"/>
      <w:pPr>
        <w:tabs>
          <w:tab w:val="num" w:pos="1026"/>
        </w:tabs>
        <w:ind w:left="1026" w:hanging="7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11" w15:restartNumberingAfterBreak="0">
    <w:nsid w:val="7E8D3143"/>
    <w:multiLevelType w:val="multilevel"/>
    <w:tmpl w:val="37DA09E0"/>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8"/>
  </w:num>
  <w:num w:numId="3">
    <w:abstractNumId w:val="2"/>
  </w:num>
  <w:num w:numId="4">
    <w:abstractNumId w:val="6"/>
  </w:num>
  <w:num w:numId="5">
    <w:abstractNumId w:val="5"/>
  </w:num>
  <w:num w:numId="6">
    <w:abstractNumId w:val="7"/>
  </w:num>
  <w:num w:numId="7">
    <w:abstractNumId w:val="4"/>
  </w:num>
  <w:num w:numId="8">
    <w:abstractNumId w:val="11"/>
  </w:num>
  <w:num w:numId="9">
    <w:abstractNumId w:val="0"/>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23"/>
    <w:rsid w:val="000006A5"/>
    <w:rsid w:val="00001B0F"/>
    <w:rsid w:val="0000327C"/>
    <w:rsid w:val="00004B27"/>
    <w:rsid w:val="00011275"/>
    <w:rsid w:val="00014948"/>
    <w:rsid w:val="0001700A"/>
    <w:rsid w:val="000220D3"/>
    <w:rsid w:val="0002414F"/>
    <w:rsid w:val="00024D47"/>
    <w:rsid w:val="00025DC4"/>
    <w:rsid w:val="00025ED6"/>
    <w:rsid w:val="00026474"/>
    <w:rsid w:val="0002732C"/>
    <w:rsid w:val="000274ED"/>
    <w:rsid w:val="0003069D"/>
    <w:rsid w:val="00033071"/>
    <w:rsid w:val="00033D51"/>
    <w:rsid w:val="000407B8"/>
    <w:rsid w:val="00041F08"/>
    <w:rsid w:val="00043FFE"/>
    <w:rsid w:val="00053A25"/>
    <w:rsid w:val="00061007"/>
    <w:rsid w:val="000648E6"/>
    <w:rsid w:val="00065242"/>
    <w:rsid w:val="000747AE"/>
    <w:rsid w:val="0007777E"/>
    <w:rsid w:val="0008615A"/>
    <w:rsid w:val="00093F30"/>
    <w:rsid w:val="000944D5"/>
    <w:rsid w:val="00095B87"/>
    <w:rsid w:val="000A0603"/>
    <w:rsid w:val="000A2143"/>
    <w:rsid w:val="000A49FA"/>
    <w:rsid w:val="000A5EBD"/>
    <w:rsid w:val="000B0B59"/>
    <w:rsid w:val="000B18A4"/>
    <w:rsid w:val="000B52FD"/>
    <w:rsid w:val="000B6651"/>
    <w:rsid w:val="000C05FA"/>
    <w:rsid w:val="000C6E57"/>
    <w:rsid w:val="000C742B"/>
    <w:rsid w:val="000C7908"/>
    <w:rsid w:val="000D188D"/>
    <w:rsid w:val="000E067C"/>
    <w:rsid w:val="000E13A9"/>
    <w:rsid w:val="000E24C4"/>
    <w:rsid w:val="000E328F"/>
    <w:rsid w:val="000E4FE2"/>
    <w:rsid w:val="000F1D3E"/>
    <w:rsid w:val="000F4299"/>
    <w:rsid w:val="00104E2D"/>
    <w:rsid w:val="001060BE"/>
    <w:rsid w:val="001073C7"/>
    <w:rsid w:val="001102B5"/>
    <w:rsid w:val="0011120C"/>
    <w:rsid w:val="00113A3E"/>
    <w:rsid w:val="00117289"/>
    <w:rsid w:val="00124925"/>
    <w:rsid w:val="00126F80"/>
    <w:rsid w:val="00131FC1"/>
    <w:rsid w:val="00132410"/>
    <w:rsid w:val="00135F01"/>
    <w:rsid w:val="001369A2"/>
    <w:rsid w:val="00136D0C"/>
    <w:rsid w:val="00137921"/>
    <w:rsid w:val="00140320"/>
    <w:rsid w:val="0014068C"/>
    <w:rsid w:val="001430AD"/>
    <w:rsid w:val="00143A6E"/>
    <w:rsid w:val="001472B5"/>
    <w:rsid w:val="00152339"/>
    <w:rsid w:val="001546E1"/>
    <w:rsid w:val="00160E9E"/>
    <w:rsid w:val="001636F3"/>
    <w:rsid w:val="0016466E"/>
    <w:rsid w:val="00170116"/>
    <w:rsid w:val="0017214B"/>
    <w:rsid w:val="00173B30"/>
    <w:rsid w:val="001752A1"/>
    <w:rsid w:val="00182546"/>
    <w:rsid w:val="001845DE"/>
    <w:rsid w:val="0018461B"/>
    <w:rsid w:val="00185A34"/>
    <w:rsid w:val="001866DF"/>
    <w:rsid w:val="00190852"/>
    <w:rsid w:val="001930CD"/>
    <w:rsid w:val="00194438"/>
    <w:rsid w:val="0019647C"/>
    <w:rsid w:val="001973E6"/>
    <w:rsid w:val="001A3CDA"/>
    <w:rsid w:val="001A5370"/>
    <w:rsid w:val="001B29EC"/>
    <w:rsid w:val="001C15E8"/>
    <w:rsid w:val="001C3C10"/>
    <w:rsid w:val="001C7D54"/>
    <w:rsid w:val="001D0687"/>
    <w:rsid w:val="001D2F4E"/>
    <w:rsid w:val="001D5FC3"/>
    <w:rsid w:val="001E3CA8"/>
    <w:rsid w:val="001E5EC0"/>
    <w:rsid w:val="001E73D2"/>
    <w:rsid w:val="001F2D6C"/>
    <w:rsid w:val="001F73B3"/>
    <w:rsid w:val="00200E7B"/>
    <w:rsid w:val="002058D1"/>
    <w:rsid w:val="00210135"/>
    <w:rsid w:val="002117D3"/>
    <w:rsid w:val="00212E39"/>
    <w:rsid w:val="00214F56"/>
    <w:rsid w:val="00231474"/>
    <w:rsid w:val="00232E3B"/>
    <w:rsid w:val="002353D7"/>
    <w:rsid w:val="00236FE6"/>
    <w:rsid w:val="00241302"/>
    <w:rsid w:val="002460D5"/>
    <w:rsid w:val="0025066B"/>
    <w:rsid w:val="00256E89"/>
    <w:rsid w:val="0026123F"/>
    <w:rsid w:val="00266BC8"/>
    <w:rsid w:val="00274B1F"/>
    <w:rsid w:val="00276DB6"/>
    <w:rsid w:val="002800D9"/>
    <w:rsid w:val="00280BE5"/>
    <w:rsid w:val="00285E2F"/>
    <w:rsid w:val="00294DE5"/>
    <w:rsid w:val="002969CB"/>
    <w:rsid w:val="00296F9A"/>
    <w:rsid w:val="002A262B"/>
    <w:rsid w:val="002A3414"/>
    <w:rsid w:val="002B15BD"/>
    <w:rsid w:val="002B4C36"/>
    <w:rsid w:val="002B4DE8"/>
    <w:rsid w:val="002B6B15"/>
    <w:rsid w:val="002C2E7E"/>
    <w:rsid w:val="002C374C"/>
    <w:rsid w:val="002C68E4"/>
    <w:rsid w:val="002C6ABC"/>
    <w:rsid w:val="002E0038"/>
    <w:rsid w:val="002E02A7"/>
    <w:rsid w:val="002F152D"/>
    <w:rsid w:val="002F31D8"/>
    <w:rsid w:val="00301BD6"/>
    <w:rsid w:val="003022C2"/>
    <w:rsid w:val="00302EA1"/>
    <w:rsid w:val="00303A8F"/>
    <w:rsid w:val="003107DC"/>
    <w:rsid w:val="0031239C"/>
    <w:rsid w:val="00312CAB"/>
    <w:rsid w:val="003138CE"/>
    <w:rsid w:val="003145EE"/>
    <w:rsid w:val="00314D4E"/>
    <w:rsid w:val="00322105"/>
    <w:rsid w:val="00322995"/>
    <w:rsid w:val="00326357"/>
    <w:rsid w:val="00333D36"/>
    <w:rsid w:val="00344B12"/>
    <w:rsid w:val="0035004A"/>
    <w:rsid w:val="00352AED"/>
    <w:rsid w:val="00355289"/>
    <w:rsid w:val="003578F7"/>
    <w:rsid w:val="00365F35"/>
    <w:rsid w:val="00367423"/>
    <w:rsid w:val="00370261"/>
    <w:rsid w:val="003740E0"/>
    <w:rsid w:val="003741F0"/>
    <w:rsid w:val="003744E7"/>
    <w:rsid w:val="00375065"/>
    <w:rsid w:val="0037552A"/>
    <w:rsid w:val="00381B5F"/>
    <w:rsid w:val="0038242B"/>
    <w:rsid w:val="00384DD4"/>
    <w:rsid w:val="00386CA9"/>
    <w:rsid w:val="00394597"/>
    <w:rsid w:val="00396B41"/>
    <w:rsid w:val="003971A5"/>
    <w:rsid w:val="003A0200"/>
    <w:rsid w:val="003A1B2D"/>
    <w:rsid w:val="003A2ADD"/>
    <w:rsid w:val="003A7045"/>
    <w:rsid w:val="003A70FE"/>
    <w:rsid w:val="003A75DB"/>
    <w:rsid w:val="003B63A9"/>
    <w:rsid w:val="003B6D82"/>
    <w:rsid w:val="003B7BC6"/>
    <w:rsid w:val="003C42F9"/>
    <w:rsid w:val="003C6DAD"/>
    <w:rsid w:val="003D1CC6"/>
    <w:rsid w:val="003D250C"/>
    <w:rsid w:val="003D6456"/>
    <w:rsid w:val="003D6DEA"/>
    <w:rsid w:val="003D78E9"/>
    <w:rsid w:val="003E4AE2"/>
    <w:rsid w:val="003E504B"/>
    <w:rsid w:val="003E7C85"/>
    <w:rsid w:val="003F0EF0"/>
    <w:rsid w:val="003F1E84"/>
    <w:rsid w:val="003F30F8"/>
    <w:rsid w:val="003F43E2"/>
    <w:rsid w:val="003F6F10"/>
    <w:rsid w:val="003F7C72"/>
    <w:rsid w:val="00403D89"/>
    <w:rsid w:val="004052A8"/>
    <w:rsid w:val="0040628F"/>
    <w:rsid w:val="004106C2"/>
    <w:rsid w:val="004128CE"/>
    <w:rsid w:val="0041756F"/>
    <w:rsid w:val="00422E4C"/>
    <w:rsid w:val="004248F7"/>
    <w:rsid w:val="0042672E"/>
    <w:rsid w:val="00427A0A"/>
    <w:rsid w:val="004329D8"/>
    <w:rsid w:val="00433B39"/>
    <w:rsid w:val="00433F69"/>
    <w:rsid w:val="00435ED0"/>
    <w:rsid w:val="00436D9E"/>
    <w:rsid w:val="00437BB4"/>
    <w:rsid w:val="00446712"/>
    <w:rsid w:val="0044788F"/>
    <w:rsid w:val="00447A9B"/>
    <w:rsid w:val="00451C8F"/>
    <w:rsid w:val="0045238C"/>
    <w:rsid w:val="00452701"/>
    <w:rsid w:val="00452B7C"/>
    <w:rsid w:val="00454020"/>
    <w:rsid w:val="004560A3"/>
    <w:rsid w:val="00456B87"/>
    <w:rsid w:val="00462E9F"/>
    <w:rsid w:val="0046341C"/>
    <w:rsid w:val="00464138"/>
    <w:rsid w:val="00464843"/>
    <w:rsid w:val="0046608B"/>
    <w:rsid w:val="0047053F"/>
    <w:rsid w:val="00475A86"/>
    <w:rsid w:val="00475E60"/>
    <w:rsid w:val="00476290"/>
    <w:rsid w:val="004777BC"/>
    <w:rsid w:val="00481B4B"/>
    <w:rsid w:val="00482C45"/>
    <w:rsid w:val="00482D59"/>
    <w:rsid w:val="00484D21"/>
    <w:rsid w:val="00487ABD"/>
    <w:rsid w:val="00487BAC"/>
    <w:rsid w:val="00487EFC"/>
    <w:rsid w:val="00491233"/>
    <w:rsid w:val="004929C5"/>
    <w:rsid w:val="0049396D"/>
    <w:rsid w:val="004A1FD7"/>
    <w:rsid w:val="004A3B34"/>
    <w:rsid w:val="004A5E98"/>
    <w:rsid w:val="004B565E"/>
    <w:rsid w:val="004C1251"/>
    <w:rsid w:val="004C1C03"/>
    <w:rsid w:val="004C5838"/>
    <w:rsid w:val="004C636E"/>
    <w:rsid w:val="004C6929"/>
    <w:rsid w:val="004D14BE"/>
    <w:rsid w:val="004D4706"/>
    <w:rsid w:val="004F1415"/>
    <w:rsid w:val="004F2B24"/>
    <w:rsid w:val="004F307E"/>
    <w:rsid w:val="004F31E6"/>
    <w:rsid w:val="004F6C34"/>
    <w:rsid w:val="00502457"/>
    <w:rsid w:val="00504B81"/>
    <w:rsid w:val="00512EFA"/>
    <w:rsid w:val="00517FA3"/>
    <w:rsid w:val="0052016C"/>
    <w:rsid w:val="00524E82"/>
    <w:rsid w:val="00526A4B"/>
    <w:rsid w:val="005274CA"/>
    <w:rsid w:val="00527B1F"/>
    <w:rsid w:val="00531B33"/>
    <w:rsid w:val="00533C2F"/>
    <w:rsid w:val="0053539F"/>
    <w:rsid w:val="00536FAF"/>
    <w:rsid w:val="00542D1A"/>
    <w:rsid w:val="00551D08"/>
    <w:rsid w:val="00551E3D"/>
    <w:rsid w:val="00556FCD"/>
    <w:rsid w:val="00557141"/>
    <w:rsid w:val="00557E55"/>
    <w:rsid w:val="005608D9"/>
    <w:rsid w:val="005619D7"/>
    <w:rsid w:val="005635FA"/>
    <w:rsid w:val="00563690"/>
    <w:rsid w:val="00564249"/>
    <w:rsid w:val="00565012"/>
    <w:rsid w:val="00565D7C"/>
    <w:rsid w:val="005673E0"/>
    <w:rsid w:val="0057531B"/>
    <w:rsid w:val="00576247"/>
    <w:rsid w:val="0057637F"/>
    <w:rsid w:val="00580085"/>
    <w:rsid w:val="00591A88"/>
    <w:rsid w:val="0059217A"/>
    <w:rsid w:val="00593548"/>
    <w:rsid w:val="0059624E"/>
    <w:rsid w:val="005973C5"/>
    <w:rsid w:val="005A118D"/>
    <w:rsid w:val="005A168C"/>
    <w:rsid w:val="005A232E"/>
    <w:rsid w:val="005B306C"/>
    <w:rsid w:val="005B78EB"/>
    <w:rsid w:val="005C3B17"/>
    <w:rsid w:val="005C50E5"/>
    <w:rsid w:val="005D24B7"/>
    <w:rsid w:val="005D33DD"/>
    <w:rsid w:val="005D5909"/>
    <w:rsid w:val="005E01D8"/>
    <w:rsid w:val="005E0F5C"/>
    <w:rsid w:val="005E27CA"/>
    <w:rsid w:val="005E5560"/>
    <w:rsid w:val="005E6D7A"/>
    <w:rsid w:val="005E733E"/>
    <w:rsid w:val="005F01E1"/>
    <w:rsid w:val="005F1CE9"/>
    <w:rsid w:val="005F3B9A"/>
    <w:rsid w:val="005F3CB9"/>
    <w:rsid w:val="005F5732"/>
    <w:rsid w:val="005F74E8"/>
    <w:rsid w:val="00605F83"/>
    <w:rsid w:val="006103D9"/>
    <w:rsid w:val="0061636D"/>
    <w:rsid w:val="006245B1"/>
    <w:rsid w:val="00631E5E"/>
    <w:rsid w:val="00635324"/>
    <w:rsid w:val="006468EE"/>
    <w:rsid w:val="006522F7"/>
    <w:rsid w:val="00652AA3"/>
    <w:rsid w:val="006642DF"/>
    <w:rsid w:val="00664B02"/>
    <w:rsid w:val="006657D1"/>
    <w:rsid w:val="00665D9B"/>
    <w:rsid w:val="00667DFD"/>
    <w:rsid w:val="00670665"/>
    <w:rsid w:val="00671D4A"/>
    <w:rsid w:val="0067234E"/>
    <w:rsid w:val="006753E5"/>
    <w:rsid w:val="00676F57"/>
    <w:rsid w:val="0068726B"/>
    <w:rsid w:val="00694641"/>
    <w:rsid w:val="00697795"/>
    <w:rsid w:val="006A0EDD"/>
    <w:rsid w:val="006A15A8"/>
    <w:rsid w:val="006A354A"/>
    <w:rsid w:val="006B2270"/>
    <w:rsid w:val="006B659A"/>
    <w:rsid w:val="006C0D8D"/>
    <w:rsid w:val="006C1DF2"/>
    <w:rsid w:val="006C2D34"/>
    <w:rsid w:val="006C3F26"/>
    <w:rsid w:val="006C47E0"/>
    <w:rsid w:val="006C4B67"/>
    <w:rsid w:val="006C4B6A"/>
    <w:rsid w:val="006C54C6"/>
    <w:rsid w:val="006C7982"/>
    <w:rsid w:val="006D293B"/>
    <w:rsid w:val="006D3EFD"/>
    <w:rsid w:val="006D4FB4"/>
    <w:rsid w:val="006D612F"/>
    <w:rsid w:val="006E1A8B"/>
    <w:rsid w:val="006E5E0F"/>
    <w:rsid w:val="006E6F83"/>
    <w:rsid w:val="006F001B"/>
    <w:rsid w:val="006F165C"/>
    <w:rsid w:val="006F235C"/>
    <w:rsid w:val="006F4DE4"/>
    <w:rsid w:val="006F61A3"/>
    <w:rsid w:val="006F7206"/>
    <w:rsid w:val="007012F5"/>
    <w:rsid w:val="007015B9"/>
    <w:rsid w:val="007045C2"/>
    <w:rsid w:val="00717126"/>
    <w:rsid w:val="0072078C"/>
    <w:rsid w:val="00720E94"/>
    <w:rsid w:val="00721ABE"/>
    <w:rsid w:val="00724274"/>
    <w:rsid w:val="0072664E"/>
    <w:rsid w:val="00727478"/>
    <w:rsid w:val="007302EC"/>
    <w:rsid w:val="00736E01"/>
    <w:rsid w:val="00741AB8"/>
    <w:rsid w:val="00742A7B"/>
    <w:rsid w:val="00745A2D"/>
    <w:rsid w:val="00750AA0"/>
    <w:rsid w:val="0075548F"/>
    <w:rsid w:val="007572B8"/>
    <w:rsid w:val="00761637"/>
    <w:rsid w:val="00763097"/>
    <w:rsid w:val="00765F5D"/>
    <w:rsid w:val="007677AA"/>
    <w:rsid w:val="0078217E"/>
    <w:rsid w:val="00787D66"/>
    <w:rsid w:val="00793907"/>
    <w:rsid w:val="007975D2"/>
    <w:rsid w:val="007A2174"/>
    <w:rsid w:val="007A448C"/>
    <w:rsid w:val="007A673B"/>
    <w:rsid w:val="007A7D3C"/>
    <w:rsid w:val="007B4A31"/>
    <w:rsid w:val="007B6BAA"/>
    <w:rsid w:val="007B721E"/>
    <w:rsid w:val="007B78B2"/>
    <w:rsid w:val="007C011E"/>
    <w:rsid w:val="007C70A9"/>
    <w:rsid w:val="007D034B"/>
    <w:rsid w:val="007D2298"/>
    <w:rsid w:val="007D2EF8"/>
    <w:rsid w:val="007D5E65"/>
    <w:rsid w:val="007D7FDC"/>
    <w:rsid w:val="007E3A38"/>
    <w:rsid w:val="007E7381"/>
    <w:rsid w:val="007F71BA"/>
    <w:rsid w:val="00800B89"/>
    <w:rsid w:val="0080236E"/>
    <w:rsid w:val="008050D8"/>
    <w:rsid w:val="0080521F"/>
    <w:rsid w:val="008077FA"/>
    <w:rsid w:val="00810E11"/>
    <w:rsid w:val="00812721"/>
    <w:rsid w:val="00814E2C"/>
    <w:rsid w:val="00822976"/>
    <w:rsid w:val="00825F48"/>
    <w:rsid w:val="00826B34"/>
    <w:rsid w:val="00826BBC"/>
    <w:rsid w:val="00830233"/>
    <w:rsid w:val="008334B2"/>
    <w:rsid w:val="00835C91"/>
    <w:rsid w:val="00843AA8"/>
    <w:rsid w:val="00845E75"/>
    <w:rsid w:val="00850E91"/>
    <w:rsid w:val="008527CB"/>
    <w:rsid w:val="00854744"/>
    <w:rsid w:val="00854BCA"/>
    <w:rsid w:val="008560F2"/>
    <w:rsid w:val="00856679"/>
    <w:rsid w:val="00861665"/>
    <w:rsid w:val="00864EA1"/>
    <w:rsid w:val="00865752"/>
    <w:rsid w:val="00865FB1"/>
    <w:rsid w:val="0087120C"/>
    <w:rsid w:val="00872233"/>
    <w:rsid w:val="00872BC1"/>
    <w:rsid w:val="00874960"/>
    <w:rsid w:val="00876A4F"/>
    <w:rsid w:val="00877AED"/>
    <w:rsid w:val="00882C25"/>
    <w:rsid w:val="00884FE1"/>
    <w:rsid w:val="00893FB2"/>
    <w:rsid w:val="008959AB"/>
    <w:rsid w:val="00897A5F"/>
    <w:rsid w:val="008A0A17"/>
    <w:rsid w:val="008A231A"/>
    <w:rsid w:val="008A4AA4"/>
    <w:rsid w:val="008A5005"/>
    <w:rsid w:val="008A713C"/>
    <w:rsid w:val="008B0D50"/>
    <w:rsid w:val="008B2DEE"/>
    <w:rsid w:val="008B4FA3"/>
    <w:rsid w:val="008B55C0"/>
    <w:rsid w:val="008B6BB6"/>
    <w:rsid w:val="008C553E"/>
    <w:rsid w:val="008D2EAF"/>
    <w:rsid w:val="008D37FE"/>
    <w:rsid w:val="008D4AF9"/>
    <w:rsid w:val="008D680B"/>
    <w:rsid w:val="008D79E6"/>
    <w:rsid w:val="008E6647"/>
    <w:rsid w:val="008E79E5"/>
    <w:rsid w:val="008F6200"/>
    <w:rsid w:val="00902EB0"/>
    <w:rsid w:val="00926018"/>
    <w:rsid w:val="0093350E"/>
    <w:rsid w:val="009342BC"/>
    <w:rsid w:val="00935080"/>
    <w:rsid w:val="0093626C"/>
    <w:rsid w:val="00945FE4"/>
    <w:rsid w:val="00953EE8"/>
    <w:rsid w:val="00955589"/>
    <w:rsid w:val="00957E36"/>
    <w:rsid w:val="00960787"/>
    <w:rsid w:val="0096123C"/>
    <w:rsid w:val="009617FE"/>
    <w:rsid w:val="009623CF"/>
    <w:rsid w:val="009644A5"/>
    <w:rsid w:val="009751E7"/>
    <w:rsid w:val="0097790D"/>
    <w:rsid w:val="009812B5"/>
    <w:rsid w:val="00981BD6"/>
    <w:rsid w:val="009864CE"/>
    <w:rsid w:val="00986C9D"/>
    <w:rsid w:val="00995A51"/>
    <w:rsid w:val="009A4F04"/>
    <w:rsid w:val="009A6B67"/>
    <w:rsid w:val="009A7072"/>
    <w:rsid w:val="009B46AF"/>
    <w:rsid w:val="009B4E5E"/>
    <w:rsid w:val="009C2C55"/>
    <w:rsid w:val="009C3985"/>
    <w:rsid w:val="009C3B74"/>
    <w:rsid w:val="009C4437"/>
    <w:rsid w:val="009C5394"/>
    <w:rsid w:val="009C7BA8"/>
    <w:rsid w:val="009D0C5F"/>
    <w:rsid w:val="009D4BB2"/>
    <w:rsid w:val="009E01C0"/>
    <w:rsid w:val="009E2E16"/>
    <w:rsid w:val="009E353A"/>
    <w:rsid w:val="009E4350"/>
    <w:rsid w:val="009E6DE7"/>
    <w:rsid w:val="009F0A88"/>
    <w:rsid w:val="009F4A0C"/>
    <w:rsid w:val="009F77DE"/>
    <w:rsid w:val="00A013E4"/>
    <w:rsid w:val="00A02D6E"/>
    <w:rsid w:val="00A06151"/>
    <w:rsid w:val="00A11009"/>
    <w:rsid w:val="00A31C97"/>
    <w:rsid w:val="00A41A4F"/>
    <w:rsid w:val="00A45F59"/>
    <w:rsid w:val="00A467E0"/>
    <w:rsid w:val="00A47DEF"/>
    <w:rsid w:val="00A507F7"/>
    <w:rsid w:val="00A50A26"/>
    <w:rsid w:val="00A623C9"/>
    <w:rsid w:val="00A7005B"/>
    <w:rsid w:val="00A758EE"/>
    <w:rsid w:val="00A84A97"/>
    <w:rsid w:val="00A85301"/>
    <w:rsid w:val="00A90F8C"/>
    <w:rsid w:val="00A92BAA"/>
    <w:rsid w:val="00A92C1B"/>
    <w:rsid w:val="00A96C30"/>
    <w:rsid w:val="00AA0C21"/>
    <w:rsid w:val="00AA12E9"/>
    <w:rsid w:val="00AA526C"/>
    <w:rsid w:val="00AB33F1"/>
    <w:rsid w:val="00AB5995"/>
    <w:rsid w:val="00AC46A4"/>
    <w:rsid w:val="00AC7014"/>
    <w:rsid w:val="00AD0C9D"/>
    <w:rsid w:val="00AD1908"/>
    <w:rsid w:val="00AD5765"/>
    <w:rsid w:val="00AD6F13"/>
    <w:rsid w:val="00AE3308"/>
    <w:rsid w:val="00AE33AB"/>
    <w:rsid w:val="00AE36B4"/>
    <w:rsid w:val="00B02DD6"/>
    <w:rsid w:val="00B05B67"/>
    <w:rsid w:val="00B06635"/>
    <w:rsid w:val="00B10420"/>
    <w:rsid w:val="00B20713"/>
    <w:rsid w:val="00B20C2E"/>
    <w:rsid w:val="00B27B30"/>
    <w:rsid w:val="00B313A4"/>
    <w:rsid w:val="00B35C0E"/>
    <w:rsid w:val="00B36E6D"/>
    <w:rsid w:val="00B379F3"/>
    <w:rsid w:val="00B37A5A"/>
    <w:rsid w:val="00B37F9D"/>
    <w:rsid w:val="00B478C0"/>
    <w:rsid w:val="00B50611"/>
    <w:rsid w:val="00B57105"/>
    <w:rsid w:val="00B61EC7"/>
    <w:rsid w:val="00B6571A"/>
    <w:rsid w:val="00B70CAE"/>
    <w:rsid w:val="00B71A82"/>
    <w:rsid w:val="00B7686B"/>
    <w:rsid w:val="00B76E8B"/>
    <w:rsid w:val="00B8368E"/>
    <w:rsid w:val="00B87CB2"/>
    <w:rsid w:val="00B92C24"/>
    <w:rsid w:val="00B965A1"/>
    <w:rsid w:val="00B9766E"/>
    <w:rsid w:val="00BA5140"/>
    <w:rsid w:val="00BB0D13"/>
    <w:rsid w:val="00BB10CE"/>
    <w:rsid w:val="00BB1CAB"/>
    <w:rsid w:val="00BB760D"/>
    <w:rsid w:val="00BC3E62"/>
    <w:rsid w:val="00BC58C9"/>
    <w:rsid w:val="00BD21A4"/>
    <w:rsid w:val="00BD5B97"/>
    <w:rsid w:val="00BD66B2"/>
    <w:rsid w:val="00BE3584"/>
    <w:rsid w:val="00BE3B4E"/>
    <w:rsid w:val="00BE4F2B"/>
    <w:rsid w:val="00BF1CA3"/>
    <w:rsid w:val="00BF4068"/>
    <w:rsid w:val="00C1194A"/>
    <w:rsid w:val="00C1206F"/>
    <w:rsid w:val="00C229B1"/>
    <w:rsid w:val="00C23871"/>
    <w:rsid w:val="00C23FAC"/>
    <w:rsid w:val="00C253BA"/>
    <w:rsid w:val="00C27DF2"/>
    <w:rsid w:val="00C30645"/>
    <w:rsid w:val="00C30C5C"/>
    <w:rsid w:val="00C335FE"/>
    <w:rsid w:val="00C353D0"/>
    <w:rsid w:val="00C44E10"/>
    <w:rsid w:val="00C45717"/>
    <w:rsid w:val="00C52E77"/>
    <w:rsid w:val="00C62129"/>
    <w:rsid w:val="00C733FD"/>
    <w:rsid w:val="00C741C7"/>
    <w:rsid w:val="00C7798F"/>
    <w:rsid w:val="00C82767"/>
    <w:rsid w:val="00C83C2F"/>
    <w:rsid w:val="00C95F3F"/>
    <w:rsid w:val="00C96380"/>
    <w:rsid w:val="00C965E2"/>
    <w:rsid w:val="00CA1C20"/>
    <w:rsid w:val="00CA230F"/>
    <w:rsid w:val="00CA4D21"/>
    <w:rsid w:val="00CA55B0"/>
    <w:rsid w:val="00CA6AD8"/>
    <w:rsid w:val="00CB0581"/>
    <w:rsid w:val="00CB19BE"/>
    <w:rsid w:val="00CC7071"/>
    <w:rsid w:val="00CD13BD"/>
    <w:rsid w:val="00CD2EFC"/>
    <w:rsid w:val="00CD5DC3"/>
    <w:rsid w:val="00CE0EB1"/>
    <w:rsid w:val="00CE1077"/>
    <w:rsid w:val="00CE28F8"/>
    <w:rsid w:val="00CE4044"/>
    <w:rsid w:val="00CF0E57"/>
    <w:rsid w:val="00CF4423"/>
    <w:rsid w:val="00CF5DA5"/>
    <w:rsid w:val="00D037A0"/>
    <w:rsid w:val="00D03BFA"/>
    <w:rsid w:val="00D066E0"/>
    <w:rsid w:val="00D11A59"/>
    <w:rsid w:val="00D1412A"/>
    <w:rsid w:val="00D22308"/>
    <w:rsid w:val="00D32461"/>
    <w:rsid w:val="00D363EB"/>
    <w:rsid w:val="00D44A18"/>
    <w:rsid w:val="00D500E4"/>
    <w:rsid w:val="00D50806"/>
    <w:rsid w:val="00D5337E"/>
    <w:rsid w:val="00D55270"/>
    <w:rsid w:val="00D61FE1"/>
    <w:rsid w:val="00D64BCD"/>
    <w:rsid w:val="00D66ADC"/>
    <w:rsid w:val="00D73823"/>
    <w:rsid w:val="00D74AD9"/>
    <w:rsid w:val="00D775B0"/>
    <w:rsid w:val="00D80B47"/>
    <w:rsid w:val="00D81AEC"/>
    <w:rsid w:val="00D8284E"/>
    <w:rsid w:val="00D836A0"/>
    <w:rsid w:val="00D8427A"/>
    <w:rsid w:val="00D90263"/>
    <w:rsid w:val="00D90D0D"/>
    <w:rsid w:val="00D93F6E"/>
    <w:rsid w:val="00D94F6D"/>
    <w:rsid w:val="00D95608"/>
    <w:rsid w:val="00D96AD8"/>
    <w:rsid w:val="00D97EE0"/>
    <w:rsid w:val="00DB3C4F"/>
    <w:rsid w:val="00DB5A49"/>
    <w:rsid w:val="00DB647C"/>
    <w:rsid w:val="00DD2F2E"/>
    <w:rsid w:val="00DD611F"/>
    <w:rsid w:val="00DE5C16"/>
    <w:rsid w:val="00DF1D9B"/>
    <w:rsid w:val="00DF228A"/>
    <w:rsid w:val="00DF500B"/>
    <w:rsid w:val="00DF5492"/>
    <w:rsid w:val="00DF62EC"/>
    <w:rsid w:val="00E03127"/>
    <w:rsid w:val="00E0381F"/>
    <w:rsid w:val="00E1212A"/>
    <w:rsid w:val="00E321CB"/>
    <w:rsid w:val="00E355F9"/>
    <w:rsid w:val="00E4088E"/>
    <w:rsid w:val="00E413DA"/>
    <w:rsid w:val="00E44C4A"/>
    <w:rsid w:val="00E467EA"/>
    <w:rsid w:val="00E529BA"/>
    <w:rsid w:val="00E52A73"/>
    <w:rsid w:val="00E52D49"/>
    <w:rsid w:val="00E545D5"/>
    <w:rsid w:val="00E550E9"/>
    <w:rsid w:val="00E62314"/>
    <w:rsid w:val="00E651E6"/>
    <w:rsid w:val="00E75973"/>
    <w:rsid w:val="00E779A3"/>
    <w:rsid w:val="00E80EFB"/>
    <w:rsid w:val="00E8109E"/>
    <w:rsid w:val="00E84948"/>
    <w:rsid w:val="00E938D5"/>
    <w:rsid w:val="00E93EBC"/>
    <w:rsid w:val="00E962F1"/>
    <w:rsid w:val="00EA4475"/>
    <w:rsid w:val="00EA45EB"/>
    <w:rsid w:val="00EA5B4B"/>
    <w:rsid w:val="00EA727F"/>
    <w:rsid w:val="00EB19BE"/>
    <w:rsid w:val="00EB60DF"/>
    <w:rsid w:val="00EC2F77"/>
    <w:rsid w:val="00EC3BBC"/>
    <w:rsid w:val="00EC6E3B"/>
    <w:rsid w:val="00EC79F8"/>
    <w:rsid w:val="00EC7CB0"/>
    <w:rsid w:val="00EC7F5D"/>
    <w:rsid w:val="00ED3638"/>
    <w:rsid w:val="00ED4DF8"/>
    <w:rsid w:val="00ED5250"/>
    <w:rsid w:val="00ED57B6"/>
    <w:rsid w:val="00ED75E9"/>
    <w:rsid w:val="00EE3C30"/>
    <w:rsid w:val="00EE5244"/>
    <w:rsid w:val="00EF558B"/>
    <w:rsid w:val="00EF60B2"/>
    <w:rsid w:val="00EF7562"/>
    <w:rsid w:val="00EF7984"/>
    <w:rsid w:val="00F05B1B"/>
    <w:rsid w:val="00F07706"/>
    <w:rsid w:val="00F121F3"/>
    <w:rsid w:val="00F16967"/>
    <w:rsid w:val="00F253D6"/>
    <w:rsid w:val="00F26CD1"/>
    <w:rsid w:val="00F3011A"/>
    <w:rsid w:val="00F3230A"/>
    <w:rsid w:val="00F45109"/>
    <w:rsid w:val="00F47105"/>
    <w:rsid w:val="00F5036B"/>
    <w:rsid w:val="00F50E01"/>
    <w:rsid w:val="00F510C8"/>
    <w:rsid w:val="00F5218E"/>
    <w:rsid w:val="00F52662"/>
    <w:rsid w:val="00F52BED"/>
    <w:rsid w:val="00F56035"/>
    <w:rsid w:val="00F609DD"/>
    <w:rsid w:val="00F6309F"/>
    <w:rsid w:val="00F638F3"/>
    <w:rsid w:val="00F63C09"/>
    <w:rsid w:val="00F65544"/>
    <w:rsid w:val="00F67D33"/>
    <w:rsid w:val="00F76A07"/>
    <w:rsid w:val="00F77003"/>
    <w:rsid w:val="00F7715E"/>
    <w:rsid w:val="00F80B0D"/>
    <w:rsid w:val="00F81A91"/>
    <w:rsid w:val="00F835FD"/>
    <w:rsid w:val="00F83F81"/>
    <w:rsid w:val="00F842CC"/>
    <w:rsid w:val="00F84A13"/>
    <w:rsid w:val="00F85AEA"/>
    <w:rsid w:val="00F90F52"/>
    <w:rsid w:val="00F918F7"/>
    <w:rsid w:val="00F9401C"/>
    <w:rsid w:val="00F9496E"/>
    <w:rsid w:val="00F94E94"/>
    <w:rsid w:val="00F94EE0"/>
    <w:rsid w:val="00F96CB4"/>
    <w:rsid w:val="00F97884"/>
    <w:rsid w:val="00F978E4"/>
    <w:rsid w:val="00FA2DA2"/>
    <w:rsid w:val="00FA44BE"/>
    <w:rsid w:val="00FA459D"/>
    <w:rsid w:val="00FA791B"/>
    <w:rsid w:val="00FB08BC"/>
    <w:rsid w:val="00FB4607"/>
    <w:rsid w:val="00FC1332"/>
    <w:rsid w:val="00FC469B"/>
    <w:rsid w:val="00FC5A9E"/>
    <w:rsid w:val="00FD42CF"/>
    <w:rsid w:val="00FE1B0B"/>
    <w:rsid w:val="00FE1DE6"/>
    <w:rsid w:val="00FE3E89"/>
    <w:rsid w:val="00FE4BF8"/>
    <w:rsid w:val="00FE6C0D"/>
    <w:rsid w:val="00FF1A47"/>
    <w:rsid w:val="00FF4D37"/>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77625"/>
  <w15:chartTrackingRefBased/>
  <w15:docId w15:val="{E50C2C43-AD9A-4C75-A6A6-E0B09EC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outlineLvl w:val="0"/>
    </w:pPr>
    <w:rPr>
      <w:b/>
    </w:rPr>
  </w:style>
  <w:style w:type="paragraph" w:styleId="Heading2">
    <w:name w:val="heading 2"/>
    <w:basedOn w:val="Normal"/>
    <w:next w:val="Normal"/>
    <w:qFormat/>
    <w:pPr>
      <w:keepNext/>
      <w:tabs>
        <w:tab w:val="left" w:pos="-720"/>
      </w:tabs>
      <w:suppressAutoHyphens/>
      <w:jc w:val="center"/>
      <w:outlineLvl w:val="1"/>
    </w:pPr>
    <w:rPr>
      <w:b/>
    </w:rPr>
  </w:style>
  <w:style w:type="paragraph" w:styleId="Heading3">
    <w:name w:val="heading 3"/>
    <w:basedOn w:val="Normal"/>
    <w:next w:val="Normal"/>
    <w:qFormat/>
    <w:pPr>
      <w:keepNext/>
      <w:tabs>
        <w:tab w:val="left" w:pos="-720"/>
      </w:tabs>
      <w:suppressAutoHyphens/>
      <w:jc w:val="center"/>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Quick1">
    <w:name w:val="Quick 1."/>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rFonts w:ascii="Times New Roman" w:hAnsi="Times New Roman"/>
      <w:sz w:val="24"/>
    </w:rPr>
  </w:style>
  <w:style w:type="paragraph" w:styleId="BodyText2">
    <w:name w:val="Body Text 2"/>
    <w:basedOn w:val="Normal"/>
    <w:pPr>
      <w:tabs>
        <w:tab w:val="left" w:pos="-1080"/>
        <w:tab w:val="left" w:pos="-720"/>
        <w:tab w:val="left" w:pos="0"/>
        <w:tab w:val="left" w:pos="720"/>
        <w:tab w:val="left" w:pos="1260"/>
        <w:tab w:val="left" w:pos="2160"/>
      </w:tabs>
      <w:suppressAutoHyphens/>
    </w:pPr>
    <w:rPr>
      <w:rFonts w:ascii="Times New Roman" w:hAnsi="Times New Roman"/>
      <w:b/>
      <w:sz w:val="24"/>
    </w:rPr>
  </w:style>
  <w:style w:type="paragraph" w:styleId="BodyText3">
    <w:name w:val="Body Text 3"/>
    <w:basedOn w:val="Normal"/>
    <w:pPr>
      <w:tabs>
        <w:tab w:val="left" w:pos="-1080"/>
        <w:tab w:val="left" w:pos="-720"/>
        <w:tab w:val="left" w:pos="0"/>
        <w:tab w:val="left" w:pos="720"/>
        <w:tab w:val="left" w:pos="1260"/>
        <w:tab w:val="left" w:pos="2160"/>
      </w:tabs>
      <w:suppressAutoHyphens/>
    </w:pPr>
    <w:rPr>
      <w:rFonts w:ascii="Times New Roman" w:hAnsi="Times New Roman"/>
      <w:sz w:val="22"/>
    </w:rPr>
  </w:style>
  <w:style w:type="paragraph" w:styleId="Header">
    <w:name w:val="header"/>
    <w:basedOn w:val="Normal"/>
    <w:rsid w:val="0068726B"/>
    <w:pPr>
      <w:tabs>
        <w:tab w:val="center" w:pos="4320"/>
        <w:tab w:val="right" w:pos="8640"/>
      </w:tabs>
    </w:pPr>
  </w:style>
  <w:style w:type="paragraph" w:styleId="BalloonText">
    <w:name w:val="Balloon Text"/>
    <w:basedOn w:val="Normal"/>
    <w:semiHidden/>
    <w:rsid w:val="00CA1C20"/>
    <w:rPr>
      <w:rFonts w:ascii="Tahoma" w:hAnsi="Tahoma" w:cs="Tahoma"/>
      <w:sz w:val="16"/>
      <w:szCs w:val="16"/>
    </w:rPr>
  </w:style>
  <w:style w:type="paragraph" w:customStyle="1" w:styleId="Default">
    <w:name w:val="Default"/>
    <w:rsid w:val="003E4AE2"/>
    <w:pPr>
      <w:autoSpaceDE w:val="0"/>
      <w:autoSpaceDN w:val="0"/>
      <w:adjustRightInd w:val="0"/>
    </w:pPr>
    <w:rPr>
      <w:color w:val="000000"/>
      <w:sz w:val="24"/>
      <w:szCs w:val="24"/>
    </w:rPr>
  </w:style>
  <w:style w:type="paragraph" w:customStyle="1" w:styleId="ParaNum">
    <w:name w:val="ParaNum"/>
    <w:basedOn w:val="Normal"/>
    <w:link w:val="ParaNumChar"/>
    <w:rsid w:val="0008615A"/>
    <w:pPr>
      <w:numPr>
        <w:numId w:val="12"/>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rsid w:val="0008615A"/>
    <w:rPr>
      <w:snapToGrid w:val="0"/>
      <w:kern w:val="28"/>
      <w:sz w:val="22"/>
    </w:rPr>
  </w:style>
  <w:style w:type="character" w:styleId="CommentReference">
    <w:name w:val="annotation reference"/>
    <w:rsid w:val="001752A1"/>
    <w:rPr>
      <w:sz w:val="16"/>
      <w:szCs w:val="16"/>
    </w:rPr>
  </w:style>
  <w:style w:type="paragraph" w:styleId="CommentText">
    <w:name w:val="annotation text"/>
    <w:basedOn w:val="Normal"/>
    <w:link w:val="CommentTextChar"/>
    <w:rsid w:val="001752A1"/>
  </w:style>
  <w:style w:type="character" w:customStyle="1" w:styleId="CommentTextChar">
    <w:name w:val="Comment Text Char"/>
    <w:link w:val="CommentText"/>
    <w:rsid w:val="001752A1"/>
    <w:rPr>
      <w:rFonts w:ascii="Courier New" w:hAnsi="Courier New"/>
      <w:snapToGrid w:val="0"/>
    </w:rPr>
  </w:style>
  <w:style w:type="paragraph" w:styleId="CommentSubject">
    <w:name w:val="annotation subject"/>
    <w:basedOn w:val="CommentText"/>
    <w:next w:val="CommentText"/>
    <w:link w:val="CommentSubjectChar"/>
    <w:rsid w:val="001752A1"/>
    <w:rPr>
      <w:b/>
      <w:bCs/>
    </w:rPr>
  </w:style>
  <w:style w:type="character" w:customStyle="1" w:styleId="CommentSubjectChar">
    <w:name w:val="Comment Subject Char"/>
    <w:link w:val="CommentSubject"/>
    <w:rsid w:val="001752A1"/>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06999">
      <w:bodyDiv w:val="1"/>
      <w:marLeft w:val="0"/>
      <w:marRight w:val="0"/>
      <w:marTop w:val="0"/>
      <w:marBottom w:val="0"/>
      <w:divBdr>
        <w:top w:val="none" w:sz="0" w:space="0" w:color="auto"/>
        <w:left w:val="none" w:sz="0" w:space="0" w:color="auto"/>
        <w:bottom w:val="none" w:sz="0" w:space="0" w:color="auto"/>
        <w:right w:val="none" w:sz="0" w:space="0" w:color="auto"/>
      </w:divBdr>
    </w:div>
    <w:div w:id="20707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B9E8-89A2-4901-83AC-B525DB9D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8257</Words>
  <Characters>47068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3060-0004</vt:lpstr>
    </vt:vector>
  </TitlesOfParts>
  <Company>FCC</Company>
  <LinksUpToDate>false</LinksUpToDate>
  <CharactersWithSpaces>55215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3060-0004</dc:title>
  <dc:subject/>
  <dc:creator>Robert F. Cleveland, Jr.;Siobahh Philemon</dc:creator>
  <cp:keywords/>
  <cp:lastModifiedBy>Nicole Ongele</cp:lastModifiedBy>
  <cp:revision>2</cp:revision>
  <cp:lastPrinted>2014-04-01T13:24:00Z</cp:lastPrinted>
  <dcterms:created xsi:type="dcterms:W3CDTF">2020-12-02T23:32:00Z</dcterms:created>
  <dcterms:modified xsi:type="dcterms:W3CDTF">2020-12-02T23:32:00Z</dcterms:modified>
</cp:coreProperties>
</file>