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84A37" w:rsidR="00075A03" w:rsidRDefault="00075A03">
      <w:pPr>
        <w:jc w:val="center"/>
        <w:rPr>
          <w:rFonts w:ascii="Times New Roman" w:hAnsi="Times New Roman"/>
          <w:b/>
          <w:bCs/>
          <w:szCs w:val="24"/>
        </w:rPr>
      </w:pPr>
      <w:r w:rsidRPr="00B84A37">
        <w:rPr>
          <w:rFonts w:ascii="Times New Roman" w:hAnsi="Times New Roman"/>
          <w:b/>
          <w:bCs/>
          <w:szCs w:val="24"/>
        </w:rPr>
        <w:t>Supporting Statement</w:t>
      </w:r>
    </w:p>
    <w:p w:rsidRPr="00B84A37" w:rsidR="00075A03" w:rsidRDefault="00075A03">
      <w:pPr>
        <w:jc w:val="center"/>
        <w:outlineLvl w:val="0"/>
        <w:rPr>
          <w:rFonts w:ascii="Times New Roman" w:hAnsi="Times New Roman"/>
          <w:b/>
          <w:bCs/>
          <w:szCs w:val="24"/>
        </w:rPr>
      </w:pPr>
      <w:r w:rsidRPr="00B84A37">
        <w:rPr>
          <w:rFonts w:ascii="Times New Roman" w:hAnsi="Times New Roman"/>
          <w:b/>
          <w:bCs/>
          <w:szCs w:val="24"/>
        </w:rPr>
        <w:t>Retail Foreign Exchange Transactions</w:t>
      </w:r>
    </w:p>
    <w:p w:rsidRPr="00B84A37" w:rsidR="00075A03" w:rsidRDefault="00392C63">
      <w:pPr>
        <w:jc w:val="center"/>
        <w:outlineLvl w:val="0"/>
        <w:rPr>
          <w:rFonts w:ascii="Times New Roman" w:hAnsi="Times New Roman"/>
          <w:b/>
          <w:bCs/>
          <w:szCs w:val="24"/>
        </w:rPr>
      </w:pPr>
      <w:r w:rsidRPr="00B84A37">
        <w:rPr>
          <w:rFonts w:ascii="Times New Roman" w:hAnsi="Times New Roman"/>
          <w:b/>
          <w:bCs/>
          <w:szCs w:val="24"/>
        </w:rPr>
        <w:t>(</w:t>
      </w:r>
      <w:r w:rsidRPr="00B84A37" w:rsidR="00075A03">
        <w:rPr>
          <w:rFonts w:ascii="Times New Roman" w:hAnsi="Times New Roman"/>
          <w:b/>
          <w:bCs/>
          <w:szCs w:val="24"/>
        </w:rPr>
        <w:t>OMB Control No. 3064-</w:t>
      </w:r>
      <w:r w:rsidRPr="00B84A37" w:rsidR="00DF4B44">
        <w:rPr>
          <w:rFonts w:ascii="Times New Roman" w:hAnsi="Times New Roman"/>
          <w:b/>
          <w:bCs/>
          <w:szCs w:val="24"/>
        </w:rPr>
        <w:t>0182</w:t>
      </w:r>
      <w:r w:rsidRPr="00B84A37">
        <w:rPr>
          <w:rFonts w:ascii="Times New Roman" w:hAnsi="Times New Roman"/>
          <w:b/>
          <w:bCs/>
          <w:szCs w:val="24"/>
        </w:rPr>
        <w:t>)</w:t>
      </w:r>
    </w:p>
    <w:p w:rsidRPr="00B84A37" w:rsidR="00075A03" w:rsidRDefault="00075A03">
      <w:pPr>
        <w:jc w:val="center"/>
        <w:outlineLvl w:val="0"/>
        <w:rPr>
          <w:rFonts w:ascii="Times New Roman" w:hAnsi="Times New Roman"/>
          <w:b/>
          <w:bCs/>
          <w:szCs w:val="24"/>
        </w:rPr>
      </w:pPr>
    </w:p>
    <w:p w:rsidR="00075A03" w:rsidRDefault="00075A03">
      <w:pPr>
        <w:rPr>
          <w:rFonts w:ascii="Times New Roman" w:hAnsi="Times New Roman"/>
          <w:szCs w:val="24"/>
        </w:rPr>
      </w:pPr>
    </w:p>
    <w:p w:rsidR="00075A03" w:rsidRDefault="00392C63">
      <w:pPr>
        <w:tabs>
          <w:tab w:val="left" w:pos="-1440"/>
        </w:tabs>
        <w:ind w:left="720" w:hanging="720"/>
        <w:outlineLvl w:val="0"/>
        <w:rPr>
          <w:rFonts w:ascii="Times New Roman" w:hAnsi="Times New Roman"/>
          <w:szCs w:val="24"/>
          <w:u w:val="single"/>
        </w:rPr>
      </w:pPr>
      <w:r>
        <w:rPr>
          <w:rFonts w:ascii="Times New Roman" w:hAnsi="Times New Roman"/>
          <w:szCs w:val="24"/>
          <w:u w:val="single"/>
        </w:rPr>
        <w:t>INTRODUCTION</w:t>
      </w:r>
    </w:p>
    <w:p w:rsidR="00075A03" w:rsidRDefault="00075A03">
      <w:pPr>
        <w:tabs>
          <w:tab w:val="left" w:pos="-1440"/>
        </w:tabs>
        <w:ind w:left="720" w:hanging="720"/>
        <w:outlineLvl w:val="0"/>
        <w:rPr>
          <w:rFonts w:ascii="Times New Roman" w:hAnsi="Times New Roman"/>
          <w:szCs w:val="24"/>
          <w:u w:val="single"/>
        </w:rPr>
      </w:pPr>
    </w:p>
    <w:p w:rsidR="00075A03" w:rsidRDefault="00075A03">
      <w:pPr>
        <w:tabs>
          <w:tab w:val="left" w:pos="-1440"/>
        </w:tabs>
        <w:outlineLvl w:val="0"/>
        <w:rPr>
          <w:rFonts w:ascii="Times New Roman" w:hAnsi="Times New Roman"/>
          <w:szCs w:val="24"/>
        </w:rPr>
      </w:pPr>
      <w:r>
        <w:rPr>
          <w:rFonts w:ascii="Times New Roman" w:hAnsi="Times New Roman"/>
          <w:szCs w:val="24"/>
        </w:rPr>
        <w:t xml:space="preserve">The FDIC is requesting OMB approval of a </w:t>
      </w:r>
      <w:r w:rsidR="00C01538">
        <w:rPr>
          <w:rFonts w:ascii="Times New Roman" w:hAnsi="Times New Roman"/>
          <w:szCs w:val="24"/>
        </w:rPr>
        <w:t>request to extend, with revisions</w:t>
      </w:r>
      <w:r w:rsidR="006849FE">
        <w:rPr>
          <w:rFonts w:ascii="Times New Roman" w:hAnsi="Times New Roman"/>
          <w:szCs w:val="24"/>
        </w:rPr>
        <w:t>,</w:t>
      </w:r>
      <w:r w:rsidR="00E91C26">
        <w:rPr>
          <w:rFonts w:ascii="Times New Roman" w:hAnsi="Times New Roman"/>
          <w:szCs w:val="24"/>
        </w:rPr>
        <w:t xml:space="preserve"> an existing </w:t>
      </w:r>
      <w:r>
        <w:rPr>
          <w:rFonts w:ascii="Times New Roman" w:hAnsi="Times New Roman"/>
          <w:szCs w:val="24"/>
        </w:rPr>
        <w:t xml:space="preserve">information collection.  The collection of information is comprised of reporting, recordkeeping and disclosure requirements included in a rulemaking on Retail Foreign Exchange Transactions issued by the FDIC as required by section 742(c)(2) of the Dodd-Frank Wall Street Reform and Consumer Protection Act of 2010 </w:t>
      </w:r>
      <w:r>
        <w:rPr>
          <w:rFonts w:ascii="Times New Roman" w:hAnsi="Times New Roman"/>
        </w:rPr>
        <w:t>(Dodd-Frank Act)</w:t>
      </w:r>
      <w:r w:rsidR="006849FE">
        <w:rPr>
          <w:rFonts w:ascii="Times New Roman" w:hAnsi="Times New Roman"/>
        </w:rPr>
        <w:t>.</w:t>
      </w:r>
      <w:r>
        <w:rPr>
          <w:rStyle w:val="FootnoteReference"/>
          <w:rFonts w:ascii="Times New Roman" w:hAnsi="Times New Roman"/>
          <w:vertAlign w:val="superscript"/>
        </w:rPr>
        <w:footnoteReference w:id="1"/>
      </w:r>
      <w:r w:rsidR="006849FE">
        <w:rPr>
          <w:rFonts w:ascii="Times New Roman" w:hAnsi="Times New Roman"/>
        </w:rPr>
        <w:t xml:space="preserve">  The information collection expires on </w:t>
      </w:r>
      <w:r w:rsidR="00D86601">
        <w:rPr>
          <w:rFonts w:ascii="Times New Roman" w:hAnsi="Times New Roman"/>
        </w:rPr>
        <w:t>November 30, 2020</w:t>
      </w:r>
      <w:r w:rsidR="006849FE">
        <w:rPr>
          <w:rFonts w:ascii="Times New Roman" w:hAnsi="Times New Roman"/>
        </w:rPr>
        <w:t>.</w:t>
      </w:r>
    </w:p>
    <w:p w:rsidR="00075A03" w:rsidRDefault="00075A03">
      <w:pPr>
        <w:tabs>
          <w:tab w:val="left" w:pos="-1440"/>
        </w:tabs>
        <w:ind w:left="720" w:hanging="720"/>
        <w:outlineLvl w:val="0"/>
        <w:rPr>
          <w:rFonts w:ascii="Times New Roman" w:hAnsi="Times New Roman"/>
          <w:szCs w:val="24"/>
          <w:u w:val="single"/>
        </w:rPr>
      </w:pPr>
    </w:p>
    <w:p w:rsidR="00075A03" w:rsidRDefault="00075A03">
      <w:pPr>
        <w:tabs>
          <w:tab w:val="left" w:pos="-1440"/>
        </w:tabs>
        <w:ind w:left="720" w:hanging="720"/>
        <w:outlineLvl w:val="0"/>
        <w:rPr>
          <w:rFonts w:ascii="Times New Roman" w:hAnsi="Times New Roman"/>
          <w:szCs w:val="24"/>
        </w:rPr>
      </w:pPr>
      <w:r>
        <w:rPr>
          <w:rFonts w:ascii="Times New Roman" w:hAnsi="Times New Roman"/>
          <w:szCs w:val="24"/>
        </w:rPr>
        <w:t xml:space="preserve">A. </w:t>
      </w:r>
      <w:r w:rsidRPr="009F42A9" w:rsidR="009F42A9">
        <w:rPr>
          <w:rFonts w:ascii="Times New Roman" w:hAnsi="Times New Roman"/>
          <w:szCs w:val="24"/>
          <w:u w:val="single"/>
        </w:rPr>
        <w:t>JUSTIFICATION</w:t>
      </w:r>
    </w:p>
    <w:p w:rsidR="00075A03" w:rsidRDefault="00075A03">
      <w:pPr>
        <w:rPr>
          <w:rFonts w:ascii="Times New Roman" w:hAnsi="Times New Roman"/>
          <w:szCs w:val="24"/>
        </w:rPr>
      </w:pPr>
    </w:p>
    <w:p w:rsidRPr="000A3CAE" w:rsidR="000A3CAE" w:rsidP="000A3CAE" w:rsidRDefault="00075A03">
      <w:pPr>
        <w:rPr>
          <w:rFonts w:ascii="Times New Roman" w:hAnsi="Times New Roman"/>
          <w:snapToGrid/>
        </w:rPr>
      </w:pPr>
      <w:r>
        <w:rPr>
          <w:rFonts w:ascii="Times New Roman" w:hAnsi="Times New Roman"/>
          <w:szCs w:val="24"/>
        </w:rPr>
        <w:t xml:space="preserve">1. </w:t>
      </w:r>
      <w:r w:rsidRPr="000A3CAE" w:rsidR="000A3CAE">
        <w:rPr>
          <w:rFonts w:ascii="Times New Roman" w:hAnsi="Times New Roman"/>
          <w:snapToGrid/>
          <w:u w:val="single"/>
        </w:rPr>
        <w:t xml:space="preserve">Circumstances </w:t>
      </w:r>
      <w:r w:rsidR="00B84A37">
        <w:rPr>
          <w:rFonts w:ascii="Times New Roman" w:hAnsi="Times New Roman"/>
          <w:snapToGrid/>
          <w:u w:val="single"/>
        </w:rPr>
        <w:t>and Need</w:t>
      </w:r>
    </w:p>
    <w:p w:rsidR="00075A03" w:rsidRDefault="00075A03">
      <w:pPr>
        <w:ind w:firstLine="720"/>
        <w:rPr>
          <w:rFonts w:ascii="Times New Roman" w:hAnsi="Times New Roman"/>
          <w:szCs w:val="24"/>
        </w:rPr>
      </w:pPr>
    </w:p>
    <w:p w:rsidR="00075A03" w:rsidRDefault="00075A03">
      <w:pPr>
        <w:ind w:firstLine="720"/>
        <w:rPr>
          <w:rFonts w:ascii="Times New Roman" w:hAnsi="Times New Roman"/>
        </w:rPr>
      </w:pPr>
      <w:proofErr w:type="gramStart"/>
      <w:r>
        <w:rPr>
          <w:rFonts w:ascii="Times New Roman" w:hAnsi="Times New Roman"/>
        </w:rPr>
        <w:t>Section 742(c)(2) of the Dodd-Frank Act amended the Commodity Exchange Act (CEA) to provides that a U.S. financial institution for which there is a Federal regulatory agency shall not enter into, or offer to enter into, a transaction described in section 2(c)(2)(B)(i)(I) of the CEA with a retail customer except pursuant to a rule or regulation of a Federal regulatory agency allowing the transaction under such terms and conditions as the Federal regulatory agency shall prescribe</w:t>
      </w:r>
      <w:r>
        <w:rPr>
          <w:rStyle w:val="FootnoteReference"/>
          <w:rFonts w:ascii="Times New Roman" w:hAnsi="Times New Roman"/>
          <w:vertAlign w:val="superscript"/>
        </w:rPr>
        <w:footnoteReference w:id="2"/>
      </w:r>
      <w:r>
        <w:rPr>
          <w:rFonts w:ascii="Times New Roman" w:hAnsi="Times New Roman"/>
          <w:vertAlign w:val="superscript"/>
        </w:rPr>
        <w:t xml:space="preserve"> </w:t>
      </w:r>
      <w:r>
        <w:rPr>
          <w:rFonts w:ascii="Times New Roman" w:hAnsi="Times New Roman"/>
        </w:rPr>
        <w:t>(retail forex rule).</w:t>
      </w:r>
      <w:proofErr w:type="gramEnd"/>
      <w:r>
        <w:rPr>
          <w:rFonts w:ascii="Times New Roman" w:hAnsi="Times New Roman"/>
        </w:rPr>
        <w:t xml:space="preserve">  </w:t>
      </w:r>
    </w:p>
    <w:p w:rsidR="00075A03" w:rsidRDefault="00075A03">
      <w:pPr>
        <w:ind w:firstLine="720"/>
        <w:rPr>
          <w:rFonts w:ascii="Times New Roman" w:hAnsi="Times New Roman"/>
        </w:rPr>
      </w:pPr>
    </w:p>
    <w:p w:rsidR="00075A03" w:rsidRDefault="00075A03">
      <w:pPr>
        <w:ind w:firstLine="720"/>
        <w:rPr>
          <w:rFonts w:ascii="Times New Roman" w:hAnsi="Times New Roman"/>
        </w:rPr>
      </w:pPr>
      <w:r>
        <w:rPr>
          <w:rFonts w:ascii="Times New Roman" w:hAnsi="Times New Roman"/>
        </w:rPr>
        <w:t>Section 2(c)(2)(B)(i)(I) of the CEA</w:t>
      </w:r>
      <w:r>
        <w:rPr>
          <w:rStyle w:val="FootnoteReference"/>
          <w:rFonts w:ascii="Times New Roman" w:hAnsi="Times New Roman"/>
          <w:vertAlign w:val="superscript"/>
        </w:rPr>
        <w:footnoteReference w:id="3"/>
      </w:r>
      <w:r>
        <w:rPr>
          <w:rFonts w:ascii="Times New Roman" w:hAnsi="Times New Roman"/>
          <w:vertAlign w:val="superscript"/>
        </w:rPr>
        <w:t xml:space="preserve"> </w:t>
      </w:r>
      <w:r>
        <w:rPr>
          <w:rFonts w:ascii="Times New Roman" w:hAnsi="Times New Roman"/>
        </w:rPr>
        <w:t xml:space="preserve"> includes “an agreement, contract, or transaction in foreign currency that . . . is a contract of sale of a commodity for future delivery (or an option on such a contract) or an option (other than an option executed or traded on a national securities exchange registered pursuant to section 6(a) of the Securities Exchange Act of 1934.”</w:t>
      </w:r>
      <w:r>
        <w:rPr>
          <w:rStyle w:val="FootnoteReference"/>
          <w:rFonts w:ascii="Times New Roman" w:hAnsi="Times New Roman"/>
          <w:vertAlign w:val="superscript"/>
        </w:rPr>
        <w:footnoteReference w:id="4"/>
      </w:r>
      <w:r>
        <w:rPr>
          <w:rFonts w:ascii="Times New Roman" w:hAnsi="Times New Roman"/>
        </w:rPr>
        <w:t xml:space="preserve"> </w:t>
      </w:r>
    </w:p>
    <w:p w:rsidR="00075A03" w:rsidRDefault="00075A03">
      <w:pPr>
        <w:ind w:firstLine="720"/>
        <w:rPr>
          <w:rFonts w:ascii="Times New Roman" w:hAnsi="Times New Roman"/>
        </w:rPr>
      </w:pPr>
    </w:p>
    <w:p w:rsidR="00075A03" w:rsidRDefault="00075A03">
      <w:pPr>
        <w:pStyle w:val="FootnoteText"/>
        <w:ind w:firstLine="720"/>
        <w:rPr>
          <w:rFonts w:ascii="Times New Roman" w:hAnsi="Times New Roman"/>
          <w:sz w:val="24"/>
        </w:rPr>
      </w:pPr>
      <w:r>
        <w:rPr>
          <w:rFonts w:ascii="Times New Roman" w:hAnsi="Times New Roman"/>
          <w:sz w:val="24"/>
        </w:rPr>
        <w:t>Under the CEA, the FDIC is the “Federal regulatory agency” for entities for which it is the “appropriate Federal banking agency” under section 3 of the Federal Deposit Insurance Act (12 U.S.C. 1813(q)).</w:t>
      </w:r>
      <w:r>
        <w:rPr>
          <w:rStyle w:val="FootnoteReference"/>
          <w:rFonts w:ascii="Times New Roman" w:hAnsi="Times New Roman"/>
          <w:sz w:val="24"/>
        </w:rPr>
        <w:footnoteReference w:id="5"/>
      </w:r>
      <w:r>
        <w:rPr>
          <w:rFonts w:ascii="Times New Roman" w:hAnsi="Times New Roman"/>
          <w:sz w:val="24"/>
        </w:rPr>
        <w:t xml:space="preserve">  (such an entity is referred to here as an “FDIC-supervised IDI.”) </w:t>
      </w:r>
      <w:r>
        <w:rPr>
          <w:rFonts w:ascii="Times New Roman" w:hAnsi="Times New Roman"/>
          <w:sz w:val="24"/>
          <w:szCs w:val="24"/>
        </w:rPr>
        <w:t>The FDIC’s retail forex rule must treat all such futures and options and all agreements, contracts, or transactions that are functionally or economically similar to such futures and options in a similar manner.</w:t>
      </w:r>
      <w:r>
        <w:rPr>
          <w:rStyle w:val="FootnoteReference"/>
          <w:rFonts w:ascii="Times New Roman" w:hAnsi="Times New Roman"/>
          <w:sz w:val="24"/>
          <w:szCs w:val="24"/>
          <w:vertAlign w:val="superscript"/>
        </w:rPr>
        <w:footnoteReference w:id="6"/>
      </w:r>
      <w:r>
        <w:rPr>
          <w:rFonts w:ascii="Times New Roman" w:hAnsi="Times New Roman"/>
          <w:sz w:val="24"/>
          <w:szCs w:val="24"/>
        </w:rPr>
        <w:t xml:space="preserve">  The FDIC’s retail forex rules must also prescribe appropriate requirements with </w:t>
      </w:r>
      <w:r>
        <w:rPr>
          <w:rFonts w:ascii="Times New Roman" w:hAnsi="Times New Roman"/>
          <w:sz w:val="24"/>
          <w:szCs w:val="24"/>
        </w:rPr>
        <w:lastRenderedPageBreak/>
        <w:t>respect to disclosure, recordkeeping, capital and margin, reporting, business conduct, and documentation requirements, and may include such other standards or requirements as it determines to be necessary.</w:t>
      </w:r>
      <w:r>
        <w:rPr>
          <w:rStyle w:val="FootnoteReference"/>
          <w:rFonts w:ascii="Times New Roman" w:hAnsi="Times New Roman"/>
          <w:sz w:val="24"/>
          <w:szCs w:val="24"/>
          <w:vertAlign w:val="superscript"/>
        </w:rPr>
        <w:footnoteReference w:id="7"/>
      </w:r>
      <w:r>
        <w:rPr>
          <w:vertAlign w:val="superscript"/>
        </w:rPr>
        <w:t xml:space="preserve"> </w:t>
      </w:r>
    </w:p>
    <w:p w:rsidR="00075A03" w:rsidRDefault="00075A03">
      <w:pPr>
        <w:ind w:firstLine="720"/>
        <w:rPr>
          <w:rFonts w:ascii="Times New Roman" w:hAnsi="Times New Roman"/>
          <w:color w:val="000000"/>
          <w:szCs w:val="24"/>
        </w:rPr>
      </w:pPr>
    </w:p>
    <w:p w:rsidR="00075A03" w:rsidRDefault="00075A03">
      <w:pPr>
        <w:tabs>
          <w:tab w:val="left" w:pos="-1440"/>
        </w:tabs>
        <w:ind w:left="4320" w:hanging="4320"/>
        <w:outlineLvl w:val="0"/>
        <w:rPr>
          <w:rFonts w:ascii="Times New Roman" w:hAnsi="Times New Roman"/>
          <w:szCs w:val="24"/>
        </w:rPr>
      </w:pPr>
      <w:r>
        <w:rPr>
          <w:rFonts w:ascii="Times New Roman" w:hAnsi="Times New Roman"/>
          <w:szCs w:val="24"/>
        </w:rPr>
        <w:t xml:space="preserve">2. </w:t>
      </w:r>
      <w:r w:rsidR="009F42A9">
        <w:rPr>
          <w:rFonts w:ascii="Times New Roman" w:hAnsi="Times New Roman"/>
          <w:szCs w:val="24"/>
          <w:u w:val="single"/>
        </w:rPr>
        <w:t>Use of I</w:t>
      </w:r>
      <w:r>
        <w:rPr>
          <w:rFonts w:ascii="Times New Roman" w:hAnsi="Times New Roman"/>
          <w:szCs w:val="24"/>
          <w:u w:val="single"/>
        </w:rPr>
        <w:t>nformation</w:t>
      </w:r>
      <w:r w:rsidR="009F42A9">
        <w:rPr>
          <w:rFonts w:ascii="Times New Roman" w:hAnsi="Times New Roman"/>
          <w:szCs w:val="24"/>
          <w:u w:val="single"/>
        </w:rPr>
        <w:t xml:space="preserve"> Collected</w:t>
      </w:r>
      <w:r>
        <w:rPr>
          <w:rFonts w:ascii="Times New Roman" w:hAnsi="Times New Roman"/>
          <w:szCs w:val="24"/>
        </w:rPr>
        <w:tab/>
      </w:r>
      <w:r>
        <w:rPr>
          <w:rFonts w:ascii="Times New Roman" w:hAnsi="Times New Roman"/>
          <w:szCs w:val="24"/>
        </w:rPr>
        <w:tab/>
      </w:r>
    </w:p>
    <w:p w:rsidR="00075A03" w:rsidRDefault="00075A03">
      <w:pPr>
        <w:rPr>
          <w:rFonts w:ascii="Times New Roman" w:hAnsi="Times New Roman"/>
          <w:szCs w:val="24"/>
        </w:rPr>
      </w:pPr>
      <w:r>
        <w:rPr>
          <w:rFonts w:ascii="Times New Roman" w:hAnsi="Times New Roman"/>
          <w:szCs w:val="24"/>
        </w:rPr>
        <w:t xml:space="preserve">         </w:t>
      </w:r>
      <w:r>
        <w:rPr>
          <w:rFonts w:ascii="Times New Roman" w:hAnsi="Times New Roman"/>
          <w:szCs w:val="24"/>
        </w:rPr>
        <w:tab/>
      </w:r>
    </w:p>
    <w:p w:rsidR="00075A03" w:rsidRDefault="00075A03">
      <w:pPr>
        <w:pStyle w:val="DoubleSpace"/>
        <w:spacing w:line="240" w:lineRule="auto"/>
        <w:rPr>
          <w:rStyle w:val="documentbody1"/>
          <w:rFonts w:ascii="Times New Roman" w:hAnsi="Times New Roman"/>
          <w:sz w:val="24"/>
          <w:szCs w:val="24"/>
        </w:rPr>
      </w:pPr>
      <w:r>
        <w:rPr>
          <w:rFonts w:ascii="Times New Roman" w:hAnsi="Times New Roman"/>
        </w:rPr>
        <w:tab/>
        <w:t>The reporting requirements in § 3</w:t>
      </w:r>
      <w:r>
        <w:rPr>
          <w:rStyle w:val="documentbody1"/>
          <w:rFonts w:ascii="Times New Roman" w:hAnsi="Times New Roman"/>
          <w:sz w:val="24"/>
          <w:szCs w:val="24"/>
        </w:rPr>
        <w:t xml:space="preserve">49.4 require that, prior to initiating a retail forex business, an FDIC-supervised IDI provide the FDIC with prior notice, </w:t>
      </w:r>
      <w:r>
        <w:rPr>
          <w:rStyle w:val="Strong"/>
          <w:b w:val="0"/>
        </w:rPr>
        <w:t>obtain the FDIC’s prior written consent and submit the documents provided for in § 349.4(c)</w:t>
      </w:r>
      <w:r>
        <w:rPr>
          <w:rStyle w:val="documentbody1"/>
          <w:rFonts w:ascii="Times New Roman" w:hAnsi="Times New Roman"/>
          <w:sz w:val="24"/>
          <w:szCs w:val="24"/>
        </w:rPr>
        <w:t>.  The FDIC-supervised IDI must also provide other information required by the FDIC, such as documentation of customer due diligence.  A FDIC-supervised IDI already engaging in a retail forex business may continue to do so, provided it request</w:t>
      </w:r>
      <w:r w:rsidR="00E91C26">
        <w:rPr>
          <w:rStyle w:val="documentbody1"/>
          <w:rFonts w:ascii="Times New Roman" w:hAnsi="Times New Roman"/>
          <w:sz w:val="24"/>
          <w:szCs w:val="24"/>
        </w:rPr>
        <w:t>s</w:t>
      </w:r>
      <w:r>
        <w:rPr>
          <w:rStyle w:val="documentbody1"/>
          <w:rFonts w:ascii="Times New Roman" w:hAnsi="Times New Roman"/>
          <w:sz w:val="24"/>
          <w:szCs w:val="24"/>
        </w:rPr>
        <w:t xml:space="preserve"> the FDIC’s written consent.</w:t>
      </w:r>
    </w:p>
    <w:p w:rsidR="00075A03" w:rsidRDefault="00075A03">
      <w:pPr>
        <w:pStyle w:val="DoubleSpace"/>
        <w:spacing w:line="240" w:lineRule="auto"/>
        <w:rPr>
          <w:rStyle w:val="documentbody1"/>
          <w:rFonts w:ascii="Times New Roman" w:hAnsi="Times New Roman"/>
          <w:sz w:val="24"/>
          <w:szCs w:val="24"/>
        </w:rPr>
      </w:pPr>
    </w:p>
    <w:p w:rsidR="00075A03" w:rsidRDefault="00075A03">
      <w:pPr>
        <w:pStyle w:val="DoubleSpace"/>
        <w:spacing w:line="240" w:lineRule="auto"/>
      </w:pPr>
      <w:r>
        <w:rPr>
          <w:rStyle w:val="documentbody1"/>
          <w:rFonts w:ascii="Times New Roman" w:hAnsi="Times New Roman"/>
          <w:sz w:val="24"/>
          <w:szCs w:val="24"/>
        </w:rPr>
        <w:tab/>
        <w:t xml:space="preserve">The rule also contains a number of disclosure requirements.  </w:t>
      </w:r>
      <w:r>
        <w:t>Under § 349.5, regarding the application and closing out of offsetting long and short positions, require</w:t>
      </w:r>
      <w:r w:rsidR="00E91C26">
        <w:t>s</w:t>
      </w:r>
      <w:r>
        <w:t xml:space="preserve"> an FDIC-supervised IDI to promptly provide the customer with a statement reflecting the financial result of the transactions and the name of the introducing broker to the account.  The customer would provide specific written instructions on how the offsetting transaction should be applied.</w:t>
      </w:r>
    </w:p>
    <w:p w:rsidR="00075A03" w:rsidRDefault="00075A03">
      <w:pPr>
        <w:pStyle w:val="ListParagraph"/>
        <w:spacing w:after="0" w:line="240" w:lineRule="auto"/>
        <w:ind w:left="0" w:firstLine="720"/>
        <w:rPr>
          <w:rStyle w:val="documentbody1"/>
          <w:rFonts w:ascii="Times New Roman" w:hAnsi="Times New Roman"/>
          <w:sz w:val="24"/>
          <w:szCs w:val="24"/>
        </w:rPr>
      </w:pPr>
    </w:p>
    <w:p w:rsidR="00075A03" w:rsidRDefault="00075A03">
      <w:pPr>
        <w:pStyle w:val="ListParagraph"/>
        <w:spacing w:after="0" w:line="240" w:lineRule="auto"/>
        <w:ind w:left="0" w:firstLine="720"/>
        <w:rPr>
          <w:rFonts w:ascii="Times New Roman" w:hAnsi="Times New Roman"/>
          <w:sz w:val="24"/>
          <w:szCs w:val="24"/>
        </w:rPr>
      </w:pPr>
      <w:r>
        <w:rPr>
          <w:rFonts w:ascii="Times New Roman" w:hAnsi="Times New Roman"/>
          <w:sz w:val="24"/>
          <w:szCs w:val="24"/>
        </w:rPr>
        <w:t>Section 349.6 require</w:t>
      </w:r>
      <w:r w:rsidR="00E91C26">
        <w:rPr>
          <w:rFonts w:ascii="Times New Roman" w:hAnsi="Times New Roman"/>
          <w:sz w:val="24"/>
          <w:szCs w:val="24"/>
        </w:rPr>
        <w:t>s</w:t>
      </w:r>
      <w:r>
        <w:rPr>
          <w:rFonts w:ascii="Times New Roman" w:hAnsi="Times New Roman"/>
          <w:sz w:val="24"/>
          <w:szCs w:val="24"/>
        </w:rPr>
        <w:t xml:space="preserve"> that an FDIC-supervised IDI furnish a retail forex customer with a written disclosure before opening an account that will engage in retail forex transactions for a retail forex customer and receive an acknowledgment from the customer that it was received and understood.  It also requires the disclosure by an FDIC-supervised IDI of its fees and other charges and its profitable accounts ratio.  </w:t>
      </w:r>
    </w:p>
    <w:p w:rsidR="00075A03" w:rsidRDefault="00075A03">
      <w:pPr>
        <w:pStyle w:val="ListParagraph"/>
        <w:spacing w:after="0" w:line="240" w:lineRule="auto"/>
        <w:ind w:left="0" w:firstLine="720"/>
        <w:rPr>
          <w:rFonts w:ascii="Times New Roman" w:hAnsi="Times New Roman"/>
          <w:sz w:val="24"/>
          <w:szCs w:val="24"/>
        </w:rPr>
      </w:pPr>
    </w:p>
    <w:p w:rsidR="00075A03" w:rsidRDefault="00075A03">
      <w:pPr>
        <w:pStyle w:val="ListParagraph"/>
        <w:spacing w:after="0" w:line="240" w:lineRule="auto"/>
        <w:ind w:left="0" w:firstLine="720"/>
        <w:rPr>
          <w:rFonts w:ascii="Times New Roman" w:hAnsi="Times New Roman"/>
          <w:sz w:val="24"/>
          <w:szCs w:val="24"/>
        </w:rPr>
      </w:pPr>
      <w:r>
        <w:rPr>
          <w:rFonts w:ascii="Times New Roman" w:hAnsi="Times New Roman"/>
          <w:sz w:val="24"/>
          <w:szCs w:val="24"/>
        </w:rPr>
        <w:t>Section 349.10 require</w:t>
      </w:r>
      <w:r w:rsidR="00E91C26">
        <w:rPr>
          <w:rFonts w:ascii="Times New Roman" w:hAnsi="Times New Roman"/>
          <w:sz w:val="24"/>
          <w:szCs w:val="24"/>
        </w:rPr>
        <w:t>s</w:t>
      </w:r>
      <w:r>
        <w:rPr>
          <w:rFonts w:ascii="Times New Roman" w:hAnsi="Times New Roman"/>
          <w:sz w:val="24"/>
          <w:szCs w:val="24"/>
        </w:rPr>
        <w:t xml:space="preserve"> an FDIC-supervised IDI to issue monthly statements to each retail forex customer and to send confirmation statements following transactions. </w:t>
      </w:r>
    </w:p>
    <w:p w:rsidR="00075A03" w:rsidRDefault="00075A03">
      <w:pPr>
        <w:pStyle w:val="ListParagraph"/>
        <w:spacing w:after="0" w:line="240" w:lineRule="auto"/>
        <w:ind w:left="0" w:firstLine="720"/>
        <w:rPr>
          <w:rFonts w:ascii="Times New Roman" w:hAnsi="Times New Roman"/>
          <w:sz w:val="24"/>
          <w:szCs w:val="24"/>
        </w:rPr>
      </w:pPr>
    </w:p>
    <w:p w:rsidR="00075A03" w:rsidRDefault="00075A03">
      <w:pPr>
        <w:pStyle w:val="ListParagraph"/>
        <w:spacing w:after="0" w:line="240" w:lineRule="auto"/>
        <w:ind w:left="0" w:firstLine="720"/>
        <w:rPr>
          <w:rFonts w:ascii="Times New Roman" w:hAnsi="Times New Roman"/>
          <w:sz w:val="24"/>
          <w:szCs w:val="24"/>
        </w:rPr>
      </w:pPr>
      <w:r>
        <w:rPr>
          <w:rFonts w:ascii="Times New Roman" w:hAnsi="Times New Roman"/>
          <w:sz w:val="24"/>
          <w:szCs w:val="24"/>
        </w:rPr>
        <w:t>Section 349.13(b) allow</w:t>
      </w:r>
      <w:r w:rsidR="00E91C26">
        <w:rPr>
          <w:rFonts w:ascii="Times New Roman" w:hAnsi="Times New Roman"/>
          <w:sz w:val="24"/>
          <w:szCs w:val="24"/>
        </w:rPr>
        <w:t>s</w:t>
      </w:r>
      <w:r>
        <w:rPr>
          <w:rFonts w:ascii="Times New Roman" w:hAnsi="Times New Roman"/>
          <w:sz w:val="24"/>
          <w:szCs w:val="24"/>
        </w:rPr>
        <w:t xml:space="preserve"> disclosure by an FDIC-supervised IDI that an order of another person is being held by them only when necessary to the effective execution of the order or when the disclosure is requested by the FDIC.  Section 349.13(c) prohibit</w:t>
      </w:r>
      <w:r w:rsidR="00E91C26">
        <w:rPr>
          <w:rFonts w:ascii="Times New Roman" w:hAnsi="Times New Roman"/>
          <w:sz w:val="24"/>
          <w:szCs w:val="24"/>
        </w:rPr>
        <w:t>s</w:t>
      </w:r>
      <w:r>
        <w:rPr>
          <w:rFonts w:ascii="Times New Roman" w:hAnsi="Times New Roman"/>
          <w:sz w:val="24"/>
          <w:szCs w:val="24"/>
        </w:rPr>
        <w:t xml:space="preserve"> an FDIC-supervised IDI engaging in retail forex transactions from knowingly handling the account of any related person of another retail forex counterparty unless it receives proper written authorization, promptly prepares a written record of the order, and transmits to the counterparty copies all statements and written records.  Section 349.13(d) prohibit</w:t>
      </w:r>
      <w:r w:rsidR="00E91C26">
        <w:rPr>
          <w:rFonts w:ascii="Times New Roman" w:hAnsi="Times New Roman"/>
          <w:sz w:val="24"/>
          <w:szCs w:val="24"/>
        </w:rPr>
        <w:t>s</w:t>
      </w:r>
      <w:r>
        <w:rPr>
          <w:rFonts w:ascii="Times New Roman" w:hAnsi="Times New Roman"/>
          <w:sz w:val="24"/>
          <w:szCs w:val="24"/>
        </w:rPr>
        <w:t xml:space="preserve"> a related person of an FDIC-supervised IDI engaging in forex transactions from having an account with another retail forex counterparty unless it receives proper written authorization and copies of all statements and written records for such accounts are transmitted to the counterparty.  </w:t>
      </w:r>
    </w:p>
    <w:p w:rsidR="00075A03" w:rsidRDefault="00075A03">
      <w:pPr>
        <w:pStyle w:val="ListParagraph"/>
        <w:spacing w:after="0" w:line="240" w:lineRule="auto"/>
        <w:ind w:left="0" w:firstLine="720"/>
        <w:rPr>
          <w:rFonts w:ascii="Times New Roman" w:hAnsi="Times New Roman"/>
          <w:sz w:val="24"/>
          <w:szCs w:val="24"/>
        </w:rPr>
      </w:pPr>
    </w:p>
    <w:p w:rsidR="00075A03" w:rsidRDefault="00075A03">
      <w:pPr>
        <w:pStyle w:val="ListParagraph"/>
        <w:spacing w:after="0" w:line="240" w:lineRule="auto"/>
        <w:ind w:left="0" w:firstLine="720"/>
        <w:rPr>
          <w:rFonts w:ascii="Times New Roman" w:hAnsi="Times New Roman"/>
          <w:sz w:val="24"/>
          <w:szCs w:val="24"/>
        </w:rPr>
      </w:pPr>
      <w:r>
        <w:rPr>
          <w:rFonts w:ascii="Times New Roman" w:hAnsi="Times New Roman"/>
          <w:sz w:val="24"/>
          <w:szCs w:val="24"/>
        </w:rPr>
        <w:t>Section 349.15 require</w:t>
      </w:r>
      <w:r w:rsidR="00E91C26">
        <w:rPr>
          <w:rFonts w:ascii="Times New Roman" w:hAnsi="Times New Roman"/>
          <w:sz w:val="24"/>
          <w:szCs w:val="24"/>
        </w:rPr>
        <w:t>s</w:t>
      </w:r>
      <w:r>
        <w:rPr>
          <w:rFonts w:ascii="Times New Roman" w:hAnsi="Times New Roman"/>
          <w:sz w:val="24"/>
          <w:szCs w:val="24"/>
        </w:rPr>
        <w:t xml:space="preserve"> an FDIC-supervised IDI to provide a retail forex customer with 30 days’ prior notice of any assignment of any position or transfer of any account of the retail forex customer.  It also require</w:t>
      </w:r>
      <w:r w:rsidR="00E91C26">
        <w:rPr>
          <w:rFonts w:ascii="Times New Roman" w:hAnsi="Times New Roman"/>
          <w:sz w:val="24"/>
          <w:szCs w:val="24"/>
        </w:rPr>
        <w:t>s</w:t>
      </w:r>
      <w:r>
        <w:rPr>
          <w:rFonts w:ascii="Times New Roman" w:hAnsi="Times New Roman"/>
          <w:sz w:val="24"/>
          <w:szCs w:val="24"/>
        </w:rPr>
        <w:t xml:space="preserve"> an FDIC-supervised IDI to which retail forex accounts or positions are assigned or transferred to provide the affected customers with risk disclosure </w:t>
      </w:r>
      <w:r>
        <w:rPr>
          <w:rFonts w:ascii="Times New Roman" w:hAnsi="Times New Roman"/>
          <w:sz w:val="24"/>
          <w:szCs w:val="24"/>
        </w:rPr>
        <w:lastRenderedPageBreak/>
        <w:t>statements and forms of acknowledgment and receive the signed acknowledgments within 60 days.</w:t>
      </w:r>
    </w:p>
    <w:p w:rsidR="00075A03" w:rsidRDefault="00075A03">
      <w:pPr>
        <w:pStyle w:val="ListParagraph"/>
        <w:spacing w:after="0" w:line="240" w:lineRule="auto"/>
        <w:ind w:left="0" w:firstLine="720"/>
        <w:rPr>
          <w:rFonts w:ascii="Times New Roman" w:hAnsi="Times New Roman"/>
          <w:sz w:val="24"/>
          <w:szCs w:val="24"/>
        </w:rPr>
      </w:pPr>
    </w:p>
    <w:p w:rsidR="00075A03" w:rsidRDefault="00075A03">
      <w:pPr>
        <w:pStyle w:val="ListParagraph"/>
        <w:spacing w:after="0" w:line="240" w:lineRule="auto"/>
        <w:ind w:left="0" w:firstLine="720"/>
        <w:rPr>
          <w:rFonts w:ascii="Times New Roman" w:hAnsi="Times New Roman"/>
          <w:sz w:val="24"/>
          <w:szCs w:val="24"/>
        </w:rPr>
      </w:pPr>
      <w:r>
        <w:rPr>
          <w:rFonts w:ascii="Times New Roman" w:hAnsi="Times New Roman"/>
          <w:sz w:val="24"/>
          <w:szCs w:val="24"/>
        </w:rPr>
        <w:t>The customer dispute resolution provisions in § 349.16 require that within 10 business days after receipt of notice from the retail forex customer that they intend to submit a claim to arbitration, the FDIC-supervised IDI provide them with a list of persons qualified in the dispute resolution and that the customer must notify the FDIC-supervised IDI of the person selected within 45 days of receipt of such list.</w:t>
      </w:r>
    </w:p>
    <w:p w:rsidR="00075A03" w:rsidRDefault="00075A03">
      <w:pPr>
        <w:pStyle w:val="ListParagraph"/>
        <w:spacing w:after="0" w:line="240" w:lineRule="auto"/>
        <w:ind w:left="0" w:firstLine="720"/>
        <w:rPr>
          <w:rFonts w:ascii="Times New Roman" w:hAnsi="Times New Roman"/>
          <w:sz w:val="24"/>
          <w:szCs w:val="24"/>
        </w:rPr>
      </w:pPr>
    </w:p>
    <w:p w:rsidR="00075A03" w:rsidRDefault="00075A03">
      <w:pPr>
        <w:pStyle w:val="ListParagraph"/>
        <w:spacing w:after="0" w:line="240" w:lineRule="auto"/>
        <w:ind w:left="0" w:firstLine="720"/>
        <w:rPr>
          <w:rFonts w:ascii="Times New Roman" w:hAnsi="Times New Roman"/>
          <w:sz w:val="24"/>
          <w:szCs w:val="24"/>
        </w:rPr>
      </w:pPr>
      <w:r>
        <w:rPr>
          <w:rFonts w:ascii="Times New Roman" w:hAnsi="Times New Roman"/>
          <w:sz w:val="24"/>
          <w:szCs w:val="24"/>
        </w:rPr>
        <w:t>Regarding recordkeeping, sections 349.7 and 349.13 require that an FDIC-supervised IDI engaging in retail forex transactions keep full, complete, and systematic records and establish and implement internal rules, procedures, and controls.  Section 48.7 also require</w:t>
      </w:r>
      <w:r w:rsidR="0070148F">
        <w:rPr>
          <w:rFonts w:ascii="Times New Roman" w:hAnsi="Times New Roman"/>
          <w:sz w:val="24"/>
          <w:szCs w:val="24"/>
        </w:rPr>
        <w:t>s</w:t>
      </w:r>
      <w:r>
        <w:rPr>
          <w:rFonts w:ascii="Times New Roman" w:hAnsi="Times New Roman"/>
          <w:sz w:val="24"/>
          <w:szCs w:val="24"/>
        </w:rPr>
        <w:t xml:space="preserve"> that an FDIC-supervised IDI keep account, financial ledger, transaction and daily records, as well as memorandum orders, post-execution allocation of bunched orders, records regarding its ratio of profitable accounts, possible violations of law, records for noncash margin, and monthly statements and confirmations.  Section 349.9 require</w:t>
      </w:r>
      <w:r w:rsidR="0070148F">
        <w:rPr>
          <w:rFonts w:ascii="Times New Roman" w:hAnsi="Times New Roman"/>
          <w:sz w:val="24"/>
          <w:szCs w:val="24"/>
        </w:rPr>
        <w:t>s</w:t>
      </w:r>
      <w:r>
        <w:rPr>
          <w:rFonts w:ascii="Times New Roman" w:hAnsi="Times New Roman"/>
          <w:sz w:val="24"/>
          <w:szCs w:val="24"/>
        </w:rPr>
        <w:t xml:space="preserve"> policies and procedures for haircuts for noncash margin collected under the rule’s margin requirements, and annual evaluations and modifications of the haircuts.</w:t>
      </w:r>
    </w:p>
    <w:p w:rsidR="00075A03" w:rsidRDefault="00075A03">
      <w:pPr>
        <w:pStyle w:val="ListParagraph"/>
        <w:spacing w:after="0" w:line="240" w:lineRule="auto"/>
        <w:ind w:left="0" w:firstLine="720"/>
        <w:rPr>
          <w:rFonts w:ascii="Times New Roman" w:hAnsi="Times New Roman"/>
          <w:sz w:val="24"/>
          <w:szCs w:val="24"/>
        </w:rPr>
      </w:pPr>
    </w:p>
    <w:p w:rsidR="00075A03" w:rsidRDefault="00075A03">
      <w:pPr>
        <w:pStyle w:val="ListParagraph"/>
        <w:spacing w:after="0" w:line="240" w:lineRule="auto"/>
        <w:ind w:left="0" w:firstLine="720"/>
        <w:rPr>
          <w:rFonts w:ascii="Times New Roman" w:hAnsi="Times New Roman"/>
          <w:sz w:val="24"/>
          <w:szCs w:val="24"/>
        </w:rPr>
      </w:pPr>
      <w:r>
        <w:rPr>
          <w:rFonts w:ascii="Times New Roman" w:hAnsi="Times New Roman"/>
          <w:sz w:val="24"/>
          <w:szCs w:val="24"/>
        </w:rPr>
        <w:t xml:space="preserve">The information required to be reported, maintained and disclosed requirements is deemed necessary to ensure the safety and soundness of institutions engaging in retail foreign exchange transactions and to protect customers on whose behalf the activities are conducted.   </w:t>
      </w:r>
    </w:p>
    <w:p w:rsidR="00075A03" w:rsidRDefault="00075A03">
      <w:pPr>
        <w:rPr>
          <w:rFonts w:ascii="Times New Roman" w:hAnsi="Times New Roman"/>
          <w:szCs w:val="24"/>
        </w:rPr>
      </w:pPr>
    </w:p>
    <w:p w:rsidR="00075A03" w:rsidRDefault="00075A03">
      <w:pPr>
        <w:tabs>
          <w:tab w:val="left" w:pos="-1440"/>
        </w:tabs>
        <w:ind w:left="720" w:hanging="720"/>
        <w:outlineLvl w:val="0"/>
        <w:rPr>
          <w:rFonts w:ascii="Times New Roman" w:hAnsi="Times New Roman"/>
          <w:szCs w:val="24"/>
          <w:u w:val="single"/>
        </w:rPr>
      </w:pPr>
      <w:r>
        <w:rPr>
          <w:rFonts w:ascii="Times New Roman" w:hAnsi="Times New Roman"/>
          <w:szCs w:val="24"/>
        </w:rPr>
        <w:t xml:space="preserve">3. </w:t>
      </w:r>
      <w:r w:rsidR="009F42A9">
        <w:rPr>
          <w:rFonts w:ascii="Times New Roman" w:hAnsi="Times New Roman"/>
          <w:szCs w:val="24"/>
          <w:u w:val="single"/>
        </w:rPr>
        <w:t>Use</w:t>
      </w:r>
      <w:r>
        <w:rPr>
          <w:rFonts w:ascii="Times New Roman" w:hAnsi="Times New Roman"/>
          <w:szCs w:val="24"/>
          <w:u w:val="single"/>
        </w:rPr>
        <w:t xml:space="preserve"> of </w:t>
      </w:r>
      <w:r w:rsidR="009F42A9">
        <w:rPr>
          <w:rFonts w:ascii="Times New Roman" w:hAnsi="Times New Roman"/>
          <w:szCs w:val="24"/>
          <w:u w:val="single"/>
        </w:rPr>
        <w:t>Technology to Reduce Burden</w:t>
      </w:r>
    </w:p>
    <w:p w:rsidR="00075A03" w:rsidRDefault="00075A03">
      <w:pPr>
        <w:autoSpaceDE w:val="0"/>
        <w:autoSpaceDN w:val="0"/>
        <w:adjustRightInd w:val="0"/>
        <w:rPr>
          <w:rFonts w:ascii="Times New Roman" w:hAnsi="Times New Roman"/>
          <w:szCs w:val="24"/>
        </w:rPr>
      </w:pPr>
    </w:p>
    <w:p w:rsidR="00075A03" w:rsidRDefault="00075A03">
      <w:pPr>
        <w:pStyle w:val="BodyText"/>
        <w:ind w:firstLine="720"/>
        <w:rPr>
          <w:i w:val="0"/>
          <w:iCs w:val="0"/>
          <w:szCs w:val="24"/>
        </w:rPr>
      </w:pPr>
      <w:r>
        <w:rPr>
          <w:i w:val="0"/>
          <w:iCs w:val="0"/>
          <w:szCs w:val="24"/>
        </w:rPr>
        <w:t>An FDIC-supervised IDI may use any information technology that permits review by FDIC examiners.</w:t>
      </w:r>
    </w:p>
    <w:p w:rsidR="00075A03" w:rsidRDefault="00075A03">
      <w:pPr>
        <w:tabs>
          <w:tab w:val="left" w:pos="-1440"/>
        </w:tabs>
        <w:ind w:left="720" w:hanging="720"/>
        <w:rPr>
          <w:rFonts w:ascii="Times New Roman" w:hAnsi="Times New Roman"/>
          <w:szCs w:val="24"/>
        </w:rPr>
      </w:pPr>
    </w:p>
    <w:p w:rsidR="00075A03" w:rsidRDefault="00075A03">
      <w:pPr>
        <w:tabs>
          <w:tab w:val="left" w:pos="-1440"/>
        </w:tabs>
        <w:ind w:left="720" w:hanging="720"/>
        <w:outlineLvl w:val="0"/>
        <w:rPr>
          <w:rFonts w:ascii="Times New Roman" w:hAnsi="Times New Roman"/>
          <w:szCs w:val="24"/>
        </w:rPr>
      </w:pPr>
      <w:r>
        <w:rPr>
          <w:rFonts w:ascii="Times New Roman" w:hAnsi="Times New Roman"/>
          <w:szCs w:val="24"/>
        </w:rPr>
        <w:t xml:space="preserve">4.  </w:t>
      </w:r>
      <w:r w:rsidR="009F42A9">
        <w:rPr>
          <w:rFonts w:ascii="Times New Roman" w:hAnsi="Times New Roman"/>
          <w:szCs w:val="24"/>
          <w:u w:val="single"/>
        </w:rPr>
        <w:t xml:space="preserve">Efforts to </w:t>
      </w:r>
      <w:r w:rsidR="00392C63">
        <w:rPr>
          <w:rFonts w:ascii="Times New Roman" w:hAnsi="Times New Roman"/>
          <w:szCs w:val="24"/>
          <w:u w:val="single"/>
        </w:rPr>
        <w:t xml:space="preserve">identify </w:t>
      </w:r>
      <w:r w:rsidR="009F42A9">
        <w:rPr>
          <w:rFonts w:ascii="Times New Roman" w:hAnsi="Times New Roman"/>
          <w:szCs w:val="24"/>
          <w:u w:val="single"/>
        </w:rPr>
        <w:t>D</w:t>
      </w:r>
      <w:r>
        <w:rPr>
          <w:rFonts w:ascii="Times New Roman" w:hAnsi="Times New Roman"/>
          <w:szCs w:val="24"/>
          <w:u w:val="single"/>
        </w:rPr>
        <w:t>uplication</w:t>
      </w:r>
      <w:r>
        <w:rPr>
          <w:rFonts w:ascii="Times New Roman" w:hAnsi="Times New Roman"/>
          <w:szCs w:val="24"/>
        </w:rPr>
        <w:t>:</w:t>
      </w:r>
    </w:p>
    <w:p w:rsidR="00075A03" w:rsidRDefault="00075A03">
      <w:pPr>
        <w:rPr>
          <w:rFonts w:ascii="Times New Roman" w:hAnsi="Times New Roman"/>
          <w:szCs w:val="24"/>
        </w:rPr>
      </w:pPr>
    </w:p>
    <w:p w:rsidR="00075A03" w:rsidRDefault="00075A03">
      <w:pPr>
        <w:ind w:firstLine="720"/>
        <w:rPr>
          <w:rFonts w:ascii="Times New Roman" w:hAnsi="Times New Roman"/>
          <w:szCs w:val="24"/>
        </w:rPr>
      </w:pPr>
      <w:r>
        <w:rPr>
          <w:rFonts w:ascii="Times New Roman" w:hAnsi="Times New Roman"/>
          <w:szCs w:val="24"/>
        </w:rPr>
        <w:t>The information required is unique.  It is not duplicated elsewhere.</w:t>
      </w:r>
    </w:p>
    <w:p w:rsidR="00075A03" w:rsidRDefault="00075A03">
      <w:pPr>
        <w:rPr>
          <w:rFonts w:ascii="Times New Roman" w:hAnsi="Times New Roman"/>
          <w:szCs w:val="24"/>
        </w:rPr>
      </w:pPr>
    </w:p>
    <w:p w:rsidR="00075A03" w:rsidRDefault="00075A03">
      <w:pPr>
        <w:tabs>
          <w:tab w:val="left" w:pos="-1440"/>
        </w:tabs>
        <w:outlineLvl w:val="0"/>
        <w:rPr>
          <w:rFonts w:ascii="Times New Roman" w:hAnsi="Times New Roman"/>
          <w:szCs w:val="24"/>
        </w:rPr>
      </w:pPr>
      <w:r>
        <w:rPr>
          <w:rFonts w:ascii="Times New Roman" w:hAnsi="Times New Roman"/>
          <w:szCs w:val="24"/>
        </w:rPr>
        <w:t xml:space="preserve">5. </w:t>
      </w:r>
      <w:r w:rsidR="009F42A9">
        <w:rPr>
          <w:rFonts w:ascii="Times New Roman" w:hAnsi="Times New Roman"/>
          <w:szCs w:val="24"/>
          <w:u w:val="single"/>
        </w:rPr>
        <w:t>Minimizing the Burden on Small Banks</w:t>
      </w:r>
    </w:p>
    <w:p w:rsidR="00075A03" w:rsidRDefault="00075A03">
      <w:pPr>
        <w:rPr>
          <w:rFonts w:ascii="Times New Roman" w:hAnsi="Times New Roman"/>
          <w:szCs w:val="24"/>
        </w:rPr>
      </w:pPr>
    </w:p>
    <w:p w:rsidR="00075A03" w:rsidRDefault="0070148F">
      <w:pPr>
        <w:ind w:firstLine="720"/>
        <w:outlineLvl w:val="0"/>
        <w:rPr>
          <w:rFonts w:ascii="Times New Roman" w:hAnsi="Times New Roman"/>
          <w:szCs w:val="24"/>
        </w:rPr>
      </w:pPr>
      <w:r>
        <w:rPr>
          <w:rFonts w:ascii="Times New Roman" w:hAnsi="Times New Roman"/>
          <w:szCs w:val="24"/>
        </w:rPr>
        <w:t xml:space="preserve">The collection does not have an impact on a substantial number of small entities.  </w:t>
      </w:r>
      <w:r w:rsidR="00075A03">
        <w:rPr>
          <w:rFonts w:ascii="Times New Roman" w:hAnsi="Times New Roman"/>
          <w:szCs w:val="24"/>
        </w:rPr>
        <w:t xml:space="preserve"> </w:t>
      </w:r>
    </w:p>
    <w:p w:rsidR="00075A03" w:rsidRDefault="00075A03">
      <w:pPr>
        <w:tabs>
          <w:tab w:val="left" w:pos="-1440"/>
        </w:tabs>
        <w:ind w:left="720" w:hanging="720"/>
        <w:outlineLvl w:val="0"/>
        <w:rPr>
          <w:rFonts w:ascii="Times New Roman" w:hAnsi="Times New Roman"/>
          <w:szCs w:val="24"/>
        </w:rPr>
      </w:pPr>
    </w:p>
    <w:p w:rsidR="00075A03" w:rsidRDefault="00075A03">
      <w:pPr>
        <w:tabs>
          <w:tab w:val="left" w:pos="-1440"/>
        </w:tabs>
        <w:ind w:left="720" w:hanging="720"/>
        <w:outlineLvl w:val="0"/>
        <w:rPr>
          <w:rFonts w:ascii="Times New Roman" w:hAnsi="Times New Roman"/>
          <w:szCs w:val="24"/>
        </w:rPr>
      </w:pPr>
      <w:r>
        <w:rPr>
          <w:rFonts w:ascii="Times New Roman" w:hAnsi="Times New Roman"/>
          <w:szCs w:val="24"/>
        </w:rPr>
        <w:t xml:space="preserve">6. </w:t>
      </w:r>
      <w:r>
        <w:rPr>
          <w:rFonts w:ascii="Times New Roman" w:hAnsi="Times New Roman"/>
          <w:szCs w:val="24"/>
          <w:u w:val="single"/>
        </w:rPr>
        <w:t xml:space="preserve">Consequences </w:t>
      </w:r>
      <w:r w:rsidR="009F42A9">
        <w:rPr>
          <w:rFonts w:ascii="Times New Roman" w:hAnsi="Times New Roman"/>
          <w:szCs w:val="24"/>
          <w:u w:val="single"/>
        </w:rPr>
        <w:t>of Less Frequent Collections</w:t>
      </w:r>
    </w:p>
    <w:p w:rsidR="00075A03" w:rsidRDefault="00075A03">
      <w:pPr>
        <w:rPr>
          <w:rFonts w:ascii="Times New Roman" w:hAnsi="Times New Roman"/>
          <w:szCs w:val="24"/>
        </w:rPr>
      </w:pPr>
    </w:p>
    <w:p w:rsidR="00075A03" w:rsidRDefault="00075A03">
      <w:pPr>
        <w:rPr>
          <w:rFonts w:ascii="Times New Roman" w:hAnsi="Times New Roman"/>
          <w:szCs w:val="24"/>
        </w:rPr>
      </w:pPr>
      <w:r>
        <w:rPr>
          <w:rFonts w:ascii="Times New Roman" w:hAnsi="Times New Roman"/>
          <w:szCs w:val="24"/>
        </w:rPr>
        <w:t xml:space="preserve">  </w:t>
      </w:r>
      <w:r>
        <w:rPr>
          <w:rFonts w:ascii="Times New Roman" w:hAnsi="Times New Roman"/>
          <w:szCs w:val="24"/>
        </w:rPr>
        <w:tab/>
        <w:t>Conducting the collection less frequently would present safety and soundness risks and weaken protection of consumers engaging in retail foreign exchange transactions.</w:t>
      </w:r>
    </w:p>
    <w:p w:rsidR="00075A03" w:rsidRDefault="00075A03">
      <w:pPr>
        <w:rPr>
          <w:rFonts w:ascii="Times New Roman" w:hAnsi="Times New Roman"/>
          <w:szCs w:val="24"/>
        </w:rPr>
      </w:pPr>
    </w:p>
    <w:p w:rsidR="00075A03" w:rsidRDefault="00075A03">
      <w:pPr>
        <w:tabs>
          <w:tab w:val="left" w:pos="-1440"/>
        </w:tabs>
        <w:ind w:left="720" w:hanging="720"/>
        <w:outlineLvl w:val="0"/>
        <w:rPr>
          <w:rFonts w:ascii="Times New Roman" w:hAnsi="Times New Roman"/>
          <w:szCs w:val="24"/>
        </w:rPr>
      </w:pPr>
      <w:r>
        <w:rPr>
          <w:rFonts w:ascii="Times New Roman" w:hAnsi="Times New Roman"/>
          <w:szCs w:val="24"/>
        </w:rPr>
        <w:t xml:space="preserve">7. </w:t>
      </w:r>
      <w:r>
        <w:rPr>
          <w:rFonts w:ascii="Times New Roman" w:hAnsi="Times New Roman"/>
          <w:szCs w:val="24"/>
          <w:u w:val="single"/>
        </w:rPr>
        <w:t xml:space="preserve">Special </w:t>
      </w:r>
      <w:r w:rsidR="009F42A9">
        <w:rPr>
          <w:rFonts w:ascii="Times New Roman" w:hAnsi="Times New Roman"/>
          <w:szCs w:val="24"/>
          <w:u w:val="single"/>
        </w:rPr>
        <w:t>C</w:t>
      </w:r>
      <w:r>
        <w:rPr>
          <w:rFonts w:ascii="Times New Roman" w:hAnsi="Times New Roman"/>
          <w:szCs w:val="24"/>
          <w:u w:val="single"/>
        </w:rPr>
        <w:t xml:space="preserve">ircumstances </w:t>
      </w:r>
    </w:p>
    <w:p w:rsidR="00075A03" w:rsidRDefault="00075A03">
      <w:pPr>
        <w:rPr>
          <w:rFonts w:ascii="Times New Roman" w:hAnsi="Times New Roman"/>
          <w:szCs w:val="24"/>
        </w:rPr>
      </w:pPr>
    </w:p>
    <w:p w:rsidR="00075A03" w:rsidRDefault="00075A03">
      <w:pPr>
        <w:ind w:firstLine="720"/>
        <w:rPr>
          <w:rFonts w:ascii="Times New Roman" w:hAnsi="Times New Roman"/>
          <w:szCs w:val="24"/>
        </w:rPr>
      </w:pPr>
      <w:r>
        <w:rPr>
          <w:rFonts w:ascii="Times New Roman" w:hAnsi="Times New Roman"/>
          <w:szCs w:val="24"/>
        </w:rPr>
        <w:t xml:space="preserve">None.    </w:t>
      </w:r>
    </w:p>
    <w:p w:rsidR="00075A03" w:rsidRDefault="00075A03">
      <w:pPr>
        <w:rPr>
          <w:rFonts w:ascii="Times New Roman" w:hAnsi="Times New Roman"/>
          <w:szCs w:val="24"/>
        </w:rPr>
      </w:pPr>
    </w:p>
    <w:p w:rsidR="00075A03" w:rsidRDefault="00075A03">
      <w:pPr>
        <w:tabs>
          <w:tab w:val="left" w:pos="-1440"/>
        </w:tabs>
        <w:ind w:left="720" w:hanging="720"/>
        <w:outlineLvl w:val="0"/>
        <w:rPr>
          <w:rFonts w:ascii="Times New Roman" w:hAnsi="Times New Roman"/>
          <w:szCs w:val="24"/>
        </w:rPr>
      </w:pPr>
      <w:r>
        <w:rPr>
          <w:rFonts w:ascii="Times New Roman" w:hAnsi="Times New Roman"/>
          <w:szCs w:val="24"/>
        </w:rPr>
        <w:t xml:space="preserve">8. </w:t>
      </w:r>
      <w:r w:rsidR="009F42A9">
        <w:rPr>
          <w:rFonts w:ascii="Times New Roman" w:hAnsi="Times New Roman"/>
          <w:szCs w:val="24"/>
          <w:u w:val="single"/>
        </w:rPr>
        <w:t xml:space="preserve">Consultation with Persons </w:t>
      </w:r>
      <w:proofErr w:type="gramStart"/>
      <w:r w:rsidR="009F42A9">
        <w:rPr>
          <w:rFonts w:ascii="Times New Roman" w:hAnsi="Times New Roman"/>
          <w:szCs w:val="24"/>
          <w:u w:val="single"/>
        </w:rPr>
        <w:t>O</w:t>
      </w:r>
      <w:r>
        <w:rPr>
          <w:rFonts w:ascii="Times New Roman" w:hAnsi="Times New Roman"/>
          <w:szCs w:val="24"/>
          <w:u w:val="single"/>
        </w:rPr>
        <w:t>utside</w:t>
      </w:r>
      <w:proofErr w:type="gramEnd"/>
      <w:r>
        <w:rPr>
          <w:rFonts w:ascii="Times New Roman" w:hAnsi="Times New Roman"/>
          <w:szCs w:val="24"/>
          <w:u w:val="single"/>
        </w:rPr>
        <w:t xml:space="preserve"> the </w:t>
      </w:r>
      <w:r w:rsidR="009F42A9">
        <w:rPr>
          <w:rFonts w:ascii="Times New Roman" w:hAnsi="Times New Roman"/>
          <w:szCs w:val="24"/>
          <w:u w:val="single"/>
        </w:rPr>
        <w:t>FDIC</w:t>
      </w:r>
      <w:r>
        <w:rPr>
          <w:rFonts w:ascii="Times New Roman" w:hAnsi="Times New Roman"/>
          <w:szCs w:val="24"/>
        </w:rPr>
        <w:t>:</w:t>
      </w:r>
    </w:p>
    <w:p w:rsidR="00075A03" w:rsidRDefault="00075A03">
      <w:pPr>
        <w:rPr>
          <w:rFonts w:ascii="Times New Roman" w:hAnsi="Times New Roman"/>
          <w:szCs w:val="24"/>
        </w:rPr>
      </w:pPr>
    </w:p>
    <w:p w:rsidR="00075A03" w:rsidRDefault="00075A03">
      <w:pPr>
        <w:rPr>
          <w:rFonts w:ascii="Times New Roman" w:hAnsi="Times New Roman"/>
          <w:szCs w:val="24"/>
        </w:rPr>
      </w:pPr>
      <w:r>
        <w:rPr>
          <w:rFonts w:ascii="Times New Roman" w:hAnsi="Times New Roman"/>
          <w:szCs w:val="24"/>
        </w:rPr>
        <w:tab/>
      </w:r>
      <w:r w:rsidR="0070148F">
        <w:rPr>
          <w:rFonts w:ascii="Times New Roman" w:hAnsi="Times New Roman"/>
          <w:szCs w:val="24"/>
        </w:rPr>
        <w:t xml:space="preserve">On </w:t>
      </w:r>
      <w:r w:rsidR="00D86601">
        <w:rPr>
          <w:rFonts w:ascii="Times New Roman" w:hAnsi="Times New Roman"/>
          <w:szCs w:val="24"/>
        </w:rPr>
        <w:t>September 23, 2020</w:t>
      </w:r>
      <w:r w:rsidR="0070148F">
        <w:rPr>
          <w:rFonts w:ascii="Times New Roman" w:hAnsi="Times New Roman"/>
          <w:szCs w:val="24"/>
        </w:rPr>
        <w:t>, t</w:t>
      </w:r>
      <w:r>
        <w:rPr>
          <w:rFonts w:ascii="Times New Roman" w:hAnsi="Times New Roman"/>
          <w:szCs w:val="24"/>
        </w:rPr>
        <w:t xml:space="preserve">he FDIC published a </w:t>
      </w:r>
      <w:r>
        <w:rPr>
          <w:rFonts w:ascii="Times New Roman" w:hAnsi="Times New Roman"/>
          <w:i/>
          <w:szCs w:val="24"/>
        </w:rPr>
        <w:t>Federal Register</w:t>
      </w:r>
      <w:r>
        <w:rPr>
          <w:rFonts w:ascii="Times New Roman" w:hAnsi="Times New Roman"/>
          <w:szCs w:val="24"/>
        </w:rPr>
        <w:t xml:space="preserve"> </w:t>
      </w:r>
      <w:r w:rsidR="0070148F">
        <w:rPr>
          <w:rFonts w:ascii="Times New Roman" w:hAnsi="Times New Roman"/>
          <w:szCs w:val="24"/>
        </w:rPr>
        <w:t xml:space="preserve">notice </w:t>
      </w:r>
      <w:r>
        <w:rPr>
          <w:rFonts w:ascii="Times New Roman" w:hAnsi="Times New Roman"/>
          <w:szCs w:val="24"/>
        </w:rPr>
        <w:t xml:space="preserve">seeking comment for a </w:t>
      </w:r>
      <w:r w:rsidR="0070148F">
        <w:rPr>
          <w:rFonts w:ascii="Times New Roman" w:hAnsi="Times New Roman"/>
          <w:szCs w:val="24"/>
        </w:rPr>
        <w:t>6</w:t>
      </w:r>
      <w:r>
        <w:rPr>
          <w:rFonts w:ascii="Times New Roman" w:hAnsi="Times New Roman"/>
          <w:szCs w:val="24"/>
        </w:rPr>
        <w:t>0-day period</w:t>
      </w:r>
      <w:r w:rsidR="0070148F">
        <w:rPr>
          <w:rFonts w:ascii="Times New Roman" w:hAnsi="Times New Roman"/>
          <w:szCs w:val="24"/>
        </w:rPr>
        <w:t xml:space="preserve"> on renewal of the information collection (</w:t>
      </w:r>
      <w:r w:rsidR="00D86601">
        <w:rPr>
          <w:rFonts w:ascii="Times New Roman" w:hAnsi="Times New Roman"/>
          <w:szCs w:val="24"/>
        </w:rPr>
        <w:t xml:space="preserve">85 </w:t>
      </w:r>
      <w:r w:rsidR="0070148F">
        <w:rPr>
          <w:rFonts w:ascii="Times New Roman" w:hAnsi="Times New Roman"/>
          <w:szCs w:val="24"/>
        </w:rPr>
        <w:t xml:space="preserve">FR </w:t>
      </w:r>
      <w:r w:rsidR="00D86601">
        <w:rPr>
          <w:rFonts w:ascii="Times New Roman" w:hAnsi="Times New Roman"/>
          <w:szCs w:val="24"/>
        </w:rPr>
        <w:t>59797</w:t>
      </w:r>
      <w:r w:rsidR="0070148F">
        <w:rPr>
          <w:rFonts w:ascii="Times New Roman" w:hAnsi="Times New Roman"/>
          <w:szCs w:val="24"/>
        </w:rPr>
        <w:t>)</w:t>
      </w:r>
      <w:r>
        <w:rPr>
          <w:rFonts w:ascii="Times New Roman" w:hAnsi="Times New Roman"/>
          <w:szCs w:val="24"/>
        </w:rPr>
        <w:t xml:space="preserve">.  </w:t>
      </w:r>
      <w:r w:rsidR="0070148F">
        <w:rPr>
          <w:rFonts w:ascii="Times New Roman" w:hAnsi="Times New Roman"/>
          <w:szCs w:val="24"/>
        </w:rPr>
        <w:t xml:space="preserve">No comments were </w:t>
      </w:r>
      <w:r>
        <w:rPr>
          <w:rFonts w:ascii="Times New Roman" w:hAnsi="Times New Roman"/>
          <w:szCs w:val="24"/>
        </w:rPr>
        <w:t>received.</w:t>
      </w:r>
    </w:p>
    <w:p w:rsidR="00075A03" w:rsidRDefault="00075A03">
      <w:pPr>
        <w:rPr>
          <w:rFonts w:ascii="Times New Roman" w:hAnsi="Times New Roman"/>
          <w:szCs w:val="24"/>
        </w:rPr>
      </w:pPr>
    </w:p>
    <w:p w:rsidR="00075A03" w:rsidP="009F42A9" w:rsidRDefault="00075A03">
      <w:pPr>
        <w:outlineLvl w:val="0"/>
        <w:rPr>
          <w:rFonts w:ascii="Times New Roman" w:hAnsi="Times New Roman"/>
          <w:szCs w:val="24"/>
        </w:rPr>
      </w:pPr>
      <w:r>
        <w:rPr>
          <w:rFonts w:ascii="Times New Roman" w:hAnsi="Times New Roman"/>
          <w:szCs w:val="24"/>
        </w:rPr>
        <w:t xml:space="preserve">9. </w:t>
      </w:r>
      <w:r>
        <w:rPr>
          <w:rFonts w:ascii="Times New Roman" w:hAnsi="Times New Roman"/>
          <w:szCs w:val="24"/>
          <w:u w:val="single"/>
        </w:rPr>
        <w:t xml:space="preserve">Payment </w:t>
      </w:r>
      <w:r w:rsidR="009F42A9">
        <w:rPr>
          <w:rFonts w:ascii="Times New Roman" w:hAnsi="Times New Roman"/>
          <w:szCs w:val="24"/>
          <w:u w:val="single"/>
        </w:rPr>
        <w:t>or Gift to R</w:t>
      </w:r>
      <w:r>
        <w:rPr>
          <w:rFonts w:ascii="Times New Roman" w:hAnsi="Times New Roman"/>
          <w:szCs w:val="24"/>
          <w:u w:val="single"/>
        </w:rPr>
        <w:t>espondent</w:t>
      </w:r>
      <w:r w:rsidR="009F42A9">
        <w:rPr>
          <w:rFonts w:ascii="Times New Roman" w:hAnsi="Times New Roman"/>
          <w:szCs w:val="24"/>
          <w:u w:val="single"/>
        </w:rPr>
        <w:t>s</w:t>
      </w:r>
    </w:p>
    <w:p w:rsidR="00075A03" w:rsidRDefault="00075A03">
      <w:pPr>
        <w:ind w:firstLine="720"/>
        <w:outlineLvl w:val="0"/>
        <w:rPr>
          <w:rFonts w:ascii="Times New Roman" w:hAnsi="Times New Roman"/>
          <w:szCs w:val="24"/>
        </w:rPr>
      </w:pPr>
      <w:r>
        <w:rPr>
          <w:rFonts w:ascii="Times New Roman" w:hAnsi="Times New Roman"/>
          <w:szCs w:val="24"/>
        </w:rPr>
        <w:t>None.</w:t>
      </w:r>
    </w:p>
    <w:p w:rsidR="00075A03" w:rsidRDefault="00075A03">
      <w:pPr>
        <w:rPr>
          <w:rFonts w:ascii="Times New Roman" w:hAnsi="Times New Roman"/>
          <w:szCs w:val="24"/>
        </w:rPr>
      </w:pPr>
    </w:p>
    <w:p w:rsidR="00075A03" w:rsidRDefault="00075A03">
      <w:pPr>
        <w:tabs>
          <w:tab w:val="left" w:pos="-1440"/>
        </w:tabs>
        <w:ind w:left="720" w:hanging="720"/>
        <w:outlineLvl w:val="0"/>
        <w:rPr>
          <w:rFonts w:ascii="Times New Roman" w:hAnsi="Times New Roman"/>
          <w:szCs w:val="24"/>
        </w:rPr>
      </w:pPr>
      <w:r>
        <w:rPr>
          <w:rFonts w:ascii="Times New Roman" w:hAnsi="Times New Roman"/>
          <w:szCs w:val="24"/>
        </w:rPr>
        <w:t xml:space="preserve">10. </w:t>
      </w:r>
      <w:r w:rsidR="009F42A9">
        <w:rPr>
          <w:rFonts w:ascii="Times New Roman" w:hAnsi="Times New Roman"/>
          <w:szCs w:val="24"/>
          <w:u w:val="single"/>
        </w:rPr>
        <w:t>C</w:t>
      </w:r>
      <w:r>
        <w:rPr>
          <w:rFonts w:ascii="Times New Roman" w:hAnsi="Times New Roman"/>
          <w:szCs w:val="24"/>
          <w:u w:val="single"/>
        </w:rPr>
        <w:t>onfidentiality</w:t>
      </w:r>
      <w:r>
        <w:rPr>
          <w:rFonts w:ascii="Times New Roman" w:hAnsi="Times New Roman"/>
          <w:szCs w:val="24"/>
        </w:rPr>
        <w:t>:</w:t>
      </w:r>
    </w:p>
    <w:p w:rsidR="00075A03" w:rsidRDefault="00075A03">
      <w:pPr>
        <w:rPr>
          <w:rFonts w:ascii="Times New Roman" w:hAnsi="Times New Roman"/>
          <w:szCs w:val="24"/>
        </w:rPr>
      </w:pPr>
    </w:p>
    <w:p w:rsidR="00075A03" w:rsidRDefault="00075A03">
      <w:pPr>
        <w:ind w:firstLine="720"/>
        <w:outlineLvl w:val="0"/>
        <w:rPr>
          <w:rFonts w:ascii="Times New Roman" w:hAnsi="Times New Roman"/>
          <w:szCs w:val="24"/>
        </w:rPr>
      </w:pPr>
      <w:r>
        <w:rPr>
          <w:rFonts w:ascii="Times New Roman" w:hAnsi="Times New Roman"/>
          <w:szCs w:val="24"/>
        </w:rPr>
        <w:t>There is no assurance of confidentiality.</w:t>
      </w:r>
    </w:p>
    <w:p w:rsidR="00075A03" w:rsidRDefault="00075A03">
      <w:pPr>
        <w:rPr>
          <w:rFonts w:ascii="Times New Roman" w:hAnsi="Times New Roman"/>
          <w:szCs w:val="24"/>
        </w:rPr>
      </w:pPr>
    </w:p>
    <w:p w:rsidR="00075A03" w:rsidRDefault="00075A03">
      <w:pPr>
        <w:tabs>
          <w:tab w:val="left" w:pos="-1440"/>
        </w:tabs>
        <w:ind w:left="720" w:hanging="720"/>
        <w:outlineLvl w:val="0"/>
        <w:rPr>
          <w:rFonts w:ascii="Times New Roman" w:hAnsi="Times New Roman"/>
          <w:szCs w:val="24"/>
        </w:rPr>
      </w:pPr>
      <w:r>
        <w:rPr>
          <w:rFonts w:ascii="Times New Roman" w:hAnsi="Times New Roman"/>
          <w:szCs w:val="24"/>
        </w:rPr>
        <w:t xml:space="preserve">11. </w:t>
      </w:r>
      <w:r w:rsidR="00B84A37">
        <w:rPr>
          <w:rFonts w:ascii="Times New Roman" w:hAnsi="Times New Roman"/>
          <w:szCs w:val="24"/>
          <w:u w:val="single"/>
        </w:rPr>
        <w:t>Questions</w:t>
      </w:r>
      <w:r w:rsidR="009F42A9">
        <w:rPr>
          <w:rFonts w:ascii="Times New Roman" w:hAnsi="Times New Roman"/>
          <w:szCs w:val="24"/>
          <w:u w:val="single"/>
        </w:rPr>
        <w:t xml:space="preserve"> of a S</w:t>
      </w:r>
      <w:r>
        <w:rPr>
          <w:rFonts w:ascii="Times New Roman" w:hAnsi="Times New Roman"/>
          <w:szCs w:val="24"/>
          <w:u w:val="single"/>
        </w:rPr>
        <w:t xml:space="preserve">ensitive </w:t>
      </w:r>
      <w:r w:rsidR="009F42A9">
        <w:rPr>
          <w:rFonts w:ascii="Times New Roman" w:hAnsi="Times New Roman"/>
          <w:szCs w:val="24"/>
          <w:u w:val="single"/>
        </w:rPr>
        <w:t>N</w:t>
      </w:r>
      <w:r>
        <w:rPr>
          <w:rFonts w:ascii="Times New Roman" w:hAnsi="Times New Roman"/>
          <w:szCs w:val="24"/>
          <w:u w:val="single"/>
        </w:rPr>
        <w:t>ature</w:t>
      </w:r>
      <w:r>
        <w:rPr>
          <w:rFonts w:ascii="Times New Roman" w:hAnsi="Times New Roman"/>
          <w:szCs w:val="24"/>
        </w:rPr>
        <w:t>:</w:t>
      </w:r>
    </w:p>
    <w:p w:rsidR="00075A03" w:rsidRDefault="00075A03">
      <w:pPr>
        <w:rPr>
          <w:rFonts w:ascii="Times New Roman" w:hAnsi="Times New Roman"/>
          <w:szCs w:val="24"/>
        </w:rPr>
      </w:pPr>
    </w:p>
    <w:p w:rsidR="00075A03" w:rsidRDefault="00075A03">
      <w:pPr>
        <w:ind w:firstLine="720"/>
        <w:outlineLvl w:val="0"/>
        <w:rPr>
          <w:rFonts w:ascii="Times New Roman" w:hAnsi="Times New Roman"/>
          <w:szCs w:val="24"/>
        </w:rPr>
      </w:pPr>
      <w:r>
        <w:rPr>
          <w:rFonts w:ascii="Times New Roman" w:hAnsi="Times New Roman"/>
          <w:szCs w:val="24"/>
        </w:rPr>
        <w:t>There are no questions of a sensitive nature.</w:t>
      </w:r>
    </w:p>
    <w:p w:rsidR="00075A03" w:rsidRDefault="00075A03">
      <w:pPr>
        <w:rPr>
          <w:rFonts w:ascii="Times New Roman" w:hAnsi="Times New Roman"/>
          <w:szCs w:val="24"/>
        </w:rPr>
      </w:pPr>
    </w:p>
    <w:p w:rsidR="00075A03" w:rsidRDefault="00075A03">
      <w:pPr>
        <w:tabs>
          <w:tab w:val="left" w:pos="-1440"/>
        </w:tabs>
        <w:ind w:left="720" w:hanging="720"/>
        <w:outlineLvl w:val="0"/>
        <w:rPr>
          <w:rFonts w:ascii="Times New Roman" w:hAnsi="Times New Roman"/>
          <w:szCs w:val="24"/>
        </w:rPr>
      </w:pPr>
      <w:r>
        <w:rPr>
          <w:rFonts w:ascii="Times New Roman" w:hAnsi="Times New Roman"/>
          <w:szCs w:val="24"/>
        </w:rPr>
        <w:t xml:space="preserve">12. </w:t>
      </w:r>
      <w:r w:rsidR="009F42A9">
        <w:rPr>
          <w:rFonts w:ascii="Times New Roman" w:hAnsi="Times New Roman"/>
          <w:szCs w:val="24"/>
          <w:u w:val="single"/>
        </w:rPr>
        <w:t>Estimate of Annual Burden</w:t>
      </w:r>
    </w:p>
    <w:p w:rsidR="00075A03" w:rsidRDefault="00075A03">
      <w:pPr>
        <w:rPr>
          <w:rFonts w:ascii="Times New Roman" w:hAnsi="Times New Roman"/>
        </w:rPr>
      </w:pPr>
      <w:r>
        <w:rPr>
          <w:rFonts w:ascii="Times New Roman" w:hAnsi="Times New Roman"/>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70"/>
        <w:gridCol w:w="1443"/>
        <w:gridCol w:w="1229"/>
        <w:gridCol w:w="2117"/>
        <w:gridCol w:w="1491"/>
      </w:tblGrid>
      <w:tr w:rsidRPr="009D3A48" w:rsidR="001A1972" w:rsidTr="00D86601">
        <w:tc>
          <w:tcPr>
            <w:tcW w:w="3184" w:type="dxa"/>
            <w:shd w:val="clear" w:color="auto" w:fill="auto"/>
          </w:tcPr>
          <w:p w:rsidRPr="009D3A48" w:rsidR="001A1972" w:rsidRDefault="001A1972">
            <w:pPr>
              <w:rPr>
                <w:rFonts w:ascii="Times New Roman" w:hAnsi="Times New Roman"/>
              </w:rPr>
            </w:pPr>
          </w:p>
          <w:p w:rsidRPr="009D3A48" w:rsidR="001A1972" w:rsidRDefault="001A1972">
            <w:pPr>
              <w:rPr>
                <w:rFonts w:ascii="Times New Roman" w:hAnsi="Times New Roman"/>
              </w:rPr>
            </w:pPr>
          </w:p>
          <w:p w:rsidRPr="009D3A48" w:rsidR="001A1972" w:rsidRDefault="001A1972">
            <w:pPr>
              <w:rPr>
                <w:rFonts w:ascii="Times New Roman" w:hAnsi="Times New Roman"/>
              </w:rPr>
            </w:pPr>
            <w:r w:rsidRPr="009D3A48">
              <w:rPr>
                <w:rFonts w:ascii="Times New Roman" w:hAnsi="Times New Roman"/>
              </w:rPr>
              <w:t>Description and Type</w:t>
            </w:r>
          </w:p>
        </w:tc>
        <w:tc>
          <w:tcPr>
            <w:tcW w:w="1443" w:type="dxa"/>
            <w:shd w:val="clear" w:color="auto" w:fill="auto"/>
          </w:tcPr>
          <w:p w:rsidRPr="009D3A48" w:rsidR="001A1972" w:rsidRDefault="001A1972">
            <w:pPr>
              <w:rPr>
                <w:rFonts w:ascii="Times New Roman" w:hAnsi="Times New Roman"/>
              </w:rPr>
            </w:pPr>
          </w:p>
          <w:p w:rsidRPr="009D3A48" w:rsidR="001A1972" w:rsidRDefault="001A1972">
            <w:pPr>
              <w:rPr>
                <w:rFonts w:ascii="Times New Roman" w:hAnsi="Times New Roman"/>
              </w:rPr>
            </w:pPr>
            <w:r w:rsidRPr="009D3A48">
              <w:rPr>
                <w:rFonts w:ascii="Times New Roman" w:hAnsi="Times New Roman"/>
              </w:rPr>
              <w:t>No. of Respondents</w:t>
            </w:r>
          </w:p>
        </w:tc>
        <w:tc>
          <w:tcPr>
            <w:tcW w:w="1229" w:type="dxa"/>
            <w:shd w:val="clear" w:color="auto" w:fill="auto"/>
          </w:tcPr>
          <w:p w:rsidRPr="009D3A48" w:rsidR="001A1972" w:rsidRDefault="001A1972">
            <w:pPr>
              <w:rPr>
                <w:rFonts w:ascii="Times New Roman" w:hAnsi="Times New Roman"/>
              </w:rPr>
            </w:pPr>
            <w:r w:rsidRPr="009D3A48">
              <w:rPr>
                <w:rFonts w:ascii="Times New Roman" w:hAnsi="Times New Roman"/>
              </w:rPr>
              <w:t>Frequency of Response</w:t>
            </w:r>
          </w:p>
        </w:tc>
        <w:tc>
          <w:tcPr>
            <w:tcW w:w="2202" w:type="dxa"/>
            <w:shd w:val="clear" w:color="auto" w:fill="auto"/>
          </w:tcPr>
          <w:p w:rsidRPr="009D3A48" w:rsidR="001A1972" w:rsidRDefault="001A1972">
            <w:pPr>
              <w:rPr>
                <w:rFonts w:ascii="Times New Roman" w:hAnsi="Times New Roman"/>
              </w:rPr>
            </w:pPr>
          </w:p>
          <w:p w:rsidRPr="009D3A48" w:rsidR="001A1972" w:rsidRDefault="001A1972">
            <w:pPr>
              <w:rPr>
                <w:rFonts w:ascii="Times New Roman" w:hAnsi="Times New Roman"/>
              </w:rPr>
            </w:pPr>
            <w:r w:rsidRPr="009D3A48">
              <w:rPr>
                <w:rFonts w:ascii="Times New Roman" w:hAnsi="Times New Roman"/>
              </w:rPr>
              <w:t>Time per Response</w:t>
            </w:r>
          </w:p>
        </w:tc>
        <w:tc>
          <w:tcPr>
            <w:tcW w:w="1518" w:type="dxa"/>
            <w:shd w:val="clear" w:color="auto" w:fill="auto"/>
          </w:tcPr>
          <w:p w:rsidRPr="009D3A48" w:rsidR="001A1972" w:rsidRDefault="001A1972">
            <w:pPr>
              <w:rPr>
                <w:rFonts w:ascii="Times New Roman" w:hAnsi="Times New Roman"/>
              </w:rPr>
            </w:pPr>
            <w:r w:rsidRPr="009D3A48">
              <w:rPr>
                <w:rFonts w:ascii="Times New Roman" w:hAnsi="Times New Roman"/>
              </w:rPr>
              <w:t>Estimated Annual Burden Hours</w:t>
            </w:r>
          </w:p>
        </w:tc>
      </w:tr>
      <w:tr w:rsidRPr="009D3A48" w:rsidR="001A1972" w:rsidTr="00D86601">
        <w:tc>
          <w:tcPr>
            <w:tcW w:w="3184" w:type="dxa"/>
            <w:shd w:val="clear" w:color="auto" w:fill="auto"/>
          </w:tcPr>
          <w:p w:rsidRPr="009D3A48" w:rsidR="001A1972" w:rsidRDefault="00D86601">
            <w:pPr>
              <w:rPr>
                <w:rFonts w:ascii="Times New Roman" w:hAnsi="Times New Roman"/>
                <w:i/>
              </w:rPr>
            </w:pPr>
            <w:r>
              <w:rPr>
                <w:rFonts w:ascii="Times New Roman" w:hAnsi="Times New Roman"/>
              </w:rPr>
              <w:t>Reporting Requirements</w:t>
            </w:r>
          </w:p>
        </w:tc>
        <w:tc>
          <w:tcPr>
            <w:tcW w:w="1443" w:type="dxa"/>
            <w:shd w:val="clear" w:color="auto" w:fill="auto"/>
          </w:tcPr>
          <w:p w:rsidRPr="009D3A48" w:rsidR="001A1972" w:rsidP="009D3A48" w:rsidRDefault="001A1972">
            <w:pPr>
              <w:jc w:val="center"/>
              <w:rPr>
                <w:rFonts w:ascii="Times New Roman" w:hAnsi="Times New Roman"/>
              </w:rPr>
            </w:pPr>
            <w:r w:rsidRPr="009D3A48">
              <w:rPr>
                <w:rFonts w:ascii="Times New Roman" w:hAnsi="Times New Roman"/>
              </w:rPr>
              <w:t>1</w:t>
            </w:r>
          </w:p>
        </w:tc>
        <w:tc>
          <w:tcPr>
            <w:tcW w:w="1229" w:type="dxa"/>
            <w:shd w:val="clear" w:color="auto" w:fill="auto"/>
          </w:tcPr>
          <w:p w:rsidRPr="009D3A48" w:rsidR="001A1972" w:rsidP="009D3A48" w:rsidRDefault="001A1972">
            <w:pPr>
              <w:jc w:val="center"/>
              <w:rPr>
                <w:rFonts w:ascii="Times New Roman" w:hAnsi="Times New Roman"/>
              </w:rPr>
            </w:pPr>
            <w:r w:rsidRPr="009D3A48">
              <w:rPr>
                <w:rFonts w:ascii="Times New Roman" w:hAnsi="Times New Roman"/>
              </w:rPr>
              <w:t>1</w:t>
            </w:r>
          </w:p>
        </w:tc>
        <w:tc>
          <w:tcPr>
            <w:tcW w:w="2202" w:type="dxa"/>
            <w:shd w:val="clear" w:color="auto" w:fill="auto"/>
          </w:tcPr>
          <w:p w:rsidRPr="009D3A48" w:rsidR="001A1972" w:rsidP="009D3A48" w:rsidRDefault="001A1972">
            <w:pPr>
              <w:jc w:val="right"/>
              <w:rPr>
                <w:rFonts w:ascii="Times New Roman" w:hAnsi="Times New Roman"/>
              </w:rPr>
            </w:pPr>
            <w:r w:rsidRPr="009D3A48">
              <w:rPr>
                <w:rFonts w:ascii="Times New Roman" w:hAnsi="Times New Roman"/>
              </w:rPr>
              <w:t>16 hours</w:t>
            </w:r>
          </w:p>
        </w:tc>
        <w:tc>
          <w:tcPr>
            <w:tcW w:w="1518" w:type="dxa"/>
            <w:shd w:val="clear" w:color="auto" w:fill="auto"/>
          </w:tcPr>
          <w:p w:rsidRPr="009D3A48" w:rsidR="001A1972" w:rsidP="009D3A48" w:rsidRDefault="001A1972">
            <w:pPr>
              <w:jc w:val="right"/>
              <w:rPr>
                <w:rFonts w:ascii="Times New Roman" w:hAnsi="Times New Roman"/>
              </w:rPr>
            </w:pPr>
            <w:r w:rsidRPr="009D3A48">
              <w:rPr>
                <w:rFonts w:ascii="Times New Roman" w:hAnsi="Times New Roman"/>
              </w:rPr>
              <w:t>16 hours</w:t>
            </w:r>
          </w:p>
        </w:tc>
      </w:tr>
      <w:tr w:rsidRPr="009D3A48" w:rsidR="001A1972" w:rsidTr="00D86601">
        <w:tc>
          <w:tcPr>
            <w:tcW w:w="3184" w:type="dxa"/>
            <w:shd w:val="clear" w:color="auto" w:fill="auto"/>
          </w:tcPr>
          <w:p w:rsidRPr="009D3A48" w:rsidR="001A1972" w:rsidRDefault="001A1972">
            <w:pPr>
              <w:rPr>
                <w:rFonts w:ascii="Times New Roman" w:hAnsi="Times New Roman"/>
                <w:b/>
              </w:rPr>
            </w:pPr>
            <w:r w:rsidRPr="009D3A48">
              <w:rPr>
                <w:rFonts w:ascii="Times New Roman" w:hAnsi="Times New Roman"/>
                <w:b/>
              </w:rPr>
              <w:t>Total Reporting</w:t>
            </w:r>
          </w:p>
        </w:tc>
        <w:tc>
          <w:tcPr>
            <w:tcW w:w="1443" w:type="dxa"/>
            <w:shd w:val="clear" w:color="auto" w:fill="auto"/>
          </w:tcPr>
          <w:p w:rsidRPr="009D3A48" w:rsidR="001A1972" w:rsidP="009D3A48" w:rsidRDefault="001A1972">
            <w:pPr>
              <w:jc w:val="center"/>
              <w:rPr>
                <w:rFonts w:ascii="Times New Roman" w:hAnsi="Times New Roman"/>
              </w:rPr>
            </w:pPr>
          </w:p>
        </w:tc>
        <w:tc>
          <w:tcPr>
            <w:tcW w:w="1229" w:type="dxa"/>
            <w:shd w:val="clear" w:color="auto" w:fill="auto"/>
          </w:tcPr>
          <w:p w:rsidRPr="009D3A48" w:rsidR="001A1972" w:rsidP="009D3A48" w:rsidRDefault="001A1972">
            <w:pPr>
              <w:jc w:val="center"/>
              <w:rPr>
                <w:rFonts w:ascii="Times New Roman" w:hAnsi="Times New Roman"/>
              </w:rPr>
            </w:pPr>
          </w:p>
        </w:tc>
        <w:tc>
          <w:tcPr>
            <w:tcW w:w="2202" w:type="dxa"/>
            <w:shd w:val="clear" w:color="auto" w:fill="auto"/>
          </w:tcPr>
          <w:p w:rsidRPr="009D3A48" w:rsidR="001A1972" w:rsidP="009D3A48" w:rsidRDefault="001A1972">
            <w:pPr>
              <w:jc w:val="right"/>
              <w:rPr>
                <w:rFonts w:ascii="Times New Roman" w:hAnsi="Times New Roman"/>
              </w:rPr>
            </w:pPr>
          </w:p>
        </w:tc>
        <w:tc>
          <w:tcPr>
            <w:tcW w:w="1518" w:type="dxa"/>
            <w:shd w:val="clear" w:color="auto" w:fill="auto"/>
          </w:tcPr>
          <w:p w:rsidRPr="009D3A48" w:rsidR="001A1972" w:rsidP="009D3A48" w:rsidRDefault="001A1972">
            <w:pPr>
              <w:jc w:val="right"/>
              <w:rPr>
                <w:rFonts w:ascii="Times New Roman" w:hAnsi="Times New Roman"/>
                <w:b/>
              </w:rPr>
            </w:pPr>
            <w:r w:rsidRPr="009D3A48">
              <w:rPr>
                <w:rFonts w:ascii="Times New Roman" w:hAnsi="Times New Roman"/>
                <w:b/>
              </w:rPr>
              <w:t>16 hours</w:t>
            </w:r>
          </w:p>
        </w:tc>
      </w:tr>
      <w:tr w:rsidRPr="009D3A48" w:rsidR="001A1972" w:rsidTr="00D86601">
        <w:tc>
          <w:tcPr>
            <w:tcW w:w="3184" w:type="dxa"/>
            <w:shd w:val="clear" w:color="auto" w:fill="auto"/>
          </w:tcPr>
          <w:p w:rsidRPr="009D3A48" w:rsidR="001A1972" w:rsidRDefault="001A1972">
            <w:pPr>
              <w:rPr>
                <w:rFonts w:ascii="Times New Roman" w:hAnsi="Times New Roman"/>
              </w:rPr>
            </w:pPr>
          </w:p>
        </w:tc>
        <w:tc>
          <w:tcPr>
            <w:tcW w:w="1443" w:type="dxa"/>
            <w:shd w:val="clear" w:color="auto" w:fill="auto"/>
          </w:tcPr>
          <w:p w:rsidRPr="009D3A48" w:rsidR="001A1972" w:rsidP="009D3A48" w:rsidRDefault="001A1972">
            <w:pPr>
              <w:jc w:val="center"/>
              <w:rPr>
                <w:rFonts w:ascii="Times New Roman" w:hAnsi="Times New Roman"/>
              </w:rPr>
            </w:pPr>
          </w:p>
        </w:tc>
        <w:tc>
          <w:tcPr>
            <w:tcW w:w="1229" w:type="dxa"/>
            <w:shd w:val="clear" w:color="auto" w:fill="auto"/>
          </w:tcPr>
          <w:p w:rsidRPr="009D3A48" w:rsidR="001A1972" w:rsidP="009D3A48" w:rsidRDefault="001A1972">
            <w:pPr>
              <w:jc w:val="center"/>
              <w:rPr>
                <w:rFonts w:ascii="Times New Roman" w:hAnsi="Times New Roman"/>
              </w:rPr>
            </w:pPr>
          </w:p>
        </w:tc>
        <w:tc>
          <w:tcPr>
            <w:tcW w:w="2202" w:type="dxa"/>
            <w:shd w:val="clear" w:color="auto" w:fill="auto"/>
          </w:tcPr>
          <w:p w:rsidRPr="009D3A48" w:rsidR="001A1972" w:rsidP="009D3A48" w:rsidRDefault="001A1972">
            <w:pPr>
              <w:jc w:val="right"/>
              <w:rPr>
                <w:rFonts w:ascii="Times New Roman" w:hAnsi="Times New Roman"/>
              </w:rPr>
            </w:pPr>
          </w:p>
        </w:tc>
        <w:tc>
          <w:tcPr>
            <w:tcW w:w="1518" w:type="dxa"/>
            <w:shd w:val="clear" w:color="auto" w:fill="auto"/>
          </w:tcPr>
          <w:p w:rsidRPr="009D3A48" w:rsidR="001A1972" w:rsidP="009D3A48" w:rsidRDefault="001A1972">
            <w:pPr>
              <w:jc w:val="right"/>
              <w:rPr>
                <w:rFonts w:ascii="Times New Roman" w:hAnsi="Times New Roman"/>
              </w:rPr>
            </w:pPr>
          </w:p>
        </w:tc>
      </w:tr>
      <w:tr w:rsidRPr="009D3A48" w:rsidR="001A1972" w:rsidTr="00D86601">
        <w:tc>
          <w:tcPr>
            <w:tcW w:w="3184" w:type="dxa"/>
            <w:shd w:val="clear" w:color="auto" w:fill="auto"/>
          </w:tcPr>
          <w:p w:rsidRPr="009D3A48" w:rsidR="001A1972" w:rsidRDefault="00D86601">
            <w:pPr>
              <w:rPr>
                <w:rFonts w:ascii="Times New Roman" w:hAnsi="Times New Roman"/>
                <w:i/>
              </w:rPr>
            </w:pPr>
            <w:r>
              <w:rPr>
                <w:rFonts w:ascii="Times New Roman" w:hAnsi="Times New Roman"/>
              </w:rPr>
              <w:t>Recordkeeping Requirements</w:t>
            </w:r>
          </w:p>
        </w:tc>
        <w:tc>
          <w:tcPr>
            <w:tcW w:w="1443" w:type="dxa"/>
            <w:shd w:val="clear" w:color="auto" w:fill="auto"/>
          </w:tcPr>
          <w:p w:rsidRPr="009D3A48" w:rsidR="001A1972" w:rsidP="009D3A48" w:rsidRDefault="001A1972">
            <w:pPr>
              <w:jc w:val="center"/>
              <w:rPr>
                <w:rFonts w:ascii="Times New Roman" w:hAnsi="Times New Roman"/>
              </w:rPr>
            </w:pPr>
            <w:r w:rsidRPr="009D3A48">
              <w:rPr>
                <w:rFonts w:ascii="Times New Roman" w:hAnsi="Times New Roman"/>
              </w:rPr>
              <w:t>1</w:t>
            </w:r>
          </w:p>
        </w:tc>
        <w:tc>
          <w:tcPr>
            <w:tcW w:w="1229" w:type="dxa"/>
            <w:shd w:val="clear" w:color="auto" w:fill="auto"/>
          </w:tcPr>
          <w:p w:rsidRPr="009D3A48" w:rsidR="001A1972" w:rsidP="009D3A48" w:rsidRDefault="001A1972">
            <w:pPr>
              <w:jc w:val="center"/>
              <w:rPr>
                <w:rFonts w:ascii="Times New Roman" w:hAnsi="Times New Roman"/>
              </w:rPr>
            </w:pPr>
            <w:r w:rsidRPr="009D3A48">
              <w:rPr>
                <w:rFonts w:ascii="Times New Roman" w:hAnsi="Times New Roman"/>
              </w:rPr>
              <w:t>1</w:t>
            </w:r>
          </w:p>
        </w:tc>
        <w:tc>
          <w:tcPr>
            <w:tcW w:w="2202" w:type="dxa"/>
            <w:shd w:val="clear" w:color="auto" w:fill="auto"/>
          </w:tcPr>
          <w:p w:rsidRPr="009D3A48" w:rsidR="001A1972" w:rsidP="009D3A48" w:rsidRDefault="00D86601">
            <w:pPr>
              <w:jc w:val="right"/>
              <w:rPr>
                <w:rFonts w:ascii="Times New Roman" w:hAnsi="Times New Roman"/>
              </w:rPr>
            </w:pPr>
            <w:r>
              <w:rPr>
                <w:rFonts w:ascii="Times New Roman" w:hAnsi="Times New Roman"/>
              </w:rPr>
              <w:t>1,332</w:t>
            </w:r>
            <w:r w:rsidRPr="009D3A48" w:rsidR="001A1972">
              <w:rPr>
                <w:rFonts w:ascii="Times New Roman" w:hAnsi="Times New Roman"/>
              </w:rPr>
              <w:t xml:space="preserve"> hours</w:t>
            </w:r>
          </w:p>
        </w:tc>
        <w:tc>
          <w:tcPr>
            <w:tcW w:w="1518" w:type="dxa"/>
            <w:shd w:val="clear" w:color="auto" w:fill="auto"/>
          </w:tcPr>
          <w:p w:rsidRPr="009D3A48" w:rsidR="001A1972" w:rsidP="009D3A48" w:rsidRDefault="00D86601">
            <w:pPr>
              <w:jc w:val="right"/>
              <w:rPr>
                <w:rFonts w:ascii="Times New Roman" w:hAnsi="Times New Roman"/>
              </w:rPr>
            </w:pPr>
            <w:r>
              <w:rPr>
                <w:rFonts w:ascii="Times New Roman" w:hAnsi="Times New Roman"/>
              </w:rPr>
              <w:t>1,332</w:t>
            </w:r>
            <w:r w:rsidRPr="009D3A48" w:rsidR="001A1972">
              <w:rPr>
                <w:rFonts w:ascii="Times New Roman" w:hAnsi="Times New Roman"/>
              </w:rPr>
              <w:t xml:space="preserve"> hours</w:t>
            </w:r>
          </w:p>
        </w:tc>
      </w:tr>
      <w:tr w:rsidRPr="009D3A48" w:rsidR="001A1972" w:rsidTr="00D86601">
        <w:tc>
          <w:tcPr>
            <w:tcW w:w="3184" w:type="dxa"/>
            <w:shd w:val="clear" w:color="auto" w:fill="auto"/>
          </w:tcPr>
          <w:p w:rsidRPr="00D86601" w:rsidR="001A1972" w:rsidRDefault="00D86601">
            <w:pPr>
              <w:rPr>
                <w:rFonts w:ascii="Times New Roman" w:hAnsi="Times New Roman"/>
                <w:b/>
                <w:i/>
              </w:rPr>
            </w:pPr>
            <w:r w:rsidRPr="00D86601">
              <w:rPr>
                <w:rFonts w:ascii="Times New Roman" w:hAnsi="Times New Roman"/>
                <w:b/>
              </w:rPr>
              <w:t>Total Recordkeeping</w:t>
            </w:r>
          </w:p>
        </w:tc>
        <w:tc>
          <w:tcPr>
            <w:tcW w:w="1443" w:type="dxa"/>
            <w:shd w:val="clear" w:color="auto" w:fill="auto"/>
          </w:tcPr>
          <w:p w:rsidRPr="009D3A48" w:rsidR="001A1972" w:rsidP="009D3A48" w:rsidRDefault="001A1972">
            <w:pPr>
              <w:jc w:val="center"/>
              <w:rPr>
                <w:rFonts w:ascii="Times New Roman" w:hAnsi="Times New Roman"/>
              </w:rPr>
            </w:pPr>
          </w:p>
        </w:tc>
        <w:tc>
          <w:tcPr>
            <w:tcW w:w="1229" w:type="dxa"/>
            <w:shd w:val="clear" w:color="auto" w:fill="auto"/>
          </w:tcPr>
          <w:p w:rsidRPr="009D3A48" w:rsidR="001A1972" w:rsidP="009D3A48" w:rsidRDefault="001A1972">
            <w:pPr>
              <w:jc w:val="center"/>
              <w:rPr>
                <w:rFonts w:ascii="Times New Roman" w:hAnsi="Times New Roman"/>
              </w:rPr>
            </w:pPr>
          </w:p>
        </w:tc>
        <w:tc>
          <w:tcPr>
            <w:tcW w:w="2202" w:type="dxa"/>
            <w:shd w:val="clear" w:color="auto" w:fill="auto"/>
          </w:tcPr>
          <w:p w:rsidRPr="009D3A48" w:rsidR="00AC0954" w:rsidP="009D3A48" w:rsidRDefault="00AC0954">
            <w:pPr>
              <w:jc w:val="right"/>
              <w:rPr>
                <w:rFonts w:ascii="Times New Roman" w:hAnsi="Times New Roman"/>
              </w:rPr>
            </w:pPr>
          </w:p>
        </w:tc>
        <w:tc>
          <w:tcPr>
            <w:tcW w:w="1518" w:type="dxa"/>
            <w:shd w:val="clear" w:color="auto" w:fill="auto"/>
          </w:tcPr>
          <w:p w:rsidRPr="00D86601" w:rsidR="00AC0954" w:rsidP="009D3A48" w:rsidRDefault="00D86601">
            <w:pPr>
              <w:jc w:val="right"/>
              <w:rPr>
                <w:rFonts w:ascii="Times New Roman" w:hAnsi="Times New Roman"/>
                <w:b/>
              </w:rPr>
            </w:pPr>
            <w:r w:rsidRPr="00D86601">
              <w:rPr>
                <w:rFonts w:ascii="Times New Roman" w:hAnsi="Times New Roman"/>
                <w:b/>
              </w:rPr>
              <w:t>1,332 hours</w:t>
            </w:r>
          </w:p>
        </w:tc>
      </w:tr>
      <w:tr w:rsidRPr="009D3A48" w:rsidR="00AC0954" w:rsidTr="00D86601">
        <w:tc>
          <w:tcPr>
            <w:tcW w:w="3184" w:type="dxa"/>
            <w:shd w:val="clear" w:color="auto" w:fill="auto"/>
          </w:tcPr>
          <w:p w:rsidRPr="009D3A48" w:rsidR="00AC0954" w:rsidRDefault="00AC0954">
            <w:pPr>
              <w:rPr>
                <w:rFonts w:ascii="Times New Roman" w:hAnsi="Times New Roman"/>
                <w:b/>
              </w:rPr>
            </w:pPr>
          </w:p>
        </w:tc>
        <w:tc>
          <w:tcPr>
            <w:tcW w:w="1443" w:type="dxa"/>
            <w:shd w:val="clear" w:color="auto" w:fill="auto"/>
          </w:tcPr>
          <w:p w:rsidRPr="009D3A48" w:rsidR="00AC0954" w:rsidP="009D3A48" w:rsidRDefault="00AC0954">
            <w:pPr>
              <w:jc w:val="center"/>
              <w:rPr>
                <w:rFonts w:ascii="Times New Roman" w:hAnsi="Times New Roman"/>
              </w:rPr>
            </w:pPr>
          </w:p>
        </w:tc>
        <w:tc>
          <w:tcPr>
            <w:tcW w:w="1229" w:type="dxa"/>
            <w:shd w:val="clear" w:color="auto" w:fill="auto"/>
          </w:tcPr>
          <w:p w:rsidRPr="009D3A48" w:rsidR="00AC0954" w:rsidP="009D3A48" w:rsidRDefault="00AC0954">
            <w:pPr>
              <w:jc w:val="center"/>
              <w:rPr>
                <w:rFonts w:ascii="Times New Roman" w:hAnsi="Times New Roman"/>
              </w:rPr>
            </w:pPr>
          </w:p>
        </w:tc>
        <w:tc>
          <w:tcPr>
            <w:tcW w:w="2202" w:type="dxa"/>
            <w:shd w:val="clear" w:color="auto" w:fill="auto"/>
          </w:tcPr>
          <w:p w:rsidRPr="009D3A48" w:rsidR="00AC0954" w:rsidP="009D3A48" w:rsidRDefault="00AC0954">
            <w:pPr>
              <w:jc w:val="right"/>
              <w:rPr>
                <w:rFonts w:ascii="Times New Roman" w:hAnsi="Times New Roman"/>
              </w:rPr>
            </w:pPr>
          </w:p>
        </w:tc>
        <w:tc>
          <w:tcPr>
            <w:tcW w:w="1518" w:type="dxa"/>
            <w:shd w:val="clear" w:color="auto" w:fill="auto"/>
          </w:tcPr>
          <w:p w:rsidRPr="009D3A48" w:rsidR="00AC0954" w:rsidP="009D3A48" w:rsidRDefault="00AC0954">
            <w:pPr>
              <w:jc w:val="right"/>
              <w:rPr>
                <w:rFonts w:ascii="Times New Roman" w:hAnsi="Times New Roman"/>
                <w:b/>
              </w:rPr>
            </w:pPr>
          </w:p>
        </w:tc>
      </w:tr>
      <w:tr w:rsidRPr="009D3A48" w:rsidR="00AC0954" w:rsidTr="00D86601">
        <w:tc>
          <w:tcPr>
            <w:tcW w:w="3184" w:type="dxa"/>
            <w:shd w:val="clear" w:color="auto" w:fill="auto"/>
          </w:tcPr>
          <w:p w:rsidRPr="009D3A48" w:rsidR="00AC0954" w:rsidRDefault="00D86601">
            <w:pPr>
              <w:rPr>
                <w:rFonts w:ascii="Times New Roman" w:hAnsi="Times New Roman"/>
                <w:i/>
              </w:rPr>
            </w:pPr>
            <w:r>
              <w:rPr>
                <w:rFonts w:ascii="Times New Roman" w:hAnsi="Times New Roman"/>
              </w:rPr>
              <w:t>Third-Party Disclosure Requirements</w:t>
            </w:r>
          </w:p>
        </w:tc>
        <w:tc>
          <w:tcPr>
            <w:tcW w:w="1443" w:type="dxa"/>
            <w:shd w:val="clear" w:color="auto" w:fill="auto"/>
          </w:tcPr>
          <w:p w:rsidRPr="009D3A48" w:rsidR="00AC0954" w:rsidP="009D3A48" w:rsidRDefault="00AC0954">
            <w:pPr>
              <w:jc w:val="center"/>
              <w:rPr>
                <w:rFonts w:ascii="Times New Roman" w:hAnsi="Times New Roman"/>
              </w:rPr>
            </w:pPr>
          </w:p>
          <w:p w:rsidRPr="009D3A48" w:rsidR="00AC0954" w:rsidP="009D3A48" w:rsidRDefault="00AC0954">
            <w:pPr>
              <w:jc w:val="center"/>
              <w:rPr>
                <w:rFonts w:ascii="Times New Roman" w:hAnsi="Times New Roman"/>
              </w:rPr>
            </w:pPr>
            <w:r w:rsidRPr="009D3A48">
              <w:rPr>
                <w:rFonts w:ascii="Times New Roman" w:hAnsi="Times New Roman"/>
              </w:rPr>
              <w:t>1</w:t>
            </w:r>
          </w:p>
        </w:tc>
        <w:tc>
          <w:tcPr>
            <w:tcW w:w="1229" w:type="dxa"/>
            <w:shd w:val="clear" w:color="auto" w:fill="auto"/>
          </w:tcPr>
          <w:p w:rsidRPr="009D3A48" w:rsidR="00AC0954" w:rsidP="009D3A48" w:rsidRDefault="00AC0954">
            <w:pPr>
              <w:jc w:val="center"/>
              <w:rPr>
                <w:rFonts w:ascii="Times New Roman" w:hAnsi="Times New Roman"/>
              </w:rPr>
            </w:pPr>
          </w:p>
          <w:p w:rsidRPr="009D3A48" w:rsidR="00AC0954" w:rsidP="009D3A48" w:rsidRDefault="00D86601">
            <w:pPr>
              <w:jc w:val="center"/>
              <w:rPr>
                <w:rFonts w:ascii="Times New Roman" w:hAnsi="Times New Roman"/>
              </w:rPr>
            </w:pPr>
            <w:r>
              <w:rPr>
                <w:rFonts w:ascii="Times New Roman" w:hAnsi="Times New Roman"/>
              </w:rPr>
              <w:t>1</w:t>
            </w:r>
          </w:p>
        </w:tc>
        <w:tc>
          <w:tcPr>
            <w:tcW w:w="2202" w:type="dxa"/>
            <w:shd w:val="clear" w:color="auto" w:fill="auto"/>
          </w:tcPr>
          <w:p w:rsidRPr="009D3A48" w:rsidR="00AC0954" w:rsidP="009D3A48" w:rsidRDefault="00AC0954">
            <w:pPr>
              <w:jc w:val="right"/>
              <w:rPr>
                <w:rFonts w:ascii="Times New Roman" w:hAnsi="Times New Roman"/>
              </w:rPr>
            </w:pPr>
          </w:p>
          <w:p w:rsidRPr="009D3A48" w:rsidR="00AC0954" w:rsidP="009D3A48" w:rsidRDefault="00D86601">
            <w:pPr>
              <w:jc w:val="right"/>
              <w:rPr>
                <w:rFonts w:ascii="Times New Roman" w:hAnsi="Times New Roman"/>
              </w:rPr>
            </w:pPr>
            <w:r>
              <w:rPr>
                <w:rFonts w:ascii="Times New Roman" w:hAnsi="Times New Roman"/>
              </w:rPr>
              <w:t>166</w:t>
            </w:r>
            <w:r w:rsidRPr="009D3A48" w:rsidR="00AC0954">
              <w:rPr>
                <w:rFonts w:ascii="Times New Roman" w:hAnsi="Times New Roman"/>
              </w:rPr>
              <w:t xml:space="preserve"> hours</w:t>
            </w:r>
          </w:p>
        </w:tc>
        <w:tc>
          <w:tcPr>
            <w:tcW w:w="1518" w:type="dxa"/>
            <w:shd w:val="clear" w:color="auto" w:fill="auto"/>
          </w:tcPr>
          <w:p w:rsidRPr="009D3A48" w:rsidR="00AC0954" w:rsidP="009D3A48" w:rsidRDefault="00AC0954">
            <w:pPr>
              <w:jc w:val="right"/>
              <w:rPr>
                <w:rFonts w:ascii="Times New Roman" w:hAnsi="Times New Roman"/>
              </w:rPr>
            </w:pPr>
          </w:p>
          <w:p w:rsidRPr="009D3A48" w:rsidR="00AC0954" w:rsidP="009D3A48" w:rsidRDefault="00AC0954">
            <w:pPr>
              <w:jc w:val="right"/>
              <w:rPr>
                <w:rFonts w:ascii="Times New Roman" w:hAnsi="Times New Roman"/>
              </w:rPr>
            </w:pPr>
            <w:r w:rsidRPr="009D3A48">
              <w:rPr>
                <w:rFonts w:ascii="Times New Roman" w:hAnsi="Times New Roman"/>
              </w:rPr>
              <w:t>1</w:t>
            </w:r>
            <w:r w:rsidR="00D86601">
              <w:rPr>
                <w:rFonts w:ascii="Times New Roman" w:hAnsi="Times New Roman"/>
              </w:rPr>
              <w:t>1</w:t>
            </w:r>
            <w:r w:rsidRPr="009D3A48">
              <w:rPr>
                <w:rFonts w:ascii="Times New Roman" w:hAnsi="Times New Roman"/>
              </w:rPr>
              <w:t>6 hours</w:t>
            </w:r>
          </w:p>
        </w:tc>
      </w:tr>
      <w:tr w:rsidRPr="009D3A48" w:rsidR="00A46C0C" w:rsidTr="00D86601">
        <w:tc>
          <w:tcPr>
            <w:tcW w:w="3184" w:type="dxa"/>
            <w:shd w:val="clear" w:color="auto" w:fill="auto"/>
          </w:tcPr>
          <w:p w:rsidRPr="009D3A48" w:rsidR="00A46C0C" w:rsidRDefault="00A46C0C">
            <w:pPr>
              <w:rPr>
                <w:rFonts w:ascii="Times New Roman" w:hAnsi="Times New Roman"/>
                <w:b/>
              </w:rPr>
            </w:pPr>
            <w:r w:rsidRPr="009D3A48">
              <w:rPr>
                <w:rFonts w:ascii="Times New Roman" w:hAnsi="Times New Roman"/>
                <w:b/>
              </w:rPr>
              <w:t>Total Disclosure</w:t>
            </w:r>
          </w:p>
        </w:tc>
        <w:tc>
          <w:tcPr>
            <w:tcW w:w="1443" w:type="dxa"/>
            <w:shd w:val="clear" w:color="auto" w:fill="auto"/>
          </w:tcPr>
          <w:p w:rsidRPr="009D3A48" w:rsidR="00A46C0C" w:rsidP="009D3A48" w:rsidRDefault="00A46C0C">
            <w:pPr>
              <w:jc w:val="center"/>
              <w:rPr>
                <w:rFonts w:ascii="Times New Roman" w:hAnsi="Times New Roman"/>
              </w:rPr>
            </w:pPr>
          </w:p>
        </w:tc>
        <w:tc>
          <w:tcPr>
            <w:tcW w:w="1229" w:type="dxa"/>
            <w:shd w:val="clear" w:color="auto" w:fill="auto"/>
          </w:tcPr>
          <w:p w:rsidRPr="009D3A48" w:rsidR="00A46C0C" w:rsidP="009D3A48" w:rsidRDefault="00A46C0C">
            <w:pPr>
              <w:jc w:val="center"/>
              <w:rPr>
                <w:rFonts w:ascii="Times New Roman" w:hAnsi="Times New Roman"/>
              </w:rPr>
            </w:pPr>
          </w:p>
        </w:tc>
        <w:tc>
          <w:tcPr>
            <w:tcW w:w="2202" w:type="dxa"/>
            <w:shd w:val="clear" w:color="auto" w:fill="auto"/>
          </w:tcPr>
          <w:p w:rsidRPr="009D3A48" w:rsidR="00A46C0C" w:rsidP="009D3A48" w:rsidRDefault="00A46C0C">
            <w:pPr>
              <w:jc w:val="right"/>
              <w:rPr>
                <w:rFonts w:ascii="Times New Roman" w:hAnsi="Times New Roman"/>
              </w:rPr>
            </w:pPr>
          </w:p>
        </w:tc>
        <w:tc>
          <w:tcPr>
            <w:tcW w:w="1518" w:type="dxa"/>
            <w:shd w:val="clear" w:color="auto" w:fill="auto"/>
          </w:tcPr>
          <w:p w:rsidRPr="009D3A48" w:rsidR="00A46C0C" w:rsidP="009D3A48" w:rsidRDefault="00D86601">
            <w:pPr>
              <w:jc w:val="right"/>
              <w:rPr>
                <w:rFonts w:ascii="Times New Roman" w:hAnsi="Times New Roman"/>
                <w:b/>
              </w:rPr>
            </w:pPr>
            <w:r>
              <w:rPr>
                <w:rFonts w:ascii="Times New Roman" w:hAnsi="Times New Roman"/>
                <w:b/>
              </w:rPr>
              <w:t>116</w:t>
            </w:r>
            <w:r w:rsidRPr="009D3A48" w:rsidR="00A46C0C">
              <w:rPr>
                <w:rFonts w:ascii="Times New Roman" w:hAnsi="Times New Roman"/>
                <w:b/>
              </w:rPr>
              <w:t xml:space="preserve"> hours</w:t>
            </w:r>
          </w:p>
        </w:tc>
      </w:tr>
      <w:tr w:rsidRPr="009D3A48" w:rsidR="00A46C0C" w:rsidTr="00D86601">
        <w:tc>
          <w:tcPr>
            <w:tcW w:w="3184" w:type="dxa"/>
            <w:shd w:val="clear" w:color="auto" w:fill="auto"/>
          </w:tcPr>
          <w:p w:rsidRPr="009D3A48" w:rsidR="00A46C0C" w:rsidRDefault="00A46C0C">
            <w:pPr>
              <w:rPr>
                <w:rFonts w:ascii="Times New Roman" w:hAnsi="Times New Roman"/>
                <w:b/>
              </w:rPr>
            </w:pPr>
            <w:r w:rsidRPr="009D3A48">
              <w:rPr>
                <w:rFonts w:ascii="Times New Roman" w:hAnsi="Times New Roman"/>
                <w:b/>
              </w:rPr>
              <w:t>Total Estimated Burden</w:t>
            </w:r>
          </w:p>
        </w:tc>
        <w:tc>
          <w:tcPr>
            <w:tcW w:w="1443" w:type="dxa"/>
            <w:shd w:val="clear" w:color="auto" w:fill="auto"/>
          </w:tcPr>
          <w:p w:rsidRPr="009D3A48" w:rsidR="00A46C0C" w:rsidP="009D3A48" w:rsidRDefault="00A46C0C">
            <w:pPr>
              <w:jc w:val="center"/>
              <w:rPr>
                <w:rFonts w:ascii="Times New Roman" w:hAnsi="Times New Roman"/>
              </w:rPr>
            </w:pPr>
          </w:p>
        </w:tc>
        <w:tc>
          <w:tcPr>
            <w:tcW w:w="1229" w:type="dxa"/>
            <w:shd w:val="clear" w:color="auto" w:fill="auto"/>
          </w:tcPr>
          <w:p w:rsidRPr="009D3A48" w:rsidR="00A46C0C" w:rsidP="009D3A48" w:rsidRDefault="00A46C0C">
            <w:pPr>
              <w:jc w:val="center"/>
              <w:rPr>
                <w:rFonts w:ascii="Times New Roman" w:hAnsi="Times New Roman"/>
              </w:rPr>
            </w:pPr>
          </w:p>
        </w:tc>
        <w:tc>
          <w:tcPr>
            <w:tcW w:w="2202" w:type="dxa"/>
            <w:shd w:val="clear" w:color="auto" w:fill="auto"/>
          </w:tcPr>
          <w:p w:rsidRPr="009D3A48" w:rsidR="00A46C0C" w:rsidP="009D3A48" w:rsidRDefault="00A46C0C">
            <w:pPr>
              <w:jc w:val="right"/>
              <w:rPr>
                <w:rFonts w:ascii="Times New Roman" w:hAnsi="Times New Roman"/>
              </w:rPr>
            </w:pPr>
          </w:p>
        </w:tc>
        <w:tc>
          <w:tcPr>
            <w:tcW w:w="1518" w:type="dxa"/>
            <w:shd w:val="clear" w:color="auto" w:fill="auto"/>
          </w:tcPr>
          <w:p w:rsidRPr="009D3A48" w:rsidR="00A46C0C" w:rsidP="009D3A48" w:rsidRDefault="00D86601">
            <w:pPr>
              <w:jc w:val="right"/>
              <w:rPr>
                <w:rFonts w:ascii="Times New Roman" w:hAnsi="Times New Roman"/>
                <w:b/>
              </w:rPr>
            </w:pPr>
            <w:r>
              <w:rPr>
                <w:rFonts w:ascii="Times New Roman" w:hAnsi="Times New Roman"/>
                <w:b/>
              </w:rPr>
              <w:t>1,514</w:t>
            </w:r>
            <w:r w:rsidRPr="009D3A48" w:rsidR="00A46C0C">
              <w:rPr>
                <w:rFonts w:ascii="Times New Roman" w:hAnsi="Times New Roman"/>
                <w:b/>
              </w:rPr>
              <w:t xml:space="preserve"> hours</w:t>
            </w:r>
          </w:p>
        </w:tc>
      </w:tr>
    </w:tbl>
    <w:p w:rsidR="001A1972" w:rsidRDefault="001A1972">
      <w:pPr>
        <w:rPr>
          <w:rFonts w:ascii="Times New Roman" w:hAnsi="Times New Roman"/>
        </w:rPr>
      </w:pPr>
    </w:p>
    <w:p w:rsidR="00075A03" w:rsidRDefault="00075A03">
      <w:pPr>
        <w:ind w:firstLine="720"/>
        <w:rPr>
          <w:rFonts w:ascii="Times New Roman" w:hAnsi="Times New Roman"/>
        </w:rPr>
      </w:pPr>
    </w:p>
    <w:p w:rsidR="006849FE" w:rsidRDefault="006849FE">
      <w:pPr>
        <w:ind w:firstLine="720"/>
        <w:rPr>
          <w:rFonts w:ascii="Times New Roman" w:hAnsi="Times New Roman"/>
        </w:rPr>
      </w:pPr>
      <w:r w:rsidRPr="006849FE">
        <w:rPr>
          <w:rFonts w:ascii="Times New Roman" w:hAnsi="Times New Roman"/>
          <w:iCs/>
        </w:rPr>
        <w:t xml:space="preserve">At present no FDIC-supervised institution is engaging in activities that would make </w:t>
      </w:r>
      <w:r w:rsidR="006D57BC">
        <w:rPr>
          <w:rFonts w:ascii="Times New Roman" w:hAnsi="Times New Roman"/>
          <w:iCs/>
        </w:rPr>
        <w:t>it</w:t>
      </w:r>
      <w:r w:rsidRPr="006849FE">
        <w:rPr>
          <w:rFonts w:ascii="Times New Roman" w:hAnsi="Times New Roman"/>
          <w:iCs/>
        </w:rPr>
        <w:t xml:space="preserve"> subject to the information collection requirements.  The </w:t>
      </w:r>
      <w:r w:rsidR="00D86601">
        <w:rPr>
          <w:rFonts w:ascii="Times New Roman" w:hAnsi="Times New Roman"/>
          <w:iCs/>
        </w:rPr>
        <w:t>FDIC is showing</w:t>
      </w:r>
      <w:r w:rsidRPr="006849FE">
        <w:rPr>
          <w:rFonts w:ascii="Times New Roman" w:hAnsi="Times New Roman"/>
          <w:iCs/>
        </w:rPr>
        <w:t xml:space="preserve"> </w:t>
      </w:r>
      <w:r w:rsidR="00D86601">
        <w:rPr>
          <w:rFonts w:ascii="Times New Roman" w:hAnsi="Times New Roman"/>
          <w:iCs/>
        </w:rPr>
        <w:t>one respondent</w:t>
      </w:r>
      <w:r w:rsidRPr="006849FE">
        <w:rPr>
          <w:rFonts w:ascii="Times New Roman" w:hAnsi="Times New Roman"/>
          <w:iCs/>
        </w:rPr>
        <w:t xml:space="preserve"> as a placeholder in case an institution elects to engage in covered activities in the future</w:t>
      </w:r>
      <w:r>
        <w:rPr>
          <w:rFonts w:ascii="Times New Roman" w:hAnsi="Times New Roman"/>
          <w:iCs/>
        </w:rPr>
        <w:t>.</w:t>
      </w:r>
    </w:p>
    <w:p w:rsidR="00075A03" w:rsidRDefault="00075A03">
      <w:pPr>
        <w:rPr>
          <w:rFonts w:ascii="Times New Roman" w:hAnsi="Times New Roman"/>
          <w:szCs w:val="24"/>
        </w:rPr>
      </w:pPr>
    </w:p>
    <w:p w:rsidR="00075A03" w:rsidRDefault="00075A03">
      <w:pPr>
        <w:tabs>
          <w:tab w:val="left" w:pos="-1440"/>
        </w:tabs>
        <w:ind w:left="720" w:hanging="720"/>
        <w:outlineLvl w:val="0"/>
        <w:rPr>
          <w:rFonts w:ascii="Times New Roman" w:hAnsi="Times New Roman"/>
          <w:szCs w:val="24"/>
        </w:rPr>
      </w:pPr>
      <w:r>
        <w:rPr>
          <w:rFonts w:ascii="Times New Roman" w:hAnsi="Times New Roman"/>
          <w:szCs w:val="24"/>
        </w:rPr>
        <w:t xml:space="preserve">13. </w:t>
      </w:r>
      <w:r w:rsidR="009F42A9">
        <w:rPr>
          <w:rFonts w:ascii="Times New Roman" w:hAnsi="Times New Roman"/>
          <w:szCs w:val="24"/>
          <w:u w:val="single"/>
        </w:rPr>
        <w:t>C</w:t>
      </w:r>
      <w:r w:rsidR="00B84A37">
        <w:rPr>
          <w:rFonts w:ascii="Times New Roman" w:hAnsi="Times New Roman"/>
          <w:szCs w:val="24"/>
          <w:u w:val="single"/>
        </w:rPr>
        <w:t>apital/</w:t>
      </w:r>
      <w:r w:rsidR="009F42A9">
        <w:rPr>
          <w:rFonts w:ascii="Times New Roman" w:hAnsi="Times New Roman"/>
          <w:szCs w:val="24"/>
          <w:u w:val="single"/>
        </w:rPr>
        <w:t xml:space="preserve">Start-up, </w:t>
      </w:r>
      <w:r w:rsidR="00B84A37">
        <w:rPr>
          <w:rFonts w:ascii="Times New Roman" w:hAnsi="Times New Roman"/>
          <w:szCs w:val="24"/>
          <w:u w:val="single"/>
        </w:rPr>
        <w:t>and Operating/Maintenance Costs</w:t>
      </w:r>
    </w:p>
    <w:p w:rsidR="00075A03" w:rsidRDefault="00075A03">
      <w:pPr>
        <w:rPr>
          <w:rFonts w:ascii="Times New Roman" w:hAnsi="Times New Roman"/>
          <w:szCs w:val="24"/>
        </w:rPr>
      </w:pPr>
    </w:p>
    <w:p w:rsidR="00075A03" w:rsidRDefault="00075A03">
      <w:pPr>
        <w:ind w:firstLine="720"/>
        <w:rPr>
          <w:rFonts w:ascii="Times New Roman" w:hAnsi="Times New Roman"/>
          <w:szCs w:val="24"/>
        </w:rPr>
      </w:pPr>
      <w:r>
        <w:rPr>
          <w:rFonts w:ascii="Times New Roman" w:hAnsi="Times New Roman"/>
          <w:szCs w:val="24"/>
        </w:rPr>
        <w:t>None.</w:t>
      </w:r>
    </w:p>
    <w:p w:rsidR="00075A03" w:rsidRDefault="00075A03">
      <w:pPr>
        <w:rPr>
          <w:rFonts w:ascii="Times New Roman" w:hAnsi="Times New Roman"/>
          <w:szCs w:val="24"/>
        </w:rPr>
      </w:pPr>
    </w:p>
    <w:p w:rsidR="00075A03" w:rsidRDefault="00075A03">
      <w:pPr>
        <w:outlineLvl w:val="0"/>
        <w:rPr>
          <w:rFonts w:ascii="Times New Roman" w:hAnsi="Times New Roman"/>
          <w:szCs w:val="24"/>
        </w:rPr>
      </w:pPr>
      <w:r>
        <w:rPr>
          <w:rFonts w:ascii="Times New Roman" w:hAnsi="Times New Roman"/>
          <w:szCs w:val="24"/>
        </w:rPr>
        <w:lastRenderedPageBreak/>
        <w:t xml:space="preserve">14. </w:t>
      </w:r>
      <w:r>
        <w:rPr>
          <w:rFonts w:ascii="Times New Roman" w:hAnsi="Times New Roman"/>
          <w:szCs w:val="24"/>
          <w:u w:val="single"/>
        </w:rPr>
        <w:t>Estimate</w:t>
      </w:r>
      <w:r w:rsidR="009F42A9">
        <w:rPr>
          <w:rFonts w:ascii="Times New Roman" w:hAnsi="Times New Roman"/>
          <w:szCs w:val="24"/>
          <w:u w:val="single"/>
        </w:rPr>
        <w:t>d Annual Cost to Federal Government</w:t>
      </w:r>
    </w:p>
    <w:p w:rsidR="00075A03" w:rsidRDefault="00075A03">
      <w:pPr>
        <w:rPr>
          <w:rFonts w:ascii="Times New Roman" w:hAnsi="Times New Roman"/>
          <w:szCs w:val="24"/>
        </w:rPr>
      </w:pPr>
    </w:p>
    <w:p w:rsidR="00075A03" w:rsidRDefault="00075A03">
      <w:pPr>
        <w:ind w:firstLine="720"/>
        <w:outlineLvl w:val="0"/>
        <w:rPr>
          <w:rFonts w:ascii="Times New Roman" w:hAnsi="Times New Roman"/>
          <w:szCs w:val="24"/>
        </w:rPr>
      </w:pPr>
      <w:r>
        <w:rPr>
          <w:rFonts w:ascii="Times New Roman" w:hAnsi="Times New Roman"/>
          <w:szCs w:val="24"/>
        </w:rPr>
        <w:t>None.</w:t>
      </w:r>
    </w:p>
    <w:p w:rsidR="00075A03" w:rsidRDefault="00075A03">
      <w:pPr>
        <w:rPr>
          <w:rFonts w:ascii="Times New Roman" w:hAnsi="Times New Roman"/>
          <w:szCs w:val="24"/>
        </w:rPr>
      </w:pPr>
      <w:r>
        <w:rPr>
          <w:rFonts w:ascii="Times New Roman" w:hAnsi="Times New Roman"/>
          <w:szCs w:val="24"/>
        </w:rPr>
        <w:t xml:space="preserve"> </w:t>
      </w:r>
    </w:p>
    <w:p w:rsidR="00075A03" w:rsidRDefault="00075A03">
      <w:pPr>
        <w:tabs>
          <w:tab w:val="left" w:pos="-1440"/>
        </w:tabs>
        <w:ind w:left="720" w:hanging="720"/>
        <w:outlineLvl w:val="0"/>
        <w:rPr>
          <w:rFonts w:ascii="Times New Roman" w:hAnsi="Times New Roman"/>
          <w:szCs w:val="24"/>
        </w:rPr>
      </w:pPr>
      <w:r>
        <w:rPr>
          <w:rFonts w:ascii="Times New Roman" w:hAnsi="Times New Roman"/>
          <w:szCs w:val="24"/>
        </w:rPr>
        <w:t>15.</w:t>
      </w:r>
      <w:r w:rsidRPr="009F42A9">
        <w:rPr>
          <w:rFonts w:ascii="Times New Roman" w:hAnsi="Times New Roman"/>
          <w:szCs w:val="24"/>
          <w:u w:val="single"/>
        </w:rPr>
        <w:t xml:space="preserve"> </w:t>
      </w:r>
      <w:r w:rsidRPr="009F42A9" w:rsidR="009F42A9">
        <w:rPr>
          <w:rFonts w:ascii="Times New Roman" w:hAnsi="Times New Roman"/>
          <w:szCs w:val="24"/>
          <w:u w:val="single"/>
        </w:rPr>
        <w:t>Reason for Change</w:t>
      </w:r>
      <w:r w:rsidRPr="009F42A9">
        <w:rPr>
          <w:rFonts w:ascii="Times New Roman" w:hAnsi="Times New Roman"/>
          <w:szCs w:val="24"/>
          <w:u w:val="single"/>
        </w:rPr>
        <w:t xml:space="preserve"> in </w:t>
      </w:r>
      <w:r w:rsidRPr="009F42A9" w:rsidR="009F42A9">
        <w:rPr>
          <w:rFonts w:ascii="Times New Roman" w:hAnsi="Times New Roman"/>
          <w:szCs w:val="24"/>
          <w:u w:val="single"/>
        </w:rPr>
        <w:t>B</w:t>
      </w:r>
      <w:r w:rsidRPr="009F42A9">
        <w:rPr>
          <w:rFonts w:ascii="Times New Roman" w:hAnsi="Times New Roman"/>
          <w:szCs w:val="24"/>
          <w:u w:val="single"/>
        </w:rPr>
        <w:t>urden</w:t>
      </w:r>
      <w:r>
        <w:rPr>
          <w:rFonts w:ascii="Times New Roman" w:hAnsi="Times New Roman"/>
          <w:szCs w:val="24"/>
          <w:u w:val="single"/>
        </w:rPr>
        <w:t>:</w:t>
      </w:r>
    </w:p>
    <w:p w:rsidR="00075A03" w:rsidRDefault="00075A03">
      <w:pPr>
        <w:rPr>
          <w:rFonts w:ascii="Times New Roman" w:hAnsi="Times New Roman"/>
          <w:szCs w:val="24"/>
        </w:rPr>
      </w:pPr>
    </w:p>
    <w:p w:rsidR="00075A03" w:rsidP="006849FE" w:rsidRDefault="006849FE">
      <w:pPr>
        <w:ind w:firstLine="720"/>
        <w:outlineLvl w:val="0"/>
        <w:rPr>
          <w:rFonts w:ascii="Times New Roman" w:hAnsi="Times New Roman"/>
          <w:szCs w:val="24"/>
        </w:rPr>
      </w:pPr>
      <w:r w:rsidRPr="006849FE">
        <w:rPr>
          <w:rFonts w:ascii="Times New Roman" w:hAnsi="Times New Roman"/>
          <w:iCs/>
        </w:rPr>
        <w:t xml:space="preserve">At present no FDIC-supervised institution is engaging in activities that would make them subject to the information collection requirements.  </w:t>
      </w:r>
      <w:r w:rsidR="00D86601">
        <w:rPr>
          <w:rFonts w:ascii="Times New Roman" w:hAnsi="Times New Roman"/>
          <w:iCs/>
        </w:rPr>
        <w:t>The change in burden is due to a revision in the estimated time to respond to this information collection</w:t>
      </w:r>
      <w:r w:rsidR="00C01538">
        <w:rPr>
          <w:rFonts w:ascii="Times New Roman" w:hAnsi="Times New Roman"/>
          <w:iCs/>
        </w:rPr>
        <w:t xml:space="preserve"> which has resulted in a 788-hour increase in estimated annual burden from 726 hours to 1,514 hours.</w:t>
      </w:r>
    </w:p>
    <w:p w:rsidR="00075A03" w:rsidRDefault="00075A03">
      <w:pPr>
        <w:rPr>
          <w:rFonts w:ascii="Times New Roman" w:hAnsi="Times New Roman"/>
          <w:szCs w:val="24"/>
        </w:rPr>
      </w:pPr>
    </w:p>
    <w:p w:rsidR="00075A03" w:rsidP="00392C63" w:rsidRDefault="00075A03">
      <w:pPr>
        <w:tabs>
          <w:tab w:val="left" w:pos="-1440"/>
        </w:tabs>
        <w:ind w:left="720" w:hanging="720"/>
        <w:outlineLvl w:val="0"/>
        <w:rPr>
          <w:rFonts w:ascii="Times New Roman" w:hAnsi="Times New Roman"/>
          <w:szCs w:val="24"/>
        </w:rPr>
      </w:pPr>
      <w:r>
        <w:rPr>
          <w:rFonts w:ascii="Times New Roman" w:hAnsi="Times New Roman"/>
          <w:szCs w:val="24"/>
        </w:rPr>
        <w:t xml:space="preserve">16. </w:t>
      </w:r>
      <w:r w:rsidR="00392C63">
        <w:rPr>
          <w:rFonts w:ascii="Times New Roman" w:hAnsi="Times New Roman"/>
          <w:szCs w:val="24"/>
          <w:u w:val="single"/>
        </w:rPr>
        <w:t>Publication</w:t>
      </w:r>
    </w:p>
    <w:p w:rsidR="00075A03" w:rsidRDefault="00075A03">
      <w:pPr>
        <w:ind w:left="720"/>
        <w:rPr>
          <w:rFonts w:ascii="Times New Roman" w:hAnsi="Times New Roman"/>
          <w:szCs w:val="24"/>
        </w:rPr>
      </w:pPr>
    </w:p>
    <w:p w:rsidR="00075A03" w:rsidRDefault="00075A03">
      <w:pPr>
        <w:ind w:firstLine="720"/>
        <w:outlineLvl w:val="0"/>
        <w:rPr>
          <w:rFonts w:ascii="Times New Roman" w:hAnsi="Times New Roman"/>
          <w:szCs w:val="24"/>
        </w:rPr>
      </w:pPr>
      <w:r>
        <w:rPr>
          <w:rFonts w:ascii="Times New Roman" w:hAnsi="Times New Roman"/>
          <w:szCs w:val="24"/>
        </w:rPr>
        <w:t>No publication for statistical use is contemplated.</w:t>
      </w:r>
    </w:p>
    <w:p w:rsidR="00075A03" w:rsidRDefault="00075A03">
      <w:pPr>
        <w:rPr>
          <w:rFonts w:ascii="Times New Roman" w:hAnsi="Times New Roman"/>
          <w:szCs w:val="24"/>
        </w:rPr>
      </w:pPr>
    </w:p>
    <w:p w:rsidR="00075A03" w:rsidRDefault="00075A03">
      <w:pPr>
        <w:outlineLvl w:val="0"/>
        <w:rPr>
          <w:rFonts w:ascii="Times New Roman" w:hAnsi="Times New Roman"/>
          <w:szCs w:val="24"/>
        </w:rPr>
      </w:pPr>
      <w:r>
        <w:rPr>
          <w:rFonts w:ascii="Times New Roman" w:hAnsi="Times New Roman"/>
          <w:szCs w:val="24"/>
        </w:rPr>
        <w:t xml:space="preserve">17. </w:t>
      </w:r>
      <w:r w:rsidR="00392C63">
        <w:rPr>
          <w:rFonts w:ascii="Times New Roman" w:hAnsi="Times New Roman"/>
          <w:szCs w:val="24"/>
          <w:u w:val="single"/>
        </w:rPr>
        <w:t>Display of Expiration D</w:t>
      </w:r>
      <w:r>
        <w:rPr>
          <w:rFonts w:ascii="Times New Roman" w:hAnsi="Times New Roman"/>
          <w:szCs w:val="24"/>
          <w:u w:val="single"/>
        </w:rPr>
        <w:t>ate</w:t>
      </w:r>
      <w:r>
        <w:rPr>
          <w:rFonts w:ascii="Times New Roman" w:hAnsi="Times New Roman"/>
          <w:szCs w:val="24"/>
        </w:rPr>
        <w:t>:</w:t>
      </w:r>
    </w:p>
    <w:p w:rsidR="00075A03" w:rsidRDefault="00075A03">
      <w:pPr>
        <w:rPr>
          <w:rFonts w:ascii="Times New Roman" w:hAnsi="Times New Roman"/>
          <w:szCs w:val="24"/>
        </w:rPr>
      </w:pPr>
    </w:p>
    <w:p w:rsidR="00075A03" w:rsidRDefault="00075A03">
      <w:pPr>
        <w:ind w:firstLine="720"/>
        <w:outlineLvl w:val="0"/>
        <w:rPr>
          <w:rFonts w:ascii="Times New Roman" w:hAnsi="Times New Roman"/>
          <w:szCs w:val="24"/>
        </w:rPr>
      </w:pPr>
      <w:r>
        <w:rPr>
          <w:rFonts w:ascii="Times New Roman" w:hAnsi="Times New Roman"/>
          <w:szCs w:val="24"/>
        </w:rPr>
        <w:t>Not applicable.</w:t>
      </w:r>
    </w:p>
    <w:p w:rsidR="00075A03" w:rsidRDefault="00075A03">
      <w:pPr>
        <w:rPr>
          <w:rFonts w:ascii="Times New Roman" w:hAnsi="Times New Roman"/>
          <w:szCs w:val="24"/>
        </w:rPr>
      </w:pPr>
    </w:p>
    <w:p w:rsidR="00075A03" w:rsidRDefault="00075A03">
      <w:pPr>
        <w:outlineLvl w:val="0"/>
        <w:rPr>
          <w:rFonts w:ascii="Times New Roman" w:hAnsi="Times New Roman"/>
          <w:szCs w:val="24"/>
        </w:rPr>
      </w:pPr>
      <w:r>
        <w:rPr>
          <w:rFonts w:ascii="Times New Roman" w:hAnsi="Times New Roman"/>
          <w:szCs w:val="24"/>
        </w:rPr>
        <w:t xml:space="preserve">18. </w:t>
      </w:r>
      <w:r w:rsidR="00392C63">
        <w:rPr>
          <w:rFonts w:ascii="Times New Roman" w:hAnsi="Times New Roman"/>
          <w:szCs w:val="24"/>
          <w:u w:val="single"/>
        </w:rPr>
        <w:t>Exceptions to Certification</w:t>
      </w:r>
    </w:p>
    <w:p w:rsidR="00075A03" w:rsidRDefault="00075A03">
      <w:pPr>
        <w:rPr>
          <w:rFonts w:ascii="Times New Roman" w:hAnsi="Times New Roman"/>
          <w:szCs w:val="24"/>
        </w:rPr>
      </w:pPr>
    </w:p>
    <w:p w:rsidR="00075A03" w:rsidRDefault="00075A03">
      <w:pPr>
        <w:ind w:firstLine="720"/>
        <w:outlineLvl w:val="0"/>
        <w:rPr>
          <w:rFonts w:ascii="Times New Roman" w:hAnsi="Times New Roman"/>
          <w:szCs w:val="24"/>
        </w:rPr>
      </w:pPr>
      <w:r>
        <w:rPr>
          <w:rFonts w:ascii="Times New Roman" w:hAnsi="Times New Roman"/>
          <w:szCs w:val="24"/>
        </w:rPr>
        <w:t>Not applicable.</w:t>
      </w:r>
    </w:p>
    <w:p w:rsidR="00075A03" w:rsidRDefault="00075A03">
      <w:pPr>
        <w:rPr>
          <w:rFonts w:ascii="Times New Roman" w:hAnsi="Times New Roman"/>
          <w:szCs w:val="24"/>
        </w:rPr>
      </w:pPr>
    </w:p>
    <w:p w:rsidR="00075A03" w:rsidRDefault="00075A03">
      <w:pPr>
        <w:outlineLvl w:val="0"/>
        <w:rPr>
          <w:rFonts w:ascii="Times New Roman" w:hAnsi="Times New Roman"/>
          <w:szCs w:val="24"/>
        </w:rPr>
      </w:pPr>
      <w:r>
        <w:rPr>
          <w:rFonts w:ascii="Times New Roman" w:hAnsi="Times New Roman"/>
          <w:szCs w:val="24"/>
        </w:rPr>
        <w:t xml:space="preserve">B. </w:t>
      </w:r>
      <w:r w:rsidR="00392C63">
        <w:rPr>
          <w:rFonts w:ascii="Times New Roman" w:hAnsi="Times New Roman"/>
          <w:szCs w:val="24"/>
          <w:u w:val="single"/>
        </w:rPr>
        <w:t>STATISTICAL METHODS</w:t>
      </w:r>
    </w:p>
    <w:p w:rsidR="00075A03" w:rsidRDefault="00075A03">
      <w:pPr>
        <w:rPr>
          <w:rFonts w:ascii="Times New Roman" w:hAnsi="Times New Roman"/>
          <w:szCs w:val="24"/>
        </w:rPr>
      </w:pPr>
    </w:p>
    <w:p w:rsidR="00075A03" w:rsidRDefault="00075A03">
      <w:pPr>
        <w:rPr>
          <w:rFonts w:ascii="Times New Roman" w:hAnsi="Times New Roman"/>
          <w:szCs w:val="24"/>
        </w:rPr>
      </w:pPr>
      <w:r>
        <w:rPr>
          <w:rFonts w:ascii="Times New Roman" w:hAnsi="Times New Roman"/>
          <w:szCs w:val="24"/>
        </w:rPr>
        <w:t>Not applicable.</w:t>
      </w:r>
    </w:p>
    <w:p w:rsidR="00075A03" w:rsidRDefault="00075A03">
      <w:pPr>
        <w:rPr>
          <w:rFonts w:ascii="Times New Roman" w:hAnsi="Times New Roman"/>
          <w:szCs w:val="24"/>
        </w:rPr>
      </w:pPr>
    </w:p>
    <w:p w:rsidR="00075A03" w:rsidRDefault="00075A03">
      <w:pPr>
        <w:rPr>
          <w:rFonts w:ascii="Times New Roman" w:hAnsi="Times New Roman"/>
          <w:szCs w:val="24"/>
        </w:rPr>
      </w:pPr>
    </w:p>
    <w:sectPr w:rsidR="00075A03">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0D6" w:rsidRDefault="003540D6">
      <w:r>
        <w:separator/>
      </w:r>
    </w:p>
  </w:endnote>
  <w:endnote w:type="continuationSeparator" w:id="0">
    <w:p w:rsidR="003540D6" w:rsidRDefault="0035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ourierPS">
    <w:altName w:val="Courier New"/>
    <w:charset w:val="00"/>
    <w:family w:val="modern"/>
    <w:pitch w:val="fixed"/>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A03" w:rsidRDefault="00075A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75A03" w:rsidRDefault="00075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A03" w:rsidRDefault="00075A03">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84A37">
      <w:rPr>
        <w:rStyle w:val="PageNumber"/>
        <w:rFonts w:ascii="Times New Roman" w:hAnsi="Times New Roman"/>
        <w:noProof/>
      </w:rPr>
      <w:t>1</w:t>
    </w:r>
    <w:r>
      <w:rPr>
        <w:rStyle w:val="PageNumber"/>
        <w:rFonts w:ascii="Times New Roman" w:hAnsi="Times New Roman"/>
      </w:rPr>
      <w:fldChar w:fldCharType="end"/>
    </w:r>
  </w:p>
  <w:p w:rsidR="00075A03" w:rsidRDefault="00075A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B7" w:rsidRDefault="00D65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0D6" w:rsidRDefault="003540D6">
      <w:r>
        <w:separator/>
      </w:r>
    </w:p>
  </w:footnote>
  <w:footnote w:type="continuationSeparator" w:id="0">
    <w:p w:rsidR="003540D6" w:rsidRDefault="003540D6">
      <w:r>
        <w:continuationSeparator/>
      </w:r>
    </w:p>
  </w:footnote>
  <w:footnote w:id="1">
    <w:p w:rsidR="00075A03" w:rsidRDefault="00075A0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Pub. L. 111-203, 124 Stat. 1376. (July 21, 2010)  7 U.S.C. 2(c)(2)(E).</w:t>
      </w:r>
    </w:p>
  </w:footnote>
  <w:footnote w:id="2">
    <w:p w:rsidR="00075A03" w:rsidRDefault="00075A03">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7 U.S.C. 2(c)(2)(E)(ii)(I).</w:t>
      </w:r>
    </w:p>
  </w:footnote>
  <w:footnote w:id="3">
    <w:p w:rsidR="00075A03" w:rsidRDefault="00075A03">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vertAlign w:val="superscript"/>
        </w:rPr>
        <w:t xml:space="preserve"> </w:t>
      </w:r>
      <w:r>
        <w:rPr>
          <w:rFonts w:ascii="Times New Roman" w:hAnsi="Times New Roman"/>
        </w:rPr>
        <w:t>7 U.S.C. 2</w:t>
      </w:r>
      <w:bookmarkStart w:id="0" w:name="_GoBack"/>
      <w:bookmarkEnd w:id="0"/>
      <w:r>
        <w:rPr>
          <w:rFonts w:ascii="Times New Roman" w:hAnsi="Times New Roman"/>
        </w:rPr>
        <w:t>(c)(2)B(i)(II).</w:t>
      </w:r>
    </w:p>
  </w:footnote>
  <w:footnote w:id="4">
    <w:p w:rsidR="00075A03" w:rsidRDefault="00075A03">
      <w:pPr>
        <w:pStyle w:val="FootnoteText"/>
      </w:pPr>
      <w:r>
        <w:rPr>
          <w:rStyle w:val="FootnoteReference"/>
          <w:vertAlign w:val="superscript"/>
        </w:rPr>
        <w:footnoteRef/>
      </w:r>
      <w:r>
        <w:t xml:space="preserve"> </w:t>
      </w:r>
      <w:r>
        <w:rPr>
          <w:rFonts w:ascii="Times New Roman" w:hAnsi="Times New Roman"/>
        </w:rPr>
        <w:t>15 U.S.C. 78f(a)</w:t>
      </w:r>
    </w:p>
  </w:footnote>
  <w:footnote w:id="5">
    <w:p w:rsidR="00075A03" w:rsidRDefault="00075A03">
      <w:pPr>
        <w:pStyle w:val="FootnoteText"/>
      </w:pPr>
      <w:r>
        <w:rPr>
          <w:rStyle w:val="FootnoteReference"/>
        </w:rPr>
        <w:footnoteRef/>
      </w:r>
      <w:r>
        <w:t xml:space="preserve"> </w:t>
      </w:r>
      <w:r>
        <w:rPr>
          <w:rFonts w:ascii="Times New Roman" w:hAnsi="Times New Roman"/>
        </w:rPr>
        <w:t xml:space="preserve">The FDIC is the appropriate Federal banking agency for each State nonmember insured bank and each foreign bank having an insured branch. 12 U.S.C. § 1813(q)(3).  </w:t>
      </w:r>
      <w:r w:rsidR="00E91C26">
        <w:rPr>
          <w:rFonts w:ascii="Times New Roman" w:hAnsi="Times New Roman"/>
        </w:rPr>
        <w:t xml:space="preserve">In addition, pursuant to Title III of the Dodd-Frank Act, the FDIC has </w:t>
      </w:r>
      <w:r>
        <w:rPr>
          <w:rFonts w:ascii="Times New Roman" w:hAnsi="Times New Roman"/>
        </w:rPr>
        <w:t>become the appropriate Federal banking agency for each State savings association.  See Dodd-Frank Act § 312(c) (amending 12 U.S.C. § 1813(q) to redefine “appropriate Federal banking agency”).</w:t>
      </w:r>
    </w:p>
  </w:footnote>
  <w:footnote w:id="6">
    <w:p w:rsidR="00075A03" w:rsidRPr="00D651B7" w:rsidRDefault="00075A03">
      <w:pPr>
        <w:pStyle w:val="FootnoteText"/>
        <w:rPr>
          <w:rFonts w:ascii="Times New Roman" w:hAnsi="Times New Roman"/>
          <w:lang w:val="es-ES_tradnl"/>
        </w:rPr>
      </w:pPr>
      <w:r>
        <w:rPr>
          <w:rStyle w:val="FootnoteReference"/>
          <w:rFonts w:ascii="Times New Roman" w:hAnsi="Times New Roman"/>
          <w:vertAlign w:val="superscript"/>
        </w:rPr>
        <w:footnoteRef/>
      </w:r>
      <w:r w:rsidRPr="00D651B7">
        <w:rPr>
          <w:rFonts w:ascii="Times New Roman" w:hAnsi="Times New Roman"/>
          <w:vertAlign w:val="superscript"/>
          <w:lang w:val="es-ES_tradnl"/>
        </w:rPr>
        <w:t xml:space="preserve"> </w:t>
      </w:r>
      <w:r w:rsidRPr="00D651B7">
        <w:rPr>
          <w:rFonts w:ascii="Times New Roman" w:hAnsi="Times New Roman"/>
          <w:lang w:val="es-ES_tradnl"/>
        </w:rPr>
        <w:t>7 U.S.C. 2(c)(2)(E)(iii)(II).</w:t>
      </w:r>
    </w:p>
  </w:footnote>
  <w:footnote w:id="7">
    <w:p w:rsidR="00075A03" w:rsidRDefault="00075A03">
      <w:pPr>
        <w:pStyle w:val="FootnoteText"/>
        <w:rPr>
          <w:rFonts w:ascii="Times New Roman" w:hAnsi="Times New Roman"/>
        </w:rPr>
      </w:pPr>
      <w:r>
        <w:rPr>
          <w:rStyle w:val="FootnoteReference"/>
          <w:rFonts w:ascii="Times New Roman" w:hAnsi="Times New Roman"/>
          <w:vertAlign w:val="superscript"/>
        </w:rPr>
        <w:footnoteRef/>
      </w:r>
      <w:r>
        <w:rPr>
          <w:rFonts w:ascii="Times New Roman" w:hAnsi="Times New Roman"/>
        </w:rPr>
        <w:t xml:space="preserve"> 7 U.S.C. 2(c)(2)(E)(iii)(I).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B7" w:rsidRDefault="00D65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B7" w:rsidRDefault="00D65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1B7" w:rsidRDefault="00D65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1276A36"/>
    <w:multiLevelType w:val="hybridMultilevel"/>
    <w:tmpl w:val="D7628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9124418"/>
    <w:multiLevelType w:val="hybridMultilevel"/>
    <w:tmpl w:val="0E8A13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BE36426"/>
    <w:multiLevelType w:val="hybridMultilevel"/>
    <w:tmpl w:val="F7145AC0"/>
    <w:lvl w:ilvl="0" w:tplc="1BBA3698">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8" w15:restartNumberingAfterBreak="0">
    <w:nsid w:val="739330B2"/>
    <w:multiLevelType w:val="hybridMultilevel"/>
    <w:tmpl w:val="AA1CA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1"/>
  </w:num>
  <w:num w:numId="4">
    <w:abstractNumId w:val="0"/>
  </w:num>
  <w:num w:numId="5">
    <w:abstractNumId w:val="9"/>
  </w:num>
  <w:num w:numId="6">
    <w:abstractNumId w:val="4"/>
  </w:num>
  <w:num w:numId="7">
    <w:abstractNumId w:val="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1E"/>
    <w:rsid w:val="00075A03"/>
    <w:rsid w:val="000A3CAE"/>
    <w:rsid w:val="0019782C"/>
    <w:rsid w:val="001A1972"/>
    <w:rsid w:val="001D301E"/>
    <w:rsid w:val="003540D6"/>
    <w:rsid w:val="00392C63"/>
    <w:rsid w:val="00424F18"/>
    <w:rsid w:val="006849FE"/>
    <w:rsid w:val="006D57BC"/>
    <w:rsid w:val="0070148F"/>
    <w:rsid w:val="0072414E"/>
    <w:rsid w:val="00873DB0"/>
    <w:rsid w:val="009D3A48"/>
    <w:rsid w:val="009F42A9"/>
    <w:rsid w:val="00A46C0C"/>
    <w:rsid w:val="00AC0954"/>
    <w:rsid w:val="00B31898"/>
    <w:rsid w:val="00B84A37"/>
    <w:rsid w:val="00C01538"/>
    <w:rsid w:val="00D651B7"/>
    <w:rsid w:val="00D86601"/>
    <w:rsid w:val="00DD6CAB"/>
    <w:rsid w:val="00DF4B44"/>
    <w:rsid w:val="00E46B89"/>
    <w:rsid w:val="00E74EC2"/>
    <w:rsid w:val="00E91C26"/>
    <w:rsid w:val="00EF3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062BCE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ft"/>
    <w:basedOn w:val="Normal"/>
    <w:link w:val="FootnoteTextChar"/>
    <w:semiHidden/>
    <w:pPr>
      <w:autoSpaceDE w:val="0"/>
      <w:autoSpaceDN w:val="0"/>
      <w:adjustRightInd w:val="0"/>
    </w:pPr>
    <w:rPr>
      <w:rFonts w:ascii="CourierPS" w:hAnsi="CourierPS"/>
      <w:snapToGrid/>
      <w:sz w:val="20"/>
    </w:rPr>
  </w:style>
  <w:style w:type="paragraph" w:styleId="BodyText">
    <w:name w:val="Body Text"/>
    <w:basedOn w:val="Normal"/>
    <w:link w:val="BodyTextChar"/>
    <w:pPr>
      <w:widowControl/>
    </w:pPr>
    <w:rPr>
      <w:rFonts w:ascii="Times New Roman" w:hAnsi="Times New Roman"/>
      <w:i/>
      <w:iCs/>
      <w:snapToGrid/>
    </w:rPr>
  </w:style>
  <w:style w:type="character" w:customStyle="1" w:styleId="BodyTextChar">
    <w:name w:val="Body Text Char"/>
    <w:link w:val="BodyText"/>
    <w:semiHidden/>
    <w:locked/>
    <w:rPr>
      <w:i/>
      <w:iCs/>
      <w:sz w:val="24"/>
      <w:lang w:val="en-US" w:eastAsia="en-US" w:bidi="ar-SA"/>
    </w:rPr>
  </w:style>
  <w:style w:type="character" w:customStyle="1" w:styleId="documentbody1">
    <w:name w:val="documentbody1"/>
    <w:rPr>
      <w:rFonts w:ascii="Verdana" w:hAnsi="Verdana" w:cs="Times New Roman"/>
      <w:sz w:val="19"/>
      <w:szCs w:val="19"/>
    </w:rPr>
  </w:style>
  <w:style w:type="paragraph" w:customStyle="1" w:styleId="DoubleSpace">
    <w:name w:val="Double Space"/>
    <w:basedOn w:val="Normal"/>
    <w:pPr>
      <w:widowControl/>
      <w:spacing w:line="480" w:lineRule="auto"/>
    </w:pPr>
    <w:rPr>
      <w:rFonts w:ascii="CG Times" w:hAnsi="CG Times"/>
      <w:snapToGrid/>
    </w:rPr>
  </w:style>
  <w:style w:type="paragraph" w:styleId="ListParagraph">
    <w:name w:val="List Paragraph"/>
    <w:basedOn w:val="Normal"/>
    <w:qFormat/>
    <w:pPr>
      <w:widowControl/>
      <w:spacing w:after="200" w:line="276" w:lineRule="auto"/>
      <w:ind w:left="720"/>
      <w:contextualSpacing/>
    </w:pPr>
    <w:rPr>
      <w:rFonts w:ascii="Calibri" w:hAnsi="Calibri"/>
      <w:snapToGrid/>
      <w:sz w:val="22"/>
      <w:szCs w:val="22"/>
    </w:rPr>
  </w:style>
  <w:style w:type="paragraph" w:customStyle="1" w:styleId="doublespace0">
    <w:name w:val="doublespace"/>
    <w:basedOn w:val="Normal"/>
    <w:pPr>
      <w:widowControl/>
      <w:spacing w:before="100" w:beforeAutospacing="1" w:after="100" w:afterAutospacing="1"/>
    </w:pPr>
    <w:rPr>
      <w:rFonts w:ascii="Times New Roman" w:hAnsi="Times New Roman"/>
      <w:snapToGrid/>
      <w:szCs w:val="24"/>
    </w:rPr>
  </w:style>
  <w:style w:type="character" w:customStyle="1" w:styleId="FootnoteTextChar">
    <w:name w:val="Footnote Text Char"/>
    <w:aliases w:val="ft Char"/>
    <w:link w:val="FootnoteText"/>
    <w:locked/>
    <w:rPr>
      <w:rFonts w:ascii="CourierPS" w:hAnsi="CourierPS"/>
      <w:lang w:val="en-US" w:eastAsia="en-US" w:bidi="ar-SA"/>
    </w:rPr>
  </w:style>
  <w:style w:type="character" w:styleId="CommentReference">
    <w:name w:val="annotation reference"/>
    <w:semiHidden/>
    <w:rPr>
      <w:rFonts w:cs="Times New Roman"/>
      <w:sz w:val="16"/>
      <w:szCs w:val="16"/>
    </w:rPr>
  </w:style>
  <w:style w:type="paragraph" w:styleId="CommentText">
    <w:name w:val="annotation text"/>
    <w:basedOn w:val="Normal"/>
    <w:link w:val="CommentTextChar"/>
    <w:semiHidden/>
    <w:pPr>
      <w:widowControl/>
    </w:pPr>
    <w:rPr>
      <w:rFonts w:ascii="Times New Roman" w:eastAsia="Calibri" w:hAnsi="Times New Roman"/>
      <w:snapToGrid/>
      <w:sz w:val="20"/>
    </w:rPr>
  </w:style>
  <w:style w:type="character" w:customStyle="1" w:styleId="CommentTextChar">
    <w:name w:val="Comment Text Char"/>
    <w:link w:val="CommentText"/>
    <w:semiHidden/>
    <w:locked/>
    <w:rPr>
      <w:rFonts w:eastAsia="Calibri"/>
      <w:lang w:val="en-US" w:eastAsia="en-US" w:bidi="ar-SA"/>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CharChar">
    <w:name w:val="ft Char Char"/>
    <w:rPr>
      <w:lang w:val="en-US" w:eastAsia="en-US" w:bidi="ar-SA"/>
    </w:rPr>
  </w:style>
  <w:style w:type="character" w:styleId="Strong">
    <w:name w:val="Strong"/>
    <w:qFormat/>
    <w:rPr>
      <w:b/>
      <w:bCs/>
    </w:rPr>
  </w:style>
  <w:style w:type="paragraph" w:styleId="CommentSubject">
    <w:name w:val="annotation subject"/>
    <w:basedOn w:val="CommentText"/>
    <w:next w:val="CommentText"/>
    <w:semiHidden/>
    <w:pPr>
      <w:widowControl w:val="0"/>
    </w:pPr>
    <w:rPr>
      <w:rFonts w:ascii="Courier" w:eastAsia="Times New Roman"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82168">
      <w:bodyDiv w:val="1"/>
      <w:marLeft w:val="0"/>
      <w:marRight w:val="0"/>
      <w:marTop w:val="0"/>
      <w:marBottom w:val="0"/>
      <w:divBdr>
        <w:top w:val="none" w:sz="0" w:space="0" w:color="auto"/>
        <w:left w:val="none" w:sz="0" w:space="0" w:color="auto"/>
        <w:bottom w:val="none" w:sz="0" w:space="0" w:color="auto"/>
        <w:right w:val="none" w:sz="0" w:space="0" w:color="auto"/>
      </w:divBdr>
    </w:div>
    <w:div w:id="695616512">
      <w:bodyDiv w:val="1"/>
      <w:marLeft w:val="0"/>
      <w:marRight w:val="0"/>
      <w:marTop w:val="0"/>
      <w:marBottom w:val="0"/>
      <w:divBdr>
        <w:top w:val="none" w:sz="0" w:space="0" w:color="auto"/>
        <w:left w:val="none" w:sz="0" w:space="0" w:color="auto"/>
        <w:bottom w:val="none" w:sz="0" w:space="0" w:color="auto"/>
        <w:right w:val="none" w:sz="0" w:space="0" w:color="auto"/>
      </w:divBdr>
      <w:divsChild>
        <w:div w:id="60950620">
          <w:marLeft w:val="0"/>
          <w:marRight w:val="0"/>
          <w:marTop w:val="0"/>
          <w:marBottom w:val="0"/>
          <w:divBdr>
            <w:top w:val="none" w:sz="0" w:space="0" w:color="auto"/>
            <w:left w:val="none" w:sz="0" w:space="0" w:color="auto"/>
            <w:bottom w:val="none" w:sz="0" w:space="0" w:color="auto"/>
            <w:right w:val="none" w:sz="0" w:space="0" w:color="auto"/>
          </w:divBdr>
        </w:div>
      </w:divsChild>
    </w:div>
    <w:div w:id="1006518217">
      <w:bodyDiv w:val="1"/>
      <w:marLeft w:val="0"/>
      <w:marRight w:val="0"/>
      <w:marTop w:val="0"/>
      <w:marBottom w:val="0"/>
      <w:divBdr>
        <w:top w:val="none" w:sz="0" w:space="0" w:color="auto"/>
        <w:left w:val="none" w:sz="0" w:space="0" w:color="auto"/>
        <w:bottom w:val="none" w:sz="0" w:space="0" w:color="auto"/>
        <w:right w:val="none" w:sz="0" w:space="0" w:color="auto"/>
      </w:divBdr>
    </w:div>
    <w:div w:id="19217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1356</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2020-11-30T16:51:00Z</dcterms:created>
  <dcterms:modified xsi:type="dcterms:W3CDTF">2020-11-30T17:02:00Z</dcterms:modified>
</cp:coreProperties>
</file>