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302E" w:rsidP="0DAFAB66" w:rsidRDefault="00F06866" w14:paraId="2F345FEE" w14:textId="77777777">
      <w:pPr>
        <w:pStyle w:val="Heading2"/>
        <w:tabs>
          <w:tab w:val="left" w:pos="900"/>
        </w:tabs>
        <w:ind w:right="-180"/>
        <w:rPr>
          <w:sz w:val="28"/>
          <w:szCs w:val="28"/>
        </w:rPr>
      </w:pPr>
      <w:r w:rsidRPr="6E850D1E">
        <w:rPr>
          <w:sz w:val="28"/>
          <w:szCs w:val="28"/>
        </w:rPr>
        <w:t xml:space="preserve">Request for Approval under the “Generic Clearance for the Collection of Routine Customer Feedback” (OMB Control Number: </w:t>
      </w:r>
      <w:r w:rsidRPr="0DAFAB66" w:rsidR="13B760D9">
        <w:rPr>
          <w:sz w:val="28"/>
          <w:szCs w:val="28"/>
        </w:rPr>
        <w:t>3137-008</w:t>
      </w:r>
      <w:r w:rsidRPr="0DAFAB66" w:rsidR="54C98301">
        <w:rPr>
          <w:sz w:val="28"/>
          <w:szCs w:val="28"/>
        </w:rPr>
        <w:t>1)</w:t>
      </w:r>
      <w:r w:rsidR="0060728B">
        <w:pict w14:anchorId="1CB0B482">
          <v:line id="_x0000_s1027" style="position:absolute;left:0;text-align:left;z-index:1;mso-wrap-edited:f;mso-width-percent:0;mso-height-percent:0;mso-position-horizontal-relative:text;mso-position-vertical-relative:text;mso-width-percent:0;mso-height-percent:0" alt="" o:allowincell="f" strokeweight="1.5pt" from="0,0" to="468pt,0"/>
        </w:pict>
      </w:r>
      <w:r w:rsidR="00D66710">
        <w:rPr>
          <w:sz w:val="28"/>
          <w:szCs w:val="28"/>
        </w:rPr>
        <w:t xml:space="preserve"> </w:t>
      </w:r>
    </w:p>
    <w:p w:rsidR="000E302E" w:rsidP="0DAFAB66" w:rsidRDefault="000E302E" w14:paraId="48308210" w14:textId="77777777">
      <w:pPr>
        <w:pStyle w:val="Heading2"/>
        <w:tabs>
          <w:tab w:val="left" w:pos="900"/>
        </w:tabs>
        <w:ind w:right="-180"/>
        <w:rPr>
          <w:sz w:val="28"/>
          <w:szCs w:val="28"/>
        </w:rPr>
      </w:pPr>
    </w:p>
    <w:p w:rsidRPr="009239AA" w:rsidR="00E50293" w:rsidP="0DAFAB66" w:rsidRDefault="062793F0" w14:paraId="34C17CEA" w14:textId="07FA7084">
      <w:pPr>
        <w:pStyle w:val="Heading2"/>
        <w:tabs>
          <w:tab w:val="left" w:pos="900"/>
        </w:tabs>
        <w:ind w:right="-180"/>
        <w:rPr>
          <w:b w:val="0"/>
          <w:bCs w:val="0"/>
        </w:rPr>
      </w:pPr>
      <w:r w:rsidRPr="1F8D682E">
        <w:t>TITLE OF INFORMATION COLLECTION:</w:t>
      </w:r>
      <w:r>
        <w:t xml:space="preserve"> </w:t>
      </w:r>
      <w:r w:rsidR="7305FBED">
        <w:t xml:space="preserve">Awareness and Utility Survey of IMLS Data Products for the Public Libraries Survey (PLS) and State Library Administrative Agency (SLAA) Survey  </w:t>
      </w:r>
    </w:p>
    <w:p w:rsidRPr="009239AA" w:rsidR="00E50293" w:rsidP="1F8D682E" w:rsidRDefault="7305FBED" w14:paraId="45D72B35" w14:textId="7166E0A6">
      <w:r>
        <w:t xml:space="preserve"> </w:t>
      </w:r>
    </w:p>
    <w:p w:rsidR="00246254" w:rsidRDefault="00F15956" w14:paraId="6AA15E2D" w14:textId="77777777">
      <w:r>
        <w:rPr>
          <w:b/>
        </w:rPr>
        <w:t>PURPOSE</w:t>
      </w:r>
      <w:r w:rsidRPr="009239AA">
        <w:rPr>
          <w:b/>
        </w:rPr>
        <w:t>:</w:t>
      </w:r>
      <w:r w:rsidRPr="009239AA" w:rsidR="00C14CC4">
        <w:rPr>
          <w:b/>
        </w:rPr>
        <w:t xml:space="preserve">  </w:t>
      </w:r>
    </w:p>
    <w:p w:rsidR="00246254" w:rsidRDefault="00246254" w14:paraId="4BA6E0F4" w14:textId="77777777"/>
    <w:p w:rsidR="006D66AC" w:rsidRDefault="08EAFB1D" w14:paraId="053665B9" w14:textId="701514E5">
      <w:r>
        <w:t xml:space="preserve">The Institute of Museum and Library Services (IMLS) is conducting a study to better understand the needs of </w:t>
      </w:r>
      <w:r w:rsidR="55482114">
        <w:t xml:space="preserve">our </w:t>
      </w:r>
      <w:r>
        <w:t xml:space="preserve">audiences and </w:t>
      </w:r>
      <w:r w:rsidR="27D6BB6E">
        <w:t xml:space="preserve">identify opportunities to improve </w:t>
      </w:r>
      <w:r w:rsidR="4A012114">
        <w:t xml:space="preserve">our </w:t>
      </w:r>
      <w:r w:rsidR="27D6BB6E">
        <w:t xml:space="preserve">data products and services. As part of this study, we are conducting a </w:t>
      </w:r>
      <w:r w:rsidR="77E8DD55">
        <w:t>survey</w:t>
      </w:r>
      <w:r w:rsidR="35F5BA48">
        <w:t xml:space="preserve"> </w:t>
      </w:r>
      <w:r w:rsidR="293414BB">
        <w:t xml:space="preserve">to determine </w:t>
      </w:r>
      <w:r w:rsidR="27D6BB6E">
        <w:t xml:space="preserve">which </w:t>
      </w:r>
      <w:r w:rsidR="293414BB">
        <w:t>audience groups are aware of the</w:t>
      </w:r>
      <w:r w:rsidR="27D6BB6E">
        <w:t xml:space="preserve"> </w:t>
      </w:r>
      <w:r w:rsidR="35F5BA48">
        <w:t>IMLS data products derived from the annual Public Librar</w:t>
      </w:r>
      <w:r w:rsidR="1341E968">
        <w:t>ies</w:t>
      </w:r>
      <w:r w:rsidR="35F5BA48">
        <w:t xml:space="preserve"> Survey (PLS) and the biennial State Library Administrative Agencies (SLAA) survey</w:t>
      </w:r>
      <w:r w:rsidR="43A620ED">
        <w:t xml:space="preserve">. </w:t>
      </w:r>
    </w:p>
    <w:p w:rsidR="006D66AC" w:rsidRDefault="006D66AC" w14:paraId="13D6F7BE" w14:textId="77777777"/>
    <w:p w:rsidR="00C8488C" w:rsidRDefault="64EC7646" w14:paraId="5C10CD1A" w14:textId="1816B536">
      <w:r>
        <w:t xml:space="preserve">These </w:t>
      </w:r>
      <w:r w:rsidR="5A832E8A">
        <w:t xml:space="preserve">IMLS data </w:t>
      </w:r>
      <w:r w:rsidR="3F77A02D">
        <w:t xml:space="preserve">products </w:t>
      </w:r>
      <w:r w:rsidR="2A24F738">
        <w:t xml:space="preserve">include the data </w:t>
      </w:r>
      <w:r w:rsidR="3350E283">
        <w:t xml:space="preserve">sets </w:t>
      </w:r>
      <w:r w:rsidR="5A832E8A">
        <w:t>and associated datafile documentation</w:t>
      </w:r>
      <w:r w:rsidR="2A24F738">
        <w:t xml:space="preserve">, an online search and query tool, statistical tables, and reports. </w:t>
      </w:r>
      <w:r w:rsidR="6651D1EA">
        <w:t>The survey will determine participants’ awareness of the products, their interest in using the products,</w:t>
      </w:r>
      <w:r w:rsidR="3350E283">
        <w:t xml:space="preserve"> perceived usefulness of the products,</w:t>
      </w:r>
      <w:r w:rsidR="6651D1EA">
        <w:t xml:space="preserve"> and the challenges they may face in using the products. </w:t>
      </w:r>
      <w:r w:rsidR="3350E283">
        <w:t>The data from this survey will be used to improve and enhance the data products over the next five years and guide dissemination efforts to increase use of the products.</w:t>
      </w:r>
      <w:r w:rsidR="512FE9C7">
        <w:t xml:space="preserve"> IMLS is working with </w:t>
      </w:r>
      <w:r w:rsidR="403F1C30">
        <w:t xml:space="preserve">our </w:t>
      </w:r>
      <w:r w:rsidR="512FE9C7">
        <w:t>contractor RTI International to conduct this survey.</w:t>
      </w:r>
    </w:p>
    <w:p w:rsidR="00C8488C" w:rsidP="00434E33" w:rsidRDefault="00C8488C" w14:paraId="0B993DD5" w14:textId="77777777">
      <w:pPr>
        <w:pStyle w:val="Header"/>
        <w:tabs>
          <w:tab w:val="clear" w:pos="4320"/>
          <w:tab w:val="clear" w:pos="8640"/>
        </w:tabs>
        <w:rPr>
          <w:b/>
        </w:rPr>
      </w:pPr>
    </w:p>
    <w:p w:rsidR="00C8488C" w:rsidP="00434E33" w:rsidRDefault="00C8488C" w14:paraId="10E5D0A0" w14:textId="77777777">
      <w:pPr>
        <w:pStyle w:val="Header"/>
        <w:tabs>
          <w:tab w:val="clear" w:pos="4320"/>
          <w:tab w:val="clear" w:pos="8640"/>
        </w:tabs>
        <w:rPr>
          <w:b/>
        </w:rPr>
      </w:pPr>
    </w:p>
    <w:p w:rsidRPr="00434E33" w:rsidR="00434E33" w:rsidP="00434E33" w:rsidRDefault="00434E33" w14:paraId="5B813F19"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085E8C09" w14:textId="77777777"/>
    <w:p w:rsidR="00434E33" w:rsidRDefault="61E17F87" w14:paraId="2E2EE29A" w14:textId="54C4AA13">
      <w:r>
        <w:t>Respondents are library practitioners, library administrators, journalists</w:t>
      </w:r>
      <w:r w:rsidR="122E48AB">
        <w:t xml:space="preserve"> interested in libraries and other public institutions</w:t>
      </w:r>
      <w:r>
        <w:t>, and</w:t>
      </w:r>
      <w:r w:rsidR="122E48AB">
        <w:t xml:space="preserve"> social science</w:t>
      </w:r>
      <w:r>
        <w:t xml:space="preserve"> researchers </w:t>
      </w:r>
      <w:r w:rsidR="23F028CE">
        <w:t xml:space="preserve">who </w:t>
      </w:r>
      <w:r>
        <w:t>ma</w:t>
      </w:r>
      <w:r w:rsidR="5E313ED1">
        <w:t xml:space="preserve">y or may not be aware </w:t>
      </w:r>
      <w:r>
        <w:t>of the IMLS data products</w:t>
      </w:r>
      <w:r w:rsidR="122E48AB">
        <w:t xml:space="preserve"> but who might benefit from using the products in their work</w:t>
      </w:r>
      <w:r>
        <w:t>.</w:t>
      </w:r>
    </w:p>
    <w:p w:rsidR="00E26329" w:rsidRDefault="00E26329" w14:paraId="57B803AA" w14:textId="77777777">
      <w:pPr>
        <w:rPr>
          <w:b/>
        </w:rPr>
      </w:pPr>
    </w:p>
    <w:p w:rsidR="00E26329" w:rsidRDefault="00E26329" w14:paraId="497162CE" w14:textId="77777777">
      <w:pPr>
        <w:rPr>
          <w:b/>
        </w:rPr>
      </w:pPr>
    </w:p>
    <w:p w:rsidRPr="00F06866" w:rsidR="00F06866" w:rsidRDefault="00F06866" w14:paraId="1DE84EB5" w14:textId="77777777">
      <w:pPr>
        <w:rPr>
          <w:b/>
        </w:rPr>
      </w:pPr>
      <w:r>
        <w:rPr>
          <w:b/>
        </w:rPr>
        <w:t>TYPE OF COLLECTION:</w:t>
      </w:r>
      <w:r w:rsidRPr="00F06866">
        <w:t xml:space="preserve"> (Check one)</w:t>
      </w:r>
    </w:p>
    <w:p w:rsidRPr="00434E33" w:rsidR="00441434" w:rsidP="0096108F" w:rsidRDefault="00441434" w14:paraId="74202F5F" w14:textId="77777777">
      <w:pPr>
        <w:pStyle w:val="BodyTextIndent"/>
        <w:tabs>
          <w:tab w:val="left" w:pos="360"/>
        </w:tabs>
        <w:ind w:left="0"/>
        <w:rPr>
          <w:bCs/>
          <w:sz w:val="16"/>
          <w:szCs w:val="16"/>
        </w:rPr>
      </w:pPr>
    </w:p>
    <w:p w:rsidRPr="00F06866" w:rsidR="00F06866" w:rsidP="0096108F" w:rsidRDefault="0096108F" w14:paraId="11C64381" w14:textId="6C15BF75">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754D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0754D6" w14:paraId="7E18663B" w14:textId="77777777">
      <w:pPr>
        <w:pStyle w:val="BodyTextIndent"/>
        <w:tabs>
          <w:tab w:val="left" w:pos="360"/>
        </w:tabs>
        <w:ind w:left="0"/>
        <w:rPr>
          <w:bCs/>
          <w:sz w:val="24"/>
        </w:rPr>
      </w:pPr>
      <w:r>
        <w:rPr>
          <w:bCs/>
          <w:sz w:val="24"/>
        </w:rPr>
        <w:t xml:space="preserve">[ </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916D262" w14:textId="24B26D3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B91B146" w14:textId="77777777">
      <w:pPr>
        <w:pStyle w:val="Header"/>
        <w:tabs>
          <w:tab w:val="clear" w:pos="4320"/>
          <w:tab w:val="clear" w:pos="8640"/>
        </w:tabs>
      </w:pPr>
    </w:p>
    <w:p w:rsidR="00CA2650" w:rsidRDefault="00441434" w14:paraId="2F4AA2B2" w14:textId="77777777">
      <w:pPr>
        <w:rPr>
          <w:b/>
        </w:rPr>
      </w:pPr>
      <w:r>
        <w:rPr>
          <w:b/>
        </w:rPr>
        <w:t>C</w:t>
      </w:r>
      <w:r w:rsidR="009C13B9">
        <w:rPr>
          <w:b/>
        </w:rPr>
        <w:t>ERTIFICATION:</w:t>
      </w:r>
    </w:p>
    <w:p w:rsidR="00441434" w:rsidRDefault="00441434" w14:paraId="5D505F74" w14:textId="77777777">
      <w:pPr>
        <w:rPr>
          <w:sz w:val="16"/>
          <w:szCs w:val="16"/>
        </w:rPr>
      </w:pPr>
    </w:p>
    <w:p w:rsidRPr="009C13B9" w:rsidR="008101A5" w:rsidP="008101A5" w:rsidRDefault="008101A5" w14:paraId="6F6AC858" w14:textId="77777777">
      <w:r>
        <w:t xml:space="preserve">I certify the following to be true: </w:t>
      </w:r>
    </w:p>
    <w:p w:rsidR="008101A5" w:rsidP="008101A5" w:rsidRDefault="008101A5" w14:paraId="6E94C4B0" w14:textId="77777777">
      <w:pPr>
        <w:pStyle w:val="ListParagraph"/>
        <w:numPr>
          <w:ilvl w:val="0"/>
          <w:numId w:val="14"/>
        </w:numPr>
      </w:pPr>
      <w:r>
        <w:t>The collection is voluntary.</w:t>
      </w:r>
      <w:r w:rsidRPr="00C14CC4">
        <w:t xml:space="preserve"> </w:t>
      </w:r>
    </w:p>
    <w:p w:rsidR="008101A5" w:rsidP="008101A5" w:rsidRDefault="008101A5" w14:paraId="5C4A835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19E17CC" w14:textId="40D79BA6">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1903A981" w14:textId="2A7AFE3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rsidRDefault="008101A5" w14:paraId="3C8A7CC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7E199A3"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4CFD6A9" w14:textId="77777777"/>
    <w:p w:rsidRPr="00A82C95" w:rsidR="009C13B9" w:rsidP="009C13B9" w:rsidRDefault="009C13B9" w14:paraId="046AE013" w14:textId="54DFB6CC">
      <w:pPr>
        <w:rPr>
          <w:u w:val="single"/>
        </w:rPr>
      </w:pPr>
      <w:r>
        <w:t>Name:</w:t>
      </w:r>
      <w:r w:rsidR="00A82C95">
        <w:t xml:space="preserve"> </w:t>
      </w:r>
      <w:r w:rsidRPr="0DAFAB66" w:rsidR="3DB39D9D">
        <w:rPr>
          <w:u w:val="single"/>
        </w:rPr>
        <w:t>Matt Birnbaum</w:t>
      </w:r>
    </w:p>
    <w:p w:rsidR="009C13B9" w:rsidP="009C13B9" w:rsidRDefault="009C13B9" w14:paraId="1322E1BE" w14:textId="77777777">
      <w:pPr>
        <w:pStyle w:val="ListParagraph"/>
        <w:ind w:left="360"/>
      </w:pPr>
    </w:p>
    <w:p w:rsidR="009C13B9" w:rsidP="009C13B9" w:rsidRDefault="009C13B9" w14:paraId="3C3AE946" w14:textId="77777777">
      <w:r>
        <w:t>To assist review, please provide answers to the following question:</w:t>
      </w:r>
    </w:p>
    <w:p w:rsidR="009C13B9" w:rsidP="009C13B9" w:rsidRDefault="009C13B9" w14:paraId="3B14058F" w14:textId="77777777">
      <w:pPr>
        <w:pStyle w:val="ListParagraph"/>
        <w:ind w:left="360"/>
      </w:pPr>
    </w:p>
    <w:p w:rsidRPr="00C86E91" w:rsidR="009C13B9" w:rsidP="00C86E91" w:rsidRDefault="00C86E91" w14:paraId="0A2624B5"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45ADA7D" w14:textId="19502D0D">
      <w:pPr>
        <w:pStyle w:val="ListParagraph"/>
        <w:numPr>
          <w:ilvl w:val="0"/>
          <w:numId w:val="18"/>
        </w:numPr>
      </w:pPr>
      <w:r>
        <w:t>Is</w:t>
      </w:r>
      <w:r w:rsidR="00237B48">
        <w:t xml:space="preserve"> personally identifiable information (PII) collected</w:t>
      </w:r>
      <w:r>
        <w:t xml:space="preserve">?  </w:t>
      </w:r>
      <w:r w:rsidR="009239AA">
        <w:t xml:space="preserve">[ </w:t>
      </w:r>
      <w:r w:rsidR="00DD126B">
        <w:t>X</w:t>
      </w:r>
      <w:r w:rsidR="009239AA">
        <w:t xml:space="preserve"> ] Yes  []  No </w:t>
      </w:r>
    </w:p>
    <w:p w:rsidR="00125E23" w:rsidP="1F03C415" w:rsidRDefault="00DD126B" w14:paraId="76F79DC5" w14:textId="77777777">
      <w:pPr>
        <w:pStyle w:val="ListParagraph"/>
      </w:pPr>
      <w:r>
        <w:t xml:space="preserve">We will collect email addresses in order to process incentives (Amazon gift cards sent via email). </w:t>
      </w:r>
      <w:r w:rsidR="00A47334">
        <w:t>This PII will not be entered into a system of records and will be kept separate from participant responses. It will be stored in a folder with access restricted to the researchers and will be immediately destroyed at the end the project</w:t>
      </w:r>
      <w:r w:rsidRPr="007B1FD4" w:rsidR="00A47334">
        <w:t>.</w:t>
      </w:r>
      <w:r w:rsidR="00A47334">
        <w:t xml:space="preserve"> Emails of participants will be deleted immediately after we send the digital gift card incentive. </w:t>
      </w:r>
    </w:p>
    <w:p w:rsidR="00C86E91" w:rsidP="1F8D682E" w:rsidRDefault="579BC527" w14:paraId="5C7CEA17" w14:textId="5F6754F0">
      <w:pPr>
        <w:pStyle w:val="ListParagraph"/>
        <w:numPr>
          <w:ilvl w:val="0"/>
          <w:numId w:val="18"/>
        </w:numPr>
        <w:rPr>
          <w:u w:val="single"/>
        </w:rPr>
      </w:pPr>
      <w:r>
        <w:t xml:space="preserve">If </w:t>
      </w:r>
      <w:r w:rsidR="18E6A550">
        <w:t>Yes,</w:t>
      </w:r>
      <w:r>
        <w:t xml:space="preserve"> </w:t>
      </w:r>
      <w:r w:rsidR="15E012DB">
        <w:t>will any</w:t>
      </w:r>
      <w:r w:rsidR="18E6A550">
        <w:t xml:space="preserve"> information that</w:t>
      </w:r>
      <w:r w:rsidR="15E012DB">
        <w:t xml:space="preserve"> is collected</w:t>
      </w:r>
      <w:r w:rsidR="18E6A550">
        <w:t xml:space="preserve"> be included in records that are subject to the Privacy Act of 1974?   [  ] Yes [</w:t>
      </w:r>
      <w:r w:rsidR="5DDE7191">
        <w:t>X</w:t>
      </w:r>
      <w:r w:rsidR="18E6A550">
        <w:t xml:space="preserve"> ] No</w:t>
      </w:r>
      <w:r w:rsidR="025B5E92">
        <w:t xml:space="preserve">   </w:t>
      </w:r>
      <w:r w:rsidR="35F5BA48">
        <w:t>N</w:t>
      </w:r>
      <w:r w:rsidR="22460FB8">
        <w:t xml:space="preserve">ot </w:t>
      </w:r>
      <w:r w:rsidR="35F5BA48">
        <w:t>A</w:t>
      </w:r>
      <w:r w:rsidR="22460FB8">
        <w:t>pplicable</w:t>
      </w:r>
    </w:p>
    <w:p w:rsidR="00C86E91" w:rsidP="00C86E91" w:rsidRDefault="00C86E91" w14:paraId="3F2D57C9" w14:textId="64B597A2">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67164E">
        <w:t xml:space="preserve">  </w:t>
      </w:r>
      <w:r w:rsidR="0067164E">
        <w:rPr>
          <w:u w:val="single"/>
        </w:rPr>
        <w:t>N</w:t>
      </w:r>
      <w:r w:rsidR="002B281E">
        <w:rPr>
          <w:u w:val="single"/>
        </w:rPr>
        <w:t xml:space="preserve">ot </w:t>
      </w:r>
      <w:r w:rsidR="0067164E">
        <w:rPr>
          <w:u w:val="single"/>
        </w:rPr>
        <w:t>A</w:t>
      </w:r>
      <w:r w:rsidR="002B281E">
        <w:rPr>
          <w:u w:val="single"/>
        </w:rPr>
        <w:t>pplicable</w:t>
      </w:r>
    </w:p>
    <w:p w:rsidR="00CF6542" w:rsidP="00C86E91" w:rsidRDefault="00CF6542" w14:paraId="498D9548" w14:textId="77777777">
      <w:pPr>
        <w:pStyle w:val="ListParagraph"/>
        <w:ind w:left="0"/>
        <w:rPr>
          <w:b/>
        </w:rPr>
      </w:pPr>
    </w:p>
    <w:p w:rsidRPr="00C86E91" w:rsidR="00C86E91" w:rsidP="00C86E91" w:rsidRDefault="00CB1078" w14:paraId="57A4CE23" w14:textId="77777777">
      <w:pPr>
        <w:pStyle w:val="ListParagraph"/>
        <w:ind w:left="0"/>
        <w:rPr>
          <w:b/>
        </w:rPr>
      </w:pPr>
      <w:r>
        <w:rPr>
          <w:b/>
        </w:rPr>
        <w:t>Gifts or Payments</w:t>
      </w:r>
      <w:r w:rsidR="00C86E91">
        <w:rPr>
          <w:b/>
        </w:rPr>
        <w:t>:</w:t>
      </w:r>
    </w:p>
    <w:p w:rsidR="00C86E91" w:rsidP="00C86E91" w:rsidRDefault="00C86E91" w14:paraId="6884EC87" w14:textId="77777777">
      <w:r>
        <w:t>Is an incentive (e.g., money or reimbursement of expenses, token of appreciation) provided to participants?  [</w:t>
      </w:r>
      <w:r w:rsidR="0067164E">
        <w:t>X</w:t>
      </w:r>
      <w:r>
        <w:t xml:space="preserve">] Yes [  ] No  </w:t>
      </w:r>
    </w:p>
    <w:p w:rsidR="004D6E14" w:rsidRDefault="004D6E14" w14:paraId="4E72F2C0" w14:textId="77777777">
      <w:pPr>
        <w:rPr>
          <w:b/>
        </w:rPr>
      </w:pPr>
    </w:p>
    <w:p w:rsidR="00157121" w:rsidRDefault="1777DE58" w14:paraId="7A256ABD" w14:textId="2D976DCF">
      <w:r w:rsidRPr="6E850D1E">
        <w:t xml:space="preserve">Participants who complete the survey will be </w:t>
      </w:r>
      <w:r w:rsidRPr="6E850D1E" w:rsidR="2C818B12">
        <w:t xml:space="preserve">offered </w:t>
      </w:r>
      <w:r w:rsidRPr="6E850D1E">
        <w:t>a $15 Amazon gift card as a</w:t>
      </w:r>
      <w:r w:rsidRPr="6E850D1E" w:rsidR="3682450B">
        <w:t>n incentive and</w:t>
      </w:r>
      <w:r w:rsidRPr="6E850D1E">
        <w:t xml:space="preserve"> token of appreciation for their time.</w:t>
      </w:r>
      <w:r w:rsidRPr="00E21294" w:rsidR="35733026">
        <w:rPr>
          <w:color w:val="000000"/>
          <w:sz w:val="27"/>
          <w:szCs w:val="27"/>
        </w:rPr>
        <w:t xml:space="preserve"> </w:t>
      </w:r>
      <w:r w:rsidRPr="00E21294" w:rsidR="413100C1">
        <w:rPr>
          <w:color w:val="000000"/>
        </w:rPr>
        <w:t>A</w:t>
      </w:r>
      <w:r w:rsidRPr="6E850D1E" w:rsidR="413100C1">
        <w:t>s participants often have competing demands for their time, incentives are used to encourage participation</w:t>
      </w:r>
      <w:r w:rsidR="413100C1">
        <w:t>, show respect and gratitude, and provide compensation for their time and contribution</w:t>
      </w:r>
      <w:r w:rsidRPr="6E850D1E" w:rsidR="413100C1">
        <w:t>.</w:t>
      </w:r>
      <w:r w:rsidR="413100C1">
        <w:t xml:space="preserve"> While research may require little skill by participants, it takes time, effort, and endurance</w:t>
      </w:r>
      <w:r w:rsidR="2A6C8615">
        <w:t>.</w:t>
      </w:r>
      <w:r w:rsidR="00510035">
        <w:rPr>
          <w:rStyle w:val="FootnoteReference"/>
        </w:rPr>
        <w:footnoteReference w:id="2"/>
      </w:r>
      <w:r w:rsidRPr="6E850D1E" w:rsidR="35733026">
        <w:t xml:space="preserve"> Numerous empirical studies have shown that incentives can significantly increase response rates.</w:t>
      </w:r>
      <w:r w:rsidR="7C1C8AE2">
        <w:t xml:space="preserve"> Even small amounts of money have been shown to increase response rates for surveys.</w:t>
      </w:r>
      <w:r w:rsidRPr="6E850D1E" w:rsidR="00784162">
        <w:rPr>
          <w:rStyle w:val="FootnoteReference"/>
        </w:rPr>
        <w:footnoteReference w:id="3"/>
      </w:r>
      <w:r w:rsidR="62601DBF">
        <w:rPr>
          <w:bCs/>
        </w:rPr>
        <w:t xml:space="preserve"> </w:t>
      </w:r>
      <w:r w:rsidRPr="6E850D1E" w:rsidR="00784162">
        <w:rPr>
          <w:rStyle w:val="FootnoteReference"/>
        </w:rPr>
        <w:footnoteReference w:id="4"/>
      </w:r>
      <w:r w:rsidRPr="6E850D1E" w:rsidR="35733026">
        <w:t xml:space="preserve"> </w:t>
      </w:r>
      <w:r w:rsidR="00CD50D9">
        <w:rPr>
          <w:rStyle w:val="FootnoteReference"/>
        </w:rPr>
        <w:footnoteReference w:id="5"/>
      </w:r>
      <w:r w:rsidR="7C1C8AE2">
        <w:t xml:space="preserve"> </w:t>
      </w:r>
      <w:r w:rsidRPr="6E850D1E" w:rsidR="35733026">
        <w:t xml:space="preserve">Low or no incentives can also potentially result in a difficult and lengthy recruitment process. This can cause delays in initiating data collection, which can lead to overall timeline delays and increased costs to the government. </w:t>
      </w:r>
      <w:r w:rsidR="03DC2C0E">
        <w:t>In our experience with multiple research studies, in situations where we have not offered incentives, time to recruit increased, as did our no-show rate. In fact, recruitment organizations have a standard practice of offering incentives, as participating in research takes people away from their work; thus, they should be paid, unless the research activity is considered part of their normal job responsibilities.</w:t>
      </w:r>
      <w:r w:rsidR="009257E3">
        <w:rPr>
          <w:rStyle w:val="FootnoteReference"/>
        </w:rPr>
        <w:footnoteReference w:id="6"/>
      </w:r>
      <w:r w:rsidR="03DC2C0E">
        <w:t xml:space="preserve"> </w:t>
      </w:r>
      <w:r w:rsidR="009257E3">
        <w:rPr>
          <w:rStyle w:val="FootnoteReference"/>
        </w:rPr>
        <w:footnoteReference w:id="7"/>
      </w:r>
      <w:r w:rsidR="03DC2C0E">
        <w:t xml:space="preserve"> </w:t>
      </w:r>
    </w:p>
    <w:p w:rsidR="00E83AFF" w:rsidRDefault="00E83AFF" w14:paraId="7931E73B" w14:textId="77777777"/>
    <w:p w:rsidRPr="00166F49" w:rsidR="00C86E91" w:rsidRDefault="080A21A8" w14:paraId="29225EE7" w14:textId="05D712B4">
      <w:pPr>
        <w:rPr>
          <w:vertAlign w:val="superscript"/>
        </w:rPr>
      </w:pPr>
      <w:r w:rsidRPr="6E850D1E">
        <w:t>Additionally, since the participants will include both those who already use IMLS data products as well as those who do not</w:t>
      </w:r>
      <w:r>
        <w:t>, such as journalists</w:t>
      </w:r>
      <w:r w:rsidRPr="6E850D1E">
        <w:t>, recruitment of this latter group poses additional challenges, necessitating the use of an incentive.</w:t>
      </w:r>
      <w:r w:rsidR="7B439579">
        <w:t xml:space="preserve"> While current users may feel more intrinsically motivated to provide input on the data products – either personally or professionally</w:t>
      </w:r>
      <w:r w:rsidR="6472B0A4">
        <w:t>, which may bias their awareness of the products and their perceptions of their utility;</w:t>
      </w:r>
      <w:r w:rsidR="7B439579">
        <w:t xml:space="preserve"> </w:t>
      </w:r>
      <w:r w:rsidR="6472B0A4">
        <w:t xml:space="preserve">providing incentives – or extrinsic motivators – can help us recruit a more diverse set of participants, </w:t>
      </w:r>
      <w:r w:rsidR="25A72E4B">
        <w:t xml:space="preserve">including those </w:t>
      </w:r>
      <w:r w:rsidR="6472B0A4">
        <w:t xml:space="preserve">who are </w:t>
      </w:r>
      <w:r w:rsidR="2E29F5AC">
        <w:t xml:space="preserve">not already </w:t>
      </w:r>
      <w:r w:rsidR="6472B0A4">
        <w:t>interested in the IMLS website and data products</w:t>
      </w:r>
      <w:r w:rsidR="1638AC2E">
        <w:t>.</w:t>
      </w:r>
      <w:r w:rsidR="003538BA">
        <w:rPr>
          <w:rStyle w:val="FootnoteReference"/>
        </w:rPr>
        <w:footnoteReference w:id="8"/>
      </w:r>
      <w:r w:rsidR="1638AC2E">
        <w:t xml:space="preserve"> </w:t>
      </w:r>
    </w:p>
    <w:p w:rsidRPr="00D51792" w:rsidR="002A3CF8" w:rsidRDefault="002A3CF8" w14:paraId="3CA8C19F" w14:textId="77777777"/>
    <w:p w:rsidR="00994AE8" w:rsidP="00C86E91" w:rsidRDefault="00994AE8" w14:paraId="5BA2C522" w14:textId="7AB4A695">
      <w:pPr>
        <w:rPr>
          <w:b/>
        </w:rPr>
      </w:pPr>
    </w:p>
    <w:p w:rsidR="005E714A" w:rsidP="00C86E91" w:rsidRDefault="005E714A" w14:paraId="269F7BAB" w14:textId="6D3A6926">
      <w:pPr>
        <w:rPr>
          <w:i/>
        </w:rPr>
      </w:pPr>
      <w:r>
        <w:rPr>
          <w:b/>
        </w:rPr>
        <w:t>BURDEN HOUR</w:t>
      </w:r>
      <w:r w:rsidR="00441434">
        <w:rPr>
          <w:b/>
        </w:rPr>
        <w:t>S</w:t>
      </w:r>
      <w:r>
        <w:t xml:space="preserve"> </w:t>
      </w:r>
    </w:p>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1008"/>
        <w:gridCol w:w="1530"/>
        <w:gridCol w:w="1260"/>
        <w:gridCol w:w="1620"/>
        <w:gridCol w:w="1410"/>
      </w:tblGrid>
      <w:tr w:rsidR="00EF2095" w:rsidTr="1F8D682E" w14:paraId="5BC5F3CD" w14:textId="0E2CCBA6">
        <w:trPr>
          <w:trHeight w:val="274"/>
        </w:trPr>
        <w:tc>
          <w:tcPr>
            <w:tcW w:w="2160" w:type="dxa"/>
          </w:tcPr>
          <w:p w:rsidRPr="002D45C8" w:rsidR="006832D9" w:rsidP="5353A6A7" w:rsidRDefault="00E40B50" w14:paraId="7F376FF0" w14:textId="77777777">
            <w:pPr>
              <w:rPr>
                <w:b/>
                <w:sz w:val="22"/>
                <w:szCs w:val="22"/>
              </w:rPr>
            </w:pPr>
            <w:r w:rsidRPr="002D45C8">
              <w:rPr>
                <w:b/>
                <w:sz w:val="22"/>
                <w:szCs w:val="22"/>
              </w:rPr>
              <w:t>Category of Respondent</w:t>
            </w:r>
            <w:r w:rsidRPr="002D45C8" w:rsidR="00EF2095">
              <w:rPr>
                <w:b/>
                <w:sz w:val="22"/>
                <w:szCs w:val="22"/>
              </w:rPr>
              <w:t xml:space="preserve"> </w:t>
            </w:r>
          </w:p>
        </w:tc>
        <w:tc>
          <w:tcPr>
            <w:tcW w:w="1008" w:type="dxa"/>
          </w:tcPr>
          <w:p w:rsidRPr="002D45C8" w:rsidR="006832D9" w:rsidP="00843796" w:rsidRDefault="006832D9" w14:paraId="0CCE5422" w14:textId="77777777">
            <w:pPr>
              <w:rPr>
                <w:b/>
                <w:sz w:val="22"/>
                <w:szCs w:val="22"/>
              </w:rPr>
            </w:pPr>
            <w:r w:rsidRPr="002D45C8">
              <w:rPr>
                <w:b/>
                <w:sz w:val="22"/>
                <w:szCs w:val="22"/>
              </w:rPr>
              <w:t>N</w:t>
            </w:r>
            <w:r w:rsidRPr="002D45C8" w:rsidR="009F5923">
              <w:rPr>
                <w:b/>
                <w:sz w:val="22"/>
                <w:szCs w:val="22"/>
              </w:rPr>
              <w:t>o.</w:t>
            </w:r>
            <w:r w:rsidRPr="002D45C8">
              <w:rPr>
                <w:b/>
                <w:sz w:val="22"/>
                <w:szCs w:val="22"/>
              </w:rPr>
              <w:t xml:space="preserve"> of Respondents</w:t>
            </w:r>
          </w:p>
        </w:tc>
        <w:tc>
          <w:tcPr>
            <w:tcW w:w="1530" w:type="dxa"/>
          </w:tcPr>
          <w:p w:rsidRPr="002D45C8" w:rsidR="006832D9" w:rsidP="00843796" w:rsidRDefault="006832D9" w14:paraId="627E5F43" w14:textId="77777777">
            <w:pPr>
              <w:rPr>
                <w:b/>
                <w:sz w:val="22"/>
                <w:szCs w:val="22"/>
              </w:rPr>
            </w:pPr>
            <w:r w:rsidRPr="002D45C8">
              <w:rPr>
                <w:b/>
                <w:sz w:val="22"/>
                <w:szCs w:val="22"/>
              </w:rPr>
              <w:t>Participation Time</w:t>
            </w:r>
          </w:p>
        </w:tc>
        <w:tc>
          <w:tcPr>
            <w:tcW w:w="1260" w:type="dxa"/>
          </w:tcPr>
          <w:p w:rsidRPr="002D45C8" w:rsidR="006832D9" w:rsidP="00843796" w:rsidRDefault="00DF409E" w14:paraId="25196F0C" w14:textId="727DA23B">
            <w:pPr>
              <w:rPr>
                <w:b/>
                <w:sz w:val="22"/>
                <w:szCs w:val="22"/>
              </w:rPr>
            </w:pPr>
            <w:r w:rsidRPr="002D45C8">
              <w:rPr>
                <w:b/>
                <w:sz w:val="22"/>
                <w:szCs w:val="22"/>
              </w:rPr>
              <w:t>Total Minutes</w:t>
            </w:r>
          </w:p>
        </w:tc>
        <w:tc>
          <w:tcPr>
            <w:tcW w:w="1620" w:type="dxa"/>
          </w:tcPr>
          <w:p w:rsidRPr="002D45C8" w:rsidR="00724F44" w:rsidP="00843796" w:rsidRDefault="00724F44" w14:paraId="3A72CBF1" w14:textId="698FE739">
            <w:pPr>
              <w:rPr>
                <w:b/>
                <w:sz w:val="22"/>
                <w:szCs w:val="22"/>
              </w:rPr>
            </w:pPr>
            <w:r w:rsidRPr="002D45C8">
              <w:rPr>
                <w:b/>
                <w:sz w:val="22"/>
                <w:szCs w:val="22"/>
              </w:rPr>
              <w:t xml:space="preserve">Total </w:t>
            </w:r>
            <w:r w:rsidRPr="002D45C8" w:rsidR="000A65E0">
              <w:rPr>
                <w:b/>
                <w:sz w:val="22"/>
                <w:szCs w:val="22"/>
              </w:rPr>
              <w:t xml:space="preserve">Burden </w:t>
            </w:r>
            <w:r w:rsidRPr="002D45C8">
              <w:rPr>
                <w:b/>
                <w:sz w:val="22"/>
                <w:szCs w:val="22"/>
              </w:rPr>
              <w:t>Hours</w:t>
            </w:r>
          </w:p>
        </w:tc>
        <w:tc>
          <w:tcPr>
            <w:tcW w:w="1410" w:type="dxa"/>
          </w:tcPr>
          <w:p w:rsidRPr="002D45C8" w:rsidR="00724F44" w:rsidP="1F8D682E" w:rsidRDefault="6875845A" w14:paraId="34903C4E" w14:textId="6266BEE1">
            <w:pPr>
              <w:rPr>
                <w:b/>
                <w:bCs/>
                <w:sz w:val="22"/>
                <w:szCs w:val="22"/>
              </w:rPr>
            </w:pPr>
            <w:r w:rsidRPr="1F8D682E">
              <w:rPr>
                <w:b/>
                <w:bCs/>
                <w:sz w:val="22"/>
                <w:szCs w:val="22"/>
              </w:rPr>
              <w:t>Value of Time</w:t>
            </w:r>
            <w:r w:rsidRPr="1F8D682E" w:rsidR="000A0FA7">
              <w:rPr>
                <w:rStyle w:val="FootnoteReference"/>
                <w:b/>
                <w:bCs/>
                <w:sz w:val="22"/>
                <w:szCs w:val="22"/>
              </w:rPr>
              <w:footnoteReference w:id="9"/>
            </w:r>
            <w:r w:rsidRPr="1F8D682E">
              <w:rPr>
                <w:b/>
                <w:bCs/>
                <w:sz w:val="22"/>
                <w:szCs w:val="22"/>
              </w:rPr>
              <w:t xml:space="preserve"> </w:t>
            </w:r>
          </w:p>
        </w:tc>
      </w:tr>
      <w:tr w:rsidR="00EF2095" w:rsidTr="1F8D682E" w14:paraId="2D8C4BF5" w14:textId="2FF74BC2">
        <w:trPr>
          <w:trHeight w:val="274"/>
        </w:trPr>
        <w:tc>
          <w:tcPr>
            <w:tcW w:w="2160" w:type="dxa"/>
          </w:tcPr>
          <w:p w:rsidRPr="002D45C8" w:rsidR="006832D9" w:rsidP="00843796" w:rsidRDefault="007F51E8" w14:paraId="5426F482" w14:textId="6CD1FA12">
            <w:pPr>
              <w:rPr>
                <w:sz w:val="22"/>
                <w:szCs w:val="22"/>
              </w:rPr>
            </w:pPr>
            <w:r w:rsidRPr="002D45C8">
              <w:rPr>
                <w:sz w:val="22"/>
                <w:szCs w:val="22"/>
              </w:rPr>
              <w:t>Individuals - journalists</w:t>
            </w:r>
          </w:p>
        </w:tc>
        <w:tc>
          <w:tcPr>
            <w:tcW w:w="1008" w:type="dxa"/>
          </w:tcPr>
          <w:p w:rsidRPr="002D45C8" w:rsidR="006832D9" w:rsidP="004C1011" w:rsidRDefault="0016280D" w14:paraId="757F14C9" w14:textId="49B009F5">
            <w:pPr>
              <w:jc w:val="right"/>
              <w:rPr>
                <w:sz w:val="22"/>
                <w:szCs w:val="22"/>
              </w:rPr>
            </w:pPr>
            <w:r w:rsidRPr="002D45C8">
              <w:rPr>
                <w:sz w:val="22"/>
                <w:szCs w:val="22"/>
              </w:rPr>
              <w:t>30</w:t>
            </w:r>
          </w:p>
        </w:tc>
        <w:tc>
          <w:tcPr>
            <w:tcW w:w="1530" w:type="dxa"/>
          </w:tcPr>
          <w:p w:rsidRPr="002D45C8" w:rsidR="006832D9" w:rsidP="004C1011" w:rsidRDefault="007734D3" w14:paraId="274D6300" w14:textId="77777777">
            <w:pPr>
              <w:jc w:val="right"/>
              <w:rPr>
                <w:sz w:val="22"/>
                <w:szCs w:val="22"/>
              </w:rPr>
            </w:pPr>
            <w:r w:rsidRPr="002D45C8">
              <w:rPr>
                <w:sz w:val="22"/>
                <w:szCs w:val="22"/>
              </w:rPr>
              <w:t>1</w:t>
            </w:r>
            <w:r w:rsidRPr="002D45C8" w:rsidR="005C18C5">
              <w:rPr>
                <w:sz w:val="22"/>
                <w:szCs w:val="22"/>
              </w:rPr>
              <w:t>5 minutes</w:t>
            </w:r>
          </w:p>
        </w:tc>
        <w:tc>
          <w:tcPr>
            <w:tcW w:w="1260" w:type="dxa"/>
          </w:tcPr>
          <w:p w:rsidRPr="002D45C8" w:rsidR="006832D9" w:rsidP="004C1011" w:rsidRDefault="006D1A09" w14:paraId="5EDBB3C4" w14:textId="0DAEBDA8">
            <w:pPr>
              <w:jc w:val="right"/>
              <w:rPr>
                <w:sz w:val="22"/>
                <w:szCs w:val="22"/>
              </w:rPr>
            </w:pPr>
            <w:r w:rsidRPr="002D45C8">
              <w:rPr>
                <w:sz w:val="22"/>
                <w:szCs w:val="22"/>
              </w:rPr>
              <w:t>450</w:t>
            </w:r>
          </w:p>
        </w:tc>
        <w:tc>
          <w:tcPr>
            <w:tcW w:w="1620" w:type="dxa"/>
          </w:tcPr>
          <w:p w:rsidRPr="002D45C8" w:rsidR="00946AA1" w:rsidP="004C1011" w:rsidRDefault="00946AA1" w14:paraId="56A5291E" w14:textId="4514D0C4">
            <w:pPr>
              <w:jc w:val="right"/>
              <w:rPr>
                <w:sz w:val="22"/>
                <w:szCs w:val="22"/>
              </w:rPr>
            </w:pPr>
            <w:r w:rsidRPr="002D45C8">
              <w:rPr>
                <w:sz w:val="22"/>
                <w:szCs w:val="22"/>
              </w:rPr>
              <w:t>7.5</w:t>
            </w:r>
            <w:r w:rsidRPr="002D45C8" w:rsidR="003E63D1">
              <w:rPr>
                <w:sz w:val="22"/>
                <w:szCs w:val="22"/>
              </w:rPr>
              <w:t>0 hours</w:t>
            </w:r>
          </w:p>
        </w:tc>
        <w:tc>
          <w:tcPr>
            <w:tcW w:w="1410" w:type="dxa"/>
          </w:tcPr>
          <w:p w:rsidRPr="002D45C8" w:rsidR="006B1D30" w:rsidP="008757A6" w:rsidRDefault="006B1D30" w14:paraId="3BED1EA1" w14:textId="6F301499">
            <w:pPr>
              <w:jc w:val="right"/>
              <w:rPr>
                <w:sz w:val="22"/>
                <w:szCs w:val="22"/>
              </w:rPr>
            </w:pPr>
            <w:r w:rsidRPr="002D45C8">
              <w:rPr>
                <w:sz w:val="22"/>
                <w:szCs w:val="22"/>
              </w:rPr>
              <w:t>$166.88</w:t>
            </w:r>
          </w:p>
        </w:tc>
      </w:tr>
      <w:tr w:rsidRPr="002D45C8" w:rsidR="000F4279" w:rsidTr="1F8D682E" w14:paraId="14D3C8A2" w14:textId="77777777">
        <w:trPr>
          <w:trHeight w:val="274"/>
        </w:trPr>
        <w:tc>
          <w:tcPr>
            <w:tcW w:w="2160" w:type="dxa"/>
          </w:tcPr>
          <w:p w:rsidRPr="002D45C8" w:rsidR="000F4279" w:rsidP="007F51E8" w:rsidRDefault="000F4279" w14:paraId="2C3ACA2A" w14:textId="77777777">
            <w:pPr>
              <w:rPr>
                <w:sz w:val="22"/>
                <w:szCs w:val="22"/>
              </w:rPr>
            </w:pPr>
            <w:r w:rsidRPr="002D45C8">
              <w:rPr>
                <w:sz w:val="22"/>
                <w:szCs w:val="22"/>
              </w:rPr>
              <w:t>Individuals – library staff</w:t>
            </w:r>
          </w:p>
        </w:tc>
        <w:tc>
          <w:tcPr>
            <w:tcW w:w="1008" w:type="dxa"/>
          </w:tcPr>
          <w:p w:rsidRPr="002D45C8" w:rsidR="000F4279" w:rsidP="00CD4210" w:rsidRDefault="000F4279" w14:paraId="74689D34" w14:textId="45CC6CFD">
            <w:pPr>
              <w:jc w:val="right"/>
              <w:rPr>
                <w:sz w:val="22"/>
                <w:szCs w:val="22"/>
              </w:rPr>
            </w:pPr>
            <w:r>
              <w:rPr>
                <w:sz w:val="22"/>
                <w:szCs w:val="22"/>
              </w:rPr>
              <w:t>20</w:t>
            </w:r>
          </w:p>
        </w:tc>
        <w:tc>
          <w:tcPr>
            <w:tcW w:w="1530" w:type="dxa"/>
          </w:tcPr>
          <w:p w:rsidRPr="002D45C8" w:rsidR="000F4279" w:rsidDel="77D42B01" w:rsidP="004C1011" w:rsidRDefault="000F4279" w14:paraId="6C63C8C7" w14:textId="1CDB4087">
            <w:pPr>
              <w:jc w:val="right"/>
              <w:rPr>
                <w:sz w:val="22"/>
                <w:szCs w:val="22"/>
              </w:rPr>
            </w:pPr>
            <w:r>
              <w:rPr>
                <w:sz w:val="22"/>
                <w:szCs w:val="22"/>
              </w:rPr>
              <w:t>15 minutes</w:t>
            </w:r>
          </w:p>
        </w:tc>
        <w:tc>
          <w:tcPr>
            <w:tcW w:w="1260" w:type="dxa"/>
          </w:tcPr>
          <w:p w:rsidRPr="002D45C8" w:rsidR="000F4279" w:rsidP="004C1011" w:rsidRDefault="000F4279" w14:paraId="79232CD0" w14:textId="2F00324C">
            <w:pPr>
              <w:jc w:val="right"/>
              <w:rPr>
                <w:sz w:val="22"/>
                <w:szCs w:val="22"/>
              </w:rPr>
            </w:pPr>
            <w:r>
              <w:rPr>
                <w:sz w:val="22"/>
                <w:szCs w:val="22"/>
              </w:rPr>
              <w:t>300</w:t>
            </w:r>
          </w:p>
        </w:tc>
        <w:tc>
          <w:tcPr>
            <w:tcW w:w="1620" w:type="dxa"/>
          </w:tcPr>
          <w:p w:rsidRPr="002D45C8" w:rsidR="000F4279" w:rsidP="004C1011" w:rsidRDefault="000F4279" w14:paraId="4B1A61EB" w14:textId="0BB579D3">
            <w:pPr>
              <w:jc w:val="right"/>
              <w:rPr>
                <w:sz w:val="22"/>
                <w:szCs w:val="22"/>
              </w:rPr>
            </w:pPr>
            <w:r>
              <w:rPr>
                <w:sz w:val="22"/>
                <w:szCs w:val="22"/>
              </w:rPr>
              <w:t>5.00 hours</w:t>
            </w:r>
          </w:p>
        </w:tc>
        <w:tc>
          <w:tcPr>
            <w:tcW w:w="1410" w:type="dxa"/>
          </w:tcPr>
          <w:p w:rsidRPr="002D45C8" w:rsidR="000F4279" w:rsidP="004C1011" w:rsidRDefault="000F4279" w14:paraId="6F9AB152" w14:textId="6689E8B0">
            <w:pPr>
              <w:jc w:val="right"/>
              <w:rPr>
                <w:sz w:val="22"/>
                <w:szCs w:val="22"/>
              </w:rPr>
            </w:pPr>
            <w:r>
              <w:rPr>
                <w:sz w:val="22"/>
                <w:szCs w:val="22"/>
              </w:rPr>
              <w:t>$143.05</w:t>
            </w:r>
          </w:p>
        </w:tc>
      </w:tr>
      <w:tr w:rsidRPr="002D45C8" w:rsidR="000F4279" w:rsidTr="1F8D682E" w14:paraId="4B3708A4" w14:textId="77777777">
        <w:trPr>
          <w:trHeight w:val="274"/>
        </w:trPr>
        <w:tc>
          <w:tcPr>
            <w:tcW w:w="2160" w:type="dxa"/>
          </w:tcPr>
          <w:p w:rsidRPr="002D45C8" w:rsidR="000F4279" w:rsidP="007F51E8" w:rsidRDefault="000F4279" w14:paraId="7785A563" w14:textId="77777777">
            <w:pPr>
              <w:rPr>
                <w:sz w:val="22"/>
                <w:szCs w:val="22"/>
              </w:rPr>
            </w:pPr>
            <w:r w:rsidRPr="002D45C8">
              <w:rPr>
                <w:sz w:val="22"/>
                <w:szCs w:val="22"/>
              </w:rPr>
              <w:t>Individuals - researchers</w:t>
            </w:r>
          </w:p>
        </w:tc>
        <w:tc>
          <w:tcPr>
            <w:tcW w:w="1008" w:type="dxa"/>
          </w:tcPr>
          <w:p w:rsidRPr="002D45C8" w:rsidR="000F4279" w:rsidP="00CD4210" w:rsidRDefault="000F4279" w14:paraId="666CDAA5" w14:textId="7ACEEB91">
            <w:pPr>
              <w:jc w:val="right"/>
              <w:rPr>
                <w:sz w:val="22"/>
                <w:szCs w:val="22"/>
              </w:rPr>
            </w:pPr>
            <w:r>
              <w:rPr>
                <w:sz w:val="22"/>
                <w:szCs w:val="22"/>
              </w:rPr>
              <w:t>25</w:t>
            </w:r>
          </w:p>
        </w:tc>
        <w:tc>
          <w:tcPr>
            <w:tcW w:w="1530" w:type="dxa"/>
          </w:tcPr>
          <w:p w:rsidRPr="002D45C8" w:rsidR="000F4279" w:rsidDel="77D42B01" w:rsidP="004C1011" w:rsidRDefault="000F4279" w14:paraId="790CD716" w14:textId="6BDC2F0A">
            <w:pPr>
              <w:jc w:val="right"/>
              <w:rPr>
                <w:sz w:val="22"/>
                <w:szCs w:val="22"/>
              </w:rPr>
            </w:pPr>
            <w:r>
              <w:rPr>
                <w:sz w:val="22"/>
                <w:szCs w:val="22"/>
              </w:rPr>
              <w:t>15 minutes</w:t>
            </w:r>
          </w:p>
        </w:tc>
        <w:tc>
          <w:tcPr>
            <w:tcW w:w="1260" w:type="dxa"/>
          </w:tcPr>
          <w:p w:rsidRPr="002D45C8" w:rsidR="000F4279" w:rsidP="004C1011" w:rsidRDefault="000F4279" w14:paraId="223869B0" w14:textId="43497325">
            <w:pPr>
              <w:jc w:val="right"/>
              <w:rPr>
                <w:sz w:val="22"/>
                <w:szCs w:val="22"/>
              </w:rPr>
            </w:pPr>
            <w:r>
              <w:rPr>
                <w:sz w:val="22"/>
                <w:szCs w:val="22"/>
              </w:rPr>
              <w:t>375</w:t>
            </w:r>
          </w:p>
        </w:tc>
        <w:tc>
          <w:tcPr>
            <w:tcW w:w="1620" w:type="dxa"/>
          </w:tcPr>
          <w:p w:rsidRPr="002D45C8" w:rsidR="000F4279" w:rsidP="004C1011" w:rsidRDefault="000F4279" w14:paraId="7CA45D73" w14:textId="6E06FA60">
            <w:pPr>
              <w:jc w:val="right"/>
              <w:rPr>
                <w:sz w:val="22"/>
                <w:szCs w:val="22"/>
              </w:rPr>
            </w:pPr>
            <w:r>
              <w:rPr>
                <w:sz w:val="22"/>
                <w:szCs w:val="22"/>
              </w:rPr>
              <w:t>6.25 hours</w:t>
            </w:r>
          </w:p>
        </w:tc>
        <w:tc>
          <w:tcPr>
            <w:tcW w:w="1410" w:type="dxa"/>
          </w:tcPr>
          <w:p w:rsidRPr="002D45C8" w:rsidR="000F4279" w:rsidP="004C1011" w:rsidRDefault="000F4279" w14:paraId="0BA8974B" w14:textId="7EA3A314">
            <w:pPr>
              <w:jc w:val="right"/>
              <w:rPr>
                <w:sz w:val="22"/>
                <w:szCs w:val="22"/>
              </w:rPr>
            </w:pPr>
            <w:r>
              <w:rPr>
                <w:sz w:val="22"/>
                <w:szCs w:val="22"/>
              </w:rPr>
              <w:t>$241.06</w:t>
            </w:r>
          </w:p>
        </w:tc>
      </w:tr>
      <w:tr w:rsidR="00EF2095" w:rsidTr="1F8D682E" w14:paraId="5138E150" w14:textId="5F9FA781">
        <w:trPr>
          <w:trHeight w:val="274"/>
        </w:trPr>
        <w:tc>
          <w:tcPr>
            <w:tcW w:w="2160" w:type="dxa"/>
          </w:tcPr>
          <w:p w:rsidRPr="002D45C8" w:rsidR="006832D9" w:rsidP="00843796" w:rsidRDefault="002B3F9B" w14:paraId="7A4AC31A" w14:textId="45D2C0E4">
            <w:pPr>
              <w:rPr>
                <w:sz w:val="22"/>
                <w:szCs w:val="22"/>
              </w:rPr>
            </w:pPr>
            <w:r w:rsidRPr="002D45C8">
              <w:rPr>
                <w:sz w:val="22"/>
                <w:szCs w:val="22"/>
              </w:rPr>
              <w:t>State or territory administrative staff</w:t>
            </w:r>
            <w:r w:rsidRPr="002D45C8" w:rsidR="005C18C5">
              <w:rPr>
                <w:sz w:val="22"/>
                <w:szCs w:val="22"/>
              </w:rPr>
              <w:t xml:space="preserve"> </w:t>
            </w:r>
            <w:r w:rsidRPr="002D45C8" w:rsidR="00D75511">
              <w:rPr>
                <w:sz w:val="22"/>
                <w:szCs w:val="22"/>
              </w:rPr>
              <w:t>(library administrators)</w:t>
            </w:r>
          </w:p>
        </w:tc>
        <w:tc>
          <w:tcPr>
            <w:tcW w:w="1008" w:type="dxa"/>
          </w:tcPr>
          <w:p w:rsidRPr="002D45C8" w:rsidR="006832D9" w:rsidP="004C1011" w:rsidRDefault="007F51E8" w14:paraId="212BB921" w14:textId="05D3423C">
            <w:pPr>
              <w:spacing w:line="259" w:lineRule="auto"/>
              <w:jc w:val="right"/>
              <w:rPr>
                <w:sz w:val="22"/>
                <w:szCs w:val="22"/>
              </w:rPr>
            </w:pPr>
            <w:r w:rsidRPr="002D45C8">
              <w:rPr>
                <w:sz w:val="22"/>
                <w:szCs w:val="22"/>
              </w:rPr>
              <w:t>30</w:t>
            </w:r>
          </w:p>
        </w:tc>
        <w:tc>
          <w:tcPr>
            <w:tcW w:w="1530" w:type="dxa"/>
          </w:tcPr>
          <w:p w:rsidRPr="002D45C8" w:rsidR="006832D9" w:rsidP="004C1011" w:rsidRDefault="007734D3" w14:paraId="2569E40F" w14:textId="77777777">
            <w:pPr>
              <w:jc w:val="right"/>
              <w:rPr>
                <w:sz w:val="22"/>
                <w:szCs w:val="22"/>
              </w:rPr>
            </w:pPr>
            <w:r w:rsidRPr="002D45C8">
              <w:rPr>
                <w:sz w:val="22"/>
                <w:szCs w:val="22"/>
              </w:rPr>
              <w:t>1</w:t>
            </w:r>
            <w:r w:rsidRPr="002D45C8" w:rsidR="005C18C5">
              <w:rPr>
                <w:sz w:val="22"/>
                <w:szCs w:val="22"/>
              </w:rPr>
              <w:t>5 minutes</w:t>
            </w:r>
          </w:p>
        </w:tc>
        <w:tc>
          <w:tcPr>
            <w:tcW w:w="1260" w:type="dxa"/>
          </w:tcPr>
          <w:p w:rsidRPr="002D45C8" w:rsidR="006832D9" w:rsidP="004C1011" w:rsidRDefault="00C71BF1" w14:paraId="6A5EC859" w14:textId="575DC0AA">
            <w:pPr>
              <w:jc w:val="right"/>
              <w:rPr>
                <w:sz w:val="22"/>
                <w:szCs w:val="22"/>
              </w:rPr>
            </w:pPr>
            <w:r w:rsidRPr="002D45C8">
              <w:rPr>
                <w:sz w:val="22"/>
                <w:szCs w:val="22"/>
              </w:rPr>
              <w:t>450</w:t>
            </w:r>
          </w:p>
        </w:tc>
        <w:tc>
          <w:tcPr>
            <w:tcW w:w="1620" w:type="dxa"/>
          </w:tcPr>
          <w:p w:rsidRPr="002D45C8" w:rsidR="007F51E8" w:rsidP="004C1011" w:rsidRDefault="007F51E8" w14:paraId="1309E489" w14:textId="40CCF02F">
            <w:pPr>
              <w:jc w:val="right"/>
              <w:rPr>
                <w:sz w:val="22"/>
                <w:szCs w:val="22"/>
              </w:rPr>
            </w:pPr>
            <w:r w:rsidRPr="002D45C8">
              <w:rPr>
                <w:sz w:val="22"/>
                <w:szCs w:val="22"/>
              </w:rPr>
              <w:t>7.5</w:t>
            </w:r>
            <w:r w:rsidRPr="002D45C8" w:rsidR="003E63D1">
              <w:rPr>
                <w:sz w:val="22"/>
                <w:szCs w:val="22"/>
              </w:rPr>
              <w:t>0</w:t>
            </w:r>
            <w:r w:rsidRPr="002D45C8">
              <w:rPr>
                <w:sz w:val="22"/>
                <w:szCs w:val="22"/>
              </w:rPr>
              <w:t xml:space="preserve"> hours</w:t>
            </w:r>
          </w:p>
        </w:tc>
        <w:tc>
          <w:tcPr>
            <w:tcW w:w="1410" w:type="dxa"/>
          </w:tcPr>
          <w:p w:rsidRPr="002D45C8" w:rsidR="00A52EC1" w:rsidP="008757A6" w:rsidRDefault="00A52EC1" w14:paraId="7C434CB4" w14:textId="3AD8D45A">
            <w:pPr>
              <w:jc w:val="right"/>
              <w:rPr>
                <w:sz w:val="22"/>
                <w:szCs w:val="22"/>
              </w:rPr>
            </w:pPr>
            <w:r w:rsidRPr="002D45C8">
              <w:rPr>
                <w:sz w:val="22"/>
                <w:szCs w:val="22"/>
              </w:rPr>
              <w:t>$214.58</w:t>
            </w:r>
          </w:p>
        </w:tc>
      </w:tr>
      <w:tr w:rsidR="005C18C5" w:rsidTr="1F8D682E" w14:paraId="68604853" w14:textId="40BB8444">
        <w:trPr>
          <w:trHeight w:val="274"/>
        </w:trPr>
        <w:tc>
          <w:tcPr>
            <w:tcW w:w="2160" w:type="dxa"/>
          </w:tcPr>
          <w:p w:rsidRPr="002D45C8" w:rsidR="005C18C5" w:rsidP="00843796" w:rsidRDefault="374D43B0" w14:paraId="0E2891E2" w14:textId="65694F5C">
            <w:pPr>
              <w:rPr>
                <w:sz w:val="22"/>
                <w:szCs w:val="22"/>
              </w:rPr>
            </w:pPr>
            <w:r w:rsidRPr="002D45C8">
              <w:rPr>
                <w:sz w:val="22"/>
                <w:szCs w:val="22"/>
              </w:rPr>
              <w:t>Federal government staff</w:t>
            </w:r>
            <w:r w:rsidRPr="002D45C8" w:rsidR="72748375">
              <w:rPr>
                <w:sz w:val="22"/>
                <w:szCs w:val="22"/>
              </w:rPr>
              <w:t xml:space="preserve"> (researchers)</w:t>
            </w:r>
          </w:p>
        </w:tc>
        <w:tc>
          <w:tcPr>
            <w:tcW w:w="1008" w:type="dxa"/>
          </w:tcPr>
          <w:p w:rsidRPr="002D45C8" w:rsidR="005C18C5" w:rsidP="004C1011" w:rsidRDefault="007F51E8" w14:paraId="45713A15" w14:textId="14165D15">
            <w:pPr>
              <w:spacing w:line="259" w:lineRule="auto"/>
              <w:jc w:val="right"/>
              <w:rPr>
                <w:sz w:val="22"/>
                <w:szCs w:val="22"/>
              </w:rPr>
            </w:pPr>
            <w:r w:rsidRPr="002D45C8">
              <w:rPr>
                <w:sz w:val="22"/>
                <w:szCs w:val="22"/>
              </w:rPr>
              <w:t>5</w:t>
            </w:r>
          </w:p>
        </w:tc>
        <w:tc>
          <w:tcPr>
            <w:tcW w:w="1530" w:type="dxa"/>
          </w:tcPr>
          <w:p w:rsidRPr="002D45C8" w:rsidR="005C18C5" w:rsidP="004C1011" w:rsidRDefault="007734D3" w14:paraId="23CE0D33" w14:textId="77777777">
            <w:pPr>
              <w:jc w:val="right"/>
              <w:rPr>
                <w:sz w:val="22"/>
                <w:szCs w:val="22"/>
              </w:rPr>
            </w:pPr>
            <w:r w:rsidRPr="002D45C8">
              <w:rPr>
                <w:sz w:val="22"/>
                <w:szCs w:val="22"/>
              </w:rPr>
              <w:t>1</w:t>
            </w:r>
            <w:r w:rsidRPr="002D45C8" w:rsidR="005C18C5">
              <w:rPr>
                <w:sz w:val="22"/>
                <w:szCs w:val="22"/>
              </w:rPr>
              <w:t>5 minutes</w:t>
            </w:r>
          </w:p>
        </w:tc>
        <w:tc>
          <w:tcPr>
            <w:tcW w:w="1260" w:type="dxa"/>
          </w:tcPr>
          <w:p w:rsidRPr="002D45C8" w:rsidR="005C18C5" w:rsidP="004C1011" w:rsidRDefault="00946AA1" w14:paraId="32DD21A3" w14:textId="6A597BAC">
            <w:pPr>
              <w:jc w:val="right"/>
              <w:rPr>
                <w:sz w:val="22"/>
                <w:szCs w:val="22"/>
              </w:rPr>
            </w:pPr>
            <w:r w:rsidRPr="002D45C8">
              <w:rPr>
                <w:sz w:val="22"/>
                <w:szCs w:val="22"/>
              </w:rPr>
              <w:t>75</w:t>
            </w:r>
          </w:p>
        </w:tc>
        <w:tc>
          <w:tcPr>
            <w:tcW w:w="1620" w:type="dxa"/>
          </w:tcPr>
          <w:p w:rsidRPr="002D45C8" w:rsidR="007F51E8" w:rsidP="004C1011" w:rsidRDefault="007F51E8" w14:paraId="68C14BBC" w14:textId="2B5747F4">
            <w:pPr>
              <w:jc w:val="right"/>
              <w:rPr>
                <w:sz w:val="22"/>
                <w:szCs w:val="22"/>
              </w:rPr>
            </w:pPr>
            <w:r w:rsidRPr="002D45C8">
              <w:rPr>
                <w:sz w:val="22"/>
                <w:szCs w:val="22"/>
              </w:rPr>
              <w:t>1.25</w:t>
            </w:r>
            <w:r w:rsidRPr="002D45C8" w:rsidR="00A52EC1">
              <w:rPr>
                <w:sz w:val="22"/>
                <w:szCs w:val="22"/>
              </w:rPr>
              <w:t xml:space="preserve"> </w:t>
            </w:r>
            <w:r w:rsidRPr="002D45C8">
              <w:rPr>
                <w:sz w:val="22"/>
                <w:szCs w:val="22"/>
              </w:rPr>
              <w:t>hours</w:t>
            </w:r>
          </w:p>
        </w:tc>
        <w:tc>
          <w:tcPr>
            <w:tcW w:w="1410" w:type="dxa"/>
          </w:tcPr>
          <w:p w:rsidRPr="002D45C8" w:rsidR="00A52EC1" w:rsidP="008757A6" w:rsidRDefault="00A52EC1" w14:paraId="2BEE8859" w14:textId="59FD0951">
            <w:pPr>
              <w:jc w:val="right"/>
              <w:rPr>
                <w:sz w:val="22"/>
                <w:szCs w:val="22"/>
              </w:rPr>
            </w:pPr>
            <w:r w:rsidRPr="002D45C8">
              <w:rPr>
                <w:sz w:val="22"/>
                <w:szCs w:val="22"/>
              </w:rPr>
              <w:t>$48.21</w:t>
            </w:r>
          </w:p>
        </w:tc>
      </w:tr>
      <w:tr w:rsidR="00EF2095" w:rsidTr="1F8D682E" w14:paraId="1EC10381" w14:textId="4DE38073">
        <w:trPr>
          <w:trHeight w:val="289"/>
        </w:trPr>
        <w:tc>
          <w:tcPr>
            <w:tcW w:w="2160" w:type="dxa"/>
          </w:tcPr>
          <w:p w:rsidRPr="002D45C8" w:rsidR="006832D9" w:rsidP="00843796" w:rsidRDefault="006832D9" w14:paraId="50C37763" w14:textId="77777777">
            <w:pPr>
              <w:rPr>
                <w:b/>
                <w:sz w:val="22"/>
                <w:szCs w:val="22"/>
              </w:rPr>
            </w:pPr>
            <w:r w:rsidRPr="002D45C8">
              <w:rPr>
                <w:b/>
                <w:sz w:val="22"/>
                <w:szCs w:val="22"/>
              </w:rPr>
              <w:t>Totals</w:t>
            </w:r>
          </w:p>
        </w:tc>
        <w:tc>
          <w:tcPr>
            <w:tcW w:w="1008" w:type="dxa"/>
          </w:tcPr>
          <w:p w:rsidRPr="002D45C8" w:rsidR="006832D9" w:rsidP="004C1011" w:rsidRDefault="007F51E8" w14:paraId="75C7E5A1" w14:textId="3E49AD64">
            <w:pPr>
              <w:spacing w:line="259" w:lineRule="auto"/>
              <w:jc w:val="right"/>
              <w:rPr>
                <w:b/>
                <w:sz w:val="22"/>
                <w:szCs w:val="22"/>
              </w:rPr>
            </w:pPr>
            <w:r w:rsidRPr="002D45C8">
              <w:rPr>
                <w:b/>
                <w:bCs/>
                <w:sz w:val="22"/>
                <w:szCs w:val="22"/>
              </w:rPr>
              <w:t>110</w:t>
            </w:r>
          </w:p>
        </w:tc>
        <w:tc>
          <w:tcPr>
            <w:tcW w:w="1530" w:type="dxa"/>
          </w:tcPr>
          <w:p w:rsidRPr="002D45C8" w:rsidR="006832D9" w:rsidP="004C1011" w:rsidRDefault="006832D9" w14:paraId="10C15B6F" w14:textId="77777777">
            <w:pPr>
              <w:jc w:val="right"/>
              <w:rPr>
                <w:sz w:val="22"/>
                <w:szCs w:val="22"/>
              </w:rPr>
            </w:pPr>
          </w:p>
        </w:tc>
        <w:tc>
          <w:tcPr>
            <w:tcW w:w="1260" w:type="dxa"/>
          </w:tcPr>
          <w:p w:rsidRPr="002D45C8" w:rsidR="006832D9" w:rsidP="004C1011" w:rsidRDefault="004542CF" w14:paraId="64DD743C" w14:textId="4EF32D5B">
            <w:pPr>
              <w:jc w:val="right"/>
              <w:rPr>
                <w:b/>
                <w:sz w:val="22"/>
                <w:szCs w:val="22"/>
              </w:rPr>
            </w:pPr>
            <w:r w:rsidRPr="002D45C8">
              <w:rPr>
                <w:b/>
                <w:bCs/>
                <w:sz w:val="22"/>
                <w:szCs w:val="22"/>
              </w:rPr>
              <w:t>1,650</w:t>
            </w:r>
          </w:p>
        </w:tc>
        <w:tc>
          <w:tcPr>
            <w:tcW w:w="1620" w:type="dxa"/>
          </w:tcPr>
          <w:p w:rsidRPr="002D45C8" w:rsidR="007F51E8" w:rsidP="004C1011" w:rsidRDefault="007F51E8" w14:paraId="501C8C41" w14:textId="11271D62">
            <w:pPr>
              <w:jc w:val="right"/>
              <w:rPr>
                <w:b/>
                <w:bCs/>
                <w:sz w:val="22"/>
                <w:szCs w:val="22"/>
              </w:rPr>
            </w:pPr>
            <w:r w:rsidRPr="002D45C8">
              <w:rPr>
                <w:b/>
                <w:bCs/>
                <w:sz w:val="22"/>
                <w:szCs w:val="22"/>
              </w:rPr>
              <w:t>27.5</w:t>
            </w:r>
            <w:r w:rsidRPr="002D45C8" w:rsidR="003E63D1">
              <w:rPr>
                <w:b/>
                <w:bCs/>
                <w:sz w:val="22"/>
                <w:szCs w:val="22"/>
              </w:rPr>
              <w:t>0</w:t>
            </w:r>
            <w:r w:rsidRPr="002D45C8">
              <w:rPr>
                <w:b/>
                <w:bCs/>
                <w:sz w:val="22"/>
                <w:szCs w:val="22"/>
              </w:rPr>
              <w:t xml:space="preserve"> hours</w:t>
            </w:r>
          </w:p>
        </w:tc>
        <w:tc>
          <w:tcPr>
            <w:tcW w:w="1410" w:type="dxa"/>
          </w:tcPr>
          <w:p w:rsidRPr="002D45C8" w:rsidR="008757A6" w:rsidP="008757A6" w:rsidRDefault="008757A6" w14:paraId="4C9E530F" w14:textId="644756EA">
            <w:pPr>
              <w:jc w:val="right"/>
              <w:rPr>
                <w:b/>
                <w:bCs/>
                <w:sz w:val="22"/>
                <w:szCs w:val="22"/>
              </w:rPr>
            </w:pPr>
            <w:r w:rsidRPr="002D45C8">
              <w:rPr>
                <w:b/>
                <w:bCs/>
                <w:sz w:val="22"/>
                <w:szCs w:val="22"/>
              </w:rPr>
              <w:t>$8</w:t>
            </w:r>
            <w:r w:rsidRPr="002D45C8" w:rsidR="004C1011">
              <w:rPr>
                <w:b/>
                <w:bCs/>
                <w:sz w:val="22"/>
                <w:szCs w:val="22"/>
              </w:rPr>
              <w:t>13</w:t>
            </w:r>
            <w:r w:rsidRPr="002D45C8">
              <w:rPr>
                <w:b/>
                <w:bCs/>
                <w:sz w:val="22"/>
                <w:szCs w:val="22"/>
              </w:rPr>
              <w:t>.78</w:t>
            </w:r>
          </w:p>
        </w:tc>
      </w:tr>
    </w:tbl>
    <w:p w:rsidR="00F3170F" w:rsidP="00F3170F" w:rsidRDefault="00F3170F" w14:paraId="0748A99E" w14:textId="77777777"/>
    <w:p w:rsidR="005E714A" w:rsidRDefault="001C39F7" w14:paraId="1D9FE560" w14:textId="4BE9EF20">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423D6B">
        <w:t xml:space="preserve">is </w:t>
      </w:r>
      <w:r w:rsidR="0072740F">
        <w:rPr>
          <w:u w:val="single"/>
        </w:rPr>
        <w:t>$</w:t>
      </w:r>
      <w:r w:rsidR="00036E8A">
        <w:rPr>
          <w:u w:val="single"/>
        </w:rPr>
        <w:t>43</w:t>
      </w:r>
      <w:r w:rsidR="0072740F">
        <w:rPr>
          <w:u w:val="single"/>
        </w:rPr>
        <w:t>,432</w:t>
      </w: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98"/>
        <w:gridCol w:w="3960"/>
        <w:gridCol w:w="1890"/>
      </w:tblGrid>
      <w:tr w:rsidR="004F047B" w:rsidTr="0179C091" w14:paraId="309BBA71" w14:textId="77777777">
        <w:trPr>
          <w:trHeight w:val="274"/>
        </w:trPr>
        <w:tc>
          <w:tcPr>
            <w:tcW w:w="3798" w:type="dxa"/>
          </w:tcPr>
          <w:p w:rsidRPr="002D45C8" w:rsidR="004F047B" w:rsidP="00933AA6" w:rsidRDefault="004F047B" w14:paraId="26FE6943" w14:textId="77777777">
            <w:pPr>
              <w:rPr>
                <w:b/>
                <w:sz w:val="22"/>
                <w:szCs w:val="22"/>
              </w:rPr>
            </w:pPr>
            <w:r w:rsidRPr="002D45C8">
              <w:rPr>
                <w:b/>
                <w:sz w:val="22"/>
                <w:szCs w:val="22"/>
              </w:rPr>
              <w:t xml:space="preserve">Item/Activity </w:t>
            </w:r>
          </w:p>
        </w:tc>
        <w:tc>
          <w:tcPr>
            <w:tcW w:w="3960" w:type="dxa"/>
          </w:tcPr>
          <w:p w:rsidRPr="002D45C8" w:rsidR="004F047B" w:rsidP="00933AA6" w:rsidRDefault="004F047B" w14:paraId="0918E3DE" w14:textId="77777777">
            <w:pPr>
              <w:rPr>
                <w:b/>
                <w:sz w:val="22"/>
                <w:szCs w:val="22"/>
              </w:rPr>
            </w:pPr>
            <w:r w:rsidRPr="002D45C8">
              <w:rPr>
                <w:b/>
                <w:sz w:val="22"/>
                <w:szCs w:val="22"/>
              </w:rPr>
              <w:t>Details</w:t>
            </w:r>
          </w:p>
        </w:tc>
        <w:tc>
          <w:tcPr>
            <w:tcW w:w="1890" w:type="dxa"/>
          </w:tcPr>
          <w:p w:rsidRPr="002D45C8" w:rsidR="004F047B" w:rsidP="00933AA6" w:rsidRDefault="004F047B" w14:paraId="1AEA7BCA" w14:textId="77777777">
            <w:pPr>
              <w:rPr>
                <w:b/>
                <w:sz w:val="22"/>
                <w:szCs w:val="22"/>
              </w:rPr>
            </w:pPr>
            <w:r w:rsidRPr="002D45C8">
              <w:rPr>
                <w:b/>
                <w:sz w:val="22"/>
                <w:szCs w:val="22"/>
              </w:rPr>
              <w:t>$ Amount</w:t>
            </w:r>
          </w:p>
        </w:tc>
      </w:tr>
      <w:tr w:rsidR="004F047B" w:rsidTr="0179C091" w14:paraId="654280D1" w14:textId="77777777">
        <w:trPr>
          <w:trHeight w:val="274"/>
        </w:trPr>
        <w:tc>
          <w:tcPr>
            <w:tcW w:w="3798" w:type="dxa"/>
          </w:tcPr>
          <w:p w:rsidRPr="002D45C8" w:rsidR="004F047B" w:rsidP="00933AA6" w:rsidRDefault="004F047B" w14:paraId="614C5485" w14:textId="77777777">
            <w:pPr>
              <w:rPr>
                <w:sz w:val="22"/>
                <w:szCs w:val="22"/>
              </w:rPr>
            </w:pPr>
            <w:r w:rsidRPr="002D45C8">
              <w:rPr>
                <w:sz w:val="22"/>
                <w:szCs w:val="22"/>
              </w:rPr>
              <w:t xml:space="preserve">IMLS oversight of contractor and project </w:t>
            </w:r>
          </w:p>
        </w:tc>
        <w:tc>
          <w:tcPr>
            <w:tcW w:w="3960" w:type="dxa"/>
          </w:tcPr>
          <w:p w:rsidRPr="002D45C8" w:rsidR="004F047B" w:rsidP="00933AA6" w:rsidRDefault="00036E8A" w14:paraId="4853597E" w14:textId="6DCC9BC2">
            <w:pPr>
              <w:rPr>
                <w:sz w:val="22"/>
                <w:szCs w:val="22"/>
              </w:rPr>
            </w:pPr>
            <w:r w:rsidRPr="002D45C8">
              <w:rPr>
                <w:sz w:val="22"/>
                <w:szCs w:val="22"/>
              </w:rPr>
              <w:t xml:space="preserve">Estimated labor hours. </w:t>
            </w:r>
            <w:r w:rsidRPr="002D45C8" w:rsidR="0072740F">
              <w:rPr>
                <w:sz w:val="22"/>
                <w:szCs w:val="22"/>
              </w:rPr>
              <w:t xml:space="preserve"> </w:t>
            </w:r>
          </w:p>
        </w:tc>
        <w:tc>
          <w:tcPr>
            <w:tcW w:w="1890" w:type="dxa"/>
          </w:tcPr>
          <w:p w:rsidRPr="002D45C8" w:rsidR="004F047B" w:rsidP="001613F9" w:rsidRDefault="00D67C00" w14:paraId="409D152F" w14:textId="192D936D">
            <w:pPr>
              <w:jc w:val="right"/>
              <w:rPr>
                <w:sz w:val="22"/>
                <w:szCs w:val="22"/>
              </w:rPr>
            </w:pPr>
            <w:r w:rsidRPr="002D45C8">
              <w:rPr>
                <w:sz w:val="22"/>
                <w:szCs w:val="22"/>
              </w:rPr>
              <w:t>$</w:t>
            </w:r>
            <w:r w:rsidRPr="002D45C8" w:rsidR="00EA2F5F">
              <w:rPr>
                <w:sz w:val="22"/>
                <w:szCs w:val="22"/>
              </w:rPr>
              <w:t>10</w:t>
            </w:r>
            <w:r w:rsidRPr="002D45C8" w:rsidR="0093692A">
              <w:rPr>
                <w:sz w:val="22"/>
                <w:szCs w:val="22"/>
              </w:rPr>
              <w:t>,000</w:t>
            </w:r>
          </w:p>
        </w:tc>
      </w:tr>
      <w:tr w:rsidR="004F047B" w:rsidTr="0179C091" w14:paraId="6F0B93A5" w14:textId="77777777">
        <w:trPr>
          <w:trHeight w:val="274"/>
        </w:trPr>
        <w:tc>
          <w:tcPr>
            <w:tcW w:w="3798" w:type="dxa"/>
          </w:tcPr>
          <w:p w:rsidRPr="002D45C8" w:rsidR="004F047B" w:rsidP="004F047B" w:rsidRDefault="004F047B" w14:paraId="4354BC79" w14:textId="77777777">
            <w:pPr>
              <w:rPr>
                <w:sz w:val="22"/>
                <w:szCs w:val="22"/>
              </w:rPr>
            </w:pPr>
            <w:r w:rsidRPr="002D45C8">
              <w:rPr>
                <w:sz w:val="22"/>
                <w:szCs w:val="22"/>
              </w:rPr>
              <w:t xml:space="preserve">Recruitment, data collection including incentives, materials, online platform hosting, analysis, travel, overhead </w:t>
            </w:r>
          </w:p>
        </w:tc>
        <w:tc>
          <w:tcPr>
            <w:tcW w:w="3960" w:type="dxa"/>
          </w:tcPr>
          <w:p w:rsidRPr="002D45C8" w:rsidR="004F047B" w:rsidP="00933AA6" w:rsidRDefault="64045AFC" w14:paraId="24CF530A" w14:textId="38199B8B">
            <w:pPr>
              <w:rPr>
                <w:sz w:val="22"/>
                <w:szCs w:val="22"/>
              </w:rPr>
            </w:pPr>
            <w:r w:rsidRPr="0179C091">
              <w:rPr>
                <w:sz w:val="22"/>
                <w:szCs w:val="22"/>
              </w:rPr>
              <w:t>Labor hours and O</w:t>
            </w:r>
            <w:r w:rsidRPr="0179C091" w:rsidR="11BD6A0B">
              <w:rPr>
                <w:sz w:val="22"/>
                <w:szCs w:val="22"/>
              </w:rPr>
              <w:t xml:space="preserve">ther </w:t>
            </w:r>
            <w:r w:rsidRPr="0179C091">
              <w:rPr>
                <w:sz w:val="22"/>
                <w:szCs w:val="22"/>
              </w:rPr>
              <w:t>D</w:t>
            </w:r>
            <w:r w:rsidRPr="0179C091" w:rsidR="68FBCD7F">
              <w:rPr>
                <w:sz w:val="22"/>
                <w:szCs w:val="22"/>
              </w:rPr>
              <w:t xml:space="preserve">irect </w:t>
            </w:r>
            <w:r w:rsidRPr="0179C091">
              <w:rPr>
                <w:sz w:val="22"/>
                <w:szCs w:val="22"/>
              </w:rPr>
              <w:t>C</w:t>
            </w:r>
            <w:r w:rsidRPr="0179C091" w:rsidR="33D41707">
              <w:rPr>
                <w:sz w:val="22"/>
                <w:szCs w:val="22"/>
              </w:rPr>
              <w:t>osts</w:t>
            </w:r>
          </w:p>
        </w:tc>
        <w:tc>
          <w:tcPr>
            <w:tcW w:w="1890" w:type="dxa"/>
          </w:tcPr>
          <w:p w:rsidRPr="002D45C8" w:rsidR="004F047B" w:rsidP="001613F9" w:rsidRDefault="00420CC8" w14:paraId="40B15B62" w14:textId="533466F4">
            <w:pPr>
              <w:jc w:val="right"/>
              <w:rPr>
                <w:sz w:val="22"/>
                <w:szCs w:val="22"/>
              </w:rPr>
            </w:pPr>
            <w:r w:rsidRPr="002D45C8">
              <w:rPr>
                <w:sz w:val="22"/>
                <w:szCs w:val="22"/>
              </w:rPr>
              <w:t>$33,432</w:t>
            </w:r>
          </w:p>
        </w:tc>
      </w:tr>
      <w:tr w:rsidR="004F047B" w:rsidTr="0179C091" w14:paraId="06183645" w14:textId="77777777">
        <w:trPr>
          <w:trHeight w:val="289"/>
        </w:trPr>
        <w:tc>
          <w:tcPr>
            <w:tcW w:w="3798" w:type="dxa"/>
          </w:tcPr>
          <w:p w:rsidRPr="002D45C8" w:rsidR="004F047B" w:rsidP="00933AA6" w:rsidRDefault="004F047B" w14:paraId="2A2C0100" w14:textId="77777777">
            <w:pPr>
              <w:rPr>
                <w:b/>
                <w:sz w:val="22"/>
                <w:szCs w:val="22"/>
              </w:rPr>
            </w:pPr>
            <w:r w:rsidRPr="002D45C8">
              <w:rPr>
                <w:b/>
                <w:sz w:val="22"/>
                <w:szCs w:val="22"/>
              </w:rPr>
              <w:t>Annual Total</w:t>
            </w:r>
          </w:p>
        </w:tc>
        <w:tc>
          <w:tcPr>
            <w:tcW w:w="3960" w:type="dxa"/>
          </w:tcPr>
          <w:p w:rsidRPr="002D45C8" w:rsidR="004F047B" w:rsidP="00933AA6" w:rsidRDefault="004F047B" w14:paraId="752F31BE" w14:textId="77777777">
            <w:pPr>
              <w:rPr>
                <w:b/>
                <w:sz w:val="22"/>
                <w:szCs w:val="22"/>
              </w:rPr>
            </w:pPr>
          </w:p>
        </w:tc>
        <w:tc>
          <w:tcPr>
            <w:tcW w:w="1890" w:type="dxa"/>
          </w:tcPr>
          <w:p w:rsidRPr="002D45C8" w:rsidR="004F047B" w:rsidP="001613F9" w:rsidRDefault="00036E8A" w14:paraId="2E943093" w14:textId="317761A6">
            <w:pPr>
              <w:jc w:val="right"/>
              <w:rPr>
                <w:b/>
                <w:sz w:val="22"/>
                <w:szCs w:val="22"/>
              </w:rPr>
            </w:pPr>
            <w:r w:rsidRPr="002D45C8">
              <w:rPr>
                <w:b/>
                <w:sz w:val="22"/>
                <w:szCs w:val="22"/>
              </w:rPr>
              <w:t>$4</w:t>
            </w:r>
            <w:r w:rsidRPr="002D45C8" w:rsidR="001613F9">
              <w:rPr>
                <w:b/>
                <w:sz w:val="22"/>
                <w:szCs w:val="22"/>
              </w:rPr>
              <w:t>3,432</w:t>
            </w:r>
          </w:p>
        </w:tc>
      </w:tr>
    </w:tbl>
    <w:p w:rsidR="004F047B" w:rsidRDefault="004F047B" w14:paraId="69E6B7C0" w14:textId="77777777">
      <w:pPr>
        <w:rPr>
          <w:u w:val="single"/>
        </w:rPr>
      </w:pPr>
    </w:p>
    <w:p w:rsidR="0069403B" w:rsidP="00F06866" w:rsidRDefault="00ED6492" w14:paraId="2EE878D1" w14:textId="7B1DABB5">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76FB77A" w14:textId="77777777">
      <w:pPr>
        <w:rPr>
          <w:b/>
        </w:rPr>
      </w:pPr>
    </w:p>
    <w:p w:rsidR="00F06866" w:rsidP="00F06866" w:rsidRDefault="00636621" w14:paraId="03DE9D17" w14:textId="77777777">
      <w:pPr>
        <w:rPr>
          <w:b/>
        </w:rPr>
      </w:pPr>
      <w:r>
        <w:rPr>
          <w:b/>
        </w:rPr>
        <w:t>The</w:t>
      </w:r>
      <w:r w:rsidR="0069403B">
        <w:rPr>
          <w:b/>
        </w:rPr>
        <w:t xml:space="preserve"> select</w:t>
      </w:r>
      <w:r>
        <w:rPr>
          <w:b/>
        </w:rPr>
        <w:t>ion of your targeted respondents</w:t>
      </w:r>
    </w:p>
    <w:p w:rsidR="0069403B" w:rsidP="0069403B" w:rsidRDefault="0069403B" w14:paraId="0E3D1FB3" w14:textId="71B71E5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rsidR="00636621">
        <w:tab/>
      </w:r>
      <w:r w:rsidR="00636621">
        <w:tab/>
      </w:r>
      <w:r w:rsidR="00636621">
        <w:tab/>
      </w:r>
      <w:r>
        <w:t>[</w:t>
      </w:r>
      <w:r w:rsidR="005C18C5">
        <w:t>X</w:t>
      </w:r>
      <w:r>
        <w:t>] Yes</w:t>
      </w:r>
      <w:r>
        <w:tab/>
        <w:t>[ ] No</w:t>
      </w:r>
    </w:p>
    <w:p w:rsidR="00636621" w:rsidP="00636621" w:rsidRDefault="00636621" w14:paraId="59F5CD2C" w14:textId="77777777">
      <w:pPr>
        <w:pStyle w:val="ListParagraph"/>
      </w:pPr>
    </w:p>
    <w:p w:rsidR="00636621" w:rsidP="001B0AAA" w:rsidRDefault="00636621" w14:paraId="45CD0533"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46254" w:rsidP="001B0AAA" w:rsidRDefault="00246254" w14:paraId="654D44CD" w14:textId="77777777"/>
    <w:p w:rsidR="004D6E14" w:rsidP="00246254" w:rsidRDefault="00246254" w14:paraId="60554D0E" w14:textId="2B553E46">
      <w:pPr>
        <w:ind w:left="720"/>
      </w:pPr>
      <w:r>
        <w:t xml:space="preserve">IMLS has a list of stakeholder organizations, universities, professional associations, </w:t>
      </w:r>
      <w:r w:rsidR="00A366C9">
        <w:t>journalists,</w:t>
      </w:r>
      <w:r>
        <w:t xml:space="preserve"> </w:t>
      </w:r>
      <w:r w:rsidR="00AB1251">
        <w:t>researchers,</w:t>
      </w:r>
      <w:r w:rsidR="00ED5A3D">
        <w:t xml:space="preserve"> </w:t>
      </w:r>
      <w:r>
        <w:t xml:space="preserve">and </w:t>
      </w:r>
      <w:r w:rsidR="00ED5A3D">
        <w:t>other</w:t>
      </w:r>
      <w:r>
        <w:t xml:space="preserve"> individuals that </w:t>
      </w:r>
      <w:r w:rsidR="000754D6">
        <w:t>are well connected to the key audience segments for this study</w:t>
      </w:r>
      <w:r>
        <w:t xml:space="preserve">. RTI will reach out to members of this list to </w:t>
      </w:r>
      <w:r w:rsidR="000754D6">
        <w:t>disseminate the survey</w:t>
      </w:r>
      <w:r>
        <w:t xml:space="preserve">, as well as </w:t>
      </w:r>
      <w:r w:rsidR="000754D6">
        <w:t>reach out directly to researchers and journalists who use the IMLS data products</w:t>
      </w:r>
      <w:r>
        <w:t xml:space="preserve">. </w:t>
      </w:r>
      <w:r w:rsidR="00023105">
        <w:t>In addition, RTI will also leverage social media posts and advertisements on Facebook and direct messages on LinkedIn that target the job titles and organizations of the audience segments to reach those who many not already be aware of the IMLS data products.</w:t>
      </w:r>
    </w:p>
    <w:p w:rsidR="00F12986" w:rsidP="00246254" w:rsidRDefault="00F12986" w14:paraId="0042D58E" w14:textId="1F075F10">
      <w:pPr>
        <w:ind w:left="720"/>
      </w:pPr>
    </w:p>
    <w:p w:rsidR="00F12986" w:rsidP="00246254" w:rsidRDefault="001D0851" w14:paraId="78D69E4F" w14:textId="480B242B">
      <w:pPr>
        <w:ind w:left="720"/>
      </w:pPr>
      <w:r>
        <w:t xml:space="preserve">The survey will be distributed to the </w:t>
      </w:r>
      <w:r w:rsidR="00D203BA">
        <w:t xml:space="preserve">IMLS-identified stakeholders and to RTI-identified researchers and journalists with </w:t>
      </w:r>
      <w:r w:rsidR="00623E4B">
        <w:t xml:space="preserve">an instruction to share the link with others (snowball sampling). Using </w:t>
      </w:r>
      <w:r w:rsidR="00E52AEF">
        <w:t xml:space="preserve">a </w:t>
      </w:r>
      <w:r w:rsidR="00CF16E0">
        <w:t>screener</w:t>
      </w:r>
      <w:r w:rsidR="00623E4B">
        <w:t xml:space="preserve">, RTI will </w:t>
      </w:r>
      <w:r w:rsidR="00547488">
        <w:t>implement a q</w:t>
      </w:r>
      <w:r w:rsidR="00F12986">
        <w:t>uota sampl</w:t>
      </w:r>
      <w:r w:rsidR="00547488">
        <w:t>e</w:t>
      </w:r>
      <w:r w:rsidR="00F12986">
        <w:t xml:space="preserve"> to </w:t>
      </w:r>
      <w:r w:rsidR="009C1BD7">
        <w:t xml:space="preserve">gather at least 100 and no more than </w:t>
      </w:r>
      <w:r w:rsidR="00D011BB">
        <w:t xml:space="preserve">110 </w:t>
      </w:r>
      <w:r w:rsidR="009C1BD7">
        <w:t xml:space="preserve">total responses </w:t>
      </w:r>
      <w:r w:rsidR="00547488">
        <w:t>distributed across</w:t>
      </w:r>
      <w:r w:rsidR="009C1BD7">
        <w:t xml:space="preserve"> the respondent categories </w:t>
      </w:r>
      <w:r w:rsidR="00547488">
        <w:t xml:space="preserve">as </w:t>
      </w:r>
      <w:r w:rsidR="009C1BD7">
        <w:t xml:space="preserve">shown in the “Burden Hours” table, above. </w:t>
      </w:r>
    </w:p>
    <w:p w:rsidR="0025FC3F" w:rsidP="0025FC3F" w:rsidRDefault="0025FC3F" w14:paraId="3CA21AAB" w14:textId="0CC768E0">
      <w:pPr>
        <w:ind w:left="720"/>
      </w:pPr>
    </w:p>
    <w:p w:rsidRPr="00533F50" w:rsidR="00533F50" w:rsidP="00533F50" w:rsidRDefault="61E868E4" w14:paraId="1DE58AF9" w14:textId="52344675">
      <w:pPr>
        <w:ind w:left="720"/>
      </w:pPr>
      <w:r>
        <w:t xml:space="preserve">Skip-logic in the online survey is used to limit the questions presented to respondents to those to they are likely to </w:t>
      </w:r>
      <w:r w:rsidR="2CB89D4F">
        <w:t xml:space="preserve">be able to </w:t>
      </w:r>
      <w:r>
        <w:t>answer</w:t>
      </w:r>
      <w:r w:rsidR="15E7C39C">
        <w:t xml:space="preserve"> based on their current level of experience with IMLS data products</w:t>
      </w:r>
      <w:r>
        <w:t xml:space="preserve">. </w:t>
      </w:r>
      <w:r w:rsidR="65B5F795">
        <w:t xml:space="preserve">In addition, to minimize burden on respondents and limit the time commitment to 15 minutes, we will only ask follow-up questions about three products. If a respondent responds that they currently use more than 3 products, we will ask them questions about 3 products, based on the order in which they are ranked </w:t>
      </w:r>
      <w:r w:rsidR="756F18AA">
        <w:t>by</w:t>
      </w:r>
      <w:r w:rsidR="6C3D34D8">
        <w:t xml:space="preserve"> priority by</w:t>
      </w:r>
      <w:r w:rsidR="756F18AA">
        <w:t xml:space="preserve"> IMLS</w:t>
      </w:r>
      <w:r w:rsidR="08D3D89A">
        <w:t xml:space="preserve"> (where priority is places data products hypothesized to be less frequently used at the top of the list)</w:t>
      </w:r>
      <w:r w:rsidR="65B5F795">
        <w:t>. We anticipate that the number of respondents who use more than 3 products will be extremely small (less than 10 people).</w:t>
      </w:r>
    </w:p>
    <w:p w:rsidR="24B116E6" w:rsidP="0025FC3F" w:rsidRDefault="24B116E6" w14:paraId="49A3CF24" w14:textId="0A11282F">
      <w:pPr>
        <w:ind w:left="720"/>
      </w:pPr>
    </w:p>
    <w:p w:rsidR="00246254" w:rsidP="00A403BB" w:rsidRDefault="00246254" w14:paraId="4379F118" w14:textId="77777777">
      <w:pPr>
        <w:rPr>
          <w:b/>
        </w:rPr>
      </w:pPr>
    </w:p>
    <w:p w:rsidR="00A403BB" w:rsidP="00A403BB" w:rsidRDefault="00A403BB" w14:paraId="38230BD9" w14:textId="77777777">
      <w:pPr>
        <w:rPr>
          <w:b/>
        </w:rPr>
      </w:pPr>
      <w:r>
        <w:rPr>
          <w:b/>
        </w:rPr>
        <w:t>Administration of the Instrument</w:t>
      </w:r>
    </w:p>
    <w:p w:rsidR="00A403BB" w:rsidP="00A403BB" w:rsidRDefault="001B0AAA" w14:paraId="338A4D6A" w14:textId="77777777">
      <w:pPr>
        <w:pStyle w:val="ListParagraph"/>
        <w:numPr>
          <w:ilvl w:val="0"/>
          <w:numId w:val="17"/>
        </w:numPr>
      </w:pPr>
      <w:r>
        <w:t>H</w:t>
      </w:r>
      <w:r w:rsidR="00A403BB">
        <w:t>ow will you collect the information? (Check all that apply)</w:t>
      </w:r>
    </w:p>
    <w:p w:rsidR="001B0AAA" w:rsidP="001B0AAA" w:rsidRDefault="00A403BB" w14:paraId="5BC89D38" w14:textId="77777777">
      <w:pPr>
        <w:ind w:left="720"/>
      </w:pPr>
      <w:r>
        <w:t>[</w:t>
      </w:r>
      <w:r w:rsidR="00BE1DAC">
        <w:t>X</w:t>
      </w:r>
      <w:r>
        <w:t>] Web-based</w:t>
      </w:r>
      <w:r w:rsidR="001B0AAA">
        <w:t xml:space="preserve"> or other forms of Social Media </w:t>
      </w:r>
    </w:p>
    <w:p w:rsidR="001B0AAA" w:rsidP="001B0AAA" w:rsidRDefault="00A403BB" w14:paraId="3A4452A6" w14:textId="77777777">
      <w:pPr>
        <w:ind w:left="720"/>
      </w:pPr>
      <w:r>
        <w:t xml:space="preserve">[ </w:t>
      </w:r>
      <w:r w:rsidR="001B0AAA">
        <w:t xml:space="preserve"> </w:t>
      </w:r>
      <w:r>
        <w:t>] Telephone</w:t>
      </w:r>
      <w:r>
        <w:tab/>
      </w:r>
    </w:p>
    <w:p w:rsidR="001B0AAA" w:rsidP="001B0AAA" w:rsidRDefault="00A403BB" w14:paraId="6A2373F5" w14:textId="77777777">
      <w:pPr>
        <w:ind w:left="720"/>
      </w:pPr>
      <w:r>
        <w:t>[</w:t>
      </w:r>
      <w:r w:rsidR="001B0AAA">
        <w:t xml:space="preserve"> </w:t>
      </w:r>
      <w:r>
        <w:t xml:space="preserve"> ] In-person</w:t>
      </w:r>
      <w:r>
        <w:tab/>
      </w:r>
    </w:p>
    <w:p w:rsidR="001B0AAA" w:rsidP="001B0AAA" w:rsidRDefault="00A403BB" w14:paraId="6D246D0C" w14:textId="77777777">
      <w:pPr>
        <w:ind w:left="720"/>
      </w:pPr>
      <w:r>
        <w:t xml:space="preserve">[ </w:t>
      </w:r>
      <w:r w:rsidR="001B0AAA">
        <w:t xml:space="preserve"> </w:t>
      </w:r>
      <w:r>
        <w:t>] Mail</w:t>
      </w:r>
      <w:r w:rsidR="001B0AAA">
        <w:t xml:space="preserve"> </w:t>
      </w:r>
    </w:p>
    <w:p w:rsidRPr="00BE1DAC" w:rsidR="001B0AAA" w:rsidP="001B0AAA" w:rsidRDefault="00A403BB" w14:paraId="2978468B" w14:textId="77777777">
      <w:pPr>
        <w:ind w:left="720"/>
        <w:rPr>
          <w:u w:val="single"/>
        </w:rPr>
      </w:pPr>
      <w:r>
        <w:t>[</w:t>
      </w:r>
      <w:r w:rsidR="000754D6">
        <w:t xml:space="preserve">  </w:t>
      </w:r>
      <w:r>
        <w:t>] Other, Explain</w:t>
      </w:r>
      <w:r w:rsidR="00BE1DAC">
        <w:t xml:space="preserve"> </w:t>
      </w:r>
    </w:p>
    <w:p w:rsidR="00F24CFC" w:rsidP="00F24CFC" w:rsidRDefault="00F24CFC" w14:paraId="06370C9B" w14:textId="77777777">
      <w:pPr>
        <w:pStyle w:val="ListParagraph"/>
        <w:numPr>
          <w:ilvl w:val="0"/>
          <w:numId w:val="17"/>
        </w:numPr>
      </w:pPr>
      <w:r>
        <w:t>Will interviewers or facilitators be used?  [</w:t>
      </w:r>
      <w:r w:rsidR="000754D6">
        <w:t xml:space="preserve">  </w:t>
      </w:r>
      <w:r>
        <w:t>] Yes [</w:t>
      </w:r>
      <w:r w:rsidR="000754D6">
        <w:t>X</w:t>
      </w:r>
      <w:r>
        <w:t>] No</w:t>
      </w:r>
    </w:p>
    <w:p w:rsidR="00F24CFC" w:rsidP="00F24CFC" w:rsidRDefault="00F24CFC" w14:paraId="08EB3C13" w14:textId="77777777">
      <w:pPr>
        <w:pStyle w:val="ListParagraph"/>
        <w:ind w:left="360"/>
      </w:pPr>
      <w:r>
        <w:t xml:space="preserve"> </w:t>
      </w:r>
    </w:p>
    <w:p w:rsidRPr="00F24CFC" w:rsidR="0024521E" w:rsidP="0024521E" w:rsidRDefault="00F24CFC" w14:paraId="436C6D5C" w14:textId="77777777">
      <w:pPr>
        <w:rPr>
          <w:b/>
        </w:rPr>
      </w:pPr>
      <w:r w:rsidRPr="00F24CFC">
        <w:rPr>
          <w:b/>
        </w:rPr>
        <w:lastRenderedPageBreak/>
        <w:t>Please make sure that all instruments, instructions, and scripts are submitted with the request.</w:t>
      </w:r>
    </w:p>
    <w:p w:rsidRPr="00E805A1" w:rsidR="00F24CFC" w:rsidP="00E805A1" w:rsidRDefault="1F03C415" w14:paraId="31AC2EB3" w14:textId="3CB18B00">
      <w:pPr>
        <w:rPr>
          <w:b/>
          <w:bCs/>
        </w:rPr>
      </w:pPr>
      <w:r>
        <w:br w:type="page"/>
      </w:r>
      <w:r w:rsidRPr="00E805A1" w:rsidR="00F24CFC">
        <w:rPr>
          <w:b/>
          <w:bCs/>
          <w:sz w:val="28"/>
        </w:rPr>
        <w:lastRenderedPageBreak/>
        <w:t xml:space="preserve">Instructions for completing Request for Approval under the “Generic Clearance for the Collection of Routine Customer Feedback” </w:t>
      </w:r>
    </w:p>
    <w:p w:rsidR="00F24CFC" w:rsidP="00F24CFC" w:rsidRDefault="0060728B" w14:paraId="35885F6C" w14:textId="77777777">
      <w:pPr>
        <w:rPr>
          <w:b/>
        </w:rPr>
      </w:pPr>
      <w:r>
        <w:rPr>
          <w:b/>
          <w:noProof/>
        </w:rPr>
        <w:pict w14:anchorId="42099EB1">
          <v:line id="_x0000_s1026" style="position:absolute;z-index:2;mso-wrap-edited:f;mso-width-percent:0;mso-height-percent:0;mso-width-percent:0;mso-height-percent:0" alt="" o:allowincell="f" strokeweight="1.5pt" from="0,0" to="468pt,0"/>
        </w:pict>
      </w:r>
    </w:p>
    <w:p w:rsidRPr="008F50D4" w:rsidR="00F24CFC" w:rsidP="00F24CFC" w:rsidRDefault="00F24CFC" w14:paraId="4BC17645" w14:textId="59AD5CD9">
      <w:pPr>
        <w:rPr>
          <w:b/>
        </w:rPr>
      </w:pPr>
      <w:r w:rsidRPr="008F50D4">
        <w:rPr>
          <w:b/>
        </w:rPr>
        <w:t>TITLE OF INFORMATION COLLECTION:</w:t>
      </w:r>
      <w:r w:rsidRPr="008F50D4">
        <w:t xml:space="preserve">  Provide the name of the collection that is the subject of the request</w:t>
      </w:r>
      <w:r w:rsidR="00CB1078">
        <w:t>. (e.g.</w:t>
      </w:r>
      <w:r w:rsidR="00B550E3">
        <w:t>,</w:t>
      </w:r>
      <w:r w:rsidR="00CB1078">
        <w:t xml:space="preserve">  Comment card for soliciting feedback on </w:t>
      </w:r>
      <w:proofErr w:type="spellStart"/>
      <w:r w:rsidR="00CB1078">
        <w:t>xxxx</w:t>
      </w:r>
      <w:proofErr w:type="spellEnd"/>
      <w:r w:rsidR="00CB1078">
        <w:t>)</w:t>
      </w:r>
    </w:p>
    <w:p w:rsidRPr="00CF6542" w:rsidR="00F24CFC" w:rsidP="00F24CFC" w:rsidRDefault="00F24CFC" w14:paraId="57E30C35" w14:textId="77777777">
      <w:pPr>
        <w:rPr>
          <w:sz w:val="20"/>
          <w:szCs w:val="20"/>
        </w:rPr>
      </w:pPr>
    </w:p>
    <w:p w:rsidRPr="008F50D4" w:rsidR="00F24CFC" w:rsidP="00F24CFC" w:rsidRDefault="00F24CFC" w14:paraId="3C58309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E4DA4F8" w14:textId="77777777">
      <w:pPr>
        <w:pStyle w:val="Header"/>
        <w:tabs>
          <w:tab w:val="clear" w:pos="4320"/>
          <w:tab w:val="clear" w:pos="8640"/>
        </w:tabs>
        <w:rPr>
          <w:b/>
        </w:rPr>
      </w:pPr>
    </w:p>
    <w:p w:rsidRPr="008F50D4" w:rsidR="00F24CFC" w:rsidP="00F24CFC" w:rsidRDefault="00F24CFC" w14:paraId="23BE7ED5"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5E1488D2" w14:textId="77777777">
      <w:pPr>
        <w:rPr>
          <w:b/>
          <w:sz w:val="20"/>
          <w:szCs w:val="20"/>
        </w:rPr>
      </w:pPr>
    </w:p>
    <w:p w:rsidRPr="008F50D4" w:rsidR="00F24CFC" w:rsidP="00F24CFC" w:rsidRDefault="00F24CFC" w14:paraId="54D1B92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0CB8F758" w14:textId="77777777">
      <w:pPr>
        <w:pStyle w:val="BodyTextIndent"/>
        <w:tabs>
          <w:tab w:val="left" w:pos="360"/>
        </w:tabs>
        <w:ind w:left="0"/>
        <w:rPr>
          <w:bCs/>
        </w:rPr>
      </w:pPr>
    </w:p>
    <w:p w:rsidRPr="008F50D4" w:rsidR="00F24CFC" w:rsidP="00F24CFC" w:rsidRDefault="00F24CFC" w14:paraId="2EF5AD35"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202939C" w14:textId="77777777">
      <w:pPr>
        <w:rPr>
          <w:sz w:val="16"/>
          <w:szCs w:val="16"/>
        </w:rPr>
      </w:pPr>
    </w:p>
    <w:p w:rsidR="00F24CFC" w:rsidP="00F24CFC" w:rsidRDefault="00F24CFC" w14:paraId="57E59AD7"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1E721BC6" w14:textId="77777777">
      <w:pPr>
        <w:rPr>
          <w:sz w:val="20"/>
          <w:szCs w:val="20"/>
        </w:rPr>
      </w:pPr>
    </w:p>
    <w:p w:rsidRPr="008F50D4" w:rsidR="00F24CFC" w:rsidP="008F50D4" w:rsidRDefault="00CB1078" w14:paraId="1AA04376"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148D91E" w14:textId="77777777">
      <w:pPr>
        <w:rPr>
          <w:b/>
        </w:rPr>
      </w:pPr>
    </w:p>
    <w:p w:rsidR="008F50D4" w:rsidP="00F24CFC" w:rsidRDefault="00F24CFC" w14:paraId="32BDFFCF" w14:textId="77777777">
      <w:pPr>
        <w:rPr>
          <w:b/>
        </w:rPr>
      </w:pPr>
      <w:r>
        <w:rPr>
          <w:b/>
        </w:rPr>
        <w:t>BURDEN HOURS</w:t>
      </w:r>
      <w:r w:rsidR="008F50D4">
        <w:rPr>
          <w:b/>
        </w:rPr>
        <w:t>:</w:t>
      </w:r>
    </w:p>
    <w:p w:rsidR="008F50D4" w:rsidP="00F24CFC" w:rsidRDefault="008F50D4" w14:paraId="3E0B6C9C"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5752704A"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10AABC00" w14:textId="566CC61F">
      <w:r>
        <w:rPr>
          <w:b/>
        </w:rPr>
        <w:t xml:space="preserve">Participation Time:  </w:t>
      </w:r>
      <w:r>
        <w:t>Provide an estimate of the amount of time</w:t>
      </w:r>
      <w:r w:rsidR="0041242E">
        <w:t xml:space="preserve"> (in minutes)</w:t>
      </w:r>
      <w:r>
        <w:t xml:space="preserve"> required for a respondent to participate (e.g.</w:t>
      </w:r>
      <w:r w:rsidR="0081302C">
        <w:t>,</w:t>
      </w:r>
      <w:r>
        <w:t xml:space="preserve"> fill out a survey or participate in a focus group)</w:t>
      </w:r>
    </w:p>
    <w:p w:rsidRPr="008F50D4" w:rsidR="00F24CFC" w:rsidP="00F24CFC" w:rsidRDefault="008F50D4" w14:paraId="00FAFBCF" w14:textId="77777777">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379AE354" w14:textId="77777777">
      <w:pPr>
        <w:keepNext/>
        <w:keepLines/>
        <w:rPr>
          <w:b/>
        </w:rPr>
      </w:pPr>
    </w:p>
    <w:p w:rsidR="00F24CFC" w:rsidP="00F24CFC" w:rsidRDefault="00F24CFC" w14:paraId="4C0FF10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1A9E3A84" w14:textId="77777777">
      <w:pPr>
        <w:rPr>
          <w:b/>
          <w:bCs/>
          <w:sz w:val="20"/>
          <w:szCs w:val="20"/>
          <w:u w:val="single"/>
        </w:rPr>
      </w:pPr>
    </w:p>
    <w:p w:rsidR="00F24CFC" w:rsidP="00F24CFC" w:rsidRDefault="00F24CFC" w14:paraId="43378A6F"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4C68BCE" w14:textId="77777777">
      <w:pPr>
        <w:rPr>
          <w:b/>
          <w:sz w:val="20"/>
          <w:szCs w:val="20"/>
        </w:rPr>
      </w:pPr>
    </w:p>
    <w:p w:rsidR="00F24CFC" w:rsidP="00F24CFC" w:rsidRDefault="00F24CFC" w14:paraId="0FEE429E"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27E66A3" w14:textId="77777777">
      <w:pPr>
        <w:rPr>
          <w:b/>
          <w:sz w:val="20"/>
          <w:szCs w:val="20"/>
        </w:rPr>
      </w:pPr>
    </w:p>
    <w:p w:rsidRPr="003F1C5B" w:rsidR="00F24CFC" w:rsidP="00F24CFC" w:rsidRDefault="00F24CFC" w14:paraId="063460BF" w14:textId="25F96F0D">
      <w:r>
        <w:rPr>
          <w:b/>
        </w:rPr>
        <w:t>Administration of the Instrument</w:t>
      </w:r>
      <w:r w:rsidR="003F1C5B">
        <w:rPr>
          <w:b/>
        </w:rPr>
        <w:t xml:space="preserve">:  </w:t>
      </w:r>
      <w:r w:rsidR="003F1C5B">
        <w:t>Identify how the information will be collected.  More than one box may be checked.  Indicate whether there will be interviewers (e.g.</w:t>
      </w:r>
      <w:r w:rsidR="0081302C">
        <w:t>,</w:t>
      </w:r>
      <w:r w:rsidR="003F1C5B">
        <w:t xml:space="preserve"> for surveys) or facilitators (e.g., for focus groups) used.</w:t>
      </w:r>
    </w:p>
    <w:p w:rsidR="00F24CFC" w:rsidP="00F24CFC" w:rsidRDefault="00F24CFC" w14:paraId="22703796" w14:textId="77777777">
      <w:pPr>
        <w:pStyle w:val="ListParagraph"/>
        <w:ind w:left="360"/>
      </w:pPr>
    </w:p>
    <w:p w:rsidRPr="008228C3" w:rsidR="005E714A" w:rsidP="008228C3" w:rsidRDefault="00CF6542" w14:paraId="461131CF"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7CC65" w14:textId="77777777" w:rsidR="0060728B" w:rsidRDefault="0060728B">
      <w:r>
        <w:separator/>
      </w:r>
    </w:p>
  </w:endnote>
  <w:endnote w:type="continuationSeparator" w:id="0">
    <w:p w14:paraId="53B2E911" w14:textId="77777777" w:rsidR="0060728B" w:rsidRDefault="0060728B">
      <w:r>
        <w:continuationSeparator/>
      </w:r>
    </w:p>
  </w:endnote>
  <w:endnote w:type="continuationNotice" w:id="1">
    <w:p w14:paraId="5BC35B95" w14:textId="77777777" w:rsidR="0060728B" w:rsidRDefault="00607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620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CA8A3" w14:textId="77777777" w:rsidR="0060728B" w:rsidRDefault="0060728B">
      <w:r>
        <w:separator/>
      </w:r>
    </w:p>
  </w:footnote>
  <w:footnote w:type="continuationSeparator" w:id="0">
    <w:p w14:paraId="72BF572D" w14:textId="77777777" w:rsidR="0060728B" w:rsidRDefault="0060728B">
      <w:r>
        <w:continuationSeparator/>
      </w:r>
    </w:p>
  </w:footnote>
  <w:footnote w:type="continuationNotice" w:id="1">
    <w:p w14:paraId="22269CEC" w14:textId="77777777" w:rsidR="0060728B" w:rsidRDefault="0060728B"/>
  </w:footnote>
  <w:footnote w:id="2">
    <w:p w14:paraId="2E466CCE" w14:textId="77777777" w:rsidR="00510035" w:rsidRDefault="00510035" w:rsidP="00510035">
      <w:pPr>
        <w:pStyle w:val="FootnoteText"/>
      </w:pPr>
      <w:r>
        <w:rPr>
          <w:rStyle w:val="FootnoteReference"/>
        </w:rPr>
        <w:footnoteRef/>
      </w:r>
      <w:r w:rsidR="08D3C5AA">
        <w:t xml:space="preserve">Grady, C. NIH, Department of Clinical Bioethics Clinical Center. Ethical and practical considerations of paying research participants. Accessed January 8, 2021 from: </w:t>
      </w:r>
      <w:r w:rsidR="08D3C5AA" w:rsidRPr="00166F49">
        <w:t>https://www.niehs.nih.gov/research/resources/assets/docs/ethical_and_practical_considerations_of_paying_research_participants_508.pdf</w:t>
      </w:r>
    </w:p>
  </w:footnote>
  <w:footnote w:id="3">
    <w:p w14:paraId="3049D1E5" w14:textId="31E57AF7" w:rsidR="00784162" w:rsidRDefault="00784162">
      <w:pPr>
        <w:pStyle w:val="FootnoteText"/>
      </w:pPr>
      <w:r>
        <w:rPr>
          <w:rStyle w:val="FootnoteReference"/>
        </w:rPr>
        <w:footnoteRef/>
      </w:r>
      <w:r>
        <w:t xml:space="preserve"> </w:t>
      </w:r>
      <w:r w:rsidR="001322DD">
        <w:t>Singer E, Ye C. The Use and Effects of Incentives in Surveys. The ANNALS of the American Academy of Political and Social Science. 2013;645(1):112-141. doi:10.1177/0002716212458082</w:t>
      </w:r>
      <w:r w:rsidR="001322DD" w:rsidRPr="002A52D1">
        <w:t xml:space="preserve"> </w:t>
      </w:r>
      <w:r w:rsidR="001322DD">
        <w:t xml:space="preserve"> </w:t>
      </w:r>
    </w:p>
  </w:footnote>
  <w:footnote w:id="4">
    <w:p w14:paraId="1D348975" w14:textId="4101B3A3" w:rsidR="00784162" w:rsidRDefault="00784162">
      <w:pPr>
        <w:pStyle w:val="FootnoteText"/>
      </w:pPr>
      <w:r>
        <w:rPr>
          <w:rStyle w:val="FootnoteReference"/>
        </w:rPr>
        <w:footnoteRef/>
      </w:r>
      <w:r w:rsidR="00A16E31" w:rsidRPr="00A16E31">
        <w:t xml:space="preserve"> </w:t>
      </w:r>
      <w:proofErr w:type="spellStart"/>
      <w:r w:rsidR="00A16E31" w:rsidRPr="00F479E8">
        <w:t>Göritz</w:t>
      </w:r>
      <w:proofErr w:type="spellEnd"/>
      <w:r w:rsidR="00A16E31" w:rsidRPr="00F479E8">
        <w:t>, A. (2006). Incentives in Web Studies: Methodological Issues and a Review.</w:t>
      </w:r>
    </w:p>
  </w:footnote>
  <w:footnote w:id="5">
    <w:p w14:paraId="66B580D9" w14:textId="097FF084" w:rsidR="00CD50D9" w:rsidRDefault="00CD50D9">
      <w:pPr>
        <w:pStyle w:val="FootnoteText"/>
      </w:pPr>
      <w:r>
        <w:rPr>
          <w:rStyle w:val="FootnoteReference"/>
        </w:rPr>
        <w:footnoteRef/>
      </w:r>
      <w:r>
        <w:t xml:space="preserve"> </w:t>
      </w:r>
      <w:r w:rsidRPr="00CD50D9">
        <w:t>National Research Council 2013. Nonresponse in Social Science Surveys: A</w:t>
      </w:r>
      <w:r w:rsidR="002A3CF8">
        <w:t xml:space="preserve"> </w:t>
      </w:r>
      <w:r w:rsidRPr="00CD50D9">
        <w:t>Research Agenda. Washington, DC: The National Academies Press.</w:t>
      </w:r>
      <w:r w:rsidR="002A3CF8">
        <w:t xml:space="preserve"> </w:t>
      </w:r>
      <w:r w:rsidRPr="00CD50D9">
        <w:t>https://doi.org/10.17226/18293.</w:t>
      </w:r>
    </w:p>
  </w:footnote>
  <w:footnote w:id="6">
    <w:p w14:paraId="2961C7B1" w14:textId="77777777" w:rsidR="009257E3" w:rsidRPr="0037719D" w:rsidRDefault="009257E3" w:rsidP="009257E3">
      <w:pPr>
        <w:pStyle w:val="FootnoteText"/>
      </w:pPr>
      <w:r>
        <w:rPr>
          <w:rStyle w:val="FootnoteReference"/>
        </w:rPr>
        <w:footnoteRef/>
      </w:r>
      <w:r w:rsidR="08D3C5AA">
        <w:t xml:space="preserve"> Boyd, C. (2020). </w:t>
      </w:r>
      <w:r w:rsidR="08D3C5AA" w:rsidRPr="0037719D">
        <w:t>The Ultimate Guide to User Research Incentives</w:t>
      </w:r>
      <w:r w:rsidR="08D3C5AA">
        <w:t xml:space="preserve">. </w:t>
      </w:r>
      <w:r w:rsidR="08D3C5AA" w:rsidRPr="08D3C5AA">
        <w:rPr>
          <w:i/>
          <w:iCs/>
        </w:rPr>
        <w:t>User Interviews.</w:t>
      </w:r>
      <w:r w:rsidR="08D3C5AA">
        <w:t xml:space="preserve"> Accessed on January 8, 2021 from: </w:t>
      </w:r>
      <w:r w:rsidR="08D3C5AA" w:rsidRPr="00063D97">
        <w:t>https://www.userinterviews.com/blog/the-ultimate-guide-to-user-research-incentives</w:t>
      </w:r>
    </w:p>
  </w:footnote>
  <w:footnote w:id="7">
    <w:p w14:paraId="2736A17A" w14:textId="7F762AD5" w:rsidR="009257E3" w:rsidRDefault="009257E3" w:rsidP="009257E3">
      <w:pPr>
        <w:pStyle w:val="FootnoteText"/>
      </w:pPr>
      <w:r>
        <w:rPr>
          <w:rStyle w:val="FootnoteReference"/>
        </w:rPr>
        <w:footnoteRef/>
      </w:r>
      <w:proofErr w:type="spellStart"/>
      <w:r w:rsidR="08D3C5AA">
        <w:t>Sigritz</w:t>
      </w:r>
      <w:proofErr w:type="spellEnd"/>
      <w:r w:rsidR="08D3C5AA">
        <w:t xml:space="preserve">, A. (2016). Paying Incentives for Federal User Research. GSA, </w:t>
      </w:r>
      <w:proofErr w:type="spellStart"/>
      <w:r w:rsidR="08D3C5AA">
        <w:t>DigitalGov</w:t>
      </w:r>
      <w:proofErr w:type="spellEnd"/>
      <w:r w:rsidR="08D3C5AA">
        <w:t xml:space="preserve">. Accessed on January 8, 2021 from: </w:t>
      </w:r>
      <w:r w:rsidR="08D3C5AA" w:rsidRPr="00122E8E">
        <w:t>https://digital.gov/2016/02/10/paying-incentives-for-federal-user-research/</w:t>
      </w:r>
    </w:p>
  </w:footnote>
  <w:footnote w:id="8">
    <w:p w14:paraId="1710E2FC" w14:textId="5EFF0710" w:rsidR="003538BA" w:rsidRDefault="003538BA">
      <w:pPr>
        <w:pStyle w:val="FootnoteText"/>
      </w:pPr>
      <w:r>
        <w:rPr>
          <w:rStyle w:val="FootnoteReference"/>
        </w:rPr>
        <w:footnoteRef/>
      </w:r>
      <w:r>
        <w:t xml:space="preserve"> </w:t>
      </w:r>
      <w:r w:rsidR="005215D5">
        <w:t xml:space="preserve">18F. Fundamentals: Foundational methods for practicing design research. </w:t>
      </w:r>
      <w:r w:rsidR="009B54F6">
        <w:t xml:space="preserve">Accessed January 6, 2021 from: </w:t>
      </w:r>
      <w:r w:rsidR="00735A8E" w:rsidRPr="00735A8E">
        <w:t>https://methods.18f.gov/fundamentals/incentives/</w:t>
      </w:r>
    </w:p>
  </w:footnote>
  <w:footnote w:id="9">
    <w:p w14:paraId="1AB5BB2C" w14:textId="6BF39506" w:rsidR="000A0FA7" w:rsidRDefault="000A0FA7" w:rsidP="00280C37">
      <w:pPr>
        <w:pStyle w:val="FootnoteText"/>
      </w:pPr>
      <w:r>
        <w:rPr>
          <w:rStyle w:val="FootnoteReference"/>
        </w:rPr>
        <w:footnoteRef/>
      </w:r>
      <w:r>
        <w:t xml:space="preserve"> Value of time (</w:t>
      </w:r>
      <w:r w:rsidR="00F057E9">
        <w:t xml:space="preserve">total </w:t>
      </w:r>
      <w:r>
        <w:t>burden</w:t>
      </w:r>
      <w:r w:rsidR="00F057E9">
        <w:t xml:space="preserve"> hours) used wage rate data from the Bureau of Labor Statistics, </w:t>
      </w:r>
      <w:r w:rsidR="00280C37">
        <w:t>“May 2019 National Occupational Employment and Wage Estimates</w:t>
      </w:r>
      <w:r w:rsidR="00D325FA">
        <w:t xml:space="preserve">, </w:t>
      </w:r>
      <w:r w:rsidR="00280C37">
        <w:t>United States</w:t>
      </w:r>
      <w:r w:rsidR="00D325FA">
        <w:t xml:space="preserve">” accessed online at: </w:t>
      </w:r>
      <w:hyperlink r:id="rId1" w:anchor="00-0000" w:history="1">
        <w:r w:rsidR="00174C50" w:rsidRPr="00E056C3">
          <w:rPr>
            <w:rStyle w:val="Hyperlink"/>
          </w:rPr>
          <w:t>https://www.bls.gov/oes/current/oes_nat.htm#00-0000</w:t>
        </w:r>
      </w:hyperlink>
      <w:r w:rsidR="00174C50">
        <w:t xml:space="preserve"> (Access date: </w:t>
      </w:r>
      <w:r w:rsidR="003230FC">
        <w:t xml:space="preserve">6 January 2021). </w:t>
      </w:r>
      <w:r w:rsidR="00503F05">
        <w:t xml:space="preserve">“News analysts, reporters, and journalists” </w:t>
      </w:r>
      <w:r w:rsidR="00A66573">
        <w:t xml:space="preserve">(27-3023) </w:t>
      </w:r>
      <w:r w:rsidR="00BD2010">
        <w:t>had</w:t>
      </w:r>
      <w:r w:rsidR="00503F05">
        <w:t xml:space="preserve"> a median wage of $22.25/hour; </w:t>
      </w:r>
      <w:r w:rsidR="00B57595">
        <w:t>“</w:t>
      </w:r>
      <w:r w:rsidR="00503F05">
        <w:t>Librar</w:t>
      </w:r>
      <w:r w:rsidR="001146A3">
        <w:t xml:space="preserve">ians </w:t>
      </w:r>
      <w:r w:rsidR="00B57595">
        <w:t>and media collections specialists” (25-4022)</w:t>
      </w:r>
      <w:r w:rsidR="001146A3">
        <w:t xml:space="preserve"> </w:t>
      </w:r>
      <w:r w:rsidR="00BD2010">
        <w:t>earned a median of $28.61/hour; and researchers</w:t>
      </w:r>
      <w:r w:rsidR="00E803B4">
        <w:t>, are likely to be “Social scientists and related workers” (19-3000) with a median wage of $38.</w:t>
      </w:r>
      <w:r w:rsidR="00683C9A">
        <w:t>57/hour</w:t>
      </w:r>
      <w:r w:rsidR="009E0657">
        <w:t xml:space="preserve">. </w:t>
      </w:r>
      <w:r w:rsidR="00A12602">
        <w:t>The value of time for s</w:t>
      </w:r>
      <w:r w:rsidR="009E0657">
        <w:t xml:space="preserve">tate or territory administrative staff (library administrators) </w:t>
      </w:r>
      <w:r w:rsidR="00A12602">
        <w:t>was estimated using the median wage for Librarians and media collections specialists, while that for federal researchers w</w:t>
      </w:r>
      <w:r w:rsidR="00994AE8">
        <w:t xml:space="preserve">as estimated using the median wage for Social scientists and related workers.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F66B"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28D84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07457"/>
    <w:multiLevelType w:val="hybridMultilevel"/>
    <w:tmpl w:val="046A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A5DEC"/>
    <w:multiLevelType w:val="hybridMultilevel"/>
    <w:tmpl w:val="EE4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B3C"/>
    <w:multiLevelType w:val="hybridMultilevel"/>
    <w:tmpl w:val="A5BA7554"/>
    <w:lvl w:ilvl="0" w:tplc="17B02474">
      <w:start w:val="5"/>
      <w:numFmt w:val="lowerLetter"/>
      <w:lvlText w:val="%1."/>
      <w:lvlJc w:val="left"/>
      <w:pPr>
        <w:tabs>
          <w:tab w:val="num" w:pos="1434"/>
        </w:tabs>
        <w:ind w:left="1434" w:hanging="570"/>
      </w:pPr>
      <w:rPr>
        <w:rFonts w:hint="default"/>
      </w:rPr>
    </w:lvl>
    <w:lvl w:ilvl="1" w:tplc="CA86FBE6">
      <w:numFmt w:val="decimal"/>
      <w:lvlText w:val=""/>
      <w:lvlJc w:val="left"/>
    </w:lvl>
    <w:lvl w:ilvl="2" w:tplc="6C822E52">
      <w:numFmt w:val="decimal"/>
      <w:lvlText w:val=""/>
      <w:lvlJc w:val="left"/>
    </w:lvl>
    <w:lvl w:ilvl="3" w:tplc="8E0E4ACC">
      <w:numFmt w:val="decimal"/>
      <w:lvlText w:val=""/>
      <w:lvlJc w:val="left"/>
    </w:lvl>
    <w:lvl w:ilvl="4" w:tplc="C4AA6802">
      <w:numFmt w:val="decimal"/>
      <w:lvlText w:val=""/>
      <w:lvlJc w:val="left"/>
    </w:lvl>
    <w:lvl w:ilvl="5" w:tplc="9AFC5320">
      <w:numFmt w:val="decimal"/>
      <w:lvlText w:val=""/>
      <w:lvlJc w:val="left"/>
    </w:lvl>
    <w:lvl w:ilvl="6" w:tplc="71762544">
      <w:numFmt w:val="decimal"/>
      <w:lvlText w:val=""/>
      <w:lvlJc w:val="left"/>
    </w:lvl>
    <w:lvl w:ilvl="7" w:tplc="03567CEE">
      <w:numFmt w:val="decimal"/>
      <w:lvlText w:val=""/>
      <w:lvlJc w:val="left"/>
    </w:lvl>
    <w:lvl w:ilvl="8" w:tplc="146265EC">
      <w:numFmt w:val="decimal"/>
      <w:lvlText w:val=""/>
      <w:lvlJc w:val="left"/>
    </w:lvl>
  </w:abstractNum>
  <w:abstractNum w:abstractNumId="18" w15:restartNumberingAfterBreak="0">
    <w:nsid w:val="7B8A28C0"/>
    <w:multiLevelType w:val="hybridMultilevel"/>
    <w:tmpl w:val="2A22CF7E"/>
    <w:lvl w:ilvl="0" w:tplc="EEB077C8">
      <w:start w:val="1"/>
      <w:numFmt w:val="lowerLetter"/>
      <w:lvlText w:val="%1."/>
      <w:lvlJc w:val="left"/>
      <w:pPr>
        <w:tabs>
          <w:tab w:val="num" w:pos="1446"/>
        </w:tabs>
        <w:ind w:left="1446" w:hanging="570"/>
      </w:pPr>
      <w:rPr>
        <w:rFonts w:hint="default"/>
      </w:rPr>
    </w:lvl>
    <w:lvl w:ilvl="1" w:tplc="932A504E">
      <w:numFmt w:val="decimal"/>
      <w:lvlText w:val=""/>
      <w:lvlJc w:val="left"/>
    </w:lvl>
    <w:lvl w:ilvl="2" w:tplc="1CBE287C">
      <w:numFmt w:val="decimal"/>
      <w:lvlText w:val=""/>
      <w:lvlJc w:val="left"/>
    </w:lvl>
    <w:lvl w:ilvl="3" w:tplc="A50A0D88">
      <w:numFmt w:val="decimal"/>
      <w:lvlText w:val=""/>
      <w:lvlJc w:val="left"/>
    </w:lvl>
    <w:lvl w:ilvl="4" w:tplc="96E205EA">
      <w:numFmt w:val="decimal"/>
      <w:lvlText w:val=""/>
      <w:lvlJc w:val="left"/>
    </w:lvl>
    <w:lvl w:ilvl="5" w:tplc="3E024F4C">
      <w:numFmt w:val="decimal"/>
      <w:lvlText w:val=""/>
      <w:lvlJc w:val="left"/>
    </w:lvl>
    <w:lvl w:ilvl="6" w:tplc="AAA27780">
      <w:numFmt w:val="decimal"/>
      <w:lvlText w:val=""/>
      <w:lvlJc w:val="left"/>
    </w:lvl>
    <w:lvl w:ilvl="7" w:tplc="DCFAE3F2">
      <w:numFmt w:val="decimal"/>
      <w:lvlText w:val=""/>
      <w:lvlJc w:val="left"/>
    </w:lvl>
    <w:lvl w:ilvl="8" w:tplc="6E205CA8">
      <w:numFmt w:val="decimal"/>
      <w:lvlText w:val=""/>
      <w:lvlJc w:val="left"/>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7FE5"/>
    <w:rsid w:val="0001027E"/>
    <w:rsid w:val="00023105"/>
    <w:rsid w:val="00023A57"/>
    <w:rsid w:val="00036E8A"/>
    <w:rsid w:val="00037EDA"/>
    <w:rsid w:val="00047A64"/>
    <w:rsid w:val="0005048D"/>
    <w:rsid w:val="0005684E"/>
    <w:rsid w:val="000667BF"/>
    <w:rsid w:val="00067329"/>
    <w:rsid w:val="00070A3C"/>
    <w:rsid w:val="000740F8"/>
    <w:rsid w:val="000754D6"/>
    <w:rsid w:val="000915A3"/>
    <w:rsid w:val="000A0FA7"/>
    <w:rsid w:val="000A65E0"/>
    <w:rsid w:val="000A79F6"/>
    <w:rsid w:val="000B09C2"/>
    <w:rsid w:val="000B2838"/>
    <w:rsid w:val="000C6975"/>
    <w:rsid w:val="000D44CA"/>
    <w:rsid w:val="000E200B"/>
    <w:rsid w:val="000E302E"/>
    <w:rsid w:val="000F0576"/>
    <w:rsid w:val="000F4279"/>
    <w:rsid w:val="000F68BE"/>
    <w:rsid w:val="001146A3"/>
    <w:rsid w:val="00125E23"/>
    <w:rsid w:val="00131710"/>
    <w:rsid w:val="001322DD"/>
    <w:rsid w:val="00142B2F"/>
    <w:rsid w:val="00143B1F"/>
    <w:rsid w:val="00157121"/>
    <w:rsid w:val="001613F9"/>
    <w:rsid w:val="0016280D"/>
    <w:rsid w:val="00166F49"/>
    <w:rsid w:val="00173512"/>
    <w:rsid w:val="00174C50"/>
    <w:rsid w:val="001927A4"/>
    <w:rsid w:val="00194AC6"/>
    <w:rsid w:val="001A23B0"/>
    <w:rsid w:val="001A25CC"/>
    <w:rsid w:val="001B0AAA"/>
    <w:rsid w:val="001B75DD"/>
    <w:rsid w:val="001C39F7"/>
    <w:rsid w:val="001D0851"/>
    <w:rsid w:val="001D7523"/>
    <w:rsid w:val="00226015"/>
    <w:rsid w:val="00227755"/>
    <w:rsid w:val="00237B48"/>
    <w:rsid w:val="0024521E"/>
    <w:rsid w:val="00246254"/>
    <w:rsid w:val="00253C32"/>
    <w:rsid w:val="00256164"/>
    <w:rsid w:val="0025FC3F"/>
    <w:rsid w:val="00263C3D"/>
    <w:rsid w:val="00274D0B"/>
    <w:rsid w:val="00280C37"/>
    <w:rsid w:val="0028E4E4"/>
    <w:rsid w:val="00293AE2"/>
    <w:rsid w:val="002A3CF8"/>
    <w:rsid w:val="002B052D"/>
    <w:rsid w:val="002B281E"/>
    <w:rsid w:val="002B34CD"/>
    <w:rsid w:val="002B3C95"/>
    <w:rsid w:val="002B3F9B"/>
    <w:rsid w:val="002D0B92"/>
    <w:rsid w:val="002D45C8"/>
    <w:rsid w:val="002E2AB0"/>
    <w:rsid w:val="002F0800"/>
    <w:rsid w:val="003230FC"/>
    <w:rsid w:val="0034436A"/>
    <w:rsid w:val="0035253D"/>
    <w:rsid w:val="003538BA"/>
    <w:rsid w:val="00371BFC"/>
    <w:rsid w:val="003A0A40"/>
    <w:rsid w:val="003A0A5E"/>
    <w:rsid w:val="003A5173"/>
    <w:rsid w:val="003B7DD6"/>
    <w:rsid w:val="003D2522"/>
    <w:rsid w:val="003D5BBE"/>
    <w:rsid w:val="003E3C61"/>
    <w:rsid w:val="003E63D1"/>
    <w:rsid w:val="003E7B7C"/>
    <w:rsid w:val="003F1C5B"/>
    <w:rsid w:val="0041242E"/>
    <w:rsid w:val="00420AFF"/>
    <w:rsid w:val="00420CC8"/>
    <w:rsid w:val="004231F4"/>
    <w:rsid w:val="00423D6B"/>
    <w:rsid w:val="00434E33"/>
    <w:rsid w:val="00441434"/>
    <w:rsid w:val="004501C3"/>
    <w:rsid w:val="0045264C"/>
    <w:rsid w:val="004542CF"/>
    <w:rsid w:val="004726DA"/>
    <w:rsid w:val="004770FA"/>
    <w:rsid w:val="004876EC"/>
    <w:rsid w:val="00496DCD"/>
    <w:rsid w:val="004C1011"/>
    <w:rsid w:val="004C55E7"/>
    <w:rsid w:val="004D6E14"/>
    <w:rsid w:val="004E469E"/>
    <w:rsid w:val="004F047B"/>
    <w:rsid w:val="005009B0"/>
    <w:rsid w:val="00503F05"/>
    <w:rsid w:val="0050495C"/>
    <w:rsid w:val="00510035"/>
    <w:rsid w:val="005215D5"/>
    <w:rsid w:val="00533F50"/>
    <w:rsid w:val="00542807"/>
    <w:rsid w:val="00547488"/>
    <w:rsid w:val="00554E78"/>
    <w:rsid w:val="0055567C"/>
    <w:rsid w:val="0057478C"/>
    <w:rsid w:val="00574A77"/>
    <w:rsid w:val="0058419B"/>
    <w:rsid w:val="0059624B"/>
    <w:rsid w:val="005A1006"/>
    <w:rsid w:val="005C18C5"/>
    <w:rsid w:val="005E714A"/>
    <w:rsid w:val="005F1DF9"/>
    <w:rsid w:val="005F693D"/>
    <w:rsid w:val="00604984"/>
    <w:rsid w:val="0060728B"/>
    <w:rsid w:val="006140A0"/>
    <w:rsid w:val="00614999"/>
    <w:rsid w:val="00623E4B"/>
    <w:rsid w:val="0062651E"/>
    <w:rsid w:val="00636621"/>
    <w:rsid w:val="00642B49"/>
    <w:rsid w:val="00643082"/>
    <w:rsid w:val="0066338D"/>
    <w:rsid w:val="006675A9"/>
    <w:rsid w:val="0067164E"/>
    <w:rsid w:val="006832D9"/>
    <w:rsid w:val="00683C9A"/>
    <w:rsid w:val="0069403B"/>
    <w:rsid w:val="006A4597"/>
    <w:rsid w:val="006B1D30"/>
    <w:rsid w:val="006B631D"/>
    <w:rsid w:val="006D1A09"/>
    <w:rsid w:val="006D66AC"/>
    <w:rsid w:val="006F3DDE"/>
    <w:rsid w:val="00704678"/>
    <w:rsid w:val="00722A76"/>
    <w:rsid w:val="00724F44"/>
    <w:rsid w:val="0072740F"/>
    <w:rsid w:val="00735A8E"/>
    <w:rsid w:val="00736A30"/>
    <w:rsid w:val="007425E7"/>
    <w:rsid w:val="007438FC"/>
    <w:rsid w:val="007734D3"/>
    <w:rsid w:val="00784162"/>
    <w:rsid w:val="007B70C0"/>
    <w:rsid w:val="007D4B90"/>
    <w:rsid w:val="007F51E8"/>
    <w:rsid w:val="007F5BCB"/>
    <w:rsid w:val="007F7080"/>
    <w:rsid w:val="00802607"/>
    <w:rsid w:val="008101A5"/>
    <w:rsid w:val="0081302C"/>
    <w:rsid w:val="00822664"/>
    <w:rsid w:val="00822870"/>
    <w:rsid w:val="008228C3"/>
    <w:rsid w:val="00825856"/>
    <w:rsid w:val="00843796"/>
    <w:rsid w:val="00845FC2"/>
    <w:rsid w:val="00854C95"/>
    <w:rsid w:val="008757A6"/>
    <w:rsid w:val="00895229"/>
    <w:rsid w:val="008B2EB3"/>
    <w:rsid w:val="008C68D0"/>
    <w:rsid w:val="008D3E8F"/>
    <w:rsid w:val="008F0203"/>
    <w:rsid w:val="008F203D"/>
    <w:rsid w:val="008F50D4"/>
    <w:rsid w:val="008F63B5"/>
    <w:rsid w:val="0090314C"/>
    <w:rsid w:val="009239AA"/>
    <w:rsid w:val="009257E3"/>
    <w:rsid w:val="00933AA6"/>
    <w:rsid w:val="00935ADA"/>
    <w:rsid w:val="0093692A"/>
    <w:rsid w:val="00940F79"/>
    <w:rsid w:val="00946AA1"/>
    <w:rsid w:val="00946B6C"/>
    <w:rsid w:val="009546EA"/>
    <w:rsid w:val="00955A71"/>
    <w:rsid w:val="0096108F"/>
    <w:rsid w:val="0098404E"/>
    <w:rsid w:val="00987DBC"/>
    <w:rsid w:val="00992BD1"/>
    <w:rsid w:val="00994AE8"/>
    <w:rsid w:val="009A56A8"/>
    <w:rsid w:val="009A6700"/>
    <w:rsid w:val="009B54F6"/>
    <w:rsid w:val="009C13B9"/>
    <w:rsid w:val="009C1BD7"/>
    <w:rsid w:val="009D01A2"/>
    <w:rsid w:val="009E0657"/>
    <w:rsid w:val="009F5923"/>
    <w:rsid w:val="00A11CF5"/>
    <w:rsid w:val="00A12602"/>
    <w:rsid w:val="00A16E31"/>
    <w:rsid w:val="00A366C9"/>
    <w:rsid w:val="00A403BB"/>
    <w:rsid w:val="00A47334"/>
    <w:rsid w:val="00A52EC1"/>
    <w:rsid w:val="00A60676"/>
    <w:rsid w:val="00A66573"/>
    <w:rsid w:val="00A674DF"/>
    <w:rsid w:val="00A82C95"/>
    <w:rsid w:val="00A83AA6"/>
    <w:rsid w:val="00A934D6"/>
    <w:rsid w:val="00A96D96"/>
    <w:rsid w:val="00AB1251"/>
    <w:rsid w:val="00AB2625"/>
    <w:rsid w:val="00AE1809"/>
    <w:rsid w:val="00AE3F24"/>
    <w:rsid w:val="00AF35ED"/>
    <w:rsid w:val="00B15CB7"/>
    <w:rsid w:val="00B234E9"/>
    <w:rsid w:val="00B406C0"/>
    <w:rsid w:val="00B46726"/>
    <w:rsid w:val="00B550E3"/>
    <w:rsid w:val="00B57595"/>
    <w:rsid w:val="00B64E10"/>
    <w:rsid w:val="00B80D76"/>
    <w:rsid w:val="00B824F4"/>
    <w:rsid w:val="00B86B63"/>
    <w:rsid w:val="00B953E2"/>
    <w:rsid w:val="00B969F6"/>
    <w:rsid w:val="00BA2105"/>
    <w:rsid w:val="00BA5454"/>
    <w:rsid w:val="00BA7E06"/>
    <w:rsid w:val="00BB43B5"/>
    <w:rsid w:val="00BB6219"/>
    <w:rsid w:val="00BD2010"/>
    <w:rsid w:val="00BD290F"/>
    <w:rsid w:val="00BD78CA"/>
    <w:rsid w:val="00BE1DAC"/>
    <w:rsid w:val="00BE4870"/>
    <w:rsid w:val="00BF47EC"/>
    <w:rsid w:val="00C14CC4"/>
    <w:rsid w:val="00C15440"/>
    <w:rsid w:val="00C26853"/>
    <w:rsid w:val="00C33C52"/>
    <w:rsid w:val="00C40D8B"/>
    <w:rsid w:val="00C67899"/>
    <w:rsid w:val="00C70F16"/>
    <w:rsid w:val="00C71BF1"/>
    <w:rsid w:val="00C73138"/>
    <w:rsid w:val="00C833BE"/>
    <w:rsid w:val="00C8407A"/>
    <w:rsid w:val="00C8488C"/>
    <w:rsid w:val="00C86E91"/>
    <w:rsid w:val="00CA2650"/>
    <w:rsid w:val="00CB1078"/>
    <w:rsid w:val="00CC548A"/>
    <w:rsid w:val="00CC6FAF"/>
    <w:rsid w:val="00CD0B0E"/>
    <w:rsid w:val="00CD4210"/>
    <w:rsid w:val="00CD50D9"/>
    <w:rsid w:val="00CF16E0"/>
    <w:rsid w:val="00CF2BE3"/>
    <w:rsid w:val="00CF6542"/>
    <w:rsid w:val="00D011BB"/>
    <w:rsid w:val="00D203BA"/>
    <w:rsid w:val="00D24698"/>
    <w:rsid w:val="00D325FA"/>
    <w:rsid w:val="00D51792"/>
    <w:rsid w:val="00D56C66"/>
    <w:rsid w:val="00D6383F"/>
    <w:rsid w:val="00D66710"/>
    <w:rsid w:val="00D67C00"/>
    <w:rsid w:val="00D75511"/>
    <w:rsid w:val="00DB59D0"/>
    <w:rsid w:val="00DC33D3"/>
    <w:rsid w:val="00DD126B"/>
    <w:rsid w:val="00DF409E"/>
    <w:rsid w:val="00E11660"/>
    <w:rsid w:val="00E172CD"/>
    <w:rsid w:val="00E21294"/>
    <w:rsid w:val="00E23985"/>
    <w:rsid w:val="00E26329"/>
    <w:rsid w:val="00E40B50"/>
    <w:rsid w:val="00E50293"/>
    <w:rsid w:val="00E52AEF"/>
    <w:rsid w:val="00E53776"/>
    <w:rsid w:val="00E56FDA"/>
    <w:rsid w:val="00E6371A"/>
    <w:rsid w:val="00E65FFC"/>
    <w:rsid w:val="00E744EA"/>
    <w:rsid w:val="00E76847"/>
    <w:rsid w:val="00E803B4"/>
    <w:rsid w:val="00E805A1"/>
    <w:rsid w:val="00E80951"/>
    <w:rsid w:val="00E83AFF"/>
    <w:rsid w:val="00E868EE"/>
    <w:rsid w:val="00E86CC6"/>
    <w:rsid w:val="00E9306D"/>
    <w:rsid w:val="00EA2F5F"/>
    <w:rsid w:val="00EA7463"/>
    <w:rsid w:val="00EA751C"/>
    <w:rsid w:val="00EB4009"/>
    <w:rsid w:val="00EB5575"/>
    <w:rsid w:val="00EB56B3"/>
    <w:rsid w:val="00EB5A67"/>
    <w:rsid w:val="00EC6152"/>
    <w:rsid w:val="00ED1DF3"/>
    <w:rsid w:val="00ED2D60"/>
    <w:rsid w:val="00ED5A3D"/>
    <w:rsid w:val="00ED6492"/>
    <w:rsid w:val="00EE0F49"/>
    <w:rsid w:val="00EE33AD"/>
    <w:rsid w:val="00EF2095"/>
    <w:rsid w:val="00F057E9"/>
    <w:rsid w:val="00F06866"/>
    <w:rsid w:val="00F12986"/>
    <w:rsid w:val="00F15956"/>
    <w:rsid w:val="00F24CFC"/>
    <w:rsid w:val="00F3170F"/>
    <w:rsid w:val="00F47856"/>
    <w:rsid w:val="00F51AC7"/>
    <w:rsid w:val="00F853D1"/>
    <w:rsid w:val="00F976B0"/>
    <w:rsid w:val="00F9791B"/>
    <w:rsid w:val="00F9EAC5"/>
    <w:rsid w:val="00FA6DE7"/>
    <w:rsid w:val="00FC0A8E"/>
    <w:rsid w:val="00FD6F50"/>
    <w:rsid w:val="00FE2FA6"/>
    <w:rsid w:val="00FE3DF2"/>
    <w:rsid w:val="00FF5FF1"/>
    <w:rsid w:val="0123F5E1"/>
    <w:rsid w:val="01298960"/>
    <w:rsid w:val="0179C091"/>
    <w:rsid w:val="025B5E92"/>
    <w:rsid w:val="0302BD15"/>
    <w:rsid w:val="03B1655F"/>
    <w:rsid w:val="03DC2C0E"/>
    <w:rsid w:val="03E3A6C8"/>
    <w:rsid w:val="04F93796"/>
    <w:rsid w:val="058FC53A"/>
    <w:rsid w:val="06021E52"/>
    <w:rsid w:val="062793F0"/>
    <w:rsid w:val="06E07135"/>
    <w:rsid w:val="080A21A8"/>
    <w:rsid w:val="08D3C5AA"/>
    <w:rsid w:val="08D3D89A"/>
    <w:rsid w:val="08EAFB1D"/>
    <w:rsid w:val="09A59216"/>
    <w:rsid w:val="0AA909B7"/>
    <w:rsid w:val="0ADD8F1D"/>
    <w:rsid w:val="0B782450"/>
    <w:rsid w:val="0BD7E960"/>
    <w:rsid w:val="0BF53390"/>
    <w:rsid w:val="0C1A9C58"/>
    <w:rsid w:val="0D1ACEF2"/>
    <w:rsid w:val="0D3F28D0"/>
    <w:rsid w:val="0DAFAB66"/>
    <w:rsid w:val="0F96C5B5"/>
    <w:rsid w:val="1023F2EE"/>
    <w:rsid w:val="104B9573"/>
    <w:rsid w:val="10EBE531"/>
    <w:rsid w:val="112FAD30"/>
    <w:rsid w:val="119E2041"/>
    <w:rsid w:val="11BD6A0B"/>
    <w:rsid w:val="122E48AB"/>
    <w:rsid w:val="126CCDA5"/>
    <w:rsid w:val="1341E968"/>
    <w:rsid w:val="13B760D9"/>
    <w:rsid w:val="14804D66"/>
    <w:rsid w:val="1571E2F8"/>
    <w:rsid w:val="15E012DB"/>
    <w:rsid w:val="15E7C39C"/>
    <w:rsid w:val="16031E53"/>
    <w:rsid w:val="1638AC2E"/>
    <w:rsid w:val="1777DE58"/>
    <w:rsid w:val="18583D1F"/>
    <w:rsid w:val="18E6A550"/>
    <w:rsid w:val="1964C5BC"/>
    <w:rsid w:val="1B7CA465"/>
    <w:rsid w:val="1BDC15D1"/>
    <w:rsid w:val="1E4A8082"/>
    <w:rsid w:val="1F03C415"/>
    <w:rsid w:val="1F44DEBF"/>
    <w:rsid w:val="1F81FB45"/>
    <w:rsid w:val="1F8D682E"/>
    <w:rsid w:val="1FB76AA8"/>
    <w:rsid w:val="1FD5F053"/>
    <w:rsid w:val="20D9528B"/>
    <w:rsid w:val="220796D5"/>
    <w:rsid w:val="22460FB8"/>
    <w:rsid w:val="23EFE4EC"/>
    <w:rsid w:val="23F028CE"/>
    <w:rsid w:val="2487302C"/>
    <w:rsid w:val="24B116E6"/>
    <w:rsid w:val="251E4D56"/>
    <w:rsid w:val="25563198"/>
    <w:rsid w:val="25A72E4B"/>
    <w:rsid w:val="26B014B4"/>
    <w:rsid w:val="27744974"/>
    <w:rsid w:val="27D6BB6E"/>
    <w:rsid w:val="293414BB"/>
    <w:rsid w:val="2A24F738"/>
    <w:rsid w:val="2A6C8615"/>
    <w:rsid w:val="2C818B12"/>
    <w:rsid w:val="2CB89D4F"/>
    <w:rsid w:val="2DBD2941"/>
    <w:rsid w:val="2E29F5AC"/>
    <w:rsid w:val="2E9596C3"/>
    <w:rsid w:val="2FB37C18"/>
    <w:rsid w:val="333951E2"/>
    <w:rsid w:val="3350E283"/>
    <w:rsid w:val="33D41707"/>
    <w:rsid w:val="33F2F851"/>
    <w:rsid w:val="35733026"/>
    <w:rsid w:val="35F5BA48"/>
    <w:rsid w:val="3682450B"/>
    <w:rsid w:val="374D0739"/>
    <w:rsid w:val="374D43B0"/>
    <w:rsid w:val="3824374B"/>
    <w:rsid w:val="38D73498"/>
    <w:rsid w:val="3955CBD2"/>
    <w:rsid w:val="398006CD"/>
    <w:rsid w:val="3C41D84C"/>
    <w:rsid w:val="3DB39D9D"/>
    <w:rsid w:val="3F210C28"/>
    <w:rsid w:val="3F77A02D"/>
    <w:rsid w:val="3FEF0D0F"/>
    <w:rsid w:val="403F1C30"/>
    <w:rsid w:val="408B8DC1"/>
    <w:rsid w:val="40D299BB"/>
    <w:rsid w:val="413100C1"/>
    <w:rsid w:val="436DF000"/>
    <w:rsid w:val="43A620ED"/>
    <w:rsid w:val="43EFE7C4"/>
    <w:rsid w:val="45700489"/>
    <w:rsid w:val="461B267D"/>
    <w:rsid w:val="4628ED28"/>
    <w:rsid w:val="48CDA6C6"/>
    <w:rsid w:val="4A012114"/>
    <w:rsid w:val="4C0B7FDF"/>
    <w:rsid w:val="4C9A6059"/>
    <w:rsid w:val="4C9CD4F9"/>
    <w:rsid w:val="4E621F5E"/>
    <w:rsid w:val="4E729D65"/>
    <w:rsid w:val="4FBBB231"/>
    <w:rsid w:val="505B98BE"/>
    <w:rsid w:val="512FE9C7"/>
    <w:rsid w:val="516BEEEB"/>
    <w:rsid w:val="52F02C5E"/>
    <w:rsid w:val="5353A6A7"/>
    <w:rsid w:val="543E321C"/>
    <w:rsid w:val="54C98301"/>
    <w:rsid w:val="55482114"/>
    <w:rsid w:val="56C99CC4"/>
    <w:rsid w:val="57269D9A"/>
    <w:rsid w:val="5795C288"/>
    <w:rsid w:val="579BC527"/>
    <w:rsid w:val="5922FA19"/>
    <w:rsid w:val="598DE9DE"/>
    <w:rsid w:val="59EBB537"/>
    <w:rsid w:val="59F5708B"/>
    <w:rsid w:val="5A832E8A"/>
    <w:rsid w:val="5B7F4996"/>
    <w:rsid w:val="5DD7EDD4"/>
    <w:rsid w:val="5DDE7191"/>
    <w:rsid w:val="5E313ED1"/>
    <w:rsid w:val="5F26A1F8"/>
    <w:rsid w:val="613A254B"/>
    <w:rsid w:val="6162DEF7"/>
    <w:rsid w:val="61E17F87"/>
    <w:rsid w:val="61E868E4"/>
    <w:rsid w:val="61F492AD"/>
    <w:rsid w:val="62355A13"/>
    <w:rsid w:val="62601DBF"/>
    <w:rsid w:val="6350AD8C"/>
    <w:rsid w:val="635C3382"/>
    <w:rsid w:val="64045AFC"/>
    <w:rsid w:val="642C2197"/>
    <w:rsid w:val="6472B0A4"/>
    <w:rsid w:val="64EC7646"/>
    <w:rsid w:val="655C2CA0"/>
    <w:rsid w:val="655ECFE8"/>
    <w:rsid w:val="65B5F795"/>
    <w:rsid w:val="6601B8C5"/>
    <w:rsid w:val="6651D1EA"/>
    <w:rsid w:val="673DCB52"/>
    <w:rsid w:val="6765DE81"/>
    <w:rsid w:val="6875845A"/>
    <w:rsid w:val="68D99BB3"/>
    <w:rsid w:val="68FBCD7F"/>
    <w:rsid w:val="69C14731"/>
    <w:rsid w:val="6A4BDDB8"/>
    <w:rsid w:val="6C3D34D8"/>
    <w:rsid w:val="6CC3E45D"/>
    <w:rsid w:val="6E850D1E"/>
    <w:rsid w:val="712D9FE6"/>
    <w:rsid w:val="7183BC4D"/>
    <w:rsid w:val="71F5C8D6"/>
    <w:rsid w:val="72748375"/>
    <w:rsid w:val="7305FBED"/>
    <w:rsid w:val="754C349B"/>
    <w:rsid w:val="756F18AA"/>
    <w:rsid w:val="757739DF"/>
    <w:rsid w:val="77184456"/>
    <w:rsid w:val="77D42B01"/>
    <w:rsid w:val="77E8DD55"/>
    <w:rsid w:val="7884D7B3"/>
    <w:rsid w:val="79F466C2"/>
    <w:rsid w:val="7A985C13"/>
    <w:rsid w:val="7B439579"/>
    <w:rsid w:val="7C1C8AE2"/>
    <w:rsid w:val="7D1AD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0927DA2"/>
  <w15:chartTrackingRefBased/>
  <w15:docId w15:val="{92FDFE32-C29C-AF41-B66F-666FB9C8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784162"/>
    <w:rPr>
      <w:sz w:val="20"/>
      <w:szCs w:val="20"/>
    </w:rPr>
  </w:style>
  <w:style w:type="character" w:customStyle="1" w:styleId="FootnoteTextChar">
    <w:name w:val="Footnote Text Char"/>
    <w:basedOn w:val="DefaultParagraphFont"/>
    <w:link w:val="FootnoteText"/>
    <w:rsid w:val="00784162"/>
  </w:style>
  <w:style w:type="character" w:styleId="FootnoteReference">
    <w:name w:val="footnote reference"/>
    <w:rsid w:val="00784162"/>
    <w:rPr>
      <w:vertAlign w:val="superscript"/>
    </w:rPr>
  </w:style>
  <w:style w:type="character" w:styleId="Hyperlink">
    <w:name w:val="Hyperlink"/>
    <w:rsid w:val="004726DA"/>
    <w:rPr>
      <w:color w:val="0563C1"/>
      <w:u w:val="single"/>
    </w:rPr>
  </w:style>
  <w:style w:type="character" w:styleId="UnresolvedMention">
    <w:name w:val="Unresolved Mention"/>
    <w:uiPriority w:val="99"/>
    <w:semiHidden/>
    <w:unhideWhenUsed/>
    <w:rsid w:val="0047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40893">
      <w:bodyDiv w:val="1"/>
      <w:marLeft w:val="0"/>
      <w:marRight w:val="0"/>
      <w:marTop w:val="0"/>
      <w:marBottom w:val="0"/>
      <w:divBdr>
        <w:top w:val="none" w:sz="0" w:space="0" w:color="auto"/>
        <w:left w:val="none" w:sz="0" w:space="0" w:color="auto"/>
        <w:bottom w:val="none" w:sz="0" w:space="0" w:color="auto"/>
        <w:right w:val="none" w:sz="0" w:space="0" w:color="auto"/>
      </w:divBdr>
      <w:divsChild>
        <w:div w:id="2037345344">
          <w:marLeft w:val="0"/>
          <w:marRight w:val="0"/>
          <w:marTop w:val="0"/>
          <w:marBottom w:val="0"/>
          <w:divBdr>
            <w:top w:val="none" w:sz="0" w:space="0" w:color="auto"/>
            <w:left w:val="none" w:sz="0" w:space="0" w:color="auto"/>
            <w:bottom w:val="none" w:sz="0" w:space="0" w:color="auto"/>
            <w:right w:val="none" w:sz="0" w:space="0" w:color="auto"/>
          </w:divBdr>
        </w:div>
      </w:divsChild>
    </w:div>
    <w:div w:id="334958786">
      <w:bodyDiv w:val="1"/>
      <w:marLeft w:val="0"/>
      <w:marRight w:val="0"/>
      <w:marTop w:val="0"/>
      <w:marBottom w:val="0"/>
      <w:divBdr>
        <w:top w:val="none" w:sz="0" w:space="0" w:color="auto"/>
        <w:left w:val="none" w:sz="0" w:space="0" w:color="auto"/>
        <w:bottom w:val="none" w:sz="0" w:space="0" w:color="auto"/>
        <w:right w:val="none" w:sz="0" w:space="0" w:color="auto"/>
      </w:divBdr>
      <w:divsChild>
        <w:div w:id="1454013936">
          <w:marLeft w:val="0"/>
          <w:marRight w:val="0"/>
          <w:marTop w:val="0"/>
          <w:marBottom w:val="0"/>
          <w:divBdr>
            <w:top w:val="none" w:sz="0" w:space="0" w:color="auto"/>
            <w:left w:val="none" w:sz="0" w:space="0" w:color="auto"/>
            <w:bottom w:val="none" w:sz="0" w:space="0" w:color="auto"/>
            <w:right w:val="none" w:sz="0" w:space="0" w:color="auto"/>
          </w:divBdr>
        </w:div>
      </w:divsChild>
    </w:div>
    <w:div w:id="889537726">
      <w:bodyDiv w:val="1"/>
      <w:marLeft w:val="0"/>
      <w:marRight w:val="0"/>
      <w:marTop w:val="0"/>
      <w:marBottom w:val="0"/>
      <w:divBdr>
        <w:top w:val="none" w:sz="0" w:space="0" w:color="auto"/>
        <w:left w:val="none" w:sz="0" w:space="0" w:color="auto"/>
        <w:bottom w:val="none" w:sz="0" w:space="0" w:color="auto"/>
        <w:right w:val="none" w:sz="0" w:space="0" w:color="auto"/>
      </w:divBdr>
    </w:div>
    <w:div w:id="1420982410">
      <w:bodyDiv w:val="1"/>
      <w:marLeft w:val="0"/>
      <w:marRight w:val="0"/>
      <w:marTop w:val="0"/>
      <w:marBottom w:val="0"/>
      <w:divBdr>
        <w:top w:val="none" w:sz="0" w:space="0" w:color="auto"/>
        <w:left w:val="none" w:sz="0" w:space="0" w:color="auto"/>
        <w:bottom w:val="none" w:sz="0" w:space="0" w:color="auto"/>
        <w:right w:val="none" w:sz="0" w:space="0" w:color="auto"/>
      </w:divBdr>
      <w:divsChild>
        <w:div w:id="322322068">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232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772C558A3CE48B209A09D215A99F1" ma:contentTypeVersion="4" ma:contentTypeDescription="Create a new document." ma:contentTypeScope="" ma:versionID="fcdeb471db76fd1c30f57cc0cd588172">
  <xsd:schema xmlns:xsd="http://www.w3.org/2001/XMLSchema" xmlns:xs="http://www.w3.org/2001/XMLSchema" xmlns:p="http://schemas.microsoft.com/office/2006/metadata/properties" xmlns:ns2="7c82e006-2511-4d8b-8eab-2d930806dce3" targetNamespace="http://schemas.microsoft.com/office/2006/metadata/properties" ma:root="true" ma:fieldsID="0609b47b3a25b1715ab2344504fb4b5e" ns2:_="">
    <xsd:import namespace="7c82e006-2511-4d8b-8eab-2d930806d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2e006-2511-4d8b-8eab-2d930806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560B5-16D0-4FE9-A369-18B6C84E6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2e006-2511-4d8b-8eab-2d930806d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3916F-6316-824E-B1A6-DE8180CA175D}">
  <ds:schemaRefs>
    <ds:schemaRef ds:uri="http://schemas.openxmlformats.org/officeDocument/2006/bibliography"/>
  </ds:schemaRefs>
</ds:datastoreItem>
</file>

<file path=customXml/itemProps3.xml><?xml version="1.0" encoding="utf-8"?>
<ds:datastoreItem xmlns:ds="http://schemas.openxmlformats.org/officeDocument/2006/customXml" ds:itemID="{34D3FBEB-C44D-46A2-9E9C-9939A5F2CA4C}">
  <ds:schemaRefs>
    <ds:schemaRef ds:uri="http://schemas.microsoft.com/sharepoint/v3/contenttype/forms"/>
  </ds:schemaRefs>
</ds:datastoreItem>
</file>

<file path=customXml/itemProps4.xml><?xml version="1.0" encoding="utf-8"?>
<ds:datastoreItem xmlns:ds="http://schemas.openxmlformats.org/officeDocument/2006/customXml" ds:itemID="{E5D5D0DC-B3B8-4AC5-B3FD-0EE7E1A848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1789</Words>
  <Characters>10202</Characters>
  <Application>Microsoft Office Word</Application>
  <DocSecurity>0</DocSecurity>
  <Lines>85</Lines>
  <Paragraphs>23</Paragraphs>
  <ScaleCrop>false</ScaleCrop>
  <Company>ssa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Connie Bodner</cp:lastModifiedBy>
  <cp:revision>3</cp:revision>
  <cp:lastPrinted>2010-10-04T15:59:00Z</cp:lastPrinted>
  <dcterms:created xsi:type="dcterms:W3CDTF">2021-02-09T02:58:00Z</dcterms:created>
  <dcterms:modified xsi:type="dcterms:W3CDTF">2021-02-09T03:00:00Z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y fmtid="{D5CDD505-2E9C-101B-9397-08002B2CF9AE}" pid="9" name="ContentTypeId">
    <vt:lpwstr>0x010100594772C558A3CE48B209A09D215A99F1</vt:lpwstr>
  </property>
</Properties>
</file>