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bookmarkStart w:name="_GoBack" w:id="0"/>
      <w:bookmarkEnd w:id="0"/>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733F7331">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8142F5">
        <w:rPr>
          <w:b w:val="0"/>
          <w:sz w:val="24"/>
          <w:szCs w:val="24"/>
        </w:rPr>
        <w:t>US Office of Personnel Management</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1839A4">
        <w:rPr>
          <w:rFonts w:ascii="Times New Roman" w:hAnsi="Times New Roman"/>
        </w:rPr>
        <w:t>government-wide</w:t>
      </w:r>
      <w:proofErr w:type="gramEnd"/>
      <w:r w:rsidRPr="001839A4">
        <w:rPr>
          <w:rFonts w:ascii="Times New Roman" w:hAnsi="Times New Roman"/>
        </w:rPr>
        <w:t>.</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 xml:space="preserve">wording of these statements must first be discussed with OMB prior to implementation in order to maintain reporting comparability </w:t>
      </w:r>
      <w:proofErr w:type="gramStart"/>
      <w:r w:rsidRPr="00EE088E">
        <w:rPr>
          <w:rFonts w:ascii="Times New Roman" w:hAnsi="Times New Roman"/>
        </w:rPr>
        <w:t>government-wide</w:t>
      </w:r>
      <w:proofErr w:type="gramEnd"/>
      <w:r w:rsidRPr="00EE088E">
        <w:rPr>
          <w:rFonts w:ascii="Times New Roman" w:hAnsi="Times New Roman"/>
        </w:rPr>
        <w:t>.</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proofErr w:type="gramStart"/>
      <w:r>
        <w:rPr>
          <w:rFonts w:ascii="Times New Roman" w:hAnsi="Times New Roman"/>
          <w:i/>
        </w:rPr>
        <w:t>5 star</w:t>
      </w:r>
      <w:proofErr w:type="gramEnd"/>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xml:space="preserve">) or transaction type (for example, it may not involve an interaction with an employee). It is important that whenever possible, agencies ask the fewest number of questions, and map each question to one of the categories below, so that we might identify at a </w:t>
      </w:r>
      <w:proofErr w:type="gramStart"/>
      <w:r w:rsidRPr="00EE088E">
        <w:rPr>
          <w:rFonts w:ascii="Times New Roman" w:hAnsi="Times New Roman"/>
        </w:rPr>
        <w:t>government-wide level which elements</w:t>
      </w:r>
      <w:proofErr w:type="gramEnd"/>
      <w:r w:rsidRPr="00EE088E">
        <w:rPr>
          <w:rFonts w:ascii="Times New Roman" w:hAnsi="Times New Roman"/>
        </w:rPr>
        <w:t xml:space="preserve">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proofErr w:type="gramStart"/>
      <w:r w:rsidRPr="00EE088E">
        <w:rPr>
          <w:rFonts w:ascii="Times New Roman" w:hAnsi="Times New Roman"/>
        </w:rPr>
        <w:t>multiple choice</w:t>
      </w:r>
      <w:proofErr w:type="gramEnd"/>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proofErr w:type="gramStart"/>
      <w:r>
        <w:rPr>
          <w:b w:val="0"/>
          <w:sz w:val="24"/>
          <w:szCs w:val="24"/>
        </w:rPr>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w:t>
      </w:r>
      <w:proofErr w:type="gramStart"/>
      <w:r w:rsidR="00E03EA0">
        <w:rPr>
          <w:b w:val="0"/>
          <w:sz w:val="24"/>
          <w:szCs w:val="24"/>
        </w:rPr>
        <w:t>particular artifact / product</w:t>
      </w:r>
      <w:proofErr w:type="gramEnd"/>
      <w:r w:rsidR="00E03EA0">
        <w:rPr>
          <w:b w:val="0"/>
          <w:sz w:val="24"/>
          <w:szCs w:val="24"/>
        </w:rPr>
        <w:t xml:space="preserve">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w:t>
      </w:r>
      <w:proofErr w:type="gramStart"/>
      <w:r w:rsidRPr="00FC38C8">
        <w:rPr>
          <w:rFonts w:ascii="Times New Roman" w:hAnsi="Times New Roman"/>
          <w:szCs w:val="24"/>
        </w:rPr>
        <w:t>in the near future</w:t>
      </w:r>
      <w:proofErr w:type="gramEnd"/>
      <w:r w:rsidRPr="00FC38C8">
        <w:rPr>
          <w:rFonts w:ascii="Times New Roman" w:hAnsi="Times New Roman"/>
          <w:szCs w:val="24"/>
        </w:rPr>
        <w:t>;</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Pr="008142F5" w:rsidR="008142F5" w:rsidP="008142F5" w:rsidRDefault="008142F5" w14:paraId="2C6E9612" w14:textId="77777777">
      <w:pPr>
        <w:ind w:left="720"/>
        <w:rPr>
          <w:rFonts w:ascii="Times New Roman" w:hAnsi="Times New Roman"/>
        </w:rPr>
      </w:pPr>
      <w:r w:rsidRPr="008142F5">
        <w:rPr>
          <w:rFonts w:ascii="Times New Roman" w:hAnsi="Times New Roman"/>
        </w:rPr>
        <w:t xml:space="preserve">The 60-day public comment notice was published in the Federal Register May 27, 2016, page 33667 without comment. </w:t>
      </w:r>
    </w:p>
    <w:p w:rsidRPr="008142F5" w:rsidR="008142F5" w:rsidP="008142F5" w:rsidRDefault="008142F5" w14:paraId="29800968" w14:textId="77777777">
      <w:pPr>
        <w:ind w:left="720"/>
        <w:rPr>
          <w:rFonts w:ascii="Times New Roman" w:hAnsi="Times New Roman"/>
        </w:rPr>
      </w:pPr>
    </w:p>
    <w:p w:rsidR="00AC1FA8" w:rsidP="008142F5" w:rsidRDefault="008142F5" w14:paraId="1AC60B54" w14:textId="7CD1EF74">
      <w:pPr>
        <w:ind w:left="720"/>
        <w:rPr>
          <w:rFonts w:ascii="Times New Roman" w:hAnsi="Times New Roman"/>
        </w:rPr>
      </w:pPr>
      <w:r w:rsidRPr="008142F5">
        <w:rPr>
          <w:rFonts w:ascii="Times New Roman" w:hAnsi="Times New Roman"/>
        </w:rPr>
        <w:t>This is the request for the 30-day federal register notice soliciting public comment on the information collections prior to submission to OMB.</w:t>
      </w:r>
    </w:p>
    <w:p w:rsidR="008142F5" w:rsidP="008142F5" w:rsidRDefault="008142F5" w14:paraId="1CDC24DC"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w:t>
      </w:r>
      <w:proofErr w:type="gramStart"/>
      <w:r w:rsidRPr="00572524" w:rsidR="001743A5">
        <w:rPr>
          <w:rFonts w:ascii="Times New Roman" w:hAnsi="Times New Roman"/>
          <w:b/>
          <w:szCs w:val="24"/>
        </w:rPr>
        <w:t>sufficient</w:t>
      </w:r>
      <w:proofErr w:type="gramEnd"/>
      <w:r w:rsidRPr="00572524" w:rsidR="001743A5">
        <w:rPr>
          <w:rFonts w:ascii="Times New Roman" w:hAnsi="Times New Roman"/>
          <w:b/>
          <w:szCs w:val="24"/>
        </w:rPr>
        <w:t xml:space="preserve">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47619B" w:rsidR="008142F5" w:rsidP="008142F5" w:rsidRDefault="008142F5" w14:paraId="4DD5C698" w14:textId="77777777">
      <w:pPr>
        <w:pStyle w:val="BodyTextIndent"/>
        <w:ind w:left="720"/>
        <w:rPr>
          <w:rFonts w:ascii="Times New Roman" w:hAnsi="Times New Roman"/>
        </w:rPr>
      </w:pPr>
      <w:r w:rsidRPr="0047619B">
        <w:rPr>
          <w:rFonts w:ascii="Times New Roman" w:hAnsi="Times New Roman"/>
          <w:b/>
        </w:rPr>
        <w:t>Customer Research:</w:t>
      </w:r>
      <w:r w:rsidRPr="0047619B">
        <w:rPr>
          <w:rFonts w:ascii="Times New Roman" w:hAnsi="Times New Roman"/>
        </w:rPr>
        <w:t xml:space="preserve"> The respondent burden averages from five (5) minutes to sixty (60) minutes for interviews or focus groups, dependent on the individual activity.  This estimation has been based on previous customer research activities conducted by Federal customer experience teams.  </w:t>
      </w:r>
    </w:p>
    <w:p w:rsidRPr="0047619B" w:rsidR="008142F5" w:rsidP="008142F5" w:rsidRDefault="008142F5" w14:paraId="1D30955B" w14:textId="77777777">
      <w:pPr>
        <w:pStyle w:val="BodyTextIndent"/>
        <w:ind w:left="720"/>
        <w:rPr>
          <w:rFonts w:ascii="Times New Roman" w:hAnsi="Times New Roman"/>
        </w:rPr>
      </w:pPr>
      <w:r w:rsidRPr="0047619B">
        <w:rPr>
          <w:rFonts w:ascii="Times New Roman" w:hAnsi="Times New Roman"/>
        </w:rPr>
        <w:t xml:space="preserve">The Agency estimates that across all sub-components and services, there will be up to 1000 individual interviews averaging 30 minutes each. </w:t>
      </w:r>
    </w:p>
    <w:p w:rsidRPr="0047619B" w:rsidR="008142F5" w:rsidP="008142F5" w:rsidRDefault="008142F5" w14:paraId="6BDE7941" w14:textId="77777777">
      <w:pPr>
        <w:pStyle w:val="BodyTextIndent"/>
        <w:ind w:left="720"/>
        <w:rPr>
          <w:rFonts w:ascii="Times New Roman" w:hAnsi="Times New Roman"/>
        </w:rPr>
      </w:pPr>
      <w:r w:rsidRPr="0047619B">
        <w:rPr>
          <w:rFonts w:ascii="Times New Roman" w:hAnsi="Times New Roman"/>
        </w:rPr>
        <w:t>This clearance estimates that each member of a focus group is expected to spend an average of 1</w:t>
      </w:r>
      <w:r>
        <w:rPr>
          <w:rFonts w:ascii="Times New Roman" w:hAnsi="Times New Roman"/>
        </w:rPr>
        <w:t xml:space="preserve"> </w:t>
      </w:r>
      <w:r w:rsidRPr="0047619B">
        <w:rPr>
          <w:rFonts w:ascii="Times New Roman" w:hAnsi="Times New Roman"/>
        </w:rPr>
        <w:t xml:space="preserve">hour per group.  The Agency estimates that there will be 5 segmented focus groups held each year with an average of ten participants per group for an average of 100 participants.  </w:t>
      </w:r>
    </w:p>
    <w:p w:rsidRPr="0047619B" w:rsidR="008142F5" w:rsidP="008142F5" w:rsidRDefault="008142F5" w14:paraId="50DEB177" w14:textId="77777777">
      <w:pPr>
        <w:ind w:left="720"/>
        <w:rPr>
          <w:rFonts w:ascii="Times New Roman" w:hAnsi="Times New Roman"/>
          <w:b/>
        </w:rPr>
      </w:pPr>
      <w:r w:rsidRPr="0047619B">
        <w:rPr>
          <w:rFonts w:ascii="Times New Roman" w:hAnsi="Times New Roman"/>
          <w:b/>
        </w:rPr>
        <w:t xml:space="preserve">Customer Feedback (Satisfaction Survey): </w:t>
      </w:r>
      <w:r w:rsidRPr="0047619B">
        <w:rPr>
          <w:rFonts w:ascii="Times New Roman" w:hAnsi="Times New Roman"/>
        </w:rPr>
        <w:t>Industry best practice is to present every customer the opportunity to provide feedback at each instrumented touchpoint/transaction in a customer journey (</w:t>
      </w:r>
      <w:proofErr w:type="gramStart"/>
      <w:r>
        <w:rPr>
          <w:rFonts w:ascii="Times New Roman" w:hAnsi="Times New Roman"/>
        </w:rPr>
        <w:t>w,,</w:t>
      </w:r>
      <w:proofErr w:type="gramEnd"/>
      <w:r>
        <w:rPr>
          <w:rFonts w:ascii="Times New Roman" w:hAnsi="Times New Roman"/>
        </w:rPr>
        <w:t xml:space="preserve"> a</w:t>
      </w:r>
      <w:r w:rsidRPr="0047619B">
        <w:rPr>
          <w:rFonts w:ascii="Times New Roman" w:hAnsi="Times New Roman"/>
        </w:rPr>
        <w:t>fter submitting an application, completing a call at a call center, or visiting an in-person service center).</w:t>
      </w:r>
      <w:r w:rsidRPr="0047619B">
        <w:rPr>
          <w:rFonts w:ascii="Times New Roman" w:hAnsi="Times New Roman"/>
          <w:b/>
        </w:rPr>
        <w:t xml:space="preserve"> </w:t>
      </w:r>
      <w:r w:rsidRPr="0047619B">
        <w:rPr>
          <w:rFonts w:ascii="Times New Roman" w:hAnsi="Times New Roman"/>
        </w:rPr>
        <w:t>The Agency will specify the total possible number of respondents based on estimated annual volume, but this information collection sets a ceiling estimate of 1,000,000 annually</w:t>
      </w:r>
      <w:r w:rsidRPr="0047619B">
        <w:rPr>
          <w:rFonts w:ascii="Times New Roman" w:hAnsi="Times New Roman"/>
          <w:b/>
        </w:rPr>
        <w:t>.</w:t>
      </w:r>
    </w:p>
    <w:p w:rsidRPr="0047619B" w:rsidR="008142F5" w:rsidP="008142F5" w:rsidRDefault="008142F5" w14:paraId="0A4B1001" w14:textId="77777777">
      <w:pPr>
        <w:ind w:left="720"/>
        <w:rPr>
          <w:rFonts w:ascii="Times New Roman" w:hAnsi="Times New Roman"/>
          <w:b/>
        </w:rPr>
      </w:pPr>
    </w:p>
    <w:p w:rsidRPr="0047619B" w:rsidR="008142F5" w:rsidP="008142F5" w:rsidRDefault="008142F5" w14:paraId="7CB1ADCF" w14:textId="77777777">
      <w:pPr>
        <w:ind w:left="720"/>
        <w:rPr>
          <w:rFonts w:ascii="Times New Roman" w:hAnsi="Times New Roman"/>
        </w:rPr>
      </w:pPr>
      <w:r w:rsidRPr="0047619B">
        <w:rPr>
          <w:rFonts w:ascii="Times New Roman" w:hAnsi="Times New Roman"/>
          <w:b/>
        </w:rPr>
        <w:t xml:space="preserve">Testing of Services and Digital Products: </w:t>
      </w:r>
      <w:r w:rsidRPr="0047619B">
        <w:rPr>
          <w:rFonts w:ascii="Times New Roman" w:hAnsi="Times New Roman"/>
        </w:rPr>
        <w:t>Simple user testing (15 minutes or less) can be useful for a variety of digital product and service initiatives across the Agency (</w:t>
      </w:r>
      <w:r>
        <w:rPr>
          <w:rFonts w:ascii="Times New Roman" w:hAnsi="Times New Roman"/>
        </w:rPr>
        <w:t>e.g.,</w:t>
      </w:r>
      <w:r w:rsidRPr="0047619B">
        <w:rPr>
          <w:rFonts w:ascii="Times New Roman" w:hAnsi="Times New Roman"/>
        </w:rPr>
        <w:t xml:space="preserve"> basic website design updates, communications revisions). </w:t>
      </w:r>
      <w:r>
        <w:rPr>
          <w:rFonts w:ascii="Times New Roman" w:hAnsi="Times New Roman"/>
        </w:rPr>
        <w:t xml:space="preserve">In the anticipation that </w:t>
      </w:r>
      <w:r w:rsidRPr="0047619B">
        <w:rPr>
          <w:rFonts w:ascii="Times New Roman" w:hAnsi="Times New Roman"/>
        </w:rPr>
        <w:t xml:space="preserve">each instance to have on average of 200 users, and 20 services/products tested each year, this clearance </w:t>
      </w:r>
      <w:r>
        <w:rPr>
          <w:rFonts w:ascii="Times New Roman" w:hAnsi="Times New Roman"/>
        </w:rPr>
        <w:t xml:space="preserve">request projects </w:t>
      </w:r>
      <w:r w:rsidRPr="0047619B">
        <w:rPr>
          <w:rFonts w:ascii="Times New Roman" w:hAnsi="Times New Roman"/>
        </w:rPr>
        <w:t>8,000 respondents.</w:t>
      </w:r>
    </w:p>
    <w:p w:rsidRPr="0047619B" w:rsidR="008142F5" w:rsidP="008142F5" w:rsidRDefault="008142F5" w14:paraId="4765C7EC" w14:textId="77777777">
      <w:pPr>
        <w:ind w:left="720"/>
        <w:rPr>
          <w:rFonts w:ascii="Times New Roman" w:hAnsi="Times New Roman"/>
          <w:b/>
        </w:rPr>
      </w:pPr>
    </w:p>
    <w:p w:rsidRPr="00443178" w:rsidR="008142F5" w:rsidP="008142F5" w:rsidRDefault="008142F5" w14:paraId="26B38DF7" w14:textId="77777777">
      <w:pPr>
        <w:ind w:left="720"/>
        <w:rPr>
          <w:rFonts w:ascii="Times New Roman" w:hAnsi="Times New Roman"/>
        </w:rPr>
      </w:pPr>
      <w:r w:rsidRPr="0047619B">
        <w:rPr>
          <w:rFonts w:ascii="Times New Roman" w:hAnsi="Times New Roman"/>
        </w:rPr>
        <w:t xml:space="preserve">Additionally, more extensive cognitive laboratory or in-person observations can occur for newly launched products (such as mobile applications or re-designs of process steps) requiring an average of 30 minutes per respondent. </w:t>
      </w:r>
      <w:r>
        <w:rPr>
          <w:rFonts w:ascii="Times New Roman" w:hAnsi="Times New Roman"/>
        </w:rPr>
        <w:t xml:space="preserve">In the anticipation that </w:t>
      </w:r>
      <w:r w:rsidRPr="0047619B">
        <w:rPr>
          <w:rFonts w:ascii="Times New Roman" w:hAnsi="Times New Roman"/>
        </w:rPr>
        <w:t>each instance to have an average of 75 users, and 10 new services/products tested each year across the Agency, this adds 750 respondents to the clearance.</w:t>
      </w:r>
      <w:r>
        <w:rPr>
          <w:rFonts w:ascii="Times New Roman" w:hAnsi="Times New Roman"/>
        </w:rPr>
        <w:t xml:space="preserve"> </w:t>
      </w:r>
    </w:p>
    <w:p w:rsidRPr="0035309F" w:rsidR="008142F5" w:rsidP="008142F5" w:rsidRDefault="008142F5" w14:paraId="5159FF6A" w14:textId="77777777">
      <w:pPr>
        <w:ind w:left="720"/>
        <w:rPr>
          <w:rFonts w:ascii="Times New Roman" w:hAnsi="Times New Roman"/>
          <w:b/>
        </w:rPr>
      </w:pPr>
    </w:p>
    <w:p w:rsidRPr="00053043" w:rsidR="008142F5" w:rsidP="008142F5" w:rsidRDefault="008142F5" w14:paraId="04A878AD" w14:textId="77777777">
      <w:pPr>
        <w:ind w:left="720"/>
        <w:rPr>
          <w:b/>
          <w:szCs w:val="24"/>
        </w:rPr>
      </w:pPr>
      <w:r>
        <w:rPr>
          <w:rFonts w:ascii="Times New Roman" w:hAnsi="Times New Roman"/>
        </w:rPr>
        <w:t>The Agency</w:t>
      </w:r>
      <w:r w:rsidRPr="00053043">
        <w:rPr>
          <w:rFonts w:ascii="Times New Roman" w:hAnsi="Times New Roman"/>
        </w:rPr>
        <w:t xml:space="preserve"> will </w:t>
      </w:r>
      <w:r>
        <w:rPr>
          <w:rFonts w:ascii="Times New Roman" w:hAnsi="Times New Roman"/>
        </w:rPr>
        <w:t>keep track of the above activities</w:t>
      </w:r>
      <w:r w:rsidRPr="00053043">
        <w:rPr>
          <w:rFonts w:ascii="Times New Roman" w:hAnsi="Times New Roman"/>
        </w:rPr>
        <w:t xml:space="preserve"> in orde</w:t>
      </w:r>
      <w:r>
        <w:rPr>
          <w:rFonts w:ascii="Times New Roman" w:hAnsi="Times New Roman"/>
        </w:rPr>
        <w:t xml:space="preserve">r to accurately update </w:t>
      </w:r>
      <w:r w:rsidRPr="00053043">
        <w:rPr>
          <w:rFonts w:ascii="Times New Roman" w:hAnsi="Times New Roman"/>
        </w:rPr>
        <w:t xml:space="preserve">burden </w:t>
      </w:r>
      <w:r>
        <w:rPr>
          <w:rFonts w:ascii="Times New Roman" w:hAnsi="Times New Roman"/>
        </w:rPr>
        <w:t xml:space="preserve">calculations </w:t>
      </w:r>
      <w:r w:rsidRPr="00053043">
        <w:rPr>
          <w:rFonts w:ascii="Times New Roman" w:hAnsi="Times New Roman"/>
        </w:rPr>
        <w:t xml:space="preserve">year to year.  </w:t>
      </w:r>
    </w:p>
    <w:p w:rsidR="008142F5" w:rsidP="008142F5" w:rsidRDefault="008142F5" w14:paraId="4E2A3F4B"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15"/>
        <w:gridCol w:w="1523"/>
        <w:gridCol w:w="1433"/>
        <w:gridCol w:w="1066"/>
        <w:gridCol w:w="1057"/>
      </w:tblGrid>
      <w:tr w:rsidRPr="0047619B" w:rsidR="008142F5" w:rsidTr="00CD7BB6" w14:paraId="395EC6B7"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45CAEDCC" w14:textId="77777777">
            <w:pPr>
              <w:rPr>
                <w:rFonts w:ascii="Times New Roman" w:hAnsi="Times New Roman"/>
                <w:b/>
                <w:szCs w:val="24"/>
              </w:rPr>
            </w:pPr>
            <w:r w:rsidRPr="0047619B">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151184E0" w14:textId="77777777">
            <w:pPr>
              <w:jc w:val="center"/>
              <w:rPr>
                <w:rFonts w:ascii="Times New Roman" w:hAnsi="Times New Roman"/>
                <w:b/>
                <w:szCs w:val="24"/>
              </w:rPr>
            </w:pPr>
            <w:r w:rsidRPr="0047619B">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5C235014" w14:textId="77777777">
            <w:pPr>
              <w:jc w:val="center"/>
              <w:rPr>
                <w:rFonts w:ascii="Times New Roman" w:hAnsi="Times New Roman"/>
                <w:b/>
                <w:szCs w:val="24"/>
              </w:rPr>
            </w:pPr>
            <w:r w:rsidRPr="0047619B">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47619B" w:rsidR="008142F5" w:rsidP="00CD7BB6" w:rsidRDefault="008142F5" w14:paraId="51C3ECC6" w14:textId="77777777">
            <w:pPr>
              <w:jc w:val="center"/>
              <w:rPr>
                <w:rFonts w:ascii="Times New Roman" w:hAnsi="Times New Roman"/>
                <w:b/>
                <w:szCs w:val="24"/>
              </w:rPr>
            </w:pPr>
            <w:r w:rsidRPr="0047619B">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645F5C24" w14:textId="77777777">
            <w:pPr>
              <w:jc w:val="center"/>
              <w:rPr>
                <w:rFonts w:ascii="Times New Roman" w:hAnsi="Times New Roman"/>
                <w:b/>
                <w:szCs w:val="24"/>
              </w:rPr>
            </w:pPr>
            <w:r w:rsidRPr="0047619B">
              <w:rPr>
                <w:rFonts w:ascii="Times New Roman" w:hAnsi="Times New Roman"/>
                <w:b/>
                <w:szCs w:val="24"/>
              </w:rPr>
              <w:t>Total Burden hours</w:t>
            </w:r>
          </w:p>
        </w:tc>
      </w:tr>
      <w:tr w:rsidRPr="0047619B" w:rsidR="008142F5" w:rsidTr="00CD7BB6" w14:paraId="201A2280"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03FA3B11" w14:textId="77777777">
            <w:pPr>
              <w:rPr>
                <w:rFonts w:ascii="Times New Roman" w:hAnsi="Times New Roman"/>
                <w:szCs w:val="24"/>
              </w:rPr>
            </w:pPr>
            <w:r w:rsidRPr="0047619B">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619B" w:rsidR="008142F5" w:rsidP="00CD7BB6" w:rsidRDefault="008142F5" w14:paraId="31B8B3D3" w14:textId="77777777">
            <w:pPr>
              <w:tabs>
                <w:tab w:val="left" w:pos="-1080"/>
                <w:tab w:val="left" w:pos="-720"/>
                <w:tab w:val="left" w:pos="0"/>
                <w:tab w:val="left" w:pos="450"/>
                <w:tab w:val="left" w:pos="720"/>
                <w:tab w:val="left" w:pos="2160"/>
              </w:tabs>
              <w:jc w:val="right"/>
              <w:rPr>
                <w:sz w:val="20"/>
              </w:rPr>
            </w:pPr>
            <w:r w:rsidRPr="0047619B">
              <w:rPr>
                <w:sz w:val="20"/>
              </w:rPr>
              <w:t>1000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15D7656B" w14:textId="77777777">
            <w:pPr>
              <w:jc w:val="center"/>
              <w:rPr>
                <w:rFonts w:ascii="Times New Roman" w:hAnsi="Times New Roman"/>
                <w:szCs w:val="24"/>
              </w:rPr>
            </w:pPr>
            <w:r w:rsidRPr="0047619B">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47619B" w:rsidR="008142F5" w:rsidP="00CD7BB6" w:rsidRDefault="008142F5" w14:paraId="035A8374" w14:textId="77777777">
            <w:pPr>
              <w:jc w:val="center"/>
              <w:rPr>
                <w:rFonts w:ascii="Times New Roman" w:hAnsi="Times New Roman"/>
                <w:szCs w:val="24"/>
              </w:rPr>
            </w:pPr>
            <w:r w:rsidRPr="0047619B">
              <w:rPr>
                <w:rFonts w:ascii="Times New Roman" w:hAnsi="Times New Roman"/>
                <w:szCs w:val="24"/>
              </w:rPr>
              <w:t>.5</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619B" w:rsidR="008142F5" w:rsidP="00CD7BB6" w:rsidRDefault="008142F5" w14:paraId="4271BADA" w14:textId="77777777">
            <w:pPr>
              <w:tabs>
                <w:tab w:val="left" w:pos="-1080"/>
                <w:tab w:val="left" w:pos="-720"/>
                <w:tab w:val="left" w:pos="0"/>
                <w:tab w:val="left" w:pos="450"/>
                <w:tab w:val="left" w:pos="720"/>
                <w:tab w:val="left" w:pos="2160"/>
              </w:tabs>
              <w:jc w:val="right"/>
              <w:rPr>
                <w:sz w:val="20"/>
              </w:rPr>
            </w:pPr>
            <w:r w:rsidRPr="0047619B">
              <w:rPr>
                <w:sz w:val="20"/>
              </w:rPr>
              <w:t>500</w:t>
            </w:r>
          </w:p>
        </w:tc>
      </w:tr>
      <w:tr w:rsidRPr="0047619B" w:rsidR="008142F5" w:rsidTr="00CD7BB6" w14:paraId="342A6FC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25AA5228" w14:textId="77777777">
            <w:pPr>
              <w:rPr>
                <w:rFonts w:ascii="Times New Roman" w:hAnsi="Times New Roman"/>
                <w:szCs w:val="24"/>
              </w:rPr>
            </w:pPr>
            <w:r w:rsidRPr="0047619B">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619B" w:rsidR="008142F5" w:rsidP="00CD7BB6" w:rsidRDefault="008142F5" w14:paraId="121E9137" w14:textId="77777777">
            <w:pPr>
              <w:tabs>
                <w:tab w:val="left" w:pos="-1080"/>
                <w:tab w:val="left" w:pos="-720"/>
                <w:tab w:val="left" w:pos="0"/>
                <w:tab w:val="left" w:pos="450"/>
                <w:tab w:val="left" w:pos="720"/>
                <w:tab w:val="left" w:pos="2160"/>
              </w:tabs>
              <w:jc w:val="right"/>
              <w:rPr>
                <w:sz w:val="20"/>
              </w:rPr>
            </w:pPr>
            <w:r w:rsidRPr="0047619B">
              <w:rPr>
                <w:sz w:val="20"/>
              </w:rPr>
              <w:t>100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39B5A5CD" w14:textId="77777777">
            <w:pPr>
              <w:jc w:val="center"/>
              <w:rPr>
                <w:rFonts w:ascii="Times New Roman" w:hAnsi="Times New Roman"/>
                <w:szCs w:val="24"/>
              </w:rPr>
            </w:pPr>
            <w:r w:rsidRPr="0047619B">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47619B" w:rsidR="008142F5" w:rsidP="00CD7BB6" w:rsidRDefault="008142F5" w14:paraId="08A67381" w14:textId="77777777">
            <w:pPr>
              <w:jc w:val="center"/>
              <w:rPr>
                <w:rFonts w:ascii="Times New Roman" w:hAnsi="Times New Roman"/>
                <w:szCs w:val="24"/>
              </w:rPr>
            </w:pPr>
            <w:r w:rsidRPr="0047619B">
              <w:rPr>
                <w:rFonts w:ascii="Times New Roman" w:hAnsi="Times New Roman"/>
                <w:szCs w:val="24"/>
              </w:rPr>
              <w:t>1</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619B" w:rsidR="008142F5" w:rsidP="00CD7BB6" w:rsidRDefault="008142F5" w14:paraId="74A9E105" w14:textId="77777777">
            <w:pPr>
              <w:tabs>
                <w:tab w:val="left" w:pos="-1080"/>
                <w:tab w:val="left" w:pos="-720"/>
                <w:tab w:val="left" w:pos="0"/>
                <w:tab w:val="left" w:pos="450"/>
                <w:tab w:val="left" w:pos="720"/>
                <w:tab w:val="left" w:pos="2160"/>
              </w:tabs>
              <w:jc w:val="right"/>
              <w:rPr>
                <w:sz w:val="20"/>
              </w:rPr>
            </w:pPr>
            <w:r w:rsidRPr="0047619B">
              <w:rPr>
                <w:sz w:val="20"/>
              </w:rPr>
              <w:t>100</w:t>
            </w:r>
          </w:p>
        </w:tc>
      </w:tr>
      <w:tr w:rsidRPr="0047619B" w:rsidR="008142F5" w:rsidTr="00CD7BB6" w14:paraId="3099F836"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5B0E3187" w14:textId="77777777">
            <w:pPr>
              <w:rPr>
                <w:rFonts w:ascii="Times New Roman" w:hAnsi="Times New Roman"/>
                <w:szCs w:val="24"/>
              </w:rPr>
            </w:pPr>
            <w:r w:rsidRPr="0047619B">
              <w:rPr>
                <w:rFonts w:ascii="Times New Roman" w:hAnsi="Times New Roman"/>
                <w:szCs w:val="24"/>
              </w:rPr>
              <w:lastRenderedPageBreak/>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619B" w:rsidR="008142F5" w:rsidP="00CD7BB6" w:rsidRDefault="008142F5" w14:paraId="4A8EEFE5" w14:textId="77777777">
            <w:pPr>
              <w:jc w:val="right"/>
              <w:rPr>
                <w:sz w:val="20"/>
              </w:rPr>
            </w:pPr>
            <w:r w:rsidRPr="0047619B">
              <w:rPr>
                <w:sz w:val="20"/>
              </w:rPr>
              <w:t>1,000,000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6895F496" w14:textId="77777777">
            <w:pPr>
              <w:jc w:val="center"/>
              <w:rPr>
                <w:rFonts w:ascii="Times New Roman" w:hAnsi="Times New Roman"/>
                <w:szCs w:val="24"/>
              </w:rPr>
            </w:pPr>
            <w:r w:rsidRPr="0047619B">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47619B" w:rsidR="008142F5" w:rsidP="00CD7BB6" w:rsidRDefault="008142F5" w14:paraId="5BD51ADF" w14:textId="77777777">
            <w:pPr>
              <w:jc w:val="center"/>
              <w:rPr>
                <w:rFonts w:ascii="Times New Roman" w:hAnsi="Times New Roman"/>
                <w:szCs w:val="24"/>
              </w:rPr>
            </w:pPr>
            <w:r w:rsidRPr="0047619B">
              <w:rPr>
                <w:rFonts w:ascii="Times New Roman" w:hAnsi="Times New Roman"/>
                <w:szCs w:val="24"/>
              </w:rPr>
              <w:t>.25</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619B" w:rsidR="008142F5" w:rsidP="00CD7BB6" w:rsidRDefault="008142F5" w14:paraId="1974CAEF" w14:textId="77777777">
            <w:pPr>
              <w:tabs>
                <w:tab w:val="left" w:pos="-1080"/>
                <w:tab w:val="left" w:pos="-720"/>
                <w:tab w:val="left" w:pos="0"/>
                <w:tab w:val="left" w:pos="450"/>
                <w:tab w:val="left" w:pos="720"/>
                <w:tab w:val="left" w:pos="2160"/>
              </w:tabs>
              <w:jc w:val="right"/>
              <w:rPr>
                <w:sz w:val="20"/>
              </w:rPr>
            </w:pPr>
            <w:r w:rsidRPr="0047619B">
              <w:rPr>
                <w:sz w:val="20"/>
              </w:rPr>
              <w:t>250,000</w:t>
            </w:r>
          </w:p>
        </w:tc>
      </w:tr>
      <w:tr w:rsidRPr="0047619B" w:rsidR="008142F5" w:rsidTr="00CD7BB6" w14:paraId="60597AA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1DD3EABD" w14:textId="77777777">
            <w:pPr>
              <w:rPr>
                <w:rFonts w:ascii="Times New Roman" w:hAnsi="Times New Roman"/>
                <w:szCs w:val="24"/>
              </w:rPr>
            </w:pPr>
            <w:r w:rsidRPr="0047619B">
              <w:rPr>
                <w:rFonts w:ascii="Times New Roman" w:hAnsi="Times New Roman"/>
                <w:szCs w:val="24"/>
              </w:rPr>
              <w:t>User Testing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619B" w:rsidR="008142F5" w:rsidP="00CD7BB6" w:rsidRDefault="008142F5" w14:paraId="65E11433" w14:textId="77777777">
            <w:pPr>
              <w:jc w:val="right"/>
              <w:rPr>
                <w:sz w:val="20"/>
              </w:rPr>
            </w:pPr>
            <w:r w:rsidRPr="0047619B">
              <w:rPr>
                <w:sz w:val="20"/>
              </w:rPr>
              <w:t>8,000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06D0C392" w14:textId="77777777">
            <w:pPr>
              <w:jc w:val="center"/>
              <w:rPr>
                <w:rFonts w:ascii="Times New Roman" w:hAnsi="Times New Roman"/>
                <w:szCs w:val="24"/>
              </w:rPr>
            </w:pPr>
            <w:r w:rsidRPr="0047619B">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47619B" w:rsidR="008142F5" w:rsidP="00CD7BB6" w:rsidRDefault="008142F5" w14:paraId="11EB5FC1" w14:textId="77777777">
            <w:pPr>
              <w:jc w:val="center"/>
              <w:rPr>
                <w:rFonts w:ascii="Times New Roman" w:hAnsi="Times New Roman"/>
                <w:szCs w:val="24"/>
              </w:rPr>
            </w:pPr>
            <w:r w:rsidRPr="0047619B">
              <w:rPr>
                <w:rFonts w:ascii="Times New Roman" w:hAnsi="Times New Roman"/>
                <w:szCs w:val="24"/>
              </w:rPr>
              <w:t>.25</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619B" w:rsidR="008142F5" w:rsidP="00CD7BB6" w:rsidRDefault="008142F5" w14:paraId="0DC52CEF" w14:textId="77777777">
            <w:pPr>
              <w:tabs>
                <w:tab w:val="left" w:pos="-1080"/>
                <w:tab w:val="left" w:pos="-720"/>
                <w:tab w:val="left" w:pos="0"/>
                <w:tab w:val="left" w:pos="450"/>
                <w:tab w:val="left" w:pos="720"/>
                <w:tab w:val="left" w:pos="2160"/>
              </w:tabs>
              <w:jc w:val="right"/>
              <w:rPr>
                <w:sz w:val="20"/>
              </w:rPr>
            </w:pPr>
            <w:r w:rsidRPr="0047619B">
              <w:rPr>
                <w:sz w:val="20"/>
              </w:rPr>
              <w:t>2,000</w:t>
            </w:r>
          </w:p>
        </w:tc>
      </w:tr>
      <w:tr w:rsidRPr="0047619B" w:rsidR="008142F5" w:rsidTr="00CD7BB6" w14:paraId="30023E13"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63C44558" w14:textId="77777777">
            <w:pPr>
              <w:rPr>
                <w:rFonts w:ascii="Times New Roman" w:hAnsi="Times New Roman"/>
                <w:bCs/>
                <w:szCs w:val="24"/>
              </w:rPr>
            </w:pPr>
            <w:r w:rsidRPr="0047619B">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619B" w:rsidR="008142F5" w:rsidP="00CD7BB6" w:rsidRDefault="008142F5" w14:paraId="7BA51C87" w14:textId="77777777">
            <w:pPr>
              <w:jc w:val="right"/>
              <w:rPr>
                <w:sz w:val="20"/>
              </w:rPr>
            </w:pPr>
            <w:r w:rsidRPr="0047619B">
              <w:rPr>
                <w:sz w:val="20"/>
              </w:rPr>
              <w:t>750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084465E6" w14:textId="77777777">
            <w:pPr>
              <w:jc w:val="center"/>
              <w:rPr>
                <w:rFonts w:ascii="Times New Roman" w:hAnsi="Times New Roman"/>
                <w:szCs w:val="24"/>
              </w:rPr>
            </w:pPr>
            <w:r w:rsidRPr="0047619B">
              <w:rPr>
                <w:rFonts w:ascii="Times New Roman" w:hAnsi="Times New Roman"/>
                <w:szCs w:val="24"/>
              </w:rPr>
              <w:t>1</w:t>
            </w:r>
          </w:p>
        </w:tc>
        <w:tc>
          <w:tcPr>
            <w:tcW w:w="1080" w:type="dxa"/>
            <w:tcBorders>
              <w:top w:val="nil"/>
              <w:left w:val="nil"/>
              <w:bottom w:val="single" w:color="auto" w:sz="8" w:space="0"/>
              <w:right w:val="single" w:color="auto" w:sz="8" w:space="0"/>
            </w:tcBorders>
          </w:tcPr>
          <w:p w:rsidRPr="0047619B" w:rsidR="008142F5" w:rsidP="00CD7BB6" w:rsidRDefault="008142F5" w14:paraId="4305EFF6" w14:textId="77777777">
            <w:pPr>
              <w:jc w:val="center"/>
              <w:rPr>
                <w:rFonts w:ascii="Times New Roman" w:hAnsi="Times New Roman"/>
                <w:bCs/>
                <w:szCs w:val="24"/>
              </w:rPr>
            </w:pPr>
            <w:r w:rsidRPr="0047619B">
              <w:rPr>
                <w:rFonts w:ascii="Times New Roman" w:hAnsi="Times New Roman"/>
                <w:bCs/>
                <w:szCs w:val="24"/>
              </w:rPr>
              <w:t>.5</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619B" w:rsidR="008142F5" w:rsidP="00CD7BB6" w:rsidRDefault="008142F5" w14:paraId="55D38E2D" w14:textId="77777777">
            <w:pPr>
              <w:tabs>
                <w:tab w:val="left" w:pos="-1080"/>
                <w:tab w:val="left" w:pos="-720"/>
                <w:tab w:val="left" w:pos="0"/>
                <w:tab w:val="left" w:pos="450"/>
                <w:tab w:val="left" w:pos="720"/>
                <w:tab w:val="left" w:pos="2160"/>
              </w:tabs>
              <w:jc w:val="right"/>
              <w:rPr>
                <w:sz w:val="20"/>
              </w:rPr>
            </w:pPr>
            <w:r w:rsidRPr="0047619B">
              <w:rPr>
                <w:sz w:val="20"/>
              </w:rPr>
              <w:t>375</w:t>
            </w:r>
          </w:p>
        </w:tc>
      </w:tr>
      <w:tr w:rsidRPr="0047619B" w:rsidR="008142F5" w:rsidTr="00CD7BB6" w14:paraId="4DAFABAD"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61141DB1" w14:textId="77777777">
            <w:pPr>
              <w:rPr>
                <w:rFonts w:ascii="Times New Roman" w:hAnsi="Times New Roman"/>
                <w:szCs w:val="24"/>
              </w:rPr>
            </w:pPr>
            <w:r w:rsidRPr="0047619B">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619B" w:rsidR="008142F5" w:rsidP="00CD7BB6" w:rsidRDefault="008142F5" w14:paraId="5BC3F161" w14:textId="77777777">
            <w:pPr>
              <w:jc w:val="right"/>
              <w:rPr>
                <w:sz w:val="20"/>
              </w:rPr>
            </w:pPr>
            <w:bookmarkStart w:name="_Hlk54093448" w:id="1"/>
            <w:r w:rsidRPr="0047619B">
              <w:rPr>
                <w:sz w:val="20"/>
              </w:rPr>
              <w:t>1,009,850</w:t>
            </w:r>
            <w:bookmarkEnd w:id="1"/>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619B" w:rsidR="008142F5" w:rsidP="00CD7BB6" w:rsidRDefault="008142F5" w14:paraId="07100D87" w14:textId="77777777">
            <w:pPr>
              <w:jc w:val="center"/>
              <w:rPr>
                <w:rFonts w:ascii="Times New Roman" w:hAnsi="Times New Roman"/>
                <w:szCs w:val="24"/>
              </w:rPr>
            </w:pPr>
            <w:proofErr w:type="spellStart"/>
            <w:r w:rsidRPr="0047619B">
              <w:rPr>
                <w:rFonts w:ascii="Times New Roman" w:hAnsi="Times New Roman"/>
                <w:szCs w:val="24"/>
              </w:rPr>
              <w:t>na</w:t>
            </w:r>
            <w:proofErr w:type="spellEnd"/>
          </w:p>
        </w:tc>
        <w:tc>
          <w:tcPr>
            <w:tcW w:w="1080" w:type="dxa"/>
            <w:tcBorders>
              <w:top w:val="nil"/>
              <w:left w:val="nil"/>
              <w:bottom w:val="single" w:color="auto" w:sz="8" w:space="0"/>
              <w:right w:val="single" w:color="auto" w:sz="8" w:space="0"/>
            </w:tcBorders>
          </w:tcPr>
          <w:p w:rsidRPr="0047619B" w:rsidR="008142F5" w:rsidP="00CD7BB6" w:rsidRDefault="008142F5" w14:paraId="0DE3AE1E" w14:textId="77777777">
            <w:pPr>
              <w:jc w:val="center"/>
              <w:rPr>
                <w:rFonts w:ascii="Times New Roman" w:hAnsi="Times New Roman"/>
                <w:bCs/>
                <w:szCs w:val="24"/>
              </w:rPr>
            </w:pPr>
            <w:proofErr w:type="spellStart"/>
            <w:r w:rsidRPr="0047619B">
              <w:rPr>
                <w:rFonts w:ascii="Times New Roman" w:hAnsi="Times New Roman"/>
                <w:bCs/>
                <w:szCs w:val="24"/>
              </w:rPr>
              <w:t>na</w:t>
            </w:r>
            <w:proofErr w:type="spellEnd"/>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619B" w:rsidR="008142F5" w:rsidP="00CD7BB6" w:rsidRDefault="008142F5" w14:paraId="729B5F9B" w14:textId="77777777">
            <w:pPr>
              <w:tabs>
                <w:tab w:val="left" w:pos="-1080"/>
                <w:tab w:val="left" w:pos="-720"/>
                <w:tab w:val="left" w:pos="0"/>
                <w:tab w:val="left" w:pos="450"/>
                <w:tab w:val="left" w:pos="720"/>
                <w:tab w:val="left" w:pos="2160"/>
              </w:tabs>
              <w:jc w:val="right"/>
              <w:rPr>
                <w:sz w:val="20"/>
              </w:rPr>
            </w:pPr>
            <w:bookmarkStart w:name="_Hlk54079148" w:id="2"/>
            <w:r w:rsidRPr="0047619B">
              <w:rPr>
                <w:sz w:val="20"/>
              </w:rPr>
              <w:t>252,975</w:t>
            </w:r>
            <w:bookmarkEnd w:id="2"/>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8142F5" w:rsidP="008142F5" w:rsidRDefault="008142F5" w14:paraId="55B1D208" w14:textId="57CCE8E3">
      <w:pPr>
        <w:overflowPunct w:val="0"/>
        <w:autoSpaceDE w:val="0"/>
        <w:autoSpaceDN w:val="0"/>
        <w:adjustRightInd w:val="0"/>
        <w:ind w:left="360"/>
        <w:textAlignment w:val="baseline"/>
        <w:rPr>
          <w:rFonts w:ascii="Times New Roman" w:hAnsi="Times New Roman" w:eastAsia="MS Mincho"/>
        </w:rPr>
      </w:pPr>
      <w:r w:rsidRPr="0047619B">
        <w:rPr>
          <w:rFonts w:ascii="Times New Roman" w:hAnsi="Times New Roman" w:eastAsia="MS Mincho"/>
        </w:rPr>
        <w:t>The total estimated annual cost to OPM for the A</w:t>
      </w:r>
      <w:r>
        <w:rPr>
          <w:rFonts w:ascii="Times New Roman" w:hAnsi="Times New Roman" w:eastAsia="MS Mincho"/>
        </w:rPr>
        <w:t>-</w:t>
      </w:r>
      <w:r w:rsidRPr="0047619B">
        <w:rPr>
          <w:rFonts w:ascii="Times New Roman" w:hAnsi="Times New Roman" w:eastAsia="MS Mincho"/>
        </w:rPr>
        <w:t>11, Section 28</w:t>
      </w:r>
      <w:r>
        <w:rPr>
          <w:rFonts w:ascii="Times New Roman" w:hAnsi="Times New Roman" w:eastAsia="MS Mincho"/>
        </w:rPr>
        <w:t>0</w:t>
      </w:r>
      <w:r w:rsidRPr="0047619B">
        <w:rPr>
          <w:rFonts w:ascii="Times New Roman" w:hAnsi="Times New Roman" w:eastAsia="MS Mincho"/>
        </w:rPr>
        <w:t xml:space="preserve"> Implementation Activities is </w:t>
      </w:r>
      <w:bookmarkStart w:name="_Hlk54783921" w:id="3"/>
      <w:r w:rsidRPr="0047619B">
        <w:rPr>
          <w:rFonts w:ascii="Times New Roman" w:hAnsi="Times New Roman" w:eastAsia="MS Mincho"/>
        </w:rPr>
        <w:t>$14,527,495.63</w:t>
      </w:r>
      <w:bookmarkEnd w:id="3"/>
      <w:r w:rsidRPr="0047619B">
        <w:rPr>
          <w:rFonts w:ascii="Times New Roman" w:hAnsi="Times New Roman" w:eastAsia="MS Mincho"/>
        </w:rPr>
        <w:t xml:space="preserve">, as explained below. </w:t>
      </w:r>
    </w:p>
    <w:p w:rsidRPr="0047619B" w:rsidR="008142F5" w:rsidP="008142F5" w:rsidRDefault="008142F5" w14:paraId="420EDB03" w14:textId="77777777">
      <w:pPr>
        <w:overflowPunct w:val="0"/>
        <w:autoSpaceDE w:val="0"/>
        <w:autoSpaceDN w:val="0"/>
        <w:adjustRightInd w:val="0"/>
        <w:ind w:left="360"/>
        <w:textAlignment w:val="baseline"/>
        <w:rPr>
          <w:rFonts w:ascii="Times New Roman" w:hAnsi="Times New Roman" w:eastAsia="MS Mincho"/>
          <w:b/>
        </w:rPr>
      </w:pPr>
      <w:r w:rsidRPr="0047619B">
        <w:rPr>
          <w:rFonts w:ascii="Times New Roman" w:hAnsi="Times New Roman" w:eastAsia="MS Mincho"/>
          <w:b/>
        </w:rPr>
        <w:lastRenderedPageBreak/>
        <w:t>OPM’s Estimated Costs for Customer Interviews, Focus Groups, User Testing (Rapid Feedback), and User Testing (Deep Dive)</w:t>
      </w:r>
    </w:p>
    <w:p w:rsidRPr="0047619B" w:rsidR="008142F5" w:rsidP="008142F5" w:rsidRDefault="008142F5" w14:paraId="4EF4D509" w14:textId="77777777">
      <w:pPr>
        <w:overflowPunct w:val="0"/>
        <w:autoSpaceDE w:val="0"/>
        <w:autoSpaceDN w:val="0"/>
        <w:adjustRightInd w:val="0"/>
        <w:ind w:left="360"/>
        <w:textAlignment w:val="baseline"/>
        <w:rPr>
          <w:rFonts w:ascii="Times New Roman" w:hAnsi="Times New Roman" w:eastAsia="MS Mincho"/>
          <w:b/>
        </w:rPr>
      </w:pPr>
    </w:p>
    <w:p w:rsidRPr="0047619B" w:rsidR="008142F5" w:rsidP="008142F5" w:rsidRDefault="008142F5" w14:paraId="219D9708" w14:textId="77777777">
      <w:pPr>
        <w:overflowPunct w:val="0"/>
        <w:autoSpaceDE w:val="0"/>
        <w:autoSpaceDN w:val="0"/>
        <w:adjustRightInd w:val="0"/>
        <w:ind w:left="360"/>
        <w:textAlignment w:val="baseline"/>
        <w:rPr>
          <w:rFonts w:ascii="Times New Roman" w:hAnsi="Times New Roman" w:eastAsia="MS Mincho"/>
        </w:rPr>
      </w:pPr>
      <w:r w:rsidRPr="0047619B">
        <w:rPr>
          <w:rFonts w:ascii="Times New Roman" w:hAnsi="Times New Roman" w:eastAsia="MS Mincho"/>
        </w:rPr>
        <w:t>The total annual estimated cost to OPM for Customer Interviews, Focus Groups, User Testing (Rapid Feedback), and User Testing (Deep Dive) is $6,353,250.00, detailed as follows:</w:t>
      </w:r>
    </w:p>
    <w:p w:rsidRPr="0047619B" w:rsidR="008142F5" w:rsidP="008142F5" w:rsidRDefault="008142F5" w14:paraId="35B7E2CD" w14:textId="77777777">
      <w:pPr>
        <w:overflowPunct w:val="0"/>
        <w:autoSpaceDE w:val="0"/>
        <w:autoSpaceDN w:val="0"/>
        <w:adjustRightInd w:val="0"/>
        <w:ind w:left="360"/>
        <w:textAlignment w:val="baseline"/>
        <w:rPr>
          <w:rFonts w:ascii="Times New Roman" w:hAnsi="Times New Roman" w:eastAsia="MS Mincho"/>
        </w:rPr>
      </w:pPr>
    </w:p>
    <w:p w:rsidRPr="0047619B" w:rsidR="008142F5" w:rsidP="008142F5" w:rsidRDefault="008142F5" w14:paraId="6A84A497" w14:textId="77777777">
      <w:pPr>
        <w:overflowPunct w:val="0"/>
        <w:autoSpaceDE w:val="0"/>
        <w:autoSpaceDN w:val="0"/>
        <w:adjustRightInd w:val="0"/>
        <w:ind w:left="360"/>
        <w:textAlignment w:val="baseline"/>
        <w:rPr>
          <w:rFonts w:ascii="Times New Roman" w:hAnsi="Times New Roman" w:eastAsia="MS Mincho"/>
        </w:rPr>
      </w:pPr>
    </w:p>
    <w:p w:rsidRPr="0047619B" w:rsidR="008142F5" w:rsidP="008142F5" w:rsidRDefault="008142F5" w14:paraId="7DAB380D" w14:textId="77777777">
      <w:pPr>
        <w:overflowPunct w:val="0"/>
        <w:autoSpaceDE w:val="0"/>
        <w:autoSpaceDN w:val="0"/>
        <w:adjustRightInd w:val="0"/>
        <w:ind w:left="360"/>
        <w:textAlignment w:val="baseline"/>
        <w:rPr>
          <w:rFonts w:ascii="Times New Roman" w:hAnsi="Times New Roman" w:eastAsia="MS Mincho"/>
        </w:rPr>
      </w:pPr>
    </w:p>
    <w:p w:rsidRPr="0047619B" w:rsidR="008142F5" w:rsidP="008142F5" w:rsidRDefault="008142F5" w14:paraId="2C924CF3" w14:textId="77777777">
      <w:pPr>
        <w:pStyle w:val="ListParagraph"/>
        <w:numPr>
          <w:ilvl w:val="0"/>
          <w:numId w:val="20"/>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We estimate an average of 9,850 respondents per year (see table above)</w:t>
      </w:r>
    </w:p>
    <w:p w:rsidRPr="0047619B" w:rsidR="008142F5" w:rsidP="008142F5" w:rsidRDefault="008142F5" w14:paraId="039ED46E" w14:textId="77777777">
      <w:pPr>
        <w:pStyle w:val="ListParagraph"/>
        <w:numPr>
          <w:ilvl w:val="0"/>
          <w:numId w:val="20"/>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We estimate an average of 4.30 labor hours per research session, which includes</w:t>
      </w:r>
    </w:p>
    <w:p w:rsidRPr="0047619B" w:rsidR="008142F5" w:rsidP="008142F5" w:rsidRDefault="008142F5" w14:paraId="7F4844BE" w14:textId="77777777">
      <w:pPr>
        <w:pStyle w:val="ListParagraph"/>
        <w:numPr>
          <w:ilvl w:val="1"/>
          <w:numId w:val="20"/>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an estimated average of .30 hour per respondent research session (see table above)</w:t>
      </w:r>
    </w:p>
    <w:p w:rsidRPr="0047619B" w:rsidR="008142F5" w:rsidP="008142F5" w:rsidRDefault="008142F5" w14:paraId="1282237D" w14:textId="77777777">
      <w:pPr>
        <w:pStyle w:val="ListParagraph"/>
        <w:numPr>
          <w:ilvl w:val="1"/>
          <w:numId w:val="20"/>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an estimated 2 hours of research planning and 2 hours of research analysis and synthesis per respondent research session</w:t>
      </w:r>
    </w:p>
    <w:p w:rsidRPr="0047619B" w:rsidR="008142F5" w:rsidP="008142F5" w:rsidRDefault="008142F5" w14:paraId="25982CA2" w14:textId="77777777">
      <w:pPr>
        <w:pStyle w:val="ListParagraph"/>
        <w:numPr>
          <w:ilvl w:val="0"/>
          <w:numId w:val="20"/>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 xml:space="preserve">We estimate an average cost of $150.00 per labor hour of </w:t>
      </w:r>
      <w:proofErr w:type="gramStart"/>
      <w:r w:rsidRPr="0047619B">
        <w:rPr>
          <w:rFonts w:ascii="Times New Roman" w:hAnsi="Times New Roman" w:eastAsia="MS Mincho"/>
        </w:rPr>
        <w:t>research ,</w:t>
      </w:r>
      <w:proofErr w:type="gramEnd"/>
      <w:r w:rsidRPr="0047619B">
        <w:rPr>
          <w:rFonts w:ascii="Times New Roman" w:hAnsi="Times New Roman" w:eastAsia="MS Mincho"/>
        </w:rPr>
        <w:t xml:space="preserve"> based on federal contracting rates for </w:t>
      </w:r>
      <w:r>
        <w:rPr>
          <w:rFonts w:ascii="Times New Roman" w:hAnsi="Times New Roman" w:eastAsia="MS Mincho"/>
        </w:rPr>
        <w:t>User Experience (</w:t>
      </w:r>
      <w:r w:rsidRPr="0047619B">
        <w:rPr>
          <w:rFonts w:ascii="Times New Roman" w:hAnsi="Times New Roman" w:eastAsia="MS Mincho"/>
        </w:rPr>
        <w:t>UX</w:t>
      </w:r>
      <w:r>
        <w:rPr>
          <w:rFonts w:ascii="Times New Roman" w:hAnsi="Times New Roman" w:eastAsia="MS Mincho"/>
        </w:rPr>
        <w:t>)</w:t>
      </w:r>
      <w:r w:rsidRPr="0047619B">
        <w:rPr>
          <w:rFonts w:ascii="Times New Roman" w:hAnsi="Times New Roman" w:eastAsia="MS Mincho"/>
        </w:rPr>
        <w:t xml:space="preserve"> designers/researchers, who will be doing most of this work for OPM.</w:t>
      </w:r>
    </w:p>
    <w:p w:rsidRPr="0047619B" w:rsidR="008142F5" w:rsidP="008142F5" w:rsidRDefault="008142F5" w14:paraId="59F4FB7F" w14:textId="77777777">
      <w:pPr>
        <w:overflowPunct w:val="0"/>
        <w:autoSpaceDE w:val="0"/>
        <w:autoSpaceDN w:val="0"/>
        <w:adjustRightInd w:val="0"/>
        <w:ind w:left="360"/>
        <w:textAlignment w:val="baseline"/>
        <w:rPr>
          <w:rFonts w:ascii="Times New Roman" w:hAnsi="Times New Roman" w:eastAsia="MS Mincho"/>
        </w:rPr>
      </w:pPr>
    </w:p>
    <w:p w:rsidRPr="0047619B" w:rsidR="008142F5" w:rsidP="008142F5" w:rsidRDefault="008142F5" w14:paraId="26611D44" w14:textId="77777777">
      <w:pPr>
        <w:overflowPunct w:val="0"/>
        <w:autoSpaceDE w:val="0"/>
        <w:autoSpaceDN w:val="0"/>
        <w:adjustRightInd w:val="0"/>
        <w:ind w:left="360"/>
        <w:textAlignment w:val="baseline"/>
        <w:rPr>
          <w:rFonts w:ascii="Times New Roman" w:hAnsi="Times New Roman" w:eastAsia="MS Mincho"/>
          <w:b/>
          <w:bCs/>
        </w:rPr>
      </w:pPr>
      <w:r w:rsidRPr="0047619B">
        <w:rPr>
          <w:rFonts w:ascii="Times New Roman" w:hAnsi="Times New Roman" w:eastAsia="MS Mincho"/>
          <w:b/>
          <w:bCs/>
        </w:rPr>
        <w:t>Customer Experience Surveys</w:t>
      </w:r>
    </w:p>
    <w:p w:rsidRPr="0047619B" w:rsidR="008142F5" w:rsidP="008142F5" w:rsidRDefault="008142F5" w14:paraId="76AC8348" w14:textId="77777777">
      <w:pPr>
        <w:overflowPunct w:val="0"/>
        <w:autoSpaceDE w:val="0"/>
        <w:autoSpaceDN w:val="0"/>
        <w:adjustRightInd w:val="0"/>
        <w:ind w:left="360"/>
        <w:textAlignment w:val="baseline"/>
        <w:rPr>
          <w:rFonts w:ascii="Times New Roman" w:hAnsi="Times New Roman" w:eastAsia="MS Mincho"/>
          <w:b/>
          <w:bCs/>
        </w:rPr>
      </w:pPr>
    </w:p>
    <w:p w:rsidRPr="0047619B" w:rsidR="008142F5" w:rsidP="008142F5" w:rsidRDefault="008142F5" w14:paraId="5335493B" w14:textId="77777777">
      <w:pPr>
        <w:overflowPunct w:val="0"/>
        <w:autoSpaceDE w:val="0"/>
        <w:autoSpaceDN w:val="0"/>
        <w:adjustRightInd w:val="0"/>
        <w:ind w:left="360"/>
        <w:textAlignment w:val="baseline"/>
        <w:rPr>
          <w:rFonts w:ascii="Times New Roman" w:hAnsi="Times New Roman" w:eastAsia="MS Mincho"/>
        </w:rPr>
      </w:pPr>
      <w:r w:rsidRPr="0047619B">
        <w:rPr>
          <w:rFonts w:ascii="Times New Roman" w:hAnsi="Times New Roman" w:eastAsia="MS Mincho"/>
        </w:rPr>
        <w:t xml:space="preserve">The total annual estimated cost to OPM for Customer Experience Surveys is </w:t>
      </w:r>
      <w:bookmarkStart w:name="_Hlk54601745" w:id="4"/>
      <w:r w:rsidRPr="0047619B">
        <w:rPr>
          <w:rFonts w:ascii="Times New Roman" w:hAnsi="Times New Roman" w:eastAsia="MS Mincho"/>
        </w:rPr>
        <w:t xml:space="preserve">$8,174,245.63, </w:t>
      </w:r>
      <w:bookmarkEnd w:id="4"/>
      <w:r w:rsidRPr="0047619B">
        <w:rPr>
          <w:rFonts w:ascii="Times New Roman" w:hAnsi="Times New Roman" w:eastAsia="MS Mincho"/>
        </w:rPr>
        <w:t>detailed as follows:</w:t>
      </w:r>
    </w:p>
    <w:p w:rsidRPr="0047619B" w:rsidR="008142F5" w:rsidP="008142F5" w:rsidRDefault="008142F5" w14:paraId="3E4741D0" w14:textId="77777777">
      <w:pPr>
        <w:pStyle w:val="ListParagraph"/>
        <w:numPr>
          <w:ilvl w:val="0"/>
          <w:numId w:val="21"/>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We estimate an annual average of 250 surveys, 225 of which are repeat surveys and 25 of which are new surveys that need to be developed.</w:t>
      </w:r>
    </w:p>
    <w:p w:rsidRPr="0047619B" w:rsidR="008142F5" w:rsidP="008142F5" w:rsidRDefault="008142F5" w14:paraId="4EB4992F" w14:textId="77777777">
      <w:pPr>
        <w:pStyle w:val="ListParagraph"/>
        <w:numPr>
          <w:ilvl w:val="0"/>
          <w:numId w:val="21"/>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We estimate an annual average cost of $7,750,000 ($31,000 per survey for 250 surveys), paid by OPM under an Interagency Agreement with the Department of Interior for survey development and implementation.</w:t>
      </w:r>
    </w:p>
    <w:p w:rsidRPr="0047619B" w:rsidR="008142F5" w:rsidP="008142F5" w:rsidRDefault="008142F5" w14:paraId="01658B00" w14:textId="77777777">
      <w:pPr>
        <w:pStyle w:val="ListParagraph"/>
        <w:numPr>
          <w:ilvl w:val="0"/>
          <w:numId w:val="21"/>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 xml:space="preserve">We estimate an annual average cost to OPM of $283,637.25 for 0.01 FTE at the GS 13, Step 3 rate assigned to each of the 225 repeat surveys ($96,970 x 1.3 for benefits = $126,061; .01 x $126,061 = $1,260.61; $1,260.61 x 225 </w:t>
      </w:r>
      <w:proofErr w:type="gramStart"/>
      <w:r w:rsidRPr="0047619B">
        <w:rPr>
          <w:rFonts w:ascii="Times New Roman" w:hAnsi="Times New Roman" w:eastAsia="MS Mincho"/>
        </w:rPr>
        <w:t>surveys  =</w:t>
      </w:r>
      <w:proofErr w:type="gramEnd"/>
      <w:r w:rsidRPr="0047619B">
        <w:rPr>
          <w:rFonts w:ascii="Times New Roman" w:hAnsi="Times New Roman" w:eastAsia="MS Mincho"/>
        </w:rPr>
        <w:t xml:space="preserve"> $283, 637.25</w:t>
      </w:r>
    </w:p>
    <w:p w:rsidRPr="0047619B" w:rsidR="008142F5" w:rsidP="008142F5" w:rsidRDefault="008142F5" w14:paraId="2F923A32" w14:textId="77777777">
      <w:pPr>
        <w:pStyle w:val="ListParagraph"/>
        <w:numPr>
          <w:ilvl w:val="0"/>
          <w:numId w:val="21"/>
        </w:numPr>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rPr>
        <w:t>We estimate an average cost to OPM of $110,303.38 for 0.035 FTE at the GS 13, Step 3 rate assigned to each of the 25 new surveys ($96,970 x 1.3 for benefits = $126,061; .035 x $126,061 = $4,412.14; $4,412.14 x 25 = 110,303.38.</w:t>
      </w:r>
    </w:p>
    <w:p w:rsidRPr="0047619B" w:rsidR="008142F5" w:rsidP="008142F5" w:rsidRDefault="008142F5" w14:paraId="17CF56AD" w14:textId="77777777">
      <w:pPr>
        <w:pStyle w:val="ListParagraph"/>
        <w:numPr>
          <w:ilvl w:val="0"/>
          <w:numId w:val="2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textAlignment w:val="baseline"/>
        <w:rPr>
          <w:rFonts w:ascii="Times New Roman" w:hAnsi="Times New Roman" w:eastAsia="MS Mincho"/>
        </w:rPr>
      </w:pPr>
      <w:r w:rsidRPr="0047619B">
        <w:rPr>
          <w:rFonts w:ascii="Times New Roman" w:hAnsi="Times New Roman" w:eastAsia="MS Mincho"/>
          <w:szCs w:val="24"/>
        </w:rPr>
        <w:t>We estimate that one OPM FTE at the GS 13, step 3, will spend 2 hours analyzing the survey results for an estimated annual cost to OPM of $30,305 ($46.62 hourly rate based on OPM salary information x 1.3 for benefits = $60.61/hour; $60.61 x 2 hours = $121.11; $121.11 x 250 surveys = $30,305).</w:t>
      </w:r>
    </w:p>
    <w:p w:rsidRPr="0047619B" w:rsidR="008142F5" w:rsidP="008142F5" w:rsidRDefault="008142F5" w14:paraId="6B0F391C" w14:textId="77777777">
      <w:pPr>
        <w:overflowPunct w:val="0"/>
        <w:autoSpaceDE w:val="0"/>
        <w:autoSpaceDN w:val="0"/>
        <w:adjustRightInd w:val="0"/>
        <w:ind w:left="360"/>
        <w:textAlignment w:val="baseline"/>
        <w:rPr>
          <w:rFonts w:ascii="Times New Roman" w:hAnsi="Times New Roman" w:eastAsia="MS Mincho"/>
        </w:rPr>
      </w:pP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w:t>
      </w:r>
      <w:r w:rsidRPr="00F45FED">
        <w:rPr>
          <w:rFonts w:ascii="Times New Roman" w:hAnsi="Times New Roman"/>
          <w:b/>
          <w:szCs w:val="24"/>
        </w:rPr>
        <w:lastRenderedPageBreak/>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8142F5" w:rsidP="008142F5" w:rsidRDefault="008142F5" w14:paraId="1A14B600"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8142F5" w:rsidP="008142F5" w:rsidRDefault="008142F5" w14:paraId="2796CBA2" w14:textId="77777777">
      <w:pPr>
        <w:ind w:left="720"/>
        <w:rPr>
          <w:rFonts w:ascii="Times New Roman" w:hAnsi="Times New Roman"/>
          <w:b/>
        </w:rPr>
      </w:pPr>
    </w:p>
    <w:p w:rsidR="008142F5" w:rsidP="008142F5" w:rsidRDefault="008142F5" w14:paraId="5F0ED114"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 xml:space="preserve">: Insights gleaned from qualitative customer research may be presented publicly in the format of a conceptual user persona or customer journey map. Customer research can take anywhere from 6 weeks for a short sprint to a full fiscal year, depending on the specific project. The Agency expects most journey mapping efforts to last approximately 6 months, with a user persona and journey maps ready for feedback (both from internal and external to government stakeholders) within one month of completing customer research. </w:t>
      </w:r>
    </w:p>
    <w:p w:rsidRPr="00D5290B" w:rsidR="008142F5" w:rsidP="008142F5" w:rsidRDefault="008142F5" w14:paraId="5677D431"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specific language to contextualize their use and will be included in specific requests. This language can include something like:</w:t>
      </w:r>
      <w:r w:rsidRPr="00D5290B">
        <w:rPr>
          <w:rFonts w:ascii="Times New Roman" w:hAnsi="Times New Roman"/>
        </w:rPr>
        <w:t xml:space="preserve"> </w:t>
      </w:r>
    </w:p>
    <w:p w:rsidR="008142F5" w:rsidP="008142F5" w:rsidRDefault="008142F5" w14:paraId="4E14332B" w14:textId="77777777">
      <w:pPr>
        <w:ind w:left="720"/>
        <w:rPr>
          <w:rFonts w:ascii="Times New Roman" w:hAnsi="Times New Roman"/>
          <w:i/>
        </w:rPr>
      </w:pPr>
    </w:p>
    <w:p w:rsidRPr="00D5290B" w:rsidR="008142F5" w:rsidP="008142F5" w:rsidRDefault="008142F5" w14:paraId="77FBCA84" w14:textId="77777777">
      <w:pPr>
        <w:ind w:left="720"/>
        <w:rPr>
          <w:rFonts w:ascii="Times New Roman" w:hAnsi="Times New Roman"/>
          <w:i/>
        </w:rPr>
      </w:pPr>
      <w:r w:rsidRPr="00D5290B">
        <w:rPr>
          <w:rFonts w:ascii="Times New Roman" w:hAnsi="Times New Roman"/>
          <w:i/>
        </w:rPr>
        <w:t>What should I know about journey maps?</w:t>
      </w:r>
    </w:p>
    <w:p w:rsidRPr="00D5290B" w:rsidR="008142F5" w:rsidP="008142F5" w:rsidRDefault="008142F5" w14:paraId="11951840"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8142F5" w:rsidP="008142F5" w:rsidRDefault="008142F5" w14:paraId="1FD0111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8142F5" w:rsidP="008142F5" w:rsidRDefault="008142F5" w14:paraId="0C2D526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8142F5" w:rsidP="008142F5" w:rsidRDefault="008142F5" w14:paraId="41BF6DEC"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8142F5" w:rsidP="008142F5" w:rsidRDefault="008142F5" w14:paraId="67E8C029"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8142F5" w:rsidP="008142F5" w:rsidRDefault="008142F5" w14:paraId="6720E565"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8142F5" w:rsidP="008142F5" w:rsidRDefault="008142F5" w14:paraId="740D413C"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8142F5" w:rsidP="008142F5" w:rsidRDefault="008142F5" w14:paraId="3B8C8A11"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8142F5" w:rsidP="008142F5" w:rsidRDefault="008142F5" w14:paraId="19997DFA" w14:textId="77777777">
      <w:pPr>
        <w:ind w:left="720"/>
        <w:rPr>
          <w:rFonts w:ascii="Times New Roman" w:hAnsi="Times New Roman"/>
          <w:b/>
        </w:rPr>
      </w:pPr>
    </w:p>
    <w:p w:rsidR="008142F5" w:rsidP="008142F5" w:rsidRDefault="008142F5" w14:paraId="3082A475"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Once touchpoint surveys are implemented at transaction points along the customer journey interacting with Federal services, data from the A-11 Standard CX Feedback survey will be submitted to OMB quarterly for review and publication in a summary dashboard on performance.gov. </w:t>
      </w:r>
    </w:p>
    <w:p w:rsidR="008142F5" w:rsidP="008142F5" w:rsidRDefault="008142F5" w14:paraId="1EEBDEAB" w14:textId="77777777">
      <w:pPr>
        <w:ind w:left="720"/>
        <w:rPr>
          <w:rFonts w:ascii="Times New Roman" w:hAnsi="Times New Roman"/>
        </w:rPr>
      </w:pPr>
    </w:p>
    <w:p w:rsidR="008142F5" w:rsidP="008142F5" w:rsidRDefault="008142F5" w14:paraId="59CA0882" w14:textId="77777777">
      <w:pPr>
        <w:ind w:left="720"/>
        <w:rPr>
          <w:rFonts w:ascii="Times New Roman" w:hAnsi="Times New Roman"/>
        </w:rPr>
      </w:pPr>
      <w:r>
        <w:rPr>
          <w:rFonts w:ascii="Times New Roman" w:hAnsi="Times New Roman"/>
        </w:rPr>
        <w:t>This data will include:</w:t>
      </w:r>
    </w:p>
    <w:p w:rsidR="008142F5" w:rsidP="008142F5" w:rsidRDefault="008142F5" w14:paraId="36B53A85" w14:textId="77777777">
      <w:pPr>
        <w:pStyle w:val="ListParagraph"/>
        <w:numPr>
          <w:ilvl w:val="0"/>
          <w:numId w:val="13"/>
        </w:numPr>
        <w:rPr>
          <w:rFonts w:ascii="Times New Roman" w:hAnsi="Times New Roman"/>
        </w:rPr>
      </w:pPr>
      <w:r>
        <w:rPr>
          <w:rFonts w:ascii="Times New Roman" w:hAnsi="Times New Roman"/>
        </w:rPr>
        <w:lastRenderedPageBreak/>
        <w:t xml:space="preserve">Specific transaction point at which the survey was administered </w:t>
      </w:r>
    </w:p>
    <w:p w:rsidR="008142F5" w:rsidP="008142F5" w:rsidRDefault="008142F5" w14:paraId="6192CB3E"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8142F5" w:rsidP="008142F5" w:rsidRDefault="008142F5" w14:paraId="578BFBF0"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8142F5" w:rsidP="008142F5" w:rsidRDefault="008142F5" w14:paraId="304D0E0A"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8142F5" w:rsidP="008142F5" w:rsidRDefault="008142F5" w14:paraId="17206609" w14:textId="77777777">
      <w:pPr>
        <w:pStyle w:val="ListParagraph"/>
        <w:numPr>
          <w:ilvl w:val="0"/>
          <w:numId w:val="13"/>
        </w:numPr>
        <w:rPr>
          <w:rFonts w:ascii="Times New Roman" w:hAnsi="Times New Roman"/>
        </w:rPr>
      </w:pPr>
      <w:r>
        <w:rPr>
          <w:rFonts w:ascii="Times New Roman" w:hAnsi="Times New Roman"/>
        </w:rPr>
        <w:t>Mode(s) of collection (e.g., online, over mobile, over the phone, paper form)</w:t>
      </w:r>
    </w:p>
    <w:p w:rsidR="008142F5" w:rsidP="008142F5" w:rsidRDefault="008142F5" w14:paraId="50F716EC"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8142F5" w:rsidP="008142F5" w:rsidRDefault="008142F5" w14:paraId="323749A8"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8142F5" w:rsidP="008142F5" w:rsidRDefault="008142F5" w14:paraId="0E11776B" w14:textId="77777777">
      <w:pPr>
        <w:rPr>
          <w:rFonts w:ascii="Times New Roman" w:hAnsi="Times New Roman"/>
        </w:rPr>
      </w:pPr>
    </w:p>
    <w:p w:rsidRPr="00AC3176" w:rsidR="008142F5" w:rsidP="008142F5" w:rsidRDefault="008142F5" w14:paraId="4F1EFEFD"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8142F5" w:rsidP="008142F5" w:rsidRDefault="008142F5" w14:paraId="732915CF" w14:textId="77777777">
      <w:pPr>
        <w:rPr>
          <w:rFonts w:ascii="Times New Roman" w:hAnsi="Times New Roman"/>
        </w:rPr>
      </w:pPr>
    </w:p>
    <w:p w:rsidRPr="0083061C" w:rsidR="008142F5" w:rsidP="008142F5" w:rsidRDefault="008142F5" w14:paraId="0A36A79B" w14:textId="77777777">
      <w:pPr>
        <w:ind w:left="720"/>
        <w:rPr>
          <w:rFonts w:ascii="Times New Roman" w:hAnsi="Times New Roman"/>
        </w:rPr>
      </w:pPr>
      <w:r w:rsidRPr="00F45FED">
        <w:rPr>
          <w:rFonts w:ascii="Times New Roman" w:hAnsi="Times New Roman"/>
          <w:b/>
        </w:rPr>
        <w:t>Testing of Services and Digital Products:</w:t>
      </w:r>
      <w:r>
        <w:rPr>
          <w:rFonts w:ascii="Times New Roman" w:hAnsi="Times New Roman"/>
          <w:b/>
        </w:rPr>
        <w:t xml:space="preserve"> </w:t>
      </w:r>
      <w:proofErr w:type="gramStart"/>
      <w:r>
        <w:rPr>
          <w:rFonts w:ascii="Times New Roman" w:hAnsi="Times New Roman"/>
        </w:rPr>
        <w:t>Similar to</w:t>
      </w:r>
      <w:proofErr w:type="gramEnd"/>
      <w:r>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proofErr w:type="gramStart"/>
      <w:r w:rsidRPr="0083061C" w:rsidR="00B81EAB">
        <w:rPr>
          <w:rFonts w:ascii="Times New Roman" w:hAnsi="Times New Roman"/>
        </w:rPr>
        <w:t>“ of</w:t>
      </w:r>
      <w:proofErr w:type="gramEnd"/>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F03B8" w14:textId="77777777" w:rsidR="007C530B" w:rsidRDefault="007C530B">
      <w:pPr>
        <w:spacing w:line="20" w:lineRule="exact"/>
      </w:pPr>
    </w:p>
  </w:endnote>
  <w:endnote w:type="continuationSeparator" w:id="0">
    <w:p w14:paraId="529A57A4" w14:textId="77777777" w:rsidR="007C530B" w:rsidRDefault="007C530B">
      <w:r>
        <w:t xml:space="preserve"> </w:t>
      </w:r>
    </w:p>
  </w:endnote>
  <w:endnote w:type="continuationNotice" w:id="1">
    <w:p w14:paraId="3D5536A5" w14:textId="77777777" w:rsidR="007C530B" w:rsidRDefault="007C53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3FCA012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3FCA012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77440A">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745CB" w14:textId="77777777" w:rsidR="007C530B" w:rsidRDefault="007C530B">
      <w:r>
        <w:separator/>
      </w:r>
    </w:p>
  </w:footnote>
  <w:footnote w:type="continuationSeparator" w:id="0">
    <w:p w14:paraId="7F8DC428" w14:textId="77777777" w:rsidR="007C530B" w:rsidRDefault="007C530B">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6DC88D18" w14:textId="77777777" w:rsidR="008142F5" w:rsidRDefault="008142F5" w:rsidP="008142F5">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A1452" w14:textId="01F46B38"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acking and OMB Number: (</w:t>
    </w:r>
    <w:r w:rsidR="00382FC8">
      <w:rPr>
        <w:rFonts w:ascii="Times New Roman" w:hAnsi="Times New Roman"/>
        <w:sz w:val="20"/>
      </w:rPr>
      <w:t>3206</w:t>
    </w:r>
    <w:r w:rsidR="00386054">
      <w:rPr>
        <w:rFonts w:ascii="Times New Roman" w:hAnsi="Times New Roman"/>
        <w:sz w:val="20"/>
      </w:rPr>
      <w:t xml:space="preserve">) </w:t>
    </w:r>
    <w:r w:rsidR="00382FC8">
      <w:rPr>
        <w:rFonts w:ascii="Times New Roman" w:hAnsi="Times New Roman"/>
        <w:sz w:val="20"/>
      </w:rPr>
      <w:t>NEW</w:t>
    </w:r>
    <w:r w:rsidR="00822C98">
      <w:rPr>
        <w:rFonts w:ascii="Times New Roman" w:hAnsi="Times New Roman"/>
        <w:sz w:val="20"/>
      </w:rPr>
      <w:t xml:space="preserve"> </w:t>
    </w:r>
    <w:r w:rsidR="00822C98">
      <w:rPr>
        <w:rFonts w:ascii="Times New Roman" w:hAnsi="Times New Roman"/>
        <w:sz w:val="20"/>
      </w:rPr>
      <w:tab/>
    </w:r>
    <w:r w:rsidR="00386054">
      <w:rPr>
        <w:rFonts w:ascii="Times New Roman" w:hAnsi="Times New Roman"/>
        <w:sz w:val="20"/>
      </w:rPr>
      <w:t xml:space="preserve">Revised: </w:t>
    </w:r>
    <w:r w:rsidR="00F64EBF">
      <w:rPr>
        <w:rFonts w:ascii="Times New Roman" w:hAnsi="Times New Roman"/>
        <w:sz w:val="20"/>
      </w:rPr>
      <w:t>0</w:t>
    </w:r>
    <w:r w:rsidR="007D2DB5">
      <w:rPr>
        <w:rFonts w:ascii="Times New Roman" w:hAnsi="Times New Roman"/>
        <w:sz w:val="20"/>
      </w:rPr>
      <w:t>4</w:t>
    </w:r>
    <w:r w:rsidR="00F64EBF">
      <w:rPr>
        <w:rFonts w:ascii="Times New Roman" w:hAnsi="Times New Roman"/>
        <w:sz w:val="20"/>
      </w:rPr>
      <w:t>/</w:t>
    </w:r>
    <w:r w:rsidR="00CB0C21">
      <w:rPr>
        <w:rFonts w:ascii="Times New Roman" w:hAnsi="Times New Roman"/>
        <w:sz w:val="20"/>
      </w:rPr>
      <w:t>1</w:t>
    </w:r>
    <w:r w:rsidR="007D2DB5">
      <w:rPr>
        <w:rFonts w:ascii="Times New Roman" w:hAnsi="Times New Roman"/>
        <w:sz w:val="20"/>
      </w:rPr>
      <w:t>0</w:t>
    </w:r>
    <w:r w:rsidR="00F64EBF">
      <w:rPr>
        <w:rFonts w:ascii="Times New Roman" w:hAnsi="Times New Roman"/>
        <w:sz w:val="20"/>
      </w:rPr>
      <w:t>/20</w:t>
    </w:r>
    <w:r w:rsidR="007D2DB5">
      <w:rPr>
        <w:rFonts w:ascii="Times New Roman" w:hAnsi="Times New Roman"/>
        <w:sz w:val="20"/>
      </w:rPr>
      <w:t>20</w:t>
    </w:r>
  </w:p>
  <w:p w14:paraId="477A66BB"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4942E5D"/>
    <w:multiLevelType w:val="hybridMultilevel"/>
    <w:tmpl w:val="C854F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B60F45"/>
    <w:multiLevelType w:val="hybridMultilevel"/>
    <w:tmpl w:val="F31C40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6"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7"/>
  </w:num>
  <w:num w:numId="5">
    <w:abstractNumId w:val="1"/>
  </w:num>
  <w:num w:numId="6">
    <w:abstractNumId w:val="3"/>
  </w:num>
  <w:num w:numId="7">
    <w:abstractNumId w:val="13"/>
  </w:num>
  <w:num w:numId="8">
    <w:abstractNumId w:val="12"/>
  </w:num>
  <w:num w:numId="9">
    <w:abstractNumId w:val="15"/>
  </w:num>
  <w:num w:numId="10">
    <w:abstractNumId w:val="19"/>
  </w:num>
  <w:num w:numId="11">
    <w:abstractNumId w:val="7"/>
  </w:num>
  <w:num w:numId="12">
    <w:abstractNumId w:val="16"/>
  </w:num>
  <w:num w:numId="13">
    <w:abstractNumId w:val="5"/>
  </w:num>
  <w:num w:numId="14">
    <w:abstractNumId w:val="4"/>
  </w:num>
  <w:num w:numId="15">
    <w:abstractNumId w:val="8"/>
  </w:num>
  <w:num w:numId="16">
    <w:abstractNumId w:val="18"/>
  </w:num>
  <w:num w:numId="17">
    <w:abstractNumId w:val="20"/>
  </w:num>
  <w:num w:numId="18">
    <w:abstractNumId w:val="14"/>
  </w:num>
  <w:num w:numId="19">
    <w:abstractNumId w:val="2"/>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82FC8"/>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7440A"/>
    <w:rsid w:val="00786680"/>
    <w:rsid w:val="007A6E6B"/>
    <w:rsid w:val="007B14E8"/>
    <w:rsid w:val="007C12B5"/>
    <w:rsid w:val="007C530B"/>
    <w:rsid w:val="007D2DB5"/>
    <w:rsid w:val="007E6D44"/>
    <w:rsid w:val="007E77FA"/>
    <w:rsid w:val="007F4417"/>
    <w:rsid w:val="008011B6"/>
    <w:rsid w:val="008142F5"/>
    <w:rsid w:val="0081784F"/>
    <w:rsid w:val="00822C98"/>
    <w:rsid w:val="00823C86"/>
    <w:rsid w:val="0083061C"/>
    <w:rsid w:val="00831B18"/>
    <w:rsid w:val="00842A85"/>
    <w:rsid w:val="008A348F"/>
    <w:rsid w:val="008A3D41"/>
    <w:rsid w:val="008F3062"/>
    <w:rsid w:val="00905009"/>
    <w:rsid w:val="009212F2"/>
    <w:rsid w:val="00921CB1"/>
    <w:rsid w:val="009275D0"/>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B0C21"/>
    <w:rsid w:val="00CC6F25"/>
    <w:rsid w:val="00CD40F8"/>
    <w:rsid w:val="00CE72AF"/>
    <w:rsid w:val="00D115BF"/>
    <w:rsid w:val="00D269C3"/>
    <w:rsid w:val="00D47479"/>
    <w:rsid w:val="00D52676"/>
    <w:rsid w:val="00D5290B"/>
    <w:rsid w:val="00D91910"/>
    <w:rsid w:val="00DE7122"/>
    <w:rsid w:val="00E023B7"/>
    <w:rsid w:val="00E03202"/>
    <w:rsid w:val="00E03EA0"/>
    <w:rsid w:val="00E07290"/>
    <w:rsid w:val="00E10433"/>
    <w:rsid w:val="00E141BC"/>
    <w:rsid w:val="00E15CE1"/>
    <w:rsid w:val="00E204FC"/>
    <w:rsid w:val="00E274C4"/>
    <w:rsid w:val="00E54EAB"/>
    <w:rsid w:val="00E809A4"/>
    <w:rsid w:val="00EA3C1F"/>
    <w:rsid w:val="00EB5166"/>
    <w:rsid w:val="00EC2CC4"/>
    <w:rsid w:val="00EF7FF5"/>
    <w:rsid w:val="00F13131"/>
    <w:rsid w:val="00F30CEE"/>
    <w:rsid w:val="00F313DF"/>
    <w:rsid w:val="00F45FED"/>
    <w:rsid w:val="00F64EBF"/>
    <w:rsid w:val="00FA4F77"/>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3B901-E5F3-4303-AD09-240B7118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5764</Words>
  <Characters>32857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Conyers, Charles C</cp:lastModifiedBy>
  <cp:revision>2</cp:revision>
  <cp:lastPrinted>2016-05-23T15:22:00Z</cp:lastPrinted>
  <dcterms:created xsi:type="dcterms:W3CDTF">2020-11-25T14:07:00Z</dcterms:created>
  <dcterms:modified xsi:type="dcterms:W3CDTF">2020-11-25T14:07:00Z</dcterms:modified>
</cp:coreProperties>
</file>