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35C5F" w:rsidR="007A3821" w:rsidP="00DE35ED" w:rsidRDefault="007A3821" w14:paraId="0B18D6FB" w14:textId="77777777">
      <w:pPr>
        <w:widowControl/>
        <w:jc w:val="center"/>
        <w:rPr>
          <w:rFonts w:cs="Times New Roman TUR"/>
        </w:rPr>
      </w:pPr>
      <w:r w:rsidRPr="00B35C5F">
        <w:rPr>
          <w:rFonts w:cs="Times New Roman TUR"/>
        </w:rPr>
        <w:t>Justification</w:t>
      </w:r>
    </w:p>
    <w:p w:rsidRPr="00B35C5F" w:rsidR="007A3821" w:rsidP="00DE35ED" w:rsidRDefault="007A3821" w14:paraId="52FC1B52" w14:textId="77777777">
      <w:pPr>
        <w:widowControl/>
        <w:jc w:val="center"/>
        <w:rPr>
          <w:rFonts w:cs="Times New Roman TUR"/>
          <w:b/>
        </w:rPr>
      </w:pPr>
      <w:r w:rsidRPr="00B35C5F">
        <w:rPr>
          <w:rFonts w:cs="Times New Roman TUR"/>
          <w:b/>
        </w:rPr>
        <w:t>Statement Regarding Contributions and Support</w:t>
      </w:r>
    </w:p>
    <w:p w:rsidRPr="00B35C5F" w:rsidR="007A3821" w:rsidP="00DE35ED" w:rsidRDefault="007A3821" w14:paraId="2CB10536" w14:textId="77777777">
      <w:pPr>
        <w:widowControl/>
        <w:jc w:val="center"/>
        <w:rPr>
          <w:rFonts w:cs="Times New Roman TUR"/>
        </w:rPr>
      </w:pPr>
      <w:r w:rsidRPr="00B35C5F">
        <w:rPr>
          <w:rFonts w:cs="Times New Roman TUR"/>
        </w:rPr>
        <w:t>RRB Form G-134</w:t>
      </w:r>
    </w:p>
    <w:p w:rsidRPr="00B35C5F" w:rsidR="007A3821" w:rsidP="00DE35ED" w:rsidRDefault="007A3821" w14:paraId="1E21BC17" w14:textId="77777777">
      <w:pPr>
        <w:widowControl/>
        <w:rPr>
          <w:rFonts w:cs="Times New Roman TUR"/>
        </w:rPr>
      </w:pPr>
    </w:p>
    <w:p w:rsidRPr="00B35C5F" w:rsidR="007A3821" w:rsidP="00DE35ED" w:rsidRDefault="007A3821" w14:paraId="0F397F2C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Circumstances of information collection</w:t>
      </w:r>
      <w:r w:rsidRPr="00B35C5F">
        <w:rPr>
          <w:rFonts w:cs="Times New Roman TUR"/>
          <w:szCs w:val="28"/>
        </w:rPr>
        <w:t xml:space="preserve"> </w:t>
      </w:r>
      <w:r w:rsidRPr="00B35C5F">
        <w:rPr>
          <w:rFonts w:cs="Times New Roman TUR"/>
        </w:rPr>
        <w:t>-</w:t>
      </w:r>
      <w:r w:rsidRPr="00B35C5F" w:rsidR="00D64192">
        <w:rPr>
          <w:rFonts w:cs="Times New Roman TUR"/>
          <w:szCs w:val="28"/>
        </w:rPr>
        <w:t xml:space="preserve"> </w:t>
      </w:r>
      <w:r w:rsidRPr="00B35C5F">
        <w:rPr>
          <w:rFonts w:cs="Times New Roman TUR"/>
        </w:rPr>
        <w:t>Dependency on the employee for at least one-half support can affect entitlement to a survivor annuity and can affect the amount of both spouse and survivor annuities.</w:t>
      </w:r>
    </w:p>
    <w:p w:rsidRPr="00B35C5F" w:rsidR="007A3821" w:rsidP="00DE35ED" w:rsidRDefault="007A3821" w14:paraId="2BD07308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76D9CEA6" w14:textId="7DBE61FD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Entitlement to a survivor annuity</w:t>
      </w:r>
      <w:r w:rsidRPr="00B35C5F">
        <w:rPr>
          <w:rFonts w:cs="Times New Roman TUR"/>
        </w:rPr>
        <w:t xml:space="preserve"> - Dependency on the employee for at least one-half support at the time of the employee's death can affect eligibility for a survivor annuity provided for under </w:t>
      </w:r>
      <w:r w:rsidR="00AC1C19">
        <w:rPr>
          <w:rFonts w:cs="Times New Roman TUR"/>
        </w:rPr>
        <w:t>S</w:t>
      </w:r>
      <w:r w:rsidRPr="00B35C5F">
        <w:rPr>
          <w:rFonts w:cs="Times New Roman TUR"/>
        </w:rPr>
        <w:t>ection 2 of the Railroad Retirement Act (RRA)</w:t>
      </w:r>
      <w:r w:rsidR="00AC1C19">
        <w:rPr>
          <w:rFonts w:cs="Times New Roman TUR"/>
        </w:rPr>
        <w:t xml:space="preserve"> (45 U.S.C. 231a)</w:t>
      </w:r>
      <w:r w:rsidRPr="00B35C5F">
        <w:rPr>
          <w:rFonts w:cs="Times New Roman TUR"/>
        </w:rPr>
        <w:t>.  This occurs when the survivor is a parent of the deceased employee.  The requirement is prescribed in 20 CFR 216.81</w:t>
      </w:r>
      <w:r w:rsidRPr="00B35C5F" w:rsidR="00AB749D">
        <w:rPr>
          <w:rFonts w:cs="Times New Roman TUR"/>
        </w:rPr>
        <w:t>(a</w:t>
      </w:r>
      <w:proofErr w:type="gramStart"/>
      <w:r w:rsidRPr="00B35C5F" w:rsidR="00AB749D">
        <w:rPr>
          <w:rFonts w:cs="Times New Roman TUR"/>
        </w:rPr>
        <w:t>)</w:t>
      </w:r>
      <w:r w:rsidRPr="00B35C5F">
        <w:rPr>
          <w:rFonts w:cs="Times New Roman TUR"/>
        </w:rPr>
        <w:t>(</w:t>
      </w:r>
      <w:proofErr w:type="gramEnd"/>
      <w:r w:rsidRPr="00B35C5F">
        <w:rPr>
          <w:rFonts w:cs="Times New Roman TUR"/>
        </w:rPr>
        <w:t>3) and 222.41</w:t>
      </w:r>
      <w:r w:rsidRPr="00B35C5F" w:rsidR="00AB749D">
        <w:rPr>
          <w:rFonts w:cs="Times New Roman TUR"/>
        </w:rPr>
        <w:t>(a)</w:t>
      </w:r>
      <w:r w:rsidRPr="00B35C5F" w:rsidR="00755503">
        <w:rPr>
          <w:rFonts w:cs="Times New Roman TUR"/>
        </w:rPr>
        <w:t>(4).</w:t>
      </w:r>
    </w:p>
    <w:p w:rsidRPr="00B35C5F" w:rsidR="007A3821" w:rsidP="00DE35ED" w:rsidRDefault="007A3821" w14:paraId="1CD9A0DB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63FCB06C" w14:textId="77777777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Amount of spouse or survivor annuity</w:t>
      </w:r>
      <w:r w:rsidRPr="00B35C5F">
        <w:rPr>
          <w:rFonts w:cs="Times New Roman TUR"/>
        </w:rPr>
        <w:t xml:space="preserve"> - Under certain circumstances, a portion of an annuity payable to a spouse or widow(</w:t>
      </w:r>
      <w:proofErr w:type="spellStart"/>
      <w:r w:rsidRPr="00B35C5F">
        <w:rPr>
          <w:rFonts w:cs="Times New Roman TUR"/>
        </w:rPr>
        <w:t>er</w:t>
      </w:r>
      <w:proofErr w:type="spellEnd"/>
      <w:r w:rsidRPr="00B35C5F">
        <w:rPr>
          <w:rFonts w:cs="Times New Roman TUR"/>
        </w:rPr>
        <w:t xml:space="preserve">) is subject to an offset for a public service pension.  A public service pension is any benefit payable to an individual because of their employment with a Federal, State, or local unit of government.  Dependency on the employee may negate the annuity offset.  Sections 4(a)(1) and 4(f)(1) of the RRA provide that the annuity amount of a spouse, divorced spouse, and survivor shall be an amount equal to the amount a beneficiary would receive if entitled under the Social Security Act. </w:t>
      </w:r>
      <w:r w:rsidRPr="00B35C5F" w:rsidR="00A44B77">
        <w:rPr>
          <w:rFonts w:cs="Times New Roman TUR"/>
        </w:rPr>
        <w:t xml:space="preserve"> </w:t>
      </w:r>
      <w:r w:rsidRPr="00B35C5F">
        <w:rPr>
          <w:rFonts w:cs="Times New Roman TUR"/>
        </w:rPr>
        <w:t xml:space="preserve">Section 7(a)(1) of PL 97-455 amends Sections 202(b), (c), (e), (f), and (g) of the Social Security Act, to specify when half support will negate the public service pension offset for a wife, husband, widow, widower, and mother or father. </w:t>
      </w:r>
      <w:r w:rsidRPr="00B35C5F" w:rsidR="00A44B77">
        <w:rPr>
          <w:rFonts w:cs="Times New Roman TUR"/>
        </w:rPr>
        <w:t xml:space="preserve"> </w:t>
      </w:r>
      <w:r w:rsidRPr="00B35C5F">
        <w:rPr>
          <w:rFonts w:cs="Times New Roman TUR"/>
        </w:rPr>
        <w:t>In addition, the requirement is prescribed in 20 CFR 404.408</w:t>
      </w:r>
      <w:r w:rsidRPr="00B35C5F" w:rsidR="00AB749D">
        <w:rPr>
          <w:rFonts w:cs="Times New Roman TUR"/>
        </w:rPr>
        <w:t>(</w:t>
      </w:r>
      <w:r w:rsidRPr="00B35C5F">
        <w:rPr>
          <w:rFonts w:cs="Times New Roman TUR"/>
        </w:rPr>
        <w:t>a</w:t>
      </w:r>
      <w:r w:rsidRPr="00B35C5F" w:rsidR="00AB749D">
        <w:rPr>
          <w:rFonts w:cs="Times New Roman TUR"/>
        </w:rPr>
        <w:t>)</w:t>
      </w:r>
      <w:r w:rsidRPr="00B35C5F">
        <w:rPr>
          <w:rFonts w:cs="Times New Roman TUR"/>
        </w:rPr>
        <w:t>.</w:t>
      </w:r>
    </w:p>
    <w:p w:rsidRPr="00B35C5F" w:rsidR="007A3821" w:rsidP="00DE35ED" w:rsidRDefault="007A3821" w14:paraId="70090848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258FA553" w14:textId="77777777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Restored Amount</w:t>
      </w:r>
      <w:r w:rsidRPr="00B35C5F">
        <w:rPr>
          <w:rFonts w:cs="Times New Roman TUR"/>
        </w:rPr>
        <w:t xml:space="preserve"> </w:t>
      </w:r>
      <w:r w:rsidRPr="00B35C5F" w:rsidR="00755503">
        <w:rPr>
          <w:rFonts w:cs="Times New Roman TUR"/>
        </w:rPr>
        <w:t>-</w:t>
      </w:r>
      <w:r w:rsidRPr="00B35C5F">
        <w:rPr>
          <w:rFonts w:cs="Times New Roman TUR"/>
        </w:rPr>
        <w:t xml:space="preserve"> A Tier II restored amount is payable to a widow(</w:t>
      </w:r>
      <w:proofErr w:type="spellStart"/>
      <w:r w:rsidRPr="00B35C5F">
        <w:rPr>
          <w:rFonts w:cs="Times New Roman TUR"/>
        </w:rPr>
        <w:t>er</w:t>
      </w:r>
      <w:proofErr w:type="spellEnd"/>
      <w:r w:rsidRPr="00B35C5F">
        <w:rPr>
          <w:rFonts w:cs="Times New Roman TUR"/>
        </w:rPr>
        <w:t>) whose annuity is reduced for receipt of an employee annuity under the RRA provided either the employee or the widow(</w:t>
      </w:r>
      <w:proofErr w:type="spellStart"/>
      <w:r w:rsidRPr="00B35C5F">
        <w:rPr>
          <w:rFonts w:cs="Times New Roman TUR"/>
        </w:rPr>
        <w:t>er</w:t>
      </w:r>
      <w:proofErr w:type="spellEnd"/>
      <w:r w:rsidRPr="00B35C5F">
        <w:rPr>
          <w:rFonts w:cs="Times New Roman TUR"/>
        </w:rPr>
        <w:t xml:space="preserve">) had </w:t>
      </w:r>
      <w:r w:rsidRPr="00B35C5F" w:rsidR="0007735E">
        <w:rPr>
          <w:rFonts w:cs="Times New Roman TUR"/>
        </w:rPr>
        <w:t>10</w:t>
      </w:r>
      <w:r w:rsidRPr="00B35C5F">
        <w:rPr>
          <w:rFonts w:cs="Times New Roman TUR"/>
        </w:rPr>
        <w:t xml:space="preserve"> years of creditable railroad service prior to January 1, 1975.  In addition, a widow(</w:t>
      </w:r>
      <w:proofErr w:type="spellStart"/>
      <w:r w:rsidRPr="00B35C5F">
        <w:rPr>
          <w:rFonts w:cs="Times New Roman TUR"/>
        </w:rPr>
        <w:t>er</w:t>
      </w:r>
      <w:proofErr w:type="spellEnd"/>
      <w:r w:rsidRPr="00B35C5F">
        <w:rPr>
          <w:rFonts w:cs="Times New Roman TUR"/>
        </w:rPr>
        <w:t>) must have been dependent on the railroad employee for at least half of his/her support in the year prior to the employee’s death or, if earlier, at the time the spouse's annuity began.  This requirement is prescribed in 20 CFR 228.52(c).</w:t>
      </w:r>
    </w:p>
    <w:p w:rsidRPr="00B35C5F" w:rsidR="007A3821" w:rsidP="00DE35ED" w:rsidRDefault="007A3821" w14:paraId="12C61BAD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55206A01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2.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Purposes of collecting/consequences of not collecting the information</w:t>
      </w:r>
      <w:r w:rsidRPr="00B35C5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  <w:b/>
        </w:rPr>
        <w:t xml:space="preserve">Form </w:t>
      </w:r>
      <w:r w:rsidRPr="00B35C5F" w:rsidR="006B16E3">
        <w:rPr>
          <w:rFonts w:cs="Times New Roman TUR"/>
          <w:b/>
        </w:rPr>
        <w:t>G</w:t>
      </w:r>
      <w:r w:rsidRPr="00B35C5F">
        <w:rPr>
          <w:rFonts w:cs="Times New Roman TUR"/>
          <w:b/>
        </w:rPr>
        <w:t>-134,</w:t>
      </w:r>
      <w:r w:rsidRPr="00B35C5F">
        <w:rPr>
          <w:rFonts w:cs="Times New Roman TUR"/>
        </w:rPr>
        <w:t xml:space="preserve"> </w:t>
      </w:r>
      <w:r w:rsidRPr="00B35C5F">
        <w:rPr>
          <w:rFonts w:cs="Times New Roman TUR"/>
          <w:b/>
        </w:rPr>
        <w:t>Statement Regarding Contributions and Support</w:t>
      </w:r>
      <w:r w:rsidRPr="00B35C5F">
        <w:rPr>
          <w:rFonts w:cs="Times New Roman TUR"/>
        </w:rPr>
        <w:t>, obtains evidence of the claimed support from an applicant</w:t>
      </w:r>
      <w:r w:rsidRPr="00B35C5F" w:rsidR="00EF2CB5">
        <w:rPr>
          <w:rFonts w:cs="Times New Roman TUR"/>
        </w:rPr>
        <w:t xml:space="preserve"> during a specific 12-month period</w:t>
      </w:r>
      <w:r w:rsidRPr="00B35C5F">
        <w:rPr>
          <w:rFonts w:cs="Times New Roman TUR"/>
        </w:rPr>
        <w:t>.  Without the information obtained by the G</w:t>
      </w:r>
      <w:r w:rsidRPr="00B35C5F" w:rsidR="00EF2CB5">
        <w:rPr>
          <w:rFonts w:cs="Times New Roman TUR"/>
        </w:rPr>
        <w:noBreakHyphen/>
      </w:r>
      <w:r w:rsidRPr="00B35C5F">
        <w:rPr>
          <w:rFonts w:cs="Times New Roman TUR"/>
        </w:rPr>
        <w:t>134, the Railroad Retirement Board (RRB) cannot determine if an applicant meets the one-half support eligibility requirement.</w:t>
      </w:r>
    </w:p>
    <w:p w:rsidRPr="00B35C5F" w:rsidR="009E5770" w:rsidP="00DE35ED" w:rsidRDefault="009E5770" w14:paraId="578F7E0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  <w:b/>
        </w:rPr>
      </w:pPr>
    </w:p>
    <w:p w:rsidR="007A3821" w:rsidP="0007735E" w:rsidRDefault="007A3821" w14:paraId="36E1DDCE" w14:textId="77777777">
      <w:pPr>
        <w:widowControl/>
        <w:ind w:left="540"/>
        <w:jc w:val="both"/>
        <w:rPr>
          <w:rFonts w:cs="Times New Roman TUR"/>
        </w:rPr>
      </w:pPr>
      <w:r w:rsidRPr="00B35C5F">
        <w:rPr>
          <w:rFonts w:cs="Times New Roman TUR"/>
        </w:rPr>
        <w:t>Form G-134 is designed for self-administration.  Other options are in-person field office</w:t>
      </w:r>
      <w:r w:rsidRPr="00B35C5F" w:rsidR="00C37A8A">
        <w:rPr>
          <w:rFonts w:cs="Times New Roman TUR"/>
        </w:rPr>
        <w:t>, itinerant</w:t>
      </w:r>
      <w:r w:rsidRPr="00B35C5F">
        <w:rPr>
          <w:rFonts w:cs="Times New Roman TUR"/>
        </w:rPr>
        <w:t xml:space="preserve"> point assistance</w:t>
      </w:r>
      <w:r w:rsidRPr="00B35C5F" w:rsidR="00C37A8A">
        <w:rPr>
          <w:rFonts w:cs="Times New Roman TUR"/>
        </w:rPr>
        <w:t>,</w:t>
      </w:r>
      <w:r w:rsidRPr="00B35C5F">
        <w:rPr>
          <w:rFonts w:cs="Times New Roman TUR"/>
        </w:rPr>
        <w:t xml:space="preserve"> or telephone interview.  </w:t>
      </w:r>
      <w:r w:rsidRPr="00B35C5F" w:rsidR="00EF2CB5">
        <w:rPr>
          <w:rFonts w:cs="Times New Roman TUR"/>
        </w:rPr>
        <w:t xml:space="preserve">The RRB </w:t>
      </w:r>
      <w:r w:rsidRPr="00B35C5F" w:rsidR="00AF3FF1">
        <w:rPr>
          <w:rFonts w:cs="Times New Roman TUR"/>
        </w:rPr>
        <w:t xml:space="preserve">prefills </w:t>
      </w:r>
      <w:r w:rsidRPr="00B35C5F" w:rsidR="00EF2CB5">
        <w:rPr>
          <w:rFonts w:cs="Times New Roman TUR"/>
        </w:rPr>
        <w:t xml:space="preserve">the beginning and ending dates of the period in question, as well as the identifying information in </w:t>
      </w:r>
      <w:r w:rsidRPr="00B35C5F">
        <w:rPr>
          <w:rFonts w:cs="Times New Roman TUR"/>
        </w:rPr>
        <w:t xml:space="preserve">Items 1-6.  When </w:t>
      </w:r>
      <w:r w:rsidRPr="00B35C5F" w:rsidR="00AF3FF1">
        <w:rPr>
          <w:rFonts w:cs="Times New Roman TUR"/>
        </w:rPr>
        <w:t>a G</w:t>
      </w:r>
      <w:r w:rsidRPr="00B35C5F" w:rsidR="00440138">
        <w:rPr>
          <w:rFonts w:cs="Times New Roman TUR"/>
        </w:rPr>
        <w:noBreakHyphen/>
      </w:r>
      <w:r w:rsidRPr="00B35C5F" w:rsidR="00EF2CB5">
        <w:rPr>
          <w:rFonts w:cs="Times New Roman TUR"/>
        </w:rPr>
        <w:t xml:space="preserve">134 </w:t>
      </w:r>
      <w:r w:rsidRPr="00B35C5F" w:rsidR="00AF3FF1">
        <w:rPr>
          <w:rFonts w:cs="Times New Roman TUR"/>
        </w:rPr>
        <w:t xml:space="preserve">is completed outside the </w:t>
      </w:r>
      <w:r w:rsidRPr="00B35C5F">
        <w:rPr>
          <w:rFonts w:cs="Times New Roman TUR"/>
        </w:rPr>
        <w:t>benefit application</w:t>
      </w:r>
      <w:r w:rsidRPr="00B35C5F" w:rsidR="009F5F75">
        <w:rPr>
          <w:rFonts w:cs="Times New Roman TUR"/>
        </w:rPr>
        <w:t xml:space="preserve"> process</w:t>
      </w:r>
      <w:r w:rsidRPr="00B35C5F">
        <w:rPr>
          <w:rFonts w:cs="Times New Roman TUR"/>
        </w:rPr>
        <w:t xml:space="preserve">, </w:t>
      </w:r>
      <w:r w:rsidRPr="00B35C5F" w:rsidR="009E5770">
        <w:rPr>
          <w:rFonts w:cs="Times New Roman TUR"/>
        </w:rPr>
        <w:t xml:space="preserve">Form </w:t>
      </w:r>
      <w:r w:rsidRPr="00B35C5F" w:rsidR="002406AC">
        <w:rPr>
          <w:rFonts w:cs="Times New Roman TUR"/>
        </w:rPr>
        <w:t xml:space="preserve">G-242, Notice of Information Needed in Claim Under </w:t>
      </w:r>
      <w:r w:rsidRPr="00B35C5F" w:rsidR="00440138">
        <w:rPr>
          <w:rFonts w:cs="Times New Roman TUR"/>
        </w:rPr>
        <w:t xml:space="preserve">the </w:t>
      </w:r>
      <w:r w:rsidRPr="00B35C5F" w:rsidR="002406AC">
        <w:rPr>
          <w:rFonts w:cs="Times New Roman TUR"/>
        </w:rPr>
        <w:t xml:space="preserve">Railroad Retirement Act, and its cover letter, </w:t>
      </w:r>
      <w:r w:rsidRPr="00B35C5F" w:rsidR="009F5F75">
        <w:rPr>
          <w:rFonts w:cs="Times New Roman TUR"/>
        </w:rPr>
        <w:t>F</w:t>
      </w:r>
      <w:r w:rsidRPr="00B35C5F" w:rsidR="002406AC">
        <w:rPr>
          <w:rFonts w:cs="Times New Roman TUR"/>
        </w:rPr>
        <w:t>orm RL-57A-F</w:t>
      </w:r>
      <w:r w:rsidRPr="00B35C5F" w:rsidR="009E5770">
        <w:rPr>
          <w:rFonts w:cs="Times New Roman TUR"/>
        </w:rPr>
        <w:t xml:space="preserve">, </w:t>
      </w:r>
      <w:r w:rsidRPr="00B35C5F" w:rsidR="00440138">
        <w:rPr>
          <w:rFonts w:cs="Arial"/>
          <w:szCs w:val="22"/>
        </w:rPr>
        <w:t xml:space="preserve">Letter Requesting Applicant to Furnish Evidence, </w:t>
      </w:r>
      <w:r w:rsidRPr="00B35C5F" w:rsidR="009E5770">
        <w:rPr>
          <w:rFonts w:cs="Times New Roman TUR"/>
        </w:rPr>
        <w:t>are transmitted with</w:t>
      </w:r>
      <w:r w:rsidRPr="00B35C5F" w:rsidR="00AF3FF1">
        <w:rPr>
          <w:rFonts w:cs="Times New Roman TUR"/>
        </w:rPr>
        <w:t xml:space="preserve"> </w:t>
      </w:r>
      <w:r w:rsidRPr="00B35C5F">
        <w:rPr>
          <w:rFonts w:cs="Times New Roman TUR"/>
        </w:rPr>
        <w:t>the G-134</w:t>
      </w:r>
      <w:r w:rsidRPr="00B35C5F" w:rsidR="009F5F75">
        <w:rPr>
          <w:rFonts w:cs="Times New Roman TUR"/>
        </w:rPr>
        <w:t xml:space="preserve"> </w:t>
      </w:r>
      <w:r w:rsidRPr="00B35C5F" w:rsidR="009E5770">
        <w:rPr>
          <w:rFonts w:cs="Times New Roman TUR"/>
        </w:rPr>
        <w:t xml:space="preserve">to request </w:t>
      </w:r>
      <w:r w:rsidRPr="00B35C5F" w:rsidR="00AF3FF1">
        <w:rPr>
          <w:rFonts w:cs="Times New Roman TUR"/>
        </w:rPr>
        <w:t xml:space="preserve">any </w:t>
      </w:r>
      <w:r w:rsidRPr="00B35C5F" w:rsidR="009E5770">
        <w:rPr>
          <w:rFonts w:cs="Times New Roman TUR"/>
        </w:rPr>
        <w:t>proofs</w:t>
      </w:r>
      <w:r w:rsidRPr="00B35C5F" w:rsidR="00AF3FF1">
        <w:rPr>
          <w:rFonts w:cs="Times New Roman TUR"/>
        </w:rPr>
        <w:t xml:space="preserve"> needed to complete the claim</w:t>
      </w:r>
      <w:r w:rsidRPr="00B35C5F" w:rsidR="009E5770">
        <w:rPr>
          <w:rFonts w:cs="Times New Roman TUR"/>
        </w:rPr>
        <w:t>.</w:t>
      </w:r>
    </w:p>
    <w:p w:rsidR="00CF1D46" w:rsidP="0007735E" w:rsidRDefault="00CF1D46" w14:paraId="120701D4" w14:textId="77777777">
      <w:pPr>
        <w:widowControl/>
        <w:ind w:left="540"/>
        <w:jc w:val="both"/>
        <w:rPr>
          <w:rFonts w:cs="Times New Roman TUR"/>
        </w:rPr>
      </w:pPr>
    </w:p>
    <w:p w:rsidRPr="00B35C5F" w:rsidR="00CF1D46" w:rsidP="0007735E" w:rsidRDefault="00CF1D46" w14:paraId="31DDDB43" w14:textId="0BC21A4E">
      <w:pPr>
        <w:widowControl/>
        <w:ind w:left="540"/>
        <w:jc w:val="both"/>
        <w:rPr>
          <w:rFonts w:cs="Times New Roman TUR"/>
        </w:rPr>
      </w:pPr>
      <w:r w:rsidRPr="00D844A2">
        <w:rPr>
          <w:b/>
        </w:rPr>
        <w:t xml:space="preserve">The RRB proposes </w:t>
      </w:r>
      <w:r w:rsidR="00FA1FC3">
        <w:rPr>
          <w:b/>
        </w:rPr>
        <w:t xml:space="preserve">a </w:t>
      </w:r>
      <w:r w:rsidRPr="00D844A2">
        <w:rPr>
          <w:b/>
        </w:rPr>
        <w:t>minor editorial change to Form G-134 to change the date under Section 1 “General Instructions”.</w:t>
      </w:r>
    </w:p>
    <w:p w:rsidR="007A3821" w:rsidP="00DE35ED" w:rsidRDefault="007A3821" w14:paraId="2DCF0C63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F34CA" w:rsidRDefault="00165941" w14:paraId="50E94273" w14:textId="2BCE1EE2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  <w:r>
        <w:rPr>
          <w:rFonts w:cs="Times New Roman TUR"/>
        </w:rPr>
        <w:t xml:space="preserve">   </w:t>
      </w:r>
    </w:p>
    <w:p w:rsidR="007A3821" w:rsidP="00DE35ED" w:rsidRDefault="007A3821" w14:paraId="1FA70D72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lastRenderedPageBreak/>
        <w:t>3.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Planned use of improved information technology or technical/legal impediments to further burden reduction</w:t>
      </w:r>
      <w:r w:rsidRPr="00B35C5F" w:rsidR="00440138">
        <w:rPr>
          <w:rFonts w:cs="Times New Roman TUR"/>
        </w:rPr>
        <w:t xml:space="preserve"> -</w:t>
      </w:r>
      <w:r w:rsidRPr="00B35C5F">
        <w:rPr>
          <w:rFonts w:cs="Times New Roman TUR"/>
        </w:rPr>
        <w:t xml:space="preserve"> No</w:t>
      </w:r>
      <w:r w:rsidRPr="00B35C5F" w:rsidR="006B28BF">
        <w:rPr>
          <w:rFonts w:cs="Times New Roman TUR"/>
        </w:rPr>
        <w:t xml:space="preserve">ne </w:t>
      </w:r>
      <w:r w:rsidRPr="00B35C5F">
        <w:rPr>
          <w:rFonts w:cs="Times New Roman TUR"/>
        </w:rPr>
        <w:t xml:space="preserve">planned due to low volume </w:t>
      </w:r>
      <w:r w:rsidRPr="00B35C5F" w:rsidR="009E5770">
        <w:rPr>
          <w:rFonts w:cs="Times New Roman TUR"/>
        </w:rPr>
        <w:t xml:space="preserve">(100 </w:t>
      </w:r>
      <w:r w:rsidRPr="00AD7D3A" w:rsidR="009E5770">
        <w:rPr>
          <w:rFonts w:cs="Times New Roman TUR"/>
        </w:rPr>
        <w:t>responses annually).</w:t>
      </w:r>
      <w:r w:rsidRPr="00AD7D3A" w:rsidR="009D171B">
        <w:rPr>
          <w:rFonts w:cs="Times New Roman TUR"/>
        </w:rPr>
        <w:t xml:space="preserve">  </w:t>
      </w:r>
      <w:r w:rsidRPr="00A03245" w:rsidR="009D171B">
        <w:rPr>
          <w:rFonts w:cs="Arial"/>
          <w:szCs w:val="22"/>
        </w:rPr>
        <w:t>We will reevaluate after the completion of the RRB IT Modernization Project.</w:t>
      </w:r>
    </w:p>
    <w:p w:rsidRPr="00B35C5F" w:rsidR="00A46F3C" w:rsidP="00DE35ED" w:rsidRDefault="00A46F3C" w14:paraId="66BB95D2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8A79A7" w:rsidRDefault="007A3821" w14:paraId="456F7719" w14:textId="08AF447D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4.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Efforts to identify duplication</w:t>
      </w:r>
      <w:r w:rsidRPr="00B35C5F">
        <w:rPr>
          <w:rFonts w:cs="Times New Roman TUR"/>
          <w:szCs w:val="28"/>
        </w:rPr>
        <w:t xml:space="preserve"> - </w:t>
      </w:r>
      <w:r w:rsidRPr="00A46F3C" w:rsidR="00A46F3C">
        <w:rPr>
          <w:rFonts w:cs="Times New Roman TUR"/>
          <w:szCs w:val="28"/>
        </w:rPr>
        <w:t>Form G-134 is similar to Form SSA-760-F4, OMB No. 0960-0001.</w:t>
      </w:r>
      <w:r w:rsidR="00A46F3C">
        <w:rPr>
          <w:rFonts w:cs="Times New Roman TUR"/>
          <w:szCs w:val="28"/>
        </w:rPr>
        <w:t xml:space="preserve">  </w:t>
      </w:r>
      <w:r w:rsidRPr="00A46F3C" w:rsidR="00A46F3C">
        <w:rPr>
          <w:rFonts w:cs="Times New Roman TUR"/>
          <w:szCs w:val="28"/>
        </w:rPr>
        <w:t>While some of the RRB's beneficiaries may complete a SSA Form SSA-7</w:t>
      </w:r>
      <w:r w:rsidR="00A46F3C">
        <w:rPr>
          <w:rFonts w:cs="Times New Roman TUR"/>
          <w:szCs w:val="28"/>
        </w:rPr>
        <w:t xml:space="preserve">60-F4 </w:t>
      </w:r>
      <w:r w:rsidRPr="00A46F3C" w:rsidR="00A46F3C">
        <w:rPr>
          <w:rFonts w:cs="Times New Roman TUR"/>
          <w:szCs w:val="28"/>
        </w:rPr>
        <w:t xml:space="preserve">because of other </w:t>
      </w:r>
      <w:r w:rsidRPr="00AD7D3A" w:rsidR="00A46F3C">
        <w:rPr>
          <w:rFonts w:cs="Times New Roman TUR"/>
          <w:szCs w:val="28"/>
        </w:rPr>
        <w:t>private pension benefits, new information needs to be obtained relevant to the Railroad Retirement Act.</w:t>
      </w:r>
      <w:r w:rsidRPr="00AD7D3A" w:rsidR="0037109E">
        <w:rPr>
          <w:rFonts w:cs="Times New Roman TUR"/>
          <w:szCs w:val="28"/>
        </w:rPr>
        <w:t xml:space="preserve">  </w:t>
      </w:r>
      <w:r w:rsidRPr="00A03245" w:rsidR="0037109E">
        <w:rPr>
          <w:rFonts w:cs="Arial"/>
        </w:rPr>
        <w:t>This information collection does not duplicate any other RRB information collection.</w:t>
      </w:r>
    </w:p>
    <w:p w:rsidRPr="00B35C5F" w:rsidR="00553B48" w:rsidP="00DE35ED" w:rsidRDefault="00553B48" w14:paraId="6038E3CE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01883AFE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5.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Small business respondents</w:t>
      </w:r>
      <w:r w:rsidRPr="00B35C5F">
        <w:rPr>
          <w:rFonts w:cs="Times New Roman TUR"/>
        </w:rPr>
        <w:t xml:space="preserve"> - N.A.</w:t>
      </w:r>
    </w:p>
    <w:p w:rsidRPr="00B35C5F" w:rsidR="007A3821" w:rsidP="00DE35ED" w:rsidRDefault="007A3821" w14:paraId="624BDDFD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13902A33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6.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Consequences of less frequent collection</w:t>
      </w:r>
      <w:r w:rsidRPr="00B35C5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</w:rPr>
        <w:t>Not applicable since the information is solicited only once.</w:t>
      </w:r>
    </w:p>
    <w:p w:rsidRPr="00B35C5F" w:rsidR="007A3821" w:rsidP="00DE35ED" w:rsidRDefault="007A3821" w14:paraId="1CAFAC10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1A68AADF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u w:val="single"/>
        </w:rPr>
      </w:pPr>
      <w:r w:rsidRPr="00B35C5F">
        <w:rPr>
          <w:rFonts w:cs="Times New Roman TUR"/>
          <w:szCs w:val="28"/>
        </w:rPr>
        <w:t>7.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Special Circumstances</w:t>
      </w:r>
      <w:r w:rsidRPr="00B35C5F">
        <w:rPr>
          <w:rFonts w:cs="Times New Roman TUR"/>
        </w:rPr>
        <w:t xml:space="preserve"> - N.A.</w:t>
      </w:r>
    </w:p>
    <w:p w:rsidRPr="00B35C5F" w:rsidR="007A3821" w:rsidP="00DE35ED" w:rsidRDefault="007A3821" w14:paraId="3C6FE44F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2B96867D" w14:textId="5088E305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8.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Public Comments/Consultations outside the agency</w:t>
      </w:r>
      <w:r w:rsidRPr="00B35C5F">
        <w:rPr>
          <w:rFonts w:cs="Times New Roman TUR"/>
        </w:rPr>
        <w:t xml:space="preserve"> - In accordance with 5 CFR 1320.8 (d), comments were invited from the public regarding the information collection.  The notice to the public was published on page </w:t>
      </w:r>
      <w:r w:rsidR="00D959B4">
        <w:rPr>
          <w:rFonts w:cs="Times New Roman TUR"/>
        </w:rPr>
        <w:t>57258</w:t>
      </w:r>
      <w:r w:rsidRPr="00B35C5F">
        <w:rPr>
          <w:rFonts w:cs="Times New Roman TUR"/>
        </w:rPr>
        <w:t xml:space="preserve"> </w:t>
      </w:r>
      <w:r w:rsidRPr="00B35C5F" w:rsidR="00721385">
        <w:rPr>
          <w:rFonts w:cs="Times New Roman TUR"/>
        </w:rPr>
        <w:t xml:space="preserve">of </w:t>
      </w:r>
      <w:r w:rsidRPr="00B35C5F">
        <w:rPr>
          <w:rFonts w:cs="Times New Roman TUR"/>
        </w:rPr>
        <w:t>the</w:t>
      </w:r>
      <w:r w:rsidR="00D959B4">
        <w:rPr>
          <w:rFonts w:cs="Times New Roman TUR"/>
        </w:rPr>
        <w:t xml:space="preserve"> September 15, 2020</w:t>
      </w:r>
      <w:r w:rsidRPr="00B35C5F">
        <w:rPr>
          <w:rFonts w:cs="Times New Roman TUR"/>
        </w:rPr>
        <w:t xml:space="preserve">, </w:t>
      </w:r>
      <w:r w:rsidRPr="00B35C5F">
        <w:rPr>
          <w:rFonts w:cs="Times New Roman TUR"/>
          <w:u w:val="single"/>
        </w:rPr>
        <w:t>Federal Register</w:t>
      </w:r>
      <w:r w:rsidRPr="00B35C5F">
        <w:rPr>
          <w:rFonts w:cs="Times New Roman TUR"/>
        </w:rPr>
        <w:t>.  No requests for further information or comments were received.</w:t>
      </w:r>
    </w:p>
    <w:p w:rsidRPr="00B35C5F" w:rsidR="007A3821" w:rsidP="00DE35ED" w:rsidRDefault="007A3821" w14:paraId="48B2307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76F94061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u w:val="single"/>
        </w:rPr>
      </w:pPr>
      <w:r w:rsidRPr="00B35C5F">
        <w:rPr>
          <w:rFonts w:cs="Times New Roman TUR"/>
          <w:szCs w:val="28"/>
        </w:rPr>
        <w:t>9.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Payment or Gifts to Respondents</w:t>
      </w:r>
      <w:r w:rsidRPr="00B35C5F">
        <w:rPr>
          <w:rFonts w:cs="Times New Roman TUR"/>
        </w:rPr>
        <w:t xml:space="preserve"> - N.A.</w:t>
      </w:r>
    </w:p>
    <w:p w:rsidRPr="00B35C5F" w:rsidR="007A3821" w:rsidP="00DE35ED" w:rsidRDefault="007A3821" w14:paraId="5327C79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  <w:u w:val="single"/>
        </w:rPr>
      </w:pPr>
    </w:p>
    <w:p w:rsidRPr="00B35C5F" w:rsidR="0007735E" w:rsidP="0007735E" w:rsidRDefault="007A3821" w14:paraId="381FE91B" w14:textId="77777777">
      <w:pPr>
        <w:tabs>
          <w:tab w:val="left" w:pos="540"/>
        </w:tabs>
        <w:ind w:left="540" w:hanging="540"/>
      </w:pPr>
      <w:r w:rsidRPr="00B35C5F">
        <w:rPr>
          <w:rFonts w:cs="Times New Roman TUR"/>
          <w:szCs w:val="28"/>
        </w:rPr>
        <w:t>10.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Confidentiality</w:t>
      </w:r>
      <w:r w:rsidRPr="00B35C5F">
        <w:rPr>
          <w:rFonts w:cs="Times New Roman TUR"/>
        </w:rPr>
        <w:t xml:space="preserve"> - Privacy Act System of Records, RRB</w:t>
      </w:r>
      <w:r w:rsidRPr="00B35C5F" w:rsidR="00020B36">
        <w:rPr>
          <w:rFonts w:cs="Times New Roman TUR"/>
        </w:rPr>
        <w:t>-</w:t>
      </w:r>
      <w:r w:rsidRPr="00B35C5F">
        <w:rPr>
          <w:rFonts w:cs="Times New Roman TUR"/>
        </w:rPr>
        <w:t>22, Railroad Retirement, Survivor, and Pensioner Benefit System - RRB</w:t>
      </w:r>
      <w:r w:rsidRPr="00B35C5F">
        <w:t>.</w:t>
      </w:r>
      <w:r w:rsidRPr="00B35C5F" w:rsidR="009E5770">
        <w:t xml:space="preserve">  </w:t>
      </w:r>
      <w:r w:rsidRPr="00B35C5F" w:rsidR="0007735E">
        <w:t xml:space="preserve">In accordance with OMB Circular M-03-22, a Privacy Impact Assessment for this information collection was completed and can be found at </w:t>
      </w:r>
      <w:hyperlink w:history="1" r:id="rId6">
        <w:r w:rsidRPr="00B35C5F" w:rsidR="0007735E">
          <w:rPr>
            <w:rStyle w:val="Hyperlink"/>
            <w:rFonts w:cs="Arial"/>
            <w:szCs w:val="22"/>
          </w:rPr>
          <w:t>https://www.rrb.gov/sites/default/files/2017-06/PIA-BPO.pdf</w:t>
        </w:r>
      </w:hyperlink>
      <w:r w:rsidRPr="00B35C5F" w:rsidR="0007735E">
        <w:t>.</w:t>
      </w:r>
    </w:p>
    <w:p w:rsidRPr="00B35C5F" w:rsidR="00C37A8A" w:rsidP="0007735E" w:rsidRDefault="00C37A8A" w14:paraId="3B3E8C12" w14:textId="77777777">
      <w:pPr>
        <w:tabs>
          <w:tab w:val="left" w:pos="540"/>
        </w:tabs>
        <w:ind w:left="540" w:hanging="540"/>
        <w:rPr>
          <w:rFonts w:cs="CG Times"/>
        </w:rPr>
      </w:pPr>
    </w:p>
    <w:p w:rsidRPr="00B35C5F" w:rsidR="007A3821" w:rsidP="00DE35ED" w:rsidRDefault="007A3821" w14:paraId="69907184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11.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Sensitive questions</w:t>
      </w:r>
      <w:r w:rsidRPr="00B35C5F">
        <w:rPr>
          <w:rFonts w:cs="Times New Roman TUR"/>
        </w:rPr>
        <w:t xml:space="preserve"> - There are no questions of a sensitive nature.</w:t>
      </w:r>
    </w:p>
    <w:p w:rsidRPr="00B35C5F" w:rsidR="007A3821" w:rsidP="00DE35ED" w:rsidRDefault="007A3821" w14:paraId="655FD32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283394B2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12.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Estimate of respondent</w:t>
      </w:r>
      <w:r w:rsidRPr="00B35C5F" w:rsidR="006B28BF">
        <w:rPr>
          <w:rFonts w:cs="Times New Roman TUR"/>
          <w:szCs w:val="28"/>
          <w:u w:val="single"/>
        </w:rPr>
        <w:t xml:space="preserve"> </w:t>
      </w:r>
      <w:r w:rsidRPr="00B35C5F">
        <w:rPr>
          <w:rFonts w:cs="Times New Roman TUR"/>
          <w:szCs w:val="28"/>
          <w:u w:val="single"/>
        </w:rPr>
        <w:t>burden</w:t>
      </w:r>
      <w:r w:rsidRPr="00B35C5F" w:rsidR="006B28B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</w:rPr>
        <w:t xml:space="preserve">The current </w:t>
      </w:r>
      <w:r w:rsidRPr="00B35C5F" w:rsidR="006B28BF">
        <w:rPr>
          <w:rFonts w:cs="Times New Roman TUR"/>
        </w:rPr>
        <w:t>estimated burden is unchanged</w:t>
      </w:r>
      <w:r w:rsidRPr="00B35C5F" w:rsidR="00BA6149">
        <w:rPr>
          <w:rFonts w:cs="Times New Roman TUR"/>
        </w:rPr>
        <w:t>.</w:t>
      </w:r>
      <w:r w:rsidRPr="00B35C5F" w:rsidR="006B28BF">
        <w:rPr>
          <w:rFonts w:cs="Times New Roman TUR"/>
        </w:rPr>
        <w:t xml:space="preserve"> </w:t>
      </w:r>
    </w:p>
    <w:p w:rsidRPr="00B35C5F" w:rsidR="007A3821" w:rsidP="00DE35ED" w:rsidRDefault="007A3821" w14:paraId="5DDC463B" w14:textId="77777777">
      <w:pPr>
        <w:widowControl/>
        <w:tabs>
          <w:tab w:val="center" w:pos="4680"/>
        </w:tabs>
        <w:jc w:val="both"/>
        <w:rPr>
          <w:rFonts w:cs="Times New Roman TUR"/>
        </w:rPr>
      </w:pPr>
      <w:r w:rsidRPr="00B35C5F">
        <w:rPr>
          <w:rFonts w:cs="Times New Roman TUR"/>
        </w:rPr>
        <w:tab/>
      </w:r>
    </w:p>
    <w:p w:rsidRPr="00B35C5F" w:rsidR="007A3821" w:rsidP="00DE35ED" w:rsidRDefault="007A3821" w14:paraId="667F2FE8" w14:textId="77777777">
      <w:pPr>
        <w:widowControl/>
        <w:ind w:left="630"/>
        <w:jc w:val="center"/>
        <w:rPr>
          <w:rFonts w:cs="Times New Roman TUR"/>
          <w:b/>
        </w:rPr>
      </w:pPr>
      <w:r w:rsidRPr="00B35C5F">
        <w:rPr>
          <w:rFonts w:cs="Times New Roman TUR"/>
          <w:b/>
        </w:rPr>
        <w:t>Current Burde</w:t>
      </w:r>
      <w:r w:rsidRPr="00B35C5F" w:rsidR="006A5604">
        <w:rPr>
          <w:rFonts w:cs="Times New Roman TUR"/>
          <w:b/>
        </w:rPr>
        <w:t>n</w:t>
      </w:r>
    </w:p>
    <w:tbl>
      <w:tblPr>
        <w:tblW w:w="8910" w:type="dxa"/>
        <w:tblInd w:w="591" w:type="dxa"/>
        <w:tblBorders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610"/>
        <w:gridCol w:w="2250"/>
        <w:gridCol w:w="2244"/>
        <w:gridCol w:w="1806"/>
      </w:tblGrid>
      <w:tr w:rsidRPr="00B35C5F" w:rsidR="007A3821" w:rsidTr="00DD18A1" w14:paraId="6C4B15C7" w14:textId="77777777">
        <w:trPr>
          <w:trHeight w:val="486" w:hRule="exact"/>
        </w:trPr>
        <w:tc>
          <w:tcPr>
            <w:tcW w:w="2610" w:type="dxa"/>
            <w:vAlign w:val="center"/>
          </w:tcPr>
          <w:p w:rsidRPr="00B35C5F" w:rsidR="007A3821" w:rsidP="00DE35ED" w:rsidRDefault="007A3821" w14:paraId="385DB564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</w:t>
            </w:r>
            <w:r w:rsidRPr="00B35C5F" w:rsidR="00092186">
              <w:rPr>
                <w:rFonts w:cs="Times New Roman TUR"/>
              </w:rPr>
              <w:t xml:space="preserve"> Number</w:t>
            </w:r>
          </w:p>
        </w:tc>
        <w:tc>
          <w:tcPr>
            <w:tcW w:w="2250" w:type="dxa"/>
            <w:vAlign w:val="center"/>
          </w:tcPr>
          <w:p w:rsidRPr="00B35C5F" w:rsidR="007A3821" w:rsidP="00DE35ED" w:rsidRDefault="007A3821" w14:paraId="7E049C8F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Annual Responses</w:t>
            </w:r>
          </w:p>
        </w:tc>
        <w:tc>
          <w:tcPr>
            <w:tcW w:w="2244" w:type="dxa"/>
            <w:vAlign w:val="center"/>
          </w:tcPr>
          <w:p w:rsidRPr="00B35C5F" w:rsidR="007A3821" w:rsidP="00DE35ED" w:rsidRDefault="007A3821" w14:paraId="11F714FC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Time (Min</w:t>
            </w:r>
            <w:r w:rsidRPr="00B35C5F" w:rsidR="00092186">
              <w:rPr>
                <w:rFonts w:cs="Times New Roman TUR"/>
              </w:rPr>
              <w:t>utes</w:t>
            </w:r>
            <w:r w:rsidRPr="00B35C5F">
              <w:rPr>
                <w:rFonts w:cs="Times New Roman TUR"/>
              </w:rPr>
              <w:t>)</w:t>
            </w:r>
            <w:r w:rsidR="00CF1D46">
              <w:rPr>
                <w:rFonts w:cs="Times New Roman TUR"/>
              </w:rPr>
              <w:t>/1</w:t>
            </w:r>
          </w:p>
        </w:tc>
        <w:tc>
          <w:tcPr>
            <w:tcW w:w="1806" w:type="dxa"/>
            <w:vAlign w:val="center"/>
          </w:tcPr>
          <w:p w:rsidRPr="00B35C5F" w:rsidR="007A3821" w:rsidP="00DE35ED" w:rsidRDefault="007A3821" w14:paraId="4EECC4EA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Burden (H</w:t>
            </w:r>
            <w:r w:rsidRPr="00B35C5F" w:rsidR="00092186">
              <w:rPr>
                <w:rFonts w:cs="Times New Roman TUR"/>
              </w:rPr>
              <w:t>ou</w:t>
            </w:r>
            <w:r w:rsidRPr="00B35C5F">
              <w:rPr>
                <w:rFonts w:cs="Times New Roman TUR"/>
              </w:rPr>
              <w:t>rs)</w:t>
            </w:r>
          </w:p>
        </w:tc>
      </w:tr>
      <w:tr w:rsidRPr="00B35C5F" w:rsidR="007A3821" w:rsidTr="008D5C3C" w14:paraId="061DD7BD" w14:textId="77777777">
        <w:tc>
          <w:tcPr>
            <w:tcW w:w="2610" w:type="dxa"/>
          </w:tcPr>
          <w:p w:rsidRPr="00B35C5F" w:rsidR="007A3821" w:rsidP="00DE35ED" w:rsidRDefault="007A3821" w14:paraId="178F6C28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 G-134</w:t>
            </w:r>
          </w:p>
          <w:p w:rsidRPr="00B35C5F" w:rsidR="007A3821" w:rsidP="00DE35ED" w:rsidRDefault="007A3821" w14:paraId="7434ED8E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 assistance</w:t>
            </w:r>
          </w:p>
          <w:p w:rsidRPr="00B35C5F" w:rsidR="007A3821" w:rsidP="00DE35ED" w:rsidRDefault="007A3821" w14:paraId="2D8A552D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Without assistance</w:t>
            </w:r>
          </w:p>
        </w:tc>
        <w:tc>
          <w:tcPr>
            <w:tcW w:w="2250" w:type="dxa"/>
          </w:tcPr>
          <w:p w:rsidRPr="00B35C5F" w:rsidR="00092186" w:rsidP="008D5C3C" w:rsidRDefault="00092186" w14:paraId="2EF26B1A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</w:p>
          <w:p w:rsidRPr="00B35C5F" w:rsidR="007A3821" w:rsidP="008D5C3C" w:rsidRDefault="007A3821" w14:paraId="2503906D" w14:textId="07B1096B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75</w:t>
            </w:r>
          </w:p>
          <w:p w:rsidRPr="00B35C5F" w:rsidR="007A3821" w:rsidP="008D5C3C" w:rsidRDefault="007A3821" w14:paraId="14C8601F" w14:textId="2DC313EE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25</w:t>
            </w:r>
          </w:p>
        </w:tc>
        <w:tc>
          <w:tcPr>
            <w:tcW w:w="2244" w:type="dxa"/>
          </w:tcPr>
          <w:p w:rsidRPr="00B35C5F" w:rsidR="00092186" w:rsidP="008D5C3C" w:rsidRDefault="00092186" w14:paraId="661C336A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  <w:p w:rsidRPr="00B35C5F" w:rsidR="006A5604" w:rsidP="008D5C3C" w:rsidRDefault="006A5604" w14:paraId="62ED6583" w14:textId="2FE064EF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147</w:t>
            </w:r>
          </w:p>
          <w:p w:rsidRPr="00B35C5F" w:rsidR="007A3821" w:rsidP="008D5C3C" w:rsidRDefault="006A5604" w14:paraId="485C4408" w14:textId="4E8CE5A3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</w:t>
            </w:r>
            <w:r w:rsidRPr="00B35C5F" w:rsidR="007A3821">
              <w:rPr>
                <w:rFonts w:cs="Times New Roman TUR"/>
              </w:rPr>
              <w:t>8</w:t>
            </w:r>
            <w:r w:rsidRPr="00B35C5F">
              <w:rPr>
                <w:rFonts w:cs="Times New Roman TUR"/>
              </w:rPr>
              <w:t>0</w:t>
            </w:r>
          </w:p>
        </w:tc>
        <w:tc>
          <w:tcPr>
            <w:tcW w:w="1806" w:type="dxa"/>
          </w:tcPr>
          <w:p w:rsidRPr="00B35C5F" w:rsidR="00092186" w:rsidP="008D5C3C" w:rsidRDefault="00092186" w14:paraId="16AAC0E6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</w:p>
          <w:p w:rsidRPr="00B35C5F" w:rsidR="007A3821" w:rsidP="008D5C3C" w:rsidRDefault="00020B36" w14:paraId="2FB6F0CD" w14:textId="205F33AB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</w:t>
            </w:r>
            <w:r w:rsidRPr="00B35C5F" w:rsidR="006A5604">
              <w:rPr>
                <w:rFonts w:cs="Times New Roman TUR"/>
              </w:rPr>
              <w:t>8</w:t>
            </w:r>
            <w:r w:rsidRPr="00B35C5F" w:rsidR="007A3821">
              <w:rPr>
                <w:rFonts w:cs="Times New Roman TUR"/>
              </w:rPr>
              <w:t>4</w:t>
            </w:r>
          </w:p>
          <w:p w:rsidRPr="00B35C5F" w:rsidR="007A3821" w:rsidP="008D5C3C" w:rsidRDefault="006A5604" w14:paraId="1840B99F" w14:textId="6F253245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7</w:t>
            </w:r>
            <w:r w:rsidRPr="00B35C5F" w:rsidR="007A3821">
              <w:rPr>
                <w:rFonts w:cs="Times New Roman TUR"/>
              </w:rPr>
              <w:t>5</w:t>
            </w:r>
          </w:p>
        </w:tc>
      </w:tr>
      <w:tr w:rsidRPr="00B35C5F" w:rsidR="007A3821" w:rsidTr="008D5C3C" w14:paraId="162FF04B" w14:textId="77777777">
        <w:trPr>
          <w:trHeight w:val="500" w:hRule="exact"/>
        </w:trPr>
        <w:tc>
          <w:tcPr>
            <w:tcW w:w="2610" w:type="dxa"/>
            <w:vAlign w:val="center"/>
          </w:tcPr>
          <w:p w:rsidRPr="00B35C5F" w:rsidR="007A3821" w:rsidP="00DE35ED" w:rsidRDefault="007A3821" w14:paraId="41EA325F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Total</w:t>
            </w:r>
          </w:p>
        </w:tc>
        <w:tc>
          <w:tcPr>
            <w:tcW w:w="2250" w:type="dxa"/>
            <w:vAlign w:val="center"/>
          </w:tcPr>
          <w:p w:rsidRPr="00B35C5F" w:rsidR="007A3821" w:rsidP="008D5C3C" w:rsidRDefault="007A3821" w14:paraId="509B2FA4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100</w:t>
            </w:r>
          </w:p>
        </w:tc>
        <w:tc>
          <w:tcPr>
            <w:tcW w:w="2244" w:type="dxa"/>
            <w:vAlign w:val="center"/>
          </w:tcPr>
          <w:p w:rsidRPr="00B35C5F" w:rsidR="007A3821" w:rsidP="008D5C3C" w:rsidRDefault="007A3821" w14:paraId="6C7F8B34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</w:tc>
        <w:tc>
          <w:tcPr>
            <w:tcW w:w="1806" w:type="dxa"/>
            <w:vAlign w:val="center"/>
          </w:tcPr>
          <w:p w:rsidRPr="00B35C5F" w:rsidR="007A3821" w:rsidP="008D5C3C" w:rsidRDefault="006A5604" w14:paraId="740C47EB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259</w:t>
            </w:r>
          </w:p>
        </w:tc>
      </w:tr>
    </w:tbl>
    <w:p w:rsidR="007A3821" w:rsidP="00A03245" w:rsidRDefault="00CF1D46" w14:paraId="482232B4" w14:textId="77777777">
      <w:pPr>
        <w:widowControl/>
        <w:ind w:left="720"/>
        <w:jc w:val="both"/>
        <w:rPr>
          <w:rFonts w:ascii="Calibri" w:hAnsi="Calibri" w:eastAsia="Calibri"/>
          <w:b/>
          <w:sz w:val="21"/>
          <w:szCs w:val="21"/>
        </w:rPr>
      </w:pPr>
      <w:r w:rsidRPr="00CF1D46">
        <w:rPr>
          <w:rFonts w:ascii="Calibri" w:hAnsi="Calibri" w:eastAsia="Calibri"/>
          <w:b/>
          <w:szCs w:val="22"/>
        </w:rPr>
        <w:t>1</w:t>
      </w:r>
      <w:r w:rsidRPr="00CF1D46">
        <w:rPr>
          <w:rFonts w:ascii="Calibri" w:hAnsi="Calibri" w:eastAsia="Calibri"/>
          <w:b/>
          <w:sz w:val="21"/>
          <w:szCs w:val="21"/>
        </w:rPr>
        <w:t>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</w:t>
      </w:r>
      <w:r>
        <w:rPr>
          <w:rFonts w:ascii="Calibri" w:hAnsi="Calibri" w:eastAsia="Calibri"/>
          <w:b/>
          <w:sz w:val="21"/>
          <w:szCs w:val="21"/>
        </w:rPr>
        <w:t>.</w:t>
      </w:r>
    </w:p>
    <w:p w:rsidRPr="00B35C5F" w:rsidR="00CF1D46" w:rsidP="00DE35ED" w:rsidRDefault="00CF1D46" w14:paraId="63000BD7" w14:textId="77777777">
      <w:pPr>
        <w:widowControl/>
        <w:jc w:val="both"/>
        <w:rPr>
          <w:rFonts w:cs="Times New Roman TUR"/>
        </w:rPr>
      </w:pPr>
    </w:p>
    <w:p w:rsidRPr="00B35C5F" w:rsidR="007A3821" w:rsidP="00DE35ED" w:rsidRDefault="007A3821" w14:paraId="13D318E4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13.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Estimate of annual cost burden to respondents or record</w:t>
      </w:r>
      <w:r w:rsidRPr="00B35C5F" w:rsidR="003765C3">
        <w:rPr>
          <w:rFonts w:cs="Times New Roman TUR"/>
          <w:szCs w:val="28"/>
          <w:u w:val="single"/>
        </w:rPr>
        <w:t xml:space="preserve"> </w:t>
      </w:r>
      <w:r w:rsidRPr="00B35C5F">
        <w:rPr>
          <w:rFonts w:cs="Times New Roman TUR"/>
          <w:szCs w:val="28"/>
          <w:u w:val="single"/>
        </w:rPr>
        <w:t>keepers</w:t>
      </w:r>
      <w:r w:rsidRPr="00B35C5F">
        <w:rPr>
          <w:rFonts w:cs="Times New Roman TUR"/>
        </w:rPr>
        <w:t xml:space="preserve"> - N.A.</w:t>
      </w:r>
    </w:p>
    <w:p w:rsidRPr="00B35C5F" w:rsidR="007A3821" w:rsidP="00DE35ED" w:rsidRDefault="007A3821" w14:paraId="246E97E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P="00DE35ED" w:rsidRDefault="007A3821" w14:paraId="41C55D4B" w14:textId="45F62823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14.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 xml:space="preserve">Estimated cost to Federal </w:t>
      </w:r>
      <w:r w:rsidRPr="00B35C5F" w:rsidR="00092186">
        <w:rPr>
          <w:rFonts w:cs="Times New Roman TUR"/>
          <w:szCs w:val="28"/>
          <w:u w:val="single"/>
        </w:rPr>
        <w:t>G</w:t>
      </w:r>
      <w:r w:rsidRPr="00B35C5F">
        <w:rPr>
          <w:rFonts w:cs="Times New Roman TUR"/>
          <w:szCs w:val="28"/>
          <w:u w:val="single"/>
        </w:rPr>
        <w:t>overnment</w:t>
      </w:r>
      <w:r w:rsidRPr="00B35C5F" w:rsidR="00311C91">
        <w:rPr>
          <w:rFonts w:cs="Times New Roman TUR"/>
        </w:rPr>
        <w:t xml:space="preserve"> - N.A.</w:t>
      </w:r>
    </w:p>
    <w:p w:rsidRPr="00B35C5F" w:rsidR="00DD18A1" w:rsidP="00DE35ED" w:rsidRDefault="00DD18A1" w14:paraId="0F6E8E20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Pr="00B35C5F" w:rsidR="007A3821" w:rsidP="00DE35ED" w:rsidRDefault="007A3821" w14:paraId="414FAF62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15.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Explanation for changes in burden</w:t>
      </w:r>
      <w:r w:rsidRPr="00B35C5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</w:rPr>
        <w:t>N.A.</w:t>
      </w:r>
    </w:p>
    <w:p w:rsidRPr="00B35C5F" w:rsidR="007A3821" w:rsidP="00DE35ED" w:rsidRDefault="007A3821" w14:paraId="3585E040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bookmarkStart w:name="_GoBack" w:id="0"/>
      <w:bookmarkEnd w:id="0"/>
      <w:r w:rsidRPr="00B35C5F">
        <w:rPr>
          <w:rFonts w:cs="Times New Roman TUR"/>
          <w:szCs w:val="28"/>
        </w:rPr>
        <w:lastRenderedPageBreak/>
        <w:t>16.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Time schedule for data collection and publication</w:t>
      </w:r>
      <w:r w:rsidRPr="00B35C5F">
        <w:rPr>
          <w:rFonts w:cs="Times New Roman TUR"/>
        </w:rPr>
        <w:t xml:space="preserve"> -The results of this collection will not be published.</w:t>
      </w:r>
    </w:p>
    <w:p w:rsidRPr="00B35C5F" w:rsidR="007A3821" w:rsidP="00DE35ED" w:rsidRDefault="007A3821" w14:paraId="6BF8D91B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Pr="00DB1B3F" w:rsidR="00CF1D46" w:rsidP="00CF1D46" w:rsidRDefault="007A3821" w14:paraId="44ADC331" w14:textId="77777777">
      <w:pPr>
        <w:tabs>
          <w:tab w:val="left" w:pos="-1440"/>
          <w:tab w:val="left" w:pos="540"/>
        </w:tabs>
        <w:ind w:left="540" w:hanging="540"/>
        <w:jc w:val="both"/>
        <w:rPr>
          <w:rFonts w:cs="Arial"/>
          <w:u w:val="single"/>
        </w:rPr>
      </w:pPr>
      <w:r w:rsidRPr="00B35C5F">
        <w:rPr>
          <w:rFonts w:cs="Times New Roman TUR"/>
          <w:szCs w:val="28"/>
        </w:rPr>
        <w:t>17.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Request to not display OMB expiration date</w:t>
      </w:r>
      <w:r w:rsidRPr="00B35C5F">
        <w:rPr>
          <w:rFonts w:cs="Times New Roman TUR"/>
          <w:szCs w:val="28"/>
        </w:rPr>
        <w:t xml:space="preserve"> - </w:t>
      </w:r>
      <w:r w:rsidRPr="00DB1B3F" w:rsidR="00CF1D46">
        <w:rPr>
          <w:rFonts w:cs="Arial"/>
        </w:rPr>
        <w:t>The RRB started an extensive multi-year IT Modernization Initiative at the beginning of Fiscal Year 2019 to transform our operations into the 21</w:t>
      </w:r>
      <w:r w:rsidRPr="00DB1B3F" w:rsidR="00CF1D46">
        <w:rPr>
          <w:rFonts w:cs="Arial"/>
          <w:vertAlign w:val="superscript"/>
        </w:rPr>
        <w:t>st</w:t>
      </w:r>
      <w:r w:rsidRPr="00DB1B3F" w:rsidR="00CF1D46">
        <w:rPr>
          <w:rFonts w:cs="Arial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dates.  </w:t>
      </w:r>
      <w:r w:rsidR="00CF1D46">
        <w:rPr>
          <w:rFonts w:cs="Arial"/>
        </w:rPr>
        <w:t xml:space="preserve">We provided </w:t>
      </w:r>
      <w:r w:rsidRPr="00DB1B3F" w:rsidR="00CF1D46">
        <w:rPr>
          <w:rFonts w:cs="Arial"/>
        </w:rPr>
        <w:t xml:space="preserve">OMB with a consolidated project timeline. </w:t>
      </w:r>
    </w:p>
    <w:p w:rsidRPr="00DB1B3F" w:rsidR="00CF1D46" w:rsidP="00CF1D46" w:rsidRDefault="00CF1D46" w14:paraId="5925F54F" w14:textId="77777777">
      <w:pPr>
        <w:tabs>
          <w:tab w:val="left" w:pos="-1440"/>
          <w:tab w:val="left" w:pos="540"/>
        </w:tabs>
        <w:jc w:val="both"/>
        <w:rPr>
          <w:rFonts w:cs="Arial"/>
        </w:rPr>
      </w:pPr>
    </w:p>
    <w:p w:rsidR="00CF1D46" w:rsidP="00CF1D46" w:rsidRDefault="00CF1D46" w14:paraId="2040AE9E" w14:textId="77777777">
      <w:pPr>
        <w:tabs>
          <w:tab w:val="left" w:pos="-1440"/>
          <w:tab w:val="left" w:pos="540"/>
        </w:tabs>
        <w:ind w:left="540"/>
        <w:jc w:val="both"/>
        <w:rPr>
          <w:rFonts w:cs="Arial"/>
        </w:rPr>
      </w:pPr>
      <w:r w:rsidRPr="00DB1B3F">
        <w:rPr>
          <w:rFonts w:cs="Arial"/>
        </w:rPr>
        <w:t>Given that the forms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Pr="00B35C5F" w:rsidR="007A3821" w:rsidP="00DE35ED" w:rsidRDefault="007A3821" w14:paraId="6C77B1D9" w14:textId="5E13908F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Pr="006B16E3" w:rsidR="00DE35ED" w:rsidRDefault="007A3821" w14:paraId="4E424B89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18.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Exceptions to Certification Statement</w:t>
      </w:r>
      <w:r w:rsidRPr="00B35C5F" w:rsidR="00E96450">
        <w:rPr>
          <w:rFonts w:cs="Times New Roman TUR"/>
          <w:szCs w:val="28"/>
        </w:rPr>
        <w:t xml:space="preserve"> </w:t>
      </w:r>
      <w:r w:rsidRPr="00B35C5F">
        <w:rPr>
          <w:rFonts w:cs="Times New Roman TUR"/>
        </w:rPr>
        <w:t>- None</w:t>
      </w:r>
    </w:p>
    <w:sectPr w:rsidRPr="006B16E3" w:rsidR="00DE35ED" w:rsidSect="00092186">
      <w:headerReference w:type="default" r:id="rId7"/>
      <w:footerReference w:type="default" r:id="rId8"/>
      <w:type w:val="continuous"/>
      <w:pgSz w:w="12240" w:h="15840" w:code="1"/>
      <w:pgMar w:top="1440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D2CD" w14:textId="77777777" w:rsidR="00E46F06" w:rsidRDefault="00E46F06">
      <w:r>
        <w:separator/>
      </w:r>
    </w:p>
  </w:endnote>
  <w:endnote w:type="continuationSeparator" w:id="0">
    <w:p w14:paraId="1A681D32" w14:textId="77777777" w:rsidR="00E46F06" w:rsidRDefault="00E4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9B3D9" w14:textId="7AE36B78" w:rsidR="00E96450" w:rsidRPr="00E96450" w:rsidRDefault="00E96450">
    <w:pPr>
      <w:pStyle w:val="Footer"/>
      <w:jc w:val="center"/>
      <w:rPr>
        <w:rFonts w:cs="Arial"/>
        <w:szCs w:val="22"/>
      </w:rPr>
    </w:pPr>
    <w:r w:rsidRPr="00E96450">
      <w:rPr>
        <w:rFonts w:cs="Arial"/>
        <w:szCs w:val="22"/>
      </w:rPr>
      <w:t>-</w:t>
    </w:r>
    <w:r w:rsidRPr="00E96450">
      <w:rPr>
        <w:rFonts w:cs="Arial"/>
        <w:szCs w:val="22"/>
      </w:rPr>
      <w:fldChar w:fldCharType="begin"/>
    </w:r>
    <w:r w:rsidRPr="00E96450">
      <w:rPr>
        <w:rFonts w:cs="Arial"/>
        <w:szCs w:val="22"/>
      </w:rPr>
      <w:instrText xml:space="preserve"> PAGE   \* MERGEFORMAT </w:instrText>
    </w:r>
    <w:r w:rsidRPr="00E96450">
      <w:rPr>
        <w:rFonts w:cs="Arial"/>
        <w:szCs w:val="22"/>
      </w:rPr>
      <w:fldChar w:fldCharType="separate"/>
    </w:r>
    <w:r w:rsidR="00DD18A1">
      <w:rPr>
        <w:rFonts w:cs="Arial"/>
        <w:noProof/>
        <w:szCs w:val="22"/>
      </w:rPr>
      <w:t>1</w:t>
    </w:r>
    <w:r w:rsidRPr="00E96450">
      <w:rPr>
        <w:rFonts w:cs="Arial"/>
        <w:noProof/>
        <w:szCs w:val="22"/>
      </w:rPr>
      <w:fldChar w:fldCharType="end"/>
    </w:r>
    <w:r w:rsidRPr="00E96450">
      <w:rPr>
        <w:rFonts w:cs="Arial"/>
        <w:noProof/>
        <w:szCs w:val="22"/>
      </w:rPr>
      <w:t>-</w:t>
    </w:r>
  </w:p>
  <w:p w14:paraId="43654933" w14:textId="77777777" w:rsidR="00AF3FF1" w:rsidRDefault="00AF3F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2964D" w14:textId="77777777" w:rsidR="00E46F06" w:rsidRDefault="00E46F06">
      <w:r>
        <w:separator/>
      </w:r>
    </w:p>
  </w:footnote>
  <w:footnote w:type="continuationSeparator" w:id="0">
    <w:p w14:paraId="4FFFAFD5" w14:textId="77777777" w:rsidR="00E46F06" w:rsidRDefault="00E4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1550" w14:textId="77777777" w:rsidR="00AF3FF1" w:rsidRPr="00092186" w:rsidRDefault="00AF3FF1" w:rsidP="00092186">
    <w:pPr>
      <w:tabs>
        <w:tab w:val="right" w:pos="9360"/>
      </w:tabs>
      <w:jc w:val="right"/>
      <w:rPr>
        <w:rFonts w:cs="Times New Roman TUR"/>
        <w:bCs/>
      </w:rPr>
    </w:pPr>
    <w:r>
      <w:rPr>
        <w:rFonts w:cs="Times New Roman TUR"/>
        <w:bCs/>
      </w:rPr>
      <w:t>OMB NO. 3220-0099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4"/>
    <w:rsid w:val="00004BA8"/>
    <w:rsid w:val="00020B36"/>
    <w:rsid w:val="0007735E"/>
    <w:rsid w:val="00092186"/>
    <w:rsid w:val="001033E0"/>
    <w:rsid w:val="00115DE9"/>
    <w:rsid w:val="00165941"/>
    <w:rsid w:val="001A12E6"/>
    <w:rsid w:val="0021693A"/>
    <w:rsid w:val="002406AC"/>
    <w:rsid w:val="00252BF6"/>
    <w:rsid w:val="00267F63"/>
    <w:rsid w:val="00283CE7"/>
    <w:rsid w:val="00287253"/>
    <w:rsid w:val="002A1B20"/>
    <w:rsid w:val="002F7653"/>
    <w:rsid w:val="00311C91"/>
    <w:rsid w:val="0037109E"/>
    <w:rsid w:val="003765C3"/>
    <w:rsid w:val="003B22FC"/>
    <w:rsid w:val="003C2804"/>
    <w:rsid w:val="00402738"/>
    <w:rsid w:val="00440138"/>
    <w:rsid w:val="00457B3A"/>
    <w:rsid w:val="004F7CD2"/>
    <w:rsid w:val="00511D7D"/>
    <w:rsid w:val="00553B48"/>
    <w:rsid w:val="00687022"/>
    <w:rsid w:val="006A5604"/>
    <w:rsid w:val="006B16E3"/>
    <w:rsid w:val="006B28BF"/>
    <w:rsid w:val="00721385"/>
    <w:rsid w:val="00742653"/>
    <w:rsid w:val="00755503"/>
    <w:rsid w:val="007A3821"/>
    <w:rsid w:val="007F34CA"/>
    <w:rsid w:val="0082096A"/>
    <w:rsid w:val="00897038"/>
    <w:rsid w:val="008A79A7"/>
    <w:rsid w:val="008B2791"/>
    <w:rsid w:val="008D5C3C"/>
    <w:rsid w:val="009D171B"/>
    <w:rsid w:val="009E5770"/>
    <w:rsid w:val="009F5F75"/>
    <w:rsid w:val="00A03245"/>
    <w:rsid w:val="00A44B77"/>
    <w:rsid w:val="00A46F3C"/>
    <w:rsid w:val="00A75751"/>
    <w:rsid w:val="00AB36DF"/>
    <w:rsid w:val="00AB749D"/>
    <w:rsid w:val="00AC1C19"/>
    <w:rsid w:val="00AC463C"/>
    <w:rsid w:val="00AD7D3A"/>
    <w:rsid w:val="00AF3FF1"/>
    <w:rsid w:val="00B30A50"/>
    <w:rsid w:val="00B35C5F"/>
    <w:rsid w:val="00B560AB"/>
    <w:rsid w:val="00B765E3"/>
    <w:rsid w:val="00BA6149"/>
    <w:rsid w:val="00C37A8A"/>
    <w:rsid w:val="00CF1D46"/>
    <w:rsid w:val="00D133E8"/>
    <w:rsid w:val="00D24E89"/>
    <w:rsid w:val="00D347C3"/>
    <w:rsid w:val="00D41750"/>
    <w:rsid w:val="00D64192"/>
    <w:rsid w:val="00D948CB"/>
    <w:rsid w:val="00D959B4"/>
    <w:rsid w:val="00DD18A1"/>
    <w:rsid w:val="00DE35ED"/>
    <w:rsid w:val="00E13571"/>
    <w:rsid w:val="00E46F06"/>
    <w:rsid w:val="00E709B3"/>
    <w:rsid w:val="00E9543A"/>
    <w:rsid w:val="00E96450"/>
    <w:rsid w:val="00EF2CB5"/>
    <w:rsid w:val="00F15AE8"/>
    <w:rsid w:val="00F2272B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5D057"/>
  <w15:chartTrackingRefBased/>
  <w15:docId w15:val="{6F78E2FF-C251-4713-ACA9-6822954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35E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D64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41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5D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B28BF"/>
  </w:style>
  <w:style w:type="character" w:styleId="Hyperlink">
    <w:name w:val="Hyperlink"/>
    <w:rsid w:val="009E577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96450"/>
    <w:rPr>
      <w:rFonts w:ascii="Courier" w:hAnsi="Courier"/>
      <w:sz w:val="24"/>
      <w:szCs w:val="24"/>
    </w:rPr>
  </w:style>
  <w:style w:type="character" w:styleId="FollowedHyperlink">
    <w:name w:val="FollowedHyperlink"/>
    <w:rsid w:val="00C37A8A"/>
    <w:rPr>
      <w:color w:val="954F72"/>
      <w:u w:val="single"/>
    </w:rPr>
  </w:style>
  <w:style w:type="paragraph" w:styleId="Revision">
    <w:name w:val="Revision"/>
    <w:hidden/>
    <w:uiPriority w:val="99"/>
    <w:semiHidden/>
    <w:rsid w:val="009D171B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9D1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171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171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rb.gov/sites/default/files/2017-06/PIA-BPO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6655</CharactersWithSpaces>
  <SharedDoc>false</SharedDoc>
  <HLinks>
    <vt:vector size="6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MIERZWCP</dc:creator>
  <cp:keywords/>
  <cp:lastModifiedBy>Foster, Brian D.</cp:lastModifiedBy>
  <cp:revision>6</cp:revision>
  <cp:lastPrinted>2017-09-14T14:01:00Z</cp:lastPrinted>
  <dcterms:created xsi:type="dcterms:W3CDTF">2020-11-19T18:43:00Z</dcterms:created>
  <dcterms:modified xsi:type="dcterms:W3CDTF">2020-11-24T22:16:00Z</dcterms:modified>
</cp:coreProperties>
</file>