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2FC7" w:rsidR="00665BA1" w:rsidRDefault="00EB2FC7" w14:paraId="7BB3B648" w14:textId="77777777">
      <w:pPr>
        <w:jc w:val="center"/>
        <w:rPr>
          <w:b/>
          <w:bCs/>
          <w:sz w:val="24"/>
          <w:u w:val="single"/>
        </w:rPr>
      </w:pPr>
      <w:r w:rsidRPr="00EB2FC7">
        <w:rPr>
          <w:b/>
          <w:bCs/>
          <w:sz w:val="24"/>
          <w:u w:val="single"/>
        </w:rPr>
        <w:t>SUPPORTING STATEMENT</w:t>
      </w:r>
    </w:p>
    <w:p w:rsidR="00EB2FC7" w:rsidP="00EB2FC7" w:rsidRDefault="00EB2FC7" w14:paraId="3864EE94" w14:textId="77777777">
      <w:pPr>
        <w:jc w:val="center"/>
        <w:rPr>
          <w:bCs/>
          <w:sz w:val="24"/>
        </w:rPr>
      </w:pPr>
    </w:p>
    <w:p w:rsidR="00665BA1" w:rsidP="00EB2FC7" w:rsidRDefault="00EB2FC7" w14:paraId="13217883" w14:textId="77777777">
      <w:pPr>
        <w:jc w:val="center"/>
        <w:rPr>
          <w:bCs/>
          <w:sz w:val="24"/>
        </w:rPr>
      </w:pPr>
      <w:r>
        <w:rPr>
          <w:bCs/>
          <w:sz w:val="24"/>
        </w:rPr>
        <w:t>Food Donation Programs (Food for Progress &amp; Section 416(b)) and McGovern-Dole International Food for Education &amp; Child Nutrition Program</w:t>
      </w:r>
    </w:p>
    <w:p w:rsidR="00EB2FC7" w:rsidP="00EB2FC7" w:rsidRDefault="00EB2FC7" w14:paraId="0618FDC7" w14:textId="77777777">
      <w:pPr>
        <w:jc w:val="center"/>
        <w:rPr>
          <w:bCs/>
          <w:sz w:val="24"/>
        </w:rPr>
      </w:pPr>
    </w:p>
    <w:p w:rsidR="00EB2FC7" w:rsidP="00EB2FC7" w:rsidRDefault="00EB2FC7" w14:paraId="07CC7A03" w14:textId="3E4BBEBF">
      <w:pPr>
        <w:jc w:val="center"/>
        <w:rPr>
          <w:bCs/>
          <w:sz w:val="24"/>
        </w:rPr>
      </w:pPr>
      <w:r>
        <w:rPr>
          <w:bCs/>
          <w:sz w:val="24"/>
        </w:rPr>
        <w:t>20</w:t>
      </w:r>
      <w:r w:rsidR="00732FC9">
        <w:rPr>
          <w:bCs/>
          <w:sz w:val="24"/>
        </w:rPr>
        <w:t>2</w:t>
      </w:r>
      <w:r w:rsidR="006F23DF">
        <w:rPr>
          <w:bCs/>
          <w:sz w:val="24"/>
        </w:rPr>
        <w:t>1</w:t>
      </w:r>
    </w:p>
    <w:p w:rsidRPr="00EB2FC7" w:rsidR="00EB2FC7" w:rsidRDefault="00EB2FC7" w14:paraId="4A7179D7" w14:textId="77777777">
      <w:pPr>
        <w:rPr>
          <w:bCs/>
          <w:sz w:val="24"/>
        </w:rPr>
      </w:pPr>
    </w:p>
    <w:p w:rsidRPr="005D5796" w:rsidR="005D5796" w:rsidRDefault="005D5796" w14:paraId="7E5C0225" w14:textId="77777777">
      <w:pPr>
        <w:pStyle w:val="Heading3"/>
        <w:rPr>
          <w:b/>
          <w:i/>
          <w:u w:val="none"/>
        </w:rPr>
      </w:pPr>
      <w:r w:rsidRPr="005D5796">
        <w:rPr>
          <w:b/>
          <w:i/>
        </w:rPr>
        <w:t>Pro</w:t>
      </w:r>
      <w:r>
        <w:rPr>
          <w:b/>
          <w:i/>
        </w:rPr>
        <w:t>gram Summar</w:t>
      </w:r>
      <w:r w:rsidR="00F4789D">
        <w:rPr>
          <w:b/>
          <w:i/>
        </w:rPr>
        <w:t>ies</w:t>
      </w:r>
    </w:p>
    <w:p w:rsidRPr="00967149" w:rsidR="00665BA1" w:rsidRDefault="00665BA1" w14:paraId="2ACB4BDD" w14:textId="77777777">
      <w:pPr>
        <w:rPr>
          <w:sz w:val="12"/>
          <w:szCs w:val="12"/>
        </w:rPr>
      </w:pPr>
    </w:p>
    <w:p w:rsidR="00665BA1" w:rsidRDefault="00665BA1" w14:paraId="542A3207" w14:textId="77777777">
      <w:pPr>
        <w:rPr>
          <w:sz w:val="24"/>
        </w:rPr>
      </w:pPr>
      <w:r>
        <w:rPr>
          <w:sz w:val="24"/>
        </w:rPr>
        <w:t>The U.S. Department of Agriculture’s Foreign Agricultural Service (FAS) provide</w:t>
      </w:r>
      <w:r w:rsidR="00465138">
        <w:rPr>
          <w:sz w:val="24"/>
        </w:rPr>
        <w:t>s</w:t>
      </w:r>
      <w:r>
        <w:rPr>
          <w:sz w:val="24"/>
        </w:rPr>
        <w:t xml:space="preserve"> </w:t>
      </w:r>
      <w:smartTag w:uri="urn:schemas-microsoft-com:office:smarttags" w:element="place">
        <w:smartTag w:uri="urn:schemas-microsoft-com:office:smarttags" w:element="country-region">
          <w:r>
            <w:rPr>
              <w:sz w:val="24"/>
            </w:rPr>
            <w:t>U.S.</w:t>
          </w:r>
        </w:smartTag>
      </w:smartTag>
      <w:r>
        <w:rPr>
          <w:sz w:val="24"/>
        </w:rPr>
        <w:t xml:space="preserve"> agricultural commodities to feed millions of hungry people in needy countries through direct donatio</w:t>
      </w:r>
      <w:r w:rsidR="00F4789D">
        <w:rPr>
          <w:sz w:val="24"/>
        </w:rPr>
        <w:t>ns and concessional programs.  USDA f</w:t>
      </w:r>
      <w:r>
        <w:rPr>
          <w:sz w:val="24"/>
        </w:rPr>
        <w:t>ood aid may be provided through four program authorities:  Food for Progress</w:t>
      </w:r>
      <w:r w:rsidR="00EB3990">
        <w:rPr>
          <w:sz w:val="24"/>
        </w:rPr>
        <w:t xml:space="preserve">, </w:t>
      </w:r>
      <w:r>
        <w:rPr>
          <w:sz w:val="24"/>
        </w:rPr>
        <w:t>Section 416(b)</w:t>
      </w:r>
      <w:r w:rsidR="00EB3990">
        <w:rPr>
          <w:sz w:val="24"/>
        </w:rPr>
        <w:t xml:space="preserve">, </w:t>
      </w:r>
      <w:r>
        <w:rPr>
          <w:sz w:val="24"/>
        </w:rPr>
        <w:t>the McGovern-Dole International Food for Education and Child Nutrition Program</w:t>
      </w:r>
      <w:r w:rsidR="00EB3990">
        <w:rPr>
          <w:sz w:val="24"/>
        </w:rPr>
        <w:t>,</w:t>
      </w:r>
      <w:r>
        <w:rPr>
          <w:sz w:val="24"/>
        </w:rPr>
        <w:t xml:space="preserve"> and Public Law 480 (P.L. 480).    </w:t>
      </w:r>
    </w:p>
    <w:p w:rsidR="00665BA1" w:rsidRDefault="00665BA1" w14:paraId="71CE2117" w14:textId="77777777">
      <w:pPr>
        <w:rPr>
          <w:sz w:val="24"/>
        </w:rPr>
      </w:pPr>
    </w:p>
    <w:p w:rsidR="00665BA1" w:rsidRDefault="00665BA1" w14:paraId="0BD85470" w14:textId="77777777">
      <w:pPr>
        <w:rPr>
          <w:sz w:val="24"/>
        </w:rPr>
      </w:pPr>
      <w:r>
        <w:rPr>
          <w:sz w:val="24"/>
        </w:rPr>
        <w:t xml:space="preserve">The </w:t>
      </w:r>
      <w:r w:rsidRPr="005122F4">
        <w:rPr>
          <w:b/>
          <w:sz w:val="24"/>
        </w:rPr>
        <w:t>Food for Progress (</w:t>
      </w:r>
      <w:r w:rsidRPr="005122F4" w:rsidR="00CA7EF4">
        <w:rPr>
          <w:b/>
          <w:sz w:val="24"/>
        </w:rPr>
        <w:t>FFP</w:t>
      </w:r>
      <w:r w:rsidRPr="005122F4" w:rsidR="00810F7E">
        <w:rPr>
          <w:b/>
          <w:sz w:val="24"/>
        </w:rPr>
        <w:t>r</w:t>
      </w:r>
      <w:r w:rsidRPr="005122F4">
        <w:rPr>
          <w:b/>
          <w:sz w:val="24"/>
        </w:rPr>
        <w:t>) program</w:t>
      </w:r>
      <w:r>
        <w:rPr>
          <w:sz w:val="24"/>
        </w:rPr>
        <w:t xml:space="preserve">, authorized by the Food for Progress Act of 1985, provides for the donation of or sale of </w:t>
      </w:r>
      <w:smartTag w:uri="urn:schemas-microsoft-com:office:smarttags" w:element="country-region">
        <w:smartTag w:uri="urn:schemas-microsoft-com:office:smarttags" w:element="place">
          <w:r>
            <w:rPr>
              <w:sz w:val="24"/>
            </w:rPr>
            <w:t>U.S.</w:t>
          </w:r>
        </w:smartTag>
      </w:smartTag>
      <w:r>
        <w:rPr>
          <w:sz w:val="24"/>
        </w:rPr>
        <w:t xml:space="preserve"> commodities to developing countries and emerging democracies to support democracy and </w:t>
      </w:r>
      <w:r w:rsidR="0014563C">
        <w:rPr>
          <w:sz w:val="24"/>
        </w:rPr>
        <w:t xml:space="preserve">the </w:t>
      </w:r>
      <w:r>
        <w:rPr>
          <w:sz w:val="24"/>
        </w:rPr>
        <w:t xml:space="preserve">expansion of private enterprise.  To date, all food aid under this program has been by donation.  The commodities donated through Food for Progress may be used for direct feeding programs, or </w:t>
      </w:r>
      <w:r w:rsidR="0014563C">
        <w:rPr>
          <w:sz w:val="24"/>
        </w:rPr>
        <w:t xml:space="preserve">they </w:t>
      </w:r>
      <w:r>
        <w:rPr>
          <w:sz w:val="24"/>
        </w:rPr>
        <w:t>may be sold</w:t>
      </w:r>
      <w:r w:rsidR="00F4789D">
        <w:rPr>
          <w:sz w:val="24"/>
        </w:rPr>
        <w:t xml:space="preserve"> (or “monetized”)</w:t>
      </w:r>
      <w:r>
        <w:rPr>
          <w:sz w:val="24"/>
        </w:rPr>
        <w:t xml:space="preserve"> in the recipient country and the proceeds used to support agricultural, economic</w:t>
      </w:r>
      <w:r w:rsidR="0014563C">
        <w:rPr>
          <w:sz w:val="24"/>
        </w:rPr>
        <w:t>,</w:t>
      </w:r>
      <w:r>
        <w:rPr>
          <w:sz w:val="24"/>
        </w:rPr>
        <w:t xml:space="preserve"> or infrastructure development programs.  Assistance is provided through foreign governments, private voluntary organizations, cooperatives, </w:t>
      </w:r>
      <w:r w:rsidR="0014563C">
        <w:rPr>
          <w:sz w:val="24"/>
        </w:rPr>
        <w:t>and/</w:t>
      </w:r>
      <w:r>
        <w:rPr>
          <w:sz w:val="24"/>
        </w:rPr>
        <w:t>or intergovernmental organizations.</w:t>
      </w:r>
    </w:p>
    <w:p w:rsidR="00665BA1" w:rsidRDefault="00665BA1" w14:paraId="052C0184" w14:textId="77777777">
      <w:pPr>
        <w:rPr>
          <w:sz w:val="24"/>
        </w:rPr>
      </w:pPr>
    </w:p>
    <w:p w:rsidR="00665BA1" w:rsidRDefault="00665BA1" w14:paraId="0442DA9B" w14:textId="77777777">
      <w:pPr>
        <w:rPr>
          <w:sz w:val="24"/>
        </w:rPr>
      </w:pPr>
      <w:r>
        <w:rPr>
          <w:sz w:val="24"/>
        </w:rPr>
        <w:t xml:space="preserve">The </w:t>
      </w:r>
      <w:r w:rsidRPr="005122F4">
        <w:rPr>
          <w:b/>
          <w:sz w:val="24"/>
        </w:rPr>
        <w:t>McGovern-Dole International Food for Education and Child Nutrition Program</w:t>
      </w:r>
      <w:r>
        <w:rPr>
          <w:sz w:val="24"/>
        </w:rPr>
        <w:t xml:space="preserve"> is authorized by the </w:t>
      </w:r>
      <w:r w:rsidR="008831E3">
        <w:rPr>
          <w:sz w:val="24"/>
        </w:rPr>
        <w:t>Food, Conservation, and Energy Act of 2008</w:t>
      </w:r>
      <w:r>
        <w:rPr>
          <w:sz w:val="24"/>
        </w:rPr>
        <w:t xml:space="preserve">.  This program helps support education, child development, and food security for some of the world’s poorest children.  It provides donations of </w:t>
      </w:r>
      <w:smartTag w:uri="urn:schemas-microsoft-com:office:smarttags" w:element="country-region">
        <w:smartTag w:uri="urn:schemas-microsoft-com:office:smarttags" w:element="place">
          <w:r>
            <w:rPr>
              <w:sz w:val="24"/>
            </w:rPr>
            <w:t>U.S.</w:t>
          </w:r>
        </w:smartTag>
      </w:smartTag>
      <w:r>
        <w:rPr>
          <w:sz w:val="24"/>
        </w:rPr>
        <w:t xml:space="preserve"> agricultural products </w:t>
      </w:r>
      <w:r w:rsidR="00F4789D">
        <w:rPr>
          <w:sz w:val="24"/>
        </w:rPr>
        <w:t>and</w:t>
      </w:r>
      <w:r>
        <w:rPr>
          <w:sz w:val="24"/>
        </w:rPr>
        <w:t xml:space="preserve"> financial and technical assistance </w:t>
      </w:r>
      <w:r w:rsidR="00F4789D">
        <w:rPr>
          <w:sz w:val="24"/>
        </w:rPr>
        <w:t xml:space="preserve">to international </w:t>
      </w:r>
      <w:r>
        <w:rPr>
          <w:sz w:val="24"/>
        </w:rPr>
        <w:t xml:space="preserve">school feeding </w:t>
      </w:r>
      <w:r w:rsidR="00F4789D">
        <w:rPr>
          <w:sz w:val="24"/>
        </w:rPr>
        <w:t>and nutrition projects.  The McG</w:t>
      </w:r>
      <w:r w:rsidR="00A52C7A">
        <w:rPr>
          <w:sz w:val="24"/>
        </w:rPr>
        <w:t>o</w:t>
      </w:r>
      <w:r w:rsidR="00F4789D">
        <w:rPr>
          <w:sz w:val="24"/>
        </w:rPr>
        <w:t>vern Dole program prioritizes programs in</w:t>
      </w:r>
      <w:r>
        <w:rPr>
          <w:sz w:val="24"/>
        </w:rPr>
        <w:t xml:space="preserve"> low-income, food-deficit countries that are com</w:t>
      </w:r>
      <w:r w:rsidR="00F4789D">
        <w:rPr>
          <w:sz w:val="24"/>
        </w:rPr>
        <w:t>mitted to universal education</w:t>
      </w:r>
      <w:r>
        <w:rPr>
          <w:sz w:val="24"/>
        </w:rPr>
        <w:t xml:space="preserve">.  </w:t>
      </w:r>
    </w:p>
    <w:p w:rsidR="001D190B" w:rsidRDefault="001D190B" w14:paraId="13C921E3" w14:textId="77777777">
      <w:pPr>
        <w:rPr>
          <w:sz w:val="24"/>
        </w:rPr>
      </w:pPr>
    </w:p>
    <w:p w:rsidR="003B6268" w:rsidRDefault="003B6268" w14:paraId="2625B012" w14:textId="77777777">
      <w:pPr>
        <w:rPr>
          <w:sz w:val="24"/>
        </w:rPr>
      </w:pPr>
    </w:p>
    <w:p w:rsidR="00C733F2" w:rsidRDefault="00C733F2" w14:paraId="0EE07BA2" w14:textId="77777777">
      <w:pPr>
        <w:rPr>
          <w:b/>
          <w:bCs/>
          <w:sz w:val="24"/>
        </w:rPr>
      </w:pPr>
    </w:p>
    <w:p w:rsidR="00C733F2" w:rsidRDefault="00C733F2" w14:paraId="54F3A834" w14:textId="77777777">
      <w:pPr>
        <w:rPr>
          <w:b/>
          <w:bCs/>
          <w:sz w:val="24"/>
        </w:rPr>
      </w:pPr>
    </w:p>
    <w:p w:rsidR="00C733F2" w:rsidRDefault="00C733F2" w14:paraId="2288AF21" w14:textId="77777777">
      <w:pPr>
        <w:rPr>
          <w:b/>
          <w:bCs/>
          <w:sz w:val="24"/>
        </w:rPr>
      </w:pPr>
    </w:p>
    <w:p w:rsidR="00C733F2" w:rsidRDefault="00C733F2" w14:paraId="70B34F77" w14:textId="77777777">
      <w:pPr>
        <w:rPr>
          <w:b/>
          <w:bCs/>
          <w:sz w:val="24"/>
        </w:rPr>
      </w:pPr>
    </w:p>
    <w:p w:rsidR="00C733F2" w:rsidRDefault="00C733F2" w14:paraId="29FC7733" w14:textId="77777777">
      <w:pPr>
        <w:rPr>
          <w:b/>
          <w:bCs/>
          <w:sz w:val="24"/>
        </w:rPr>
      </w:pPr>
    </w:p>
    <w:p w:rsidR="00C733F2" w:rsidRDefault="00C733F2" w14:paraId="5575B9D1" w14:textId="77777777">
      <w:pPr>
        <w:rPr>
          <w:b/>
          <w:bCs/>
          <w:sz w:val="24"/>
        </w:rPr>
      </w:pPr>
    </w:p>
    <w:p w:rsidR="00C733F2" w:rsidRDefault="00C733F2" w14:paraId="20665C0C" w14:textId="77777777">
      <w:pPr>
        <w:rPr>
          <w:b/>
          <w:bCs/>
          <w:sz w:val="24"/>
        </w:rPr>
      </w:pPr>
    </w:p>
    <w:p w:rsidR="00C733F2" w:rsidRDefault="00C733F2" w14:paraId="11E5F907" w14:textId="77777777">
      <w:pPr>
        <w:rPr>
          <w:b/>
          <w:bCs/>
          <w:sz w:val="24"/>
        </w:rPr>
      </w:pPr>
    </w:p>
    <w:p w:rsidR="00C733F2" w:rsidRDefault="00C733F2" w14:paraId="3E8F2BA7" w14:textId="77777777">
      <w:pPr>
        <w:rPr>
          <w:b/>
          <w:bCs/>
          <w:sz w:val="24"/>
        </w:rPr>
      </w:pPr>
    </w:p>
    <w:p w:rsidR="00C733F2" w:rsidRDefault="00C733F2" w14:paraId="158A82A8" w14:textId="77777777">
      <w:pPr>
        <w:rPr>
          <w:b/>
          <w:bCs/>
          <w:sz w:val="24"/>
        </w:rPr>
      </w:pPr>
    </w:p>
    <w:p w:rsidR="00665BA1" w:rsidRDefault="00665BA1" w14:paraId="7DC32A77" w14:textId="77777777">
      <w:pPr>
        <w:rPr>
          <w:b/>
          <w:bCs/>
          <w:sz w:val="24"/>
        </w:rPr>
      </w:pPr>
      <w:r>
        <w:rPr>
          <w:b/>
          <w:bCs/>
          <w:sz w:val="24"/>
        </w:rPr>
        <w:t xml:space="preserve">1. Explain the circumstances that make the collection of information necessary.  Identify </w:t>
      </w:r>
      <w:r>
        <w:rPr>
          <w:b/>
          <w:bCs/>
          <w:sz w:val="24"/>
        </w:rPr>
        <w:lastRenderedPageBreak/>
        <w:t>any legal or administrative requirements that necessitate the collection.  Attach a copy of the appropriate section of each statute and regulation mandating or authorizing the collection of information.</w:t>
      </w:r>
    </w:p>
    <w:p w:rsidR="003B6268" w:rsidP="003B6268" w:rsidRDefault="003B6268" w14:paraId="4341035A" w14:textId="77777777">
      <w:pPr>
        <w:jc w:val="both"/>
        <w:rPr>
          <w:b/>
          <w:bCs/>
          <w:sz w:val="28"/>
          <w:szCs w:val="28"/>
          <w:u w:val="singl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10"/>
        <w:gridCol w:w="4410"/>
        <w:gridCol w:w="2448"/>
      </w:tblGrid>
      <w:tr w:rsidR="00665BA1" w:rsidTr="00870ADE" w14:paraId="5930F2A1" w14:textId="77777777">
        <w:tc>
          <w:tcPr>
            <w:tcW w:w="2610" w:type="dxa"/>
          </w:tcPr>
          <w:p w:rsidR="00665BA1" w:rsidRDefault="00665BA1" w14:paraId="302A71BB" w14:textId="77777777">
            <w:pPr>
              <w:jc w:val="center"/>
              <w:rPr>
                <w:b/>
                <w:bCs/>
                <w:sz w:val="24"/>
              </w:rPr>
            </w:pPr>
            <w:r>
              <w:rPr>
                <w:b/>
                <w:bCs/>
                <w:sz w:val="24"/>
              </w:rPr>
              <w:t>Information Required for Collection</w:t>
            </w:r>
          </w:p>
        </w:tc>
        <w:tc>
          <w:tcPr>
            <w:tcW w:w="4410" w:type="dxa"/>
          </w:tcPr>
          <w:p w:rsidR="00665BA1" w:rsidRDefault="00E4262A" w14:paraId="6759EB32" w14:textId="77777777">
            <w:pPr>
              <w:jc w:val="center"/>
              <w:rPr>
                <w:b/>
                <w:bCs/>
                <w:sz w:val="24"/>
              </w:rPr>
            </w:pPr>
            <w:r>
              <w:rPr>
                <w:b/>
                <w:bCs/>
                <w:sz w:val="24"/>
              </w:rPr>
              <w:t xml:space="preserve">Explanation and </w:t>
            </w:r>
            <w:r w:rsidR="00665BA1">
              <w:rPr>
                <w:b/>
                <w:bCs/>
                <w:sz w:val="24"/>
              </w:rPr>
              <w:t>Reason for Information Collection</w:t>
            </w:r>
          </w:p>
        </w:tc>
        <w:tc>
          <w:tcPr>
            <w:tcW w:w="2448" w:type="dxa"/>
          </w:tcPr>
          <w:p w:rsidR="00665BA1" w:rsidRDefault="00665BA1" w14:paraId="7FA0DC50" w14:textId="77777777">
            <w:pPr>
              <w:jc w:val="center"/>
              <w:rPr>
                <w:b/>
                <w:bCs/>
                <w:sz w:val="24"/>
              </w:rPr>
            </w:pPr>
            <w:r>
              <w:rPr>
                <w:b/>
                <w:bCs/>
                <w:sz w:val="24"/>
              </w:rPr>
              <w:t>Legal Requirement</w:t>
            </w:r>
          </w:p>
        </w:tc>
      </w:tr>
      <w:tr w:rsidR="003B6268" w:rsidTr="00870ADE" w14:paraId="049F0CEC" w14:textId="77777777">
        <w:tc>
          <w:tcPr>
            <w:tcW w:w="2610" w:type="dxa"/>
          </w:tcPr>
          <w:p w:rsidRPr="00D916AD" w:rsidR="003B6268" w:rsidRDefault="003B6268" w14:paraId="45D8F736" w14:textId="77777777">
            <w:pPr>
              <w:rPr>
                <w:i/>
                <w:sz w:val="24"/>
              </w:rPr>
            </w:pPr>
            <w:r w:rsidRPr="00D916AD">
              <w:rPr>
                <w:i/>
                <w:sz w:val="24"/>
              </w:rPr>
              <w:t>Proposal: Introductory Statement, Plan of Operation, Initial Budget</w:t>
            </w:r>
            <w:r>
              <w:rPr>
                <w:i/>
                <w:sz w:val="24"/>
              </w:rPr>
              <w:t>,</w:t>
            </w:r>
            <w:r w:rsidRPr="00D916AD">
              <w:rPr>
                <w:i/>
                <w:sz w:val="24"/>
              </w:rPr>
              <w:t xml:space="preserve"> SF-424</w:t>
            </w:r>
            <w:r w:rsidR="00A52C7A">
              <w:rPr>
                <w:i/>
                <w:sz w:val="24"/>
              </w:rPr>
              <w:t>, Proposed Results</w:t>
            </w:r>
          </w:p>
        </w:tc>
        <w:tc>
          <w:tcPr>
            <w:tcW w:w="4410" w:type="dxa"/>
          </w:tcPr>
          <w:p w:rsidR="003B6268" w:rsidP="00DA7E3D" w:rsidRDefault="00A52C7A" w14:paraId="2F909B99" w14:textId="77777777">
            <w:pPr>
              <w:rPr>
                <w:sz w:val="24"/>
              </w:rPr>
            </w:pPr>
            <w:r>
              <w:rPr>
                <w:sz w:val="24"/>
              </w:rPr>
              <w:t xml:space="preserve">Applicants </w:t>
            </w:r>
            <w:r w:rsidR="003B6268">
              <w:rPr>
                <w:sz w:val="24"/>
              </w:rPr>
              <w:t>must submit to F</w:t>
            </w:r>
            <w:r w:rsidR="00DA7E3D">
              <w:rPr>
                <w:sz w:val="24"/>
              </w:rPr>
              <w:t xml:space="preserve">AS a detailed program proposal that includes </w:t>
            </w:r>
            <w:r w:rsidR="003B6268">
              <w:rPr>
                <w:sz w:val="24"/>
              </w:rPr>
              <w:t xml:space="preserve">a SF-424, an introductory statement, a budget proposal, and a plan of operation that explains how </w:t>
            </w:r>
            <w:r w:rsidR="00DA7E3D">
              <w:rPr>
                <w:sz w:val="24"/>
              </w:rPr>
              <w:t xml:space="preserve">it will carry out the program. </w:t>
            </w:r>
            <w:r>
              <w:rPr>
                <w:sz w:val="24"/>
              </w:rPr>
              <w:t xml:space="preserve">The applicant must also submit </w:t>
            </w:r>
            <w:r w:rsidR="00DA7E3D">
              <w:rPr>
                <w:sz w:val="24"/>
              </w:rPr>
              <w:t xml:space="preserve">a project-level framework that includes proposed outcomes of the activities.  </w:t>
            </w:r>
            <w:r w:rsidR="003B6268">
              <w:rPr>
                <w:sz w:val="24"/>
              </w:rPr>
              <w:t>These submissions help determine a</w:t>
            </w:r>
            <w:r w:rsidR="00DA7E3D">
              <w:rPr>
                <w:sz w:val="24"/>
              </w:rPr>
              <w:t>n applicant’s</w:t>
            </w:r>
            <w:r w:rsidR="003B6268">
              <w:rPr>
                <w:sz w:val="24"/>
              </w:rPr>
              <w:t xml:space="preserve"> eligibility </w:t>
            </w:r>
            <w:r w:rsidR="00DA7E3D">
              <w:rPr>
                <w:sz w:val="24"/>
              </w:rPr>
              <w:t>and competitive status for program funding</w:t>
            </w:r>
            <w:r w:rsidR="003B6268">
              <w:rPr>
                <w:sz w:val="24"/>
              </w:rPr>
              <w:t>.</w:t>
            </w:r>
          </w:p>
        </w:tc>
        <w:tc>
          <w:tcPr>
            <w:tcW w:w="2448" w:type="dxa"/>
          </w:tcPr>
          <w:p w:rsidRPr="00821123" w:rsidR="003B6268" w:rsidRDefault="003B6268" w14:paraId="59AE1346" w14:textId="77777777">
            <w:pPr>
              <w:rPr>
                <w:sz w:val="24"/>
                <w:lang w:val="fr-FR"/>
              </w:rPr>
            </w:pPr>
            <w:r w:rsidRPr="00821123">
              <w:rPr>
                <w:sz w:val="24"/>
                <w:lang w:val="fr-FR"/>
              </w:rPr>
              <w:t>7 C.F.R.1499.</w:t>
            </w:r>
            <w:r>
              <w:rPr>
                <w:sz w:val="24"/>
                <w:lang w:val="fr-FR"/>
              </w:rPr>
              <w:t>4</w:t>
            </w:r>
          </w:p>
          <w:p w:rsidRPr="00821123" w:rsidR="003B6268" w:rsidRDefault="003B6268" w14:paraId="06264457" w14:textId="77777777">
            <w:pPr>
              <w:rPr>
                <w:sz w:val="24"/>
                <w:lang w:val="fr-FR"/>
              </w:rPr>
            </w:pPr>
            <w:r w:rsidRPr="00821123">
              <w:rPr>
                <w:sz w:val="24"/>
                <w:lang w:val="fr-FR"/>
              </w:rPr>
              <w:t>(</w:t>
            </w:r>
            <w:r>
              <w:rPr>
                <w:sz w:val="24"/>
                <w:lang w:val="fr-FR"/>
              </w:rPr>
              <w:t>Food for Progress</w:t>
            </w:r>
            <w:r w:rsidRPr="00821123">
              <w:rPr>
                <w:sz w:val="24"/>
                <w:lang w:val="fr-FR"/>
              </w:rPr>
              <w:t>)</w:t>
            </w:r>
          </w:p>
          <w:p w:rsidRPr="00821123" w:rsidR="003B6268" w:rsidRDefault="003B6268" w14:paraId="05188444" w14:textId="77777777">
            <w:pPr>
              <w:rPr>
                <w:sz w:val="24"/>
                <w:lang w:val="fr-FR"/>
              </w:rPr>
            </w:pPr>
          </w:p>
          <w:p w:rsidR="003B6268" w:rsidRDefault="003B6268" w14:paraId="1896E332" w14:textId="77777777">
            <w:pPr>
              <w:rPr>
                <w:sz w:val="24"/>
              </w:rPr>
            </w:pPr>
            <w:r>
              <w:rPr>
                <w:sz w:val="24"/>
              </w:rPr>
              <w:t xml:space="preserve">7 C.F.R. 1599.4 </w:t>
            </w:r>
          </w:p>
          <w:p w:rsidR="003B6268" w:rsidRDefault="003B6268" w14:paraId="6F96BB5F" w14:textId="77777777">
            <w:pPr>
              <w:rPr>
                <w:sz w:val="24"/>
              </w:rPr>
            </w:pPr>
            <w:r>
              <w:rPr>
                <w:sz w:val="24"/>
              </w:rPr>
              <w:t>(McGovern Dole)</w:t>
            </w:r>
          </w:p>
        </w:tc>
      </w:tr>
      <w:tr w:rsidR="003B6268" w:rsidTr="00870ADE" w14:paraId="353BBFC8" w14:textId="77777777">
        <w:tc>
          <w:tcPr>
            <w:tcW w:w="2610" w:type="dxa"/>
          </w:tcPr>
          <w:p w:rsidRPr="00D916AD" w:rsidR="003B6268" w:rsidRDefault="003B6268" w14:paraId="64BF724E" w14:textId="77777777">
            <w:pPr>
              <w:rPr>
                <w:i/>
                <w:sz w:val="24"/>
              </w:rPr>
            </w:pPr>
            <w:r w:rsidRPr="00D916AD">
              <w:rPr>
                <w:i/>
                <w:sz w:val="24"/>
              </w:rPr>
              <w:t>Agreements and</w:t>
            </w:r>
          </w:p>
          <w:p w:rsidRPr="00D916AD" w:rsidR="003B6268" w:rsidRDefault="003B6268" w14:paraId="1F90F97F" w14:textId="77777777">
            <w:pPr>
              <w:rPr>
                <w:i/>
                <w:sz w:val="24"/>
              </w:rPr>
            </w:pPr>
            <w:r w:rsidRPr="00D916AD">
              <w:rPr>
                <w:i/>
                <w:sz w:val="24"/>
              </w:rPr>
              <w:t>Program Operation Budget</w:t>
            </w:r>
          </w:p>
        </w:tc>
        <w:tc>
          <w:tcPr>
            <w:tcW w:w="4410" w:type="dxa"/>
          </w:tcPr>
          <w:p w:rsidR="003B6268" w:rsidP="00DA7E3D" w:rsidRDefault="00DA7E3D" w14:paraId="17C04AD7" w14:textId="77777777">
            <w:pPr>
              <w:rPr>
                <w:sz w:val="24"/>
              </w:rPr>
            </w:pPr>
            <w:r>
              <w:rPr>
                <w:sz w:val="24"/>
              </w:rPr>
              <w:t xml:space="preserve">Once an application </w:t>
            </w:r>
            <w:r w:rsidR="003B6268">
              <w:rPr>
                <w:sz w:val="24"/>
              </w:rPr>
              <w:t xml:space="preserve">is approved, a Participant must sign a legal agreement establishing the terms and conditions of the food donation program.  </w:t>
            </w:r>
            <w:r>
              <w:rPr>
                <w:sz w:val="24"/>
              </w:rPr>
              <w:t>Information collected within the application (plan of operation, budget, and outcomes) will be included in the legal agreement.</w:t>
            </w:r>
            <w:r w:rsidR="00706ABE">
              <w:rPr>
                <w:sz w:val="24"/>
              </w:rPr>
              <w:t xml:space="preserve">  The Participant must also submit a plan that describes the sale process for commodities when monetization is included in the project.</w:t>
            </w:r>
            <w:r>
              <w:rPr>
                <w:sz w:val="24"/>
              </w:rPr>
              <w:t xml:space="preserve">  </w:t>
            </w:r>
          </w:p>
        </w:tc>
        <w:tc>
          <w:tcPr>
            <w:tcW w:w="2448" w:type="dxa"/>
          </w:tcPr>
          <w:p w:rsidRPr="00D017A5" w:rsidR="003B6268" w:rsidRDefault="003B6268" w14:paraId="4703DB71" w14:textId="77777777">
            <w:pPr>
              <w:rPr>
                <w:sz w:val="24"/>
                <w:lang w:val="fr-FR"/>
              </w:rPr>
            </w:pPr>
            <w:r w:rsidRPr="00D017A5">
              <w:rPr>
                <w:sz w:val="24"/>
                <w:lang w:val="fr-FR"/>
              </w:rPr>
              <w:t xml:space="preserve">7 C.F.R. 1499.5 </w:t>
            </w:r>
          </w:p>
          <w:p w:rsidRPr="00D017A5" w:rsidR="003B6268" w:rsidRDefault="003B6268" w14:paraId="7A0666DF" w14:textId="77777777">
            <w:pPr>
              <w:rPr>
                <w:sz w:val="24"/>
                <w:lang w:val="fr-FR"/>
              </w:rPr>
            </w:pPr>
            <w:r>
              <w:rPr>
                <w:sz w:val="24"/>
                <w:lang w:val="fr-FR"/>
              </w:rPr>
              <w:t>(Food for Progress)</w:t>
            </w:r>
          </w:p>
          <w:p w:rsidRPr="00D017A5" w:rsidR="003B6268" w:rsidRDefault="003B6268" w14:paraId="62A57DA2" w14:textId="77777777">
            <w:pPr>
              <w:rPr>
                <w:sz w:val="24"/>
                <w:lang w:val="fr-FR"/>
              </w:rPr>
            </w:pPr>
          </w:p>
          <w:p w:rsidRPr="00D017A5" w:rsidR="003B6268" w:rsidRDefault="003B6268" w14:paraId="01D19D2D" w14:textId="77777777">
            <w:pPr>
              <w:rPr>
                <w:sz w:val="24"/>
                <w:lang w:val="fr-FR"/>
              </w:rPr>
            </w:pPr>
          </w:p>
          <w:p w:rsidR="003B6268" w:rsidRDefault="003B6268" w14:paraId="61877B59" w14:textId="77777777">
            <w:pPr>
              <w:rPr>
                <w:sz w:val="24"/>
              </w:rPr>
            </w:pPr>
            <w:r>
              <w:rPr>
                <w:sz w:val="24"/>
              </w:rPr>
              <w:t>7 C.F.R. 1599.5</w:t>
            </w:r>
          </w:p>
          <w:p w:rsidR="003B6268" w:rsidRDefault="003B6268" w14:paraId="2593E16C" w14:textId="77777777">
            <w:pPr>
              <w:rPr>
                <w:sz w:val="24"/>
              </w:rPr>
            </w:pPr>
            <w:r>
              <w:rPr>
                <w:sz w:val="24"/>
              </w:rPr>
              <w:t>(McGovern-Dole)</w:t>
            </w:r>
          </w:p>
        </w:tc>
      </w:tr>
      <w:tr w:rsidR="003B6268" w:rsidTr="00870ADE" w14:paraId="02E1F75C" w14:textId="77777777">
        <w:tc>
          <w:tcPr>
            <w:tcW w:w="2610" w:type="dxa"/>
          </w:tcPr>
          <w:p w:rsidRPr="00D916AD" w:rsidR="003B6268" w:rsidRDefault="003B6268" w14:paraId="50392370" w14:textId="77777777">
            <w:pPr>
              <w:rPr>
                <w:i/>
                <w:sz w:val="24"/>
              </w:rPr>
            </w:pPr>
            <w:r w:rsidRPr="00D916AD">
              <w:rPr>
                <w:i/>
                <w:sz w:val="24"/>
              </w:rPr>
              <w:t xml:space="preserve">Amendments to </w:t>
            </w:r>
            <w:r>
              <w:rPr>
                <w:i/>
                <w:sz w:val="24"/>
              </w:rPr>
              <w:t>A</w:t>
            </w:r>
            <w:r w:rsidRPr="00D916AD">
              <w:rPr>
                <w:i/>
                <w:sz w:val="24"/>
              </w:rPr>
              <w:t>greements</w:t>
            </w:r>
          </w:p>
        </w:tc>
        <w:tc>
          <w:tcPr>
            <w:tcW w:w="4410" w:type="dxa"/>
          </w:tcPr>
          <w:p w:rsidR="003B6268" w:rsidP="00DA7E3D" w:rsidRDefault="003B6268" w14:paraId="3B1159FA" w14:textId="77777777">
            <w:pPr>
              <w:rPr>
                <w:sz w:val="24"/>
              </w:rPr>
            </w:pPr>
            <w:r>
              <w:rPr>
                <w:sz w:val="24"/>
              </w:rPr>
              <w:t>When a Participant needs to change the operational budget and/or the pro</w:t>
            </w:r>
            <w:r w:rsidR="00DA7E3D">
              <w:rPr>
                <w:sz w:val="24"/>
              </w:rPr>
              <w:t xml:space="preserve">ject </w:t>
            </w:r>
            <w:r>
              <w:rPr>
                <w:sz w:val="24"/>
              </w:rPr>
              <w:t xml:space="preserve">design (for reasons unforeseen during the agreement negotiation), the Participant and FAS must negotiate an amendment to the agreement.  An amendment is necessary to </w:t>
            </w:r>
            <w:r w:rsidR="00DA7E3D">
              <w:rPr>
                <w:sz w:val="24"/>
              </w:rPr>
              <w:t xml:space="preserve">document the concurrence between </w:t>
            </w:r>
            <w:r>
              <w:rPr>
                <w:sz w:val="24"/>
              </w:rPr>
              <w:t xml:space="preserve">FAS and the Participant </w:t>
            </w:r>
            <w:r w:rsidR="00DA7E3D">
              <w:rPr>
                <w:sz w:val="24"/>
              </w:rPr>
              <w:t>to the changes in the project.</w:t>
            </w:r>
          </w:p>
        </w:tc>
        <w:tc>
          <w:tcPr>
            <w:tcW w:w="2448" w:type="dxa"/>
          </w:tcPr>
          <w:p w:rsidRPr="00D017A5" w:rsidR="003B6268" w:rsidRDefault="003B6268" w14:paraId="23B5A0F1" w14:textId="77777777">
            <w:pPr>
              <w:rPr>
                <w:sz w:val="24"/>
                <w:lang w:val="fr-FR"/>
              </w:rPr>
            </w:pPr>
            <w:r w:rsidRPr="00D017A5">
              <w:rPr>
                <w:sz w:val="24"/>
                <w:lang w:val="fr-FR"/>
              </w:rPr>
              <w:t>7 C.F.R. 1499.5</w:t>
            </w:r>
          </w:p>
          <w:p w:rsidR="003B6268" w:rsidRDefault="003B6268" w14:paraId="09EBFE38" w14:textId="77777777">
            <w:pPr>
              <w:rPr>
                <w:sz w:val="24"/>
                <w:lang w:val="fr-FR"/>
              </w:rPr>
            </w:pPr>
            <w:r>
              <w:rPr>
                <w:sz w:val="24"/>
                <w:lang w:val="fr-FR"/>
              </w:rPr>
              <w:t>(Food for Progress)</w:t>
            </w:r>
          </w:p>
          <w:p w:rsidR="003B6268" w:rsidRDefault="003B6268" w14:paraId="3D845474" w14:textId="77777777">
            <w:pPr>
              <w:rPr>
                <w:sz w:val="24"/>
                <w:lang w:val="fr-FR"/>
              </w:rPr>
            </w:pPr>
          </w:p>
          <w:p w:rsidRPr="00D017A5" w:rsidR="003B6268" w:rsidRDefault="003B6268" w14:paraId="18A8C321" w14:textId="77777777">
            <w:pPr>
              <w:rPr>
                <w:sz w:val="24"/>
              </w:rPr>
            </w:pPr>
            <w:r w:rsidRPr="00D017A5">
              <w:rPr>
                <w:sz w:val="24"/>
              </w:rPr>
              <w:t>7 C.F.R. 1599.5</w:t>
            </w:r>
          </w:p>
          <w:p w:rsidRPr="00D017A5" w:rsidR="003B6268" w:rsidRDefault="003B6268" w14:paraId="1D528C6D" w14:textId="77777777">
            <w:pPr>
              <w:rPr>
                <w:sz w:val="24"/>
              </w:rPr>
            </w:pPr>
            <w:r w:rsidRPr="00D017A5">
              <w:rPr>
                <w:sz w:val="24"/>
              </w:rPr>
              <w:t>(McGovern-Dole)</w:t>
            </w:r>
          </w:p>
        </w:tc>
      </w:tr>
      <w:tr w:rsidRPr="00D017A5" w:rsidR="003B6268" w:rsidTr="00870ADE" w14:paraId="532C2052" w14:textId="77777777">
        <w:tc>
          <w:tcPr>
            <w:tcW w:w="2610" w:type="dxa"/>
          </w:tcPr>
          <w:p w:rsidRPr="001C5A01" w:rsidR="003B6268" w:rsidP="00C32BFF" w:rsidRDefault="003B6268" w14:paraId="31DB3C05" w14:textId="77777777">
            <w:pPr>
              <w:rPr>
                <w:i/>
                <w:sz w:val="24"/>
              </w:rPr>
            </w:pPr>
            <w:r>
              <w:rPr>
                <w:i/>
                <w:sz w:val="24"/>
              </w:rPr>
              <w:t>Ocean T</w:t>
            </w:r>
            <w:r w:rsidRPr="001C5A01">
              <w:rPr>
                <w:i/>
                <w:sz w:val="24"/>
              </w:rPr>
              <w:t xml:space="preserve">ransportation </w:t>
            </w:r>
            <w:r>
              <w:rPr>
                <w:i/>
                <w:sz w:val="24"/>
              </w:rPr>
              <w:t>D</w:t>
            </w:r>
            <w:r w:rsidRPr="001C5A01">
              <w:rPr>
                <w:i/>
                <w:sz w:val="24"/>
              </w:rPr>
              <w:t xml:space="preserve">ocuments: Freight </w:t>
            </w:r>
            <w:r>
              <w:rPr>
                <w:i/>
                <w:sz w:val="24"/>
              </w:rPr>
              <w:t>I</w:t>
            </w:r>
            <w:r w:rsidRPr="001C5A01">
              <w:rPr>
                <w:i/>
                <w:sz w:val="24"/>
              </w:rPr>
              <w:t xml:space="preserve">nvitations; Charter </w:t>
            </w:r>
            <w:r>
              <w:rPr>
                <w:i/>
                <w:sz w:val="24"/>
              </w:rPr>
              <w:t>P</w:t>
            </w:r>
            <w:r w:rsidRPr="001C5A01">
              <w:rPr>
                <w:i/>
                <w:sz w:val="24"/>
              </w:rPr>
              <w:t xml:space="preserve">arties or </w:t>
            </w:r>
            <w:r>
              <w:rPr>
                <w:i/>
                <w:sz w:val="24"/>
              </w:rPr>
              <w:t>B</w:t>
            </w:r>
            <w:r w:rsidRPr="001C5A01">
              <w:rPr>
                <w:i/>
                <w:sz w:val="24"/>
              </w:rPr>
              <w:t xml:space="preserve">ooking </w:t>
            </w:r>
            <w:r>
              <w:rPr>
                <w:i/>
                <w:sz w:val="24"/>
              </w:rPr>
              <w:t>N</w:t>
            </w:r>
            <w:r w:rsidRPr="001C5A01">
              <w:rPr>
                <w:i/>
                <w:sz w:val="24"/>
              </w:rPr>
              <w:t xml:space="preserve">otes; Freight </w:t>
            </w:r>
            <w:r>
              <w:rPr>
                <w:i/>
                <w:sz w:val="24"/>
              </w:rPr>
              <w:t>O</w:t>
            </w:r>
            <w:r w:rsidRPr="001C5A01">
              <w:rPr>
                <w:i/>
                <w:sz w:val="24"/>
              </w:rPr>
              <w:t xml:space="preserve">ffers; Freight </w:t>
            </w:r>
            <w:r>
              <w:rPr>
                <w:i/>
                <w:sz w:val="24"/>
              </w:rPr>
              <w:t>F</w:t>
            </w:r>
            <w:r w:rsidRPr="001C5A01">
              <w:rPr>
                <w:i/>
                <w:sz w:val="24"/>
              </w:rPr>
              <w:t xml:space="preserve">orwarder </w:t>
            </w:r>
            <w:r>
              <w:rPr>
                <w:i/>
                <w:sz w:val="24"/>
              </w:rPr>
              <w:lastRenderedPageBreak/>
              <w:t>C</w:t>
            </w:r>
            <w:r w:rsidRPr="001C5A01">
              <w:rPr>
                <w:i/>
                <w:sz w:val="24"/>
              </w:rPr>
              <w:t>ertifications</w:t>
            </w:r>
          </w:p>
        </w:tc>
        <w:tc>
          <w:tcPr>
            <w:tcW w:w="4410" w:type="dxa"/>
          </w:tcPr>
          <w:p w:rsidR="003B6268" w:rsidRDefault="003B6268" w14:paraId="429A5D1E" w14:textId="77777777">
            <w:pPr>
              <w:rPr>
                <w:sz w:val="24"/>
              </w:rPr>
            </w:pPr>
            <w:r>
              <w:rPr>
                <w:sz w:val="24"/>
              </w:rPr>
              <w:lastRenderedPageBreak/>
              <w:t xml:space="preserve">Participants or their freight forwarders must submit documentation related to procurement of ocean transportation, including freight forwarder certifications, ocean freight invitations for bid, charter parties or booking notes, and spreadsheets </w:t>
            </w:r>
            <w:r>
              <w:rPr>
                <w:sz w:val="24"/>
              </w:rPr>
              <w:lastRenderedPageBreak/>
              <w:t xml:space="preserve">of freight offers.  </w:t>
            </w:r>
            <w:r w:rsidR="009A37E1">
              <w:rPr>
                <w:sz w:val="24"/>
              </w:rPr>
              <w:t xml:space="preserve">This information is submitted electronically through the Web-Based Supply Chain Management System or by e-mail.  </w:t>
            </w:r>
            <w:r>
              <w:rPr>
                <w:sz w:val="24"/>
              </w:rPr>
              <w:t xml:space="preserve">If a Participant uses the services of a freight forwarder, the Participant must provide the name, contact information, and the freight forwarder’s certification to FAS.  A Participant must obtain advance approval from FAS for all invitations for bids for ocean transportation.  Any freight bid that the participant proposes to accept must be submitted to FAS.  This information is needed to ensure commodity shipments are at the lowest cost possible to the government and that they comply with sections 901(b) and 901b of the Merchant Marine Act of 1936. </w:t>
            </w:r>
          </w:p>
        </w:tc>
        <w:tc>
          <w:tcPr>
            <w:tcW w:w="2448" w:type="dxa"/>
          </w:tcPr>
          <w:p w:rsidR="003B6268" w:rsidRDefault="003B6268" w14:paraId="36F31573" w14:textId="77777777">
            <w:pPr>
              <w:rPr>
                <w:sz w:val="24"/>
                <w:lang w:val="fr-FR"/>
              </w:rPr>
            </w:pPr>
            <w:r w:rsidRPr="00821123">
              <w:rPr>
                <w:sz w:val="24"/>
                <w:lang w:val="fr-FR"/>
              </w:rPr>
              <w:lastRenderedPageBreak/>
              <w:t>7 C.F.R. 1499.</w:t>
            </w:r>
            <w:r>
              <w:rPr>
                <w:sz w:val="24"/>
                <w:lang w:val="fr-FR"/>
              </w:rPr>
              <w:t>7</w:t>
            </w:r>
            <w:r w:rsidRPr="00821123">
              <w:rPr>
                <w:sz w:val="24"/>
                <w:lang w:val="fr-FR"/>
              </w:rPr>
              <w:t xml:space="preserve"> </w:t>
            </w:r>
          </w:p>
          <w:p w:rsidRPr="00821123" w:rsidR="003B6268" w:rsidRDefault="003B6268" w14:paraId="268AB68B" w14:textId="77777777">
            <w:pPr>
              <w:rPr>
                <w:sz w:val="24"/>
                <w:lang w:val="fr-FR"/>
              </w:rPr>
            </w:pPr>
            <w:r>
              <w:rPr>
                <w:sz w:val="24"/>
                <w:lang w:val="fr-FR"/>
              </w:rPr>
              <w:t>(Food for Progress)</w:t>
            </w:r>
          </w:p>
          <w:p w:rsidRPr="00D16FEF" w:rsidR="003B6268" w:rsidRDefault="003B6268" w14:paraId="3289BD33" w14:textId="77777777">
            <w:pPr>
              <w:rPr>
                <w:sz w:val="24"/>
                <w:lang w:val="fr-FR"/>
              </w:rPr>
            </w:pPr>
          </w:p>
          <w:p w:rsidR="003B6268" w:rsidRDefault="003B6268" w14:paraId="692C2B09" w14:textId="77777777">
            <w:pPr>
              <w:rPr>
                <w:sz w:val="24"/>
              </w:rPr>
            </w:pPr>
            <w:r>
              <w:rPr>
                <w:sz w:val="24"/>
              </w:rPr>
              <w:t>7 C.F.R. 1599.7</w:t>
            </w:r>
          </w:p>
          <w:p w:rsidR="003B6268" w:rsidRDefault="003B6268" w14:paraId="5E7BEC7B" w14:textId="77777777">
            <w:pPr>
              <w:rPr>
                <w:sz w:val="24"/>
              </w:rPr>
            </w:pPr>
            <w:r>
              <w:rPr>
                <w:sz w:val="24"/>
              </w:rPr>
              <w:t>(McGovern-Dole)</w:t>
            </w:r>
          </w:p>
        </w:tc>
      </w:tr>
      <w:tr w:rsidR="003B6268" w:rsidTr="00870ADE" w14:paraId="02628B11" w14:textId="77777777">
        <w:tc>
          <w:tcPr>
            <w:tcW w:w="2610" w:type="dxa"/>
          </w:tcPr>
          <w:p w:rsidRPr="001C5A01" w:rsidR="003B6268" w:rsidRDefault="003B6268" w14:paraId="5EE0CA5F" w14:textId="77777777">
            <w:pPr>
              <w:rPr>
                <w:i/>
                <w:sz w:val="24"/>
              </w:rPr>
            </w:pPr>
            <w:r>
              <w:rPr>
                <w:i/>
                <w:sz w:val="24"/>
              </w:rPr>
              <w:t>Freight Payments and Supporting Documentation</w:t>
            </w:r>
          </w:p>
        </w:tc>
        <w:tc>
          <w:tcPr>
            <w:tcW w:w="4410" w:type="dxa"/>
          </w:tcPr>
          <w:p w:rsidR="003B6268" w:rsidP="009A37E1" w:rsidRDefault="009A37E1" w14:paraId="70C07D85" w14:textId="77777777">
            <w:pPr>
              <w:rPr>
                <w:sz w:val="24"/>
              </w:rPr>
            </w:pPr>
            <w:r>
              <w:rPr>
                <w:sz w:val="24"/>
              </w:rPr>
              <w:t xml:space="preserve">Invoices and supporting documents for freight payments are collected through the Web-Based Supply Chain Management System.  This information is needed to allow </w:t>
            </w:r>
            <w:r w:rsidR="003B6268">
              <w:rPr>
                <w:sz w:val="24"/>
              </w:rPr>
              <w:t xml:space="preserve">FAS to </w:t>
            </w:r>
            <w:r>
              <w:rPr>
                <w:sz w:val="24"/>
              </w:rPr>
              <w:t xml:space="preserve">maintain </w:t>
            </w:r>
            <w:r w:rsidR="003B6268">
              <w:rPr>
                <w:sz w:val="24"/>
              </w:rPr>
              <w:t xml:space="preserve">financial accountability </w:t>
            </w:r>
            <w:r>
              <w:rPr>
                <w:sz w:val="24"/>
              </w:rPr>
              <w:t xml:space="preserve">and performance </w:t>
            </w:r>
            <w:r w:rsidR="003B6268">
              <w:rPr>
                <w:sz w:val="24"/>
              </w:rPr>
              <w:t xml:space="preserve">in the ocean transportation of commodities and to ensure commodity shipments comply with sections 901(b) and 901b of the Merchant Marine Act, 1936.  Required </w:t>
            </w:r>
            <w:r>
              <w:rPr>
                <w:sz w:val="24"/>
              </w:rPr>
              <w:t xml:space="preserve">information includes the following:  </w:t>
            </w:r>
            <w:r w:rsidR="003B6268">
              <w:rPr>
                <w:sz w:val="24"/>
              </w:rPr>
              <w:t xml:space="preserve">(1) </w:t>
            </w:r>
            <w:r>
              <w:rPr>
                <w:sz w:val="24"/>
              </w:rPr>
              <w:t xml:space="preserve">Invoice; (2) Goods Receipt; (3) </w:t>
            </w:r>
            <w:r w:rsidR="003B6268">
              <w:rPr>
                <w:sz w:val="24"/>
              </w:rPr>
              <w:t xml:space="preserve">Bill of </w:t>
            </w:r>
            <w:r>
              <w:rPr>
                <w:sz w:val="24"/>
              </w:rPr>
              <w:t>L</w:t>
            </w:r>
            <w:r w:rsidR="003B6268">
              <w:rPr>
                <w:sz w:val="24"/>
              </w:rPr>
              <w:t>ading; (</w:t>
            </w:r>
            <w:r>
              <w:rPr>
                <w:sz w:val="24"/>
              </w:rPr>
              <w:t>4</w:t>
            </w:r>
            <w:r w:rsidR="003B6268">
              <w:rPr>
                <w:sz w:val="24"/>
              </w:rPr>
              <w:t>) FGIS Official Stowage Examination Certificate; (</w:t>
            </w:r>
            <w:r>
              <w:rPr>
                <w:sz w:val="24"/>
              </w:rPr>
              <w:t>5</w:t>
            </w:r>
            <w:r w:rsidR="003B6268">
              <w:rPr>
                <w:sz w:val="24"/>
              </w:rPr>
              <w:t>) National Cargo Bureau certificate of loading; (</w:t>
            </w:r>
            <w:r>
              <w:rPr>
                <w:sz w:val="24"/>
              </w:rPr>
              <w:t>6</w:t>
            </w:r>
            <w:r w:rsidR="003B6268">
              <w:rPr>
                <w:sz w:val="24"/>
              </w:rPr>
              <w:t>) FGIS Container Condition Inspection Certificate for container</w:t>
            </w:r>
            <w:r>
              <w:rPr>
                <w:sz w:val="24"/>
              </w:rPr>
              <w:t>ized cargo; (7</w:t>
            </w:r>
            <w:r w:rsidR="003B6268">
              <w:rPr>
                <w:sz w:val="24"/>
              </w:rPr>
              <w:t xml:space="preserve">) Signed US Food Aid Booking Note or Charter Party; </w:t>
            </w:r>
            <w:r>
              <w:rPr>
                <w:sz w:val="24"/>
              </w:rPr>
              <w:t xml:space="preserve">and </w:t>
            </w:r>
            <w:r w:rsidR="003B6268">
              <w:rPr>
                <w:sz w:val="24"/>
              </w:rPr>
              <w:t>(</w:t>
            </w:r>
            <w:r>
              <w:rPr>
                <w:sz w:val="24"/>
              </w:rPr>
              <w:t>8</w:t>
            </w:r>
            <w:r w:rsidR="003B6268">
              <w:rPr>
                <w:sz w:val="24"/>
              </w:rPr>
              <w:t xml:space="preserve">) Signed </w:t>
            </w:r>
            <w:r>
              <w:rPr>
                <w:sz w:val="24"/>
              </w:rPr>
              <w:t>N</w:t>
            </w:r>
            <w:r w:rsidR="003B6268">
              <w:rPr>
                <w:sz w:val="24"/>
              </w:rPr>
              <w:t xml:space="preserve">otice of </w:t>
            </w:r>
            <w:r>
              <w:rPr>
                <w:sz w:val="24"/>
              </w:rPr>
              <w:t>A</w:t>
            </w:r>
            <w:r w:rsidR="003B6268">
              <w:rPr>
                <w:sz w:val="24"/>
              </w:rPr>
              <w:t xml:space="preserve">rrival at </w:t>
            </w:r>
            <w:r>
              <w:rPr>
                <w:sz w:val="24"/>
              </w:rPr>
              <w:t>F</w:t>
            </w:r>
            <w:r w:rsidR="003B6268">
              <w:rPr>
                <w:sz w:val="24"/>
              </w:rPr>
              <w:t xml:space="preserve">irst </w:t>
            </w:r>
            <w:r>
              <w:rPr>
                <w:sz w:val="24"/>
              </w:rPr>
              <w:t>D</w:t>
            </w:r>
            <w:r w:rsidR="003B6268">
              <w:rPr>
                <w:sz w:val="24"/>
              </w:rPr>
              <w:t xml:space="preserve">ischarge </w:t>
            </w:r>
            <w:r>
              <w:rPr>
                <w:sz w:val="24"/>
              </w:rPr>
              <w:t>P</w:t>
            </w:r>
            <w:r w:rsidR="003B6268">
              <w:rPr>
                <w:sz w:val="24"/>
              </w:rPr>
              <w:t xml:space="preserve">ort for </w:t>
            </w:r>
            <w:r>
              <w:rPr>
                <w:sz w:val="24"/>
              </w:rPr>
              <w:t>C</w:t>
            </w:r>
            <w:r w:rsidR="003B6268">
              <w:rPr>
                <w:sz w:val="24"/>
              </w:rPr>
              <w:t xml:space="preserve">harter </w:t>
            </w:r>
            <w:r>
              <w:rPr>
                <w:sz w:val="24"/>
              </w:rPr>
              <w:t>S</w:t>
            </w:r>
            <w:r w:rsidR="003B6268">
              <w:rPr>
                <w:sz w:val="24"/>
              </w:rPr>
              <w:t>hipments</w:t>
            </w:r>
            <w:r>
              <w:rPr>
                <w:sz w:val="24"/>
              </w:rPr>
              <w:t>.</w:t>
            </w:r>
          </w:p>
        </w:tc>
        <w:tc>
          <w:tcPr>
            <w:tcW w:w="2448" w:type="dxa"/>
          </w:tcPr>
          <w:p w:rsidRPr="005A3D5B" w:rsidR="003B6268" w:rsidP="005A3D5B" w:rsidRDefault="003B6268" w14:paraId="239C3D72" w14:textId="77777777">
            <w:pPr>
              <w:rPr>
                <w:sz w:val="24"/>
                <w:lang w:val="fr-FR"/>
              </w:rPr>
            </w:pPr>
            <w:r w:rsidRPr="005A3D5B">
              <w:rPr>
                <w:sz w:val="24"/>
                <w:lang w:val="fr-FR"/>
              </w:rPr>
              <w:t>7 C.F.R. 1499.</w:t>
            </w:r>
            <w:r>
              <w:rPr>
                <w:sz w:val="24"/>
                <w:lang w:val="fr-FR"/>
              </w:rPr>
              <w:t>6</w:t>
            </w:r>
          </w:p>
          <w:p w:rsidRPr="005A3D5B" w:rsidR="003B6268" w:rsidP="005A3D5B" w:rsidRDefault="003B6268" w14:paraId="3BEE0812" w14:textId="77777777">
            <w:pPr>
              <w:rPr>
                <w:sz w:val="24"/>
                <w:lang w:val="fr-FR"/>
              </w:rPr>
            </w:pPr>
            <w:r>
              <w:rPr>
                <w:sz w:val="24"/>
                <w:lang w:val="fr-FR"/>
              </w:rPr>
              <w:t>(Food for Progress)</w:t>
            </w:r>
          </w:p>
          <w:p w:rsidRPr="005A3D5B" w:rsidR="003B6268" w:rsidP="005A3D5B" w:rsidRDefault="003B6268" w14:paraId="35B86338" w14:textId="77777777">
            <w:pPr>
              <w:rPr>
                <w:sz w:val="24"/>
                <w:lang w:val="fr-FR"/>
              </w:rPr>
            </w:pPr>
          </w:p>
          <w:p w:rsidR="003B6268" w:rsidP="005A3D5B" w:rsidRDefault="003B6268" w14:paraId="7DC33C86" w14:textId="77777777">
            <w:pPr>
              <w:rPr>
                <w:sz w:val="24"/>
              </w:rPr>
            </w:pPr>
            <w:r>
              <w:rPr>
                <w:sz w:val="24"/>
              </w:rPr>
              <w:t>7 C.F.R. 1599.6</w:t>
            </w:r>
          </w:p>
          <w:p w:rsidRPr="008501AA" w:rsidR="003B6268" w:rsidP="005A3D5B" w:rsidRDefault="003B6268" w14:paraId="45F5D112" w14:textId="77777777">
            <w:pPr>
              <w:rPr>
                <w:sz w:val="24"/>
              </w:rPr>
            </w:pPr>
            <w:r>
              <w:rPr>
                <w:sz w:val="24"/>
              </w:rPr>
              <w:t>(McGovern-Dole)</w:t>
            </w:r>
          </w:p>
        </w:tc>
      </w:tr>
      <w:tr w:rsidR="003B6268" w:rsidTr="00870ADE" w14:paraId="44FAB2E6" w14:textId="77777777">
        <w:tc>
          <w:tcPr>
            <w:tcW w:w="2610" w:type="dxa"/>
          </w:tcPr>
          <w:p w:rsidRPr="001C5A01" w:rsidR="003B6268" w:rsidRDefault="003B6268" w14:paraId="197DB164" w14:textId="77777777">
            <w:pPr>
              <w:rPr>
                <w:i/>
                <w:sz w:val="24"/>
              </w:rPr>
            </w:pPr>
            <w:r w:rsidRPr="001C5A01">
              <w:rPr>
                <w:i/>
                <w:sz w:val="24"/>
              </w:rPr>
              <w:t xml:space="preserve">Written </w:t>
            </w:r>
            <w:r>
              <w:rPr>
                <w:i/>
                <w:sz w:val="24"/>
              </w:rPr>
              <w:t>A</w:t>
            </w:r>
            <w:r w:rsidRPr="001C5A01">
              <w:rPr>
                <w:i/>
                <w:sz w:val="24"/>
              </w:rPr>
              <w:t xml:space="preserve">greement </w:t>
            </w:r>
            <w:r>
              <w:rPr>
                <w:i/>
                <w:sz w:val="24"/>
              </w:rPr>
              <w:t>Between a Participant and S</w:t>
            </w:r>
            <w:r w:rsidRPr="001C5A01">
              <w:rPr>
                <w:i/>
                <w:sz w:val="24"/>
              </w:rPr>
              <w:t>ubrecipients</w:t>
            </w:r>
          </w:p>
        </w:tc>
        <w:tc>
          <w:tcPr>
            <w:tcW w:w="4410" w:type="dxa"/>
          </w:tcPr>
          <w:p w:rsidR="003B6268" w:rsidRDefault="003B6268" w14:paraId="060B153D" w14:textId="77777777">
            <w:pPr>
              <w:rPr>
                <w:sz w:val="24"/>
              </w:rPr>
            </w:pPr>
            <w:r>
              <w:rPr>
                <w:sz w:val="24"/>
              </w:rPr>
              <w:t>A copy of the written agreement between the Participant and subrecipient is required before the commodity, sales proceeds, or program income can be transferred</w:t>
            </w:r>
            <w:r w:rsidR="009A37E1">
              <w:rPr>
                <w:sz w:val="24"/>
              </w:rPr>
              <w:t xml:space="preserve"> to the subrecipient</w:t>
            </w:r>
            <w:r>
              <w:rPr>
                <w:sz w:val="24"/>
              </w:rPr>
              <w:t xml:space="preserve">. </w:t>
            </w:r>
            <w:r w:rsidR="009A37E1">
              <w:rPr>
                <w:sz w:val="24"/>
              </w:rPr>
              <w:t xml:space="preserve"> The </w:t>
            </w:r>
            <w:r>
              <w:rPr>
                <w:sz w:val="24"/>
              </w:rPr>
              <w:t xml:space="preserve">Agreement requires </w:t>
            </w:r>
            <w:r>
              <w:rPr>
                <w:sz w:val="24"/>
              </w:rPr>
              <w:lastRenderedPageBreak/>
              <w:t>subrecipient to pay the Participant for lost, damaged or misused commodities if the subrecipient is at fault.</w:t>
            </w:r>
          </w:p>
        </w:tc>
        <w:tc>
          <w:tcPr>
            <w:tcW w:w="2448" w:type="dxa"/>
          </w:tcPr>
          <w:p w:rsidRPr="00D017A5" w:rsidR="003B6268" w:rsidRDefault="003B6268" w14:paraId="723A6959" w14:textId="77777777">
            <w:pPr>
              <w:rPr>
                <w:sz w:val="24"/>
                <w:lang w:val="fr-FR"/>
              </w:rPr>
            </w:pPr>
            <w:r w:rsidRPr="00D017A5">
              <w:rPr>
                <w:sz w:val="24"/>
                <w:lang w:val="fr-FR"/>
              </w:rPr>
              <w:lastRenderedPageBreak/>
              <w:t>7 C.F.R. 1499.12</w:t>
            </w:r>
          </w:p>
          <w:p w:rsidRPr="00D017A5" w:rsidR="003B6268" w:rsidRDefault="003B6268" w14:paraId="45E87145" w14:textId="77777777">
            <w:pPr>
              <w:rPr>
                <w:sz w:val="24"/>
                <w:lang w:val="fr-FR"/>
              </w:rPr>
            </w:pPr>
            <w:r>
              <w:rPr>
                <w:sz w:val="24"/>
                <w:lang w:val="fr-FR"/>
              </w:rPr>
              <w:t>(Food for Progress)</w:t>
            </w:r>
          </w:p>
          <w:p w:rsidRPr="00D017A5" w:rsidR="003B6268" w:rsidRDefault="003B6268" w14:paraId="014E3A50" w14:textId="77777777">
            <w:pPr>
              <w:rPr>
                <w:sz w:val="24"/>
                <w:lang w:val="fr-FR"/>
              </w:rPr>
            </w:pPr>
          </w:p>
          <w:p w:rsidR="003B6268" w:rsidRDefault="003B6268" w14:paraId="311FC529" w14:textId="77777777">
            <w:pPr>
              <w:rPr>
                <w:sz w:val="24"/>
              </w:rPr>
            </w:pPr>
            <w:r>
              <w:rPr>
                <w:sz w:val="24"/>
              </w:rPr>
              <w:t>7 C.F.R. 1599.12</w:t>
            </w:r>
          </w:p>
          <w:p w:rsidR="003B6268" w:rsidRDefault="003B6268" w14:paraId="2ADB9548" w14:textId="77777777">
            <w:pPr>
              <w:rPr>
                <w:sz w:val="24"/>
              </w:rPr>
            </w:pPr>
            <w:r>
              <w:rPr>
                <w:sz w:val="24"/>
              </w:rPr>
              <w:t>(McGovern-Dole)</w:t>
            </w:r>
          </w:p>
        </w:tc>
      </w:tr>
      <w:tr w:rsidR="003B6268" w:rsidTr="00870ADE" w14:paraId="058668B3" w14:textId="77777777">
        <w:tc>
          <w:tcPr>
            <w:tcW w:w="2610" w:type="dxa"/>
          </w:tcPr>
          <w:p w:rsidRPr="00D916AD" w:rsidR="003B6268" w:rsidRDefault="003B6268" w14:paraId="60AE0B8A" w14:textId="77777777">
            <w:pPr>
              <w:rPr>
                <w:i/>
                <w:sz w:val="24"/>
              </w:rPr>
            </w:pPr>
            <w:r>
              <w:rPr>
                <w:i/>
                <w:sz w:val="24"/>
              </w:rPr>
              <w:t xml:space="preserve">Documentation of </w:t>
            </w:r>
            <w:r w:rsidRPr="00D916AD">
              <w:rPr>
                <w:i/>
                <w:sz w:val="24"/>
              </w:rPr>
              <w:t>Damaged</w:t>
            </w:r>
            <w:r>
              <w:rPr>
                <w:i/>
                <w:sz w:val="24"/>
              </w:rPr>
              <w:t xml:space="preserve"> or Lost</w:t>
            </w:r>
            <w:r w:rsidRPr="00D916AD">
              <w:rPr>
                <w:i/>
                <w:sz w:val="24"/>
              </w:rPr>
              <w:t xml:space="preserve"> </w:t>
            </w:r>
            <w:r>
              <w:rPr>
                <w:i/>
                <w:sz w:val="24"/>
              </w:rPr>
              <w:t>C</w:t>
            </w:r>
            <w:r w:rsidRPr="00D916AD">
              <w:rPr>
                <w:i/>
                <w:sz w:val="24"/>
              </w:rPr>
              <w:t>ommodities</w:t>
            </w:r>
          </w:p>
        </w:tc>
        <w:tc>
          <w:tcPr>
            <w:tcW w:w="4410" w:type="dxa"/>
          </w:tcPr>
          <w:p w:rsidR="003B6268" w:rsidP="009A37E1" w:rsidRDefault="003B6268" w14:paraId="0FFD9789" w14:textId="77777777">
            <w:pPr>
              <w:rPr>
                <w:sz w:val="24"/>
              </w:rPr>
            </w:pPr>
            <w:r>
              <w:rPr>
                <w:sz w:val="24"/>
              </w:rPr>
              <w:t>Participants must provide a copy of the discharge survey to FAS.</w:t>
            </w:r>
            <w:r w:rsidR="009A37E1">
              <w:rPr>
                <w:sz w:val="24"/>
              </w:rPr>
              <w:t xml:space="preserve">  These surveys are collected through the Web-Based Supply Chain Management System or e-mail.  </w:t>
            </w:r>
            <w:r>
              <w:rPr>
                <w:sz w:val="24"/>
              </w:rPr>
              <w:t>If commodities with a value greater than $1,000 are lost or damaged, FAS requires: (1) a written report explaining the circumstances of the loss or damage, (2) a certification by a public health official on commodity condition and exact quantity of damaged commodity that are disposed, and (3) a report of action taken to dispose of any commodities unfit for authorized use.</w:t>
            </w:r>
          </w:p>
        </w:tc>
        <w:tc>
          <w:tcPr>
            <w:tcW w:w="2448" w:type="dxa"/>
          </w:tcPr>
          <w:p w:rsidRPr="00D017A5" w:rsidR="003B6268" w:rsidRDefault="003B6268" w14:paraId="0EAB138D" w14:textId="77777777">
            <w:pPr>
              <w:rPr>
                <w:sz w:val="24"/>
                <w:lang w:val="fr-FR"/>
              </w:rPr>
            </w:pPr>
            <w:r w:rsidRPr="00D017A5">
              <w:rPr>
                <w:sz w:val="24"/>
                <w:lang w:val="fr-FR"/>
              </w:rPr>
              <w:t>7 C.F.R. 1499.9</w:t>
            </w:r>
          </w:p>
          <w:p w:rsidRPr="00D017A5" w:rsidR="003B6268" w:rsidRDefault="003B6268" w14:paraId="5419C537" w14:textId="77777777">
            <w:pPr>
              <w:rPr>
                <w:sz w:val="24"/>
                <w:lang w:val="fr-FR"/>
              </w:rPr>
            </w:pPr>
            <w:r>
              <w:rPr>
                <w:sz w:val="24"/>
                <w:lang w:val="fr-FR"/>
              </w:rPr>
              <w:t>(Food for Progress)</w:t>
            </w:r>
          </w:p>
          <w:p w:rsidRPr="00D017A5" w:rsidR="003B6268" w:rsidRDefault="003B6268" w14:paraId="7BAFA345" w14:textId="77777777">
            <w:pPr>
              <w:rPr>
                <w:sz w:val="24"/>
                <w:lang w:val="fr-FR"/>
              </w:rPr>
            </w:pPr>
          </w:p>
          <w:p w:rsidR="003B6268" w:rsidRDefault="003B6268" w14:paraId="1C179B89" w14:textId="77777777">
            <w:pPr>
              <w:rPr>
                <w:sz w:val="24"/>
              </w:rPr>
            </w:pPr>
            <w:r>
              <w:rPr>
                <w:sz w:val="24"/>
              </w:rPr>
              <w:t>7 C.F.R. 1599.9</w:t>
            </w:r>
          </w:p>
          <w:p w:rsidR="003B6268" w:rsidRDefault="003B6268" w14:paraId="50B687D9" w14:textId="77777777">
            <w:pPr>
              <w:rPr>
                <w:sz w:val="24"/>
              </w:rPr>
            </w:pPr>
            <w:r>
              <w:rPr>
                <w:sz w:val="24"/>
              </w:rPr>
              <w:t>(McGovern-Dole)</w:t>
            </w:r>
          </w:p>
        </w:tc>
      </w:tr>
      <w:tr w:rsidR="003B6268" w:rsidTr="00870ADE" w14:paraId="1CA143AF" w14:textId="77777777">
        <w:tc>
          <w:tcPr>
            <w:tcW w:w="2610" w:type="dxa"/>
          </w:tcPr>
          <w:p w:rsidRPr="00D916AD" w:rsidR="003B6268" w:rsidRDefault="003B6268" w14:paraId="106B5ED7" w14:textId="77777777">
            <w:pPr>
              <w:rPr>
                <w:i/>
                <w:sz w:val="24"/>
              </w:rPr>
            </w:pPr>
            <w:r>
              <w:rPr>
                <w:i/>
                <w:sz w:val="24"/>
              </w:rPr>
              <w:t>Claims for Damage to or Loss of Commodities</w:t>
            </w:r>
          </w:p>
        </w:tc>
        <w:tc>
          <w:tcPr>
            <w:tcW w:w="4410" w:type="dxa"/>
          </w:tcPr>
          <w:p w:rsidR="003B6268" w:rsidRDefault="003B6268" w14:paraId="02222059" w14:textId="77777777">
            <w:pPr>
              <w:rPr>
                <w:sz w:val="24"/>
              </w:rPr>
            </w:pPr>
            <w:r>
              <w:rPr>
                <w:sz w:val="24"/>
              </w:rPr>
              <w:t>For damages or losses greater than $20,000, the Participant must provide FAS with detailed information about the circumstances surrounding the damage/loss and the quantity and value of the damaged/lost commodities.</w:t>
            </w:r>
          </w:p>
        </w:tc>
        <w:tc>
          <w:tcPr>
            <w:tcW w:w="2448" w:type="dxa"/>
          </w:tcPr>
          <w:p w:rsidRPr="00D017A5" w:rsidR="003B6268" w:rsidRDefault="003B6268" w14:paraId="723F9952" w14:textId="77777777">
            <w:pPr>
              <w:rPr>
                <w:sz w:val="24"/>
                <w:lang w:val="fr-FR"/>
              </w:rPr>
            </w:pPr>
            <w:r w:rsidRPr="00D017A5">
              <w:rPr>
                <w:sz w:val="24"/>
                <w:lang w:val="fr-FR"/>
              </w:rPr>
              <w:t>7 C.F.R. 1499.10</w:t>
            </w:r>
          </w:p>
          <w:p w:rsidRPr="00D017A5" w:rsidR="003B6268" w:rsidRDefault="003B6268" w14:paraId="0CE9D854" w14:textId="77777777">
            <w:pPr>
              <w:rPr>
                <w:sz w:val="24"/>
                <w:lang w:val="fr-FR"/>
              </w:rPr>
            </w:pPr>
            <w:r>
              <w:rPr>
                <w:sz w:val="24"/>
                <w:lang w:val="fr-FR"/>
              </w:rPr>
              <w:t>(Food for Progress)</w:t>
            </w:r>
          </w:p>
          <w:p w:rsidRPr="00D017A5" w:rsidR="003B6268" w:rsidRDefault="003B6268" w14:paraId="021CCA8A" w14:textId="77777777">
            <w:pPr>
              <w:rPr>
                <w:sz w:val="24"/>
                <w:lang w:val="fr-FR"/>
              </w:rPr>
            </w:pPr>
          </w:p>
          <w:p w:rsidR="003B6268" w:rsidRDefault="003B6268" w14:paraId="2592B034" w14:textId="77777777">
            <w:pPr>
              <w:rPr>
                <w:sz w:val="24"/>
              </w:rPr>
            </w:pPr>
            <w:r>
              <w:rPr>
                <w:sz w:val="24"/>
              </w:rPr>
              <w:t>7 C.F.R. 1599.10</w:t>
            </w:r>
          </w:p>
          <w:p w:rsidR="003B6268" w:rsidRDefault="003B6268" w14:paraId="077E8AD8" w14:textId="77777777">
            <w:pPr>
              <w:rPr>
                <w:sz w:val="24"/>
              </w:rPr>
            </w:pPr>
            <w:r>
              <w:rPr>
                <w:sz w:val="24"/>
              </w:rPr>
              <w:t>(McGovern-Dole)</w:t>
            </w:r>
          </w:p>
        </w:tc>
      </w:tr>
      <w:tr w:rsidR="003B6268" w:rsidTr="00870ADE" w14:paraId="6E8FD6AD" w14:textId="77777777">
        <w:tc>
          <w:tcPr>
            <w:tcW w:w="2610" w:type="dxa"/>
          </w:tcPr>
          <w:p w:rsidRPr="00D916AD" w:rsidR="003B6268" w:rsidP="00706ABE" w:rsidRDefault="003B6268" w14:paraId="71AE416D" w14:textId="77777777">
            <w:pPr>
              <w:rPr>
                <w:i/>
                <w:sz w:val="24"/>
              </w:rPr>
            </w:pPr>
            <w:r>
              <w:rPr>
                <w:i/>
                <w:sz w:val="24"/>
              </w:rPr>
              <w:t>Agreement R</w:t>
            </w:r>
            <w:r w:rsidRPr="00D916AD">
              <w:rPr>
                <w:i/>
                <w:sz w:val="24"/>
              </w:rPr>
              <w:t>epo</w:t>
            </w:r>
            <w:r>
              <w:rPr>
                <w:i/>
                <w:sz w:val="24"/>
              </w:rPr>
              <w:t>rting Requirements: Semi-annual F</w:t>
            </w:r>
            <w:r w:rsidRPr="00D916AD">
              <w:rPr>
                <w:i/>
                <w:sz w:val="24"/>
              </w:rPr>
              <w:t xml:space="preserve">inancial and </w:t>
            </w:r>
            <w:r w:rsidR="00706ABE">
              <w:rPr>
                <w:i/>
                <w:sz w:val="24"/>
              </w:rPr>
              <w:t xml:space="preserve">Performance </w:t>
            </w:r>
            <w:r>
              <w:rPr>
                <w:i/>
                <w:sz w:val="24"/>
              </w:rPr>
              <w:t>R</w:t>
            </w:r>
            <w:r w:rsidRPr="00D916AD">
              <w:rPr>
                <w:i/>
                <w:sz w:val="24"/>
              </w:rPr>
              <w:t xml:space="preserve">eports </w:t>
            </w:r>
          </w:p>
        </w:tc>
        <w:tc>
          <w:tcPr>
            <w:tcW w:w="4410" w:type="dxa"/>
          </w:tcPr>
          <w:p w:rsidR="003B6268" w:rsidP="00706ABE" w:rsidRDefault="003B6268" w14:paraId="4510DCEC" w14:textId="77777777">
            <w:pPr>
              <w:rPr>
                <w:sz w:val="24"/>
              </w:rPr>
            </w:pPr>
            <w:r>
              <w:rPr>
                <w:sz w:val="24"/>
              </w:rPr>
              <w:t xml:space="preserve">FAS requires that participants </w:t>
            </w:r>
            <w:r w:rsidR="00706ABE">
              <w:rPr>
                <w:sz w:val="24"/>
              </w:rPr>
              <w:t xml:space="preserve">performance </w:t>
            </w:r>
            <w:r>
              <w:rPr>
                <w:sz w:val="24"/>
              </w:rPr>
              <w:t xml:space="preserve">reports and financial reports on a semi-annual basis.  These reports are necessary to ensure that commodities are dispersed, funds are spent, and activities are conducted in full compliance with the agreement. </w:t>
            </w:r>
            <w:r w:rsidR="00706ABE">
              <w:rPr>
                <w:sz w:val="24"/>
              </w:rPr>
              <w:t xml:space="preserve"> The information is collected within the electronic Food Aid Information System.</w:t>
            </w:r>
          </w:p>
        </w:tc>
        <w:tc>
          <w:tcPr>
            <w:tcW w:w="2448" w:type="dxa"/>
          </w:tcPr>
          <w:p w:rsidRPr="00D017A5" w:rsidR="003B6268" w:rsidRDefault="003B6268" w14:paraId="32F819FC" w14:textId="77777777">
            <w:pPr>
              <w:rPr>
                <w:sz w:val="24"/>
                <w:lang w:val="fr-FR"/>
              </w:rPr>
            </w:pPr>
            <w:r w:rsidRPr="00D017A5">
              <w:rPr>
                <w:sz w:val="24"/>
                <w:lang w:val="fr-FR"/>
              </w:rPr>
              <w:t>7 C.F.R. 1499.13</w:t>
            </w:r>
          </w:p>
          <w:p w:rsidRPr="00D017A5" w:rsidR="003B6268" w:rsidRDefault="003B6268" w14:paraId="7309A0A0" w14:textId="77777777">
            <w:pPr>
              <w:rPr>
                <w:sz w:val="24"/>
                <w:lang w:val="fr-FR"/>
              </w:rPr>
            </w:pPr>
            <w:r>
              <w:rPr>
                <w:sz w:val="24"/>
                <w:lang w:val="fr-FR"/>
              </w:rPr>
              <w:t>(Food for Progress)</w:t>
            </w:r>
          </w:p>
          <w:p w:rsidRPr="00D017A5" w:rsidR="003B6268" w:rsidRDefault="003B6268" w14:paraId="53641049" w14:textId="77777777">
            <w:pPr>
              <w:rPr>
                <w:sz w:val="24"/>
                <w:lang w:val="fr-FR"/>
              </w:rPr>
            </w:pPr>
          </w:p>
          <w:p w:rsidR="003B6268" w:rsidRDefault="003B6268" w14:paraId="40D1AB98" w14:textId="77777777">
            <w:pPr>
              <w:rPr>
                <w:sz w:val="24"/>
              </w:rPr>
            </w:pPr>
            <w:r>
              <w:rPr>
                <w:sz w:val="24"/>
              </w:rPr>
              <w:t>7 C.F.R. 1599.13</w:t>
            </w:r>
          </w:p>
          <w:p w:rsidR="003B6268" w:rsidRDefault="003B6268" w14:paraId="46B0AF59" w14:textId="77777777">
            <w:pPr>
              <w:rPr>
                <w:sz w:val="24"/>
              </w:rPr>
            </w:pPr>
            <w:r>
              <w:rPr>
                <w:sz w:val="24"/>
              </w:rPr>
              <w:t>(McGovern-Dole)</w:t>
            </w:r>
          </w:p>
          <w:p w:rsidR="003B6268" w:rsidRDefault="003B6268" w14:paraId="0343CDF7" w14:textId="77777777">
            <w:pPr>
              <w:rPr>
                <w:sz w:val="24"/>
              </w:rPr>
            </w:pPr>
          </w:p>
          <w:p w:rsidRPr="00B93506" w:rsidR="003B6268" w:rsidRDefault="003B6268" w14:paraId="5B412E08" w14:textId="77777777">
            <w:pPr>
              <w:rPr>
                <w:sz w:val="24"/>
              </w:rPr>
            </w:pPr>
            <w:r>
              <w:rPr>
                <w:sz w:val="24"/>
              </w:rPr>
              <w:t>7 C.F.R. 3019.52 (All)</w:t>
            </w:r>
          </w:p>
        </w:tc>
      </w:tr>
      <w:tr w:rsidR="003B6268" w:rsidTr="00870ADE" w14:paraId="7291528A" w14:textId="77777777">
        <w:tc>
          <w:tcPr>
            <w:tcW w:w="2610" w:type="dxa"/>
          </w:tcPr>
          <w:p w:rsidRPr="00D916AD" w:rsidR="003B6268" w:rsidRDefault="003B6268" w14:paraId="1F2B9FAA" w14:textId="77777777">
            <w:pPr>
              <w:rPr>
                <w:i/>
                <w:sz w:val="24"/>
              </w:rPr>
            </w:pPr>
            <w:r w:rsidRPr="00D916AD">
              <w:rPr>
                <w:i/>
                <w:sz w:val="24"/>
              </w:rPr>
              <w:t>Annual A-133 Audit</w:t>
            </w:r>
          </w:p>
        </w:tc>
        <w:tc>
          <w:tcPr>
            <w:tcW w:w="4410" w:type="dxa"/>
          </w:tcPr>
          <w:p w:rsidR="003B6268" w:rsidRDefault="003B6268" w14:paraId="6798F720" w14:textId="77777777">
            <w:pPr>
              <w:rPr>
                <w:sz w:val="24"/>
              </w:rPr>
            </w:pPr>
            <w:r>
              <w:rPr>
                <w:sz w:val="24"/>
              </w:rPr>
              <w:t>Participants are required to submit an annual A-133 audit until all commodities are completely distributed and/or all proceeds from the sale of commodities are fully dispersed.  These audits are necessary to ensure the Participant’s financial accountability.</w:t>
            </w:r>
            <w:r w:rsidR="00706ABE">
              <w:rPr>
                <w:sz w:val="24"/>
              </w:rPr>
              <w:t xml:space="preserve">  The information is collected within the electronic Food Aid Information System.</w:t>
            </w:r>
          </w:p>
        </w:tc>
        <w:tc>
          <w:tcPr>
            <w:tcW w:w="2448" w:type="dxa"/>
          </w:tcPr>
          <w:p w:rsidRPr="00D017A5" w:rsidR="003B6268" w:rsidRDefault="003B6268" w14:paraId="724D7391" w14:textId="77777777">
            <w:pPr>
              <w:rPr>
                <w:sz w:val="24"/>
                <w:lang w:val="fr-FR"/>
              </w:rPr>
            </w:pPr>
            <w:r w:rsidRPr="00D017A5">
              <w:rPr>
                <w:sz w:val="24"/>
                <w:lang w:val="fr-FR"/>
              </w:rPr>
              <w:t>7 C.F.R. 1499.13</w:t>
            </w:r>
          </w:p>
          <w:p w:rsidRPr="00D017A5" w:rsidR="003B6268" w:rsidRDefault="003B6268" w14:paraId="205785ED" w14:textId="77777777">
            <w:pPr>
              <w:rPr>
                <w:sz w:val="24"/>
                <w:lang w:val="fr-FR"/>
              </w:rPr>
            </w:pPr>
            <w:r>
              <w:rPr>
                <w:sz w:val="24"/>
                <w:lang w:val="fr-FR"/>
              </w:rPr>
              <w:t>(Food for Progress)</w:t>
            </w:r>
          </w:p>
          <w:p w:rsidRPr="00D017A5" w:rsidR="003B6268" w:rsidRDefault="003B6268" w14:paraId="58B99F80" w14:textId="77777777">
            <w:pPr>
              <w:rPr>
                <w:sz w:val="24"/>
                <w:lang w:val="fr-FR"/>
              </w:rPr>
            </w:pPr>
          </w:p>
          <w:p w:rsidR="003B6268" w:rsidRDefault="003B6268" w14:paraId="6428D980" w14:textId="77777777">
            <w:pPr>
              <w:rPr>
                <w:sz w:val="24"/>
              </w:rPr>
            </w:pPr>
            <w:r>
              <w:rPr>
                <w:sz w:val="24"/>
              </w:rPr>
              <w:t>7 C.F.R. 1599.13</w:t>
            </w:r>
          </w:p>
          <w:p w:rsidR="003B6268" w:rsidRDefault="003B6268" w14:paraId="0E2CE1D7" w14:textId="77777777">
            <w:pPr>
              <w:rPr>
                <w:sz w:val="24"/>
              </w:rPr>
            </w:pPr>
            <w:r>
              <w:rPr>
                <w:sz w:val="24"/>
              </w:rPr>
              <w:t>(McGovern-Dole)</w:t>
            </w:r>
          </w:p>
          <w:p w:rsidR="003B6268" w:rsidRDefault="003B6268" w14:paraId="6AE09C84" w14:textId="77777777">
            <w:pPr>
              <w:rPr>
                <w:sz w:val="24"/>
              </w:rPr>
            </w:pPr>
          </w:p>
          <w:p w:rsidR="003B6268" w:rsidRDefault="003B6268" w14:paraId="45E1629F" w14:textId="77777777">
            <w:pPr>
              <w:rPr>
                <w:sz w:val="24"/>
              </w:rPr>
            </w:pPr>
            <w:r>
              <w:rPr>
                <w:sz w:val="24"/>
              </w:rPr>
              <w:t>7 C.F.R. 3019.26 (All)</w:t>
            </w:r>
          </w:p>
        </w:tc>
      </w:tr>
      <w:tr w:rsidR="003B6268" w:rsidTr="00870ADE" w14:paraId="395C1245" w14:textId="77777777">
        <w:tc>
          <w:tcPr>
            <w:tcW w:w="2610" w:type="dxa"/>
          </w:tcPr>
          <w:p w:rsidRPr="00D916AD" w:rsidR="003B6268" w:rsidRDefault="003B6268" w14:paraId="4C185DBC" w14:textId="77777777">
            <w:pPr>
              <w:rPr>
                <w:i/>
                <w:sz w:val="24"/>
              </w:rPr>
            </w:pPr>
            <w:r w:rsidRPr="00D916AD">
              <w:rPr>
                <w:i/>
                <w:sz w:val="24"/>
              </w:rPr>
              <w:t xml:space="preserve">Compliance and Evaluation: Mid-term and </w:t>
            </w:r>
            <w:r>
              <w:rPr>
                <w:i/>
                <w:sz w:val="24"/>
              </w:rPr>
              <w:t>F</w:t>
            </w:r>
            <w:r w:rsidRPr="00D916AD">
              <w:rPr>
                <w:i/>
                <w:sz w:val="24"/>
              </w:rPr>
              <w:t xml:space="preserve">inal </w:t>
            </w:r>
            <w:r>
              <w:rPr>
                <w:i/>
                <w:sz w:val="24"/>
              </w:rPr>
              <w:t>E</w:t>
            </w:r>
            <w:r w:rsidRPr="00D916AD">
              <w:rPr>
                <w:i/>
                <w:sz w:val="24"/>
              </w:rPr>
              <w:t xml:space="preserve">valuation </w:t>
            </w:r>
            <w:r>
              <w:rPr>
                <w:i/>
                <w:sz w:val="24"/>
              </w:rPr>
              <w:lastRenderedPageBreak/>
              <w:t>R</w:t>
            </w:r>
            <w:r w:rsidRPr="00D916AD">
              <w:rPr>
                <w:i/>
                <w:sz w:val="24"/>
              </w:rPr>
              <w:t>eport</w:t>
            </w:r>
            <w:r>
              <w:rPr>
                <w:i/>
                <w:sz w:val="24"/>
              </w:rPr>
              <w:t>s</w:t>
            </w:r>
            <w:r w:rsidRPr="00D916AD">
              <w:rPr>
                <w:i/>
                <w:sz w:val="24"/>
              </w:rPr>
              <w:t xml:space="preserve">; </w:t>
            </w:r>
            <w:r>
              <w:rPr>
                <w:i/>
                <w:sz w:val="24"/>
              </w:rPr>
              <w:t>P</w:t>
            </w:r>
            <w:r w:rsidRPr="00D916AD">
              <w:rPr>
                <w:i/>
                <w:sz w:val="24"/>
              </w:rPr>
              <w:t>rogram-</w:t>
            </w:r>
            <w:r>
              <w:rPr>
                <w:i/>
                <w:sz w:val="24"/>
              </w:rPr>
              <w:t>S</w:t>
            </w:r>
            <w:r w:rsidRPr="00D916AD">
              <w:rPr>
                <w:i/>
                <w:sz w:val="24"/>
              </w:rPr>
              <w:t xml:space="preserve">pecific </w:t>
            </w:r>
            <w:r>
              <w:rPr>
                <w:i/>
                <w:sz w:val="24"/>
              </w:rPr>
              <w:t>A</w:t>
            </w:r>
            <w:r w:rsidRPr="00D916AD">
              <w:rPr>
                <w:i/>
                <w:sz w:val="24"/>
              </w:rPr>
              <w:t>udit</w:t>
            </w:r>
          </w:p>
        </w:tc>
        <w:tc>
          <w:tcPr>
            <w:tcW w:w="4410" w:type="dxa"/>
          </w:tcPr>
          <w:p w:rsidRPr="00246989" w:rsidR="003B6268" w:rsidP="00706ABE" w:rsidRDefault="003B6268" w14:paraId="5DD0DAD3" w14:textId="77777777">
            <w:pPr>
              <w:rPr>
                <w:sz w:val="24"/>
              </w:rPr>
            </w:pPr>
            <w:r>
              <w:rPr>
                <w:sz w:val="24"/>
              </w:rPr>
              <w:lastRenderedPageBreak/>
              <w:t xml:space="preserve">FAS requires that all Participants submit </w:t>
            </w:r>
            <w:r w:rsidR="00706ABE">
              <w:rPr>
                <w:sz w:val="24"/>
              </w:rPr>
              <w:t xml:space="preserve">an evaluation plan, performance monitoring plans, </w:t>
            </w:r>
            <w:r>
              <w:rPr>
                <w:sz w:val="24"/>
              </w:rPr>
              <w:t xml:space="preserve">mid-term and final evaluation </w:t>
            </w:r>
            <w:r>
              <w:rPr>
                <w:sz w:val="24"/>
              </w:rPr>
              <w:lastRenderedPageBreak/>
              <w:t>reports</w:t>
            </w:r>
            <w:r w:rsidR="00706ABE">
              <w:rPr>
                <w:sz w:val="24"/>
              </w:rPr>
              <w:t>,</w:t>
            </w:r>
            <w:r>
              <w:rPr>
                <w:sz w:val="24"/>
              </w:rPr>
              <w:t xml:space="preserve"> and a program-specific audit</w:t>
            </w:r>
            <w:r w:rsidR="00706ABE">
              <w:rPr>
                <w:sz w:val="24"/>
              </w:rPr>
              <w:t xml:space="preserve">.  </w:t>
            </w:r>
            <w:r>
              <w:rPr>
                <w:sz w:val="24"/>
              </w:rPr>
              <w:t xml:space="preserve">These evaluations and audits are financed by CCC </w:t>
            </w:r>
            <w:r w:rsidR="00706ABE">
              <w:rPr>
                <w:sz w:val="24"/>
              </w:rPr>
              <w:t xml:space="preserve">or FAS </w:t>
            </w:r>
            <w:r>
              <w:rPr>
                <w:sz w:val="24"/>
              </w:rPr>
              <w:t>administrative funds</w:t>
            </w:r>
            <w:r w:rsidR="00706ABE">
              <w:rPr>
                <w:sz w:val="24"/>
              </w:rPr>
              <w:t xml:space="preserve"> provided to the Participant</w:t>
            </w:r>
            <w:r>
              <w:rPr>
                <w:sz w:val="24"/>
              </w:rPr>
              <w:t>.  This information collection is essential to ensure the accountability of food assistance programs.</w:t>
            </w:r>
            <w:r w:rsidR="00706ABE">
              <w:rPr>
                <w:sz w:val="24"/>
              </w:rPr>
              <w:t xml:space="preserve">  The information is collected within the electronic Food Aid Information System.</w:t>
            </w:r>
          </w:p>
        </w:tc>
        <w:tc>
          <w:tcPr>
            <w:tcW w:w="2448" w:type="dxa"/>
          </w:tcPr>
          <w:p w:rsidRPr="00D017A5" w:rsidR="003B6268" w:rsidP="007D56F3" w:rsidRDefault="003B6268" w14:paraId="3067AF37" w14:textId="77777777">
            <w:pPr>
              <w:rPr>
                <w:sz w:val="24"/>
                <w:lang w:val="fr-FR"/>
              </w:rPr>
            </w:pPr>
            <w:r w:rsidRPr="00D017A5">
              <w:rPr>
                <w:sz w:val="24"/>
                <w:lang w:val="fr-FR"/>
              </w:rPr>
              <w:lastRenderedPageBreak/>
              <w:t>7 C.F.R.</w:t>
            </w:r>
            <w:r>
              <w:rPr>
                <w:sz w:val="24"/>
                <w:lang w:val="fr-FR"/>
              </w:rPr>
              <w:t xml:space="preserve"> </w:t>
            </w:r>
            <w:r w:rsidRPr="00D017A5">
              <w:rPr>
                <w:sz w:val="24"/>
                <w:lang w:val="fr-FR"/>
              </w:rPr>
              <w:t>1499.13</w:t>
            </w:r>
          </w:p>
          <w:p w:rsidRPr="00D017A5" w:rsidR="003B6268" w:rsidP="007D56F3" w:rsidRDefault="003B6268" w14:paraId="14B98D4D" w14:textId="77777777">
            <w:pPr>
              <w:rPr>
                <w:sz w:val="24"/>
                <w:lang w:val="fr-FR"/>
              </w:rPr>
            </w:pPr>
            <w:r>
              <w:rPr>
                <w:sz w:val="24"/>
                <w:lang w:val="fr-FR"/>
              </w:rPr>
              <w:t>(Food for Progress)</w:t>
            </w:r>
          </w:p>
          <w:p w:rsidRPr="00D017A5" w:rsidR="003B6268" w:rsidP="007D56F3" w:rsidRDefault="003B6268" w14:paraId="2D6E7EEB" w14:textId="77777777">
            <w:pPr>
              <w:rPr>
                <w:sz w:val="24"/>
                <w:lang w:val="fr-FR"/>
              </w:rPr>
            </w:pPr>
          </w:p>
          <w:p w:rsidRPr="00FF7FAE" w:rsidR="003B6268" w:rsidP="007D56F3" w:rsidRDefault="003B6268" w14:paraId="0307BCD7" w14:textId="77777777">
            <w:pPr>
              <w:rPr>
                <w:sz w:val="24"/>
              </w:rPr>
            </w:pPr>
            <w:r w:rsidRPr="00FF7FAE">
              <w:rPr>
                <w:sz w:val="24"/>
              </w:rPr>
              <w:lastRenderedPageBreak/>
              <w:t>7 C.F.R. 1599.13</w:t>
            </w:r>
          </w:p>
          <w:p w:rsidRPr="00FF7FAE" w:rsidR="003B6268" w:rsidP="007D56F3" w:rsidRDefault="003B6268" w14:paraId="5AE431CF" w14:textId="77777777">
            <w:pPr>
              <w:rPr>
                <w:sz w:val="24"/>
              </w:rPr>
            </w:pPr>
            <w:r w:rsidRPr="00FF7FAE">
              <w:rPr>
                <w:sz w:val="24"/>
              </w:rPr>
              <w:t>(</w:t>
            </w:r>
            <w:r w:rsidRPr="002C6A7C">
              <w:rPr>
                <w:sz w:val="24"/>
              </w:rPr>
              <w:t>McGovern-Dole)</w:t>
            </w:r>
          </w:p>
          <w:p w:rsidRPr="00FF7FAE" w:rsidR="003B6268" w:rsidP="007D56F3" w:rsidRDefault="003B6268" w14:paraId="7F57CAC2" w14:textId="77777777">
            <w:pPr>
              <w:rPr>
                <w:sz w:val="24"/>
              </w:rPr>
            </w:pPr>
          </w:p>
          <w:p w:rsidRPr="00CD1EBE" w:rsidR="003B6268" w:rsidP="007D56F3" w:rsidRDefault="003B6268" w14:paraId="660A6F48" w14:textId="77777777">
            <w:pPr>
              <w:rPr>
                <w:sz w:val="24"/>
              </w:rPr>
            </w:pPr>
            <w:r>
              <w:rPr>
                <w:sz w:val="24"/>
              </w:rPr>
              <w:t>7 C.F.R. 3052.200</w:t>
            </w:r>
          </w:p>
        </w:tc>
      </w:tr>
      <w:tr w:rsidR="003B6268" w:rsidTr="00870ADE" w14:paraId="7D060134" w14:textId="77777777">
        <w:tc>
          <w:tcPr>
            <w:tcW w:w="2610" w:type="dxa"/>
          </w:tcPr>
          <w:p w:rsidRPr="00D916AD" w:rsidR="003B6268" w:rsidRDefault="003B6268" w14:paraId="1C35B73D" w14:textId="77777777">
            <w:pPr>
              <w:rPr>
                <w:i/>
                <w:sz w:val="24"/>
              </w:rPr>
            </w:pPr>
            <w:r w:rsidRPr="00D916AD">
              <w:rPr>
                <w:i/>
                <w:sz w:val="24"/>
              </w:rPr>
              <w:lastRenderedPageBreak/>
              <w:t>Final Reimbursement Request</w:t>
            </w:r>
          </w:p>
        </w:tc>
        <w:tc>
          <w:tcPr>
            <w:tcW w:w="4410" w:type="dxa"/>
          </w:tcPr>
          <w:p w:rsidRPr="00246989" w:rsidR="003B6268" w:rsidP="00706ABE" w:rsidRDefault="003B6268" w14:paraId="53C34E4A" w14:textId="77777777">
            <w:pPr>
              <w:rPr>
                <w:sz w:val="24"/>
              </w:rPr>
            </w:pPr>
            <w:r>
              <w:rPr>
                <w:sz w:val="24"/>
              </w:rPr>
              <w:t xml:space="preserve">When the program specified under an agreement is completed, a Participant may submit a final reimbursement request for administrative funds spent under the agreement.  However, the Participant must return any funds advanced by CCC </w:t>
            </w:r>
            <w:r w:rsidR="00706ABE">
              <w:rPr>
                <w:sz w:val="24"/>
              </w:rPr>
              <w:t xml:space="preserve">or FAS </w:t>
            </w:r>
            <w:r>
              <w:rPr>
                <w:sz w:val="24"/>
              </w:rPr>
              <w:t xml:space="preserve">that have not been obligated.  Additionally, any unspent monetization proceeds must be returned.  This information is necessary to </w:t>
            </w:r>
            <w:r w:rsidR="00706ABE">
              <w:rPr>
                <w:sz w:val="24"/>
              </w:rPr>
              <w:t xml:space="preserve">reconcile </w:t>
            </w:r>
            <w:r>
              <w:rPr>
                <w:sz w:val="24"/>
              </w:rPr>
              <w:t>accounts once programming is finished.</w:t>
            </w:r>
          </w:p>
        </w:tc>
        <w:tc>
          <w:tcPr>
            <w:tcW w:w="2448" w:type="dxa"/>
          </w:tcPr>
          <w:p w:rsidR="003B6268" w:rsidP="007D56F3" w:rsidRDefault="003B6268" w14:paraId="069F5064" w14:textId="77777777">
            <w:pPr>
              <w:rPr>
                <w:sz w:val="24"/>
              </w:rPr>
            </w:pPr>
            <w:r>
              <w:rPr>
                <w:sz w:val="24"/>
              </w:rPr>
              <w:t>7 C.F.R. 1499.6</w:t>
            </w:r>
          </w:p>
          <w:p w:rsidRPr="00D017A5" w:rsidR="002D7C26" w:rsidP="002D7C26" w:rsidRDefault="002D7C26" w14:paraId="28DBC833" w14:textId="77777777">
            <w:pPr>
              <w:rPr>
                <w:sz w:val="24"/>
                <w:lang w:val="fr-FR"/>
              </w:rPr>
            </w:pPr>
            <w:r>
              <w:rPr>
                <w:sz w:val="24"/>
                <w:lang w:val="fr-FR"/>
              </w:rPr>
              <w:t>(Food for Progress)</w:t>
            </w:r>
          </w:p>
          <w:p w:rsidR="003B6268" w:rsidP="007D56F3" w:rsidRDefault="003B6268" w14:paraId="129C0507" w14:textId="77777777">
            <w:pPr>
              <w:rPr>
                <w:sz w:val="24"/>
              </w:rPr>
            </w:pPr>
          </w:p>
          <w:p w:rsidR="003B6268" w:rsidP="007D56F3" w:rsidRDefault="003B6268" w14:paraId="06798F60" w14:textId="77777777">
            <w:pPr>
              <w:rPr>
                <w:sz w:val="24"/>
              </w:rPr>
            </w:pPr>
            <w:r>
              <w:rPr>
                <w:sz w:val="24"/>
              </w:rPr>
              <w:t>7 C.F.R. 1599.6</w:t>
            </w:r>
          </w:p>
          <w:p w:rsidRPr="00CD1EBE" w:rsidR="003B6268" w:rsidP="007D56F3" w:rsidRDefault="003B6268" w14:paraId="007E0156" w14:textId="77777777">
            <w:pPr>
              <w:rPr>
                <w:sz w:val="24"/>
              </w:rPr>
            </w:pPr>
            <w:r>
              <w:rPr>
                <w:sz w:val="24"/>
              </w:rPr>
              <w:t>(McGovern-Dole)</w:t>
            </w:r>
          </w:p>
        </w:tc>
      </w:tr>
      <w:tr w:rsidR="003B6268" w:rsidTr="00870ADE" w14:paraId="1C358F0F" w14:textId="77777777">
        <w:tc>
          <w:tcPr>
            <w:tcW w:w="2610" w:type="dxa"/>
          </w:tcPr>
          <w:p w:rsidRPr="00D916AD" w:rsidR="003B6268" w:rsidRDefault="003B6268" w14:paraId="6A69143C" w14:textId="77777777">
            <w:pPr>
              <w:rPr>
                <w:i/>
                <w:sz w:val="24"/>
              </w:rPr>
            </w:pPr>
            <w:r w:rsidRPr="00D916AD">
              <w:rPr>
                <w:i/>
                <w:sz w:val="24"/>
              </w:rPr>
              <w:t xml:space="preserve">Agreement Closeout: </w:t>
            </w:r>
            <w:r>
              <w:rPr>
                <w:i/>
                <w:sz w:val="24"/>
              </w:rPr>
              <w:t>E</w:t>
            </w:r>
            <w:r w:rsidRPr="00D916AD">
              <w:rPr>
                <w:i/>
                <w:sz w:val="24"/>
              </w:rPr>
              <w:t xml:space="preserve">quipment </w:t>
            </w:r>
            <w:r>
              <w:rPr>
                <w:i/>
                <w:sz w:val="24"/>
              </w:rPr>
              <w:t>D</w:t>
            </w:r>
            <w:r w:rsidRPr="00D916AD">
              <w:rPr>
                <w:i/>
                <w:sz w:val="24"/>
              </w:rPr>
              <w:t xml:space="preserve">isposition </w:t>
            </w:r>
            <w:r>
              <w:rPr>
                <w:i/>
                <w:sz w:val="24"/>
              </w:rPr>
              <w:t>I</w:t>
            </w:r>
            <w:r w:rsidRPr="00D916AD">
              <w:rPr>
                <w:i/>
                <w:sz w:val="24"/>
              </w:rPr>
              <w:t>nformation,</w:t>
            </w:r>
            <w:r>
              <w:rPr>
                <w:i/>
                <w:sz w:val="24"/>
              </w:rPr>
              <w:t xml:space="preserve"> T</w:t>
            </w:r>
            <w:r w:rsidRPr="00D916AD">
              <w:rPr>
                <w:i/>
                <w:sz w:val="24"/>
              </w:rPr>
              <w:t xml:space="preserve">ax </w:t>
            </w:r>
            <w:r>
              <w:rPr>
                <w:i/>
                <w:sz w:val="24"/>
              </w:rPr>
              <w:t>C</w:t>
            </w:r>
            <w:r w:rsidRPr="00D916AD">
              <w:rPr>
                <w:i/>
                <w:sz w:val="24"/>
              </w:rPr>
              <w:t>ertification</w:t>
            </w:r>
          </w:p>
        </w:tc>
        <w:tc>
          <w:tcPr>
            <w:tcW w:w="4410" w:type="dxa"/>
          </w:tcPr>
          <w:p w:rsidRPr="00246989" w:rsidR="003B6268" w:rsidRDefault="003B6268" w14:paraId="5C3A4033" w14:textId="77777777">
            <w:pPr>
              <w:rPr>
                <w:sz w:val="24"/>
              </w:rPr>
            </w:pPr>
            <w:r>
              <w:rPr>
                <w:sz w:val="24"/>
              </w:rPr>
              <w:t>When an agreement is ready to be closed out, the Participant must account for the disposition of capital equipment purchased with program funds.  Additionally, the Participant must certify that it has no outstanding payroll taxes on employees in the program country.  This documentation is necessary to comply with federal regulations for grant close out.</w:t>
            </w:r>
            <w:r w:rsidR="00706ABE">
              <w:rPr>
                <w:sz w:val="24"/>
              </w:rPr>
              <w:t xml:space="preserve">  The information is collected within the electronic Food Aid Information System.</w:t>
            </w:r>
          </w:p>
        </w:tc>
        <w:tc>
          <w:tcPr>
            <w:tcW w:w="2448" w:type="dxa"/>
          </w:tcPr>
          <w:p w:rsidR="003B6268" w:rsidP="007D56F3" w:rsidRDefault="003B6268" w14:paraId="41BDCEC7" w14:textId="77777777">
            <w:pPr>
              <w:rPr>
                <w:sz w:val="24"/>
              </w:rPr>
            </w:pPr>
            <w:r>
              <w:rPr>
                <w:sz w:val="24"/>
              </w:rPr>
              <w:t>7 C.F.R. 1499.15</w:t>
            </w:r>
          </w:p>
          <w:p w:rsidRPr="00D017A5" w:rsidR="002D7C26" w:rsidP="002D7C26" w:rsidRDefault="002D7C26" w14:paraId="29B27180" w14:textId="77777777">
            <w:pPr>
              <w:rPr>
                <w:sz w:val="24"/>
                <w:lang w:val="fr-FR"/>
              </w:rPr>
            </w:pPr>
            <w:r>
              <w:rPr>
                <w:sz w:val="24"/>
                <w:lang w:val="fr-FR"/>
              </w:rPr>
              <w:t>(Food for Progress)</w:t>
            </w:r>
          </w:p>
          <w:p w:rsidRPr="002D7C26" w:rsidR="003B6268" w:rsidP="007D56F3" w:rsidRDefault="003B6268" w14:paraId="3DB900BC" w14:textId="77777777">
            <w:pPr>
              <w:rPr>
                <w:sz w:val="24"/>
                <w:lang w:val="fr-FR"/>
              </w:rPr>
            </w:pPr>
          </w:p>
          <w:p w:rsidR="003B6268" w:rsidP="007D56F3" w:rsidRDefault="003B6268" w14:paraId="7D5DFFD7" w14:textId="77777777">
            <w:pPr>
              <w:rPr>
                <w:sz w:val="24"/>
              </w:rPr>
            </w:pPr>
            <w:r>
              <w:rPr>
                <w:sz w:val="24"/>
              </w:rPr>
              <w:t>7 C.F.R. 1599.15</w:t>
            </w:r>
          </w:p>
          <w:p w:rsidR="003B6268" w:rsidP="007D56F3" w:rsidRDefault="003B6268" w14:paraId="1A2CC941" w14:textId="77777777">
            <w:pPr>
              <w:rPr>
                <w:sz w:val="24"/>
              </w:rPr>
            </w:pPr>
            <w:r>
              <w:rPr>
                <w:sz w:val="24"/>
              </w:rPr>
              <w:t>(McGovern Dole)</w:t>
            </w:r>
          </w:p>
          <w:p w:rsidR="003B6268" w:rsidP="007D56F3" w:rsidRDefault="003B6268" w14:paraId="433176B0" w14:textId="77777777">
            <w:pPr>
              <w:rPr>
                <w:sz w:val="24"/>
              </w:rPr>
            </w:pPr>
          </w:p>
          <w:p w:rsidRPr="00CD1EBE" w:rsidR="003B6268" w:rsidP="007D56F3" w:rsidRDefault="003B6268" w14:paraId="5BA320FE" w14:textId="77777777">
            <w:pPr>
              <w:rPr>
                <w:sz w:val="24"/>
              </w:rPr>
            </w:pPr>
            <w:r>
              <w:rPr>
                <w:sz w:val="24"/>
              </w:rPr>
              <w:t>7 C.F.R. 3019.71 – 3019.73   (All)</w:t>
            </w:r>
          </w:p>
        </w:tc>
      </w:tr>
      <w:tr w:rsidR="003B6268" w:rsidTr="00870ADE" w14:paraId="18276A24" w14:textId="77777777">
        <w:tc>
          <w:tcPr>
            <w:tcW w:w="2610" w:type="dxa"/>
          </w:tcPr>
          <w:p w:rsidRPr="00D916AD" w:rsidR="003B6268" w:rsidRDefault="003B6268" w14:paraId="4DBE03AC" w14:textId="77777777">
            <w:pPr>
              <w:rPr>
                <w:i/>
                <w:sz w:val="24"/>
              </w:rPr>
            </w:pPr>
            <w:r w:rsidRPr="00D916AD">
              <w:rPr>
                <w:i/>
                <w:sz w:val="24"/>
              </w:rPr>
              <w:t xml:space="preserve">Maintenance of </w:t>
            </w:r>
            <w:r>
              <w:rPr>
                <w:i/>
                <w:sz w:val="24"/>
              </w:rPr>
              <w:t>R</w:t>
            </w:r>
            <w:r w:rsidRPr="00D916AD">
              <w:rPr>
                <w:i/>
                <w:sz w:val="24"/>
              </w:rPr>
              <w:t xml:space="preserve">ecords and </w:t>
            </w:r>
            <w:r>
              <w:rPr>
                <w:i/>
                <w:sz w:val="24"/>
              </w:rPr>
              <w:t>R</w:t>
            </w:r>
            <w:r w:rsidRPr="00D916AD">
              <w:rPr>
                <w:i/>
                <w:sz w:val="24"/>
              </w:rPr>
              <w:t>eports</w:t>
            </w:r>
          </w:p>
        </w:tc>
        <w:tc>
          <w:tcPr>
            <w:tcW w:w="4410" w:type="dxa"/>
          </w:tcPr>
          <w:p w:rsidR="003B6268" w:rsidP="00706ABE" w:rsidRDefault="003B6268" w14:paraId="0D9FB36E" w14:textId="77777777">
            <w:pPr>
              <w:rPr>
                <w:sz w:val="24"/>
              </w:rPr>
            </w:pPr>
            <w:r w:rsidRPr="00246989">
              <w:rPr>
                <w:sz w:val="24"/>
              </w:rPr>
              <w:t xml:space="preserve">Financial records, </w:t>
            </w:r>
            <w:r w:rsidR="00706ABE">
              <w:rPr>
                <w:sz w:val="24"/>
              </w:rPr>
              <w:t xml:space="preserve">performance </w:t>
            </w:r>
            <w:r>
              <w:rPr>
                <w:sz w:val="24"/>
              </w:rPr>
              <w:t>reports,</w:t>
            </w:r>
            <w:r w:rsidRPr="00246989">
              <w:rPr>
                <w:sz w:val="24"/>
              </w:rPr>
              <w:t xml:space="preserve"> and all other records pertinent to an award shall be retained for a period of three years from the date of submission of the final expenditure report</w:t>
            </w:r>
            <w:r>
              <w:rPr>
                <w:sz w:val="24"/>
              </w:rPr>
              <w:t>.  These records must be kept for use in post-program evaluation and to ensure compliance.</w:t>
            </w:r>
          </w:p>
        </w:tc>
        <w:tc>
          <w:tcPr>
            <w:tcW w:w="2448" w:type="dxa"/>
          </w:tcPr>
          <w:p w:rsidRPr="00D017A5" w:rsidR="003B6268" w:rsidP="007D56F3" w:rsidRDefault="003B6268" w14:paraId="42B3438D" w14:textId="77777777">
            <w:pPr>
              <w:rPr>
                <w:sz w:val="24"/>
                <w:lang w:val="fr-FR"/>
              </w:rPr>
            </w:pPr>
            <w:r w:rsidRPr="00D017A5">
              <w:rPr>
                <w:sz w:val="24"/>
                <w:lang w:val="fr-FR"/>
              </w:rPr>
              <w:t>7 C.F.R. 1499.13</w:t>
            </w:r>
          </w:p>
          <w:p w:rsidRPr="00D017A5" w:rsidR="003B6268" w:rsidP="007D56F3" w:rsidRDefault="003B6268" w14:paraId="723341B9" w14:textId="77777777">
            <w:pPr>
              <w:rPr>
                <w:sz w:val="24"/>
                <w:lang w:val="fr-FR"/>
              </w:rPr>
            </w:pPr>
            <w:r>
              <w:rPr>
                <w:sz w:val="24"/>
                <w:lang w:val="fr-FR"/>
              </w:rPr>
              <w:t>(Food for Progress)</w:t>
            </w:r>
          </w:p>
          <w:p w:rsidRPr="00D017A5" w:rsidR="003B6268" w:rsidP="007D56F3" w:rsidRDefault="003B6268" w14:paraId="336D5DAE" w14:textId="77777777">
            <w:pPr>
              <w:rPr>
                <w:sz w:val="24"/>
                <w:lang w:val="fr-FR"/>
              </w:rPr>
            </w:pPr>
          </w:p>
          <w:p w:rsidRPr="00246989" w:rsidR="003B6268" w:rsidP="007D56F3" w:rsidRDefault="003B6268" w14:paraId="05AF9F47" w14:textId="77777777">
            <w:pPr>
              <w:rPr>
                <w:sz w:val="24"/>
              </w:rPr>
            </w:pPr>
            <w:r w:rsidRPr="00246989">
              <w:rPr>
                <w:sz w:val="24"/>
              </w:rPr>
              <w:t>7 C.F.R. 1599.13</w:t>
            </w:r>
          </w:p>
          <w:p w:rsidR="003B6268" w:rsidP="007D56F3" w:rsidRDefault="003B6268" w14:paraId="3D7E09B6" w14:textId="77777777">
            <w:pPr>
              <w:rPr>
                <w:sz w:val="24"/>
              </w:rPr>
            </w:pPr>
            <w:r>
              <w:rPr>
                <w:sz w:val="24"/>
              </w:rPr>
              <w:t>(McGovern-Dole)</w:t>
            </w:r>
          </w:p>
          <w:p w:rsidR="003B6268" w:rsidP="007D56F3" w:rsidRDefault="003B6268" w14:paraId="27475752" w14:textId="77777777">
            <w:pPr>
              <w:rPr>
                <w:sz w:val="24"/>
              </w:rPr>
            </w:pPr>
          </w:p>
          <w:p w:rsidRPr="00821123" w:rsidR="003B6268" w:rsidRDefault="003B6268" w14:paraId="76EDB436" w14:textId="77777777">
            <w:pPr>
              <w:rPr>
                <w:sz w:val="24"/>
                <w:lang w:val="fr-FR"/>
              </w:rPr>
            </w:pPr>
            <w:r>
              <w:rPr>
                <w:sz w:val="24"/>
              </w:rPr>
              <w:t>7 C.F.R. 3019.53 (All)</w:t>
            </w:r>
          </w:p>
        </w:tc>
      </w:tr>
    </w:tbl>
    <w:p w:rsidR="003B6268" w:rsidRDefault="003B6268" w14:paraId="3B1F978F" w14:textId="77777777">
      <w:pPr>
        <w:rPr>
          <w:sz w:val="24"/>
        </w:rPr>
      </w:pPr>
    </w:p>
    <w:p w:rsidR="00F85B5B" w:rsidRDefault="00B34A34" w14:paraId="4606106E" w14:textId="77777777">
      <w:pPr>
        <w:rPr>
          <w:b/>
          <w:bCs/>
          <w:sz w:val="24"/>
        </w:rPr>
      </w:pPr>
      <w:r>
        <w:rPr>
          <w:sz w:val="24"/>
        </w:rPr>
        <w:t>The implementation of two e</w:t>
      </w:r>
      <w:r w:rsidR="00706ABE">
        <w:rPr>
          <w:sz w:val="24"/>
        </w:rPr>
        <w:t xml:space="preserve">lectronic systems – </w:t>
      </w:r>
      <w:r>
        <w:rPr>
          <w:sz w:val="24"/>
        </w:rPr>
        <w:t xml:space="preserve">the </w:t>
      </w:r>
      <w:r w:rsidR="00706ABE">
        <w:rPr>
          <w:sz w:val="24"/>
        </w:rPr>
        <w:t xml:space="preserve">Web-Based Supply Chain Management System and </w:t>
      </w:r>
      <w:r>
        <w:rPr>
          <w:sz w:val="24"/>
        </w:rPr>
        <w:t xml:space="preserve">the </w:t>
      </w:r>
      <w:r w:rsidR="00706ABE">
        <w:rPr>
          <w:sz w:val="24"/>
        </w:rPr>
        <w:t>Food Aid Information System</w:t>
      </w:r>
      <w:r>
        <w:rPr>
          <w:sz w:val="24"/>
        </w:rPr>
        <w:t xml:space="preserve"> have increased the efficiency and reduced the redundancy of the collection of information.  Information collected at each point in the business cycle is retained and used by the systems at later points in the cycle.  FAS strengthened the focus </w:t>
      </w:r>
      <w:r>
        <w:rPr>
          <w:sz w:val="24"/>
        </w:rPr>
        <w:lastRenderedPageBreak/>
        <w:t>on results and evaluations and oversight of the sales process for commodities.  These collections are necessary to respond to recommendations for improvements in monitoring and evaluation and oversight.  The electronic systems allow for efficient collection and analysis of results and compliance.</w:t>
      </w:r>
    </w:p>
    <w:p w:rsidR="00F85B5B" w:rsidRDefault="00F85B5B" w14:paraId="71B130BD" w14:textId="77777777">
      <w:pPr>
        <w:rPr>
          <w:b/>
          <w:bCs/>
          <w:sz w:val="24"/>
        </w:rPr>
      </w:pPr>
    </w:p>
    <w:p w:rsidR="00665BA1" w:rsidRDefault="00665BA1" w14:paraId="35A7A844" w14:textId="77777777">
      <w:pPr>
        <w:rPr>
          <w:sz w:val="24"/>
        </w:rPr>
      </w:pPr>
      <w:r>
        <w:rPr>
          <w:b/>
          <w:bCs/>
          <w:sz w:val="24"/>
        </w:rPr>
        <w:t>2. Indicate how, by whom, and for what purpose the information is to be used.  Except for a new collection, indicate the actual use the agency has made of the information received from the current collection.</w:t>
      </w:r>
    </w:p>
    <w:p w:rsidR="00665BA1" w:rsidRDefault="00665BA1" w14:paraId="7BEEF7DD" w14:textId="77777777">
      <w:pPr>
        <w:rPr>
          <w:sz w:val="24"/>
        </w:rPr>
      </w:pPr>
    </w:p>
    <w:p w:rsidR="006436DD" w:rsidRDefault="00665BA1" w14:paraId="19A7DE36" w14:textId="77777777">
      <w:pPr>
        <w:rPr>
          <w:sz w:val="24"/>
        </w:rPr>
      </w:pPr>
      <w:r>
        <w:rPr>
          <w:sz w:val="24"/>
        </w:rPr>
        <w:t xml:space="preserve">Information is collected from the </w:t>
      </w:r>
      <w:r w:rsidR="00586182">
        <w:rPr>
          <w:sz w:val="24"/>
        </w:rPr>
        <w:t>Recipient</w:t>
      </w:r>
      <w:r>
        <w:rPr>
          <w:sz w:val="24"/>
        </w:rPr>
        <w:t xml:space="preserve"> to determine its ability to carry out a food aid program, to establish </w:t>
      </w:r>
      <w:r w:rsidR="00684E96">
        <w:rPr>
          <w:sz w:val="24"/>
        </w:rPr>
        <w:t xml:space="preserve">the </w:t>
      </w:r>
      <w:r>
        <w:rPr>
          <w:sz w:val="24"/>
        </w:rPr>
        <w:t xml:space="preserve">terms under which commodities will be provided, to monitor the progress of commodity distribution </w:t>
      </w:r>
      <w:r w:rsidR="0084738C">
        <w:rPr>
          <w:sz w:val="24"/>
        </w:rPr>
        <w:t>(</w:t>
      </w:r>
      <w:r>
        <w:rPr>
          <w:sz w:val="24"/>
        </w:rPr>
        <w:t>including how transportation is procured</w:t>
      </w:r>
      <w:r w:rsidR="0084738C">
        <w:rPr>
          <w:sz w:val="24"/>
        </w:rPr>
        <w:t>)</w:t>
      </w:r>
      <w:r>
        <w:rPr>
          <w:sz w:val="24"/>
        </w:rPr>
        <w:t>,</w:t>
      </w:r>
      <w:r w:rsidR="0084738C">
        <w:rPr>
          <w:sz w:val="24"/>
        </w:rPr>
        <w:t xml:space="preserve"> to monitor the progress of expenditure of monetization funds,</w:t>
      </w:r>
      <w:r>
        <w:rPr>
          <w:sz w:val="24"/>
        </w:rPr>
        <w:t xml:space="preserve"> and to evaluate both the program’s success and the </w:t>
      </w:r>
      <w:r w:rsidR="00586182">
        <w:rPr>
          <w:sz w:val="24"/>
        </w:rPr>
        <w:t>Recipient</w:t>
      </w:r>
      <w:r>
        <w:rPr>
          <w:sz w:val="24"/>
        </w:rPr>
        <w:t xml:space="preserve">’s effectiveness in meeting </w:t>
      </w:r>
      <w:r w:rsidR="00CB1203">
        <w:rPr>
          <w:sz w:val="24"/>
        </w:rPr>
        <w:t>intended results.</w:t>
      </w:r>
      <w:r>
        <w:rPr>
          <w:sz w:val="24"/>
        </w:rPr>
        <w:t xml:space="preserve"> </w:t>
      </w:r>
      <w:r w:rsidR="0084738C">
        <w:rPr>
          <w:sz w:val="24"/>
        </w:rPr>
        <w:t xml:space="preserve"> </w:t>
      </w:r>
      <w:r w:rsidR="006436DD">
        <w:rPr>
          <w:sz w:val="24"/>
        </w:rPr>
        <w:t xml:space="preserve">An explanation of how and for what purposes FAS uses </w:t>
      </w:r>
      <w:r w:rsidR="00820CE5">
        <w:rPr>
          <w:sz w:val="24"/>
        </w:rPr>
        <w:t xml:space="preserve">specific </w:t>
      </w:r>
      <w:r w:rsidR="006436DD">
        <w:rPr>
          <w:sz w:val="24"/>
        </w:rPr>
        <w:t>collected information is detailed in the list below.</w:t>
      </w:r>
    </w:p>
    <w:p w:rsidR="00665BA1" w:rsidRDefault="00665BA1" w14:paraId="58047A15" w14:textId="77777777">
      <w:pPr>
        <w:rPr>
          <w:sz w:val="24"/>
          <w:u w:val="single"/>
        </w:rPr>
      </w:pPr>
    </w:p>
    <w:p w:rsidR="00AE03A1" w:rsidRDefault="00AE03A1" w14:paraId="3ECC67DF" w14:textId="77777777">
      <w:pPr>
        <w:numPr>
          <w:ilvl w:val="0"/>
          <w:numId w:val="14"/>
        </w:numPr>
        <w:rPr>
          <w:sz w:val="24"/>
        </w:rPr>
      </w:pPr>
      <w:r w:rsidRPr="00E045C8">
        <w:rPr>
          <w:b/>
          <w:sz w:val="24"/>
          <w:u w:val="single"/>
        </w:rPr>
        <w:t>Proposal (Introduct</w:t>
      </w:r>
      <w:r w:rsidR="00586182">
        <w:rPr>
          <w:b/>
          <w:sz w:val="24"/>
          <w:u w:val="single"/>
        </w:rPr>
        <w:t>ion and Strategic Analysis</w:t>
      </w:r>
      <w:r w:rsidRPr="00E045C8">
        <w:rPr>
          <w:b/>
          <w:sz w:val="24"/>
          <w:u w:val="single"/>
        </w:rPr>
        <w:t>, Plan of Operation, Initial Budget</w:t>
      </w:r>
      <w:r w:rsidR="001F1CE4">
        <w:rPr>
          <w:b/>
          <w:sz w:val="24"/>
          <w:u w:val="single"/>
        </w:rPr>
        <w:t>,</w:t>
      </w:r>
      <w:r w:rsidRPr="001F1CE4" w:rsidR="001F1CE4">
        <w:rPr>
          <w:b/>
          <w:sz w:val="24"/>
          <w:u w:val="single"/>
        </w:rPr>
        <w:t xml:space="preserve"> </w:t>
      </w:r>
      <w:r w:rsidR="00FC30BC">
        <w:rPr>
          <w:b/>
          <w:sz w:val="24"/>
          <w:u w:val="single"/>
        </w:rPr>
        <w:t>SF-</w:t>
      </w:r>
      <w:r w:rsidRPr="006436DD" w:rsidR="001F1CE4">
        <w:rPr>
          <w:b/>
          <w:sz w:val="24"/>
          <w:u w:val="single"/>
        </w:rPr>
        <w:t>424</w:t>
      </w:r>
      <w:r w:rsidR="00586182">
        <w:rPr>
          <w:b/>
          <w:sz w:val="24"/>
          <w:u w:val="single"/>
        </w:rPr>
        <w:t>, Project-level Results Framework, Evaluation Plan</w:t>
      </w:r>
      <w:r w:rsidRPr="00E045C8">
        <w:rPr>
          <w:b/>
          <w:sz w:val="24"/>
          <w:u w:val="single"/>
        </w:rPr>
        <w:t>)</w:t>
      </w:r>
      <w:r w:rsidRPr="00E045C8">
        <w:rPr>
          <w:b/>
          <w:sz w:val="24"/>
        </w:rPr>
        <w:t>:</w:t>
      </w:r>
      <w:r w:rsidRPr="00E045C8">
        <w:rPr>
          <w:sz w:val="24"/>
        </w:rPr>
        <w:t xml:space="preserve"> </w:t>
      </w:r>
      <w:r>
        <w:rPr>
          <w:sz w:val="24"/>
        </w:rPr>
        <w:t xml:space="preserve">FAS uses this information to </w:t>
      </w:r>
      <w:r w:rsidR="00251D40">
        <w:rPr>
          <w:sz w:val="24"/>
        </w:rPr>
        <w:t>select</w:t>
      </w:r>
      <w:r>
        <w:rPr>
          <w:sz w:val="24"/>
        </w:rPr>
        <w:t xml:space="preserve"> applicants for participation in </w:t>
      </w:r>
      <w:r w:rsidR="00251D40">
        <w:rPr>
          <w:sz w:val="24"/>
        </w:rPr>
        <w:t xml:space="preserve">food </w:t>
      </w:r>
      <w:r w:rsidR="00720F28">
        <w:rPr>
          <w:sz w:val="24"/>
        </w:rPr>
        <w:t>assistance</w:t>
      </w:r>
      <w:r>
        <w:rPr>
          <w:sz w:val="24"/>
        </w:rPr>
        <w:t xml:space="preserve"> programs.  It is critical to program oversight that </w:t>
      </w:r>
      <w:r w:rsidR="00064600">
        <w:rPr>
          <w:sz w:val="24"/>
        </w:rPr>
        <w:t xml:space="preserve">FAS </w:t>
      </w:r>
      <w:r w:rsidR="00127C18">
        <w:rPr>
          <w:sz w:val="24"/>
        </w:rPr>
        <w:t>be</w:t>
      </w:r>
      <w:r w:rsidR="00064600">
        <w:rPr>
          <w:sz w:val="24"/>
        </w:rPr>
        <w:t xml:space="preserve"> acutely aware of a </w:t>
      </w:r>
      <w:r w:rsidR="00586182">
        <w:rPr>
          <w:sz w:val="24"/>
        </w:rPr>
        <w:t>Recipient’s</w:t>
      </w:r>
      <w:r>
        <w:rPr>
          <w:sz w:val="24"/>
        </w:rPr>
        <w:t xml:space="preserve"> </w:t>
      </w:r>
      <w:r w:rsidR="001F1CE4">
        <w:rPr>
          <w:sz w:val="24"/>
        </w:rPr>
        <w:t xml:space="preserve">qualifications and </w:t>
      </w:r>
      <w:r w:rsidR="00CB1203">
        <w:rPr>
          <w:sz w:val="24"/>
        </w:rPr>
        <w:t xml:space="preserve">the project’s </w:t>
      </w:r>
      <w:r w:rsidR="00A003A3">
        <w:rPr>
          <w:sz w:val="24"/>
        </w:rPr>
        <w:t>objectives</w:t>
      </w:r>
      <w:r>
        <w:rPr>
          <w:sz w:val="24"/>
        </w:rPr>
        <w:t xml:space="preserve"> before </w:t>
      </w:r>
      <w:r w:rsidR="00CB1203">
        <w:rPr>
          <w:sz w:val="24"/>
        </w:rPr>
        <w:t>providing funding to the applicant for the project.</w:t>
      </w:r>
    </w:p>
    <w:p w:rsidR="00AE03A1" w:rsidP="00AE03A1" w:rsidRDefault="00AE03A1" w14:paraId="42B9B399" w14:textId="77777777">
      <w:pPr>
        <w:ind w:left="360"/>
        <w:rPr>
          <w:sz w:val="24"/>
        </w:rPr>
      </w:pPr>
    </w:p>
    <w:p w:rsidR="00AE03A1" w:rsidRDefault="00AE03A1" w14:paraId="692BC966" w14:textId="77777777">
      <w:pPr>
        <w:numPr>
          <w:ilvl w:val="0"/>
          <w:numId w:val="14"/>
        </w:numPr>
        <w:rPr>
          <w:sz w:val="24"/>
        </w:rPr>
      </w:pPr>
      <w:r w:rsidRPr="004D0D6F">
        <w:rPr>
          <w:b/>
          <w:sz w:val="24"/>
          <w:u w:val="single"/>
        </w:rPr>
        <w:t>Agreement</w:t>
      </w:r>
      <w:r>
        <w:rPr>
          <w:b/>
          <w:sz w:val="24"/>
          <w:u w:val="single"/>
        </w:rPr>
        <w:t xml:space="preserve"> and Operational Budget</w:t>
      </w:r>
      <w:r w:rsidRPr="00E045C8">
        <w:rPr>
          <w:b/>
          <w:sz w:val="24"/>
        </w:rPr>
        <w:t>:</w:t>
      </w:r>
      <w:r>
        <w:rPr>
          <w:sz w:val="24"/>
        </w:rPr>
        <w:t xml:space="preserve">  After </w:t>
      </w:r>
      <w:r w:rsidR="00C43734">
        <w:rPr>
          <w:sz w:val="24"/>
        </w:rPr>
        <w:t>FAS approves</w:t>
      </w:r>
      <w:r w:rsidR="00A9439F">
        <w:rPr>
          <w:sz w:val="24"/>
        </w:rPr>
        <w:t xml:space="preserve"> </w:t>
      </w:r>
      <w:r w:rsidR="00C43734">
        <w:rPr>
          <w:sz w:val="24"/>
        </w:rPr>
        <w:t xml:space="preserve">a </w:t>
      </w:r>
      <w:r w:rsidR="00A9439F">
        <w:rPr>
          <w:sz w:val="24"/>
        </w:rPr>
        <w:t>pro</w:t>
      </w:r>
      <w:r w:rsidR="00C43734">
        <w:rPr>
          <w:sz w:val="24"/>
        </w:rPr>
        <w:t>posal</w:t>
      </w:r>
      <w:r>
        <w:rPr>
          <w:sz w:val="24"/>
        </w:rPr>
        <w:t xml:space="preserve">, </w:t>
      </w:r>
      <w:r w:rsidR="00C43734">
        <w:rPr>
          <w:sz w:val="24"/>
        </w:rPr>
        <w:t xml:space="preserve">an agreement will be negotiated with </w:t>
      </w:r>
      <w:r>
        <w:rPr>
          <w:sz w:val="24"/>
        </w:rPr>
        <w:t xml:space="preserve">the </w:t>
      </w:r>
      <w:r w:rsidR="00C43734">
        <w:rPr>
          <w:sz w:val="24"/>
        </w:rPr>
        <w:t>Recipient.  The Recipient</w:t>
      </w:r>
      <w:r>
        <w:rPr>
          <w:sz w:val="24"/>
        </w:rPr>
        <w:t xml:space="preserve"> enters into an agreement with FAS establishing the terms under which the commodities will be provided.  The agreement and budget documents are necessary to establish that commodities donated under these programs are used effectively and in a way that is deemed acceptable by the Federal Government.</w:t>
      </w:r>
      <w:r w:rsidR="00527E06">
        <w:rPr>
          <w:sz w:val="24"/>
        </w:rPr>
        <w:t xml:space="preserve">  FAS uses the agreement as a </w:t>
      </w:r>
      <w:r w:rsidR="00CB1203">
        <w:rPr>
          <w:sz w:val="24"/>
        </w:rPr>
        <w:t xml:space="preserve">binding </w:t>
      </w:r>
      <w:r w:rsidR="00527E06">
        <w:rPr>
          <w:sz w:val="24"/>
        </w:rPr>
        <w:t>document governing pro</w:t>
      </w:r>
      <w:r w:rsidR="00CB1203">
        <w:rPr>
          <w:sz w:val="24"/>
        </w:rPr>
        <w:t xml:space="preserve">ject </w:t>
      </w:r>
      <w:r w:rsidR="00527E06">
        <w:rPr>
          <w:sz w:val="24"/>
        </w:rPr>
        <w:t>implementation.</w:t>
      </w:r>
    </w:p>
    <w:p w:rsidR="00AE03A1" w:rsidRDefault="00AE03A1" w14:paraId="4FDA3F92" w14:textId="77777777">
      <w:pPr>
        <w:rPr>
          <w:sz w:val="24"/>
        </w:rPr>
      </w:pPr>
    </w:p>
    <w:p w:rsidR="00AE03A1" w:rsidP="00AE03A1" w:rsidRDefault="00665BA1" w14:paraId="02C5A500" w14:textId="77777777">
      <w:pPr>
        <w:numPr>
          <w:ilvl w:val="0"/>
          <w:numId w:val="14"/>
        </w:numPr>
        <w:rPr>
          <w:sz w:val="24"/>
        </w:rPr>
      </w:pPr>
      <w:r w:rsidRPr="004D0D6F">
        <w:rPr>
          <w:b/>
          <w:sz w:val="24"/>
          <w:u w:val="single"/>
        </w:rPr>
        <w:t>Amendment(s)</w:t>
      </w:r>
      <w:r w:rsidRPr="00E045C8" w:rsidR="004D0D6F">
        <w:rPr>
          <w:b/>
          <w:sz w:val="24"/>
        </w:rPr>
        <w:t>:</w:t>
      </w:r>
      <w:r>
        <w:rPr>
          <w:sz w:val="24"/>
        </w:rPr>
        <w:t xml:space="preserve"> Agreements are </w:t>
      </w:r>
      <w:r w:rsidR="001C5A01">
        <w:rPr>
          <w:sz w:val="24"/>
        </w:rPr>
        <w:t xml:space="preserve">sometimes </w:t>
      </w:r>
      <w:r>
        <w:rPr>
          <w:sz w:val="24"/>
        </w:rPr>
        <w:t xml:space="preserve">amended </w:t>
      </w:r>
      <w:r w:rsidR="00FF04C4">
        <w:rPr>
          <w:sz w:val="24"/>
        </w:rPr>
        <w:t xml:space="preserve">to </w:t>
      </w:r>
      <w:r w:rsidR="00165B46">
        <w:rPr>
          <w:sz w:val="24"/>
        </w:rPr>
        <w:t>accommodate</w:t>
      </w:r>
      <w:r>
        <w:rPr>
          <w:sz w:val="24"/>
        </w:rPr>
        <w:t xml:space="preserve"> changes in</w:t>
      </w:r>
      <w:r w:rsidR="00FF04C4">
        <w:rPr>
          <w:sz w:val="24"/>
        </w:rPr>
        <w:t xml:space="preserve"> the budget or program objectives</w:t>
      </w:r>
      <w:r>
        <w:rPr>
          <w:sz w:val="24"/>
        </w:rPr>
        <w:t xml:space="preserve">.  </w:t>
      </w:r>
      <w:r w:rsidR="00FF04C4">
        <w:rPr>
          <w:sz w:val="24"/>
        </w:rPr>
        <w:t>Again, a legal agreement is necessary to establish that commodities donated under these programs are used effectively and in a way that is deemed acceptable by the Federal Government.</w:t>
      </w:r>
    </w:p>
    <w:p w:rsidR="00AE03A1" w:rsidP="00AE03A1" w:rsidRDefault="00AE03A1" w14:paraId="7357A61F" w14:textId="77777777">
      <w:pPr>
        <w:ind w:left="360"/>
        <w:rPr>
          <w:sz w:val="24"/>
        </w:rPr>
      </w:pPr>
    </w:p>
    <w:p w:rsidR="007C6306" w:rsidP="00D703C0" w:rsidRDefault="004576C4" w14:paraId="048CEB27" w14:textId="77777777">
      <w:pPr>
        <w:numPr>
          <w:ilvl w:val="0"/>
          <w:numId w:val="14"/>
        </w:numPr>
        <w:rPr>
          <w:sz w:val="24"/>
        </w:rPr>
      </w:pPr>
      <w:r w:rsidRPr="004576C4">
        <w:rPr>
          <w:b/>
          <w:sz w:val="24"/>
          <w:u w:val="single"/>
        </w:rPr>
        <w:t xml:space="preserve">Ocean </w:t>
      </w:r>
      <w:r w:rsidRPr="004576C4" w:rsidR="00665BA1">
        <w:rPr>
          <w:b/>
          <w:sz w:val="24"/>
          <w:u w:val="single"/>
        </w:rPr>
        <w:t>T</w:t>
      </w:r>
      <w:r w:rsidRPr="004D0D6F" w:rsidR="00665BA1">
        <w:rPr>
          <w:b/>
          <w:sz w:val="24"/>
          <w:u w:val="single"/>
        </w:rPr>
        <w:t>ransportation Documents</w:t>
      </w:r>
      <w:r w:rsidRPr="00E045C8" w:rsidR="004D0D6F">
        <w:rPr>
          <w:b/>
          <w:sz w:val="24"/>
        </w:rPr>
        <w:t>:</w:t>
      </w:r>
      <w:r w:rsidR="00665BA1">
        <w:rPr>
          <w:sz w:val="24"/>
        </w:rPr>
        <w:t xml:space="preserve"> </w:t>
      </w:r>
      <w:r w:rsidR="00C43734">
        <w:rPr>
          <w:sz w:val="24"/>
        </w:rPr>
        <w:t xml:space="preserve"> </w:t>
      </w:r>
      <w:r w:rsidR="00AE03A1">
        <w:rPr>
          <w:sz w:val="24"/>
        </w:rPr>
        <w:t>The freight forwarders must submit to FAS d</w:t>
      </w:r>
      <w:r w:rsidR="00665BA1">
        <w:rPr>
          <w:sz w:val="24"/>
        </w:rPr>
        <w:t>ocuments related to transportation of the commodities</w:t>
      </w:r>
      <w:r w:rsidR="0063021B">
        <w:rPr>
          <w:sz w:val="24"/>
        </w:rPr>
        <w:t>,</w:t>
      </w:r>
      <w:r w:rsidR="00665BA1">
        <w:rPr>
          <w:sz w:val="24"/>
        </w:rPr>
        <w:t xml:space="preserve"> </w:t>
      </w:r>
      <w:r w:rsidR="00AE03A1">
        <w:rPr>
          <w:sz w:val="24"/>
        </w:rPr>
        <w:t>including f</w:t>
      </w:r>
      <w:r w:rsidRPr="00AE03A1" w:rsidR="00AE03A1">
        <w:rPr>
          <w:sz w:val="24"/>
        </w:rPr>
        <w:t>re</w:t>
      </w:r>
      <w:r w:rsidR="00AE03A1">
        <w:rPr>
          <w:sz w:val="24"/>
        </w:rPr>
        <w:t>ight invitations, c</w:t>
      </w:r>
      <w:r w:rsidRPr="00AE03A1" w:rsidR="00AE03A1">
        <w:rPr>
          <w:sz w:val="24"/>
        </w:rPr>
        <w:t>harter parties or booking notes</w:t>
      </w:r>
      <w:r w:rsidR="00AE03A1">
        <w:rPr>
          <w:sz w:val="24"/>
        </w:rPr>
        <w:t>, f</w:t>
      </w:r>
      <w:r w:rsidRPr="00AE03A1" w:rsidR="00AE03A1">
        <w:rPr>
          <w:sz w:val="24"/>
        </w:rPr>
        <w:t>reight offers</w:t>
      </w:r>
      <w:r w:rsidR="00AE03A1">
        <w:rPr>
          <w:sz w:val="24"/>
        </w:rPr>
        <w:t>, and f</w:t>
      </w:r>
      <w:r w:rsidRPr="00AE03A1" w:rsidR="00AE03A1">
        <w:rPr>
          <w:sz w:val="24"/>
        </w:rPr>
        <w:t>reight forwarder certifications</w:t>
      </w:r>
      <w:r w:rsidR="00AE03A1">
        <w:rPr>
          <w:sz w:val="24"/>
        </w:rPr>
        <w:t>.</w:t>
      </w:r>
      <w:r w:rsidR="00665BA1">
        <w:rPr>
          <w:sz w:val="24"/>
        </w:rPr>
        <w:t xml:space="preserve">  FAS</w:t>
      </w:r>
      <w:r w:rsidR="0063021B">
        <w:rPr>
          <w:sz w:val="24"/>
        </w:rPr>
        <w:t xml:space="preserve"> </w:t>
      </w:r>
      <w:r w:rsidR="00665BA1">
        <w:rPr>
          <w:sz w:val="24"/>
        </w:rPr>
        <w:t xml:space="preserve">reviews these documents to </w:t>
      </w:r>
      <w:r w:rsidR="0063021B">
        <w:rPr>
          <w:sz w:val="24"/>
        </w:rPr>
        <w:t>ensure a fair</w:t>
      </w:r>
      <w:r w:rsidR="00665BA1">
        <w:rPr>
          <w:sz w:val="24"/>
        </w:rPr>
        <w:t xml:space="preserve"> tendering process and that the lowest cost vessels are approved for shipment.  </w:t>
      </w:r>
      <w:r w:rsidR="00AE03A1">
        <w:rPr>
          <w:sz w:val="24"/>
        </w:rPr>
        <w:t>A</w:t>
      </w:r>
      <w:r w:rsidR="00665BA1">
        <w:rPr>
          <w:sz w:val="24"/>
        </w:rPr>
        <w:t>ddition</w:t>
      </w:r>
      <w:r w:rsidR="00AE03A1">
        <w:rPr>
          <w:sz w:val="24"/>
        </w:rPr>
        <w:t>ally</w:t>
      </w:r>
      <w:r w:rsidR="00665BA1">
        <w:rPr>
          <w:sz w:val="24"/>
        </w:rPr>
        <w:t>, FAS and the Maritime Administration use this documentation to ensure that cargo preference requirements are met.</w:t>
      </w:r>
    </w:p>
    <w:p w:rsidR="007C6306" w:rsidP="007C6306" w:rsidRDefault="007C6306" w14:paraId="2D25F356" w14:textId="77777777">
      <w:pPr>
        <w:rPr>
          <w:sz w:val="24"/>
        </w:rPr>
      </w:pPr>
    </w:p>
    <w:p w:rsidR="00665BA1" w:rsidP="00D703C0" w:rsidRDefault="0063021B" w14:paraId="23F4FE9D" w14:textId="77777777">
      <w:pPr>
        <w:numPr>
          <w:ilvl w:val="0"/>
          <w:numId w:val="14"/>
        </w:numPr>
        <w:rPr>
          <w:sz w:val="24"/>
        </w:rPr>
      </w:pPr>
      <w:r w:rsidRPr="0063021B">
        <w:rPr>
          <w:b/>
          <w:sz w:val="24"/>
          <w:u w:val="single"/>
        </w:rPr>
        <w:t>Freight Payments</w:t>
      </w:r>
      <w:r w:rsidR="00D75C7A">
        <w:rPr>
          <w:b/>
          <w:sz w:val="24"/>
          <w:u w:val="single"/>
        </w:rPr>
        <w:t xml:space="preserve"> and Supporting Documentation</w:t>
      </w:r>
      <w:r>
        <w:rPr>
          <w:sz w:val="24"/>
        </w:rPr>
        <w:t xml:space="preserve">: </w:t>
      </w:r>
      <w:r w:rsidR="00C43734">
        <w:rPr>
          <w:sz w:val="24"/>
        </w:rPr>
        <w:t xml:space="preserve"> </w:t>
      </w:r>
      <w:r w:rsidR="00CB1203">
        <w:rPr>
          <w:sz w:val="24"/>
        </w:rPr>
        <w:t>FAS</w:t>
      </w:r>
      <w:r>
        <w:rPr>
          <w:sz w:val="24"/>
        </w:rPr>
        <w:t xml:space="preserve"> uses this information</w:t>
      </w:r>
      <w:r w:rsidR="007C6306">
        <w:rPr>
          <w:sz w:val="24"/>
        </w:rPr>
        <w:t xml:space="preserve"> to </w:t>
      </w:r>
      <w:r w:rsidR="007C6306">
        <w:rPr>
          <w:sz w:val="24"/>
        </w:rPr>
        <w:lastRenderedPageBreak/>
        <w:t xml:space="preserve">ensure </w:t>
      </w:r>
      <w:r>
        <w:rPr>
          <w:sz w:val="24"/>
        </w:rPr>
        <w:t xml:space="preserve">financial accountability in ocean transportation and to ensure that </w:t>
      </w:r>
      <w:r w:rsidR="007C6306">
        <w:rPr>
          <w:sz w:val="24"/>
        </w:rPr>
        <w:t xml:space="preserve">commodity shipments comply with sections 901(b) and 901b of the Merchant Marine Act, 1936. </w:t>
      </w:r>
      <w:r w:rsidR="00B27C7A">
        <w:rPr>
          <w:sz w:val="24"/>
        </w:rPr>
        <w:t xml:space="preserve"> Some of these documents are also utilized by USDA’s Kansas City Commodity Office </w:t>
      </w:r>
      <w:r w:rsidR="00D75C7A">
        <w:rPr>
          <w:sz w:val="24"/>
        </w:rPr>
        <w:t>and</w:t>
      </w:r>
      <w:r w:rsidR="00B27C7A">
        <w:rPr>
          <w:sz w:val="24"/>
        </w:rPr>
        <w:t xml:space="preserve"> </w:t>
      </w:r>
      <w:r w:rsidR="00A475A8">
        <w:rPr>
          <w:sz w:val="24"/>
        </w:rPr>
        <w:t xml:space="preserve">by </w:t>
      </w:r>
      <w:r w:rsidR="00B27C7A">
        <w:rPr>
          <w:sz w:val="24"/>
        </w:rPr>
        <w:t xml:space="preserve">the Maritime Administration.  </w:t>
      </w:r>
    </w:p>
    <w:p w:rsidR="00665BA1" w:rsidRDefault="00665BA1" w14:paraId="08D894BF" w14:textId="77777777">
      <w:pPr>
        <w:rPr>
          <w:sz w:val="24"/>
        </w:rPr>
      </w:pPr>
    </w:p>
    <w:p w:rsidR="00694012" w:rsidP="00D703C0" w:rsidRDefault="00D75C7A" w14:paraId="77CF1057" w14:textId="77777777">
      <w:pPr>
        <w:numPr>
          <w:ilvl w:val="0"/>
          <w:numId w:val="14"/>
        </w:numPr>
        <w:rPr>
          <w:sz w:val="24"/>
        </w:rPr>
      </w:pPr>
      <w:r>
        <w:rPr>
          <w:b/>
          <w:sz w:val="24"/>
          <w:u w:val="single"/>
        </w:rPr>
        <w:t xml:space="preserve">Agreement Between </w:t>
      </w:r>
      <w:r w:rsidR="00C43734">
        <w:rPr>
          <w:b/>
          <w:sz w:val="24"/>
          <w:u w:val="single"/>
        </w:rPr>
        <w:t>Recipients</w:t>
      </w:r>
      <w:r>
        <w:rPr>
          <w:b/>
          <w:sz w:val="24"/>
          <w:u w:val="single"/>
        </w:rPr>
        <w:t xml:space="preserve"> and Subrecipients</w:t>
      </w:r>
      <w:r w:rsidRPr="00E045C8" w:rsidR="004D0D6F">
        <w:rPr>
          <w:b/>
          <w:sz w:val="24"/>
        </w:rPr>
        <w:t>:</w:t>
      </w:r>
      <w:r w:rsidR="00C43734">
        <w:rPr>
          <w:b/>
          <w:sz w:val="24"/>
        </w:rPr>
        <w:t xml:space="preserve"> </w:t>
      </w:r>
      <w:r>
        <w:rPr>
          <w:b/>
          <w:sz w:val="24"/>
        </w:rPr>
        <w:t xml:space="preserve"> </w:t>
      </w:r>
      <w:r w:rsidR="000A3A05">
        <w:rPr>
          <w:sz w:val="24"/>
        </w:rPr>
        <w:t xml:space="preserve">FAS reviews these documents to ensure that subrecipients are in compliance with the terms and conditions of the agreement between FAS and the </w:t>
      </w:r>
      <w:r w:rsidR="00C43734">
        <w:rPr>
          <w:sz w:val="24"/>
        </w:rPr>
        <w:t>recipient.</w:t>
      </w:r>
      <w:r w:rsidR="000A3A05">
        <w:rPr>
          <w:sz w:val="24"/>
        </w:rPr>
        <w:t xml:space="preserve">  Additionally, the collection of these documents is essential to pro</w:t>
      </w:r>
      <w:r w:rsidR="00CB1203">
        <w:rPr>
          <w:sz w:val="24"/>
        </w:rPr>
        <w:t xml:space="preserve">ject </w:t>
      </w:r>
      <w:r w:rsidR="000A3A05">
        <w:rPr>
          <w:sz w:val="24"/>
        </w:rPr>
        <w:t>accountability</w:t>
      </w:r>
      <w:r w:rsidR="00CB1203">
        <w:rPr>
          <w:sz w:val="24"/>
        </w:rPr>
        <w:t xml:space="preserve"> and to ensure that all key parties implementing the project are taking required actions.</w:t>
      </w:r>
    </w:p>
    <w:p w:rsidR="00694012" w:rsidP="00694012" w:rsidRDefault="00694012" w14:paraId="5DB2D935" w14:textId="77777777">
      <w:pPr>
        <w:rPr>
          <w:sz w:val="24"/>
        </w:rPr>
      </w:pPr>
    </w:p>
    <w:p w:rsidR="00F75558" w:rsidP="00F75558" w:rsidRDefault="00F75558" w14:paraId="3143ACFB" w14:textId="77777777">
      <w:pPr>
        <w:numPr>
          <w:ilvl w:val="0"/>
          <w:numId w:val="14"/>
        </w:numPr>
        <w:rPr>
          <w:sz w:val="24"/>
        </w:rPr>
      </w:pPr>
      <w:r>
        <w:rPr>
          <w:b/>
          <w:sz w:val="24"/>
          <w:u w:val="single"/>
        </w:rPr>
        <w:t>Documentation of Lost or Damage Commodities</w:t>
      </w:r>
      <w:r w:rsidRPr="00E045C8">
        <w:rPr>
          <w:b/>
          <w:sz w:val="24"/>
        </w:rPr>
        <w:t>:</w:t>
      </w:r>
      <w:r w:rsidRPr="004D0D6F">
        <w:rPr>
          <w:sz w:val="24"/>
        </w:rPr>
        <w:t xml:space="preserve">  </w:t>
      </w:r>
      <w:r w:rsidR="009D0C7E">
        <w:rPr>
          <w:sz w:val="24"/>
        </w:rPr>
        <w:t>D</w:t>
      </w:r>
      <w:r>
        <w:rPr>
          <w:sz w:val="24"/>
        </w:rPr>
        <w:t xml:space="preserve">ischarge surveys and other damage/loss information are </w:t>
      </w:r>
      <w:r w:rsidR="00CB1203">
        <w:rPr>
          <w:sz w:val="24"/>
        </w:rPr>
        <w:t xml:space="preserve">used by FAS to ensure that </w:t>
      </w:r>
      <w:r w:rsidR="00C43734">
        <w:rPr>
          <w:sz w:val="24"/>
        </w:rPr>
        <w:t>Recipients</w:t>
      </w:r>
      <w:r w:rsidR="00CB1203">
        <w:rPr>
          <w:sz w:val="24"/>
        </w:rPr>
        <w:t xml:space="preserve"> are taking needed actions to recover damages from transportation companies.  FAS retains the right to assume responsibility for claims if </w:t>
      </w:r>
      <w:r w:rsidR="00CE6BE3">
        <w:rPr>
          <w:sz w:val="24"/>
        </w:rPr>
        <w:t>Recipients</w:t>
      </w:r>
      <w:r w:rsidR="00CB1203">
        <w:rPr>
          <w:sz w:val="24"/>
        </w:rPr>
        <w:t xml:space="preserve"> do not perform satisfactorily.  The documentation is critical in the event that litigation is required.</w:t>
      </w:r>
    </w:p>
    <w:p w:rsidR="00665BA1" w:rsidP="00D703C0" w:rsidRDefault="00665BA1" w14:paraId="0C4FF426" w14:textId="77777777">
      <w:pPr>
        <w:ind w:firstLine="720"/>
        <w:rPr>
          <w:sz w:val="24"/>
        </w:rPr>
      </w:pPr>
    </w:p>
    <w:p w:rsidRPr="00730FFA" w:rsidR="00730FFA" w:rsidP="00D703C0" w:rsidRDefault="00730FFA" w14:paraId="72561CE9" w14:textId="77777777">
      <w:pPr>
        <w:numPr>
          <w:ilvl w:val="0"/>
          <w:numId w:val="14"/>
        </w:numPr>
        <w:rPr>
          <w:sz w:val="24"/>
        </w:rPr>
      </w:pPr>
      <w:r>
        <w:rPr>
          <w:b/>
          <w:sz w:val="24"/>
          <w:u w:val="single"/>
        </w:rPr>
        <w:t xml:space="preserve">Documents </w:t>
      </w:r>
      <w:r w:rsidR="009D0C7E">
        <w:rPr>
          <w:b/>
          <w:sz w:val="24"/>
          <w:u w:val="single"/>
        </w:rPr>
        <w:t>S</w:t>
      </w:r>
      <w:r>
        <w:rPr>
          <w:b/>
          <w:sz w:val="24"/>
          <w:u w:val="single"/>
        </w:rPr>
        <w:t>upporting Claims on Damaged or Lost Commodities</w:t>
      </w:r>
      <w:r w:rsidRPr="00730FFA">
        <w:rPr>
          <w:b/>
          <w:sz w:val="24"/>
        </w:rPr>
        <w:t>:</w:t>
      </w:r>
      <w:r>
        <w:rPr>
          <w:b/>
          <w:sz w:val="24"/>
        </w:rPr>
        <w:t xml:space="preserve"> </w:t>
      </w:r>
      <w:r>
        <w:rPr>
          <w:sz w:val="24"/>
        </w:rPr>
        <w:t>In the case of extensive losses or damages, FAS uses this documentation to support claims for compensation for missing commodities.</w:t>
      </w:r>
    </w:p>
    <w:p w:rsidR="00730FFA" w:rsidP="00730FFA" w:rsidRDefault="00730FFA" w14:paraId="6C9FFEF1" w14:textId="77777777">
      <w:pPr>
        <w:rPr>
          <w:sz w:val="24"/>
        </w:rPr>
      </w:pPr>
    </w:p>
    <w:p w:rsidR="00484D1C" w:rsidP="00D703C0" w:rsidRDefault="003D76B5" w14:paraId="51045DC2" w14:textId="77777777">
      <w:pPr>
        <w:numPr>
          <w:ilvl w:val="0"/>
          <w:numId w:val="14"/>
        </w:numPr>
        <w:rPr>
          <w:sz w:val="24"/>
        </w:rPr>
      </w:pPr>
      <w:r w:rsidRPr="003D76B5">
        <w:rPr>
          <w:b/>
          <w:sz w:val="24"/>
          <w:u w:val="single"/>
        </w:rPr>
        <w:t>Reporting Requirements</w:t>
      </w:r>
      <w:r w:rsidRPr="003D76B5">
        <w:rPr>
          <w:b/>
          <w:sz w:val="24"/>
        </w:rPr>
        <w:t>:</w:t>
      </w:r>
      <w:r>
        <w:rPr>
          <w:sz w:val="24"/>
        </w:rPr>
        <w:t xml:space="preserve"> FAS requires that </w:t>
      </w:r>
      <w:r w:rsidR="00CE6BE3">
        <w:rPr>
          <w:sz w:val="24"/>
        </w:rPr>
        <w:t>Recipients</w:t>
      </w:r>
      <w:r>
        <w:rPr>
          <w:sz w:val="24"/>
        </w:rPr>
        <w:t xml:space="preserve"> submit </w:t>
      </w:r>
      <w:r w:rsidR="009D0C7E">
        <w:rPr>
          <w:sz w:val="24"/>
        </w:rPr>
        <w:t xml:space="preserve">semi-annual </w:t>
      </w:r>
      <w:r>
        <w:rPr>
          <w:sz w:val="24"/>
        </w:rPr>
        <w:t xml:space="preserve">financial </w:t>
      </w:r>
      <w:r w:rsidR="009D0C7E">
        <w:rPr>
          <w:sz w:val="24"/>
        </w:rPr>
        <w:t>and</w:t>
      </w:r>
      <w:r>
        <w:rPr>
          <w:sz w:val="24"/>
        </w:rPr>
        <w:t xml:space="preserve"> </w:t>
      </w:r>
      <w:r w:rsidR="00CB1203">
        <w:rPr>
          <w:sz w:val="24"/>
        </w:rPr>
        <w:t xml:space="preserve">performance </w:t>
      </w:r>
      <w:r>
        <w:rPr>
          <w:sz w:val="24"/>
        </w:rPr>
        <w:t>reports.  T</w:t>
      </w:r>
      <w:r w:rsidRPr="00C32BFF" w:rsidR="00484D1C">
        <w:rPr>
          <w:sz w:val="24"/>
        </w:rPr>
        <w:t>hese reports</w:t>
      </w:r>
      <w:r>
        <w:rPr>
          <w:sz w:val="24"/>
        </w:rPr>
        <w:t xml:space="preserve"> are essential to FAS</w:t>
      </w:r>
      <w:r w:rsidR="00433FBB">
        <w:rPr>
          <w:sz w:val="24"/>
        </w:rPr>
        <w:t>’s</w:t>
      </w:r>
      <w:r>
        <w:rPr>
          <w:sz w:val="24"/>
        </w:rPr>
        <w:t xml:space="preserve"> monitoring of active food aid agreements.  FAS analysts review these </w:t>
      </w:r>
      <w:r w:rsidRPr="00C32BFF" w:rsidR="00484D1C">
        <w:rPr>
          <w:sz w:val="24"/>
        </w:rPr>
        <w:t>document</w:t>
      </w:r>
      <w:r>
        <w:rPr>
          <w:sz w:val="24"/>
        </w:rPr>
        <w:t>s to ensure</w:t>
      </w:r>
      <w:r w:rsidRPr="00C32BFF" w:rsidR="00484D1C">
        <w:rPr>
          <w:sz w:val="24"/>
        </w:rPr>
        <w:t xml:space="preserve"> the transparent flow of commodities and monetization proceeds from commodity receipt </w:t>
      </w:r>
      <w:r w:rsidR="009D0C7E">
        <w:rPr>
          <w:sz w:val="24"/>
        </w:rPr>
        <w:t xml:space="preserve">until </w:t>
      </w:r>
      <w:r w:rsidRPr="00C32BFF" w:rsidR="00484D1C">
        <w:rPr>
          <w:sz w:val="24"/>
        </w:rPr>
        <w:t xml:space="preserve">final distribution or expenditure.  </w:t>
      </w:r>
      <w:r w:rsidR="00433FBB">
        <w:rPr>
          <w:sz w:val="24"/>
        </w:rPr>
        <w:t xml:space="preserve">Moreover, FAS uses these reports to ensure that commodities are dispersed, funds are spent, and activities are conducted in compliance with the signed agreement.  </w:t>
      </w:r>
      <w:r w:rsidR="009D0C7E">
        <w:rPr>
          <w:sz w:val="24"/>
        </w:rPr>
        <w:t>T</w:t>
      </w:r>
      <w:r>
        <w:rPr>
          <w:sz w:val="24"/>
        </w:rPr>
        <w:t>his</w:t>
      </w:r>
      <w:r w:rsidRPr="00C32BFF" w:rsidR="00484D1C">
        <w:rPr>
          <w:sz w:val="24"/>
        </w:rPr>
        <w:t xml:space="preserve"> information </w:t>
      </w:r>
      <w:r w:rsidR="009D0C7E">
        <w:rPr>
          <w:sz w:val="24"/>
        </w:rPr>
        <w:t xml:space="preserve">is needed </w:t>
      </w:r>
      <w:r w:rsidRPr="00C32BFF" w:rsidR="00484D1C">
        <w:rPr>
          <w:sz w:val="24"/>
        </w:rPr>
        <w:t>to satisfy statutory requirements</w:t>
      </w:r>
      <w:r w:rsidR="009D0C7E">
        <w:rPr>
          <w:sz w:val="24"/>
        </w:rPr>
        <w:t>,</w:t>
      </w:r>
      <w:r w:rsidRPr="00C32BFF" w:rsidR="00484D1C">
        <w:rPr>
          <w:sz w:val="24"/>
        </w:rPr>
        <w:t xml:space="preserve"> to assure that public resources are used</w:t>
      </w:r>
      <w:r w:rsidRPr="009D0C7E" w:rsidR="009D0C7E">
        <w:rPr>
          <w:sz w:val="24"/>
        </w:rPr>
        <w:t xml:space="preserve"> </w:t>
      </w:r>
      <w:r w:rsidRPr="00C32BFF" w:rsidR="009D0C7E">
        <w:rPr>
          <w:sz w:val="24"/>
        </w:rPr>
        <w:t>properly</w:t>
      </w:r>
      <w:r w:rsidR="009D0C7E">
        <w:rPr>
          <w:sz w:val="24"/>
        </w:rPr>
        <w:t>,</w:t>
      </w:r>
      <w:r>
        <w:rPr>
          <w:sz w:val="24"/>
        </w:rPr>
        <w:t xml:space="preserve"> and</w:t>
      </w:r>
      <w:r w:rsidRPr="00C32BFF" w:rsidR="00484D1C">
        <w:rPr>
          <w:sz w:val="24"/>
        </w:rPr>
        <w:t xml:space="preserve"> to prevent fraud </w:t>
      </w:r>
      <w:r w:rsidR="009D0C7E">
        <w:rPr>
          <w:sz w:val="24"/>
        </w:rPr>
        <w:t>and</w:t>
      </w:r>
      <w:r w:rsidRPr="00C32BFF" w:rsidR="00484D1C">
        <w:rPr>
          <w:sz w:val="24"/>
        </w:rPr>
        <w:t xml:space="preserve"> abuse.</w:t>
      </w:r>
    </w:p>
    <w:p w:rsidR="003D76B5" w:rsidP="003D76B5" w:rsidRDefault="003D76B5" w14:paraId="2F8DBF35" w14:textId="77777777">
      <w:pPr>
        <w:rPr>
          <w:sz w:val="24"/>
        </w:rPr>
      </w:pPr>
    </w:p>
    <w:p w:rsidR="003D76B5" w:rsidP="00D703C0" w:rsidRDefault="003D76B5" w14:paraId="6BED2506" w14:textId="77777777">
      <w:pPr>
        <w:numPr>
          <w:ilvl w:val="0"/>
          <w:numId w:val="14"/>
        </w:numPr>
        <w:rPr>
          <w:sz w:val="24"/>
        </w:rPr>
      </w:pPr>
      <w:r>
        <w:rPr>
          <w:b/>
          <w:sz w:val="24"/>
          <w:u w:val="single"/>
        </w:rPr>
        <w:t>A</w:t>
      </w:r>
      <w:r w:rsidRPr="003D76B5">
        <w:rPr>
          <w:b/>
          <w:sz w:val="24"/>
          <w:u w:val="single"/>
        </w:rPr>
        <w:t>-133 Audits</w:t>
      </w:r>
      <w:r w:rsidRPr="003D76B5">
        <w:rPr>
          <w:b/>
          <w:sz w:val="24"/>
        </w:rPr>
        <w:t>:</w:t>
      </w:r>
      <w:r>
        <w:rPr>
          <w:b/>
          <w:sz w:val="24"/>
        </w:rPr>
        <w:t xml:space="preserve"> </w:t>
      </w:r>
      <w:r>
        <w:rPr>
          <w:sz w:val="24"/>
        </w:rPr>
        <w:t xml:space="preserve">FAS staff review these documents (submitted annually) to ensure that participants are in </w:t>
      </w:r>
      <w:r w:rsidR="005E5699">
        <w:rPr>
          <w:sz w:val="24"/>
        </w:rPr>
        <w:t xml:space="preserve">financial </w:t>
      </w:r>
      <w:r>
        <w:rPr>
          <w:sz w:val="24"/>
        </w:rPr>
        <w:t>compliance with federal regulations governing entities receiving</w:t>
      </w:r>
      <w:r w:rsidR="003A48C9">
        <w:rPr>
          <w:sz w:val="24"/>
        </w:rPr>
        <w:t xml:space="preserve"> US</w:t>
      </w:r>
      <w:r>
        <w:rPr>
          <w:sz w:val="24"/>
        </w:rPr>
        <w:t xml:space="preserve"> Government assistance.</w:t>
      </w:r>
    </w:p>
    <w:p w:rsidR="00C860C8" w:rsidP="00C860C8" w:rsidRDefault="00C860C8" w14:paraId="03B2500B" w14:textId="77777777">
      <w:pPr>
        <w:rPr>
          <w:sz w:val="24"/>
        </w:rPr>
      </w:pPr>
    </w:p>
    <w:p w:rsidR="000D16C0" w:rsidP="00D703C0" w:rsidRDefault="000D16C0" w14:paraId="6AB56905" w14:textId="77777777">
      <w:pPr>
        <w:numPr>
          <w:ilvl w:val="0"/>
          <w:numId w:val="14"/>
        </w:numPr>
        <w:rPr>
          <w:sz w:val="24"/>
        </w:rPr>
      </w:pPr>
      <w:r>
        <w:rPr>
          <w:b/>
          <w:sz w:val="24"/>
          <w:u w:val="single"/>
        </w:rPr>
        <w:t>Compliance and Evaluation Documents</w:t>
      </w:r>
      <w:r w:rsidRPr="000D16C0">
        <w:rPr>
          <w:b/>
          <w:sz w:val="24"/>
        </w:rPr>
        <w:t>:</w:t>
      </w:r>
      <w:r>
        <w:rPr>
          <w:b/>
          <w:sz w:val="24"/>
        </w:rPr>
        <w:t xml:space="preserve"> </w:t>
      </w:r>
      <w:r>
        <w:rPr>
          <w:sz w:val="24"/>
        </w:rPr>
        <w:t>FAS require</w:t>
      </w:r>
      <w:r w:rsidR="00030E92">
        <w:rPr>
          <w:sz w:val="24"/>
        </w:rPr>
        <w:t>s</w:t>
      </w:r>
      <w:r>
        <w:rPr>
          <w:sz w:val="24"/>
        </w:rPr>
        <w:t xml:space="preserve"> mid-term and final evaluations as well as program-specific audits – conducted by an independent third party.  </w:t>
      </w:r>
      <w:r w:rsidR="00CB1203">
        <w:rPr>
          <w:sz w:val="24"/>
        </w:rPr>
        <w:t>FAS also requires evaluation plans and details on intended results.  These collections help FAS to determine the effectiveness of each project and the contribution to the programs’ results.</w:t>
      </w:r>
    </w:p>
    <w:p w:rsidR="000D16C0" w:rsidP="000D16C0" w:rsidRDefault="000D16C0" w14:paraId="4C8AD968" w14:textId="77777777">
      <w:pPr>
        <w:rPr>
          <w:sz w:val="24"/>
        </w:rPr>
      </w:pPr>
    </w:p>
    <w:p w:rsidR="000D16C0" w:rsidP="00D703C0" w:rsidRDefault="000D16C0" w14:paraId="05C3368A" w14:textId="77777777">
      <w:pPr>
        <w:numPr>
          <w:ilvl w:val="0"/>
          <w:numId w:val="14"/>
        </w:numPr>
        <w:rPr>
          <w:sz w:val="24"/>
        </w:rPr>
      </w:pPr>
      <w:r>
        <w:rPr>
          <w:b/>
          <w:sz w:val="24"/>
          <w:u w:val="single"/>
        </w:rPr>
        <w:t>Final Reimbursement Request</w:t>
      </w:r>
      <w:r w:rsidR="00030E92">
        <w:rPr>
          <w:b/>
          <w:sz w:val="24"/>
          <w:u w:val="single"/>
        </w:rPr>
        <w:t>s</w:t>
      </w:r>
      <w:r>
        <w:rPr>
          <w:b/>
          <w:sz w:val="24"/>
        </w:rPr>
        <w:t>:</w:t>
      </w:r>
      <w:r>
        <w:rPr>
          <w:sz w:val="24"/>
        </w:rPr>
        <w:t xml:space="preserve"> FAS uses this information to</w:t>
      </w:r>
      <w:r w:rsidR="00476425">
        <w:rPr>
          <w:sz w:val="24"/>
        </w:rPr>
        <w:t xml:space="preserve"> make final payments to </w:t>
      </w:r>
      <w:r w:rsidR="00CE6BE3">
        <w:rPr>
          <w:sz w:val="24"/>
        </w:rPr>
        <w:t>Recipients</w:t>
      </w:r>
      <w:r w:rsidR="00476425">
        <w:rPr>
          <w:sz w:val="24"/>
        </w:rPr>
        <w:t xml:space="preserve"> and to deobligate unspent funds.  This information is necessary to</w:t>
      </w:r>
      <w:r>
        <w:rPr>
          <w:sz w:val="24"/>
        </w:rPr>
        <w:t xml:space="preserve"> ensure that all accounts are </w:t>
      </w:r>
      <w:r w:rsidR="00CB1203">
        <w:rPr>
          <w:sz w:val="24"/>
        </w:rPr>
        <w:t xml:space="preserve">reconciled </w:t>
      </w:r>
      <w:r w:rsidR="00030E92">
        <w:rPr>
          <w:sz w:val="24"/>
        </w:rPr>
        <w:t>when programming is complete</w:t>
      </w:r>
      <w:r w:rsidR="00476425">
        <w:rPr>
          <w:sz w:val="24"/>
        </w:rPr>
        <w:t>.</w:t>
      </w:r>
    </w:p>
    <w:p w:rsidR="00476425" w:rsidP="00476425" w:rsidRDefault="00476425" w14:paraId="2D0FF1C0" w14:textId="77777777">
      <w:pPr>
        <w:rPr>
          <w:sz w:val="24"/>
        </w:rPr>
      </w:pPr>
    </w:p>
    <w:p w:rsidRPr="00484D1C" w:rsidR="00476425" w:rsidP="00D703C0" w:rsidRDefault="00476425" w14:paraId="57BA0D45" w14:textId="77777777">
      <w:pPr>
        <w:numPr>
          <w:ilvl w:val="0"/>
          <w:numId w:val="14"/>
        </w:numPr>
        <w:rPr>
          <w:sz w:val="24"/>
        </w:rPr>
      </w:pPr>
      <w:r>
        <w:rPr>
          <w:b/>
          <w:sz w:val="24"/>
          <w:u w:val="single"/>
        </w:rPr>
        <w:t>Agreement Closeout</w:t>
      </w:r>
      <w:r>
        <w:rPr>
          <w:b/>
          <w:sz w:val="24"/>
        </w:rPr>
        <w:t xml:space="preserve">: </w:t>
      </w:r>
      <w:r w:rsidR="00CE6BE3">
        <w:rPr>
          <w:sz w:val="24"/>
        </w:rPr>
        <w:t>Recipients</w:t>
      </w:r>
      <w:r>
        <w:rPr>
          <w:sz w:val="24"/>
        </w:rPr>
        <w:t xml:space="preserve"> must submit a tax certification and equipment disposition</w:t>
      </w:r>
      <w:r w:rsidR="00030E92">
        <w:rPr>
          <w:sz w:val="24"/>
        </w:rPr>
        <w:t xml:space="preserve"> in order to close an agreement</w:t>
      </w:r>
      <w:r>
        <w:rPr>
          <w:sz w:val="24"/>
        </w:rPr>
        <w:t>.  FAS uses this information to ensure that the a</w:t>
      </w:r>
      <w:r w:rsidR="00030E92">
        <w:rPr>
          <w:sz w:val="24"/>
        </w:rPr>
        <w:t>greement is in compliance with f</w:t>
      </w:r>
      <w:r>
        <w:rPr>
          <w:sz w:val="24"/>
        </w:rPr>
        <w:t xml:space="preserve">ederal regulations </w:t>
      </w:r>
      <w:r w:rsidR="00274E12">
        <w:rPr>
          <w:sz w:val="24"/>
        </w:rPr>
        <w:t>for the</w:t>
      </w:r>
      <w:r>
        <w:rPr>
          <w:sz w:val="24"/>
        </w:rPr>
        <w:t xml:space="preserve"> close out</w:t>
      </w:r>
      <w:r w:rsidR="00274E12">
        <w:rPr>
          <w:sz w:val="24"/>
        </w:rPr>
        <w:t xml:space="preserve"> of government grants.</w:t>
      </w:r>
    </w:p>
    <w:p w:rsidR="00484D1C" w:rsidP="00484D1C" w:rsidRDefault="00484D1C" w14:paraId="179BE497" w14:textId="77777777">
      <w:pPr>
        <w:rPr>
          <w:b/>
          <w:sz w:val="24"/>
          <w:u w:val="single"/>
        </w:rPr>
      </w:pPr>
    </w:p>
    <w:p w:rsidR="00665BA1" w:rsidP="00D703C0" w:rsidRDefault="00CB181A" w14:paraId="529D2422" w14:textId="77777777">
      <w:pPr>
        <w:numPr>
          <w:ilvl w:val="0"/>
          <w:numId w:val="14"/>
        </w:numPr>
        <w:rPr>
          <w:sz w:val="24"/>
        </w:rPr>
      </w:pPr>
      <w:r>
        <w:rPr>
          <w:b/>
          <w:sz w:val="24"/>
          <w:u w:val="single"/>
        </w:rPr>
        <w:t xml:space="preserve">Maintenance of </w:t>
      </w:r>
      <w:r w:rsidRPr="004D0D6F" w:rsidR="00665BA1">
        <w:rPr>
          <w:b/>
          <w:sz w:val="24"/>
          <w:u w:val="single"/>
        </w:rPr>
        <w:t>Records and Reports</w:t>
      </w:r>
      <w:r w:rsidRPr="00E045C8" w:rsidR="004D0D6F">
        <w:rPr>
          <w:b/>
          <w:sz w:val="24"/>
        </w:rPr>
        <w:t>:</w:t>
      </w:r>
      <w:r w:rsidR="00665BA1">
        <w:rPr>
          <w:sz w:val="24"/>
        </w:rPr>
        <w:t xml:space="preserve"> The </w:t>
      </w:r>
      <w:r w:rsidR="00CE6BE3">
        <w:rPr>
          <w:sz w:val="24"/>
        </w:rPr>
        <w:t>Recipient</w:t>
      </w:r>
      <w:r w:rsidR="00665BA1">
        <w:rPr>
          <w:sz w:val="24"/>
        </w:rPr>
        <w:t xml:space="preserve"> must maintain records for a period of three years from the </w:t>
      </w:r>
      <w:r>
        <w:rPr>
          <w:sz w:val="24"/>
        </w:rPr>
        <w:t>date of submission of the final expenditure report</w:t>
      </w:r>
      <w:r w:rsidR="00665BA1">
        <w:rPr>
          <w:sz w:val="24"/>
        </w:rPr>
        <w:t xml:space="preserve">.  </w:t>
      </w:r>
      <w:r w:rsidR="00707506">
        <w:rPr>
          <w:sz w:val="24"/>
        </w:rPr>
        <w:t>FAS</w:t>
      </w:r>
      <w:r>
        <w:rPr>
          <w:sz w:val="24"/>
        </w:rPr>
        <w:t xml:space="preserve"> has the</w:t>
      </w:r>
      <w:r w:rsidR="00707506">
        <w:rPr>
          <w:sz w:val="24"/>
        </w:rPr>
        <w:t xml:space="preserve"> authority to inspect </w:t>
      </w:r>
      <w:r>
        <w:rPr>
          <w:sz w:val="24"/>
        </w:rPr>
        <w:t xml:space="preserve">these </w:t>
      </w:r>
      <w:r w:rsidR="00665BA1">
        <w:rPr>
          <w:sz w:val="24"/>
        </w:rPr>
        <w:t xml:space="preserve">records </w:t>
      </w:r>
      <w:r>
        <w:rPr>
          <w:sz w:val="24"/>
        </w:rPr>
        <w:t xml:space="preserve">in order to evaluate a </w:t>
      </w:r>
      <w:r w:rsidR="00CE6BE3">
        <w:rPr>
          <w:sz w:val="24"/>
        </w:rPr>
        <w:t>Recipient’s</w:t>
      </w:r>
      <w:r>
        <w:rPr>
          <w:sz w:val="24"/>
        </w:rPr>
        <w:t xml:space="preserve"> compliance with the terms and conditions of an agreement</w:t>
      </w:r>
      <w:r w:rsidR="00665BA1">
        <w:rPr>
          <w:sz w:val="24"/>
        </w:rPr>
        <w:t>.</w:t>
      </w:r>
      <w:r>
        <w:rPr>
          <w:sz w:val="24"/>
        </w:rPr>
        <w:t xml:space="preserve">  Additionally, FAS uses these records to evaluate whether a </w:t>
      </w:r>
      <w:r w:rsidR="00CE6BE3">
        <w:rPr>
          <w:sz w:val="24"/>
        </w:rPr>
        <w:t>Recipient</w:t>
      </w:r>
      <w:r>
        <w:rPr>
          <w:sz w:val="24"/>
        </w:rPr>
        <w:t xml:space="preserve"> should be selected to implement </w:t>
      </w:r>
      <w:r w:rsidR="00151739">
        <w:rPr>
          <w:sz w:val="24"/>
        </w:rPr>
        <w:t>future</w:t>
      </w:r>
      <w:r>
        <w:rPr>
          <w:sz w:val="24"/>
        </w:rPr>
        <w:t xml:space="preserve"> programming.</w:t>
      </w:r>
      <w:r w:rsidR="00665BA1">
        <w:rPr>
          <w:sz w:val="24"/>
        </w:rPr>
        <w:t xml:space="preserve"> </w:t>
      </w:r>
      <w:r>
        <w:rPr>
          <w:sz w:val="24"/>
        </w:rPr>
        <w:t xml:space="preserve"> Finally, USDA and Congress sometimes use </w:t>
      </w:r>
      <w:r w:rsidR="00151739">
        <w:rPr>
          <w:sz w:val="24"/>
        </w:rPr>
        <w:t xml:space="preserve">these </w:t>
      </w:r>
      <w:r>
        <w:rPr>
          <w:sz w:val="24"/>
        </w:rPr>
        <w:t>records to evaluate the effectiveness of food assistance programs.</w:t>
      </w:r>
    </w:p>
    <w:p w:rsidR="00665BA1" w:rsidRDefault="00665BA1" w14:paraId="71801DCA" w14:textId="77777777">
      <w:pPr>
        <w:rPr>
          <w:sz w:val="24"/>
        </w:rPr>
      </w:pPr>
    </w:p>
    <w:p w:rsidR="00BB3B51" w:rsidRDefault="00BB3B51" w14:paraId="5B03CEBC" w14:textId="77777777">
      <w:pPr>
        <w:rPr>
          <w:sz w:val="24"/>
        </w:rPr>
      </w:pPr>
    </w:p>
    <w:p w:rsidR="00665BA1" w:rsidRDefault="00665BA1" w14:paraId="3C1EE1FB" w14:textId="77777777">
      <w:pPr>
        <w:rPr>
          <w:b/>
          <w:bCs/>
          <w:sz w:val="24"/>
        </w:rPr>
      </w:pPr>
      <w:r>
        <w:rPr>
          <w:b/>
          <w:bCs/>
          <w:sz w:val="24"/>
        </w:rPr>
        <w:t xml:space="preserve">3. Describe whether, and to what extent, the collection of information involves the use of </w:t>
      </w:r>
      <w:r w:rsidR="00707506">
        <w:rPr>
          <w:b/>
          <w:bCs/>
          <w:sz w:val="24"/>
        </w:rPr>
        <w:t xml:space="preserve">automated, electronic, mechanical, or other </w:t>
      </w:r>
      <w:r>
        <w:rPr>
          <w:b/>
          <w:bCs/>
          <w:sz w:val="24"/>
        </w:rPr>
        <w:t>technological collection techniques</w:t>
      </w:r>
      <w:r w:rsidR="00707506">
        <w:rPr>
          <w:b/>
          <w:bCs/>
          <w:sz w:val="24"/>
        </w:rPr>
        <w:t xml:space="preserve"> or other forms of information technology, e.g. permitting electronic submission of responses, and the basis for the decision for adopting this means of collection.  Also describe any consideration of using information technology to reduce burden.</w:t>
      </w:r>
    </w:p>
    <w:p w:rsidR="00665BA1" w:rsidRDefault="00665BA1" w14:paraId="07D0324E" w14:textId="77777777">
      <w:pPr>
        <w:rPr>
          <w:b/>
          <w:bCs/>
          <w:sz w:val="24"/>
        </w:rPr>
      </w:pPr>
    </w:p>
    <w:p w:rsidR="00CD24A2" w:rsidRDefault="00665BA1" w14:paraId="59267ED3" w14:textId="77777777">
      <w:pPr>
        <w:rPr>
          <w:sz w:val="24"/>
        </w:rPr>
      </w:pPr>
      <w:r>
        <w:rPr>
          <w:sz w:val="24"/>
        </w:rPr>
        <w:t>The</w:t>
      </w:r>
      <w:r w:rsidR="00CF4B83">
        <w:rPr>
          <w:sz w:val="24"/>
        </w:rPr>
        <w:t xml:space="preserve"> vast</w:t>
      </w:r>
      <w:r>
        <w:rPr>
          <w:sz w:val="24"/>
        </w:rPr>
        <w:t xml:space="preserve"> majority </w:t>
      </w:r>
      <w:r w:rsidR="00CF4B83">
        <w:rPr>
          <w:sz w:val="24"/>
        </w:rPr>
        <w:t>o</w:t>
      </w:r>
      <w:r>
        <w:rPr>
          <w:sz w:val="24"/>
        </w:rPr>
        <w:t xml:space="preserve">f information collected from </w:t>
      </w:r>
      <w:r w:rsidR="00CE6BE3">
        <w:rPr>
          <w:sz w:val="24"/>
        </w:rPr>
        <w:t>Recipient</w:t>
      </w:r>
      <w:r>
        <w:rPr>
          <w:sz w:val="24"/>
        </w:rPr>
        <w:t>s</w:t>
      </w:r>
      <w:r w:rsidR="00CF4B83">
        <w:rPr>
          <w:sz w:val="24"/>
        </w:rPr>
        <w:t xml:space="preserve"> </w:t>
      </w:r>
      <w:r>
        <w:rPr>
          <w:sz w:val="24"/>
        </w:rPr>
        <w:t xml:space="preserve">is </w:t>
      </w:r>
      <w:r w:rsidR="00CF4B83">
        <w:rPr>
          <w:sz w:val="24"/>
        </w:rPr>
        <w:t>submitt</w:t>
      </w:r>
      <w:r>
        <w:rPr>
          <w:sz w:val="24"/>
        </w:rPr>
        <w:t>ed electronically</w:t>
      </w:r>
      <w:r w:rsidR="00543946">
        <w:rPr>
          <w:sz w:val="24"/>
        </w:rPr>
        <w:t xml:space="preserve"> through the Web-Based Chain Management System, the Food Aid Information System, or e-mail</w:t>
      </w:r>
      <w:r w:rsidR="00CF4B83">
        <w:rPr>
          <w:sz w:val="24"/>
        </w:rPr>
        <w:t>.</w:t>
      </w:r>
      <w:r>
        <w:rPr>
          <w:sz w:val="24"/>
        </w:rPr>
        <w:t xml:space="preserve"> </w:t>
      </w:r>
      <w:r w:rsidR="00CF4B83">
        <w:rPr>
          <w:sz w:val="24"/>
        </w:rPr>
        <w:t xml:space="preserve"> </w:t>
      </w:r>
      <w:r w:rsidR="00CE6BE3">
        <w:rPr>
          <w:sz w:val="24"/>
        </w:rPr>
        <w:t>E</w:t>
      </w:r>
      <w:r w:rsidR="00213293">
        <w:rPr>
          <w:sz w:val="24"/>
        </w:rPr>
        <w:t>lectronic data collection</w:t>
      </w:r>
      <w:r>
        <w:rPr>
          <w:sz w:val="24"/>
        </w:rPr>
        <w:t xml:space="preserve"> has resulted in a significant reduction </w:t>
      </w:r>
      <w:r w:rsidR="00887156">
        <w:rPr>
          <w:sz w:val="24"/>
        </w:rPr>
        <w:t>in both</w:t>
      </w:r>
      <w:r>
        <w:rPr>
          <w:sz w:val="24"/>
        </w:rPr>
        <w:t xml:space="preserve"> the required paperwork </w:t>
      </w:r>
      <w:r w:rsidR="00887156">
        <w:rPr>
          <w:sz w:val="24"/>
        </w:rPr>
        <w:t>and in</w:t>
      </w:r>
      <w:r>
        <w:rPr>
          <w:sz w:val="24"/>
        </w:rPr>
        <w:t xml:space="preserve"> the time it takes </w:t>
      </w:r>
      <w:r w:rsidR="00CE6BE3">
        <w:rPr>
          <w:sz w:val="24"/>
        </w:rPr>
        <w:t>Recipients</w:t>
      </w:r>
      <w:r>
        <w:rPr>
          <w:sz w:val="24"/>
        </w:rPr>
        <w:t xml:space="preserve"> to prepare and submit the </w:t>
      </w:r>
      <w:r w:rsidR="00213293">
        <w:rPr>
          <w:sz w:val="24"/>
        </w:rPr>
        <w:t>information</w:t>
      </w:r>
      <w:r>
        <w:rPr>
          <w:sz w:val="24"/>
        </w:rPr>
        <w:t xml:space="preserve">.  </w:t>
      </w:r>
      <w:r w:rsidR="00CD24A2">
        <w:rPr>
          <w:sz w:val="24"/>
        </w:rPr>
        <w:t>FAS has moved the application process, the grant agreements, reporting, and payment processes to the on-line Food Aid Information System.  This provide</w:t>
      </w:r>
      <w:r w:rsidR="00CE6BE3">
        <w:rPr>
          <w:sz w:val="24"/>
        </w:rPr>
        <w:t>s</w:t>
      </w:r>
      <w:r w:rsidR="00CD24A2">
        <w:rPr>
          <w:sz w:val="24"/>
        </w:rPr>
        <w:t xml:space="preserve"> external stakeholders a one-stop and consistent entry point.  The system also reduces agency time in reviewing applications, agreements, payments, and reporting.</w:t>
      </w:r>
    </w:p>
    <w:p w:rsidR="00665BA1" w:rsidRDefault="00CD24A2" w14:paraId="34DC501A" w14:textId="77777777">
      <w:pPr>
        <w:rPr>
          <w:sz w:val="24"/>
        </w:rPr>
      </w:pPr>
      <w:r>
        <w:rPr>
          <w:sz w:val="24"/>
        </w:rPr>
        <w:t xml:space="preserve"> </w:t>
      </w:r>
    </w:p>
    <w:p w:rsidRPr="008B68AB" w:rsidR="00665BA1" w:rsidP="00CA3FAC" w:rsidRDefault="00CD24A2" w14:paraId="02F9BB0F" w14:textId="77777777">
      <w:pPr>
        <w:widowControl/>
        <w:autoSpaceDE/>
        <w:autoSpaceDN/>
        <w:adjustRightInd/>
        <w:rPr>
          <w:sz w:val="24"/>
        </w:rPr>
      </w:pPr>
      <w:r>
        <w:rPr>
          <w:sz w:val="24"/>
        </w:rPr>
        <w:t>Procurements of commodity and freight for the food aid programs are handled within the Web-Based Supply Chain Management System.  Suppliers and transportation companies enter their offers within the system, and USDA staff are able to review the offers and develop minimum-cost combinations of commodity and freight bids quickly.  Awards are also handled within the system, and quantities purchased and shipped are tracked through the system to monitor any losses that occur during the handover from one business entity to another business entity.  Invoicing and payments are handled by the system, which speeds up the processing of payments while maintaining solid controls against improper payments and maintaining strong controls on funds management.</w:t>
      </w:r>
    </w:p>
    <w:p w:rsidR="00707506" w:rsidRDefault="00707506" w14:paraId="4189D81C" w14:textId="77777777">
      <w:pPr>
        <w:rPr>
          <w:sz w:val="24"/>
        </w:rPr>
      </w:pPr>
    </w:p>
    <w:p w:rsidR="00665BA1" w:rsidRDefault="00665BA1" w14:paraId="603483B6" w14:textId="77777777">
      <w:pPr>
        <w:rPr>
          <w:b/>
          <w:bCs/>
          <w:sz w:val="24"/>
        </w:rPr>
      </w:pPr>
      <w:r>
        <w:rPr>
          <w:b/>
          <w:bCs/>
          <w:sz w:val="24"/>
        </w:rPr>
        <w:t>4. Describe efforts to identify duplication.  Show specifically why any similar information already available cannot be used or modified for use for the purposes described in Item 2 above.</w:t>
      </w:r>
    </w:p>
    <w:p w:rsidR="00665BA1" w:rsidRDefault="00665BA1" w14:paraId="59ADD048" w14:textId="77777777">
      <w:pPr>
        <w:rPr>
          <w:b/>
          <w:bCs/>
          <w:sz w:val="24"/>
        </w:rPr>
      </w:pPr>
    </w:p>
    <w:p w:rsidR="000B6EC9" w:rsidRDefault="000B6EC9" w14:paraId="7C1C3AF6" w14:textId="77777777">
      <w:pPr>
        <w:rPr>
          <w:bCs/>
          <w:sz w:val="24"/>
        </w:rPr>
      </w:pPr>
      <w:r>
        <w:rPr>
          <w:bCs/>
          <w:sz w:val="24"/>
        </w:rPr>
        <w:t>FAS has made an effort to identify and eliminate duplication in information collection for food assistance programs.  Some examples include:</w:t>
      </w:r>
    </w:p>
    <w:p w:rsidRPr="000B6EC9" w:rsidR="000B6EC9" w:rsidRDefault="000B6EC9" w14:paraId="620EE348" w14:textId="77777777">
      <w:pPr>
        <w:rPr>
          <w:bCs/>
          <w:sz w:val="12"/>
          <w:szCs w:val="12"/>
        </w:rPr>
      </w:pPr>
    </w:p>
    <w:p w:rsidR="00665BA1" w:rsidP="000B6EC9" w:rsidRDefault="002D7243" w14:paraId="70321AFE" w14:textId="77777777">
      <w:pPr>
        <w:numPr>
          <w:ilvl w:val="0"/>
          <w:numId w:val="17"/>
        </w:numPr>
        <w:rPr>
          <w:sz w:val="24"/>
        </w:rPr>
      </w:pPr>
      <w:r>
        <w:rPr>
          <w:sz w:val="24"/>
        </w:rPr>
        <w:t>In a given fiscal year, f</w:t>
      </w:r>
      <w:r w:rsidR="00D16FEF">
        <w:rPr>
          <w:sz w:val="24"/>
        </w:rPr>
        <w:t>reight forwarder</w:t>
      </w:r>
      <w:r w:rsidR="00665BA1">
        <w:rPr>
          <w:sz w:val="24"/>
        </w:rPr>
        <w:t xml:space="preserve">s that have already been approved as an agent for </w:t>
      </w:r>
      <w:r>
        <w:rPr>
          <w:sz w:val="24"/>
        </w:rPr>
        <w:t xml:space="preserve">a </w:t>
      </w:r>
      <w:r w:rsidR="00665BA1">
        <w:rPr>
          <w:sz w:val="24"/>
        </w:rPr>
        <w:t xml:space="preserve">country or private </w:t>
      </w:r>
      <w:r w:rsidR="00C83127">
        <w:rPr>
          <w:sz w:val="24"/>
        </w:rPr>
        <w:t>v</w:t>
      </w:r>
      <w:r w:rsidR="00665BA1">
        <w:rPr>
          <w:sz w:val="24"/>
        </w:rPr>
        <w:t>oluntary organization can send a simplified version of their certifications for each subsequent agent nomination.</w:t>
      </w:r>
    </w:p>
    <w:p w:rsidR="002D7243" w:rsidP="000B6EC9" w:rsidRDefault="00EE07EB" w14:paraId="4D427A4F" w14:textId="77777777">
      <w:pPr>
        <w:numPr>
          <w:ilvl w:val="0"/>
          <w:numId w:val="17"/>
        </w:numPr>
        <w:rPr>
          <w:sz w:val="24"/>
        </w:rPr>
      </w:pPr>
      <w:r>
        <w:rPr>
          <w:sz w:val="24"/>
        </w:rPr>
        <w:t xml:space="preserve">A-133 Audits:  Even if a </w:t>
      </w:r>
      <w:r w:rsidR="00843BE3">
        <w:rPr>
          <w:sz w:val="24"/>
        </w:rPr>
        <w:t>Recipient</w:t>
      </w:r>
      <w:r>
        <w:rPr>
          <w:sz w:val="24"/>
        </w:rPr>
        <w:t xml:space="preserve"> has multiple active food aid agreements, it is only necessary for the entity to submit one copy of its A-133 audit every year.</w:t>
      </w:r>
    </w:p>
    <w:p w:rsidR="002D7243" w:rsidP="002D7243" w:rsidRDefault="00EE07EB" w14:paraId="0A5B023E" w14:textId="77777777">
      <w:pPr>
        <w:numPr>
          <w:ilvl w:val="0"/>
          <w:numId w:val="17"/>
        </w:numPr>
        <w:rPr>
          <w:sz w:val="24"/>
        </w:rPr>
      </w:pPr>
      <w:r>
        <w:rPr>
          <w:sz w:val="24"/>
        </w:rPr>
        <w:t>Tax Certifications:  Although FAS requires tax certification information on every active food assistance agreement, this information can all be submitted in the same document to avoid unnecessary effort and paperwork.</w:t>
      </w:r>
    </w:p>
    <w:p w:rsidR="00CD24A2" w:rsidP="002D7243" w:rsidRDefault="00CD24A2" w14:paraId="6071BA52" w14:textId="77777777">
      <w:pPr>
        <w:numPr>
          <w:ilvl w:val="0"/>
          <w:numId w:val="17"/>
        </w:numPr>
        <w:rPr>
          <w:sz w:val="24"/>
        </w:rPr>
      </w:pPr>
      <w:r>
        <w:rPr>
          <w:sz w:val="24"/>
        </w:rPr>
        <w:t>The electronic systems maintain data throughout the multiple points in the food aid business cycle.  The data are aligned with the key parts of the busin</w:t>
      </w:r>
      <w:r w:rsidR="00DB758E">
        <w:rPr>
          <w:sz w:val="24"/>
        </w:rPr>
        <w:t xml:space="preserve">ess cycle and made available at multiple, </w:t>
      </w:r>
      <w:r>
        <w:rPr>
          <w:sz w:val="24"/>
        </w:rPr>
        <w:t>relevant points.  In summary, data is generally entered once and does not have to be re-entered at the multiple points in the business cycle.</w:t>
      </w:r>
    </w:p>
    <w:p w:rsidR="00665BA1" w:rsidRDefault="00665BA1" w14:paraId="0605C5AB" w14:textId="77777777">
      <w:pPr>
        <w:rPr>
          <w:b/>
          <w:bCs/>
          <w:sz w:val="24"/>
        </w:rPr>
      </w:pPr>
    </w:p>
    <w:p w:rsidR="00665BA1" w:rsidP="009B48AD" w:rsidRDefault="009B48AD" w14:paraId="267CD77C" w14:textId="77777777">
      <w:pPr>
        <w:rPr>
          <w:b/>
          <w:bCs/>
          <w:sz w:val="24"/>
        </w:rPr>
      </w:pPr>
      <w:r>
        <w:rPr>
          <w:sz w:val="24"/>
        </w:rPr>
        <w:t>FAS eliminated or greatly reduced redundancy for each grant agre</w:t>
      </w:r>
      <w:r w:rsidR="00843BE3">
        <w:rPr>
          <w:sz w:val="24"/>
        </w:rPr>
        <w:t xml:space="preserve">ement and related procurement. </w:t>
      </w:r>
      <w:r>
        <w:rPr>
          <w:sz w:val="24"/>
        </w:rPr>
        <w:t xml:space="preserve">Information collection is tied </w:t>
      </w:r>
      <w:r w:rsidR="004F6739">
        <w:rPr>
          <w:sz w:val="24"/>
        </w:rPr>
        <w:t xml:space="preserve">to </w:t>
      </w:r>
      <w:r>
        <w:rPr>
          <w:sz w:val="24"/>
        </w:rPr>
        <w:t>each grant agreement and related procurement.  Each grant agreement and procurement has specific requirements and business opportunities for stakeholders that require separate information collections.  A single information collection cannot cover multiple agreements and procurements.</w:t>
      </w:r>
      <w:r>
        <w:rPr>
          <w:b/>
          <w:bCs/>
          <w:sz w:val="24"/>
        </w:rPr>
        <w:t xml:space="preserve"> </w:t>
      </w:r>
    </w:p>
    <w:p w:rsidR="003B6268" w:rsidRDefault="003B6268" w14:paraId="1E6389E3" w14:textId="77777777">
      <w:pPr>
        <w:rPr>
          <w:b/>
          <w:bCs/>
          <w:sz w:val="24"/>
        </w:rPr>
      </w:pPr>
    </w:p>
    <w:p w:rsidR="00665BA1" w:rsidRDefault="00665BA1" w14:paraId="6BAD9B22" w14:textId="77777777">
      <w:pPr>
        <w:rPr>
          <w:b/>
          <w:bCs/>
          <w:sz w:val="24"/>
        </w:rPr>
      </w:pPr>
      <w:r>
        <w:rPr>
          <w:b/>
          <w:bCs/>
          <w:sz w:val="24"/>
        </w:rPr>
        <w:t>5. If the collection of information impacts small business or other small entities (Item 5 of OMB Form 83-I), describe any methods used to minimize burden.</w:t>
      </w:r>
    </w:p>
    <w:p w:rsidR="00665BA1" w:rsidRDefault="00665BA1" w14:paraId="7E25671A" w14:textId="77777777">
      <w:pPr>
        <w:rPr>
          <w:b/>
          <w:bCs/>
          <w:sz w:val="24"/>
        </w:rPr>
      </w:pPr>
    </w:p>
    <w:p w:rsidR="00665BA1" w:rsidRDefault="00665BA1" w14:paraId="7BF1451B" w14:textId="77777777">
      <w:pPr>
        <w:rPr>
          <w:b/>
          <w:bCs/>
          <w:sz w:val="24"/>
        </w:rPr>
        <w:sectPr w:rsidR="00665BA1">
          <w:headerReference w:type="default" r:id="rId7"/>
          <w:footerReference w:type="even" r:id="rId8"/>
          <w:footerReference w:type="default" r:id="rId9"/>
          <w:endnotePr>
            <w:numFmt w:val="decimal"/>
          </w:endnotePr>
          <w:type w:val="continuous"/>
          <w:pgSz w:w="12240" w:h="15840"/>
          <w:pgMar w:top="1440" w:right="1440" w:bottom="1440" w:left="1440" w:header="1440" w:footer="1440" w:gutter="0"/>
          <w:cols w:space="720"/>
          <w:noEndnote/>
        </w:sectPr>
      </w:pPr>
    </w:p>
    <w:p w:rsidR="008362BE" w:rsidRDefault="005F6964" w14:paraId="71F515F7" w14:textId="77777777">
      <w:pPr>
        <w:pStyle w:val="BodyTextIndent"/>
        <w:rPr>
          <w:b/>
          <w:bCs/>
        </w:rPr>
      </w:pPr>
      <w:r>
        <w:t>FAS estimates that 15 respondents would be classified as small businesses.  FAS increased the use of electronic systems and has regular consultations with the respondents to provide guidance on their responses to the information collection.</w:t>
      </w:r>
    </w:p>
    <w:p w:rsidR="00E36294" w:rsidP="008362BE" w:rsidRDefault="00E36294" w14:paraId="625899FE" w14:textId="77777777">
      <w:pPr>
        <w:pStyle w:val="BodyTextIndent"/>
      </w:pPr>
    </w:p>
    <w:p w:rsidR="00BB3B51" w:rsidP="008362BE" w:rsidRDefault="00BB3B51" w14:paraId="7C188973" w14:textId="77777777">
      <w:pPr>
        <w:pStyle w:val="BodyTextIndent"/>
      </w:pPr>
    </w:p>
    <w:p w:rsidR="000729AF" w:rsidRDefault="00665BA1" w14:paraId="545DFB5C" w14:textId="77777777">
      <w:pPr>
        <w:pStyle w:val="BodyTextIndent2"/>
      </w:pPr>
      <w:r>
        <w:t xml:space="preserve">6. Describe the consequence to Federal program or policy activities if the collection is not </w:t>
      </w:r>
      <w:r w:rsidR="00FA6CE7">
        <w:t>c</w:t>
      </w:r>
      <w:r>
        <w:t>onducted or is conducted less frequently, as well as any technical or legal obstacles to reducing burden.</w:t>
      </w:r>
    </w:p>
    <w:p w:rsidR="00665BA1" w:rsidP="000729AF" w:rsidRDefault="00665BA1" w14:paraId="3480D88E" w14:textId="77777777">
      <w:pPr>
        <w:pStyle w:val="BodyTextIndent2"/>
      </w:pPr>
    </w:p>
    <w:p w:rsidR="00665BA1" w:rsidRDefault="0066715B" w14:paraId="4E009B26" w14:textId="77777777">
      <w:pPr>
        <w:pStyle w:val="BodyTextIndent"/>
        <w:rPr>
          <w:b/>
          <w:bCs/>
        </w:rPr>
      </w:pPr>
      <w:r>
        <w:t>This information collection</w:t>
      </w:r>
      <w:r w:rsidR="00665BA1">
        <w:t xml:space="preserve"> is necessary to satisfy statutory requirements and to assure that public resources are properly used</w:t>
      </w:r>
      <w:r w:rsidR="00CF7E2B">
        <w:t xml:space="preserve"> under food assistance programs.</w:t>
      </w:r>
      <w:r w:rsidR="00665BA1">
        <w:t xml:space="preserve"> </w:t>
      </w:r>
      <w:r w:rsidR="00476BE9">
        <w:t xml:space="preserve"> </w:t>
      </w:r>
      <w:r w:rsidR="00665BA1">
        <w:t>These programs involve the delivery, use</w:t>
      </w:r>
      <w:r>
        <w:t>,</w:t>
      </w:r>
      <w:r w:rsidR="00665BA1">
        <w:t xml:space="preserve"> and sale of agricultural commodities</w:t>
      </w:r>
      <w:r w:rsidR="00CF7E2B">
        <w:t>, and some information collection is necessary to establish a minimum level of accountability and to prevent fraud and abuse</w:t>
      </w:r>
      <w:r w:rsidR="00665BA1">
        <w:t xml:space="preserve">.  Semi-annual reporting by </w:t>
      </w:r>
      <w:r w:rsidR="00476BE9">
        <w:t>Recipients</w:t>
      </w:r>
      <w:r w:rsidR="00665BA1">
        <w:t xml:space="preserve"> permits the tracking and monitoring of commodities and </w:t>
      </w:r>
      <w:r w:rsidR="00CF7E2B">
        <w:t>monetization proceeds</w:t>
      </w:r>
      <w:r w:rsidR="00665BA1">
        <w:t xml:space="preserve">.  Less frequent reporting would make it </w:t>
      </w:r>
      <w:r w:rsidR="00CF7E2B">
        <w:t xml:space="preserve">significantly </w:t>
      </w:r>
      <w:r w:rsidR="00665BA1">
        <w:t xml:space="preserve">more difficult to </w:t>
      </w:r>
      <w:r w:rsidR="00CF7E2B">
        <w:t xml:space="preserve">monitor and evaluate the effectiveness and compliance of </w:t>
      </w:r>
      <w:r w:rsidR="00476BE9">
        <w:t>Recipients</w:t>
      </w:r>
      <w:r w:rsidR="00CF7E2B">
        <w:t>’ program implementation</w:t>
      </w:r>
      <w:r w:rsidR="00665BA1">
        <w:t>.</w:t>
      </w:r>
    </w:p>
    <w:p w:rsidR="00665BA1" w:rsidRDefault="00665BA1" w14:paraId="084CD94C" w14:textId="77777777">
      <w:pPr>
        <w:rPr>
          <w:sz w:val="24"/>
        </w:rPr>
      </w:pPr>
    </w:p>
    <w:p w:rsidR="00E36294" w:rsidP="00E36294" w:rsidRDefault="00665BA1" w14:paraId="0738FFF2" w14:textId="77777777">
      <w:pPr>
        <w:pStyle w:val="BodyTextIndent"/>
      </w:pPr>
      <w:r>
        <w:lastRenderedPageBreak/>
        <w:t xml:space="preserve">Because FAS funds the transportation costs </w:t>
      </w:r>
      <w:r w:rsidR="006B1D32">
        <w:t xml:space="preserve">of food assistance </w:t>
      </w:r>
      <w:r>
        <w:t xml:space="preserve">programs, it is </w:t>
      </w:r>
      <w:r w:rsidR="006C1784">
        <w:t>essential for freight forwarders to submit their documents to USDA for approval in order</w:t>
      </w:r>
      <w:r>
        <w:t xml:space="preserve"> to ensure that transportation is procured in a fair manner and at the lowest cost </w:t>
      </w:r>
      <w:r w:rsidR="006C1784">
        <w:t xml:space="preserve">possible </w:t>
      </w:r>
      <w:r>
        <w:t xml:space="preserve">to the </w:t>
      </w:r>
      <w:r w:rsidR="00A9654B">
        <w:t>F</w:t>
      </w:r>
      <w:r>
        <w:t xml:space="preserve">ederal government.  </w:t>
      </w:r>
      <w:r w:rsidR="00D0299A">
        <w:t>Moreover, s</w:t>
      </w:r>
      <w:r>
        <w:t xml:space="preserve">hip owners/brokers are required to submit documents to ensure that all the contractual obligations have been met prior to payment.  </w:t>
      </w:r>
      <w:r w:rsidR="006C1784">
        <w:t>Likewise, submission of discharge surveys is necessary in order to have a full accounting of the commodities shipped, including any losses or damages.  L</w:t>
      </w:r>
      <w:r>
        <w:t xml:space="preserve">essening </w:t>
      </w:r>
      <w:r w:rsidR="006C1784">
        <w:t xml:space="preserve">any of </w:t>
      </w:r>
      <w:r>
        <w:t xml:space="preserve">these requirements </w:t>
      </w:r>
      <w:r w:rsidR="006C1784">
        <w:t xml:space="preserve">could </w:t>
      </w:r>
      <w:r>
        <w:t xml:space="preserve">result in less accountability to the </w:t>
      </w:r>
      <w:r w:rsidR="00A9654B">
        <w:t>F</w:t>
      </w:r>
      <w:r>
        <w:t>ederal government</w:t>
      </w:r>
      <w:r w:rsidR="00CE248E">
        <w:t xml:space="preserve"> in the freight procurement process.</w:t>
      </w:r>
    </w:p>
    <w:p w:rsidR="00E36294" w:rsidP="00E36294" w:rsidRDefault="00E36294" w14:paraId="30BF9765" w14:textId="77777777">
      <w:pPr>
        <w:pStyle w:val="BodyTextIndent"/>
      </w:pPr>
    </w:p>
    <w:p w:rsidR="00BB3B51" w:rsidP="00E36294" w:rsidRDefault="00BB3B51" w14:paraId="411FC52C" w14:textId="77777777">
      <w:pPr>
        <w:pStyle w:val="BodyTextIndent"/>
      </w:pPr>
    </w:p>
    <w:p w:rsidRPr="00E36294" w:rsidR="006F15E4" w:rsidP="00E36294" w:rsidRDefault="00665BA1" w14:paraId="7ADC0DC2" w14:textId="77777777">
      <w:pPr>
        <w:pStyle w:val="BodyTextIndent"/>
        <w:rPr>
          <w:b/>
        </w:rPr>
      </w:pPr>
      <w:r w:rsidRPr="00E36294">
        <w:rPr>
          <w:b/>
        </w:rPr>
        <w:t>7. Explain any special circumstances that would cause an information collection to be conducted in a manner:</w:t>
      </w:r>
    </w:p>
    <w:p w:rsidR="006F15E4" w:rsidP="006F15E4" w:rsidRDefault="006F15E4" w14:paraId="6708D771" w14:textId="77777777">
      <w:pPr>
        <w:ind w:left="-720"/>
        <w:rPr>
          <w:b/>
          <w:bCs/>
          <w:sz w:val="24"/>
        </w:rPr>
      </w:pPr>
    </w:p>
    <w:p w:rsidRPr="006F15E4" w:rsidR="006F15E4" w:rsidP="006F15E4" w:rsidRDefault="006F15E4" w14:paraId="593DEF94" w14:textId="77777777">
      <w:pPr>
        <w:pStyle w:val="BodyTextIndent2"/>
        <w:numPr>
          <w:ilvl w:val="0"/>
          <w:numId w:val="18"/>
        </w:numPr>
        <w:rPr>
          <w:b w:val="0"/>
        </w:rPr>
      </w:pPr>
      <w:r w:rsidRPr="006F15E4">
        <w:rPr>
          <w:b w:val="0"/>
          <w:i/>
        </w:rPr>
        <w:t>Requiring respondents to report information to the agency more often than quarterl</w:t>
      </w:r>
      <w:r>
        <w:rPr>
          <w:b w:val="0"/>
          <w:i/>
        </w:rPr>
        <w:t>y:</w:t>
      </w:r>
    </w:p>
    <w:p w:rsidR="006F15E4" w:rsidP="006F15E4" w:rsidRDefault="006F15E4" w14:paraId="381CDF53" w14:textId="77777777">
      <w:pPr>
        <w:pStyle w:val="BodyTextIndent2"/>
        <w:ind w:left="0"/>
        <w:rPr>
          <w:b w:val="0"/>
          <w:bCs w:val="0"/>
        </w:rPr>
      </w:pPr>
      <w:r>
        <w:rPr>
          <w:b w:val="0"/>
        </w:rPr>
        <w:t>F</w:t>
      </w:r>
      <w:r w:rsidRPr="006F15E4">
        <w:rPr>
          <w:b w:val="0"/>
        </w:rPr>
        <w:t>reight documentation is provided on a</w:t>
      </w:r>
      <w:r w:rsidR="00DB758E">
        <w:rPr>
          <w:b w:val="0"/>
        </w:rPr>
        <w:t xml:space="preserve"> procurement-by-procurement </w:t>
      </w:r>
      <w:r w:rsidRPr="006F15E4">
        <w:rPr>
          <w:b w:val="0"/>
        </w:rPr>
        <w:t>basis, depending on the</w:t>
      </w:r>
      <w:r w:rsidRPr="006F15E4">
        <w:rPr>
          <w:b w:val="0"/>
          <w:bCs w:val="0"/>
        </w:rPr>
        <w:t xml:space="preserve"> </w:t>
      </w:r>
      <w:r w:rsidRPr="006F15E4">
        <w:rPr>
          <w:b w:val="0"/>
        </w:rPr>
        <w:t xml:space="preserve">volume of commodities that need </w:t>
      </w:r>
      <w:r>
        <w:rPr>
          <w:b w:val="0"/>
        </w:rPr>
        <w:t>to be moved at any given time.</w:t>
      </w:r>
    </w:p>
    <w:p w:rsidRPr="006F15E4" w:rsidR="006F15E4" w:rsidP="006F15E4" w:rsidRDefault="006F15E4" w14:paraId="46B055D5" w14:textId="77777777">
      <w:pPr>
        <w:ind w:left="-720"/>
        <w:rPr>
          <w:i/>
          <w:sz w:val="24"/>
        </w:rPr>
      </w:pPr>
    </w:p>
    <w:p w:rsidRPr="006F15E4" w:rsidR="006F15E4" w:rsidP="006F15E4" w:rsidRDefault="006F15E4" w14:paraId="75D9AEAF" w14:textId="77777777">
      <w:pPr>
        <w:pStyle w:val="BodyTextIndent2"/>
        <w:numPr>
          <w:ilvl w:val="0"/>
          <w:numId w:val="18"/>
        </w:numPr>
        <w:rPr>
          <w:b w:val="0"/>
        </w:rPr>
      </w:pPr>
      <w:r w:rsidRPr="006F15E4">
        <w:rPr>
          <w:b w:val="0"/>
          <w:bCs w:val="0"/>
          <w:i/>
        </w:rPr>
        <w:t>Requiring respondents to prepare a written response to a collection of information in fewer than 30 days after receipt of it:</w:t>
      </w:r>
    </w:p>
    <w:p w:rsidRPr="006F15E4" w:rsidR="00665BA1" w:rsidP="006F15E4" w:rsidRDefault="00665BA1" w14:paraId="3B0F5567" w14:textId="77777777">
      <w:pPr>
        <w:rPr>
          <w:sz w:val="24"/>
        </w:rPr>
      </w:pPr>
      <w:r w:rsidRPr="006F15E4">
        <w:rPr>
          <w:sz w:val="24"/>
        </w:rPr>
        <w:t xml:space="preserve">Respondents </w:t>
      </w:r>
      <w:r w:rsidR="0066715B">
        <w:rPr>
          <w:sz w:val="24"/>
        </w:rPr>
        <w:t xml:space="preserve">always </w:t>
      </w:r>
      <w:r w:rsidRPr="006F15E4">
        <w:rPr>
          <w:sz w:val="24"/>
        </w:rPr>
        <w:t>are given more than 30 days to prepare reports</w:t>
      </w:r>
      <w:r w:rsidRPr="006F15E4" w:rsidR="006F15E4">
        <w:rPr>
          <w:bCs/>
          <w:sz w:val="24"/>
        </w:rPr>
        <w:t>, proposals, and evaluations.</w:t>
      </w:r>
    </w:p>
    <w:p w:rsidR="006F15E4" w:rsidP="006F15E4" w:rsidRDefault="006F15E4" w14:paraId="564C2490" w14:textId="77777777">
      <w:pPr>
        <w:ind w:left="-720"/>
        <w:rPr>
          <w:sz w:val="24"/>
        </w:rPr>
      </w:pPr>
    </w:p>
    <w:p w:rsidRPr="0062103C" w:rsidR="00665BA1" w:rsidP="006F15E4" w:rsidRDefault="006F15E4" w14:paraId="4223817A" w14:textId="77777777">
      <w:pPr>
        <w:pStyle w:val="BodyText"/>
        <w:numPr>
          <w:ilvl w:val="0"/>
          <w:numId w:val="18"/>
        </w:numPr>
        <w:rPr>
          <w:b w:val="0"/>
          <w:i/>
        </w:rPr>
      </w:pPr>
      <w:r w:rsidRPr="0062103C">
        <w:rPr>
          <w:b w:val="0"/>
          <w:i/>
        </w:rPr>
        <w:t>R</w:t>
      </w:r>
      <w:r w:rsidRPr="0062103C" w:rsidR="00665BA1">
        <w:rPr>
          <w:b w:val="0"/>
          <w:i/>
        </w:rPr>
        <w:t xml:space="preserve">equiring respondents to submit more than an original and two copies of any </w:t>
      </w:r>
      <w:r w:rsidR="0062103C">
        <w:rPr>
          <w:b w:val="0"/>
          <w:i/>
        </w:rPr>
        <w:t>document:</w:t>
      </w:r>
    </w:p>
    <w:p w:rsidR="00665BA1" w:rsidRDefault="006F15E4" w14:paraId="672B0500" w14:textId="77777777">
      <w:pPr>
        <w:rPr>
          <w:b/>
          <w:bCs/>
          <w:sz w:val="24"/>
        </w:rPr>
      </w:pPr>
      <w:r>
        <w:rPr>
          <w:sz w:val="24"/>
        </w:rPr>
        <w:t xml:space="preserve">This does not apply because the </w:t>
      </w:r>
      <w:r w:rsidR="00A9654B">
        <w:rPr>
          <w:sz w:val="24"/>
        </w:rPr>
        <w:t>Recipients</w:t>
      </w:r>
      <w:r>
        <w:rPr>
          <w:sz w:val="24"/>
        </w:rPr>
        <w:t xml:space="preserve"> submit information collection documents electronically.  </w:t>
      </w:r>
    </w:p>
    <w:p w:rsidR="00665BA1" w:rsidRDefault="00665BA1" w14:paraId="786BCF7A" w14:textId="77777777">
      <w:pPr>
        <w:ind w:left="-720"/>
        <w:rPr>
          <w:b/>
          <w:bCs/>
          <w:sz w:val="24"/>
        </w:rPr>
      </w:pPr>
    </w:p>
    <w:p w:rsidR="00665BA1" w:rsidP="006F15E4" w:rsidRDefault="0049025A" w14:paraId="5B036C89" w14:textId="77777777">
      <w:pPr>
        <w:numPr>
          <w:ilvl w:val="0"/>
          <w:numId w:val="18"/>
        </w:numPr>
        <w:rPr>
          <w:b/>
          <w:bCs/>
          <w:sz w:val="24"/>
        </w:rPr>
      </w:pPr>
      <w:r w:rsidRPr="0049025A">
        <w:rPr>
          <w:bCs/>
          <w:i/>
          <w:sz w:val="24"/>
        </w:rPr>
        <w:t>R</w:t>
      </w:r>
      <w:r w:rsidRPr="0049025A" w:rsidR="00665BA1">
        <w:rPr>
          <w:bCs/>
          <w:i/>
          <w:sz w:val="24"/>
        </w:rPr>
        <w:t>equiring respondents to retain records, other than health, medical, government    contract, grant-in-aid, or tax records for more than three years</w:t>
      </w:r>
      <w:r w:rsidRPr="0049025A">
        <w:rPr>
          <w:bCs/>
          <w:i/>
          <w:sz w:val="24"/>
        </w:rPr>
        <w:t>:</w:t>
      </w:r>
    </w:p>
    <w:p w:rsidR="00665BA1" w:rsidRDefault="00A9654B" w14:paraId="2D67AF4B" w14:textId="77777777">
      <w:pPr>
        <w:rPr>
          <w:b/>
          <w:bCs/>
          <w:sz w:val="24"/>
        </w:rPr>
      </w:pPr>
      <w:r>
        <w:rPr>
          <w:sz w:val="24"/>
        </w:rPr>
        <w:t>Recipients</w:t>
      </w:r>
      <w:r w:rsidR="0049025A">
        <w:rPr>
          <w:sz w:val="24"/>
        </w:rPr>
        <w:t xml:space="preserve"> are required to keep records after the date that the final expenditure report is submitted</w:t>
      </w:r>
      <w:r>
        <w:rPr>
          <w:sz w:val="24"/>
        </w:rPr>
        <w:t xml:space="preserve"> in accordance with the requirements of 2</w:t>
      </w:r>
      <w:r w:rsidR="0049025A">
        <w:rPr>
          <w:sz w:val="24"/>
        </w:rPr>
        <w:t xml:space="preserve"> C.F.R. </w:t>
      </w:r>
      <w:r>
        <w:rPr>
          <w:sz w:val="24"/>
        </w:rPr>
        <w:t>200.333 through 200.337.</w:t>
      </w:r>
    </w:p>
    <w:p w:rsidR="00665BA1" w:rsidRDefault="00665BA1" w14:paraId="7DBC9CD2" w14:textId="77777777">
      <w:pPr>
        <w:rPr>
          <w:b/>
          <w:bCs/>
          <w:sz w:val="24"/>
        </w:rPr>
      </w:pPr>
    </w:p>
    <w:p w:rsidRPr="00541575" w:rsidR="00665BA1" w:rsidRDefault="00541575" w14:paraId="47D9168E" w14:textId="77777777">
      <w:pPr>
        <w:numPr>
          <w:ilvl w:val="0"/>
          <w:numId w:val="18"/>
        </w:numPr>
        <w:rPr>
          <w:bCs/>
          <w:i/>
          <w:sz w:val="24"/>
        </w:rPr>
      </w:pPr>
      <w:r w:rsidRPr="00541575">
        <w:rPr>
          <w:bCs/>
          <w:i/>
          <w:sz w:val="24"/>
        </w:rPr>
        <w:t>I</w:t>
      </w:r>
      <w:r w:rsidRPr="00541575" w:rsidR="00665BA1">
        <w:rPr>
          <w:bCs/>
          <w:i/>
          <w:sz w:val="24"/>
        </w:rPr>
        <w:t>n connection with a statistical survey, that is not designed to produce valid an</w:t>
      </w:r>
      <w:r w:rsidR="0031385F">
        <w:rPr>
          <w:bCs/>
          <w:i/>
          <w:sz w:val="24"/>
        </w:rPr>
        <w:t xml:space="preserve">d </w:t>
      </w:r>
      <w:r w:rsidRPr="00541575" w:rsidR="00665BA1">
        <w:rPr>
          <w:bCs/>
          <w:i/>
          <w:sz w:val="24"/>
        </w:rPr>
        <w:t>reliable results that can be generalized to the universe of study</w:t>
      </w:r>
      <w:r w:rsidRPr="00541575">
        <w:rPr>
          <w:bCs/>
          <w:i/>
          <w:sz w:val="24"/>
        </w:rPr>
        <w:t>:</w:t>
      </w:r>
    </w:p>
    <w:p w:rsidR="00665BA1" w:rsidRDefault="00665BA1" w14:paraId="6E431F93" w14:textId="77777777">
      <w:pPr>
        <w:ind w:left="-720" w:firstLine="720"/>
        <w:rPr>
          <w:sz w:val="24"/>
        </w:rPr>
      </w:pPr>
      <w:r>
        <w:rPr>
          <w:sz w:val="24"/>
        </w:rPr>
        <w:t xml:space="preserve">There are no statistical surveys </w:t>
      </w:r>
      <w:r w:rsidR="0031385F">
        <w:rPr>
          <w:sz w:val="24"/>
        </w:rPr>
        <w:t>required by food aid</w:t>
      </w:r>
      <w:r>
        <w:rPr>
          <w:sz w:val="24"/>
        </w:rPr>
        <w:t xml:space="preserve"> information collection</w:t>
      </w:r>
      <w:r w:rsidR="00DC6BCA">
        <w:rPr>
          <w:sz w:val="24"/>
        </w:rPr>
        <w:t>s</w:t>
      </w:r>
      <w:r>
        <w:rPr>
          <w:sz w:val="24"/>
        </w:rPr>
        <w:t>.</w:t>
      </w:r>
    </w:p>
    <w:p w:rsidR="0066715B" w:rsidRDefault="0066715B" w14:paraId="201F2A03" w14:textId="77777777">
      <w:pPr>
        <w:ind w:left="-720" w:firstLine="720"/>
        <w:rPr>
          <w:b/>
          <w:bCs/>
          <w:sz w:val="24"/>
        </w:rPr>
      </w:pPr>
    </w:p>
    <w:p w:rsidRPr="0031385F" w:rsidR="00665BA1" w:rsidP="006F15E4" w:rsidRDefault="0031385F" w14:paraId="669B863C" w14:textId="77777777">
      <w:pPr>
        <w:numPr>
          <w:ilvl w:val="0"/>
          <w:numId w:val="18"/>
        </w:numPr>
        <w:rPr>
          <w:bCs/>
          <w:i/>
          <w:sz w:val="24"/>
        </w:rPr>
      </w:pPr>
      <w:r>
        <w:rPr>
          <w:bCs/>
          <w:i/>
          <w:sz w:val="24"/>
        </w:rPr>
        <w:t>R</w:t>
      </w:r>
      <w:r w:rsidRPr="0031385F" w:rsidR="00665BA1">
        <w:rPr>
          <w:bCs/>
          <w:i/>
          <w:sz w:val="24"/>
        </w:rPr>
        <w:t>equiring the use of a statistical data classification that has not been reviewed and    approved by OMB</w:t>
      </w:r>
      <w:r>
        <w:rPr>
          <w:bCs/>
          <w:i/>
          <w:sz w:val="24"/>
        </w:rPr>
        <w:t>:</w:t>
      </w:r>
    </w:p>
    <w:p w:rsidR="0031385F" w:rsidP="0031385F" w:rsidRDefault="0031385F" w14:paraId="7779A122" w14:textId="77777777">
      <w:pPr>
        <w:ind w:left="-720" w:firstLine="720"/>
        <w:rPr>
          <w:b/>
          <w:bCs/>
          <w:sz w:val="24"/>
        </w:rPr>
      </w:pPr>
      <w:r>
        <w:rPr>
          <w:sz w:val="24"/>
        </w:rPr>
        <w:t>There are no statistical surveys required by food aid information collection</w:t>
      </w:r>
      <w:r w:rsidR="00DC6BCA">
        <w:rPr>
          <w:sz w:val="24"/>
        </w:rPr>
        <w:t>s</w:t>
      </w:r>
      <w:r>
        <w:rPr>
          <w:sz w:val="24"/>
        </w:rPr>
        <w:t>.</w:t>
      </w:r>
    </w:p>
    <w:p w:rsidR="00665BA1" w:rsidRDefault="00665BA1" w14:paraId="1027806D" w14:textId="77777777">
      <w:pPr>
        <w:rPr>
          <w:b/>
          <w:bCs/>
          <w:sz w:val="24"/>
        </w:rPr>
      </w:pPr>
    </w:p>
    <w:p w:rsidRPr="0031385F" w:rsidR="00665BA1" w:rsidP="006F15E4" w:rsidRDefault="0031385F" w14:paraId="56769ECD" w14:textId="77777777">
      <w:pPr>
        <w:numPr>
          <w:ilvl w:val="0"/>
          <w:numId w:val="18"/>
        </w:numPr>
        <w:rPr>
          <w:bCs/>
          <w:i/>
          <w:sz w:val="24"/>
        </w:rPr>
      </w:pPr>
      <w:r w:rsidRPr="0031385F">
        <w:rPr>
          <w:bCs/>
          <w:i/>
          <w:sz w:val="24"/>
        </w:rPr>
        <w:t>Including</w:t>
      </w:r>
      <w:r w:rsidRPr="0031385F" w:rsidR="00665BA1">
        <w:rPr>
          <w:bCs/>
          <w:i/>
          <w:sz w:val="24"/>
        </w:rPr>
        <w:t xml:space="preserve"> a pledge of confidentiality that is not supported by authorit</w:t>
      </w:r>
      <w:r>
        <w:rPr>
          <w:bCs/>
          <w:i/>
          <w:sz w:val="24"/>
        </w:rPr>
        <w:t>y</w:t>
      </w:r>
      <w:r w:rsidRPr="0031385F" w:rsidR="00665BA1">
        <w:rPr>
          <w:bCs/>
          <w:i/>
          <w:sz w:val="24"/>
        </w:rPr>
        <w:t xml:space="preserve"> established in statute or regulation, that is not supported by disclosure and dat</w:t>
      </w:r>
      <w:r>
        <w:rPr>
          <w:bCs/>
          <w:i/>
          <w:sz w:val="24"/>
        </w:rPr>
        <w:t xml:space="preserve">a </w:t>
      </w:r>
      <w:r w:rsidRPr="0031385F" w:rsidR="00665BA1">
        <w:rPr>
          <w:bCs/>
          <w:i/>
          <w:sz w:val="24"/>
        </w:rPr>
        <w:t>security policies that are consistent with the pledge, or which unnecessaril</w:t>
      </w:r>
      <w:r>
        <w:rPr>
          <w:bCs/>
          <w:i/>
          <w:sz w:val="24"/>
        </w:rPr>
        <w:t xml:space="preserve">y </w:t>
      </w:r>
      <w:r w:rsidRPr="0031385F" w:rsidR="00665BA1">
        <w:rPr>
          <w:bCs/>
          <w:i/>
          <w:sz w:val="24"/>
        </w:rPr>
        <w:t xml:space="preserve">impedes sharing of data with other </w:t>
      </w:r>
      <w:r w:rsidRPr="0031385F" w:rsidR="00665BA1">
        <w:rPr>
          <w:bCs/>
          <w:i/>
          <w:sz w:val="24"/>
        </w:rPr>
        <w:lastRenderedPageBreak/>
        <w:t>agencies for compatible confidential use</w:t>
      </w:r>
      <w:r>
        <w:rPr>
          <w:bCs/>
          <w:i/>
          <w:sz w:val="24"/>
        </w:rPr>
        <w:t>:</w:t>
      </w:r>
    </w:p>
    <w:p w:rsidR="00665BA1" w:rsidRDefault="00665BA1" w14:paraId="1FB70A12" w14:textId="77777777">
      <w:pPr>
        <w:rPr>
          <w:b/>
          <w:bCs/>
          <w:sz w:val="24"/>
        </w:rPr>
      </w:pPr>
      <w:r>
        <w:rPr>
          <w:sz w:val="24"/>
        </w:rPr>
        <w:t xml:space="preserve">There is no assurance of confidentiality provided to respondents in </w:t>
      </w:r>
      <w:r w:rsidR="0031385F">
        <w:rPr>
          <w:sz w:val="24"/>
        </w:rPr>
        <w:t>food aid</w:t>
      </w:r>
      <w:r>
        <w:rPr>
          <w:sz w:val="24"/>
        </w:rPr>
        <w:t xml:space="preserve"> information collection</w:t>
      </w:r>
      <w:r w:rsidR="00DC6BCA">
        <w:rPr>
          <w:sz w:val="24"/>
        </w:rPr>
        <w:t>s</w:t>
      </w:r>
      <w:r>
        <w:rPr>
          <w:sz w:val="24"/>
        </w:rPr>
        <w:t>.</w:t>
      </w:r>
    </w:p>
    <w:p w:rsidR="00665BA1" w:rsidRDefault="00665BA1" w14:paraId="4C0A2815" w14:textId="77777777">
      <w:pPr>
        <w:ind w:left="-720"/>
        <w:rPr>
          <w:b/>
          <w:bCs/>
          <w:sz w:val="24"/>
        </w:rPr>
      </w:pPr>
    </w:p>
    <w:p w:rsidRPr="00FA6CE7" w:rsidR="00665BA1" w:rsidP="006F15E4" w:rsidRDefault="00FA6CE7" w14:paraId="3CB09BC6" w14:textId="77777777">
      <w:pPr>
        <w:numPr>
          <w:ilvl w:val="0"/>
          <w:numId w:val="18"/>
        </w:numPr>
        <w:rPr>
          <w:bCs/>
          <w:i/>
          <w:sz w:val="24"/>
        </w:rPr>
      </w:pPr>
      <w:r w:rsidRPr="00FA6CE7">
        <w:rPr>
          <w:bCs/>
          <w:i/>
          <w:sz w:val="24"/>
        </w:rPr>
        <w:t>R</w:t>
      </w:r>
      <w:r w:rsidRPr="00FA6CE7" w:rsidR="00665BA1">
        <w:rPr>
          <w:bCs/>
          <w:i/>
          <w:sz w:val="24"/>
        </w:rPr>
        <w:t>equiring respondents to submit proprietary trade secret, or other confidential</w:t>
      </w:r>
      <w:r w:rsidRPr="00FA6CE7">
        <w:rPr>
          <w:bCs/>
          <w:i/>
          <w:sz w:val="24"/>
        </w:rPr>
        <w:t xml:space="preserve"> </w:t>
      </w:r>
      <w:r w:rsidRPr="00FA6CE7" w:rsidR="00665BA1">
        <w:rPr>
          <w:bCs/>
          <w:i/>
          <w:sz w:val="24"/>
        </w:rPr>
        <w:t>information unless the agency can demonstrate that it has instituted procedures to</w:t>
      </w:r>
      <w:r w:rsidRPr="00FA6CE7">
        <w:rPr>
          <w:bCs/>
          <w:i/>
          <w:sz w:val="24"/>
        </w:rPr>
        <w:t xml:space="preserve"> </w:t>
      </w:r>
      <w:r w:rsidRPr="00FA6CE7" w:rsidR="00665BA1">
        <w:rPr>
          <w:bCs/>
          <w:i/>
          <w:sz w:val="24"/>
        </w:rPr>
        <w:t>protect the information</w:t>
      </w:r>
      <w:r w:rsidR="00995A52">
        <w:rPr>
          <w:bCs/>
          <w:i/>
          <w:sz w:val="24"/>
        </w:rPr>
        <w:t>’</w:t>
      </w:r>
      <w:r w:rsidRPr="00FA6CE7" w:rsidR="00665BA1">
        <w:rPr>
          <w:bCs/>
          <w:i/>
          <w:sz w:val="24"/>
        </w:rPr>
        <w:t>s confidentiality to the extent permitted by law</w:t>
      </w:r>
      <w:r w:rsidRPr="00FA6CE7">
        <w:rPr>
          <w:bCs/>
          <w:i/>
          <w:sz w:val="24"/>
        </w:rPr>
        <w:t>:</w:t>
      </w:r>
    </w:p>
    <w:p w:rsidR="00665BA1" w:rsidRDefault="00665BA1" w14:paraId="5E54D537" w14:textId="77777777">
      <w:pPr>
        <w:ind w:left="-720" w:firstLine="720"/>
        <w:rPr>
          <w:b/>
          <w:bCs/>
          <w:sz w:val="24"/>
        </w:rPr>
      </w:pPr>
      <w:r>
        <w:rPr>
          <w:sz w:val="24"/>
        </w:rPr>
        <w:t xml:space="preserve">No confidential information is required by </w:t>
      </w:r>
      <w:r w:rsidR="00FA6CE7">
        <w:rPr>
          <w:sz w:val="24"/>
        </w:rPr>
        <w:t xml:space="preserve">food aid </w:t>
      </w:r>
      <w:r>
        <w:rPr>
          <w:sz w:val="24"/>
        </w:rPr>
        <w:t>information collection</w:t>
      </w:r>
      <w:r w:rsidR="00FA6CE7">
        <w:rPr>
          <w:sz w:val="24"/>
        </w:rPr>
        <w:t>s</w:t>
      </w:r>
      <w:r>
        <w:rPr>
          <w:sz w:val="24"/>
        </w:rPr>
        <w:t>.</w:t>
      </w:r>
    </w:p>
    <w:p w:rsidR="00665BA1" w:rsidRDefault="00665BA1" w14:paraId="77849A76" w14:textId="77777777">
      <w:pPr>
        <w:ind w:left="-720"/>
        <w:rPr>
          <w:b/>
          <w:bCs/>
          <w:sz w:val="24"/>
        </w:rPr>
      </w:pPr>
    </w:p>
    <w:p w:rsidR="00665BA1" w:rsidRDefault="00665BA1" w14:paraId="352687E5" w14:textId="77777777">
      <w:pPr>
        <w:ind w:left="-720"/>
        <w:rPr>
          <w:b/>
          <w:bCs/>
          <w:sz w:val="24"/>
        </w:rPr>
      </w:pPr>
    </w:p>
    <w:p w:rsidR="00BB3B51" w:rsidRDefault="00BB3B51" w14:paraId="22382CBE" w14:textId="77777777">
      <w:pPr>
        <w:ind w:left="-720"/>
        <w:rPr>
          <w:b/>
          <w:bCs/>
          <w:sz w:val="24"/>
        </w:rPr>
        <w:sectPr w:rsidR="00BB3B51">
          <w:endnotePr>
            <w:numFmt w:val="decimal"/>
          </w:endnotePr>
          <w:type w:val="continuous"/>
          <w:pgSz w:w="12240" w:h="15840"/>
          <w:pgMar w:top="1440" w:right="1440" w:bottom="1440" w:left="2160" w:header="1440" w:footer="1440" w:gutter="0"/>
          <w:cols w:space="720"/>
          <w:noEndnote/>
        </w:sectPr>
      </w:pPr>
    </w:p>
    <w:p w:rsidR="00665BA1" w:rsidRDefault="00665BA1" w14:paraId="6019329D" w14:textId="77777777">
      <w:pPr>
        <w:rPr>
          <w:b/>
          <w:bCs/>
          <w:sz w:val="24"/>
        </w:rPr>
      </w:pPr>
      <w:r w:rsidRPr="00023628">
        <w:rPr>
          <w:b/>
          <w:bCs/>
          <w:sz w:val="24"/>
        </w:rPr>
        <w:t>8.</w:t>
      </w:r>
      <w:r w:rsidR="00BB3B51">
        <w:rPr>
          <w:b/>
          <w:bCs/>
          <w:sz w:val="24"/>
        </w:rPr>
        <w:t xml:space="preserve"> (A)</w:t>
      </w:r>
      <w:r w:rsidRPr="00023628">
        <w:rPr>
          <w:b/>
          <w:bCs/>
          <w:sz w:val="24"/>
        </w:rPr>
        <w:t xml:space="preserve">  </w:t>
      </w:r>
      <w:r w:rsidRPr="00023628" w:rsidR="00023628">
        <w:rPr>
          <w:b/>
          <w:bCs/>
          <w:sz w:val="24"/>
        </w:rPr>
        <w:t>If applic</w:t>
      </w:r>
      <w:r w:rsidR="00023628">
        <w:rPr>
          <w:b/>
          <w:bCs/>
          <w:sz w:val="24"/>
        </w:rPr>
        <w:t>able, p</w:t>
      </w:r>
      <w:r w:rsidRPr="00023628">
        <w:rPr>
          <w:b/>
          <w:bCs/>
          <w:sz w:val="24"/>
        </w:rPr>
        <w:t>rovide a copy and identify the date and page number of publication in the Federal Register of the agency’s notice, required by 5 C.F.R. 1320.8(d), soliciting comments on the information collection prior to submission to OMB.  Summarize public comments received</w:t>
      </w:r>
      <w:r w:rsidR="00023628">
        <w:rPr>
          <w:b/>
          <w:bCs/>
          <w:sz w:val="24"/>
        </w:rPr>
        <w:t xml:space="preserve"> in response to that notice and describe actions taken by the agency in response to these comments.  Specifically address comments received on cost and hour burden</w:t>
      </w:r>
      <w:r w:rsidRPr="00023628">
        <w:rPr>
          <w:b/>
          <w:bCs/>
          <w:sz w:val="24"/>
        </w:rPr>
        <w:t>.</w:t>
      </w:r>
    </w:p>
    <w:p w:rsidR="00023628" w:rsidRDefault="00023628" w14:paraId="41B796B7" w14:textId="77777777">
      <w:pPr>
        <w:rPr>
          <w:b/>
          <w:bCs/>
          <w:sz w:val="24"/>
        </w:rPr>
      </w:pPr>
    </w:p>
    <w:p w:rsidRPr="003B6268" w:rsidR="003B6268" w:rsidRDefault="003B6268" w14:paraId="3B1DB09D" w14:textId="672D8806">
      <w:pPr>
        <w:rPr>
          <w:bCs/>
          <w:sz w:val="24"/>
        </w:rPr>
      </w:pPr>
      <w:r>
        <w:rPr>
          <w:bCs/>
          <w:sz w:val="24"/>
        </w:rPr>
        <w:t xml:space="preserve">A Federal Register Notice was published on </w:t>
      </w:r>
      <w:r w:rsidR="00B45D1E">
        <w:rPr>
          <w:bCs/>
          <w:sz w:val="24"/>
        </w:rPr>
        <w:t>November 24 (85 FR 74974</w:t>
      </w:r>
      <w:r>
        <w:rPr>
          <w:bCs/>
          <w:sz w:val="24"/>
        </w:rPr>
        <w:t>)</w:t>
      </w:r>
      <w:r w:rsidR="00B45D1E">
        <w:rPr>
          <w:bCs/>
          <w:sz w:val="24"/>
        </w:rPr>
        <w:t>.  A copy of the notice is attached.</w:t>
      </w:r>
    </w:p>
    <w:p w:rsidR="003B6268" w:rsidRDefault="003B6268" w14:paraId="7D0D5178" w14:textId="77777777">
      <w:pPr>
        <w:rPr>
          <w:b/>
          <w:bCs/>
          <w:sz w:val="24"/>
        </w:rPr>
      </w:pPr>
    </w:p>
    <w:p w:rsidR="003B6268" w:rsidRDefault="00940161" w14:paraId="02FB7204" w14:textId="4E860EFC">
      <w:pPr>
        <w:rPr>
          <w:b/>
          <w:bCs/>
          <w:sz w:val="24"/>
        </w:rPr>
      </w:pPr>
      <w:r>
        <w:rPr>
          <w:bCs/>
          <w:sz w:val="24"/>
        </w:rPr>
        <w:t xml:space="preserve">FAS received </w:t>
      </w:r>
      <w:r w:rsidR="00B45D1E">
        <w:rPr>
          <w:bCs/>
          <w:sz w:val="24"/>
        </w:rPr>
        <w:t>one comment, which is attached.  The comment related to the need for the program and did not provide specific information about burden hours.  FAS did not make any adjustments in its estimates after reviewing the comment.</w:t>
      </w:r>
    </w:p>
    <w:p w:rsidR="00C860C8" w:rsidRDefault="00C860C8" w14:paraId="0351BC07" w14:textId="77777777">
      <w:pPr>
        <w:rPr>
          <w:b/>
          <w:bCs/>
          <w:sz w:val="24"/>
        </w:rPr>
      </w:pPr>
    </w:p>
    <w:p w:rsidR="00023628" w:rsidRDefault="00BB3B51" w14:paraId="71A71157" w14:textId="77777777">
      <w:pPr>
        <w:rPr>
          <w:b/>
          <w:bCs/>
          <w:sz w:val="24"/>
        </w:rPr>
      </w:pPr>
      <w:r>
        <w:rPr>
          <w:b/>
          <w:bCs/>
          <w:sz w:val="24"/>
        </w:rPr>
        <w:t xml:space="preserve">8. (B)  </w:t>
      </w:r>
      <w:r w:rsidR="00023628">
        <w:rPr>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336DB" w:rsidP="00A861B1" w:rsidRDefault="009336DB" w14:paraId="31511B4E" w14:textId="77777777">
      <w:pPr>
        <w:pStyle w:val="BodyText2"/>
      </w:pPr>
    </w:p>
    <w:p w:rsidR="005E0191" w:rsidP="00A861B1" w:rsidRDefault="00A861B1" w14:paraId="0F91567B" w14:textId="77777777">
      <w:pPr>
        <w:pStyle w:val="BodyText2"/>
      </w:pPr>
      <w:r>
        <w:t>FAS contacted s</w:t>
      </w:r>
      <w:r w:rsidR="00665BA1">
        <w:t xml:space="preserve">everal private voluntary organizations and </w:t>
      </w:r>
      <w:r w:rsidR="00D16FEF">
        <w:t>freight forwarder</w:t>
      </w:r>
      <w:r w:rsidR="00665BA1">
        <w:t xml:space="preserve">s </w:t>
      </w:r>
      <w:r>
        <w:t xml:space="preserve">to obtain their </w:t>
      </w:r>
      <w:r w:rsidR="005E0191">
        <w:t>estimates of the burden hours associated with preparing food aid information collections and maintaining records of those documents</w:t>
      </w:r>
      <w:r>
        <w:t>.</w:t>
      </w:r>
      <w:r w:rsidR="00665BA1">
        <w:t xml:space="preserve"> </w:t>
      </w:r>
    </w:p>
    <w:p w:rsidR="00A37D95" w:rsidP="00A861B1" w:rsidRDefault="00A37D95" w14:paraId="55AF69AD" w14:textId="77777777">
      <w:pPr>
        <w:pStyle w:val="BodyText2"/>
      </w:pPr>
    </w:p>
    <w:p w:rsidR="00B45D1E" w:rsidP="00A861B1" w:rsidRDefault="00A861B1" w14:paraId="68CCEEA5" w14:textId="49260F7E">
      <w:pPr>
        <w:pStyle w:val="BodyText2"/>
      </w:pPr>
      <w:r>
        <w:t>The following private voluntary organizations were contacted:</w:t>
      </w:r>
    </w:p>
    <w:p w:rsidR="00B45D1E" w:rsidP="00A861B1" w:rsidRDefault="00B45D1E" w14:paraId="542D2C37" w14:textId="77777777">
      <w:pPr>
        <w:pStyle w:val="BodyText2"/>
      </w:pPr>
    </w:p>
    <w:tbl>
      <w:tblPr>
        <w:tblW w:w="2596" w:type="pct"/>
        <w:tblCellMar>
          <w:left w:w="0" w:type="dxa"/>
          <w:right w:w="0" w:type="dxa"/>
        </w:tblCellMar>
        <w:tblLook w:val="04A0" w:firstRow="1" w:lastRow="0" w:firstColumn="1" w:lastColumn="0" w:noHBand="0" w:noVBand="1"/>
      </w:tblPr>
      <w:tblGrid>
        <w:gridCol w:w="2644"/>
        <w:gridCol w:w="1688"/>
        <w:gridCol w:w="2839"/>
        <w:gridCol w:w="1492"/>
      </w:tblGrid>
      <w:tr w:rsidR="00B45D1E" w:rsidTr="00B45D1E" w14:paraId="1355BC7C" w14:textId="77777777">
        <w:trPr>
          <w:trHeight w:val="285"/>
        </w:trPr>
        <w:tc>
          <w:tcPr>
            <w:tcW w:w="1536" w:type="pct"/>
            <w:tcBorders>
              <w:top w:val="single" w:color="BFBFBF" w:sz="8" w:space="0"/>
              <w:left w:val="single" w:color="BFBFBF" w:sz="8" w:space="0"/>
              <w:bottom w:val="single" w:color="BFBFBF" w:sz="8" w:space="0"/>
              <w:right w:val="single" w:color="BFBFBF" w:sz="8" w:space="0"/>
            </w:tcBorders>
            <w:noWrap/>
            <w:tcMar>
              <w:top w:w="0" w:type="dxa"/>
              <w:left w:w="108" w:type="dxa"/>
              <w:bottom w:w="0" w:type="dxa"/>
              <w:right w:w="108" w:type="dxa"/>
            </w:tcMar>
            <w:hideMark/>
          </w:tcPr>
          <w:p w:rsidR="00B45D1E" w:rsidRDefault="00B45D1E" w14:paraId="18EC28F4" w14:textId="77777777">
            <w:pPr>
              <w:rPr>
                <w:b/>
                <w:bCs/>
                <w:color w:val="000000"/>
                <w:szCs w:val="22"/>
              </w:rPr>
            </w:pPr>
            <w:r>
              <w:rPr>
                <w:b/>
                <w:bCs/>
                <w:color w:val="000000"/>
              </w:rPr>
              <w:t>Organization</w:t>
            </w:r>
          </w:p>
        </w:tc>
        <w:tc>
          <w:tcPr>
            <w:tcW w:w="834" w:type="pct"/>
            <w:tcBorders>
              <w:top w:val="single" w:color="BFBFBF" w:sz="8" w:space="0"/>
              <w:left w:val="nil"/>
              <w:bottom w:val="single" w:color="BFBFBF" w:sz="8" w:space="0"/>
              <w:right w:val="single" w:color="BFBFBF" w:sz="8" w:space="0"/>
            </w:tcBorders>
            <w:noWrap/>
            <w:tcMar>
              <w:top w:w="0" w:type="dxa"/>
              <w:left w:w="108" w:type="dxa"/>
              <w:bottom w:w="0" w:type="dxa"/>
              <w:right w:w="108" w:type="dxa"/>
            </w:tcMar>
            <w:hideMark/>
          </w:tcPr>
          <w:p w:rsidR="00B45D1E" w:rsidRDefault="00B45D1E" w14:paraId="36EBD988" w14:textId="77777777">
            <w:pPr>
              <w:rPr>
                <w:b/>
                <w:bCs/>
                <w:color w:val="000000"/>
              </w:rPr>
            </w:pPr>
            <w:r>
              <w:rPr>
                <w:b/>
                <w:bCs/>
                <w:color w:val="000000"/>
              </w:rPr>
              <w:t>POC</w:t>
            </w:r>
          </w:p>
        </w:tc>
        <w:tc>
          <w:tcPr>
            <w:tcW w:w="1762" w:type="pct"/>
            <w:tcBorders>
              <w:top w:val="single" w:color="BFBFBF" w:sz="8" w:space="0"/>
              <w:left w:val="nil"/>
              <w:bottom w:val="single" w:color="BFBFBF" w:sz="8" w:space="0"/>
              <w:right w:val="single" w:color="BFBFBF" w:sz="8" w:space="0"/>
            </w:tcBorders>
            <w:noWrap/>
            <w:tcMar>
              <w:top w:w="0" w:type="dxa"/>
              <w:left w:w="108" w:type="dxa"/>
              <w:bottom w:w="0" w:type="dxa"/>
              <w:right w:w="108" w:type="dxa"/>
            </w:tcMar>
            <w:hideMark/>
          </w:tcPr>
          <w:p w:rsidR="00B45D1E" w:rsidRDefault="00B45D1E" w14:paraId="1104F56D" w14:textId="77777777">
            <w:pPr>
              <w:rPr>
                <w:b/>
                <w:bCs/>
                <w:color w:val="000000"/>
              </w:rPr>
            </w:pPr>
            <w:r>
              <w:rPr>
                <w:b/>
                <w:bCs/>
                <w:color w:val="000000"/>
              </w:rPr>
              <w:t>E-Mail Address</w:t>
            </w:r>
          </w:p>
        </w:tc>
        <w:tc>
          <w:tcPr>
            <w:tcW w:w="868" w:type="pct"/>
            <w:tcBorders>
              <w:top w:val="single" w:color="BFBFBF" w:sz="8" w:space="0"/>
              <w:left w:val="nil"/>
              <w:bottom w:val="single" w:color="BFBFBF" w:sz="8" w:space="0"/>
              <w:right w:val="single" w:color="BFBFBF" w:sz="8" w:space="0"/>
            </w:tcBorders>
            <w:noWrap/>
            <w:tcMar>
              <w:top w:w="0" w:type="dxa"/>
              <w:left w:w="108" w:type="dxa"/>
              <w:bottom w:w="0" w:type="dxa"/>
              <w:right w:w="108" w:type="dxa"/>
            </w:tcMar>
            <w:hideMark/>
          </w:tcPr>
          <w:p w:rsidR="00B45D1E" w:rsidRDefault="00B45D1E" w14:paraId="064800DC" w14:textId="77777777">
            <w:pPr>
              <w:rPr>
                <w:b/>
                <w:bCs/>
                <w:color w:val="000000"/>
              </w:rPr>
            </w:pPr>
            <w:r>
              <w:rPr>
                <w:b/>
                <w:bCs/>
                <w:color w:val="000000"/>
              </w:rPr>
              <w:t>Phone</w:t>
            </w:r>
          </w:p>
        </w:tc>
      </w:tr>
      <w:tr w:rsidR="00B45D1E" w:rsidTr="00B45D1E" w14:paraId="0DF2211B" w14:textId="77777777">
        <w:trPr>
          <w:trHeight w:val="285"/>
        </w:trPr>
        <w:tc>
          <w:tcPr>
            <w:tcW w:w="1536" w:type="pct"/>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00B45D1E" w:rsidRDefault="00B45D1E" w14:paraId="5B2C9C3D" w14:textId="77777777">
            <w:pPr>
              <w:rPr>
                <w:b/>
                <w:bCs/>
                <w:color w:val="000000"/>
              </w:rPr>
            </w:pPr>
          </w:p>
        </w:tc>
        <w:tc>
          <w:tcPr>
            <w:tcW w:w="834" w:type="pct"/>
            <w:tcBorders>
              <w:top w:val="nil"/>
              <w:left w:val="nil"/>
              <w:bottom w:val="single" w:color="BFBFBF" w:sz="8" w:space="0"/>
              <w:right w:val="single" w:color="BFBFBF" w:sz="8" w:space="0"/>
            </w:tcBorders>
            <w:noWrap/>
            <w:tcMar>
              <w:top w:w="0" w:type="dxa"/>
              <w:left w:w="108" w:type="dxa"/>
              <w:bottom w:w="0" w:type="dxa"/>
              <w:right w:w="108" w:type="dxa"/>
            </w:tcMar>
            <w:hideMark/>
          </w:tcPr>
          <w:p w:rsidR="00B45D1E" w:rsidRDefault="00B45D1E" w14:paraId="5972BD08" w14:textId="77777777">
            <w:pPr>
              <w:rPr>
                <w:szCs w:val="20"/>
              </w:rPr>
            </w:pPr>
          </w:p>
        </w:tc>
        <w:tc>
          <w:tcPr>
            <w:tcW w:w="1762" w:type="pct"/>
            <w:tcBorders>
              <w:top w:val="nil"/>
              <w:left w:val="nil"/>
              <w:bottom w:val="single" w:color="BFBFBF" w:sz="8" w:space="0"/>
              <w:right w:val="single" w:color="BFBFBF" w:sz="8" w:space="0"/>
            </w:tcBorders>
            <w:noWrap/>
            <w:tcMar>
              <w:top w:w="0" w:type="dxa"/>
              <w:left w:w="108" w:type="dxa"/>
              <w:bottom w:w="0" w:type="dxa"/>
              <w:right w:w="108" w:type="dxa"/>
            </w:tcMar>
            <w:hideMark/>
          </w:tcPr>
          <w:p w:rsidR="00B45D1E" w:rsidRDefault="00B45D1E" w14:paraId="21CAB2D3" w14:textId="77777777">
            <w:pPr>
              <w:rPr>
                <w:szCs w:val="20"/>
              </w:rPr>
            </w:pPr>
          </w:p>
        </w:tc>
        <w:tc>
          <w:tcPr>
            <w:tcW w:w="868" w:type="pct"/>
            <w:tcBorders>
              <w:top w:val="nil"/>
              <w:left w:val="nil"/>
              <w:bottom w:val="single" w:color="BFBFBF" w:sz="8" w:space="0"/>
              <w:right w:val="single" w:color="BFBFBF" w:sz="8" w:space="0"/>
            </w:tcBorders>
            <w:noWrap/>
            <w:tcMar>
              <w:top w:w="0" w:type="dxa"/>
              <w:left w:w="108" w:type="dxa"/>
              <w:bottom w:w="0" w:type="dxa"/>
              <w:right w:w="108" w:type="dxa"/>
            </w:tcMar>
            <w:hideMark/>
          </w:tcPr>
          <w:p w:rsidR="00B45D1E" w:rsidRDefault="00B45D1E" w14:paraId="783B1719" w14:textId="77777777">
            <w:pPr>
              <w:rPr>
                <w:szCs w:val="20"/>
              </w:rPr>
            </w:pPr>
          </w:p>
        </w:tc>
      </w:tr>
      <w:tr w:rsidR="00B45D1E" w:rsidTr="00B45D1E" w14:paraId="42055DD0" w14:textId="77777777">
        <w:trPr>
          <w:trHeight w:val="285"/>
        </w:trPr>
        <w:tc>
          <w:tcPr>
            <w:tcW w:w="1536" w:type="pct"/>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Pr="00B45D1E" w:rsidR="00B45D1E" w:rsidRDefault="00B45D1E" w14:paraId="1CECC893" w14:textId="77777777">
            <w:pPr>
              <w:rPr>
                <w:rFonts w:ascii="Calibri" w:hAnsi="Calibri" w:eastAsia="Calibri" w:cs="Calibri"/>
                <w:color w:val="000000"/>
                <w:sz w:val="22"/>
                <w:szCs w:val="22"/>
              </w:rPr>
            </w:pPr>
            <w:r>
              <w:rPr>
                <w:color w:val="000000"/>
              </w:rPr>
              <w:t>BKA LOGISTICS LLC</w:t>
            </w:r>
          </w:p>
        </w:tc>
        <w:tc>
          <w:tcPr>
            <w:tcW w:w="834" w:type="pct"/>
            <w:tcBorders>
              <w:top w:val="nil"/>
              <w:left w:val="nil"/>
              <w:bottom w:val="single" w:color="BFBFBF" w:sz="8" w:space="0"/>
              <w:right w:val="single" w:color="BFBFBF" w:sz="8" w:space="0"/>
            </w:tcBorders>
            <w:noWrap/>
            <w:tcMar>
              <w:top w:w="0" w:type="dxa"/>
              <w:left w:w="108" w:type="dxa"/>
              <w:bottom w:w="0" w:type="dxa"/>
              <w:right w:w="108" w:type="dxa"/>
            </w:tcMar>
            <w:hideMark/>
          </w:tcPr>
          <w:p w:rsidR="00B45D1E" w:rsidRDefault="00B45D1E" w14:paraId="42D778FB" w14:textId="77777777">
            <w:pPr>
              <w:rPr>
                <w:color w:val="000000"/>
              </w:rPr>
            </w:pPr>
            <w:r>
              <w:rPr>
                <w:color w:val="000000"/>
              </w:rPr>
              <w:t>Mark Millard</w:t>
            </w:r>
          </w:p>
        </w:tc>
        <w:tc>
          <w:tcPr>
            <w:tcW w:w="1762" w:type="pct"/>
            <w:tcBorders>
              <w:top w:val="nil"/>
              <w:left w:val="nil"/>
              <w:bottom w:val="single" w:color="BFBFBF" w:sz="8" w:space="0"/>
              <w:right w:val="single" w:color="BFBFBF" w:sz="8" w:space="0"/>
            </w:tcBorders>
            <w:noWrap/>
            <w:tcMar>
              <w:top w:w="0" w:type="dxa"/>
              <w:left w:w="108" w:type="dxa"/>
              <w:bottom w:w="0" w:type="dxa"/>
              <w:right w:w="108" w:type="dxa"/>
            </w:tcMar>
            <w:hideMark/>
          </w:tcPr>
          <w:p w:rsidR="00B45D1E" w:rsidRDefault="006F23DF" w14:paraId="5F491D42" w14:textId="77777777">
            <w:pPr>
              <w:rPr>
                <w:color w:val="000000"/>
              </w:rPr>
            </w:pPr>
            <w:hyperlink w:history="1" r:id="rId10">
              <w:r w:rsidR="00B45D1E">
                <w:rPr>
                  <w:rStyle w:val="Hyperlink"/>
                </w:rPr>
                <w:t>mark.millard@bkalogistics.net</w:t>
              </w:r>
            </w:hyperlink>
          </w:p>
        </w:tc>
        <w:tc>
          <w:tcPr>
            <w:tcW w:w="868" w:type="pct"/>
            <w:tcBorders>
              <w:top w:val="nil"/>
              <w:left w:val="nil"/>
              <w:bottom w:val="single" w:color="BFBFBF" w:sz="8" w:space="0"/>
              <w:right w:val="single" w:color="BFBFBF" w:sz="8" w:space="0"/>
            </w:tcBorders>
            <w:noWrap/>
            <w:tcMar>
              <w:top w:w="0" w:type="dxa"/>
              <w:left w:w="108" w:type="dxa"/>
              <w:bottom w:w="0" w:type="dxa"/>
              <w:right w:w="108" w:type="dxa"/>
            </w:tcMar>
            <w:hideMark/>
          </w:tcPr>
          <w:p w:rsidR="00B45D1E" w:rsidRDefault="00B45D1E" w14:paraId="12F45248" w14:textId="77777777">
            <w:pPr>
              <w:rPr>
                <w:color w:val="000000"/>
              </w:rPr>
            </w:pPr>
            <w:r>
              <w:rPr>
                <w:color w:val="000000"/>
              </w:rPr>
              <w:t>202-331-7295</w:t>
            </w:r>
          </w:p>
        </w:tc>
      </w:tr>
      <w:tr w:rsidR="00B45D1E" w:rsidTr="00B45D1E" w14:paraId="65339A49" w14:textId="77777777">
        <w:trPr>
          <w:trHeight w:val="285"/>
        </w:trPr>
        <w:tc>
          <w:tcPr>
            <w:tcW w:w="1536" w:type="pct"/>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00B45D1E" w:rsidRDefault="00B45D1E" w14:paraId="62ECBD3E" w14:textId="77777777">
            <w:pPr>
              <w:rPr>
                <w:color w:val="000000"/>
              </w:rPr>
            </w:pPr>
            <w:r>
              <w:rPr>
                <w:color w:val="000000"/>
              </w:rPr>
              <w:t>Fettig &amp; Donalty, Inc.</w:t>
            </w:r>
          </w:p>
        </w:tc>
        <w:tc>
          <w:tcPr>
            <w:tcW w:w="834" w:type="pct"/>
            <w:tcBorders>
              <w:top w:val="nil"/>
              <w:left w:val="nil"/>
              <w:bottom w:val="single" w:color="BFBFBF" w:sz="8" w:space="0"/>
              <w:right w:val="single" w:color="BFBFBF" w:sz="8" w:space="0"/>
            </w:tcBorders>
            <w:noWrap/>
            <w:tcMar>
              <w:top w:w="0" w:type="dxa"/>
              <w:left w:w="108" w:type="dxa"/>
              <w:bottom w:w="0" w:type="dxa"/>
              <w:right w:w="108" w:type="dxa"/>
            </w:tcMar>
            <w:hideMark/>
          </w:tcPr>
          <w:p w:rsidR="00B45D1E" w:rsidRDefault="00B45D1E" w14:paraId="2F24D4B5" w14:textId="77777777">
            <w:pPr>
              <w:rPr>
                <w:color w:val="000000"/>
              </w:rPr>
            </w:pPr>
            <w:r>
              <w:rPr>
                <w:color w:val="000000"/>
              </w:rPr>
              <w:t>Mike Lagoon</w:t>
            </w:r>
          </w:p>
        </w:tc>
        <w:tc>
          <w:tcPr>
            <w:tcW w:w="1762" w:type="pct"/>
            <w:tcBorders>
              <w:top w:val="nil"/>
              <w:left w:val="nil"/>
              <w:bottom w:val="single" w:color="BFBFBF" w:sz="8" w:space="0"/>
              <w:right w:val="single" w:color="BFBFBF" w:sz="8" w:space="0"/>
            </w:tcBorders>
            <w:noWrap/>
            <w:tcMar>
              <w:top w:w="0" w:type="dxa"/>
              <w:left w:w="108" w:type="dxa"/>
              <w:bottom w:w="0" w:type="dxa"/>
              <w:right w:w="108" w:type="dxa"/>
            </w:tcMar>
            <w:hideMark/>
          </w:tcPr>
          <w:p w:rsidR="00B45D1E" w:rsidRDefault="006F23DF" w14:paraId="3300EDC9" w14:textId="77777777">
            <w:pPr>
              <w:rPr>
                <w:color w:val="000000"/>
              </w:rPr>
            </w:pPr>
            <w:hyperlink w:history="1" r:id="rId11">
              <w:r w:rsidR="00B45D1E">
                <w:rPr>
                  <w:rStyle w:val="Hyperlink"/>
                </w:rPr>
                <w:t>MLagoon@fettigdonalty.com</w:t>
              </w:r>
            </w:hyperlink>
          </w:p>
        </w:tc>
        <w:tc>
          <w:tcPr>
            <w:tcW w:w="868" w:type="pct"/>
            <w:tcBorders>
              <w:top w:val="nil"/>
              <w:left w:val="nil"/>
              <w:bottom w:val="single" w:color="BFBFBF" w:sz="8" w:space="0"/>
              <w:right w:val="single" w:color="BFBFBF" w:sz="8" w:space="0"/>
            </w:tcBorders>
            <w:noWrap/>
            <w:tcMar>
              <w:top w:w="0" w:type="dxa"/>
              <w:left w:w="108" w:type="dxa"/>
              <w:bottom w:w="0" w:type="dxa"/>
              <w:right w:w="108" w:type="dxa"/>
            </w:tcMar>
            <w:hideMark/>
          </w:tcPr>
          <w:p w:rsidR="00B45D1E" w:rsidRDefault="00B45D1E" w14:paraId="45AEFD2E" w14:textId="77777777">
            <w:pPr>
              <w:rPr>
                <w:color w:val="000000"/>
              </w:rPr>
            </w:pPr>
            <w:r>
              <w:rPr>
                <w:color w:val="000000"/>
              </w:rPr>
              <w:t>202-628-5700</w:t>
            </w:r>
          </w:p>
        </w:tc>
      </w:tr>
      <w:tr w:rsidR="00B45D1E" w:rsidTr="00B45D1E" w14:paraId="1D5E3BF9" w14:textId="77777777">
        <w:trPr>
          <w:trHeight w:val="285"/>
        </w:trPr>
        <w:tc>
          <w:tcPr>
            <w:tcW w:w="1536" w:type="pct"/>
            <w:tcBorders>
              <w:top w:val="nil"/>
              <w:left w:val="single" w:color="BFBFBF" w:sz="8" w:space="0"/>
              <w:bottom w:val="nil"/>
              <w:right w:val="single" w:color="BFBFBF" w:sz="8" w:space="0"/>
            </w:tcBorders>
            <w:noWrap/>
            <w:tcMar>
              <w:top w:w="0" w:type="dxa"/>
              <w:left w:w="108" w:type="dxa"/>
              <w:bottom w:w="0" w:type="dxa"/>
              <w:right w:w="108" w:type="dxa"/>
            </w:tcMar>
            <w:hideMark/>
          </w:tcPr>
          <w:p w:rsidR="00B45D1E" w:rsidRDefault="00B45D1E" w14:paraId="07B2D4CA" w14:textId="77777777">
            <w:pPr>
              <w:rPr>
                <w:color w:val="000000"/>
              </w:rPr>
            </w:pPr>
            <w:r>
              <w:rPr>
                <w:color w:val="000000"/>
              </w:rPr>
              <w:t>FRX, INC.- Lifelink Logistics</w:t>
            </w:r>
          </w:p>
        </w:tc>
        <w:tc>
          <w:tcPr>
            <w:tcW w:w="834" w:type="pct"/>
            <w:tcBorders>
              <w:top w:val="nil"/>
              <w:left w:val="nil"/>
              <w:bottom w:val="nil"/>
              <w:right w:val="single" w:color="BFBFBF" w:sz="8" w:space="0"/>
            </w:tcBorders>
            <w:noWrap/>
            <w:tcMar>
              <w:top w:w="0" w:type="dxa"/>
              <w:left w:w="108" w:type="dxa"/>
              <w:bottom w:w="0" w:type="dxa"/>
              <w:right w:w="108" w:type="dxa"/>
            </w:tcMar>
            <w:hideMark/>
          </w:tcPr>
          <w:p w:rsidR="00B45D1E" w:rsidRDefault="00B45D1E" w14:paraId="7299FCEE" w14:textId="77777777">
            <w:pPr>
              <w:rPr>
                <w:color w:val="000000"/>
              </w:rPr>
            </w:pPr>
            <w:r>
              <w:rPr>
                <w:color w:val="000000"/>
              </w:rPr>
              <w:t>Lisa Spohn</w:t>
            </w:r>
          </w:p>
        </w:tc>
        <w:tc>
          <w:tcPr>
            <w:tcW w:w="1762" w:type="pct"/>
            <w:tcBorders>
              <w:top w:val="nil"/>
              <w:left w:val="nil"/>
              <w:bottom w:val="nil"/>
              <w:right w:val="single" w:color="BFBFBF" w:sz="8" w:space="0"/>
            </w:tcBorders>
            <w:noWrap/>
            <w:tcMar>
              <w:top w:w="0" w:type="dxa"/>
              <w:left w:w="108" w:type="dxa"/>
              <w:bottom w:w="0" w:type="dxa"/>
              <w:right w:w="108" w:type="dxa"/>
            </w:tcMar>
            <w:hideMark/>
          </w:tcPr>
          <w:p w:rsidR="00B45D1E" w:rsidRDefault="006F23DF" w14:paraId="18893578" w14:textId="77777777">
            <w:pPr>
              <w:rPr>
                <w:color w:val="000000"/>
              </w:rPr>
            </w:pPr>
            <w:hyperlink w:history="1" r:id="rId12">
              <w:r w:rsidR="00B45D1E">
                <w:rPr>
                  <w:rStyle w:val="Hyperlink"/>
                </w:rPr>
                <w:t>lspohn@lifelinklogistics.com</w:t>
              </w:r>
            </w:hyperlink>
          </w:p>
        </w:tc>
        <w:tc>
          <w:tcPr>
            <w:tcW w:w="868" w:type="pct"/>
            <w:tcBorders>
              <w:top w:val="nil"/>
              <w:left w:val="nil"/>
              <w:bottom w:val="nil"/>
              <w:right w:val="single" w:color="BFBFBF" w:sz="8" w:space="0"/>
            </w:tcBorders>
            <w:noWrap/>
            <w:tcMar>
              <w:top w:w="0" w:type="dxa"/>
              <w:left w:w="108" w:type="dxa"/>
              <w:bottom w:w="0" w:type="dxa"/>
              <w:right w:w="108" w:type="dxa"/>
            </w:tcMar>
            <w:hideMark/>
          </w:tcPr>
          <w:p w:rsidR="00B45D1E" w:rsidRDefault="00B45D1E" w14:paraId="62D4EB92" w14:textId="77777777">
            <w:pPr>
              <w:rPr>
                <w:color w:val="000000"/>
              </w:rPr>
            </w:pPr>
            <w:r>
              <w:rPr>
                <w:color w:val="000000"/>
              </w:rPr>
              <w:t>440-243-1010</w:t>
            </w:r>
          </w:p>
        </w:tc>
      </w:tr>
      <w:tr w:rsidR="00B45D1E" w:rsidTr="00B45D1E" w14:paraId="0E2A10BD" w14:textId="77777777">
        <w:trPr>
          <w:trHeight w:val="285"/>
        </w:trPr>
        <w:tc>
          <w:tcPr>
            <w:tcW w:w="1536" w:type="pct"/>
            <w:tcBorders>
              <w:top w:val="nil"/>
              <w:left w:val="single" w:color="BFBFBF" w:sz="8" w:space="0"/>
              <w:bottom w:val="nil"/>
              <w:right w:val="single" w:color="BFBFBF" w:sz="8" w:space="0"/>
            </w:tcBorders>
            <w:noWrap/>
            <w:tcMar>
              <w:top w:w="0" w:type="dxa"/>
              <w:left w:w="108" w:type="dxa"/>
              <w:bottom w:w="0" w:type="dxa"/>
              <w:right w:w="108" w:type="dxa"/>
            </w:tcMar>
            <w:hideMark/>
          </w:tcPr>
          <w:p w:rsidR="00B45D1E" w:rsidRDefault="00B45D1E" w14:paraId="432F8391" w14:textId="77777777">
            <w:pPr>
              <w:rPr>
                <w:color w:val="000000"/>
              </w:rPr>
            </w:pPr>
            <w:r>
              <w:rPr>
                <w:color w:val="000000"/>
              </w:rPr>
              <w:t>World Food Program</w:t>
            </w:r>
          </w:p>
        </w:tc>
        <w:tc>
          <w:tcPr>
            <w:tcW w:w="834" w:type="pct"/>
            <w:tcBorders>
              <w:top w:val="nil"/>
              <w:left w:val="nil"/>
              <w:bottom w:val="nil"/>
              <w:right w:val="single" w:color="BFBFBF" w:sz="8" w:space="0"/>
            </w:tcBorders>
            <w:noWrap/>
            <w:tcMar>
              <w:top w:w="0" w:type="dxa"/>
              <w:left w:w="108" w:type="dxa"/>
              <w:bottom w:w="0" w:type="dxa"/>
              <w:right w:w="108" w:type="dxa"/>
            </w:tcMar>
            <w:hideMark/>
          </w:tcPr>
          <w:p w:rsidR="00B45D1E" w:rsidRDefault="00B45D1E" w14:paraId="10D72FCA" w14:textId="77777777">
            <w:pPr>
              <w:rPr>
                <w:color w:val="000000"/>
              </w:rPr>
            </w:pPr>
            <w:r>
              <w:rPr>
                <w:color w:val="000000"/>
              </w:rPr>
              <w:t>Nathaniel Glidden</w:t>
            </w:r>
          </w:p>
        </w:tc>
        <w:tc>
          <w:tcPr>
            <w:tcW w:w="1762" w:type="pct"/>
            <w:tcBorders>
              <w:top w:val="nil"/>
              <w:left w:val="nil"/>
              <w:bottom w:val="nil"/>
              <w:right w:val="single" w:color="BFBFBF" w:sz="8" w:space="0"/>
            </w:tcBorders>
            <w:noWrap/>
            <w:tcMar>
              <w:top w:w="0" w:type="dxa"/>
              <w:left w:w="108" w:type="dxa"/>
              <w:bottom w:w="0" w:type="dxa"/>
              <w:right w:w="108" w:type="dxa"/>
            </w:tcMar>
            <w:hideMark/>
          </w:tcPr>
          <w:p w:rsidR="00B45D1E" w:rsidRDefault="006F23DF" w14:paraId="2A511141" w14:textId="77777777">
            <w:pPr>
              <w:rPr>
                <w:color w:val="000000"/>
              </w:rPr>
            </w:pPr>
            <w:hyperlink w:history="1" r:id="rId13">
              <w:r w:rsidR="00B45D1E">
                <w:rPr>
                  <w:rStyle w:val="Hyperlink"/>
                </w:rPr>
                <w:t>nathaniel.glidden@wfp.org</w:t>
              </w:r>
            </w:hyperlink>
          </w:p>
        </w:tc>
        <w:tc>
          <w:tcPr>
            <w:tcW w:w="868" w:type="pct"/>
            <w:tcBorders>
              <w:top w:val="nil"/>
              <w:left w:val="nil"/>
              <w:bottom w:val="nil"/>
              <w:right w:val="single" w:color="BFBFBF" w:sz="8" w:space="0"/>
            </w:tcBorders>
            <w:noWrap/>
            <w:tcMar>
              <w:top w:w="0" w:type="dxa"/>
              <w:left w:w="108" w:type="dxa"/>
              <w:bottom w:w="0" w:type="dxa"/>
              <w:right w:w="108" w:type="dxa"/>
            </w:tcMar>
            <w:hideMark/>
          </w:tcPr>
          <w:p w:rsidR="00B45D1E" w:rsidRDefault="00B45D1E" w14:paraId="030FBF49" w14:textId="77777777">
            <w:pPr>
              <w:rPr>
                <w:color w:val="000000"/>
              </w:rPr>
            </w:pPr>
            <w:r>
              <w:rPr>
                <w:rFonts w:ascii="Open Sans" w:hAnsi="Open Sans"/>
                <w:sz w:val="16"/>
                <w:szCs w:val="16"/>
              </w:rPr>
              <w:t>+39 066513 2166 </w:t>
            </w:r>
          </w:p>
        </w:tc>
      </w:tr>
      <w:tr w:rsidR="00B45D1E" w:rsidTr="00B45D1E" w14:paraId="6CB8AEF2" w14:textId="77777777">
        <w:trPr>
          <w:trHeight w:val="285"/>
        </w:trPr>
        <w:tc>
          <w:tcPr>
            <w:tcW w:w="1536" w:type="pct"/>
            <w:tcBorders>
              <w:top w:val="nil"/>
              <w:left w:val="single" w:color="BFBFBF" w:sz="8" w:space="0"/>
              <w:bottom w:val="nil"/>
              <w:right w:val="single" w:color="BFBFBF" w:sz="8" w:space="0"/>
            </w:tcBorders>
            <w:noWrap/>
            <w:tcMar>
              <w:top w:w="0" w:type="dxa"/>
              <w:left w:w="108" w:type="dxa"/>
              <w:bottom w:w="0" w:type="dxa"/>
              <w:right w:w="108" w:type="dxa"/>
            </w:tcMar>
            <w:hideMark/>
          </w:tcPr>
          <w:p w:rsidR="00B45D1E" w:rsidRDefault="00B45D1E" w14:paraId="7ED0E57F" w14:textId="77777777">
            <w:pPr>
              <w:rPr>
                <w:color w:val="000000"/>
              </w:rPr>
            </w:pPr>
            <w:r>
              <w:rPr>
                <w:color w:val="000000"/>
              </w:rPr>
              <w:t>Catholic Relief Services</w:t>
            </w:r>
          </w:p>
        </w:tc>
        <w:tc>
          <w:tcPr>
            <w:tcW w:w="834" w:type="pct"/>
            <w:tcBorders>
              <w:top w:val="nil"/>
              <w:left w:val="nil"/>
              <w:bottom w:val="nil"/>
              <w:right w:val="single" w:color="BFBFBF" w:sz="8" w:space="0"/>
            </w:tcBorders>
            <w:noWrap/>
            <w:tcMar>
              <w:top w:w="0" w:type="dxa"/>
              <w:left w:w="108" w:type="dxa"/>
              <w:bottom w:w="0" w:type="dxa"/>
              <w:right w:w="108" w:type="dxa"/>
            </w:tcMar>
            <w:hideMark/>
          </w:tcPr>
          <w:p w:rsidR="00B45D1E" w:rsidRDefault="00B45D1E" w14:paraId="2F012AE1" w14:textId="77777777">
            <w:pPr>
              <w:rPr>
                <w:color w:val="000000"/>
              </w:rPr>
            </w:pPr>
            <w:r>
              <w:rPr>
                <w:color w:val="000000"/>
              </w:rPr>
              <w:t>Timothy Boom</w:t>
            </w:r>
          </w:p>
        </w:tc>
        <w:tc>
          <w:tcPr>
            <w:tcW w:w="1762" w:type="pct"/>
            <w:tcBorders>
              <w:top w:val="nil"/>
              <w:left w:val="nil"/>
              <w:bottom w:val="nil"/>
              <w:right w:val="single" w:color="BFBFBF" w:sz="8" w:space="0"/>
            </w:tcBorders>
            <w:noWrap/>
            <w:tcMar>
              <w:top w:w="0" w:type="dxa"/>
              <w:left w:w="108" w:type="dxa"/>
              <w:bottom w:w="0" w:type="dxa"/>
              <w:right w:w="108" w:type="dxa"/>
            </w:tcMar>
            <w:hideMark/>
          </w:tcPr>
          <w:p w:rsidR="00B45D1E" w:rsidRDefault="006F23DF" w14:paraId="5AD6C963" w14:textId="77777777">
            <w:pPr>
              <w:rPr>
                <w:color w:val="000000"/>
              </w:rPr>
            </w:pPr>
            <w:hyperlink w:history="1" r:id="rId14">
              <w:r w:rsidR="00B45D1E">
                <w:rPr>
                  <w:rStyle w:val="Hyperlink"/>
                </w:rPr>
                <w:t>Timothy.boom@crs.org</w:t>
              </w:r>
            </w:hyperlink>
          </w:p>
        </w:tc>
        <w:tc>
          <w:tcPr>
            <w:tcW w:w="868" w:type="pct"/>
            <w:tcBorders>
              <w:top w:val="nil"/>
              <w:left w:val="nil"/>
              <w:bottom w:val="nil"/>
              <w:right w:val="single" w:color="BFBFBF" w:sz="8" w:space="0"/>
            </w:tcBorders>
            <w:noWrap/>
            <w:tcMar>
              <w:top w:w="0" w:type="dxa"/>
              <w:left w:w="108" w:type="dxa"/>
              <w:bottom w:w="0" w:type="dxa"/>
              <w:right w:w="108" w:type="dxa"/>
            </w:tcMar>
            <w:hideMark/>
          </w:tcPr>
          <w:p w:rsidR="00B45D1E" w:rsidRDefault="00B45D1E" w14:paraId="7CF8B806" w14:textId="77777777">
            <w:pPr>
              <w:rPr>
                <w:rFonts w:ascii="Open Sans" w:hAnsi="Open Sans"/>
                <w:sz w:val="16"/>
                <w:szCs w:val="16"/>
              </w:rPr>
            </w:pPr>
            <w:r>
              <w:rPr>
                <w:color w:val="003087"/>
                <w:sz w:val="18"/>
                <w:szCs w:val="18"/>
              </w:rPr>
              <w:t>443.955.7188</w:t>
            </w:r>
          </w:p>
        </w:tc>
      </w:tr>
      <w:tr w:rsidR="00B45D1E" w:rsidTr="00B45D1E" w14:paraId="40737E94" w14:textId="77777777">
        <w:trPr>
          <w:trHeight w:val="285"/>
        </w:trPr>
        <w:tc>
          <w:tcPr>
            <w:tcW w:w="1536" w:type="pct"/>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00B45D1E" w:rsidRDefault="00B45D1E" w14:paraId="041C61FE" w14:textId="77777777">
            <w:pPr>
              <w:rPr>
                <w:rFonts w:ascii="Calibri" w:hAnsi="Calibri"/>
                <w:color w:val="000000"/>
                <w:sz w:val="22"/>
                <w:szCs w:val="22"/>
              </w:rPr>
            </w:pPr>
            <w:r>
              <w:rPr>
                <w:color w:val="000000"/>
              </w:rPr>
              <w:lastRenderedPageBreak/>
              <w:t>Land o Lakes Venture37</w:t>
            </w:r>
          </w:p>
        </w:tc>
        <w:tc>
          <w:tcPr>
            <w:tcW w:w="834" w:type="pct"/>
            <w:tcBorders>
              <w:top w:val="nil"/>
              <w:left w:val="nil"/>
              <w:bottom w:val="single" w:color="BFBFBF" w:sz="8" w:space="0"/>
              <w:right w:val="single" w:color="BFBFBF" w:sz="8" w:space="0"/>
            </w:tcBorders>
            <w:noWrap/>
            <w:tcMar>
              <w:top w:w="0" w:type="dxa"/>
              <w:left w:w="108" w:type="dxa"/>
              <w:bottom w:w="0" w:type="dxa"/>
              <w:right w:w="108" w:type="dxa"/>
            </w:tcMar>
            <w:hideMark/>
          </w:tcPr>
          <w:p w:rsidR="00B45D1E" w:rsidRDefault="00B45D1E" w14:paraId="4FE80C4A" w14:textId="77777777">
            <w:pPr>
              <w:rPr>
                <w:color w:val="000000"/>
              </w:rPr>
            </w:pPr>
            <w:r>
              <w:rPr>
                <w:color w:val="000000"/>
              </w:rPr>
              <w:t>John Ellenberger</w:t>
            </w:r>
          </w:p>
        </w:tc>
        <w:tc>
          <w:tcPr>
            <w:tcW w:w="1762" w:type="pct"/>
            <w:tcBorders>
              <w:top w:val="nil"/>
              <w:left w:val="nil"/>
              <w:bottom w:val="single" w:color="BFBFBF" w:sz="8" w:space="0"/>
              <w:right w:val="single" w:color="BFBFBF" w:sz="8" w:space="0"/>
            </w:tcBorders>
            <w:noWrap/>
            <w:tcMar>
              <w:top w:w="0" w:type="dxa"/>
              <w:left w:w="108" w:type="dxa"/>
              <w:bottom w:w="0" w:type="dxa"/>
              <w:right w:w="108" w:type="dxa"/>
            </w:tcMar>
            <w:hideMark/>
          </w:tcPr>
          <w:p w:rsidR="00B45D1E" w:rsidRDefault="006F23DF" w14:paraId="142C4382" w14:textId="77777777">
            <w:pPr>
              <w:rPr>
                <w:color w:val="000000"/>
              </w:rPr>
            </w:pPr>
            <w:hyperlink w:history="1" r:id="rId15">
              <w:r w:rsidR="00B45D1E">
                <w:rPr>
                  <w:rStyle w:val="Hyperlink"/>
                </w:rPr>
                <w:t>JMEllenberger@landolakes.com</w:t>
              </w:r>
            </w:hyperlink>
          </w:p>
        </w:tc>
        <w:tc>
          <w:tcPr>
            <w:tcW w:w="868" w:type="pct"/>
            <w:tcBorders>
              <w:top w:val="nil"/>
              <w:left w:val="nil"/>
              <w:bottom w:val="single" w:color="BFBFBF" w:sz="8" w:space="0"/>
              <w:right w:val="single" w:color="BFBFBF" w:sz="8" w:space="0"/>
            </w:tcBorders>
            <w:noWrap/>
            <w:tcMar>
              <w:top w:w="0" w:type="dxa"/>
              <w:left w:w="108" w:type="dxa"/>
              <w:bottom w:w="0" w:type="dxa"/>
              <w:right w:w="108" w:type="dxa"/>
            </w:tcMar>
            <w:hideMark/>
          </w:tcPr>
          <w:p w:rsidR="00B45D1E" w:rsidRDefault="00B45D1E" w14:paraId="012696CA" w14:textId="77777777">
            <w:pPr>
              <w:rPr>
                <w:color w:val="003087"/>
                <w:sz w:val="18"/>
                <w:szCs w:val="18"/>
              </w:rPr>
            </w:pPr>
            <w:r>
              <w:rPr>
                <w:rFonts w:ascii="AVTKYG+ArialMT" w:hAnsi="AVTKYG+ArialMT"/>
                <w:color w:val="000000"/>
                <w:szCs w:val="20"/>
              </w:rPr>
              <w:t>651.375.2127</w:t>
            </w:r>
          </w:p>
        </w:tc>
      </w:tr>
    </w:tbl>
    <w:p w:rsidR="00665BA1" w:rsidP="00A861B1" w:rsidRDefault="00665BA1" w14:paraId="4575E624" w14:textId="6ADAD93D">
      <w:pPr>
        <w:pStyle w:val="BodyText2"/>
      </w:pPr>
    </w:p>
    <w:p w:rsidRPr="00E47776" w:rsidR="00E36294" w:rsidP="00A861B1" w:rsidRDefault="00B45D1E" w14:paraId="48FC7190" w14:textId="53246A7E">
      <w:pPr>
        <w:rPr>
          <w:sz w:val="24"/>
        </w:rPr>
      </w:pPr>
      <w:r>
        <w:rPr>
          <w:sz w:val="24"/>
        </w:rPr>
        <w:t>The res</w:t>
      </w:r>
      <w:r w:rsidR="009A295A">
        <w:rPr>
          <w:sz w:val="24"/>
        </w:rPr>
        <w:t>pondents provide a wide of estimates for burden.  Highly active organizations tended to provide estimates that were greater than FAS estimates.  Smaller groups with fewer awards under the programs provided lower estimates.  FAS believes that its estimates provide a reasonable average for the population of participants.  FAS communicates regularly with participants to talk about improvements in program administration and to limit information collection burden.</w:t>
      </w:r>
    </w:p>
    <w:p w:rsidR="00665BA1" w:rsidP="00A861B1" w:rsidRDefault="00665BA1" w14:paraId="179D771C" w14:textId="77777777">
      <w:pPr>
        <w:rPr>
          <w:sz w:val="24"/>
        </w:rPr>
      </w:pPr>
    </w:p>
    <w:p w:rsidR="00B72097" w:rsidP="00A861B1" w:rsidRDefault="00B72097" w14:paraId="0EEF1FD4" w14:textId="77777777">
      <w:pPr>
        <w:rPr>
          <w:sz w:val="24"/>
        </w:rPr>
      </w:pPr>
    </w:p>
    <w:p w:rsidR="00665BA1" w:rsidRDefault="00665BA1" w14:paraId="06A4B367" w14:textId="77777777">
      <w:pPr>
        <w:rPr>
          <w:b/>
          <w:bCs/>
          <w:sz w:val="24"/>
        </w:rPr>
      </w:pPr>
      <w:r>
        <w:rPr>
          <w:b/>
          <w:bCs/>
          <w:sz w:val="24"/>
        </w:rPr>
        <w:t>9. Explain any decision to provide any payment or gift to respondents, other than remuneration of contractors or grantees.</w:t>
      </w:r>
    </w:p>
    <w:p w:rsidR="00665BA1" w:rsidRDefault="00665BA1" w14:paraId="77833069" w14:textId="77777777">
      <w:pPr>
        <w:rPr>
          <w:b/>
          <w:bCs/>
          <w:sz w:val="24"/>
        </w:rPr>
      </w:pPr>
    </w:p>
    <w:p w:rsidR="00665BA1" w:rsidRDefault="00665BA1" w14:paraId="7EE51C9C" w14:textId="77777777">
      <w:pPr>
        <w:rPr>
          <w:sz w:val="24"/>
        </w:rPr>
      </w:pPr>
      <w:r>
        <w:rPr>
          <w:sz w:val="24"/>
        </w:rPr>
        <w:t xml:space="preserve">We do not provide payments or gifts to respondents other than for funding expenses directly </w:t>
      </w:r>
      <w:r w:rsidR="0066715B">
        <w:rPr>
          <w:sz w:val="24"/>
        </w:rPr>
        <w:t>related to food aid program implementation.  These expenses could be associated with</w:t>
      </w:r>
      <w:r>
        <w:rPr>
          <w:sz w:val="24"/>
        </w:rPr>
        <w:t xml:space="preserve"> the transportation, storage, handling, and distribution of commodities </w:t>
      </w:r>
      <w:r w:rsidR="0066715B">
        <w:rPr>
          <w:sz w:val="24"/>
        </w:rPr>
        <w:t>and/or</w:t>
      </w:r>
      <w:r>
        <w:rPr>
          <w:sz w:val="24"/>
        </w:rPr>
        <w:t xml:space="preserve"> the admini</w:t>
      </w:r>
      <w:r w:rsidR="0066715B">
        <w:rPr>
          <w:sz w:val="24"/>
        </w:rPr>
        <w:t xml:space="preserve">stration and monitoring of </w:t>
      </w:r>
      <w:r>
        <w:rPr>
          <w:sz w:val="24"/>
        </w:rPr>
        <w:t>programs.</w:t>
      </w:r>
    </w:p>
    <w:p w:rsidR="00665BA1" w:rsidRDefault="00665BA1" w14:paraId="36877F3D" w14:textId="77777777">
      <w:pPr>
        <w:rPr>
          <w:sz w:val="24"/>
        </w:rPr>
      </w:pPr>
    </w:p>
    <w:p w:rsidR="00BB3B51" w:rsidRDefault="00BB3B51" w14:paraId="072916AA" w14:textId="77777777">
      <w:pPr>
        <w:rPr>
          <w:sz w:val="24"/>
        </w:rPr>
      </w:pPr>
    </w:p>
    <w:p w:rsidR="00665BA1" w:rsidRDefault="00665BA1" w14:paraId="4E572085" w14:textId="77777777">
      <w:pPr>
        <w:rPr>
          <w:sz w:val="24"/>
        </w:rPr>
        <w:sectPr w:rsidR="00665BA1">
          <w:endnotePr>
            <w:numFmt w:val="decimal"/>
          </w:endnotePr>
          <w:type w:val="continuous"/>
          <w:pgSz w:w="12240" w:h="15840"/>
          <w:pgMar w:top="1440" w:right="1440" w:bottom="1440" w:left="1440" w:header="1440" w:footer="1440" w:gutter="0"/>
          <w:cols w:space="720"/>
          <w:noEndnote/>
        </w:sectPr>
      </w:pPr>
    </w:p>
    <w:p w:rsidR="00665BA1" w:rsidRDefault="00665BA1" w14:paraId="7F8760F5" w14:textId="77777777">
      <w:pPr>
        <w:rPr>
          <w:b/>
          <w:bCs/>
          <w:sz w:val="24"/>
        </w:rPr>
      </w:pPr>
      <w:r>
        <w:rPr>
          <w:b/>
          <w:bCs/>
          <w:sz w:val="24"/>
        </w:rPr>
        <w:t>10.  Describe any assurance of confidentiality provided to respondents and the basis for the assurance in statute, regulation, or agency policy.</w:t>
      </w:r>
    </w:p>
    <w:p w:rsidR="00665BA1" w:rsidRDefault="00665BA1" w14:paraId="079FA49F" w14:textId="77777777">
      <w:pPr>
        <w:rPr>
          <w:b/>
          <w:bCs/>
          <w:sz w:val="24"/>
        </w:rPr>
      </w:pPr>
    </w:p>
    <w:p w:rsidR="00665BA1" w:rsidRDefault="00665BA1" w14:paraId="127B26EE" w14:textId="77777777">
      <w:pPr>
        <w:rPr>
          <w:b/>
          <w:bCs/>
          <w:sz w:val="24"/>
        </w:rPr>
      </w:pPr>
      <w:r>
        <w:rPr>
          <w:sz w:val="24"/>
        </w:rPr>
        <w:t xml:space="preserve">There is no assurance of confidentiality provided to respondents in relation to this information collection.  However, it is agency policy to keep confidential any information provided under this collection unless its release is required under a Freedom of Information Act </w:t>
      </w:r>
      <w:r w:rsidR="00EF4BF0">
        <w:rPr>
          <w:sz w:val="24"/>
        </w:rPr>
        <w:t>r</w:t>
      </w:r>
      <w:r>
        <w:rPr>
          <w:sz w:val="24"/>
        </w:rPr>
        <w:t>equest.</w:t>
      </w:r>
    </w:p>
    <w:p w:rsidR="00665BA1" w:rsidRDefault="00665BA1" w14:paraId="199130A9" w14:textId="77777777">
      <w:pPr>
        <w:ind w:firstLine="1440"/>
        <w:rPr>
          <w:b/>
          <w:bCs/>
          <w:sz w:val="24"/>
        </w:rPr>
      </w:pPr>
    </w:p>
    <w:p w:rsidR="00C860C8" w:rsidRDefault="00C860C8" w14:paraId="72047FB6" w14:textId="77777777">
      <w:pPr>
        <w:ind w:firstLine="1440"/>
        <w:rPr>
          <w:b/>
          <w:bCs/>
          <w:sz w:val="24"/>
        </w:rPr>
      </w:pPr>
    </w:p>
    <w:p w:rsidR="00665BA1" w:rsidRDefault="00665BA1" w14:paraId="31A44B6D" w14:textId="77777777">
      <w:pPr>
        <w:rPr>
          <w:b/>
          <w:bCs/>
          <w:sz w:val="24"/>
        </w:rPr>
      </w:pPr>
      <w:r>
        <w:rPr>
          <w:b/>
          <w:bCs/>
          <w:sz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5BA1" w:rsidRDefault="00665BA1" w14:paraId="06EE5411" w14:textId="77777777">
      <w:pPr>
        <w:rPr>
          <w:sz w:val="24"/>
        </w:rPr>
      </w:pPr>
    </w:p>
    <w:p w:rsidR="00665BA1" w:rsidRDefault="00665BA1" w14:paraId="001BBDE3" w14:textId="77777777">
      <w:pPr>
        <w:rPr>
          <w:sz w:val="24"/>
        </w:rPr>
      </w:pPr>
      <w:r>
        <w:rPr>
          <w:sz w:val="24"/>
        </w:rPr>
        <w:t>There are no questions of a sensitive nature associated with this information collection.</w:t>
      </w:r>
    </w:p>
    <w:p w:rsidR="00665BA1" w:rsidRDefault="00665BA1" w14:paraId="4350594C" w14:textId="77777777">
      <w:pPr>
        <w:rPr>
          <w:b/>
          <w:bCs/>
          <w:sz w:val="24"/>
        </w:rPr>
      </w:pPr>
    </w:p>
    <w:p w:rsidRPr="00746F20" w:rsidR="002D0E18" w:rsidRDefault="00665BA1" w14:paraId="7C7E9C69" w14:textId="77777777">
      <w:pPr>
        <w:rPr>
          <w:b/>
          <w:bCs/>
          <w:sz w:val="24"/>
        </w:rPr>
      </w:pPr>
      <w:r>
        <w:rPr>
          <w:b/>
          <w:bCs/>
          <w:sz w:val="24"/>
        </w:rPr>
        <w:t>12.</w:t>
      </w:r>
      <w:r w:rsidR="00E36294">
        <w:rPr>
          <w:b/>
          <w:bCs/>
          <w:sz w:val="24"/>
        </w:rPr>
        <w:t xml:space="preserve"> (</w:t>
      </w:r>
      <w:r w:rsidR="00746F20">
        <w:rPr>
          <w:b/>
          <w:bCs/>
          <w:sz w:val="24"/>
        </w:rPr>
        <w:t>A</w:t>
      </w:r>
      <w:r w:rsidR="00E36294">
        <w:rPr>
          <w:b/>
          <w:bCs/>
          <w:sz w:val="24"/>
        </w:rPr>
        <w:t>)</w:t>
      </w:r>
      <w:r>
        <w:rPr>
          <w:b/>
          <w:bCs/>
          <w:sz w:val="24"/>
        </w:rPr>
        <w:t xml:space="preserve"> Provide estimates of the hour burden of the collection of information.  Indicate the number of respondents, frequency of response, annual hour burden, and an explanation of how the burden was estimated.</w:t>
      </w:r>
      <w:r w:rsidR="00746F20">
        <w:rPr>
          <w:b/>
          <w:bCs/>
          <w:sz w:val="24"/>
        </w:rPr>
        <w:t xml:space="preserve"> </w:t>
      </w:r>
      <w:r w:rsidR="002D0E18">
        <w:rPr>
          <w:b/>
          <w:sz w:val="24"/>
        </w:rPr>
        <w:t>Indicate the dumber of respondents, the frequency of response, annual hour burden, and an explanation of how the burden was estimated</w:t>
      </w:r>
      <w:r w:rsidR="001C1C6D">
        <w:rPr>
          <w:b/>
          <w:sz w:val="24"/>
        </w:rPr>
        <w:t>.</w:t>
      </w:r>
    </w:p>
    <w:p w:rsidR="00665BA1" w:rsidRDefault="00665BA1" w14:paraId="204374A3"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rPr>
      </w:pPr>
    </w:p>
    <w:p w:rsidR="00665BA1" w:rsidRDefault="00665BA1" w14:paraId="56DE5AD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Approximately </w:t>
      </w:r>
      <w:r w:rsidR="009275CC">
        <w:rPr>
          <w:sz w:val="24"/>
        </w:rPr>
        <w:t>6</w:t>
      </w:r>
      <w:r w:rsidR="007D6843">
        <w:rPr>
          <w:sz w:val="24"/>
        </w:rPr>
        <w:t>1</w:t>
      </w:r>
      <w:r w:rsidR="009275CC">
        <w:rPr>
          <w:sz w:val="24"/>
        </w:rPr>
        <w:t xml:space="preserve"> </w:t>
      </w:r>
      <w:r w:rsidR="00471015">
        <w:rPr>
          <w:sz w:val="24"/>
        </w:rPr>
        <w:t xml:space="preserve">different </w:t>
      </w:r>
      <w:r>
        <w:rPr>
          <w:sz w:val="24"/>
        </w:rPr>
        <w:t xml:space="preserve">respondents are impacted annually by this information collection. Respondents can be divided into four </w:t>
      </w:r>
      <w:r w:rsidR="00471015">
        <w:rPr>
          <w:sz w:val="24"/>
        </w:rPr>
        <w:t xml:space="preserve">general </w:t>
      </w:r>
      <w:r w:rsidR="00E71B5F">
        <w:rPr>
          <w:sz w:val="24"/>
        </w:rPr>
        <w:t>constituencies</w:t>
      </w:r>
      <w:r>
        <w:rPr>
          <w:sz w:val="24"/>
        </w:rPr>
        <w:t xml:space="preserve">: </w:t>
      </w:r>
      <w:r w:rsidR="009275CC">
        <w:rPr>
          <w:sz w:val="24"/>
        </w:rPr>
        <w:t xml:space="preserve">grant recipients, </w:t>
      </w:r>
      <w:r w:rsidR="00D16FEF">
        <w:rPr>
          <w:sz w:val="24"/>
        </w:rPr>
        <w:t>freight forwarder</w:t>
      </w:r>
      <w:r>
        <w:rPr>
          <w:sz w:val="24"/>
        </w:rPr>
        <w:t xml:space="preserve">s, </w:t>
      </w:r>
      <w:r>
        <w:rPr>
          <w:sz w:val="24"/>
        </w:rPr>
        <w:lastRenderedPageBreak/>
        <w:t xml:space="preserve">ship owners/brokers, and survey companies.  There are </w:t>
      </w:r>
      <w:r w:rsidR="009275CC">
        <w:rPr>
          <w:sz w:val="24"/>
        </w:rPr>
        <w:t>21</w:t>
      </w:r>
      <w:r>
        <w:rPr>
          <w:sz w:val="24"/>
        </w:rPr>
        <w:t xml:space="preserve"> collection activities associated with this information collection.  Chart A</w:t>
      </w:r>
      <w:r w:rsidR="00471015">
        <w:rPr>
          <w:sz w:val="24"/>
        </w:rPr>
        <w:t xml:space="preserve"> (attached)</w:t>
      </w:r>
      <w:r>
        <w:rPr>
          <w:sz w:val="24"/>
        </w:rPr>
        <w:t xml:space="preserve"> provides burden information for each </w:t>
      </w:r>
      <w:r w:rsidR="00471015">
        <w:rPr>
          <w:sz w:val="24"/>
        </w:rPr>
        <w:t xml:space="preserve">information </w:t>
      </w:r>
      <w:r>
        <w:rPr>
          <w:sz w:val="24"/>
        </w:rPr>
        <w:t>collection activity</w:t>
      </w:r>
      <w:r w:rsidR="00471015">
        <w:rPr>
          <w:sz w:val="24"/>
        </w:rPr>
        <w:t xml:space="preserve"> under food assistance</w:t>
      </w:r>
      <w:r>
        <w:rPr>
          <w:sz w:val="24"/>
        </w:rPr>
        <w:t xml:space="preserve"> </w:t>
      </w:r>
      <w:r w:rsidR="00EB1FF8">
        <w:rPr>
          <w:sz w:val="24"/>
        </w:rPr>
        <w:t>program</w:t>
      </w:r>
      <w:r w:rsidR="00471015">
        <w:rPr>
          <w:sz w:val="24"/>
        </w:rPr>
        <w:t>s</w:t>
      </w:r>
      <w:r w:rsidR="00EB1FF8">
        <w:rPr>
          <w:sz w:val="24"/>
        </w:rPr>
        <w:t xml:space="preserve">.  </w:t>
      </w:r>
      <w:r>
        <w:rPr>
          <w:sz w:val="24"/>
        </w:rPr>
        <w:t>Estimates were obtained by using agency data</w:t>
      </w:r>
      <w:r w:rsidR="00471015">
        <w:rPr>
          <w:sz w:val="24"/>
        </w:rPr>
        <w:t xml:space="preserve"> and through consultation with food aid constituents, as explained in question number 8</w:t>
      </w:r>
      <w:r>
        <w:rPr>
          <w:sz w:val="24"/>
        </w:rPr>
        <w:t xml:space="preserve">. </w:t>
      </w:r>
      <w:r w:rsidR="00E71B5F">
        <w:rPr>
          <w:sz w:val="24"/>
        </w:rPr>
        <w:t xml:space="preserve"> </w:t>
      </w:r>
      <w:r w:rsidR="00EB1FF8">
        <w:rPr>
          <w:sz w:val="24"/>
        </w:rPr>
        <w:t>Chart B</w:t>
      </w:r>
      <w:r w:rsidR="00E71B5F">
        <w:rPr>
          <w:sz w:val="24"/>
        </w:rPr>
        <w:t xml:space="preserve"> (attached)</w:t>
      </w:r>
      <w:r w:rsidR="00EB1FF8">
        <w:rPr>
          <w:sz w:val="24"/>
        </w:rPr>
        <w:t xml:space="preserve"> provides a summary of the recordkeeping burden for each activity.</w:t>
      </w:r>
      <w:r w:rsidR="00E71B5F">
        <w:rPr>
          <w:sz w:val="24"/>
        </w:rPr>
        <w:t xml:space="preserve">  </w:t>
      </w:r>
      <w:r w:rsidR="00D76124">
        <w:rPr>
          <w:sz w:val="24"/>
        </w:rPr>
        <w:t>Included below is m</w:t>
      </w:r>
      <w:r w:rsidR="00E71B5F">
        <w:rPr>
          <w:sz w:val="24"/>
        </w:rPr>
        <w:t>ore detailed information on the</w:t>
      </w:r>
      <w:r w:rsidR="00D76124">
        <w:rPr>
          <w:sz w:val="24"/>
        </w:rPr>
        <w:t xml:space="preserve"> methodology and results of the</w:t>
      </w:r>
      <w:r w:rsidR="00E71B5F">
        <w:rPr>
          <w:sz w:val="24"/>
        </w:rPr>
        <w:t xml:space="preserve"> burden hour </w:t>
      </w:r>
      <w:r w:rsidR="00396572">
        <w:rPr>
          <w:sz w:val="24"/>
        </w:rPr>
        <w:t>calculation for</w:t>
      </w:r>
      <w:r w:rsidR="00E71B5F">
        <w:rPr>
          <w:sz w:val="24"/>
        </w:rPr>
        <w:t xml:space="preserve"> each constituent group.</w:t>
      </w:r>
    </w:p>
    <w:p w:rsidR="002D0E18" w:rsidRDefault="002D0E18" w14:paraId="2B50E5B2"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72097" w:rsidRDefault="00B72097" w14:paraId="5988987B"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rsidRPr="00B72097" w:rsidR="00C5585B" w:rsidRDefault="00B72097" w14:paraId="684E9713"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G</w:t>
      </w:r>
      <w:r w:rsidR="009275CC">
        <w:rPr>
          <w:b/>
          <w:sz w:val="24"/>
          <w:u w:val="single"/>
        </w:rPr>
        <w:t>rant Recipients</w:t>
      </w:r>
    </w:p>
    <w:p w:rsidR="00C5585B" w:rsidP="00C5585B" w:rsidRDefault="006B7E9F" w14:paraId="2A069F6D" w14:textId="4C9400F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Total a</w:t>
      </w:r>
      <w:r w:rsidR="00C5585B">
        <w:rPr>
          <w:sz w:val="24"/>
        </w:rPr>
        <w:t xml:space="preserve">nnual </w:t>
      </w:r>
      <w:r>
        <w:rPr>
          <w:sz w:val="24"/>
        </w:rPr>
        <w:t xml:space="preserve">information collection </w:t>
      </w:r>
      <w:r w:rsidR="00C5585B">
        <w:rPr>
          <w:sz w:val="24"/>
        </w:rPr>
        <w:t xml:space="preserve">responses from </w:t>
      </w:r>
      <w:r w:rsidR="009275CC">
        <w:rPr>
          <w:sz w:val="24"/>
        </w:rPr>
        <w:t xml:space="preserve">grant recipients </w:t>
      </w:r>
      <w:r w:rsidR="00C5585B">
        <w:rPr>
          <w:sz w:val="24"/>
        </w:rPr>
        <w:t>total</w:t>
      </w:r>
      <w:r>
        <w:rPr>
          <w:sz w:val="24"/>
        </w:rPr>
        <w:t>ed</w:t>
      </w:r>
      <w:r w:rsidR="00C5585B">
        <w:rPr>
          <w:sz w:val="24"/>
        </w:rPr>
        <w:t xml:space="preserve"> </w:t>
      </w:r>
      <w:r w:rsidR="004C5DFD">
        <w:rPr>
          <w:sz w:val="24"/>
        </w:rPr>
        <w:t>1,</w:t>
      </w:r>
      <w:r w:rsidR="0090224F">
        <w:rPr>
          <w:sz w:val="24"/>
        </w:rPr>
        <w:t>221</w:t>
      </w:r>
      <w:r w:rsidR="00C5585B">
        <w:rPr>
          <w:sz w:val="24"/>
        </w:rPr>
        <w:t xml:space="preserve"> resulting in a total of </w:t>
      </w:r>
      <w:r w:rsidR="004C5DFD">
        <w:rPr>
          <w:sz w:val="24"/>
        </w:rPr>
        <w:t>8</w:t>
      </w:r>
      <w:r w:rsidR="0090224F">
        <w:rPr>
          <w:sz w:val="24"/>
        </w:rPr>
        <w:t>4</w:t>
      </w:r>
      <w:r w:rsidR="004C5DFD">
        <w:rPr>
          <w:sz w:val="24"/>
        </w:rPr>
        <w:t>,</w:t>
      </w:r>
      <w:r w:rsidR="0090224F">
        <w:rPr>
          <w:sz w:val="24"/>
        </w:rPr>
        <w:t>099</w:t>
      </w:r>
      <w:r w:rsidR="00C5585B">
        <w:rPr>
          <w:sz w:val="24"/>
        </w:rPr>
        <w:t xml:space="preserve"> burden hours.  </w:t>
      </w:r>
      <w:r>
        <w:rPr>
          <w:sz w:val="24"/>
        </w:rPr>
        <w:t xml:space="preserve">The </w:t>
      </w:r>
      <w:r w:rsidR="00C5585B">
        <w:rPr>
          <w:sz w:val="24"/>
        </w:rPr>
        <w:t xml:space="preserve">recordkeeping burden </w:t>
      </w:r>
      <w:r>
        <w:rPr>
          <w:sz w:val="24"/>
        </w:rPr>
        <w:t xml:space="preserve">totaled </w:t>
      </w:r>
      <w:r w:rsidR="0090224F">
        <w:rPr>
          <w:sz w:val="24"/>
        </w:rPr>
        <w:t>872</w:t>
      </w:r>
      <w:r>
        <w:rPr>
          <w:sz w:val="24"/>
        </w:rPr>
        <w:t xml:space="preserve"> hours</w:t>
      </w:r>
      <w:r w:rsidR="00C5585B">
        <w:rPr>
          <w:sz w:val="24"/>
        </w:rPr>
        <w:t xml:space="preserve">. </w:t>
      </w:r>
      <w:r w:rsidR="004C5DFD">
        <w:rPr>
          <w:sz w:val="24"/>
        </w:rPr>
        <w:t xml:space="preserve"> </w:t>
      </w:r>
      <w:r>
        <w:rPr>
          <w:sz w:val="24"/>
        </w:rPr>
        <w:t>Thus, the</w:t>
      </w:r>
      <w:r w:rsidR="00C5585B">
        <w:rPr>
          <w:sz w:val="24"/>
        </w:rPr>
        <w:t xml:space="preserve"> total burden for </w:t>
      </w:r>
      <w:r w:rsidR="009275CC">
        <w:rPr>
          <w:sz w:val="24"/>
        </w:rPr>
        <w:t xml:space="preserve">grant recipients </w:t>
      </w:r>
      <w:r w:rsidR="00C5585B">
        <w:rPr>
          <w:sz w:val="24"/>
        </w:rPr>
        <w:t xml:space="preserve">is </w:t>
      </w:r>
      <w:r w:rsidR="004C5DFD">
        <w:rPr>
          <w:sz w:val="24"/>
        </w:rPr>
        <w:t>84,</w:t>
      </w:r>
      <w:r w:rsidR="0090224F">
        <w:rPr>
          <w:sz w:val="24"/>
        </w:rPr>
        <w:t>971</w:t>
      </w:r>
      <w:r w:rsidR="00EA41FB">
        <w:rPr>
          <w:sz w:val="24"/>
        </w:rPr>
        <w:t xml:space="preserve"> </w:t>
      </w:r>
      <w:r w:rsidR="00C5585B">
        <w:rPr>
          <w:sz w:val="24"/>
        </w:rPr>
        <w:t xml:space="preserve">hours.  </w:t>
      </w:r>
      <w:r>
        <w:rPr>
          <w:sz w:val="24"/>
        </w:rPr>
        <w:t>(See rows 1-</w:t>
      </w:r>
      <w:r w:rsidR="009275CC">
        <w:rPr>
          <w:sz w:val="24"/>
        </w:rPr>
        <w:t>11</w:t>
      </w:r>
      <w:r>
        <w:rPr>
          <w:sz w:val="24"/>
        </w:rPr>
        <w:t xml:space="preserve"> of Charts A and B for </w:t>
      </w:r>
      <w:r w:rsidR="009275CC">
        <w:rPr>
          <w:sz w:val="24"/>
        </w:rPr>
        <w:t xml:space="preserve">grant recipient </w:t>
      </w:r>
      <w:r>
        <w:rPr>
          <w:sz w:val="24"/>
        </w:rPr>
        <w:t>burden hour calculations.)</w:t>
      </w:r>
    </w:p>
    <w:p w:rsidR="00E36294" w:rsidRDefault="00E36294" w14:paraId="5B1EE52C"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Pr="00EF7457" w:rsidR="00EF7457" w:rsidRDefault="0090224F" w14:paraId="4B4ABB40" w14:textId="2183866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 xml:space="preserve">The burden hours for grant recipients is unchanged from the current inventory.  FAS continues to work with participants and to improve electronic systems to maintain a reasonable information collection burden.  </w:t>
      </w:r>
    </w:p>
    <w:p w:rsidR="00EF7457" w:rsidRDefault="00EF7457" w14:paraId="0CFE602B"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6B7E9F" w:rsidRDefault="00C5585B" w14:paraId="15BC03E7"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Cs/>
          <w:i/>
          <w:sz w:val="24"/>
        </w:rPr>
        <w:t xml:space="preserve">Methodology: </w:t>
      </w:r>
      <w:r>
        <w:rPr>
          <w:bCs/>
          <w:sz w:val="24"/>
        </w:rPr>
        <w:t xml:space="preserve">FAS records were used to calculate the number of </w:t>
      </w:r>
      <w:r w:rsidR="00D3109E">
        <w:rPr>
          <w:bCs/>
          <w:sz w:val="24"/>
        </w:rPr>
        <w:t xml:space="preserve">grant applicant </w:t>
      </w:r>
      <w:r>
        <w:rPr>
          <w:bCs/>
          <w:sz w:val="24"/>
        </w:rPr>
        <w:t xml:space="preserve">respondents and the number of annual responses per </w:t>
      </w:r>
      <w:r w:rsidR="00D3109E">
        <w:rPr>
          <w:bCs/>
          <w:sz w:val="24"/>
        </w:rPr>
        <w:t>applicant f</w:t>
      </w:r>
      <w:r w:rsidR="006B7E9F">
        <w:rPr>
          <w:bCs/>
          <w:sz w:val="24"/>
        </w:rPr>
        <w:t xml:space="preserve">or each </w:t>
      </w:r>
      <w:r w:rsidR="001E1D9B">
        <w:rPr>
          <w:bCs/>
          <w:sz w:val="24"/>
        </w:rPr>
        <w:t xml:space="preserve">required </w:t>
      </w:r>
      <w:r w:rsidR="006B7E9F">
        <w:rPr>
          <w:bCs/>
          <w:sz w:val="24"/>
        </w:rPr>
        <w:t>information collection</w:t>
      </w:r>
      <w:r>
        <w:rPr>
          <w:bCs/>
          <w:sz w:val="24"/>
        </w:rPr>
        <w:t xml:space="preserve">.  </w:t>
      </w:r>
      <w:r w:rsidR="006B7E9F">
        <w:rPr>
          <w:sz w:val="24"/>
        </w:rPr>
        <w:t xml:space="preserve">Several </w:t>
      </w:r>
      <w:r w:rsidR="00D3109E">
        <w:rPr>
          <w:sz w:val="24"/>
        </w:rPr>
        <w:t xml:space="preserve">grant applicants </w:t>
      </w:r>
      <w:r w:rsidR="006B7E9F">
        <w:rPr>
          <w:sz w:val="24"/>
        </w:rPr>
        <w:t>were then survey</w:t>
      </w:r>
      <w:r>
        <w:rPr>
          <w:sz w:val="24"/>
        </w:rPr>
        <w:t>ed to de</w:t>
      </w:r>
      <w:r w:rsidR="00D3109E">
        <w:rPr>
          <w:sz w:val="24"/>
        </w:rPr>
        <w:t xml:space="preserve">velop the initial </w:t>
      </w:r>
      <w:r>
        <w:rPr>
          <w:sz w:val="24"/>
        </w:rPr>
        <w:t>estimated hours per response.</w:t>
      </w:r>
      <w:r w:rsidR="00D3109E">
        <w:rPr>
          <w:sz w:val="24"/>
        </w:rPr>
        <w:t xml:space="preserve">  </w:t>
      </w:r>
      <w:r w:rsidR="006B7E9F">
        <w:rPr>
          <w:sz w:val="24"/>
        </w:rPr>
        <w:t>This number was then multiplied by the number of total annual responses to calculate the total annual burden hours</w:t>
      </w:r>
      <w:r w:rsidR="00665BA1">
        <w:rPr>
          <w:sz w:val="24"/>
        </w:rPr>
        <w:t>.</w:t>
      </w:r>
    </w:p>
    <w:p w:rsidR="00665BA1" w:rsidRDefault="00665BA1" w14:paraId="68EE63D2"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71B5F" w:rsidR="00665BA1" w:rsidRDefault="00D16FEF" w14:paraId="1C786441"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4"/>
          <w:u w:val="single"/>
        </w:rPr>
      </w:pPr>
      <w:r w:rsidRPr="00E71B5F">
        <w:rPr>
          <w:b/>
          <w:bCs/>
          <w:iCs/>
          <w:sz w:val="24"/>
          <w:u w:val="single"/>
        </w:rPr>
        <w:t xml:space="preserve">Freight </w:t>
      </w:r>
      <w:r w:rsidR="00807413">
        <w:rPr>
          <w:b/>
          <w:bCs/>
          <w:iCs/>
          <w:sz w:val="24"/>
          <w:u w:val="single"/>
        </w:rPr>
        <w:t>F</w:t>
      </w:r>
      <w:r w:rsidRPr="00E71B5F">
        <w:rPr>
          <w:b/>
          <w:bCs/>
          <w:iCs/>
          <w:sz w:val="24"/>
          <w:u w:val="single"/>
        </w:rPr>
        <w:t>orwarder</w:t>
      </w:r>
      <w:r w:rsidRPr="00E71B5F" w:rsidR="00665BA1">
        <w:rPr>
          <w:b/>
          <w:bCs/>
          <w:iCs/>
          <w:sz w:val="24"/>
          <w:u w:val="single"/>
        </w:rPr>
        <w:t>s</w:t>
      </w:r>
    </w:p>
    <w:p w:rsidR="0066253C" w:rsidP="0066253C" w:rsidRDefault="0066253C" w14:paraId="51AAD9D8"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Total annual information collection responses from freight forwarders totaled </w:t>
      </w:r>
      <w:r w:rsidR="004C5DFD">
        <w:rPr>
          <w:sz w:val="24"/>
        </w:rPr>
        <w:t>514</w:t>
      </w:r>
      <w:r>
        <w:rPr>
          <w:sz w:val="24"/>
        </w:rPr>
        <w:t xml:space="preserve">, resulting in a total of </w:t>
      </w:r>
      <w:r w:rsidR="004C5DFD">
        <w:rPr>
          <w:sz w:val="24"/>
        </w:rPr>
        <w:t>1,209</w:t>
      </w:r>
      <w:r>
        <w:rPr>
          <w:sz w:val="24"/>
        </w:rPr>
        <w:t xml:space="preserve"> burden hours.  The recordkeeping burden totaled </w:t>
      </w:r>
      <w:r w:rsidR="00D3109E">
        <w:rPr>
          <w:sz w:val="24"/>
        </w:rPr>
        <w:t>278</w:t>
      </w:r>
      <w:r>
        <w:rPr>
          <w:sz w:val="24"/>
        </w:rPr>
        <w:t xml:space="preserve"> hours.</w:t>
      </w:r>
      <w:r w:rsidR="00D86304">
        <w:rPr>
          <w:sz w:val="24"/>
        </w:rPr>
        <w:t xml:space="preserve"> </w:t>
      </w:r>
      <w:r>
        <w:rPr>
          <w:sz w:val="24"/>
        </w:rPr>
        <w:t xml:space="preserve"> Thus, the total burden for freight forwarders is </w:t>
      </w:r>
      <w:r w:rsidR="00D3109E">
        <w:rPr>
          <w:sz w:val="24"/>
        </w:rPr>
        <w:t>1,</w:t>
      </w:r>
      <w:r w:rsidR="004C5DFD">
        <w:rPr>
          <w:sz w:val="24"/>
        </w:rPr>
        <w:t>487</w:t>
      </w:r>
      <w:r>
        <w:rPr>
          <w:sz w:val="24"/>
        </w:rPr>
        <w:t xml:space="preserve"> hours.  (See rows 13</w:t>
      </w:r>
      <w:r w:rsidR="00D3109E">
        <w:rPr>
          <w:sz w:val="24"/>
        </w:rPr>
        <w:t>-18</w:t>
      </w:r>
      <w:r>
        <w:rPr>
          <w:sz w:val="24"/>
        </w:rPr>
        <w:t xml:space="preserve"> of Charts A and B for freight forwarder burden hour calculations.)</w:t>
      </w:r>
    </w:p>
    <w:p w:rsidR="0066253C" w:rsidP="0066253C" w:rsidRDefault="0066253C" w14:paraId="22741135"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66253C" w:rsidP="0066253C" w:rsidRDefault="0066253C" w14:paraId="59C4DAA5"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Cs/>
          <w:i/>
          <w:sz w:val="24"/>
        </w:rPr>
        <w:t xml:space="preserve">Methodology: </w:t>
      </w:r>
      <w:r>
        <w:rPr>
          <w:bCs/>
          <w:sz w:val="24"/>
        </w:rPr>
        <w:t xml:space="preserve">FAS records were used to calculate the number of </w:t>
      </w:r>
      <w:r w:rsidR="00C24C63">
        <w:rPr>
          <w:bCs/>
          <w:sz w:val="24"/>
        </w:rPr>
        <w:t>freight forwarder</w:t>
      </w:r>
      <w:r>
        <w:rPr>
          <w:bCs/>
          <w:sz w:val="24"/>
        </w:rPr>
        <w:t xml:space="preserve"> respondents and the number of annual responses per </w:t>
      </w:r>
      <w:r w:rsidR="00C24C63">
        <w:rPr>
          <w:bCs/>
          <w:sz w:val="24"/>
        </w:rPr>
        <w:t>freight forwarder</w:t>
      </w:r>
      <w:r>
        <w:rPr>
          <w:bCs/>
          <w:sz w:val="24"/>
        </w:rPr>
        <w:t xml:space="preserve"> for each</w:t>
      </w:r>
      <w:r w:rsidR="001E1D9B">
        <w:rPr>
          <w:bCs/>
          <w:sz w:val="24"/>
        </w:rPr>
        <w:t xml:space="preserve"> required</w:t>
      </w:r>
      <w:r>
        <w:rPr>
          <w:bCs/>
          <w:sz w:val="24"/>
        </w:rPr>
        <w:t xml:space="preserve"> information collection.  </w:t>
      </w:r>
      <w:r>
        <w:rPr>
          <w:sz w:val="24"/>
        </w:rPr>
        <w:t xml:space="preserve">Several </w:t>
      </w:r>
      <w:r w:rsidR="00E725CE">
        <w:rPr>
          <w:sz w:val="24"/>
        </w:rPr>
        <w:t>freight forwarder</w:t>
      </w:r>
      <w:r>
        <w:rPr>
          <w:sz w:val="24"/>
        </w:rPr>
        <w:t>s were then surveyed to determine the estimated hours per response.  This number was then multiplied by the number of total annual responses to calculate the total annual burden hours.</w:t>
      </w:r>
    </w:p>
    <w:p w:rsidR="00D3109E" w:rsidP="0066253C" w:rsidRDefault="00D3109E" w14:paraId="7004D537"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71B5F" w:rsidR="00665BA1" w:rsidRDefault="00665BA1" w14:paraId="047480B1" w14:textId="77777777">
      <w:pPr>
        <w:pStyle w:val="BodyText3"/>
        <w:rPr>
          <w:b/>
          <w:bCs/>
          <w:i w:val="0"/>
          <w:u w:val="single"/>
        </w:rPr>
      </w:pPr>
      <w:r w:rsidRPr="00E71B5F">
        <w:rPr>
          <w:b/>
          <w:bCs/>
          <w:i w:val="0"/>
          <w:u w:val="single"/>
        </w:rPr>
        <w:t>Ship Owners/Brokers</w:t>
      </w:r>
    </w:p>
    <w:p w:rsidRPr="001E1D9B" w:rsidR="00536854" w:rsidRDefault="00536854" w14:paraId="0479B463"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E1D9B">
        <w:rPr>
          <w:sz w:val="24"/>
        </w:rPr>
        <w:t xml:space="preserve">Total annual information collection responses from </w:t>
      </w:r>
      <w:r w:rsidRPr="001E1D9B" w:rsidR="00C24C63">
        <w:rPr>
          <w:sz w:val="24"/>
        </w:rPr>
        <w:t>ship owner/brokers</w:t>
      </w:r>
      <w:r w:rsidRPr="001E1D9B">
        <w:rPr>
          <w:sz w:val="24"/>
        </w:rPr>
        <w:t xml:space="preserve"> totaled </w:t>
      </w:r>
      <w:r w:rsidR="004C5DFD">
        <w:rPr>
          <w:sz w:val="24"/>
        </w:rPr>
        <w:t>143</w:t>
      </w:r>
      <w:r w:rsidRPr="001E1D9B">
        <w:rPr>
          <w:sz w:val="24"/>
        </w:rPr>
        <w:t xml:space="preserve">, resulting in a total of </w:t>
      </w:r>
      <w:r w:rsidR="004C5DFD">
        <w:rPr>
          <w:sz w:val="24"/>
        </w:rPr>
        <w:t>2,850</w:t>
      </w:r>
      <w:r w:rsidR="00D3109E">
        <w:rPr>
          <w:sz w:val="24"/>
        </w:rPr>
        <w:t xml:space="preserve"> </w:t>
      </w:r>
      <w:r w:rsidR="001E1D9B">
        <w:rPr>
          <w:sz w:val="24"/>
        </w:rPr>
        <w:t xml:space="preserve">burden hours.  The </w:t>
      </w:r>
      <w:r w:rsidRPr="001E1D9B">
        <w:rPr>
          <w:sz w:val="24"/>
        </w:rPr>
        <w:t xml:space="preserve">recordkeeping burden totaled </w:t>
      </w:r>
      <w:r w:rsidR="004C5DFD">
        <w:rPr>
          <w:sz w:val="24"/>
        </w:rPr>
        <w:t>71</w:t>
      </w:r>
      <w:r w:rsidRPr="001E1D9B">
        <w:rPr>
          <w:sz w:val="24"/>
        </w:rPr>
        <w:t xml:space="preserve"> hours. </w:t>
      </w:r>
      <w:r w:rsidR="00D86304">
        <w:rPr>
          <w:sz w:val="24"/>
        </w:rPr>
        <w:t xml:space="preserve"> </w:t>
      </w:r>
      <w:r w:rsidRPr="001E1D9B">
        <w:rPr>
          <w:sz w:val="24"/>
        </w:rPr>
        <w:t xml:space="preserve">Thus, the total burden for </w:t>
      </w:r>
      <w:r w:rsidRPr="001E1D9B" w:rsidR="00C24C63">
        <w:rPr>
          <w:sz w:val="24"/>
        </w:rPr>
        <w:t>ship owner/brokers</w:t>
      </w:r>
      <w:r w:rsidRPr="001E1D9B">
        <w:rPr>
          <w:sz w:val="24"/>
        </w:rPr>
        <w:t xml:space="preserve"> is </w:t>
      </w:r>
      <w:r w:rsidR="004C5DFD">
        <w:rPr>
          <w:sz w:val="24"/>
        </w:rPr>
        <w:t>2,921</w:t>
      </w:r>
      <w:r w:rsidRPr="001E1D9B">
        <w:rPr>
          <w:sz w:val="24"/>
        </w:rPr>
        <w:t xml:space="preserve"> hours.  (See row </w:t>
      </w:r>
      <w:r w:rsidRPr="001E1D9B" w:rsidR="00C24C63">
        <w:rPr>
          <w:sz w:val="24"/>
        </w:rPr>
        <w:t>1</w:t>
      </w:r>
      <w:r w:rsidR="00D3109E">
        <w:rPr>
          <w:sz w:val="24"/>
        </w:rPr>
        <w:t>9</w:t>
      </w:r>
      <w:r w:rsidRPr="001E1D9B">
        <w:rPr>
          <w:sz w:val="24"/>
        </w:rPr>
        <w:t xml:space="preserve"> of Charts A and B for freight forwarder burden hour calculations.)</w:t>
      </w:r>
    </w:p>
    <w:p w:rsidRPr="001E1D9B" w:rsidR="00536854" w:rsidRDefault="00536854" w14:paraId="4C09E247" w14:textId="77777777">
      <w:pPr>
        <w:pStyle w:val="BodyText3"/>
        <w:rPr>
          <w:b/>
          <w:bCs/>
          <w:i w:val="0"/>
        </w:rPr>
      </w:pPr>
    </w:p>
    <w:p w:rsidR="00C24C63" w:rsidP="00C24C63" w:rsidRDefault="00C24C63" w14:paraId="323A8CF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Cs/>
          <w:i/>
          <w:sz w:val="24"/>
        </w:rPr>
        <w:lastRenderedPageBreak/>
        <w:t xml:space="preserve">Methodology: </w:t>
      </w:r>
      <w:r>
        <w:rPr>
          <w:bCs/>
          <w:sz w:val="24"/>
        </w:rPr>
        <w:t xml:space="preserve">FAS records were used to calculate the number of </w:t>
      </w:r>
      <w:r w:rsidRPr="00C24C63">
        <w:rPr>
          <w:sz w:val="24"/>
        </w:rPr>
        <w:t xml:space="preserve">ship owners/broker </w:t>
      </w:r>
      <w:r>
        <w:rPr>
          <w:bCs/>
          <w:sz w:val="24"/>
        </w:rPr>
        <w:t xml:space="preserve">respondents and the number of annual responses per </w:t>
      </w:r>
      <w:r w:rsidRPr="00C24C63">
        <w:rPr>
          <w:sz w:val="24"/>
        </w:rPr>
        <w:t xml:space="preserve">ship owners/broker </w:t>
      </w:r>
      <w:r>
        <w:rPr>
          <w:bCs/>
          <w:sz w:val="24"/>
        </w:rPr>
        <w:t xml:space="preserve">for each </w:t>
      </w:r>
      <w:r w:rsidR="00D41E39">
        <w:rPr>
          <w:bCs/>
          <w:sz w:val="24"/>
        </w:rPr>
        <w:t xml:space="preserve">required </w:t>
      </w:r>
      <w:r>
        <w:rPr>
          <w:bCs/>
          <w:sz w:val="24"/>
        </w:rPr>
        <w:t xml:space="preserve">information collection.  </w:t>
      </w:r>
      <w:r>
        <w:rPr>
          <w:sz w:val="24"/>
        </w:rPr>
        <w:t xml:space="preserve">Several </w:t>
      </w:r>
      <w:r w:rsidRPr="00C24C63">
        <w:rPr>
          <w:sz w:val="24"/>
        </w:rPr>
        <w:t>ship owners/brokers</w:t>
      </w:r>
      <w:r>
        <w:rPr>
          <w:sz w:val="24"/>
        </w:rPr>
        <w:t xml:space="preserve"> were then surveyed to determine the estimated hours per response.  This number was then multiplied by the number of total annual responses to calculate the total annual burden hours.</w:t>
      </w:r>
    </w:p>
    <w:p w:rsidR="00665BA1" w:rsidRDefault="00665BA1" w14:paraId="0B3FC5E4"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30D9" w:rsidRDefault="00665BA1" w14:paraId="28977899"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4"/>
          <w:u w:val="single"/>
        </w:rPr>
      </w:pPr>
      <w:r w:rsidRPr="00E71B5F">
        <w:rPr>
          <w:b/>
          <w:bCs/>
          <w:iCs/>
          <w:sz w:val="24"/>
          <w:u w:val="single"/>
        </w:rPr>
        <w:t>Survey Companies</w:t>
      </w:r>
    </w:p>
    <w:p w:rsidRPr="00C24C63" w:rsidR="00D030D9" w:rsidP="00D030D9" w:rsidRDefault="00D030D9" w14:paraId="55FA44F8"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C24C63">
        <w:rPr>
          <w:sz w:val="24"/>
        </w:rPr>
        <w:t xml:space="preserve">Total annual information collection responses from </w:t>
      </w:r>
      <w:r>
        <w:rPr>
          <w:sz w:val="24"/>
        </w:rPr>
        <w:t>survey companies</w:t>
      </w:r>
      <w:r w:rsidRPr="00C24C63">
        <w:rPr>
          <w:sz w:val="24"/>
        </w:rPr>
        <w:t xml:space="preserve"> totaled </w:t>
      </w:r>
      <w:r w:rsidR="004C5DFD">
        <w:rPr>
          <w:sz w:val="24"/>
        </w:rPr>
        <w:t>75</w:t>
      </w:r>
      <w:r w:rsidRPr="00C24C63">
        <w:rPr>
          <w:sz w:val="24"/>
        </w:rPr>
        <w:t xml:space="preserve">, resulting in a total of </w:t>
      </w:r>
      <w:r w:rsidR="004C5DFD">
        <w:rPr>
          <w:sz w:val="24"/>
        </w:rPr>
        <w:t>150</w:t>
      </w:r>
      <w:r w:rsidRPr="00C24C63">
        <w:rPr>
          <w:sz w:val="24"/>
        </w:rPr>
        <w:t xml:space="preserve"> burden hours.  The recordkeeping burden totaled </w:t>
      </w:r>
      <w:r w:rsidR="004C5DFD">
        <w:rPr>
          <w:sz w:val="24"/>
        </w:rPr>
        <w:t>37</w:t>
      </w:r>
      <w:r w:rsidRPr="00C24C63">
        <w:rPr>
          <w:sz w:val="24"/>
        </w:rPr>
        <w:t xml:space="preserve"> hours. </w:t>
      </w:r>
      <w:r w:rsidR="004C5DFD">
        <w:rPr>
          <w:sz w:val="24"/>
        </w:rPr>
        <w:t xml:space="preserve"> </w:t>
      </w:r>
      <w:r w:rsidRPr="00C24C63">
        <w:rPr>
          <w:sz w:val="24"/>
        </w:rPr>
        <w:t xml:space="preserve">Thus, the total burden for </w:t>
      </w:r>
      <w:r>
        <w:rPr>
          <w:sz w:val="24"/>
        </w:rPr>
        <w:t>ship owners/brokers</w:t>
      </w:r>
      <w:r w:rsidRPr="00C24C63">
        <w:rPr>
          <w:sz w:val="24"/>
        </w:rPr>
        <w:t xml:space="preserve"> is </w:t>
      </w:r>
      <w:r w:rsidR="004C5DFD">
        <w:rPr>
          <w:sz w:val="24"/>
        </w:rPr>
        <w:t>187</w:t>
      </w:r>
      <w:r w:rsidRPr="00C24C63">
        <w:rPr>
          <w:sz w:val="24"/>
        </w:rPr>
        <w:t xml:space="preserve"> hours.  (See row </w:t>
      </w:r>
      <w:r w:rsidR="00D3109E">
        <w:rPr>
          <w:sz w:val="24"/>
        </w:rPr>
        <w:t>20</w:t>
      </w:r>
      <w:r w:rsidRPr="00C24C63">
        <w:rPr>
          <w:sz w:val="24"/>
        </w:rPr>
        <w:t xml:space="preserve"> of Charts A and B for freight forwarder burden hour calculations.)</w:t>
      </w:r>
    </w:p>
    <w:p w:rsidRPr="00C24C63" w:rsidR="00D030D9" w:rsidP="00D030D9" w:rsidRDefault="00D030D9" w14:paraId="7D34D18E" w14:textId="77777777">
      <w:pPr>
        <w:pStyle w:val="BodyText3"/>
        <w:rPr>
          <w:b/>
          <w:bCs/>
          <w:i w:val="0"/>
        </w:rPr>
      </w:pPr>
    </w:p>
    <w:p w:rsidR="00D030D9" w:rsidP="00D030D9" w:rsidRDefault="00D030D9" w14:paraId="6E583144"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Cs/>
          <w:i/>
          <w:sz w:val="24"/>
        </w:rPr>
        <w:t xml:space="preserve">Methodology: </w:t>
      </w:r>
      <w:r>
        <w:rPr>
          <w:bCs/>
          <w:sz w:val="24"/>
        </w:rPr>
        <w:t xml:space="preserve">FAS records were used to calculate the number of </w:t>
      </w:r>
      <w:r w:rsidR="00B26B76">
        <w:rPr>
          <w:sz w:val="24"/>
        </w:rPr>
        <w:t>survey company</w:t>
      </w:r>
      <w:r w:rsidRPr="00C24C63">
        <w:rPr>
          <w:sz w:val="24"/>
        </w:rPr>
        <w:t xml:space="preserve"> </w:t>
      </w:r>
      <w:r>
        <w:rPr>
          <w:bCs/>
          <w:sz w:val="24"/>
        </w:rPr>
        <w:t xml:space="preserve">respondents and the number of annual responses per </w:t>
      </w:r>
      <w:r w:rsidR="00B26B76">
        <w:rPr>
          <w:sz w:val="24"/>
        </w:rPr>
        <w:t>survey company</w:t>
      </w:r>
      <w:r w:rsidRPr="00C24C63">
        <w:rPr>
          <w:sz w:val="24"/>
        </w:rPr>
        <w:t xml:space="preserve"> </w:t>
      </w:r>
      <w:r>
        <w:rPr>
          <w:bCs/>
          <w:sz w:val="24"/>
        </w:rPr>
        <w:t xml:space="preserve">for each </w:t>
      </w:r>
      <w:r w:rsidR="00D41E39">
        <w:rPr>
          <w:bCs/>
          <w:sz w:val="24"/>
        </w:rPr>
        <w:t xml:space="preserve">required </w:t>
      </w:r>
      <w:r>
        <w:rPr>
          <w:bCs/>
          <w:sz w:val="24"/>
        </w:rPr>
        <w:t xml:space="preserve">information collection.  </w:t>
      </w:r>
      <w:r>
        <w:rPr>
          <w:sz w:val="24"/>
        </w:rPr>
        <w:t xml:space="preserve">Several </w:t>
      </w:r>
      <w:r w:rsidR="00B26B76">
        <w:rPr>
          <w:sz w:val="24"/>
        </w:rPr>
        <w:t>survey companies</w:t>
      </w:r>
      <w:r>
        <w:rPr>
          <w:sz w:val="24"/>
        </w:rPr>
        <w:t xml:space="preserve"> were then surveyed to determine the estimated hours per response.  This number was then multiplied by the number of total annual responses to calculate the total annual burden hours.</w:t>
      </w:r>
    </w:p>
    <w:p w:rsidR="00C24C63" w:rsidRDefault="00C24C63" w14:paraId="4866E122"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71B5F" w:rsidR="00D81D51" w:rsidRDefault="00D81D51" w14:paraId="2DD7B0B1"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E71B5F">
        <w:rPr>
          <w:b/>
          <w:sz w:val="24"/>
          <w:u w:val="single"/>
        </w:rPr>
        <w:t>Summary</w:t>
      </w:r>
      <w:r w:rsidR="00E71B5F">
        <w:rPr>
          <w:b/>
          <w:sz w:val="24"/>
          <w:u w:val="single"/>
        </w:rPr>
        <w:t xml:space="preserve"> of Burden Hours</w:t>
      </w:r>
    </w:p>
    <w:p w:rsidRPr="00C24C63" w:rsidR="00D030D9" w:rsidP="00D030D9" w:rsidRDefault="00D030D9" w14:paraId="46A239E3"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C24C63">
        <w:rPr>
          <w:sz w:val="24"/>
        </w:rPr>
        <w:t xml:space="preserve">Total annual information collection responses from </w:t>
      </w:r>
      <w:r w:rsidR="00B26B76">
        <w:rPr>
          <w:sz w:val="24"/>
        </w:rPr>
        <w:t>all respondents</w:t>
      </w:r>
      <w:r w:rsidRPr="00C24C63">
        <w:rPr>
          <w:sz w:val="24"/>
        </w:rPr>
        <w:t xml:space="preserve"> totaled </w:t>
      </w:r>
      <w:r w:rsidR="00D86304">
        <w:rPr>
          <w:sz w:val="24"/>
        </w:rPr>
        <w:t>1,</w:t>
      </w:r>
      <w:r w:rsidR="004C5DFD">
        <w:rPr>
          <w:sz w:val="24"/>
        </w:rPr>
        <w:t>952</w:t>
      </w:r>
      <w:r w:rsidRPr="00C24C63">
        <w:rPr>
          <w:sz w:val="24"/>
        </w:rPr>
        <w:t xml:space="preserve">, resulting in a total of </w:t>
      </w:r>
      <w:r w:rsidR="004C5DFD">
        <w:rPr>
          <w:sz w:val="24"/>
        </w:rPr>
        <w:t>88,308</w:t>
      </w:r>
      <w:r w:rsidRPr="00C24C63">
        <w:rPr>
          <w:sz w:val="24"/>
        </w:rPr>
        <w:t xml:space="preserve"> burden hours.  The recordkeeping burden totaled </w:t>
      </w:r>
      <w:r w:rsidR="004C5DFD">
        <w:rPr>
          <w:sz w:val="24"/>
        </w:rPr>
        <w:t>979</w:t>
      </w:r>
      <w:r w:rsidRPr="00C24C63">
        <w:rPr>
          <w:sz w:val="24"/>
        </w:rPr>
        <w:t xml:space="preserve"> hours. </w:t>
      </w:r>
      <w:r w:rsidR="00D86304">
        <w:rPr>
          <w:sz w:val="24"/>
        </w:rPr>
        <w:t xml:space="preserve"> </w:t>
      </w:r>
      <w:r w:rsidRPr="00C24C63">
        <w:rPr>
          <w:sz w:val="24"/>
        </w:rPr>
        <w:t xml:space="preserve">Thus, the total burden for </w:t>
      </w:r>
      <w:r w:rsidR="00B26B76">
        <w:rPr>
          <w:sz w:val="24"/>
        </w:rPr>
        <w:t xml:space="preserve">all respondents </w:t>
      </w:r>
      <w:r w:rsidR="00D41E39">
        <w:rPr>
          <w:sz w:val="24"/>
        </w:rPr>
        <w:t>submitting</w:t>
      </w:r>
      <w:r w:rsidR="00B26B76">
        <w:rPr>
          <w:sz w:val="24"/>
        </w:rPr>
        <w:t xml:space="preserve"> food aid information collection</w:t>
      </w:r>
      <w:r w:rsidRPr="00C24C63">
        <w:rPr>
          <w:sz w:val="24"/>
        </w:rPr>
        <w:t xml:space="preserve"> is </w:t>
      </w:r>
      <w:r w:rsidR="004C5DFD">
        <w:rPr>
          <w:sz w:val="24"/>
        </w:rPr>
        <w:t>89,287</w:t>
      </w:r>
      <w:r w:rsidRPr="00C24C63">
        <w:rPr>
          <w:sz w:val="24"/>
        </w:rPr>
        <w:t xml:space="preserve"> hours.</w:t>
      </w:r>
    </w:p>
    <w:p w:rsidR="0014380E" w:rsidRDefault="0014380E" w14:paraId="58938D29"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p>
    <w:p w:rsidR="00BB3B51" w:rsidRDefault="00BB3B51" w14:paraId="2F9B339D"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rPr>
      </w:pPr>
    </w:p>
    <w:p w:rsidR="00665BA1" w:rsidP="002D0E18" w:rsidRDefault="00746F20" w14:paraId="7017E014" w14:textId="77777777">
      <w:pPr>
        <w:pStyle w:val="Level1"/>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Pr>
          <w:b/>
          <w:sz w:val="24"/>
        </w:rPr>
        <w:t>12.</w:t>
      </w:r>
      <w:r w:rsidR="00E36294">
        <w:rPr>
          <w:b/>
          <w:sz w:val="24"/>
        </w:rPr>
        <w:t xml:space="preserve"> (</w:t>
      </w:r>
      <w:r w:rsidRPr="009E36EF" w:rsidR="009E36EF">
        <w:rPr>
          <w:b/>
          <w:sz w:val="24"/>
        </w:rPr>
        <w:t>B</w:t>
      </w:r>
      <w:r w:rsidR="00E36294">
        <w:rPr>
          <w:b/>
          <w:sz w:val="24"/>
        </w:rPr>
        <w:t>)</w:t>
      </w:r>
      <w:r w:rsidRPr="009E36EF" w:rsidR="009E36EF">
        <w:rPr>
          <w:b/>
          <w:sz w:val="24"/>
        </w:rPr>
        <w:t xml:space="preserve"> </w:t>
      </w:r>
      <w:r w:rsidRPr="009E36EF" w:rsidR="00665BA1">
        <w:rPr>
          <w:b/>
          <w:bCs/>
          <w:sz w:val="24"/>
        </w:rPr>
        <w:t>P</w:t>
      </w:r>
      <w:r w:rsidR="00665BA1">
        <w:rPr>
          <w:b/>
          <w:bCs/>
          <w:sz w:val="24"/>
        </w:rPr>
        <w:t>rovide estimates of annualized cost to respondents for the hour burdens of collections of information, identifying and using appropriate wage rate categories.</w:t>
      </w:r>
    </w:p>
    <w:p w:rsidR="00665BA1" w:rsidRDefault="00665BA1" w14:paraId="5EFC5B7F"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BA1" w:rsidRDefault="00665BA1" w14:paraId="124EF746"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665BA1">
          <w:endnotePr>
            <w:numFmt w:val="decimal"/>
          </w:endnotePr>
          <w:type w:val="continuous"/>
          <w:pgSz w:w="12240" w:h="15840"/>
          <w:pgMar w:top="1440" w:right="1440" w:bottom="1440" w:left="1440" w:header="1440" w:footer="1440" w:gutter="0"/>
          <w:cols w:space="720"/>
          <w:noEndnote/>
        </w:sectPr>
      </w:pPr>
    </w:p>
    <w:p w:rsidRPr="00B551D4" w:rsidR="00665BA1" w:rsidRDefault="003970D3" w14:paraId="7A70EDA0" w14:textId="3552E60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8E6CB9">
        <w:rPr>
          <w:sz w:val="24"/>
        </w:rPr>
        <w:t xml:space="preserve">he average annual salary for an employee of a grant recipient </w:t>
      </w:r>
      <w:r w:rsidR="009E36EF">
        <w:rPr>
          <w:sz w:val="24"/>
        </w:rPr>
        <w:t xml:space="preserve">is </w:t>
      </w:r>
      <w:r>
        <w:rPr>
          <w:sz w:val="24"/>
        </w:rPr>
        <w:t xml:space="preserve">estimated </w:t>
      </w:r>
      <w:r w:rsidR="008E6CB9">
        <w:rPr>
          <w:sz w:val="24"/>
        </w:rPr>
        <w:t>at about $7</w:t>
      </w:r>
      <w:r w:rsidR="00EA41FB">
        <w:rPr>
          <w:sz w:val="24"/>
        </w:rPr>
        <w:t>5</w:t>
      </w:r>
      <w:r w:rsidR="008E6CB9">
        <w:rPr>
          <w:sz w:val="24"/>
        </w:rPr>
        <w:t>,000.  This average is for personnel who are regularly involved with the information collections.  This estimate is derived on information from grant recipients’ budgets and a comparable salary for a GS-1</w:t>
      </w:r>
      <w:r w:rsidR="00FB4276">
        <w:rPr>
          <w:sz w:val="24"/>
        </w:rPr>
        <w:t>1</w:t>
      </w:r>
      <w:r w:rsidR="008E6CB9">
        <w:rPr>
          <w:sz w:val="24"/>
        </w:rPr>
        <w:t xml:space="preserve">, Step 5 U.S. Government employee in Washington.  </w:t>
      </w:r>
      <w:r w:rsidR="00665BA1">
        <w:rPr>
          <w:sz w:val="24"/>
        </w:rPr>
        <w:t xml:space="preserve">The average </w:t>
      </w:r>
      <w:r w:rsidR="00592AEA">
        <w:rPr>
          <w:sz w:val="24"/>
        </w:rPr>
        <w:t xml:space="preserve">compensation is $40 per hour in salary and $13 an hour in fringe benefits.  </w:t>
      </w:r>
      <w:r w:rsidR="00D41E39">
        <w:rPr>
          <w:sz w:val="24"/>
        </w:rPr>
        <w:t>The t</w:t>
      </w:r>
      <w:r w:rsidRPr="00B551D4" w:rsidR="00665BA1">
        <w:rPr>
          <w:sz w:val="24"/>
        </w:rPr>
        <w:t xml:space="preserve">otal annual burden for </w:t>
      </w:r>
      <w:r w:rsidR="008E6CB9">
        <w:rPr>
          <w:sz w:val="24"/>
        </w:rPr>
        <w:t xml:space="preserve">grant recipients is </w:t>
      </w:r>
      <w:r w:rsidR="00FB4276">
        <w:rPr>
          <w:sz w:val="24"/>
        </w:rPr>
        <w:t>84,971</w:t>
      </w:r>
      <w:r w:rsidR="008E6CB9">
        <w:rPr>
          <w:sz w:val="24"/>
        </w:rPr>
        <w:t xml:space="preserve"> </w:t>
      </w:r>
      <w:r w:rsidRPr="00B551D4" w:rsidR="00665BA1">
        <w:rPr>
          <w:sz w:val="24"/>
        </w:rPr>
        <w:t>hours</w:t>
      </w:r>
      <w:r w:rsidRPr="00B551D4" w:rsidR="0055798C">
        <w:rPr>
          <w:sz w:val="24"/>
        </w:rPr>
        <w:t xml:space="preserve">.  </w:t>
      </w:r>
      <w:r w:rsidRPr="00B551D4" w:rsidR="00665BA1">
        <w:rPr>
          <w:sz w:val="24"/>
        </w:rPr>
        <w:t xml:space="preserve">Total annualized cost to </w:t>
      </w:r>
      <w:r w:rsidR="008E6CB9">
        <w:rPr>
          <w:sz w:val="24"/>
        </w:rPr>
        <w:t xml:space="preserve">grant recipients </w:t>
      </w:r>
      <w:r w:rsidRPr="00B551D4" w:rsidR="00665BA1">
        <w:rPr>
          <w:sz w:val="24"/>
        </w:rPr>
        <w:t>is therefore $</w:t>
      </w:r>
      <w:r w:rsidR="00592AEA">
        <w:rPr>
          <w:sz w:val="24"/>
        </w:rPr>
        <w:t>4,503,463</w:t>
      </w:r>
      <w:r w:rsidRPr="00B551D4" w:rsidR="00665BA1">
        <w:rPr>
          <w:sz w:val="24"/>
        </w:rPr>
        <w:t xml:space="preserve"> </w:t>
      </w:r>
      <w:r w:rsidR="001221B2">
        <w:rPr>
          <w:sz w:val="24"/>
        </w:rPr>
        <w:t>(</w:t>
      </w:r>
      <w:r w:rsidR="00FB4276">
        <w:rPr>
          <w:sz w:val="24"/>
        </w:rPr>
        <w:t>84,971</w:t>
      </w:r>
      <w:r w:rsidR="003B7586">
        <w:rPr>
          <w:sz w:val="24"/>
        </w:rPr>
        <w:t xml:space="preserve"> </w:t>
      </w:r>
      <w:r w:rsidRPr="00B551D4" w:rsidR="00665BA1">
        <w:rPr>
          <w:sz w:val="24"/>
        </w:rPr>
        <w:t>hours x $</w:t>
      </w:r>
      <w:r w:rsidR="00592AEA">
        <w:rPr>
          <w:sz w:val="24"/>
        </w:rPr>
        <w:t>53</w:t>
      </w:r>
      <w:r w:rsidRPr="00B551D4" w:rsidR="00665BA1">
        <w:rPr>
          <w:sz w:val="24"/>
        </w:rPr>
        <w:t>/hour</w:t>
      </w:r>
      <w:r w:rsidR="001221B2">
        <w:rPr>
          <w:sz w:val="24"/>
        </w:rPr>
        <w:t>)</w:t>
      </w:r>
      <w:r w:rsidRPr="00B551D4" w:rsidR="00665BA1">
        <w:rPr>
          <w:sz w:val="24"/>
        </w:rPr>
        <w:t>.</w:t>
      </w:r>
      <w:r w:rsidR="00592AEA">
        <w:rPr>
          <w:sz w:val="24"/>
        </w:rPr>
        <w:t xml:space="preserve">  This estimate is higher than our estimate provided in 2017 due to inflation and the addition of fringe benefits.</w:t>
      </w:r>
    </w:p>
    <w:p w:rsidRPr="00B551D4" w:rsidR="00665BA1" w:rsidRDefault="00665BA1" w14:paraId="595911FA"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551D4" w:rsidR="00665BA1" w:rsidP="001221B2" w:rsidRDefault="00665BA1" w14:paraId="49139197" w14:textId="4203547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21B2">
        <w:rPr>
          <w:sz w:val="24"/>
        </w:rPr>
        <w:t xml:space="preserve">The average annual salary for a </w:t>
      </w:r>
      <w:r w:rsidRPr="001221B2" w:rsidR="00D16FEF">
        <w:rPr>
          <w:sz w:val="24"/>
        </w:rPr>
        <w:t>freight forwarder</w:t>
      </w:r>
      <w:r w:rsidRPr="001221B2" w:rsidR="003970D3">
        <w:rPr>
          <w:sz w:val="24"/>
        </w:rPr>
        <w:t xml:space="preserve"> </w:t>
      </w:r>
      <w:r w:rsidRPr="001221B2">
        <w:rPr>
          <w:sz w:val="24"/>
        </w:rPr>
        <w:t xml:space="preserve">is estimated at the GS-13/Step 5 level, or </w:t>
      </w:r>
      <w:r w:rsidRPr="001221B2" w:rsidR="001221B2">
        <w:rPr>
          <w:sz w:val="24"/>
        </w:rPr>
        <w:t>$</w:t>
      </w:r>
      <w:r w:rsidR="00EA41FB">
        <w:rPr>
          <w:sz w:val="24"/>
        </w:rPr>
        <w:t>106,080</w:t>
      </w:r>
      <w:r w:rsidRPr="001221B2" w:rsidR="0055798C">
        <w:rPr>
          <w:sz w:val="24"/>
        </w:rPr>
        <w:t>.</w:t>
      </w:r>
      <w:r w:rsidRPr="001221B2">
        <w:rPr>
          <w:sz w:val="24"/>
        </w:rPr>
        <w:t xml:space="preserve">  The average salary </w:t>
      </w:r>
      <w:r w:rsidR="00592AEA">
        <w:rPr>
          <w:sz w:val="24"/>
        </w:rPr>
        <w:t xml:space="preserve">and fringe benefits is </w:t>
      </w:r>
      <w:r w:rsidRPr="001221B2">
        <w:rPr>
          <w:sz w:val="24"/>
        </w:rPr>
        <w:t>about $</w:t>
      </w:r>
      <w:r w:rsidR="00592AEA">
        <w:rPr>
          <w:sz w:val="24"/>
        </w:rPr>
        <w:t>75</w:t>
      </w:r>
      <w:r w:rsidRPr="001221B2">
        <w:rPr>
          <w:sz w:val="24"/>
        </w:rPr>
        <w:t xml:space="preserve"> per hour</w:t>
      </w:r>
      <w:r w:rsidRPr="001221B2" w:rsidR="0055798C">
        <w:rPr>
          <w:sz w:val="24"/>
        </w:rPr>
        <w:t xml:space="preserve">.  </w:t>
      </w:r>
      <w:r w:rsidRPr="001221B2">
        <w:rPr>
          <w:sz w:val="24"/>
        </w:rPr>
        <w:t>T</w:t>
      </w:r>
      <w:r w:rsidR="00D41E39">
        <w:rPr>
          <w:sz w:val="24"/>
        </w:rPr>
        <w:t>he t</w:t>
      </w:r>
      <w:r w:rsidRPr="001221B2">
        <w:rPr>
          <w:sz w:val="24"/>
        </w:rPr>
        <w:t xml:space="preserve">otal annual burden for </w:t>
      </w:r>
      <w:r w:rsidRPr="001221B2" w:rsidR="00D16FEF">
        <w:rPr>
          <w:sz w:val="24"/>
        </w:rPr>
        <w:t>freight forwarder</w:t>
      </w:r>
      <w:r w:rsidRPr="001221B2">
        <w:rPr>
          <w:sz w:val="24"/>
        </w:rPr>
        <w:t xml:space="preserve">s </w:t>
      </w:r>
      <w:r w:rsidRPr="001221B2" w:rsidR="0055798C">
        <w:rPr>
          <w:sz w:val="24"/>
        </w:rPr>
        <w:t xml:space="preserve">is </w:t>
      </w:r>
      <w:r w:rsidR="00EA41FB">
        <w:rPr>
          <w:sz w:val="24"/>
        </w:rPr>
        <w:t>1,</w:t>
      </w:r>
      <w:r w:rsidR="00FB4276">
        <w:rPr>
          <w:sz w:val="24"/>
        </w:rPr>
        <w:t>487</w:t>
      </w:r>
      <w:r w:rsidRPr="001221B2" w:rsidR="0055798C">
        <w:rPr>
          <w:sz w:val="24"/>
        </w:rPr>
        <w:t xml:space="preserve"> </w:t>
      </w:r>
      <w:r w:rsidRPr="001221B2">
        <w:rPr>
          <w:sz w:val="24"/>
        </w:rPr>
        <w:t>hours</w:t>
      </w:r>
      <w:r w:rsidR="008438CB">
        <w:rPr>
          <w:sz w:val="24"/>
        </w:rPr>
        <w:t xml:space="preserve">, and </w:t>
      </w:r>
      <w:r w:rsidRPr="001221B2" w:rsidR="001221B2">
        <w:rPr>
          <w:sz w:val="24"/>
        </w:rPr>
        <w:t>the</w:t>
      </w:r>
      <w:r w:rsidRPr="001221B2">
        <w:rPr>
          <w:sz w:val="24"/>
        </w:rPr>
        <w:t xml:space="preserve"> </w:t>
      </w:r>
      <w:r w:rsidRPr="001221B2" w:rsidR="00F84DA4">
        <w:rPr>
          <w:sz w:val="24"/>
        </w:rPr>
        <w:t>t</w:t>
      </w:r>
      <w:r w:rsidRPr="001221B2">
        <w:rPr>
          <w:sz w:val="24"/>
        </w:rPr>
        <w:t xml:space="preserve">otal annualized cost to </w:t>
      </w:r>
      <w:r w:rsidRPr="001221B2" w:rsidR="00D16FEF">
        <w:rPr>
          <w:sz w:val="24"/>
        </w:rPr>
        <w:t>freight forwarder</w:t>
      </w:r>
      <w:r w:rsidRPr="001221B2">
        <w:rPr>
          <w:sz w:val="24"/>
        </w:rPr>
        <w:t>s is $</w:t>
      </w:r>
      <w:r w:rsidR="00592AEA">
        <w:rPr>
          <w:sz w:val="24"/>
        </w:rPr>
        <w:t>111,525</w:t>
      </w:r>
      <w:r w:rsidR="008438CB">
        <w:rPr>
          <w:sz w:val="24"/>
        </w:rPr>
        <w:t xml:space="preserve"> </w:t>
      </w:r>
      <w:r w:rsidR="001221B2">
        <w:rPr>
          <w:sz w:val="24"/>
        </w:rPr>
        <w:t>(</w:t>
      </w:r>
      <w:r w:rsidR="008438CB">
        <w:rPr>
          <w:sz w:val="24"/>
        </w:rPr>
        <w:t>1,</w:t>
      </w:r>
      <w:r w:rsidR="00FB4276">
        <w:rPr>
          <w:sz w:val="24"/>
        </w:rPr>
        <w:t>487</w:t>
      </w:r>
      <w:r w:rsidRPr="001221B2">
        <w:rPr>
          <w:sz w:val="24"/>
        </w:rPr>
        <w:t xml:space="preserve"> hours x $</w:t>
      </w:r>
      <w:r w:rsidR="00592AEA">
        <w:rPr>
          <w:sz w:val="24"/>
        </w:rPr>
        <w:t>75</w:t>
      </w:r>
      <w:r w:rsidRPr="001221B2">
        <w:rPr>
          <w:sz w:val="24"/>
        </w:rPr>
        <w:t>/hour</w:t>
      </w:r>
      <w:r w:rsidR="001221B2">
        <w:rPr>
          <w:sz w:val="24"/>
        </w:rPr>
        <w:t>)</w:t>
      </w:r>
      <w:r w:rsidRPr="001221B2">
        <w:rPr>
          <w:sz w:val="24"/>
        </w:rPr>
        <w:t>.</w:t>
      </w:r>
      <w:r w:rsidRPr="001221B2" w:rsidR="003970D3">
        <w:rPr>
          <w:sz w:val="24"/>
        </w:rPr>
        <w:t xml:space="preserve">  </w:t>
      </w:r>
      <w:r w:rsidRPr="001221B2" w:rsidR="00F84DA4">
        <w:rPr>
          <w:sz w:val="24"/>
        </w:rPr>
        <w:t>A</w:t>
      </w:r>
      <w:r w:rsidR="00F84DA4">
        <w:rPr>
          <w:sz w:val="24"/>
        </w:rPr>
        <w:t xml:space="preserve">dditionally, </w:t>
      </w:r>
      <w:r w:rsidR="001221B2">
        <w:rPr>
          <w:sz w:val="24"/>
        </w:rPr>
        <w:t xml:space="preserve">the </w:t>
      </w:r>
      <w:r w:rsidR="00F84DA4">
        <w:rPr>
          <w:sz w:val="24"/>
        </w:rPr>
        <w:t>t</w:t>
      </w:r>
      <w:r w:rsidRPr="00B551D4">
        <w:rPr>
          <w:sz w:val="24"/>
        </w:rPr>
        <w:t xml:space="preserve">otal annual burden for ship owners/brokers is </w:t>
      </w:r>
      <w:r w:rsidRPr="00B551D4" w:rsidR="0055798C">
        <w:rPr>
          <w:sz w:val="24"/>
        </w:rPr>
        <w:t xml:space="preserve">about </w:t>
      </w:r>
      <w:r w:rsidR="00FB4276">
        <w:rPr>
          <w:sz w:val="24"/>
        </w:rPr>
        <w:t>2,921</w:t>
      </w:r>
      <w:r w:rsidR="003A7765">
        <w:rPr>
          <w:sz w:val="24"/>
        </w:rPr>
        <w:t xml:space="preserve"> </w:t>
      </w:r>
      <w:r w:rsidRPr="00B551D4">
        <w:rPr>
          <w:sz w:val="24"/>
        </w:rPr>
        <w:t>hours.  T</w:t>
      </w:r>
      <w:r w:rsidR="001221B2">
        <w:rPr>
          <w:sz w:val="24"/>
        </w:rPr>
        <w:t>he t</w:t>
      </w:r>
      <w:r w:rsidR="00D41E39">
        <w:rPr>
          <w:sz w:val="24"/>
        </w:rPr>
        <w:t xml:space="preserve">otal annualized cost to ship </w:t>
      </w:r>
      <w:r w:rsidRPr="00B551D4">
        <w:rPr>
          <w:sz w:val="24"/>
        </w:rPr>
        <w:t>owners/brokers is</w:t>
      </w:r>
      <w:r w:rsidR="001221B2">
        <w:rPr>
          <w:sz w:val="24"/>
        </w:rPr>
        <w:t xml:space="preserve"> thus</w:t>
      </w:r>
      <w:r w:rsidRPr="00B551D4">
        <w:rPr>
          <w:sz w:val="24"/>
        </w:rPr>
        <w:t xml:space="preserve"> </w:t>
      </w:r>
      <w:r w:rsidRPr="00B551D4" w:rsidR="00F22220">
        <w:rPr>
          <w:sz w:val="24"/>
        </w:rPr>
        <w:t xml:space="preserve">estimated </w:t>
      </w:r>
      <w:r w:rsidR="001221B2">
        <w:rPr>
          <w:sz w:val="24"/>
        </w:rPr>
        <w:t>to be</w:t>
      </w:r>
      <w:r w:rsidRPr="00B551D4" w:rsidR="00F22220">
        <w:rPr>
          <w:sz w:val="24"/>
        </w:rPr>
        <w:t xml:space="preserve"> </w:t>
      </w:r>
      <w:r w:rsidRPr="001221B2">
        <w:rPr>
          <w:sz w:val="24"/>
        </w:rPr>
        <w:t>$</w:t>
      </w:r>
      <w:r w:rsidR="00592AEA">
        <w:rPr>
          <w:sz w:val="24"/>
        </w:rPr>
        <w:t>219,075</w:t>
      </w:r>
      <w:r w:rsidRPr="00B551D4">
        <w:rPr>
          <w:sz w:val="24"/>
        </w:rPr>
        <w:t xml:space="preserve"> </w:t>
      </w:r>
      <w:r w:rsidR="001221B2">
        <w:rPr>
          <w:sz w:val="24"/>
        </w:rPr>
        <w:t>(</w:t>
      </w:r>
      <w:r w:rsidR="00FB4276">
        <w:rPr>
          <w:sz w:val="24"/>
        </w:rPr>
        <w:t>2,921</w:t>
      </w:r>
      <w:r w:rsidRPr="00B551D4">
        <w:rPr>
          <w:sz w:val="24"/>
        </w:rPr>
        <w:t xml:space="preserve"> hours x </w:t>
      </w:r>
      <w:r w:rsidRPr="001221B2">
        <w:rPr>
          <w:sz w:val="24"/>
        </w:rPr>
        <w:t>$</w:t>
      </w:r>
      <w:r w:rsidR="00592AEA">
        <w:rPr>
          <w:sz w:val="24"/>
        </w:rPr>
        <w:t>75</w:t>
      </w:r>
      <w:r w:rsidRPr="001221B2">
        <w:rPr>
          <w:sz w:val="24"/>
        </w:rPr>
        <w:t>/hour</w:t>
      </w:r>
      <w:r w:rsidR="001221B2">
        <w:rPr>
          <w:sz w:val="24"/>
        </w:rPr>
        <w:t>)</w:t>
      </w:r>
      <w:r w:rsidRPr="00B551D4">
        <w:rPr>
          <w:sz w:val="24"/>
        </w:rPr>
        <w:t>.</w:t>
      </w:r>
    </w:p>
    <w:p w:rsidRPr="00B551D4" w:rsidR="00665BA1" w:rsidP="001221B2" w:rsidRDefault="00665BA1" w14:paraId="0EC52BAB"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551D4" w:rsidR="00665BA1" w:rsidP="008F722B" w:rsidRDefault="00665BA1" w14:paraId="3D29027B" w14:textId="79848A8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551D4">
        <w:rPr>
          <w:sz w:val="24"/>
        </w:rPr>
        <w:lastRenderedPageBreak/>
        <w:t>The average annual salary for a discharge survey company employee is es</w:t>
      </w:r>
      <w:r w:rsidRPr="00B551D4" w:rsidR="0060523C">
        <w:rPr>
          <w:sz w:val="24"/>
        </w:rPr>
        <w:t xml:space="preserve">timated at the GS-9/Step 5 level, or </w:t>
      </w:r>
      <w:r w:rsidR="008F722B">
        <w:rPr>
          <w:sz w:val="24"/>
        </w:rPr>
        <w:t>$</w:t>
      </w:r>
      <w:r w:rsidR="00EA41FB">
        <w:rPr>
          <w:rFonts w:eastAsia="Arial Unicode MS"/>
          <w:sz w:val="24"/>
        </w:rPr>
        <w:t>62,400</w:t>
      </w:r>
      <w:r w:rsidR="00592AEA">
        <w:rPr>
          <w:rFonts w:eastAsia="Arial Unicode MS"/>
          <w:sz w:val="24"/>
        </w:rPr>
        <w:t xml:space="preserve">.  With fringe benefits added, the hourly compensation rate is $43 </w:t>
      </w:r>
      <w:r w:rsidRPr="008F722B" w:rsidR="003A7765">
        <w:rPr>
          <w:sz w:val="24"/>
        </w:rPr>
        <w:t>per hour</w:t>
      </w:r>
      <w:r w:rsidRPr="008F722B" w:rsidR="0060523C">
        <w:rPr>
          <w:sz w:val="24"/>
        </w:rPr>
        <w:t xml:space="preserve">.  </w:t>
      </w:r>
      <w:r w:rsidRPr="008F722B" w:rsidR="00487738">
        <w:rPr>
          <w:sz w:val="24"/>
        </w:rPr>
        <w:t>(</w:t>
      </w:r>
      <w:r w:rsidRPr="008F722B">
        <w:rPr>
          <w:sz w:val="24"/>
        </w:rPr>
        <w:t>These salar</w:t>
      </w:r>
      <w:r w:rsidRPr="008F722B" w:rsidR="0060523C">
        <w:rPr>
          <w:sz w:val="24"/>
        </w:rPr>
        <w:t>y estimates were obtained previously th</w:t>
      </w:r>
      <w:r w:rsidRPr="008F722B">
        <w:rPr>
          <w:sz w:val="24"/>
        </w:rPr>
        <w:t>rough discussions with a USDA</w:t>
      </w:r>
      <w:r w:rsidRPr="00B551D4">
        <w:rPr>
          <w:sz w:val="24"/>
        </w:rPr>
        <w:t xml:space="preserve"> transportation specialist from the Kansas City Commo</w:t>
      </w:r>
      <w:r w:rsidR="00D41E39">
        <w:rPr>
          <w:sz w:val="24"/>
        </w:rPr>
        <w:t>dity Office, who regularly deal</w:t>
      </w:r>
      <w:r w:rsidRPr="00B551D4">
        <w:rPr>
          <w:sz w:val="24"/>
        </w:rPr>
        <w:t xml:space="preserve"> with survey companies.  </w:t>
      </w:r>
      <w:r w:rsidR="00487738">
        <w:rPr>
          <w:sz w:val="24"/>
        </w:rPr>
        <w:t xml:space="preserve">Note that </w:t>
      </w:r>
      <w:r w:rsidRPr="00B551D4">
        <w:rPr>
          <w:sz w:val="24"/>
        </w:rPr>
        <w:t xml:space="preserve">discharge surveys are performed at overseas ports, </w:t>
      </w:r>
      <w:r w:rsidR="00487738">
        <w:rPr>
          <w:sz w:val="24"/>
        </w:rPr>
        <w:t xml:space="preserve">where </w:t>
      </w:r>
      <w:r w:rsidRPr="00B551D4">
        <w:rPr>
          <w:sz w:val="24"/>
        </w:rPr>
        <w:t>the salaries are</w:t>
      </w:r>
      <w:r w:rsidR="00D41E39">
        <w:rPr>
          <w:sz w:val="24"/>
        </w:rPr>
        <w:t xml:space="preserve"> typically</w:t>
      </w:r>
      <w:r w:rsidRPr="00B551D4">
        <w:rPr>
          <w:sz w:val="24"/>
        </w:rPr>
        <w:t xml:space="preserve"> lower than what </w:t>
      </w:r>
      <w:r w:rsidR="003A7765">
        <w:rPr>
          <w:sz w:val="24"/>
        </w:rPr>
        <w:t>an equivalent</w:t>
      </w:r>
      <w:r w:rsidRPr="00B551D4">
        <w:rPr>
          <w:sz w:val="24"/>
        </w:rPr>
        <w:t xml:space="preserve"> worker earn</w:t>
      </w:r>
      <w:r w:rsidR="00D41E39">
        <w:rPr>
          <w:sz w:val="24"/>
        </w:rPr>
        <w:t>s</w:t>
      </w:r>
      <w:r w:rsidRPr="00B551D4">
        <w:rPr>
          <w:sz w:val="24"/>
        </w:rPr>
        <w:t xml:space="preserve"> in the </w:t>
      </w:r>
      <w:smartTag w:uri="urn:schemas-microsoft-com:office:smarttags" w:element="country-region">
        <w:smartTag w:uri="urn:schemas-microsoft-com:office:smarttags" w:element="place">
          <w:r w:rsidRPr="00B551D4">
            <w:rPr>
              <w:sz w:val="24"/>
            </w:rPr>
            <w:t>United States</w:t>
          </w:r>
        </w:smartTag>
      </w:smartTag>
      <w:r w:rsidRPr="00B551D4">
        <w:rPr>
          <w:sz w:val="24"/>
        </w:rPr>
        <w:t>.</w:t>
      </w:r>
      <w:r w:rsidR="003A7765">
        <w:rPr>
          <w:sz w:val="24"/>
        </w:rPr>
        <w:t>)</w:t>
      </w:r>
      <w:r w:rsidRPr="00B551D4">
        <w:rPr>
          <w:sz w:val="24"/>
        </w:rPr>
        <w:t xml:space="preserve">  T</w:t>
      </w:r>
      <w:r w:rsidR="00D41E39">
        <w:rPr>
          <w:sz w:val="24"/>
        </w:rPr>
        <w:t>he t</w:t>
      </w:r>
      <w:r w:rsidRPr="00B551D4">
        <w:rPr>
          <w:sz w:val="24"/>
        </w:rPr>
        <w:t xml:space="preserve">otal annual burden for survey companies </w:t>
      </w:r>
      <w:r w:rsidR="00FB4276">
        <w:rPr>
          <w:sz w:val="24"/>
        </w:rPr>
        <w:t>187</w:t>
      </w:r>
      <w:r w:rsidR="008438CB">
        <w:rPr>
          <w:sz w:val="24"/>
        </w:rPr>
        <w:t xml:space="preserve"> </w:t>
      </w:r>
      <w:r w:rsidRPr="00B551D4">
        <w:rPr>
          <w:sz w:val="24"/>
        </w:rPr>
        <w:t xml:space="preserve">hours.  Total annualized cost to survey companies is therefore </w:t>
      </w:r>
      <w:r w:rsidRPr="008F722B">
        <w:rPr>
          <w:sz w:val="24"/>
        </w:rPr>
        <w:t>$</w:t>
      </w:r>
      <w:r w:rsidR="00592AEA">
        <w:rPr>
          <w:sz w:val="24"/>
        </w:rPr>
        <w:t>8,041</w:t>
      </w:r>
      <w:r w:rsidR="008438CB">
        <w:rPr>
          <w:sz w:val="24"/>
        </w:rPr>
        <w:t xml:space="preserve"> (</w:t>
      </w:r>
      <w:r w:rsidR="00FB4276">
        <w:rPr>
          <w:sz w:val="24"/>
        </w:rPr>
        <w:t>187</w:t>
      </w:r>
      <w:r w:rsidRPr="00B551D4" w:rsidR="00487738">
        <w:rPr>
          <w:sz w:val="24"/>
        </w:rPr>
        <w:t xml:space="preserve"> </w:t>
      </w:r>
      <w:r w:rsidRPr="00B551D4">
        <w:rPr>
          <w:sz w:val="24"/>
        </w:rPr>
        <w:t xml:space="preserve">hours x </w:t>
      </w:r>
      <w:r w:rsidRPr="008F722B">
        <w:rPr>
          <w:sz w:val="24"/>
        </w:rPr>
        <w:t>$</w:t>
      </w:r>
      <w:r w:rsidR="00592AEA">
        <w:rPr>
          <w:sz w:val="24"/>
        </w:rPr>
        <w:t>43</w:t>
      </w:r>
      <w:r w:rsidRPr="008F722B">
        <w:rPr>
          <w:sz w:val="24"/>
        </w:rPr>
        <w:t>/hour</w:t>
      </w:r>
      <w:r w:rsidR="008438CB">
        <w:rPr>
          <w:sz w:val="24"/>
        </w:rPr>
        <w:t>)</w:t>
      </w:r>
      <w:r w:rsidRPr="00B551D4">
        <w:rPr>
          <w:sz w:val="24"/>
        </w:rPr>
        <w:t>.</w:t>
      </w:r>
    </w:p>
    <w:p w:rsidRPr="00B551D4" w:rsidR="00665BA1" w:rsidP="001221B2" w:rsidRDefault="00665BA1" w14:paraId="69510DD6"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BA1" w:rsidP="001221B2" w:rsidRDefault="00087E7F" w14:paraId="658CACD2" w14:textId="770CF56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t</w:t>
      </w:r>
      <w:r w:rsidRPr="00B551D4" w:rsidR="00665BA1">
        <w:rPr>
          <w:sz w:val="24"/>
        </w:rPr>
        <w:t xml:space="preserve">otal annualized cost to all respondents associated with </w:t>
      </w:r>
      <w:r w:rsidR="00E90359">
        <w:rPr>
          <w:sz w:val="24"/>
        </w:rPr>
        <w:t>food assistance</w:t>
      </w:r>
      <w:r w:rsidRPr="00B551D4" w:rsidR="00E90359">
        <w:rPr>
          <w:sz w:val="24"/>
        </w:rPr>
        <w:t xml:space="preserve"> </w:t>
      </w:r>
      <w:r w:rsidRPr="00B551D4" w:rsidR="00665BA1">
        <w:rPr>
          <w:sz w:val="24"/>
        </w:rPr>
        <w:t xml:space="preserve">information collection is </w:t>
      </w:r>
      <w:r w:rsidRPr="00832D8C" w:rsidR="00665BA1">
        <w:rPr>
          <w:b/>
          <w:sz w:val="24"/>
        </w:rPr>
        <w:t>$</w:t>
      </w:r>
      <w:r w:rsidR="00592AEA">
        <w:rPr>
          <w:b/>
          <w:sz w:val="24"/>
        </w:rPr>
        <w:t>4,842,104</w:t>
      </w:r>
      <w:r w:rsidRPr="00B551D4" w:rsidR="00665BA1">
        <w:rPr>
          <w:sz w:val="24"/>
        </w:rPr>
        <w:t>.</w:t>
      </w:r>
      <w:r w:rsidR="00592AEA">
        <w:rPr>
          <w:sz w:val="24"/>
        </w:rPr>
        <w:t xml:space="preserve">  The total estimate is higher than the estimated provided in 2017 due to inflation and the addition of fringe benefits.</w:t>
      </w:r>
    </w:p>
    <w:p w:rsidR="00E36294" w:rsidRDefault="00E36294" w14:paraId="60CEEB93"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B3B51" w:rsidRDefault="00BB3B51" w14:paraId="7D3046D5"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64F9A" w:rsidRDefault="00665BA1" w14:paraId="401A50D1"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 xml:space="preserve">13.  Provide estimates of the total annual cost burden to respondents or record keepers resulting from the collection of information (do not include the cost of any hour burden shown in items 12 and 14). </w:t>
      </w:r>
    </w:p>
    <w:p w:rsidR="00665BA1" w:rsidRDefault="00665BA1" w14:paraId="4C9B2A15"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BA1" w:rsidRDefault="00665BA1" w14:paraId="77AA3E65"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is no </w:t>
      </w:r>
      <w:r w:rsidR="00B64F9A">
        <w:rPr>
          <w:sz w:val="24"/>
        </w:rPr>
        <w:t>additional</w:t>
      </w:r>
      <w:r>
        <w:rPr>
          <w:sz w:val="24"/>
        </w:rPr>
        <w:t xml:space="preserve"> cost</w:t>
      </w:r>
      <w:r w:rsidR="00B64F9A">
        <w:rPr>
          <w:sz w:val="24"/>
        </w:rPr>
        <w:t xml:space="preserve"> </w:t>
      </w:r>
      <w:r>
        <w:rPr>
          <w:sz w:val="24"/>
        </w:rPr>
        <w:t xml:space="preserve">to respondents or record keepers resulting from this </w:t>
      </w:r>
      <w:r w:rsidR="00B64F9A">
        <w:rPr>
          <w:sz w:val="24"/>
        </w:rPr>
        <w:t xml:space="preserve">information </w:t>
      </w:r>
      <w:r>
        <w:rPr>
          <w:sz w:val="24"/>
        </w:rPr>
        <w:t>collection.</w:t>
      </w:r>
      <w:r w:rsidR="00B64F9A">
        <w:rPr>
          <w:sz w:val="24"/>
        </w:rPr>
        <w:t xml:space="preserve">  All costs have been covered in questions 12 and 14.</w:t>
      </w:r>
    </w:p>
    <w:p w:rsidR="00665BA1" w:rsidP="00580A44" w:rsidRDefault="00665BA1" w14:paraId="59288F91"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B3B51" w:rsidP="00580A44" w:rsidRDefault="00BB3B51" w14:paraId="041896A8"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BA1" w:rsidRDefault="00665BA1" w14:paraId="3E584A80" w14:textId="77777777">
      <w:pPr>
        <w:numPr>
          <w:ilvl w:val="0"/>
          <w:numId w:val="8"/>
        </w:numPr>
        <w:tabs>
          <w:tab w:val="clear" w:pos="780"/>
          <w:tab w:val="left" w:pos="-1080"/>
          <w:tab w:val="left" w:pos="-720"/>
          <w:tab w:val="num"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sz w:val="24"/>
        </w:rPr>
      </w:pPr>
      <w:r>
        <w:rPr>
          <w:b/>
          <w:bCs/>
          <w:sz w:val="24"/>
        </w:rPr>
        <w:t>Provide estimates of annualized cost to the Federal government.  Provide a description of the method used to estimate cost and any other expense that would not have been incurred without this collection of information.</w:t>
      </w:r>
    </w:p>
    <w:p w:rsidR="00665BA1" w:rsidRDefault="00665BA1" w14:paraId="5C2EF56D"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24681B" w:rsidRDefault="00D67674" w14:paraId="108A4A24" w14:textId="1813BA47">
      <w:pPr>
        <w:pStyle w:val="BodyText2"/>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681B">
        <w:t>We estimate that the annualized cost of this information collection to the Federal Government is</w:t>
      </w:r>
      <w:r w:rsidRPr="0024681B" w:rsidR="00B8626E">
        <w:t xml:space="preserve"> </w:t>
      </w:r>
      <w:r w:rsidRPr="0024681B" w:rsidR="00B8626E">
        <w:rPr>
          <w:b/>
        </w:rPr>
        <w:t>$</w:t>
      </w:r>
      <w:r w:rsidR="000D616E">
        <w:rPr>
          <w:b/>
        </w:rPr>
        <w:t>4,076,285</w:t>
      </w:r>
      <w:r w:rsidR="00E90B55">
        <w:t xml:space="preserve">, which consists of </w:t>
      </w:r>
      <w:r w:rsidRPr="0024681B" w:rsidR="00B8626E">
        <w:t>$</w:t>
      </w:r>
      <w:r w:rsidR="000D616E">
        <w:t>2,289,993</w:t>
      </w:r>
      <w:r w:rsidR="00D3260F">
        <w:t xml:space="preserve"> </w:t>
      </w:r>
      <w:r w:rsidRPr="0024681B">
        <w:t>in labor costs</w:t>
      </w:r>
      <w:r w:rsidR="00D3260F">
        <w:t xml:space="preserve">, </w:t>
      </w:r>
      <w:r w:rsidRPr="0024681B">
        <w:t>$</w:t>
      </w:r>
      <w:r w:rsidR="00567513">
        <w:t>558,645</w:t>
      </w:r>
      <w:r w:rsidR="00355ADA">
        <w:t xml:space="preserve"> </w:t>
      </w:r>
      <w:r w:rsidRPr="0024681B">
        <w:t xml:space="preserve">for the </w:t>
      </w:r>
      <w:r w:rsidR="00E90B55">
        <w:t>Food Aid Information System</w:t>
      </w:r>
      <w:r w:rsidR="00D3260F">
        <w:t>, and $</w:t>
      </w:r>
      <w:r w:rsidR="00567513">
        <w:t>1,227,647</w:t>
      </w:r>
      <w:r w:rsidR="00D3260F">
        <w:t xml:space="preserve"> for FAS’ portion of the Web-Based Supply Chain Management System</w:t>
      </w:r>
      <w:r w:rsidR="00E90B55">
        <w:t>.</w:t>
      </w:r>
      <w:r w:rsidR="00D3260F">
        <w:t xml:space="preserve"> </w:t>
      </w:r>
      <w:r w:rsidRPr="0024681B" w:rsidR="003534E5">
        <w:t>This information is captured in Table 1 below.</w:t>
      </w:r>
      <w:r>
        <w:t xml:space="preserve">  </w:t>
      </w:r>
    </w:p>
    <w:p w:rsidR="0024681B" w:rsidRDefault="0024681B" w14:paraId="244AFE01" w14:textId="77777777">
      <w:pPr>
        <w:pStyle w:val="BodyText2"/>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5BA1" w:rsidRDefault="00D571D8" w14:paraId="6BFF254E" w14:textId="77777777">
      <w:pPr>
        <w:pStyle w:val="BodyText2"/>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Additionally, Table 2 further br</w:t>
      </w:r>
      <w:r w:rsidR="00022BE5">
        <w:t>e</w:t>
      </w:r>
      <w:r>
        <w:t xml:space="preserve">aks down the </w:t>
      </w:r>
      <w:r w:rsidR="00022BE5">
        <w:t xml:space="preserve">labor costs </w:t>
      </w:r>
      <w:r w:rsidR="00355ADA">
        <w:t xml:space="preserve">of </w:t>
      </w:r>
      <w:r w:rsidR="00022BE5">
        <w:t xml:space="preserve">the </w:t>
      </w:r>
      <w:r w:rsidR="00B318D6">
        <w:t>Federal Government</w:t>
      </w:r>
      <w:r>
        <w:t>.</w:t>
      </w:r>
      <w:r w:rsidR="00022BE5">
        <w:t xml:space="preserve">  </w:t>
      </w:r>
      <w:r w:rsidR="00157D65">
        <w:t>Table 2 uses</w:t>
      </w:r>
      <w:r w:rsidR="00665BA1">
        <w:t xml:space="preserve"> the number of people</w:t>
      </w:r>
      <w:r w:rsidR="00157D65">
        <w:t xml:space="preserve">, their </w:t>
      </w:r>
      <w:r w:rsidR="00665BA1">
        <w:t>grades</w:t>
      </w:r>
      <w:r w:rsidR="00157D65">
        <w:t>, and the percent of time that they spend on information collection to calculate the total</w:t>
      </w:r>
      <w:r w:rsidR="00F563E1">
        <w:t xml:space="preserve"> associated</w:t>
      </w:r>
      <w:r w:rsidR="00157D65">
        <w:t xml:space="preserve"> labor cost</w:t>
      </w:r>
      <w:r w:rsidR="00665BA1">
        <w:t>.</w:t>
      </w:r>
      <w:r w:rsidR="00157D65">
        <w:t xml:space="preserve"> </w:t>
      </w:r>
    </w:p>
    <w:p w:rsidR="00665BA1" w:rsidRDefault="00665BA1" w14:paraId="36472356"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tbl>
      <w:tblPr>
        <w:tblW w:w="0" w:type="auto"/>
        <w:jc w:val="center"/>
        <w:tblLayout w:type="fixed"/>
        <w:tblCellMar>
          <w:left w:w="120" w:type="dxa"/>
          <w:right w:w="120" w:type="dxa"/>
        </w:tblCellMar>
        <w:tblLook w:val="0000" w:firstRow="0" w:lastRow="0" w:firstColumn="0" w:lastColumn="0" w:noHBand="0" w:noVBand="0"/>
      </w:tblPr>
      <w:tblGrid>
        <w:gridCol w:w="3510"/>
        <w:gridCol w:w="89"/>
        <w:gridCol w:w="1783"/>
        <w:gridCol w:w="1872"/>
        <w:gridCol w:w="1872"/>
        <w:gridCol w:w="257"/>
        <w:gridCol w:w="1615"/>
        <w:gridCol w:w="1872"/>
        <w:gridCol w:w="23"/>
      </w:tblGrid>
      <w:tr w:rsidR="00D67674" w:rsidTr="00BB3B51" w14:paraId="0603917A" w14:textId="77777777">
        <w:trPr>
          <w:gridBefore w:val="1"/>
          <w:wBefore w:w="3510" w:type="dxa"/>
          <w:trHeight w:val="352"/>
          <w:jc w:val="center"/>
        </w:trPr>
        <w:tc>
          <w:tcPr>
            <w:tcW w:w="9383" w:type="dxa"/>
            <w:gridSpan w:val="8"/>
            <w:tcBorders>
              <w:top w:val="single" w:color="000000" w:sz="7" w:space="0"/>
              <w:left w:val="single" w:color="000000" w:sz="7" w:space="0"/>
              <w:bottom w:val="single" w:color="000000" w:sz="7" w:space="0"/>
              <w:right w:val="single" w:color="000000" w:sz="7" w:space="0"/>
            </w:tcBorders>
            <w:vAlign w:val="center"/>
          </w:tcPr>
          <w:p w:rsidRPr="00BD5049" w:rsidR="00D67674" w:rsidP="008C7DB9" w:rsidRDefault="00D67674" w14:paraId="622379C6"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0"/>
                <w:szCs w:val="30"/>
              </w:rPr>
            </w:pPr>
            <w:r w:rsidRPr="00BD5049">
              <w:rPr>
                <w:b/>
                <w:bCs/>
                <w:iCs/>
                <w:sz w:val="30"/>
                <w:szCs w:val="30"/>
              </w:rPr>
              <w:t xml:space="preserve">Table </w:t>
            </w:r>
            <w:r w:rsidR="003534E5">
              <w:rPr>
                <w:b/>
                <w:bCs/>
                <w:iCs/>
                <w:sz w:val="30"/>
                <w:szCs w:val="30"/>
              </w:rPr>
              <w:t>1</w:t>
            </w:r>
            <w:r>
              <w:rPr>
                <w:b/>
                <w:bCs/>
                <w:iCs/>
                <w:sz w:val="30"/>
                <w:szCs w:val="30"/>
              </w:rPr>
              <w:t>:</w:t>
            </w:r>
            <w:r w:rsidRPr="00BD5049">
              <w:rPr>
                <w:b/>
                <w:bCs/>
                <w:iCs/>
                <w:sz w:val="30"/>
                <w:szCs w:val="30"/>
              </w:rPr>
              <w:t xml:space="preserve"> Total Federal Government Costs</w:t>
            </w:r>
          </w:p>
        </w:tc>
      </w:tr>
      <w:tr w:rsidR="00D67674" w:rsidTr="00BB3B51" w14:paraId="7FDA76E2" w14:textId="77777777">
        <w:trPr>
          <w:gridAfter w:val="3"/>
          <w:wAfter w:w="3510" w:type="dxa"/>
          <w:jc w:val="center"/>
        </w:trPr>
        <w:tc>
          <w:tcPr>
            <w:tcW w:w="3599" w:type="dxa"/>
            <w:gridSpan w:val="2"/>
            <w:tcBorders>
              <w:top w:val="single" w:color="000000" w:sz="7" w:space="0"/>
              <w:left w:val="single" w:color="000000" w:sz="7" w:space="0"/>
              <w:bottom w:val="single" w:color="000000" w:sz="7" w:space="0"/>
              <w:right w:val="single" w:color="000000" w:sz="7" w:space="0"/>
            </w:tcBorders>
            <w:vAlign w:val="center"/>
          </w:tcPr>
          <w:p w:rsidR="00D67674" w:rsidP="008C7DB9" w:rsidRDefault="00D67674" w14:paraId="51F0A20D"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 xml:space="preserve">Labor (See Table </w:t>
            </w:r>
            <w:r w:rsidR="00D41E39">
              <w:rPr>
                <w:sz w:val="24"/>
              </w:rPr>
              <w:t>2</w:t>
            </w:r>
            <w:r>
              <w:rPr>
                <w:sz w:val="24"/>
              </w:rPr>
              <w:t>)</w:t>
            </w:r>
          </w:p>
        </w:tc>
        <w:tc>
          <w:tcPr>
            <w:tcW w:w="5784" w:type="dxa"/>
            <w:gridSpan w:val="4"/>
            <w:tcBorders>
              <w:top w:val="single" w:color="000000" w:sz="7" w:space="0"/>
              <w:left w:val="single" w:color="000000" w:sz="7" w:space="0"/>
              <w:bottom w:val="single" w:color="000000" w:sz="7" w:space="0"/>
              <w:right w:val="single" w:color="000000" w:sz="7" w:space="0"/>
            </w:tcBorders>
            <w:vAlign w:val="center"/>
          </w:tcPr>
          <w:p w:rsidRPr="00B8626E" w:rsidR="00D67674" w:rsidP="003F4185" w:rsidRDefault="00B8626E" w14:paraId="1785B76C" w14:textId="501BBCBB">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r w:rsidRPr="00B8626E">
              <w:rPr>
                <w:sz w:val="24"/>
              </w:rPr>
              <w:t>$</w:t>
            </w:r>
            <w:r w:rsidR="000D616E">
              <w:rPr>
                <w:sz w:val="24"/>
              </w:rPr>
              <w:t>2,289,993</w:t>
            </w:r>
          </w:p>
        </w:tc>
      </w:tr>
      <w:tr w:rsidR="00D67674" w:rsidTr="00BB3B51" w14:paraId="07D8441B" w14:textId="77777777">
        <w:trPr>
          <w:gridAfter w:val="3"/>
          <w:wAfter w:w="3510" w:type="dxa"/>
          <w:jc w:val="center"/>
        </w:trPr>
        <w:tc>
          <w:tcPr>
            <w:tcW w:w="3599" w:type="dxa"/>
            <w:gridSpan w:val="2"/>
            <w:tcBorders>
              <w:top w:val="single" w:color="000000" w:sz="7" w:space="0"/>
              <w:left w:val="single" w:color="000000" w:sz="7" w:space="0"/>
              <w:bottom w:val="single" w:color="000000" w:sz="8" w:space="0"/>
              <w:right w:val="single" w:color="000000" w:sz="7" w:space="0"/>
            </w:tcBorders>
            <w:vAlign w:val="center"/>
          </w:tcPr>
          <w:p w:rsidR="00D67674" w:rsidP="008C7DB9" w:rsidRDefault="00D67674" w14:paraId="7B0FB555"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 xml:space="preserve">Computer Systems  </w:t>
            </w:r>
          </w:p>
        </w:tc>
        <w:tc>
          <w:tcPr>
            <w:tcW w:w="5784" w:type="dxa"/>
            <w:gridSpan w:val="4"/>
            <w:tcBorders>
              <w:top w:val="single" w:color="000000" w:sz="7" w:space="0"/>
              <w:left w:val="single" w:color="000000" w:sz="7" w:space="0"/>
              <w:bottom w:val="single" w:color="000000" w:sz="8" w:space="0"/>
              <w:right w:val="single" w:color="000000" w:sz="7" w:space="0"/>
            </w:tcBorders>
          </w:tcPr>
          <w:p w:rsidR="00D67674" w:rsidP="00567513" w:rsidRDefault="00D67674" w14:paraId="24AC7A3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r w:rsidRPr="0024681B">
              <w:rPr>
                <w:sz w:val="24"/>
              </w:rPr>
              <w:t>$</w:t>
            </w:r>
            <w:r w:rsidR="00567513">
              <w:rPr>
                <w:sz w:val="24"/>
              </w:rPr>
              <w:t>1,786,292</w:t>
            </w:r>
          </w:p>
        </w:tc>
      </w:tr>
      <w:tr w:rsidR="00D67674" w:rsidTr="00BB3B51" w14:paraId="67A241DB" w14:textId="77777777">
        <w:trPr>
          <w:gridAfter w:val="3"/>
          <w:wAfter w:w="3510" w:type="dxa"/>
          <w:trHeight w:val="457"/>
          <w:jc w:val="center"/>
        </w:trPr>
        <w:tc>
          <w:tcPr>
            <w:tcW w:w="3599" w:type="dxa"/>
            <w:gridSpan w:val="2"/>
            <w:tcBorders>
              <w:top w:val="single" w:color="000000" w:sz="8" w:space="0"/>
              <w:left w:val="single" w:color="000000" w:sz="8" w:space="0"/>
              <w:bottom w:val="single" w:color="000000" w:sz="8" w:space="0"/>
              <w:right w:val="single" w:color="000000" w:sz="8" w:space="0"/>
            </w:tcBorders>
            <w:shd w:val="clear" w:color="auto" w:fill="C0C0C0"/>
            <w:vAlign w:val="center"/>
          </w:tcPr>
          <w:p w:rsidR="00D67674" w:rsidP="008C7DB9" w:rsidRDefault="00D67674" w14:paraId="0EB969EC"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b/>
                <w:bCs/>
                <w:sz w:val="24"/>
              </w:rPr>
              <w:t>Total:</w:t>
            </w:r>
          </w:p>
        </w:tc>
        <w:tc>
          <w:tcPr>
            <w:tcW w:w="5784" w:type="dxa"/>
            <w:gridSpan w:val="4"/>
            <w:tcBorders>
              <w:top w:val="single" w:color="000000" w:sz="8" w:space="0"/>
              <w:left w:val="single" w:color="000000" w:sz="8" w:space="0"/>
              <w:bottom w:val="single" w:color="000000" w:sz="8" w:space="0"/>
              <w:right w:val="single" w:color="000000" w:sz="8" w:space="0"/>
            </w:tcBorders>
            <w:shd w:val="clear" w:color="auto" w:fill="C0C0C0"/>
            <w:vAlign w:val="center"/>
          </w:tcPr>
          <w:p w:rsidRPr="0056672B" w:rsidR="00D67674" w:rsidP="00567513" w:rsidRDefault="00D67674" w14:paraId="7A21395B" w14:textId="4CBE9A16">
            <w:pPr>
              <w:tabs>
                <w:tab w:val="left" w:pos="-1080"/>
                <w:tab w:val="left" w:pos="-720"/>
                <w:tab w:val="left" w:pos="0"/>
                <w:tab w:val="left" w:pos="360"/>
                <w:tab w:val="left" w:pos="720"/>
                <w:tab w:val="left" w:pos="1440"/>
                <w:tab w:val="left" w:pos="2160"/>
                <w:tab w:val="left" w:pos="2880"/>
                <w:tab w:val="left" w:pos="3600"/>
                <w:tab w:val="left" w:pos="4191"/>
                <w:tab w:val="left" w:pos="4320"/>
                <w:tab w:val="left" w:pos="5040"/>
                <w:tab w:val="left" w:pos="5760"/>
                <w:tab w:val="right" w:pos="6419"/>
                <w:tab w:val="left" w:pos="6480"/>
                <w:tab w:val="left" w:pos="7200"/>
                <w:tab w:val="left" w:pos="7920"/>
                <w:tab w:val="left" w:pos="8640"/>
                <w:tab w:val="left" w:pos="9360"/>
              </w:tabs>
              <w:spacing w:after="58"/>
              <w:rPr>
                <w:sz w:val="24"/>
                <w:highlight w:val="yellow"/>
              </w:rPr>
            </w:pPr>
            <w:r w:rsidRPr="0024681B">
              <w:rPr>
                <w:b/>
                <w:bCs/>
                <w:sz w:val="24"/>
              </w:rPr>
              <w:t>$</w:t>
            </w:r>
            <w:r w:rsidR="000D616E">
              <w:rPr>
                <w:b/>
                <w:bCs/>
                <w:sz w:val="24"/>
              </w:rPr>
              <w:t>4,076,285</w:t>
            </w:r>
          </w:p>
        </w:tc>
      </w:tr>
      <w:tr w:rsidR="00B00B57" w:rsidTr="00BB3B51" w14:paraId="6C34A32B" w14:textId="77777777">
        <w:trPr>
          <w:gridBefore w:val="1"/>
          <w:gridAfter w:val="1"/>
          <w:wBefore w:w="3510" w:type="dxa"/>
          <w:wAfter w:w="23" w:type="dxa"/>
          <w:jc w:val="center"/>
        </w:trPr>
        <w:tc>
          <w:tcPr>
            <w:tcW w:w="9360" w:type="dxa"/>
            <w:gridSpan w:val="7"/>
            <w:tcBorders>
              <w:top w:val="single" w:color="000000" w:sz="7" w:space="0"/>
              <w:left w:val="single" w:color="000000" w:sz="7" w:space="0"/>
              <w:bottom w:val="single" w:color="000000" w:sz="7" w:space="0"/>
              <w:right w:val="single" w:color="000000" w:sz="7" w:space="0"/>
            </w:tcBorders>
          </w:tcPr>
          <w:p w:rsidR="00B00B57" w:rsidP="00B00B57" w:rsidRDefault="00570ECD" w14:paraId="56C55AA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sidRPr="00570ECD">
              <w:rPr>
                <w:b/>
                <w:sz w:val="30"/>
                <w:szCs w:val="30"/>
              </w:rPr>
              <w:t xml:space="preserve">Table </w:t>
            </w:r>
            <w:r w:rsidR="003534E5">
              <w:rPr>
                <w:b/>
                <w:sz w:val="30"/>
                <w:szCs w:val="30"/>
              </w:rPr>
              <w:t>2</w:t>
            </w:r>
            <w:r w:rsidRPr="00570ECD">
              <w:rPr>
                <w:b/>
                <w:sz w:val="30"/>
                <w:szCs w:val="30"/>
              </w:rPr>
              <w:t xml:space="preserve">: </w:t>
            </w:r>
            <w:r w:rsidR="00BD5049">
              <w:rPr>
                <w:b/>
                <w:sz w:val="30"/>
                <w:szCs w:val="30"/>
              </w:rPr>
              <w:t xml:space="preserve">Federal Government </w:t>
            </w:r>
            <w:r w:rsidRPr="00570ECD" w:rsidR="00B00B57">
              <w:rPr>
                <w:b/>
                <w:bCs/>
                <w:sz w:val="30"/>
                <w:szCs w:val="30"/>
              </w:rPr>
              <w:t>L</w:t>
            </w:r>
            <w:r w:rsidRPr="00B00B57" w:rsidR="00B00B57">
              <w:rPr>
                <w:b/>
                <w:bCs/>
                <w:sz w:val="30"/>
                <w:szCs w:val="30"/>
              </w:rPr>
              <w:t>abor Cost</w:t>
            </w:r>
            <w:r w:rsidRPr="00B00B57" w:rsidR="00B00B57">
              <w:rPr>
                <w:sz w:val="30"/>
                <w:szCs w:val="30"/>
              </w:rPr>
              <w:t>s</w:t>
            </w:r>
          </w:p>
        </w:tc>
      </w:tr>
      <w:tr w:rsidR="009107A8" w:rsidTr="00BB3B51" w14:paraId="740B203F" w14:textId="77777777">
        <w:trPr>
          <w:gridBefore w:val="1"/>
          <w:gridAfter w:val="1"/>
          <w:wBefore w:w="3510" w:type="dxa"/>
          <w:wAfter w:w="23" w:type="dxa"/>
          <w:trHeight w:val="514"/>
          <w:jc w:val="center"/>
        </w:trPr>
        <w:tc>
          <w:tcPr>
            <w:tcW w:w="1872" w:type="dxa"/>
            <w:gridSpan w:val="2"/>
            <w:tcBorders>
              <w:top w:val="single" w:color="000000" w:sz="7" w:space="0"/>
              <w:left w:val="single" w:color="000000" w:sz="7" w:space="0"/>
              <w:bottom w:val="single" w:color="000000" w:sz="7" w:space="0"/>
              <w:right w:val="single" w:color="000000" w:sz="7" w:space="0"/>
            </w:tcBorders>
            <w:vAlign w:val="center"/>
          </w:tcPr>
          <w:p w:rsidRPr="00D571D8" w:rsidR="009107A8" w:rsidP="00BD5049" w:rsidRDefault="009107A8" w14:paraId="3A64A048"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i/>
                <w:sz w:val="24"/>
              </w:rPr>
            </w:pPr>
            <w:r w:rsidRPr="00D571D8">
              <w:rPr>
                <w:b/>
                <w:i/>
                <w:sz w:val="24"/>
              </w:rPr>
              <w:lastRenderedPageBreak/>
              <w:t>Grade</w:t>
            </w:r>
          </w:p>
        </w:tc>
        <w:tc>
          <w:tcPr>
            <w:tcW w:w="1872" w:type="dxa"/>
            <w:tcBorders>
              <w:top w:val="single" w:color="000000" w:sz="7" w:space="0"/>
              <w:left w:val="single" w:color="000000" w:sz="7" w:space="0"/>
              <w:bottom w:val="single" w:color="000000" w:sz="7" w:space="0"/>
              <w:right w:val="single" w:color="000000" w:sz="7" w:space="0"/>
            </w:tcBorders>
            <w:vAlign w:val="center"/>
          </w:tcPr>
          <w:p w:rsidRPr="00D571D8" w:rsidR="009107A8" w:rsidP="00BD5049" w:rsidRDefault="009107A8" w14:paraId="4165C724" w14:textId="7183E1D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i/>
                <w:sz w:val="24"/>
              </w:rPr>
            </w:pPr>
            <w:r w:rsidRPr="00D571D8">
              <w:rPr>
                <w:b/>
                <w:i/>
                <w:sz w:val="24"/>
              </w:rPr>
              <w:t>Salary</w:t>
            </w:r>
            <w:r w:rsidR="00433C91">
              <w:rPr>
                <w:b/>
                <w:i/>
                <w:sz w:val="24"/>
              </w:rPr>
              <w:t xml:space="preserve"> plus fringe benefits</w:t>
            </w:r>
          </w:p>
        </w:tc>
        <w:tc>
          <w:tcPr>
            <w:tcW w:w="1872" w:type="dxa"/>
            <w:tcBorders>
              <w:top w:val="single" w:color="000000" w:sz="7" w:space="0"/>
              <w:left w:val="single" w:color="000000" w:sz="7" w:space="0"/>
              <w:bottom w:val="single" w:color="000000" w:sz="7" w:space="0"/>
              <w:right w:val="single" w:color="000000" w:sz="7" w:space="0"/>
            </w:tcBorders>
            <w:vAlign w:val="center"/>
          </w:tcPr>
          <w:p w:rsidRPr="00D571D8" w:rsidR="009107A8" w:rsidP="00BD5049" w:rsidRDefault="00D571D8" w14:paraId="789599E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i/>
                <w:sz w:val="24"/>
              </w:rPr>
            </w:pPr>
            <w:r w:rsidRPr="00D571D8">
              <w:rPr>
                <w:b/>
                <w:i/>
                <w:sz w:val="24"/>
              </w:rPr>
              <w:t>#</w:t>
            </w:r>
            <w:r w:rsidRPr="00D571D8" w:rsidR="009107A8">
              <w:rPr>
                <w:b/>
                <w:i/>
                <w:sz w:val="24"/>
              </w:rPr>
              <w:t xml:space="preserve"> People</w:t>
            </w:r>
          </w:p>
        </w:tc>
        <w:tc>
          <w:tcPr>
            <w:tcW w:w="1872" w:type="dxa"/>
            <w:gridSpan w:val="2"/>
            <w:tcBorders>
              <w:top w:val="single" w:color="000000" w:sz="7" w:space="0"/>
              <w:left w:val="single" w:color="000000" w:sz="7" w:space="0"/>
              <w:bottom w:val="single" w:color="000000" w:sz="7" w:space="0"/>
              <w:right w:val="single" w:color="000000" w:sz="7" w:space="0"/>
            </w:tcBorders>
            <w:vAlign w:val="center"/>
          </w:tcPr>
          <w:p w:rsidRPr="00D571D8" w:rsidR="009107A8" w:rsidP="00BD5049" w:rsidRDefault="009107A8" w14:paraId="1E3D128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i/>
                <w:sz w:val="24"/>
              </w:rPr>
            </w:pPr>
            <w:r w:rsidRPr="00D571D8">
              <w:rPr>
                <w:b/>
                <w:i/>
                <w:sz w:val="24"/>
              </w:rPr>
              <w:t>Percent of Time</w:t>
            </w:r>
          </w:p>
        </w:tc>
        <w:tc>
          <w:tcPr>
            <w:tcW w:w="1872" w:type="dxa"/>
            <w:tcBorders>
              <w:top w:val="single" w:color="000000" w:sz="7" w:space="0"/>
              <w:left w:val="single" w:color="000000" w:sz="7" w:space="0"/>
              <w:bottom w:val="single" w:color="000000" w:sz="7" w:space="0"/>
              <w:right w:val="single" w:color="000000" w:sz="7" w:space="0"/>
            </w:tcBorders>
            <w:vAlign w:val="center"/>
          </w:tcPr>
          <w:p w:rsidRPr="00D571D8" w:rsidR="009107A8" w:rsidP="00BD5049" w:rsidRDefault="009107A8" w14:paraId="27FB702C"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i/>
                <w:sz w:val="24"/>
              </w:rPr>
            </w:pPr>
            <w:r w:rsidRPr="00D571D8">
              <w:rPr>
                <w:b/>
                <w:i/>
                <w:sz w:val="24"/>
              </w:rPr>
              <w:t>Total Cost</w:t>
            </w:r>
          </w:p>
        </w:tc>
      </w:tr>
      <w:tr w:rsidR="009107A8" w:rsidTr="00BB3B51" w14:paraId="30F0D9FA" w14:textId="77777777">
        <w:trPr>
          <w:gridBefore w:val="1"/>
          <w:gridAfter w:val="1"/>
          <w:wBefore w:w="3510" w:type="dxa"/>
          <w:wAfter w:w="23" w:type="dxa"/>
          <w:jc w:val="center"/>
        </w:trPr>
        <w:tc>
          <w:tcPr>
            <w:tcW w:w="1872" w:type="dxa"/>
            <w:gridSpan w:val="2"/>
            <w:tcBorders>
              <w:top w:val="single" w:color="000000" w:sz="7" w:space="0"/>
              <w:left w:val="single" w:color="000000" w:sz="7" w:space="0"/>
              <w:bottom w:val="single" w:color="000000" w:sz="7" w:space="0"/>
              <w:right w:val="single" w:color="000000" w:sz="7" w:space="0"/>
            </w:tcBorders>
          </w:tcPr>
          <w:p w:rsidRPr="00191CA8" w:rsidR="009107A8" w:rsidP="00191CA8" w:rsidRDefault="009107A8" w14:paraId="69E1100A"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GS-8</w:t>
            </w:r>
          </w:p>
        </w:tc>
        <w:tc>
          <w:tcPr>
            <w:tcW w:w="1872" w:type="dxa"/>
            <w:tcBorders>
              <w:top w:val="single" w:color="000000" w:sz="7" w:space="0"/>
              <w:left w:val="single" w:color="000000" w:sz="7" w:space="0"/>
              <w:bottom w:val="single" w:color="000000" w:sz="7" w:space="0"/>
              <w:right w:val="single" w:color="000000" w:sz="7" w:space="0"/>
            </w:tcBorders>
          </w:tcPr>
          <w:p w:rsidRPr="00191CA8" w:rsidR="009107A8" w:rsidP="003F4185" w:rsidRDefault="009107A8" w14:paraId="7A3132E9" w14:textId="501930F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433C91">
              <w:rPr>
                <w:sz w:val="24"/>
              </w:rPr>
              <w:t>82,061</w:t>
            </w:r>
          </w:p>
        </w:tc>
        <w:tc>
          <w:tcPr>
            <w:tcW w:w="1872" w:type="dxa"/>
            <w:tcBorders>
              <w:top w:val="single" w:color="000000" w:sz="7" w:space="0"/>
              <w:left w:val="single" w:color="000000" w:sz="7" w:space="0"/>
              <w:bottom w:val="single" w:color="000000" w:sz="7" w:space="0"/>
              <w:right w:val="single" w:color="000000" w:sz="7" w:space="0"/>
            </w:tcBorders>
          </w:tcPr>
          <w:p w:rsidRPr="00191CA8" w:rsidR="009107A8" w:rsidP="00191CA8" w:rsidRDefault="009107A8" w14:paraId="4C7B0855"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1</w:t>
            </w:r>
          </w:p>
        </w:tc>
        <w:tc>
          <w:tcPr>
            <w:tcW w:w="1872" w:type="dxa"/>
            <w:gridSpan w:val="2"/>
            <w:tcBorders>
              <w:top w:val="single" w:color="000000" w:sz="7" w:space="0"/>
              <w:left w:val="single" w:color="000000" w:sz="7" w:space="0"/>
              <w:bottom w:val="single" w:color="000000" w:sz="7" w:space="0"/>
              <w:right w:val="single" w:color="000000" w:sz="7" w:space="0"/>
            </w:tcBorders>
          </w:tcPr>
          <w:p w:rsidRPr="00191CA8" w:rsidR="009107A8" w:rsidP="003F4185" w:rsidRDefault="003F4185" w14:paraId="26FB901A"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15</w:t>
            </w:r>
            <w:r w:rsidRPr="00191CA8" w:rsidR="009107A8">
              <w:rPr>
                <w:sz w:val="24"/>
              </w:rPr>
              <w:t>%</w:t>
            </w:r>
          </w:p>
        </w:tc>
        <w:tc>
          <w:tcPr>
            <w:tcW w:w="1872" w:type="dxa"/>
            <w:tcBorders>
              <w:top w:val="single" w:color="000000" w:sz="7" w:space="0"/>
              <w:left w:val="single" w:color="000000" w:sz="7" w:space="0"/>
              <w:bottom w:val="single" w:color="000000" w:sz="7" w:space="0"/>
              <w:right w:val="single" w:color="000000" w:sz="7" w:space="0"/>
            </w:tcBorders>
          </w:tcPr>
          <w:p w:rsidRPr="00191CA8" w:rsidR="009107A8" w:rsidP="003F4185" w:rsidRDefault="009107A8" w14:paraId="1BD40C84" w14:textId="03DDEE3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CB5CEA">
              <w:rPr>
                <w:sz w:val="24"/>
              </w:rPr>
              <w:t>12,309</w:t>
            </w:r>
          </w:p>
        </w:tc>
      </w:tr>
      <w:tr w:rsidR="00D571D8" w:rsidTr="00BB3B51" w14:paraId="0F48F73E" w14:textId="77777777">
        <w:trPr>
          <w:gridBefore w:val="1"/>
          <w:gridAfter w:val="1"/>
          <w:wBefore w:w="3510" w:type="dxa"/>
          <w:wAfter w:w="23" w:type="dxa"/>
          <w:trHeight w:val="406"/>
          <w:jc w:val="center"/>
        </w:trPr>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2D7806" w:rsidRDefault="00D571D8" w14:paraId="22E7243D"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w:t>
            </w:r>
            <w:r w:rsidR="002D7806">
              <w:rPr>
                <w:sz w:val="24"/>
              </w:rPr>
              <w:t>9</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3F4185" w:rsidRDefault="00D571D8" w14:paraId="1865F887" w14:textId="07E1AC5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433C91">
              <w:rPr>
                <w:sz w:val="24"/>
              </w:rPr>
              <w:t>90,634</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191CA8" w:rsidRDefault="003F4185" w14:paraId="1AFC07A5" w14:textId="77777777">
            <w:pPr>
              <w:pStyle w:val="NormalWeb"/>
              <w:spacing w:before="40" w:beforeAutospacing="0" w:after="40" w:afterAutospacing="0"/>
              <w:jc w:val="center"/>
            </w:pPr>
            <w:r>
              <w:t>1</w:t>
            </w:r>
          </w:p>
        </w:tc>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3F4185" w14:paraId="51BE0C0C"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20</w:t>
            </w:r>
            <w:r w:rsidRPr="00191CA8" w:rsidR="00D571D8">
              <w:rPr>
                <w:sz w:val="24"/>
              </w:rPr>
              <w:t>%</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3F4185" w:rsidRDefault="00D571D8" w14:paraId="02E110AA" w14:textId="5A99932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CB5CEA">
              <w:rPr>
                <w:sz w:val="24"/>
              </w:rPr>
              <w:t>18,127</w:t>
            </w:r>
          </w:p>
        </w:tc>
      </w:tr>
      <w:tr w:rsidR="00D571D8" w:rsidTr="00BB3B51" w14:paraId="5446BD07" w14:textId="77777777">
        <w:trPr>
          <w:gridBefore w:val="1"/>
          <w:gridAfter w:val="1"/>
          <w:wBefore w:w="3510" w:type="dxa"/>
          <w:wAfter w:w="23" w:type="dxa"/>
          <w:jc w:val="center"/>
        </w:trPr>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7D41C2D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GS-11</w:t>
            </w:r>
          </w:p>
        </w:tc>
        <w:tc>
          <w:tcPr>
            <w:tcW w:w="1872" w:type="dxa"/>
            <w:tcBorders>
              <w:top w:val="single" w:color="000000" w:sz="7" w:space="0"/>
              <w:left w:val="single" w:color="000000" w:sz="7" w:space="0"/>
              <w:bottom w:val="single" w:color="000000" w:sz="7" w:space="0"/>
              <w:right w:val="single" w:color="000000" w:sz="7" w:space="0"/>
            </w:tcBorders>
            <w:vAlign w:val="center"/>
          </w:tcPr>
          <w:p w:rsidRPr="00191CA8" w:rsidR="00D571D8" w:rsidP="003F4185" w:rsidRDefault="00D571D8" w14:paraId="5EDBACBB" w14:textId="4E9B190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433C91">
              <w:rPr>
                <w:sz w:val="24"/>
              </w:rPr>
              <w:t>109,662</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191CA8" w:rsidRDefault="003F4185" w14:paraId="2C7E75D9"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3</w:t>
            </w:r>
          </w:p>
        </w:tc>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0A7BDF9A"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60</w:t>
            </w:r>
            <w:r w:rsidRPr="00191CA8">
              <w:rPr>
                <w:sz w:val="24"/>
              </w:rPr>
              <w:t>%</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3F4185" w:rsidRDefault="00D571D8" w14:paraId="4D3DBB49" w14:textId="1966405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CB5CEA">
              <w:rPr>
                <w:sz w:val="24"/>
              </w:rPr>
              <w:t>197,392</w:t>
            </w:r>
          </w:p>
        </w:tc>
      </w:tr>
      <w:tr w:rsidR="00D571D8" w:rsidTr="00BB3B51" w14:paraId="7763F38E" w14:textId="77777777">
        <w:trPr>
          <w:gridBefore w:val="1"/>
          <w:gridAfter w:val="1"/>
          <w:wBefore w:w="3510" w:type="dxa"/>
          <w:wAfter w:w="23" w:type="dxa"/>
          <w:trHeight w:val="334"/>
          <w:jc w:val="center"/>
        </w:trPr>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38CEA9C2"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GS-12</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3F4185" w:rsidRDefault="00D571D8" w14:paraId="6B5346C0" w14:textId="53A638F9">
            <w:pPr>
              <w:pStyle w:val="Heading1"/>
              <w:spacing w:before="40" w:after="40"/>
            </w:pPr>
            <w:r w:rsidRPr="00191CA8">
              <w:t>$</w:t>
            </w:r>
            <w:r w:rsidR="00433C91">
              <w:t>131,440</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191CA8" w:rsidRDefault="003F4185" w14:paraId="74CE1454"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14</w:t>
            </w:r>
          </w:p>
        </w:tc>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20EEDFF7"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60</w:t>
            </w:r>
            <w:r w:rsidRPr="00191CA8">
              <w:rPr>
                <w:sz w:val="24"/>
              </w:rPr>
              <w:t>%</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3F4185" w:rsidRDefault="00D571D8" w14:paraId="0712CD8B" w14:textId="364E14B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CB5CEA">
              <w:rPr>
                <w:sz w:val="24"/>
              </w:rPr>
              <w:t>1,104,096</w:t>
            </w:r>
          </w:p>
        </w:tc>
      </w:tr>
      <w:tr w:rsidR="00D571D8" w:rsidTr="00BB3B51" w14:paraId="79DFCC27" w14:textId="77777777">
        <w:trPr>
          <w:gridBefore w:val="1"/>
          <w:gridAfter w:val="1"/>
          <w:wBefore w:w="3510" w:type="dxa"/>
          <w:wAfter w:w="23" w:type="dxa"/>
          <w:jc w:val="center"/>
        </w:trPr>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50839947"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GS-13</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3F4185" w:rsidRDefault="00D571D8" w14:paraId="639C1B06" w14:textId="010723C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433C91">
              <w:rPr>
                <w:sz w:val="24"/>
              </w:rPr>
              <w:t>156,296</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191CA8" w:rsidRDefault="003F4185" w14:paraId="76C59409"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9</w:t>
            </w:r>
          </w:p>
        </w:tc>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14CD1BD4"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60</w:t>
            </w:r>
            <w:r w:rsidRPr="00191CA8">
              <w:rPr>
                <w:sz w:val="24"/>
              </w:rPr>
              <w:t>%</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3F4185" w:rsidRDefault="00D571D8" w14:paraId="1BB13F8D" w14:textId="3F19893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CB5CEA">
              <w:rPr>
                <w:sz w:val="24"/>
              </w:rPr>
              <w:t>843,998</w:t>
            </w:r>
          </w:p>
        </w:tc>
      </w:tr>
      <w:tr w:rsidR="00D571D8" w:rsidTr="00BB3B51" w14:paraId="33AE2A43" w14:textId="77777777">
        <w:trPr>
          <w:gridBefore w:val="1"/>
          <w:gridAfter w:val="1"/>
          <w:wBefore w:w="3510" w:type="dxa"/>
          <w:wAfter w:w="23" w:type="dxa"/>
          <w:jc w:val="center"/>
        </w:trPr>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19A7DC65"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GS-14</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3F4185" w:rsidRDefault="00D571D8" w14:paraId="57BEDBA4" w14:textId="2E03566B">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433C91">
              <w:rPr>
                <w:sz w:val="24"/>
              </w:rPr>
              <w:t>184,692</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191CA8" w:rsidRDefault="00AC062F" w14:paraId="4FFD1152"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5</w:t>
            </w:r>
          </w:p>
        </w:tc>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3A8E6276"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10%</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3F4185" w:rsidRDefault="00D571D8" w14:paraId="03642362" w14:textId="61F900C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CB5CEA">
              <w:rPr>
                <w:sz w:val="24"/>
              </w:rPr>
              <w:t>92,346</w:t>
            </w:r>
          </w:p>
        </w:tc>
      </w:tr>
      <w:tr w:rsidR="00D571D8" w:rsidTr="00BB3B51" w14:paraId="02E9F591" w14:textId="77777777">
        <w:trPr>
          <w:gridBefore w:val="1"/>
          <w:gridAfter w:val="1"/>
          <w:wBefore w:w="3510" w:type="dxa"/>
          <w:wAfter w:w="23" w:type="dxa"/>
          <w:jc w:val="center"/>
        </w:trPr>
        <w:tc>
          <w:tcPr>
            <w:tcW w:w="1872" w:type="dxa"/>
            <w:gridSpan w:val="2"/>
            <w:tcBorders>
              <w:top w:val="single" w:color="000000" w:sz="7" w:space="0"/>
              <w:left w:val="single" w:color="000000" w:sz="7" w:space="0"/>
              <w:bottom w:val="single" w:color="000000" w:sz="8" w:space="0"/>
              <w:right w:val="single" w:color="000000" w:sz="7" w:space="0"/>
            </w:tcBorders>
          </w:tcPr>
          <w:p w:rsidRPr="00191CA8" w:rsidR="00D571D8" w:rsidP="00191CA8" w:rsidRDefault="00D571D8" w14:paraId="3B982701"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GS-15</w:t>
            </w:r>
          </w:p>
        </w:tc>
        <w:tc>
          <w:tcPr>
            <w:tcW w:w="1872" w:type="dxa"/>
            <w:tcBorders>
              <w:top w:val="single" w:color="000000" w:sz="7" w:space="0"/>
              <w:left w:val="single" w:color="000000" w:sz="7" w:space="0"/>
              <w:bottom w:val="single" w:color="000000" w:sz="8" w:space="0"/>
              <w:right w:val="single" w:color="000000" w:sz="7" w:space="0"/>
            </w:tcBorders>
          </w:tcPr>
          <w:p w:rsidRPr="00191CA8" w:rsidR="00D571D8" w:rsidP="003F4185" w:rsidRDefault="00D571D8" w14:paraId="571D22F6" w14:textId="38D6AFB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433C91">
              <w:rPr>
                <w:sz w:val="24"/>
              </w:rPr>
              <w:t>217,249</w:t>
            </w:r>
          </w:p>
        </w:tc>
        <w:tc>
          <w:tcPr>
            <w:tcW w:w="1872" w:type="dxa"/>
            <w:tcBorders>
              <w:top w:val="single" w:color="000000" w:sz="7" w:space="0"/>
              <w:left w:val="single" w:color="000000" w:sz="7" w:space="0"/>
              <w:bottom w:val="single" w:color="000000" w:sz="8" w:space="0"/>
              <w:right w:val="single" w:color="000000" w:sz="7" w:space="0"/>
            </w:tcBorders>
          </w:tcPr>
          <w:p w:rsidRPr="00191CA8" w:rsidR="00D571D8" w:rsidP="00191CA8" w:rsidRDefault="00D571D8" w14:paraId="13D309CB"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1</w:t>
            </w:r>
          </w:p>
        </w:tc>
        <w:tc>
          <w:tcPr>
            <w:tcW w:w="1872" w:type="dxa"/>
            <w:gridSpan w:val="2"/>
            <w:tcBorders>
              <w:top w:val="single" w:color="000000" w:sz="7" w:space="0"/>
              <w:left w:val="single" w:color="000000" w:sz="7" w:space="0"/>
              <w:bottom w:val="single" w:color="000000" w:sz="8" w:space="0"/>
              <w:right w:val="single" w:color="000000" w:sz="7" w:space="0"/>
            </w:tcBorders>
          </w:tcPr>
          <w:p w:rsidRPr="00191CA8" w:rsidR="00D571D8" w:rsidP="00191CA8" w:rsidRDefault="00D571D8" w14:paraId="222B5CBB"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10%</w:t>
            </w:r>
          </w:p>
        </w:tc>
        <w:tc>
          <w:tcPr>
            <w:tcW w:w="1872" w:type="dxa"/>
            <w:tcBorders>
              <w:top w:val="single" w:color="000000" w:sz="7" w:space="0"/>
              <w:left w:val="single" w:color="000000" w:sz="7" w:space="0"/>
              <w:bottom w:val="single" w:color="000000" w:sz="8" w:space="0"/>
              <w:right w:val="single" w:color="000000" w:sz="7" w:space="0"/>
            </w:tcBorders>
          </w:tcPr>
          <w:p w:rsidRPr="00191CA8" w:rsidR="00D571D8" w:rsidP="003F4185" w:rsidRDefault="00D571D8" w14:paraId="74913D4F" w14:textId="3FA61F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0D616E">
              <w:rPr>
                <w:sz w:val="24"/>
              </w:rPr>
              <w:t>21,725</w:t>
            </w:r>
          </w:p>
        </w:tc>
      </w:tr>
      <w:tr w:rsidR="00D571D8" w:rsidTr="00BB3B51" w14:paraId="7F5691A4" w14:textId="77777777">
        <w:trPr>
          <w:gridBefore w:val="1"/>
          <w:gridAfter w:val="1"/>
          <w:wBefore w:w="3510" w:type="dxa"/>
          <w:wAfter w:w="23" w:type="dxa"/>
          <w:trHeight w:val="448"/>
          <w:jc w:val="center"/>
        </w:trPr>
        <w:tc>
          <w:tcPr>
            <w:tcW w:w="1872" w:type="dxa"/>
            <w:gridSpan w:val="2"/>
            <w:tcBorders>
              <w:top w:val="single" w:color="000000" w:sz="8" w:space="0"/>
              <w:left w:val="single" w:color="000000" w:sz="8" w:space="0"/>
              <w:bottom w:val="single" w:color="000000" w:sz="8" w:space="0"/>
              <w:right w:val="single" w:color="000000" w:sz="8" w:space="0"/>
            </w:tcBorders>
            <w:shd w:val="clear" w:color="auto" w:fill="C0C0C0"/>
            <w:vAlign w:val="center"/>
          </w:tcPr>
          <w:p w:rsidR="00D571D8" w:rsidP="00D7708D" w:rsidRDefault="00D571D8" w14:paraId="647E6483"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p>
        </w:tc>
        <w:tc>
          <w:tcPr>
            <w:tcW w:w="1872" w:type="dxa"/>
            <w:tcBorders>
              <w:top w:val="single" w:color="000000" w:sz="8" w:space="0"/>
              <w:left w:val="single" w:color="000000" w:sz="8" w:space="0"/>
              <w:bottom w:val="single" w:color="000000" w:sz="8" w:space="0"/>
              <w:right w:val="single" w:color="000000" w:sz="8" w:space="0"/>
            </w:tcBorders>
            <w:shd w:val="clear" w:color="auto" w:fill="C0C0C0"/>
            <w:vAlign w:val="center"/>
          </w:tcPr>
          <w:p w:rsidR="00D571D8" w:rsidP="00D7708D" w:rsidRDefault="00D571D8" w14:paraId="5FE2CF34"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p>
        </w:tc>
        <w:tc>
          <w:tcPr>
            <w:tcW w:w="1872" w:type="dxa"/>
            <w:tcBorders>
              <w:top w:val="single" w:color="000000" w:sz="8" w:space="0"/>
              <w:left w:val="single" w:color="000000" w:sz="8" w:space="0"/>
              <w:bottom w:val="single" w:color="000000" w:sz="8" w:space="0"/>
              <w:right w:val="single" w:color="000000" w:sz="8" w:space="0"/>
            </w:tcBorders>
            <w:shd w:val="clear" w:color="auto" w:fill="C0C0C0"/>
            <w:vAlign w:val="center"/>
          </w:tcPr>
          <w:p w:rsidR="00D571D8" w:rsidP="00D7708D" w:rsidRDefault="00D571D8" w14:paraId="1B33F807"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p>
        </w:tc>
        <w:tc>
          <w:tcPr>
            <w:tcW w:w="1872" w:type="dxa"/>
            <w:gridSpan w:val="2"/>
            <w:tcBorders>
              <w:top w:val="single" w:color="000000" w:sz="8" w:space="0"/>
              <w:left w:val="single" w:color="000000" w:sz="8" w:space="0"/>
              <w:bottom w:val="single" w:color="000000" w:sz="8" w:space="0"/>
              <w:right w:val="single" w:color="000000" w:sz="8" w:space="0"/>
            </w:tcBorders>
            <w:shd w:val="clear" w:color="auto" w:fill="C0C0C0"/>
            <w:vAlign w:val="center"/>
          </w:tcPr>
          <w:p w:rsidRPr="00D7708D" w:rsidR="00D571D8" w:rsidP="00191CA8" w:rsidRDefault="00D571D8" w14:paraId="33BEDAD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sz w:val="24"/>
              </w:rPr>
            </w:pPr>
            <w:r w:rsidRPr="00D7708D">
              <w:rPr>
                <w:b/>
                <w:sz w:val="24"/>
              </w:rPr>
              <w:t>Total</w:t>
            </w:r>
            <w:r>
              <w:rPr>
                <w:b/>
                <w:sz w:val="24"/>
              </w:rPr>
              <w:t>:</w:t>
            </w:r>
          </w:p>
        </w:tc>
        <w:tc>
          <w:tcPr>
            <w:tcW w:w="1872"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56672B" w:rsidR="00D571D8" w:rsidP="003F4185" w:rsidRDefault="00D571D8" w14:paraId="3BDF4493" w14:textId="0E398E9B">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sz w:val="24"/>
              </w:rPr>
            </w:pPr>
            <w:r w:rsidRPr="0056672B">
              <w:rPr>
                <w:b/>
                <w:sz w:val="24"/>
              </w:rPr>
              <w:t>$</w:t>
            </w:r>
            <w:r w:rsidR="000D616E">
              <w:rPr>
                <w:b/>
                <w:sz w:val="24"/>
              </w:rPr>
              <w:t>2,289,993</w:t>
            </w:r>
          </w:p>
        </w:tc>
      </w:tr>
    </w:tbl>
    <w:p w:rsidR="00665BA1" w:rsidRDefault="00665BA1" w14:paraId="371E4367"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665BA1">
          <w:endnotePr>
            <w:numFmt w:val="decimal"/>
          </w:endnotePr>
          <w:type w:val="continuous"/>
          <w:pgSz w:w="12240" w:h="15840"/>
          <w:pgMar w:top="1440" w:right="1440" w:bottom="1440" w:left="1440" w:header="1440" w:footer="1440" w:gutter="0"/>
          <w:cols w:space="720"/>
          <w:noEndnote/>
        </w:sectPr>
      </w:pPr>
    </w:p>
    <w:p w:rsidR="004540D1" w:rsidRDefault="004540D1" w14:paraId="1F0CA5F4"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563E1" w:rsidRDefault="00F563E1" w14:paraId="43474BD2"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665BA1" w:rsidRDefault="00563155" w14:paraId="21348A63"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1</w:t>
      </w:r>
      <w:r w:rsidR="00665BA1">
        <w:rPr>
          <w:b/>
          <w:bCs/>
          <w:sz w:val="24"/>
        </w:rPr>
        <w:t xml:space="preserve">5.  Explain the reasons for any program changes or adjustments reported in Items 13 or </w:t>
      </w:r>
    </w:p>
    <w:p w:rsidR="00665BA1" w:rsidRDefault="00665BA1" w14:paraId="77ADBC4C"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14 of the OMB Form 83-1.</w:t>
      </w:r>
    </w:p>
    <w:p w:rsidR="00E24F85" w:rsidRDefault="00E24F85" w14:paraId="5F1DA29F"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665BA1" w:rsidRDefault="00201D7D" w14:paraId="0EF4A713" w14:textId="520FA92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total burden hours of </w:t>
      </w:r>
      <w:r w:rsidR="00D60CB8">
        <w:rPr>
          <w:sz w:val="24"/>
        </w:rPr>
        <w:t>89,287</w:t>
      </w:r>
      <w:r>
        <w:rPr>
          <w:sz w:val="24"/>
        </w:rPr>
        <w:t xml:space="preserve"> is unchanged from the current inventory for this information collection.</w:t>
      </w:r>
      <w:r w:rsidR="000D616E">
        <w:rPr>
          <w:sz w:val="24"/>
        </w:rPr>
        <w:t xml:space="preserve">  Costs to participants and the government increased due to inflation and fringe benefits.</w:t>
      </w:r>
    </w:p>
    <w:p w:rsidR="00D108C8" w:rsidP="00355ADA" w:rsidRDefault="00D108C8" w14:paraId="5ABA3A4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665BA1" w:rsidRDefault="00665BA1" w14:paraId="355B70D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16.  For collections of information whose results are planned to be published, outline plans for tabulation and publication.</w:t>
      </w:r>
    </w:p>
    <w:p w:rsidR="00665BA1" w:rsidRDefault="00665BA1" w14:paraId="1005C6C6"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BA1" w:rsidRDefault="00665BA1" w14:paraId="48A75067"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data from this information collection.</w:t>
      </w:r>
    </w:p>
    <w:p w:rsidR="00393CB4" w:rsidRDefault="00393CB4" w14:paraId="55C45B47"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B3B51" w:rsidRDefault="00BB3B51" w14:paraId="68EEA728"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BA1" w:rsidRDefault="00665BA1" w14:paraId="268F86B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17.  If seeking approval to not display the expiration date for OMB approval of the information collection, explain the reasons that display would be inappropriate.</w:t>
      </w:r>
    </w:p>
    <w:p w:rsidR="00665BA1" w:rsidRDefault="00665BA1" w14:paraId="6B30FF5D"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BA1" w:rsidP="00393CB4" w:rsidRDefault="00665BA1" w14:paraId="51C1728B"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665BA1">
          <w:footerReference w:type="default" r:id="rId16"/>
          <w:endnotePr>
            <w:numFmt w:val="decimal"/>
          </w:endnotePr>
          <w:type w:val="continuous"/>
          <w:pgSz w:w="12240" w:h="15840"/>
          <w:pgMar w:top="1440" w:right="1440" w:bottom="1440" w:left="1440" w:header="1440" w:footer="1440" w:gutter="0"/>
          <w:cols w:space="720"/>
          <w:noEndnote/>
        </w:sectPr>
      </w:pPr>
      <w:r w:rsidRPr="00D017A5">
        <w:rPr>
          <w:sz w:val="24"/>
        </w:rPr>
        <w:t>We are not seeking approval to not display the expiration date for OMB approval of the information collection.</w:t>
      </w:r>
    </w:p>
    <w:p w:rsidR="00831746" w:rsidRDefault="00831746" w14:paraId="05541DBC"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831746" w:rsidRDefault="00831746" w14:paraId="0705639B"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665BA1" w:rsidRDefault="00665BA1" w14:paraId="74CAEE86"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 xml:space="preserve">18.  Explain each exception to the certification statement identified in Item 19 </w:t>
      </w:r>
      <w:r w:rsidRPr="004540D1" w:rsidR="004540D1">
        <w:rPr>
          <w:b/>
          <w:bCs/>
          <w:sz w:val="24"/>
        </w:rPr>
        <w:t>“</w:t>
      </w:r>
      <w:r w:rsidRPr="004540D1">
        <w:rPr>
          <w:b/>
          <w:bCs/>
          <w:sz w:val="24"/>
        </w:rPr>
        <w:t>Certification for Paperwork Reduction Act.</w:t>
      </w:r>
      <w:r w:rsidRPr="004540D1" w:rsidR="004540D1">
        <w:rPr>
          <w:b/>
          <w:bCs/>
          <w:sz w:val="24"/>
        </w:rPr>
        <w:t>”</w:t>
      </w:r>
      <w:r w:rsidRPr="004540D1" w:rsidR="004540D1">
        <w:rPr>
          <w:b/>
          <w:bCs/>
          <w:sz w:val="24"/>
        </w:rPr>
        <w:br/>
      </w:r>
    </w:p>
    <w:p w:rsidR="00665BA1" w:rsidRDefault="009D110A" w14:paraId="282D73E1" w14:textId="513E4DB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exceptions.</w:t>
      </w:r>
    </w:p>
    <w:sectPr w:rsidR="00665BA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A17BC" w14:textId="77777777" w:rsidR="00CC73F4" w:rsidRDefault="00CC73F4">
      <w:r>
        <w:separator/>
      </w:r>
    </w:p>
  </w:endnote>
  <w:endnote w:type="continuationSeparator" w:id="0">
    <w:p w14:paraId="5FFD9F4A" w14:textId="77777777" w:rsidR="00CC73F4" w:rsidRDefault="00CC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AVTKYG+ArialMT">
    <w:altName w:val="Calibri"/>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2C581" w14:textId="77777777" w:rsidR="00EF7457" w:rsidRDefault="00EF7457" w:rsidP="006F68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F92E6" w14:textId="77777777" w:rsidR="00EF7457" w:rsidRDefault="00EF7457" w:rsidP="00942D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A9A97" w14:textId="77777777" w:rsidR="00EF7457" w:rsidRDefault="00EF7457" w:rsidP="006F68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0CB8">
      <w:rPr>
        <w:rStyle w:val="PageNumber"/>
        <w:noProof/>
      </w:rPr>
      <w:t>17</w:t>
    </w:r>
    <w:r>
      <w:rPr>
        <w:rStyle w:val="PageNumber"/>
      </w:rPr>
      <w:fldChar w:fldCharType="end"/>
    </w:r>
  </w:p>
  <w:p w14:paraId="68A940DC" w14:textId="77777777" w:rsidR="00EF7457" w:rsidRDefault="00EF7457" w:rsidP="00942D7A">
    <w:pPr>
      <w:spacing w:line="240" w:lineRule="exact"/>
      <w:ind w:right="360"/>
    </w:pPr>
  </w:p>
  <w:p w14:paraId="402A25FE" w14:textId="77777777" w:rsidR="00EF7457" w:rsidRDefault="00EF745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2476" w14:textId="77777777" w:rsidR="00EF7457" w:rsidRDefault="00EF7457" w:rsidP="00F51F36">
    <w:pPr>
      <w:spacing w:line="240" w:lineRule="exact"/>
      <w:jc w:val="right"/>
    </w:pPr>
    <w:r>
      <w:t>18</w:t>
    </w:r>
  </w:p>
  <w:p w14:paraId="37158328" w14:textId="77777777" w:rsidR="00EF7457" w:rsidRDefault="00EF745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35979" w14:textId="77777777" w:rsidR="00CC73F4" w:rsidRDefault="00CC73F4">
      <w:r>
        <w:separator/>
      </w:r>
    </w:p>
  </w:footnote>
  <w:footnote w:type="continuationSeparator" w:id="0">
    <w:p w14:paraId="4F5353EA" w14:textId="77777777" w:rsidR="00CC73F4" w:rsidRDefault="00CC7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A9F63" w14:textId="77777777" w:rsidR="00EB2FC7" w:rsidRDefault="00EB2FC7" w:rsidP="00EB2FC7">
    <w:pPr>
      <w:pStyle w:val="Header"/>
      <w:jc w:val="right"/>
    </w:pPr>
    <w:r>
      <w:t>Paperwork Reduction Act Submission OMB#0551-0035</w:t>
    </w:r>
  </w:p>
  <w:p w14:paraId="29E1647F" w14:textId="77777777" w:rsidR="00EB2FC7" w:rsidRDefault="00EB2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7D4B2B2"/>
    <w:lvl w:ilvl="0">
      <w:numFmt w:val="decimal"/>
      <w:lvlText w:val="*"/>
      <w:lvlJc w:val="left"/>
    </w:lvl>
  </w:abstractNum>
  <w:abstractNum w:abstractNumId="1" w15:restartNumberingAfterBreak="0">
    <w:nsid w:val="0C820A27"/>
    <w:multiLevelType w:val="hybridMultilevel"/>
    <w:tmpl w:val="71E82A5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9254F2C"/>
    <w:multiLevelType w:val="hybridMultilevel"/>
    <w:tmpl w:val="469894EA"/>
    <w:lvl w:ilvl="0" w:tplc="42866C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A79EF"/>
    <w:multiLevelType w:val="hybridMultilevel"/>
    <w:tmpl w:val="88F249B4"/>
    <w:lvl w:ilvl="0" w:tplc="A31E4968">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AC0142"/>
    <w:multiLevelType w:val="hybridMultilevel"/>
    <w:tmpl w:val="C4FA5292"/>
    <w:lvl w:ilvl="0" w:tplc="47FC013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665AE4"/>
    <w:multiLevelType w:val="hybridMultilevel"/>
    <w:tmpl w:val="2AEC0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16701"/>
    <w:multiLevelType w:val="multilevel"/>
    <w:tmpl w:val="621A1CA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B51DF3"/>
    <w:multiLevelType w:val="hybridMultilevel"/>
    <w:tmpl w:val="402C4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0B579B"/>
    <w:multiLevelType w:val="hybridMultilevel"/>
    <w:tmpl w:val="ADF2C5C0"/>
    <w:lvl w:ilvl="0" w:tplc="04090001">
      <w:start w:val="1"/>
      <w:numFmt w:val="bullet"/>
      <w:lvlText w:val=""/>
      <w:lvlJc w:val="left"/>
      <w:pPr>
        <w:tabs>
          <w:tab w:val="num" w:pos="720"/>
        </w:tabs>
        <w:ind w:left="720" w:hanging="360"/>
      </w:pPr>
      <w:rPr>
        <w:rFonts w:ascii="Symbol" w:hAnsi="Symbol" w:hint="default"/>
      </w:rPr>
    </w:lvl>
    <w:lvl w:ilvl="1" w:tplc="42866C9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D108AC"/>
    <w:multiLevelType w:val="hybridMultilevel"/>
    <w:tmpl w:val="D9C86F2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F85337"/>
    <w:multiLevelType w:val="hybridMultilevel"/>
    <w:tmpl w:val="11D80A98"/>
    <w:lvl w:ilvl="0" w:tplc="EBA01C60">
      <w:start w:val="1"/>
      <w:numFmt w:val="upperLetter"/>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14037F"/>
    <w:multiLevelType w:val="hybridMultilevel"/>
    <w:tmpl w:val="888CCE2E"/>
    <w:lvl w:ilvl="0" w:tplc="42866C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F61CC0"/>
    <w:multiLevelType w:val="hybridMultilevel"/>
    <w:tmpl w:val="3F60B01C"/>
    <w:lvl w:ilvl="0" w:tplc="BDFC082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6353F2"/>
    <w:multiLevelType w:val="hybridMultilevel"/>
    <w:tmpl w:val="621A1CAE"/>
    <w:lvl w:ilvl="0" w:tplc="42866C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3E3404"/>
    <w:multiLevelType w:val="multilevel"/>
    <w:tmpl w:val="1BF87C1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286690"/>
    <w:multiLevelType w:val="hybridMultilevel"/>
    <w:tmpl w:val="DC683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1616C0"/>
    <w:multiLevelType w:val="hybridMultilevel"/>
    <w:tmpl w:val="6DEA03D0"/>
    <w:lvl w:ilvl="0" w:tplc="3126D11A">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6A1B60"/>
    <w:multiLevelType w:val="hybridMultilevel"/>
    <w:tmpl w:val="E3525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AB0FAE"/>
    <w:multiLevelType w:val="multilevel"/>
    <w:tmpl w:val="469894E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C24EB5"/>
    <w:multiLevelType w:val="hybridMultilevel"/>
    <w:tmpl w:val="1BF87C10"/>
    <w:lvl w:ilvl="0" w:tplc="42866C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04E08"/>
    <w:multiLevelType w:val="hybridMultilevel"/>
    <w:tmpl w:val="E618A716"/>
    <w:lvl w:ilvl="0" w:tplc="42866C92">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B82741"/>
    <w:multiLevelType w:val="hybridMultilevel"/>
    <w:tmpl w:val="389638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2">
    <w:abstractNumId w:val="4"/>
  </w:num>
  <w:num w:numId="3">
    <w:abstractNumId w:val="10"/>
  </w:num>
  <w:num w:numId="4">
    <w:abstractNumId w:val="16"/>
  </w:num>
  <w:num w:numId="5">
    <w:abstractNumId w:val="7"/>
  </w:num>
  <w:num w:numId="6">
    <w:abstractNumId w:val="9"/>
  </w:num>
  <w:num w:numId="7">
    <w:abstractNumId w:val="21"/>
  </w:num>
  <w:num w:numId="8">
    <w:abstractNumId w:val="3"/>
  </w:num>
  <w:num w:numId="9">
    <w:abstractNumId w:val="12"/>
  </w:num>
  <w:num w:numId="10">
    <w:abstractNumId w:val="19"/>
  </w:num>
  <w:num w:numId="11">
    <w:abstractNumId w:val="11"/>
  </w:num>
  <w:num w:numId="12">
    <w:abstractNumId w:val="20"/>
  </w:num>
  <w:num w:numId="13">
    <w:abstractNumId w:val="14"/>
  </w:num>
  <w:num w:numId="14">
    <w:abstractNumId w:val="8"/>
  </w:num>
  <w:num w:numId="15">
    <w:abstractNumId w:val="2"/>
  </w:num>
  <w:num w:numId="16">
    <w:abstractNumId w:val="18"/>
  </w:num>
  <w:num w:numId="17">
    <w:abstractNumId w:val="5"/>
  </w:num>
  <w:num w:numId="18">
    <w:abstractNumId w:val="1"/>
  </w:num>
  <w:num w:numId="19">
    <w:abstractNumId w:val="17"/>
  </w:num>
  <w:num w:numId="20">
    <w:abstractNumId w:val="13"/>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5BA1"/>
    <w:rsid w:val="00011FCB"/>
    <w:rsid w:val="000130E5"/>
    <w:rsid w:val="00020281"/>
    <w:rsid w:val="00022BE5"/>
    <w:rsid w:val="00023628"/>
    <w:rsid w:val="00030E92"/>
    <w:rsid w:val="000312CF"/>
    <w:rsid w:val="00035E75"/>
    <w:rsid w:val="00064600"/>
    <w:rsid w:val="00070E2C"/>
    <w:rsid w:val="000729AF"/>
    <w:rsid w:val="00087E7F"/>
    <w:rsid w:val="000A0FD2"/>
    <w:rsid w:val="000A3A05"/>
    <w:rsid w:val="000B4F17"/>
    <w:rsid w:val="000B5EAD"/>
    <w:rsid w:val="000B6EC9"/>
    <w:rsid w:val="000C08E4"/>
    <w:rsid w:val="000C519E"/>
    <w:rsid w:val="000D16C0"/>
    <w:rsid w:val="000D2ECC"/>
    <w:rsid w:val="000D616E"/>
    <w:rsid w:val="000E1E42"/>
    <w:rsid w:val="000E4127"/>
    <w:rsid w:val="000E5C16"/>
    <w:rsid w:val="000F5132"/>
    <w:rsid w:val="00112AE8"/>
    <w:rsid w:val="001208F8"/>
    <w:rsid w:val="001221B2"/>
    <w:rsid w:val="00127C18"/>
    <w:rsid w:val="0014380E"/>
    <w:rsid w:val="0014563C"/>
    <w:rsid w:val="00147A41"/>
    <w:rsid w:val="0015050D"/>
    <w:rsid w:val="00151739"/>
    <w:rsid w:val="00157D65"/>
    <w:rsid w:val="00162228"/>
    <w:rsid w:val="0016578F"/>
    <w:rsid w:val="00165B46"/>
    <w:rsid w:val="0017539C"/>
    <w:rsid w:val="00191CA8"/>
    <w:rsid w:val="00195BF8"/>
    <w:rsid w:val="00195C9B"/>
    <w:rsid w:val="001A4D80"/>
    <w:rsid w:val="001C1C6D"/>
    <w:rsid w:val="001C3402"/>
    <w:rsid w:val="001C5A01"/>
    <w:rsid w:val="001D190B"/>
    <w:rsid w:val="001E0131"/>
    <w:rsid w:val="001E1D9B"/>
    <w:rsid w:val="001E6F29"/>
    <w:rsid w:val="001F1CE4"/>
    <w:rsid w:val="001F3159"/>
    <w:rsid w:val="00201D7D"/>
    <w:rsid w:val="00202940"/>
    <w:rsid w:val="00213293"/>
    <w:rsid w:val="002279A1"/>
    <w:rsid w:val="002303EC"/>
    <w:rsid w:val="00230CBB"/>
    <w:rsid w:val="00242C22"/>
    <w:rsid w:val="0024681B"/>
    <w:rsid w:val="00246989"/>
    <w:rsid w:val="00251D40"/>
    <w:rsid w:val="00274E12"/>
    <w:rsid w:val="00283B97"/>
    <w:rsid w:val="002861DA"/>
    <w:rsid w:val="00292C14"/>
    <w:rsid w:val="00293ECF"/>
    <w:rsid w:val="002A3B72"/>
    <w:rsid w:val="002A4EF6"/>
    <w:rsid w:val="002C6A7C"/>
    <w:rsid w:val="002D0E18"/>
    <w:rsid w:val="002D3E1A"/>
    <w:rsid w:val="002D5E47"/>
    <w:rsid w:val="002D68E4"/>
    <w:rsid w:val="002D7243"/>
    <w:rsid w:val="002D7806"/>
    <w:rsid w:val="002D7C26"/>
    <w:rsid w:val="002F62B9"/>
    <w:rsid w:val="003046AF"/>
    <w:rsid w:val="003071FB"/>
    <w:rsid w:val="00312DD3"/>
    <w:rsid w:val="0031385F"/>
    <w:rsid w:val="0033363F"/>
    <w:rsid w:val="00336DF8"/>
    <w:rsid w:val="00340A9D"/>
    <w:rsid w:val="00352FE1"/>
    <w:rsid w:val="003534E5"/>
    <w:rsid w:val="00355ADA"/>
    <w:rsid w:val="0036480B"/>
    <w:rsid w:val="00374575"/>
    <w:rsid w:val="003748DB"/>
    <w:rsid w:val="00393CB4"/>
    <w:rsid w:val="00396572"/>
    <w:rsid w:val="003970D3"/>
    <w:rsid w:val="00397372"/>
    <w:rsid w:val="003A48C9"/>
    <w:rsid w:val="003A76E4"/>
    <w:rsid w:val="003A7765"/>
    <w:rsid w:val="003B6268"/>
    <w:rsid w:val="003B6D0D"/>
    <w:rsid w:val="003B7586"/>
    <w:rsid w:val="003C37A5"/>
    <w:rsid w:val="003C6702"/>
    <w:rsid w:val="003D76B5"/>
    <w:rsid w:val="003F4185"/>
    <w:rsid w:val="003F43C1"/>
    <w:rsid w:val="00402232"/>
    <w:rsid w:val="00404D16"/>
    <w:rsid w:val="00404FAD"/>
    <w:rsid w:val="004234D4"/>
    <w:rsid w:val="00424995"/>
    <w:rsid w:val="00430098"/>
    <w:rsid w:val="004319B1"/>
    <w:rsid w:val="00433C91"/>
    <w:rsid w:val="00433FBB"/>
    <w:rsid w:val="004365A4"/>
    <w:rsid w:val="004375C3"/>
    <w:rsid w:val="00440F15"/>
    <w:rsid w:val="00442BAB"/>
    <w:rsid w:val="004524CF"/>
    <w:rsid w:val="004540D1"/>
    <w:rsid w:val="004576C4"/>
    <w:rsid w:val="00465138"/>
    <w:rsid w:val="00471015"/>
    <w:rsid w:val="00476425"/>
    <w:rsid w:val="00476BE9"/>
    <w:rsid w:val="00482BC8"/>
    <w:rsid w:val="00484D1C"/>
    <w:rsid w:val="004874E4"/>
    <w:rsid w:val="00487738"/>
    <w:rsid w:val="0049025A"/>
    <w:rsid w:val="00491DFD"/>
    <w:rsid w:val="004A1138"/>
    <w:rsid w:val="004A70EF"/>
    <w:rsid w:val="004B58B3"/>
    <w:rsid w:val="004C1F66"/>
    <w:rsid w:val="004C5DFD"/>
    <w:rsid w:val="004D0D6F"/>
    <w:rsid w:val="004E7FA2"/>
    <w:rsid w:val="004F6739"/>
    <w:rsid w:val="00510347"/>
    <w:rsid w:val="005122F4"/>
    <w:rsid w:val="00520422"/>
    <w:rsid w:val="00527D7D"/>
    <w:rsid w:val="00527E06"/>
    <w:rsid w:val="00531706"/>
    <w:rsid w:val="005326E3"/>
    <w:rsid w:val="00536854"/>
    <w:rsid w:val="00537494"/>
    <w:rsid w:val="00541575"/>
    <w:rsid w:val="00543946"/>
    <w:rsid w:val="0055798C"/>
    <w:rsid w:val="00563155"/>
    <w:rsid w:val="0056672B"/>
    <w:rsid w:val="00567116"/>
    <w:rsid w:val="005671C7"/>
    <w:rsid w:val="00567513"/>
    <w:rsid w:val="00570ECD"/>
    <w:rsid w:val="00577084"/>
    <w:rsid w:val="00580A44"/>
    <w:rsid w:val="00581370"/>
    <w:rsid w:val="005850D1"/>
    <w:rsid w:val="00586182"/>
    <w:rsid w:val="00592AEA"/>
    <w:rsid w:val="00593CDA"/>
    <w:rsid w:val="005A3D5B"/>
    <w:rsid w:val="005A5B13"/>
    <w:rsid w:val="005B1175"/>
    <w:rsid w:val="005B3DB0"/>
    <w:rsid w:val="005D5796"/>
    <w:rsid w:val="005D7EF3"/>
    <w:rsid w:val="005E0191"/>
    <w:rsid w:val="005E2108"/>
    <w:rsid w:val="005E5699"/>
    <w:rsid w:val="005F6964"/>
    <w:rsid w:val="0060000D"/>
    <w:rsid w:val="0060523C"/>
    <w:rsid w:val="00614046"/>
    <w:rsid w:val="006155ED"/>
    <w:rsid w:val="0062103C"/>
    <w:rsid w:val="00625669"/>
    <w:rsid w:val="00627BA6"/>
    <w:rsid w:val="0063021B"/>
    <w:rsid w:val="0063448A"/>
    <w:rsid w:val="006436DD"/>
    <w:rsid w:val="006561B1"/>
    <w:rsid w:val="0066253C"/>
    <w:rsid w:val="00662AEA"/>
    <w:rsid w:val="00665BA1"/>
    <w:rsid w:val="006666C5"/>
    <w:rsid w:val="0066715B"/>
    <w:rsid w:val="006749C5"/>
    <w:rsid w:val="00674CF8"/>
    <w:rsid w:val="006762C4"/>
    <w:rsid w:val="00684E96"/>
    <w:rsid w:val="00685933"/>
    <w:rsid w:val="0068605B"/>
    <w:rsid w:val="0069157A"/>
    <w:rsid w:val="00694012"/>
    <w:rsid w:val="006B079D"/>
    <w:rsid w:val="006B1D32"/>
    <w:rsid w:val="006B7E9F"/>
    <w:rsid w:val="006C1784"/>
    <w:rsid w:val="006C29EC"/>
    <w:rsid w:val="006C448A"/>
    <w:rsid w:val="006C61B3"/>
    <w:rsid w:val="006C747B"/>
    <w:rsid w:val="006E2DC2"/>
    <w:rsid w:val="006E6682"/>
    <w:rsid w:val="006F15E4"/>
    <w:rsid w:val="006F23DF"/>
    <w:rsid w:val="006F3960"/>
    <w:rsid w:val="006F68B6"/>
    <w:rsid w:val="00706ABE"/>
    <w:rsid w:val="00707506"/>
    <w:rsid w:val="00717182"/>
    <w:rsid w:val="007172FE"/>
    <w:rsid w:val="00717BDE"/>
    <w:rsid w:val="00720F28"/>
    <w:rsid w:val="00730FFA"/>
    <w:rsid w:val="00732FC9"/>
    <w:rsid w:val="007469C8"/>
    <w:rsid w:val="00746F20"/>
    <w:rsid w:val="007552E2"/>
    <w:rsid w:val="00767FF0"/>
    <w:rsid w:val="00770EFF"/>
    <w:rsid w:val="00775C1C"/>
    <w:rsid w:val="00777A7C"/>
    <w:rsid w:val="0078451C"/>
    <w:rsid w:val="00786C0C"/>
    <w:rsid w:val="007A4698"/>
    <w:rsid w:val="007A523E"/>
    <w:rsid w:val="007C1B4C"/>
    <w:rsid w:val="007C3EFC"/>
    <w:rsid w:val="007C4873"/>
    <w:rsid w:val="007C6306"/>
    <w:rsid w:val="007D0446"/>
    <w:rsid w:val="007D2A06"/>
    <w:rsid w:val="007D56F3"/>
    <w:rsid w:val="007D6843"/>
    <w:rsid w:val="007F4940"/>
    <w:rsid w:val="008073C1"/>
    <w:rsid w:val="00807413"/>
    <w:rsid w:val="00810F7E"/>
    <w:rsid w:val="00815884"/>
    <w:rsid w:val="00820CE5"/>
    <w:rsid w:val="00821123"/>
    <w:rsid w:val="0082182A"/>
    <w:rsid w:val="008269F1"/>
    <w:rsid w:val="00831746"/>
    <w:rsid w:val="00832D8C"/>
    <w:rsid w:val="008362BE"/>
    <w:rsid w:val="00837ACF"/>
    <w:rsid w:val="008438CB"/>
    <w:rsid w:val="00843BE3"/>
    <w:rsid w:val="0084738C"/>
    <w:rsid w:val="008501AA"/>
    <w:rsid w:val="00853A2D"/>
    <w:rsid w:val="00854E64"/>
    <w:rsid w:val="00870ADE"/>
    <w:rsid w:val="00871B98"/>
    <w:rsid w:val="00872181"/>
    <w:rsid w:val="008741D7"/>
    <w:rsid w:val="00881006"/>
    <w:rsid w:val="008831E3"/>
    <w:rsid w:val="0088563A"/>
    <w:rsid w:val="00887156"/>
    <w:rsid w:val="00887C00"/>
    <w:rsid w:val="00891D8B"/>
    <w:rsid w:val="008A2A39"/>
    <w:rsid w:val="008A37C9"/>
    <w:rsid w:val="008B68AB"/>
    <w:rsid w:val="008C01B1"/>
    <w:rsid w:val="008C033B"/>
    <w:rsid w:val="008C1BE8"/>
    <w:rsid w:val="008C67D8"/>
    <w:rsid w:val="008C7DB9"/>
    <w:rsid w:val="008D0913"/>
    <w:rsid w:val="008D26E6"/>
    <w:rsid w:val="008D5616"/>
    <w:rsid w:val="008D5D46"/>
    <w:rsid w:val="008E45FC"/>
    <w:rsid w:val="008E6CB9"/>
    <w:rsid w:val="008F5AD5"/>
    <w:rsid w:val="008F722B"/>
    <w:rsid w:val="0090224F"/>
    <w:rsid w:val="009107A8"/>
    <w:rsid w:val="00915C62"/>
    <w:rsid w:val="0091711A"/>
    <w:rsid w:val="00925869"/>
    <w:rsid w:val="009275CC"/>
    <w:rsid w:val="0093102D"/>
    <w:rsid w:val="009336DB"/>
    <w:rsid w:val="00940161"/>
    <w:rsid w:val="00942D7A"/>
    <w:rsid w:val="009432AF"/>
    <w:rsid w:val="00950BDA"/>
    <w:rsid w:val="009513E5"/>
    <w:rsid w:val="00953980"/>
    <w:rsid w:val="00956B0E"/>
    <w:rsid w:val="00967149"/>
    <w:rsid w:val="009762FA"/>
    <w:rsid w:val="00995A52"/>
    <w:rsid w:val="009A295A"/>
    <w:rsid w:val="009A37E1"/>
    <w:rsid w:val="009A6927"/>
    <w:rsid w:val="009B040A"/>
    <w:rsid w:val="009B117C"/>
    <w:rsid w:val="009B48AD"/>
    <w:rsid w:val="009C30BE"/>
    <w:rsid w:val="009C4670"/>
    <w:rsid w:val="009D0C7E"/>
    <w:rsid w:val="009D110A"/>
    <w:rsid w:val="009D2CD4"/>
    <w:rsid w:val="009D7497"/>
    <w:rsid w:val="009E36EF"/>
    <w:rsid w:val="00A003A3"/>
    <w:rsid w:val="00A009F9"/>
    <w:rsid w:val="00A07423"/>
    <w:rsid w:val="00A2798A"/>
    <w:rsid w:val="00A32BB0"/>
    <w:rsid w:val="00A37D95"/>
    <w:rsid w:val="00A475A8"/>
    <w:rsid w:val="00A50553"/>
    <w:rsid w:val="00A52C7A"/>
    <w:rsid w:val="00A55FA2"/>
    <w:rsid w:val="00A61EED"/>
    <w:rsid w:val="00A6544E"/>
    <w:rsid w:val="00A84DE1"/>
    <w:rsid w:val="00A861B1"/>
    <w:rsid w:val="00A90E20"/>
    <w:rsid w:val="00A9196F"/>
    <w:rsid w:val="00A923E7"/>
    <w:rsid w:val="00A9439F"/>
    <w:rsid w:val="00A9654B"/>
    <w:rsid w:val="00AA7AB5"/>
    <w:rsid w:val="00AB5DC0"/>
    <w:rsid w:val="00AC062F"/>
    <w:rsid w:val="00AC5EAC"/>
    <w:rsid w:val="00AD351A"/>
    <w:rsid w:val="00AE03A1"/>
    <w:rsid w:val="00AE0F1A"/>
    <w:rsid w:val="00AF4B7B"/>
    <w:rsid w:val="00AF7DEC"/>
    <w:rsid w:val="00B00B57"/>
    <w:rsid w:val="00B23BE6"/>
    <w:rsid w:val="00B26B76"/>
    <w:rsid w:val="00B27C7A"/>
    <w:rsid w:val="00B318D6"/>
    <w:rsid w:val="00B34A34"/>
    <w:rsid w:val="00B45D1E"/>
    <w:rsid w:val="00B53B32"/>
    <w:rsid w:val="00B551D4"/>
    <w:rsid w:val="00B6234D"/>
    <w:rsid w:val="00B63107"/>
    <w:rsid w:val="00B64F9A"/>
    <w:rsid w:val="00B65220"/>
    <w:rsid w:val="00B66949"/>
    <w:rsid w:val="00B6734F"/>
    <w:rsid w:val="00B67ACE"/>
    <w:rsid w:val="00B72097"/>
    <w:rsid w:val="00B8626E"/>
    <w:rsid w:val="00B93506"/>
    <w:rsid w:val="00BA1F9E"/>
    <w:rsid w:val="00BB3B51"/>
    <w:rsid w:val="00BC2848"/>
    <w:rsid w:val="00BC3651"/>
    <w:rsid w:val="00BC63A4"/>
    <w:rsid w:val="00BD5049"/>
    <w:rsid w:val="00BD57B9"/>
    <w:rsid w:val="00BE5AB5"/>
    <w:rsid w:val="00BE68AE"/>
    <w:rsid w:val="00BE6D32"/>
    <w:rsid w:val="00BF3456"/>
    <w:rsid w:val="00BF6D90"/>
    <w:rsid w:val="00C14724"/>
    <w:rsid w:val="00C24144"/>
    <w:rsid w:val="00C24C63"/>
    <w:rsid w:val="00C27BF6"/>
    <w:rsid w:val="00C27D4F"/>
    <w:rsid w:val="00C32BFF"/>
    <w:rsid w:val="00C40E67"/>
    <w:rsid w:val="00C418B8"/>
    <w:rsid w:val="00C43734"/>
    <w:rsid w:val="00C44121"/>
    <w:rsid w:val="00C46203"/>
    <w:rsid w:val="00C544BC"/>
    <w:rsid w:val="00C5585B"/>
    <w:rsid w:val="00C57CFA"/>
    <w:rsid w:val="00C60B97"/>
    <w:rsid w:val="00C60F62"/>
    <w:rsid w:val="00C67002"/>
    <w:rsid w:val="00C733F2"/>
    <w:rsid w:val="00C83127"/>
    <w:rsid w:val="00C860C8"/>
    <w:rsid w:val="00C93B4F"/>
    <w:rsid w:val="00CA3FAC"/>
    <w:rsid w:val="00CA668C"/>
    <w:rsid w:val="00CA7EF4"/>
    <w:rsid w:val="00CB1203"/>
    <w:rsid w:val="00CB181A"/>
    <w:rsid w:val="00CB5CEA"/>
    <w:rsid w:val="00CC73F4"/>
    <w:rsid w:val="00CC7B95"/>
    <w:rsid w:val="00CD10E2"/>
    <w:rsid w:val="00CD1EBE"/>
    <w:rsid w:val="00CD24A2"/>
    <w:rsid w:val="00CD3540"/>
    <w:rsid w:val="00CE040F"/>
    <w:rsid w:val="00CE248E"/>
    <w:rsid w:val="00CE5F99"/>
    <w:rsid w:val="00CE6BE3"/>
    <w:rsid w:val="00CE73A0"/>
    <w:rsid w:val="00CF4B83"/>
    <w:rsid w:val="00CF7E2B"/>
    <w:rsid w:val="00D017A5"/>
    <w:rsid w:val="00D0299A"/>
    <w:rsid w:val="00D030D9"/>
    <w:rsid w:val="00D06255"/>
    <w:rsid w:val="00D108C8"/>
    <w:rsid w:val="00D15D50"/>
    <w:rsid w:val="00D16FEF"/>
    <w:rsid w:val="00D24469"/>
    <w:rsid w:val="00D3109E"/>
    <w:rsid w:val="00D31693"/>
    <w:rsid w:val="00D31947"/>
    <w:rsid w:val="00D3260F"/>
    <w:rsid w:val="00D41E39"/>
    <w:rsid w:val="00D45852"/>
    <w:rsid w:val="00D45AF4"/>
    <w:rsid w:val="00D52FAD"/>
    <w:rsid w:val="00D53F93"/>
    <w:rsid w:val="00D54C26"/>
    <w:rsid w:val="00D571D8"/>
    <w:rsid w:val="00D60CB8"/>
    <w:rsid w:val="00D619DF"/>
    <w:rsid w:val="00D67674"/>
    <w:rsid w:val="00D703C0"/>
    <w:rsid w:val="00D75C7A"/>
    <w:rsid w:val="00D76124"/>
    <w:rsid w:val="00D7708D"/>
    <w:rsid w:val="00D81D51"/>
    <w:rsid w:val="00D86304"/>
    <w:rsid w:val="00D916AD"/>
    <w:rsid w:val="00D9435D"/>
    <w:rsid w:val="00D96B1D"/>
    <w:rsid w:val="00DA7E3D"/>
    <w:rsid w:val="00DB758E"/>
    <w:rsid w:val="00DC6997"/>
    <w:rsid w:val="00DC6BCA"/>
    <w:rsid w:val="00DD4DBC"/>
    <w:rsid w:val="00DF5F1D"/>
    <w:rsid w:val="00DF61D2"/>
    <w:rsid w:val="00E035D5"/>
    <w:rsid w:val="00E045C8"/>
    <w:rsid w:val="00E074DD"/>
    <w:rsid w:val="00E154BA"/>
    <w:rsid w:val="00E17B77"/>
    <w:rsid w:val="00E24F85"/>
    <w:rsid w:val="00E36294"/>
    <w:rsid w:val="00E37271"/>
    <w:rsid w:val="00E4262A"/>
    <w:rsid w:val="00E46493"/>
    <w:rsid w:val="00E47776"/>
    <w:rsid w:val="00E56315"/>
    <w:rsid w:val="00E71B5F"/>
    <w:rsid w:val="00E725CE"/>
    <w:rsid w:val="00E85C08"/>
    <w:rsid w:val="00E90359"/>
    <w:rsid w:val="00E90B55"/>
    <w:rsid w:val="00EA41FB"/>
    <w:rsid w:val="00EA49B6"/>
    <w:rsid w:val="00EB066F"/>
    <w:rsid w:val="00EB19EF"/>
    <w:rsid w:val="00EB1FF8"/>
    <w:rsid w:val="00EB2FC7"/>
    <w:rsid w:val="00EB3990"/>
    <w:rsid w:val="00EB3DD8"/>
    <w:rsid w:val="00EB7DC5"/>
    <w:rsid w:val="00EC34B0"/>
    <w:rsid w:val="00EE07EB"/>
    <w:rsid w:val="00EE6EA4"/>
    <w:rsid w:val="00EF1109"/>
    <w:rsid w:val="00EF4BF0"/>
    <w:rsid w:val="00EF7457"/>
    <w:rsid w:val="00F054C5"/>
    <w:rsid w:val="00F16BA9"/>
    <w:rsid w:val="00F17C0D"/>
    <w:rsid w:val="00F22220"/>
    <w:rsid w:val="00F22FD0"/>
    <w:rsid w:val="00F4789D"/>
    <w:rsid w:val="00F51F36"/>
    <w:rsid w:val="00F563E1"/>
    <w:rsid w:val="00F633F0"/>
    <w:rsid w:val="00F64E81"/>
    <w:rsid w:val="00F72D91"/>
    <w:rsid w:val="00F75558"/>
    <w:rsid w:val="00F84117"/>
    <w:rsid w:val="00F84DA4"/>
    <w:rsid w:val="00F85B5B"/>
    <w:rsid w:val="00FA1A73"/>
    <w:rsid w:val="00FA6CE7"/>
    <w:rsid w:val="00FB4276"/>
    <w:rsid w:val="00FC13F1"/>
    <w:rsid w:val="00FC30BC"/>
    <w:rsid w:val="00FD1AFC"/>
    <w:rsid w:val="00FD3CE7"/>
    <w:rsid w:val="00FE0B13"/>
    <w:rsid w:val="00FE29DE"/>
    <w:rsid w:val="00FE65C3"/>
    <w:rsid w:val="00FF04C4"/>
    <w:rsid w:val="00FF05C8"/>
    <w:rsid w:val="00FF1EBE"/>
    <w:rsid w:val="00FF2217"/>
    <w:rsid w:val="00FF658C"/>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FE730A3"/>
  <w15:chartTrackingRefBased/>
  <w15:docId w15:val="{FEC5A67B-58FC-467B-97C6-0F01CBE4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0D9"/>
    <w:pPr>
      <w:widowControl w:val="0"/>
      <w:autoSpaceDE w:val="0"/>
      <w:autoSpaceDN w:val="0"/>
      <w:adjustRightInd w:val="0"/>
    </w:pPr>
    <w:rPr>
      <w:szCs w:val="24"/>
    </w:rPr>
  </w:style>
  <w:style w:type="paragraph" w:styleId="Heading1">
    <w:name w:val="heading 1"/>
    <w:basedOn w:val="Normal"/>
    <w:next w:val="Normal"/>
    <w:qFormat/>
    <w:pPr>
      <w:keepNext/>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outlineLvl w:val="0"/>
    </w:pPr>
    <w:rPr>
      <w:sz w:val="24"/>
    </w:rPr>
  </w:style>
  <w:style w:type="paragraph" w:styleId="Heading2">
    <w:name w:val="heading 2"/>
    <w:basedOn w:val="Normal"/>
    <w:next w:val="Normal"/>
    <w:qFormat/>
    <w:pPr>
      <w:keepNext/>
      <w:outlineLvl w:val="1"/>
    </w:pPr>
    <w:rPr>
      <w:b/>
      <w:bCs/>
      <w:sz w:val="28"/>
      <w:szCs w:val="28"/>
      <w:u w:val="single"/>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i/>
      <w:iCs/>
      <w:sz w:val="24"/>
    </w:rPr>
  </w:style>
  <w:style w:type="paragraph" w:styleId="Heading5">
    <w:name w:val="heading 5"/>
    <w:basedOn w:val="Normal"/>
    <w:next w:val="Normal"/>
    <w:qFormat/>
    <w:pPr>
      <w:keepNext/>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bCs/>
      <w:i/>
      <w:iCs/>
      <w:sz w:val="24"/>
    </w:rPr>
  </w:style>
  <w:style w:type="paragraph" w:styleId="Heading6">
    <w:name w:val="heading 6"/>
    <w:basedOn w:val="Normal"/>
    <w:next w:val="Normal"/>
    <w:qFormat/>
    <w:pPr>
      <w:keepNex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360" w:hanging="360"/>
    </w:pPr>
  </w:style>
  <w:style w:type="paragraph" w:styleId="BodyText">
    <w:name w:val="Body Text"/>
    <w:basedOn w:val="Normal"/>
    <w:pPr>
      <w:tabs>
        <w:tab w:val="left" w:pos="720"/>
        <w:tab w:val="left" w:pos="1080"/>
      </w:tabs>
    </w:pPr>
    <w:rPr>
      <w:b/>
      <w:bCs/>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sz w:val="24"/>
    </w:rPr>
  </w:style>
  <w:style w:type="paragraph" w:styleId="BodyTextIndent2">
    <w:name w:val="Body Text Indent 2"/>
    <w:basedOn w:val="Normal"/>
    <w:pPr>
      <w:ind w:left="-720"/>
    </w:pPr>
    <w:rPr>
      <w:b/>
      <w:bCs/>
      <w:sz w:val="24"/>
    </w:rPr>
  </w:style>
  <w:style w:type="paragraph" w:styleId="Caption">
    <w:name w:val="caption"/>
    <w:basedOn w:val="Normal"/>
    <w:next w:val="Normal"/>
    <w:qFormat/>
    <w:rPr>
      <w:b/>
      <w:bCs/>
      <w:sz w:val="24"/>
    </w:rPr>
  </w:style>
  <w:style w:type="paragraph" w:styleId="BodyText2">
    <w:name w:val="Body Text 2"/>
    <w:basedOn w:val="Normal"/>
    <w:rPr>
      <w:sz w:val="24"/>
    </w:rPr>
  </w:style>
  <w:style w:type="paragraph" w:styleId="BodyText3">
    <w:name w:val="Body Text 3"/>
    <w:basedOn w:val="Normal"/>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iCs/>
      <w:sz w:val="24"/>
    </w:rPr>
  </w:style>
  <w:style w:type="character" w:styleId="CommentReference">
    <w:name w:val="annotation reference"/>
    <w:semiHidden/>
    <w:rsid w:val="00810F7E"/>
    <w:rPr>
      <w:sz w:val="16"/>
      <w:szCs w:val="16"/>
    </w:rPr>
  </w:style>
  <w:style w:type="paragraph" w:styleId="CommentText">
    <w:name w:val="annotation text"/>
    <w:basedOn w:val="Normal"/>
    <w:semiHidden/>
    <w:rsid w:val="00810F7E"/>
    <w:rPr>
      <w:szCs w:val="20"/>
    </w:rPr>
  </w:style>
  <w:style w:type="paragraph" w:styleId="CommentSubject">
    <w:name w:val="annotation subject"/>
    <w:basedOn w:val="CommentText"/>
    <w:next w:val="CommentText"/>
    <w:semiHidden/>
    <w:rsid w:val="00810F7E"/>
    <w:rPr>
      <w:b/>
      <w:bCs/>
    </w:rPr>
  </w:style>
  <w:style w:type="paragraph" w:styleId="BalloonText">
    <w:name w:val="Balloon Text"/>
    <w:basedOn w:val="Normal"/>
    <w:semiHidden/>
    <w:rsid w:val="00810F7E"/>
    <w:rPr>
      <w:rFonts w:ascii="Tahoma" w:hAnsi="Tahoma" w:cs="Tahoma"/>
      <w:sz w:val="16"/>
      <w:szCs w:val="16"/>
    </w:rPr>
  </w:style>
  <w:style w:type="paragraph" w:styleId="NormalWeb">
    <w:name w:val="Normal (Web)"/>
    <w:basedOn w:val="Normal"/>
    <w:rsid w:val="007D0446"/>
    <w:pPr>
      <w:widowControl/>
      <w:autoSpaceDE/>
      <w:autoSpaceDN/>
      <w:adjustRightInd/>
      <w:spacing w:before="100" w:beforeAutospacing="1" w:after="100" w:afterAutospacing="1"/>
    </w:pPr>
    <w:rPr>
      <w:sz w:val="24"/>
    </w:rPr>
  </w:style>
  <w:style w:type="character" w:styleId="PageNumber">
    <w:name w:val="page number"/>
    <w:basedOn w:val="DefaultParagraphFont"/>
    <w:rsid w:val="00942D7A"/>
  </w:style>
  <w:style w:type="character" w:styleId="Hyperlink">
    <w:name w:val="Hyperlink"/>
    <w:uiPriority w:val="99"/>
    <w:unhideWhenUsed/>
    <w:rsid w:val="00A37D95"/>
    <w:rPr>
      <w:color w:val="0000FF"/>
      <w:u w:val="single"/>
    </w:rPr>
  </w:style>
  <w:style w:type="character" w:customStyle="1" w:styleId="HeaderChar">
    <w:name w:val="Header Char"/>
    <w:link w:val="Header"/>
    <w:uiPriority w:val="99"/>
    <w:rsid w:val="00EB2FC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872371">
      <w:bodyDiv w:val="1"/>
      <w:marLeft w:val="0"/>
      <w:marRight w:val="0"/>
      <w:marTop w:val="0"/>
      <w:marBottom w:val="0"/>
      <w:divBdr>
        <w:top w:val="none" w:sz="0" w:space="0" w:color="auto"/>
        <w:left w:val="none" w:sz="0" w:space="0" w:color="auto"/>
        <w:bottom w:val="none" w:sz="0" w:space="0" w:color="auto"/>
        <w:right w:val="none" w:sz="0" w:space="0" w:color="auto"/>
      </w:divBdr>
    </w:div>
    <w:div w:id="1146125574">
      <w:bodyDiv w:val="1"/>
      <w:marLeft w:val="0"/>
      <w:marRight w:val="0"/>
      <w:marTop w:val="0"/>
      <w:marBottom w:val="0"/>
      <w:divBdr>
        <w:top w:val="none" w:sz="0" w:space="0" w:color="auto"/>
        <w:left w:val="none" w:sz="0" w:space="0" w:color="auto"/>
        <w:bottom w:val="none" w:sz="0" w:space="0" w:color="auto"/>
        <w:right w:val="none" w:sz="0" w:space="0" w:color="auto"/>
      </w:divBdr>
    </w:div>
    <w:div w:id="1291403486">
      <w:bodyDiv w:val="1"/>
      <w:marLeft w:val="0"/>
      <w:marRight w:val="0"/>
      <w:marTop w:val="0"/>
      <w:marBottom w:val="0"/>
      <w:divBdr>
        <w:top w:val="none" w:sz="0" w:space="0" w:color="auto"/>
        <w:left w:val="none" w:sz="0" w:space="0" w:color="auto"/>
        <w:bottom w:val="none" w:sz="0" w:space="0" w:color="auto"/>
        <w:right w:val="none" w:sz="0" w:space="0" w:color="auto"/>
      </w:divBdr>
    </w:div>
    <w:div w:id="1364555812">
      <w:bodyDiv w:val="1"/>
      <w:marLeft w:val="0"/>
      <w:marRight w:val="0"/>
      <w:marTop w:val="0"/>
      <w:marBottom w:val="0"/>
      <w:divBdr>
        <w:top w:val="none" w:sz="0" w:space="0" w:color="auto"/>
        <w:left w:val="none" w:sz="0" w:space="0" w:color="auto"/>
        <w:bottom w:val="none" w:sz="0" w:space="0" w:color="auto"/>
        <w:right w:val="none" w:sz="0" w:space="0" w:color="auto"/>
      </w:divBdr>
    </w:div>
    <w:div w:id="1471827860">
      <w:bodyDiv w:val="1"/>
      <w:marLeft w:val="0"/>
      <w:marRight w:val="0"/>
      <w:marTop w:val="0"/>
      <w:marBottom w:val="0"/>
      <w:divBdr>
        <w:top w:val="none" w:sz="0" w:space="0" w:color="auto"/>
        <w:left w:val="none" w:sz="0" w:space="0" w:color="auto"/>
        <w:bottom w:val="none" w:sz="0" w:space="0" w:color="auto"/>
        <w:right w:val="none" w:sz="0" w:space="0" w:color="auto"/>
      </w:divBdr>
    </w:div>
    <w:div w:id="16841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athaniel.glidden@wfp.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lspohn@lifelinklogistic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agoon@fettigdonalty.com" TargetMode="External"/><Relationship Id="rId5" Type="http://schemas.openxmlformats.org/officeDocument/2006/relationships/footnotes" Target="footnotes.xml"/><Relationship Id="rId15" Type="http://schemas.openxmlformats.org/officeDocument/2006/relationships/hyperlink" Target="mailto:JMEllenberger@landolakes.com" TargetMode="External"/><Relationship Id="rId10" Type="http://schemas.openxmlformats.org/officeDocument/2006/relationships/hyperlink" Target="mailto:mark.millard@bkalogistics.ne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Timothy.boom@c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16</Pages>
  <Words>5738</Words>
  <Characters>32711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OMB #0551-0035</vt:lpstr>
    </vt:vector>
  </TitlesOfParts>
  <Company>FAS/USDA</Company>
  <LinksUpToDate>false</LinksUpToDate>
  <CharactersWithSpaces>38373</CharactersWithSpaces>
  <SharedDoc>false</SharedDoc>
  <HLinks>
    <vt:vector size="18" baseType="variant">
      <vt:variant>
        <vt:i4>458860</vt:i4>
      </vt:variant>
      <vt:variant>
        <vt:i4>6</vt:i4>
      </vt:variant>
      <vt:variant>
        <vt:i4>0</vt:i4>
      </vt:variant>
      <vt:variant>
        <vt:i4>5</vt:i4>
      </vt:variant>
      <vt:variant>
        <vt:lpwstr>mailto:Cindy.kremer@wfp.org</vt:lpwstr>
      </vt:variant>
      <vt:variant>
        <vt:lpwstr/>
      </vt:variant>
      <vt:variant>
        <vt:i4>8323166</vt:i4>
      </vt:variant>
      <vt:variant>
        <vt:i4>3</vt:i4>
      </vt:variant>
      <vt:variant>
        <vt:i4>0</vt:i4>
      </vt:variant>
      <vt:variant>
        <vt:i4>5</vt:i4>
      </vt:variant>
      <vt:variant>
        <vt:lpwstr>mailto:modonnell@pciglobal.org</vt:lpwstr>
      </vt:variant>
      <vt:variant>
        <vt:lpwstr/>
      </vt:variant>
      <vt:variant>
        <vt:i4>720951</vt:i4>
      </vt:variant>
      <vt:variant>
        <vt:i4>0</vt:i4>
      </vt:variant>
      <vt:variant>
        <vt:i4>0</vt:i4>
      </vt:variant>
      <vt:variant>
        <vt:i4>5</vt:i4>
      </vt:variant>
      <vt:variant>
        <vt:lpwstr>mailto:samalyan@counterpart.org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#0551-0035</dc:title>
  <dc:subject/>
  <dc:creator>abbottl</dc:creator>
  <cp:keywords/>
  <cp:lastModifiedBy>Croushorn, Ron - FAS, Washington, DC</cp:lastModifiedBy>
  <cp:revision>8</cp:revision>
  <cp:lastPrinted>2014-04-11T17:26:00Z</cp:lastPrinted>
  <dcterms:created xsi:type="dcterms:W3CDTF">2021-01-28T18:47:00Z</dcterms:created>
  <dcterms:modified xsi:type="dcterms:W3CDTF">2021-01-28T22:40:00Z</dcterms:modified>
</cp:coreProperties>
</file>