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01F29" w:rsidR="0095388E" w:rsidP="0095388E" w:rsidRDefault="0095388E" w14:paraId="72EAE1BF" w14:textId="09C8F2F0">
      <w:pPr>
        <w:pStyle w:val="DocTitle-IPR"/>
        <w:spacing w:after="480"/>
      </w:pPr>
      <w:r>
        <w:t xml:space="preserve">Attachment </w:t>
      </w:r>
      <w:r w:rsidR="003464C9">
        <w:t>O</w:t>
      </w:r>
      <w:r w:rsidR="001D2A94">
        <w:t xml:space="preserve">. </w:t>
      </w:r>
      <w:r w:rsidR="00BE3CD6">
        <w:t>D-SNAP</w:t>
      </w:r>
      <w:r w:rsidR="0026254D">
        <w:t xml:space="preserve"> </w:t>
      </w:r>
      <w:r w:rsidR="001D2A94">
        <w:t>Study Overview</w:t>
      </w:r>
      <w:r>
        <w:t xml:space="preserve"> </w:t>
      </w:r>
    </w:p>
    <w:p w:rsidRPr="00267BFC" w:rsidR="0095388E" w:rsidP="0095388E" w:rsidRDefault="0095388E" w14:paraId="37E34789" w14:textId="77777777">
      <w:pPr>
        <w:spacing w:before="1320" w:after="1320"/>
        <w:jc w:val="center"/>
        <w:rPr>
          <w:rFonts w:ascii="Candara" w:hAnsi="Candara"/>
          <w:bCs/>
          <w:sz w:val="36"/>
          <w:szCs w:val="52"/>
        </w:rPr>
      </w:pPr>
      <w:r w:rsidRPr="00267BFC">
        <w:rPr>
          <w:rFonts w:ascii="Candara" w:hAnsi="Candara"/>
          <w:bCs/>
          <w:sz w:val="36"/>
          <w:szCs w:val="52"/>
        </w:rPr>
        <w:t xml:space="preserve">OMB No. </w:t>
      </w:r>
      <w:r>
        <w:rPr>
          <w:rFonts w:ascii="Candara" w:hAnsi="Candara"/>
          <w:bCs/>
          <w:sz w:val="36"/>
          <w:szCs w:val="52"/>
        </w:rPr>
        <w:t>0584</w:t>
      </w:r>
      <w:r w:rsidRPr="00267BFC">
        <w:rPr>
          <w:rFonts w:ascii="Candara" w:hAnsi="Candara"/>
          <w:bCs/>
          <w:sz w:val="36"/>
          <w:szCs w:val="52"/>
        </w:rPr>
        <w:t>-[NEW]</w:t>
      </w:r>
    </w:p>
    <w:p w:rsidR="00760105" w:rsidP="00760105" w:rsidRDefault="00760105" w14:paraId="0857C6FC" w14:textId="77777777">
      <w:pPr>
        <w:pStyle w:val="DocDate-IPR"/>
        <w:spacing w:after="1320"/>
        <w:rPr>
          <w:rFonts w:ascii="Candara" w:hAnsi="Candara"/>
          <w:i/>
          <w:sz w:val="36"/>
          <w:szCs w:val="36"/>
        </w:rPr>
      </w:pPr>
      <w:bookmarkStart w:name="_Hlk38276132" w:id="0"/>
      <w:r>
        <w:rPr>
          <w:rFonts w:ascii="Candara" w:hAnsi="Candara"/>
          <w:i/>
          <w:sz w:val="36"/>
          <w:szCs w:val="36"/>
        </w:rPr>
        <w:t>Best Practices in Disaster Supplemental Nutrition Assistance Program (D-SNAP) Operations and Planning</w:t>
      </w:r>
    </w:p>
    <w:bookmarkEnd w:id="0"/>
    <w:p w:rsidR="001F49C6" w:rsidP="0095388E" w:rsidRDefault="001F49C6" w14:paraId="5CF245B4" w14:textId="1AA9B9F6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  <w:r>
        <w:rPr>
          <w:rFonts w:cs="Lucida Sans Unicode"/>
        </w:rPr>
        <w:fldChar w:fldCharType="begin"/>
      </w:r>
      <w:r>
        <w:rPr>
          <w:rFonts w:cs="Lucida Sans Unicode"/>
        </w:rPr>
        <w:instrText xml:space="preserve"> DATE \@ "MMMM d, yyyy" </w:instrText>
      </w:r>
      <w:r>
        <w:rPr>
          <w:rFonts w:cs="Lucida Sans Unicode"/>
        </w:rPr>
        <w:fldChar w:fldCharType="separate"/>
      </w:r>
      <w:r w:rsidR="00EB5725">
        <w:rPr>
          <w:rFonts w:cs="Lucida Sans Unicode"/>
          <w:noProof/>
        </w:rPr>
        <w:t>April 26, 2021</w:t>
      </w:r>
      <w:r>
        <w:rPr>
          <w:rFonts w:cs="Lucida Sans Unicode"/>
        </w:rPr>
        <w:fldChar w:fldCharType="end"/>
      </w:r>
    </w:p>
    <w:p w:rsidR="001F49C6" w:rsidP="0095388E" w:rsidRDefault="001F49C6" w14:paraId="376C960D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1F49C6" w:rsidP="0095388E" w:rsidRDefault="001F49C6" w14:paraId="382F65FD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1F49C6" w:rsidP="0095388E" w:rsidRDefault="001F49C6" w14:paraId="7ACF815E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1F49C6" w:rsidP="0095388E" w:rsidRDefault="001F49C6" w14:paraId="56F71A19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1F49C6" w:rsidP="0095388E" w:rsidRDefault="001F49C6" w14:paraId="03336EF4" w14:textId="77777777">
      <w:pPr>
        <w:pStyle w:val="TableText-IPR"/>
        <w:jc w:val="center"/>
        <w:rPr>
          <w:rFonts w:cs="Lucida Sans Unicode" w:eastAsiaTheme="minorHAnsi"/>
          <w:sz w:val="22"/>
          <w:szCs w:val="22"/>
        </w:rPr>
      </w:pPr>
    </w:p>
    <w:p w:rsidR="0095388E" w:rsidP="0095388E" w:rsidRDefault="0095388E" w14:paraId="3031CD5B" w14:textId="60B10C58">
      <w:pPr>
        <w:pStyle w:val="TableText-IPR"/>
        <w:jc w:val="center"/>
        <w:rPr>
          <w:b/>
          <w:sz w:val="24"/>
          <w:szCs w:val="24"/>
        </w:rPr>
      </w:pPr>
      <w:r w:rsidRPr="009A1155">
        <w:rPr>
          <w:b/>
          <w:sz w:val="24"/>
          <w:szCs w:val="24"/>
        </w:rPr>
        <w:t xml:space="preserve">Project Officer: </w:t>
      </w:r>
      <w:r>
        <w:rPr>
          <w:b/>
          <w:sz w:val="24"/>
          <w:szCs w:val="24"/>
        </w:rPr>
        <w:t xml:space="preserve">Eric </w:t>
      </w:r>
      <w:r w:rsidR="00840CE4">
        <w:rPr>
          <w:b/>
          <w:sz w:val="24"/>
          <w:szCs w:val="24"/>
        </w:rPr>
        <w:t xml:space="preserve">Sean </w:t>
      </w:r>
      <w:r>
        <w:rPr>
          <w:b/>
          <w:sz w:val="24"/>
          <w:szCs w:val="24"/>
        </w:rPr>
        <w:t>Williams</w:t>
      </w:r>
    </w:p>
    <w:p w:rsidRPr="009A1155" w:rsidR="0095388E" w:rsidP="0095388E" w:rsidRDefault="0095388E" w14:paraId="019FE0B2" w14:textId="77777777">
      <w:pPr>
        <w:pStyle w:val="TableText-IPR"/>
        <w:jc w:val="center"/>
        <w:rPr>
          <w:b/>
          <w:sz w:val="24"/>
          <w:szCs w:val="24"/>
        </w:rPr>
      </w:pPr>
    </w:p>
    <w:p w:rsidR="0095388E" w:rsidP="0095388E" w:rsidRDefault="0095388E" w14:paraId="6D7BCED3" w14:textId="77777777">
      <w:pPr>
        <w:pStyle w:val="TableText-IPR"/>
        <w:jc w:val="center"/>
        <w:rPr>
          <w:sz w:val="24"/>
          <w:szCs w:val="24"/>
        </w:rPr>
      </w:pPr>
      <w:bookmarkStart w:name="_Hlk32915411" w:id="1"/>
      <w:r w:rsidRPr="009A1155">
        <w:rPr>
          <w:sz w:val="24"/>
          <w:szCs w:val="24"/>
        </w:rPr>
        <w:t>Office of Policy Support</w:t>
      </w:r>
    </w:p>
    <w:p w:rsidRPr="009A1155" w:rsidR="0095388E" w:rsidP="0095388E" w:rsidRDefault="0095388E" w14:paraId="41BA5D67" w14:textId="77777777">
      <w:pPr>
        <w:pStyle w:val="TableText-IPR"/>
        <w:jc w:val="center"/>
        <w:rPr>
          <w:sz w:val="24"/>
          <w:szCs w:val="24"/>
        </w:rPr>
      </w:pPr>
      <w:r>
        <w:rPr>
          <w:sz w:val="24"/>
          <w:szCs w:val="24"/>
        </w:rPr>
        <w:t>SNAP Research and Analysis Division</w:t>
      </w:r>
    </w:p>
    <w:p w:rsidRPr="009A1155" w:rsidR="0095388E" w:rsidP="0095388E" w:rsidRDefault="0095388E" w14:paraId="259E1B40" w14:textId="77777777">
      <w:pPr>
        <w:pStyle w:val="TableText-IPR"/>
        <w:jc w:val="center"/>
        <w:rPr>
          <w:sz w:val="24"/>
          <w:szCs w:val="24"/>
        </w:rPr>
      </w:pPr>
      <w:r w:rsidRPr="009A1155">
        <w:rPr>
          <w:sz w:val="24"/>
          <w:szCs w:val="24"/>
        </w:rPr>
        <w:t>Food and Nutrition Service</w:t>
      </w:r>
    </w:p>
    <w:p w:rsidRPr="009A1155" w:rsidR="0095388E" w:rsidP="0095388E" w:rsidRDefault="0095388E" w14:paraId="3D883021" w14:textId="77777777">
      <w:pPr>
        <w:pStyle w:val="TableText-IPR"/>
        <w:jc w:val="center"/>
        <w:rPr>
          <w:sz w:val="24"/>
          <w:szCs w:val="24"/>
        </w:rPr>
      </w:pPr>
      <w:r w:rsidRPr="009A1155">
        <w:rPr>
          <w:sz w:val="24"/>
          <w:szCs w:val="24"/>
        </w:rPr>
        <w:t>U.S. Department of Agriculture</w:t>
      </w:r>
    </w:p>
    <w:p w:rsidRPr="009A1155" w:rsidR="0095388E" w:rsidP="0095388E" w:rsidRDefault="0095388E" w14:paraId="2CAB3F93" w14:textId="77777777">
      <w:pPr>
        <w:pStyle w:val="TableText-IPR"/>
        <w:jc w:val="center"/>
        <w:rPr>
          <w:sz w:val="24"/>
          <w:szCs w:val="24"/>
        </w:rPr>
      </w:pPr>
      <w:r>
        <w:rPr>
          <w:sz w:val="24"/>
          <w:szCs w:val="24"/>
        </w:rPr>
        <w:t>1320 Braddock Place</w:t>
      </w:r>
    </w:p>
    <w:p w:rsidRPr="00840CE4" w:rsidR="0095388E" w:rsidP="0095388E" w:rsidRDefault="0095388E" w14:paraId="40B2BF39" w14:textId="77777777">
      <w:pPr>
        <w:pStyle w:val="TableText-IPR"/>
        <w:jc w:val="center"/>
        <w:rPr>
          <w:sz w:val="24"/>
          <w:szCs w:val="24"/>
        </w:rPr>
      </w:pPr>
      <w:r w:rsidRPr="00840CE4">
        <w:rPr>
          <w:sz w:val="24"/>
          <w:szCs w:val="24"/>
        </w:rPr>
        <w:t>Alexandria, VA 22314</w:t>
      </w:r>
    </w:p>
    <w:p w:rsidRPr="00840CE4" w:rsidR="0095388E" w:rsidP="0095388E" w:rsidRDefault="0095388E" w14:paraId="245EB8DD" w14:textId="77777777">
      <w:pPr>
        <w:pStyle w:val="TableText-IPR"/>
        <w:jc w:val="center"/>
        <w:rPr>
          <w:sz w:val="24"/>
          <w:szCs w:val="24"/>
        </w:rPr>
      </w:pPr>
      <w:r w:rsidRPr="00840CE4">
        <w:rPr>
          <w:sz w:val="24"/>
          <w:szCs w:val="24"/>
        </w:rPr>
        <w:t>703.305.2640</w:t>
      </w:r>
    </w:p>
    <w:p w:rsidR="00D65FCE" w:rsidP="0095388E" w:rsidRDefault="0095388E" w14:paraId="7EFEA2BC" w14:textId="77777777">
      <w:pPr>
        <w:pStyle w:val="TableText-IPR"/>
        <w:jc w:val="center"/>
        <w:rPr>
          <w:sz w:val="24"/>
          <w:szCs w:val="24"/>
        </w:rPr>
        <w:sectPr w:rsidR="00D65FCE" w:rsidSect="0095388E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840CE4">
        <w:rPr>
          <w:sz w:val="24"/>
          <w:szCs w:val="24"/>
        </w:rPr>
        <w:t>eric.williams@fns.usda.gov</w:t>
      </w:r>
    </w:p>
    <w:bookmarkEnd w:id="1"/>
    <w:p w:rsidRPr="00840CE4" w:rsidR="007D10E6" w:rsidP="001C3CD9" w:rsidRDefault="0026254D" w14:paraId="6A69540A" w14:textId="0C2A1ECA">
      <w:pPr>
        <w:pStyle w:val="Heading1-IPR"/>
        <w:spacing w:after="0"/>
        <w:rPr>
          <w:sz w:val="32"/>
          <w:szCs w:val="32"/>
        </w:rPr>
      </w:pPr>
      <w:r w:rsidRPr="00840CE4">
        <w:rPr>
          <w:sz w:val="32"/>
          <w:szCs w:val="32"/>
        </w:rPr>
        <w:lastRenderedPageBreak/>
        <w:t xml:space="preserve">Best Practices in </w:t>
      </w:r>
      <w:r w:rsidRPr="00840CE4" w:rsidR="007D10E6">
        <w:rPr>
          <w:sz w:val="32"/>
          <w:szCs w:val="32"/>
        </w:rPr>
        <w:t>Disaster Supplemental Nutrition Assistance Program</w:t>
      </w:r>
      <w:r w:rsidRPr="00840CE4">
        <w:rPr>
          <w:sz w:val="32"/>
          <w:szCs w:val="32"/>
        </w:rPr>
        <w:t xml:space="preserve"> </w:t>
      </w:r>
      <w:r w:rsidRPr="00840CE4" w:rsidR="007D10E6">
        <w:rPr>
          <w:sz w:val="32"/>
          <w:szCs w:val="32"/>
        </w:rPr>
        <w:t xml:space="preserve">(D-SNAP) </w:t>
      </w:r>
      <w:r w:rsidRPr="00840CE4">
        <w:rPr>
          <w:sz w:val="32"/>
          <w:szCs w:val="32"/>
        </w:rPr>
        <w:t>Operations and Planning:</w:t>
      </w:r>
      <w:r w:rsidRPr="00840CE4" w:rsidR="007D10E6">
        <w:rPr>
          <w:sz w:val="32"/>
          <w:szCs w:val="32"/>
        </w:rPr>
        <w:t xml:space="preserve"> </w:t>
      </w:r>
      <w:r w:rsidRPr="00840CE4">
        <w:rPr>
          <w:sz w:val="32"/>
          <w:szCs w:val="32"/>
        </w:rPr>
        <w:br/>
      </w:r>
      <w:r w:rsidRPr="00840CE4" w:rsidR="002F22A1">
        <w:rPr>
          <w:sz w:val="32"/>
          <w:szCs w:val="32"/>
        </w:rPr>
        <w:t>Study Overview</w:t>
      </w:r>
    </w:p>
    <w:p w:rsidR="001C3CD9" w:rsidP="001C3CD9" w:rsidRDefault="001C3CD9" w14:paraId="5D53283B" w14:textId="77777777">
      <w:pPr>
        <w:pStyle w:val="Body12DOUBLE"/>
        <w:spacing w:before="0" w:after="0" w:line="240" w:lineRule="auto"/>
        <w:rPr>
          <w:rFonts w:ascii="Calibri" w:hAnsi="Calibri" w:cstheme="minorHAnsi"/>
          <w:color w:val="000000"/>
          <w:sz w:val="22"/>
          <w:szCs w:val="22"/>
        </w:rPr>
      </w:pPr>
      <w:bookmarkStart w:name="_Toc486168650" w:id="2"/>
    </w:p>
    <w:p w:rsidRPr="001C3CD9" w:rsidR="007D10E6" w:rsidP="00782F9D" w:rsidRDefault="007823D6" w14:paraId="0D47D0DD" w14:textId="3382EA8E">
      <w:pPr>
        <w:pStyle w:val="Body12DOUBLE"/>
        <w:spacing w:before="0" w:line="240" w:lineRule="auto"/>
        <w:rPr>
          <w:rFonts w:ascii="Calibri" w:hAnsi="Calibri" w:cstheme="minorHAnsi"/>
          <w:color w:val="000000"/>
          <w:sz w:val="22"/>
          <w:szCs w:val="22"/>
        </w:rPr>
      </w:pPr>
      <w:r w:rsidRPr="00B220B9">
        <w:rPr>
          <w:rFonts w:cstheme="minorHAnsi"/>
          <w:sz w:val="22"/>
          <w:szCs w:val="22"/>
        </w:rPr>
        <w:t>Authorized under 7 U.S.C. 2026, t</w:t>
      </w:r>
      <w:r w:rsidRPr="00B220B9" w:rsidR="007D10E6">
        <w:rPr>
          <w:rFonts w:cstheme="minorHAnsi"/>
          <w:color w:val="000000"/>
          <w:sz w:val="22"/>
          <w:szCs w:val="22"/>
        </w:rPr>
        <w:t>he</w:t>
      </w:r>
      <w:r w:rsidRPr="007D10E6" w:rsidR="007D10E6">
        <w:rPr>
          <w:rFonts w:ascii="Calibri" w:hAnsi="Calibri" w:cstheme="minorHAnsi"/>
          <w:color w:val="000000"/>
          <w:sz w:val="22"/>
          <w:szCs w:val="22"/>
        </w:rPr>
        <w:t xml:space="preserve"> U.S. Department of Agriculture’s Food and Nutrition Service (FNS) </w:t>
      </w:r>
      <w:r w:rsidR="007D10E6">
        <w:rPr>
          <w:rFonts w:ascii="Calibri" w:hAnsi="Calibri" w:cstheme="minorHAnsi"/>
          <w:color w:val="000000"/>
          <w:sz w:val="22"/>
          <w:szCs w:val="22"/>
        </w:rPr>
        <w:t>has funded the</w:t>
      </w:r>
      <w:r w:rsidR="00FB344F">
        <w:rPr>
          <w:rFonts w:ascii="Calibri" w:hAnsi="Calibri" w:cstheme="minorHAnsi"/>
          <w:color w:val="000000"/>
          <w:sz w:val="22"/>
          <w:szCs w:val="22"/>
        </w:rPr>
        <w:t xml:space="preserve"> Best Practices in</w:t>
      </w:r>
      <w:r w:rsidR="007D10E6">
        <w:rPr>
          <w:rFonts w:ascii="Calibri" w:hAnsi="Calibri" w:cstheme="minorHAnsi"/>
          <w:color w:val="000000"/>
          <w:sz w:val="22"/>
          <w:szCs w:val="22"/>
        </w:rPr>
        <w:t xml:space="preserve"> Disaster Supplemental Nutrition Assistance Program (D-SNAP) </w:t>
      </w:r>
      <w:r w:rsidR="00FB344F">
        <w:rPr>
          <w:rFonts w:ascii="Calibri" w:hAnsi="Calibri" w:cstheme="minorHAnsi"/>
          <w:color w:val="000000"/>
          <w:sz w:val="22"/>
          <w:szCs w:val="22"/>
        </w:rPr>
        <w:t>Operations and Planning</w:t>
      </w:r>
      <w:r w:rsidR="007D10E6">
        <w:rPr>
          <w:rFonts w:ascii="Calibri" w:hAnsi="Calibri" w:cstheme="minorHAnsi"/>
          <w:color w:val="000000"/>
          <w:sz w:val="22"/>
          <w:szCs w:val="22"/>
        </w:rPr>
        <w:t xml:space="preserve"> study</w:t>
      </w:r>
      <w:r>
        <w:rPr>
          <w:rFonts w:ascii="Calibri" w:hAnsi="Calibri" w:cstheme="minorHAnsi"/>
          <w:color w:val="000000"/>
          <w:sz w:val="22"/>
          <w:szCs w:val="22"/>
        </w:rPr>
        <w:t xml:space="preserve"> (</w:t>
      </w:r>
      <w:r w:rsidR="007D10E6">
        <w:rPr>
          <w:rFonts w:ascii="Calibri" w:hAnsi="Calibri" w:cstheme="minorHAnsi"/>
          <w:color w:val="000000"/>
          <w:sz w:val="22"/>
          <w:szCs w:val="22"/>
        </w:rPr>
        <w:t xml:space="preserve">to </w:t>
      </w:r>
      <w:r w:rsidRPr="007D10E6" w:rsidR="007D10E6">
        <w:rPr>
          <w:rFonts w:ascii="Calibri" w:hAnsi="Calibri" w:cstheme="minorHAnsi"/>
          <w:color w:val="000000"/>
          <w:sz w:val="22"/>
          <w:szCs w:val="22"/>
        </w:rPr>
        <w:t>identify and document best practices in D-SNAP planning and operations for a variety of disaster types</w:t>
      </w:r>
      <w:r w:rsidR="007D10E6">
        <w:rPr>
          <w:rFonts w:ascii="Calibri" w:hAnsi="Calibri" w:cstheme="minorHAnsi"/>
          <w:color w:val="000000"/>
          <w:sz w:val="22"/>
          <w:szCs w:val="22"/>
        </w:rPr>
        <w:t>.</w:t>
      </w:r>
      <w:r w:rsidR="001C3CD9">
        <w:rPr>
          <w:rFonts w:ascii="Calibri" w:hAnsi="Calibri" w:cstheme="minorHAnsi"/>
          <w:color w:val="000000"/>
          <w:sz w:val="22"/>
          <w:szCs w:val="22"/>
        </w:rPr>
        <w:t xml:space="preserve"> </w:t>
      </w:r>
      <w:r w:rsidRPr="00C47455" w:rsidR="00C47455">
        <w:rPr>
          <w:rFonts w:ascii="Calibri" w:hAnsi="Calibri" w:cstheme="minorHAnsi"/>
          <w:color w:val="000000"/>
          <w:sz w:val="22"/>
          <w:szCs w:val="22"/>
        </w:rPr>
        <w:t xml:space="preserve">State use of D-SNAP has increased in recent years. The program aided nearly 6 million households and responded to more than a dozen disasters during fiscal years 2017 and 2018. State agencies that had never operated D-SNAP are running programs for the first time, and experienced State agencies are gaining more experience operating D-SNAP. </w:t>
      </w:r>
      <w:r w:rsidR="00517D00">
        <w:rPr>
          <w:rFonts w:ascii="Calibri" w:hAnsi="Calibri" w:cstheme="minorHAnsi"/>
          <w:color w:val="000000"/>
          <w:sz w:val="22"/>
          <w:szCs w:val="22"/>
        </w:rPr>
        <w:t>The</w:t>
      </w:r>
      <w:r w:rsidRPr="00C47455" w:rsidR="00C47455">
        <w:rPr>
          <w:rFonts w:ascii="Calibri" w:hAnsi="Calibri" w:cstheme="minorHAnsi"/>
          <w:color w:val="000000"/>
          <w:sz w:val="22"/>
          <w:szCs w:val="22"/>
        </w:rPr>
        <w:t xml:space="preserve"> data obtained through this study on D-SNAP planning and </w:t>
      </w:r>
      <w:r w:rsidR="00517D00">
        <w:rPr>
          <w:rFonts w:ascii="Calibri" w:hAnsi="Calibri" w:cstheme="minorHAnsi"/>
          <w:color w:val="000000"/>
          <w:sz w:val="22"/>
          <w:szCs w:val="22"/>
        </w:rPr>
        <w:t>implementation</w:t>
      </w:r>
      <w:r w:rsidRPr="00C47455" w:rsidR="00C47455">
        <w:rPr>
          <w:rFonts w:ascii="Calibri" w:hAnsi="Calibri" w:cstheme="minorHAnsi"/>
          <w:color w:val="000000"/>
          <w:sz w:val="22"/>
          <w:szCs w:val="22"/>
        </w:rPr>
        <w:t xml:space="preserve"> are critical for FNS to effectively assist State agencies in operating D-SNAP.</w:t>
      </w:r>
      <w:r w:rsidR="00C47455">
        <w:rPr>
          <w:rFonts w:ascii="Calibri" w:hAnsi="Calibri" w:cstheme="minorHAnsi"/>
          <w:color w:val="000000"/>
          <w:sz w:val="22"/>
          <w:szCs w:val="22"/>
        </w:rPr>
        <w:t xml:space="preserve"> </w:t>
      </w:r>
      <w:r w:rsidRPr="001C3CD9" w:rsidR="007D10E6">
        <w:rPr>
          <w:rFonts w:ascii="Calibri" w:hAnsi="Calibri" w:cstheme="minorHAnsi"/>
          <w:color w:val="000000"/>
          <w:sz w:val="22"/>
          <w:szCs w:val="22"/>
        </w:rPr>
        <w:t xml:space="preserve">FNS </w:t>
      </w:r>
      <w:bookmarkEnd w:id="2"/>
      <w:r w:rsidRPr="001C3CD9" w:rsidR="007D10E6">
        <w:rPr>
          <w:rFonts w:ascii="Calibri" w:hAnsi="Calibri" w:cstheme="minorHAnsi"/>
          <w:color w:val="000000"/>
          <w:sz w:val="22"/>
          <w:szCs w:val="22"/>
        </w:rPr>
        <w:t xml:space="preserve">has identified </w:t>
      </w:r>
      <w:r w:rsidRPr="001C3CD9" w:rsidR="009701DE">
        <w:rPr>
          <w:rFonts w:ascii="Calibri" w:hAnsi="Calibri" w:cstheme="minorHAnsi"/>
          <w:color w:val="000000"/>
          <w:sz w:val="22"/>
          <w:szCs w:val="22"/>
        </w:rPr>
        <w:t>five</w:t>
      </w:r>
      <w:r w:rsidRPr="001C3CD9" w:rsidR="007D10E6">
        <w:rPr>
          <w:rFonts w:ascii="Calibri" w:hAnsi="Calibri" w:cstheme="minorHAnsi"/>
          <w:color w:val="000000"/>
          <w:sz w:val="22"/>
          <w:szCs w:val="22"/>
        </w:rPr>
        <w:t xml:space="preserve"> objectives for this study:</w:t>
      </w:r>
    </w:p>
    <w:p w:rsidRPr="00E16EF0" w:rsidR="007D10E6" w:rsidP="007D10E6" w:rsidRDefault="007D10E6" w14:paraId="6B00996A" w14:textId="05451012">
      <w:pPr>
        <w:pStyle w:val="NumbersRed-IPR"/>
      </w:pPr>
      <w:r w:rsidRPr="00E16EF0">
        <w:t>Assess the implementation and operation of D-SNAP for selected disaster(s) in each study State</w:t>
      </w:r>
      <w:r w:rsidR="004A228F">
        <w:t>.</w:t>
      </w:r>
      <w:r w:rsidRPr="00E16EF0">
        <w:t xml:space="preserve"> </w:t>
      </w:r>
    </w:p>
    <w:p w:rsidRPr="00E16EF0" w:rsidR="007D10E6" w:rsidP="007D10E6" w:rsidRDefault="007D10E6" w14:paraId="110A5C11" w14:textId="4586478C">
      <w:pPr>
        <w:pStyle w:val="NumbersRed-IPR"/>
      </w:pPr>
      <w:r w:rsidRPr="00E16EF0">
        <w:t>Describe the characteristics and economic circumstances of the D-SNAP households for the selected disaster(s)</w:t>
      </w:r>
      <w:r w:rsidR="004A228F">
        <w:t>.</w:t>
      </w:r>
    </w:p>
    <w:p w:rsidRPr="00E16EF0" w:rsidR="007D10E6" w:rsidP="007D10E6" w:rsidRDefault="007D10E6" w14:paraId="557AA2A9" w14:textId="4B73AADD">
      <w:pPr>
        <w:pStyle w:val="NumbersRed-IPR"/>
      </w:pPr>
      <w:r w:rsidRPr="00E16EF0">
        <w:t>Document each State’s approach to protecting program integrity while operating D-SNAP for the selected disaster(s)</w:t>
      </w:r>
      <w:r w:rsidR="004A228F">
        <w:t>.</w:t>
      </w:r>
    </w:p>
    <w:p w:rsidR="007D10E6" w:rsidP="00782F9D" w:rsidRDefault="007D10E6" w14:paraId="5CBF06DC" w14:textId="50B2246F">
      <w:pPr>
        <w:pStyle w:val="NumbersRed-IPR"/>
      </w:pPr>
      <w:r w:rsidRPr="00E16EF0">
        <w:t>Determine best practices for developing annual disaster plans to address a variety of disaster types</w:t>
      </w:r>
      <w:r w:rsidR="004A228F">
        <w:t>.</w:t>
      </w:r>
    </w:p>
    <w:p w:rsidRPr="00E16EF0" w:rsidR="009701DE" w:rsidP="00443CD6" w:rsidRDefault="009701DE" w14:paraId="5D2C9375" w14:textId="3DD0F79C">
      <w:pPr>
        <w:pStyle w:val="NumbersRed-IPR"/>
        <w:spacing w:after="240"/>
      </w:pPr>
      <w:r>
        <w:t xml:space="preserve">Determine best practices for implementing and operating a D-SNAP for a variety of disaster types. </w:t>
      </w:r>
    </w:p>
    <w:p w:rsidR="003E327E" w:rsidP="00443CD6" w:rsidRDefault="003E327E" w14:paraId="2776FB1E" w14:textId="4E333A4A">
      <w:pPr>
        <w:pStyle w:val="BodyText-IPR"/>
      </w:pPr>
      <w:r w:rsidRPr="003E327E">
        <w:t xml:space="preserve">FNS is </w:t>
      </w:r>
      <w:r w:rsidR="007969F3">
        <w:t>conducting</w:t>
      </w:r>
      <w:r w:rsidRPr="003E327E" w:rsidR="007969F3">
        <w:t xml:space="preserve"> </w:t>
      </w:r>
      <w:r w:rsidRPr="003E327E">
        <w:t xml:space="preserve">this study with the assistance of an independent research contractor, </w:t>
      </w:r>
      <w:r w:rsidRPr="002B384E">
        <w:rPr>
          <w:b/>
        </w:rPr>
        <w:t>Insight Policy Research (Insight)</w:t>
      </w:r>
      <w:r w:rsidRPr="003E327E">
        <w:t xml:space="preserve">. To address this study’s research objectives, the evaluation team will conduct the following data collection activities: </w:t>
      </w:r>
    </w:p>
    <w:p w:rsidRPr="000C0346" w:rsidR="007D10E6" w:rsidP="003E327E" w:rsidRDefault="007D10E6" w14:paraId="1985AEC3" w14:textId="5258BEA5">
      <w:pPr>
        <w:pStyle w:val="NumbersRed-IPR"/>
        <w:numPr>
          <w:ilvl w:val="0"/>
          <w:numId w:val="19"/>
        </w:numPr>
      </w:pPr>
      <w:r w:rsidRPr="003E327E">
        <w:rPr>
          <w:b/>
        </w:rPr>
        <w:t>Document review</w:t>
      </w:r>
      <w:r w:rsidRPr="000C0346">
        <w:t xml:space="preserve"> of all available information on the planning, operation, and </w:t>
      </w:r>
      <w:proofErr w:type="spellStart"/>
      <w:r w:rsidRPr="000C0346">
        <w:t>postdisaster</w:t>
      </w:r>
      <w:proofErr w:type="spellEnd"/>
      <w:r w:rsidRPr="000C0346">
        <w:t xml:space="preserve"> reporting of D-SNAP in five States</w:t>
      </w:r>
    </w:p>
    <w:p w:rsidRPr="000C0346" w:rsidR="007D10E6" w:rsidP="003E327E" w:rsidRDefault="007D10E6" w14:paraId="388E25D7" w14:textId="319698F5">
      <w:pPr>
        <w:pStyle w:val="NumbersRed-IPR"/>
      </w:pPr>
      <w:r w:rsidRPr="003E327E">
        <w:rPr>
          <w:b/>
        </w:rPr>
        <w:t>Interviews with Federal staff</w:t>
      </w:r>
      <w:r w:rsidRPr="000C0346">
        <w:t xml:space="preserve"> at FNS Headquarters and Regional Offices who worked with States on D-SNAP administration and approvals</w:t>
      </w:r>
    </w:p>
    <w:p w:rsidRPr="000C0346" w:rsidR="007D10E6" w:rsidP="00782F9D" w:rsidRDefault="007D10E6" w14:paraId="404E6905" w14:textId="4843D1A9">
      <w:pPr>
        <w:pStyle w:val="NumbersRed-IPR"/>
      </w:pPr>
      <w:r w:rsidRPr="003E327E">
        <w:rPr>
          <w:b/>
        </w:rPr>
        <w:t>Site visits to five States</w:t>
      </w:r>
      <w:r w:rsidRPr="000C0346">
        <w:t xml:space="preserve"> to assess all aspects of the D-SNAP operations based on in-depth interviews</w:t>
      </w:r>
      <w:r>
        <w:t xml:space="preserve">, </w:t>
      </w:r>
      <w:r w:rsidRPr="000C0346">
        <w:t>process-mapping discussions</w:t>
      </w:r>
      <w:r>
        <w:t xml:space="preserve">, </w:t>
      </w:r>
      <w:r w:rsidRPr="000C0346">
        <w:t>and on-the-ground observations at former D-SNAP sites and disaster areas</w:t>
      </w:r>
      <w:r w:rsidR="003E327E">
        <w:t xml:space="preserve">. Each site visit will include interviews with staff at (1) the State SNAP agency, </w:t>
      </w:r>
      <w:r w:rsidR="002F22A1">
        <w:t xml:space="preserve">(2) </w:t>
      </w:r>
      <w:r w:rsidR="004A228F">
        <w:t>c</w:t>
      </w:r>
      <w:r w:rsidR="002F22A1">
        <w:t xml:space="preserve">ounty SNAP office (if SNAP is county-administered), </w:t>
      </w:r>
      <w:r w:rsidR="003E327E">
        <w:t>(</w:t>
      </w:r>
      <w:r w:rsidR="002F22A1">
        <w:t>3</w:t>
      </w:r>
      <w:r w:rsidR="003E327E">
        <w:t>) one local office near the D-SNAP site, and (</w:t>
      </w:r>
      <w:r w:rsidR="002F22A1">
        <w:t>4</w:t>
      </w:r>
      <w:r w:rsidR="003E327E">
        <w:t>) relevant stakeholders</w:t>
      </w:r>
      <w:r w:rsidR="002F22A1">
        <w:t xml:space="preserve"> that supported the D-SNAP (e.g., community</w:t>
      </w:r>
      <w:r w:rsidR="004A228F">
        <w:t>-</w:t>
      </w:r>
      <w:r w:rsidR="002F22A1">
        <w:t>based organizations, utility companies, local FEMA offices)</w:t>
      </w:r>
      <w:r w:rsidR="003E327E">
        <w:t xml:space="preserve">. The </w:t>
      </w:r>
      <w:r w:rsidR="002F22A1">
        <w:t xml:space="preserve">study </w:t>
      </w:r>
      <w:r w:rsidR="003E327E">
        <w:t xml:space="preserve">team will also </w:t>
      </w:r>
      <w:r w:rsidR="002F22A1">
        <w:t xml:space="preserve">seek to </w:t>
      </w:r>
      <w:r w:rsidR="003E327E">
        <w:t xml:space="preserve">interview any former State staff who were </w:t>
      </w:r>
      <w:r w:rsidR="004A228F">
        <w:t>closely</w:t>
      </w:r>
      <w:r w:rsidR="003E327E">
        <w:t xml:space="preserve"> involved with D-SNAP operations</w:t>
      </w:r>
      <w:r w:rsidR="00A93F60">
        <w:t xml:space="preserve"> for the relevant disasters</w:t>
      </w:r>
    </w:p>
    <w:p w:rsidRPr="0026254D" w:rsidR="003E327E" w:rsidP="00782F9D" w:rsidRDefault="007D10E6" w14:paraId="2B88E8B7" w14:textId="4BD689C1">
      <w:pPr>
        <w:pStyle w:val="NumbersRed-IPR"/>
        <w:spacing w:after="200"/>
      </w:pPr>
      <w:r w:rsidRPr="0026254D">
        <w:rPr>
          <w:b/>
        </w:rPr>
        <w:t xml:space="preserve">Collection </w:t>
      </w:r>
      <w:r w:rsidRPr="0026254D" w:rsidR="003E327E">
        <w:rPr>
          <w:b/>
        </w:rPr>
        <w:t xml:space="preserve">and analysis </w:t>
      </w:r>
      <w:r w:rsidRPr="0026254D">
        <w:rPr>
          <w:b/>
        </w:rPr>
        <w:t xml:space="preserve">of administrative caseload data </w:t>
      </w:r>
      <w:r w:rsidRPr="003E327E">
        <w:t>to</w:t>
      </w:r>
      <w:r w:rsidRPr="000C0346">
        <w:t xml:space="preserve"> examine the characteristics and economic circumstances of D-SNAP households</w:t>
      </w:r>
      <w:r>
        <w:t xml:space="preserve"> and estimate the economic impact in the affected areas</w:t>
      </w:r>
      <w:r w:rsidR="003E327E">
        <w:br w:type="page"/>
      </w:r>
    </w:p>
    <w:p w:rsidR="007D10E6" w:rsidP="00782F9D" w:rsidRDefault="003E327E" w14:paraId="3E54742C" w14:textId="77777777">
      <w:pPr>
        <w:pStyle w:val="Heading4NoLetter-IPR"/>
        <w:rPr>
          <w:i w:val="0"/>
          <w:sz w:val="28"/>
        </w:rPr>
      </w:pPr>
      <w:r w:rsidRPr="003E327E">
        <w:rPr>
          <w:i w:val="0"/>
          <w:sz w:val="28"/>
        </w:rPr>
        <w:lastRenderedPageBreak/>
        <w:t>Frequently Asked Questions</w:t>
      </w:r>
    </w:p>
    <w:p w:rsidRPr="003E327E" w:rsidR="003E327E" w:rsidP="00DC1E25" w:rsidRDefault="003E327E" w14:paraId="48F97E98" w14:textId="77777777">
      <w:pPr>
        <w:pStyle w:val="Body11ptCalibri-IPR"/>
        <w:spacing w:after="60"/>
        <w:rPr>
          <w:b/>
        </w:rPr>
      </w:pPr>
      <w:r w:rsidRPr="003E327E">
        <w:rPr>
          <w:b/>
        </w:rPr>
        <w:t>Who is conducting the study?</w:t>
      </w:r>
    </w:p>
    <w:p w:rsidRPr="00DF578F" w:rsidR="003E327E" w:rsidP="003E327E" w:rsidRDefault="003E327E" w14:paraId="267A796B" w14:textId="7D8B3020">
      <w:pPr>
        <w:pStyle w:val="Body11ptCalibri-IPR"/>
      </w:pPr>
      <w:r w:rsidRPr="00DF578F">
        <w:t xml:space="preserve">FNS is </w:t>
      </w:r>
      <w:r w:rsidR="007969F3">
        <w:t>conducting</w:t>
      </w:r>
      <w:r w:rsidRPr="00DF578F" w:rsidR="007969F3">
        <w:t xml:space="preserve"> </w:t>
      </w:r>
      <w:r w:rsidRPr="00DF578F">
        <w:t>this study with the assistance of an independent research contractor, Insight Policy Research (Insight).</w:t>
      </w:r>
    </w:p>
    <w:p w:rsidRPr="003E327E" w:rsidR="003E327E" w:rsidP="00DC1E25" w:rsidRDefault="004644E2" w14:paraId="4390BC70" w14:textId="772352E0">
      <w:pPr>
        <w:pStyle w:val="Body11ptCalibri-IPR"/>
        <w:spacing w:after="60"/>
        <w:rPr>
          <w:b/>
        </w:rPr>
      </w:pPr>
      <w:r>
        <w:rPr>
          <w:b/>
        </w:rPr>
        <w:t>[</w:t>
      </w:r>
      <w:r w:rsidRPr="00840CE4">
        <w:rPr>
          <w:b/>
          <w:i/>
          <w:iCs/>
        </w:rPr>
        <w:t>INCLUDE ONLY WHEN SENDING TO STATE EMPLOYEES</w:t>
      </w:r>
      <w:r>
        <w:rPr>
          <w:b/>
        </w:rPr>
        <w:t xml:space="preserve">] </w:t>
      </w:r>
      <w:r w:rsidRPr="003E327E" w:rsidR="003E327E">
        <w:rPr>
          <w:b/>
        </w:rPr>
        <w:t>Why am I being asked to participate?</w:t>
      </w:r>
    </w:p>
    <w:p w:rsidRPr="0086067F" w:rsidR="003E327E" w:rsidP="003E327E" w:rsidRDefault="003E327E" w14:paraId="2299E1DE" w14:textId="00E19755">
      <w:pPr>
        <w:pStyle w:val="Body11ptCalibri-IPR"/>
      </w:pPr>
      <w:r>
        <w:t xml:space="preserve">Five </w:t>
      </w:r>
      <w:r w:rsidRPr="0086067F">
        <w:t>State</w:t>
      </w:r>
      <w:r>
        <w:t>s are being invited to participate in the study. FNS selected States that operated a D-SNAP in 2018 or 2019</w:t>
      </w:r>
      <w:r w:rsidRPr="0086067F">
        <w:t>.</w:t>
      </w:r>
      <w:r>
        <w:t xml:space="preserve"> States were selected to represent a diversity of disaster types.</w:t>
      </w:r>
    </w:p>
    <w:p w:rsidRPr="003E327E" w:rsidR="003E327E" w:rsidP="00DC1E25" w:rsidRDefault="003E327E" w14:paraId="047AB893" w14:textId="77777777">
      <w:pPr>
        <w:pStyle w:val="Body11ptCalibri-IPR"/>
        <w:spacing w:after="60"/>
        <w:rPr>
          <w:b/>
        </w:rPr>
      </w:pPr>
      <w:r w:rsidRPr="003E327E">
        <w:rPr>
          <w:b/>
        </w:rPr>
        <w:t>What kind of administrative data will be collected?</w:t>
      </w:r>
    </w:p>
    <w:p w:rsidR="003E327E" w:rsidP="003E327E" w:rsidRDefault="003E327E" w14:paraId="056C69F9" w14:textId="19FB4D55">
      <w:pPr>
        <w:pStyle w:val="Body11ptCalibri-IPR"/>
      </w:pPr>
      <w:r>
        <w:t xml:space="preserve">Insight will collect </w:t>
      </w:r>
      <w:r w:rsidRPr="00004F96">
        <w:t>administrative data</w:t>
      </w:r>
      <w:r>
        <w:t xml:space="preserve"> from SNAP and D-SNAP case records from study States.</w:t>
      </w:r>
      <w:r w:rsidR="0026254D">
        <w:t xml:space="preserve"> </w:t>
      </w:r>
      <w:r>
        <w:t xml:space="preserve">Insight will </w:t>
      </w:r>
      <w:r w:rsidR="00E25DC5">
        <w:t xml:space="preserve">request </w:t>
      </w:r>
      <w:r w:rsidRPr="00E25DC5" w:rsidR="00E25DC5">
        <w:t>caseload data</w:t>
      </w:r>
      <w:r w:rsidR="00A93F60">
        <w:t xml:space="preserve"> on SNAP and D-SNAP participants</w:t>
      </w:r>
      <w:r w:rsidRPr="00E25DC5" w:rsidR="00E25DC5">
        <w:t xml:space="preserve"> from each of the five study States for the 3 months prior to the D-SNAP</w:t>
      </w:r>
      <w:r w:rsidR="001C3CD9">
        <w:t>, the duration of the D-SNAP, and</w:t>
      </w:r>
      <w:r w:rsidR="0026254D">
        <w:t xml:space="preserve"> through</w:t>
      </w:r>
      <w:r w:rsidRPr="00E25DC5" w:rsidR="00E25DC5">
        <w:t xml:space="preserve"> the 6 months after the D-SNAP. Caseload data will be collected for the entire State—not just the areas operating D-SNAP—because some participants may relocate </w:t>
      </w:r>
      <w:r w:rsidR="002F22A1">
        <w:t>as a result of</w:t>
      </w:r>
      <w:r w:rsidRPr="00E25DC5" w:rsidR="00E25DC5">
        <w:t xml:space="preserve"> a disaster. The caseload data will be used to describe the D-SNAP </w:t>
      </w:r>
      <w:r w:rsidR="002F22A1">
        <w:t>population</w:t>
      </w:r>
      <w:r w:rsidRPr="00E25DC5" w:rsidR="00E25DC5">
        <w:t xml:space="preserve"> and assess the economic impact of D-SNAP</w:t>
      </w:r>
      <w:r w:rsidR="00E25DC5">
        <w:t xml:space="preserve">. </w:t>
      </w:r>
      <w:r>
        <w:t xml:space="preserve">Insight will work with each State to determine what information is available. Insight will then request </w:t>
      </w:r>
      <w:r w:rsidR="001C3CD9">
        <w:t xml:space="preserve">a </w:t>
      </w:r>
      <w:r>
        <w:t>test file from each State and provide feedback to the State before the State submits its complete file.</w:t>
      </w:r>
    </w:p>
    <w:p w:rsidRPr="003E327E" w:rsidR="003E327E" w:rsidP="00DC1E25" w:rsidRDefault="003E327E" w14:paraId="2B2A2EA1" w14:textId="77777777">
      <w:pPr>
        <w:pStyle w:val="Body11ptCalibri-IPR"/>
        <w:spacing w:after="60"/>
        <w:rPr>
          <w:b/>
        </w:rPr>
      </w:pPr>
      <w:r w:rsidRPr="003E327E">
        <w:rPr>
          <w:b/>
        </w:rPr>
        <w:t>When will the site visits be conducted and how long will they be?</w:t>
      </w:r>
    </w:p>
    <w:p w:rsidR="003E327E" w:rsidP="003E327E" w:rsidRDefault="003E327E" w14:paraId="0C4BA0AC" w14:textId="77777777">
      <w:pPr>
        <w:pStyle w:val="Body11ptCalibri-IPR"/>
      </w:pPr>
      <w:r>
        <w:t>S</w:t>
      </w:r>
      <w:r w:rsidRPr="00ED137E">
        <w:t xml:space="preserve">ite visits to each State will last </w:t>
      </w:r>
      <w:r>
        <w:t xml:space="preserve">approximately </w:t>
      </w:r>
      <w:r w:rsidR="00A93F60">
        <w:t>4</w:t>
      </w:r>
      <w:r w:rsidRPr="00ED137E">
        <w:t xml:space="preserve"> days and will be conducted in </w:t>
      </w:r>
      <w:r w:rsidR="00A93F60">
        <w:t>summer</w:t>
      </w:r>
      <w:r w:rsidRPr="00ED137E">
        <w:t xml:space="preserve"> 20</w:t>
      </w:r>
      <w:r w:rsidR="00A93F60">
        <w:t>21</w:t>
      </w:r>
      <w:r w:rsidR="002F22A1">
        <w:t xml:space="preserve"> following receipt of OMB clearance</w:t>
      </w:r>
      <w:r w:rsidRPr="00ED137E">
        <w:t xml:space="preserve">. </w:t>
      </w:r>
    </w:p>
    <w:p w:rsidRPr="003E327E" w:rsidR="003E327E" w:rsidP="00DC1E25" w:rsidRDefault="003E327E" w14:paraId="4C5F9337" w14:textId="77777777">
      <w:pPr>
        <w:pStyle w:val="Body11ptCalibri-IPR"/>
        <w:spacing w:after="60"/>
        <w:rPr>
          <w:b/>
        </w:rPr>
      </w:pPr>
      <w:r w:rsidRPr="003E327E">
        <w:rPr>
          <w:b/>
        </w:rPr>
        <w:t>What are the next steps?</w:t>
      </w:r>
    </w:p>
    <w:p w:rsidR="003E327E" w:rsidP="003E327E" w:rsidRDefault="003E327E" w14:paraId="099F8FAF" w14:textId="77777777">
      <w:pPr>
        <w:pStyle w:val="Body11ptCalibri-IPR"/>
      </w:pPr>
      <w:r w:rsidRPr="00ED137E">
        <w:t xml:space="preserve">A timeline of the planning and data collection </w:t>
      </w:r>
      <w:r>
        <w:t xml:space="preserve">appears </w:t>
      </w:r>
      <w:r w:rsidRPr="00ED137E">
        <w:t>in the table below.</w:t>
      </w:r>
    </w:p>
    <w:p w:rsidRPr="00C8136F" w:rsidR="003E327E" w:rsidP="004F4F5F" w:rsidRDefault="003E327E" w14:paraId="4957D2DD" w14:textId="77777777">
      <w:pPr>
        <w:pStyle w:val="Heading3-IPR"/>
        <w:numPr>
          <w:ilvl w:val="0"/>
          <w:numId w:val="0"/>
        </w:numPr>
        <w:spacing w:after="120"/>
        <w:ind w:left="360" w:hanging="360"/>
        <w:rPr>
          <w:sz w:val="22"/>
        </w:rPr>
      </w:pPr>
      <w:r>
        <w:t xml:space="preserve">Study </w:t>
      </w:r>
      <w:r w:rsidRPr="00C8136F">
        <w:t>Timeline</w:t>
      </w:r>
    </w:p>
    <w:tbl>
      <w:tblPr>
        <w:tblStyle w:val="InsightTable"/>
        <w:tblW w:w="4969" w:type="pct"/>
        <w:tblLook w:val="04A0" w:firstRow="1" w:lastRow="0" w:firstColumn="1" w:lastColumn="0" w:noHBand="0" w:noVBand="1"/>
      </w:tblPr>
      <w:tblGrid>
        <w:gridCol w:w="1955"/>
        <w:gridCol w:w="7347"/>
      </w:tblGrid>
      <w:tr w:rsidRPr="003A0A35" w:rsidR="003E327E" w:rsidTr="00782F9D" w14:paraId="6E2EA02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51" w:type="pct"/>
          </w:tcPr>
          <w:p w:rsidRPr="003A0A35" w:rsidR="003E327E" w:rsidP="00443CD6" w:rsidRDefault="003E327E" w14:paraId="49413B28" w14:textId="77777777">
            <w:pPr>
              <w:pStyle w:val="TableHeaderRow-IPR"/>
            </w:pPr>
            <w:r>
              <w:t xml:space="preserve">Estimated </w:t>
            </w:r>
            <w:r w:rsidRPr="003A0A35">
              <w:t>Date</w:t>
            </w:r>
          </w:p>
        </w:tc>
        <w:tc>
          <w:tcPr>
            <w:tcW w:w="3949" w:type="pct"/>
          </w:tcPr>
          <w:p w:rsidRPr="003A0A35" w:rsidR="003E327E" w:rsidP="00443CD6" w:rsidRDefault="003E327E" w14:paraId="66874352" w14:textId="77777777">
            <w:pPr>
              <w:pStyle w:val="TableHeaderRow-IPR"/>
            </w:pPr>
            <w:r w:rsidRPr="003A0A35">
              <w:t>Activity</w:t>
            </w:r>
          </w:p>
        </w:tc>
      </w:tr>
      <w:tr w:rsidRPr="00DF578F" w:rsidR="003E327E" w:rsidTr="00782F9D" w14:paraId="5FF23E33" w14:textId="77777777">
        <w:trPr>
          <w:trHeight w:val="288"/>
        </w:trPr>
        <w:tc>
          <w:tcPr>
            <w:tcW w:w="1051" w:type="pct"/>
          </w:tcPr>
          <w:p w:rsidRPr="00DF578F" w:rsidR="003E327E" w:rsidP="00581124" w:rsidRDefault="0026254D" w14:paraId="0DC3635F" w14:textId="2F2FF6C4">
            <w:pPr>
              <w:pStyle w:val="TableText-IPR"/>
            </w:pPr>
            <w:r>
              <w:t>Summer</w:t>
            </w:r>
            <w:r w:rsidR="003E327E">
              <w:t xml:space="preserve"> 20</w:t>
            </w:r>
            <w:r w:rsidR="00E25DC5">
              <w:t>20</w:t>
            </w:r>
          </w:p>
        </w:tc>
        <w:tc>
          <w:tcPr>
            <w:tcW w:w="3949" w:type="pct"/>
          </w:tcPr>
          <w:p w:rsidRPr="00903148" w:rsidR="003E327E" w:rsidP="00581124" w:rsidRDefault="003E327E" w14:paraId="1BC7ED95" w14:textId="77777777">
            <w:pPr>
              <w:pStyle w:val="TableText-IPR"/>
              <w:rPr>
                <w:rStyle w:val="CommentReference"/>
                <w:rFonts w:ascii="Times" w:hAnsi="Times"/>
              </w:rPr>
            </w:pPr>
            <w:r>
              <w:rPr>
                <w:rFonts w:eastAsiaTheme="minorHAnsi"/>
              </w:rPr>
              <w:t>The study team c</w:t>
            </w:r>
            <w:r w:rsidRPr="00DF578F">
              <w:rPr>
                <w:rFonts w:eastAsiaTheme="minorHAnsi"/>
              </w:rPr>
              <w:t>onduct</w:t>
            </w:r>
            <w:r>
              <w:rPr>
                <w:rFonts w:eastAsiaTheme="minorHAnsi"/>
              </w:rPr>
              <w:t>s</w:t>
            </w:r>
            <w:r w:rsidRPr="00DF578F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an introductory conference call with each State to discuss the study and answer questions.</w:t>
            </w:r>
            <w:r w:rsidR="00E25DC5">
              <w:rPr>
                <w:rFonts w:eastAsiaTheme="minorHAnsi"/>
              </w:rPr>
              <w:t xml:space="preserve"> Following the introductory conference call, the study team will provide the administrative data request to selected States and hold another call to discuss the request. </w:t>
            </w:r>
          </w:p>
        </w:tc>
      </w:tr>
      <w:tr w:rsidRPr="00DF578F" w:rsidR="003E327E" w:rsidTr="00782F9D" w14:paraId="19E1B6B9" w14:textId="77777777">
        <w:trPr>
          <w:trHeight w:val="288"/>
        </w:trPr>
        <w:tc>
          <w:tcPr>
            <w:tcW w:w="1051" w:type="pct"/>
          </w:tcPr>
          <w:p w:rsidRPr="00AF0A31" w:rsidR="003E327E" w:rsidP="00581124" w:rsidRDefault="003E327E" w14:paraId="6B4918E5" w14:textId="77777777">
            <w:pPr>
              <w:pStyle w:val="TableText-IPR"/>
              <w:rPr>
                <w:szCs w:val="22"/>
              </w:rPr>
            </w:pPr>
            <w:r>
              <w:rPr>
                <w:szCs w:val="22"/>
              </w:rPr>
              <w:t>Fall 20</w:t>
            </w:r>
            <w:r w:rsidR="00E25DC5">
              <w:rPr>
                <w:szCs w:val="22"/>
              </w:rPr>
              <w:t>20</w:t>
            </w:r>
          </w:p>
        </w:tc>
        <w:tc>
          <w:tcPr>
            <w:tcW w:w="3949" w:type="pct"/>
          </w:tcPr>
          <w:p w:rsidRPr="00AF0A31" w:rsidR="003E327E" w:rsidP="004A228F" w:rsidRDefault="00E25DC5" w14:paraId="6E4CF862" w14:textId="1F1464EF">
            <w:pPr>
              <w:pStyle w:val="TableText-IP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Insight establishes an MOU/DUA with each study State.</w:t>
            </w:r>
          </w:p>
        </w:tc>
      </w:tr>
      <w:tr w:rsidRPr="00DF578F" w:rsidR="00E25DC5" w:rsidTr="00782F9D" w14:paraId="10C80E4A" w14:textId="77777777">
        <w:trPr>
          <w:trHeight w:val="288"/>
        </w:trPr>
        <w:tc>
          <w:tcPr>
            <w:tcW w:w="1051" w:type="pct"/>
          </w:tcPr>
          <w:p w:rsidR="00E25DC5" w:rsidP="00581124" w:rsidRDefault="00E25DC5" w14:paraId="032B9913" w14:textId="77777777">
            <w:pPr>
              <w:pStyle w:val="TableText-IPR"/>
              <w:rPr>
                <w:szCs w:val="22"/>
              </w:rPr>
            </w:pPr>
            <w:r>
              <w:rPr>
                <w:szCs w:val="22"/>
              </w:rPr>
              <w:t>Winter 2020</w:t>
            </w:r>
          </w:p>
        </w:tc>
        <w:tc>
          <w:tcPr>
            <w:tcW w:w="3949" w:type="pct"/>
          </w:tcPr>
          <w:p w:rsidR="00E25DC5" w:rsidP="00581124" w:rsidRDefault="00E25DC5" w14:paraId="3A9C146B" w14:textId="77777777">
            <w:pPr>
              <w:pStyle w:val="TableText-IP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State submits initial test file to Insight. </w:t>
            </w:r>
          </w:p>
        </w:tc>
      </w:tr>
      <w:tr w:rsidRPr="00DF578F" w:rsidR="003E327E" w:rsidTr="00782F9D" w14:paraId="0399077E" w14:textId="77777777">
        <w:trPr>
          <w:trHeight w:val="288"/>
        </w:trPr>
        <w:tc>
          <w:tcPr>
            <w:tcW w:w="1051" w:type="pct"/>
          </w:tcPr>
          <w:p w:rsidR="003E327E" w:rsidP="00581124" w:rsidRDefault="00E25DC5" w14:paraId="65D8E6F3" w14:textId="77777777">
            <w:pPr>
              <w:pStyle w:val="TableText-IPR"/>
              <w:rPr>
                <w:szCs w:val="22"/>
              </w:rPr>
            </w:pPr>
            <w:r>
              <w:rPr>
                <w:szCs w:val="22"/>
              </w:rPr>
              <w:t>Spring 2021</w:t>
            </w:r>
          </w:p>
        </w:tc>
        <w:tc>
          <w:tcPr>
            <w:tcW w:w="3949" w:type="pct"/>
          </w:tcPr>
          <w:p w:rsidR="003E327E" w:rsidP="00581124" w:rsidRDefault="003E327E" w14:paraId="4D20EFB6" w14:textId="77777777">
            <w:pPr>
              <w:pStyle w:val="TableText-IP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 xml:space="preserve">Upon receipt of OMB approval (estimated </w:t>
            </w:r>
            <w:r w:rsidR="00E25DC5">
              <w:rPr>
                <w:rFonts w:eastAsiaTheme="minorHAnsi"/>
                <w:color w:val="000000" w:themeColor="text1"/>
              </w:rPr>
              <w:t>April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="00E25DC5">
              <w:rPr>
                <w:rFonts w:eastAsiaTheme="minorHAnsi"/>
                <w:color w:val="000000" w:themeColor="text1"/>
              </w:rPr>
              <w:t>2021</w:t>
            </w:r>
            <w:r>
              <w:rPr>
                <w:rFonts w:eastAsiaTheme="minorHAnsi"/>
                <w:color w:val="000000" w:themeColor="text1"/>
              </w:rPr>
              <w:t>), the study team plans the site visits with States</w:t>
            </w:r>
            <w:r w:rsidR="00E25DC5">
              <w:rPr>
                <w:rFonts w:eastAsiaTheme="minorHAnsi"/>
                <w:color w:val="000000" w:themeColor="text1"/>
              </w:rPr>
              <w:t xml:space="preserve"> and requests the full datafile. </w:t>
            </w:r>
          </w:p>
        </w:tc>
      </w:tr>
      <w:tr w:rsidRPr="00DF578F" w:rsidR="003E327E" w:rsidTr="00782F9D" w14:paraId="299639F2" w14:textId="77777777">
        <w:trPr>
          <w:trHeight w:val="288"/>
        </w:trPr>
        <w:tc>
          <w:tcPr>
            <w:tcW w:w="1051" w:type="pct"/>
          </w:tcPr>
          <w:p w:rsidR="003E327E" w:rsidP="00581124" w:rsidRDefault="00E25DC5" w14:paraId="20C10F3E" w14:textId="198B38EA">
            <w:pPr>
              <w:pStyle w:val="TableText-IPR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6104C0">
              <w:rPr>
                <w:szCs w:val="22"/>
              </w:rPr>
              <w:t>pring/S</w:t>
            </w:r>
            <w:r>
              <w:rPr>
                <w:szCs w:val="22"/>
              </w:rPr>
              <w:t>ummer 2021</w:t>
            </w:r>
          </w:p>
        </w:tc>
        <w:tc>
          <w:tcPr>
            <w:tcW w:w="3949" w:type="pct"/>
          </w:tcPr>
          <w:p w:rsidR="003E327E" w:rsidP="00581124" w:rsidRDefault="003E327E" w14:paraId="29728648" w14:textId="77777777">
            <w:pPr>
              <w:pStyle w:val="TableText-IPR"/>
              <w:rPr>
                <w:rFonts w:eastAsia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The study team conducts one site visit to each of the </w:t>
            </w:r>
            <w:r w:rsidR="00E25DC5">
              <w:rPr>
                <w:color w:val="000000" w:themeColor="text1"/>
              </w:rPr>
              <w:t xml:space="preserve">five </w:t>
            </w:r>
            <w:r w:rsidRPr="00DF578F">
              <w:rPr>
                <w:color w:val="000000" w:themeColor="text1"/>
              </w:rPr>
              <w:t>State</w:t>
            </w:r>
            <w:r>
              <w:rPr>
                <w:color w:val="000000" w:themeColor="text1"/>
              </w:rPr>
              <w:t xml:space="preserve">s. </w:t>
            </w:r>
          </w:p>
        </w:tc>
      </w:tr>
    </w:tbl>
    <w:p w:rsidRPr="003E327E" w:rsidR="003E327E" w:rsidP="00DC1E25" w:rsidRDefault="003E327E" w14:paraId="595A6A2F" w14:textId="77777777">
      <w:pPr>
        <w:pStyle w:val="Body11ptCalibri-IPR"/>
        <w:spacing w:before="240" w:after="60"/>
        <w:rPr>
          <w:b/>
        </w:rPr>
      </w:pPr>
      <w:r w:rsidRPr="003E327E">
        <w:rPr>
          <w:b/>
        </w:rPr>
        <w:t>How will the information my State provides be used?</w:t>
      </w:r>
    </w:p>
    <w:p w:rsidR="003E327E" w:rsidP="003E327E" w:rsidRDefault="003E327E" w14:paraId="7CA87C7E" w14:textId="7B32FD55">
      <w:pPr>
        <w:pStyle w:val="Body11ptCalibri-IPR"/>
      </w:pPr>
      <w:r w:rsidRPr="00C8136F">
        <w:t xml:space="preserve">The information gathered during the site visits will be used to </w:t>
      </w:r>
      <w:r>
        <w:t xml:space="preserve">increase FNS’s understanding of </w:t>
      </w:r>
      <w:r w:rsidR="00E25DC5">
        <w:t>best practices in planning and implementing D-SNAP from States representing a variety of disaster types</w:t>
      </w:r>
      <w:r w:rsidR="0026254D">
        <w:t xml:space="preserve"> and to inform further guidance and technical assistance to States</w:t>
      </w:r>
      <w:r w:rsidRPr="00C8136F">
        <w:rPr>
          <w:rFonts w:asciiTheme="minorHAnsi" w:hAnsiTheme="minorHAnsi"/>
          <w:szCs w:val="22"/>
        </w:rPr>
        <w:t>.</w:t>
      </w:r>
      <w:r>
        <w:t xml:space="preserve"> </w:t>
      </w:r>
      <w:r w:rsidRPr="00C8136F">
        <w:t>Study results will be presented in a written report provided to FNS.</w:t>
      </w:r>
      <w:r>
        <w:t xml:space="preserve"> All interviews will be considered private, and no participants will be cited by name or title.</w:t>
      </w:r>
    </w:p>
    <w:sectPr w:rsidR="003E327E" w:rsidSect="00D65FC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C2A8D" w14:textId="77777777" w:rsidR="007D10E6" w:rsidRDefault="007D10E6">
      <w:pPr>
        <w:spacing w:after="0"/>
      </w:pPr>
      <w:r>
        <w:separator/>
      </w:r>
    </w:p>
  </w:endnote>
  <w:endnote w:type="continuationSeparator" w:id="0">
    <w:p w14:paraId="4645A1B9" w14:textId="77777777" w:rsidR="007D10E6" w:rsidRDefault="007D10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34078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368CE" w14:textId="16A45DB2" w:rsidR="009C475C" w:rsidRPr="00540CD6" w:rsidRDefault="00D44EA4" w:rsidP="009C1DDE">
        <w:pPr>
          <w:pBdr>
            <w:top w:val="single" w:sz="8" w:space="1" w:color="B12732"/>
          </w:pBdr>
          <w:tabs>
            <w:tab w:val="right" w:pos="9360"/>
          </w:tabs>
          <w:spacing w:after="0"/>
          <w:jc w:val="center"/>
        </w:pPr>
        <w:sdt>
          <w:sdtPr>
            <w:id w:val="-301155018"/>
            <w:docPartObj>
              <w:docPartGallery w:val="Page Numbers (Bottom of Page)"/>
              <w:docPartUnique/>
            </w:docPartObj>
          </w:sdtPr>
          <w:sdtEndPr/>
          <w:sdtContent>
            <w:r w:rsidR="00760105">
              <w:rPr>
                <w:rStyle w:val="FooterTitle-IPRChar"/>
              </w:rPr>
              <w:t>Best Practices in D-SNAP Operations and Planning</w:t>
            </w:r>
            <w:r w:rsidR="005A031D">
              <w:rPr>
                <w:rStyle w:val="FooterTitle-IPRChar"/>
              </w:rPr>
              <w:t>, Attachment R. D-SNAP Study Overview</w:t>
            </w:r>
            <w:r w:rsidR="009C475C" w:rsidRPr="00A0610B">
              <w:rPr>
                <w:rStyle w:val="FooterTitle-IPRChar"/>
              </w:rPr>
              <w:tab/>
            </w:r>
            <w:r w:rsidR="001D2A94">
              <w:rPr>
                <w:rStyle w:val="FooterTitle-IPRChar"/>
              </w:rPr>
              <w:t>R-</w:t>
            </w:r>
            <w:r w:rsidR="009C475C" w:rsidRPr="00A0610B">
              <w:rPr>
                <w:rStyle w:val="FooterTitle-IPRChar"/>
              </w:rPr>
              <w:fldChar w:fldCharType="begin"/>
            </w:r>
            <w:r w:rsidR="009C475C" w:rsidRPr="00A0610B">
              <w:rPr>
                <w:rStyle w:val="FooterTitle-IPRChar"/>
              </w:rPr>
              <w:instrText xml:space="preserve"> PAGE   \* MERGEFORMAT </w:instrText>
            </w:r>
            <w:r w:rsidR="009C475C" w:rsidRPr="00A0610B">
              <w:rPr>
                <w:rStyle w:val="FooterTitle-IPRChar"/>
              </w:rPr>
              <w:fldChar w:fldCharType="separate"/>
            </w:r>
            <w:r w:rsidR="007969F3">
              <w:rPr>
                <w:rStyle w:val="FooterTitle-IPRChar"/>
                <w:noProof/>
              </w:rPr>
              <w:t>3</w:t>
            </w:r>
            <w:r w:rsidR="009C475C" w:rsidRPr="00A0610B">
              <w:rPr>
                <w:rStyle w:val="FooterTitle-IPRChar"/>
              </w:rPr>
              <w:fldChar w:fldCharType="end"/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3666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E2E74" w14:textId="274400B9" w:rsidR="00D65FCE" w:rsidRPr="00540CD6" w:rsidRDefault="00D44EA4" w:rsidP="009C1DDE">
        <w:pPr>
          <w:pBdr>
            <w:top w:val="single" w:sz="8" w:space="1" w:color="B12732"/>
          </w:pBdr>
          <w:tabs>
            <w:tab w:val="right" w:pos="9360"/>
          </w:tabs>
          <w:spacing w:after="0"/>
          <w:jc w:val="center"/>
        </w:pPr>
        <w:sdt>
          <w:sdtPr>
            <w:id w:val="1972555253"/>
            <w:docPartObj>
              <w:docPartGallery w:val="Page Numbers (Bottom of Page)"/>
              <w:docPartUnique/>
            </w:docPartObj>
          </w:sdtPr>
          <w:sdtEndPr/>
          <w:sdtContent>
            <w:r w:rsidR="00D65FCE">
              <w:rPr>
                <w:rStyle w:val="FooterTitle-IPRChar"/>
              </w:rPr>
              <w:t xml:space="preserve">Best Practices in D-SNAP Operations and Planning, Attachment </w:t>
            </w:r>
            <w:r w:rsidR="003464C9">
              <w:rPr>
                <w:rStyle w:val="FooterTitle-IPRChar"/>
              </w:rPr>
              <w:t>O</w:t>
            </w:r>
            <w:r w:rsidR="00D65FCE">
              <w:rPr>
                <w:rStyle w:val="FooterTitle-IPRChar"/>
              </w:rPr>
              <w:t>. D-SNAP Study Overview</w:t>
            </w:r>
            <w:r w:rsidR="00D65FCE" w:rsidRPr="00A0610B">
              <w:rPr>
                <w:rStyle w:val="FooterTitle-IPRChar"/>
              </w:rPr>
              <w:tab/>
            </w:r>
            <w:r w:rsidR="003464C9">
              <w:rPr>
                <w:rStyle w:val="FooterTitle-IPRChar"/>
              </w:rPr>
              <w:t>O</w:t>
            </w:r>
            <w:r w:rsidR="00D65FCE">
              <w:rPr>
                <w:rStyle w:val="FooterTitle-IPRChar"/>
              </w:rPr>
              <w:t>-</w:t>
            </w:r>
            <w:r w:rsidR="00D65FCE" w:rsidRPr="00A0610B">
              <w:rPr>
                <w:rStyle w:val="FooterTitle-IPRChar"/>
              </w:rPr>
              <w:fldChar w:fldCharType="begin"/>
            </w:r>
            <w:r w:rsidR="00D65FCE" w:rsidRPr="00A0610B">
              <w:rPr>
                <w:rStyle w:val="FooterTitle-IPRChar"/>
              </w:rPr>
              <w:instrText xml:space="preserve"> PAGE   \* MERGEFORMAT </w:instrText>
            </w:r>
            <w:r w:rsidR="00D65FCE" w:rsidRPr="00A0610B">
              <w:rPr>
                <w:rStyle w:val="FooterTitle-IPRChar"/>
              </w:rPr>
              <w:fldChar w:fldCharType="separate"/>
            </w:r>
            <w:r w:rsidR="00FF5CDF">
              <w:rPr>
                <w:rStyle w:val="FooterTitle-IPRChar"/>
                <w:noProof/>
              </w:rPr>
              <w:t>2</w:t>
            </w:r>
            <w:r w:rsidR="00D65FCE" w:rsidRPr="00A0610B">
              <w:rPr>
                <w:rStyle w:val="FooterTitle-IPRChar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A9750" w14:textId="77777777" w:rsidR="007D10E6" w:rsidRDefault="007D10E6">
      <w:pPr>
        <w:spacing w:after="0"/>
      </w:pPr>
      <w:r>
        <w:separator/>
      </w:r>
    </w:p>
  </w:footnote>
  <w:footnote w:type="continuationSeparator" w:id="0">
    <w:p w14:paraId="4A7CA5A9" w14:textId="77777777" w:rsidR="007D10E6" w:rsidRDefault="007D10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5CDC" w14:textId="3CF24413" w:rsidR="00DC1E25" w:rsidRDefault="00DC1E25" w:rsidP="00DC1E25">
    <w:pPr>
      <w:pStyle w:val="Header"/>
      <w:tabs>
        <w:tab w:val="clear" w:pos="4680"/>
      </w:tabs>
      <w:spacing w:after="240"/>
      <w:jc w:val="right"/>
    </w:pPr>
    <w:r>
      <w:rPr>
        <w:noProof/>
      </w:rPr>
      <w:drawing>
        <wp:inline distT="0" distB="0" distL="0" distR="0" wp14:anchorId="6275DB7B" wp14:editId="5E71DE7D">
          <wp:extent cx="1444854" cy="457200"/>
          <wp:effectExtent l="0" t="0" r="3175" b="0"/>
          <wp:docPr id="9" name="Picture 9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ns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85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1715553" wp14:editId="31C94C4D">
          <wp:extent cx="1637561" cy="411480"/>
          <wp:effectExtent l="0" t="0" r="127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ight_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561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2B611" w14:textId="4ABCE234" w:rsidR="0007769B" w:rsidRDefault="0007769B" w:rsidP="0007769B">
    <w:pPr>
      <w:pStyle w:val="Header"/>
      <w:tabs>
        <w:tab w:val="clear" w:pos="4680"/>
      </w:tabs>
      <w:spacing w:after="240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9C7FD" w14:textId="77777777" w:rsidR="00D65FCE" w:rsidRDefault="00D65FCE" w:rsidP="00DC1E25">
    <w:pPr>
      <w:pStyle w:val="Header"/>
      <w:tabs>
        <w:tab w:val="clear" w:pos="4680"/>
      </w:tabs>
      <w:spacing w:after="240"/>
      <w:jc w:val="right"/>
    </w:pPr>
    <w:r>
      <w:rPr>
        <w:noProof/>
      </w:rPr>
      <w:drawing>
        <wp:inline distT="0" distB="0" distL="0" distR="0" wp14:anchorId="242A3C28" wp14:editId="03529F21">
          <wp:extent cx="1444854" cy="457200"/>
          <wp:effectExtent l="0" t="0" r="3175" b="0"/>
          <wp:docPr id="11" name="Picture 1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ns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85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3AF6B3D" wp14:editId="4BB1CA1F">
          <wp:extent cx="1637561" cy="411480"/>
          <wp:effectExtent l="0" t="0" r="1270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ight_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561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2" w15:restartNumberingAfterBreak="0">
    <w:nsid w:val="063E1D2B"/>
    <w:multiLevelType w:val="multilevel"/>
    <w:tmpl w:val="94F2A9BA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79767A8"/>
    <w:multiLevelType w:val="multilevel"/>
    <w:tmpl w:val="F6DE30B6"/>
    <w:numStyleLink w:val="NumbersListStyleRed-IPR"/>
  </w:abstractNum>
  <w:abstractNum w:abstractNumId="5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6" w15:restartNumberingAfterBreak="0">
    <w:nsid w:val="1A492560"/>
    <w:multiLevelType w:val="multilevel"/>
    <w:tmpl w:val="E0FE1110"/>
    <w:styleLink w:val="TableRedBulletsList-IPR"/>
    <w:lvl w:ilvl="0">
      <w:start w:val="1"/>
      <w:numFmt w:val="bullet"/>
      <w:pStyle w:val="TableRedBullets-IPR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7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34D58"/>
    <w:multiLevelType w:val="multilevel"/>
    <w:tmpl w:val="94F2A9BA"/>
    <w:numStyleLink w:val="BulletListStyleRed-IPR"/>
  </w:abstractNum>
  <w:abstractNum w:abstractNumId="9" w15:restartNumberingAfterBreak="0">
    <w:nsid w:val="2CC2383C"/>
    <w:multiLevelType w:val="multilevel"/>
    <w:tmpl w:val="A7588400"/>
    <w:styleLink w:val="Numbers105ptProjDescList"/>
    <w:lvl w:ilvl="0">
      <w:start w:val="1"/>
      <w:numFmt w:val="decimal"/>
      <w:pStyle w:val="Numbers105ptProjDesc-IP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1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6E14A6"/>
    <w:multiLevelType w:val="multilevel"/>
    <w:tmpl w:val="D778BBDE"/>
    <w:styleLink w:val="TableBlackBulletsList-IPR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43265317"/>
    <w:multiLevelType w:val="hybridMultilevel"/>
    <w:tmpl w:val="C02CD0AA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708D6"/>
    <w:multiLevelType w:val="hybridMultilevel"/>
    <w:tmpl w:val="750A7C44"/>
    <w:lvl w:ilvl="0" w:tplc="11E4C74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b w:val="0"/>
        <w:i w:val="0"/>
        <w:color w:val="B40036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C6EB8"/>
    <w:multiLevelType w:val="multilevel"/>
    <w:tmpl w:val="B84CE8A6"/>
    <w:numStyleLink w:val="TableRedNumbersList-IPR"/>
  </w:abstractNum>
  <w:abstractNum w:abstractNumId="14" w15:restartNumberingAfterBreak="0">
    <w:nsid w:val="679A4D49"/>
    <w:multiLevelType w:val="multilevel"/>
    <w:tmpl w:val="E0FE1110"/>
    <w:numStyleLink w:val="TableRedBulletsList-IPR"/>
  </w:abstractNum>
  <w:abstractNum w:abstractNumId="15" w15:restartNumberingAfterBreak="0">
    <w:nsid w:val="6876320B"/>
    <w:multiLevelType w:val="multilevel"/>
    <w:tmpl w:val="A7588400"/>
    <w:numStyleLink w:val="Numbers105ptProjDescList"/>
  </w:abstractNum>
  <w:abstractNum w:abstractNumId="16" w15:restartNumberingAfterBreak="0">
    <w:nsid w:val="79741CC7"/>
    <w:multiLevelType w:val="hybridMultilevel"/>
    <w:tmpl w:val="5F907C5E"/>
    <w:lvl w:ilvl="0" w:tplc="A8B23CF4">
      <w:start w:val="1"/>
      <w:numFmt w:val="decimal"/>
      <w:pStyle w:val="Heading3-IPR"/>
      <w:lvlText w:val="%1."/>
      <w:lvlJc w:val="left"/>
      <w:pPr>
        <w:ind w:left="36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14"/>
    <w:lvlOverride w:ilvl="0">
      <w:lvl w:ilvl="0">
        <w:start w:val="1"/>
        <w:numFmt w:val="bullet"/>
        <w:pStyle w:val="TableRedBullets-IPR"/>
        <w:lvlText w:val="●"/>
        <w:lvlJc w:val="left"/>
        <w:pPr>
          <w:ind w:left="360" w:hanging="360"/>
        </w:pPr>
        <w:rPr>
          <w:rFonts w:ascii="Calibri" w:hAnsi="Calibri" w:hint="default"/>
          <w:b w:val="0"/>
          <w:i w:val="0"/>
          <w:color w:val="B12732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08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180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24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8">
    <w:abstractNumId w:val="1"/>
  </w:num>
  <w:num w:numId="9">
    <w:abstractNumId w:val="13"/>
    <w:lvlOverride w:ilvl="0">
      <w:lvl w:ilvl="0">
        <w:start w:val="1"/>
        <w:numFmt w:val="decimal"/>
        <w:pStyle w:val="TableRedNumbers-IPR"/>
        <w:lvlText w:val="%1."/>
        <w:lvlJc w:val="left"/>
        <w:pPr>
          <w:ind w:left="360" w:hanging="360"/>
        </w:pPr>
        <w:rPr>
          <w:rFonts w:ascii="Calibri" w:hAnsi="Calibri" w:hint="default"/>
          <w:b w:val="0"/>
          <w:i w:val="0"/>
          <w:color w:val="B1273B"/>
          <w:sz w:val="2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4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B1273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5">
    <w:abstractNumId w:val="8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6">
    <w:abstractNumId w:val="9"/>
  </w:num>
  <w:num w:numId="17">
    <w:abstractNumId w:val="15"/>
    <w:lvlOverride w:ilvl="0">
      <w:lvl w:ilvl="0">
        <w:start w:val="1"/>
        <w:numFmt w:val="decimal"/>
        <w:pStyle w:val="Numbers105ptProjDesc-IPR"/>
        <w:lvlText w:val="%1."/>
        <w:lvlJc w:val="left"/>
        <w:pPr>
          <w:ind w:left="360" w:hanging="360"/>
        </w:pPr>
        <w:rPr>
          <w:rFonts w:ascii="Calibri" w:hAnsi="Calibri" w:hint="default"/>
          <w:b w:val="0"/>
          <w:i w:val="0"/>
          <w:color w:val="auto"/>
          <w:sz w:val="22"/>
        </w:rPr>
      </w:lvl>
    </w:lvlOverride>
  </w:num>
  <w:num w:numId="18">
    <w:abstractNumId w:val="12"/>
  </w:num>
  <w:num w:numId="19">
    <w:abstractNumId w:val="4"/>
    <w:lvlOverride w:ilvl="0">
      <w:startOverride w:val="1"/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color w:val="B1273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  <w:color w:val="DD2230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color w:val="DD2230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E6"/>
    <w:rsid w:val="00002EF2"/>
    <w:rsid w:val="00012775"/>
    <w:rsid w:val="00017CD4"/>
    <w:rsid w:val="00027B3B"/>
    <w:rsid w:val="00036035"/>
    <w:rsid w:val="00037EC0"/>
    <w:rsid w:val="0004078C"/>
    <w:rsid w:val="00041885"/>
    <w:rsid w:val="00065AB6"/>
    <w:rsid w:val="0007769B"/>
    <w:rsid w:val="00082A97"/>
    <w:rsid w:val="00094CCB"/>
    <w:rsid w:val="000A0D8C"/>
    <w:rsid w:val="000C68FF"/>
    <w:rsid w:val="000E2303"/>
    <w:rsid w:val="000F6D28"/>
    <w:rsid w:val="00122B35"/>
    <w:rsid w:val="00125DF4"/>
    <w:rsid w:val="0013196B"/>
    <w:rsid w:val="00150659"/>
    <w:rsid w:val="0016287B"/>
    <w:rsid w:val="00191BB3"/>
    <w:rsid w:val="001C3C6B"/>
    <w:rsid w:val="001C3CD9"/>
    <w:rsid w:val="001C5605"/>
    <w:rsid w:val="001C5AC9"/>
    <w:rsid w:val="001D2A94"/>
    <w:rsid w:val="001E0736"/>
    <w:rsid w:val="001E4086"/>
    <w:rsid w:val="001F49C6"/>
    <w:rsid w:val="00214A36"/>
    <w:rsid w:val="00244337"/>
    <w:rsid w:val="0026254D"/>
    <w:rsid w:val="002847D0"/>
    <w:rsid w:val="0029327E"/>
    <w:rsid w:val="00294BAD"/>
    <w:rsid w:val="002B384E"/>
    <w:rsid w:val="002C13D2"/>
    <w:rsid w:val="002D7582"/>
    <w:rsid w:val="002E4A32"/>
    <w:rsid w:val="002F22A1"/>
    <w:rsid w:val="003273F1"/>
    <w:rsid w:val="003374E0"/>
    <w:rsid w:val="00337D45"/>
    <w:rsid w:val="003464C9"/>
    <w:rsid w:val="003541C9"/>
    <w:rsid w:val="00357E67"/>
    <w:rsid w:val="00371A32"/>
    <w:rsid w:val="003C6499"/>
    <w:rsid w:val="003D041D"/>
    <w:rsid w:val="003D1254"/>
    <w:rsid w:val="003E327E"/>
    <w:rsid w:val="00423C78"/>
    <w:rsid w:val="00427600"/>
    <w:rsid w:val="00441547"/>
    <w:rsid w:val="00442715"/>
    <w:rsid w:val="00443CD6"/>
    <w:rsid w:val="004644E2"/>
    <w:rsid w:val="00477515"/>
    <w:rsid w:val="0048146D"/>
    <w:rsid w:val="00496542"/>
    <w:rsid w:val="004A228F"/>
    <w:rsid w:val="004A7352"/>
    <w:rsid w:val="004B4F0D"/>
    <w:rsid w:val="004B796B"/>
    <w:rsid w:val="004C5DAC"/>
    <w:rsid w:val="004D6E3F"/>
    <w:rsid w:val="004E0E2F"/>
    <w:rsid w:val="004E68B3"/>
    <w:rsid w:val="004F4F5F"/>
    <w:rsid w:val="0050748F"/>
    <w:rsid w:val="005109B4"/>
    <w:rsid w:val="00516ABE"/>
    <w:rsid w:val="00517D00"/>
    <w:rsid w:val="00526B66"/>
    <w:rsid w:val="00532636"/>
    <w:rsid w:val="00540CD6"/>
    <w:rsid w:val="00565C4D"/>
    <w:rsid w:val="00566470"/>
    <w:rsid w:val="00567980"/>
    <w:rsid w:val="005A01EC"/>
    <w:rsid w:val="005A031D"/>
    <w:rsid w:val="005A5BEE"/>
    <w:rsid w:val="005B02CF"/>
    <w:rsid w:val="005E3BE8"/>
    <w:rsid w:val="005F2F55"/>
    <w:rsid w:val="006104C0"/>
    <w:rsid w:val="00610673"/>
    <w:rsid w:val="006150ED"/>
    <w:rsid w:val="00654431"/>
    <w:rsid w:val="00664A30"/>
    <w:rsid w:val="0068382F"/>
    <w:rsid w:val="00686046"/>
    <w:rsid w:val="00694E47"/>
    <w:rsid w:val="006A06D4"/>
    <w:rsid w:val="006A19A8"/>
    <w:rsid w:val="006B13A0"/>
    <w:rsid w:val="006B527B"/>
    <w:rsid w:val="006C199A"/>
    <w:rsid w:val="006C3940"/>
    <w:rsid w:val="006C51E3"/>
    <w:rsid w:val="006F3271"/>
    <w:rsid w:val="00704BED"/>
    <w:rsid w:val="00720A9C"/>
    <w:rsid w:val="00725E90"/>
    <w:rsid w:val="00760105"/>
    <w:rsid w:val="00773251"/>
    <w:rsid w:val="007823D6"/>
    <w:rsid w:val="00782F9D"/>
    <w:rsid w:val="007969F3"/>
    <w:rsid w:val="007A474F"/>
    <w:rsid w:val="007B4F48"/>
    <w:rsid w:val="007D10E6"/>
    <w:rsid w:val="007D1EF7"/>
    <w:rsid w:val="00800CF4"/>
    <w:rsid w:val="008204AD"/>
    <w:rsid w:val="00820E25"/>
    <w:rsid w:val="00840CE4"/>
    <w:rsid w:val="00890220"/>
    <w:rsid w:val="008C3AB3"/>
    <w:rsid w:val="008D75B1"/>
    <w:rsid w:val="008F174D"/>
    <w:rsid w:val="008F1857"/>
    <w:rsid w:val="008F51CF"/>
    <w:rsid w:val="00903BC9"/>
    <w:rsid w:val="00924AD8"/>
    <w:rsid w:val="00934818"/>
    <w:rsid w:val="00945039"/>
    <w:rsid w:val="0095388E"/>
    <w:rsid w:val="009701DE"/>
    <w:rsid w:val="009B0D30"/>
    <w:rsid w:val="009B2C98"/>
    <w:rsid w:val="009B61B1"/>
    <w:rsid w:val="009B65A2"/>
    <w:rsid w:val="009C1DDE"/>
    <w:rsid w:val="009C2773"/>
    <w:rsid w:val="009C475C"/>
    <w:rsid w:val="009D3A1D"/>
    <w:rsid w:val="009E27C6"/>
    <w:rsid w:val="00A04349"/>
    <w:rsid w:val="00A0610B"/>
    <w:rsid w:val="00A11D5A"/>
    <w:rsid w:val="00A216EF"/>
    <w:rsid w:val="00A37347"/>
    <w:rsid w:val="00A44617"/>
    <w:rsid w:val="00A87838"/>
    <w:rsid w:val="00A90F80"/>
    <w:rsid w:val="00A93F60"/>
    <w:rsid w:val="00AB140C"/>
    <w:rsid w:val="00AC596C"/>
    <w:rsid w:val="00AD6BC3"/>
    <w:rsid w:val="00AE5566"/>
    <w:rsid w:val="00B15515"/>
    <w:rsid w:val="00B220B9"/>
    <w:rsid w:val="00B30E41"/>
    <w:rsid w:val="00B3413A"/>
    <w:rsid w:val="00B63CF8"/>
    <w:rsid w:val="00B65E01"/>
    <w:rsid w:val="00B70D5E"/>
    <w:rsid w:val="00B830B8"/>
    <w:rsid w:val="00BA0CB0"/>
    <w:rsid w:val="00BA4B2A"/>
    <w:rsid w:val="00BB08B5"/>
    <w:rsid w:val="00BB4285"/>
    <w:rsid w:val="00BD5B31"/>
    <w:rsid w:val="00BE3CD6"/>
    <w:rsid w:val="00C1299A"/>
    <w:rsid w:val="00C15787"/>
    <w:rsid w:val="00C17467"/>
    <w:rsid w:val="00C17CDF"/>
    <w:rsid w:val="00C369AD"/>
    <w:rsid w:val="00C47455"/>
    <w:rsid w:val="00C5090D"/>
    <w:rsid w:val="00C56A6F"/>
    <w:rsid w:val="00C70EFC"/>
    <w:rsid w:val="00C75CC3"/>
    <w:rsid w:val="00C761B9"/>
    <w:rsid w:val="00CA414E"/>
    <w:rsid w:val="00CF59EC"/>
    <w:rsid w:val="00D00738"/>
    <w:rsid w:val="00D05C42"/>
    <w:rsid w:val="00D136EF"/>
    <w:rsid w:val="00D1557E"/>
    <w:rsid w:val="00D350EB"/>
    <w:rsid w:val="00D44EA4"/>
    <w:rsid w:val="00D62DC7"/>
    <w:rsid w:val="00D64C46"/>
    <w:rsid w:val="00D65FCE"/>
    <w:rsid w:val="00D75DCB"/>
    <w:rsid w:val="00D86025"/>
    <w:rsid w:val="00D93C74"/>
    <w:rsid w:val="00D95978"/>
    <w:rsid w:val="00D96A9C"/>
    <w:rsid w:val="00DA243D"/>
    <w:rsid w:val="00DA6E74"/>
    <w:rsid w:val="00DA7708"/>
    <w:rsid w:val="00DC1E25"/>
    <w:rsid w:val="00DD0D51"/>
    <w:rsid w:val="00DD6364"/>
    <w:rsid w:val="00E17AE2"/>
    <w:rsid w:val="00E25DC5"/>
    <w:rsid w:val="00E34854"/>
    <w:rsid w:val="00E562CE"/>
    <w:rsid w:val="00E77747"/>
    <w:rsid w:val="00E81587"/>
    <w:rsid w:val="00EA0641"/>
    <w:rsid w:val="00EA7E0A"/>
    <w:rsid w:val="00EB5725"/>
    <w:rsid w:val="00EC4628"/>
    <w:rsid w:val="00EE0CE6"/>
    <w:rsid w:val="00EE5A73"/>
    <w:rsid w:val="00F51A13"/>
    <w:rsid w:val="00F5452C"/>
    <w:rsid w:val="00F57577"/>
    <w:rsid w:val="00F61B64"/>
    <w:rsid w:val="00F76EF9"/>
    <w:rsid w:val="00F770B2"/>
    <w:rsid w:val="00FA4FE8"/>
    <w:rsid w:val="00FB2BE9"/>
    <w:rsid w:val="00FB344F"/>
    <w:rsid w:val="00FC4E4A"/>
    <w:rsid w:val="00FE38F3"/>
    <w:rsid w:val="00FE5BE2"/>
    <w:rsid w:val="00FE7ECB"/>
    <w:rsid w:val="00FF408C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22683F5E"/>
  <w15:docId w15:val="{2C6C3D5B-54C2-41E7-8046-49A87895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7347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D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2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5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4C5DAC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4C5DAC"/>
    <w:pPr>
      <w:numPr>
        <w:numId w:val="15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4C5DAC"/>
    <w:pPr>
      <w:numPr>
        <w:numId w:val="13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4C5DAC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4C5DAC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4C5DAC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4C5DAC"/>
    <w:pPr>
      <w:keepNext/>
      <w:numPr>
        <w:numId w:val="10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4C5DA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4C5DA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4C5DAC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4C5DAC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4C5DAC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rsid w:val="009C2773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4C5DAC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9C2773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4C5DAC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4C5DAC"/>
    <w:pPr>
      <w:keepNext/>
      <w:numPr>
        <w:numId w:val="1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4C5DAC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4C5DAC"/>
    <w:pPr>
      <w:keepNext/>
      <w:numPr>
        <w:numId w:val="2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4C5DAC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4C5DAC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4C5DAC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D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4C5DAC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4C5DAC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4C5DAC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rsid w:val="00D96A9C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4C5DA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4C5DAC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D96A9C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4C5DAC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4C5DAC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4C5DAC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4C5DAC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3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1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4C5DAC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  <w:pPr>
      <w:numPr>
        <w:numId w:val="4"/>
      </w:numPr>
    </w:pPr>
  </w:style>
  <w:style w:type="paragraph" w:customStyle="1" w:styleId="TableRedBullets-IPR">
    <w:name w:val="TableRedBullets-IPR"/>
    <w:link w:val="TableRedBullets-IPRChar"/>
    <w:qFormat/>
    <w:rsid w:val="004C5DAC"/>
    <w:pPr>
      <w:numPr>
        <w:numId w:val="7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4C5DAC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6"/>
      </w:numPr>
    </w:pPr>
  </w:style>
  <w:style w:type="paragraph" w:customStyle="1" w:styleId="TableRedNumbers-IPR">
    <w:name w:val="TableRedNumbers-IPR"/>
    <w:link w:val="TableRedNumbers-IPRChar"/>
    <w:qFormat/>
    <w:rsid w:val="004C5DAC"/>
    <w:pPr>
      <w:numPr>
        <w:numId w:val="9"/>
      </w:numPr>
      <w:spacing w:after="0" w:line="240" w:lineRule="auto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4C5DAC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8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4C5DAC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4C5DAC"/>
    <w:pPr>
      <w:numPr>
        <w:ilvl w:val="2"/>
        <w:numId w:val="14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4C5DAC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4C5DAC"/>
    <w:rPr>
      <w:rFonts w:ascii="Calibri" w:hAnsi="Calibri" w:cs="Times New Roman"/>
      <w:szCs w:val="24"/>
    </w:rPr>
  </w:style>
  <w:style w:type="paragraph" w:customStyle="1" w:styleId="Body10ptProjDesc-IPR">
    <w:name w:val="Body10ptProjDesc-IPR"/>
    <w:link w:val="Body10ptProjDesc-IPRChar"/>
    <w:qFormat/>
    <w:rsid w:val="007D10E6"/>
    <w:pPr>
      <w:spacing w:line="240" w:lineRule="auto"/>
    </w:pPr>
    <w:rPr>
      <w:rFonts w:ascii="Calibri" w:hAnsi="Calibri" w:cs="Times New Roman"/>
      <w:sz w:val="20"/>
      <w:szCs w:val="24"/>
    </w:rPr>
  </w:style>
  <w:style w:type="character" w:customStyle="1" w:styleId="Body10ptProjDesc-IPRChar">
    <w:name w:val="Body10ptProjDesc-IPR Char"/>
    <w:basedOn w:val="DefaultParagraphFont"/>
    <w:link w:val="Body10ptProjDesc-IPR"/>
    <w:rsid w:val="007D10E6"/>
    <w:rPr>
      <w:rFonts w:ascii="Calibri" w:hAnsi="Calibri" w:cs="Times New Roman"/>
      <w:sz w:val="20"/>
      <w:szCs w:val="24"/>
    </w:rPr>
  </w:style>
  <w:style w:type="paragraph" w:customStyle="1" w:styleId="Numbers105ptProjDesc-IPR">
    <w:name w:val="Numbers10.5ptProjDesc-IPR"/>
    <w:basedOn w:val="Normal"/>
    <w:link w:val="Numbers105ptProjDesc-IPRChar"/>
    <w:qFormat/>
    <w:rsid w:val="007D10E6"/>
    <w:pPr>
      <w:numPr>
        <w:numId w:val="17"/>
      </w:numPr>
      <w:spacing w:after="200"/>
      <w:contextualSpacing/>
    </w:pPr>
    <w:rPr>
      <w:rFonts w:ascii="Calibri" w:hAnsi="Calibri" w:cstheme="minorHAnsi"/>
      <w:szCs w:val="20"/>
    </w:rPr>
  </w:style>
  <w:style w:type="numbering" w:customStyle="1" w:styleId="Numbers105ptProjDescList">
    <w:name w:val="Numbers10.5ptProjDescList"/>
    <w:uiPriority w:val="99"/>
    <w:rsid w:val="007D10E6"/>
    <w:pPr>
      <w:numPr>
        <w:numId w:val="16"/>
      </w:numPr>
    </w:pPr>
  </w:style>
  <w:style w:type="character" w:customStyle="1" w:styleId="Numbers105ptProjDesc-IPRChar">
    <w:name w:val="Numbers10.5ptProjDesc-IPR Char"/>
    <w:basedOn w:val="DefaultParagraphFont"/>
    <w:link w:val="Numbers105ptProjDesc-IPR"/>
    <w:rsid w:val="007D10E6"/>
    <w:rPr>
      <w:rFonts w:ascii="Calibri" w:hAnsi="Calibri" w:cstheme="minorHAnsi"/>
      <w:szCs w:val="20"/>
    </w:rPr>
  </w:style>
  <w:style w:type="paragraph" w:customStyle="1" w:styleId="Body12DOUBLE">
    <w:name w:val="Body12DOUBLE"/>
    <w:basedOn w:val="Normal"/>
    <w:link w:val="Body12DOUBLEChar"/>
    <w:rsid w:val="007D10E6"/>
    <w:pPr>
      <w:spacing w:before="240" w:line="480" w:lineRule="exact"/>
    </w:pPr>
    <w:rPr>
      <w:rFonts w:eastAsia="Times New Roman" w:cs="Times New Roman"/>
      <w:sz w:val="24"/>
      <w:szCs w:val="24"/>
    </w:rPr>
  </w:style>
  <w:style w:type="character" w:customStyle="1" w:styleId="Body12DOUBLEChar">
    <w:name w:val="Body12DOUBLE Char"/>
    <w:basedOn w:val="DefaultParagraphFont"/>
    <w:link w:val="Body12DOUBLE"/>
    <w:rsid w:val="007D10E6"/>
    <w:rPr>
      <w:rFonts w:eastAsia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27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Body11ptCalibri-IPR">
    <w:name w:val="Body11ptCalibri-IPR"/>
    <w:link w:val="Body11ptCalibri-IPRChar"/>
    <w:qFormat/>
    <w:rsid w:val="003E327E"/>
    <w:pPr>
      <w:spacing w:after="240" w:line="24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3E327E"/>
    <w:rPr>
      <w:rFonts w:ascii="Calibri" w:eastAsia="Times New Roman" w:hAnsi="Calibri" w:cs="Times New Roman"/>
      <w:szCs w:val="24"/>
    </w:rPr>
  </w:style>
  <w:style w:type="paragraph" w:customStyle="1" w:styleId="tableheader">
    <w:name w:val="table header"/>
    <w:qFormat/>
    <w:rsid w:val="003E327E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DITORS%20AND%20GRAPHICS%20SPECIALISTS%20ONLY\WordTemp\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8769-8543-4F46-A04D-53257EA3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Template.dotx</Template>
  <TotalTime>0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Wroblewska</dc:creator>
  <cp:lastModifiedBy>Williams, Eric - FNS</cp:lastModifiedBy>
  <cp:revision>3</cp:revision>
  <cp:lastPrinted>2015-05-26T19:17:00Z</cp:lastPrinted>
  <dcterms:created xsi:type="dcterms:W3CDTF">2021-04-26T15:41:00Z</dcterms:created>
  <dcterms:modified xsi:type="dcterms:W3CDTF">2021-04-26T15:41:00Z</dcterms:modified>
</cp:coreProperties>
</file>