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1F29" w:rsidR="00CD7C53" w:rsidP="00CD7C53" w:rsidRDefault="00CD7C53" w14:paraId="12CFD480" w14:textId="5ABBC50F">
      <w:pPr>
        <w:pStyle w:val="DocTitle-IPR"/>
        <w:spacing w:after="480"/>
      </w:pPr>
      <w:r w:rsidRPr="00542621">
        <w:t>A</w:t>
      </w:r>
      <w:r w:rsidR="00D5719B">
        <w:t>ttachment</w:t>
      </w:r>
      <w:r w:rsidRPr="00542621">
        <w:t xml:space="preserve"> </w:t>
      </w:r>
      <w:r w:rsidR="00936309">
        <w:t>Q</w:t>
      </w:r>
      <w:r w:rsidRPr="00542621">
        <w:t>.</w:t>
      </w:r>
      <w:r>
        <w:t xml:space="preserve"> </w:t>
      </w:r>
      <w:r w:rsidR="00D35B8C">
        <w:t xml:space="preserve">Use of </w:t>
      </w:r>
      <w:r w:rsidR="00D60C97">
        <w:br/>
      </w:r>
      <w:r w:rsidR="00111BAD">
        <w:t>Tokens of Appreciation</w:t>
      </w:r>
      <w:r w:rsidR="00936309">
        <w:t xml:space="preserve"> for Former Staff</w:t>
      </w:r>
    </w:p>
    <w:p w:rsidRPr="00267BFC" w:rsidR="00CD7C53" w:rsidP="00E05FB4" w:rsidRDefault="00CD7C53" w14:paraId="4A17F45D" w14:textId="77777777">
      <w:pPr>
        <w:spacing w:before="1320" w:after="132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>OMB No. 0584-[NEW]</w:t>
      </w:r>
    </w:p>
    <w:p w:rsidR="00A1523B" w:rsidP="00A1523B" w:rsidRDefault="00A1523B" w14:paraId="29BEB305" w14:textId="77777777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r>
        <w:rPr>
          <w:rFonts w:ascii="Candara" w:hAnsi="Candara"/>
          <w:i/>
          <w:sz w:val="36"/>
          <w:szCs w:val="36"/>
        </w:rPr>
        <w:t>Best Practices in Disaster Supplemental Nutrition Assistance Program (D-SNAP) Operations and Planning</w:t>
      </w:r>
    </w:p>
    <w:p w:rsidR="006A59AF" w:rsidP="00551138" w:rsidRDefault="001723F9" w14:paraId="78A5FA4F" w14:textId="2616D4CC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  <w:r>
        <w:rPr>
          <w:rFonts w:cs="Lucida Sans Unicode"/>
        </w:rPr>
        <w:fldChar w:fldCharType="begin"/>
      </w:r>
      <w:r>
        <w:rPr>
          <w:rFonts w:cs="Lucida Sans Unicode"/>
        </w:rPr>
        <w:instrText xml:space="preserve"> DATE \@ "MMMM d, yyyy" </w:instrText>
      </w:r>
      <w:r>
        <w:rPr>
          <w:rFonts w:cs="Lucida Sans Unicode"/>
        </w:rPr>
        <w:fldChar w:fldCharType="separate"/>
      </w:r>
      <w:r w:rsidR="00851D64">
        <w:rPr>
          <w:rFonts w:cs="Lucida Sans Unicode"/>
          <w:noProof/>
        </w:rPr>
        <w:t>April 26, 2021</w:t>
      </w:r>
      <w:r>
        <w:rPr>
          <w:rFonts w:cs="Lucida Sans Unicode"/>
        </w:rPr>
        <w:fldChar w:fldCharType="end"/>
      </w:r>
    </w:p>
    <w:p w:rsidR="006A59AF" w:rsidP="00551138" w:rsidRDefault="006A59AF" w14:paraId="6C07C13C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6A59AF" w:rsidP="00551138" w:rsidRDefault="006A59AF" w14:paraId="3B413B00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6A59AF" w:rsidP="00551138" w:rsidRDefault="006A59AF" w14:paraId="0795829F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6A59AF" w:rsidP="00551138" w:rsidRDefault="006A59AF" w14:paraId="35BF5E79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6A59AF" w:rsidP="00551138" w:rsidRDefault="006A59AF" w14:paraId="2A5B778B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551138" w:rsidP="00551138" w:rsidRDefault="00551138" w14:paraId="0B2D063F" w14:textId="0998149D">
      <w:pPr>
        <w:pStyle w:val="TableText-IPR"/>
        <w:jc w:val="center"/>
        <w:rPr>
          <w:b/>
          <w:sz w:val="24"/>
          <w:szCs w:val="24"/>
        </w:rPr>
      </w:pPr>
      <w:r w:rsidRPr="009A1155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 xml:space="preserve">Eric </w:t>
      </w:r>
      <w:r w:rsidR="00B85787">
        <w:rPr>
          <w:b/>
          <w:sz w:val="24"/>
          <w:szCs w:val="24"/>
        </w:rPr>
        <w:t xml:space="preserve">Sean </w:t>
      </w:r>
      <w:r>
        <w:rPr>
          <w:b/>
          <w:sz w:val="24"/>
          <w:szCs w:val="24"/>
        </w:rPr>
        <w:t>Williams</w:t>
      </w:r>
    </w:p>
    <w:p w:rsidRPr="009A1155" w:rsidR="00551138" w:rsidP="00551138" w:rsidRDefault="00551138" w14:paraId="59555C40" w14:textId="77777777">
      <w:pPr>
        <w:pStyle w:val="TableText-IPR"/>
        <w:jc w:val="center"/>
        <w:rPr>
          <w:b/>
          <w:sz w:val="24"/>
          <w:szCs w:val="24"/>
        </w:rPr>
      </w:pPr>
    </w:p>
    <w:p w:rsidR="00551138" w:rsidP="00551138" w:rsidRDefault="00551138" w14:paraId="3AC0FA63" w14:textId="77777777">
      <w:pPr>
        <w:pStyle w:val="TableText-IPR"/>
        <w:jc w:val="center"/>
        <w:rPr>
          <w:sz w:val="24"/>
          <w:szCs w:val="24"/>
        </w:rPr>
      </w:pPr>
      <w:bookmarkStart w:name="_Hlk32915411" w:id="0"/>
      <w:r w:rsidRPr="009A1155">
        <w:rPr>
          <w:sz w:val="24"/>
          <w:szCs w:val="24"/>
        </w:rPr>
        <w:t>Office of Policy Support</w:t>
      </w:r>
    </w:p>
    <w:p w:rsidRPr="009A1155" w:rsidR="00551138" w:rsidP="00551138" w:rsidRDefault="00551138" w14:paraId="18527A77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SNAP Research and Analysis Division</w:t>
      </w:r>
    </w:p>
    <w:p w:rsidRPr="009A1155" w:rsidR="00551138" w:rsidP="00551138" w:rsidRDefault="00551138" w14:paraId="2F30DA2F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Food and Nutrition Service</w:t>
      </w:r>
    </w:p>
    <w:p w:rsidRPr="009A1155" w:rsidR="00551138" w:rsidP="00551138" w:rsidRDefault="00551138" w14:paraId="002F0456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U.S. Department of Agriculture</w:t>
      </w:r>
    </w:p>
    <w:p w:rsidRPr="009A1155" w:rsidR="00551138" w:rsidP="00551138" w:rsidRDefault="00551138" w14:paraId="26C600C1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1320 Braddock Place</w:t>
      </w:r>
    </w:p>
    <w:p w:rsidRPr="00B85787" w:rsidR="00551138" w:rsidP="00551138" w:rsidRDefault="00551138" w14:paraId="1517B7B8" w14:textId="77777777">
      <w:pPr>
        <w:pStyle w:val="TableText-IPR"/>
        <w:jc w:val="center"/>
        <w:rPr>
          <w:sz w:val="24"/>
          <w:szCs w:val="24"/>
          <w:lang w:val="es-ES"/>
        </w:rPr>
      </w:pPr>
      <w:r w:rsidRPr="00B85787">
        <w:rPr>
          <w:sz w:val="24"/>
          <w:szCs w:val="24"/>
          <w:lang w:val="es-ES"/>
        </w:rPr>
        <w:t>Alexandria, VA 22314</w:t>
      </w:r>
    </w:p>
    <w:p w:rsidRPr="00B85787" w:rsidR="00551138" w:rsidP="00551138" w:rsidRDefault="00551138" w14:paraId="49EFDA45" w14:textId="77777777">
      <w:pPr>
        <w:pStyle w:val="TableText-IPR"/>
        <w:jc w:val="center"/>
        <w:rPr>
          <w:sz w:val="24"/>
          <w:szCs w:val="24"/>
          <w:lang w:val="es-ES"/>
        </w:rPr>
      </w:pPr>
      <w:r w:rsidRPr="00B85787">
        <w:rPr>
          <w:sz w:val="24"/>
          <w:szCs w:val="24"/>
          <w:lang w:val="es-ES"/>
        </w:rPr>
        <w:t>703.305.2640</w:t>
      </w:r>
    </w:p>
    <w:p w:rsidRPr="00B85787" w:rsidR="00551138" w:rsidP="00551138" w:rsidRDefault="00551138" w14:paraId="11956D66" w14:textId="77777777">
      <w:pPr>
        <w:pStyle w:val="TableText-IPR"/>
        <w:jc w:val="center"/>
        <w:rPr>
          <w:sz w:val="22"/>
          <w:szCs w:val="24"/>
          <w:lang w:val="es-ES"/>
        </w:rPr>
      </w:pPr>
      <w:r w:rsidRPr="00B85787">
        <w:rPr>
          <w:sz w:val="24"/>
          <w:szCs w:val="24"/>
          <w:lang w:val="es-ES"/>
        </w:rPr>
        <w:t>eric.williams@fns.usda.gov</w:t>
      </w:r>
    </w:p>
    <w:bookmarkEnd w:id="0"/>
    <w:p w:rsidRPr="00B85787" w:rsidR="00C05E57" w:rsidP="00271D63" w:rsidRDefault="00C05E57" w14:paraId="4BC91ABA" w14:textId="04EFC11D">
      <w:pPr>
        <w:pStyle w:val="Body11ptCalibrDBi-IPR"/>
        <w:rPr>
          <w:rFonts w:eastAsiaTheme="minorEastAsia"/>
          <w:lang w:val="es-ES"/>
        </w:rPr>
      </w:pPr>
    </w:p>
    <w:p w:rsidRPr="00B85787" w:rsidR="00C05E57" w:rsidP="00271D63" w:rsidRDefault="00C05E57" w14:paraId="6FFB8181" w14:textId="6875A960">
      <w:pPr>
        <w:pStyle w:val="Body11ptCalibrDBi-IPR"/>
        <w:rPr>
          <w:rFonts w:eastAsiaTheme="minorEastAsia"/>
          <w:lang w:val="es-ES"/>
        </w:rPr>
        <w:sectPr w:rsidRPr="00B85787" w:rsidR="00C05E57" w:rsidSect="00C05E5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D38F0" w:rsidP="006D38F0" w:rsidRDefault="006D38F0" w14:paraId="68F5E35C" w14:textId="3D7D3E86">
      <w:pPr>
        <w:pStyle w:val="Heading1-IPR"/>
      </w:pPr>
      <w:r>
        <w:lastRenderedPageBreak/>
        <w:t>Use of Tokens of Appreciation</w:t>
      </w:r>
      <w:r w:rsidR="00936309">
        <w:t xml:space="preserve"> for Former Staff</w:t>
      </w:r>
    </w:p>
    <w:p w:rsidRPr="006D38F0" w:rsidR="00BF5BB4" w:rsidP="00C05E57" w:rsidRDefault="008D7BDE" w14:paraId="46DDDA2C" w14:textId="728A743A">
      <w:pPr>
        <w:pStyle w:val="BodyText-IPR"/>
      </w:pPr>
      <w:r>
        <w:t>Former</w:t>
      </w:r>
      <w:r w:rsidR="00C14C96">
        <w:t xml:space="preserve"> State, county, and local em</w:t>
      </w:r>
      <w:r w:rsidR="00CD2007">
        <w:t>ployees who work</w:t>
      </w:r>
      <w:r w:rsidR="004F2D13">
        <w:t>ed</w:t>
      </w:r>
      <w:r w:rsidR="00CD2007">
        <w:t xml:space="preserve"> for the State</w:t>
      </w:r>
      <w:r w:rsidR="004F2D13">
        <w:t xml:space="preserve">, </w:t>
      </w:r>
      <w:r w:rsidR="00006F54">
        <w:t>c</w:t>
      </w:r>
      <w:r w:rsidR="004F2D13">
        <w:t>ounty, or local</w:t>
      </w:r>
      <w:r w:rsidR="00CD2007">
        <w:t xml:space="preserve"> SNAP office during the time of the disaster but have since left </w:t>
      </w:r>
      <w:r w:rsidR="00724210">
        <w:t>their</w:t>
      </w:r>
      <w:r w:rsidR="00CD2007">
        <w:t xml:space="preserve"> position</w:t>
      </w:r>
      <w:r w:rsidR="00C32554">
        <w:t>s</w:t>
      </w:r>
      <w:r w:rsidR="00CD2007">
        <w:t xml:space="preserve"> will be asked to participate in a</w:t>
      </w:r>
      <w:r w:rsidR="004F2D13">
        <w:t xml:space="preserve"> </w:t>
      </w:r>
      <w:r w:rsidR="00C32554">
        <w:t>1</w:t>
      </w:r>
      <w:r w:rsidR="004F2D13">
        <w:t>-hour</w:t>
      </w:r>
      <w:r w:rsidR="00CD2007">
        <w:t xml:space="preserve"> interview to provide critical information about D-SNAP planning and operations during the selected disaster. P</w:t>
      </w:r>
      <w:r>
        <w:t xml:space="preserve">articipants </w:t>
      </w:r>
      <w:r w:rsidRPr="006D38F0" w:rsidR="00254F6F">
        <w:t>who complete an interview for this study will receive a token of appreciation in the form of a $</w:t>
      </w:r>
      <w:r w:rsidR="00576A8A">
        <w:t>3</w:t>
      </w:r>
      <w:r w:rsidRPr="006D38F0" w:rsidR="00254F6F">
        <w:t xml:space="preserve">0 gift card. </w:t>
      </w:r>
      <w:r w:rsidRPr="006D38F0" w:rsidR="001A2752">
        <w:t>The token</w:t>
      </w:r>
      <w:r w:rsidRPr="006D38F0" w:rsidR="00BF5BB4">
        <w:t>s</w:t>
      </w:r>
      <w:r w:rsidRPr="006D38F0" w:rsidR="001A2752">
        <w:t xml:space="preserve"> of appreciation</w:t>
      </w:r>
      <w:r w:rsidRPr="006D38F0" w:rsidR="006D38F0">
        <w:t xml:space="preserve"> for</w:t>
      </w:r>
      <w:r w:rsidRPr="006D38F0" w:rsidR="00BF5BB4">
        <w:t xml:space="preserve"> </w:t>
      </w:r>
      <w:r w:rsidRPr="006D38F0" w:rsidR="001A2752">
        <w:t>interview</w:t>
      </w:r>
      <w:r w:rsidRPr="006D38F0" w:rsidR="00BF5BB4">
        <w:t xml:space="preserve"> respondents </w:t>
      </w:r>
      <w:r w:rsidR="008369A8">
        <w:t>will help</w:t>
      </w:r>
      <w:r w:rsidRPr="006D38F0" w:rsidR="00BF5BB4">
        <w:t xml:space="preserve"> </w:t>
      </w:r>
      <w:r w:rsidRPr="006D38F0" w:rsidR="00254F6F">
        <w:t>ensure th</w:t>
      </w:r>
      <w:r w:rsidR="008369A8">
        <w:t xml:space="preserve">ese necessary individuals, who have critical information to share about D-SNAP planning and operations, are able to participate in the study by helping to reduce their burden of participation. </w:t>
      </w:r>
      <w:r w:rsidR="00C32554">
        <w:t>B</w:t>
      </w:r>
      <w:r w:rsidR="008369A8">
        <w:t xml:space="preserve">ecause </w:t>
      </w:r>
      <w:r w:rsidR="00C32554">
        <w:t xml:space="preserve">the </w:t>
      </w:r>
      <w:r w:rsidR="008369A8">
        <w:t>perspectives</w:t>
      </w:r>
      <w:r w:rsidR="00C32554">
        <w:t xml:space="preserve"> of these staff</w:t>
      </w:r>
      <w:r w:rsidR="008369A8">
        <w:t xml:space="preserve"> on the relevant D-SNAP</w:t>
      </w:r>
      <w:r w:rsidR="00C32554">
        <w:t>s</w:t>
      </w:r>
      <w:r w:rsidR="008369A8">
        <w:t xml:space="preserve"> </w:t>
      </w:r>
      <w:r w:rsidR="004F2D13">
        <w:t xml:space="preserve">may be </w:t>
      </w:r>
      <w:r w:rsidR="008369A8">
        <w:t>critical to the success of the study, particular</w:t>
      </w:r>
      <w:r w:rsidR="00C32554">
        <w:t>ly</w:t>
      </w:r>
      <w:r w:rsidR="008369A8">
        <w:t xml:space="preserve"> to </w:t>
      </w:r>
      <w:r w:rsidR="001F6A52">
        <w:t>assess</w:t>
      </w:r>
      <w:r w:rsidR="008369A8">
        <w:t xml:space="preserve"> the implementation and operation of D-SNAP for the selected disasters (Objective 1), ensuring their participation will improve data quality and decrease the rate of nonresponse. </w:t>
      </w:r>
    </w:p>
    <w:p w:rsidR="006D38F0" w:rsidP="00D23E4F" w:rsidRDefault="001F6A52" w14:paraId="6266E94A" w14:textId="56C6E7F0">
      <w:pPr>
        <w:pStyle w:val="Heading2-IPR"/>
      </w:pPr>
      <w:r>
        <w:t>Evidence</w:t>
      </w:r>
      <w:r w:rsidR="006D38F0">
        <w:t xml:space="preserve"> Supporting the Use of Tokens of Appreciation</w:t>
      </w:r>
    </w:p>
    <w:p w:rsidR="00BF5BB4" w:rsidP="00C05E57" w:rsidRDefault="00C32554" w14:paraId="5BDE317C" w14:textId="748467CA">
      <w:pPr>
        <w:pStyle w:val="BodyText-IPR"/>
      </w:pPr>
      <w:r>
        <w:t>This section provides</w:t>
      </w:r>
      <w:r w:rsidR="001F6A52">
        <w:t xml:space="preserve"> evidence supporting the use of tokens of appreciation based on independent research. </w:t>
      </w:r>
    </w:p>
    <w:p w:rsidRPr="00B83FA7" w:rsidR="0039573B" w:rsidP="0039573B" w:rsidRDefault="0039573B" w14:paraId="7730E93E" w14:textId="77777777">
      <w:pPr>
        <w:pStyle w:val="Heading3-IPR"/>
        <w:ind w:left="360"/>
      </w:pPr>
      <w:r w:rsidRPr="00B83FA7">
        <w:t>Reduc</w:t>
      </w:r>
      <w:r>
        <w:t>ing</w:t>
      </w:r>
      <w:r w:rsidRPr="00B83FA7">
        <w:t xml:space="preserve"> </w:t>
      </w:r>
      <w:r>
        <w:t>N</w:t>
      </w:r>
      <w:r w:rsidRPr="00B83FA7">
        <w:t>onresponse</w:t>
      </w:r>
      <w:r>
        <w:t xml:space="preserve"> Bias</w:t>
      </w:r>
      <w:r w:rsidRPr="00B83FA7">
        <w:t xml:space="preserve"> </w:t>
      </w:r>
    </w:p>
    <w:p w:rsidRPr="006D38F0" w:rsidR="0039573B" w:rsidP="00C05E57" w:rsidRDefault="0039573B" w14:paraId="168E9683" w14:textId="7B9D98CE">
      <w:pPr>
        <w:pStyle w:val="BodyText-IPR"/>
      </w:pPr>
      <w:r w:rsidRPr="00B83FA7">
        <w:t xml:space="preserve">Low response rates are problematic because they can lead to increased nonresponse bias (Groves et al., 2006). </w:t>
      </w:r>
      <w:r>
        <w:t xml:space="preserve">This is a particularly salient issue for this study. Nonresponse from a key staff person could hamper the analysis in two ways. First, if the study team is unable to learn important details of D-SNAP planning and operations, this could limit the extent to which the team would be able to assess the implementation and operations of D-SNAP for the selected disaster (Objective 1). Second, missing information could bias the determination of best practices for developing annual disaster plans (Objective 4) and for implementing and operating a D-SNAP (Objective 5). </w:t>
      </w:r>
      <w:r w:rsidRPr="00B83FA7">
        <w:t>Tokens of appreciation</w:t>
      </w:r>
      <w:r>
        <w:t xml:space="preserve"> can help</w:t>
      </w:r>
      <w:r w:rsidRPr="00B83FA7">
        <w:t xml:space="preserve"> reduce efforts to recruit study participants and </w:t>
      </w:r>
      <w:r>
        <w:t>thereby lower the amount of</w:t>
      </w:r>
      <w:r w:rsidRPr="00B83FA7">
        <w:t xml:space="preserve"> time</w:t>
      </w:r>
      <w:r>
        <w:t xml:space="preserve"> needed</w:t>
      </w:r>
      <w:r w:rsidRPr="00B83FA7">
        <w:t xml:space="preserve"> to </w:t>
      </w:r>
      <w:r>
        <w:t>recruit the necessary respondents</w:t>
      </w:r>
      <w:r w:rsidRPr="00B83FA7">
        <w:t xml:space="preserve"> without affecting data quality (</w:t>
      </w:r>
      <w:proofErr w:type="spellStart"/>
      <w:r w:rsidRPr="00B83FA7">
        <w:t>Dillman</w:t>
      </w:r>
      <w:proofErr w:type="spellEnd"/>
      <w:r w:rsidRPr="00B83FA7">
        <w:t>, 2000; Singer, 2006). Mercer and colleagues</w:t>
      </w:r>
      <w:r>
        <w:t>’</w:t>
      </w:r>
      <w:r w:rsidRPr="00B83FA7">
        <w:t xml:space="preserve"> (2015) meta-analysis</w:t>
      </w:r>
      <w:r>
        <w:t xml:space="preserve"> estimated</w:t>
      </w:r>
      <w:r w:rsidRPr="00B83FA7">
        <w:t xml:space="preserve"> surveys that promised </w:t>
      </w:r>
      <w:r>
        <w:t xml:space="preserve">a </w:t>
      </w:r>
      <w:r w:rsidRPr="00B83FA7">
        <w:t>$10</w:t>
      </w:r>
      <w:r>
        <w:t xml:space="preserve"> token of appreciation</w:t>
      </w:r>
      <w:r w:rsidRPr="00B83FA7">
        <w:t xml:space="preserve"> generated response rates 5 percentage points </w:t>
      </w:r>
      <w:r>
        <w:t>higher</w:t>
      </w:r>
      <w:r w:rsidRPr="00B83FA7">
        <w:t xml:space="preserve"> than </w:t>
      </w:r>
      <w:r>
        <w:t>surveys that offered no such incentive</w:t>
      </w:r>
      <w:r w:rsidRPr="00B83FA7">
        <w:t xml:space="preserve">. </w:t>
      </w:r>
      <w:r>
        <w:t>T</w:t>
      </w:r>
      <w:r w:rsidRPr="00B83FA7">
        <w:t>okens of appreciation can</w:t>
      </w:r>
      <w:r>
        <w:t xml:space="preserve"> also</w:t>
      </w:r>
      <w:r w:rsidRPr="00B83FA7">
        <w:t xml:space="preserve"> improve sample representativeness and reduce nonresponse bias (Groves et al., 2000; Messer &amp; </w:t>
      </w:r>
      <w:proofErr w:type="spellStart"/>
      <w:r w:rsidRPr="00B83FA7">
        <w:t>Dillman</w:t>
      </w:r>
      <w:proofErr w:type="spellEnd"/>
      <w:r w:rsidRPr="00B83FA7">
        <w:t xml:space="preserve">, 2011) by encouraging those less interested in research to participate (Groves et al., 2006; Singer &amp; </w:t>
      </w:r>
      <w:proofErr w:type="spellStart"/>
      <w:r w:rsidRPr="00B83FA7">
        <w:t>Kulka</w:t>
      </w:r>
      <w:proofErr w:type="spellEnd"/>
      <w:r w:rsidRPr="00B83FA7">
        <w:t xml:space="preserve">, 2002). </w:t>
      </w:r>
    </w:p>
    <w:p w:rsidR="00D23E4F" w:rsidP="00C05E57" w:rsidRDefault="00D23E4F" w14:paraId="534E32F1" w14:textId="3F2268FE">
      <w:pPr>
        <w:pStyle w:val="Heading3-IPR"/>
        <w:ind w:left="360"/>
      </w:pPr>
      <w:r>
        <w:t>Improv</w:t>
      </w:r>
      <w:r w:rsidR="001F6A52">
        <w:t>ing</w:t>
      </w:r>
      <w:r>
        <w:t xml:space="preserve"> </w:t>
      </w:r>
      <w:r w:rsidR="007C240B">
        <w:t>D</w:t>
      </w:r>
      <w:r>
        <w:t xml:space="preserve">ata </w:t>
      </w:r>
      <w:r w:rsidR="007C240B">
        <w:t>Q</w:t>
      </w:r>
      <w:r>
        <w:t>uality</w:t>
      </w:r>
    </w:p>
    <w:p w:rsidR="00964EC4" w:rsidP="00964EC4" w:rsidRDefault="00BF5BB4" w14:paraId="71616EE8" w14:textId="77777777">
      <w:pPr>
        <w:pStyle w:val="BodyText-IPR"/>
      </w:pPr>
      <w:r w:rsidRPr="006D38F0">
        <w:t>A</w:t>
      </w:r>
      <w:r w:rsidRPr="006D38F0" w:rsidR="00631202">
        <w:t xml:space="preserve"> </w:t>
      </w:r>
      <w:r w:rsidRPr="00B83FA7" w:rsidR="00631202">
        <w:t xml:space="preserve">token of appreciation </w:t>
      </w:r>
      <w:r w:rsidRPr="00B83FA7">
        <w:t xml:space="preserve">is essential to </w:t>
      </w:r>
      <w:r w:rsidR="001F6A52">
        <w:t>ensuring the relevant former staff participate in the study and share their critical perspectives on D-SNAP operations for the selected disaster(s)</w:t>
      </w:r>
      <w:r w:rsidRPr="00B83FA7">
        <w:t xml:space="preserve">. </w:t>
      </w:r>
      <w:r w:rsidRPr="00B83FA7" w:rsidR="00900E54">
        <w:t>R</w:t>
      </w:r>
      <w:r w:rsidRPr="00B83FA7">
        <w:t xml:space="preserve">esponse rates </w:t>
      </w:r>
      <w:r w:rsidRPr="00B83FA7" w:rsidR="00D22D87">
        <w:t>for</w:t>
      </w:r>
      <w:r w:rsidRPr="00B83FA7" w:rsidR="00900E54">
        <w:t xml:space="preserve"> research </w:t>
      </w:r>
      <w:r w:rsidRPr="00B83FA7">
        <w:t xml:space="preserve">have declined in recent years (Brick </w:t>
      </w:r>
      <w:r w:rsidRPr="00B83FA7" w:rsidR="00DA64E6">
        <w:t>&amp;</w:t>
      </w:r>
      <w:r w:rsidRPr="00B83FA7">
        <w:t xml:space="preserve"> Williams</w:t>
      </w:r>
      <w:r w:rsidRPr="00B83FA7" w:rsidR="00550446">
        <w:t>,</w:t>
      </w:r>
      <w:r w:rsidRPr="00B83FA7">
        <w:t xml:space="preserve"> 2013; Curtin</w:t>
      </w:r>
      <w:r w:rsidR="008873C5">
        <w:t xml:space="preserve"> et al.</w:t>
      </w:r>
      <w:r w:rsidRPr="00B83FA7" w:rsidR="00B06475">
        <w:t>,</w:t>
      </w:r>
      <w:r w:rsidRPr="00B83FA7">
        <w:t xml:space="preserve"> 2005)</w:t>
      </w:r>
      <w:r w:rsidR="004F2D13">
        <w:t>, and o</w:t>
      </w:r>
      <w:r w:rsidRPr="00B83FA7">
        <w:t xml:space="preserve">ffering </w:t>
      </w:r>
      <w:r w:rsidRPr="00B83FA7" w:rsidR="00631202">
        <w:t>token</w:t>
      </w:r>
      <w:r w:rsidRPr="00B83FA7" w:rsidR="009A259F">
        <w:t>s</w:t>
      </w:r>
      <w:r w:rsidRPr="00B83FA7" w:rsidR="00631202">
        <w:t xml:space="preserve"> of appreciation</w:t>
      </w:r>
      <w:r w:rsidRPr="00B83FA7">
        <w:t xml:space="preserve"> is an effective method for improving response rates without compromising the quality of the data (Singer </w:t>
      </w:r>
      <w:r w:rsidRPr="00B83FA7" w:rsidR="00B06475">
        <w:t>&amp;</w:t>
      </w:r>
      <w:r w:rsidRPr="00B83FA7">
        <w:t xml:space="preserve"> Ye</w:t>
      </w:r>
      <w:r w:rsidRPr="00B83FA7" w:rsidR="00B06475">
        <w:t>,</w:t>
      </w:r>
      <w:r w:rsidRPr="00B83FA7">
        <w:t xml:space="preserve"> 2013). The knowledge that respondents will be </w:t>
      </w:r>
      <w:r w:rsidR="004F2D13">
        <w:t>compensated</w:t>
      </w:r>
      <w:r w:rsidRPr="00B83FA7" w:rsidR="004F2D13">
        <w:t xml:space="preserve"> </w:t>
      </w:r>
      <w:r w:rsidRPr="00B83FA7" w:rsidR="00923053">
        <w:t>to</w:t>
      </w:r>
      <w:r w:rsidRPr="00B83FA7">
        <w:t xml:space="preserve"> complet</w:t>
      </w:r>
      <w:r w:rsidRPr="00B83FA7" w:rsidR="00923053">
        <w:t>e</w:t>
      </w:r>
      <w:r w:rsidRPr="00B83FA7" w:rsidR="004F6A35">
        <w:t xml:space="preserve"> a</w:t>
      </w:r>
      <w:r w:rsidRPr="00B83FA7">
        <w:t xml:space="preserve"> survey is expected to increase their likelihood of spending the time to respond. </w:t>
      </w:r>
      <w:r w:rsidR="00FC6FC7">
        <w:t>F</w:t>
      </w:r>
      <w:r w:rsidR="00576A8A">
        <w:t xml:space="preserve">or example, </w:t>
      </w:r>
      <w:r w:rsidRPr="00B83FA7">
        <w:t xml:space="preserve">Mercer </w:t>
      </w:r>
      <w:r w:rsidRPr="00B83FA7" w:rsidR="0079596B">
        <w:t>and colleagues</w:t>
      </w:r>
      <w:r w:rsidRPr="00B83FA7">
        <w:t xml:space="preserve"> (2015) </w:t>
      </w:r>
      <w:r w:rsidR="008873C5">
        <w:t xml:space="preserve">recently </w:t>
      </w:r>
      <w:r w:rsidRPr="00B83FA7">
        <w:t xml:space="preserve">conducted a meta-analysis of the dose-response association between </w:t>
      </w:r>
      <w:r w:rsidRPr="00B83FA7" w:rsidR="00631202">
        <w:t>token</w:t>
      </w:r>
      <w:r w:rsidRPr="00B83FA7" w:rsidR="009A259F">
        <w:t>s</w:t>
      </w:r>
      <w:r w:rsidRPr="00B83FA7" w:rsidR="00631202">
        <w:t xml:space="preserve"> of appreciation</w:t>
      </w:r>
      <w:r w:rsidRPr="00B83FA7">
        <w:t xml:space="preserve"> and response and found a positive relationship between </w:t>
      </w:r>
      <w:r w:rsidRPr="00B83FA7" w:rsidR="00631202">
        <w:t>token</w:t>
      </w:r>
      <w:r w:rsidRPr="00B83FA7" w:rsidR="009A259F">
        <w:t>s</w:t>
      </w:r>
      <w:r w:rsidRPr="00B83FA7" w:rsidR="00631202">
        <w:t xml:space="preserve"> of appreciation</w:t>
      </w:r>
      <w:r w:rsidRPr="00B83FA7">
        <w:t xml:space="preserve"> </w:t>
      </w:r>
      <w:r w:rsidRPr="00B83FA7" w:rsidR="001526CD">
        <w:t xml:space="preserve">with a greater monetary value </w:t>
      </w:r>
      <w:r w:rsidRPr="00B83FA7">
        <w:t xml:space="preserve">and response rates for household telephone surveys offering </w:t>
      </w:r>
      <w:r w:rsidRPr="00B83FA7" w:rsidR="00631202">
        <w:t>token</w:t>
      </w:r>
      <w:r w:rsidRPr="00B83FA7" w:rsidR="009A259F">
        <w:t>s</w:t>
      </w:r>
      <w:r w:rsidRPr="00B83FA7" w:rsidR="00631202">
        <w:t xml:space="preserve"> of appreciation</w:t>
      </w:r>
      <w:r w:rsidRPr="00B83FA7">
        <w:t xml:space="preserve">. </w:t>
      </w:r>
    </w:p>
    <w:p w:rsidRPr="00B83FA7" w:rsidR="00D23E4F" w:rsidP="00964EC4" w:rsidRDefault="00254F6F" w14:paraId="7897B9B6" w14:textId="4937811F">
      <w:pPr>
        <w:pStyle w:val="Heading3-IPR"/>
        <w:ind w:left="360"/>
      </w:pPr>
      <w:r w:rsidRPr="00B83FA7">
        <w:lastRenderedPageBreak/>
        <w:t>Reduc</w:t>
      </w:r>
      <w:r w:rsidR="001F6A52">
        <w:t>ing</w:t>
      </w:r>
      <w:r w:rsidRPr="00B83FA7" w:rsidR="00BF5BB4">
        <w:t xml:space="preserve"> </w:t>
      </w:r>
      <w:r w:rsidR="00EE18F5">
        <w:t>R</w:t>
      </w:r>
      <w:r w:rsidRPr="00B83FA7" w:rsidR="00BF5BB4">
        <w:t xml:space="preserve">espondent </w:t>
      </w:r>
      <w:r w:rsidR="00EE18F5">
        <w:t>B</w:t>
      </w:r>
      <w:r w:rsidRPr="00B83FA7" w:rsidR="00BF5BB4">
        <w:t xml:space="preserve">urden </w:t>
      </w:r>
    </w:p>
    <w:p w:rsidRPr="00B83FA7" w:rsidR="00BF5BB4" w:rsidP="00C05E57" w:rsidRDefault="001F6A52" w14:paraId="1FF8D6E8" w14:textId="5D8A2CD2">
      <w:pPr>
        <w:pStyle w:val="BodyText-IPR"/>
      </w:pPr>
      <w:r>
        <w:t>T</w:t>
      </w:r>
      <w:r w:rsidRPr="00B83FA7" w:rsidR="00631202">
        <w:t>okens of appreciation</w:t>
      </w:r>
      <w:r w:rsidRPr="00B83FA7" w:rsidR="002D6110">
        <w:t xml:space="preserve"> reduce respondent burden because they help offset costs associated with </w:t>
      </w:r>
      <w:r>
        <w:t>participating in the interview</w:t>
      </w:r>
      <w:r w:rsidR="00066F52">
        <w:t xml:space="preserve"> (</w:t>
      </w:r>
      <w:proofErr w:type="spellStart"/>
      <w:r w:rsidR="00066F52">
        <w:t>Lavrakas</w:t>
      </w:r>
      <w:proofErr w:type="spellEnd"/>
      <w:r w:rsidR="00066F52">
        <w:t>, 2008)</w:t>
      </w:r>
      <w:r>
        <w:t>. For example</w:t>
      </w:r>
      <w:r w:rsidRPr="00B83FA7" w:rsidR="002D6110">
        <w:t>,</w:t>
      </w:r>
      <w:r>
        <w:t xml:space="preserve"> </w:t>
      </w:r>
      <w:r w:rsidR="00576A8A">
        <w:t xml:space="preserve">a </w:t>
      </w:r>
      <w:r>
        <w:t>token of appreciation can offset cost</w:t>
      </w:r>
      <w:r w:rsidR="00576A8A">
        <w:t>s</w:t>
      </w:r>
      <w:r>
        <w:t xml:space="preserve"> </w:t>
      </w:r>
      <w:r w:rsidR="007C240B">
        <w:t>such as</w:t>
      </w:r>
      <w:r>
        <w:t xml:space="preserve"> </w:t>
      </w:r>
      <w:r w:rsidRPr="00B83FA7" w:rsidR="002D6110">
        <w:t xml:space="preserve">childcare that may be needed while respondents complete the interview, </w:t>
      </w:r>
      <w:r>
        <w:t xml:space="preserve">travel to the interview site if the interview is </w:t>
      </w:r>
      <w:r w:rsidR="007C240B">
        <w:t xml:space="preserve">held </w:t>
      </w:r>
      <w:r>
        <w:t>in</w:t>
      </w:r>
      <w:r w:rsidR="007C240B">
        <w:t xml:space="preserve"> </w:t>
      </w:r>
      <w:r>
        <w:t xml:space="preserve">person, </w:t>
      </w:r>
      <w:r w:rsidRPr="00B83FA7" w:rsidR="002D6110">
        <w:t xml:space="preserve">cell phone and data usage costs associated </w:t>
      </w:r>
      <w:r w:rsidR="007C240B">
        <w:t xml:space="preserve">with </w:t>
      </w:r>
      <w:r>
        <w:t>recruitment and scheduling,</w:t>
      </w:r>
      <w:r w:rsidRPr="00B83FA7" w:rsidR="002D6110">
        <w:t xml:space="preserve"> </w:t>
      </w:r>
      <w:r w:rsidR="00576A8A">
        <w:t>and/or</w:t>
      </w:r>
      <w:r w:rsidRPr="00B83FA7" w:rsidR="009B6CDD">
        <w:t xml:space="preserve"> </w:t>
      </w:r>
      <w:r>
        <w:t xml:space="preserve">cell phone and data usage costs for the interview itself if it is conducted </w:t>
      </w:r>
      <w:r w:rsidR="007C240B">
        <w:t>by telephone</w:t>
      </w:r>
      <w:r>
        <w:t xml:space="preserve">. </w:t>
      </w:r>
      <w:r w:rsidR="007C240B">
        <w:t>T</w:t>
      </w:r>
      <w:r w:rsidR="001125BD">
        <w:t>he token of appreciation is</w:t>
      </w:r>
      <w:r w:rsidR="007C240B">
        <w:t xml:space="preserve"> also</w:t>
      </w:r>
      <w:r w:rsidR="001125BD">
        <w:t xml:space="preserve"> offered because of the “opportunity cost” associated with participation</w:t>
      </w:r>
      <w:r w:rsidR="00724210">
        <w:t xml:space="preserve">; </w:t>
      </w:r>
      <w:r w:rsidR="001125BD">
        <w:t>respondents may need to forgo other sources of income as a consequence of participating in the interview</w:t>
      </w:r>
      <w:r w:rsidR="00066F52">
        <w:t xml:space="preserve"> (</w:t>
      </w:r>
      <w:r w:rsidRPr="005133E1" w:rsidR="005133E1">
        <w:t xml:space="preserve">U.S. Department of Health and Human Services, Office for Human Research Protections, </w:t>
      </w:r>
      <w:r w:rsidRPr="007C240B" w:rsidR="007C240B">
        <w:t>Secretary’s Advisory Committee on Human Research Protections</w:t>
      </w:r>
      <w:r w:rsidR="00066F52">
        <w:t>, 2019)</w:t>
      </w:r>
      <w:r w:rsidR="001125BD">
        <w:t xml:space="preserve">. </w:t>
      </w:r>
    </w:p>
    <w:p w:rsidR="009F26EB" w:rsidP="009F26EB" w:rsidRDefault="009F26EB" w14:paraId="3613A429" w14:textId="6F9804D8">
      <w:pPr>
        <w:pStyle w:val="Heading2-IPR"/>
      </w:pPr>
      <w:r w:rsidRPr="00577988">
        <w:t xml:space="preserve">Past </w:t>
      </w:r>
      <w:r w:rsidR="00C174BE">
        <w:t>OMB-Approved Studies</w:t>
      </w:r>
      <w:r w:rsidRPr="00577988" w:rsidR="000123D7">
        <w:t xml:space="preserve"> Using Tok</w:t>
      </w:r>
      <w:r w:rsidRPr="00577988">
        <w:t>en</w:t>
      </w:r>
      <w:r>
        <w:t>s</w:t>
      </w:r>
      <w:r w:rsidRPr="00577988">
        <w:t xml:space="preserve"> of </w:t>
      </w:r>
      <w:r w:rsidRPr="00577988" w:rsidR="000123D7">
        <w:t xml:space="preserve">Appreciation </w:t>
      </w:r>
    </w:p>
    <w:p w:rsidR="00636B95" w:rsidP="00C05E57" w:rsidRDefault="009F26EB" w14:paraId="40C865B7" w14:textId="1C5F92E8">
      <w:pPr>
        <w:pStyle w:val="BodyText-IPR"/>
      </w:pPr>
      <w:r w:rsidRPr="00D23E4F">
        <w:t xml:space="preserve">The study team </w:t>
      </w:r>
      <w:r w:rsidR="006215C1">
        <w:t>proposes</w:t>
      </w:r>
      <w:r w:rsidRPr="00D23E4F">
        <w:t xml:space="preserve"> </w:t>
      </w:r>
      <w:r w:rsidR="00615A3C">
        <w:t xml:space="preserve">providing </w:t>
      </w:r>
      <w:r w:rsidRPr="00D23E4F" w:rsidR="00615A3C">
        <w:t>a $</w:t>
      </w:r>
      <w:r w:rsidR="00615A3C">
        <w:t>3</w:t>
      </w:r>
      <w:r w:rsidRPr="00D23E4F" w:rsidR="00615A3C">
        <w:t xml:space="preserve">0 token of appreciation </w:t>
      </w:r>
      <w:r w:rsidR="00615A3C">
        <w:t xml:space="preserve">to </w:t>
      </w:r>
      <w:r w:rsidRPr="00D23E4F">
        <w:t xml:space="preserve">respondents </w:t>
      </w:r>
      <w:r w:rsidR="00EC1E09">
        <w:t>who complete</w:t>
      </w:r>
      <w:r w:rsidRPr="00D23E4F">
        <w:t xml:space="preserve"> the </w:t>
      </w:r>
      <w:r w:rsidR="00C174BE">
        <w:t>60</w:t>
      </w:r>
      <w:r>
        <w:t>-minute</w:t>
      </w:r>
      <w:r w:rsidR="00C174BE">
        <w:t xml:space="preserve"> in-person or</w:t>
      </w:r>
      <w:r>
        <w:t xml:space="preserve"> </w:t>
      </w:r>
      <w:r w:rsidRPr="00D23E4F">
        <w:t>telephone intervi</w:t>
      </w:r>
      <w:r w:rsidR="00205E70">
        <w:t>ew</w:t>
      </w:r>
      <w:r>
        <w:t>,</w:t>
      </w:r>
      <w:r w:rsidRPr="00D23E4F">
        <w:t xml:space="preserve"> </w:t>
      </w:r>
      <w:r>
        <w:t>an amount</w:t>
      </w:r>
      <w:r w:rsidRPr="00D23E4F">
        <w:t xml:space="preserve"> based </w:t>
      </w:r>
      <w:r w:rsidR="006D7CB5">
        <w:t xml:space="preserve">on tokens of appreciation </w:t>
      </w:r>
      <w:r w:rsidRPr="00D23E4F">
        <w:t>that were</w:t>
      </w:r>
      <w:r w:rsidR="00615A3C">
        <w:t xml:space="preserve"> </w:t>
      </w:r>
      <w:r w:rsidRPr="00D23E4F">
        <w:t xml:space="preserve">approved for similar data collections in recent studies with similar </w:t>
      </w:r>
      <w:r>
        <w:t>burden</w:t>
      </w:r>
      <w:r w:rsidR="00C174BE">
        <w:t xml:space="preserve">. </w:t>
      </w:r>
    </w:p>
    <w:p w:rsidR="00636B95" w:rsidP="00636B95" w:rsidRDefault="004403D4" w14:paraId="3EB026DD" w14:textId="1F64E49C">
      <w:pPr>
        <w:pStyle w:val="BulletsRed-IPR"/>
      </w:pPr>
      <w:r>
        <w:t>T</w:t>
      </w:r>
      <w:r w:rsidRPr="009C0B59" w:rsidR="009F26EB">
        <w:t>he Evaluation of the Pilot Project for Canned, Frozen, or Dried Fruits and Vegetables in the Fresh Fruit and Vegetable Program for FNS (OMB Control Number 0584-0598)</w:t>
      </w:r>
      <w:r>
        <w:t xml:space="preserve"> offered</w:t>
      </w:r>
      <w:r w:rsidRPr="009C0B59" w:rsidR="009F26EB">
        <w:t xml:space="preserve"> </w:t>
      </w:r>
      <w:r w:rsidRPr="009C0B59" w:rsidR="004845F1">
        <w:t>community members</w:t>
      </w:r>
      <w:r w:rsidR="004845F1">
        <w:t xml:space="preserve"> </w:t>
      </w:r>
      <w:r w:rsidR="00615A3C">
        <w:t xml:space="preserve">a </w:t>
      </w:r>
      <w:r w:rsidRPr="009C0B59" w:rsidR="009F26EB">
        <w:t xml:space="preserve">$50 token of appreciation to </w:t>
      </w:r>
      <w:r w:rsidR="004845F1">
        <w:t>complete</w:t>
      </w:r>
      <w:r w:rsidRPr="009C0B59" w:rsidR="009F26EB">
        <w:t xml:space="preserve"> </w:t>
      </w:r>
      <w:r w:rsidR="004845F1">
        <w:t xml:space="preserve">a </w:t>
      </w:r>
      <w:r w:rsidRPr="009C0B59" w:rsidR="009F26EB">
        <w:t xml:space="preserve">1-hour telephone interview. </w:t>
      </w:r>
    </w:p>
    <w:p w:rsidR="009F26EB" w:rsidP="00636B95" w:rsidRDefault="004403D4" w14:paraId="2A8D9728" w14:textId="7189702C">
      <w:pPr>
        <w:pStyle w:val="BulletsRed-IPR"/>
      </w:pPr>
      <w:r>
        <w:t>T</w:t>
      </w:r>
      <w:r w:rsidR="00636B95">
        <w:t>he Assessment of the Barriers that Constrain the Adequacy of SNAP Allotments (OMB Control Number 0584-0631)</w:t>
      </w:r>
      <w:r>
        <w:t xml:space="preserve"> offered </w:t>
      </w:r>
      <w:r w:rsidR="004845F1">
        <w:t xml:space="preserve">SNAP participants </w:t>
      </w:r>
      <w:r w:rsidR="00615A3C">
        <w:t xml:space="preserve">a </w:t>
      </w:r>
      <w:r w:rsidR="00636B95">
        <w:t>$7</w:t>
      </w:r>
      <w:r w:rsidR="004F5067">
        <w:t>5</w:t>
      </w:r>
      <w:r w:rsidR="00636B95">
        <w:t xml:space="preserve"> token of appreciation to </w:t>
      </w:r>
      <w:r w:rsidR="004845F1">
        <w:t xml:space="preserve">complete </w:t>
      </w:r>
      <w:r w:rsidR="00636B95">
        <w:t xml:space="preserve">a 1-hour in-person interview in their homes. </w:t>
      </w:r>
    </w:p>
    <w:p w:rsidR="00E16334" w:rsidP="00636B95" w:rsidRDefault="00E16334" w14:paraId="2C20C6C8" w14:textId="40A13EE5">
      <w:pPr>
        <w:pStyle w:val="BulletsRed-IPR"/>
      </w:pPr>
      <w:r>
        <w:t xml:space="preserve">The Migrant and Seasonal Head Start Study (OMB Control Number 0970-0493) offered </w:t>
      </w:r>
      <w:r w:rsidR="002B70D8">
        <w:t xml:space="preserve">parents </w:t>
      </w:r>
      <w:r>
        <w:t xml:space="preserve">a $30 token of appreciation to </w:t>
      </w:r>
      <w:r w:rsidR="002B70D8">
        <w:t>complete</w:t>
      </w:r>
      <w:r>
        <w:t xml:space="preserve"> a 1-hour interview. </w:t>
      </w:r>
    </w:p>
    <w:p w:rsidR="008D29F4" w:rsidP="00636B95" w:rsidRDefault="004403D4" w14:paraId="0CA2ED7A" w14:textId="27B3CED5">
      <w:pPr>
        <w:pStyle w:val="BulletsRed-IPR"/>
      </w:pPr>
      <w:r>
        <w:t>T</w:t>
      </w:r>
      <w:r w:rsidR="00526D3E">
        <w:t>he B</w:t>
      </w:r>
      <w:r w:rsidR="008D29F4">
        <w:t xml:space="preserve">uilding </w:t>
      </w:r>
      <w:r w:rsidR="00526D3E">
        <w:t>E</w:t>
      </w:r>
      <w:r w:rsidR="008D29F4">
        <w:t xml:space="preserve">vidence on </w:t>
      </w:r>
      <w:r w:rsidR="00526D3E">
        <w:t>E</w:t>
      </w:r>
      <w:r w:rsidR="008D29F4">
        <w:t xml:space="preserve">mployment </w:t>
      </w:r>
      <w:r w:rsidR="00526D3E">
        <w:t>S</w:t>
      </w:r>
      <w:r w:rsidR="008D29F4">
        <w:t xml:space="preserve">trategies for </w:t>
      </w:r>
      <w:r w:rsidR="00526D3E">
        <w:t>L</w:t>
      </w:r>
      <w:r w:rsidR="008D29F4">
        <w:t xml:space="preserve">ow </w:t>
      </w:r>
      <w:r w:rsidR="00526D3E">
        <w:t>I</w:t>
      </w:r>
      <w:r w:rsidR="008D29F4">
        <w:t xml:space="preserve">ncome </w:t>
      </w:r>
      <w:r w:rsidR="00526D3E">
        <w:t>F</w:t>
      </w:r>
      <w:r w:rsidR="008D29F4">
        <w:t>amilies</w:t>
      </w:r>
      <w:r>
        <w:t xml:space="preserve"> (OMB Control Number 0970-0537)</w:t>
      </w:r>
      <w:r w:rsidR="004845F1">
        <w:t xml:space="preserve"> </w:t>
      </w:r>
      <w:r>
        <w:t xml:space="preserve">offered </w:t>
      </w:r>
      <w:r w:rsidR="002B70D8">
        <w:t xml:space="preserve">respondents </w:t>
      </w:r>
      <w:r>
        <w:t>a $50 token of appreciation to</w:t>
      </w:r>
      <w:r w:rsidR="00526D3E">
        <w:t xml:space="preserve"> participat</w:t>
      </w:r>
      <w:r w:rsidR="002B70D8">
        <w:t>e</w:t>
      </w:r>
      <w:r w:rsidR="00526D3E">
        <w:t xml:space="preserve"> in a 90-minute interview.</w:t>
      </w:r>
    </w:p>
    <w:p w:rsidRPr="008D29F4" w:rsidR="008D29F4" w:rsidP="00636B95" w:rsidRDefault="00895222" w14:paraId="6C81359F" w14:textId="51FC0CCE">
      <w:pPr>
        <w:pStyle w:val="BulletsRed-IPR"/>
      </w:pPr>
      <w:r>
        <w:rPr>
          <w:szCs w:val="22"/>
        </w:rPr>
        <w:t>The Evaluation of SNAP Employment and Training Pilots (OMB Control Number 0584-0604) offered p</w:t>
      </w:r>
      <w:r w:rsidR="008D29F4">
        <w:rPr>
          <w:szCs w:val="22"/>
        </w:rPr>
        <w:t xml:space="preserve">articipants </w:t>
      </w:r>
      <w:r w:rsidR="00615A3C">
        <w:rPr>
          <w:szCs w:val="22"/>
        </w:rPr>
        <w:t xml:space="preserve">a </w:t>
      </w:r>
      <w:r w:rsidR="008D29F4">
        <w:rPr>
          <w:szCs w:val="22"/>
        </w:rPr>
        <w:t>$50</w:t>
      </w:r>
      <w:r w:rsidR="00615A3C">
        <w:rPr>
          <w:szCs w:val="22"/>
        </w:rPr>
        <w:t xml:space="preserve"> token of appreciation</w:t>
      </w:r>
      <w:r w:rsidR="008D29F4">
        <w:rPr>
          <w:szCs w:val="22"/>
        </w:rPr>
        <w:t xml:space="preserve"> </w:t>
      </w:r>
      <w:r>
        <w:rPr>
          <w:szCs w:val="22"/>
        </w:rPr>
        <w:t xml:space="preserve">to complete a </w:t>
      </w:r>
      <w:r w:rsidR="008D29F4">
        <w:rPr>
          <w:szCs w:val="22"/>
        </w:rPr>
        <w:t>90-minute interview</w:t>
      </w:r>
      <w:r>
        <w:rPr>
          <w:szCs w:val="22"/>
        </w:rPr>
        <w:t>.</w:t>
      </w:r>
      <w:r w:rsidR="008D29F4">
        <w:rPr>
          <w:szCs w:val="22"/>
        </w:rPr>
        <w:t xml:space="preserve"> </w:t>
      </w:r>
    </w:p>
    <w:p w:rsidRPr="009C0B59" w:rsidR="008D29F4" w:rsidP="008303FA" w:rsidRDefault="00895222" w14:paraId="7ED4F131" w14:textId="28C46451">
      <w:pPr>
        <w:pStyle w:val="BulletsRed-IPR"/>
        <w:spacing w:after="240"/>
      </w:pPr>
      <w:r>
        <w:rPr>
          <w:szCs w:val="22"/>
        </w:rPr>
        <w:t xml:space="preserve">The </w:t>
      </w:r>
      <w:r w:rsidR="00526D3E">
        <w:rPr>
          <w:szCs w:val="22"/>
        </w:rPr>
        <w:t>Family Options Study</w:t>
      </w:r>
      <w:r>
        <w:rPr>
          <w:szCs w:val="22"/>
        </w:rPr>
        <w:t xml:space="preserve"> </w:t>
      </w:r>
      <w:r w:rsidR="00B91D88">
        <w:rPr>
          <w:szCs w:val="22"/>
        </w:rPr>
        <w:t xml:space="preserve">(OMB Control Number 2528-0259) </w:t>
      </w:r>
      <w:r>
        <w:rPr>
          <w:szCs w:val="22"/>
        </w:rPr>
        <w:t>offered</w:t>
      </w:r>
      <w:r w:rsidR="00526D3E">
        <w:rPr>
          <w:szCs w:val="22"/>
        </w:rPr>
        <w:t xml:space="preserve"> </w:t>
      </w:r>
      <w:r w:rsidR="002B70D8">
        <w:rPr>
          <w:szCs w:val="22"/>
        </w:rPr>
        <w:t xml:space="preserve">participants </w:t>
      </w:r>
      <w:r>
        <w:rPr>
          <w:szCs w:val="22"/>
        </w:rPr>
        <w:t xml:space="preserve">a </w:t>
      </w:r>
      <w:r w:rsidR="00526D3E">
        <w:rPr>
          <w:szCs w:val="22"/>
        </w:rPr>
        <w:t xml:space="preserve">$50 token of appreciation to complete a </w:t>
      </w:r>
      <w:r w:rsidR="008D29F4">
        <w:rPr>
          <w:szCs w:val="22"/>
        </w:rPr>
        <w:t>60</w:t>
      </w:r>
      <w:r w:rsidR="00526D3E">
        <w:rPr>
          <w:szCs w:val="22"/>
        </w:rPr>
        <w:t>-</w:t>
      </w:r>
      <w:r w:rsidR="008D29F4">
        <w:rPr>
          <w:szCs w:val="22"/>
        </w:rPr>
        <w:t>min</w:t>
      </w:r>
      <w:r w:rsidR="00526D3E">
        <w:rPr>
          <w:szCs w:val="22"/>
        </w:rPr>
        <w:t>ute</w:t>
      </w:r>
      <w:r w:rsidR="008D29F4">
        <w:rPr>
          <w:szCs w:val="22"/>
        </w:rPr>
        <w:t xml:space="preserve"> survey</w:t>
      </w:r>
      <w:r w:rsidR="00526D3E">
        <w:rPr>
          <w:szCs w:val="22"/>
        </w:rPr>
        <w:t xml:space="preserve">. </w:t>
      </w:r>
    </w:p>
    <w:p w:rsidR="009866F2" w:rsidP="00C05E57" w:rsidRDefault="009866F2" w14:paraId="334AC97C" w14:textId="22663D92">
      <w:pPr>
        <w:pStyle w:val="BodyText-IPR"/>
      </w:pPr>
      <w:r w:rsidRPr="009C0B59">
        <w:t xml:space="preserve">The tokens of appreciation </w:t>
      </w:r>
      <w:r w:rsidRPr="009C0B59" w:rsidR="003E3790">
        <w:t xml:space="preserve">for the current study </w:t>
      </w:r>
      <w:r w:rsidRPr="009C0B59">
        <w:t xml:space="preserve">will be offered equally to all </w:t>
      </w:r>
      <w:r w:rsidR="00C174BE">
        <w:t>former State, county, or local staff who are recruited to participate in an interview</w:t>
      </w:r>
      <w:r w:rsidR="006D7CB5">
        <w:t xml:space="preserve">. The </w:t>
      </w:r>
      <w:r w:rsidRPr="009C0B59">
        <w:t>tokens of appreciation will not be targeted to specific subgroups, nor will they be used to convert refusals.</w:t>
      </w:r>
      <w:r w:rsidRPr="009C0B59" w:rsidR="00254EFB">
        <w:t xml:space="preserve"> </w:t>
      </w:r>
      <w:r w:rsidR="006215C1">
        <w:t>The tokens of appreciation will either</w:t>
      </w:r>
      <w:r w:rsidRPr="009C0B59">
        <w:t xml:space="preserve"> be mailed to respondents after they complete </w:t>
      </w:r>
      <w:r w:rsidR="006C1792">
        <w:t>the</w:t>
      </w:r>
      <w:r w:rsidR="006215C1">
        <w:t xml:space="preserve"> telephone</w:t>
      </w:r>
      <w:r w:rsidRPr="009C0B59">
        <w:t xml:space="preserve"> interview</w:t>
      </w:r>
      <w:r w:rsidR="006215C1">
        <w:t xml:space="preserve"> or given to respondent</w:t>
      </w:r>
      <w:r w:rsidR="00F11684">
        <w:t>s</w:t>
      </w:r>
      <w:r w:rsidR="006215C1">
        <w:t xml:space="preserve"> at the end of </w:t>
      </w:r>
      <w:r w:rsidR="006C1792">
        <w:t>the</w:t>
      </w:r>
      <w:r w:rsidR="006215C1">
        <w:t xml:space="preserve"> in-person interview</w:t>
      </w:r>
      <w:r w:rsidRPr="009C0B59">
        <w:t xml:space="preserve">. </w:t>
      </w:r>
    </w:p>
    <w:p w:rsidR="006215C1" w:rsidP="006215C1" w:rsidRDefault="006215C1" w14:paraId="1CAF3177" w14:textId="7F5AAE7C">
      <w:pPr>
        <w:pStyle w:val="Heading2-IPR"/>
      </w:pPr>
      <w:r>
        <w:t>Conclusion</w:t>
      </w:r>
    </w:p>
    <w:p w:rsidR="00C05E57" w:rsidP="00C05E57" w:rsidRDefault="001125BD" w14:paraId="50069907" w14:textId="523C6DFF">
      <w:pPr>
        <w:pStyle w:val="BodyText-IPR"/>
      </w:pPr>
      <w:r>
        <w:t xml:space="preserve">The </w:t>
      </w:r>
      <w:r w:rsidRPr="006D38F0" w:rsidR="002D6110">
        <w:t xml:space="preserve">planned tokens of appreciation </w:t>
      </w:r>
      <w:r>
        <w:t>for former State, county, or local staff</w:t>
      </w:r>
      <w:r w:rsidRPr="006D38F0" w:rsidR="002D6110">
        <w:t xml:space="preserve"> are designed to promote cooperation and improve data quality by minimizing nonresponse bias. </w:t>
      </w:r>
      <w:r>
        <w:t>While other strategies for limiting nonresponse will also be used, such as utilizing several outreach attempts</w:t>
      </w:r>
      <w:r w:rsidR="00C660F7">
        <w:t xml:space="preserve">, communicating the </w:t>
      </w:r>
      <w:r w:rsidR="00C660F7">
        <w:lastRenderedPageBreak/>
        <w:t xml:space="preserve">importance of the study, or </w:t>
      </w:r>
      <w:r>
        <w:t xml:space="preserve">asking current State agency staff </w:t>
      </w:r>
      <w:r w:rsidR="00576A8A">
        <w:t xml:space="preserve">to facilitate </w:t>
      </w:r>
      <w:r>
        <w:t>an introduction when possible, token</w:t>
      </w:r>
      <w:r w:rsidR="00724210">
        <w:t>s</w:t>
      </w:r>
      <w:r>
        <w:t xml:space="preserve"> of appreciation are critical to ensuring the participation of key former staff. Without the participation of these former staff, </w:t>
      </w:r>
      <w:r w:rsidR="00F11684">
        <w:t>the</w:t>
      </w:r>
      <w:r w:rsidR="007E4C83">
        <w:t xml:space="preserve"> </w:t>
      </w:r>
      <w:r w:rsidR="00636B95">
        <w:t xml:space="preserve">analysis </w:t>
      </w:r>
      <w:r w:rsidR="007E4C83">
        <w:t xml:space="preserve">and determination of best practices for </w:t>
      </w:r>
      <w:r w:rsidR="00636B95">
        <w:t xml:space="preserve">D-SNAP planning and operations </w:t>
      </w:r>
      <w:r w:rsidR="00576A8A">
        <w:t xml:space="preserve">may </w:t>
      </w:r>
      <w:r w:rsidR="00636B95">
        <w:t>be severely hampered</w:t>
      </w:r>
      <w:r w:rsidR="009D4D9C">
        <w:t>,</w:t>
      </w:r>
      <w:r w:rsidR="00636B95">
        <w:t xml:space="preserve"> and three of the five objectives of the study </w:t>
      </w:r>
      <w:r w:rsidR="00576A8A">
        <w:t xml:space="preserve">may </w:t>
      </w:r>
      <w:r w:rsidR="00636B95">
        <w:t xml:space="preserve">not be </w:t>
      </w:r>
      <w:r w:rsidR="00576A8A">
        <w:t xml:space="preserve">sufficiently </w:t>
      </w:r>
      <w:r w:rsidR="00636B95">
        <w:t xml:space="preserve">met. </w:t>
      </w:r>
      <w:r w:rsidR="00C05E57">
        <w:br w:type="page"/>
      </w:r>
    </w:p>
    <w:p w:rsidRPr="00BD6628" w:rsidR="00787826" w:rsidP="00787826" w:rsidRDefault="00787826" w14:paraId="771949D6" w14:textId="14B53B97">
      <w:pPr>
        <w:pStyle w:val="Heading1-IPR"/>
      </w:pPr>
      <w:r w:rsidRPr="00BD6628">
        <w:lastRenderedPageBreak/>
        <w:t>References</w:t>
      </w:r>
    </w:p>
    <w:p w:rsidRPr="004F5067" w:rsidR="00F5310C" w:rsidP="00873029" w:rsidRDefault="00F5310C" w14:paraId="73E26701" w14:textId="4DB76761">
      <w:pPr>
        <w:pStyle w:val="References-IPR"/>
        <w:rPr>
          <w:color w:val="000000"/>
        </w:rPr>
      </w:pPr>
      <w:r w:rsidRPr="004F5067">
        <w:rPr>
          <w:shd w:val="clear" w:color="auto" w:fill="FFFFFF"/>
        </w:rPr>
        <w:t>Brick, J. M., &amp; Williams, D. (2013). Explaining rising nonresponse rates in cross-sectional surveys. </w:t>
      </w:r>
      <w:r w:rsidRPr="004F5067">
        <w:rPr>
          <w:i/>
          <w:iCs/>
          <w:shd w:val="clear" w:color="auto" w:fill="FFFFFF"/>
        </w:rPr>
        <w:t xml:space="preserve">The ANNALS of the American </w:t>
      </w:r>
      <w:r w:rsidRPr="004F5067" w:rsidR="006D32C0">
        <w:rPr>
          <w:i/>
          <w:iCs/>
          <w:shd w:val="clear" w:color="auto" w:fill="FFFFFF"/>
        </w:rPr>
        <w:t>Academy of Political and Social Science</w:t>
      </w:r>
      <w:r w:rsidRPr="004F5067">
        <w:rPr>
          <w:shd w:val="clear" w:color="auto" w:fill="FFFFFF"/>
        </w:rPr>
        <w:t>, </w:t>
      </w:r>
      <w:r w:rsidRPr="004F5067">
        <w:rPr>
          <w:i/>
          <w:iCs/>
          <w:shd w:val="clear" w:color="auto" w:fill="FFFFFF"/>
        </w:rPr>
        <w:t>645</w:t>
      </w:r>
      <w:r w:rsidRPr="004F5067">
        <w:rPr>
          <w:shd w:val="clear" w:color="auto" w:fill="FFFFFF"/>
        </w:rPr>
        <w:t>(1), 36</w:t>
      </w:r>
      <w:r w:rsidRPr="004F5067" w:rsidR="006D32C0">
        <w:rPr>
          <w:shd w:val="clear" w:color="auto" w:fill="FFFFFF"/>
        </w:rPr>
        <w:t>–</w:t>
      </w:r>
      <w:r w:rsidRPr="004F5067">
        <w:rPr>
          <w:shd w:val="clear" w:color="auto" w:fill="FFFFFF"/>
        </w:rPr>
        <w:t>59.</w:t>
      </w:r>
    </w:p>
    <w:p w:rsidRPr="004F5067" w:rsidR="00F5310C" w:rsidP="00873029" w:rsidRDefault="00F5310C" w14:paraId="4575D03F" w14:textId="2855B696">
      <w:pPr>
        <w:pStyle w:val="References-IPR"/>
        <w:rPr>
          <w:color w:val="000000"/>
        </w:rPr>
      </w:pPr>
      <w:r w:rsidRPr="004F5067">
        <w:t>Curtin, R., Presser, S., &amp; Singer, E. (2005). Changes in telephone survey nonresponse over the past quarter century. </w:t>
      </w:r>
      <w:r w:rsidRPr="004F5067">
        <w:rPr>
          <w:i/>
          <w:iCs/>
        </w:rPr>
        <w:t xml:space="preserve">Public </w:t>
      </w:r>
      <w:r w:rsidRPr="004F5067" w:rsidR="006D32C0">
        <w:rPr>
          <w:i/>
          <w:iCs/>
        </w:rPr>
        <w:t>Opinion Quarterly</w:t>
      </w:r>
      <w:r w:rsidRPr="004F5067">
        <w:t>, </w:t>
      </w:r>
      <w:r w:rsidRPr="004F5067">
        <w:rPr>
          <w:i/>
          <w:iCs/>
        </w:rPr>
        <w:t>69</w:t>
      </w:r>
      <w:r w:rsidRPr="004F5067">
        <w:t>(1), 87</w:t>
      </w:r>
      <w:r w:rsidRPr="004F5067" w:rsidR="006D32C0">
        <w:t>–</w:t>
      </w:r>
      <w:r w:rsidRPr="004F5067">
        <w:t>98</w:t>
      </w:r>
      <w:r w:rsidRPr="004F5067">
        <w:rPr>
          <w:shd w:val="clear" w:color="auto" w:fill="F8F8F8"/>
        </w:rPr>
        <w:t>.</w:t>
      </w:r>
    </w:p>
    <w:p w:rsidRPr="004F5067" w:rsidR="006D5E8E" w:rsidP="00787826" w:rsidRDefault="006D5E8E" w14:paraId="57C67DA8" w14:textId="7354BFE0">
      <w:pPr>
        <w:pStyle w:val="References-IPR"/>
      </w:pPr>
      <w:proofErr w:type="spellStart"/>
      <w:r w:rsidRPr="004F5067">
        <w:t>Dillman</w:t>
      </w:r>
      <w:proofErr w:type="spellEnd"/>
      <w:r w:rsidRPr="004F5067">
        <w:t xml:space="preserve">, D. </w:t>
      </w:r>
      <w:r w:rsidRPr="004F5067" w:rsidR="00BE404F">
        <w:t>(</w:t>
      </w:r>
      <w:r w:rsidRPr="004F5067">
        <w:t>2000</w:t>
      </w:r>
      <w:r w:rsidRPr="004F5067" w:rsidR="00BE404F">
        <w:t>)</w:t>
      </w:r>
      <w:r w:rsidRPr="004F5067">
        <w:t xml:space="preserve">. </w:t>
      </w:r>
      <w:r w:rsidRPr="004F5067">
        <w:rPr>
          <w:i/>
        </w:rPr>
        <w:t xml:space="preserve">Mail and </w:t>
      </w:r>
      <w:r w:rsidRPr="004F5067" w:rsidR="00BE404F">
        <w:rPr>
          <w:i/>
        </w:rPr>
        <w:t>internet surveys</w:t>
      </w:r>
      <w:r w:rsidRPr="004F5067">
        <w:rPr>
          <w:i/>
        </w:rPr>
        <w:t xml:space="preserve">: The </w:t>
      </w:r>
      <w:r w:rsidRPr="004F5067" w:rsidR="00BE404F">
        <w:rPr>
          <w:i/>
        </w:rPr>
        <w:t>tailored design method</w:t>
      </w:r>
      <w:r w:rsidRPr="004F5067" w:rsidR="00BE404F">
        <w:t xml:space="preserve"> (</w:t>
      </w:r>
      <w:r w:rsidRPr="004F5067">
        <w:t xml:space="preserve">2nd </w:t>
      </w:r>
      <w:r w:rsidRPr="004F5067" w:rsidR="00BE404F">
        <w:t>e</w:t>
      </w:r>
      <w:r w:rsidRPr="004F5067">
        <w:t>d</w:t>
      </w:r>
      <w:r w:rsidRPr="004F5067" w:rsidR="00BE404F">
        <w:t>.)</w:t>
      </w:r>
      <w:r w:rsidRPr="004F5067">
        <w:t>. John Wiley &amp; Sons.</w:t>
      </w:r>
    </w:p>
    <w:p w:rsidRPr="004F5067" w:rsidR="006D5E8E" w:rsidP="00787826" w:rsidRDefault="006D5E8E" w14:paraId="2CD0E002" w14:textId="1F6561B1">
      <w:pPr>
        <w:pStyle w:val="References-IPR"/>
      </w:pPr>
      <w:r w:rsidRPr="004F5067">
        <w:t xml:space="preserve">Groves, R., Singer, E., &amp; Corning, A. (2000). Leverage-saliency theory of survey participation: description and an illustration. </w:t>
      </w:r>
      <w:r w:rsidRPr="004F5067">
        <w:rPr>
          <w:i/>
        </w:rPr>
        <w:t>Public Opinion Quarterly. 64</w:t>
      </w:r>
      <w:r w:rsidRPr="004F5067">
        <w:t>(3)</w:t>
      </w:r>
      <w:r w:rsidRPr="004F5067" w:rsidR="002B554C">
        <w:t>,</w:t>
      </w:r>
      <w:r w:rsidRPr="004F5067">
        <w:t xml:space="preserve"> 299</w:t>
      </w:r>
      <w:r w:rsidRPr="004F5067" w:rsidR="002B554C">
        <w:t>–</w:t>
      </w:r>
      <w:r w:rsidRPr="004F5067">
        <w:t>308.</w:t>
      </w:r>
    </w:p>
    <w:p w:rsidR="006D5E8E" w:rsidP="00787826" w:rsidRDefault="006D5E8E" w14:paraId="642E75A1" w14:textId="5A06CB57">
      <w:pPr>
        <w:pStyle w:val="References-IPR"/>
      </w:pPr>
      <w:r w:rsidRPr="004F5067">
        <w:t>Groves, R.</w:t>
      </w:r>
      <w:r w:rsidRPr="004F5067" w:rsidR="00CD52CC">
        <w:t xml:space="preserve"> </w:t>
      </w:r>
      <w:r w:rsidRPr="004F5067">
        <w:t>M., Couper, M.</w:t>
      </w:r>
      <w:r w:rsidRPr="004F5067" w:rsidR="00CD52CC">
        <w:t xml:space="preserve"> </w:t>
      </w:r>
      <w:r w:rsidRPr="004F5067">
        <w:t>P., Presser, S., Singer, E., Tourangeau, R., Acosta, G., &amp; Nelson, L. (2006)</w:t>
      </w:r>
      <w:r w:rsidR="00576A8A">
        <w:t>.</w:t>
      </w:r>
      <w:r w:rsidRPr="004F5067">
        <w:t xml:space="preserve"> Experiments in </w:t>
      </w:r>
      <w:r w:rsidRPr="004F5067" w:rsidR="007B35AE">
        <w:t xml:space="preserve">producing nonresponse </w:t>
      </w:r>
      <w:r w:rsidRPr="004F5067">
        <w:t>bias.</w:t>
      </w:r>
      <w:r w:rsidRPr="004F5067" w:rsidR="003E3790">
        <w:t xml:space="preserve"> </w:t>
      </w:r>
      <w:r w:rsidRPr="004F5067">
        <w:rPr>
          <w:i/>
        </w:rPr>
        <w:t>Public Opinion Quarterly</w:t>
      </w:r>
      <w:r w:rsidRPr="004F5067" w:rsidR="007B35AE">
        <w:rPr>
          <w:i/>
        </w:rPr>
        <w:t>,</w:t>
      </w:r>
      <w:r w:rsidRPr="004F5067">
        <w:rPr>
          <w:i/>
        </w:rPr>
        <w:t xml:space="preserve"> 70</w:t>
      </w:r>
      <w:r w:rsidRPr="004F5067">
        <w:t>(5)</w:t>
      </w:r>
      <w:r w:rsidRPr="004F5067" w:rsidR="007B35AE">
        <w:t>,</w:t>
      </w:r>
      <w:r w:rsidRPr="004F5067">
        <w:t xml:space="preserve"> 720</w:t>
      </w:r>
      <w:r w:rsidRPr="004F5067" w:rsidR="007B35AE">
        <w:t>–</w:t>
      </w:r>
      <w:r w:rsidRPr="004F5067">
        <w:t>736</w:t>
      </w:r>
      <w:r w:rsidRPr="004F5067" w:rsidR="007B35AE">
        <w:t>.</w:t>
      </w:r>
    </w:p>
    <w:p w:rsidR="00EA03C0" w:rsidP="00787826" w:rsidRDefault="00066F52" w14:paraId="7A763DB9" w14:textId="0993C010">
      <w:pPr>
        <w:pStyle w:val="References-IPR"/>
      </w:pPr>
      <w:proofErr w:type="spellStart"/>
      <w:r w:rsidRPr="00066F52">
        <w:t>Lavrakas</w:t>
      </w:r>
      <w:proofErr w:type="spellEnd"/>
      <w:r w:rsidRPr="00066F52">
        <w:t>, P. J. (2008). </w:t>
      </w:r>
      <w:r w:rsidRPr="00066F52">
        <w:rPr>
          <w:i/>
          <w:iCs/>
        </w:rPr>
        <w:t>Encyclopedia of survey research methods</w:t>
      </w:r>
      <w:r w:rsidRPr="00066F52">
        <w:t xml:space="preserve">. Sage Publications. </w:t>
      </w:r>
      <w:r w:rsidRPr="00EA03C0" w:rsidR="00EA03C0">
        <w:t>http://dx.doi.org/10.4135/9781412963947</w:t>
      </w:r>
    </w:p>
    <w:p w:rsidRPr="004F5067" w:rsidR="006D5E8E" w:rsidP="00787826" w:rsidRDefault="006D5E8E" w14:paraId="705B569B" w14:textId="3B59AE08">
      <w:pPr>
        <w:pStyle w:val="References-IPR"/>
      </w:pPr>
      <w:r w:rsidRPr="004F5067">
        <w:t xml:space="preserve">Mercer, A., </w:t>
      </w:r>
      <w:proofErr w:type="spellStart"/>
      <w:r w:rsidRPr="004F5067">
        <w:t>Caporaso</w:t>
      </w:r>
      <w:proofErr w:type="spellEnd"/>
      <w:r w:rsidRPr="004F5067">
        <w:t>, A., Cantor, D., &amp; Townsend, R. (2015).</w:t>
      </w:r>
      <w:r w:rsidRPr="004F5067" w:rsidR="003E3790">
        <w:t xml:space="preserve"> </w:t>
      </w:r>
      <w:r w:rsidRPr="004F5067">
        <w:t>How much gets you how much? Monetary incentives and response rates in household surveys.</w:t>
      </w:r>
      <w:r w:rsidRPr="004F5067" w:rsidR="003E3790">
        <w:t xml:space="preserve"> </w:t>
      </w:r>
      <w:r w:rsidRPr="004F5067">
        <w:rPr>
          <w:i/>
        </w:rPr>
        <w:t>Public Opinion Quarterly, 79</w:t>
      </w:r>
      <w:r w:rsidRPr="004F5067" w:rsidR="0079596B">
        <w:rPr>
          <w:i/>
        </w:rPr>
        <w:t>,</w:t>
      </w:r>
      <w:r w:rsidRPr="004F5067" w:rsidR="0079596B">
        <w:t xml:space="preserve"> </w:t>
      </w:r>
      <w:r w:rsidRPr="004F5067">
        <w:t>105</w:t>
      </w:r>
      <w:r w:rsidRPr="004F5067" w:rsidR="0079596B">
        <w:t>–</w:t>
      </w:r>
      <w:r w:rsidRPr="004F5067">
        <w:t>129.</w:t>
      </w:r>
    </w:p>
    <w:p w:rsidRPr="004F5067" w:rsidR="006D5E8E" w:rsidP="00787826" w:rsidRDefault="006D5E8E" w14:paraId="7B1660AE" w14:textId="6CD80719">
      <w:pPr>
        <w:pStyle w:val="References-IPR"/>
      </w:pPr>
      <w:r w:rsidRPr="004F5067">
        <w:t>Messer, B.</w:t>
      </w:r>
      <w:r w:rsidRPr="004F5067" w:rsidR="0079596B">
        <w:t>, &amp;</w:t>
      </w:r>
      <w:r w:rsidRPr="004F5067">
        <w:t xml:space="preserve"> </w:t>
      </w:r>
      <w:proofErr w:type="spellStart"/>
      <w:r w:rsidRPr="004F5067">
        <w:t>Dillman</w:t>
      </w:r>
      <w:proofErr w:type="spellEnd"/>
      <w:r w:rsidRPr="004F5067">
        <w:t>, D. (2011).</w:t>
      </w:r>
      <w:r w:rsidRPr="004F5067" w:rsidR="003E3790">
        <w:t xml:space="preserve"> </w:t>
      </w:r>
      <w:r w:rsidRPr="004F5067">
        <w:t xml:space="preserve">Surveying the </w:t>
      </w:r>
      <w:proofErr w:type="gramStart"/>
      <w:r w:rsidRPr="004F5067">
        <w:t>general public</w:t>
      </w:r>
      <w:proofErr w:type="gramEnd"/>
      <w:r w:rsidRPr="004F5067">
        <w:t xml:space="preserve"> over the internet using address-based sampling and mail contact procedures. </w:t>
      </w:r>
      <w:r w:rsidRPr="004F5067">
        <w:rPr>
          <w:i/>
        </w:rPr>
        <w:t>Public Opinion Quarterly, 75</w:t>
      </w:r>
      <w:r w:rsidRPr="004F5067" w:rsidR="0079596B">
        <w:rPr>
          <w:i/>
        </w:rPr>
        <w:t>,</w:t>
      </w:r>
      <w:r w:rsidRPr="004F5067" w:rsidR="0079596B">
        <w:t xml:space="preserve"> </w:t>
      </w:r>
      <w:r w:rsidRPr="004F5067">
        <w:t>429</w:t>
      </w:r>
      <w:r w:rsidRPr="004F5067" w:rsidR="0079596B">
        <w:t>–</w:t>
      </w:r>
      <w:r w:rsidRPr="004F5067">
        <w:t>457.</w:t>
      </w:r>
    </w:p>
    <w:p w:rsidRPr="004F5067" w:rsidR="006D5E8E" w:rsidP="00787826" w:rsidRDefault="006D5E8E" w14:paraId="1899C59C" w14:textId="63A6BC86">
      <w:pPr>
        <w:pStyle w:val="References-IPR"/>
      </w:pPr>
      <w:r w:rsidRPr="004F5067">
        <w:t xml:space="preserve">Singer, E. </w:t>
      </w:r>
      <w:r w:rsidRPr="004F5067" w:rsidR="00BB1261">
        <w:t>(</w:t>
      </w:r>
      <w:r w:rsidRPr="004F5067">
        <w:t>2006</w:t>
      </w:r>
      <w:r w:rsidRPr="004F5067" w:rsidR="00BB1261">
        <w:t>)</w:t>
      </w:r>
      <w:r w:rsidRPr="004F5067">
        <w:t xml:space="preserve">. Introduction: Nonresponse </w:t>
      </w:r>
      <w:r w:rsidRPr="004F5067" w:rsidR="00BB1261">
        <w:t>bias in household surveys</w:t>
      </w:r>
      <w:r w:rsidRPr="004F5067">
        <w:t xml:space="preserve">. </w:t>
      </w:r>
      <w:r w:rsidRPr="004F5067">
        <w:rPr>
          <w:i/>
        </w:rPr>
        <w:t>Public Opinion Quarterly, 70</w:t>
      </w:r>
      <w:r w:rsidRPr="004F5067">
        <w:t>(5)</w:t>
      </w:r>
      <w:r w:rsidRPr="004F5067" w:rsidR="00BB1261">
        <w:t>,</w:t>
      </w:r>
      <w:r w:rsidRPr="004F5067">
        <w:t xml:space="preserve"> 637</w:t>
      </w:r>
      <w:r w:rsidRPr="004F5067" w:rsidR="00BB1261">
        <w:t>–</w:t>
      </w:r>
      <w:r w:rsidRPr="004F5067">
        <w:t>645.</w:t>
      </w:r>
    </w:p>
    <w:p w:rsidR="007C6C47" w:rsidP="007C6C47" w:rsidRDefault="007C6C47" w14:paraId="39EA227A" w14:textId="77777777">
      <w:pPr>
        <w:pStyle w:val="References-IPR"/>
      </w:pPr>
      <w:r w:rsidRPr="004F5067">
        <w:t xml:space="preserve">Singer, E., &amp; </w:t>
      </w:r>
      <w:proofErr w:type="spellStart"/>
      <w:r w:rsidRPr="004F5067">
        <w:t>Kulka</w:t>
      </w:r>
      <w:proofErr w:type="spellEnd"/>
      <w:r w:rsidRPr="004F5067">
        <w:t xml:space="preserve">, R. A. (2002). Paying respondents for survey participation. In M. Ver Ploeg, R. A. Moffitt, &amp; C. F. </w:t>
      </w:r>
      <w:proofErr w:type="spellStart"/>
      <w:r w:rsidRPr="004F5067">
        <w:t>Citro</w:t>
      </w:r>
      <w:proofErr w:type="spellEnd"/>
      <w:r w:rsidRPr="004F5067">
        <w:t xml:space="preserve">, Committee on National Statistics, Division of Behavioral and Social Sciences and Education (Eds.), </w:t>
      </w:r>
      <w:r w:rsidRPr="004F5067">
        <w:rPr>
          <w:i/>
        </w:rPr>
        <w:t>Studies of welfare populations: Data collection and research issues. Panel on data and methods for measuring the effects of changes in social welfare programs</w:t>
      </w:r>
      <w:r w:rsidRPr="004F5067">
        <w:t xml:space="preserve"> (pp. 105–128).  National Academy Press.</w:t>
      </w:r>
    </w:p>
    <w:p w:rsidRPr="004F5067" w:rsidR="006D5E8E" w:rsidP="00787826" w:rsidRDefault="006D5E8E" w14:paraId="5E3EA632" w14:textId="59319BAD">
      <w:pPr>
        <w:pStyle w:val="References-IPR"/>
      </w:pPr>
      <w:r w:rsidRPr="004F5067">
        <w:t>Singer, E.</w:t>
      </w:r>
      <w:r w:rsidRPr="004F5067" w:rsidR="00B663D9">
        <w:t>, &amp;</w:t>
      </w:r>
      <w:r w:rsidRPr="004F5067">
        <w:t xml:space="preserve"> Ye, C. (2013).</w:t>
      </w:r>
      <w:r w:rsidRPr="004F5067" w:rsidR="003E3790">
        <w:t xml:space="preserve"> </w:t>
      </w:r>
      <w:r w:rsidRPr="004F5067">
        <w:t>The use and effectives of incentives in surveys.</w:t>
      </w:r>
      <w:r w:rsidRPr="004F5067" w:rsidR="003E3790">
        <w:t xml:space="preserve"> </w:t>
      </w:r>
      <w:r w:rsidRPr="004F5067">
        <w:rPr>
          <w:i/>
        </w:rPr>
        <w:t>Annals of the American Academy of Political and Social Science, 645</w:t>
      </w:r>
      <w:r w:rsidRPr="004F5067">
        <w:t>(1)</w:t>
      </w:r>
      <w:r w:rsidRPr="004F5067" w:rsidR="00B663D9">
        <w:t xml:space="preserve">, </w:t>
      </w:r>
      <w:r w:rsidRPr="004F5067">
        <w:t>112</w:t>
      </w:r>
      <w:r w:rsidRPr="004F5067" w:rsidR="00B663D9">
        <w:t>–</w:t>
      </w:r>
      <w:r w:rsidRPr="004F5067">
        <w:t>141.</w:t>
      </w:r>
    </w:p>
    <w:p w:rsidRPr="00A93E36" w:rsidR="004E7C09" w:rsidP="004E7C09" w:rsidRDefault="004E7C09" w14:paraId="57A64F81" w14:textId="02EF310A">
      <w:pPr>
        <w:pStyle w:val="References-IPR"/>
      </w:pPr>
      <w:r w:rsidRPr="00EA03C0">
        <w:t>U.S. Department of Health and Human Services, Office for Human Research Protections</w:t>
      </w:r>
      <w:r>
        <w:t xml:space="preserve">, Secretary’s Advisory Committee on Human Research Protections. (2019). </w:t>
      </w:r>
      <w:r w:rsidRPr="00A93E36">
        <w:rPr>
          <w:i/>
          <w:iCs/>
        </w:rPr>
        <w:t>Addressing ethical concerns regarding offers of payment to research participants.</w:t>
      </w:r>
      <w:r>
        <w:t xml:space="preserve"> </w:t>
      </w:r>
      <w:r w:rsidRPr="00EA03C0">
        <w:t>https://www.hhs.gov/ohrp/sachrp-committee/recommendations/attachment-a-september-30-2019/index.html</w:t>
      </w:r>
    </w:p>
    <w:p w:rsidRPr="00F018B6" w:rsidR="004E7C09" w:rsidP="00787826" w:rsidRDefault="004E7C09" w14:paraId="4C403E64" w14:textId="77777777">
      <w:pPr>
        <w:pStyle w:val="References-IPR"/>
      </w:pPr>
    </w:p>
    <w:p w:rsidRPr="00D274AB" w:rsidR="00D35B8C" w:rsidP="00C05E57" w:rsidRDefault="00D35B8C" w14:paraId="20D7BBA2" w14:textId="77777777">
      <w:pPr>
        <w:pStyle w:val="BodyText-IPR"/>
      </w:pPr>
    </w:p>
    <w:sectPr w:rsidRPr="00D274AB" w:rsidR="00D35B8C" w:rsidSect="000E6E3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C78CD" w14:textId="77777777" w:rsidR="00C077F0" w:rsidRDefault="00C077F0">
      <w:pPr>
        <w:spacing w:after="0"/>
      </w:pPr>
      <w:r>
        <w:separator/>
      </w:r>
    </w:p>
  </w:endnote>
  <w:endnote w:type="continuationSeparator" w:id="0">
    <w:p w14:paraId="3E209490" w14:textId="77777777" w:rsidR="00C077F0" w:rsidRDefault="00C077F0">
      <w:pPr>
        <w:spacing w:after="0"/>
      </w:pPr>
      <w:r>
        <w:continuationSeparator/>
      </w:r>
    </w:p>
  </w:endnote>
  <w:endnote w:type="continuationNotice" w:id="1">
    <w:p w14:paraId="52C3DF38" w14:textId="77777777" w:rsidR="00C077F0" w:rsidRDefault="00C077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72C599A" w14:textId="79861231" w:rsidR="00C05E57" w:rsidRPr="00C05E57" w:rsidRDefault="00A1523B" w:rsidP="00EF719C">
            <w:pPr>
              <w:pBdr>
                <w:top w:val="single" w:sz="8" w:space="1" w:color="B12732"/>
              </w:pBdr>
              <w:tabs>
                <w:tab w:val="right" w:pos="9360"/>
              </w:tabs>
              <w:spacing w:after="0"/>
              <w:rPr>
                <w:sz w:val="20"/>
                <w:szCs w:val="20"/>
              </w:rPr>
            </w:pPr>
            <w:r w:rsidRPr="00A1523B">
              <w:rPr>
                <w:i/>
                <w:iCs/>
                <w:sz w:val="20"/>
                <w:szCs w:val="20"/>
              </w:rPr>
              <w:t>Best Practices in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oterTitle-IPRChar"/>
                  <w:szCs w:val="20"/>
                </w:rPr>
                <w:id w:val="-1832211290"/>
                <w:docPartObj>
                  <w:docPartGallery w:val="Page Numbers (Bottom of Page)"/>
                  <w:docPartUnique/>
                </w:docPartObj>
              </w:sdtPr>
              <w:sdtEndPr>
                <w:rPr>
                  <w:rStyle w:val="FooterTitle-IPRChar"/>
                </w:rPr>
              </w:sdtEndPr>
              <w:sdtContent>
                <w:r w:rsidR="00551138">
                  <w:rPr>
                    <w:rStyle w:val="FooterTitle-IPRChar"/>
                    <w:szCs w:val="20"/>
                  </w:rPr>
                  <w:t xml:space="preserve">D-SNAP </w:t>
                </w:r>
                <w:r>
                  <w:rPr>
                    <w:rStyle w:val="FooterTitle-IPRChar"/>
                    <w:szCs w:val="20"/>
                  </w:rPr>
                  <w:t>Operations and Planning</w:t>
                </w:r>
                <w:r w:rsidR="00B24CCC">
                  <w:rPr>
                    <w:rStyle w:val="FooterTitle-IPRChar"/>
                    <w:szCs w:val="20"/>
                  </w:rPr>
                  <w:t xml:space="preserve">, </w:t>
                </w:r>
                <w:r w:rsidR="00D5719B">
                  <w:rPr>
                    <w:rStyle w:val="FooterTitle-IPRChar"/>
                    <w:szCs w:val="20"/>
                  </w:rPr>
                  <w:t>Attachment</w:t>
                </w:r>
                <w:r w:rsidR="00B24CCC">
                  <w:rPr>
                    <w:rStyle w:val="FooterTitle-IPRChar"/>
                    <w:szCs w:val="20"/>
                  </w:rPr>
                  <w:t xml:space="preserve"> </w:t>
                </w:r>
                <w:r w:rsidR="00936309">
                  <w:rPr>
                    <w:rStyle w:val="FooterTitle-IPRChar"/>
                    <w:szCs w:val="20"/>
                  </w:rPr>
                  <w:t>Q</w:t>
                </w:r>
                <w:r w:rsidR="00C05E57">
                  <w:rPr>
                    <w:rStyle w:val="FooterTitle-IPRChar"/>
                    <w:szCs w:val="20"/>
                  </w:rPr>
                  <w:t>. Use of Tokens of Appreciation</w:t>
                </w:r>
                <w:r w:rsidR="00936309">
                  <w:rPr>
                    <w:rStyle w:val="FooterTitle-IPRChar"/>
                    <w:szCs w:val="20"/>
                  </w:rPr>
                  <w:t xml:space="preserve"> for</w:t>
                </w:r>
                <w:r w:rsidR="00EF719C">
                  <w:rPr>
                    <w:rStyle w:val="FooterTitle-IPRChar"/>
                    <w:szCs w:val="20"/>
                  </w:rPr>
                  <w:tab/>
                </w:r>
                <w:r w:rsidR="00936309">
                  <w:rPr>
                    <w:rStyle w:val="FooterTitle-IPRChar"/>
                    <w:szCs w:val="20"/>
                  </w:rPr>
                  <w:t>Q</w:t>
                </w:r>
                <w:r w:rsidR="00C05E57">
                  <w:rPr>
                    <w:rStyle w:val="FooterTitle-IPRChar"/>
                    <w:szCs w:val="20"/>
                  </w:rPr>
                  <w:t>-</w:t>
                </w:r>
                <w:r w:rsidR="00EF719C" w:rsidRPr="00EF719C">
                  <w:rPr>
                    <w:rStyle w:val="FooterTitle-IPRChar"/>
                    <w:szCs w:val="20"/>
                  </w:rPr>
                  <w:fldChar w:fldCharType="begin"/>
                </w:r>
                <w:r w:rsidR="00EF719C" w:rsidRPr="00EF719C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="00EF719C" w:rsidRPr="00EF719C">
                  <w:rPr>
                    <w:rStyle w:val="FooterTitle-IPRChar"/>
                    <w:szCs w:val="20"/>
                  </w:rPr>
                  <w:fldChar w:fldCharType="separate"/>
                </w:r>
                <w:r w:rsidR="00316747">
                  <w:rPr>
                    <w:rStyle w:val="FooterTitle-IPRChar"/>
                    <w:noProof/>
                    <w:szCs w:val="20"/>
                  </w:rPr>
                  <w:t>4</w:t>
                </w:r>
                <w:r w:rsidR="00EF719C" w:rsidRPr="00EF719C">
                  <w:rPr>
                    <w:rStyle w:val="FooterTitle-IPRChar"/>
                    <w:noProof/>
                    <w:szCs w:val="20"/>
                  </w:rPr>
                  <w:fldChar w:fldCharType="end"/>
                </w:r>
                <w:r w:rsidR="00EF719C">
                  <w:rPr>
                    <w:rStyle w:val="FooterTitle-IPRChar"/>
                    <w:szCs w:val="20"/>
                  </w:rPr>
                  <w:br/>
                  <w:t>Former Staff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7A68C" w14:textId="77777777" w:rsidR="00C077F0" w:rsidRDefault="00C077F0">
      <w:pPr>
        <w:spacing w:after="0"/>
      </w:pPr>
      <w:r>
        <w:separator/>
      </w:r>
    </w:p>
  </w:footnote>
  <w:footnote w:type="continuationSeparator" w:id="0">
    <w:p w14:paraId="027A4241" w14:textId="77777777" w:rsidR="00C077F0" w:rsidRDefault="00C077F0">
      <w:pPr>
        <w:spacing w:after="0"/>
      </w:pPr>
      <w:r>
        <w:continuationSeparator/>
      </w:r>
    </w:p>
  </w:footnote>
  <w:footnote w:type="continuationNotice" w:id="1">
    <w:p w14:paraId="391FA9C1" w14:textId="77777777" w:rsidR="00C077F0" w:rsidRDefault="00C077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9767A8"/>
    <w:multiLevelType w:val="multilevel"/>
    <w:tmpl w:val="F6DE30B6"/>
    <w:numStyleLink w:val="NumbersListStyleRed-IPR"/>
  </w:abstractNum>
  <w:abstractNum w:abstractNumId="7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 w15:restartNumberingAfterBreak="0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34D58"/>
    <w:multiLevelType w:val="multilevel"/>
    <w:tmpl w:val="0F5A555C"/>
    <w:numStyleLink w:val="BulletListStyleRed-IPR"/>
  </w:abstractNum>
  <w:abstractNum w:abstractNumId="15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6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44323"/>
    <w:multiLevelType w:val="hybridMultilevel"/>
    <w:tmpl w:val="409CF0F8"/>
    <w:lvl w:ilvl="0" w:tplc="1F987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4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158CA"/>
    <w:multiLevelType w:val="hybridMultilevel"/>
    <w:tmpl w:val="F142F756"/>
    <w:lvl w:ilvl="0" w:tplc="546AEFA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6EB8"/>
    <w:multiLevelType w:val="multilevel"/>
    <w:tmpl w:val="B84CE8A6"/>
    <w:numStyleLink w:val="TableRedNumbersList-IPR"/>
  </w:abstractNum>
  <w:abstractNum w:abstractNumId="30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5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6"/>
  </w:num>
  <w:num w:numId="5">
    <w:abstractNumId w:val="31"/>
  </w:num>
  <w:num w:numId="6">
    <w:abstractNumId w:val="8"/>
  </w:num>
  <w:num w:numId="7">
    <w:abstractNumId w:val="1"/>
  </w:num>
  <w:num w:numId="8">
    <w:abstractNumId w:val="19"/>
  </w:num>
  <w:num w:numId="9">
    <w:abstractNumId w:val="7"/>
  </w:num>
  <w:num w:numId="10">
    <w:abstractNumId w:val="10"/>
  </w:num>
  <w:num w:numId="11">
    <w:abstractNumId w:val="3"/>
  </w:num>
  <w:num w:numId="12">
    <w:abstractNumId w:val="29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2"/>
  </w:num>
  <w:num w:numId="14">
    <w:abstractNumId w:val="4"/>
  </w:num>
  <w:num w:numId="15">
    <w:abstractNumId w:val="5"/>
  </w:num>
  <w:num w:numId="1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4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2"/>
  </w:num>
  <w:num w:numId="19">
    <w:abstractNumId w:val="23"/>
  </w:num>
  <w:num w:numId="20">
    <w:abstractNumId w:val="27"/>
  </w:num>
  <w:num w:numId="21">
    <w:abstractNumId w:val="9"/>
  </w:num>
  <w:num w:numId="22">
    <w:abstractNumId w:val="26"/>
  </w:num>
  <w:num w:numId="23">
    <w:abstractNumId w:val="18"/>
  </w:num>
  <w:num w:numId="24">
    <w:abstractNumId w:val="34"/>
  </w:num>
  <w:num w:numId="25">
    <w:abstractNumId w:val="15"/>
  </w:num>
  <w:num w:numId="26">
    <w:abstractNumId w:val="25"/>
  </w:num>
  <w:num w:numId="27">
    <w:abstractNumId w:val="22"/>
  </w:num>
  <w:num w:numId="28">
    <w:abstractNumId w:val="11"/>
  </w:num>
  <w:num w:numId="29">
    <w:abstractNumId w:val="33"/>
  </w:num>
  <w:num w:numId="30">
    <w:abstractNumId w:val="20"/>
  </w:num>
  <w:num w:numId="31">
    <w:abstractNumId w:val="32"/>
  </w:num>
  <w:num w:numId="32">
    <w:abstractNumId w:val="21"/>
  </w:num>
  <w:num w:numId="33">
    <w:abstractNumId w:val="17"/>
  </w:num>
  <w:num w:numId="34">
    <w:abstractNumId w:val="0"/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28"/>
  </w:num>
  <w:num w:numId="38">
    <w:abstractNumId w:val="35"/>
  </w:num>
  <w:num w:numId="39">
    <w:abstractNumId w:val="35"/>
  </w:num>
  <w:num w:numId="40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5780"/>
    <w:rsid w:val="00006F54"/>
    <w:rsid w:val="000123D7"/>
    <w:rsid w:val="0001253B"/>
    <w:rsid w:val="00012775"/>
    <w:rsid w:val="00015739"/>
    <w:rsid w:val="00022C1C"/>
    <w:rsid w:val="00023662"/>
    <w:rsid w:val="00035538"/>
    <w:rsid w:val="00036035"/>
    <w:rsid w:val="00037EC0"/>
    <w:rsid w:val="00040609"/>
    <w:rsid w:val="0004078C"/>
    <w:rsid w:val="00041885"/>
    <w:rsid w:val="0004462B"/>
    <w:rsid w:val="000525B8"/>
    <w:rsid w:val="000537BA"/>
    <w:rsid w:val="00055B78"/>
    <w:rsid w:val="00060C40"/>
    <w:rsid w:val="00065AB6"/>
    <w:rsid w:val="00065C8B"/>
    <w:rsid w:val="00066A16"/>
    <w:rsid w:val="00066F52"/>
    <w:rsid w:val="00071E43"/>
    <w:rsid w:val="00072CCF"/>
    <w:rsid w:val="000764CC"/>
    <w:rsid w:val="000765EA"/>
    <w:rsid w:val="00094CC1"/>
    <w:rsid w:val="00094CCB"/>
    <w:rsid w:val="000A0D8C"/>
    <w:rsid w:val="000A53D5"/>
    <w:rsid w:val="000A637A"/>
    <w:rsid w:val="000A68D1"/>
    <w:rsid w:val="000B08BF"/>
    <w:rsid w:val="000B24A5"/>
    <w:rsid w:val="000B3232"/>
    <w:rsid w:val="000B4926"/>
    <w:rsid w:val="000B50F7"/>
    <w:rsid w:val="000B66B9"/>
    <w:rsid w:val="000C01BF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41B3"/>
    <w:rsid w:val="000E6E3E"/>
    <w:rsid w:val="000F60BE"/>
    <w:rsid w:val="00106F74"/>
    <w:rsid w:val="00111BAD"/>
    <w:rsid w:val="001125BD"/>
    <w:rsid w:val="00113B8C"/>
    <w:rsid w:val="00115513"/>
    <w:rsid w:val="00115A8A"/>
    <w:rsid w:val="00122B35"/>
    <w:rsid w:val="0012407C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50659"/>
    <w:rsid w:val="001526CD"/>
    <w:rsid w:val="00155A53"/>
    <w:rsid w:val="001578FD"/>
    <w:rsid w:val="00161429"/>
    <w:rsid w:val="0016287B"/>
    <w:rsid w:val="001635D6"/>
    <w:rsid w:val="0016463E"/>
    <w:rsid w:val="001673B5"/>
    <w:rsid w:val="00170CEF"/>
    <w:rsid w:val="001723F9"/>
    <w:rsid w:val="00177BFB"/>
    <w:rsid w:val="00177F81"/>
    <w:rsid w:val="00181850"/>
    <w:rsid w:val="00181C7D"/>
    <w:rsid w:val="00183810"/>
    <w:rsid w:val="001855BE"/>
    <w:rsid w:val="0019169E"/>
    <w:rsid w:val="00191BB3"/>
    <w:rsid w:val="0019699C"/>
    <w:rsid w:val="001A2752"/>
    <w:rsid w:val="001A2FF5"/>
    <w:rsid w:val="001A4CCC"/>
    <w:rsid w:val="001A6157"/>
    <w:rsid w:val="001A7028"/>
    <w:rsid w:val="001A7692"/>
    <w:rsid w:val="001B32D5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4086"/>
    <w:rsid w:val="001E410C"/>
    <w:rsid w:val="001E4FE0"/>
    <w:rsid w:val="001E6201"/>
    <w:rsid w:val="001E7D91"/>
    <w:rsid w:val="001F3774"/>
    <w:rsid w:val="001F46A9"/>
    <w:rsid w:val="001F6A52"/>
    <w:rsid w:val="001F78E4"/>
    <w:rsid w:val="00202289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7633"/>
    <w:rsid w:val="00237B42"/>
    <w:rsid w:val="00240BAD"/>
    <w:rsid w:val="00244337"/>
    <w:rsid w:val="00244479"/>
    <w:rsid w:val="002459AE"/>
    <w:rsid w:val="00245DAC"/>
    <w:rsid w:val="00246F92"/>
    <w:rsid w:val="0025082C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47D0"/>
    <w:rsid w:val="0028674A"/>
    <w:rsid w:val="002873D2"/>
    <w:rsid w:val="002914EB"/>
    <w:rsid w:val="00293BDE"/>
    <w:rsid w:val="00294BAD"/>
    <w:rsid w:val="0029752C"/>
    <w:rsid w:val="0029785F"/>
    <w:rsid w:val="002A171F"/>
    <w:rsid w:val="002A4002"/>
    <w:rsid w:val="002B112B"/>
    <w:rsid w:val="002B1BBE"/>
    <w:rsid w:val="002B554C"/>
    <w:rsid w:val="002B70D8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3B5A"/>
    <w:rsid w:val="002F75BC"/>
    <w:rsid w:val="003066FB"/>
    <w:rsid w:val="0031108B"/>
    <w:rsid w:val="00313F27"/>
    <w:rsid w:val="0031517C"/>
    <w:rsid w:val="00316747"/>
    <w:rsid w:val="00320276"/>
    <w:rsid w:val="003208EC"/>
    <w:rsid w:val="00326A62"/>
    <w:rsid w:val="003273F1"/>
    <w:rsid w:val="00331518"/>
    <w:rsid w:val="00337D45"/>
    <w:rsid w:val="00341D65"/>
    <w:rsid w:val="00341ED6"/>
    <w:rsid w:val="003472AC"/>
    <w:rsid w:val="0035171A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9573B"/>
    <w:rsid w:val="003A1D15"/>
    <w:rsid w:val="003B0110"/>
    <w:rsid w:val="003B4AB1"/>
    <w:rsid w:val="003B4E82"/>
    <w:rsid w:val="003B5469"/>
    <w:rsid w:val="003C468C"/>
    <w:rsid w:val="003C6499"/>
    <w:rsid w:val="003D041D"/>
    <w:rsid w:val="003D1254"/>
    <w:rsid w:val="003D23D9"/>
    <w:rsid w:val="003D2591"/>
    <w:rsid w:val="003D2A8C"/>
    <w:rsid w:val="003D34F7"/>
    <w:rsid w:val="003D7E45"/>
    <w:rsid w:val="003E30AD"/>
    <w:rsid w:val="003E3790"/>
    <w:rsid w:val="003E3BBA"/>
    <w:rsid w:val="003E551C"/>
    <w:rsid w:val="003E5F43"/>
    <w:rsid w:val="003E79F5"/>
    <w:rsid w:val="00402898"/>
    <w:rsid w:val="00403929"/>
    <w:rsid w:val="004041FC"/>
    <w:rsid w:val="00407417"/>
    <w:rsid w:val="00407B3F"/>
    <w:rsid w:val="004110DA"/>
    <w:rsid w:val="004217E7"/>
    <w:rsid w:val="00423955"/>
    <w:rsid w:val="00424050"/>
    <w:rsid w:val="00427600"/>
    <w:rsid w:val="00431F8D"/>
    <w:rsid w:val="004403D4"/>
    <w:rsid w:val="00441547"/>
    <w:rsid w:val="00442715"/>
    <w:rsid w:val="00445845"/>
    <w:rsid w:val="00450BA5"/>
    <w:rsid w:val="00452B9E"/>
    <w:rsid w:val="004555D0"/>
    <w:rsid w:val="00464ED7"/>
    <w:rsid w:val="00466F08"/>
    <w:rsid w:val="00473EAC"/>
    <w:rsid w:val="00475493"/>
    <w:rsid w:val="0048146D"/>
    <w:rsid w:val="0048236F"/>
    <w:rsid w:val="00482E29"/>
    <w:rsid w:val="00483413"/>
    <w:rsid w:val="004835B4"/>
    <w:rsid w:val="004845F1"/>
    <w:rsid w:val="00496542"/>
    <w:rsid w:val="004A0638"/>
    <w:rsid w:val="004A0842"/>
    <w:rsid w:val="004A50C4"/>
    <w:rsid w:val="004A787E"/>
    <w:rsid w:val="004B08DD"/>
    <w:rsid w:val="004B4F0D"/>
    <w:rsid w:val="004B796B"/>
    <w:rsid w:val="004C14EA"/>
    <w:rsid w:val="004C5633"/>
    <w:rsid w:val="004C66F1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E7C09"/>
    <w:rsid w:val="004F0843"/>
    <w:rsid w:val="004F2D13"/>
    <w:rsid w:val="004F37A1"/>
    <w:rsid w:val="004F5067"/>
    <w:rsid w:val="004F6A35"/>
    <w:rsid w:val="005026F6"/>
    <w:rsid w:val="00502DB0"/>
    <w:rsid w:val="0050748F"/>
    <w:rsid w:val="00507AE2"/>
    <w:rsid w:val="005109B4"/>
    <w:rsid w:val="005133E1"/>
    <w:rsid w:val="00513D25"/>
    <w:rsid w:val="00513E31"/>
    <w:rsid w:val="00513F8B"/>
    <w:rsid w:val="00516ABE"/>
    <w:rsid w:val="00521A77"/>
    <w:rsid w:val="005236D7"/>
    <w:rsid w:val="00526B66"/>
    <w:rsid w:val="00526D3E"/>
    <w:rsid w:val="00532636"/>
    <w:rsid w:val="00532B6B"/>
    <w:rsid w:val="0053312A"/>
    <w:rsid w:val="00533DE2"/>
    <w:rsid w:val="0054070F"/>
    <w:rsid w:val="00540CD6"/>
    <w:rsid w:val="00542621"/>
    <w:rsid w:val="00546602"/>
    <w:rsid w:val="00550446"/>
    <w:rsid w:val="00551138"/>
    <w:rsid w:val="005546C4"/>
    <w:rsid w:val="0055666E"/>
    <w:rsid w:val="00560E21"/>
    <w:rsid w:val="005622B1"/>
    <w:rsid w:val="00564182"/>
    <w:rsid w:val="005647C1"/>
    <w:rsid w:val="00565C4D"/>
    <w:rsid w:val="00566470"/>
    <w:rsid w:val="00566CE2"/>
    <w:rsid w:val="00567980"/>
    <w:rsid w:val="00574C8D"/>
    <w:rsid w:val="0057591E"/>
    <w:rsid w:val="00576A8A"/>
    <w:rsid w:val="00577988"/>
    <w:rsid w:val="005847E7"/>
    <w:rsid w:val="005851DF"/>
    <w:rsid w:val="00585B39"/>
    <w:rsid w:val="00587A23"/>
    <w:rsid w:val="00594FA6"/>
    <w:rsid w:val="00595FC7"/>
    <w:rsid w:val="0059765F"/>
    <w:rsid w:val="00597D32"/>
    <w:rsid w:val="005A01EC"/>
    <w:rsid w:val="005A050B"/>
    <w:rsid w:val="005A20A4"/>
    <w:rsid w:val="005A3B5C"/>
    <w:rsid w:val="005A490E"/>
    <w:rsid w:val="005A5BEE"/>
    <w:rsid w:val="005B2C56"/>
    <w:rsid w:val="005C269F"/>
    <w:rsid w:val="005C417C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1E71"/>
    <w:rsid w:val="00610673"/>
    <w:rsid w:val="006106FB"/>
    <w:rsid w:val="006150ED"/>
    <w:rsid w:val="00615A3C"/>
    <w:rsid w:val="006215C1"/>
    <w:rsid w:val="00631202"/>
    <w:rsid w:val="00636B95"/>
    <w:rsid w:val="006415B8"/>
    <w:rsid w:val="0064514E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394A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A59AF"/>
    <w:rsid w:val="006B13A0"/>
    <w:rsid w:val="006B2970"/>
    <w:rsid w:val="006B527B"/>
    <w:rsid w:val="006B5313"/>
    <w:rsid w:val="006B6C71"/>
    <w:rsid w:val="006C1257"/>
    <w:rsid w:val="006C1792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4D36"/>
    <w:rsid w:val="006E505E"/>
    <w:rsid w:val="006F20D9"/>
    <w:rsid w:val="006F3271"/>
    <w:rsid w:val="00702AEF"/>
    <w:rsid w:val="007037C6"/>
    <w:rsid w:val="00704BED"/>
    <w:rsid w:val="00724210"/>
    <w:rsid w:val="00725E90"/>
    <w:rsid w:val="00727D56"/>
    <w:rsid w:val="00744452"/>
    <w:rsid w:val="0075272D"/>
    <w:rsid w:val="00755695"/>
    <w:rsid w:val="00761E9B"/>
    <w:rsid w:val="00763937"/>
    <w:rsid w:val="00770FF4"/>
    <w:rsid w:val="00773251"/>
    <w:rsid w:val="00773F9C"/>
    <w:rsid w:val="007770E1"/>
    <w:rsid w:val="007846A1"/>
    <w:rsid w:val="00786B0C"/>
    <w:rsid w:val="00786B9E"/>
    <w:rsid w:val="00787826"/>
    <w:rsid w:val="00790528"/>
    <w:rsid w:val="0079596B"/>
    <w:rsid w:val="0079797B"/>
    <w:rsid w:val="007A0310"/>
    <w:rsid w:val="007A474F"/>
    <w:rsid w:val="007A5641"/>
    <w:rsid w:val="007A5B19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240B"/>
    <w:rsid w:val="007C5BC7"/>
    <w:rsid w:val="007C6C47"/>
    <w:rsid w:val="007D00DB"/>
    <w:rsid w:val="007D1EF7"/>
    <w:rsid w:val="007D47A9"/>
    <w:rsid w:val="007D5E85"/>
    <w:rsid w:val="007E4C83"/>
    <w:rsid w:val="007E6779"/>
    <w:rsid w:val="007F55B8"/>
    <w:rsid w:val="007F7C44"/>
    <w:rsid w:val="008008E1"/>
    <w:rsid w:val="00800CF4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3FA"/>
    <w:rsid w:val="008324DE"/>
    <w:rsid w:val="0083435C"/>
    <w:rsid w:val="008369A8"/>
    <w:rsid w:val="00837700"/>
    <w:rsid w:val="00840006"/>
    <w:rsid w:val="0084044D"/>
    <w:rsid w:val="008412A4"/>
    <w:rsid w:val="00843A1A"/>
    <w:rsid w:val="00851D64"/>
    <w:rsid w:val="00852A65"/>
    <w:rsid w:val="00865DC9"/>
    <w:rsid w:val="0087058A"/>
    <w:rsid w:val="008717E1"/>
    <w:rsid w:val="00873029"/>
    <w:rsid w:val="00873742"/>
    <w:rsid w:val="008811E4"/>
    <w:rsid w:val="00885D52"/>
    <w:rsid w:val="008873C5"/>
    <w:rsid w:val="00890220"/>
    <w:rsid w:val="00893D30"/>
    <w:rsid w:val="00895222"/>
    <w:rsid w:val="008A4242"/>
    <w:rsid w:val="008B2BA2"/>
    <w:rsid w:val="008B7E69"/>
    <w:rsid w:val="008C1B6F"/>
    <w:rsid w:val="008C3AB3"/>
    <w:rsid w:val="008C4FF2"/>
    <w:rsid w:val="008C5159"/>
    <w:rsid w:val="008C5BE3"/>
    <w:rsid w:val="008C5DD0"/>
    <w:rsid w:val="008C681E"/>
    <w:rsid w:val="008C7D8E"/>
    <w:rsid w:val="008D1DF4"/>
    <w:rsid w:val="008D29F4"/>
    <w:rsid w:val="008D6AF4"/>
    <w:rsid w:val="008D7BDE"/>
    <w:rsid w:val="008E050D"/>
    <w:rsid w:val="008E1493"/>
    <w:rsid w:val="008E7D06"/>
    <w:rsid w:val="008F174D"/>
    <w:rsid w:val="008F1857"/>
    <w:rsid w:val="008F51CF"/>
    <w:rsid w:val="00900E54"/>
    <w:rsid w:val="00901D8A"/>
    <w:rsid w:val="00903BC9"/>
    <w:rsid w:val="00913F47"/>
    <w:rsid w:val="00917021"/>
    <w:rsid w:val="00917320"/>
    <w:rsid w:val="009173B8"/>
    <w:rsid w:val="0092254B"/>
    <w:rsid w:val="00923053"/>
    <w:rsid w:val="00924AD8"/>
    <w:rsid w:val="009259DD"/>
    <w:rsid w:val="00936309"/>
    <w:rsid w:val="00936697"/>
    <w:rsid w:val="0093686E"/>
    <w:rsid w:val="0094079B"/>
    <w:rsid w:val="00945039"/>
    <w:rsid w:val="00947A91"/>
    <w:rsid w:val="00950285"/>
    <w:rsid w:val="0095092B"/>
    <w:rsid w:val="00956BA3"/>
    <w:rsid w:val="00956F8E"/>
    <w:rsid w:val="00960072"/>
    <w:rsid w:val="009622AB"/>
    <w:rsid w:val="00963706"/>
    <w:rsid w:val="00964EC4"/>
    <w:rsid w:val="0097251F"/>
    <w:rsid w:val="0097279F"/>
    <w:rsid w:val="00980DDF"/>
    <w:rsid w:val="00982398"/>
    <w:rsid w:val="009837AF"/>
    <w:rsid w:val="009866F2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D85"/>
    <w:rsid w:val="009D1E90"/>
    <w:rsid w:val="009D3A1D"/>
    <w:rsid w:val="009D4D9C"/>
    <w:rsid w:val="009E2318"/>
    <w:rsid w:val="009E27C6"/>
    <w:rsid w:val="009E5DFF"/>
    <w:rsid w:val="009F049B"/>
    <w:rsid w:val="009F26EB"/>
    <w:rsid w:val="009F4CB3"/>
    <w:rsid w:val="009F5805"/>
    <w:rsid w:val="00A03684"/>
    <w:rsid w:val="00A04349"/>
    <w:rsid w:val="00A0610B"/>
    <w:rsid w:val="00A11D5A"/>
    <w:rsid w:val="00A1523B"/>
    <w:rsid w:val="00A15F06"/>
    <w:rsid w:val="00A1754E"/>
    <w:rsid w:val="00A216EF"/>
    <w:rsid w:val="00A21813"/>
    <w:rsid w:val="00A218BE"/>
    <w:rsid w:val="00A2241B"/>
    <w:rsid w:val="00A236FD"/>
    <w:rsid w:val="00A239A2"/>
    <w:rsid w:val="00A3051D"/>
    <w:rsid w:val="00A31C77"/>
    <w:rsid w:val="00A34AD5"/>
    <w:rsid w:val="00A40390"/>
    <w:rsid w:val="00A430F2"/>
    <w:rsid w:val="00A44617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669F2"/>
    <w:rsid w:val="00A716E3"/>
    <w:rsid w:val="00A72020"/>
    <w:rsid w:val="00A74D84"/>
    <w:rsid w:val="00A809CF"/>
    <w:rsid w:val="00A84468"/>
    <w:rsid w:val="00A845C0"/>
    <w:rsid w:val="00A90F80"/>
    <w:rsid w:val="00A92E0D"/>
    <w:rsid w:val="00A93212"/>
    <w:rsid w:val="00A93E36"/>
    <w:rsid w:val="00A95173"/>
    <w:rsid w:val="00AA4F03"/>
    <w:rsid w:val="00AA5306"/>
    <w:rsid w:val="00AA6F6E"/>
    <w:rsid w:val="00AB140C"/>
    <w:rsid w:val="00AB189C"/>
    <w:rsid w:val="00AB282B"/>
    <w:rsid w:val="00AB360A"/>
    <w:rsid w:val="00AB72ED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1EA2"/>
    <w:rsid w:val="00AE5566"/>
    <w:rsid w:val="00AF02EB"/>
    <w:rsid w:val="00AF6B6F"/>
    <w:rsid w:val="00B0199D"/>
    <w:rsid w:val="00B05743"/>
    <w:rsid w:val="00B06475"/>
    <w:rsid w:val="00B06F29"/>
    <w:rsid w:val="00B1098F"/>
    <w:rsid w:val="00B15515"/>
    <w:rsid w:val="00B173B9"/>
    <w:rsid w:val="00B22256"/>
    <w:rsid w:val="00B24CCC"/>
    <w:rsid w:val="00B25483"/>
    <w:rsid w:val="00B26409"/>
    <w:rsid w:val="00B30C6D"/>
    <w:rsid w:val="00B30E41"/>
    <w:rsid w:val="00B3120E"/>
    <w:rsid w:val="00B3413A"/>
    <w:rsid w:val="00B34F35"/>
    <w:rsid w:val="00B35A06"/>
    <w:rsid w:val="00B36EBC"/>
    <w:rsid w:val="00B40614"/>
    <w:rsid w:val="00B40C89"/>
    <w:rsid w:val="00B46609"/>
    <w:rsid w:val="00B50C0A"/>
    <w:rsid w:val="00B50E63"/>
    <w:rsid w:val="00B56D97"/>
    <w:rsid w:val="00B61F9B"/>
    <w:rsid w:val="00B63CF8"/>
    <w:rsid w:val="00B64810"/>
    <w:rsid w:val="00B656C6"/>
    <w:rsid w:val="00B663D9"/>
    <w:rsid w:val="00B66FB5"/>
    <w:rsid w:val="00B70D5E"/>
    <w:rsid w:val="00B76A84"/>
    <w:rsid w:val="00B830B8"/>
    <w:rsid w:val="00B833D9"/>
    <w:rsid w:val="00B83FA7"/>
    <w:rsid w:val="00B85787"/>
    <w:rsid w:val="00B91D88"/>
    <w:rsid w:val="00B92682"/>
    <w:rsid w:val="00B93AC6"/>
    <w:rsid w:val="00B966AF"/>
    <w:rsid w:val="00B9697A"/>
    <w:rsid w:val="00B96C8B"/>
    <w:rsid w:val="00B9755A"/>
    <w:rsid w:val="00B97C6F"/>
    <w:rsid w:val="00BA45E5"/>
    <w:rsid w:val="00BA460A"/>
    <w:rsid w:val="00BA4B2A"/>
    <w:rsid w:val="00BA6B3F"/>
    <w:rsid w:val="00BA6C57"/>
    <w:rsid w:val="00BB042A"/>
    <w:rsid w:val="00BB1261"/>
    <w:rsid w:val="00BB16DF"/>
    <w:rsid w:val="00BB39AE"/>
    <w:rsid w:val="00BB4285"/>
    <w:rsid w:val="00BC0DE8"/>
    <w:rsid w:val="00BC1DD5"/>
    <w:rsid w:val="00BC3633"/>
    <w:rsid w:val="00BD0875"/>
    <w:rsid w:val="00BD5659"/>
    <w:rsid w:val="00BD5B31"/>
    <w:rsid w:val="00BD6628"/>
    <w:rsid w:val="00BE068A"/>
    <w:rsid w:val="00BE1BC2"/>
    <w:rsid w:val="00BE2F2C"/>
    <w:rsid w:val="00BE404F"/>
    <w:rsid w:val="00BE6B2D"/>
    <w:rsid w:val="00BF088B"/>
    <w:rsid w:val="00BF1A1D"/>
    <w:rsid w:val="00BF37B5"/>
    <w:rsid w:val="00BF5BB4"/>
    <w:rsid w:val="00C000E1"/>
    <w:rsid w:val="00C0236E"/>
    <w:rsid w:val="00C02F39"/>
    <w:rsid w:val="00C05256"/>
    <w:rsid w:val="00C05E57"/>
    <w:rsid w:val="00C06A83"/>
    <w:rsid w:val="00C077F0"/>
    <w:rsid w:val="00C11802"/>
    <w:rsid w:val="00C1299A"/>
    <w:rsid w:val="00C14631"/>
    <w:rsid w:val="00C14C96"/>
    <w:rsid w:val="00C15787"/>
    <w:rsid w:val="00C17467"/>
    <w:rsid w:val="00C174BE"/>
    <w:rsid w:val="00C17CDF"/>
    <w:rsid w:val="00C27766"/>
    <w:rsid w:val="00C32554"/>
    <w:rsid w:val="00C369AD"/>
    <w:rsid w:val="00C40E7A"/>
    <w:rsid w:val="00C44EE1"/>
    <w:rsid w:val="00C47AB0"/>
    <w:rsid w:val="00C55356"/>
    <w:rsid w:val="00C55ADB"/>
    <w:rsid w:val="00C56A6F"/>
    <w:rsid w:val="00C60865"/>
    <w:rsid w:val="00C63FD1"/>
    <w:rsid w:val="00C655CF"/>
    <w:rsid w:val="00C660F7"/>
    <w:rsid w:val="00C70EFC"/>
    <w:rsid w:val="00C7100C"/>
    <w:rsid w:val="00C7517C"/>
    <w:rsid w:val="00C75CC3"/>
    <w:rsid w:val="00C761B9"/>
    <w:rsid w:val="00C82EFF"/>
    <w:rsid w:val="00C85162"/>
    <w:rsid w:val="00C85711"/>
    <w:rsid w:val="00CA222F"/>
    <w:rsid w:val="00CA4BA0"/>
    <w:rsid w:val="00CA598A"/>
    <w:rsid w:val="00CB0301"/>
    <w:rsid w:val="00CC6160"/>
    <w:rsid w:val="00CC70BC"/>
    <w:rsid w:val="00CD12C0"/>
    <w:rsid w:val="00CD160F"/>
    <w:rsid w:val="00CD2007"/>
    <w:rsid w:val="00CD436B"/>
    <w:rsid w:val="00CD52CC"/>
    <w:rsid w:val="00CD6CCB"/>
    <w:rsid w:val="00CD72EC"/>
    <w:rsid w:val="00CD7C53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719B"/>
    <w:rsid w:val="00D60C97"/>
    <w:rsid w:val="00D62DC7"/>
    <w:rsid w:val="00D63F0F"/>
    <w:rsid w:val="00D64730"/>
    <w:rsid w:val="00D66177"/>
    <w:rsid w:val="00D72259"/>
    <w:rsid w:val="00D75DCB"/>
    <w:rsid w:val="00D8154A"/>
    <w:rsid w:val="00D84243"/>
    <w:rsid w:val="00D848B5"/>
    <w:rsid w:val="00D906D7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0F37"/>
    <w:rsid w:val="00DB1D63"/>
    <w:rsid w:val="00DB5AE5"/>
    <w:rsid w:val="00DB5D5C"/>
    <w:rsid w:val="00DB6621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CAD"/>
    <w:rsid w:val="00E0774B"/>
    <w:rsid w:val="00E128E7"/>
    <w:rsid w:val="00E133DA"/>
    <w:rsid w:val="00E1633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60B44"/>
    <w:rsid w:val="00E618CC"/>
    <w:rsid w:val="00E636F3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3C0"/>
    <w:rsid w:val="00EA0641"/>
    <w:rsid w:val="00EA29EC"/>
    <w:rsid w:val="00EA48FA"/>
    <w:rsid w:val="00EA7E0A"/>
    <w:rsid w:val="00EB04A9"/>
    <w:rsid w:val="00EB1C36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18F5"/>
    <w:rsid w:val="00EE3560"/>
    <w:rsid w:val="00EE5A73"/>
    <w:rsid w:val="00EF0396"/>
    <w:rsid w:val="00EF0C32"/>
    <w:rsid w:val="00EF2065"/>
    <w:rsid w:val="00EF2C6E"/>
    <w:rsid w:val="00EF58E6"/>
    <w:rsid w:val="00EF655B"/>
    <w:rsid w:val="00EF719C"/>
    <w:rsid w:val="00F018B6"/>
    <w:rsid w:val="00F02DD0"/>
    <w:rsid w:val="00F04F32"/>
    <w:rsid w:val="00F059D7"/>
    <w:rsid w:val="00F11684"/>
    <w:rsid w:val="00F128A8"/>
    <w:rsid w:val="00F13B65"/>
    <w:rsid w:val="00F1472C"/>
    <w:rsid w:val="00F16354"/>
    <w:rsid w:val="00F17890"/>
    <w:rsid w:val="00F17B1F"/>
    <w:rsid w:val="00F23717"/>
    <w:rsid w:val="00F2669A"/>
    <w:rsid w:val="00F272DE"/>
    <w:rsid w:val="00F27C95"/>
    <w:rsid w:val="00F31DA2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FEE"/>
    <w:rsid w:val="00F87413"/>
    <w:rsid w:val="00F87778"/>
    <w:rsid w:val="00F901A0"/>
    <w:rsid w:val="00F94BF8"/>
    <w:rsid w:val="00FA0B7B"/>
    <w:rsid w:val="00FA1FC3"/>
    <w:rsid w:val="00FA4FE8"/>
    <w:rsid w:val="00FA678C"/>
    <w:rsid w:val="00FA799D"/>
    <w:rsid w:val="00FB2BE9"/>
    <w:rsid w:val="00FB7EA8"/>
    <w:rsid w:val="00FC1052"/>
    <w:rsid w:val="00FC11F8"/>
    <w:rsid w:val="00FC4E4A"/>
    <w:rsid w:val="00FC6FC7"/>
    <w:rsid w:val="00FD3BB7"/>
    <w:rsid w:val="00FD66EC"/>
    <w:rsid w:val="00FE0901"/>
    <w:rsid w:val="00FE38F3"/>
    <w:rsid w:val="00FE46C8"/>
    <w:rsid w:val="00FE5BE2"/>
    <w:rsid w:val="00FE5F6F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87F8C69"/>
  <w15:docId w15:val="{F3A152EE-C03C-47F8-A88D-1FEA2708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E38E-4B66-43C7-B0DB-3C90507C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Williams, Eric - FNS</cp:lastModifiedBy>
  <cp:revision>3</cp:revision>
  <cp:lastPrinted>2019-03-14T15:56:00Z</cp:lastPrinted>
  <dcterms:created xsi:type="dcterms:W3CDTF">2021-04-26T15:52:00Z</dcterms:created>
  <dcterms:modified xsi:type="dcterms:W3CDTF">2021-04-26T15:52:00Z</dcterms:modified>
</cp:coreProperties>
</file>