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2A81" w:rsidR="005367D0" w:rsidP="005367D0" w:rsidRDefault="005367D0" w14:paraId="2ABDBC92" w14:textId="77777777">
      <w:pPr>
        <w:pStyle w:val="NoSpacing"/>
        <w:jc w:val="center"/>
        <w:rPr>
          <w:rFonts w:ascii="Calibri" w:hAnsi="Calibri" w:cs="Calibri"/>
          <w:b/>
          <w:sz w:val="24"/>
        </w:rPr>
      </w:pPr>
      <w:bookmarkStart w:name="_GoBack" w:id="0"/>
      <w:bookmarkEnd w:id="0"/>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BF7E708" w14:textId="77777777">
      <w:pPr>
        <w:pStyle w:val="NoSpacing"/>
        <w:jc w:val="center"/>
        <w:rPr>
          <w:rFonts w:ascii="Calibri" w:hAnsi="Calibri" w:cs="Calibri"/>
          <w:b/>
          <w:sz w:val="24"/>
        </w:rPr>
      </w:pPr>
      <w:r w:rsidRPr="00E12A81">
        <w:rPr>
          <w:rFonts w:ascii="Calibri" w:hAnsi="Calibri" w:cs="Calibri"/>
          <w:b/>
          <w:sz w:val="24"/>
        </w:rPr>
        <w:t>U.S. Department of Commerce</w:t>
      </w:r>
    </w:p>
    <w:p w:rsidRPr="00C93E46" w:rsidR="005367D0" w:rsidP="005367D0" w:rsidRDefault="000B2AA7" w14:paraId="00670E61" w14:textId="77777777">
      <w:pPr>
        <w:pStyle w:val="NoSpacing"/>
        <w:jc w:val="center"/>
        <w:rPr>
          <w:rFonts w:ascii="Calibri" w:hAnsi="Calibri" w:cs="Calibri"/>
          <w:b/>
          <w:sz w:val="24"/>
        </w:rPr>
      </w:pPr>
      <w:r w:rsidRPr="00C93E46">
        <w:rPr>
          <w:rFonts w:ascii="Calibri" w:hAnsi="Calibri" w:cs="Calibri"/>
          <w:b/>
          <w:sz w:val="24"/>
        </w:rPr>
        <w:t>U.S. Census Bureau</w:t>
      </w:r>
    </w:p>
    <w:p w:rsidRPr="00C93E46" w:rsidR="005367D0" w:rsidP="005367D0" w:rsidRDefault="006C1102" w14:paraId="0C9F4501" w14:textId="77777777">
      <w:pPr>
        <w:pStyle w:val="NoSpacing"/>
        <w:jc w:val="center"/>
        <w:rPr>
          <w:rFonts w:ascii="Calibri" w:hAnsi="Calibri" w:cs="Calibri"/>
          <w:b/>
          <w:sz w:val="24"/>
        </w:rPr>
      </w:pPr>
      <w:r w:rsidRPr="00C93E46">
        <w:rPr>
          <w:rFonts w:ascii="Calibri" w:hAnsi="Calibri" w:cs="Calibri"/>
          <w:b/>
          <w:sz w:val="24"/>
        </w:rPr>
        <w:t>Longitudinal Employer-Household Dynamics (LEHD)</w:t>
      </w:r>
      <w:r w:rsidRPr="00C93E46" w:rsidR="005367D0">
        <w:rPr>
          <w:rFonts w:ascii="Calibri" w:hAnsi="Calibri" w:cs="Calibri"/>
          <w:b/>
          <w:sz w:val="24"/>
        </w:rPr>
        <w:t xml:space="preserve"> </w:t>
      </w:r>
    </w:p>
    <w:p w:rsidRPr="00C93E46" w:rsidR="005367D0" w:rsidP="005367D0" w:rsidRDefault="005367D0" w14:paraId="5526FFD2" w14:textId="77777777">
      <w:pPr>
        <w:pStyle w:val="NoSpacing"/>
        <w:jc w:val="center"/>
        <w:rPr>
          <w:rFonts w:ascii="Calibri" w:hAnsi="Calibri" w:cs="Calibri"/>
          <w:b/>
          <w:sz w:val="24"/>
        </w:rPr>
      </w:pPr>
      <w:r w:rsidRPr="00C93E46">
        <w:rPr>
          <w:rFonts w:ascii="Calibri" w:hAnsi="Calibri" w:cs="Calibri"/>
          <w:b/>
          <w:sz w:val="24"/>
        </w:rPr>
        <w:t>OMB Control No. 0607-</w:t>
      </w:r>
      <w:r w:rsidRPr="00C93E46" w:rsidR="006C1102">
        <w:rPr>
          <w:rFonts w:ascii="Calibri" w:hAnsi="Calibri" w:cs="Calibri"/>
          <w:b/>
          <w:sz w:val="24"/>
        </w:rPr>
        <w:t>1001</w:t>
      </w:r>
    </w:p>
    <w:p w:rsidR="00B955B7" w:rsidP="00B955B7" w:rsidRDefault="00B955B7" w14:paraId="5430F5F1" w14:textId="77777777">
      <w:pPr>
        <w:spacing w:before="80"/>
        <w:rPr>
          <w:rFonts w:ascii="Calibri" w:hAnsi="Calibri" w:cs="Calibri"/>
          <w:b/>
          <w:color w:val="FF0000"/>
          <w:sz w:val="24"/>
        </w:rPr>
      </w:pPr>
    </w:p>
    <w:p w:rsidRPr="00124446" w:rsidR="00B955B7" w:rsidP="00942196" w:rsidRDefault="00B955B7" w14:paraId="10FCE78D"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124446" w:rsidR="00B955B7" w:rsidP="00942196" w:rsidRDefault="00C93E46" w14:paraId="65C8FC5F" w14:textId="4BA39DAC">
      <w:pPr>
        <w:pStyle w:val="Heading1"/>
        <w:numPr>
          <w:ilvl w:val="0"/>
          <w:numId w:val="1"/>
        </w:numPr>
        <w:tabs>
          <w:tab w:val="left" w:pos="669"/>
        </w:tabs>
        <w:spacing w:before="185"/>
        <w:ind w:hanging="400"/>
        <w:rPr>
          <w:rFonts w:ascii="Calibri" w:hAnsi="Calibri" w:cs="Calibri"/>
        </w:rPr>
      </w:pPr>
      <w:r>
        <w:rPr>
          <w:rFonts w:ascii="Calibri" w:hAnsi="Calibri" w:cs="Calibri"/>
        </w:rPr>
        <w:t>Universe and Respondent Selection</w:t>
      </w:r>
    </w:p>
    <w:p w:rsidR="00942196" w:rsidP="006C1102" w:rsidRDefault="006C1102" w14:paraId="4FD1C606" w14:textId="6281C70D">
      <w:pPr>
        <w:spacing w:before="161" w:line="259" w:lineRule="auto"/>
        <w:ind w:left="360"/>
        <w:rPr>
          <w:rFonts w:ascii="Calibri" w:hAnsi="Calibri" w:cs="Calibri"/>
          <w:sz w:val="24"/>
        </w:rPr>
      </w:pPr>
      <w:r w:rsidRPr="00C93E46">
        <w:rPr>
          <w:rFonts w:ascii="Calibri" w:hAnsi="Calibri" w:cs="Calibri"/>
          <w:sz w:val="24"/>
        </w:rPr>
        <w:t>The LEHD program does not directly collect the information gathered by the participating states and associated Federal agencies.  As such, it would not be possible to clearly determine the number of individual respondents who have provided the required data.   However, the following table describes the input data sets that are used:</w:t>
      </w:r>
    </w:p>
    <w:p w:rsidRPr="00C93E46" w:rsidR="00C93E46" w:rsidP="006C1102" w:rsidRDefault="00C93E46" w14:paraId="27BE2307" w14:textId="77777777">
      <w:pPr>
        <w:spacing w:before="161" w:line="259" w:lineRule="auto"/>
        <w:ind w:left="360"/>
        <w:rPr>
          <w:rFonts w:ascii="Calibri" w:hAnsi="Calibri" w:cs="Calibri"/>
          <w:sz w:val="24"/>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70"/>
        <w:gridCol w:w="2160"/>
        <w:gridCol w:w="2430"/>
      </w:tblGrid>
      <w:tr w:rsidRPr="00FE08D0" w:rsidR="00FE08D0" w:rsidTr="007C1CD6" w14:paraId="23526D55" w14:textId="77777777">
        <w:trPr>
          <w:trHeight w:val="476"/>
          <w:tblHeader/>
        </w:trPr>
        <w:tc>
          <w:tcPr>
            <w:tcW w:w="4770" w:type="dxa"/>
            <w:tcBorders>
              <w:bottom w:val="single" w:color="auto" w:sz="4" w:space="0"/>
            </w:tcBorders>
            <w:shd w:val="clear" w:color="auto" w:fill="BFBFBF" w:themeFill="background1" w:themeFillShade="BF"/>
            <w:hideMark/>
          </w:tcPr>
          <w:p w:rsidRPr="00FE08D0" w:rsidR="00FE08D0" w:rsidP="00FE08D0" w:rsidRDefault="00FE08D0" w14:paraId="3DA6A973" w14:textId="77777777">
            <w:pPr>
              <w:rPr>
                <w:b/>
                <w:bCs/>
              </w:rPr>
            </w:pPr>
            <w:r w:rsidRPr="00FE08D0">
              <w:rPr>
                <w:b/>
                <w:bCs/>
              </w:rPr>
              <w:t>File</w:t>
            </w:r>
          </w:p>
        </w:tc>
        <w:tc>
          <w:tcPr>
            <w:tcW w:w="2160" w:type="dxa"/>
            <w:tcBorders>
              <w:bottom w:val="single" w:color="auto" w:sz="4" w:space="0"/>
            </w:tcBorders>
            <w:shd w:val="clear" w:color="auto" w:fill="BFBFBF" w:themeFill="background1" w:themeFillShade="BF"/>
            <w:hideMark/>
          </w:tcPr>
          <w:p w:rsidRPr="00FE08D0" w:rsidR="00FE08D0" w:rsidP="00FE08D0" w:rsidRDefault="00FE08D0" w14:paraId="3DBF6F61" w14:textId="77777777">
            <w:pPr>
              <w:rPr>
                <w:b/>
                <w:bCs/>
              </w:rPr>
            </w:pPr>
            <w:r w:rsidRPr="00FE08D0">
              <w:rPr>
                <w:b/>
                <w:bCs/>
              </w:rPr>
              <w:t>Source</w:t>
            </w:r>
          </w:p>
        </w:tc>
        <w:tc>
          <w:tcPr>
            <w:tcW w:w="2430" w:type="dxa"/>
            <w:tcBorders>
              <w:bottom w:val="single" w:color="auto" w:sz="4" w:space="0"/>
            </w:tcBorders>
            <w:shd w:val="clear" w:color="auto" w:fill="BFBFBF" w:themeFill="background1" w:themeFillShade="BF"/>
            <w:hideMark/>
          </w:tcPr>
          <w:p w:rsidRPr="00FE08D0" w:rsidR="00FE08D0" w:rsidP="00FE08D0" w:rsidRDefault="00FE08D0" w14:paraId="7420A477" w14:textId="77777777">
            <w:pPr>
              <w:rPr>
                <w:b/>
                <w:bCs/>
              </w:rPr>
            </w:pPr>
            <w:r w:rsidRPr="00FE08D0">
              <w:rPr>
                <w:b/>
                <w:bCs/>
              </w:rPr>
              <w:t>Delivery Schedule</w:t>
            </w:r>
          </w:p>
        </w:tc>
      </w:tr>
      <w:tr w:rsidRPr="00FE08D0" w:rsidR="00FE08D0" w:rsidTr="007C1CD6" w14:paraId="48601AB6" w14:textId="77777777">
        <w:trPr>
          <w:trHeight w:val="800"/>
        </w:trPr>
        <w:tc>
          <w:tcPr>
            <w:tcW w:w="4770" w:type="dxa"/>
            <w:shd w:val="clear" w:color="auto" w:fill="FFFFFF" w:themeFill="background1"/>
            <w:hideMark/>
          </w:tcPr>
          <w:p w:rsidRPr="00FE08D0" w:rsidR="00FE08D0" w:rsidP="00FE08D0" w:rsidRDefault="00FE08D0" w14:paraId="2C391259" w14:textId="77777777">
            <w:r w:rsidRPr="00FE08D0">
              <w:t>American Housing Survey (AHS)</w:t>
            </w:r>
          </w:p>
        </w:tc>
        <w:tc>
          <w:tcPr>
            <w:tcW w:w="2160" w:type="dxa"/>
            <w:shd w:val="clear" w:color="auto" w:fill="FFFFFF" w:themeFill="background1"/>
            <w:hideMark/>
          </w:tcPr>
          <w:p w:rsidRPr="00FE08D0" w:rsidR="00FE08D0" w:rsidP="00FE08D0" w:rsidRDefault="00FE08D0" w14:paraId="2481AA37" w14:textId="77777777">
            <w:r w:rsidRPr="00FE08D0">
              <w:t>Census Bureau</w:t>
            </w:r>
          </w:p>
        </w:tc>
        <w:tc>
          <w:tcPr>
            <w:tcW w:w="2430" w:type="dxa"/>
            <w:shd w:val="clear" w:color="auto" w:fill="FFFFFF" w:themeFill="background1"/>
            <w:hideMark/>
          </w:tcPr>
          <w:p w:rsidRPr="00FE08D0" w:rsidR="00FE08D0" w:rsidP="00FE08D0" w:rsidRDefault="00FE08D0" w14:paraId="1D6BB734" w14:textId="77777777">
            <w:r w:rsidRPr="00FE08D0">
              <w:t>Yearly</w:t>
            </w:r>
          </w:p>
        </w:tc>
      </w:tr>
      <w:tr w:rsidRPr="00FE08D0" w:rsidR="00FE08D0" w:rsidTr="007C1CD6" w14:paraId="045A15A6" w14:textId="77777777">
        <w:trPr>
          <w:trHeight w:val="719"/>
        </w:trPr>
        <w:tc>
          <w:tcPr>
            <w:tcW w:w="4770" w:type="dxa"/>
            <w:shd w:val="clear" w:color="auto" w:fill="FFFFFF" w:themeFill="background1"/>
            <w:hideMark/>
          </w:tcPr>
          <w:p w:rsidRPr="00FE08D0" w:rsidR="00FE08D0" w:rsidP="00FE08D0" w:rsidRDefault="00FE08D0" w14:paraId="29ED8346" w14:textId="77777777">
            <w:r w:rsidRPr="00FE08D0">
              <w:t xml:space="preserve">Business Dynamics Statistics (BDS) </w:t>
            </w:r>
          </w:p>
        </w:tc>
        <w:tc>
          <w:tcPr>
            <w:tcW w:w="2160" w:type="dxa"/>
            <w:shd w:val="clear" w:color="auto" w:fill="FFFFFF" w:themeFill="background1"/>
            <w:hideMark/>
          </w:tcPr>
          <w:p w:rsidRPr="00FE08D0" w:rsidR="00FE08D0" w:rsidP="00FE08D0" w:rsidRDefault="00FE08D0" w14:paraId="17D1CF07" w14:textId="77777777">
            <w:r w:rsidRPr="00FE08D0">
              <w:t>Census Bureau</w:t>
            </w:r>
          </w:p>
        </w:tc>
        <w:tc>
          <w:tcPr>
            <w:tcW w:w="2430" w:type="dxa"/>
            <w:shd w:val="clear" w:color="auto" w:fill="FFFFFF" w:themeFill="background1"/>
            <w:hideMark/>
          </w:tcPr>
          <w:p w:rsidRPr="00FE08D0" w:rsidR="00FE08D0" w:rsidP="00FE08D0" w:rsidRDefault="00FE08D0" w14:paraId="66FFF4AA" w14:textId="77777777">
            <w:r w:rsidRPr="00FE08D0">
              <w:t>Quarterly</w:t>
            </w:r>
          </w:p>
        </w:tc>
      </w:tr>
      <w:tr w:rsidRPr="00FE08D0" w:rsidR="00FE08D0" w:rsidTr="007C1CD6" w14:paraId="59F75C93" w14:textId="77777777">
        <w:trPr>
          <w:trHeight w:val="800"/>
        </w:trPr>
        <w:tc>
          <w:tcPr>
            <w:tcW w:w="4770" w:type="dxa"/>
            <w:shd w:val="clear" w:color="auto" w:fill="FFFFFF" w:themeFill="background1"/>
            <w:hideMark/>
          </w:tcPr>
          <w:p w:rsidRPr="00FE08D0" w:rsidR="00FE08D0" w:rsidP="00FE08D0" w:rsidRDefault="00FE08D0" w14:paraId="0EFD2666" w14:textId="77777777">
            <w:r w:rsidRPr="00FE08D0">
              <w:t xml:space="preserve">Quarterly Census of Employment and Wages (QCEW) </w:t>
            </w:r>
          </w:p>
        </w:tc>
        <w:tc>
          <w:tcPr>
            <w:tcW w:w="2160" w:type="dxa"/>
            <w:shd w:val="clear" w:color="auto" w:fill="FFFFFF" w:themeFill="background1"/>
            <w:hideMark/>
          </w:tcPr>
          <w:p w:rsidRPr="00FE08D0" w:rsidR="00FE08D0" w:rsidP="00FE08D0" w:rsidRDefault="00FE08D0" w14:paraId="20B6C729" w14:textId="77777777">
            <w:r w:rsidRPr="00FE08D0">
              <w:t>Bureau of Labor Statistics</w:t>
            </w:r>
          </w:p>
        </w:tc>
        <w:tc>
          <w:tcPr>
            <w:tcW w:w="2430" w:type="dxa"/>
            <w:shd w:val="clear" w:color="auto" w:fill="FFFFFF" w:themeFill="background1"/>
            <w:hideMark/>
          </w:tcPr>
          <w:p w:rsidRPr="00FE08D0" w:rsidR="00FE08D0" w:rsidP="00FE08D0" w:rsidRDefault="00FE08D0" w14:paraId="1F033AE6" w14:textId="77777777">
            <w:r w:rsidRPr="00FE08D0">
              <w:t>Quarterly</w:t>
            </w:r>
          </w:p>
        </w:tc>
      </w:tr>
      <w:tr w:rsidRPr="00FE08D0" w:rsidR="00FE08D0" w:rsidTr="007C1CD6" w14:paraId="583D9414" w14:textId="77777777">
        <w:trPr>
          <w:trHeight w:val="620"/>
        </w:trPr>
        <w:tc>
          <w:tcPr>
            <w:tcW w:w="4770" w:type="dxa"/>
            <w:shd w:val="clear" w:color="auto" w:fill="FFFFFF" w:themeFill="background1"/>
            <w:hideMark/>
          </w:tcPr>
          <w:p w:rsidRPr="00FE08D0" w:rsidR="00FE08D0" w:rsidP="00FE08D0" w:rsidRDefault="00FE08D0" w14:paraId="01A75723" w14:textId="77777777">
            <w:r w:rsidRPr="00FE08D0">
              <w:t>Current Population Survey (CPS)</w:t>
            </w:r>
          </w:p>
        </w:tc>
        <w:tc>
          <w:tcPr>
            <w:tcW w:w="2160" w:type="dxa"/>
            <w:shd w:val="clear" w:color="auto" w:fill="FFFFFF" w:themeFill="background1"/>
            <w:hideMark/>
          </w:tcPr>
          <w:p w:rsidRPr="00FE08D0" w:rsidR="00FE08D0" w:rsidP="00FE08D0" w:rsidRDefault="00FE08D0" w14:paraId="0BC68421" w14:textId="77777777">
            <w:r w:rsidRPr="00FE08D0">
              <w:t>Census Bureau</w:t>
            </w:r>
          </w:p>
        </w:tc>
        <w:tc>
          <w:tcPr>
            <w:tcW w:w="2430" w:type="dxa"/>
            <w:shd w:val="clear" w:color="auto" w:fill="FFFFFF" w:themeFill="background1"/>
            <w:hideMark/>
          </w:tcPr>
          <w:p w:rsidRPr="00FE08D0" w:rsidR="00FE08D0" w:rsidP="00FE08D0" w:rsidRDefault="00FE08D0" w14:paraId="59C7921F" w14:textId="77777777">
            <w:r w:rsidRPr="00FE08D0">
              <w:t>Yearly</w:t>
            </w:r>
          </w:p>
        </w:tc>
      </w:tr>
      <w:tr w:rsidRPr="00FE08D0" w:rsidR="00FE08D0" w:rsidTr="007C1CD6" w14:paraId="165FCA62" w14:textId="77777777">
        <w:trPr>
          <w:trHeight w:val="710"/>
        </w:trPr>
        <w:tc>
          <w:tcPr>
            <w:tcW w:w="4770" w:type="dxa"/>
            <w:shd w:val="clear" w:color="auto" w:fill="FFFFFF" w:themeFill="background1"/>
            <w:hideMark/>
          </w:tcPr>
          <w:p w:rsidRPr="00FE08D0" w:rsidR="00FE08D0" w:rsidP="00FE08D0" w:rsidRDefault="00FE08D0" w14:paraId="4D669922" w14:textId="77777777">
            <w:r w:rsidRPr="00FE08D0">
              <w:t>Federal Workers</w:t>
            </w:r>
          </w:p>
        </w:tc>
        <w:tc>
          <w:tcPr>
            <w:tcW w:w="2160" w:type="dxa"/>
            <w:shd w:val="clear" w:color="auto" w:fill="FFFFFF" w:themeFill="background1"/>
            <w:hideMark/>
          </w:tcPr>
          <w:p w:rsidRPr="00FE08D0" w:rsidR="00FE08D0" w:rsidP="00FE08D0" w:rsidRDefault="00FE08D0" w14:paraId="740D8D55" w14:textId="77777777">
            <w:r w:rsidRPr="00FE08D0">
              <w:t>Office of Personnel Management</w:t>
            </w:r>
          </w:p>
        </w:tc>
        <w:tc>
          <w:tcPr>
            <w:tcW w:w="2430" w:type="dxa"/>
            <w:shd w:val="clear" w:color="auto" w:fill="FFFFFF" w:themeFill="background1"/>
            <w:hideMark/>
          </w:tcPr>
          <w:p w:rsidRPr="00FE08D0" w:rsidR="00FE08D0" w:rsidP="00FE08D0" w:rsidRDefault="00FE08D0" w14:paraId="46F3E9DE" w14:textId="77777777">
            <w:r w:rsidRPr="00FE08D0">
              <w:t>Quarterly</w:t>
            </w:r>
          </w:p>
        </w:tc>
      </w:tr>
      <w:tr w:rsidRPr="00FE08D0" w:rsidR="00FE08D0" w:rsidTr="007C1CD6" w14:paraId="341A7891" w14:textId="77777777">
        <w:trPr>
          <w:trHeight w:val="539"/>
        </w:trPr>
        <w:tc>
          <w:tcPr>
            <w:tcW w:w="4770" w:type="dxa"/>
            <w:shd w:val="clear" w:color="auto" w:fill="FFFFFF" w:themeFill="background1"/>
            <w:hideMark/>
          </w:tcPr>
          <w:p w:rsidRPr="00FE08D0" w:rsidR="00FE08D0" w:rsidP="00FE08D0" w:rsidRDefault="00FE08D0" w14:paraId="73E3D82E" w14:textId="77777777">
            <w:r w:rsidRPr="00FE08D0">
              <w:t xml:space="preserve">Geographic Reference File   </w:t>
            </w:r>
          </w:p>
        </w:tc>
        <w:tc>
          <w:tcPr>
            <w:tcW w:w="2160" w:type="dxa"/>
            <w:shd w:val="clear" w:color="auto" w:fill="FFFFFF" w:themeFill="background1"/>
            <w:hideMark/>
          </w:tcPr>
          <w:p w:rsidRPr="00FE08D0" w:rsidR="00FE08D0" w:rsidP="00FE08D0" w:rsidRDefault="00FE08D0" w14:paraId="06E960F7" w14:textId="77777777">
            <w:r w:rsidRPr="00FE08D0">
              <w:t>Census Bureau</w:t>
            </w:r>
          </w:p>
        </w:tc>
        <w:tc>
          <w:tcPr>
            <w:tcW w:w="2430" w:type="dxa"/>
            <w:shd w:val="clear" w:color="auto" w:fill="FFFFFF" w:themeFill="background1"/>
            <w:hideMark/>
          </w:tcPr>
          <w:p w:rsidRPr="00FE08D0" w:rsidR="00FE08D0" w:rsidP="00FE08D0" w:rsidRDefault="00FE08D0" w14:paraId="423987C5" w14:textId="77777777">
            <w:r w:rsidRPr="00FE08D0">
              <w:t>Yearly</w:t>
            </w:r>
          </w:p>
        </w:tc>
      </w:tr>
      <w:tr w:rsidRPr="00FE08D0" w:rsidR="00FE08D0" w:rsidTr="007C1CD6" w14:paraId="7079C615" w14:textId="77777777">
        <w:trPr>
          <w:trHeight w:val="521"/>
        </w:trPr>
        <w:tc>
          <w:tcPr>
            <w:tcW w:w="4770" w:type="dxa"/>
            <w:shd w:val="clear" w:color="auto" w:fill="FFFFFF" w:themeFill="background1"/>
            <w:hideMark/>
          </w:tcPr>
          <w:p w:rsidRPr="00FE08D0" w:rsidR="00FE08D0" w:rsidP="00FE08D0" w:rsidRDefault="00FE08D0" w14:paraId="76903102" w14:textId="77777777">
            <w:r w:rsidRPr="00FE08D0">
              <w:t>Master Address File Extract</w:t>
            </w:r>
          </w:p>
        </w:tc>
        <w:tc>
          <w:tcPr>
            <w:tcW w:w="2160" w:type="dxa"/>
            <w:shd w:val="clear" w:color="auto" w:fill="FFFFFF" w:themeFill="background1"/>
            <w:hideMark/>
          </w:tcPr>
          <w:p w:rsidRPr="00FE08D0" w:rsidR="00FE08D0" w:rsidP="00FE08D0" w:rsidRDefault="00FE08D0" w14:paraId="14B50DDE" w14:textId="77777777">
            <w:r w:rsidRPr="00FE08D0">
              <w:t>Census Bureau</w:t>
            </w:r>
          </w:p>
        </w:tc>
        <w:tc>
          <w:tcPr>
            <w:tcW w:w="2430" w:type="dxa"/>
            <w:shd w:val="clear" w:color="auto" w:fill="FFFFFF" w:themeFill="background1"/>
            <w:hideMark/>
          </w:tcPr>
          <w:p w:rsidRPr="00FE08D0" w:rsidR="00FE08D0" w:rsidP="00FE08D0" w:rsidRDefault="00FE08D0" w14:paraId="00E1C61C" w14:textId="77777777">
            <w:r w:rsidRPr="00FE08D0">
              <w:t>Yearly</w:t>
            </w:r>
          </w:p>
        </w:tc>
      </w:tr>
      <w:tr w:rsidRPr="00FE08D0" w:rsidR="00FE08D0" w:rsidTr="007C1CD6" w14:paraId="649BBA7C" w14:textId="77777777">
        <w:trPr>
          <w:trHeight w:val="449"/>
        </w:trPr>
        <w:tc>
          <w:tcPr>
            <w:tcW w:w="4770" w:type="dxa"/>
            <w:shd w:val="clear" w:color="auto" w:fill="FFFFFF" w:themeFill="background1"/>
            <w:hideMark/>
          </w:tcPr>
          <w:p w:rsidRPr="00FE08D0" w:rsidR="00FE08D0" w:rsidP="00FE08D0" w:rsidRDefault="00FE08D0" w14:paraId="0AB11064" w14:textId="77777777">
            <w:r w:rsidRPr="00FE08D0">
              <w:t>New Business Register</w:t>
            </w:r>
          </w:p>
        </w:tc>
        <w:tc>
          <w:tcPr>
            <w:tcW w:w="2160" w:type="dxa"/>
            <w:shd w:val="clear" w:color="auto" w:fill="FFFFFF" w:themeFill="background1"/>
            <w:hideMark/>
          </w:tcPr>
          <w:p w:rsidRPr="00FE08D0" w:rsidR="00FE08D0" w:rsidP="00FE08D0" w:rsidRDefault="00FE08D0" w14:paraId="45CE759D" w14:textId="77777777">
            <w:r w:rsidRPr="00FE08D0">
              <w:t>Census Bureau</w:t>
            </w:r>
          </w:p>
        </w:tc>
        <w:tc>
          <w:tcPr>
            <w:tcW w:w="2430" w:type="dxa"/>
            <w:shd w:val="clear" w:color="auto" w:fill="FFFFFF" w:themeFill="background1"/>
            <w:hideMark/>
          </w:tcPr>
          <w:p w:rsidRPr="00FE08D0" w:rsidR="00FE08D0" w:rsidP="00FE08D0" w:rsidRDefault="00FE08D0" w14:paraId="1C82E519" w14:textId="77777777">
            <w:r w:rsidRPr="00FE08D0">
              <w:t>Yearly</w:t>
            </w:r>
          </w:p>
        </w:tc>
      </w:tr>
      <w:tr w:rsidRPr="00FE08D0" w:rsidR="00FE08D0" w:rsidTr="007C1CD6" w14:paraId="51FD5DC3" w14:textId="77777777">
        <w:trPr>
          <w:trHeight w:val="701"/>
        </w:trPr>
        <w:tc>
          <w:tcPr>
            <w:tcW w:w="4770" w:type="dxa"/>
            <w:shd w:val="clear" w:color="auto" w:fill="FFFFFF" w:themeFill="background1"/>
            <w:hideMark/>
          </w:tcPr>
          <w:p w:rsidRPr="00FE08D0" w:rsidR="00FE08D0" w:rsidP="00FE08D0" w:rsidRDefault="00FE08D0" w14:paraId="454E0F0C" w14:textId="77777777">
            <w:r w:rsidRPr="00FE08D0">
              <w:t>Geographic Database*</w:t>
            </w:r>
          </w:p>
        </w:tc>
        <w:tc>
          <w:tcPr>
            <w:tcW w:w="2160" w:type="dxa"/>
            <w:shd w:val="clear" w:color="auto" w:fill="FFFFFF" w:themeFill="background1"/>
            <w:hideMark/>
          </w:tcPr>
          <w:p w:rsidRPr="00FE08D0" w:rsidR="00FE08D0" w:rsidP="00FE08D0" w:rsidRDefault="00FE08D0" w14:paraId="5EA41DB1" w14:textId="77777777">
            <w:r w:rsidRPr="00FE08D0">
              <w:t>Pitney Bowes Corporation</w:t>
            </w:r>
          </w:p>
        </w:tc>
        <w:tc>
          <w:tcPr>
            <w:tcW w:w="2430" w:type="dxa"/>
            <w:shd w:val="clear" w:color="auto" w:fill="FFFFFF" w:themeFill="background1"/>
            <w:hideMark/>
          </w:tcPr>
          <w:p w:rsidRPr="00FE08D0" w:rsidR="00FE08D0" w:rsidP="00FE08D0" w:rsidRDefault="00FE08D0" w14:paraId="59140370" w14:textId="77777777">
            <w:r w:rsidRPr="00FE08D0">
              <w:t>Quarterly</w:t>
            </w:r>
          </w:p>
          <w:p w:rsidRPr="00FE08D0" w:rsidR="00FE08D0" w:rsidP="00FE08D0" w:rsidRDefault="00FE08D0" w14:paraId="6FD4CE5B" w14:textId="77777777"/>
        </w:tc>
      </w:tr>
      <w:tr w:rsidRPr="00FE08D0" w:rsidR="00FE08D0" w:rsidTr="007C1CD6" w14:paraId="1D5990D0" w14:textId="77777777">
        <w:trPr>
          <w:trHeight w:val="530"/>
        </w:trPr>
        <w:tc>
          <w:tcPr>
            <w:tcW w:w="4770" w:type="dxa"/>
            <w:shd w:val="clear" w:color="auto" w:fill="FFFFFF" w:themeFill="background1"/>
            <w:hideMark/>
          </w:tcPr>
          <w:p w:rsidRPr="00FE08D0" w:rsidR="00FE08D0" w:rsidP="00FE08D0" w:rsidRDefault="00FE08D0" w14:paraId="0002E07A" w14:textId="77777777">
            <w:r w:rsidRPr="00FE08D0">
              <w:t>Composite Person Record</w:t>
            </w:r>
          </w:p>
        </w:tc>
        <w:tc>
          <w:tcPr>
            <w:tcW w:w="2160" w:type="dxa"/>
            <w:shd w:val="clear" w:color="auto" w:fill="FFFFFF" w:themeFill="background1"/>
            <w:hideMark/>
          </w:tcPr>
          <w:p w:rsidRPr="00FE08D0" w:rsidR="00FE08D0" w:rsidP="00FE08D0" w:rsidRDefault="00FE08D0" w14:paraId="096A6B9C" w14:textId="77777777">
            <w:r w:rsidRPr="00FE08D0">
              <w:t>Census Bureau</w:t>
            </w:r>
          </w:p>
        </w:tc>
        <w:tc>
          <w:tcPr>
            <w:tcW w:w="2430" w:type="dxa"/>
            <w:shd w:val="clear" w:color="auto" w:fill="FFFFFF" w:themeFill="background1"/>
            <w:hideMark/>
          </w:tcPr>
          <w:p w:rsidRPr="00FE08D0" w:rsidR="00FE08D0" w:rsidP="00FE08D0" w:rsidRDefault="00FE08D0" w14:paraId="52AEF77E" w14:textId="77777777">
            <w:r w:rsidRPr="00FE08D0">
              <w:t>Yearly</w:t>
            </w:r>
          </w:p>
        </w:tc>
      </w:tr>
      <w:tr w:rsidRPr="00FE08D0" w:rsidR="00FE08D0" w:rsidTr="007C1CD6" w14:paraId="0C37E83D" w14:textId="77777777">
        <w:trPr>
          <w:trHeight w:val="521"/>
        </w:trPr>
        <w:tc>
          <w:tcPr>
            <w:tcW w:w="4770" w:type="dxa"/>
            <w:shd w:val="clear" w:color="auto" w:fill="FFFFFF" w:themeFill="background1"/>
            <w:hideMark/>
          </w:tcPr>
          <w:p w:rsidRPr="00FE08D0" w:rsidR="00FE08D0" w:rsidP="00FE08D0" w:rsidRDefault="00FE08D0" w14:paraId="1015357C" w14:textId="77777777">
            <w:r w:rsidRPr="00FE08D0">
              <w:t xml:space="preserve">Master Address File Auxiliary Reference File </w:t>
            </w:r>
          </w:p>
        </w:tc>
        <w:tc>
          <w:tcPr>
            <w:tcW w:w="2160" w:type="dxa"/>
            <w:shd w:val="clear" w:color="auto" w:fill="FFFFFF" w:themeFill="background1"/>
            <w:hideMark/>
          </w:tcPr>
          <w:p w:rsidRPr="00FE08D0" w:rsidR="00FE08D0" w:rsidP="00FE08D0" w:rsidRDefault="00FE08D0" w14:paraId="18B1992F" w14:textId="77777777">
            <w:r w:rsidRPr="00FE08D0">
              <w:t>Census Bureau</w:t>
            </w:r>
          </w:p>
        </w:tc>
        <w:tc>
          <w:tcPr>
            <w:tcW w:w="2430" w:type="dxa"/>
            <w:shd w:val="clear" w:color="auto" w:fill="FFFFFF" w:themeFill="background1"/>
            <w:hideMark/>
          </w:tcPr>
          <w:p w:rsidRPr="00FE08D0" w:rsidR="00FE08D0" w:rsidP="00FE08D0" w:rsidRDefault="00FE08D0" w14:paraId="704E7052" w14:textId="77777777">
            <w:r w:rsidRPr="00FE08D0">
              <w:t>Yearly</w:t>
            </w:r>
          </w:p>
        </w:tc>
      </w:tr>
      <w:tr w:rsidRPr="00FE08D0" w:rsidR="00FE08D0" w:rsidTr="007C1CD6" w14:paraId="120DD706" w14:textId="77777777">
        <w:trPr>
          <w:trHeight w:val="449"/>
        </w:trPr>
        <w:tc>
          <w:tcPr>
            <w:tcW w:w="4770" w:type="dxa"/>
            <w:shd w:val="clear" w:color="auto" w:fill="FFFFFF" w:themeFill="background1"/>
            <w:hideMark/>
          </w:tcPr>
          <w:p w:rsidRPr="00FE08D0" w:rsidR="00FE08D0" w:rsidP="00FE08D0" w:rsidRDefault="00FE08D0" w14:paraId="57D515BF" w14:textId="77777777">
            <w:r w:rsidRPr="00FE08D0">
              <w:t xml:space="preserve">Residence Candidate File </w:t>
            </w:r>
          </w:p>
        </w:tc>
        <w:tc>
          <w:tcPr>
            <w:tcW w:w="2160" w:type="dxa"/>
            <w:shd w:val="clear" w:color="auto" w:fill="FFFFFF" w:themeFill="background1"/>
            <w:hideMark/>
          </w:tcPr>
          <w:p w:rsidRPr="00FE08D0" w:rsidR="00FE08D0" w:rsidP="00FE08D0" w:rsidRDefault="00FE08D0" w14:paraId="24B012F6" w14:textId="77777777">
            <w:r w:rsidRPr="00FE08D0">
              <w:t>Census Bureau</w:t>
            </w:r>
          </w:p>
        </w:tc>
        <w:tc>
          <w:tcPr>
            <w:tcW w:w="2430" w:type="dxa"/>
            <w:shd w:val="clear" w:color="auto" w:fill="FFFFFF" w:themeFill="background1"/>
            <w:hideMark/>
          </w:tcPr>
          <w:p w:rsidRPr="00FE08D0" w:rsidR="00FE08D0" w:rsidP="00FE08D0" w:rsidRDefault="00FE08D0" w14:paraId="11D4214A" w14:textId="77777777">
            <w:r w:rsidRPr="00FE08D0">
              <w:t>Yearly</w:t>
            </w:r>
          </w:p>
        </w:tc>
      </w:tr>
      <w:tr w:rsidRPr="00FE08D0" w:rsidR="00FE08D0" w:rsidTr="007C1CD6" w14:paraId="0B99E8EE" w14:textId="77777777">
        <w:trPr>
          <w:trHeight w:val="521"/>
        </w:trPr>
        <w:tc>
          <w:tcPr>
            <w:tcW w:w="4770" w:type="dxa"/>
            <w:shd w:val="clear" w:color="auto" w:fill="FFFFFF" w:themeFill="background1"/>
            <w:hideMark/>
          </w:tcPr>
          <w:p w:rsidRPr="00FE08D0" w:rsidR="00FE08D0" w:rsidP="00FE08D0" w:rsidRDefault="00FE08D0" w14:paraId="37FEAB11" w14:textId="77777777">
            <w:r w:rsidRPr="00FE08D0">
              <w:lastRenderedPageBreak/>
              <w:t xml:space="preserve">Survey of Income and Program Participation </w:t>
            </w:r>
          </w:p>
        </w:tc>
        <w:tc>
          <w:tcPr>
            <w:tcW w:w="2160" w:type="dxa"/>
            <w:shd w:val="clear" w:color="auto" w:fill="FFFFFF" w:themeFill="background1"/>
            <w:hideMark/>
          </w:tcPr>
          <w:p w:rsidRPr="00FE08D0" w:rsidR="00FE08D0" w:rsidP="00FE08D0" w:rsidRDefault="00FE08D0" w14:paraId="3FF57342" w14:textId="77777777">
            <w:r w:rsidRPr="00FE08D0">
              <w:t>Census Bureau</w:t>
            </w:r>
          </w:p>
        </w:tc>
        <w:tc>
          <w:tcPr>
            <w:tcW w:w="2430" w:type="dxa"/>
            <w:shd w:val="clear" w:color="auto" w:fill="FFFFFF" w:themeFill="background1"/>
            <w:hideMark/>
          </w:tcPr>
          <w:p w:rsidRPr="00FE08D0" w:rsidR="00FE08D0" w:rsidP="00FE08D0" w:rsidRDefault="00FE08D0" w14:paraId="46537AC6" w14:textId="77777777">
            <w:r w:rsidRPr="00FE08D0">
              <w:t>Yearly</w:t>
            </w:r>
          </w:p>
        </w:tc>
      </w:tr>
      <w:tr w:rsidRPr="00FE08D0" w:rsidR="00FE08D0" w:rsidTr="007C1CD6" w14:paraId="3FBE611B" w14:textId="77777777">
        <w:trPr>
          <w:trHeight w:val="764"/>
        </w:trPr>
        <w:tc>
          <w:tcPr>
            <w:tcW w:w="4770" w:type="dxa"/>
            <w:shd w:val="clear" w:color="auto" w:fill="FFFFFF" w:themeFill="background1"/>
            <w:hideMark/>
          </w:tcPr>
          <w:p w:rsidRPr="00FE08D0" w:rsidR="00FE08D0" w:rsidP="00FE08D0" w:rsidRDefault="00FE08D0" w14:paraId="2A89B4A0" w14:textId="77777777">
            <w:r w:rsidRPr="00FE08D0">
              <w:t>Topologically Integrated Geographic Encoding and Referencing</w:t>
            </w:r>
          </w:p>
        </w:tc>
        <w:tc>
          <w:tcPr>
            <w:tcW w:w="2160" w:type="dxa"/>
            <w:shd w:val="clear" w:color="auto" w:fill="FFFFFF" w:themeFill="background1"/>
            <w:hideMark/>
          </w:tcPr>
          <w:p w:rsidRPr="00FE08D0" w:rsidR="00FE08D0" w:rsidP="00FE08D0" w:rsidRDefault="00FE08D0" w14:paraId="7FE32082" w14:textId="77777777">
            <w:r w:rsidRPr="00FE08D0">
              <w:t>Census Bureau</w:t>
            </w:r>
          </w:p>
        </w:tc>
        <w:tc>
          <w:tcPr>
            <w:tcW w:w="2430" w:type="dxa"/>
            <w:shd w:val="clear" w:color="auto" w:fill="FFFFFF" w:themeFill="background1"/>
            <w:hideMark/>
          </w:tcPr>
          <w:p w:rsidRPr="00FE08D0" w:rsidR="00FE08D0" w:rsidP="00FE08D0" w:rsidRDefault="00FE08D0" w14:paraId="476318E2" w14:textId="77777777">
            <w:r w:rsidRPr="00FE08D0">
              <w:t>Yearly</w:t>
            </w:r>
          </w:p>
        </w:tc>
      </w:tr>
      <w:tr w:rsidRPr="00FE08D0" w:rsidR="00FE08D0" w:rsidTr="007C1CD6" w14:paraId="38111664" w14:textId="77777777">
        <w:trPr>
          <w:trHeight w:val="539"/>
        </w:trPr>
        <w:tc>
          <w:tcPr>
            <w:tcW w:w="4770" w:type="dxa"/>
            <w:shd w:val="clear" w:color="auto" w:fill="FFFFFF" w:themeFill="background1"/>
            <w:hideMark/>
          </w:tcPr>
          <w:p w:rsidRPr="00FE08D0" w:rsidR="00FE08D0" w:rsidP="00FE08D0" w:rsidRDefault="00FE08D0" w14:paraId="05A01BD5" w14:textId="77777777">
            <w:r w:rsidRPr="00FE08D0">
              <w:t>Unemployment Insurance Wage File</w:t>
            </w:r>
          </w:p>
        </w:tc>
        <w:tc>
          <w:tcPr>
            <w:tcW w:w="2160" w:type="dxa"/>
            <w:shd w:val="clear" w:color="auto" w:fill="FFFFFF" w:themeFill="background1"/>
            <w:hideMark/>
          </w:tcPr>
          <w:p w:rsidRPr="00FE08D0" w:rsidR="00FE08D0" w:rsidP="00FE08D0" w:rsidRDefault="00FE08D0" w14:paraId="6A5877BE" w14:textId="77777777">
            <w:r w:rsidRPr="00FE08D0">
              <w:t>State Partners</w:t>
            </w:r>
          </w:p>
        </w:tc>
        <w:tc>
          <w:tcPr>
            <w:tcW w:w="2430" w:type="dxa"/>
            <w:shd w:val="clear" w:color="auto" w:fill="FFFFFF" w:themeFill="background1"/>
            <w:hideMark/>
          </w:tcPr>
          <w:p w:rsidRPr="00FE08D0" w:rsidR="00FE08D0" w:rsidP="00FE08D0" w:rsidRDefault="00FE08D0" w14:paraId="5EF6AB28" w14:textId="77777777">
            <w:r w:rsidRPr="00FE08D0">
              <w:t>Quarterly</w:t>
            </w:r>
          </w:p>
        </w:tc>
      </w:tr>
      <w:tr w:rsidRPr="00FE08D0" w:rsidR="00FE08D0" w:rsidTr="007C1CD6" w14:paraId="7531DE05" w14:textId="77777777">
        <w:trPr>
          <w:trHeight w:val="872"/>
        </w:trPr>
        <w:tc>
          <w:tcPr>
            <w:tcW w:w="4770" w:type="dxa"/>
            <w:shd w:val="clear" w:color="auto" w:fill="FFFFFF" w:themeFill="background1"/>
            <w:hideMark/>
          </w:tcPr>
          <w:p w:rsidRPr="00FE08D0" w:rsidR="00FE08D0" w:rsidP="00FE08D0" w:rsidRDefault="00FE08D0" w14:paraId="0294D3A6" w14:textId="77777777">
            <w:r w:rsidRPr="00FE08D0">
              <w:t>Quarterly Census of Employment and Wages (ES-202)</w:t>
            </w:r>
          </w:p>
        </w:tc>
        <w:tc>
          <w:tcPr>
            <w:tcW w:w="2160" w:type="dxa"/>
            <w:shd w:val="clear" w:color="auto" w:fill="FFFFFF" w:themeFill="background1"/>
            <w:hideMark/>
          </w:tcPr>
          <w:p w:rsidRPr="00FE08D0" w:rsidR="00FE08D0" w:rsidP="00FE08D0" w:rsidRDefault="00FE08D0" w14:paraId="22882833" w14:textId="77777777">
            <w:r w:rsidRPr="00FE08D0">
              <w:t>State Partners</w:t>
            </w:r>
          </w:p>
        </w:tc>
        <w:tc>
          <w:tcPr>
            <w:tcW w:w="2430" w:type="dxa"/>
            <w:shd w:val="clear" w:color="auto" w:fill="FFFFFF" w:themeFill="background1"/>
            <w:hideMark/>
          </w:tcPr>
          <w:p w:rsidRPr="00FE08D0" w:rsidR="00FE08D0" w:rsidP="00FE08D0" w:rsidRDefault="00FE08D0" w14:paraId="5C7AFC67" w14:textId="77777777">
            <w:r w:rsidRPr="00FE08D0">
              <w:t>Quarterly</w:t>
            </w:r>
          </w:p>
        </w:tc>
      </w:tr>
      <w:tr w:rsidRPr="00FE08D0" w:rsidR="00FE08D0" w:rsidTr="007C1CD6" w14:paraId="49D9CFCB" w14:textId="77777777">
        <w:trPr>
          <w:trHeight w:val="629"/>
        </w:trPr>
        <w:tc>
          <w:tcPr>
            <w:tcW w:w="4770" w:type="dxa"/>
            <w:shd w:val="clear" w:color="auto" w:fill="FFFFFF" w:themeFill="background1"/>
            <w:hideMark/>
          </w:tcPr>
          <w:p w:rsidRPr="00FE08D0" w:rsidR="00FE08D0" w:rsidP="00FE08D0" w:rsidRDefault="00FE08D0" w14:paraId="151F6785" w14:textId="77777777">
            <w:r w:rsidRPr="00FE08D0">
              <w:t>WIB Definitions files</w:t>
            </w:r>
          </w:p>
        </w:tc>
        <w:tc>
          <w:tcPr>
            <w:tcW w:w="2160" w:type="dxa"/>
            <w:shd w:val="clear" w:color="auto" w:fill="FFFFFF" w:themeFill="background1"/>
            <w:hideMark/>
          </w:tcPr>
          <w:p w:rsidRPr="00FE08D0" w:rsidR="00FE08D0" w:rsidP="00FE08D0" w:rsidRDefault="00FE08D0" w14:paraId="70D31CF9" w14:textId="77777777">
            <w:r w:rsidRPr="00FE08D0">
              <w:t>State Partners</w:t>
            </w:r>
          </w:p>
        </w:tc>
        <w:tc>
          <w:tcPr>
            <w:tcW w:w="2430" w:type="dxa"/>
            <w:shd w:val="clear" w:color="auto" w:fill="FFFFFF" w:themeFill="background1"/>
            <w:hideMark/>
          </w:tcPr>
          <w:p w:rsidRPr="00FE08D0" w:rsidR="00FE08D0" w:rsidP="00FE08D0" w:rsidRDefault="00FE08D0" w14:paraId="6E0B7D7B" w14:textId="77777777">
            <w:r w:rsidRPr="00FE08D0">
              <w:t>Acquired as needed</w:t>
            </w:r>
          </w:p>
        </w:tc>
      </w:tr>
    </w:tbl>
    <w:p w:rsidRPr="00C93E46" w:rsidR="00FE08D0" w:rsidP="006C1102" w:rsidRDefault="00FE08D0" w14:paraId="44057F2E" w14:textId="77777777">
      <w:pPr>
        <w:spacing w:before="161" w:line="259" w:lineRule="auto"/>
        <w:ind w:left="360"/>
        <w:rPr>
          <w:rFonts w:ascii="Calibri" w:hAnsi="Calibri" w:cs="Calibri"/>
          <w:sz w:val="24"/>
        </w:rPr>
      </w:pPr>
      <w:r w:rsidRPr="00C93E46">
        <w:rPr>
          <w:rFonts w:ascii="Calibri" w:hAnsi="Calibri" w:cs="Calibri"/>
          <w:sz w:val="24"/>
        </w:rPr>
        <w:t>*Note:  Database is included with application used for generating data products</w:t>
      </w:r>
    </w:p>
    <w:p w:rsidRPr="006C1102" w:rsidR="00FE08D0" w:rsidP="006C1102" w:rsidRDefault="00FE08D0" w14:paraId="21ECD8C9" w14:textId="77777777">
      <w:pPr>
        <w:spacing w:before="161" w:line="259" w:lineRule="auto"/>
        <w:ind w:left="360"/>
        <w:rPr>
          <w:rFonts w:ascii="Calibri" w:hAnsi="Calibri" w:cs="Calibri"/>
          <w:b/>
          <w:bCs/>
          <w:color w:val="FF0000"/>
          <w:sz w:val="24"/>
        </w:rPr>
      </w:pPr>
    </w:p>
    <w:p w:rsidRPr="00A057FA" w:rsidR="00A057FA" w:rsidP="006C1102" w:rsidRDefault="00A057FA" w14:paraId="16455F07" w14:textId="77777777">
      <w:pPr>
        <w:spacing w:before="161"/>
        <w:ind w:left="360" w:right="362"/>
        <w:rPr>
          <w:rFonts w:ascii="Calibri" w:hAnsi="Calibri" w:cs="Calibri"/>
          <w:b/>
          <w:color w:val="FF0000"/>
          <w:sz w:val="24"/>
        </w:rPr>
      </w:pPr>
    </w:p>
    <w:p w:rsidRPr="00C93E46" w:rsidR="00C93E46" w:rsidP="00C93E46" w:rsidRDefault="00C93E46" w14:paraId="5557C696" w14:textId="77777777">
      <w:pPr>
        <w:pStyle w:val="ListParagraph"/>
        <w:numPr>
          <w:ilvl w:val="0"/>
          <w:numId w:val="1"/>
        </w:numPr>
        <w:ind w:left="360" w:right="362" w:hanging="360"/>
        <w:rPr>
          <w:rFonts w:ascii="Calibri" w:hAnsi="Calibri" w:cs="Calibri"/>
          <w:b/>
          <w:bCs/>
          <w:color w:val="FF0000"/>
          <w:sz w:val="24"/>
        </w:rPr>
      </w:pPr>
      <w:r>
        <w:rPr>
          <w:rFonts w:ascii="Calibri" w:hAnsi="Calibri" w:cs="Calibri"/>
          <w:b/>
          <w:bCs/>
          <w:sz w:val="24"/>
          <w:szCs w:val="24"/>
        </w:rPr>
        <w:t>P</w:t>
      </w:r>
      <w:r w:rsidRPr="00A63C05" w:rsidR="00B955B7">
        <w:rPr>
          <w:rFonts w:ascii="Calibri" w:hAnsi="Calibri" w:cs="Calibri"/>
          <w:b/>
          <w:bCs/>
          <w:sz w:val="24"/>
          <w:szCs w:val="24"/>
        </w:rPr>
        <w:t xml:space="preserve">rocedures for </w:t>
      </w:r>
      <w:r>
        <w:rPr>
          <w:rFonts w:ascii="Calibri" w:hAnsi="Calibri" w:cs="Calibri"/>
          <w:b/>
          <w:bCs/>
          <w:sz w:val="24"/>
          <w:szCs w:val="24"/>
        </w:rPr>
        <w:t>C</w:t>
      </w:r>
      <w:r w:rsidRPr="00A63C05" w:rsidR="00B955B7">
        <w:rPr>
          <w:rFonts w:ascii="Calibri" w:hAnsi="Calibri" w:cs="Calibri"/>
          <w:b/>
          <w:bCs/>
          <w:sz w:val="24"/>
          <w:szCs w:val="24"/>
        </w:rPr>
        <w:t>ollect</w:t>
      </w:r>
      <w:r>
        <w:rPr>
          <w:rFonts w:ascii="Calibri" w:hAnsi="Calibri" w:cs="Calibri"/>
          <w:b/>
          <w:bCs/>
          <w:sz w:val="24"/>
          <w:szCs w:val="24"/>
        </w:rPr>
        <w:t>ing I</w:t>
      </w:r>
      <w:r w:rsidRPr="00A63C05" w:rsidR="00B955B7">
        <w:rPr>
          <w:rFonts w:ascii="Calibri" w:hAnsi="Calibri" w:cs="Calibri"/>
          <w:b/>
          <w:bCs/>
          <w:sz w:val="24"/>
          <w:szCs w:val="24"/>
        </w:rPr>
        <w:t xml:space="preserve">nformation </w:t>
      </w:r>
    </w:p>
    <w:p w:rsidRPr="00C93E46" w:rsidR="00FE08D0" w:rsidP="00C93E46" w:rsidRDefault="00FE08D0" w14:paraId="0974FDCF" w14:textId="02CEDF43">
      <w:pPr>
        <w:pStyle w:val="ListParagraph"/>
        <w:ind w:left="360" w:right="362" w:firstLine="0"/>
        <w:rPr>
          <w:rFonts w:ascii="Calibri" w:hAnsi="Calibri" w:cs="Calibri"/>
          <w:sz w:val="24"/>
        </w:rPr>
      </w:pPr>
      <w:r w:rsidRPr="00C93E46">
        <w:rPr>
          <w:rFonts w:ascii="Calibri" w:hAnsi="Calibri" w:cs="Calibri"/>
          <w:sz w:val="24"/>
        </w:rPr>
        <w:t>The collection of data occurs in accordance with the rules established by a Memorandum of Understanding (MOU) with each member of the Local Employment Dynamics (LED) partnership.   This partnership was established to allow for the collection of required data from each of the states and the governance of how is to be sent and used.</w:t>
      </w:r>
    </w:p>
    <w:p w:rsidRPr="00C93E46" w:rsidR="00A057FA" w:rsidP="00FE08D0" w:rsidRDefault="00FE08D0" w14:paraId="6839B71A" w14:textId="77777777">
      <w:pPr>
        <w:spacing w:before="161" w:line="259" w:lineRule="auto"/>
        <w:ind w:left="360"/>
        <w:rPr>
          <w:rFonts w:ascii="Calibri" w:hAnsi="Calibri" w:cs="Calibri"/>
          <w:sz w:val="24"/>
        </w:rPr>
      </w:pPr>
      <w:r w:rsidRPr="00C93E46">
        <w:rPr>
          <w:rFonts w:ascii="Calibri" w:hAnsi="Calibri" w:cs="Calibri"/>
          <w:sz w:val="24"/>
        </w:rPr>
        <w:t>For state partners, their data is submitted directly using security File Transfer Protocol (FTP) to the Census secure servers where Personally Identifiable Information (PII) goes through a process to replace it with Protected Identification Keys (PIK).   This “PIKing” process also applies to all other administrative data that are used by the LEHD program.  For all other required administration data, they are transferred or referenced by the QWI production system.   Data collection also includes activities such as validation of data quality.</w:t>
      </w:r>
    </w:p>
    <w:p w:rsidRPr="006C1102" w:rsidR="00942196" w:rsidP="006C1102" w:rsidRDefault="00942196" w14:paraId="09325689" w14:textId="77777777">
      <w:pPr>
        <w:spacing w:before="161" w:line="259" w:lineRule="auto"/>
        <w:ind w:left="360"/>
        <w:rPr>
          <w:rFonts w:ascii="Calibri" w:hAnsi="Calibri" w:cs="Calibri"/>
          <w:b/>
          <w:bCs/>
          <w:color w:val="FF0000"/>
          <w:sz w:val="24"/>
        </w:rPr>
      </w:pPr>
    </w:p>
    <w:p w:rsidRPr="00124446" w:rsidR="00B955B7" w:rsidP="00942196" w:rsidRDefault="00C93E46" w14:paraId="6B2E836F" w14:textId="3CF69828">
      <w:pPr>
        <w:pStyle w:val="Heading1"/>
        <w:numPr>
          <w:ilvl w:val="0"/>
          <w:numId w:val="1"/>
        </w:numPr>
        <w:tabs>
          <w:tab w:val="left" w:pos="669"/>
        </w:tabs>
        <w:spacing w:before="159"/>
        <w:ind w:hanging="400"/>
        <w:rPr>
          <w:rFonts w:ascii="Calibri" w:hAnsi="Calibri" w:cs="Calibri"/>
        </w:rPr>
      </w:pPr>
      <w:r>
        <w:rPr>
          <w:rFonts w:ascii="Calibri" w:hAnsi="Calibri" w:cs="Calibri"/>
        </w:rPr>
        <w:t>Methods to Maximize Response and Accounting for Nonresponse</w:t>
      </w:r>
    </w:p>
    <w:p w:rsidRPr="00C93E46" w:rsidR="00FE08D0" w:rsidP="00FE08D0" w:rsidRDefault="00FE08D0" w14:paraId="133E839F" w14:textId="77777777">
      <w:pPr>
        <w:spacing w:before="161" w:line="259" w:lineRule="auto"/>
        <w:ind w:left="360"/>
        <w:rPr>
          <w:rFonts w:ascii="Calibri" w:hAnsi="Calibri" w:cs="Calibri"/>
          <w:sz w:val="24"/>
        </w:rPr>
      </w:pPr>
      <w:r w:rsidRPr="00C93E46">
        <w:rPr>
          <w:rFonts w:ascii="Calibri" w:hAnsi="Calibri" w:cs="Calibri"/>
          <w:sz w:val="24"/>
        </w:rPr>
        <w:t>To ensure maximum response (i.e., gaining access to required data sets), the LEHD program enters into MOUs with the state partners as well as data sharing agreements for use of other administrative data.   It is through these agreements that the LEHD program gains access to as much of the required data as possible.</w:t>
      </w:r>
    </w:p>
    <w:p w:rsidRPr="00C93E46" w:rsidR="00A057FA" w:rsidP="00FE08D0" w:rsidRDefault="00FE08D0" w14:paraId="604C2D39" w14:textId="77777777">
      <w:pPr>
        <w:spacing w:before="161" w:line="259" w:lineRule="auto"/>
        <w:ind w:left="360"/>
        <w:rPr>
          <w:rFonts w:ascii="Calibri" w:hAnsi="Calibri" w:cs="Calibri"/>
          <w:sz w:val="24"/>
        </w:rPr>
      </w:pPr>
      <w:r w:rsidRPr="00C93E46">
        <w:rPr>
          <w:rFonts w:ascii="Calibri" w:hAnsi="Calibri" w:cs="Calibri"/>
          <w:sz w:val="24"/>
        </w:rPr>
        <w:t xml:space="preserve">Recognizing the critical nature of the data provided by the state partners, the LEHD program actively promotes and participates in the LED partnership.   This includes facilitating the monthly LED Steering Committee and hosting an annual workshop to promote use of the data and to </w:t>
      </w:r>
      <w:r w:rsidRPr="00C93E46">
        <w:rPr>
          <w:rFonts w:ascii="Calibri" w:hAnsi="Calibri" w:cs="Calibri"/>
          <w:sz w:val="24"/>
        </w:rPr>
        <w:lastRenderedPageBreak/>
        <w:t>provide a forum to educate others on its use.</w:t>
      </w:r>
    </w:p>
    <w:p w:rsidRPr="006C1102" w:rsidR="00942196" w:rsidP="006C1102" w:rsidRDefault="00942196" w14:paraId="656FC1F7" w14:textId="77777777">
      <w:pPr>
        <w:spacing w:before="161" w:line="259" w:lineRule="auto"/>
        <w:ind w:left="360"/>
        <w:rPr>
          <w:rFonts w:ascii="Calibri" w:hAnsi="Calibri" w:cs="Calibri"/>
          <w:b/>
          <w:bCs/>
          <w:color w:val="FF0000"/>
          <w:sz w:val="24"/>
        </w:rPr>
      </w:pPr>
    </w:p>
    <w:p w:rsidRPr="00124446" w:rsidR="00B955B7" w:rsidP="00942196" w:rsidRDefault="00C93E46" w14:paraId="0B710DE8" w14:textId="3D0E6BAA">
      <w:pPr>
        <w:pStyle w:val="Heading1"/>
        <w:numPr>
          <w:ilvl w:val="0"/>
          <w:numId w:val="1"/>
        </w:numPr>
        <w:tabs>
          <w:tab w:val="left" w:pos="669"/>
        </w:tabs>
        <w:spacing w:before="183"/>
        <w:ind w:hanging="400"/>
        <w:rPr>
          <w:rFonts w:ascii="Calibri" w:hAnsi="Calibri" w:cs="Calibri"/>
        </w:rPr>
      </w:pPr>
      <w:r>
        <w:rPr>
          <w:rFonts w:ascii="Calibri" w:hAnsi="Calibri" w:cs="Calibri"/>
        </w:rPr>
        <w:t>Testing of Procedures or Methods</w:t>
      </w:r>
    </w:p>
    <w:p w:rsidRPr="00C93E46" w:rsidR="00A057FA" w:rsidP="006C1102" w:rsidRDefault="00FE08D0" w14:paraId="2A6BCB4D" w14:textId="77777777">
      <w:pPr>
        <w:spacing w:before="161" w:line="259" w:lineRule="auto"/>
        <w:ind w:left="360"/>
        <w:rPr>
          <w:rFonts w:ascii="Calibri" w:hAnsi="Calibri" w:cs="Calibri"/>
          <w:sz w:val="24"/>
        </w:rPr>
      </w:pPr>
      <w:r w:rsidRPr="00C93E46">
        <w:rPr>
          <w:rFonts w:ascii="Calibri" w:hAnsi="Calibri" w:cs="Calibri"/>
          <w:sz w:val="24"/>
        </w:rPr>
        <w:t>We believe that the methods employed by the LEHD program are the most efficient to gather all required data.   However, the program continues to review and work to improve all processes followed in the gathering of required data.</w:t>
      </w:r>
    </w:p>
    <w:p w:rsidRPr="006C1102" w:rsidR="00942196" w:rsidP="006C1102" w:rsidRDefault="00942196" w14:paraId="046304C5" w14:textId="77777777">
      <w:pPr>
        <w:spacing w:before="161" w:line="259" w:lineRule="auto"/>
        <w:ind w:left="360"/>
        <w:rPr>
          <w:rFonts w:ascii="Calibri" w:hAnsi="Calibri" w:cs="Calibri"/>
          <w:b/>
          <w:bCs/>
          <w:color w:val="FF0000"/>
          <w:sz w:val="24"/>
        </w:rPr>
      </w:pPr>
    </w:p>
    <w:p w:rsidRPr="00A74345" w:rsidR="00B955B7" w:rsidP="00A74345" w:rsidRDefault="00A74345" w14:paraId="45429408" w14:textId="769B9DD1">
      <w:pPr>
        <w:pStyle w:val="Heading1"/>
        <w:numPr>
          <w:ilvl w:val="0"/>
          <w:numId w:val="1"/>
        </w:numPr>
        <w:tabs>
          <w:tab w:val="left" w:pos="669"/>
        </w:tabs>
        <w:spacing w:before="183"/>
        <w:ind w:hanging="400"/>
        <w:rPr>
          <w:rFonts w:ascii="Calibri" w:hAnsi="Calibri" w:cs="Calibri"/>
        </w:rPr>
      </w:pPr>
      <w:r>
        <w:rPr>
          <w:rFonts w:ascii="Calibri" w:hAnsi="Calibri" w:cs="Calibri"/>
        </w:rPr>
        <w:t>Contacts for Statistical Aspects and Data Collection</w:t>
      </w:r>
    </w:p>
    <w:p w:rsidRPr="00A74345" w:rsidR="00677C42" w:rsidP="00FE08D0" w:rsidRDefault="00FE08D0" w14:paraId="2635C85B" w14:textId="77777777">
      <w:pPr>
        <w:spacing w:before="161" w:line="259" w:lineRule="auto"/>
        <w:ind w:left="360"/>
        <w:rPr>
          <w:rFonts w:ascii="Calibri" w:hAnsi="Calibri" w:cs="Calibri"/>
          <w:sz w:val="24"/>
        </w:rPr>
      </w:pPr>
      <w:r w:rsidRPr="00A74345">
        <w:rPr>
          <w:rFonts w:ascii="Calibri" w:hAnsi="Calibri" w:cs="Calibri"/>
          <w:sz w:val="24"/>
        </w:rPr>
        <w:t>Erika McEntarfer – LEHD Economics Research Group (LERG) Team Lead - 301-763-8555</w:t>
      </w:r>
    </w:p>
    <w:p w:rsidRPr="006C1102" w:rsidR="00FE08D0" w:rsidP="00FE08D0" w:rsidRDefault="00FE08D0" w14:paraId="78540F8A" w14:textId="77777777">
      <w:pPr>
        <w:spacing w:before="161" w:line="259" w:lineRule="auto"/>
        <w:ind w:left="360"/>
        <w:rPr>
          <w:rFonts w:ascii="Calibri" w:hAnsi="Calibri" w:cs="Calibri"/>
          <w:b/>
          <w:bCs/>
          <w:color w:val="FF0000"/>
          <w:sz w:val="24"/>
        </w:rPr>
      </w:pPr>
    </w:p>
    <w:sectPr w:rsidRPr="006C1102" w:rsidR="00FE08D0" w:rsidSect="00942196">
      <w:footerReference w:type="default" r:id="rId10"/>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52241" w14:textId="77777777" w:rsidR="00BC1E42" w:rsidRDefault="00BC1E42" w:rsidP="00BC1E42">
      <w:r>
        <w:separator/>
      </w:r>
    </w:p>
  </w:endnote>
  <w:endnote w:type="continuationSeparator" w:id="0">
    <w:p w14:paraId="3D40109F"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367147"/>
      <w:docPartObj>
        <w:docPartGallery w:val="Page Numbers (Bottom of Page)"/>
        <w:docPartUnique/>
      </w:docPartObj>
    </w:sdtPr>
    <w:sdtEndPr>
      <w:rPr>
        <w:noProof/>
      </w:rPr>
    </w:sdtEndPr>
    <w:sdtContent>
      <w:p w14:paraId="57FF4385"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76CE34F5"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28D91" w14:textId="77777777" w:rsidR="00BC1E42" w:rsidRDefault="00BC1E42" w:rsidP="00BC1E42">
      <w:r>
        <w:separator/>
      </w:r>
    </w:p>
  </w:footnote>
  <w:footnote w:type="continuationSeparator" w:id="0">
    <w:p w14:paraId="2B8DE98A" w14:textId="77777777"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534"/>
    <w:multiLevelType w:val="hybridMultilevel"/>
    <w:tmpl w:val="46D27A62"/>
    <w:lvl w:ilvl="0" w:tplc="9260E5FA">
      <w:start w:val="1"/>
      <w:numFmt w:val="decimal"/>
      <w:lvlText w:val="%1."/>
      <w:lvlJc w:val="left"/>
      <w:pPr>
        <w:ind w:left="400" w:hanging="269"/>
      </w:pPr>
      <w:rPr>
        <w:rFonts w:asciiTheme="minorHAnsi" w:eastAsia="Arial" w:hAnsiTheme="minorHAnsi" w:cstheme="minorHAnsi" w:hint="default"/>
        <w:b/>
        <w:bCs/>
        <w:color w:val="auto"/>
        <w:w w:val="100"/>
        <w:sz w:val="24"/>
        <w:szCs w:val="24"/>
        <w:lang w:val="en-US" w:eastAsia="en-US" w:bidi="en-US"/>
      </w:rPr>
    </w:lvl>
    <w:lvl w:ilvl="1" w:tplc="56D8EF32">
      <w:numFmt w:val="bullet"/>
      <w:lvlText w:val=""/>
      <w:lvlJc w:val="left"/>
      <w:pPr>
        <w:ind w:left="1120" w:hanging="360"/>
      </w:pPr>
      <w:rPr>
        <w:rFonts w:ascii="Symbol" w:eastAsia="Symbol" w:hAnsi="Symbol" w:cs="Symbol" w:hint="default"/>
        <w:color w:val="auto"/>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30530"/>
    <w:rsid w:val="00442F57"/>
    <w:rsid w:val="004E63BE"/>
    <w:rsid w:val="005367D0"/>
    <w:rsid w:val="00615B02"/>
    <w:rsid w:val="00677C42"/>
    <w:rsid w:val="006C1102"/>
    <w:rsid w:val="007B36BA"/>
    <w:rsid w:val="008218C5"/>
    <w:rsid w:val="00837B80"/>
    <w:rsid w:val="00942196"/>
    <w:rsid w:val="00A057FA"/>
    <w:rsid w:val="00A63C05"/>
    <w:rsid w:val="00A74345"/>
    <w:rsid w:val="00B90413"/>
    <w:rsid w:val="00B955B7"/>
    <w:rsid w:val="00BC1E42"/>
    <w:rsid w:val="00C93E46"/>
    <w:rsid w:val="00E023A4"/>
    <w:rsid w:val="00FE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527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BalloonText">
    <w:name w:val="Balloon Text"/>
    <w:basedOn w:val="Normal"/>
    <w:link w:val="BalloonTextChar"/>
    <w:uiPriority w:val="99"/>
    <w:semiHidden/>
    <w:unhideWhenUsed/>
    <w:rsid w:val="004E6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3BE"/>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EB339-B099-4A60-B5E4-A0465B4D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7BAAD0-7568-4707-9C1E-FBDAD7DF47D9}">
  <ds:schemaRefs>
    <ds:schemaRef ds:uri="http://schemas.microsoft.com/sharepoint/v3/contenttype/forms"/>
  </ds:schemaRefs>
</ds:datastoreItem>
</file>

<file path=customXml/itemProps3.xml><?xml version="1.0" encoding="utf-8"?>
<ds:datastoreItem xmlns:ds="http://schemas.openxmlformats.org/officeDocument/2006/customXml" ds:itemID="{5E954895-8138-467A-A75A-8452648990F2}">
  <ds:schemaRef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Jasmine Luck (CENSUS/CBSM FED)</cp:lastModifiedBy>
  <cp:revision>2</cp:revision>
  <dcterms:created xsi:type="dcterms:W3CDTF">2020-12-16T20:34:00Z</dcterms:created>
  <dcterms:modified xsi:type="dcterms:W3CDTF">2020-12-16T20:34:00Z</dcterms:modified>
</cp:coreProperties>
</file>