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1E889584"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78DCA621"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5774E0" w:rsidR="008E61C9" w:rsidP="00BD7237" w:rsidRDefault="00BD7237" w14:paraId="43DE38E3" w14:textId="77777777">
      <w:pPr>
        <w:spacing w:before="22" w:line="259" w:lineRule="auto"/>
        <w:ind w:firstLine="14"/>
        <w:jc w:val="center"/>
        <w:rPr>
          <w:rFonts w:ascii="Times New Roman" w:hAnsi="Times New Roman" w:cs="Times New Roman"/>
          <w:b/>
          <w:sz w:val="24"/>
          <w:szCs w:val="24"/>
        </w:rPr>
      </w:pPr>
      <w:r w:rsidRPr="005774E0">
        <w:rPr>
          <w:rFonts w:ascii="Times New Roman" w:hAnsi="Times New Roman" w:cs="Times New Roman"/>
          <w:b/>
          <w:sz w:val="24"/>
          <w:szCs w:val="24"/>
        </w:rPr>
        <w:t>National Oceanic &amp; Atmospheric Administration</w:t>
      </w:r>
    </w:p>
    <w:p w:rsidRPr="005774E0" w:rsidR="005774E0" w:rsidP="00BD7237" w:rsidRDefault="005774E0" w14:paraId="0CB60287" w14:textId="77777777">
      <w:pPr>
        <w:spacing w:line="259" w:lineRule="auto"/>
        <w:ind w:hanging="6"/>
        <w:jc w:val="center"/>
        <w:rPr>
          <w:rFonts w:ascii="Times New Roman" w:hAnsi="Times New Roman" w:cs="Times New Roman"/>
          <w:b/>
          <w:color w:val="000000"/>
          <w:sz w:val="24"/>
          <w:szCs w:val="24"/>
          <w:shd w:val="clear" w:color="auto" w:fill="FFFFFF"/>
        </w:rPr>
      </w:pPr>
      <w:r w:rsidRPr="005774E0">
        <w:rPr>
          <w:rFonts w:ascii="Times New Roman" w:hAnsi="Times New Roman" w:cs="Times New Roman"/>
          <w:b/>
          <w:color w:val="000000"/>
          <w:sz w:val="24"/>
          <w:szCs w:val="24"/>
          <w:shd w:val="clear" w:color="auto" w:fill="FFFFFF"/>
        </w:rPr>
        <w:t xml:space="preserve">Reporting and notification requirements in West Coast Pacific Bluefin Tuna Fishery </w:t>
      </w:r>
    </w:p>
    <w:p w:rsidRPr="005774E0" w:rsidR="008E61C9" w:rsidP="00BD7237" w:rsidRDefault="001477A3" w14:paraId="0E783BF2" w14:textId="032710A4">
      <w:pPr>
        <w:spacing w:line="259" w:lineRule="auto"/>
        <w:ind w:hanging="6"/>
        <w:jc w:val="center"/>
        <w:rPr>
          <w:rFonts w:ascii="Times New Roman" w:hAnsi="Times New Roman" w:cs="Times New Roman"/>
          <w:b/>
          <w:sz w:val="24"/>
          <w:szCs w:val="24"/>
        </w:rPr>
      </w:pPr>
      <w:r w:rsidRPr="005774E0">
        <w:rPr>
          <w:rFonts w:ascii="Times New Roman" w:hAnsi="Times New Roman" w:cs="Times New Roman"/>
          <w:b/>
          <w:sz w:val="24"/>
          <w:szCs w:val="24"/>
        </w:rPr>
        <w:t>OMB Control No. 06</w:t>
      </w:r>
      <w:r w:rsidRPr="005774E0" w:rsidR="00BD7237">
        <w:rPr>
          <w:rFonts w:ascii="Times New Roman" w:hAnsi="Times New Roman" w:cs="Times New Roman"/>
          <w:b/>
          <w:sz w:val="24"/>
          <w:szCs w:val="24"/>
        </w:rPr>
        <w:t>48</w:t>
      </w:r>
      <w:r w:rsidRPr="005774E0" w:rsidR="001A2188">
        <w:rPr>
          <w:rFonts w:ascii="Times New Roman" w:hAnsi="Times New Roman" w:cs="Times New Roman"/>
          <w:b/>
          <w:sz w:val="24"/>
          <w:szCs w:val="24"/>
        </w:rPr>
        <w:t>-0778</w:t>
      </w:r>
    </w:p>
    <w:p w:rsidRPr="00BD7237" w:rsidR="008E61C9" w:rsidP="00BD7237" w:rsidRDefault="008E61C9" w14:paraId="35A06DBC" w14:textId="77777777">
      <w:pPr>
        <w:pStyle w:val="BodyText"/>
        <w:spacing w:before="1"/>
        <w:ind w:left="0"/>
        <w:jc w:val="center"/>
        <w:rPr>
          <w:rFonts w:ascii="Times New Roman" w:hAnsi="Times New Roman" w:cs="Times New Roman"/>
          <w:b/>
        </w:rPr>
      </w:pPr>
    </w:p>
    <w:p w:rsidR="008E61C9" w:rsidP="00BD7237" w:rsidRDefault="001477A3" w14:paraId="09F00F6E" w14:textId="7BC85876">
      <w:pPr>
        <w:pStyle w:val="Heading1"/>
        <w:spacing w:before="199"/>
        <w:ind w:left="0"/>
        <w:rPr>
          <w:rFonts w:ascii="Times New Roman" w:hAnsi="Times New Roman" w:cs="Times New Roman"/>
        </w:rPr>
      </w:pPr>
      <w:r w:rsidRPr="00BD7237">
        <w:rPr>
          <w:rFonts w:ascii="Times New Roman" w:hAnsi="Times New Roman" w:cs="Times New Roman"/>
        </w:rPr>
        <w:t>Abstract</w:t>
      </w:r>
    </w:p>
    <w:p w:rsidRPr="001C6C18" w:rsidR="001C6C18" w:rsidP="00BD7237" w:rsidRDefault="001C6C18" w14:paraId="4FF6A6D8" w14:textId="123C23F6">
      <w:pPr>
        <w:pStyle w:val="Heading1"/>
        <w:spacing w:before="199"/>
        <w:ind w:left="0"/>
        <w:rPr>
          <w:rFonts w:ascii="Times New Roman" w:hAnsi="Times New Roman" w:cs="Times New Roman"/>
          <w:b w:val="0"/>
        </w:rPr>
      </w:pPr>
      <w:r>
        <w:rPr>
          <w:rFonts w:ascii="Times New Roman" w:hAnsi="Times New Roman" w:cs="Times New Roman"/>
          <w:b w:val="0"/>
        </w:rPr>
        <w:t xml:space="preserve">This </w:t>
      </w:r>
      <w:r w:rsidR="005774E0">
        <w:rPr>
          <w:rFonts w:ascii="Times New Roman" w:hAnsi="Times New Roman" w:cs="Times New Roman"/>
          <w:b w:val="0"/>
        </w:rPr>
        <w:t>request is for revision of a previously approved information collection in association with pr</w:t>
      </w:r>
      <w:r>
        <w:rPr>
          <w:rFonts w:ascii="Times New Roman" w:hAnsi="Times New Roman" w:cs="Times New Roman"/>
          <w:b w:val="0"/>
        </w:rPr>
        <w:t xml:space="preserve">oposed rule </w:t>
      </w:r>
      <w:r w:rsidR="005774E0">
        <w:rPr>
          <w:rFonts w:ascii="Times New Roman" w:hAnsi="Times New Roman" w:cs="Times New Roman"/>
          <w:b w:val="0"/>
        </w:rPr>
        <w:t xml:space="preserve">0648-BJ26 </w:t>
      </w:r>
      <w:r>
        <w:rPr>
          <w:rFonts w:ascii="Times New Roman" w:hAnsi="Times New Roman" w:cs="Times New Roman"/>
          <w:b w:val="0"/>
        </w:rPr>
        <w:t>to implement Inter-American Tropical Tuna Commission Resolution C</w:t>
      </w:r>
      <w:r w:rsidR="00ED5F80">
        <w:rPr>
          <w:rFonts w:ascii="Times New Roman" w:hAnsi="Times New Roman" w:cs="Times New Roman"/>
          <w:b w:val="0"/>
        </w:rPr>
        <w:t>-20-01</w:t>
      </w:r>
      <w:r>
        <w:rPr>
          <w:rFonts w:ascii="Times New Roman" w:hAnsi="Times New Roman" w:cs="Times New Roman"/>
          <w:b w:val="0"/>
        </w:rPr>
        <w:t xml:space="preserve"> (Measures for the Conservation and Management of Pacific Bluefin Tuna in the Eastern Pacific Ocean, 2021). </w:t>
      </w:r>
      <w:r w:rsidR="00962736">
        <w:rPr>
          <w:rFonts w:ascii="Times New Roman" w:hAnsi="Times New Roman" w:cs="Times New Roman"/>
          <w:b w:val="0"/>
        </w:rPr>
        <w:t xml:space="preserve">The National </w:t>
      </w:r>
      <w:r w:rsidR="005774E0">
        <w:rPr>
          <w:rFonts w:ascii="Times New Roman" w:hAnsi="Times New Roman" w:cs="Times New Roman"/>
          <w:b w:val="0"/>
        </w:rPr>
        <w:t>M</w:t>
      </w:r>
      <w:r w:rsidR="00962736">
        <w:rPr>
          <w:rFonts w:ascii="Times New Roman" w:hAnsi="Times New Roman" w:cs="Times New Roman"/>
          <w:b w:val="0"/>
        </w:rPr>
        <w:t>arine Fisheries Service (</w:t>
      </w:r>
      <w:r>
        <w:rPr>
          <w:rFonts w:ascii="Times New Roman" w:hAnsi="Times New Roman" w:cs="Times New Roman"/>
          <w:b w:val="0"/>
        </w:rPr>
        <w:t>NMFS</w:t>
      </w:r>
      <w:r w:rsidR="00962736">
        <w:rPr>
          <w:rFonts w:ascii="Times New Roman" w:hAnsi="Times New Roman" w:cs="Times New Roman"/>
          <w:b w:val="0"/>
        </w:rPr>
        <w:t>)</w:t>
      </w:r>
      <w:r>
        <w:rPr>
          <w:rFonts w:ascii="Times New Roman" w:hAnsi="Times New Roman" w:cs="Times New Roman"/>
          <w:b w:val="0"/>
        </w:rPr>
        <w:t xml:space="preserve"> is proposing to implement this resolution, which establishes an annual catch limit of 425 </w:t>
      </w:r>
      <w:proofErr w:type="spellStart"/>
      <w:r>
        <w:rPr>
          <w:rFonts w:ascii="Times New Roman" w:hAnsi="Times New Roman" w:cs="Times New Roman"/>
          <w:b w:val="0"/>
        </w:rPr>
        <w:t>mt</w:t>
      </w:r>
      <w:proofErr w:type="spellEnd"/>
      <w:r>
        <w:rPr>
          <w:rFonts w:ascii="Times New Roman" w:hAnsi="Times New Roman" w:cs="Times New Roman"/>
          <w:b w:val="0"/>
        </w:rPr>
        <w:t xml:space="preserve"> of commercial Pacific Bluefin tuna, using trip limits. The information collection would assist in management of the trip and catch limits. NMFS i</w:t>
      </w:r>
      <w:r w:rsidR="001A2188">
        <w:rPr>
          <w:rFonts w:ascii="Times New Roman" w:hAnsi="Times New Roman" w:cs="Times New Roman"/>
          <w:b w:val="0"/>
        </w:rPr>
        <w:t>s proposing to require Pacific b</w:t>
      </w:r>
      <w:r>
        <w:rPr>
          <w:rFonts w:ascii="Times New Roman" w:hAnsi="Times New Roman" w:cs="Times New Roman"/>
          <w:b w:val="0"/>
        </w:rPr>
        <w:t xml:space="preserve">luefin tuna sales be entered into the California Department of Fish Wildlife electronic landing database within 24 hours and request that vessel operators provide a voluntary pre-landing call with an estimate of weight of Pacific bluefin tuna to be landed. </w:t>
      </w:r>
      <w:r w:rsidR="005774E0">
        <w:rPr>
          <w:rFonts w:ascii="Times New Roman" w:hAnsi="Times New Roman" w:cs="Times New Roman"/>
          <w:b w:val="0"/>
        </w:rPr>
        <w:t>In addition, this revision proposes</w:t>
      </w:r>
      <w:r w:rsidR="00CE3048">
        <w:rPr>
          <w:rFonts w:ascii="Times New Roman" w:hAnsi="Times New Roman" w:cs="Times New Roman"/>
          <w:b w:val="0"/>
        </w:rPr>
        <w:t xml:space="preserve"> to </w:t>
      </w:r>
      <w:r w:rsidR="005774E0">
        <w:rPr>
          <w:rFonts w:ascii="Times New Roman" w:hAnsi="Times New Roman" w:cs="Times New Roman"/>
          <w:b w:val="0"/>
        </w:rPr>
        <w:t xml:space="preserve">revise </w:t>
      </w:r>
      <w:r>
        <w:rPr>
          <w:rFonts w:ascii="Times New Roman" w:hAnsi="Times New Roman" w:cs="Times New Roman"/>
          <w:b w:val="0"/>
        </w:rPr>
        <w:t xml:space="preserve">the approved </w:t>
      </w:r>
      <w:r w:rsidR="005774E0">
        <w:rPr>
          <w:rFonts w:ascii="Times New Roman" w:hAnsi="Times New Roman" w:cs="Times New Roman"/>
          <w:b w:val="0"/>
        </w:rPr>
        <w:t>information collection</w:t>
      </w:r>
      <w:r>
        <w:rPr>
          <w:rFonts w:ascii="Times New Roman" w:hAnsi="Times New Roman" w:cs="Times New Roman"/>
          <w:b w:val="0"/>
        </w:rPr>
        <w:t xml:space="preserve"> by removing the requirement for purse seine vessels to provide a pre-trip notification. </w:t>
      </w:r>
    </w:p>
    <w:p w:rsidRPr="00BD7237" w:rsidR="008E61C9" w:rsidP="00BD7237" w:rsidRDefault="001477A3" w14:paraId="012F8C29"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B61533" w:rsidP="00B61533" w:rsidRDefault="001477A3" w14:paraId="1820AAEF"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61533" w:rsidR="00B61533" w:rsidP="00B61533" w:rsidRDefault="00B61533" w14:paraId="384A427B" w14:textId="0414BF3B">
      <w:pPr>
        <w:tabs>
          <w:tab w:val="left" w:pos="360"/>
        </w:tabs>
        <w:spacing w:before="182" w:line="259" w:lineRule="auto"/>
        <w:rPr>
          <w:rFonts w:ascii="Times New Roman" w:hAnsi="Times New Roman" w:cs="Times New Roman"/>
          <w:sz w:val="24"/>
          <w:szCs w:val="24"/>
        </w:rPr>
      </w:pPr>
      <w:r>
        <w:rPr>
          <w:rFonts w:ascii="Times New Roman" w:hAnsi="Times New Roman" w:cs="Times New Roman"/>
          <w:sz w:val="24"/>
          <w:szCs w:val="24"/>
        </w:rPr>
        <w:t>At its December 2020</w:t>
      </w:r>
      <w:r w:rsidRPr="00B61533">
        <w:rPr>
          <w:rFonts w:ascii="Times New Roman" w:hAnsi="Times New Roman" w:cs="Times New Roman"/>
          <w:sz w:val="24"/>
          <w:szCs w:val="24"/>
        </w:rPr>
        <w:t xml:space="preserve"> meeting, the Inter-American Tropical Tuna Commission (IA</w:t>
      </w:r>
      <w:r>
        <w:rPr>
          <w:rFonts w:ascii="Times New Roman" w:hAnsi="Times New Roman" w:cs="Times New Roman"/>
          <w:sz w:val="24"/>
          <w:szCs w:val="24"/>
        </w:rPr>
        <w:t>TTC) adopte</w:t>
      </w:r>
      <w:r w:rsidR="00DA27C9">
        <w:rPr>
          <w:rFonts w:ascii="Times New Roman" w:hAnsi="Times New Roman" w:cs="Times New Roman"/>
          <w:sz w:val="24"/>
          <w:szCs w:val="24"/>
        </w:rPr>
        <w:t>d Resolutions C-20-01</w:t>
      </w:r>
      <w:r w:rsidRPr="00B61533">
        <w:rPr>
          <w:rFonts w:ascii="Times New Roman" w:hAnsi="Times New Roman" w:cs="Times New Roman"/>
          <w:sz w:val="24"/>
          <w:szCs w:val="24"/>
        </w:rPr>
        <w:t xml:space="preserve"> (Measures for the Conservation and Management of Pacific Bluefin Tuna in</w:t>
      </w:r>
      <w:r>
        <w:rPr>
          <w:rFonts w:ascii="Times New Roman" w:hAnsi="Times New Roman" w:cs="Times New Roman"/>
          <w:sz w:val="24"/>
          <w:szCs w:val="24"/>
        </w:rPr>
        <w:t xml:space="preserve"> the Eastern Pacific Ocean, 2021</w:t>
      </w:r>
      <w:r w:rsidRPr="00B61533">
        <w:rPr>
          <w:rFonts w:ascii="Times New Roman" w:hAnsi="Times New Roman" w:cs="Times New Roman"/>
          <w:sz w:val="24"/>
          <w:szCs w:val="24"/>
        </w:rPr>
        <w:t>) on Pac</w:t>
      </w:r>
      <w:r w:rsidR="00962736">
        <w:rPr>
          <w:rFonts w:ascii="Times New Roman" w:hAnsi="Times New Roman" w:cs="Times New Roman"/>
          <w:sz w:val="24"/>
          <w:szCs w:val="24"/>
        </w:rPr>
        <w:t>ific bluefin tuna (PBF). NMFS</w:t>
      </w:r>
      <w:r w:rsidRPr="00B61533">
        <w:rPr>
          <w:rFonts w:ascii="Times New Roman" w:hAnsi="Times New Roman" w:cs="Times New Roman"/>
          <w:sz w:val="24"/>
          <w:szCs w:val="24"/>
        </w:rPr>
        <w:t xml:space="preserve"> West Coast Region (WCR) is preparing a proposed rule under the Tuna Conventions Act of 1950 (TCA) to</w:t>
      </w:r>
      <w:r>
        <w:rPr>
          <w:rFonts w:ascii="Times New Roman" w:hAnsi="Times New Roman" w:cs="Times New Roman"/>
          <w:sz w:val="24"/>
          <w:szCs w:val="24"/>
        </w:rPr>
        <w:t xml:space="preserve"> implement this Resolution</w:t>
      </w:r>
      <w:r w:rsidRPr="00B61533">
        <w:rPr>
          <w:rFonts w:ascii="Times New Roman" w:hAnsi="Times New Roman" w:cs="Times New Roman"/>
          <w:sz w:val="24"/>
          <w:szCs w:val="24"/>
        </w:rPr>
        <w:t xml:space="preserve">. This proposed rule would ensure that the United States meets its international obligations. </w:t>
      </w:r>
    </w:p>
    <w:p w:rsidRPr="00B61533" w:rsidR="00B61533" w:rsidP="00B61533" w:rsidRDefault="00B61533" w14:paraId="13E53BBF" w14:textId="0B1890CB">
      <w:pPr>
        <w:tabs>
          <w:tab w:val="left" w:pos="360"/>
        </w:tabs>
        <w:spacing w:before="182" w:line="259" w:lineRule="auto"/>
        <w:rPr>
          <w:rFonts w:ascii="Times New Roman" w:hAnsi="Times New Roman" w:cs="Times New Roman"/>
          <w:sz w:val="24"/>
          <w:szCs w:val="24"/>
        </w:rPr>
      </w:pPr>
      <w:r w:rsidRPr="00B61533">
        <w:rPr>
          <w:rFonts w:ascii="Times New Roman" w:hAnsi="Times New Roman" w:cs="Times New Roman"/>
          <w:sz w:val="24"/>
          <w:szCs w:val="24"/>
        </w:rPr>
        <w:t xml:space="preserve">Resolution </w:t>
      </w:r>
      <w:r w:rsidR="00B92685">
        <w:rPr>
          <w:rFonts w:ascii="Times New Roman" w:hAnsi="Times New Roman" w:cs="Times New Roman"/>
          <w:sz w:val="24"/>
          <w:szCs w:val="24"/>
        </w:rPr>
        <w:t>C-20-01</w:t>
      </w:r>
      <w:r w:rsidRPr="00B61533">
        <w:rPr>
          <w:rFonts w:ascii="Times New Roman" w:hAnsi="Times New Roman" w:cs="Times New Roman"/>
          <w:sz w:val="24"/>
          <w:szCs w:val="24"/>
        </w:rPr>
        <w:t xml:space="preserve"> maintains</w:t>
      </w:r>
      <w:r>
        <w:rPr>
          <w:rFonts w:ascii="Times New Roman" w:hAnsi="Times New Roman" w:cs="Times New Roman"/>
          <w:sz w:val="24"/>
          <w:szCs w:val="24"/>
        </w:rPr>
        <w:t xml:space="preserve"> annual commercial catch limit</w:t>
      </w:r>
      <w:r w:rsidRPr="00B61533">
        <w:rPr>
          <w:rFonts w:ascii="Times New Roman" w:hAnsi="Times New Roman" w:cs="Times New Roman"/>
          <w:sz w:val="24"/>
          <w:szCs w:val="24"/>
        </w:rPr>
        <w:t xml:space="preserve"> from the</w:t>
      </w:r>
      <w:r>
        <w:rPr>
          <w:rFonts w:ascii="Times New Roman" w:hAnsi="Times New Roman" w:cs="Times New Roman"/>
          <w:sz w:val="24"/>
          <w:szCs w:val="24"/>
        </w:rPr>
        <w:t xml:space="preserve"> previous IATTC Resolution (C-18-01</w:t>
      </w:r>
      <w:r w:rsidRPr="00B61533">
        <w:rPr>
          <w:rFonts w:ascii="Times New Roman" w:hAnsi="Times New Roman" w:cs="Times New Roman"/>
          <w:sz w:val="24"/>
          <w:szCs w:val="24"/>
        </w:rPr>
        <w:t>)</w:t>
      </w:r>
      <w:r>
        <w:rPr>
          <w:rFonts w:ascii="Times New Roman" w:hAnsi="Times New Roman" w:cs="Times New Roman"/>
          <w:sz w:val="24"/>
          <w:szCs w:val="24"/>
        </w:rPr>
        <w:t>, which applied to 2019 and 2020. This catch limit is</w:t>
      </w:r>
      <w:r w:rsidRPr="00B61533">
        <w:rPr>
          <w:rFonts w:ascii="Times New Roman" w:hAnsi="Times New Roman" w:cs="Times New Roman"/>
          <w:sz w:val="24"/>
          <w:szCs w:val="24"/>
        </w:rPr>
        <w:t xml:space="preserve"> consistent with IATTC Scientific Staff recommendations, as well as stakeholder recommendations to the U.S. Delegation </w:t>
      </w:r>
      <w:r>
        <w:rPr>
          <w:rFonts w:ascii="Times New Roman" w:hAnsi="Times New Roman" w:cs="Times New Roman"/>
          <w:sz w:val="24"/>
          <w:szCs w:val="24"/>
        </w:rPr>
        <w:t xml:space="preserve">to the IATTC. </w:t>
      </w:r>
    </w:p>
    <w:p w:rsidR="003F083C" w:rsidP="003F083C" w:rsidRDefault="00B61533" w14:paraId="5C31BC17" w14:textId="26CA300B">
      <w:pPr>
        <w:tabs>
          <w:tab w:val="left" w:pos="360"/>
        </w:tabs>
        <w:spacing w:before="182" w:line="259" w:lineRule="auto"/>
        <w:rPr>
          <w:rFonts w:ascii="Times New Roman" w:hAnsi="Times New Roman" w:cs="Times New Roman"/>
          <w:sz w:val="24"/>
          <w:szCs w:val="24"/>
        </w:rPr>
      </w:pPr>
      <w:r w:rsidRPr="00B61533">
        <w:rPr>
          <w:rFonts w:ascii="Times New Roman" w:hAnsi="Times New Roman" w:cs="Times New Roman"/>
          <w:sz w:val="24"/>
          <w:szCs w:val="24"/>
        </w:rPr>
        <w:t xml:space="preserve">The proposed rule </w:t>
      </w:r>
      <w:r w:rsidR="0069578E">
        <w:rPr>
          <w:rFonts w:ascii="Times New Roman" w:hAnsi="Times New Roman" w:cs="Times New Roman"/>
          <w:sz w:val="24"/>
          <w:szCs w:val="24"/>
        </w:rPr>
        <w:t xml:space="preserve">0648-BJ26 </w:t>
      </w:r>
      <w:r w:rsidRPr="00B61533">
        <w:rPr>
          <w:rFonts w:ascii="Times New Roman" w:hAnsi="Times New Roman" w:cs="Times New Roman"/>
          <w:sz w:val="24"/>
          <w:szCs w:val="24"/>
        </w:rPr>
        <w:t>would imp</w:t>
      </w:r>
      <w:r>
        <w:rPr>
          <w:rFonts w:ascii="Times New Roman" w:hAnsi="Times New Roman" w:cs="Times New Roman"/>
          <w:sz w:val="24"/>
          <w:szCs w:val="24"/>
        </w:rPr>
        <w:t>lement catch and trip limits in</w:t>
      </w:r>
      <w:r w:rsidRPr="00B61533">
        <w:rPr>
          <w:rFonts w:ascii="Times New Roman" w:hAnsi="Times New Roman" w:cs="Times New Roman"/>
          <w:sz w:val="24"/>
          <w:szCs w:val="24"/>
        </w:rPr>
        <w:t xml:space="preserve"> </w:t>
      </w:r>
      <w:r>
        <w:rPr>
          <w:rFonts w:ascii="Times New Roman" w:hAnsi="Times New Roman" w:cs="Times New Roman"/>
          <w:sz w:val="24"/>
          <w:szCs w:val="24"/>
        </w:rPr>
        <w:t xml:space="preserve">2021 </w:t>
      </w:r>
      <w:r w:rsidRPr="00B61533">
        <w:rPr>
          <w:rFonts w:ascii="Times New Roman" w:hAnsi="Times New Roman" w:cs="Times New Roman"/>
          <w:sz w:val="24"/>
          <w:szCs w:val="24"/>
        </w:rPr>
        <w:t>for U.S. commercial vessels that catch PBF in the eastern Pacific Oce</w:t>
      </w:r>
      <w:r>
        <w:rPr>
          <w:rFonts w:ascii="Times New Roman" w:hAnsi="Times New Roman" w:cs="Times New Roman"/>
          <w:sz w:val="24"/>
          <w:szCs w:val="24"/>
        </w:rPr>
        <w:t xml:space="preserve">an (EPO). The </w:t>
      </w:r>
      <w:r w:rsidR="003F083C">
        <w:rPr>
          <w:rFonts w:ascii="Times New Roman" w:hAnsi="Times New Roman" w:cs="Times New Roman"/>
          <w:sz w:val="24"/>
          <w:szCs w:val="24"/>
        </w:rPr>
        <w:t xml:space="preserve">2021 </w:t>
      </w:r>
      <w:r>
        <w:rPr>
          <w:rFonts w:ascii="Times New Roman" w:hAnsi="Times New Roman" w:cs="Times New Roman"/>
          <w:sz w:val="24"/>
          <w:szCs w:val="24"/>
        </w:rPr>
        <w:t>c</w:t>
      </w:r>
      <w:r w:rsidRPr="00B61533">
        <w:rPr>
          <w:rFonts w:ascii="Times New Roman" w:hAnsi="Times New Roman" w:cs="Times New Roman"/>
          <w:sz w:val="24"/>
          <w:szCs w:val="24"/>
        </w:rPr>
        <w:t xml:space="preserve">atch limit </w:t>
      </w:r>
      <w:r>
        <w:rPr>
          <w:rFonts w:ascii="Times New Roman" w:hAnsi="Times New Roman" w:cs="Times New Roman"/>
          <w:sz w:val="24"/>
          <w:szCs w:val="24"/>
        </w:rPr>
        <w:t>is</w:t>
      </w:r>
      <w:r w:rsidR="003F083C">
        <w:rPr>
          <w:rFonts w:ascii="Times New Roman" w:hAnsi="Times New Roman" w:cs="Times New Roman"/>
          <w:sz w:val="24"/>
          <w:szCs w:val="24"/>
        </w:rPr>
        <w:t xml:space="preserve"> 425 metric tons</w:t>
      </w:r>
      <w:r w:rsidRPr="00B61533">
        <w:rPr>
          <w:rFonts w:ascii="Times New Roman" w:hAnsi="Times New Roman" w:cs="Times New Roman"/>
          <w:sz w:val="24"/>
          <w:szCs w:val="24"/>
        </w:rPr>
        <w:t xml:space="preserve">. </w:t>
      </w:r>
      <w:r w:rsidR="003F083C">
        <w:rPr>
          <w:rFonts w:ascii="Times New Roman" w:hAnsi="Times New Roman" w:cs="Times New Roman"/>
          <w:sz w:val="24"/>
          <w:szCs w:val="24"/>
        </w:rPr>
        <w:t xml:space="preserve">Based on a Pacific Fishery Management Council recommendation, NMFS would also impose trip limits to manage the annual limits. This is a change from the trip limit scheme imposed in 2019-2020, and furthermore removes an existing collection-of-information. In 2019-2020, regulations required PBF buyers in California submit an electronic landing receipt and purse seine vessels </w:t>
      </w:r>
      <w:r w:rsidR="00756E6A">
        <w:rPr>
          <w:rFonts w:ascii="Times New Roman" w:hAnsi="Times New Roman" w:cs="Times New Roman"/>
          <w:sz w:val="24"/>
          <w:szCs w:val="24"/>
        </w:rPr>
        <w:t xml:space="preserve">submit a pre-trip notification; this collection-of-information expires July 2022. </w:t>
      </w:r>
      <w:r w:rsidR="003F083C">
        <w:rPr>
          <w:rFonts w:ascii="Times New Roman" w:hAnsi="Times New Roman" w:cs="Times New Roman"/>
          <w:sz w:val="24"/>
          <w:szCs w:val="24"/>
        </w:rPr>
        <w:t>The proposed regulations for 2021 no longer require a pre-trip notification from purse seine vessels</w:t>
      </w:r>
      <w:r w:rsidR="00756E6A">
        <w:rPr>
          <w:rFonts w:ascii="Times New Roman" w:hAnsi="Times New Roman" w:cs="Times New Roman"/>
          <w:sz w:val="24"/>
          <w:szCs w:val="24"/>
        </w:rPr>
        <w:t>, but will maintain the electronic landing receipt requirement and voluntary pre-landing call</w:t>
      </w:r>
      <w:r w:rsidR="003F083C">
        <w:rPr>
          <w:rFonts w:ascii="Times New Roman" w:hAnsi="Times New Roman" w:cs="Times New Roman"/>
          <w:sz w:val="24"/>
          <w:szCs w:val="24"/>
        </w:rPr>
        <w:t xml:space="preserve">. </w:t>
      </w:r>
      <w:r w:rsidR="00CE3048">
        <w:rPr>
          <w:rFonts w:ascii="Times New Roman" w:hAnsi="Times New Roman" w:cs="Times New Roman"/>
          <w:sz w:val="24"/>
          <w:szCs w:val="24"/>
        </w:rPr>
        <w:t xml:space="preserve">The removal of the pre-trip notification requirement reduces the burden by 4.25 hours. </w:t>
      </w:r>
      <w:r w:rsidR="003F083C">
        <w:rPr>
          <w:rFonts w:ascii="Times New Roman" w:hAnsi="Times New Roman" w:cs="Times New Roman"/>
          <w:sz w:val="24"/>
          <w:szCs w:val="24"/>
        </w:rPr>
        <w:t>The following is the proposed trip limit scheme for 2021:</w:t>
      </w:r>
    </w:p>
    <w:p w:rsidRPr="003F083C" w:rsidR="003F083C" w:rsidP="003F083C" w:rsidRDefault="003F083C" w14:paraId="7B09B6E9" w14:textId="77777777">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January – March: If catches reach 250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is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 325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 trip limit is reduced to 2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w:t>
      </w:r>
      <w:r w:rsidRPr="003F083C">
        <w:rPr>
          <w:rFonts w:ascii="Times New Roman" w:hAnsi="Times New Roman" w:cs="Times New Roman"/>
          <w:sz w:val="24"/>
          <w:szCs w:val="24"/>
        </w:rPr>
        <w:lastRenderedPageBreak/>
        <w:t xml:space="preserve">until the annual limit is met and the fishery is closed. </w:t>
      </w:r>
    </w:p>
    <w:p w:rsidRPr="003F083C" w:rsidR="003F083C" w:rsidP="003F083C" w:rsidRDefault="003F083C" w14:paraId="3EBB12D0" w14:textId="77777777">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April – June: If catches reach 275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is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 350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during the second quarter, the trip limit is reduced to 2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until the annual limit is met and the fishery is closed.</w:t>
      </w:r>
    </w:p>
    <w:p w:rsidRPr="003F083C" w:rsidR="003F083C" w:rsidP="003F083C" w:rsidRDefault="003F083C" w14:paraId="29CD8D4E" w14:textId="77777777">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July – September: If catches reach 300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is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reaches 375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 trip limit is reduced 2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until the annual limit is met and the fishery is closed.</w:t>
      </w:r>
    </w:p>
    <w:p w:rsidRPr="003F083C" w:rsidR="003F083C" w:rsidP="003F083C" w:rsidRDefault="003F083C" w14:paraId="4DB2B7B6" w14:textId="77777777">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October – December: If cumulative catches reach 325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would be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 375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 trip limit is reduced to 2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until the annual limit is met and the fishery is closed.</w:t>
      </w:r>
    </w:p>
    <w:p w:rsidR="008E61C9" w:rsidP="00BD7237" w:rsidRDefault="001477A3" w14:paraId="5C3E9ACE"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756E6A" w:rsidP="00756E6A" w:rsidRDefault="00756E6A" w14:paraId="68C5BAEF" w14:textId="53AE3F93">
      <w:pPr>
        <w:pStyle w:val="Heading1"/>
        <w:tabs>
          <w:tab w:val="left" w:pos="360"/>
        </w:tabs>
        <w:spacing w:before="197"/>
        <w:ind w:left="0"/>
        <w:rPr>
          <w:rFonts w:ascii="Times New Roman" w:hAnsi="Times New Roman" w:cs="Times New Roman"/>
          <w:b w:val="0"/>
        </w:rPr>
      </w:pPr>
      <w:r w:rsidRPr="00756E6A">
        <w:rPr>
          <w:rFonts w:ascii="Times New Roman" w:hAnsi="Times New Roman" w:cs="Times New Roman"/>
          <w:b w:val="0"/>
        </w:rPr>
        <w:t xml:space="preserve">Electronic landing receipt (E-ticket): To monitor catch limits, NMFS would impose electronic landing receipt (e-ticket) submission timeline requirements. Submittal of E-tickets, as required under California Code of Regulations (Title 14, §197), that include PBF sales would be required within 24 hours. This California Code of Regulations requires </w:t>
      </w:r>
      <w:r>
        <w:rPr>
          <w:rFonts w:ascii="Times New Roman" w:hAnsi="Times New Roman" w:cs="Times New Roman"/>
          <w:b w:val="0"/>
        </w:rPr>
        <w:t>submission of E-tickets within three</w:t>
      </w:r>
      <w:r w:rsidRPr="00756E6A">
        <w:rPr>
          <w:rFonts w:ascii="Times New Roman" w:hAnsi="Times New Roman" w:cs="Times New Roman"/>
          <w:b w:val="0"/>
        </w:rPr>
        <w:t xml:space="preserve"> business days. However, this proposed rule would establish an advanced timeline of 24 hours</w:t>
      </w:r>
      <w:r>
        <w:rPr>
          <w:rFonts w:ascii="Times New Roman" w:hAnsi="Times New Roman" w:cs="Times New Roman"/>
          <w:b w:val="0"/>
        </w:rPr>
        <w:t xml:space="preserve"> for more timely accounting of catch to take in</w:t>
      </w:r>
      <w:r w:rsidR="0069578E">
        <w:rPr>
          <w:rFonts w:ascii="Times New Roman" w:hAnsi="Times New Roman" w:cs="Times New Roman"/>
          <w:b w:val="0"/>
        </w:rPr>
        <w:t>-</w:t>
      </w:r>
      <w:r>
        <w:rPr>
          <w:rFonts w:ascii="Times New Roman" w:hAnsi="Times New Roman" w:cs="Times New Roman"/>
          <w:b w:val="0"/>
        </w:rPr>
        <w:t>season action appropriately</w:t>
      </w:r>
      <w:r w:rsidRPr="00756E6A">
        <w:rPr>
          <w:rFonts w:ascii="Times New Roman" w:hAnsi="Times New Roman" w:cs="Times New Roman"/>
          <w:b w:val="0"/>
        </w:rPr>
        <w:t>.</w:t>
      </w:r>
      <w:r>
        <w:rPr>
          <w:rFonts w:ascii="Times New Roman" w:hAnsi="Times New Roman" w:cs="Times New Roman"/>
          <w:b w:val="0"/>
        </w:rPr>
        <w:t xml:space="preserve"> This information, already required by the State of California, will be required by buyers of PBF. As is done normally under processes developed by the State of California, e-ticket information is shared with the Pacific Fisheries Information Network, which is a public database.</w:t>
      </w:r>
    </w:p>
    <w:p w:rsidRPr="00962DFC" w:rsidR="00962DFC" w:rsidP="00962DFC" w:rsidRDefault="00962DFC" w14:paraId="04A14476" w14:textId="66FDF4E5">
      <w:pPr>
        <w:pStyle w:val="Heading1"/>
        <w:tabs>
          <w:tab w:val="left" w:pos="360"/>
        </w:tabs>
        <w:spacing w:before="197"/>
        <w:ind w:left="0"/>
        <w:rPr>
          <w:rFonts w:ascii="Times New Roman" w:hAnsi="Times New Roman" w:cs="Times New Roman"/>
          <w:b w:val="0"/>
        </w:rPr>
      </w:pPr>
      <w:r w:rsidRPr="00962DFC">
        <w:rPr>
          <w:rFonts w:ascii="Times New Roman" w:hAnsi="Times New Roman" w:cs="Times New Roman"/>
          <w:b w:val="0"/>
        </w:rPr>
        <w:t xml:space="preserve">Voluntary pre-landing notification: NMFS would encourage owners or operators of purse seine vessels fishing in the U.S. West Coast EEZ to call NMFS at 562-432-1850 in advance of landing with an estimate of how much PBF was caught on the trip. </w:t>
      </w:r>
      <w:r>
        <w:rPr>
          <w:rFonts w:ascii="Times New Roman" w:hAnsi="Times New Roman" w:cs="Times New Roman"/>
          <w:b w:val="0"/>
        </w:rPr>
        <w:t>This information would facilitate near real-time tracking of catch on</w:t>
      </w:r>
      <w:r w:rsidR="00B92685">
        <w:rPr>
          <w:rFonts w:ascii="Times New Roman" w:hAnsi="Times New Roman" w:cs="Times New Roman"/>
          <w:b w:val="0"/>
        </w:rPr>
        <w:t xml:space="preserve"> which to base in</w:t>
      </w:r>
      <w:r w:rsidR="00B46547">
        <w:rPr>
          <w:rFonts w:ascii="Times New Roman" w:hAnsi="Times New Roman" w:cs="Times New Roman"/>
          <w:b w:val="0"/>
        </w:rPr>
        <w:t>-</w:t>
      </w:r>
      <w:r w:rsidR="00B92685">
        <w:rPr>
          <w:rFonts w:ascii="Times New Roman" w:hAnsi="Times New Roman" w:cs="Times New Roman"/>
          <w:b w:val="0"/>
        </w:rPr>
        <w:t>season action.</w:t>
      </w:r>
    </w:p>
    <w:p w:rsidRPr="00756E6A" w:rsidR="00962DFC" w:rsidP="00962DFC" w:rsidRDefault="00962DFC" w14:paraId="39CC09FB" w14:textId="3B9287BA">
      <w:pPr>
        <w:pStyle w:val="Heading1"/>
        <w:tabs>
          <w:tab w:val="left" w:pos="360"/>
        </w:tabs>
        <w:spacing w:before="197"/>
        <w:ind w:left="0"/>
        <w:rPr>
          <w:rFonts w:ascii="Times New Roman" w:hAnsi="Times New Roman" w:cs="Times New Roman"/>
          <w:b w:val="0"/>
        </w:rPr>
      </w:pPr>
      <w:r w:rsidRPr="00962DFC">
        <w:rPr>
          <w:rFonts w:ascii="Times New Roman" w:hAnsi="Times New Roman" w:cs="Times New Roman"/>
          <w:b w:val="0"/>
        </w:rPr>
        <w:t>NMFS would ensure that public dissemination of any infor</w:t>
      </w:r>
      <w:r w:rsidR="00B92685">
        <w:rPr>
          <w:rFonts w:ascii="Times New Roman" w:hAnsi="Times New Roman" w:cs="Times New Roman"/>
          <w:b w:val="0"/>
        </w:rPr>
        <w:t xml:space="preserve">mation obtained from e-tickets </w:t>
      </w:r>
      <w:r w:rsidRPr="00962DFC">
        <w:rPr>
          <w:rFonts w:ascii="Times New Roman" w:hAnsi="Times New Roman" w:cs="Times New Roman"/>
          <w:b w:val="0"/>
        </w:rPr>
        <w:t>or calls prior to landing accords with NMFS confidentiality standards. Prior to dissemination, the information will be subjected to quality control measures and a pre-dissemination review pursuant to Section 515 of Public Law 106-554.</w:t>
      </w:r>
      <w:r w:rsidR="00B92685">
        <w:rPr>
          <w:rFonts w:ascii="Times New Roman" w:hAnsi="Times New Roman" w:cs="Times New Roman"/>
          <w:b w:val="0"/>
        </w:rPr>
        <w:t xml:space="preserve"> </w:t>
      </w:r>
    </w:p>
    <w:p w:rsidRPr="00BD7237" w:rsidR="008E61C9" w:rsidP="00BD7237" w:rsidRDefault="001477A3" w14:paraId="6B5656CC" w14:textId="77777777">
      <w:pPr>
        <w:pStyle w:val="Heading1"/>
        <w:spacing w:before="161"/>
        <w:ind w:left="0"/>
        <w:rPr>
          <w:rFonts w:ascii="Times New Roman" w:hAnsi="Times New Roman" w:cs="Times New Roman"/>
        </w:rPr>
      </w:pPr>
      <w:r w:rsidRPr="00BD7237">
        <w:rPr>
          <w:rFonts w:ascii="Times New Roman" w:hAnsi="Times New Roman" w:cs="Times New Roman"/>
        </w:rPr>
        <w:t>Sample Table: Information Requirements and Needs and Uses of Information Collected</w:t>
      </w:r>
    </w:p>
    <w:p w:rsidRPr="00BD7237" w:rsidR="008E61C9" w:rsidP="00BD7237" w:rsidRDefault="008E61C9" w14:paraId="6A4CCA51"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64304CEB" w14:textId="77777777">
        <w:trPr>
          <w:trHeight w:val="729"/>
        </w:trPr>
        <w:tc>
          <w:tcPr>
            <w:tcW w:w="990" w:type="dxa"/>
            <w:shd w:val="clear" w:color="auto" w:fill="DEEAF6"/>
          </w:tcPr>
          <w:p w:rsidRPr="00AE5ACE" w:rsidR="008E61C9" w:rsidP="00BD7237" w:rsidRDefault="008E61C9" w14:paraId="1EFA6928" w14:textId="77777777">
            <w:pPr>
              <w:pStyle w:val="TableParagraph"/>
              <w:spacing w:before="11"/>
              <w:rPr>
                <w:rFonts w:ascii="Times New Roman" w:hAnsi="Times New Roman" w:cs="Times New Roman"/>
                <w:b/>
                <w:sz w:val="20"/>
                <w:szCs w:val="20"/>
              </w:rPr>
            </w:pPr>
          </w:p>
          <w:p w:rsidRPr="00AE5ACE" w:rsidR="008E61C9" w:rsidP="00BD7237" w:rsidRDefault="001477A3" w14:paraId="07A0F44F"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Item #</w:t>
            </w:r>
          </w:p>
        </w:tc>
        <w:tc>
          <w:tcPr>
            <w:tcW w:w="1970" w:type="dxa"/>
            <w:shd w:val="clear" w:color="auto" w:fill="DEEAF6"/>
          </w:tcPr>
          <w:p w:rsidRPr="00AE5ACE" w:rsidR="008E61C9" w:rsidP="00BD7237" w:rsidRDefault="008E61C9" w14:paraId="44C926D5" w14:textId="77777777">
            <w:pPr>
              <w:pStyle w:val="TableParagraph"/>
              <w:spacing w:before="11"/>
              <w:rPr>
                <w:rFonts w:ascii="Times New Roman" w:hAnsi="Times New Roman" w:cs="Times New Roman"/>
                <w:b/>
                <w:sz w:val="20"/>
                <w:szCs w:val="20"/>
              </w:rPr>
            </w:pPr>
          </w:p>
          <w:p w:rsidRPr="00AE5ACE" w:rsidR="008E61C9" w:rsidP="009C713E" w:rsidRDefault="001477A3" w14:paraId="73E392B1"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Requirement</w:t>
            </w:r>
          </w:p>
        </w:tc>
        <w:tc>
          <w:tcPr>
            <w:tcW w:w="1322" w:type="dxa"/>
            <w:shd w:val="clear" w:color="auto" w:fill="DEEAF6"/>
          </w:tcPr>
          <w:p w:rsidRPr="00AE5ACE" w:rsidR="008E61C9" w:rsidP="00BD7237" w:rsidRDefault="008E61C9" w14:paraId="7C7F7DEB" w14:textId="77777777">
            <w:pPr>
              <w:pStyle w:val="TableParagraph"/>
              <w:spacing w:before="11"/>
              <w:rPr>
                <w:rFonts w:ascii="Times New Roman" w:hAnsi="Times New Roman" w:cs="Times New Roman"/>
                <w:b/>
                <w:sz w:val="20"/>
                <w:szCs w:val="20"/>
              </w:rPr>
            </w:pPr>
          </w:p>
          <w:p w:rsidRPr="00AE5ACE" w:rsidR="008E61C9" w:rsidP="00BD7237" w:rsidRDefault="001477A3" w14:paraId="420E96AF"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Statute</w:t>
            </w:r>
          </w:p>
        </w:tc>
        <w:tc>
          <w:tcPr>
            <w:tcW w:w="2157" w:type="dxa"/>
            <w:shd w:val="clear" w:color="auto" w:fill="DEEAF6"/>
          </w:tcPr>
          <w:p w:rsidRPr="00AE5ACE" w:rsidR="008E61C9" w:rsidP="00BD7237" w:rsidRDefault="008E61C9" w14:paraId="44B78A38" w14:textId="77777777">
            <w:pPr>
              <w:pStyle w:val="TableParagraph"/>
              <w:spacing w:before="11"/>
              <w:rPr>
                <w:rFonts w:ascii="Times New Roman" w:hAnsi="Times New Roman" w:cs="Times New Roman"/>
                <w:b/>
                <w:sz w:val="20"/>
                <w:szCs w:val="20"/>
              </w:rPr>
            </w:pPr>
          </w:p>
          <w:p w:rsidRPr="00AE5ACE" w:rsidR="008E61C9" w:rsidP="00BD7237" w:rsidRDefault="001477A3" w14:paraId="503E6D98"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Regulation</w:t>
            </w:r>
          </w:p>
        </w:tc>
        <w:tc>
          <w:tcPr>
            <w:tcW w:w="1363" w:type="dxa"/>
            <w:shd w:val="clear" w:color="auto" w:fill="DEEAF6"/>
          </w:tcPr>
          <w:p w:rsidRPr="00AE5ACE" w:rsidR="008E61C9" w:rsidP="00BD7237" w:rsidRDefault="008E61C9" w14:paraId="05FF459A" w14:textId="77777777">
            <w:pPr>
              <w:pStyle w:val="TableParagraph"/>
              <w:spacing w:before="11"/>
              <w:rPr>
                <w:rFonts w:ascii="Times New Roman" w:hAnsi="Times New Roman" w:cs="Times New Roman"/>
                <w:b/>
                <w:sz w:val="20"/>
                <w:szCs w:val="20"/>
              </w:rPr>
            </w:pPr>
          </w:p>
          <w:p w:rsidRPr="00AE5ACE" w:rsidR="008E61C9" w:rsidP="00BD7237" w:rsidRDefault="001477A3" w14:paraId="2D1DCF35"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Form #</w:t>
            </w:r>
          </w:p>
        </w:tc>
        <w:tc>
          <w:tcPr>
            <w:tcW w:w="3000" w:type="dxa"/>
            <w:shd w:val="clear" w:color="auto" w:fill="DEEAF6"/>
          </w:tcPr>
          <w:p w:rsidRPr="00AE5ACE" w:rsidR="008E61C9" w:rsidP="00BD7237" w:rsidRDefault="008E61C9" w14:paraId="6BA2E8D0" w14:textId="77777777">
            <w:pPr>
              <w:pStyle w:val="TableParagraph"/>
              <w:spacing w:before="11"/>
              <w:rPr>
                <w:rFonts w:ascii="Times New Roman" w:hAnsi="Times New Roman" w:cs="Times New Roman"/>
                <w:b/>
                <w:sz w:val="20"/>
                <w:szCs w:val="20"/>
              </w:rPr>
            </w:pPr>
          </w:p>
          <w:p w:rsidRPr="00AE5ACE" w:rsidR="008E61C9" w:rsidP="00BD7237" w:rsidRDefault="001477A3" w14:paraId="63CA551E" w14:textId="77777777">
            <w:pPr>
              <w:pStyle w:val="TableParagraph"/>
              <w:rPr>
                <w:rFonts w:ascii="Times New Roman" w:hAnsi="Times New Roman" w:cs="Times New Roman"/>
                <w:b/>
                <w:sz w:val="20"/>
                <w:szCs w:val="20"/>
              </w:rPr>
            </w:pPr>
            <w:r w:rsidRPr="00AE5ACE">
              <w:rPr>
                <w:rFonts w:ascii="Times New Roman" w:hAnsi="Times New Roman" w:cs="Times New Roman"/>
                <w:b/>
                <w:sz w:val="20"/>
                <w:szCs w:val="20"/>
              </w:rPr>
              <w:t>Needs and Uses</w:t>
            </w:r>
          </w:p>
        </w:tc>
      </w:tr>
      <w:tr w:rsidRPr="009C713E" w:rsidR="008E61C9" w:rsidTr="009C713E" w14:paraId="026514C1" w14:textId="77777777">
        <w:trPr>
          <w:trHeight w:val="726"/>
        </w:trPr>
        <w:tc>
          <w:tcPr>
            <w:tcW w:w="990" w:type="dxa"/>
          </w:tcPr>
          <w:p w:rsidRPr="00AE5ACE" w:rsidR="008E61C9" w:rsidP="00BD7237" w:rsidRDefault="008E61C9" w14:paraId="2C03B83A" w14:textId="77777777">
            <w:pPr>
              <w:pStyle w:val="TableParagraph"/>
              <w:spacing w:before="9"/>
              <w:rPr>
                <w:rFonts w:ascii="Times New Roman" w:hAnsi="Times New Roman" w:cs="Times New Roman"/>
                <w:b/>
                <w:sz w:val="20"/>
                <w:szCs w:val="20"/>
              </w:rPr>
            </w:pPr>
          </w:p>
          <w:p w:rsidRPr="00AE5ACE" w:rsidR="008E61C9" w:rsidP="00BD7237" w:rsidRDefault="001477A3" w14:paraId="25BF4F48" w14:textId="77777777">
            <w:pPr>
              <w:pStyle w:val="TableParagraph"/>
              <w:jc w:val="center"/>
              <w:rPr>
                <w:rFonts w:ascii="Times New Roman" w:hAnsi="Times New Roman" w:cs="Times New Roman"/>
                <w:sz w:val="20"/>
                <w:szCs w:val="20"/>
              </w:rPr>
            </w:pPr>
            <w:r w:rsidRPr="00AE5ACE">
              <w:rPr>
                <w:rFonts w:ascii="Times New Roman" w:hAnsi="Times New Roman" w:cs="Times New Roman"/>
                <w:w w:val="99"/>
                <w:sz w:val="20"/>
                <w:szCs w:val="20"/>
              </w:rPr>
              <w:t>1</w:t>
            </w:r>
          </w:p>
        </w:tc>
        <w:tc>
          <w:tcPr>
            <w:tcW w:w="1970" w:type="dxa"/>
          </w:tcPr>
          <w:p w:rsidRPr="00AE5ACE" w:rsidR="008E61C9" w:rsidP="00BD7237" w:rsidRDefault="008E61C9" w14:paraId="37513833" w14:textId="77777777">
            <w:pPr>
              <w:pStyle w:val="TableParagraph"/>
              <w:spacing w:before="9"/>
              <w:rPr>
                <w:rFonts w:ascii="Times New Roman" w:hAnsi="Times New Roman" w:cs="Times New Roman"/>
                <w:b/>
                <w:sz w:val="20"/>
                <w:szCs w:val="20"/>
              </w:rPr>
            </w:pPr>
          </w:p>
          <w:p w:rsidRPr="00AE5ACE" w:rsidR="008E61C9" w:rsidP="009C713E" w:rsidRDefault="00962DFC" w14:paraId="41E5DB76" w14:textId="77777777">
            <w:pPr>
              <w:pStyle w:val="TableParagraph"/>
              <w:jc w:val="center"/>
              <w:rPr>
                <w:rFonts w:ascii="Times New Roman" w:hAnsi="Times New Roman" w:cs="Times New Roman"/>
                <w:sz w:val="20"/>
                <w:szCs w:val="20"/>
              </w:rPr>
            </w:pPr>
            <w:r w:rsidRPr="00AE5ACE">
              <w:rPr>
                <w:rFonts w:ascii="Times New Roman" w:hAnsi="Times New Roman" w:cs="Times New Roman"/>
                <w:sz w:val="20"/>
                <w:szCs w:val="20"/>
              </w:rPr>
              <w:t>E-ticket</w:t>
            </w:r>
          </w:p>
        </w:tc>
        <w:tc>
          <w:tcPr>
            <w:tcW w:w="1322" w:type="dxa"/>
          </w:tcPr>
          <w:p w:rsidRPr="00AE5ACE" w:rsidR="008E61C9" w:rsidP="00BD7237" w:rsidRDefault="008E61C9" w14:paraId="2A211D07" w14:textId="77777777">
            <w:pPr>
              <w:pStyle w:val="TableParagraph"/>
              <w:spacing w:before="9"/>
              <w:rPr>
                <w:rFonts w:ascii="Times New Roman" w:hAnsi="Times New Roman" w:cs="Times New Roman"/>
                <w:b/>
                <w:sz w:val="20"/>
                <w:szCs w:val="20"/>
              </w:rPr>
            </w:pPr>
          </w:p>
          <w:p w:rsidRPr="00AE5ACE" w:rsidR="008E61C9" w:rsidP="00BD7237" w:rsidRDefault="00AE5ACE" w14:paraId="5363633E" w14:textId="4BECE2B7">
            <w:pPr>
              <w:pStyle w:val="TableParagraph"/>
              <w:ind w:hanging="84"/>
              <w:rPr>
                <w:rFonts w:ascii="Times New Roman" w:hAnsi="Times New Roman" w:cs="Times New Roman"/>
                <w:sz w:val="20"/>
                <w:szCs w:val="20"/>
              </w:rPr>
            </w:pPr>
            <w:r>
              <w:rPr>
                <w:rFonts w:ascii="Times New Roman" w:hAnsi="Times New Roman" w:cs="Times New Roman"/>
                <w:sz w:val="20"/>
                <w:szCs w:val="20"/>
              </w:rPr>
              <w:t>35 U.S.C. § 951 et seq.</w:t>
            </w:r>
          </w:p>
        </w:tc>
        <w:tc>
          <w:tcPr>
            <w:tcW w:w="2157" w:type="dxa"/>
          </w:tcPr>
          <w:p w:rsidRPr="00AE5ACE" w:rsidR="008E61C9" w:rsidP="00BD7237" w:rsidRDefault="008E61C9" w14:paraId="26E3293A" w14:textId="77777777">
            <w:pPr>
              <w:pStyle w:val="TableParagraph"/>
              <w:spacing w:before="9"/>
              <w:rPr>
                <w:rFonts w:ascii="Times New Roman" w:hAnsi="Times New Roman" w:cs="Times New Roman"/>
                <w:b/>
                <w:sz w:val="20"/>
                <w:szCs w:val="20"/>
              </w:rPr>
            </w:pPr>
          </w:p>
          <w:p w:rsidRPr="00AE5ACE" w:rsidR="008E61C9" w:rsidP="00AE5ACE" w:rsidRDefault="001477A3" w14:paraId="73B15887" w14:textId="79C96F3F">
            <w:pPr>
              <w:pStyle w:val="TableParagraph"/>
              <w:numPr>
                <w:ilvl w:val="0"/>
                <w:numId w:val="16"/>
              </w:numPr>
              <w:jc w:val="center"/>
              <w:rPr>
                <w:rFonts w:ascii="Times New Roman" w:hAnsi="Times New Roman" w:cs="Times New Roman"/>
                <w:sz w:val="20"/>
                <w:szCs w:val="20"/>
              </w:rPr>
            </w:pPr>
            <w:r w:rsidRPr="00AE5ACE">
              <w:rPr>
                <w:rFonts w:ascii="Times New Roman" w:hAnsi="Times New Roman" w:cs="Times New Roman"/>
                <w:sz w:val="20"/>
                <w:szCs w:val="20"/>
              </w:rPr>
              <w:t xml:space="preserve">CFR </w:t>
            </w:r>
            <w:r w:rsidR="00AE5ACE">
              <w:rPr>
                <w:rFonts w:ascii="Times New Roman" w:hAnsi="Times New Roman" w:cs="Times New Roman"/>
                <w:sz w:val="20"/>
                <w:szCs w:val="20"/>
              </w:rPr>
              <w:t>300.25</w:t>
            </w:r>
          </w:p>
        </w:tc>
        <w:tc>
          <w:tcPr>
            <w:tcW w:w="1363" w:type="dxa"/>
          </w:tcPr>
          <w:p w:rsidRPr="00AE5ACE" w:rsidR="008E61C9" w:rsidP="00BD7237" w:rsidRDefault="008E61C9" w14:paraId="759E37AA" w14:textId="77777777">
            <w:pPr>
              <w:pStyle w:val="TableParagraph"/>
              <w:spacing w:before="9"/>
              <w:rPr>
                <w:rFonts w:ascii="Times New Roman" w:hAnsi="Times New Roman" w:cs="Times New Roman"/>
                <w:b/>
                <w:sz w:val="20"/>
                <w:szCs w:val="20"/>
              </w:rPr>
            </w:pPr>
          </w:p>
          <w:p w:rsidRPr="00AE5ACE" w:rsidR="008E61C9" w:rsidP="00BD7237" w:rsidRDefault="00AE5ACE" w14:paraId="51CA6214" w14:textId="3F65D9DD">
            <w:pPr>
              <w:pStyle w:val="TableParagraph"/>
              <w:jc w:val="center"/>
              <w:rPr>
                <w:rFonts w:ascii="Times New Roman" w:hAnsi="Times New Roman" w:cs="Times New Roman"/>
                <w:sz w:val="20"/>
                <w:szCs w:val="20"/>
              </w:rPr>
            </w:pPr>
            <w:r>
              <w:rPr>
                <w:rFonts w:ascii="Times New Roman" w:hAnsi="Times New Roman" w:cs="Times New Roman"/>
                <w:sz w:val="20"/>
                <w:szCs w:val="20"/>
              </w:rPr>
              <w:t>NA</w:t>
            </w:r>
          </w:p>
        </w:tc>
        <w:tc>
          <w:tcPr>
            <w:tcW w:w="3000" w:type="dxa"/>
          </w:tcPr>
          <w:p w:rsidRPr="00AE5ACE" w:rsidR="008E61C9" w:rsidP="00AE5ACE" w:rsidRDefault="00AE5ACE" w14:paraId="386B2B33" w14:textId="7A77BF8A">
            <w:pPr>
              <w:pStyle w:val="TableParagraph"/>
              <w:tabs>
                <w:tab w:val="left" w:pos="469"/>
                <w:tab w:val="left" w:pos="470"/>
              </w:tabs>
              <w:spacing w:before="2" w:line="222" w:lineRule="exact"/>
              <w:rPr>
                <w:rFonts w:ascii="Times New Roman" w:hAnsi="Times New Roman" w:cs="Times New Roman"/>
                <w:sz w:val="20"/>
                <w:szCs w:val="20"/>
              </w:rPr>
            </w:pPr>
            <w:r w:rsidRPr="00AE5ACE">
              <w:rPr>
                <w:rFonts w:ascii="Times New Roman" w:hAnsi="Times New Roman" w:cs="Times New Roman"/>
                <w:sz w:val="20"/>
                <w:szCs w:val="20"/>
              </w:rPr>
              <w:t>Used by government to inform catch estimates used to determine need for in</w:t>
            </w:r>
            <w:r w:rsidR="0069578E">
              <w:rPr>
                <w:rFonts w:ascii="Times New Roman" w:hAnsi="Times New Roman" w:cs="Times New Roman"/>
                <w:sz w:val="20"/>
                <w:szCs w:val="20"/>
              </w:rPr>
              <w:t>-</w:t>
            </w:r>
            <w:r w:rsidRPr="00AE5ACE">
              <w:rPr>
                <w:rFonts w:ascii="Times New Roman" w:hAnsi="Times New Roman" w:cs="Times New Roman"/>
                <w:sz w:val="20"/>
                <w:szCs w:val="20"/>
              </w:rPr>
              <w:t xml:space="preserve">season action. California Department of Fish and Wildlife provides e-ticket data to </w:t>
            </w:r>
            <w:proofErr w:type="spellStart"/>
            <w:r w:rsidRPr="00AE5ACE">
              <w:rPr>
                <w:rFonts w:ascii="Times New Roman" w:hAnsi="Times New Roman" w:cs="Times New Roman"/>
                <w:sz w:val="20"/>
                <w:szCs w:val="20"/>
              </w:rPr>
              <w:t>PacFIN</w:t>
            </w:r>
            <w:proofErr w:type="spellEnd"/>
            <w:r w:rsidRPr="00AE5ACE">
              <w:rPr>
                <w:rFonts w:ascii="Times New Roman" w:hAnsi="Times New Roman" w:cs="Times New Roman"/>
                <w:sz w:val="20"/>
                <w:szCs w:val="20"/>
              </w:rPr>
              <w:t>, which is public.</w:t>
            </w:r>
          </w:p>
        </w:tc>
      </w:tr>
      <w:tr w:rsidRPr="009C713E" w:rsidR="008E61C9" w:rsidTr="009C713E" w14:paraId="73A75F5B" w14:textId="77777777">
        <w:trPr>
          <w:trHeight w:val="769"/>
        </w:trPr>
        <w:tc>
          <w:tcPr>
            <w:tcW w:w="990" w:type="dxa"/>
            <w:shd w:val="clear" w:color="auto" w:fill="DEEAF6"/>
          </w:tcPr>
          <w:p w:rsidRPr="00AE5ACE" w:rsidR="008E61C9" w:rsidP="00BD7237" w:rsidRDefault="008E61C9" w14:paraId="7AD9DFB1" w14:textId="77777777">
            <w:pPr>
              <w:pStyle w:val="TableParagraph"/>
              <w:spacing w:before="11"/>
              <w:rPr>
                <w:rFonts w:ascii="Times New Roman" w:hAnsi="Times New Roman" w:cs="Times New Roman"/>
                <w:b/>
                <w:sz w:val="20"/>
                <w:szCs w:val="20"/>
              </w:rPr>
            </w:pPr>
          </w:p>
          <w:p w:rsidRPr="00AE5ACE" w:rsidR="008E61C9" w:rsidP="00BD7237" w:rsidRDefault="001477A3" w14:paraId="13677042"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Item #</w:t>
            </w:r>
          </w:p>
        </w:tc>
        <w:tc>
          <w:tcPr>
            <w:tcW w:w="1970" w:type="dxa"/>
            <w:shd w:val="clear" w:color="auto" w:fill="DEEAF6"/>
          </w:tcPr>
          <w:p w:rsidRPr="00AE5ACE" w:rsidR="008E61C9" w:rsidP="00BD7237" w:rsidRDefault="008E61C9" w14:paraId="024A4E33" w14:textId="77777777">
            <w:pPr>
              <w:pStyle w:val="TableParagraph"/>
              <w:spacing w:before="11"/>
              <w:rPr>
                <w:rFonts w:ascii="Times New Roman" w:hAnsi="Times New Roman" w:cs="Times New Roman"/>
                <w:b/>
                <w:sz w:val="20"/>
                <w:szCs w:val="20"/>
              </w:rPr>
            </w:pPr>
          </w:p>
          <w:p w:rsidRPr="00AE5ACE" w:rsidR="008E61C9" w:rsidP="009C713E" w:rsidRDefault="001477A3" w14:paraId="77A6B32C"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Requirement</w:t>
            </w:r>
          </w:p>
        </w:tc>
        <w:tc>
          <w:tcPr>
            <w:tcW w:w="1322" w:type="dxa"/>
            <w:shd w:val="clear" w:color="auto" w:fill="DEEAF6"/>
          </w:tcPr>
          <w:p w:rsidRPr="00AE5ACE" w:rsidR="008E61C9" w:rsidP="00BD7237" w:rsidRDefault="008E61C9" w14:paraId="5134851D" w14:textId="77777777">
            <w:pPr>
              <w:pStyle w:val="TableParagraph"/>
              <w:spacing w:before="11"/>
              <w:rPr>
                <w:rFonts w:ascii="Times New Roman" w:hAnsi="Times New Roman" w:cs="Times New Roman"/>
                <w:b/>
                <w:sz w:val="20"/>
                <w:szCs w:val="20"/>
              </w:rPr>
            </w:pPr>
          </w:p>
          <w:p w:rsidRPr="00AE5ACE" w:rsidR="008E61C9" w:rsidP="00BD7237" w:rsidRDefault="001477A3" w14:paraId="66E38A1E"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Statute</w:t>
            </w:r>
          </w:p>
        </w:tc>
        <w:tc>
          <w:tcPr>
            <w:tcW w:w="2157" w:type="dxa"/>
            <w:shd w:val="clear" w:color="auto" w:fill="DEEAF6"/>
          </w:tcPr>
          <w:p w:rsidRPr="00AE5ACE" w:rsidR="008E61C9" w:rsidP="00BD7237" w:rsidRDefault="008E61C9" w14:paraId="42367FE8" w14:textId="77777777">
            <w:pPr>
              <w:pStyle w:val="TableParagraph"/>
              <w:spacing w:before="11"/>
              <w:rPr>
                <w:rFonts w:ascii="Times New Roman" w:hAnsi="Times New Roman" w:cs="Times New Roman"/>
                <w:b/>
                <w:sz w:val="20"/>
                <w:szCs w:val="20"/>
              </w:rPr>
            </w:pPr>
          </w:p>
          <w:p w:rsidRPr="00AE5ACE" w:rsidR="008E61C9" w:rsidP="00BD7237" w:rsidRDefault="001477A3" w14:paraId="3FD5CD69"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Regulation</w:t>
            </w:r>
          </w:p>
        </w:tc>
        <w:tc>
          <w:tcPr>
            <w:tcW w:w="1363" w:type="dxa"/>
            <w:shd w:val="clear" w:color="auto" w:fill="DEEAF6"/>
          </w:tcPr>
          <w:p w:rsidRPr="00AE5ACE" w:rsidR="008E61C9" w:rsidP="00BD7237" w:rsidRDefault="008E61C9" w14:paraId="0835FEBA" w14:textId="77777777">
            <w:pPr>
              <w:pStyle w:val="TableParagraph"/>
              <w:spacing w:before="11"/>
              <w:rPr>
                <w:rFonts w:ascii="Times New Roman" w:hAnsi="Times New Roman" w:cs="Times New Roman"/>
                <w:b/>
                <w:sz w:val="20"/>
                <w:szCs w:val="20"/>
              </w:rPr>
            </w:pPr>
          </w:p>
          <w:p w:rsidRPr="00AE5ACE" w:rsidR="008E61C9" w:rsidP="00BD7237" w:rsidRDefault="001477A3" w14:paraId="1A79E749"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Form #</w:t>
            </w:r>
          </w:p>
        </w:tc>
        <w:tc>
          <w:tcPr>
            <w:tcW w:w="3000" w:type="dxa"/>
            <w:shd w:val="clear" w:color="auto" w:fill="DEEAF6"/>
          </w:tcPr>
          <w:p w:rsidRPr="00AE5ACE" w:rsidR="008E61C9" w:rsidP="00BD7237" w:rsidRDefault="008E61C9" w14:paraId="51AA9A75" w14:textId="77777777">
            <w:pPr>
              <w:pStyle w:val="TableParagraph"/>
              <w:spacing w:before="11"/>
              <w:rPr>
                <w:rFonts w:ascii="Times New Roman" w:hAnsi="Times New Roman" w:cs="Times New Roman"/>
                <w:b/>
                <w:sz w:val="20"/>
                <w:szCs w:val="20"/>
              </w:rPr>
            </w:pPr>
          </w:p>
          <w:p w:rsidRPr="00AE5ACE" w:rsidR="008E61C9" w:rsidP="00BD7237" w:rsidRDefault="001477A3" w14:paraId="18F46A86" w14:textId="77777777">
            <w:pPr>
              <w:pStyle w:val="TableParagraph"/>
              <w:rPr>
                <w:rFonts w:ascii="Times New Roman" w:hAnsi="Times New Roman" w:cs="Times New Roman"/>
                <w:b/>
                <w:sz w:val="20"/>
                <w:szCs w:val="20"/>
              </w:rPr>
            </w:pPr>
            <w:r w:rsidRPr="00AE5ACE">
              <w:rPr>
                <w:rFonts w:ascii="Times New Roman" w:hAnsi="Times New Roman" w:cs="Times New Roman"/>
                <w:b/>
                <w:sz w:val="20"/>
                <w:szCs w:val="20"/>
              </w:rPr>
              <w:t>Needs and Uses</w:t>
            </w:r>
          </w:p>
        </w:tc>
      </w:tr>
      <w:tr w:rsidRPr="009C713E" w:rsidR="008E61C9" w:rsidTr="009C713E" w14:paraId="5A3F1018" w14:textId="77777777">
        <w:trPr>
          <w:trHeight w:val="700"/>
        </w:trPr>
        <w:tc>
          <w:tcPr>
            <w:tcW w:w="990" w:type="dxa"/>
          </w:tcPr>
          <w:p w:rsidRPr="00AE5ACE" w:rsidR="008E61C9" w:rsidP="00BD7237" w:rsidRDefault="008E61C9" w14:paraId="77022D9A" w14:textId="77777777">
            <w:pPr>
              <w:pStyle w:val="TableParagraph"/>
              <w:spacing w:before="9"/>
              <w:rPr>
                <w:rFonts w:ascii="Times New Roman" w:hAnsi="Times New Roman" w:cs="Times New Roman"/>
                <w:b/>
                <w:sz w:val="20"/>
                <w:szCs w:val="20"/>
              </w:rPr>
            </w:pPr>
          </w:p>
          <w:p w:rsidRPr="00AE5ACE" w:rsidR="008E61C9" w:rsidP="00BD7237" w:rsidRDefault="001477A3" w14:paraId="299C5D6A" w14:textId="77777777">
            <w:pPr>
              <w:pStyle w:val="TableParagraph"/>
              <w:jc w:val="center"/>
              <w:rPr>
                <w:rFonts w:ascii="Times New Roman" w:hAnsi="Times New Roman" w:cs="Times New Roman"/>
                <w:sz w:val="20"/>
                <w:szCs w:val="20"/>
              </w:rPr>
            </w:pPr>
            <w:r w:rsidRPr="00AE5ACE">
              <w:rPr>
                <w:rFonts w:ascii="Times New Roman" w:hAnsi="Times New Roman" w:cs="Times New Roman"/>
                <w:w w:val="99"/>
                <w:sz w:val="20"/>
                <w:szCs w:val="20"/>
              </w:rPr>
              <w:t>2</w:t>
            </w:r>
          </w:p>
        </w:tc>
        <w:tc>
          <w:tcPr>
            <w:tcW w:w="1970" w:type="dxa"/>
          </w:tcPr>
          <w:p w:rsidRPr="00AE5ACE" w:rsidR="008E61C9" w:rsidP="00BD7237" w:rsidRDefault="008E61C9" w14:paraId="6EB877B5" w14:textId="77777777">
            <w:pPr>
              <w:pStyle w:val="TableParagraph"/>
              <w:spacing w:before="9"/>
              <w:rPr>
                <w:rFonts w:ascii="Times New Roman" w:hAnsi="Times New Roman" w:cs="Times New Roman"/>
                <w:b/>
                <w:sz w:val="20"/>
                <w:szCs w:val="20"/>
              </w:rPr>
            </w:pPr>
          </w:p>
          <w:p w:rsidRPr="00AE5ACE" w:rsidR="008E61C9" w:rsidP="009C713E" w:rsidRDefault="00AE5ACE" w14:paraId="35D5508B" w14:textId="60517848">
            <w:pPr>
              <w:pStyle w:val="TableParagraph"/>
              <w:jc w:val="center"/>
              <w:rPr>
                <w:rFonts w:ascii="Times New Roman" w:hAnsi="Times New Roman" w:cs="Times New Roman"/>
                <w:sz w:val="20"/>
                <w:szCs w:val="20"/>
              </w:rPr>
            </w:pPr>
            <w:r>
              <w:rPr>
                <w:rFonts w:ascii="Times New Roman" w:hAnsi="Times New Roman" w:cs="Times New Roman"/>
                <w:sz w:val="20"/>
                <w:szCs w:val="20"/>
              </w:rPr>
              <w:t>Voluntary pre-landing call</w:t>
            </w:r>
          </w:p>
        </w:tc>
        <w:tc>
          <w:tcPr>
            <w:tcW w:w="1322" w:type="dxa"/>
          </w:tcPr>
          <w:p w:rsidRPr="00AE5ACE" w:rsidR="008E61C9" w:rsidP="00BD7237" w:rsidRDefault="008E61C9" w14:paraId="537FACA7" w14:textId="77777777">
            <w:pPr>
              <w:pStyle w:val="TableParagraph"/>
              <w:spacing w:before="9"/>
              <w:rPr>
                <w:rFonts w:ascii="Times New Roman" w:hAnsi="Times New Roman" w:cs="Times New Roman"/>
                <w:b/>
                <w:sz w:val="20"/>
                <w:szCs w:val="20"/>
              </w:rPr>
            </w:pPr>
          </w:p>
          <w:p w:rsidRPr="00AE5ACE" w:rsidR="008E61C9" w:rsidP="00BD7237" w:rsidRDefault="001477A3" w14:paraId="640F596F" w14:textId="2A9524BB">
            <w:pPr>
              <w:pStyle w:val="TableParagraph"/>
              <w:spacing w:line="230" w:lineRule="atLeast"/>
              <w:ind w:hanging="84"/>
              <w:rPr>
                <w:rFonts w:ascii="Times New Roman" w:hAnsi="Times New Roman" w:cs="Times New Roman"/>
                <w:sz w:val="20"/>
                <w:szCs w:val="20"/>
              </w:rPr>
            </w:pPr>
            <w:r w:rsidRPr="00AE5ACE">
              <w:rPr>
                <w:rFonts w:ascii="Times New Roman" w:hAnsi="Times New Roman" w:cs="Times New Roman"/>
                <w:sz w:val="20"/>
                <w:szCs w:val="20"/>
              </w:rPr>
              <w:t>35 U.S.C</w:t>
            </w:r>
            <w:r w:rsidR="00AE5ACE">
              <w:rPr>
                <w:rFonts w:ascii="Times New Roman" w:hAnsi="Times New Roman" w:cs="Times New Roman"/>
                <w:sz w:val="20"/>
                <w:szCs w:val="20"/>
              </w:rPr>
              <w:t>. § 951 et seq.</w:t>
            </w:r>
          </w:p>
        </w:tc>
        <w:tc>
          <w:tcPr>
            <w:tcW w:w="2157" w:type="dxa"/>
          </w:tcPr>
          <w:p w:rsidRPr="00AE5ACE" w:rsidR="008E61C9" w:rsidP="00BD7237" w:rsidRDefault="008E61C9" w14:paraId="3BE6DE34" w14:textId="77777777">
            <w:pPr>
              <w:pStyle w:val="TableParagraph"/>
              <w:spacing w:before="9"/>
              <w:rPr>
                <w:rFonts w:ascii="Times New Roman" w:hAnsi="Times New Roman" w:cs="Times New Roman"/>
                <w:b/>
                <w:sz w:val="20"/>
                <w:szCs w:val="20"/>
              </w:rPr>
            </w:pPr>
          </w:p>
          <w:p w:rsidRPr="00AE5ACE" w:rsidR="008E61C9" w:rsidP="00BD7237" w:rsidRDefault="00AE5ACE" w14:paraId="22E7336E" w14:textId="437D3758">
            <w:pPr>
              <w:pStyle w:val="TableParagraph"/>
              <w:jc w:val="center"/>
              <w:rPr>
                <w:rFonts w:ascii="Times New Roman" w:hAnsi="Times New Roman" w:cs="Times New Roman"/>
                <w:sz w:val="20"/>
                <w:szCs w:val="20"/>
              </w:rPr>
            </w:pPr>
            <w:r>
              <w:rPr>
                <w:rFonts w:ascii="Times New Roman" w:hAnsi="Times New Roman" w:cs="Times New Roman"/>
                <w:sz w:val="20"/>
                <w:szCs w:val="20"/>
              </w:rPr>
              <w:t>50 CFR 300.25</w:t>
            </w:r>
          </w:p>
        </w:tc>
        <w:tc>
          <w:tcPr>
            <w:tcW w:w="1363" w:type="dxa"/>
          </w:tcPr>
          <w:p w:rsidRPr="00AE5ACE" w:rsidR="008E61C9" w:rsidP="00BD7237" w:rsidRDefault="008E61C9" w14:paraId="1AACC1D4" w14:textId="77777777">
            <w:pPr>
              <w:pStyle w:val="TableParagraph"/>
              <w:spacing w:before="9"/>
              <w:rPr>
                <w:rFonts w:ascii="Times New Roman" w:hAnsi="Times New Roman" w:cs="Times New Roman"/>
                <w:b/>
                <w:sz w:val="20"/>
                <w:szCs w:val="20"/>
              </w:rPr>
            </w:pPr>
          </w:p>
          <w:p w:rsidRPr="00AE5ACE" w:rsidR="008E61C9" w:rsidP="00BD7237" w:rsidRDefault="00AE5ACE" w14:paraId="7094A4B3" w14:textId="7584C414">
            <w:pPr>
              <w:pStyle w:val="TableParagraph"/>
              <w:jc w:val="center"/>
              <w:rPr>
                <w:rFonts w:ascii="Times New Roman" w:hAnsi="Times New Roman" w:cs="Times New Roman"/>
                <w:sz w:val="20"/>
                <w:szCs w:val="20"/>
              </w:rPr>
            </w:pPr>
            <w:r>
              <w:rPr>
                <w:rFonts w:ascii="Times New Roman" w:hAnsi="Times New Roman" w:cs="Times New Roman"/>
                <w:sz w:val="20"/>
                <w:szCs w:val="20"/>
              </w:rPr>
              <w:t>NA</w:t>
            </w:r>
          </w:p>
        </w:tc>
        <w:tc>
          <w:tcPr>
            <w:tcW w:w="3000" w:type="dxa"/>
          </w:tcPr>
          <w:p w:rsidRPr="00AE5ACE" w:rsidR="008E61C9" w:rsidP="00BD7237" w:rsidRDefault="008E61C9" w14:paraId="117F5A32" w14:textId="77777777">
            <w:pPr>
              <w:pStyle w:val="TableParagraph"/>
              <w:rPr>
                <w:rFonts w:ascii="Times New Roman" w:hAnsi="Times New Roman" w:cs="Times New Roman"/>
                <w:b/>
                <w:sz w:val="20"/>
                <w:szCs w:val="20"/>
              </w:rPr>
            </w:pPr>
          </w:p>
          <w:p w:rsidRPr="00AE5ACE" w:rsidR="008E61C9" w:rsidP="00AE5ACE" w:rsidRDefault="00AE5ACE" w14:paraId="5DB3EAAE" w14:textId="37A8E97B">
            <w:pPr>
              <w:pStyle w:val="TableParagraph"/>
              <w:numPr>
                <w:ilvl w:val="0"/>
                <w:numId w:val="4"/>
              </w:numPr>
              <w:tabs>
                <w:tab w:val="left" w:pos="469"/>
                <w:tab w:val="left" w:pos="470"/>
              </w:tabs>
              <w:ind w:left="0" w:hanging="361"/>
              <w:rPr>
                <w:rFonts w:ascii="Times New Roman" w:hAnsi="Times New Roman" w:cs="Times New Roman"/>
                <w:sz w:val="20"/>
                <w:szCs w:val="20"/>
              </w:rPr>
            </w:pPr>
            <w:r>
              <w:rPr>
                <w:rFonts w:ascii="Times New Roman" w:hAnsi="Times New Roman" w:cs="Times New Roman"/>
                <w:sz w:val="20"/>
                <w:szCs w:val="20"/>
              </w:rPr>
              <w:t>Used by government to inform catch estimates used to determine need for in</w:t>
            </w:r>
            <w:r w:rsidR="00B46547">
              <w:rPr>
                <w:rFonts w:ascii="Times New Roman" w:hAnsi="Times New Roman" w:cs="Times New Roman"/>
                <w:sz w:val="20"/>
                <w:szCs w:val="20"/>
              </w:rPr>
              <w:t>-</w:t>
            </w:r>
            <w:r>
              <w:rPr>
                <w:rFonts w:ascii="Times New Roman" w:hAnsi="Times New Roman" w:cs="Times New Roman"/>
                <w:sz w:val="20"/>
                <w:szCs w:val="20"/>
              </w:rPr>
              <w:t>season action.</w:t>
            </w:r>
          </w:p>
        </w:tc>
      </w:tr>
    </w:tbl>
    <w:p w:rsidR="00962DFC" w:rsidP="00962DFC" w:rsidRDefault="001477A3" w14:paraId="40593E5D"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962DFC" w:rsidR="00962DFC" w:rsidP="00962DFC" w:rsidRDefault="00962DFC" w14:paraId="3ABA40DD" w14:textId="77777777">
      <w:pPr>
        <w:tabs>
          <w:tab w:val="left" w:pos="360"/>
        </w:tabs>
        <w:spacing w:before="199"/>
        <w:rPr>
          <w:rFonts w:ascii="Times New Roman" w:hAnsi="Times New Roman" w:cs="Times New Roman"/>
          <w:sz w:val="24"/>
          <w:szCs w:val="24"/>
        </w:rPr>
      </w:pPr>
      <w:r w:rsidRPr="00962DFC">
        <w:rPr>
          <w:rFonts w:ascii="Times New Roman" w:hAnsi="Times New Roman" w:cs="Times New Roman"/>
          <w:sz w:val="24"/>
          <w:szCs w:val="24"/>
        </w:rPr>
        <w:t>E-ticket: Submission of E-tickets requires the use of an electronic system established and administered by the Pacific States Marine Fisheries Commission and California Department of Fish and Wildlife. As mentioned above (see question 2), the California Code of Federal Regulations will require E-tickets for all fisheries by July 1, 2019, and NMFS would only impose an advanced timeline for submission.</w:t>
      </w:r>
    </w:p>
    <w:p w:rsidRPr="00962DFC" w:rsidR="00962DFC" w:rsidP="00962DFC" w:rsidRDefault="00962DFC" w14:paraId="16573847" w14:textId="77777777">
      <w:pPr>
        <w:pStyle w:val="ListParagraph"/>
        <w:tabs>
          <w:tab w:val="left" w:pos="360"/>
        </w:tabs>
        <w:spacing w:before="199"/>
        <w:ind w:left="0" w:firstLine="0"/>
        <w:rPr>
          <w:rFonts w:ascii="Times New Roman" w:hAnsi="Times New Roman" w:cs="Times New Roman"/>
          <w:sz w:val="24"/>
          <w:szCs w:val="24"/>
        </w:rPr>
      </w:pPr>
      <w:r w:rsidRPr="00962DFC">
        <w:rPr>
          <w:rFonts w:ascii="Times New Roman" w:hAnsi="Times New Roman" w:cs="Times New Roman"/>
          <w:sz w:val="24"/>
          <w:szCs w:val="24"/>
        </w:rPr>
        <w:t>Voluntary pre-landing notification: This notification will be communicated to NMFS via telephone, therefore it may require the use of electronic technology (e.g., cellular phone) to complete the notification.</w:t>
      </w:r>
    </w:p>
    <w:p w:rsidR="008E61C9" w:rsidP="00BD7237" w:rsidRDefault="001477A3" w14:paraId="2B16B50A" w14:textId="47DF1D7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FF4C11" w:rsidR="00FF4C11" w:rsidP="00FF4C11" w:rsidRDefault="00FF4C11" w14:paraId="1BBF2062" w14:textId="2C5A4F2A">
      <w:pPr>
        <w:tabs>
          <w:tab w:val="left" w:pos="360"/>
        </w:tabs>
        <w:spacing w:before="80"/>
        <w:rPr>
          <w:rFonts w:ascii="Times New Roman" w:hAnsi="Times New Roman" w:cs="Times New Roman"/>
          <w:sz w:val="24"/>
          <w:szCs w:val="24"/>
        </w:rPr>
      </w:pPr>
      <w:r w:rsidRPr="00FF4C11">
        <w:rPr>
          <w:rFonts w:ascii="Times New Roman" w:hAnsi="Times New Roman" w:cs="Times New Roman"/>
          <w:sz w:val="24"/>
          <w:szCs w:val="24"/>
        </w:rPr>
        <w:t xml:space="preserve">E-tickets: The E-ticket submission is already required by California Department of Fish and Wildlife, and although NMFS is proposing to require that the submission timeline be advanced, it is not duplicating the e-tickets that must be submitted by the fish buyers. </w:t>
      </w:r>
    </w:p>
    <w:p w:rsidRPr="00FF4C11" w:rsidR="00FF4C11" w:rsidP="00FF4C11" w:rsidRDefault="00FF4C11" w14:paraId="557946B9" w14:textId="0E4A09AD">
      <w:pPr>
        <w:pStyle w:val="ListParagraph"/>
        <w:tabs>
          <w:tab w:val="left" w:pos="360"/>
        </w:tabs>
        <w:spacing w:before="80"/>
        <w:ind w:left="0" w:firstLine="0"/>
        <w:rPr>
          <w:rFonts w:ascii="Times New Roman" w:hAnsi="Times New Roman" w:cs="Times New Roman"/>
          <w:sz w:val="24"/>
          <w:szCs w:val="24"/>
        </w:rPr>
      </w:pPr>
      <w:r w:rsidRPr="00FF4C11">
        <w:rPr>
          <w:rFonts w:ascii="Times New Roman" w:hAnsi="Times New Roman" w:cs="Times New Roman"/>
          <w:sz w:val="24"/>
          <w:szCs w:val="24"/>
        </w:rPr>
        <w:t>Voluntary pre-landing notification: Similar requirements do not already exist for the PBF fishery.</w:t>
      </w:r>
    </w:p>
    <w:p w:rsidR="008E61C9" w:rsidP="00BD7237" w:rsidRDefault="001477A3" w14:paraId="32B2F4A2" w14:textId="31FFDE8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FF4C11" w:rsidR="00FF4C11" w:rsidP="00FF4C11" w:rsidRDefault="00FF4C11" w14:paraId="40098989" w14:textId="2AE62D24">
      <w:pPr>
        <w:pStyle w:val="ListParagraph"/>
        <w:tabs>
          <w:tab w:val="left" w:pos="360"/>
        </w:tabs>
        <w:spacing w:before="80"/>
        <w:ind w:left="0" w:firstLine="0"/>
        <w:rPr>
          <w:rFonts w:ascii="Times New Roman" w:hAnsi="Times New Roman" w:cs="Times New Roman"/>
          <w:sz w:val="24"/>
          <w:szCs w:val="24"/>
        </w:rPr>
      </w:pPr>
      <w:r w:rsidRPr="00FF4C11">
        <w:rPr>
          <w:rFonts w:ascii="Times New Roman" w:hAnsi="Times New Roman" w:cs="Times New Roman"/>
          <w:sz w:val="24"/>
          <w:szCs w:val="24"/>
        </w:rPr>
        <w:t>The collection of information involves small entities. All impacted businesses are small entities. The e-ticket requirement for landing receipts with PBF sales would not be an additional requirement, but an existing requirement on an advanced timeline. It is not expected that this would place an additional burden on the businesses.</w:t>
      </w:r>
    </w:p>
    <w:p w:rsidR="008E61C9" w:rsidP="00BD7237" w:rsidRDefault="001477A3" w14:paraId="6FDEF071" w14:textId="30C8BD1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FF4C11" w:rsidR="00FF4C11" w:rsidP="00FF4C11" w:rsidRDefault="00FF4C11" w14:paraId="2009FC0F" w14:textId="3CF12F7E">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T</w:t>
      </w:r>
      <w:r w:rsidRPr="00FF4C11">
        <w:rPr>
          <w:rFonts w:ascii="Times New Roman" w:hAnsi="Times New Roman" w:cs="Times New Roman"/>
          <w:sz w:val="24"/>
          <w:szCs w:val="24"/>
        </w:rPr>
        <w:t>he E-ticket submission</w:t>
      </w:r>
      <w:r>
        <w:rPr>
          <w:rFonts w:ascii="Times New Roman" w:hAnsi="Times New Roman" w:cs="Times New Roman"/>
          <w:sz w:val="24"/>
          <w:szCs w:val="24"/>
        </w:rPr>
        <w:t xml:space="preserve"> is</w:t>
      </w:r>
      <w:r w:rsidRPr="00FF4C11">
        <w:rPr>
          <w:rFonts w:ascii="Times New Roman" w:hAnsi="Times New Roman" w:cs="Times New Roman"/>
          <w:sz w:val="24"/>
          <w:szCs w:val="24"/>
        </w:rPr>
        <w:t xml:space="preserve"> intended to assist NMFS in monitoring catch to take appropriate in-season action when neces</w:t>
      </w:r>
      <w:r w:rsidR="0069578E">
        <w:rPr>
          <w:rFonts w:ascii="Times New Roman" w:hAnsi="Times New Roman" w:cs="Times New Roman"/>
          <w:sz w:val="24"/>
          <w:szCs w:val="24"/>
        </w:rPr>
        <w:t xml:space="preserve">sary. Otherwise, NMFS may </w:t>
      </w:r>
      <w:r w:rsidRPr="00FF4C11">
        <w:rPr>
          <w:rFonts w:ascii="Times New Roman" w:hAnsi="Times New Roman" w:cs="Times New Roman"/>
          <w:sz w:val="24"/>
          <w:szCs w:val="24"/>
        </w:rPr>
        <w:t>be unable to act quickly to reduce trip limits or close the fishery. The voluntary landing notification would also provide additional details about catch to date to assist in managing the catch and trip limits.</w:t>
      </w:r>
    </w:p>
    <w:p w:rsidRPr="00BD7237" w:rsidR="008E61C9" w:rsidP="00BD7237" w:rsidRDefault="001477A3" w14:paraId="5F8901F3" w14:textId="6A077204">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B46547">
        <w:rPr>
          <w:rFonts w:ascii="Times New Roman" w:hAnsi="Times New Roman" w:cs="Times New Roman"/>
          <w:b/>
          <w:sz w:val="24"/>
          <w:szCs w:val="24"/>
        </w:rPr>
        <w:t xml:space="preserve"> inconsistent with OMB guidelines.</w:t>
      </w:r>
      <w:bookmarkStart w:name="_GoBack" w:id="0"/>
      <w:bookmarkEnd w:id="0"/>
    </w:p>
    <w:p w:rsidR="008E61C9" w:rsidP="0069578E" w:rsidRDefault="00FF4C11" w14:paraId="261CBC04" w14:textId="224A5FC5">
      <w:pPr>
        <w:spacing w:before="120"/>
        <w:rPr>
          <w:rFonts w:ascii="Times New Roman" w:hAnsi="Times New Roman" w:cs="Times New Roman"/>
          <w:sz w:val="24"/>
          <w:szCs w:val="24"/>
        </w:rPr>
      </w:pPr>
      <w:r w:rsidRPr="0069578E">
        <w:rPr>
          <w:rFonts w:ascii="Times New Roman" w:hAnsi="Times New Roman" w:cs="Times New Roman"/>
          <w:sz w:val="24"/>
          <w:szCs w:val="24"/>
        </w:rPr>
        <w:t>The e-ticket submission may require</w:t>
      </w:r>
      <w:r w:rsidRPr="0069578E" w:rsidR="001477A3">
        <w:rPr>
          <w:rFonts w:ascii="Times New Roman" w:hAnsi="Times New Roman" w:cs="Times New Roman"/>
          <w:sz w:val="24"/>
          <w:szCs w:val="24"/>
        </w:rPr>
        <w:t xml:space="preserve"> respondents to report information to the agency more often than</w:t>
      </w:r>
      <w:r w:rsidRPr="0069578E" w:rsidR="001477A3">
        <w:rPr>
          <w:rFonts w:ascii="Times New Roman" w:hAnsi="Times New Roman" w:cs="Times New Roman"/>
          <w:spacing w:val="-16"/>
          <w:sz w:val="24"/>
          <w:szCs w:val="24"/>
        </w:rPr>
        <w:t xml:space="preserve"> </w:t>
      </w:r>
      <w:r w:rsidRPr="0069578E" w:rsidR="001477A3">
        <w:rPr>
          <w:rFonts w:ascii="Times New Roman" w:hAnsi="Times New Roman" w:cs="Times New Roman"/>
          <w:sz w:val="24"/>
          <w:szCs w:val="24"/>
        </w:rPr>
        <w:t>quarterly</w:t>
      </w:r>
      <w:r w:rsidRPr="0069578E">
        <w:rPr>
          <w:rFonts w:ascii="Times New Roman" w:hAnsi="Times New Roman" w:cs="Times New Roman"/>
          <w:sz w:val="24"/>
          <w:szCs w:val="24"/>
        </w:rPr>
        <w:t>, but it is dependent on when PBF are landed is already required by the California Code of Regulations</w:t>
      </w:r>
      <w:r w:rsidR="0069578E">
        <w:rPr>
          <w:rFonts w:ascii="Times New Roman" w:hAnsi="Times New Roman" w:cs="Times New Roman"/>
          <w:sz w:val="24"/>
          <w:szCs w:val="24"/>
        </w:rPr>
        <w:t>.</w:t>
      </w:r>
    </w:p>
    <w:p w:rsidRPr="0069578E" w:rsidR="0069578E" w:rsidP="0069578E" w:rsidRDefault="0069578E" w14:paraId="1A48DEA9" w14:textId="77777777">
      <w:pPr>
        <w:spacing w:before="120"/>
        <w:rPr>
          <w:rFonts w:ascii="Times New Roman" w:hAnsi="Times New Roman" w:cs="Times New Roman"/>
          <w:sz w:val="24"/>
          <w:szCs w:val="24"/>
        </w:rPr>
      </w:pPr>
    </w:p>
    <w:p w:rsidR="008E61C9" w:rsidP="00BD7237" w:rsidRDefault="001477A3" w14:paraId="03C88F27" w14:textId="38B514C9">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BD7237">
        <w:rPr>
          <w:rFonts w:ascii="Times New Roman" w:hAnsi="Times New Roman" w:cs="Times New Roman"/>
          <w:b/>
          <w:sz w:val="24"/>
          <w:szCs w:val="24"/>
        </w:rPr>
        <w:lastRenderedPageBreak/>
        <w:t>Specifically address comments received on cost and hour burden.</w:t>
      </w:r>
    </w:p>
    <w:p w:rsidRPr="00FF4C11" w:rsidR="00FF4C11" w:rsidP="00FF4C11" w:rsidRDefault="0069578E" w14:paraId="52FE6A9A" w14:textId="7BAD533D">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A proposed rule (RIN: 0648-BJ26) will be published coincident with this request.</w:t>
      </w:r>
      <w:r w:rsidR="00623008">
        <w:rPr>
          <w:rFonts w:ascii="Times New Roman" w:hAnsi="Times New Roman" w:cs="Times New Roman"/>
          <w:sz w:val="24"/>
          <w:szCs w:val="24"/>
        </w:rPr>
        <w:t xml:space="preserve"> This request to change a collection of information aligns with a recommendation from the Pacific Fishery Management Council.</w:t>
      </w:r>
    </w:p>
    <w:p w:rsidR="008E61C9" w:rsidP="00BD7237" w:rsidRDefault="001477A3" w14:paraId="297C8319" w14:textId="56C2E4D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FF4C11" w:rsidR="00FF4C11" w:rsidP="00FF4C11" w:rsidRDefault="00FF4C11" w14:paraId="0DD1259B" w14:textId="6D9D1F1D">
      <w:pPr>
        <w:pStyle w:val="ListParagraph"/>
        <w:tabs>
          <w:tab w:val="left" w:pos="360"/>
        </w:tabs>
        <w:spacing w:before="80"/>
        <w:ind w:left="0" w:firstLine="0"/>
        <w:rPr>
          <w:rFonts w:ascii="Times New Roman" w:hAnsi="Times New Roman" w:cs="Times New Roman"/>
          <w:sz w:val="24"/>
          <w:szCs w:val="24"/>
        </w:rPr>
      </w:pPr>
      <w:r w:rsidRPr="00FF4C11">
        <w:rPr>
          <w:rFonts w:ascii="Times New Roman" w:hAnsi="Times New Roman" w:cs="Times New Roman"/>
          <w:sz w:val="24"/>
          <w:szCs w:val="24"/>
        </w:rPr>
        <w:t>No payments or gifts are involved in this program.</w:t>
      </w:r>
    </w:p>
    <w:p w:rsidR="008E61C9" w:rsidP="00BD7237" w:rsidRDefault="001477A3" w14:paraId="3836E576" w14:textId="0CFD06A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090E6A" w:rsidR="00090E6A" w:rsidP="00090E6A" w:rsidRDefault="00090E6A" w14:paraId="61F5E21A" w14:textId="23DF2B8E">
      <w:pPr>
        <w:pStyle w:val="ListParagraph"/>
        <w:tabs>
          <w:tab w:val="left" w:pos="360"/>
        </w:tabs>
        <w:spacing w:before="80"/>
        <w:ind w:left="0" w:firstLine="0"/>
        <w:rPr>
          <w:rFonts w:ascii="Times New Roman" w:hAnsi="Times New Roman" w:cs="Times New Roman"/>
          <w:sz w:val="24"/>
          <w:szCs w:val="24"/>
        </w:rPr>
      </w:pPr>
      <w:r w:rsidRPr="00090E6A">
        <w:rPr>
          <w:rFonts w:ascii="Times New Roman" w:hAnsi="Times New Roman" w:cs="Times New Roman"/>
          <w:sz w:val="24"/>
          <w:szCs w:val="24"/>
        </w:rPr>
        <w:t>NMFS will only publicly disclose catch in accordance with confidentiality rules under the Magnuson-Stevens Fishery Conservation and Management Act.</w:t>
      </w:r>
    </w:p>
    <w:p w:rsidR="00090E6A" w:rsidP="00090E6A" w:rsidRDefault="001477A3" w14:paraId="0D12B21F" w14:textId="241A0A75">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90E6A" w:rsidR="00090E6A" w:rsidP="00090E6A" w:rsidRDefault="00090E6A" w14:paraId="160FF74F" w14:textId="5807219B">
      <w:pPr>
        <w:tabs>
          <w:tab w:val="left" w:pos="360"/>
        </w:tabs>
        <w:spacing w:before="80"/>
        <w:rPr>
          <w:rFonts w:ascii="Times New Roman" w:hAnsi="Times New Roman" w:cs="Times New Roman"/>
          <w:sz w:val="24"/>
          <w:szCs w:val="24"/>
        </w:rPr>
        <w:sectPr w:rsidRPr="00090E6A" w:rsidR="00090E6A" w:rsidSect="00BD7237">
          <w:footerReference w:type="default" r:id="rId7"/>
          <w:pgSz w:w="12240" w:h="15840"/>
          <w:pgMar w:top="640" w:right="1080" w:bottom="1200" w:left="1080" w:header="0" w:footer="1014" w:gutter="0"/>
          <w:cols w:space="720"/>
        </w:sectPr>
      </w:pPr>
      <w:r w:rsidRPr="00090E6A">
        <w:rPr>
          <w:rFonts w:ascii="Times New Roman" w:hAnsi="Times New Roman" w:cs="Times New Roman"/>
          <w:sz w:val="24"/>
          <w:szCs w:val="24"/>
        </w:rPr>
        <w:t xml:space="preserve">No questions of a sensitive nature </w:t>
      </w:r>
      <w:r w:rsidR="0069578E">
        <w:rPr>
          <w:rFonts w:ascii="Times New Roman" w:hAnsi="Times New Roman" w:cs="Times New Roman"/>
          <w:sz w:val="24"/>
          <w:szCs w:val="24"/>
        </w:rPr>
        <w:t>will be</w:t>
      </w:r>
      <w:r w:rsidRPr="00090E6A">
        <w:rPr>
          <w:rFonts w:ascii="Times New Roman" w:hAnsi="Times New Roman" w:cs="Times New Roman"/>
          <w:sz w:val="24"/>
          <w:szCs w:val="24"/>
        </w:rPr>
        <w:t xml:space="preserve"> asked.</w:t>
      </w:r>
    </w:p>
    <w:p w:rsidRPr="00BD7237" w:rsidR="008E61C9" w:rsidP="00BD7237" w:rsidRDefault="008E61C9" w14:paraId="639C8B5D" w14:textId="77777777">
      <w:pPr>
        <w:spacing w:line="259" w:lineRule="auto"/>
        <w:rPr>
          <w:rFonts w:ascii="Times New Roman" w:hAnsi="Times New Roman" w:cs="Times New Roman"/>
          <w:sz w:val="24"/>
          <w:szCs w:val="24"/>
        </w:rPr>
      </w:pPr>
    </w:p>
    <w:p w:rsidRPr="00BD7237" w:rsidR="008E61C9" w:rsidP="00BD7237" w:rsidRDefault="001477A3" w14:paraId="079B51F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8E07F0" w:rsidP="008E07F0" w:rsidRDefault="008E07F0" w14:paraId="6A156FB6" w14:textId="77777777">
      <w:pPr>
        <w:spacing w:line="259" w:lineRule="auto"/>
        <w:ind w:hanging="43"/>
        <w:rPr>
          <w:rFonts w:ascii="Times New Roman" w:hAnsi="Times New Roman" w:cs="Times New Roman"/>
          <w:sz w:val="24"/>
          <w:szCs w:val="24"/>
        </w:rPr>
      </w:pPr>
    </w:p>
    <w:p w:rsidR="00D64DF9" w:rsidP="008E07F0" w:rsidRDefault="008E07F0" w14:paraId="7B5635A2" w14:textId="1D4366C6">
      <w:pPr>
        <w:spacing w:line="259" w:lineRule="auto"/>
        <w:ind w:hanging="43"/>
        <w:rPr>
          <w:rFonts w:ascii="Times New Roman" w:hAnsi="Times New Roman" w:cs="Times New Roman"/>
          <w:b/>
          <w:color w:val="FF0000"/>
          <w:sz w:val="24"/>
          <w:szCs w:val="24"/>
        </w:rPr>
      </w:pPr>
      <w:r w:rsidRPr="008E07F0">
        <w:rPr>
          <w:rFonts w:ascii="Times New Roman" w:hAnsi="Times New Roman" w:cs="Times New Roman"/>
          <w:sz w:val="24"/>
          <w:szCs w:val="24"/>
        </w:rPr>
        <w:t>The e-ticket submission is an existing requirement under California Code of Regulations and managed by the California Department of Fish and Wildlife</w:t>
      </w:r>
      <w:r w:rsidR="004470CC">
        <w:rPr>
          <w:rFonts w:ascii="Times New Roman" w:hAnsi="Times New Roman" w:cs="Times New Roman"/>
          <w:sz w:val="24"/>
          <w:szCs w:val="24"/>
        </w:rPr>
        <w:t xml:space="preserve">, therefore </w:t>
      </w:r>
      <w:r w:rsidR="0069578E">
        <w:rPr>
          <w:rFonts w:ascii="Times New Roman" w:hAnsi="Times New Roman" w:cs="Times New Roman"/>
          <w:sz w:val="24"/>
          <w:szCs w:val="24"/>
        </w:rPr>
        <w:t>imposing</w:t>
      </w:r>
      <w:r w:rsidR="004470CC">
        <w:rPr>
          <w:rFonts w:ascii="Times New Roman" w:hAnsi="Times New Roman" w:cs="Times New Roman"/>
          <w:sz w:val="24"/>
          <w:szCs w:val="24"/>
        </w:rPr>
        <w:t xml:space="preserve"> no additional burden.</w:t>
      </w:r>
      <w:r>
        <w:rPr>
          <w:rFonts w:ascii="Times New Roman" w:hAnsi="Times New Roman" w:cs="Times New Roman"/>
          <w:sz w:val="24"/>
          <w:szCs w:val="24"/>
        </w:rPr>
        <w:t xml:space="preserve"> The voluntary pre-landing call submission is detailed in the table below.</w:t>
      </w: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09058ADE"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3554842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065ED99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7FCD136B"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96EF33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075953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9EA5226"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D5E364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25402C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BFC4C3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14:paraId="58C2B9E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8E07F0" w14:paraId="34AD1DCC" w14:textId="5A795C0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Voluntary pre-landing call</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705CE8F5" w14:textId="0C1BD9B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Fishing vessel</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3761F4A4" w14:textId="0BD6F3B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D64DF9" w:rsidR="00D64DF9">
              <w:rPr>
                <w:rFonts w:ascii="Calibri" w:hAnsi="Calibri" w:eastAsia="Times New Roman" w:cs="Calibri"/>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43F31850" w14:textId="49BABF0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5FF87BA5" w14:textId="7D147D2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5AAC46D3" w14:textId="2954265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 minutes</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1E25FD59" w14:textId="7CB1925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2.55 hours</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8C62CC" w14:paraId="3274FA01" w14:textId="4C91666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15.07</w:t>
            </w:r>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C62CC" w14:paraId="4CA7B475" w14:textId="394A948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38.42</w:t>
            </w:r>
            <w:r w:rsidRPr="00D64DF9" w:rsidR="00D64DF9">
              <w:rPr>
                <w:rFonts w:ascii="Calibri" w:hAnsi="Calibri" w:eastAsia="Times New Roman" w:cs="Calibri"/>
                <w:color w:val="000000"/>
                <w:sz w:val="16"/>
                <w:szCs w:val="16"/>
                <w:lang w:bidi="ar-SA"/>
              </w:rPr>
              <w:t> </w:t>
            </w:r>
          </w:p>
        </w:tc>
      </w:tr>
      <w:tr w:rsidRPr="00D64DF9" w:rsidR="00D64DF9" w:rsidTr="00D64DF9" w14:paraId="227B854F"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34A16986"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F5A0B47"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C6F7537"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AF0915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0A040EE6" w14:textId="4DD7953E">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E07F0">
              <w:rPr>
                <w:rFonts w:ascii="Calibri" w:hAnsi="Calibri" w:eastAsia="Times New Roman" w:cs="Calibri"/>
                <w:b/>
                <w:bCs/>
                <w:color w:val="000000"/>
                <w:lang w:bidi="ar-SA"/>
              </w:rPr>
              <w:t>51</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58BC36B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478AF36D" w14:textId="616D0456">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E07F0">
              <w:rPr>
                <w:rFonts w:ascii="Calibri" w:hAnsi="Calibri" w:eastAsia="Times New Roman" w:cs="Calibri"/>
                <w:b/>
                <w:bCs/>
                <w:color w:val="000000"/>
                <w:lang w:bidi="ar-SA"/>
              </w:rPr>
              <w:t>2.55 hours</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8A96F3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571D84C6" w14:textId="732B41BE">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1A2188">
              <w:rPr>
                <w:rFonts w:ascii="Calibri" w:hAnsi="Calibri" w:eastAsia="Times New Roman" w:cs="Calibri"/>
                <w:b/>
                <w:bCs/>
                <w:color w:val="000000"/>
                <w:lang w:bidi="ar-SA"/>
              </w:rPr>
              <w:t>$38.42</w:t>
            </w:r>
          </w:p>
        </w:tc>
      </w:tr>
    </w:tbl>
    <w:p w:rsidR="00D64DF9" w:rsidP="00D64DF9" w:rsidRDefault="00D64DF9" w14:paraId="77B5F852" w14:textId="77777777">
      <w:pPr>
        <w:spacing w:line="259" w:lineRule="auto"/>
        <w:rPr>
          <w:rFonts w:ascii="Times New Roman" w:hAnsi="Times New Roman" w:cs="Times New Roman"/>
          <w:b/>
          <w:color w:val="FF0000"/>
          <w:sz w:val="24"/>
          <w:szCs w:val="24"/>
        </w:rPr>
      </w:pPr>
    </w:p>
    <w:p w:rsidRPr="00BD7237" w:rsidR="008E61C9" w:rsidP="00BD7237" w:rsidRDefault="008E61C9" w14:paraId="0EFFC3C1" w14:textId="77777777">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004470CC" w:rsidP="004470CC" w:rsidRDefault="001477A3" w14:paraId="751D2355" w14:textId="76540F0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4470CC" w:rsidR="004470CC" w:rsidP="004470CC" w:rsidRDefault="004470CC" w14:paraId="11D09DFD" w14:textId="77777777">
      <w:pPr>
        <w:pStyle w:val="ListParagraph"/>
        <w:tabs>
          <w:tab w:val="left" w:pos="360"/>
        </w:tabs>
        <w:spacing w:before="80"/>
        <w:ind w:left="0" w:firstLine="0"/>
        <w:rPr>
          <w:rFonts w:ascii="Times New Roman" w:hAnsi="Times New Roman" w:cs="Times New Roman"/>
          <w:b/>
          <w:sz w:val="24"/>
          <w:szCs w:val="24"/>
        </w:rPr>
      </w:pPr>
    </w:p>
    <w:p w:rsidRPr="004470CC" w:rsidR="004470CC" w:rsidP="004470CC" w:rsidRDefault="004470CC" w14:paraId="4459AB4F" w14:textId="72F78DC0">
      <w:pPr>
        <w:spacing w:line="259" w:lineRule="auto"/>
        <w:rPr>
          <w:rFonts w:ascii="Times New Roman" w:hAnsi="Times New Roman" w:cs="Times New Roman"/>
          <w:b/>
          <w:color w:val="FF0000"/>
          <w:sz w:val="24"/>
          <w:szCs w:val="24"/>
        </w:rPr>
      </w:pPr>
      <w:r w:rsidRPr="004470CC">
        <w:rPr>
          <w:rFonts w:ascii="Times New Roman" w:hAnsi="Times New Roman" w:cs="Times New Roman"/>
          <w:sz w:val="24"/>
          <w:szCs w:val="24"/>
        </w:rPr>
        <w:t>The e-ticket submission is an existing requirement under California Code of Regulations and managed by the California Department of Fish and Wildlife, therefore there is no additional burden. The voluntary pre-landing call submission is detailed in the table below.</w:t>
      </w:r>
    </w:p>
    <w:p w:rsidRPr="004470CC" w:rsidR="004470CC" w:rsidP="004470CC" w:rsidRDefault="004470CC" w14:paraId="7A387DFB" w14:textId="77777777">
      <w:pPr>
        <w:spacing w:before="120"/>
        <w:rPr>
          <w:rFonts w:ascii="Times New Roman" w:hAnsi="Times New Roman" w:cs="Times New Roman"/>
          <w:sz w:val="24"/>
          <w:szCs w:val="24"/>
        </w:rPr>
      </w:pPr>
    </w:p>
    <w:p w:rsidR="008E61C9" w:rsidP="00BD7237" w:rsidRDefault="008E61C9" w14:paraId="0CFB8403" w14:textId="77777777">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09151668"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28042D0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433F1E89"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678336D3"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FDB1A5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038D4ADB"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5E7D543A"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115034" w:rsidTr="001477A3" w14:paraId="1E2A43B9"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115034" w:rsidRDefault="00115034" w14:paraId="09094563" w14:textId="6328AE8A">
            <w:pPr>
              <w:widowControl/>
              <w:autoSpaceDE/>
              <w:autoSpaceDN/>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00A46522">
              <w:rPr>
                <w:rFonts w:ascii="Calibri" w:hAnsi="Calibri" w:eastAsia="Times New Roman" w:cs="Calibri"/>
                <w:color w:val="000000"/>
                <w:sz w:val="16"/>
                <w:szCs w:val="16"/>
                <w:lang w:bidi="ar-SA"/>
              </w:rPr>
              <w:t>Voluntary pre-landing call</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43B7A3E2" w14:textId="285EBD5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115034" w:rsidR="00115034">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7716E26D" w14:textId="6871409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115034" w:rsid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43F95AD2" w14:textId="52DC3E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w:t>
            </w:r>
            <w:r w:rsidRPr="00115034" w:rsidR="00115034">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501E016E" w14:textId="27540F3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r w:rsidRPr="00115034" w:rsidR="00115034">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A46522" w14:paraId="2A29BC51" w14:textId="3196FB3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12.75</w:t>
            </w:r>
            <w:r w:rsidRPr="00115034" w:rsidR="00115034">
              <w:rPr>
                <w:rFonts w:ascii="Calibri" w:hAnsi="Calibri" w:eastAsia="Times New Roman" w:cs="Calibri"/>
                <w:color w:val="000000"/>
                <w:sz w:val="16"/>
                <w:szCs w:val="16"/>
                <w:lang w:bidi="ar-SA"/>
              </w:rPr>
              <w:t> </w:t>
            </w:r>
          </w:p>
        </w:tc>
      </w:tr>
      <w:tr w:rsidRPr="00115034" w:rsidR="00115034" w:rsidTr="001477A3" w14:paraId="1295D6BE"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14:paraId="7CCE46BB"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107C65C1" w14:textId="3F5638BB">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17</w:t>
            </w:r>
            <w:r w:rsidRPr="00115034" w:rsid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0F584D4C" w14:textId="2BAAE8DA">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115034" w:rsid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499A0838" w14:textId="127DA4C9">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51</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353A1B3F" w14:textId="7F4A5FC0">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$0.75</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A46522" w14:paraId="1133FDA1" w14:textId="20113282">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$12.75</w:t>
            </w:r>
          </w:p>
        </w:tc>
      </w:tr>
    </w:tbl>
    <w:p w:rsidRPr="00BD7237" w:rsidR="00115034" w:rsidP="00BD7237" w:rsidRDefault="00115034" w14:paraId="195BF4EB" w14:textId="77777777">
      <w:pPr>
        <w:pStyle w:val="BodyText"/>
        <w:spacing w:before="1"/>
        <w:ind w:left="0"/>
        <w:rPr>
          <w:rFonts w:ascii="Times New Roman" w:hAnsi="Times New Roman" w:cs="Times New Roman"/>
          <w:b/>
        </w:rPr>
      </w:pPr>
    </w:p>
    <w:p w:rsidRPr="00BD7237" w:rsidR="008E61C9" w:rsidP="00BD7237" w:rsidRDefault="001477A3" w14:paraId="77CF9031" w14:textId="77777777">
      <w:pPr>
        <w:rPr>
          <w:rFonts w:ascii="Times New Roman" w:hAnsi="Times New Roman" w:cs="Times New Roman"/>
          <w:b/>
          <w:sz w:val="24"/>
          <w:szCs w:val="24"/>
        </w:rPr>
      </w:pPr>
      <w:r w:rsidRPr="00BD7237">
        <w:rPr>
          <w:rFonts w:ascii="Times New Roman" w:hAnsi="Times New Roman" w:cs="Times New Roman"/>
          <w:b/>
          <w:color w:val="FF0000"/>
          <w:sz w:val="24"/>
          <w:szCs w:val="24"/>
        </w:rPr>
        <w:t>*There are no capital costs or operating and maintenance costs associated with this information collection.</w:t>
      </w:r>
    </w:p>
    <w:p w:rsidRPr="00BD7237" w:rsidR="008E61C9" w:rsidP="00BD7237" w:rsidRDefault="008E61C9" w14:paraId="70DBAA2C" w14:textId="77777777">
      <w:pPr>
        <w:pStyle w:val="BodyText"/>
        <w:spacing w:before="7"/>
        <w:ind w:left="0"/>
        <w:rPr>
          <w:rFonts w:ascii="Times New Roman" w:hAnsi="Times New Roman" w:cs="Times New Roman"/>
          <w:b/>
        </w:rPr>
      </w:pPr>
    </w:p>
    <w:p w:rsidR="008E61C9" w:rsidP="00BD7237" w:rsidRDefault="001477A3" w14:paraId="361C5C49" w14:textId="710AE88F">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945AC" w:rsidR="005945AC" w:rsidP="005945AC" w:rsidRDefault="005945AC" w14:paraId="4A88A584" w14:textId="78A07A40">
      <w:pPr>
        <w:pStyle w:val="ListParagraph"/>
        <w:tabs>
          <w:tab w:val="left" w:pos="360"/>
        </w:tabs>
        <w:spacing w:before="80"/>
        <w:ind w:left="0" w:firstLine="0"/>
        <w:rPr>
          <w:rFonts w:ascii="Times New Roman" w:hAnsi="Times New Roman" w:cs="Times New Roman"/>
          <w:sz w:val="24"/>
          <w:szCs w:val="24"/>
        </w:rPr>
      </w:pPr>
      <w:r w:rsidRPr="005945AC">
        <w:rPr>
          <w:rFonts w:ascii="Times New Roman" w:hAnsi="Times New Roman" w:cs="Times New Roman"/>
          <w:sz w:val="24"/>
          <w:szCs w:val="24"/>
        </w:rPr>
        <w:t xml:space="preserve">E-tickets will be submitted to the California Department of Fish and Wildlife, vessel operators or owners, and </w:t>
      </w:r>
      <w:proofErr w:type="spellStart"/>
      <w:r w:rsidRPr="005945AC">
        <w:rPr>
          <w:rFonts w:ascii="Times New Roman" w:hAnsi="Times New Roman" w:cs="Times New Roman"/>
          <w:sz w:val="24"/>
          <w:szCs w:val="24"/>
        </w:rPr>
        <w:t>PacFIN</w:t>
      </w:r>
      <w:proofErr w:type="spellEnd"/>
      <w:r w:rsidRPr="005945AC">
        <w:rPr>
          <w:rFonts w:ascii="Times New Roman" w:hAnsi="Times New Roman" w:cs="Times New Roman"/>
          <w:sz w:val="24"/>
          <w:szCs w:val="24"/>
        </w:rPr>
        <w:t>.</w:t>
      </w:r>
      <w:r>
        <w:rPr>
          <w:rFonts w:ascii="Times New Roman" w:hAnsi="Times New Roman" w:cs="Times New Roman"/>
          <w:sz w:val="24"/>
          <w:szCs w:val="24"/>
        </w:rPr>
        <w:t xml:space="preserve"> There is no anticipated cost to the Federal government.</w:t>
      </w:r>
    </w:p>
    <w:p w:rsidR="008E61C9" w:rsidP="00BD7237" w:rsidRDefault="001477A3" w14:paraId="05B3DC73" w14:textId="3931D63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B12C7D" w:rsidP="00B12C7D" w:rsidRDefault="00B12C7D" w14:paraId="47F4CE95" w14:textId="5B270E04">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 xml:space="preserve">The </w:t>
      </w:r>
      <w:r w:rsidR="007925EF">
        <w:rPr>
          <w:rFonts w:ascii="Times New Roman" w:hAnsi="Times New Roman" w:cs="Times New Roman"/>
          <w:sz w:val="24"/>
          <w:szCs w:val="24"/>
        </w:rPr>
        <w:t xml:space="preserve">only </w:t>
      </w:r>
      <w:r>
        <w:rPr>
          <w:rFonts w:ascii="Times New Roman" w:hAnsi="Times New Roman" w:cs="Times New Roman"/>
          <w:sz w:val="24"/>
          <w:szCs w:val="24"/>
        </w:rPr>
        <w:t xml:space="preserve">program changes made to the previously approved collection of information </w:t>
      </w:r>
      <w:r w:rsidR="007925EF">
        <w:rPr>
          <w:rFonts w:ascii="Times New Roman" w:hAnsi="Times New Roman" w:cs="Times New Roman"/>
          <w:sz w:val="24"/>
          <w:szCs w:val="24"/>
        </w:rPr>
        <w:t>are</w:t>
      </w:r>
      <w:r>
        <w:rPr>
          <w:rFonts w:ascii="Times New Roman" w:hAnsi="Times New Roman" w:cs="Times New Roman"/>
          <w:sz w:val="24"/>
          <w:szCs w:val="24"/>
        </w:rPr>
        <w:t xml:space="preserve"> to remove the pre-trip notification</w:t>
      </w:r>
      <w:r w:rsidR="007925EF">
        <w:rPr>
          <w:rFonts w:ascii="Times New Roman" w:hAnsi="Times New Roman" w:cs="Times New Roman"/>
          <w:sz w:val="24"/>
          <w:szCs w:val="24"/>
        </w:rPr>
        <w:t>s,</w:t>
      </w:r>
      <w:r>
        <w:rPr>
          <w:rFonts w:ascii="Times New Roman" w:hAnsi="Times New Roman" w:cs="Times New Roman"/>
          <w:sz w:val="24"/>
          <w:szCs w:val="24"/>
        </w:rPr>
        <w:t xml:space="preserve"> which are not part of the proposed rule to implement IATTC Resolution C-20-01 applicable to 2021.</w:t>
      </w:r>
    </w:p>
    <w:tbl>
      <w:tblPr>
        <w:tblW w:w="7629" w:type="dxa"/>
        <w:tblLook w:val="04A0" w:firstRow="1" w:lastRow="0" w:firstColumn="1" w:lastColumn="0" w:noHBand="0" w:noVBand="1"/>
      </w:tblPr>
      <w:tblGrid>
        <w:gridCol w:w="1380"/>
        <w:gridCol w:w="780"/>
        <w:gridCol w:w="800"/>
        <w:gridCol w:w="774"/>
        <w:gridCol w:w="775"/>
        <w:gridCol w:w="840"/>
        <w:gridCol w:w="880"/>
        <w:gridCol w:w="1400"/>
      </w:tblGrid>
      <w:tr w:rsidRPr="007925EF" w:rsidR="007925EF" w:rsidTr="007925EF" w14:paraId="63ED7FDD" w14:textId="77777777">
        <w:trPr>
          <w:trHeight w:val="300"/>
        </w:trPr>
        <w:tc>
          <w:tcPr>
            <w:tcW w:w="13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298E3586"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Information Collection</w:t>
            </w:r>
          </w:p>
        </w:tc>
        <w:tc>
          <w:tcPr>
            <w:tcW w:w="1580"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4FA82ADF"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Respondents</w:t>
            </w:r>
          </w:p>
        </w:tc>
        <w:tc>
          <w:tcPr>
            <w:tcW w:w="1549"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01819B03"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Responses</w:t>
            </w:r>
          </w:p>
        </w:tc>
        <w:tc>
          <w:tcPr>
            <w:tcW w:w="1720"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64246814"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Burden Hours</w:t>
            </w:r>
          </w:p>
        </w:tc>
        <w:tc>
          <w:tcPr>
            <w:tcW w:w="14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63B9A4A0"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Reason for change or adjustment</w:t>
            </w:r>
          </w:p>
        </w:tc>
      </w:tr>
      <w:tr w:rsidRPr="007925EF" w:rsidR="007925EF" w:rsidTr="007925EF" w14:paraId="0D858BF1" w14:textId="77777777">
        <w:trPr>
          <w:trHeight w:val="640"/>
        </w:trPr>
        <w:tc>
          <w:tcPr>
            <w:tcW w:w="1380"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294F3726" w14:textId="77777777">
            <w:pPr>
              <w:widowControl/>
              <w:autoSpaceDE/>
              <w:autoSpaceDN/>
              <w:rPr>
                <w:rFonts w:ascii="Calibri" w:hAnsi="Calibri" w:eastAsia="Times New Roman" w:cs="Calibri"/>
                <w:b/>
                <w:bCs/>
                <w:color w:val="000000"/>
                <w:sz w:val="16"/>
                <w:szCs w:val="16"/>
                <w:lang w:bidi="ar-SA"/>
              </w:rPr>
            </w:pPr>
          </w:p>
        </w:tc>
        <w:tc>
          <w:tcPr>
            <w:tcW w:w="780"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5F037BED"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 Renewal / Revision</w:t>
            </w:r>
          </w:p>
        </w:tc>
        <w:tc>
          <w:tcPr>
            <w:tcW w:w="800"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23B62C1C"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 Renewal / Revision</w:t>
            </w:r>
          </w:p>
        </w:tc>
        <w:tc>
          <w:tcPr>
            <w:tcW w:w="774"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1EC6EF10"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 Renewal / Revision</w:t>
            </w:r>
          </w:p>
        </w:tc>
        <w:tc>
          <w:tcPr>
            <w:tcW w:w="775"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50CDF7D4"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 Renewal / Revision</w:t>
            </w:r>
          </w:p>
        </w:tc>
        <w:tc>
          <w:tcPr>
            <w:tcW w:w="840"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08A950A4"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 Renewal / Revision</w:t>
            </w:r>
          </w:p>
        </w:tc>
        <w:tc>
          <w:tcPr>
            <w:tcW w:w="880"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62876823"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 Renewal / Revision</w:t>
            </w:r>
          </w:p>
        </w:tc>
        <w:tc>
          <w:tcPr>
            <w:tcW w:w="1400"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7FB2E845" w14:textId="77777777">
            <w:pPr>
              <w:widowControl/>
              <w:autoSpaceDE/>
              <w:autoSpaceDN/>
              <w:rPr>
                <w:rFonts w:ascii="Calibri" w:hAnsi="Calibri" w:eastAsia="Times New Roman" w:cs="Calibri"/>
                <w:b/>
                <w:bCs/>
                <w:color w:val="000000"/>
                <w:sz w:val="16"/>
                <w:szCs w:val="16"/>
                <w:lang w:bidi="ar-SA"/>
              </w:rPr>
            </w:pPr>
          </w:p>
        </w:tc>
      </w:tr>
      <w:tr w:rsidRPr="007925EF" w:rsidR="007925EF" w:rsidTr="007925EF" w14:paraId="3C7DE482" w14:textId="77777777">
        <w:trPr>
          <w:trHeight w:val="300"/>
        </w:trPr>
        <w:tc>
          <w:tcPr>
            <w:tcW w:w="1380"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57564D2E" w14:textId="75CDC117">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Pre-trip Notification</w:t>
            </w:r>
          </w:p>
        </w:tc>
        <w:tc>
          <w:tcPr>
            <w:tcW w:w="78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24DBB322" w14:textId="58A43BC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8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1B73D587" w14:textId="360CA20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7925EF">
              <w:rPr>
                <w:rFonts w:ascii="Calibri" w:hAnsi="Calibri" w:eastAsia="Times New Roman" w:cs="Calibri"/>
                <w:color w:val="000000"/>
                <w:sz w:val="16"/>
                <w:szCs w:val="16"/>
                <w:lang w:bidi="ar-SA"/>
              </w:rPr>
              <w:t> </w:t>
            </w:r>
          </w:p>
        </w:tc>
        <w:tc>
          <w:tcPr>
            <w:tcW w:w="774"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45D35C08" w14:textId="7E72A44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587E7D64" w14:textId="161D07DE">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51</w:t>
            </w:r>
          </w:p>
        </w:tc>
        <w:tc>
          <w:tcPr>
            <w:tcW w:w="84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079D410B" w14:textId="4AC7B021">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0</w:t>
            </w:r>
          </w:p>
        </w:tc>
        <w:tc>
          <w:tcPr>
            <w:tcW w:w="88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36D50310" w14:textId="58DC8BB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w:t>
            </w:r>
            <w:r w:rsidRPr="007925EF">
              <w:rPr>
                <w:rFonts w:ascii="Calibri" w:hAnsi="Calibri" w:eastAsia="Times New Roman" w:cs="Calibri"/>
                <w:color w:val="000000"/>
                <w:sz w:val="16"/>
                <w:szCs w:val="16"/>
                <w:lang w:bidi="ar-SA"/>
              </w:rPr>
              <w:t> </w:t>
            </w:r>
          </w:p>
        </w:tc>
        <w:tc>
          <w:tcPr>
            <w:tcW w:w="14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24E33BE7" w14:textId="0ADB4FFB">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Removed IC as part of 0648-BJ26 requested revision</w:t>
            </w:r>
          </w:p>
        </w:tc>
      </w:tr>
      <w:tr w:rsidRPr="007925EF" w:rsidR="007925EF" w:rsidTr="007925EF" w14:paraId="60F884E6" w14:textId="77777777">
        <w:trPr>
          <w:trHeight w:val="300"/>
        </w:trPr>
        <w:tc>
          <w:tcPr>
            <w:tcW w:w="1380"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44B43607" w14:textId="1E0A8EC9">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Voluntary pre-landing call</w:t>
            </w:r>
          </w:p>
        </w:tc>
        <w:tc>
          <w:tcPr>
            <w:tcW w:w="78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50898C79" w14:textId="068345A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7925EF">
              <w:rPr>
                <w:rFonts w:ascii="Calibri" w:hAnsi="Calibri" w:eastAsia="Times New Roman" w:cs="Calibri"/>
                <w:color w:val="000000"/>
                <w:sz w:val="16"/>
                <w:szCs w:val="16"/>
                <w:lang w:bidi="ar-SA"/>
              </w:rPr>
              <w:t> </w:t>
            </w:r>
          </w:p>
        </w:tc>
        <w:tc>
          <w:tcPr>
            <w:tcW w:w="8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47DEE74E" w14:textId="1DC2318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7925EF">
              <w:rPr>
                <w:rFonts w:ascii="Calibri" w:hAnsi="Calibri" w:eastAsia="Times New Roman" w:cs="Calibri"/>
                <w:color w:val="000000"/>
                <w:sz w:val="16"/>
                <w:szCs w:val="16"/>
                <w:lang w:bidi="ar-SA"/>
              </w:rPr>
              <w:t> </w:t>
            </w:r>
          </w:p>
        </w:tc>
        <w:tc>
          <w:tcPr>
            <w:tcW w:w="774"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4D5C8403" w14:textId="2731FEF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w:t>
            </w:r>
            <w:r w:rsidRPr="007925EF">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71413769" w14:textId="569332CF">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51</w:t>
            </w:r>
          </w:p>
        </w:tc>
        <w:tc>
          <w:tcPr>
            <w:tcW w:w="84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6DF7AC8E" w14:textId="1684E57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7925EF">
              <w:rPr>
                <w:rFonts w:ascii="Calibri" w:hAnsi="Calibri" w:eastAsia="Times New Roman" w:cs="Calibri"/>
                <w:color w:val="000000"/>
                <w:sz w:val="16"/>
                <w:szCs w:val="16"/>
                <w:lang w:bidi="ar-SA"/>
              </w:rPr>
              <w:t> </w:t>
            </w:r>
          </w:p>
        </w:tc>
        <w:tc>
          <w:tcPr>
            <w:tcW w:w="88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51A3B5B3" w14:textId="5A1835BA">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w:t>
            </w:r>
          </w:p>
        </w:tc>
        <w:tc>
          <w:tcPr>
            <w:tcW w:w="14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107E8672" w14:textId="77777777">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p>
        </w:tc>
      </w:tr>
      <w:tr w:rsidRPr="007925EF" w:rsidR="007925EF" w:rsidTr="007925EF" w14:paraId="04AC5AED" w14:textId="77777777">
        <w:trPr>
          <w:trHeight w:val="465"/>
        </w:trPr>
        <w:tc>
          <w:tcPr>
            <w:tcW w:w="1380" w:type="dxa"/>
            <w:tcBorders>
              <w:top w:val="nil"/>
              <w:left w:val="single" w:color="auto" w:sz="8" w:space="0"/>
              <w:bottom w:val="nil"/>
              <w:right w:val="single" w:color="auto" w:sz="8" w:space="0"/>
            </w:tcBorders>
            <w:shd w:val="clear" w:color="000000" w:fill="BDD6EE"/>
            <w:vAlign w:val="center"/>
            <w:hideMark/>
          </w:tcPr>
          <w:p w:rsidRPr="007925EF" w:rsidR="007925EF" w:rsidP="007925EF" w:rsidRDefault="007925EF" w14:paraId="4C0188E8"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Total for Collection</w:t>
            </w:r>
          </w:p>
        </w:tc>
        <w:tc>
          <w:tcPr>
            <w:tcW w:w="780" w:type="dxa"/>
            <w:tcBorders>
              <w:top w:val="nil"/>
              <w:left w:val="nil"/>
              <w:bottom w:val="nil"/>
              <w:right w:val="dashed" w:color="auto" w:sz="8" w:space="0"/>
            </w:tcBorders>
            <w:shd w:val="clear" w:color="000000" w:fill="BDD6EE"/>
            <w:vAlign w:val="center"/>
            <w:hideMark/>
          </w:tcPr>
          <w:p w:rsidRPr="007925EF" w:rsidR="007925EF" w:rsidP="007925EF" w:rsidRDefault="007925EF" w14:paraId="71EE139B" w14:textId="3F333EAC">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17</w:t>
            </w:r>
          </w:p>
        </w:tc>
        <w:tc>
          <w:tcPr>
            <w:tcW w:w="800" w:type="dxa"/>
            <w:tcBorders>
              <w:top w:val="nil"/>
              <w:left w:val="nil"/>
              <w:bottom w:val="nil"/>
              <w:right w:val="single" w:color="auto" w:sz="8" w:space="0"/>
            </w:tcBorders>
            <w:shd w:val="clear" w:color="000000" w:fill="BDD6EE"/>
            <w:vAlign w:val="center"/>
            <w:hideMark/>
          </w:tcPr>
          <w:p w:rsidRPr="007925EF" w:rsidR="007925EF" w:rsidP="007925EF" w:rsidRDefault="007925EF" w14:paraId="55730DA7" w14:textId="1691B634">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17</w:t>
            </w:r>
            <w:r w:rsidRPr="007925EF">
              <w:rPr>
                <w:rFonts w:ascii="Calibri" w:hAnsi="Calibri" w:eastAsia="Times New Roman" w:cs="Calibri"/>
                <w:b/>
                <w:bCs/>
                <w:color w:val="000000"/>
                <w:sz w:val="16"/>
                <w:szCs w:val="16"/>
                <w:lang w:bidi="ar-SA"/>
              </w:rPr>
              <w:t> </w:t>
            </w:r>
          </w:p>
        </w:tc>
        <w:tc>
          <w:tcPr>
            <w:tcW w:w="774" w:type="dxa"/>
            <w:tcBorders>
              <w:top w:val="nil"/>
              <w:left w:val="nil"/>
              <w:bottom w:val="nil"/>
              <w:right w:val="dashed" w:color="auto" w:sz="8" w:space="0"/>
            </w:tcBorders>
            <w:shd w:val="clear" w:color="000000" w:fill="BDD6EE"/>
            <w:vAlign w:val="center"/>
            <w:hideMark/>
          </w:tcPr>
          <w:p w:rsidRPr="007925EF" w:rsidR="007925EF" w:rsidP="007925EF" w:rsidRDefault="007925EF" w14:paraId="39DFB2AF" w14:textId="2979BD83">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51</w:t>
            </w:r>
          </w:p>
        </w:tc>
        <w:tc>
          <w:tcPr>
            <w:tcW w:w="775" w:type="dxa"/>
            <w:tcBorders>
              <w:top w:val="nil"/>
              <w:left w:val="nil"/>
              <w:bottom w:val="nil"/>
              <w:right w:val="single" w:color="auto" w:sz="8" w:space="0"/>
            </w:tcBorders>
            <w:shd w:val="clear" w:color="000000" w:fill="BDD6EE"/>
            <w:vAlign w:val="center"/>
            <w:hideMark/>
          </w:tcPr>
          <w:p w:rsidRPr="007925EF" w:rsidR="007925EF" w:rsidP="007925EF" w:rsidRDefault="007925EF" w14:paraId="55D6B672" w14:textId="0D65F52B">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102</w:t>
            </w:r>
          </w:p>
        </w:tc>
        <w:tc>
          <w:tcPr>
            <w:tcW w:w="840" w:type="dxa"/>
            <w:tcBorders>
              <w:top w:val="nil"/>
              <w:left w:val="nil"/>
              <w:bottom w:val="nil"/>
              <w:right w:val="dashed" w:color="auto" w:sz="8" w:space="0"/>
            </w:tcBorders>
            <w:shd w:val="clear" w:color="000000" w:fill="BDD6EE"/>
            <w:vAlign w:val="center"/>
            <w:hideMark/>
          </w:tcPr>
          <w:p w:rsidRPr="007925EF" w:rsidR="007925EF" w:rsidP="007925EF" w:rsidRDefault="007925EF" w14:paraId="29220935" w14:textId="04A341F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7925EF">
              <w:rPr>
                <w:rFonts w:ascii="Calibri" w:hAnsi="Calibri" w:eastAsia="Times New Roman" w:cs="Calibri"/>
                <w:b/>
                <w:bCs/>
                <w:color w:val="000000"/>
                <w:sz w:val="16"/>
                <w:szCs w:val="16"/>
                <w:lang w:bidi="ar-SA"/>
              </w:rPr>
              <w:t> </w:t>
            </w:r>
          </w:p>
        </w:tc>
        <w:tc>
          <w:tcPr>
            <w:tcW w:w="880" w:type="dxa"/>
            <w:tcBorders>
              <w:top w:val="nil"/>
              <w:left w:val="nil"/>
              <w:bottom w:val="nil"/>
              <w:right w:val="single" w:color="auto" w:sz="8" w:space="0"/>
            </w:tcBorders>
            <w:shd w:val="clear" w:color="000000" w:fill="BDD6EE"/>
            <w:vAlign w:val="center"/>
            <w:hideMark/>
          </w:tcPr>
          <w:p w:rsidRPr="007925EF" w:rsidR="007925EF" w:rsidP="007925EF" w:rsidRDefault="007925EF" w14:paraId="19C80F45" w14:textId="1A37C98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w:t>
            </w:r>
            <w:r w:rsidRPr="007925EF">
              <w:rPr>
                <w:rFonts w:ascii="Calibri" w:hAnsi="Calibri" w:eastAsia="Times New Roman" w:cs="Calibri"/>
                <w:b/>
                <w:bCs/>
                <w:color w:val="000000"/>
                <w:sz w:val="16"/>
                <w:szCs w:val="16"/>
                <w:lang w:bidi="ar-SA"/>
              </w:rPr>
              <w:t> </w:t>
            </w:r>
          </w:p>
        </w:tc>
        <w:tc>
          <w:tcPr>
            <w:tcW w:w="1400" w:type="dxa"/>
            <w:tcBorders>
              <w:top w:val="nil"/>
              <w:left w:val="nil"/>
              <w:bottom w:val="nil"/>
              <w:right w:val="single" w:color="auto" w:sz="8" w:space="0"/>
            </w:tcBorders>
            <w:shd w:val="clear" w:color="000000" w:fill="000000"/>
            <w:vAlign w:val="center"/>
            <w:hideMark/>
          </w:tcPr>
          <w:p w:rsidRPr="007925EF" w:rsidR="007925EF" w:rsidP="007925EF" w:rsidRDefault="007925EF" w14:paraId="2AFE9BD1"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p>
        </w:tc>
      </w:tr>
      <w:tr w:rsidRPr="007925EF" w:rsidR="007925EF" w:rsidTr="007925EF" w14:paraId="66CB43D1" w14:textId="77777777">
        <w:trPr>
          <w:trHeight w:val="300"/>
        </w:trPr>
        <w:tc>
          <w:tcPr>
            <w:tcW w:w="1380" w:type="dxa"/>
            <w:tcBorders>
              <w:top w:val="single" w:color="auto" w:sz="8" w:space="0"/>
              <w:left w:val="single" w:color="auto" w:sz="8" w:space="0"/>
              <w:bottom w:val="single" w:color="auto" w:sz="8" w:space="0"/>
              <w:right w:val="nil"/>
            </w:tcBorders>
            <w:shd w:val="clear" w:color="000000" w:fill="FCE4D6"/>
            <w:noWrap/>
            <w:vAlign w:val="bottom"/>
            <w:hideMark/>
          </w:tcPr>
          <w:p w:rsidRPr="007925EF" w:rsidR="007925EF" w:rsidP="007925EF" w:rsidRDefault="007925EF" w14:paraId="6328D9D6"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Difference</w:t>
            </w:r>
          </w:p>
        </w:tc>
        <w:tc>
          <w:tcPr>
            <w:tcW w:w="15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7925EF" w:rsidR="007925EF" w:rsidP="007925EF" w:rsidRDefault="007925EF" w14:paraId="3139D93C" w14:textId="6F0793AC">
            <w:pPr>
              <w:widowControl/>
              <w:autoSpaceDE/>
              <w:autoSpaceDN/>
              <w:jc w:val="center"/>
              <w:rPr>
                <w:rFonts w:ascii="Calibri" w:hAnsi="Calibri" w:eastAsia="Times New Roman" w:cs="Calibri"/>
                <w:color w:val="000000"/>
                <w:lang w:bidi="ar-SA"/>
              </w:rPr>
            </w:pPr>
            <w:r w:rsidRPr="007925EF">
              <w:rPr>
                <w:rFonts w:ascii="Calibri" w:hAnsi="Calibri" w:eastAsia="Times New Roman" w:cs="Calibri"/>
                <w:color w:val="000000"/>
                <w:lang w:bidi="ar-SA"/>
              </w:rPr>
              <w:t> </w:t>
            </w:r>
            <w:r>
              <w:rPr>
                <w:rFonts w:ascii="Calibri" w:hAnsi="Calibri" w:eastAsia="Times New Roman" w:cs="Calibri"/>
                <w:color w:val="000000"/>
                <w:lang w:bidi="ar-SA"/>
              </w:rPr>
              <w:t>0</w:t>
            </w:r>
          </w:p>
        </w:tc>
        <w:tc>
          <w:tcPr>
            <w:tcW w:w="1549"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7925EF" w:rsidR="007925EF" w:rsidP="007925EF" w:rsidRDefault="007925EF" w14:paraId="134F9B41" w14:textId="1C630F4A">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-51</w:t>
            </w:r>
            <w:r w:rsidRPr="007925EF">
              <w:rPr>
                <w:rFonts w:ascii="Calibri" w:hAnsi="Calibri" w:eastAsia="Times New Roman" w:cs="Calibri"/>
                <w:color w:val="000000"/>
                <w:lang w:bidi="ar-SA"/>
              </w:rPr>
              <w:t> </w:t>
            </w:r>
          </w:p>
        </w:tc>
        <w:tc>
          <w:tcPr>
            <w:tcW w:w="17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7925EF" w:rsidR="007925EF" w:rsidP="007925EF" w:rsidRDefault="007925EF" w14:paraId="7003D8E3" w14:textId="6A19993D">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-4</w:t>
            </w:r>
            <w:r w:rsidRPr="007925EF">
              <w:rPr>
                <w:rFonts w:ascii="Calibri" w:hAnsi="Calibri" w:eastAsia="Times New Roman" w:cs="Calibri"/>
                <w:color w:val="000000"/>
                <w:lang w:bidi="ar-SA"/>
              </w:rPr>
              <w:t> </w:t>
            </w:r>
          </w:p>
        </w:tc>
        <w:tc>
          <w:tcPr>
            <w:tcW w:w="1400" w:type="dxa"/>
            <w:tcBorders>
              <w:top w:val="single" w:color="auto" w:sz="8" w:space="0"/>
              <w:left w:val="nil"/>
              <w:bottom w:val="single" w:color="auto" w:sz="8" w:space="0"/>
              <w:right w:val="single" w:color="auto" w:sz="8" w:space="0"/>
            </w:tcBorders>
            <w:shd w:val="clear" w:color="000000" w:fill="000000"/>
            <w:noWrap/>
            <w:vAlign w:val="bottom"/>
            <w:hideMark/>
          </w:tcPr>
          <w:p w:rsidRPr="007925EF" w:rsidR="007925EF" w:rsidP="007925EF" w:rsidRDefault="007925EF" w14:paraId="5EA47938" w14:textId="77777777">
            <w:pPr>
              <w:widowControl/>
              <w:autoSpaceDE/>
              <w:autoSpaceDN/>
              <w:rPr>
                <w:rFonts w:ascii="Calibri" w:hAnsi="Calibri" w:eastAsia="Times New Roman" w:cs="Calibri"/>
                <w:color w:val="000000"/>
                <w:lang w:bidi="ar-SA"/>
              </w:rPr>
            </w:pPr>
            <w:r w:rsidRPr="007925EF">
              <w:rPr>
                <w:rFonts w:ascii="Calibri" w:hAnsi="Calibri" w:eastAsia="Times New Roman" w:cs="Calibri"/>
                <w:color w:val="000000"/>
                <w:lang w:bidi="ar-SA"/>
              </w:rPr>
              <w:t> </w:t>
            </w:r>
          </w:p>
        </w:tc>
      </w:tr>
    </w:tbl>
    <w:p w:rsidR="007925EF" w:rsidP="00B12C7D" w:rsidRDefault="007925EF" w14:paraId="04519476" w14:textId="646B17CA">
      <w:pPr>
        <w:pStyle w:val="ListParagraph"/>
        <w:tabs>
          <w:tab w:val="left" w:pos="360"/>
        </w:tabs>
        <w:spacing w:before="80"/>
        <w:ind w:left="0" w:firstLine="0"/>
        <w:rPr>
          <w:rFonts w:ascii="Times New Roman" w:hAnsi="Times New Roman" w:cs="Times New Roman"/>
          <w:sz w:val="24"/>
          <w:szCs w:val="24"/>
        </w:rPr>
      </w:pPr>
    </w:p>
    <w:tbl>
      <w:tblPr>
        <w:tblW w:w="7635" w:type="dxa"/>
        <w:tblLook w:val="04A0" w:firstRow="1" w:lastRow="0" w:firstColumn="1" w:lastColumn="0" w:noHBand="0" w:noVBand="1"/>
      </w:tblPr>
      <w:tblGrid>
        <w:gridCol w:w="1552"/>
        <w:gridCol w:w="1151"/>
        <w:gridCol w:w="1127"/>
        <w:gridCol w:w="1076"/>
        <w:gridCol w:w="1052"/>
        <w:gridCol w:w="1677"/>
      </w:tblGrid>
      <w:tr w:rsidRPr="007925EF" w:rsidR="007925EF" w:rsidTr="007925EF" w14:paraId="0B73D8DB" w14:textId="77777777">
        <w:trPr>
          <w:trHeight w:val="319"/>
        </w:trPr>
        <w:tc>
          <w:tcPr>
            <w:tcW w:w="155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6A86D527"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Information Collection</w:t>
            </w:r>
          </w:p>
        </w:tc>
        <w:tc>
          <w:tcPr>
            <w:tcW w:w="2278"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51AC1E2C"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Labor Costs</w:t>
            </w:r>
          </w:p>
        </w:tc>
        <w:tc>
          <w:tcPr>
            <w:tcW w:w="2128"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530E5221"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Miscellaneous Costs</w:t>
            </w:r>
          </w:p>
        </w:tc>
        <w:tc>
          <w:tcPr>
            <w:tcW w:w="167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67719527"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Reason for change or adjustment</w:t>
            </w:r>
          </w:p>
        </w:tc>
      </w:tr>
      <w:tr w:rsidRPr="007925EF" w:rsidR="007925EF" w:rsidTr="007925EF" w14:paraId="40F5A1F1" w14:textId="77777777">
        <w:trPr>
          <w:trHeight w:val="682"/>
        </w:trPr>
        <w:tc>
          <w:tcPr>
            <w:tcW w:w="1552"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7652FB4F" w14:textId="77777777">
            <w:pPr>
              <w:widowControl/>
              <w:autoSpaceDE/>
              <w:autoSpaceDN/>
              <w:rPr>
                <w:rFonts w:ascii="Calibri" w:hAnsi="Calibri" w:eastAsia="Times New Roman" w:cs="Calibri"/>
                <w:b/>
                <w:bCs/>
                <w:color w:val="000000"/>
                <w:sz w:val="16"/>
                <w:szCs w:val="16"/>
                <w:lang w:bidi="ar-SA"/>
              </w:rPr>
            </w:pPr>
          </w:p>
        </w:tc>
        <w:tc>
          <w:tcPr>
            <w:tcW w:w="1151"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687FF6EA"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w:t>
            </w:r>
          </w:p>
        </w:tc>
        <w:tc>
          <w:tcPr>
            <w:tcW w:w="1126"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10305A88"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w:t>
            </w:r>
          </w:p>
        </w:tc>
        <w:tc>
          <w:tcPr>
            <w:tcW w:w="1076"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2A0DDFFC"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w:t>
            </w:r>
          </w:p>
        </w:tc>
        <w:tc>
          <w:tcPr>
            <w:tcW w:w="1051"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71569272"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w:t>
            </w:r>
          </w:p>
        </w:tc>
        <w:tc>
          <w:tcPr>
            <w:tcW w:w="1677"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213D1FB2" w14:textId="77777777">
            <w:pPr>
              <w:widowControl/>
              <w:autoSpaceDE/>
              <w:autoSpaceDN/>
              <w:rPr>
                <w:rFonts w:ascii="Calibri" w:hAnsi="Calibri" w:eastAsia="Times New Roman" w:cs="Calibri"/>
                <w:b/>
                <w:bCs/>
                <w:color w:val="000000"/>
                <w:sz w:val="16"/>
                <w:szCs w:val="16"/>
                <w:lang w:bidi="ar-SA"/>
              </w:rPr>
            </w:pPr>
          </w:p>
        </w:tc>
      </w:tr>
      <w:tr w:rsidRPr="007925EF" w:rsidR="007925EF" w:rsidTr="007925EF" w14:paraId="0214E8A5" w14:textId="77777777">
        <w:trPr>
          <w:trHeight w:val="319"/>
        </w:trPr>
        <w:tc>
          <w:tcPr>
            <w:tcW w:w="1552"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12FE3EB4" w14:textId="04F49AEF">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Pre-trip notification</w:t>
            </w:r>
          </w:p>
        </w:tc>
        <w:tc>
          <w:tcPr>
            <w:tcW w:w="1151"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3EB839FC" w14:textId="2FF5E9D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7925EF">
              <w:rPr>
                <w:rFonts w:ascii="Calibri" w:hAnsi="Calibri" w:eastAsia="Times New Roman" w:cs="Calibri"/>
                <w:color w:val="000000"/>
                <w:sz w:val="16"/>
                <w:szCs w:val="16"/>
                <w:lang w:bidi="ar-SA"/>
              </w:rPr>
              <w:t> </w:t>
            </w:r>
          </w:p>
        </w:tc>
        <w:tc>
          <w:tcPr>
            <w:tcW w:w="1126"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3C955409" w14:textId="382D031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7925EF">
              <w:rPr>
                <w:rFonts w:ascii="Calibri" w:hAnsi="Calibri" w:eastAsia="Times New Roman" w:cs="Calibri"/>
                <w:color w:val="000000"/>
                <w:sz w:val="16"/>
                <w:szCs w:val="16"/>
                <w:lang w:bidi="ar-SA"/>
              </w:rPr>
              <w:t> </w:t>
            </w:r>
          </w:p>
        </w:tc>
        <w:tc>
          <w:tcPr>
            <w:tcW w:w="1076"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47C5AECB" w14:textId="72B62A8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1051"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05CF6D34" w14:textId="1B5ACA5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1677"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019D1400" w14:textId="12906DDF">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Removed IC as part of 0648-BJ26 requested revision</w:t>
            </w:r>
          </w:p>
        </w:tc>
      </w:tr>
      <w:tr w:rsidRPr="007925EF" w:rsidR="007925EF" w:rsidTr="007925EF" w14:paraId="30A6A52F" w14:textId="77777777">
        <w:trPr>
          <w:trHeight w:val="319"/>
        </w:trPr>
        <w:tc>
          <w:tcPr>
            <w:tcW w:w="1552"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772DAE99" w14:textId="1863DC9B">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lastRenderedPageBreak/>
              <w:t> </w:t>
            </w:r>
            <w:r>
              <w:rPr>
                <w:rFonts w:ascii="Calibri" w:hAnsi="Calibri" w:eastAsia="Times New Roman" w:cs="Calibri"/>
                <w:color w:val="000000"/>
                <w:sz w:val="16"/>
                <w:szCs w:val="16"/>
                <w:lang w:bidi="ar-SA"/>
              </w:rPr>
              <w:t>Voluntary pre-landing call</w:t>
            </w:r>
          </w:p>
        </w:tc>
        <w:tc>
          <w:tcPr>
            <w:tcW w:w="1151"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2E9012D0" w14:textId="6C68319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$38.42</w:t>
            </w:r>
            <w:r w:rsidRPr="007925EF">
              <w:rPr>
                <w:rFonts w:ascii="Calibri" w:hAnsi="Calibri" w:eastAsia="Times New Roman" w:cs="Calibri"/>
                <w:color w:val="000000"/>
                <w:sz w:val="16"/>
                <w:szCs w:val="16"/>
                <w:lang w:bidi="ar-SA"/>
              </w:rPr>
              <w:t> </w:t>
            </w:r>
          </w:p>
        </w:tc>
        <w:tc>
          <w:tcPr>
            <w:tcW w:w="1126"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682E7E04" w14:textId="70F3DEB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7925EF">
              <w:rPr>
                <w:rFonts w:ascii="Calibri" w:hAnsi="Calibri" w:eastAsia="Times New Roman" w:cs="Calibri"/>
                <w:color w:val="000000"/>
                <w:sz w:val="16"/>
                <w:szCs w:val="16"/>
                <w:lang w:bidi="ar-SA"/>
              </w:rPr>
              <w:t> </w:t>
            </w:r>
          </w:p>
        </w:tc>
        <w:tc>
          <w:tcPr>
            <w:tcW w:w="1076"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5AA55218" w14:textId="30787C2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w:t>
            </w:r>
            <w:r w:rsidRPr="007925EF">
              <w:rPr>
                <w:rFonts w:ascii="Calibri" w:hAnsi="Calibri" w:eastAsia="Times New Roman" w:cs="Calibri"/>
                <w:color w:val="000000"/>
                <w:sz w:val="16"/>
                <w:szCs w:val="16"/>
                <w:lang w:bidi="ar-SA"/>
              </w:rPr>
              <w:t> </w:t>
            </w:r>
          </w:p>
        </w:tc>
        <w:tc>
          <w:tcPr>
            <w:tcW w:w="1051"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134B391D" w14:textId="24A5586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w:t>
            </w:r>
            <w:r w:rsidRPr="007925EF">
              <w:rPr>
                <w:rFonts w:ascii="Calibri" w:hAnsi="Calibri" w:eastAsia="Times New Roman" w:cs="Calibri"/>
                <w:color w:val="000000"/>
                <w:sz w:val="16"/>
                <w:szCs w:val="16"/>
                <w:lang w:bidi="ar-SA"/>
              </w:rPr>
              <w:t> </w:t>
            </w:r>
          </w:p>
        </w:tc>
        <w:tc>
          <w:tcPr>
            <w:tcW w:w="1677"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47DAD192" w14:textId="37FA8FD9">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Labor costs not previously included</w:t>
            </w:r>
          </w:p>
        </w:tc>
      </w:tr>
      <w:tr w:rsidRPr="007925EF" w:rsidR="007925EF" w:rsidTr="007925EF" w14:paraId="1EFF5A65" w14:textId="77777777">
        <w:trPr>
          <w:trHeight w:val="495"/>
        </w:trPr>
        <w:tc>
          <w:tcPr>
            <w:tcW w:w="1552" w:type="dxa"/>
            <w:tcBorders>
              <w:top w:val="nil"/>
              <w:left w:val="single" w:color="auto" w:sz="8" w:space="0"/>
              <w:bottom w:val="nil"/>
              <w:right w:val="single" w:color="auto" w:sz="8" w:space="0"/>
            </w:tcBorders>
            <w:shd w:val="clear" w:color="000000" w:fill="BDD6EE"/>
            <w:vAlign w:val="center"/>
            <w:hideMark/>
          </w:tcPr>
          <w:p w:rsidRPr="007925EF" w:rsidR="007925EF" w:rsidP="007925EF" w:rsidRDefault="007925EF" w14:paraId="041BB912"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Total for Collection</w:t>
            </w:r>
          </w:p>
        </w:tc>
        <w:tc>
          <w:tcPr>
            <w:tcW w:w="1151" w:type="dxa"/>
            <w:tcBorders>
              <w:top w:val="nil"/>
              <w:left w:val="nil"/>
              <w:bottom w:val="nil"/>
              <w:right w:val="dashed" w:color="auto" w:sz="8" w:space="0"/>
            </w:tcBorders>
            <w:shd w:val="clear" w:color="000000" w:fill="BDD6EE"/>
            <w:vAlign w:val="center"/>
            <w:hideMark/>
          </w:tcPr>
          <w:p w:rsidRPr="007925EF" w:rsidR="007925EF" w:rsidP="007925EF" w:rsidRDefault="007925EF" w14:paraId="36979579" w14:textId="043D9029">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$38.42</w:t>
            </w:r>
          </w:p>
        </w:tc>
        <w:tc>
          <w:tcPr>
            <w:tcW w:w="1126" w:type="dxa"/>
            <w:tcBorders>
              <w:top w:val="nil"/>
              <w:left w:val="nil"/>
              <w:bottom w:val="nil"/>
              <w:right w:val="single" w:color="auto" w:sz="8" w:space="0"/>
            </w:tcBorders>
            <w:shd w:val="clear" w:color="000000" w:fill="BDD6EE"/>
            <w:vAlign w:val="center"/>
            <w:hideMark/>
          </w:tcPr>
          <w:p w:rsidRPr="007925EF" w:rsidR="007925EF" w:rsidP="007925EF" w:rsidRDefault="007925EF" w14:paraId="704E03B1" w14:textId="16F6C001">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7925EF">
              <w:rPr>
                <w:rFonts w:ascii="Calibri" w:hAnsi="Calibri" w:eastAsia="Times New Roman" w:cs="Calibri"/>
                <w:b/>
                <w:bCs/>
                <w:color w:val="000000"/>
                <w:sz w:val="16"/>
                <w:szCs w:val="16"/>
                <w:lang w:bidi="ar-SA"/>
              </w:rPr>
              <w:t> </w:t>
            </w:r>
          </w:p>
        </w:tc>
        <w:tc>
          <w:tcPr>
            <w:tcW w:w="1076" w:type="dxa"/>
            <w:tcBorders>
              <w:top w:val="nil"/>
              <w:left w:val="nil"/>
              <w:bottom w:val="nil"/>
              <w:right w:val="dashed" w:color="auto" w:sz="8" w:space="0"/>
            </w:tcBorders>
            <w:shd w:val="clear" w:color="000000" w:fill="BDD6EE"/>
            <w:vAlign w:val="center"/>
            <w:hideMark/>
          </w:tcPr>
          <w:p w:rsidRPr="007925EF" w:rsidR="007925EF" w:rsidP="007925EF" w:rsidRDefault="007925EF" w14:paraId="7BF09B1A" w14:textId="04F24B5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w:t>
            </w:r>
            <w:r w:rsidRPr="007925EF">
              <w:rPr>
                <w:rFonts w:ascii="Calibri" w:hAnsi="Calibri" w:eastAsia="Times New Roman" w:cs="Calibri"/>
                <w:b/>
                <w:bCs/>
                <w:color w:val="000000"/>
                <w:sz w:val="16"/>
                <w:szCs w:val="16"/>
                <w:lang w:bidi="ar-SA"/>
              </w:rPr>
              <w:t> </w:t>
            </w:r>
          </w:p>
        </w:tc>
        <w:tc>
          <w:tcPr>
            <w:tcW w:w="1051" w:type="dxa"/>
            <w:tcBorders>
              <w:top w:val="nil"/>
              <w:left w:val="nil"/>
              <w:bottom w:val="nil"/>
              <w:right w:val="single" w:color="auto" w:sz="8" w:space="0"/>
            </w:tcBorders>
            <w:shd w:val="clear" w:color="000000" w:fill="BDD6EE"/>
            <w:vAlign w:val="center"/>
            <w:hideMark/>
          </w:tcPr>
          <w:p w:rsidRPr="007925EF" w:rsidR="007925EF" w:rsidP="007925EF" w:rsidRDefault="007925EF" w14:paraId="587B33BF" w14:textId="1AFCAE3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w:t>
            </w:r>
            <w:r w:rsidRPr="007925EF">
              <w:rPr>
                <w:rFonts w:ascii="Calibri" w:hAnsi="Calibri" w:eastAsia="Times New Roman" w:cs="Calibri"/>
                <w:b/>
                <w:bCs/>
                <w:color w:val="000000"/>
                <w:sz w:val="16"/>
                <w:szCs w:val="16"/>
                <w:lang w:bidi="ar-SA"/>
              </w:rPr>
              <w:t> </w:t>
            </w:r>
          </w:p>
        </w:tc>
        <w:tc>
          <w:tcPr>
            <w:tcW w:w="1677" w:type="dxa"/>
            <w:tcBorders>
              <w:top w:val="nil"/>
              <w:left w:val="nil"/>
              <w:bottom w:val="nil"/>
              <w:right w:val="single" w:color="auto" w:sz="8" w:space="0"/>
            </w:tcBorders>
            <w:shd w:val="clear" w:color="000000" w:fill="000000"/>
            <w:vAlign w:val="center"/>
            <w:hideMark/>
          </w:tcPr>
          <w:p w:rsidRPr="007925EF" w:rsidR="007925EF" w:rsidP="007925EF" w:rsidRDefault="007925EF" w14:paraId="097D179B"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p>
        </w:tc>
      </w:tr>
      <w:tr w:rsidRPr="007925EF" w:rsidR="007925EF" w:rsidTr="007925EF" w14:paraId="00A35E1B" w14:textId="77777777">
        <w:trPr>
          <w:trHeight w:val="319"/>
        </w:trPr>
        <w:tc>
          <w:tcPr>
            <w:tcW w:w="1552" w:type="dxa"/>
            <w:tcBorders>
              <w:top w:val="single" w:color="auto" w:sz="8" w:space="0"/>
              <w:left w:val="single" w:color="auto" w:sz="8" w:space="0"/>
              <w:bottom w:val="single" w:color="auto" w:sz="8" w:space="0"/>
              <w:right w:val="nil"/>
            </w:tcBorders>
            <w:shd w:val="clear" w:color="000000" w:fill="FCE4D6"/>
            <w:noWrap/>
            <w:vAlign w:val="bottom"/>
            <w:hideMark/>
          </w:tcPr>
          <w:p w:rsidRPr="007925EF" w:rsidR="007925EF" w:rsidP="007925EF" w:rsidRDefault="007925EF" w14:paraId="453B9A4D"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Difference</w:t>
            </w:r>
          </w:p>
        </w:tc>
        <w:tc>
          <w:tcPr>
            <w:tcW w:w="227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7925EF" w:rsidR="007925EF" w:rsidP="007925EF" w:rsidRDefault="007925EF" w14:paraId="1A9B4C00" w14:textId="4A7A2AC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$38.24</w:t>
            </w:r>
            <w:r w:rsidRPr="007925EF">
              <w:rPr>
                <w:rFonts w:ascii="Calibri" w:hAnsi="Calibri" w:eastAsia="Times New Roman" w:cs="Calibri"/>
                <w:color w:val="000000"/>
                <w:lang w:bidi="ar-SA"/>
              </w:rPr>
              <w:t> </w:t>
            </w:r>
          </w:p>
        </w:tc>
        <w:tc>
          <w:tcPr>
            <w:tcW w:w="2128"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7925EF" w:rsidR="007925EF" w:rsidP="007925EF" w:rsidRDefault="007925EF" w14:paraId="52BF4F2D" w14:textId="3D8D6D0F">
            <w:pPr>
              <w:widowControl/>
              <w:autoSpaceDE/>
              <w:autoSpaceDN/>
              <w:jc w:val="center"/>
              <w:rPr>
                <w:rFonts w:ascii="Calibri" w:hAnsi="Calibri" w:eastAsia="Times New Roman" w:cs="Calibri"/>
                <w:color w:val="000000"/>
                <w:lang w:bidi="ar-SA"/>
              </w:rPr>
            </w:pPr>
            <w:r w:rsidRPr="007925EF">
              <w:rPr>
                <w:rFonts w:ascii="Calibri" w:hAnsi="Calibri" w:eastAsia="Times New Roman" w:cs="Calibri"/>
                <w:color w:val="000000"/>
                <w:lang w:bidi="ar-SA"/>
              </w:rPr>
              <w:t> </w:t>
            </w:r>
            <w:r>
              <w:rPr>
                <w:rFonts w:ascii="Calibri" w:hAnsi="Calibri" w:eastAsia="Times New Roman" w:cs="Calibri"/>
                <w:color w:val="000000"/>
                <w:lang w:bidi="ar-SA"/>
              </w:rPr>
              <w:t>0</w:t>
            </w:r>
          </w:p>
        </w:tc>
        <w:tc>
          <w:tcPr>
            <w:tcW w:w="1677" w:type="dxa"/>
            <w:tcBorders>
              <w:top w:val="single" w:color="auto" w:sz="8" w:space="0"/>
              <w:left w:val="nil"/>
              <w:bottom w:val="single" w:color="auto" w:sz="8" w:space="0"/>
              <w:right w:val="single" w:color="auto" w:sz="8" w:space="0"/>
            </w:tcBorders>
            <w:shd w:val="clear" w:color="000000" w:fill="000000"/>
            <w:noWrap/>
            <w:vAlign w:val="bottom"/>
            <w:hideMark/>
          </w:tcPr>
          <w:p w:rsidRPr="007925EF" w:rsidR="007925EF" w:rsidP="007925EF" w:rsidRDefault="007925EF" w14:paraId="104D4D83" w14:textId="77777777">
            <w:pPr>
              <w:widowControl/>
              <w:autoSpaceDE/>
              <w:autoSpaceDN/>
              <w:rPr>
                <w:rFonts w:ascii="Calibri" w:hAnsi="Calibri" w:eastAsia="Times New Roman" w:cs="Calibri"/>
                <w:color w:val="000000"/>
                <w:lang w:bidi="ar-SA"/>
              </w:rPr>
            </w:pPr>
            <w:r w:rsidRPr="007925EF">
              <w:rPr>
                <w:rFonts w:ascii="Calibri" w:hAnsi="Calibri" w:eastAsia="Times New Roman" w:cs="Calibri"/>
                <w:color w:val="000000"/>
                <w:lang w:bidi="ar-SA"/>
              </w:rPr>
              <w:t> </w:t>
            </w:r>
          </w:p>
        </w:tc>
      </w:tr>
    </w:tbl>
    <w:p w:rsidRPr="00B12C7D" w:rsidR="007925EF" w:rsidP="00B12C7D" w:rsidRDefault="007925EF" w14:paraId="7B7C9DE2" w14:textId="77777777">
      <w:pPr>
        <w:pStyle w:val="ListParagraph"/>
        <w:tabs>
          <w:tab w:val="left" w:pos="360"/>
        </w:tabs>
        <w:spacing w:before="80"/>
        <w:ind w:left="0" w:firstLine="0"/>
        <w:rPr>
          <w:rFonts w:ascii="Times New Roman" w:hAnsi="Times New Roman" w:cs="Times New Roman"/>
          <w:sz w:val="24"/>
          <w:szCs w:val="24"/>
        </w:rPr>
      </w:pPr>
    </w:p>
    <w:p w:rsidRPr="00BD7237" w:rsidR="00DF0CE3" w:rsidP="00BD7237" w:rsidRDefault="00DF0CE3" w14:paraId="7BF4C63F" w14:textId="77777777">
      <w:pPr>
        <w:pStyle w:val="BodyText"/>
        <w:spacing w:before="7"/>
        <w:ind w:left="0"/>
        <w:rPr>
          <w:rFonts w:ascii="Times New Roman" w:hAnsi="Times New Roman" w:cs="Times New Roman"/>
          <w:b/>
        </w:rPr>
      </w:pPr>
    </w:p>
    <w:p w:rsidR="008E61C9" w:rsidP="00BD7237" w:rsidRDefault="001477A3" w14:paraId="78664C47" w14:textId="29001D4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12E27" w:rsidR="00E12E27" w:rsidP="00E12E27" w:rsidRDefault="00E12E27" w14:paraId="0470CAA6" w14:textId="0B4A105C">
      <w:pPr>
        <w:pStyle w:val="ListParagraph"/>
        <w:tabs>
          <w:tab w:val="left" w:pos="360"/>
        </w:tabs>
        <w:spacing w:before="80"/>
        <w:ind w:left="0" w:firstLine="0"/>
        <w:rPr>
          <w:rFonts w:ascii="Times New Roman" w:hAnsi="Times New Roman" w:cs="Times New Roman"/>
          <w:sz w:val="24"/>
          <w:szCs w:val="24"/>
        </w:rPr>
      </w:pPr>
      <w:r w:rsidRPr="00E12E27">
        <w:rPr>
          <w:rFonts w:ascii="Times New Roman" w:hAnsi="Times New Roman" w:cs="Times New Roman"/>
          <w:sz w:val="24"/>
          <w:szCs w:val="24"/>
        </w:rPr>
        <w:t>T</w:t>
      </w:r>
      <w:r>
        <w:rPr>
          <w:rFonts w:ascii="Times New Roman" w:hAnsi="Times New Roman" w:cs="Times New Roman"/>
          <w:sz w:val="24"/>
          <w:szCs w:val="24"/>
        </w:rPr>
        <w:t>he information collected is not intended result in a publication.</w:t>
      </w:r>
    </w:p>
    <w:p w:rsidR="008E61C9" w:rsidP="00BD7237" w:rsidRDefault="001477A3" w14:paraId="38885E74" w14:textId="04CC9F6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E12E27" w:rsidR="008E61C9" w:rsidP="00E12E27" w:rsidRDefault="00E12E27" w14:paraId="6B14D8AF" w14:textId="1C01806A">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 xml:space="preserve">This information collection </w:t>
      </w:r>
      <w:r w:rsidR="0069578E">
        <w:rPr>
          <w:rFonts w:ascii="Times New Roman" w:hAnsi="Times New Roman" w:cs="Times New Roman"/>
          <w:sz w:val="24"/>
          <w:szCs w:val="24"/>
        </w:rPr>
        <w:t>has no forms.</w:t>
      </w:r>
    </w:p>
    <w:p w:rsidRPr="00BD7237" w:rsidR="008E61C9" w:rsidP="00BD7237" w:rsidRDefault="001477A3" w14:paraId="19C9AFA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69578E" w:rsidR="008E61C9" w:rsidP="004C4050" w:rsidRDefault="001477A3" w14:paraId="16947860" w14:textId="75DCE115">
      <w:pPr>
        <w:spacing w:before="221" w:line="259" w:lineRule="auto"/>
        <w:jc w:val="both"/>
        <w:rPr>
          <w:rFonts w:ascii="Times New Roman" w:hAnsi="Times New Roman" w:cs="Times New Roman"/>
          <w:sz w:val="24"/>
          <w:szCs w:val="24"/>
        </w:rPr>
      </w:pPr>
      <w:r w:rsidRPr="0069578E">
        <w:rPr>
          <w:rFonts w:ascii="Times New Roman" w:hAnsi="Times New Roman" w:cs="Times New Roman"/>
          <w:sz w:val="24"/>
          <w:szCs w:val="24"/>
        </w:rPr>
        <w:t xml:space="preserve">The agency certifies compliance with </w:t>
      </w:r>
      <w:hyperlink r:id="rId8">
        <w:r w:rsidRPr="0069578E">
          <w:rPr>
            <w:rFonts w:ascii="Times New Roman" w:hAnsi="Times New Roman" w:cs="Times New Roman"/>
            <w:color w:val="0563C1"/>
            <w:sz w:val="24"/>
            <w:szCs w:val="24"/>
            <w:u w:val="thick" w:color="0563C1"/>
          </w:rPr>
          <w:t>5 CFR 1320.9</w:t>
        </w:r>
        <w:r w:rsidRPr="0069578E">
          <w:rPr>
            <w:rFonts w:ascii="Times New Roman" w:hAnsi="Times New Roman" w:cs="Times New Roman"/>
            <w:color w:val="0563C1"/>
            <w:sz w:val="24"/>
            <w:szCs w:val="24"/>
          </w:rPr>
          <w:t xml:space="preserve"> </w:t>
        </w:r>
      </w:hyperlink>
      <w:r w:rsidRPr="0069578E">
        <w:rPr>
          <w:rFonts w:ascii="Times New Roman" w:hAnsi="Times New Roman" w:cs="Times New Roman"/>
          <w:sz w:val="24"/>
          <w:szCs w:val="24"/>
        </w:rPr>
        <w:t xml:space="preserve">and the related provisions of </w:t>
      </w:r>
      <w:hyperlink r:id="rId9">
        <w:r w:rsidRPr="0069578E">
          <w:rPr>
            <w:rFonts w:ascii="Times New Roman" w:hAnsi="Times New Roman" w:cs="Times New Roman"/>
            <w:color w:val="0563C1"/>
            <w:sz w:val="24"/>
            <w:szCs w:val="24"/>
            <w:u w:val="thick" w:color="0563C1"/>
          </w:rPr>
          <w:t>5</w:t>
        </w:r>
        <w:r w:rsidRPr="0069578E">
          <w:rPr>
            <w:rFonts w:ascii="Times New Roman" w:hAnsi="Times New Roman" w:cs="Times New Roman"/>
            <w:color w:val="0563C1"/>
            <w:spacing w:val="-42"/>
            <w:sz w:val="24"/>
            <w:szCs w:val="24"/>
            <w:u w:val="thick" w:color="0563C1"/>
          </w:rPr>
          <w:t xml:space="preserve"> </w:t>
        </w:r>
        <w:r w:rsidRPr="0069578E">
          <w:rPr>
            <w:rFonts w:ascii="Times New Roman" w:hAnsi="Times New Roman" w:cs="Times New Roman"/>
            <w:color w:val="0563C1"/>
            <w:sz w:val="24"/>
            <w:szCs w:val="24"/>
            <w:u w:val="thick" w:color="0563C1"/>
          </w:rPr>
          <w:t>CFR</w:t>
        </w:r>
      </w:hyperlink>
      <w:r w:rsidRPr="0069578E">
        <w:rPr>
          <w:rFonts w:ascii="Times New Roman" w:hAnsi="Times New Roman" w:cs="Times New Roman"/>
          <w:color w:val="0563C1"/>
          <w:sz w:val="24"/>
          <w:szCs w:val="24"/>
        </w:rPr>
        <w:t xml:space="preserve"> </w:t>
      </w:r>
      <w:hyperlink r:id="rId10">
        <w:r w:rsidRPr="0069578E">
          <w:rPr>
            <w:rFonts w:ascii="Times New Roman" w:hAnsi="Times New Roman" w:cs="Times New Roman"/>
            <w:color w:val="0563C1"/>
            <w:sz w:val="24"/>
            <w:szCs w:val="24"/>
            <w:u w:val="thick" w:color="0563C1"/>
          </w:rPr>
          <w:t>1320.8(b)(3)</w:t>
        </w:r>
      </w:hyperlink>
      <w:r w:rsidRPr="0069578E" w:rsidR="00F60F98">
        <w:rPr>
          <w:rFonts w:ascii="Times New Roman" w:hAnsi="Times New Roman" w:cs="Times New Roman"/>
          <w:sz w:val="24"/>
          <w:szCs w:val="24"/>
        </w:rPr>
        <w:t>.</w:t>
      </w:r>
    </w:p>
    <w:sectPr w:rsidRPr="0069578E"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9323" w14:textId="77777777" w:rsidR="00740317" w:rsidRDefault="00740317">
      <w:r>
        <w:separator/>
      </w:r>
    </w:p>
  </w:endnote>
  <w:endnote w:type="continuationSeparator" w:id="0">
    <w:p w14:paraId="406EAC2A" w14:textId="77777777" w:rsidR="00740317" w:rsidRDefault="007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B525" w14:textId="762F036C" w:rsidR="00DA27C9" w:rsidRDefault="00DA27C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EE0CC" w14:textId="77777777" w:rsidR="00740317" w:rsidRDefault="00740317">
      <w:r>
        <w:separator/>
      </w:r>
    </w:p>
  </w:footnote>
  <w:footnote w:type="continuationSeparator" w:id="0">
    <w:p w14:paraId="796B7783" w14:textId="77777777" w:rsidR="00740317" w:rsidRDefault="0074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3FBD6B09"/>
    <w:multiLevelType w:val="hybridMultilevel"/>
    <w:tmpl w:val="A330057E"/>
    <w:lvl w:ilvl="0" w:tplc="65E6A26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064997"/>
    <w:multiLevelType w:val="hybridMultilevel"/>
    <w:tmpl w:val="BA5C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9"/>
  </w:num>
  <w:num w:numId="10">
    <w:abstractNumId w:val="14"/>
  </w:num>
  <w:num w:numId="11">
    <w:abstractNumId w:val="5"/>
  </w:num>
  <w:num w:numId="12">
    <w:abstractNumId w:val="11"/>
  </w:num>
  <w:num w:numId="13">
    <w:abstractNumId w:val="0"/>
  </w:num>
  <w:num w:numId="14">
    <w:abstractNumId w:val="1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455CF"/>
    <w:rsid w:val="00086521"/>
    <w:rsid w:val="00090E6A"/>
    <w:rsid w:val="00092CB1"/>
    <w:rsid w:val="000F0BFB"/>
    <w:rsid w:val="00115034"/>
    <w:rsid w:val="001477A3"/>
    <w:rsid w:val="001A2188"/>
    <w:rsid w:val="001B001D"/>
    <w:rsid w:val="001C6C18"/>
    <w:rsid w:val="003F083C"/>
    <w:rsid w:val="004470CC"/>
    <w:rsid w:val="004C4050"/>
    <w:rsid w:val="004F32E9"/>
    <w:rsid w:val="0050663C"/>
    <w:rsid w:val="00521EFB"/>
    <w:rsid w:val="005774E0"/>
    <w:rsid w:val="005945AC"/>
    <w:rsid w:val="00623008"/>
    <w:rsid w:val="00642E5F"/>
    <w:rsid w:val="0069578E"/>
    <w:rsid w:val="00740317"/>
    <w:rsid w:val="00756E6A"/>
    <w:rsid w:val="007925EF"/>
    <w:rsid w:val="0082262E"/>
    <w:rsid w:val="008C62CC"/>
    <w:rsid w:val="008E07F0"/>
    <w:rsid w:val="008E61C9"/>
    <w:rsid w:val="00962736"/>
    <w:rsid w:val="00962DFC"/>
    <w:rsid w:val="009B116F"/>
    <w:rsid w:val="009C713E"/>
    <w:rsid w:val="009E1796"/>
    <w:rsid w:val="00A46522"/>
    <w:rsid w:val="00AD1431"/>
    <w:rsid w:val="00AD441D"/>
    <w:rsid w:val="00AE5ACE"/>
    <w:rsid w:val="00B12C7D"/>
    <w:rsid w:val="00B46547"/>
    <w:rsid w:val="00B61533"/>
    <w:rsid w:val="00B92685"/>
    <w:rsid w:val="00BD7237"/>
    <w:rsid w:val="00CC3B4D"/>
    <w:rsid w:val="00CE3048"/>
    <w:rsid w:val="00D64DF9"/>
    <w:rsid w:val="00DA27C9"/>
    <w:rsid w:val="00DF0CE3"/>
    <w:rsid w:val="00E12E27"/>
    <w:rsid w:val="00EA0AE5"/>
    <w:rsid w:val="00EA79E9"/>
    <w:rsid w:val="00ED5F80"/>
    <w:rsid w:val="00F56B0D"/>
    <w:rsid w:val="00F60F98"/>
    <w:rsid w:val="00F77148"/>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CE081"/>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962DFC"/>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962DFC"/>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7925EF"/>
    <w:pPr>
      <w:tabs>
        <w:tab w:val="center" w:pos="4680"/>
        <w:tab w:val="right" w:pos="9360"/>
      </w:tabs>
    </w:pPr>
  </w:style>
  <w:style w:type="character" w:customStyle="1" w:styleId="HeaderChar">
    <w:name w:val="Header Char"/>
    <w:basedOn w:val="DefaultParagraphFont"/>
    <w:link w:val="Header"/>
    <w:uiPriority w:val="99"/>
    <w:rsid w:val="007925EF"/>
    <w:rPr>
      <w:rFonts w:ascii="Arial" w:eastAsia="Arial" w:hAnsi="Arial" w:cs="Arial"/>
      <w:lang w:bidi="en-US"/>
    </w:rPr>
  </w:style>
  <w:style w:type="paragraph" w:styleId="Footer">
    <w:name w:val="footer"/>
    <w:basedOn w:val="Normal"/>
    <w:link w:val="FooterChar"/>
    <w:uiPriority w:val="99"/>
    <w:unhideWhenUsed/>
    <w:rsid w:val="007925EF"/>
    <w:pPr>
      <w:tabs>
        <w:tab w:val="center" w:pos="4680"/>
        <w:tab w:val="right" w:pos="9360"/>
      </w:tabs>
    </w:pPr>
  </w:style>
  <w:style w:type="character" w:customStyle="1" w:styleId="FooterChar">
    <w:name w:val="Footer Char"/>
    <w:basedOn w:val="DefaultParagraphFont"/>
    <w:link w:val="Footer"/>
    <w:uiPriority w:val="99"/>
    <w:rsid w:val="007925E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68895">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194564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2409</Words>
  <Characters>13520</Characters>
  <Application>Microsoft Office Word</Application>
  <DocSecurity>0</DocSecurity>
  <Lines>241</Lines>
  <Paragraphs>84</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2</cp:revision>
  <dcterms:created xsi:type="dcterms:W3CDTF">2020-12-18T18:08:00Z</dcterms:created>
  <dcterms:modified xsi:type="dcterms:W3CDTF">2020-12-18T18:08:00Z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