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68E1FDB7"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40CF3743"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6887E0C0" w14:textId="27E3E325">
      <w:pPr>
        <w:tabs>
          <w:tab w:val="left" w:pos="540"/>
        </w:tabs>
        <w:ind w:left="540" w:hanging="540"/>
        <w:jc w:val="center"/>
        <w:rPr>
          <w:b/>
          <w:sz w:val="24"/>
          <w:szCs w:val="24"/>
        </w:rPr>
      </w:pPr>
      <w:r w:rsidRPr="00B701E8">
        <w:rPr>
          <w:b/>
          <w:sz w:val="24"/>
          <w:szCs w:val="24"/>
        </w:rPr>
        <w:t xml:space="preserve">National Oceanic </w:t>
      </w:r>
      <w:r w:rsidR="003C5B44">
        <w:rPr>
          <w:b/>
          <w:sz w:val="24"/>
          <w:szCs w:val="24"/>
        </w:rPr>
        <w:t>and</w:t>
      </w:r>
      <w:r w:rsidRPr="00B701E8">
        <w:rPr>
          <w:b/>
          <w:sz w:val="24"/>
          <w:szCs w:val="24"/>
        </w:rPr>
        <w:t xml:space="preserve"> Atmospheric Administration</w:t>
      </w:r>
    </w:p>
    <w:p w:rsidR="004A76F5" w:rsidP="00493868" w:rsidRDefault="008625DD" w14:paraId="3FC616AB" w14:textId="6FCC8CDD">
      <w:pPr>
        <w:tabs>
          <w:tab w:val="left" w:pos="540"/>
        </w:tabs>
        <w:ind w:left="540" w:hanging="540"/>
        <w:jc w:val="center"/>
        <w:rPr>
          <w:b/>
          <w:sz w:val="24"/>
          <w:szCs w:val="24"/>
        </w:rPr>
      </w:pPr>
      <w:r>
        <w:rPr>
          <w:b/>
          <w:sz w:val="24"/>
          <w:szCs w:val="24"/>
        </w:rPr>
        <w:t xml:space="preserve">Non-commercial </w:t>
      </w:r>
      <w:r w:rsidR="00F0031A">
        <w:rPr>
          <w:b/>
          <w:sz w:val="24"/>
          <w:szCs w:val="24"/>
        </w:rPr>
        <w:t>Permit and Reporting Requirements in the Main Hawaiian Islands</w:t>
      </w:r>
    </w:p>
    <w:p w:rsidRPr="00B701E8" w:rsidR="00F0031A" w:rsidP="00493868" w:rsidRDefault="00F0031A" w14:paraId="2D606DB2" w14:textId="5086F5B6">
      <w:pPr>
        <w:tabs>
          <w:tab w:val="left" w:pos="540"/>
        </w:tabs>
        <w:ind w:left="540" w:hanging="540"/>
        <w:jc w:val="center"/>
        <w:rPr>
          <w:b/>
          <w:sz w:val="24"/>
          <w:szCs w:val="24"/>
        </w:rPr>
      </w:pPr>
      <w:r>
        <w:rPr>
          <w:b/>
          <w:sz w:val="24"/>
          <w:szCs w:val="24"/>
        </w:rPr>
        <w:t>Bottomfish Fishery</w:t>
      </w:r>
    </w:p>
    <w:p w:rsidRPr="00B701E8" w:rsidR="004A76F5" w:rsidP="00493868" w:rsidRDefault="00F0031A" w14:paraId="675D1BC1" w14:textId="77777777">
      <w:pPr>
        <w:tabs>
          <w:tab w:val="left" w:pos="540"/>
        </w:tabs>
        <w:ind w:left="540" w:hanging="540"/>
        <w:jc w:val="center"/>
        <w:rPr>
          <w:b/>
          <w:sz w:val="24"/>
          <w:szCs w:val="24"/>
        </w:rPr>
      </w:pPr>
      <w:r>
        <w:rPr>
          <w:b/>
          <w:sz w:val="24"/>
          <w:szCs w:val="24"/>
        </w:rPr>
        <w:t>OMB Control No. 0648-0577</w:t>
      </w:r>
    </w:p>
    <w:p w:rsidR="004F26E9" w:rsidP="00493868" w:rsidRDefault="004F26E9" w14:paraId="79FEB000" w14:textId="77777777">
      <w:pPr>
        <w:tabs>
          <w:tab w:val="left" w:pos="540"/>
        </w:tabs>
        <w:ind w:left="540" w:hanging="540"/>
        <w:rPr>
          <w:sz w:val="24"/>
          <w:szCs w:val="24"/>
        </w:rPr>
      </w:pPr>
    </w:p>
    <w:p w:rsidR="004F26E9" w:rsidP="00493868" w:rsidRDefault="0020250C" w14:paraId="3AB2D7A0" w14:textId="1ECE098F">
      <w:pPr>
        <w:tabs>
          <w:tab w:val="left" w:pos="540"/>
        </w:tabs>
        <w:ind w:left="540" w:hanging="540"/>
        <w:rPr>
          <w:b/>
          <w:sz w:val="24"/>
          <w:szCs w:val="24"/>
        </w:rPr>
      </w:pPr>
      <w:r w:rsidRPr="0020250C">
        <w:rPr>
          <w:b/>
          <w:sz w:val="24"/>
          <w:szCs w:val="24"/>
        </w:rPr>
        <w:t>Abstract</w:t>
      </w:r>
    </w:p>
    <w:p w:rsidRPr="0020250C" w:rsidR="00A54C1D" w:rsidP="00493868" w:rsidRDefault="00A54C1D" w14:paraId="61517050" w14:textId="77777777">
      <w:pPr>
        <w:tabs>
          <w:tab w:val="left" w:pos="540"/>
        </w:tabs>
        <w:ind w:left="540" w:hanging="540"/>
        <w:rPr>
          <w:b/>
          <w:sz w:val="24"/>
          <w:szCs w:val="24"/>
        </w:rPr>
      </w:pPr>
    </w:p>
    <w:p w:rsidRPr="00143AA6" w:rsidR="0020250C" w:rsidP="00A54C1D" w:rsidRDefault="00A54C1D" w14:paraId="19F92727" w14:textId="1C0F9D9B">
      <w:pPr>
        <w:tabs>
          <w:tab w:val="left" w:pos="0"/>
        </w:tabs>
        <w:rPr>
          <w:sz w:val="24"/>
          <w:szCs w:val="24"/>
        </w:rPr>
      </w:pPr>
      <w:r w:rsidRPr="00143AA6">
        <w:rPr>
          <w:sz w:val="24"/>
          <w:szCs w:val="24"/>
        </w:rPr>
        <w:t>Each boat-based non-commercial fisherman and vessel owner who fishes for bottomfish management unit and ecosystem component species in the federal waters of the main Hawaiian Islands must obtain a non-commercial bottomfish fishing permit from the NMFS or hold a State of Hawaii Commercial Marine License. Each permitted vessel owner or operator must submit a logsheet report after the conclusion of every fishing trip.</w:t>
      </w:r>
    </w:p>
    <w:p w:rsidRPr="00143AA6" w:rsidR="0020250C" w:rsidP="00493868" w:rsidRDefault="0020250C" w14:paraId="426F0C7B" w14:textId="77777777">
      <w:pPr>
        <w:tabs>
          <w:tab w:val="left" w:pos="540"/>
          <w:tab w:val="left" w:pos="720"/>
        </w:tabs>
        <w:ind w:left="540" w:hanging="540"/>
        <w:rPr>
          <w:b/>
          <w:bCs/>
          <w:sz w:val="24"/>
          <w:szCs w:val="24"/>
        </w:rPr>
      </w:pPr>
    </w:p>
    <w:p w:rsidRPr="00143AA6" w:rsidR="004F26E9" w:rsidP="00493868" w:rsidRDefault="0020250C" w14:paraId="7A06F70E" w14:textId="2ECA7E66">
      <w:pPr>
        <w:tabs>
          <w:tab w:val="left" w:pos="540"/>
          <w:tab w:val="left" w:pos="720"/>
        </w:tabs>
        <w:ind w:left="540" w:hanging="540"/>
        <w:rPr>
          <w:sz w:val="24"/>
          <w:szCs w:val="24"/>
        </w:rPr>
      </w:pPr>
      <w:r w:rsidRPr="00143AA6">
        <w:rPr>
          <w:b/>
          <w:bCs/>
          <w:sz w:val="24"/>
          <w:szCs w:val="24"/>
        </w:rPr>
        <w:t>Justification</w:t>
      </w:r>
    </w:p>
    <w:p w:rsidRPr="00143AA6" w:rsidR="004F26E9" w:rsidP="0020250C" w:rsidRDefault="004F26E9" w14:paraId="66B03426" w14:textId="561ACC0A">
      <w:pPr>
        <w:tabs>
          <w:tab w:val="left" w:pos="540"/>
        </w:tabs>
        <w:rPr>
          <w:sz w:val="24"/>
          <w:szCs w:val="24"/>
        </w:rPr>
        <w:sectPr w:rsidRPr="00143AA6" w:rsidR="004F26E9"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p>
    <w:p w:rsidRPr="00143AA6" w:rsidR="0020250C" w:rsidP="0020250C" w:rsidRDefault="00493868" w14:paraId="46742686" w14:textId="77777777">
      <w:pPr>
        <w:pStyle w:val="ListParagraph"/>
        <w:tabs>
          <w:tab w:val="left" w:pos="360"/>
        </w:tabs>
        <w:adjustRightInd/>
        <w:spacing w:before="182" w:line="259" w:lineRule="auto"/>
        <w:ind w:left="0"/>
        <w:contextualSpacing w:val="0"/>
        <w:rPr>
          <w:b/>
          <w:sz w:val="24"/>
          <w:szCs w:val="24"/>
        </w:rPr>
      </w:pPr>
      <w:r w:rsidRPr="00143AA6">
        <w:rPr>
          <w:b/>
          <w:bCs/>
          <w:sz w:val="24"/>
          <w:szCs w:val="24"/>
        </w:rPr>
        <w:t>1.</w:t>
      </w:r>
      <w:r w:rsidRPr="00143AA6">
        <w:rPr>
          <w:b/>
          <w:bCs/>
          <w:sz w:val="24"/>
          <w:szCs w:val="24"/>
        </w:rPr>
        <w:tab/>
      </w:r>
      <w:r w:rsidRPr="00143AA6" w:rsidR="0020250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43AA6" w:rsidR="004F26E9" w:rsidP="0020250C" w:rsidRDefault="004F26E9" w14:paraId="1029D7DE" w14:textId="29DE0BB7">
      <w:pPr>
        <w:tabs>
          <w:tab w:val="left" w:pos="540"/>
        </w:tabs>
        <w:ind w:left="540" w:hanging="540"/>
        <w:rPr>
          <w:sz w:val="24"/>
          <w:szCs w:val="24"/>
        </w:rPr>
      </w:pPr>
    </w:p>
    <w:p w:rsidRPr="00143AA6" w:rsidR="00C57CBB" w:rsidP="00F0031A" w:rsidRDefault="00C57CBB" w14:paraId="304B1DFD" w14:textId="77777777">
      <w:pPr>
        <w:rPr>
          <w:sz w:val="24"/>
          <w:szCs w:val="24"/>
        </w:rPr>
      </w:pPr>
      <w:r w:rsidRPr="00143AA6">
        <w:rPr>
          <w:sz w:val="24"/>
          <w:szCs w:val="24"/>
        </w:rPr>
        <w:t>This request is for the extension of a currently approved collection of information.</w:t>
      </w:r>
    </w:p>
    <w:p w:rsidRPr="00143AA6" w:rsidR="00C57CBB" w:rsidP="00F0031A" w:rsidRDefault="00C57CBB" w14:paraId="4CCA518B" w14:textId="77777777">
      <w:pPr>
        <w:rPr>
          <w:sz w:val="24"/>
          <w:szCs w:val="24"/>
        </w:rPr>
      </w:pPr>
    </w:p>
    <w:p w:rsidRPr="00143AA6" w:rsidR="00F0031A" w:rsidP="00F0031A" w:rsidRDefault="00F0031A" w14:paraId="08A72B26" w14:textId="15740C34">
      <w:pPr>
        <w:rPr>
          <w:sz w:val="24"/>
          <w:szCs w:val="24"/>
        </w:rPr>
      </w:pPr>
      <w:r w:rsidRPr="00143AA6">
        <w:rPr>
          <w:sz w:val="24"/>
          <w:szCs w:val="24"/>
        </w:rPr>
        <w:t>The Magnuson-Stevens Fishery Conservation and Manag</w:t>
      </w:r>
      <w:r w:rsidRPr="00143AA6" w:rsidR="00D61E3B">
        <w:rPr>
          <w:sz w:val="24"/>
          <w:szCs w:val="24"/>
        </w:rPr>
        <w:t>ement Act</w:t>
      </w:r>
      <w:r w:rsidRPr="00143AA6" w:rsidR="00AC56ED">
        <w:rPr>
          <w:sz w:val="24"/>
          <w:szCs w:val="24"/>
        </w:rPr>
        <w:t xml:space="preserve"> (Magnuson-Stevens Act) </w:t>
      </w:r>
      <w:r w:rsidRPr="00143AA6">
        <w:rPr>
          <w:sz w:val="24"/>
          <w:szCs w:val="24"/>
        </w:rPr>
        <w:t>established regional fishery management councils, including the Western Pacific Fishery Management Council (Council), to develop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 as fishery management plans for federal fisheries management.</w:t>
      </w:r>
    </w:p>
    <w:p w:rsidRPr="00143AA6" w:rsidR="00F0031A" w:rsidP="00F0031A" w:rsidRDefault="00F0031A" w14:paraId="102F08A1" w14:textId="77777777">
      <w:pPr>
        <w:rPr>
          <w:sz w:val="24"/>
          <w:szCs w:val="24"/>
        </w:rPr>
      </w:pPr>
    </w:p>
    <w:p w:rsidRPr="00143AA6" w:rsidR="00F0031A" w:rsidP="00F0031A" w:rsidRDefault="00F0031A" w14:paraId="776AC853" w14:textId="2380D4AA">
      <w:pPr>
        <w:rPr>
          <w:sz w:val="24"/>
          <w:szCs w:val="24"/>
        </w:rPr>
      </w:pPr>
      <w:r w:rsidRPr="00143AA6">
        <w:rPr>
          <w:sz w:val="24"/>
          <w:szCs w:val="24"/>
        </w:rPr>
        <w:t>Regulations established under the Fishery Ecosystem Plan for the Hawaii Archipelago (FEP) require all non-commercial participants (including vessel owners, operators and cre</w:t>
      </w:r>
      <w:r w:rsidRPr="00143AA6" w:rsidR="0004264D">
        <w:rPr>
          <w:sz w:val="24"/>
          <w:szCs w:val="24"/>
        </w:rPr>
        <w:t xml:space="preserve">w) in the boat-based </w:t>
      </w:r>
      <w:r w:rsidRPr="00143AA6">
        <w:rPr>
          <w:sz w:val="24"/>
          <w:szCs w:val="24"/>
        </w:rPr>
        <w:t xml:space="preserve">fishery </w:t>
      </w:r>
      <w:r w:rsidRPr="00143AA6" w:rsidR="0004264D">
        <w:rPr>
          <w:sz w:val="24"/>
          <w:szCs w:val="24"/>
        </w:rPr>
        <w:t xml:space="preserve">for bottomfish management unit species </w:t>
      </w:r>
      <w:r w:rsidRPr="00143AA6" w:rsidR="00AC56ED">
        <w:rPr>
          <w:sz w:val="24"/>
          <w:szCs w:val="24"/>
        </w:rPr>
        <w:t xml:space="preserve">(BMUS) </w:t>
      </w:r>
      <w:r w:rsidRPr="00143AA6" w:rsidR="0004264D">
        <w:rPr>
          <w:sz w:val="24"/>
          <w:szCs w:val="24"/>
        </w:rPr>
        <w:t xml:space="preserve">and ecosystem component species </w:t>
      </w:r>
      <w:r w:rsidRPr="00143AA6" w:rsidR="00AC56ED">
        <w:rPr>
          <w:sz w:val="24"/>
          <w:szCs w:val="24"/>
        </w:rPr>
        <w:t xml:space="preserve">(ECS) </w:t>
      </w:r>
      <w:r w:rsidRPr="00143AA6">
        <w:rPr>
          <w:sz w:val="24"/>
          <w:szCs w:val="24"/>
        </w:rPr>
        <w:t>in the EEZ around the main Hawaiian Islands (MHI) to obtain a federal bottomfish permit. They are exempt if they hold a current State of Hawaii Commercial Marine License. NMFS needs this collection of information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enhances communication between NMFS and fishermen. Regulations are at 50 CFR Part 665.</w:t>
      </w:r>
    </w:p>
    <w:p w:rsidRPr="00143AA6" w:rsidR="00F0031A" w:rsidP="00F0031A" w:rsidRDefault="00F0031A" w14:paraId="56940F10" w14:textId="77777777">
      <w:pPr>
        <w:rPr>
          <w:sz w:val="24"/>
          <w:szCs w:val="24"/>
        </w:rPr>
      </w:pPr>
    </w:p>
    <w:p w:rsidRPr="00143AA6" w:rsidR="00F0031A" w:rsidP="00F0031A" w:rsidRDefault="00AC56ED" w14:paraId="0912BCD8" w14:textId="63E60DB5">
      <w:pPr>
        <w:rPr>
          <w:sz w:val="24"/>
          <w:szCs w:val="24"/>
        </w:rPr>
      </w:pPr>
      <w:r w:rsidRPr="00143AA6">
        <w:rPr>
          <w:sz w:val="24"/>
          <w:szCs w:val="24"/>
        </w:rPr>
        <w:t xml:space="preserve">Each </w:t>
      </w:r>
      <w:r w:rsidRPr="00143AA6" w:rsidR="00F0031A">
        <w:rPr>
          <w:sz w:val="24"/>
          <w:szCs w:val="24"/>
        </w:rPr>
        <w:t xml:space="preserve">permitted vessel owner or operator in this fishery must submit a completed logbook form at the completion of each fishing trip. These logbook reporting sheets document the species and amount caught during the trip. The reporting requirements are crucial to ensure that NMFS and </w:t>
      </w:r>
      <w:r w:rsidRPr="00143AA6" w:rsidR="00F0031A">
        <w:rPr>
          <w:sz w:val="24"/>
          <w:szCs w:val="24"/>
        </w:rPr>
        <w:lastRenderedPageBreak/>
        <w:t>the Council will be able to monitor the fishery and have fishery-dependent information to develop an estimate of an Annual Catch Limit (ACL) for the fishery, evaluate the effectiveness of management measures, determine whether changes in fishery management programs are necessary, and estimate the impacts and implications of alternative management measures.</w:t>
      </w:r>
    </w:p>
    <w:p w:rsidRPr="00143AA6" w:rsidR="004F26E9" w:rsidP="0020448B" w:rsidRDefault="004F26E9" w14:paraId="2EE370C1" w14:textId="77777777">
      <w:pPr>
        <w:rPr>
          <w:sz w:val="24"/>
          <w:szCs w:val="24"/>
        </w:rPr>
      </w:pPr>
    </w:p>
    <w:p w:rsidRPr="00143AA6" w:rsidR="0020250C" w:rsidP="0020250C" w:rsidRDefault="00493868" w14:paraId="597B3656" w14:textId="66E07647">
      <w:pPr>
        <w:pStyle w:val="Heading1"/>
        <w:tabs>
          <w:tab w:val="left" w:pos="360"/>
        </w:tabs>
        <w:spacing w:before="197"/>
        <w:ind w:left="0"/>
        <w:rPr>
          <w:rFonts w:ascii="Times New Roman" w:hAnsi="Times New Roman" w:cs="Times New Roman"/>
        </w:rPr>
      </w:pPr>
      <w:r w:rsidRPr="00143AA6">
        <w:rPr>
          <w:rFonts w:ascii="Times New Roman" w:hAnsi="Times New Roman" w:cs="Times New Roman"/>
          <w:b w:val="0"/>
          <w:bCs w:val="0"/>
        </w:rPr>
        <w:t>2.</w:t>
      </w:r>
      <w:r w:rsidRPr="00143AA6">
        <w:rPr>
          <w:rFonts w:ascii="Times New Roman" w:hAnsi="Times New Roman" w:cs="Times New Roman"/>
          <w:b w:val="0"/>
          <w:bCs w:val="0"/>
        </w:rPr>
        <w:tab/>
      </w:r>
      <w:r w:rsidRPr="00143AA6" w:rsidR="004F26E9">
        <w:rPr>
          <w:rFonts w:ascii="Times New Roman" w:hAnsi="Times New Roman" w:cs="Times New Roman"/>
          <w:lang w:val="en-CA"/>
        </w:rPr>
        <w:fldChar w:fldCharType="begin"/>
      </w:r>
      <w:r w:rsidRPr="00143AA6" w:rsidR="004F26E9">
        <w:rPr>
          <w:rFonts w:ascii="Times New Roman" w:hAnsi="Times New Roman" w:cs="Times New Roman"/>
          <w:lang w:val="en-CA"/>
        </w:rPr>
        <w:instrText xml:space="preserve"> SEQ CHAPTER \h \r 1</w:instrText>
      </w:r>
      <w:r w:rsidRPr="00143AA6" w:rsidR="004F26E9">
        <w:rPr>
          <w:rFonts w:ascii="Times New Roman" w:hAnsi="Times New Roman" w:cs="Times New Roman"/>
          <w:lang w:val="en-CA"/>
        </w:rPr>
        <w:fldChar w:fldCharType="end"/>
      </w:r>
      <w:r w:rsidRPr="00143AA6" w:rsidR="0020250C">
        <w:rPr>
          <w:rFonts w:ascii="Times New Roman" w:hAnsi="Times New Roman" w:cs="Times New Roman"/>
        </w:rPr>
        <w:t xml:space="preserve"> </w:t>
      </w:r>
      <w:r w:rsidRPr="00143AA6" w:rsidR="0020250C">
        <w:rPr>
          <w:rFonts w:ascii="Times New Roman" w:hAnsi="Times New Roman" w:cs="Times New Roman"/>
          <w:bCs w:val="0"/>
        </w:rPr>
        <w:t>Indicate how, by whom, and for what purpose the information is to be used. Except for a</w:t>
      </w:r>
      <w:r w:rsidRPr="00143AA6" w:rsidR="0020250C">
        <w:rPr>
          <w:rFonts w:ascii="Times New Roman" w:hAnsi="Times New Roman" w:cs="Times New Roman"/>
        </w:rPr>
        <w:t xml:space="preserve"> </w:t>
      </w:r>
      <w:r w:rsidRPr="00143AA6" w:rsidR="0020250C">
        <w:rPr>
          <w:rFonts w:ascii="Times New Roman" w:hAnsi="Times New Roman" w:cs="Times New Roman"/>
          <w:bCs w:val="0"/>
        </w:rPr>
        <w:t>new collection, indicate the actual use the agency has made of the information received from the</w:t>
      </w:r>
      <w:r w:rsidRPr="00143AA6" w:rsidR="0020250C">
        <w:rPr>
          <w:rFonts w:ascii="Times New Roman" w:hAnsi="Times New Roman" w:cs="Times New Roman"/>
        </w:rPr>
        <w:t xml:space="preserve"> current</w:t>
      </w:r>
      <w:r w:rsidRPr="00143AA6" w:rsidR="0020250C">
        <w:rPr>
          <w:rFonts w:ascii="Times New Roman" w:hAnsi="Times New Roman" w:cs="Times New Roman"/>
          <w:spacing w:val="-1"/>
        </w:rPr>
        <w:t xml:space="preserve"> </w:t>
      </w:r>
      <w:r w:rsidRPr="00143AA6" w:rsidR="0020250C">
        <w:rPr>
          <w:rFonts w:ascii="Times New Roman" w:hAnsi="Times New Roman" w:cs="Times New Roman"/>
        </w:rPr>
        <w:t>collection.</w:t>
      </w:r>
    </w:p>
    <w:p w:rsidRPr="00143AA6" w:rsidR="004F26E9" w:rsidP="002E23A0" w:rsidRDefault="004F26E9" w14:paraId="66695E20" w14:textId="536B6129">
      <w:pPr>
        <w:tabs>
          <w:tab w:val="left" w:pos="540"/>
        </w:tabs>
        <w:ind w:left="540" w:hanging="540"/>
        <w:rPr>
          <w:b/>
          <w:bCs/>
          <w:sz w:val="24"/>
          <w:szCs w:val="24"/>
        </w:rPr>
      </w:pPr>
    </w:p>
    <w:p w:rsidRPr="00143AA6" w:rsidR="00F0031A" w:rsidP="00F0031A" w:rsidRDefault="00F0031A" w14:paraId="644BC438" w14:textId="2AF4DE53">
      <w:pPr>
        <w:rPr>
          <w:i/>
          <w:sz w:val="24"/>
          <w:szCs w:val="24"/>
        </w:rPr>
      </w:pPr>
      <w:r w:rsidRPr="00143AA6">
        <w:rPr>
          <w:i/>
          <w:sz w:val="24"/>
          <w:szCs w:val="24"/>
        </w:rPr>
        <w:t>Permits</w:t>
      </w:r>
    </w:p>
    <w:p w:rsidRPr="00143AA6" w:rsidR="00AC56ED" w:rsidP="00F0031A" w:rsidRDefault="00AC56ED" w14:paraId="0F01EF52" w14:textId="77777777">
      <w:pPr>
        <w:rPr>
          <w:i/>
          <w:sz w:val="24"/>
          <w:szCs w:val="24"/>
        </w:rPr>
      </w:pPr>
    </w:p>
    <w:p w:rsidRPr="00143AA6" w:rsidR="00F0031A" w:rsidP="00F0031A" w:rsidRDefault="00F0031A" w14:paraId="49B388F6" w14:textId="77777777">
      <w:pPr>
        <w:rPr>
          <w:sz w:val="24"/>
          <w:szCs w:val="24"/>
        </w:rPr>
      </w:pPr>
      <w:r w:rsidRPr="00143AA6">
        <w:rPr>
          <w:sz w:val="24"/>
          <w:szCs w:val="24"/>
        </w:rPr>
        <w:t>NMFS collects information via the permit application process. Permits are valid for one calendar year and may be renewed annually. NMFS uses the information to confirm the identity of the permit holder and applicant, and to determine whether the applicant qualifies for the permit. NMFS uses vessel-related information such as vessel documentation or registration, ownership, managing ownership, etc., to determine whether the applicant is an owner of a U.S. documented/undocumented vessel. NOAA’s Office of Law Enforcement</w:t>
      </w:r>
      <w:r w:rsidRPr="00143AA6" w:rsidR="00C57CBB">
        <w:rPr>
          <w:sz w:val="24"/>
          <w:szCs w:val="24"/>
        </w:rPr>
        <w:t xml:space="preserve"> (OLE)</w:t>
      </w:r>
      <w:r w:rsidRPr="00143AA6">
        <w:rPr>
          <w:sz w:val="24"/>
          <w:szCs w:val="24"/>
        </w:rPr>
        <w:t xml:space="preserve">, the USCG, and the Council also use the information. </w:t>
      </w:r>
    </w:p>
    <w:p w:rsidRPr="00143AA6" w:rsidR="00F0031A" w:rsidP="00F0031A" w:rsidRDefault="00F0031A" w14:paraId="079A1F6F" w14:textId="77777777">
      <w:pPr>
        <w:rPr>
          <w:sz w:val="24"/>
          <w:szCs w:val="24"/>
        </w:rPr>
      </w:pPr>
    </w:p>
    <w:p w:rsidRPr="00143AA6" w:rsidR="00F0031A" w:rsidP="00F0031A" w:rsidRDefault="00F0031A" w14:paraId="3EB4A58A" w14:textId="4EC4305A">
      <w:pPr>
        <w:rPr>
          <w:i/>
          <w:sz w:val="24"/>
          <w:szCs w:val="24"/>
        </w:rPr>
      </w:pPr>
      <w:r w:rsidRPr="00143AA6">
        <w:rPr>
          <w:i/>
          <w:sz w:val="24"/>
          <w:szCs w:val="24"/>
        </w:rPr>
        <w:t>Logbook Forms</w:t>
      </w:r>
    </w:p>
    <w:p w:rsidRPr="00143AA6" w:rsidR="00AC56ED" w:rsidP="00F0031A" w:rsidRDefault="00AC56ED" w14:paraId="577FCD20" w14:textId="77777777">
      <w:pPr>
        <w:rPr>
          <w:i/>
          <w:sz w:val="24"/>
          <w:szCs w:val="24"/>
        </w:rPr>
      </w:pPr>
    </w:p>
    <w:p w:rsidRPr="00143AA6" w:rsidR="00F0031A" w:rsidP="00F0031A" w:rsidRDefault="00F0031A" w14:paraId="333F6C29" w14:textId="0BA8D537">
      <w:pPr>
        <w:rPr>
          <w:sz w:val="24"/>
          <w:szCs w:val="24"/>
        </w:rPr>
      </w:pPr>
      <w:r w:rsidRPr="00143AA6">
        <w:rPr>
          <w:sz w:val="24"/>
          <w:szCs w:val="24"/>
        </w:rPr>
        <w:t>Vessel owners or operators must submit completed logbook forms to NMFS within 72 hours after the end of each fishing trip. The reporting requirements provide the information needed by NMFS and the Council to regulate and monitor the fisheries managed under the FEP and to evaluate the effectiveness of management by assessing the status of stocks and the status of the fisheries. The information provides a basis for determining whether changes in management are needed to sustain the productivity of the stocks or to address economic problems in the fishery</w:t>
      </w:r>
      <w:r w:rsidRPr="00143AA6" w:rsidR="00C57CBB">
        <w:rPr>
          <w:sz w:val="24"/>
          <w:szCs w:val="24"/>
        </w:rPr>
        <w:t>, and</w:t>
      </w:r>
      <w:r w:rsidRPr="00143AA6">
        <w:rPr>
          <w:sz w:val="24"/>
          <w:szCs w:val="24"/>
        </w:rPr>
        <w:t xml:space="preserve"> for evaluating the magnitude and distribution of impacts resulting from changes to regulations. Specifically, the information collected through the logbooks will enable the NMFS to develop an ACL for the fishery, and to effectively monitor the ACL for the fishery. Without the information, NMFS and the Council would be unable to determine whether management is achieving the objectives of the FEP and preventing overfishing, the prin</w:t>
      </w:r>
      <w:r w:rsidRPr="00143AA6" w:rsidR="00E84D61">
        <w:rPr>
          <w:sz w:val="24"/>
          <w:szCs w:val="24"/>
        </w:rPr>
        <w:t>cipal requirement of the M</w:t>
      </w:r>
      <w:r w:rsidRPr="00143AA6" w:rsidR="00AC56ED">
        <w:rPr>
          <w:sz w:val="24"/>
          <w:szCs w:val="24"/>
        </w:rPr>
        <w:t>agnuson-Stevens Act</w:t>
      </w:r>
      <w:r w:rsidRPr="00143AA6">
        <w:rPr>
          <w:sz w:val="24"/>
          <w:szCs w:val="24"/>
        </w:rPr>
        <w:t>.</w:t>
      </w:r>
      <w:r w:rsidRPr="00143AA6" w:rsidR="00F3256C">
        <w:rPr>
          <w:sz w:val="24"/>
          <w:szCs w:val="24"/>
        </w:rPr>
        <w:t xml:space="preserve"> </w:t>
      </w:r>
      <w:r w:rsidRPr="00143AA6" w:rsidR="00AC56ED">
        <w:rPr>
          <w:sz w:val="24"/>
          <w:szCs w:val="24"/>
        </w:rPr>
        <w:t xml:space="preserve">Additionally, </w:t>
      </w:r>
      <w:r w:rsidRPr="00143AA6" w:rsidR="00C57CBB">
        <w:rPr>
          <w:sz w:val="24"/>
          <w:szCs w:val="24"/>
        </w:rPr>
        <w:t>OLE</w:t>
      </w:r>
      <w:r w:rsidRPr="00143AA6">
        <w:rPr>
          <w:sz w:val="24"/>
          <w:szCs w:val="24"/>
        </w:rPr>
        <w:t xml:space="preserve">, </w:t>
      </w:r>
      <w:r w:rsidRPr="00143AA6" w:rsidR="00AC56ED">
        <w:rPr>
          <w:sz w:val="24"/>
          <w:szCs w:val="24"/>
        </w:rPr>
        <w:t xml:space="preserve">the </w:t>
      </w:r>
      <w:r w:rsidRPr="00143AA6">
        <w:rPr>
          <w:sz w:val="24"/>
          <w:szCs w:val="24"/>
        </w:rPr>
        <w:t xml:space="preserve">State of Hawaii, and </w:t>
      </w:r>
      <w:r w:rsidRPr="00143AA6" w:rsidR="00AC56ED">
        <w:rPr>
          <w:sz w:val="24"/>
          <w:szCs w:val="24"/>
        </w:rPr>
        <w:t xml:space="preserve">the </w:t>
      </w:r>
      <w:r w:rsidRPr="00143AA6">
        <w:rPr>
          <w:sz w:val="24"/>
          <w:szCs w:val="24"/>
        </w:rPr>
        <w:t>USCG use information from the logbooks to monitor compliance with fishing regulations and reporting requirements.</w:t>
      </w:r>
    </w:p>
    <w:p w:rsidRPr="00143AA6" w:rsidR="00F0031A" w:rsidP="00F0031A" w:rsidRDefault="00F0031A" w14:paraId="2325303F" w14:textId="77777777">
      <w:pPr>
        <w:rPr>
          <w:sz w:val="24"/>
          <w:szCs w:val="24"/>
        </w:rPr>
      </w:pPr>
    </w:p>
    <w:p w:rsidRPr="00143AA6" w:rsidR="00F0031A" w:rsidP="00F0031A" w:rsidRDefault="00F0031A" w14:paraId="64B8A213" w14:textId="77777777">
      <w:pPr>
        <w:rPr>
          <w:sz w:val="24"/>
          <w:szCs w:val="24"/>
        </w:rPr>
      </w:pPr>
      <w:r w:rsidRPr="00143AA6">
        <w:rPr>
          <w:sz w:val="24"/>
          <w:szCs w:val="24"/>
        </w:rPr>
        <w:t>An individual who is denied a permit may submit an appeal. The appeal process is described in 50 CFR 665.203(k).</w:t>
      </w:r>
    </w:p>
    <w:p w:rsidRPr="00143AA6" w:rsidR="00F0031A" w:rsidP="00F0031A" w:rsidRDefault="00F0031A" w14:paraId="1A2E8DCB" w14:textId="77777777">
      <w:pPr>
        <w:rPr>
          <w:sz w:val="24"/>
          <w:szCs w:val="24"/>
        </w:rPr>
      </w:pPr>
    </w:p>
    <w:p w:rsidRPr="00143AA6" w:rsidR="00F0031A" w:rsidP="00F0031A" w:rsidRDefault="00F0031A" w14:paraId="070264E3" w14:textId="67084724">
      <w:pPr>
        <w:rPr>
          <w:sz w:val="24"/>
          <w:szCs w:val="24"/>
        </w:rPr>
      </w:pPr>
      <w:r w:rsidRPr="00143AA6">
        <w:rPr>
          <w:sz w:val="24"/>
          <w:szCs w:val="24"/>
        </w:rPr>
        <w:t xml:space="preserve">NMFS </w:t>
      </w:r>
      <w:r w:rsidRPr="00143AA6" w:rsidR="00AC56ED">
        <w:rPr>
          <w:sz w:val="24"/>
          <w:szCs w:val="24"/>
        </w:rPr>
        <w:t xml:space="preserve">may </w:t>
      </w:r>
      <w:r w:rsidRPr="00143AA6">
        <w:rPr>
          <w:sz w:val="24"/>
          <w:szCs w:val="24"/>
        </w:rPr>
        <w:t>not disseminate information to the public</w:t>
      </w:r>
      <w:r w:rsidRPr="00143AA6" w:rsidR="00AC56ED">
        <w:rPr>
          <w:sz w:val="24"/>
          <w:szCs w:val="24"/>
        </w:rPr>
        <w:t>,</w:t>
      </w:r>
      <w:r w:rsidRPr="00143AA6">
        <w:rPr>
          <w:sz w:val="24"/>
          <w:szCs w:val="24"/>
        </w:rPr>
        <w:t xml:space="preserve"> except in non-confidential or aggregate form in summary and analytical reports. NMFS would aggregate and/or summarize any of the information that might be used to support publicly disseminated information to maintain the confidentiality of the information pertaining to the individual vessels.</w:t>
      </w:r>
    </w:p>
    <w:p w:rsidRPr="00143AA6" w:rsidR="00F0031A" w:rsidP="00F0031A" w:rsidRDefault="00F0031A" w14:paraId="01E51E87" w14:textId="77777777">
      <w:pPr>
        <w:rPr>
          <w:sz w:val="24"/>
          <w:szCs w:val="24"/>
        </w:rPr>
      </w:pPr>
    </w:p>
    <w:p w:rsidRPr="00143AA6" w:rsidR="00F0031A" w:rsidP="00F0031A" w:rsidRDefault="00F0031A" w14:paraId="4DD0CE26" w14:textId="1BC54DA6">
      <w:pPr>
        <w:rPr>
          <w:sz w:val="24"/>
          <w:szCs w:val="24"/>
        </w:rPr>
      </w:pPr>
      <w:r w:rsidRPr="00143AA6">
        <w:rPr>
          <w:sz w:val="24"/>
          <w:szCs w:val="24"/>
        </w:rPr>
        <w:t xml:space="preserve">NMFS will retain control over the information and safeguard it from improper access, modification </w:t>
      </w:r>
      <w:r w:rsidRPr="00143AA6" w:rsidR="00C57CBB">
        <w:rPr>
          <w:sz w:val="24"/>
          <w:szCs w:val="24"/>
        </w:rPr>
        <w:t>or</w:t>
      </w:r>
      <w:r w:rsidRPr="00143AA6">
        <w:rPr>
          <w:sz w:val="24"/>
          <w:szCs w:val="24"/>
        </w:rPr>
        <w:t xml:space="preserve"> destruction, consistent with Federal law and regulations, and NOAA policies for confidentiality, privacy, and electronic information. See response to Question 10 of this </w:t>
      </w:r>
      <w:r w:rsidRPr="00143AA6">
        <w:rPr>
          <w:sz w:val="24"/>
          <w:szCs w:val="24"/>
        </w:rPr>
        <w:lastRenderedPageBreak/>
        <w:t>Supporting Statement for more information on confidentiality and privacy. NMFS designed the information collection to yield data that meet all applicable information quality guidelines. Prior to dissemination, the information will be subjected to quality control measures and a pre-dissemination review pursuant to Section 515 of Public Law 106-554.</w:t>
      </w:r>
    </w:p>
    <w:p w:rsidRPr="00143AA6" w:rsidR="004F26E9" w:rsidP="0020448B" w:rsidRDefault="004F26E9" w14:paraId="268B8899" w14:textId="77777777">
      <w:pPr>
        <w:rPr>
          <w:sz w:val="24"/>
          <w:szCs w:val="24"/>
        </w:rPr>
      </w:pPr>
    </w:p>
    <w:p w:rsidRPr="00143AA6" w:rsidR="0020250C" w:rsidP="0020250C" w:rsidRDefault="00493868" w14:paraId="5320BA20" w14:textId="77777777">
      <w:pPr>
        <w:pStyle w:val="ListParagraph"/>
        <w:tabs>
          <w:tab w:val="left" w:pos="360"/>
        </w:tabs>
        <w:adjustRightInd/>
        <w:spacing w:before="199"/>
        <w:ind w:left="0"/>
        <w:contextualSpacing w:val="0"/>
        <w:rPr>
          <w:b/>
          <w:sz w:val="24"/>
          <w:szCs w:val="24"/>
        </w:rPr>
      </w:pPr>
      <w:r w:rsidRPr="00143AA6">
        <w:rPr>
          <w:b/>
          <w:bCs/>
          <w:sz w:val="24"/>
          <w:szCs w:val="24"/>
        </w:rPr>
        <w:t>3.</w:t>
      </w:r>
      <w:r w:rsidRPr="00143AA6">
        <w:rPr>
          <w:b/>
          <w:bCs/>
          <w:sz w:val="24"/>
          <w:szCs w:val="24"/>
        </w:rPr>
        <w:tab/>
      </w:r>
      <w:r w:rsidRPr="00143AA6" w:rsidR="0020250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43AA6" w:rsidR="0020250C">
        <w:rPr>
          <w:b/>
          <w:spacing w:val="-6"/>
          <w:sz w:val="24"/>
          <w:szCs w:val="24"/>
        </w:rPr>
        <w:t xml:space="preserve"> </w:t>
      </w:r>
      <w:r w:rsidRPr="00143AA6" w:rsidR="0020250C">
        <w:rPr>
          <w:b/>
          <w:sz w:val="24"/>
          <w:szCs w:val="24"/>
        </w:rPr>
        <w:t>burden.</w:t>
      </w:r>
    </w:p>
    <w:p w:rsidRPr="00143AA6" w:rsidR="004F26E9" w:rsidP="00493868" w:rsidRDefault="004F26E9" w14:paraId="52042142" w14:textId="477AF549">
      <w:pPr>
        <w:tabs>
          <w:tab w:val="left" w:pos="540"/>
        </w:tabs>
        <w:ind w:left="540" w:hanging="540"/>
        <w:rPr>
          <w:sz w:val="24"/>
          <w:szCs w:val="24"/>
        </w:rPr>
      </w:pPr>
    </w:p>
    <w:p w:rsidRPr="00143AA6" w:rsidR="00F0031A" w:rsidP="00F0031A" w:rsidRDefault="00F0031A" w14:paraId="65B85755" w14:textId="39694D80">
      <w:pPr>
        <w:rPr>
          <w:i/>
          <w:sz w:val="24"/>
          <w:szCs w:val="24"/>
        </w:rPr>
      </w:pPr>
      <w:r w:rsidRPr="00143AA6">
        <w:rPr>
          <w:i/>
          <w:sz w:val="24"/>
          <w:szCs w:val="24"/>
        </w:rPr>
        <w:t>Permits</w:t>
      </w:r>
    </w:p>
    <w:p w:rsidRPr="00143AA6" w:rsidR="00AC56ED" w:rsidP="00F0031A" w:rsidRDefault="00AC56ED" w14:paraId="17CEF7C0" w14:textId="77777777">
      <w:pPr>
        <w:rPr>
          <w:i/>
          <w:sz w:val="24"/>
          <w:szCs w:val="24"/>
        </w:rPr>
      </w:pPr>
    </w:p>
    <w:p w:rsidRPr="00143AA6" w:rsidR="00F0031A" w:rsidP="00F0031A" w:rsidRDefault="00F0031A" w14:paraId="6BFB5262" w14:textId="23003640">
      <w:pPr>
        <w:rPr>
          <w:sz w:val="24"/>
          <w:szCs w:val="24"/>
        </w:rPr>
      </w:pPr>
      <w:r w:rsidRPr="00143AA6">
        <w:rPr>
          <w:sz w:val="24"/>
          <w:szCs w:val="24"/>
        </w:rPr>
        <w:t>At this time, NMFS does not have an automated electronic process to collect application information. NMFS no longer accepts mai</w:t>
      </w:r>
      <w:r w:rsidRPr="00143AA6" w:rsidR="002748CB">
        <w:rPr>
          <w:sz w:val="24"/>
          <w:szCs w:val="24"/>
        </w:rPr>
        <w:t xml:space="preserve">led applications and checks. NMFS </w:t>
      </w:r>
      <w:r w:rsidRPr="00143AA6" w:rsidR="002E23A0">
        <w:rPr>
          <w:sz w:val="24"/>
          <w:szCs w:val="24"/>
        </w:rPr>
        <w:t xml:space="preserve">requests applicants to submit </w:t>
      </w:r>
      <w:r w:rsidRPr="00143AA6" w:rsidR="00275474">
        <w:rPr>
          <w:sz w:val="24"/>
          <w:szCs w:val="24"/>
        </w:rPr>
        <w:t xml:space="preserve">applications </w:t>
      </w:r>
      <w:r w:rsidRPr="00143AA6">
        <w:rPr>
          <w:sz w:val="24"/>
          <w:szCs w:val="24"/>
        </w:rPr>
        <w:t>via s</w:t>
      </w:r>
      <w:r w:rsidRPr="00143AA6" w:rsidR="002748CB">
        <w:rPr>
          <w:sz w:val="24"/>
          <w:szCs w:val="24"/>
        </w:rPr>
        <w:t xml:space="preserve">ecure email and pay fees online per the procedure specified at </w:t>
      </w:r>
      <w:hyperlink w:history="1" r:id="rId9">
        <w:r w:rsidRPr="00143AA6" w:rsidR="00EB0AC2">
          <w:rPr>
            <w:rStyle w:val="Hyperlink"/>
            <w:sz w:val="24"/>
            <w:szCs w:val="24"/>
          </w:rPr>
          <w:t>www.fisheries.noaa.gov/pacific-islands/commercial-fishing/apply-pacific-islands-fishing-permit</w:t>
        </w:r>
      </w:hyperlink>
      <w:r w:rsidRPr="00143AA6" w:rsidR="002748CB">
        <w:rPr>
          <w:sz w:val="24"/>
          <w:szCs w:val="24"/>
        </w:rPr>
        <w:t>.</w:t>
      </w:r>
    </w:p>
    <w:p w:rsidRPr="00143AA6" w:rsidR="00F0031A" w:rsidP="00F0031A" w:rsidRDefault="00F0031A" w14:paraId="23947922" w14:textId="77777777">
      <w:pPr>
        <w:rPr>
          <w:i/>
          <w:sz w:val="24"/>
          <w:szCs w:val="24"/>
        </w:rPr>
      </w:pPr>
    </w:p>
    <w:p w:rsidRPr="00143AA6" w:rsidR="00F0031A" w:rsidP="00F0031A" w:rsidRDefault="00F0031A" w14:paraId="11F7C6D3" w14:textId="2C6CE908">
      <w:pPr>
        <w:rPr>
          <w:i/>
          <w:sz w:val="24"/>
          <w:szCs w:val="24"/>
        </w:rPr>
      </w:pPr>
      <w:r w:rsidRPr="00143AA6">
        <w:rPr>
          <w:i/>
          <w:sz w:val="24"/>
          <w:szCs w:val="24"/>
        </w:rPr>
        <w:t>Logbook Forms</w:t>
      </w:r>
    </w:p>
    <w:p w:rsidRPr="00143AA6" w:rsidR="00AC56ED" w:rsidP="00F0031A" w:rsidRDefault="00AC56ED" w14:paraId="6934A4B5" w14:textId="77777777">
      <w:pPr>
        <w:rPr>
          <w:i/>
          <w:sz w:val="24"/>
          <w:szCs w:val="24"/>
        </w:rPr>
      </w:pPr>
    </w:p>
    <w:p w:rsidRPr="00143AA6" w:rsidR="00F0031A" w:rsidP="00F0031A" w:rsidRDefault="00F0031A" w14:paraId="69934C57" w14:textId="77777777">
      <w:pPr>
        <w:rPr>
          <w:i/>
          <w:sz w:val="24"/>
          <w:szCs w:val="24"/>
        </w:rPr>
      </w:pPr>
      <w:r w:rsidRPr="00143AA6">
        <w:rPr>
          <w:sz w:val="24"/>
          <w:szCs w:val="24"/>
        </w:rPr>
        <w:t>At this time, NMFS collects information mainly on paper forms that do not require any knowledge of automated, electronic, mechanical</w:t>
      </w:r>
      <w:r w:rsidRPr="00143AA6" w:rsidR="00EB0AC2">
        <w:rPr>
          <w:sz w:val="24"/>
          <w:szCs w:val="24"/>
        </w:rPr>
        <w:t>,</w:t>
      </w:r>
      <w:r w:rsidRPr="00143AA6">
        <w:rPr>
          <w:sz w:val="24"/>
          <w:szCs w:val="24"/>
        </w:rPr>
        <w:t xml:space="preserve"> or other forms of information technology.  </w:t>
      </w:r>
    </w:p>
    <w:p w:rsidRPr="00143AA6" w:rsidR="004F26E9" w:rsidP="0020448B" w:rsidRDefault="004F26E9" w14:paraId="70F1554B" w14:textId="77777777">
      <w:pPr>
        <w:rPr>
          <w:sz w:val="24"/>
          <w:szCs w:val="24"/>
        </w:rPr>
      </w:pPr>
    </w:p>
    <w:p w:rsidRPr="00143AA6" w:rsidR="0020250C" w:rsidP="0020250C" w:rsidRDefault="00493868" w14:paraId="6A44163D" w14:textId="77777777">
      <w:pPr>
        <w:pStyle w:val="ListParagraph"/>
        <w:tabs>
          <w:tab w:val="left" w:pos="360"/>
        </w:tabs>
        <w:adjustRightInd/>
        <w:spacing w:before="80"/>
        <w:ind w:left="0"/>
        <w:contextualSpacing w:val="0"/>
        <w:rPr>
          <w:b/>
          <w:sz w:val="24"/>
          <w:szCs w:val="24"/>
        </w:rPr>
      </w:pPr>
      <w:r w:rsidRPr="00143AA6">
        <w:rPr>
          <w:b/>
          <w:bCs/>
          <w:sz w:val="24"/>
          <w:szCs w:val="24"/>
        </w:rPr>
        <w:t>4.</w:t>
      </w:r>
      <w:r w:rsidRPr="00143AA6">
        <w:rPr>
          <w:b/>
          <w:bCs/>
          <w:sz w:val="24"/>
          <w:szCs w:val="24"/>
        </w:rPr>
        <w:tab/>
      </w:r>
      <w:r w:rsidRPr="00143AA6" w:rsidR="0020250C">
        <w:rPr>
          <w:b/>
          <w:sz w:val="24"/>
          <w:szCs w:val="24"/>
        </w:rPr>
        <w:t>Describe efforts to identify duplication. Show specifically why any similar information already available cannot be used or modified for use for the purposes described in Question</w:t>
      </w:r>
      <w:r w:rsidRPr="00143AA6" w:rsidR="0020250C">
        <w:rPr>
          <w:b/>
          <w:spacing w:val="-42"/>
          <w:sz w:val="24"/>
          <w:szCs w:val="24"/>
        </w:rPr>
        <w:t xml:space="preserve"> </w:t>
      </w:r>
      <w:r w:rsidRPr="00143AA6" w:rsidR="0020250C">
        <w:rPr>
          <w:b/>
          <w:sz w:val="24"/>
          <w:szCs w:val="24"/>
        </w:rPr>
        <w:t>2</w:t>
      </w:r>
    </w:p>
    <w:p w:rsidRPr="00143AA6" w:rsidR="004F26E9" w:rsidP="0020448B" w:rsidRDefault="004F26E9" w14:paraId="4E512974" w14:textId="791E3F94">
      <w:pPr>
        <w:rPr>
          <w:sz w:val="24"/>
          <w:szCs w:val="24"/>
        </w:rPr>
      </w:pPr>
    </w:p>
    <w:p w:rsidRPr="00143AA6" w:rsidR="00F0031A" w:rsidP="00F0031A" w:rsidRDefault="00F0031A" w14:paraId="1AB03477" w14:textId="0E3D3960">
      <w:pPr>
        <w:rPr>
          <w:i/>
          <w:sz w:val="24"/>
          <w:szCs w:val="24"/>
        </w:rPr>
      </w:pPr>
      <w:r w:rsidRPr="00143AA6">
        <w:rPr>
          <w:i/>
          <w:sz w:val="24"/>
          <w:szCs w:val="24"/>
        </w:rPr>
        <w:t>Permits</w:t>
      </w:r>
    </w:p>
    <w:p w:rsidRPr="00143AA6" w:rsidR="00AC56ED" w:rsidP="00F0031A" w:rsidRDefault="00AC56ED" w14:paraId="5DCED910" w14:textId="77777777">
      <w:pPr>
        <w:rPr>
          <w:i/>
          <w:sz w:val="24"/>
          <w:szCs w:val="24"/>
        </w:rPr>
      </w:pPr>
    </w:p>
    <w:p w:rsidRPr="00143AA6" w:rsidR="00F0031A" w:rsidP="00F0031A" w:rsidRDefault="00F0031A" w14:paraId="74D96D3A" w14:textId="77777777">
      <w:pPr>
        <w:rPr>
          <w:sz w:val="24"/>
          <w:szCs w:val="24"/>
        </w:rPr>
      </w:pPr>
      <w:r w:rsidRPr="00143AA6">
        <w:rPr>
          <w:sz w:val="24"/>
          <w:szCs w:val="24"/>
        </w:rPr>
        <w:t>There is no similar State of Hawaii permit requirement for the MHI non-commercial bottomfish fishery.</w:t>
      </w:r>
    </w:p>
    <w:p w:rsidRPr="00143AA6" w:rsidR="00F0031A" w:rsidP="00F0031A" w:rsidRDefault="00F0031A" w14:paraId="54404C85" w14:textId="77777777">
      <w:pPr>
        <w:rPr>
          <w:i/>
          <w:sz w:val="24"/>
          <w:szCs w:val="24"/>
        </w:rPr>
      </w:pPr>
    </w:p>
    <w:p w:rsidRPr="00143AA6" w:rsidR="00F0031A" w:rsidP="00F0031A" w:rsidRDefault="00F0031A" w14:paraId="41C46D4C" w14:textId="12D30CD7">
      <w:pPr>
        <w:rPr>
          <w:i/>
          <w:sz w:val="24"/>
          <w:szCs w:val="24"/>
        </w:rPr>
      </w:pPr>
      <w:r w:rsidRPr="00143AA6">
        <w:rPr>
          <w:i/>
          <w:sz w:val="24"/>
          <w:szCs w:val="24"/>
        </w:rPr>
        <w:t>Logbook Forms</w:t>
      </w:r>
    </w:p>
    <w:p w:rsidRPr="00143AA6" w:rsidR="00AC56ED" w:rsidP="00F0031A" w:rsidRDefault="00AC56ED" w14:paraId="45A04FD3" w14:textId="77777777">
      <w:pPr>
        <w:rPr>
          <w:i/>
          <w:sz w:val="24"/>
          <w:szCs w:val="24"/>
        </w:rPr>
      </w:pPr>
    </w:p>
    <w:p w:rsidRPr="00143AA6" w:rsidR="00F0031A" w:rsidP="00F0031A" w:rsidRDefault="00F0031A" w14:paraId="27A1D46D" w14:textId="77777777">
      <w:pPr>
        <w:rPr>
          <w:sz w:val="24"/>
          <w:szCs w:val="24"/>
        </w:rPr>
      </w:pPr>
      <w:r w:rsidRPr="00143AA6">
        <w:rPr>
          <w:sz w:val="24"/>
          <w:szCs w:val="24"/>
        </w:rPr>
        <w:t>There is no similar State of Hawaii catch and effort reporting program for the MHI non-commercial bottomfish fishery. The State of Hawaii has a voluntary creel survey program that covers shore-based and boat-based fisheries in the MHI t</w:t>
      </w:r>
      <w:r w:rsidRPr="00143AA6" w:rsidR="00275474">
        <w:rPr>
          <w:sz w:val="24"/>
          <w:szCs w:val="24"/>
        </w:rPr>
        <w:t>hat is general in scope and may</w:t>
      </w:r>
      <w:r w:rsidRPr="00143AA6">
        <w:rPr>
          <w:sz w:val="24"/>
          <w:szCs w:val="24"/>
        </w:rPr>
        <w:t xml:space="preserve"> not provide full coverage of the non-commercial bottomfish fishery.</w:t>
      </w:r>
    </w:p>
    <w:p w:rsidRPr="00143AA6" w:rsidR="004F26E9" w:rsidP="0020448B" w:rsidRDefault="004F26E9" w14:paraId="579CCE5F" w14:textId="77777777">
      <w:pPr>
        <w:rPr>
          <w:sz w:val="24"/>
          <w:szCs w:val="24"/>
        </w:rPr>
      </w:pPr>
    </w:p>
    <w:p w:rsidRPr="00143AA6" w:rsidR="0020250C" w:rsidP="0020250C" w:rsidRDefault="00493868" w14:paraId="3A0743CF" w14:textId="77777777">
      <w:pPr>
        <w:pStyle w:val="ListParagraph"/>
        <w:tabs>
          <w:tab w:val="left" w:pos="360"/>
        </w:tabs>
        <w:adjustRightInd/>
        <w:spacing w:before="80"/>
        <w:ind w:left="0"/>
        <w:contextualSpacing w:val="0"/>
        <w:rPr>
          <w:b/>
          <w:sz w:val="24"/>
          <w:szCs w:val="24"/>
        </w:rPr>
      </w:pPr>
      <w:r w:rsidRPr="00143AA6">
        <w:rPr>
          <w:b/>
          <w:bCs/>
          <w:sz w:val="24"/>
          <w:szCs w:val="24"/>
        </w:rPr>
        <w:t>5.</w:t>
      </w:r>
      <w:r w:rsidRPr="00143AA6">
        <w:rPr>
          <w:b/>
          <w:bCs/>
          <w:sz w:val="24"/>
          <w:szCs w:val="24"/>
        </w:rPr>
        <w:tab/>
      </w:r>
      <w:r w:rsidRPr="00143AA6" w:rsidR="0020250C">
        <w:rPr>
          <w:b/>
          <w:sz w:val="24"/>
          <w:szCs w:val="24"/>
        </w:rPr>
        <w:t>If the collection of information impacts small businesses or other small entities, describe any methods used to minimize burden.</w:t>
      </w:r>
    </w:p>
    <w:p w:rsidRPr="00143AA6" w:rsidR="004F26E9" w:rsidP="0020448B" w:rsidRDefault="004F26E9" w14:paraId="3A0CE2FF" w14:textId="7B46EBC7">
      <w:pPr>
        <w:rPr>
          <w:sz w:val="24"/>
          <w:szCs w:val="24"/>
        </w:rPr>
      </w:pPr>
    </w:p>
    <w:p w:rsidRPr="00143AA6" w:rsidR="00F0031A" w:rsidP="00F0031A" w:rsidRDefault="00F0031A" w14:paraId="1B6D254F" w14:textId="0AE0C9D4">
      <w:pPr>
        <w:rPr>
          <w:bCs/>
          <w:i/>
          <w:sz w:val="24"/>
          <w:szCs w:val="24"/>
        </w:rPr>
      </w:pPr>
      <w:r w:rsidRPr="00143AA6">
        <w:rPr>
          <w:bCs/>
          <w:i/>
          <w:sz w:val="24"/>
          <w:szCs w:val="24"/>
        </w:rPr>
        <w:t>Permits</w:t>
      </w:r>
      <w:r w:rsidRPr="00143AA6" w:rsidR="003C5736">
        <w:rPr>
          <w:bCs/>
          <w:i/>
          <w:sz w:val="24"/>
          <w:szCs w:val="24"/>
        </w:rPr>
        <w:t xml:space="preserve"> and Logbook Forms</w:t>
      </w:r>
    </w:p>
    <w:p w:rsidRPr="00143AA6" w:rsidR="00AC56ED" w:rsidP="00F0031A" w:rsidRDefault="00AC56ED" w14:paraId="6CAB7D0A" w14:textId="77777777">
      <w:pPr>
        <w:rPr>
          <w:bCs/>
          <w:i/>
          <w:sz w:val="24"/>
          <w:szCs w:val="24"/>
        </w:rPr>
      </w:pPr>
    </w:p>
    <w:p w:rsidRPr="00143AA6" w:rsidR="003C5736" w:rsidP="00F0031A" w:rsidRDefault="003C5736" w14:paraId="453D04EA" w14:textId="79828380">
      <w:pPr>
        <w:rPr>
          <w:bCs/>
          <w:sz w:val="24"/>
          <w:szCs w:val="24"/>
        </w:rPr>
      </w:pPr>
      <w:r w:rsidRPr="00143AA6">
        <w:rPr>
          <w:bCs/>
          <w:sz w:val="24"/>
          <w:szCs w:val="24"/>
        </w:rPr>
        <w:t>This information collection is for non-commercial bottomfish</w:t>
      </w:r>
      <w:r w:rsidRPr="00143AA6" w:rsidR="00AC56ED">
        <w:rPr>
          <w:bCs/>
          <w:sz w:val="24"/>
          <w:szCs w:val="24"/>
        </w:rPr>
        <w:t xml:space="preserve"> fish</w:t>
      </w:r>
      <w:r w:rsidRPr="00143AA6">
        <w:rPr>
          <w:bCs/>
          <w:sz w:val="24"/>
          <w:szCs w:val="24"/>
        </w:rPr>
        <w:t xml:space="preserve">ing and, therefore, does not </w:t>
      </w:r>
      <w:r w:rsidRPr="00143AA6">
        <w:rPr>
          <w:bCs/>
          <w:sz w:val="24"/>
          <w:szCs w:val="24"/>
        </w:rPr>
        <w:lastRenderedPageBreak/>
        <w:t>involve small businesses or other small commercial entities.</w:t>
      </w:r>
    </w:p>
    <w:p w:rsidRPr="00143AA6" w:rsidR="004F26E9" w:rsidP="0020448B" w:rsidRDefault="004F26E9" w14:paraId="49821B82" w14:textId="6A8E39A7">
      <w:pPr>
        <w:rPr>
          <w:sz w:val="24"/>
          <w:szCs w:val="24"/>
        </w:rPr>
      </w:pPr>
    </w:p>
    <w:p w:rsidRPr="00143AA6" w:rsidR="004F26E9" w:rsidP="0020250C" w:rsidRDefault="00493868" w14:paraId="1F66142F" w14:textId="5F174D88">
      <w:pPr>
        <w:pStyle w:val="ListParagraph"/>
        <w:tabs>
          <w:tab w:val="left" w:pos="360"/>
        </w:tabs>
        <w:adjustRightInd/>
        <w:spacing w:before="80"/>
        <w:ind w:left="0"/>
        <w:contextualSpacing w:val="0"/>
        <w:rPr>
          <w:b/>
          <w:sz w:val="24"/>
          <w:szCs w:val="24"/>
        </w:rPr>
      </w:pPr>
      <w:r w:rsidRPr="00143AA6">
        <w:rPr>
          <w:b/>
          <w:bCs/>
          <w:sz w:val="24"/>
          <w:szCs w:val="24"/>
        </w:rPr>
        <w:t>6.</w:t>
      </w:r>
      <w:r w:rsidRPr="00143AA6">
        <w:rPr>
          <w:b/>
          <w:bCs/>
          <w:sz w:val="24"/>
          <w:szCs w:val="24"/>
        </w:rPr>
        <w:tab/>
      </w:r>
      <w:r w:rsidRPr="00143AA6" w:rsidR="0020250C">
        <w:rPr>
          <w:b/>
          <w:sz w:val="24"/>
          <w:szCs w:val="24"/>
        </w:rPr>
        <w:t>Describe the consequence to Federal program or policy activities if the collection is not conducted or is conducted less frequently, as well as any technical or legal obstacles to reducing burden.</w:t>
      </w:r>
    </w:p>
    <w:p w:rsidRPr="00143AA6" w:rsidR="004F26E9" w:rsidP="0020448B" w:rsidRDefault="004F26E9" w14:paraId="2A210D44" w14:textId="77777777">
      <w:pPr>
        <w:rPr>
          <w:sz w:val="24"/>
          <w:szCs w:val="24"/>
        </w:rPr>
      </w:pPr>
    </w:p>
    <w:p w:rsidRPr="00143AA6" w:rsidR="00F0031A" w:rsidP="00F0031A" w:rsidRDefault="00F0031A" w14:paraId="5106BA66" w14:textId="7A305EAA">
      <w:pPr>
        <w:rPr>
          <w:i/>
          <w:sz w:val="24"/>
          <w:szCs w:val="24"/>
        </w:rPr>
      </w:pPr>
      <w:r w:rsidRPr="00143AA6">
        <w:rPr>
          <w:i/>
          <w:sz w:val="24"/>
          <w:szCs w:val="24"/>
        </w:rPr>
        <w:t>Permits</w:t>
      </w:r>
    </w:p>
    <w:p w:rsidRPr="00143AA6" w:rsidR="00AC56ED" w:rsidP="00F0031A" w:rsidRDefault="00AC56ED" w14:paraId="2CAC8CC8" w14:textId="77777777">
      <w:pPr>
        <w:rPr>
          <w:i/>
          <w:sz w:val="24"/>
          <w:szCs w:val="24"/>
        </w:rPr>
      </w:pPr>
    </w:p>
    <w:p w:rsidRPr="00143AA6" w:rsidR="00F0031A" w:rsidP="00F0031A" w:rsidRDefault="00F0031A" w14:paraId="0A29CCF3" w14:textId="23FBB631">
      <w:pPr>
        <w:rPr>
          <w:sz w:val="24"/>
          <w:szCs w:val="24"/>
        </w:rPr>
      </w:pPr>
      <w:r w:rsidRPr="00143AA6">
        <w:rPr>
          <w:sz w:val="24"/>
          <w:szCs w:val="24"/>
        </w:rPr>
        <w:t>Without this collection or if it is collected less frequently, NMFS will be unable to properly evaluate activity, participation, and reporting compliance in the MHI non-commercial bottomfish fishery. It will be difficult to monitor the fisheries and their participants, determine entry and exit patterns, and provide information needed to ensure full impact analysis for fisheries management programs. Without this information enforcement agents will not be able to identify current fishery participants for compliance monitoring purposes</w:t>
      </w:r>
      <w:r w:rsidRPr="00143AA6" w:rsidR="00B52D0C">
        <w:rPr>
          <w:sz w:val="24"/>
          <w:szCs w:val="24"/>
        </w:rPr>
        <w:t>,</w:t>
      </w:r>
      <w:r w:rsidRPr="00143AA6">
        <w:rPr>
          <w:sz w:val="24"/>
          <w:szCs w:val="24"/>
        </w:rPr>
        <w:t xml:space="preserve"> and NMFS would be unable to consult </w:t>
      </w:r>
      <w:r w:rsidRPr="00143AA6" w:rsidR="00B52D0C">
        <w:rPr>
          <w:sz w:val="24"/>
          <w:szCs w:val="24"/>
        </w:rPr>
        <w:t xml:space="preserve">or communicate </w:t>
      </w:r>
      <w:r w:rsidRPr="00143AA6">
        <w:rPr>
          <w:sz w:val="24"/>
          <w:szCs w:val="24"/>
        </w:rPr>
        <w:t>with permit holders on regulatory changes</w:t>
      </w:r>
      <w:r w:rsidRPr="00143AA6" w:rsidR="00B52D0C">
        <w:rPr>
          <w:sz w:val="24"/>
          <w:szCs w:val="24"/>
        </w:rPr>
        <w:t xml:space="preserve"> such as a fishery closure when an ACL is reached</w:t>
      </w:r>
      <w:r w:rsidRPr="00143AA6">
        <w:rPr>
          <w:sz w:val="24"/>
          <w:szCs w:val="24"/>
        </w:rPr>
        <w:t xml:space="preserve">. </w:t>
      </w:r>
    </w:p>
    <w:p w:rsidRPr="00143AA6" w:rsidR="00F0031A" w:rsidP="00F0031A" w:rsidRDefault="00F0031A" w14:paraId="00A83D5B" w14:textId="77777777">
      <w:pPr>
        <w:rPr>
          <w:i/>
          <w:sz w:val="24"/>
          <w:szCs w:val="24"/>
        </w:rPr>
      </w:pPr>
    </w:p>
    <w:p w:rsidRPr="00143AA6" w:rsidR="00F0031A" w:rsidP="00F0031A" w:rsidRDefault="00F0031A" w14:paraId="51466C94" w14:textId="30534738">
      <w:pPr>
        <w:rPr>
          <w:i/>
          <w:sz w:val="24"/>
          <w:szCs w:val="24"/>
        </w:rPr>
      </w:pPr>
      <w:r w:rsidRPr="00143AA6">
        <w:rPr>
          <w:i/>
          <w:sz w:val="24"/>
          <w:szCs w:val="24"/>
        </w:rPr>
        <w:t>Logbook Forms</w:t>
      </w:r>
    </w:p>
    <w:p w:rsidRPr="00143AA6" w:rsidR="00AC56ED" w:rsidP="00F0031A" w:rsidRDefault="00AC56ED" w14:paraId="05DFF914" w14:textId="77777777">
      <w:pPr>
        <w:rPr>
          <w:i/>
          <w:sz w:val="24"/>
          <w:szCs w:val="24"/>
        </w:rPr>
      </w:pPr>
    </w:p>
    <w:p w:rsidRPr="00143AA6" w:rsidR="004F26E9" w:rsidP="0020448B" w:rsidRDefault="00F0031A" w14:paraId="49684A30" w14:textId="7492A755">
      <w:pPr>
        <w:rPr>
          <w:sz w:val="24"/>
          <w:szCs w:val="24"/>
        </w:rPr>
      </w:pPr>
      <w:r w:rsidRPr="00143AA6">
        <w:rPr>
          <w:sz w:val="24"/>
          <w:szCs w:val="24"/>
        </w:rPr>
        <w:t>Logbook reporting is needed in the MHI non-commercial bottomfish fishery to get an accurate count of the effort level and amount of harvest in this fishery. Currently, the only estimates of harvest in the fishery come from the commercial bottomfish fishery</w:t>
      </w:r>
      <w:r w:rsidRPr="00143AA6" w:rsidR="00E85915">
        <w:rPr>
          <w:sz w:val="24"/>
          <w:szCs w:val="24"/>
        </w:rPr>
        <w:t>.</w:t>
      </w:r>
      <w:r w:rsidRPr="00143AA6">
        <w:rPr>
          <w:sz w:val="24"/>
          <w:szCs w:val="24"/>
        </w:rPr>
        <w:t xml:space="preserve"> </w:t>
      </w:r>
      <w:r w:rsidRPr="00143AA6" w:rsidR="00E85915">
        <w:rPr>
          <w:sz w:val="24"/>
          <w:szCs w:val="24"/>
        </w:rPr>
        <w:t>F</w:t>
      </w:r>
      <w:r w:rsidRPr="00143AA6">
        <w:rPr>
          <w:sz w:val="24"/>
          <w:szCs w:val="24"/>
        </w:rPr>
        <w:t xml:space="preserve">or effective fishery management, it is essential to have the complete picture of effort and harvest from all participants. </w:t>
      </w:r>
    </w:p>
    <w:p w:rsidRPr="00143AA6" w:rsidR="004F26E9" w:rsidP="0020448B" w:rsidRDefault="004F26E9" w14:paraId="40F2FD76" w14:textId="77777777">
      <w:pPr>
        <w:rPr>
          <w:sz w:val="24"/>
          <w:szCs w:val="24"/>
        </w:rPr>
      </w:pPr>
    </w:p>
    <w:p w:rsidRPr="00143AA6" w:rsidR="004F26E9" w:rsidP="00493868" w:rsidRDefault="00493868" w14:paraId="44F27288" w14:textId="77777777">
      <w:pPr>
        <w:tabs>
          <w:tab w:val="left" w:pos="540"/>
        </w:tabs>
        <w:ind w:left="540" w:hanging="540"/>
        <w:rPr>
          <w:sz w:val="24"/>
          <w:szCs w:val="24"/>
        </w:rPr>
      </w:pPr>
      <w:r w:rsidRPr="00143AA6">
        <w:rPr>
          <w:b/>
          <w:bCs/>
          <w:sz w:val="24"/>
          <w:szCs w:val="24"/>
        </w:rPr>
        <w:t>7.</w:t>
      </w:r>
      <w:r w:rsidRPr="00143AA6">
        <w:rPr>
          <w:b/>
          <w:bCs/>
          <w:sz w:val="24"/>
          <w:szCs w:val="24"/>
        </w:rPr>
        <w:tab/>
      </w:r>
      <w:r w:rsidRPr="00143AA6" w:rsidR="004F26E9">
        <w:rPr>
          <w:b/>
          <w:bCs/>
          <w:sz w:val="24"/>
          <w:szCs w:val="24"/>
        </w:rPr>
        <w:t xml:space="preserve">Explain any special circumstances that require the collection to be conducted in a manner inconsistent with OMB guidelines. </w:t>
      </w:r>
    </w:p>
    <w:p w:rsidRPr="00143AA6" w:rsidR="004F26E9" w:rsidP="00CD5390" w:rsidRDefault="004F26E9" w14:paraId="24209D01" w14:textId="77777777">
      <w:pPr>
        <w:rPr>
          <w:sz w:val="24"/>
          <w:szCs w:val="24"/>
        </w:rPr>
      </w:pPr>
    </w:p>
    <w:p w:rsidRPr="00143AA6" w:rsidR="004F26E9" w:rsidP="00CD5390" w:rsidRDefault="0020250C" w14:paraId="480C3787" w14:textId="57F1D9EA">
      <w:pPr>
        <w:rPr>
          <w:sz w:val="24"/>
          <w:szCs w:val="24"/>
        </w:rPr>
      </w:pPr>
      <w:r w:rsidRPr="00143AA6">
        <w:rPr>
          <w:sz w:val="24"/>
          <w:szCs w:val="24"/>
        </w:rPr>
        <w:t>This collection will be conducted in a manner consistent with OMB guidelines.</w:t>
      </w:r>
    </w:p>
    <w:p w:rsidRPr="00143AA6" w:rsidR="00725C5C" w:rsidP="00CD5390" w:rsidRDefault="00725C5C" w14:paraId="17BB05B2" w14:textId="77777777">
      <w:pPr>
        <w:rPr>
          <w:b/>
          <w:bCs/>
          <w:sz w:val="24"/>
          <w:szCs w:val="24"/>
        </w:rPr>
      </w:pPr>
    </w:p>
    <w:p w:rsidRPr="00143AA6" w:rsidR="00493868" w:rsidP="0020250C" w:rsidRDefault="00493868" w14:paraId="7CD6345C" w14:textId="7154FCAF">
      <w:pPr>
        <w:pStyle w:val="ListParagraph"/>
        <w:tabs>
          <w:tab w:val="left" w:pos="360"/>
        </w:tabs>
        <w:adjustRightInd/>
        <w:spacing w:before="80"/>
        <w:ind w:left="0"/>
        <w:contextualSpacing w:val="0"/>
        <w:rPr>
          <w:b/>
          <w:sz w:val="24"/>
          <w:szCs w:val="24"/>
        </w:rPr>
      </w:pPr>
      <w:r w:rsidRPr="00143AA6">
        <w:rPr>
          <w:b/>
          <w:bCs/>
          <w:sz w:val="24"/>
          <w:szCs w:val="24"/>
        </w:rPr>
        <w:t>8.</w:t>
      </w:r>
      <w:r w:rsidRPr="00143AA6">
        <w:rPr>
          <w:b/>
          <w:bCs/>
          <w:sz w:val="24"/>
          <w:szCs w:val="24"/>
        </w:rPr>
        <w:tab/>
      </w:r>
      <w:r w:rsidRPr="00143AA6" w:rsidR="0020250C">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43AA6" w:rsidR="004F26E9" w:rsidP="00CD5390" w:rsidRDefault="004F26E9" w14:paraId="5B40A9E4" w14:textId="77777777">
      <w:pPr>
        <w:rPr>
          <w:sz w:val="24"/>
          <w:szCs w:val="24"/>
        </w:rPr>
      </w:pPr>
    </w:p>
    <w:p w:rsidRPr="00143AA6" w:rsidR="004F26E9" w:rsidP="00CD5390" w:rsidRDefault="001E6F72" w14:paraId="5AC27FD8" w14:textId="77777777">
      <w:pPr>
        <w:rPr>
          <w:sz w:val="24"/>
          <w:szCs w:val="24"/>
        </w:rPr>
      </w:pPr>
      <w:r w:rsidRPr="00143AA6">
        <w:rPr>
          <w:sz w:val="24"/>
          <w:szCs w:val="24"/>
        </w:rPr>
        <w:t xml:space="preserve">A </w:t>
      </w:r>
      <w:r w:rsidRPr="00143AA6">
        <w:rPr>
          <w:i/>
          <w:sz w:val="24"/>
          <w:szCs w:val="24"/>
        </w:rPr>
        <w:t>Federal Register</w:t>
      </w:r>
      <w:r w:rsidRPr="00143AA6">
        <w:rPr>
          <w:sz w:val="24"/>
          <w:szCs w:val="24"/>
        </w:rPr>
        <w:t xml:space="preserve"> Notice published on</w:t>
      </w:r>
      <w:r w:rsidRPr="00143AA6" w:rsidR="00EF4126">
        <w:rPr>
          <w:sz w:val="24"/>
          <w:szCs w:val="24"/>
        </w:rPr>
        <w:t xml:space="preserve"> August 24</w:t>
      </w:r>
      <w:r w:rsidRPr="00143AA6">
        <w:rPr>
          <w:sz w:val="24"/>
          <w:szCs w:val="24"/>
        </w:rPr>
        <w:t>, 20</w:t>
      </w:r>
      <w:r w:rsidRPr="00143AA6" w:rsidR="00EF4126">
        <w:rPr>
          <w:sz w:val="24"/>
          <w:szCs w:val="24"/>
        </w:rPr>
        <w:t>20</w:t>
      </w:r>
      <w:r w:rsidRPr="00143AA6">
        <w:rPr>
          <w:sz w:val="24"/>
          <w:szCs w:val="24"/>
        </w:rPr>
        <w:t xml:space="preserve"> (</w:t>
      </w:r>
      <w:r w:rsidRPr="00143AA6" w:rsidR="00EF4126">
        <w:rPr>
          <w:sz w:val="24"/>
          <w:szCs w:val="24"/>
        </w:rPr>
        <w:t>85 FR 52090</w:t>
      </w:r>
      <w:r w:rsidRPr="00143AA6">
        <w:rPr>
          <w:sz w:val="24"/>
          <w:szCs w:val="24"/>
        </w:rPr>
        <w:t>) solicited public comments. No comments were received.</w:t>
      </w:r>
      <w:r w:rsidRPr="00143AA6" w:rsidR="00AD62E6">
        <w:rPr>
          <w:sz w:val="24"/>
          <w:szCs w:val="24"/>
        </w:rPr>
        <w:t xml:space="preserve"> A solicitation for comments was sent to five fishermen and</w:t>
      </w:r>
      <w:r w:rsidRPr="00143AA6" w:rsidR="00275474">
        <w:rPr>
          <w:sz w:val="24"/>
          <w:szCs w:val="24"/>
        </w:rPr>
        <w:t xml:space="preserve"> other members of the public. One comment was</w:t>
      </w:r>
      <w:r w:rsidRPr="00143AA6" w:rsidR="00AD62E6">
        <w:rPr>
          <w:sz w:val="24"/>
          <w:szCs w:val="24"/>
        </w:rPr>
        <w:t xml:space="preserve"> received.</w:t>
      </w:r>
    </w:p>
    <w:p w:rsidRPr="00143AA6" w:rsidR="00AD62E6" w:rsidP="00CD5390" w:rsidRDefault="00AD62E6" w14:paraId="72AF7082" w14:textId="77777777">
      <w:pPr>
        <w:rPr>
          <w:sz w:val="24"/>
          <w:szCs w:val="24"/>
        </w:rPr>
      </w:pPr>
    </w:p>
    <w:p w:rsidRPr="00143AA6" w:rsidR="00AD62E6" w:rsidP="00CD5390" w:rsidRDefault="00AD62E6" w14:paraId="4F7C32C5" w14:textId="6D84B336">
      <w:pPr>
        <w:rPr>
          <w:sz w:val="24"/>
          <w:szCs w:val="24"/>
        </w:rPr>
      </w:pPr>
      <w:r w:rsidRPr="00143AA6">
        <w:rPr>
          <w:sz w:val="24"/>
          <w:szCs w:val="24"/>
        </w:rPr>
        <w:t xml:space="preserve">Comment 1 – Council staff </w:t>
      </w:r>
      <w:r w:rsidRPr="00143AA6" w:rsidR="00E85915">
        <w:rPr>
          <w:sz w:val="24"/>
          <w:szCs w:val="24"/>
        </w:rPr>
        <w:t xml:space="preserve">commented </w:t>
      </w:r>
      <w:r w:rsidRPr="00143AA6">
        <w:rPr>
          <w:sz w:val="24"/>
          <w:szCs w:val="24"/>
        </w:rPr>
        <w:t>that the FR notice did not specify that</w:t>
      </w:r>
      <w:r w:rsidRPr="00143AA6" w:rsidR="00132932">
        <w:rPr>
          <w:sz w:val="24"/>
          <w:szCs w:val="24"/>
        </w:rPr>
        <w:t xml:space="preserve"> the permit applied to</w:t>
      </w:r>
      <w:r w:rsidRPr="00143AA6">
        <w:rPr>
          <w:sz w:val="24"/>
          <w:szCs w:val="24"/>
        </w:rPr>
        <w:t xml:space="preserve"> fishing for </w:t>
      </w:r>
      <w:r w:rsidRPr="00143AA6" w:rsidR="00E85915">
        <w:rPr>
          <w:sz w:val="24"/>
          <w:szCs w:val="24"/>
        </w:rPr>
        <w:t xml:space="preserve">both </w:t>
      </w:r>
      <w:r w:rsidRPr="00143AA6" w:rsidR="00AC56ED">
        <w:rPr>
          <w:sz w:val="24"/>
          <w:szCs w:val="24"/>
        </w:rPr>
        <w:t xml:space="preserve">BMUS </w:t>
      </w:r>
      <w:r w:rsidRPr="00143AA6" w:rsidR="0004264D">
        <w:rPr>
          <w:sz w:val="24"/>
          <w:szCs w:val="24"/>
        </w:rPr>
        <w:t xml:space="preserve">and </w:t>
      </w:r>
      <w:r w:rsidRPr="00143AA6" w:rsidR="00AC56ED">
        <w:rPr>
          <w:sz w:val="24"/>
          <w:szCs w:val="24"/>
        </w:rPr>
        <w:t>ECS</w:t>
      </w:r>
      <w:r w:rsidRPr="00143AA6" w:rsidR="00275474">
        <w:rPr>
          <w:sz w:val="24"/>
          <w:szCs w:val="24"/>
        </w:rPr>
        <w:t>, which had recently changed</w:t>
      </w:r>
      <w:r w:rsidRPr="00143AA6">
        <w:rPr>
          <w:sz w:val="24"/>
          <w:szCs w:val="24"/>
        </w:rPr>
        <w:t xml:space="preserve">. </w:t>
      </w:r>
    </w:p>
    <w:p w:rsidRPr="00143AA6" w:rsidR="00AD62E6" w:rsidP="00CD5390" w:rsidRDefault="00AD62E6" w14:paraId="6AB4A008" w14:textId="77777777">
      <w:pPr>
        <w:rPr>
          <w:sz w:val="24"/>
          <w:szCs w:val="24"/>
        </w:rPr>
      </w:pPr>
    </w:p>
    <w:p w:rsidRPr="00143AA6" w:rsidR="00493868" w:rsidP="00CD5390" w:rsidRDefault="00B02A6D" w14:paraId="53BF660A" w14:textId="10520C9E">
      <w:pPr>
        <w:rPr>
          <w:sz w:val="24"/>
          <w:szCs w:val="24"/>
        </w:rPr>
      </w:pPr>
      <w:r w:rsidRPr="00143AA6">
        <w:rPr>
          <w:sz w:val="24"/>
          <w:szCs w:val="24"/>
        </w:rPr>
        <w:t>Response</w:t>
      </w:r>
      <w:r w:rsidRPr="00143AA6" w:rsidR="00AD62E6">
        <w:rPr>
          <w:sz w:val="24"/>
          <w:szCs w:val="24"/>
        </w:rPr>
        <w:t xml:space="preserve"> – </w:t>
      </w:r>
      <w:r w:rsidRPr="00143AA6" w:rsidR="00E85915">
        <w:rPr>
          <w:sz w:val="24"/>
          <w:szCs w:val="24"/>
        </w:rPr>
        <w:t xml:space="preserve">NMFS modified the </w:t>
      </w:r>
      <w:r w:rsidRPr="00143AA6" w:rsidR="00626E1E">
        <w:rPr>
          <w:sz w:val="24"/>
          <w:szCs w:val="24"/>
        </w:rPr>
        <w:t xml:space="preserve">permit application and </w:t>
      </w:r>
      <w:r w:rsidRPr="00143AA6" w:rsidR="00E85915">
        <w:rPr>
          <w:sz w:val="24"/>
          <w:szCs w:val="24"/>
        </w:rPr>
        <w:t>logbook form</w:t>
      </w:r>
      <w:r w:rsidRPr="00143AA6" w:rsidR="00626E1E">
        <w:rPr>
          <w:sz w:val="24"/>
          <w:szCs w:val="24"/>
        </w:rPr>
        <w:t>s</w:t>
      </w:r>
      <w:r w:rsidRPr="00143AA6" w:rsidR="00E85915">
        <w:rPr>
          <w:sz w:val="24"/>
          <w:szCs w:val="24"/>
        </w:rPr>
        <w:t xml:space="preserve"> to clearly indicate </w:t>
      </w:r>
      <w:r w:rsidRPr="00143AA6" w:rsidR="00AD62E6">
        <w:rPr>
          <w:sz w:val="24"/>
          <w:szCs w:val="24"/>
        </w:rPr>
        <w:t xml:space="preserve">that </w:t>
      </w:r>
      <w:r w:rsidRPr="00143AA6" w:rsidR="00AC56ED">
        <w:rPr>
          <w:sz w:val="24"/>
          <w:szCs w:val="24"/>
        </w:rPr>
        <w:t xml:space="preserve">both BMUS </w:t>
      </w:r>
      <w:r w:rsidRPr="00143AA6" w:rsidR="0004264D">
        <w:rPr>
          <w:sz w:val="24"/>
          <w:szCs w:val="24"/>
        </w:rPr>
        <w:t>and</w:t>
      </w:r>
      <w:r w:rsidRPr="00143AA6" w:rsidR="00AD62E6">
        <w:rPr>
          <w:sz w:val="24"/>
          <w:szCs w:val="24"/>
        </w:rPr>
        <w:t xml:space="preserve"> </w:t>
      </w:r>
      <w:r w:rsidRPr="00143AA6" w:rsidR="00AC56ED">
        <w:rPr>
          <w:sz w:val="24"/>
          <w:szCs w:val="24"/>
        </w:rPr>
        <w:t xml:space="preserve">ECS </w:t>
      </w:r>
      <w:r w:rsidRPr="00143AA6" w:rsidR="00AD62E6">
        <w:rPr>
          <w:sz w:val="24"/>
          <w:szCs w:val="24"/>
        </w:rPr>
        <w:t>are covered by the pe</w:t>
      </w:r>
      <w:r w:rsidRPr="00143AA6" w:rsidR="002E23A0">
        <w:rPr>
          <w:sz w:val="24"/>
          <w:szCs w:val="24"/>
        </w:rPr>
        <w:t>rmit and report requirement.</w:t>
      </w:r>
    </w:p>
    <w:p w:rsidRPr="00143AA6" w:rsidR="002E23A0" w:rsidP="00493868" w:rsidRDefault="002E23A0" w14:paraId="70BA781A" w14:textId="77777777">
      <w:pPr>
        <w:tabs>
          <w:tab w:val="left" w:pos="540"/>
        </w:tabs>
        <w:ind w:left="540" w:hanging="540"/>
        <w:rPr>
          <w:b/>
          <w:bCs/>
          <w:sz w:val="24"/>
          <w:szCs w:val="24"/>
        </w:rPr>
      </w:pPr>
    </w:p>
    <w:p w:rsidRPr="00143AA6" w:rsidR="004F26E9" w:rsidP="00493868" w:rsidRDefault="00493868" w14:paraId="3C9E81EB" w14:textId="77777777">
      <w:pPr>
        <w:tabs>
          <w:tab w:val="left" w:pos="540"/>
        </w:tabs>
        <w:ind w:left="540" w:hanging="540"/>
        <w:rPr>
          <w:sz w:val="24"/>
          <w:szCs w:val="24"/>
        </w:rPr>
      </w:pPr>
      <w:r w:rsidRPr="00143AA6">
        <w:rPr>
          <w:b/>
          <w:bCs/>
          <w:sz w:val="24"/>
          <w:szCs w:val="24"/>
        </w:rPr>
        <w:t>9.</w:t>
      </w:r>
      <w:r w:rsidRPr="00143AA6">
        <w:rPr>
          <w:b/>
          <w:bCs/>
          <w:sz w:val="24"/>
          <w:szCs w:val="24"/>
        </w:rPr>
        <w:tab/>
      </w:r>
      <w:r w:rsidRPr="00143AA6" w:rsidR="004F26E9">
        <w:rPr>
          <w:b/>
          <w:bCs/>
          <w:sz w:val="24"/>
          <w:szCs w:val="24"/>
        </w:rPr>
        <w:t>Explain any decisions to provide payments or gifts to respondents, other than remuneration of contractors or grantees.</w:t>
      </w:r>
    </w:p>
    <w:p w:rsidRPr="00143AA6" w:rsidR="004F26E9" w:rsidP="00CD5390" w:rsidRDefault="004F26E9" w14:paraId="27EAF39B" w14:textId="77777777">
      <w:pPr>
        <w:rPr>
          <w:sz w:val="24"/>
          <w:szCs w:val="24"/>
        </w:rPr>
      </w:pPr>
    </w:p>
    <w:p w:rsidRPr="00143AA6" w:rsidR="004F26E9" w:rsidP="00CD5390" w:rsidRDefault="00F0031A" w14:paraId="73D6A153" w14:textId="02F9180D">
      <w:pPr>
        <w:rPr>
          <w:sz w:val="24"/>
          <w:szCs w:val="24"/>
        </w:rPr>
      </w:pPr>
      <w:r w:rsidRPr="00143AA6">
        <w:rPr>
          <w:sz w:val="24"/>
          <w:szCs w:val="24"/>
        </w:rPr>
        <w:t>NMFS provides no payments or gifts.</w:t>
      </w:r>
    </w:p>
    <w:p w:rsidRPr="00143AA6" w:rsidR="004F26E9" w:rsidP="00CD5390" w:rsidRDefault="004F26E9" w14:paraId="0BF7F54D" w14:textId="77777777">
      <w:pPr>
        <w:rPr>
          <w:sz w:val="24"/>
          <w:szCs w:val="24"/>
        </w:rPr>
      </w:pPr>
    </w:p>
    <w:p w:rsidRPr="00143AA6" w:rsidR="0020250C" w:rsidP="0020250C" w:rsidRDefault="00493868" w14:paraId="48F801F1" w14:textId="77777777">
      <w:pPr>
        <w:pStyle w:val="ListParagraph"/>
        <w:tabs>
          <w:tab w:val="left" w:pos="360"/>
        </w:tabs>
        <w:adjustRightInd/>
        <w:spacing w:before="80"/>
        <w:ind w:left="0"/>
        <w:contextualSpacing w:val="0"/>
        <w:rPr>
          <w:b/>
          <w:sz w:val="24"/>
          <w:szCs w:val="24"/>
        </w:rPr>
      </w:pPr>
      <w:r w:rsidRPr="00143AA6">
        <w:rPr>
          <w:b/>
          <w:bCs/>
          <w:sz w:val="24"/>
          <w:szCs w:val="24"/>
        </w:rPr>
        <w:t>10.</w:t>
      </w:r>
      <w:r w:rsidRPr="00143AA6">
        <w:rPr>
          <w:b/>
          <w:bCs/>
          <w:sz w:val="24"/>
          <w:szCs w:val="24"/>
        </w:rPr>
        <w:tab/>
      </w:r>
      <w:r w:rsidRPr="00143AA6" w:rsidR="0020250C">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143AA6" w:rsidR="004F26E9" w:rsidP="0020250C" w:rsidRDefault="004F26E9" w14:paraId="4CC9D09B" w14:textId="0C7393C1">
      <w:pPr>
        <w:tabs>
          <w:tab w:val="left" w:pos="540"/>
        </w:tabs>
        <w:ind w:left="540" w:hanging="540"/>
        <w:rPr>
          <w:sz w:val="24"/>
          <w:szCs w:val="24"/>
        </w:rPr>
      </w:pPr>
    </w:p>
    <w:p w:rsidRPr="00143AA6" w:rsidR="004F26E9" w:rsidP="00CD5390" w:rsidRDefault="00F0031A" w14:paraId="740411D9" w14:textId="36BACC9C">
      <w:pPr>
        <w:rPr>
          <w:sz w:val="24"/>
          <w:szCs w:val="24"/>
        </w:rPr>
      </w:pPr>
      <w:r w:rsidRPr="00143AA6">
        <w:rPr>
          <w:sz w:val="24"/>
          <w:szCs w:val="24"/>
        </w:rPr>
        <w:t xml:space="preserve">Under </w:t>
      </w:r>
      <w:r w:rsidRPr="00143AA6" w:rsidR="00E869FB">
        <w:rPr>
          <w:sz w:val="24"/>
          <w:szCs w:val="24"/>
        </w:rPr>
        <w:t>M</w:t>
      </w:r>
      <w:r w:rsidRPr="00143AA6" w:rsidR="00AC56ED">
        <w:rPr>
          <w:sz w:val="24"/>
          <w:szCs w:val="24"/>
        </w:rPr>
        <w:t xml:space="preserve">agnuson-Stevens Act </w:t>
      </w:r>
      <w:r w:rsidRPr="00143AA6" w:rsidR="00E869FB">
        <w:rPr>
          <w:sz w:val="24"/>
          <w:szCs w:val="24"/>
        </w:rPr>
        <w:t>s</w:t>
      </w:r>
      <w:r w:rsidRPr="00143AA6">
        <w:rPr>
          <w:sz w:val="24"/>
          <w:szCs w:val="24"/>
        </w:rPr>
        <w:t xml:space="preserve">ection 402(b) and NOAA Administrative Order 216-100, information submitted in accordance with regulatory requirements is confidential. This includes personal and proprietary information contained in the permits and logbooks. </w:t>
      </w:r>
      <w:r w:rsidRPr="00143AA6" w:rsidR="00220F1E">
        <w:rPr>
          <w:sz w:val="24"/>
          <w:szCs w:val="24"/>
        </w:rPr>
        <w:t xml:space="preserve">See response to Question 2 describing that NMFS would </w:t>
      </w:r>
      <w:r w:rsidRPr="00143AA6" w:rsidR="00C82DF4">
        <w:rPr>
          <w:sz w:val="24"/>
          <w:szCs w:val="24"/>
        </w:rPr>
        <w:t>not disseminate information to the public except in non-confidential or aggregate form in summary and analytical reports.</w:t>
      </w:r>
    </w:p>
    <w:p w:rsidRPr="00143AA6" w:rsidR="004F26E9" w:rsidP="00CD5390" w:rsidRDefault="004F26E9" w14:paraId="5B2DB927" w14:textId="77777777">
      <w:pPr>
        <w:rPr>
          <w:sz w:val="24"/>
          <w:szCs w:val="24"/>
        </w:rPr>
      </w:pPr>
    </w:p>
    <w:p w:rsidRPr="00143AA6" w:rsidR="0020250C" w:rsidP="0020250C" w:rsidRDefault="00493868" w14:paraId="77A10FC5" w14:textId="77777777">
      <w:pPr>
        <w:pStyle w:val="ListParagraph"/>
        <w:tabs>
          <w:tab w:val="left" w:pos="360"/>
        </w:tabs>
        <w:adjustRightInd/>
        <w:spacing w:before="80"/>
        <w:ind w:left="0"/>
        <w:contextualSpacing w:val="0"/>
        <w:rPr>
          <w:b/>
          <w:sz w:val="24"/>
          <w:szCs w:val="24"/>
        </w:rPr>
      </w:pPr>
      <w:r w:rsidRPr="00143AA6">
        <w:rPr>
          <w:b/>
          <w:bCs/>
          <w:sz w:val="24"/>
          <w:szCs w:val="24"/>
        </w:rPr>
        <w:t>11.</w:t>
      </w:r>
      <w:r w:rsidRPr="00143AA6">
        <w:rPr>
          <w:b/>
          <w:bCs/>
          <w:sz w:val="24"/>
          <w:szCs w:val="24"/>
        </w:rPr>
        <w:tab/>
      </w:r>
      <w:r w:rsidRPr="00143AA6" w:rsidR="0020250C">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43AA6" w:rsidR="004F26E9" w:rsidP="00CD5390" w:rsidRDefault="004F26E9" w14:paraId="1704064C" w14:textId="65C0459C">
      <w:pPr>
        <w:rPr>
          <w:sz w:val="24"/>
          <w:szCs w:val="24"/>
        </w:rPr>
      </w:pPr>
    </w:p>
    <w:p w:rsidRPr="00143AA6" w:rsidR="00F0031A" w:rsidP="00F0031A" w:rsidRDefault="00F0031A" w14:paraId="107254D3" w14:textId="77777777">
      <w:pPr>
        <w:rPr>
          <w:sz w:val="24"/>
          <w:szCs w:val="24"/>
        </w:rPr>
      </w:pPr>
      <w:r w:rsidRPr="00143AA6">
        <w:rPr>
          <w:sz w:val="24"/>
          <w:szCs w:val="24"/>
        </w:rPr>
        <w:t>No questions are asked of a sensitive nature.</w:t>
      </w:r>
    </w:p>
    <w:p w:rsidRPr="00143AA6" w:rsidR="00CA2B37" w:rsidP="00CD5390" w:rsidRDefault="00CA2B37" w14:paraId="0D2CD382" w14:textId="77777777">
      <w:pPr>
        <w:rPr>
          <w:sz w:val="24"/>
          <w:szCs w:val="24"/>
        </w:rPr>
        <w:sectPr w:rsidRPr="00143AA6"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Pr="00143AA6" w:rsidR="004F26E9" w:rsidP="00493868" w:rsidRDefault="00493868" w14:paraId="0BBAE631" w14:textId="3AB8C971">
      <w:pPr>
        <w:tabs>
          <w:tab w:val="left" w:pos="540"/>
        </w:tabs>
        <w:ind w:left="540" w:hanging="540"/>
        <w:rPr>
          <w:b/>
          <w:bCs/>
          <w:sz w:val="24"/>
          <w:szCs w:val="24"/>
        </w:rPr>
      </w:pPr>
      <w:r w:rsidRPr="00143AA6">
        <w:rPr>
          <w:b/>
          <w:bCs/>
          <w:sz w:val="24"/>
          <w:szCs w:val="24"/>
        </w:rPr>
        <w:lastRenderedPageBreak/>
        <w:t>12.</w:t>
      </w:r>
      <w:r w:rsidRPr="00143AA6">
        <w:rPr>
          <w:b/>
          <w:bCs/>
          <w:sz w:val="24"/>
          <w:szCs w:val="24"/>
        </w:rPr>
        <w:tab/>
      </w:r>
      <w:r w:rsidRPr="00143AA6" w:rsidR="0020250C">
        <w:rPr>
          <w:b/>
          <w:bCs/>
          <w:sz w:val="24"/>
          <w:szCs w:val="24"/>
        </w:rPr>
        <w:t xml:space="preserve">Provide </w:t>
      </w:r>
      <w:r w:rsidRPr="00143AA6" w:rsidR="004F26E9">
        <w:rPr>
          <w:b/>
          <w:bCs/>
          <w:sz w:val="24"/>
          <w:szCs w:val="24"/>
        </w:rPr>
        <w:t>estimate</w:t>
      </w:r>
      <w:r w:rsidRPr="00143AA6" w:rsidR="0020250C">
        <w:rPr>
          <w:b/>
          <w:bCs/>
          <w:sz w:val="24"/>
          <w:szCs w:val="24"/>
        </w:rPr>
        <w:t>s</w:t>
      </w:r>
      <w:r w:rsidRPr="00143AA6" w:rsidR="004F26E9">
        <w:rPr>
          <w:b/>
          <w:bCs/>
          <w:sz w:val="24"/>
          <w:szCs w:val="24"/>
        </w:rPr>
        <w:t xml:space="preserve"> </w:t>
      </w:r>
      <w:r w:rsidRPr="00143AA6" w:rsidR="0020250C">
        <w:rPr>
          <w:b/>
          <w:bCs/>
          <w:sz w:val="24"/>
          <w:szCs w:val="24"/>
        </w:rPr>
        <w:t>of the hour burden</w:t>
      </w:r>
      <w:r w:rsidRPr="00143AA6" w:rsidR="004F26E9">
        <w:rPr>
          <w:b/>
          <w:bCs/>
          <w:sz w:val="24"/>
          <w:szCs w:val="24"/>
        </w:rPr>
        <w:t xml:space="preserve"> of the collection of information.</w:t>
      </w:r>
      <w:r w:rsidRPr="00143AA6" w:rsidR="00557696">
        <w:rPr>
          <w:b/>
          <w:bCs/>
          <w:sz w:val="24"/>
          <w:szCs w:val="24"/>
        </w:rPr>
        <w:t xml:space="preserve">  </w:t>
      </w:r>
    </w:p>
    <w:p w:rsidRPr="00143AA6" w:rsidR="004F26E9" w:rsidP="00CA2B37" w:rsidRDefault="004F26E9" w14:paraId="351B3B26" w14:textId="77777777">
      <w:pPr>
        <w:ind w:left="-360"/>
        <w:rPr>
          <w:sz w:val="24"/>
          <w:szCs w:val="24"/>
        </w:rPr>
      </w:pPr>
    </w:p>
    <w:p w:rsidRPr="00143AA6" w:rsidR="00F0031A" w:rsidP="00F0031A" w:rsidRDefault="00F0031A" w14:paraId="70B8F4B9" w14:textId="5F58DB3E">
      <w:pPr>
        <w:rPr>
          <w:sz w:val="24"/>
          <w:szCs w:val="24"/>
        </w:rPr>
      </w:pPr>
      <w:r w:rsidRPr="00143AA6">
        <w:rPr>
          <w:sz w:val="24"/>
          <w:szCs w:val="24"/>
        </w:rPr>
        <w:t>NMFS expects to receive an estimated 100 MHI non-commercial bottomfish permit applications each yea</w:t>
      </w:r>
      <w:r w:rsidRPr="00143AA6" w:rsidR="0098547F">
        <w:rPr>
          <w:sz w:val="24"/>
          <w:szCs w:val="24"/>
        </w:rPr>
        <w:t>r. It would take an estimated 15</w:t>
      </w:r>
      <w:r w:rsidRPr="00143AA6">
        <w:rPr>
          <w:sz w:val="24"/>
          <w:szCs w:val="24"/>
        </w:rPr>
        <w:t xml:space="preserve"> minutes for an applicant to complete a permit applicat</w:t>
      </w:r>
      <w:r w:rsidRPr="00143AA6" w:rsidR="0098547F">
        <w:rPr>
          <w:sz w:val="24"/>
          <w:szCs w:val="24"/>
        </w:rPr>
        <w:t>ion for a maximum burden of 25</w:t>
      </w:r>
      <w:r w:rsidRPr="00143AA6">
        <w:rPr>
          <w:sz w:val="24"/>
          <w:szCs w:val="24"/>
        </w:rPr>
        <w:t xml:space="preserve"> hours per year for permit applications. Preparation of a permit appeal would take an estimate</w:t>
      </w:r>
      <w:r w:rsidRPr="00143AA6" w:rsidR="0098547F">
        <w:rPr>
          <w:sz w:val="24"/>
          <w:szCs w:val="24"/>
        </w:rPr>
        <w:t>d two hours and no more than one</w:t>
      </w:r>
      <w:r w:rsidRPr="00143AA6">
        <w:rPr>
          <w:sz w:val="24"/>
          <w:szCs w:val="24"/>
        </w:rPr>
        <w:t xml:space="preserve"> per year would be expected, for an estimate burden of 2</w:t>
      </w:r>
      <w:r w:rsidRPr="00143AA6" w:rsidR="0003116B">
        <w:rPr>
          <w:sz w:val="24"/>
          <w:szCs w:val="24"/>
        </w:rPr>
        <w:t xml:space="preserve"> hours. NMFS expects that 25</w:t>
      </w:r>
      <w:r w:rsidRPr="00143AA6">
        <w:rPr>
          <w:sz w:val="24"/>
          <w:szCs w:val="24"/>
        </w:rPr>
        <w:t xml:space="preserve"> vessels may make between 1</w:t>
      </w:r>
      <w:r w:rsidRPr="00143AA6" w:rsidR="003B36B3">
        <w:rPr>
          <w:sz w:val="24"/>
          <w:szCs w:val="24"/>
        </w:rPr>
        <w:t>-5</w:t>
      </w:r>
      <w:r w:rsidRPr="00143AA6">
        <w:rPr>
          <w:sz w:val="24"/>
          <w:szCs w:val="24"/>
        </w:rPr>
        <w:t xml:space="preserve"> trips per year, averaging 1 day per trip,</w:t>
      </w:r>
      <w:r w:rsidRPr="00143AA6" w:rsidR="0003116B">
        <w:rPr>
          <w:sz w:val="24"/>
          <w:szCs w:val="24"/>
        </w:rPr>
        <w:t xml:space="preserve"> and generating a maximum of 125 (25 x 5) daily trip report</w:t>
      </w:r>
      <w:r w:rsidRPr="00143AA6">
        <w:rPr>
          <w:sz w:val="24"/>
          <w:szCs w:val="24"/>
        </w:rPr>
        <w:t>s per year. A trip report would take about 20 minutes per logsheet, resul</w:t>
      </w:r>
      <w:r w:rsidRPr="00143AA6" w:rsidR="0003116B">
        <w:rPr>
          <w:sz w:val="24"/>
          <w:szCs w:val="24"/>
        </w:rPr>
        <w:t>ting in a maximum burden of 41.</w:t>
      </w:r>
      <w:r w:rsidRPr="00143AA6" w:rsidR="00F457AE">
        <w:rPr>
          <w:sz w:val="24"/>
          <w:szCs w:val="24"/>
        </w:rPr>
        <w:t>67 (42</w:t>
      </w:r>
      <w:r w:rsidRPr="00143AA6">
        <w:rPr>
          <w:sz w:val="24"/>
          <w:szCs w:val="24"/>
        </w:rPr>
        <w:t xml:space="preserve">) hours per year for reporting. </w:t>
      </w:r>
    </w:p>
    <w:p w:rsidRPr="00143AA6" w:rsidR="00F0031A" w:rsidP="004B617D" w:rsidRDefault="00F0031A" w14:paraId="15F55D27" w14:textId="77777777">
      <w:pPr>
        <w:rPr>
          <w:sz w:val="24"/>
          <w:szCs w:val="24"/>
        </w:rPr>
      </w:pPr>
    </w:p>
    <w:p w:rsidR="00F0031A" w:rsidP="00CA2B37" w:rsidRDefault="00F0031A" w14:paraId="01034EA7" w14:textId="77777777">
      <w:pPr>
        <w:ind w:left="-360"/>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5B8228F8"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76ED19F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0109BC2D"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6D84C637"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19B50AD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516DBDD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7A188B8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1AAD197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7DB62A2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507C81D8"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538E2D95"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10779F79"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582D9F7A"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694BDFD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1ED710C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3BAA60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12517F0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AB643A" w14:paraId="49BFDCA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CA2B37" w14:paraId="2B6AA99B"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sidR="0003116B">
              <w:rPr>
                <w:rFonts w:ascii="Calibri" w:hAnsi="Calibri" w:cs="Calibri"/>
                <w:color w:val="000000"/>
                <w:sz w:val="16"/>
                <w:szCs w:val="16"/>
              </w:rPr>
              <w:t>MH</w:t>
            </w:r>
            <w:r w:rsidR="00E84D61">
              <w:rPr>
                <w:rFonts w:ascii="Calibri" w:hAnsi="Calibri" w:cs="Calibri"/>
                <w:color w:val="000000"/>
                <w:sz w:val="16"/>
                <w:szCs w:val="16"/>
              </w:rPr>
              <w:t>I Non-commercial bottomfish permit application</w:t>
            </w:r>
          </w:p>
        </w:tc>
        <w:tc>
          <w:tcPr>
            <w:tcW w:w="171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3116B" w14:paraId="35F96E4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Owner, Operator, or Fisherman</w:t>
            </w:r>
          </w:p>
        </w:tc>
        <w:tc>
          <w:tcPr>
            <w:tcW w:w="1188"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84D61" w14:paraId="3D08AB3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152"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84D61" w14:paraId="109DBF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84D61" w14:paraId="0ECADBF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CA2B37" w:rsidR="00CA2B37">
              <w:rPr>
                <w:rFonts w:ascii="Calibri" w:hAnsi="Calibri" w:cs="Calibri"/>
                <w:color w:val="000000"/>
                <w:sz w:val="16"/>
                <w:szCs w:val="16"/>
              </w:rPr>
              <w:t> </w:t>
            </w:r>
          </w:p>
        </w:tc>
        <w:tc>
          <w:tcPr>
            <w:tcW w:w="1206"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03116B" w14:paraId="176484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00E84D61">
              <w:rPr>
                <w:rFonts w:ascii="Calibri" w:hAnsi="Calibri" w:cs="Calibri"/>
                <w:color w:val="000000"/>
                <w:sz w:val="16"/>
                <w:szCs w:val="16"/>
              </w:rPr>
              <w:t>.25</w:t>
            </w:r>
            <w:r w:rsidRPr="00CA2B37" w:rsid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CA2B37" w:rsidP="00CA2B37" w:rsidRDefault="00E84D61" w14:paraId="06311F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E605E0" w14:paraId="259BE69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981894" w14:paraId="68E8E5A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$409</w:t>
            </w:r>
            <w:r w:rsidRPr="00CA2B37" w:rsidR="00CA2B37">
              <w:rPr>
                <w:rFonts w:ascii="Calibri" w:hAnsi="Calibri" w:cs="Calibri"/>
                <w:color w:val="000000"/>
                <w:sz w:val="16"/>
                <w:szCs w:val="16"/>
              </w:rPr>
              <w:t> </w:t>
            </w:r>
          </w:p>
        </w:tc>
      </w:tr>
      <w:tr w:rsidRPr="00CA2B37" w:rsidR="00CA2B37" w:rsidTr="0003116B" w14:paraId="7E5FF49E"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CA2B37" w:rsidP="00CA2B37" w:rsidRDefault="0003116B" w14:paraId="60803B4B"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Permit </w:t>
            </w:r>
            <w:r w:rsidR="006C1075">
              <w:rPr>
                <w:rFonts w:ascii="Calibri" w:hAnsi="Calibri" w:cs="Calibri"/>
                <w:color w:val="000000"/>
                <w:sz w:val="16"/>
                <w:szCs w:val="16"/>
              </w:rPr>
              <w:t>denial</w:t>
            </w:r>
            <w:r>
              <w:rPr>
                <w:rFonts w:ascii="Calibri" w:hAnsi="Calibri" w:cs="Calibri"/>
                <w:color w:val="000000"/>
                <w:sz w:val="16"/>
                <w:szCs w:val="16"/>
              </w:rPr>
              <w:t xml:space="preserve"> appeal</w:t>
            </w:r>
          </w:p>
        </w:tc>
        <w:tc>
          <w:tcPr>
            <w:tcW w:w="1710" w:type="dxa"/>
            <w:tcBorders>
              <w:top w:val="nil"/>
              <w:left w:val="nil"/>
              <w:bottom w:val="single" w:color="auto" w:sz="4" w:space="0"/>
              <w:right w:val="single" w:color="auto" w:sz="4" w:space="0"/>
            </w:tcBorders>
            <w:shd w:val="clear" w:color="auto" w:fill="auto"/>
            <w:vAlign w:val="bottom"/>
          </w:tcPr>
          <w:p w:rsidRPr="00CA2B37" w:rsidR="00CA2B37" w:rsidP="00CA2B37" w:rsidRDefault="0003116B" w14:paraId="326FA38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Owner, Operator, or Fisherman</w:t>
            </w:r>
          </w:p>
        </w:tc>
        <w:tc>
          <w:tcPr>
            <w:tcW w:w="1188" w:type="dxa"/>
            <w:tcBorders>
              <w:top w:val="nil"/>
              <w:left w:val="nil"/>
              <w:bottom w:val="single" w:color="auto" w:sz="4" w:space="0"/>
              <w:right w:val="single" w:color="auto" w:sz="4" w:space="0"/>
            </w:tcBorders>
            <w:shd w:val="clear" w:color="auto" w:fill="auto"/>
            <w:vAlign w:val="bottom"/>
          </w:tcPr>
          <w:p w:rsidRPr="00CA2B37" w:rsidR="00CA2B37" w:rsidP="00CA2B37" w:rsidRDefault="0003116B" w14:paraId="7FE178D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bottom"/>
          </w:tcPr>
          <w:p w:rsidRPr="00CA2B37" w:rsidR="00CA2B37" w:rsidP="00CA2B37" w:rsidRDefault="0003116B" w14:paraId="07E5A1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bottom"/>
          </w:tcPr>
          <w:p w:rsidRPr="00CA2B37" w:rsidR="00CA2B37" w:rsidP="0003116B" w:rsidRDefault="0003116B" w14:paraId="0F6529D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bottom"/>
          </w:tcPr>
          <w:p w:rsidRPr="00CA2B37" w:rsidR="00CA2B37" w:rsidP="00CA2B37" w:rsidRDefault="0003116B" w14:paraId="370400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bottom"/>
          </w:tcPr>
          <w:p w:rsidRPr="00CA2B37" w:rsidR="00CA2B37" w:rsidP="00CA2B37" w:rsidRDefault="0003116B" w14:paraId="2F90C96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CA2B37" w:rsidP="00CA2B37" w:rsidRDefault="00E605E0" w14:paraId="608A9D8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CA2B37" w:rsidP="00CA2B37" w:rsidRDefault="00981894" w14:paraId="40C91CB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w:t>
            </w:r>
          </w:p>
        </w:tc>
      </w:tr>
      <w:tr w:rsidRPr="00CA2B37" w:rsidR="0003116B" w:rsidTr="00AB643A" w14:paraId="2C2787F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03116B" w:rsidP="0003116B" w:rsidRDefault="0003116B" w14:paraId="42384490" w14:textId="77777777">
            <w:pPr>
              <w:widowControl/>
              <w:autoSpaceDE/>
              <w:autoSpaceDN/>
              <w:adjustRightInd/>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MHI Non-commercial bottomfish trip report</w:t>
            </w:r>
          </w:p>
        </w:tc>
        <w:tc>
          <w:tcPr>
            <w:tcW w:w="1710"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03116B" w14:paraId="03AB293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Vessel Operator or Owner</w:t>
            </w:r>
          </w:p>
        </w:tc>
        <w:tc>
          <w:tcPr>
            <w:tcW w:w="1188"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03116B" w14:paraId="585837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152"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03116B" w14:paraId="4B5D0A3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0"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03116B" w14:paraId="4B5DD16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125</w:t>
            </w:r>
          </w:p>
        </w:tc>
        <w:tc>
          <w:tcPr>
            <w:tcW w:w="1206"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03116B" w14:paraId="6937F63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0.33</w:t>
            </w:r>
            <w:r w:rsidRPr="00CA2B37">
              <w:rPr>
                <w:rFonts w:ascii="Calibri" w:hAnsi="Calibri" w:cs="Calibri"/>
                <w:color w:val="000000"/>
                <w:sz w:val="16"/>
                <w:szCs w:val="16"/>
              </w:rPr>
              <w:t> </w:t>
            </w:r>
          </w:p>
        </w:tc>
        <w:tc>
          <w:tcPr>
            <w:tcW w:w="1170" w:type="dxa"/>
            <w:tcBorders>
              <w:top w:val="nil"/>
              <w:left w:val="nil"/>
              <w:bottom w:val="single" w:color="auto" w:sz="4" w:space="0"/>
              <w:right w:val="single" w:color="auto" w:sz="4" w:space="0"/>
            </w:tcBorders>
            <w:shd w:val="clear" w:color="auto" w:fill="auto"/>
            <w:vAlign w:val="bottom"/>
            <w:hideMark/>
          </w:tcPr>
          <w:p w:rsidRPr="00CA2B37" w:rsidR="0003116B" w:rsidP="0003116B" w:rsidRDefault="008625DD" w14:paraId="22EDC851" w14:textId="470F59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w:t>
            </w:r>
          </w:p>
        </w:tc>
        <w:tc>
          <w:tcPr>
            <w:tcW w:w="1350" w:type="dxa"/>
            <w:tcBorders>
              <w:top w:val="nil"/>
              <w:left w:val="nil"/>
              <w:bottom w:val="single" w:color="auto" w:sz="4" w:space="0"/>
              <w:right w:val="single" w:color="auto" w:sz="4" w:space="0"/>
            </w:tcBorders>
            <w:shd w:val="clear" w:color="auto" w:fill="auto"/>
            <w:noWrap/>
            <w:vAlign w:val="bottom"/>
            <w:hideMark/>
          </w:tcPr>
          <w:p w:rsidRPr="00CA2B37" w:rsidR="0003116B" w:rsidP="0003116B" w:rsidRDefault="00E605E0" w14:paraId="172A9C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$16.35</w:t>
            </w:r>
            <w:r w:rsidRPr="00CA2B37">
              <w:rPr>
                <w:rFonts w:ascii="Calibri" w:hAnsi="Calibri" w:cs="Calibri"/>
                <w:color w:val="000000"/>
                <w:sz w:val="16"/>
                <w:szCs w:val="16"/>
              </w:rPr>
              <w:t> </w:t>
            </w:r>
            <w:r w:rsidRPr="00CA2B37" w:rsidR="0003116B">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bottom"/>
            <w:hideMark/>
          </w:tcPr>
          <w:p w:rsidRPr="00CA2B37" w:rsidR="0003116B" w:rsidP="0003116B" w:rsidRDefault="00981894" w14:paraId="58C582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$674</w:t>
            </w:r>
          </w:p>
        </w:tc>
      </w:tr>
      <w:tr w:rsidRPr="00CA2B37" w:rsidR="0003116B" w:rsidTr="00AB643A" w14:paraId="3270ACAE"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03116B" w:rsidP="0003116B" w:rsidRDefault="0003116B" w14:paraId="31527E76"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03116B" w:rsidP="0003116B" w:rsidRDefault="0003116B" w14:paraId="44CA326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03116B" w:rsidP="0003116B" w:rsidRDefault="0003116B" w14:paraId="1BFBB850"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03116B" w:rsidP="0003116B" w:rsidRDefault="0003116B" w14:paraId="22DA9F52"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03116B" w:rsidP="0003116B" w:rsidRDefault="0003116B" w14:paraId="381EC07E"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E605E0">
              <w:rPr>
                <w:rFonts w:ascii="Calibri" w:hAnsi="Calibri" w:cs="Calibri"/>
                <w:b/>
                <w:bCs/>
                <w:color w:val="000000"/>
                <w:sz w:val="22"/>
                <w:szCs w:val="22"/>
              </w:rPr>
              <w:t>226</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03116B" w:rsidP="0003116B" w:rsidRDefault="0003116B" w14:paraId="0ECB61FE"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03116B" w:rsidP="0003116B" w:rsidRDefault="0003116B" w14:paraId="2B7AF3F0" w14:textId="35FEE0CA">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E605E0">
              <w:rPr>
                <w:rFonts w:ascii="Calibri" w:hAnsi="Calibri" w:cs="Calibri"/>
                <w:b/>
                <w:bCs/>
                <w:color w:val="000000"/>
                <w:sz w:val="22"/>
                <w:szCs w:val="22"/>
              </w:rPr>
              <w:t>6</w:t>
            </w:r>
            <w:r w:rsidR="00F457AE">
              <w:rPr>
                <w:rFonts w:ascii="Calibri" w:hAnsi="Calibri" w:cs="Calibri"/>
                <w:b/>
                <w:bCs/>
                <w:color w:val="000000"/>
                <w:sz w:val="22"/>
                <w:szCs w:val="22"/>
              </w:rPr>
              <w:t>9</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03116B" w:rsidP="0003116B" w:rsidRDefault="0003116B" w14:paraId="26ED0D8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03116B" w:rsidP="0003116B" w:rsidRDefault="0003116B" w14:paraId="6F2D2851"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r w:rsidR="00981894">
              <w:rPr>
                <w:rFonts w:ascii="Calibri" w:hAnsi="Calibri" w:cs="Calibri"/>
                <w:b/>
                <w:bCs/>
                <w:color w:val="000000"/>
                <w:sz w:val="22"/>
                <w:szCs w:val="22"/>
              </w:rPr>
              <w:t>$1,116</w:t>
            </w:r>
          </w:p>
        </w:tc>
      </w:tr>
    </w:tbl>
    <w:p w:rsidR="00CA2B37" w:rsidP="006C1075" w:rsidRDefault="00CA2B37" w14:paraId="279D4F6D" w14:textId="77777777">
      <w:pPr>
        <w:rPr>
          <w:sz w:val="24"/>
          <w:szCs w:val="24"/>
        </w:rPr>
        <w:sectPr w:rsidR="00CA2B37" w:rsidSect="00D20BBD">
          <w:footnotePr>
            <w:numRestart w:val="eachSect"/>
          </w:footnotePr>
          <w:endnotePr>
            <w:numFmt w:val="decimal"/>
          </w:endnotePr>
          <w:pgSz w:w="15840" w:h="12240" w:orient="landscape"/>
          <w:pgMar w:top="1440" w:right="720" w:bottom="810" w:left="990" w:header="720" w:footer="720" w:gutter="0"/>
          <w:cols w:space="720"/>
          <w:docGrid w:linePitch="272"/>
        </w:sectPr>
      </w:pPr>
    </w:p>
    <w:p w:rsidR="004F26E9" w:rsidP="00493868" w:rsidRDefault="004F26E9" w14:paraId="58FCD59F" w14:textId="77777777">
      <w:pPr>
        <w:tabs>
          <w:tab w:val="left" w:pos="540"/>
        </w:tabs>
        <w:ind w:left="540"/>
        <w:rPr>
          <w:sz w:val="24"/>
          <w:szCs w:val="24"/>
        </w:rPr>
      </w:pPr>
    </w:p>
    <w:p w:rsidRPr="0020250C" w:rsidR="004F26E9" w:rsidP="0020250C" w:rsidRDefault="00493868" w14:paraId="769C2A79" w14:textId="52BD2FDB">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0250C">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14:paraId="60164B82" w14:textId="77777777">
      <w:pPr>
        <w:tabs>
          <w:tab w:val="left" w:pos="540"/>
        </w:tabs>
        <w:ind w:left="540"/>
        <w:rPr>
          <w:sz w:val="24"/>
          <w:szCs w:val="24"/>
        </w:rPr>
      </w:pPr>
    </w:p>
    <w:p w:rsidRPr="007604FD" w:rsidR="007604FD" w:rsidP="007604FD" w:rsidRDefault="007604FD" w14:paraId="525B9543" w14:textId="7A5FE2B3">
      <w:pPr>
        <w:ind w:left="-90"/>
        <w:rPr>
          <w:sz w:val="24"/>
          <w:szCs w:val="24"/>
        </w:rPr>
      </w:pPr>
      <w:r w:rsidRPr="007604FD">
        <w:rPr>
          <w:sz w:val="24"/>
          <w:szCs w:val="24"/>
        </w:rPr>
        <w:t xml:space="preserve">There is no start-up capital cost for complying with this requirement. </w:t>
      </w:r>
      <w:r w:rsidR="00F52105">
        <w:rPr>
          <w:sz w:val="24"/>
          <w:szCs w:val="24"/>
        </w:rPr>
        <w:t>Respondents use</w:t>
      </w:r>
      <w:r w:rsidRPr="007604FD">
        <w:rPr>
          <w:sz w:val="24"/>
          <w:szCs w:val="24"/>
        </w:rPr>
        <w:t xml:space="preserve"> forms provided by the NMFS to </w:t>
      </w:r>
      <w:r w:rsidR="00F52105">
        <w:rPr>
          <w:sz w:val="24"/>
          <w:szCs w:val="24"/>
        </w:rPr>
        <w:t>apply for the permit or report</w:t>
      </w:r>
      <w:r w:rsidRPr="007604FD">
        <w:rPr>
          <w:sz w:val="24"/>
          <w:szCs w:val="24"/>
        </w:rPr>
        <w:t xml:space="preserve"> information. </w:t>
      </w:r>
    </w:p>
    <w:p w:rsidRPr="007604FD" w:rsidR="007604FD" w:rsidP="007604FD" w:rsidRDefault="007604FD" w14:paraId="1E7A1FC8" w14:textId="77777777">
      <w:pPr>
        <w:ind w:left="-90"/>
        <w:rPr>
          <w:sz w:val="24"/>
          <w:szCs w:val="24"/>
        </w:rPr>
      </w:pPr>
    </w:p>
    <w:p w:rsidRPr="007604FD" w:rsidR="007604FD" w:rsidP="007604FD" w:rsidRDefault="007604FD" w14:paraId="4E21F979" w14:textId="4B88EAAF">
      <w:pPr>
        <w:ind w:left="-90"/>
        <w:rPr>
          <w:sz w:val="24"/>
          <w:szCs w:val="24"/>
        </w:rPr>
      </w:pPr>
      <w:r w:rsidRPr="007604FD">
        <w:rPr>
          <w:sz w:val="24"/>
          <w:szCs w:val="24"/>
        </w:rPr>
        <w:t>The non-refundable a</w:t>
      </w:r>
      <w:r w:rsidR="006C1075">
        <w:rPr>
          <w:sz w:val="24"/>
          <w:szCs w:val="24"/>
        </w:rPr>
        <w:t>pplication processing fee is $53</w:t>
      </w:r>
      <w:r w:rsidRPr="007604FD">
        <w:rPr>
          <w:sz w:val="24"/>
          <w:szCs w:val="24"/>
        </w:rPr>
        <w:t>, with the total cost</w:t>
      </w:r>
      <w:r w:rsidR="006C1075">
        <w:rPr>
          <w:sz w:val="24"/>
          <w:szCs w:val="24"/>
        </w:rPr>
        <w:t xml:space="preserve"> for 100 applications being $5,3</w:t>
      </w:r>
      <w:r w:rsidRPr="007604FD">
        <w:rPr>
          <w:sz w:val="24"/>
          <w:szCs w:val="24"/>
        </w:rPr>
        <w:t xml:space="preserve">00. The maximum estimated cost to </w:t>
      </w:r>
      <w:r w:rsidR="006C1075">
        <w:rPr>
          <w:sz w:val="24"/>
          <w:szCs w:val="24"/>
        </w:rPr>
        <w:t xml:space="preserve">respondents for </w:t>
      </w:r>
      <w:r w:rsidRPr="007604FD">
        <w:rPr>
          <w:sz w:val="24"/>
          <w:szCs w:val="24"/>
        </w:rPr>
        <w:t xml:space="preserve">copies, </w:t>
      </w:r>
      <w:r w:rsidR="006C1075">
        <w:rPr>
          <w:sz w:val="24"/>
          <w:szCs w:val="24"/>
        </w:rPr>
        <w:t xml:space="preserve">scanning, </w:t>
      </w:r>
      <w:r w:rsidR="008002D5">
        <w:rPr>
          <w:sz w:val="24"/>
          <w:szCs w:val="24"/>
        </w:rPr>
        <w:t>and mailing</w:t>
      </w:r>
      <w:r w:rsidRPr="007604FD">
        <w:rPr>
          <w:sz w:val="24"/>
          <w:szCs w:val="24"/>
        </w:rPr>
        <w:t>, related to this collection is about $300 per ye</w:t>
      </w:r>
      <w:r w:rsidR="006C1075">
        <w:rPr>
          <w:sz w:val="24"/>
          <w:szCs w:val="24"/>
        </w:rPr>
        <w:t>ar. The cost of copying and scanning for a permit appeal is estimated to be $10</w:t>
      </w:r>
      <w:r w:rsidR="006D7552">
        <w:rPr>
          <w:sz w:val="24"/>
          <w:szCs w:val="24"/>
        </w:rPr>
        <w:t xml:space="preserve">. Mailing cost for a trip report logsheet would be about $1 each. The total </w:t>
      </w:r>
      <w:r w:rsidR="00DC6F01">
        <w:rPr>
          <w:sz w:val="24"/>
          <w:szCs w:val="24"/>
        </w:rPr>
        <w:t xml:space="preserve">estimated </w:t>
      </w:r>
      <w:r w:rsidR="006D7552">
        <w:rPr>
          <w:sz w:val="24"/>
          <w:szCs w:val="24"/>
        </w:rPr>
        <w:t>cost would be $5,</w:t>
      </w:r>
      <w:r w:rsidR="00A34EF9">
        <w:rPr>
          <w:sz w:val="24"/>
          <w:szCs w:val="24"/>
        </w:rPr>
        <w:t>4</w:t>
      </w:r>
      <w:r w:rsidR="006D7552">
        <w:rPr>
          <w:sz w:val="24"/>
          <w:szCs w:val="24"/>
        </w:rPr>
        <w:t>35</w:t>
      </w:r>
      <w:r w:rsidRPr="007604FD">
        <w:rPr>
          <w:sz w:val="24"/>
          <w:szCs w:val="24"/>
        </w:rPr>
        <w:t>.</w:t>
      </w:r>
    </w:p>
    <w:p w:rsidR="007604FD" w:rsidP="00493868" w:rsidRDefault="007604FD" w14:paraId="086C6B2E" w14:textId="77777777">
      <w:pPr>
        <w:tabs>
          <w:tab w:val="left" w:pos="540"/>
        </w:tabs>
        <w:ind w:left="540"/>
        <w:rPr>
          <w:sz w:val="24"/>
          <w:szCs w:val="24"/>
        </w:rPr>
      </w:pPr>
    </w:p>
    <w:p w:rsidR="007604FD" w:rsidP="00493868" w:rsidRDefault="007604FD" w14:paraId="42587D7B"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734F9A44"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57D2B33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4933506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509F6092"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D4897E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34F78096"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60CB8E9"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011E81E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A69A0A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11441F0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7D67FD8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1976881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185785" w:rsidTr="000741CA" w14:paraId="0FE5AC31"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hideMark/>
          </w:tcPr>
          <w:p w:rsidRPr="00185785" w:rsidR="00185785" w:rsidP="00185785" w:rsidRDefault="00185785" w14:paraId="4FDE2095" w14:textId="77777777">
            <w:pPr>
              <w:widowControl/>
              <w:autoSpaceDE/>
              <w:autoSpaceDN/>
              <w:adjustRightInd/>
              <w:rPr>
                <w:rFonts w:ascii="Calibri" w:hAnsi="Calibri" w:cs="Calibri"/>
                <w:color w:val="000000"/>
                <w:sz w:val="16"/>
                <w:szCs w:val="16"/>
              </w:rPr>
            </w:pPr>
            <w:r w:rsidRPr="00185785">
              <w:rPr>
                <w:rFonts w:ascii="Calibri" w:hAnsi="Calibri" w:cs="Calibri"/>
                <w:color w:val="000000"/>
                <w:sz w:val="16"/>
                <w:szCs w:val="16"/>
              </w:rPr>
              <w:t> </w:t>
            </w:r>
            <w:r w:rsidR="006C1075">
              <w:rPr>
                <w:rFonts w:ascii="Calibri" w:hAnsi="Calibri" w:cs="Calibri"/>
                <w:color w:val="000000"/>
                <w:sz w:val="16"/>
                <w:szCs w:val="16"/>
              </w:rPr>
              <w:t>MHI non-commercial permit application</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6C1075" w14:paraId="1794D3F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53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6C1075" w14:paraId="43946A6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Pr="00185785" w:rsidR="00185785">
              <w:rPr>
                <w:rFonts w:ascii="Calibri" w:hAnsi="Calibri" w:cs="Calibri"/>
                <w:color w:val="000000"/>
                <w:sz w:val="16"/>
                <w:szCs w:val="16"/>
              </w:rPr>
              <w:t> </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6C1075" w14:paraId="2FC373D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r w:rsidRPr="00185785" w:rsidR="00185785">
              <w:rPr>
                <w:rFonts w:ascii="Calibri" w:hAnsi="Calibri" w:cs="Calibri"/>
                <w:color w:val="000000"/>
                <w:sz w:val="16"/>
                <w:szCs w:val="16"/>
              </w:rPr>
              <w:t> </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185785" w:rsidP="00185785" w:rsidRDefault="006C1075" w14:paraId="784011A9" w14:textId="5EA006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F3256C">
              <w:rPr>
                <w:rFonts w:ascii="Calibri" w:hAnsi="Calibri" w:cs="Calibri"/>
                <w:color w:val="000000"/>
                <w:sz w:val="16"/>
                <w:szCs w:val="16"/>
              </w:rPr>
              <w:t>3</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185785" w:rsidP="00185785" w:rsidRDefault="006C1075" w14:paraId="4CF28BB0" w14:textId="3C292EC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F3256C">
              <w:rPr>
                <w:rFonts w:ascii="Calibri" w:hAnsi="Calibri" w:cs="Calibri"/>
                <w:color w:val="000000"/>
                <w:sz w:val="16"/>
                <w:szCs w:val="16"/>
              </w:rPr>
              <w:t>3</w:t>
            </w:r>
            <w:r>
              <w:rPr>
                <w:rFonts w:ascii="Calibri" w:hAnsi="Calibri" w:cs="Calibri"/>
                <w:color w:val="000000"/>
                <w:sz w:val="16"/>
                <w:szCs w:val="16"/>
              </w:rPr>
              <w:t>00</w:t>
            </w:r>
          </w:p>
        </w:tc>
      </w:tr>
      <w:tr w:rsidRPr="00185785" w:rsidR="00640B76" w:rsidTr="000741CA" w14:paraId="12A51B0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640B76" w:rsidP="00185785" w:rsidRDefault="00F52105" w14:paraId="790B91B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Permit </w:t>
            </w:r>
            <w:r w:rsidR="006C1075">
              <w:rPr>
                <w:rFonts w:ascii="Calibri" w:hAnsi="Calibri" w:cs="Calibri"/>
                <w:color w:val="000000"/>
                <w:sz w:val="16"/>
                <w:szCs w:val="16"/>
              </w:rPr>
              <w:t>Appeal</w:t>
            </w:r>
          </w:p>
        </w:tc>
        <w:tc>
          <w:tcPr>
            <w:tcW w:w="1260" w:type="dxa"/>
            <w:tcBorders>
              <w:top w:val="nil"/>
              <w:left w:val="nil"/>
              <w:bottom w:val="single" w:color="auto" w:sz="4" w:space="0"/>
              <w:right w:val="single" w:color="auto" w:sz="4" w:space="0"/>
            </w:tcBorders>
            <w:shd w:val="clear" w:color="000000" w:fill="FFFFFF"/>
            <w:vAlign w:val="center"/>
          </w:tcPr>
          <w:p w:rsidRPr="00185785" w:rsidR="00640B76" w:rsidP="00185785" w:rsidRDefault="006C1075" w14:paraId="4BE10E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185785" w:rsidR="00640B76" w:rsidP="00185785" w:rsidRDefault="006C1075" w14:paraId="13F5AD8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185785" w:rsidR="00640B76" w:rsidP="00185785" w:rsidRDefault="006C1075" w14:paraId="530DC40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640B76" w:rsidP="006C1075" w:rsidRDefault="006C1075" w14:paraId="5226AAD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w:t>
            </w:r>
          </w:p>
        </w:tc>
        <w:tc>
          <w:tcPr>
            <w:tcW w:w="1347" w:type="dxa"/>
            <w:tcBorders>
              <w:top w:val="nil"/>
              <w:left w:val="nil"/>
              <w:bottom w:val="single" w:color="auto" w:sz="4" w:space="0"/>
              <w:right w:val="single" w:color="auto" w:sz="8" w:space="0"/>
            </w:tcBorders>
            <w:shd w:val="clear" w:color="000000" w:fill="FFFFFF"/>
            <w:vAlign w:val="center"/>
          </w:tcPr>
          <w:p w:rsidRPr="00185785" w:rsidR="00640B76" w:rsidP="00185785" w:rsidRDefault="006C1075" w14:paraId="3074F9E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r>
      <w:tr w:rsidRPr="00185785" w:rsidR="00E6174B" w:rsidTr="000741CA" w14:paraId="25BBC50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center"/>
          </w:tcPr>
          <w:p w:rsidRPr="00185785" w:rsidR="00E6174B" w:rsidP="00185785" w:rsidRDefault="00981894" w14:paraId="630A567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MHI non-commercial report</w:t>
            </w:r>
          </w:p>
        </w:tc>
        <w:tc>
          <w:tcPr>
            <w:tcW w:w="1260" w:type="dxa"/>
            <w:tcBorders>
              <w:top w:val="nil"/>
              <w:left w:val="nil"/>
              <w:bottom w:val="single" w:color="auto" w:sz="4" w:space="0"/>
              <w:right w:val="single" w:color="auto" w:sz="4" w:space="0"/>
            </w:tcBorders>
            <w:shd w:val="clear" w:color="000000" w:fill="FFFFFF"/>
            <w:vAlign w:val="center"/>
          </w:tcPr>
          <w:p w:rsidRPr="00185785" w:rsidR="00E6174B" w:rsidP="00185785" w:rsidRDefault="00981894" w14:paraId="1EA3462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530" w:type="dxa"/>
            <w:tcBorders>
              <w:top w:val="nil"/>
              <w:left w:val="nil"/>
              <w:bottom w:val="single" w:color="auto" w:sz="4" w:space="0"/>
              <w:right w:val="single" w:color="auto" w:sz="4" w:space="0"/>
            </w:tcBorders>
            <w:shd w:val="clear" w:color="000000" w:fill="FFFFFF"/>
            <w:vAlign w:val="center"/>
          </w:tcPr>
          <w:p w:rsidRPr="00185785" w:rsidR="00E6174B" w:rsidP="00185785" w:rsidRDefault="00981894" w14:paraId="78C63D5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000000" w:fill="FFFFFF"/>
            <w:vAlign w:val="center"/>
          </w:tcPr>
          <w:p w:rsidRPr="00185785" w:rsidR="00E6174B" w:rsidP="00185785" w:rsidRDefault="00981894" w14:paraId="682C65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w:t>
            </w:r>
          </w:p>
        </w:tc>
        <w:tc>
          <w:tcPr>
            <w:tcW w:w="1263" w:type="dxa"/>
            <w:tcBorders>
              <w:top w:val="nil"/>
              <w:left w:val="nil"/>
              <w:bottom w:val="single" w:color="auto" w:sz="4" w:space="0"/>
              <w:right w:val="single" w:color="auto" w:sz="4" w:space="0"/>
            </w:tcBorders>
            <w:shd w:val="clear" w:color="000000" w:fill="FFFFFF"/>
            <w:vAlign w:val="center"/>
          </w:tcPr>
          <w:p w:rsidRPr="00185785" w:rsidR="00E6174B" w:rsidP="00185785" w:rsidRDefault="00981894" w14:paraId="0A42E94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47" w:type="dxa"/>
            <w:tcBorders>
              <w:top w:val="nil"/>
              <w:left w:val="nil"/>
              <w:bottom w:val="single" w:color="auto" w:sz="4" w:space="0"/>
              <w:right w:val="single" w:color="auto" w:sz="8" w:space="0"/>
            </w:tcBorders>
            <w:shd w:val="clear" w:color="000000" w:fill="FFFFFF"/>
            <w:vAlign w:val="center"/>
          </w:tcPr>
          <w:p w:rsidRPr="00185785" w:rsidR="00E6174B" w:rsidP="00185785" w:rsidRDefault="00981894" w14:paraId="43FB962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$125</w:t>
            </w:r>
          </w:p>
        </w:tc>
      </w:tr>
      <w:tr w:rsidRPr="00185785" w:rsidR="00185785" w:rsidTr="000741CA" w14:paraId="770965F5"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85785" w:rsidP="000D49BA" w:rsidRDefault="00185785" w14:paraId="28622E7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599D8DAE"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0C512F1F"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85785" w:rsidP="00185785" w:rsidRDefault="00981894" w14:paraId="218962C0"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226</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85785" w:rsidP="00185785" w:rsidRDefault="00185785" w14:paraId="2E9E12DA"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85785" w:rsidP="00185785" w:rsidRDefault="00981894" w14:paraId="01460A65" w14:textId="12F4B8C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$5,</w:t>
            </w:r>
            <w:r w:rsidR="00F3256C">
              <w:rPr>
                <w:rFonts w:ascii="Calibri" w:hAnsi="Calibri" w:cs="Calibri"/>
                <w:b/>
                <w:bCs/>
                <w:color w:val="000000"/>
                <w:sz w:val="16"/>
                <w:szCs w:val="16"/>
              </w:rPr>
              <w:t>4</w:t>
            </w:r>
            <w:r>
              <w:rPr>
                <w:rFonts w:ascii="Calibri" w:hAnsi="Calibri" w:cs="Calibri"/>
                <w:b/>
                <w:bCs/>
                <w:color w:val="000000"/>
                <w:sz w:val="16"/>
                <w:szCs w:val="16"/>
              </w:rPr>
              <w:t>35</w:t>
            </w:r>
          </w:p>
        </w:tc>
      </w:tr>
    </w:tbl>
    <w:p w:rsidR="006C1075" w:rsidRDefault="006C1075" w14:paraId="3E995AB9" w14:textId="77777777">
      <w:pPr>
        <w:widowControl/>
        <w:autoSpaceDE/>
        <w:autoSpaceDN/>
        <w:adjustRightInd/>
        <w:rPr>
          <w:b/>
          <w:bCs/>
          <w:sz w:val="24"/>
          <w:szCs w:val="24"/>
        </w:rPr>
      </w:pPr>
    </w:p>
    <w:p w:rsidR="0018405E" w:rsidRDefault="0018405E" w14:paraId="1C3A2DD2" w14:textId="77777777">
      <w:pPr>
        <w:widowControl/>
        <w:autoSpaceDE/>
        <w:autoSpaceDN/>
        <w:adjustRightInd/>
        <w:rPr>
          <w:b/>
          <w:bCs/>
          <w:sz w:val="24"/>
          <w:szCs w:val="24"/>
        </w:rPr>
      </w:pPr>
      <w:r>
        <w:rPr>
          <w:b/>
          <w:bCs/>
          <w:sz w:val="24"/>
          <w:szCs w:val="24"/>
        </w:rPr>
        <w:br w:type="page"/>
      </w:r>
    </w:p>
    <w:p w:rsidRPr="0020250C" w:rsidR="0020250C" w:rsidP="0020250C" w:rsidRDefault="00493868" w14:paraId="3AFBC077" w14:textId="77777777">
      <w:pPr>
        <w:tabs>
          <w:tab w:val="left" w:pos="360"/>
        </w:tabs>
        <w:adjustRightInd/>
        <w:spacing w:before="80"/>
        <w:ind w:left="131"/>
        <w:rPr>
          <w:b/>
          <w:sz w:val="24"/>
          <w:szCs w:val="24"/>
        </w:rPr>
      </w:pPr>
      <w:r w:rsidRPr="0020250C">
        <w:rPr>
          <w:b/>
          <w:bCs/>
          <w:sz w:val="24"/>
          <w:szCs w:val="24"/>
        </w:rPr>
        <w:lastRenderedPageBreak/>
        <w:t>14.</w:t>
      </w:r>
      <w:r w:rsidRPr="0020250C">
        <w:rPr>
          <w:b/>
          <w:bCs/>
          <w:sz w:val="24"/>
          <w:szCs w:val="24"/>
        </w:rPr>
        <w:tab/>
      </w:r>
      <w:r w:rsidRPr="0020250C" w:rsidR="0020250C">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604FD" w:rsidP="0020250C" w:rsidRDefault="007604FD" w14:paraId="3B3E6531" w14:textId="07901CC6">
      <w:pPr>
        <w:tabs>
          <w:tab w:val="left" w:pos="540"/>
        </w:tabs>
        <w:rPr>
          <w:sz w:val="24"/>
          <w:szCs w:val="24"/>
        </w:rPr>
      </w:pPr>
    </w:p>
    <w:p w:rsidR="0018405E" w:rsidP="0018405E" w:rsidRDefault="007604FD" w14:paraId="63BCD60D" w14:textId="77777777">
      <w:pPr>
        <w:tabs>
          <w:tab w:val="left" w:pos="540"/>
        </w:tabs>
        <w:ind w:left="540"/>
        <w:rPr>
          <w:sz w:val="24"/>
          <w:szCs w:val="24"/>
        </w:rPr>
      </w:pPr>
      <w:r w:rsidRPr="007604FD">
        <w:rPr>
          <w:sz w:val="24"/>
          <w:szCs w:val="24"/>
        </w:rPr>
        <w:t>The estimated annual cost to the Federal government to administer this collection of information</w:t>
      </w:r>
      <w:r w:rsidRPr="007604FD">
        <w:rPr>
          <w:color w:val="FF0000"/>
          <w:sz w:val="24"/>
          <w:szCs w:val="24"/>
        </w:rPr>
        <w:t xml:space="preserve"> </w:t>
      </w:r>
      <w:r w:rsidR="00F52105">
        <w:rPr>
          <w:color w:val="000000"/>
          <w:sz w:val="24"/>
          <w:szCs w:val="24"/>
        </w:rPr>
        <w:t>is up to $3,838</w:t>
      </w:r>
      <w:r w:rsidRPr="007604FD">
        <w:rPr>
          <w:color w:val="000000"/>
          <w:sz w:val="24"/>
          <w:szCs w:val="24"/>
        </w:rPr>
        <w:t xml:space="preserve"> per</w:t>
      </w:r>
      <w:r w:rsidR="0018405E">
        <w:rPr>
          <w:color w:val="000000"/>
          <w:sz w:val="24"/>
          <w:szCs w:val="24"/>
        </w:rPr>
        <w:t xml:space="preserve"> year.</w:t>
      </w:r>
      <w:r w:rsidR="00F52105">
        <w:rPr>
          <w:color w:val="000000"/>
          <w:sz w:val="24"/>
          <w:szCs w:val="24"/>
        </w:rPr>
        <w:t xml:space="preserve"> Information from the</w:t>
      </w:r>
      <w:r w:rsidR="00F52105">
        <w:rPr>
          <w:sz w:val="24"/>
          <w:szCs w:val="24"/>
        </w:rPr>
        <w:t xml:space="preserve"> </w:t>
      </w:r>
      <w:r w:rsidR="0018405E">
        <w:rPr>
          <w:sz w:val="24"/>
          <w:szCs w:val="24"/>
        </w:rPr>
        <w:t>FY</w:t>
      </w:r>
      <w:r w:rsidR="00486938">
        <w:rPr>
          <w:sz w:val="24"/>
          <w:szCs w:val="24"/>
        </w:rPr>
        <w:t>20</w:t>
      </w:r>
      <w:r w:rsidR="0018405E">
        <w:rPr>
          <w:sz w:val="24"/>
          <w:szCs w:val="24"/>
        </w:rPr>
        <w:t xml:space="preserve"> PPS Standard Pay Tables </w:t>
      </w:r>
      <w:r w:rsidR="00F52105">
        <w:rPr>
          <w:sz w:val="24"/>
          <w:szCs w:val="24"/>
        </w:rPr>
        <w:t>and from contractor were used for salary information.</w:t>
      </w:r>
    </w:p>
    <w:p w:rsidR="0018405E" w:rsidP="0018405E" w:rsidRDefault="0018405E" w14:paraId="5E6C94FA" w14:textId="77777777">
      <w:pPr>
        <w:tabs>
          <w:tab w:val="left" w:pos="540"/>
        </w:tabs>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18405E" w:rsidTr="00F52105" w14:paraId="311CDF88"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18405E" w:rsidP="00F52105" w:rsidRDefault="0018405E" w14:paraId="069C1603"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18405E" w:rsidP="00F52105" w:rsidRDefault="0018405E" w14:paraId="2D0526B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18405E" w:rsidP="00F52105" w:rsidRDefault="0018405E" w14:paraId="39ABFC99"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18405E" w:rsidP="00F52105" w:rsidRDefault="0018405E" w14:paraId="16064E8E"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18405E" w:rsidP="00F52105" w:rsidRDefault="0018405E" w14:paraId="0B005051"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18405E" w:rsidP="00F52105" w:rsidRDefault="0018405E" w14:paraId="2615E5C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18405E" w:rsidTr="00F52105" w14:paraId="2E816CBC"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18405E" w:rsidP="00F52105" w:rsidRDefault="0018405E" w14:paraId="3BB82EE3"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bottom"/>
            <w:hideMark/>
          </w:tcPr>
          <w:p w:rsidRPr="00F37052" w:rsidR="0018405E" w:rsidP="00F52105" w:rsidRDefault="0018405E" w14:paraId="23EB831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Pr>
                <w:rFonts w:ascii="Calibri" w:hAnsi="Calibri" w:cs="Calibri"/>
                <w:color w:val="000000"/>
                <w:sz w:val="16"/>
                <w:szCs w:val="16"/>
              </w:rPr>
              <w:t> </w:t>
            </w:r>
          </w:p>
        </w:tc>
        <w:tc>
          <w:tcPr>
            <w:tcW w:w="1530" w:type="dxa"/>
            <w:tcBorders>
              <w:top w:val="single" w:color="auto" w:sz="4" w:space="0"/>
              <w:left w:val="nil"/>
              <w:bottom w:val="single" w:color="auto" w:sz="4" w:space="0"/>
              <w:right w:val="single" w:color="auto" w:sz="4" w:space="0"/>
            </w:tcBorders>
            <w:shd w:val="clear" w:color="auto" w:fill="auto"/>
            <w:noWrap/>
            <w:vAlign w:val="bottom"/>
            <w:hideMark/>
          </w:tcPr>
          <w:p w:rsidRPr="00F37052" w:rsidR="0018405E" w:rsidP="00F52105" w:rsidRDefault="0018405E" w14:paraId="1D1023C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86938">
              <w:rPr>
                <w:rFonts w:ascii="Calibri" w:hAnsi="Calibri" w:cs="Calibri"/>
                <w:color w:val="000000"/>
                <w:sz w:val="16"/>
                <w:szCs w:val="16"/>
              </w:rPr>
              <w:t>88,519</w:t>
            </w:r>
          </w:p>
        </w:tc>
        <w:tc>
          <w:tcPr>
            <w:tcW w:w="1080" w:type="dxa"/>
            <w:tcBorders>
              <w:top w:val="single" w:color="auto" w:sz="4" w:space="0"/>
              <w:left w:val="nil"/>
              <w:bottom w:val="single" w:color="auto" w:sz="4" w:space="0"/>
              <w:right w:val="single" w:color="auto" w:sz="4" w:space="0"/>
            </w:tcBorders>
            <w:shd w:val="clear" w:color="auto" w:fill="auto"/>
            <w:noWrap/>
            <w:vAlign w:val="bottom"/>
            <w:hideMark/>
          </w:tcPr>
          <w:p w:rsidRPr="00F37052" w:rsidR="0018405E" w:rsidP="00F52105" w:rsidRDefault="0018405E" w14:paraId="0F38714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r w:rsidR="00E339C7">
              <w:rPr>
                <w:rFonts w:ascii="Calibri" w:hAnsi="Calibri" w:cs="Calibri"/>
                <w:color w:val="000000"/>
                <w:sz w:val="16"/>
                <w:szCs w:val="16"/>
              </w:rPr>
              <w:t>.5</w:t>
            </w:r>
            <w:r w:rsidRPr="00F37052">
              <w:rPr>
                <w:rFonts w:ascii="Calibri" w:hAnsi="Calibri" w:cs="Calibri"/>
                <w:color w:val="000000"/>
                <w:sz w:val="16"/>
                <w:szCs w:val="16"/>
              </w:rPr>
              <w:t> </w:t>
            </w:r>
          </w:p>
        </w:tc>
        <w:tc>
          <w:tcPr>
            <w:tcW w:w="1800"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18405E" w:rsidP="00F52105" w:rsidRDefault="0018405E" w14:paraId="035E027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bottom"/>
            <w:hideMark/>
          </w:tcPr>
          <w:p w:rsidRPr="00F37052" w:rsidR="0018405E" w:rsidP="00E339C7" w:rsidRDefault="0018405E" w14:paraId="4892458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486938">
              <w:rPr>
                <w:rFonts w:ascii="Calibri" w:hAnsi="Calibri" w:cs="Calibri"/>
                <w:color w:val="000000"/>
                <w:sz w:val="16"/>
                <w:szCs w:val="16"/>
              </w:rPr>
              <w:t>2,213</w:t>
            </w:r>
          </w:p>
        </w:tc>
      </w:tr>
      <w:tr w:rsidRPr="00F37052" w:rsidR="0018405E" w:rsidTr="00F52105" w14:paraId="72FFE9F4"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3635405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Other Positions</w:t>
            </w: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33F20D7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67FC63F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5894596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4E37316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366F9DA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175B809C"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5EBF311F"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67CC594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258A3C5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433A4C0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2E842BC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1F90F6D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4049D115"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2C61B1F8"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3AF5540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70A48D3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73C9810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146860B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0353C8C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1A2A3B56"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bottom"/>
            <w:hideMark/>
          </w:tcPr>
          <w:p w:rsidRPr="00F37052" w:rsidR="0018405E" w:rsidP="00F52105" w:rsidRDefault="0018405E" w14:paraId="6AE6F03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389A59C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F52105" w14:paraId="1473F60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$65,000</w:t>
            </w:r>
            <w:r w:rsidRPr="00F37052" w:rsidR="0018405E">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F52105" w14:paraId="3FB1206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F52105" w14:paraId="09344D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18405E">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F52105" w14:paraId="3684A7E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$1,625</w:t>
            </w:r>
            <w:r w:rsidRPr="00F37052" w:rsidR="0018405E">
              <w:rPr>
                <w:rFonts w:ascii="Calibri" w:hAnsi="Calibri" w:cs="Calibri"/>
                <w:color w:val="000000"/>
                <w:sz w:val="16"/>
                <w:szCs w:val="16"/>
              </w:rPr>
              <w:t> </w:t>
            </w:r>
          </w:p>
        </w:tc>
      </w:tr>
      <w:tr w:rsidRPr="00F37052" w:rsidR="0018405E" w:rsidTr="00F52105" w14:paraId="1F34741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613313BA"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7F88BD5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3BD43BE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580AAE1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2CC653E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4F8E3FD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3FB33DC4"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3A56BE1F"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2CC8795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21E3BC6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38C04F7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bottom"/>
            <w:hideMark/>
          </w:tcPr>
          <w:p w:rsidRPr="00F37052" w:rsidR="0018405E" w:rsidP="00F52105" w:rsidRDefault="0018405E" w14:paraId="44B4F54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6D3259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4B9BC53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5A554F9C"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15DBF17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31CBE56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762CABE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2ACCD1E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F52105" w14:paraId="0E9D824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sidR="0018405E">
              <w:rPr>
                <w:rFonts w:ascii="Calibri" w:hAnsi="Calibri" w:cs="Calibri"/>
                <w:color w:val="000000"/>
                <w:sz w:val="16"/>
                <w:szCs w:val="16"/>
              </w:rPr>
              <w:t> </w:t>
            </w:r>
          </w:p>
        </w:tc>
      </w:tr>
      <w:tr w:rsidRPr="00F37052" w:rsidR="0018405E" w:rsidTr="00F52105" w14:paraId="70767EC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bottom"/>
            <w:hideMark/>
          </w:tcPr>
          <w:p w:rsidRPr="00F37052" w:rsidR="0018405E" w:rsidP="00F52105" w:rsidRDefault="0018405E" w14:paraId="31E8DC1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4D51334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3F29167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264FAD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bottom"/>
            <w:hideMark/>
          </w:tcPr>
          <w:p w:rsidRPr="00F37052" w:rsidR="0018405E" w:rsidP="00F52105" w:rsidRDefault="0018405E" w14:paraId="59C93C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bottom"/>
            <w:hideMark/>
          </w:tcPr>
          <w:p w:rsidRPr="00F37052" w:rsidR="0018405E" w:rsidP="00F52105" w:rsidRDefault="0018405E" w14:paraId="1811730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r w:rsidR="00F52105">
              <w:rPr>
                <w:rFonts w:ascii="Calibri" w:hAnsi="Calibri" w:cs="Calibri"/>
                <w:color w:val="000000"/>
                <w:sz w:val="16"/>
                <w:szCs w:val="16"/>
              </w:rPr>
              <w:t>0</w:t>
            </w:r>
          </w:p>
        </w:tc>
      </w:tr>
      <w:tr w:rsidRPr="00F37052" w:rsidR="0018405E" w:rsidTr="00F52105" w14:paraId="36177E5A" w14:textId="77777777">
        <w:trPr>
          <w:trHeight w:val="315"/>
        </w:trPr>
        <w:tc>
          <w:tcPr>
            <w:tcW w:w="1970" w:type="dxa"/>
            <w:tcBorders>
              <w:top w:val="nil"/>
              <w:left w:val="single" w:color="auto" w:sz="8" w:space="0"/>
              <w:bottom w:val="nil"/>
              <w:right w:val="single" w:color="auto" w:sz="8" w:space="0"/>
            </w:tcBorders>
            <w:shd w:val="clear" w:color="auto" w:fill="auto"/>
            <w:noWrap/>
            <w:vAlign w:val="bottom"/>
            <w:hideMark/>
          </w:tcPr>
          <w:p w:rsidRPr="00F37052" w:rsidR="0018405E" w:rsidP="00F52105" w:rsidRDefault="0018405E" w14:paraId="0CEA6AB8"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bottom"/>
            <w:hideMark/>
          </w:tcPr>
          <w:p w:rsidRPr="00F37052" w:rsidR="0018405E" w:rsidP="00F52105" w:rsidRDefault="0018405E" w14:paraId="180CC0D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bottom"/>
            <w:hideMark/>
          </w:tcPr>
          <w:p w:rsidRPr="00F37052" w:rsidR="0018405E" w:rsidP="00F52105" w:rsidRDefault="0018405E" w14:paraId="3C4E506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bottom"/>
            <w:hideMark/>
          </w:tcPr>
          <w:p w:rsidRPr="00F37052" w:rsidR="0018405E" w:rsidP="00F52105" w:rsidRDefault="0018405E" w14:paraId="236F023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bottom"/>
            <w:hideMark/>
          </w:tcPr>
          <w:p w:rsidRPr="00F37052" w:rsidR="0018405E" w:rsidP="00F52105" w:rsidRDefault="0018405E" w14:paraId="74B3E0E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bottom"/>
            <w:hideMark/>
          </w:tcPr>
          <w:p w:rsidRPr="00F37052" w:rsidR="0018405E" w:rsidP="00F52105" w:rsidRDefault="0018405E" w14:paraId="33C8B6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18405E" w:rsidTr="00F52105" w14:paraId="203638B2"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18405E" w:rsidP="00F52105" w:rsidRDefault="0018405E" w14:paraId="3E5708A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18405E" w:rsidP="00F52105" w:rsidRDefault="0018405E" w14:paraId="2BF4C7B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8405E" w:rsidP="00F52105" w:rsidRDefault="00F52105" w14:paraId="689E7C6A"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$153,519</w:t>
            </w:r>
            <w:r w:rsidRPr="00F37052" w:rsidR="0018405E">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18405E" w:rsidP="00F52105" w:rsidRDefault="0018405E" w14:paraId="2317CC8B"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8405E" w:rsidP="00F52105" w:rsidRDefault="0018405E" w14:paraId="630EC8C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8405E" w:rsidP="00F52105" w:rsidRDefault="00F52105" w14:paraId="4938B9A1"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$3,838</w:t>
            </w:r>
          </w:p>
        </w:tc>
      </w:tr>
    </w:tbl>
    <w:p w:rsidR="0018405E" w:rsidP="0018405E" w:rsidRDefault="0018405E" w14:paraId="5B29CB05" w14:textId="77777777">
      <w:pPr>
        <w:tabs>
          <w:tab w:val="left" w:pos="540"/>
        </w:tabs>
        <w:ind w:left="540"/>
        <w:rPr>
          <w:sz w:val="24"/>
          <w:szCs w:val="24"/>
        </w:rPr>
        <w:sectPr w:rsidR="0018405E" w:rsidSect="00CA2B37">
          <w:footnotePr>
            <w:numRestart w:val="eachSect"/>
          </w:footnotePr>
          <w:endnotePr>
            <w:numFmt w:val="decimal"/>
          </w:endnotePr>
          <w:pgSz w:w="12240" w:h="15840"/>
          <w:pgMar w:top="1440" w:right="1440" w:bottom="1440" w:left="1440" w:header="720" w:footer="720" w:gutter="0"/>
          <w:cols w:space="720"/>
        </w:sectPr>
      </w:pPr>
    </w:p>
    <w:p w:rsidR="004F26E9" w:rsidP="00493868" w:rsidRDefault="004F26E9" w14:paraId="6D5E6E28" w14:textId="77777777">
      <w:pPr>
        <w:tabs>
          <w:tab w:val="left" w:pos="540"/>
        </w:tabs>
        <w:ind w:left="540"/>
        <w:rPr>
          <w:sz w:val="24"/>
          <w:szCs w:val="24"/>
        </w:rPr>
      </w:pPr>
    </w:p>
    <w:p w:rsidR="004F26E9" w:rsidP="00493868" w:rsidRDefault="004F26E9" w14:paraId="5AB4F196" w14:textId="77777777">
      <w:pPr>
        <w:tabs>
          <w:tab w:val="left" w:pos="540"/>
        </w:tabs>
        <w:ind w:left="540"/>
        <w:rPr>
          <w:sz w:val="24"/>
          <w:szCs w:val="24"/>
        </w:rPr>
      </w:pPr>
    </w:p>
    <w:p w:rsidR="004F26E9" w:rsidP="00493868" w:rsidRDefault="004F26E9" w14:paraId="6AA4E779" w14:textId="77777777">
      <w:pPr>
        <w:tabs>
          <w:tab w:val="left" w:pos="540"/>
        </w:tabs>
        <w:ind w:left="540"/>
        <w:rPr>
          <w:sz w:val="24"/>
          <w:szCs w:val="24"/>
        </w:rPr>
      </w:pPr>
    </w:p>
    <w:p w:rsidR="004F26E9" w:rsidP="00493868" w:rsidRDefault="00493868" w14:paraId="535100F2" w14:textId="340DF95D">
      <w:pPr>
        <w:tabs>
          <w:tab w:val="left" w:pos="540"/>
        </w:tabs>
        <w:ind w:left="540" w:hanging="540"/>
        <w:rPr>
          <w:sz w:val="24"/>
          <w:szCs w:val="24"/>
        </w:rPr>
      </w:pPr>
      <w:r>
        <w:rPr>
          <w:b/>
          <w:bCs/>
          <w:sz w:val="24"/>
          <w:szCs w:val="24"/>
        </w:rPr>
        <w:t>15.</w:t>
      </w:r>
      <w:r>
        <w:rPr>
          <w:b/>
          <w:bCs/>
          <w:sz w:val="24"/>
          <w:szCs w:val="24"/>
        </w:rPr>
        <w:tab/>
      </w:r>
      <w:r w:rsidRPr="000A0540" w:rsidR="004F26E9">
        <w:rPr>
          <w:b/>
          <w:bCs/>
          <w:sz w:val="24"/>
          <w:szCs w:val="24"/>
        </w:rPr>
        <w:t>Explain the reasons for any program changes or adjustments</w:t>
      </w:r>
      <w:r w:rsidR="0020250C">
        <w:rPr>
          <w:b/>
          <w:bCs/>
          <w:sz w:val="24"/>
          <w:szCs w:val="24"/>
        </w:rPr>
        <w:t xml:space="preserve"> reported in ROCIS</w:t>
      </w:r>
      <w:r w:rsidRPr="000A0540" w:rsidR="004F26E9">
        <w:rPr>
          <w:b/>
          <w:bCs/>
          <w:sz w:val="24"/>
          <w:szCs w:val="24"/>
        </w:rPr>
        <w:t>.</w:t>
      </w:r>
    </w:p>
    <w:p w:rsidR="00A110F0" w:rsidP="00732713" w:rsidRDefault="00A110F0" w14:paraId="659E24A5" w14:textId="77777777">
      <w:pPr>
        <w:rPr>
          <w:sz w:val="24"/>
          <w:szCs w:val="24"/>
        </w:rPr>
      </w:pPr>
    </w:p>
    <w:p w:rsidRPr="00732713" w:rsidR="00732713" w:rsidP="00732713" w:rsidRDefault="00732713" w14:paraId="7EF0BAE2"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4F26E9" w:rsidP="00493868" w:rsidRDefault="004F26E9" w14:paraId="743E7459" w14:textId="77777777">
      <w:pPr>
        <w:tabs>
          <w:tab w:val="left" w:pos="540"/>
        </w:tabs>
        <w:ind w:left="540"/>
        <w:rPr>
          <w:sz w:val="24"/>
          <w:szCs w:val="24"/>
        </w:rPr>
      </w:pPr>
    </w:p>
    <w:tbl>
      <w:tblPr>
        <w:tblW w:w="9539"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65"/>
        <w:gridCol w:w="763"/>
        <w:gridCol w:w="756"/>
        <w:gridCol w:w="714"/>
        <w:gridCol w:w="805"/>
        <w:gridCol w:w="804"/>
        <w:gridCol w:w="805"/>
        <w:gridCol w:w="3127"/>
      </w:tblGrid>
      <w:tr w:rsidRPr="00A110F0" w:rsidR="00732713" w:rsidTr="00FB7870" w14:paraId="071902A2" w14:textId="77777777">
        <w:trPr>
          <w:trHeight w:val="226"/>
        </w:trPr>
        <w:tc>
          <w:tcPr>
            <w:tcW w:w="1765" w:type="dxa"/>
            <w:vMerge w:val="restart"/>
            <w:shd w:val="clear" w:color="auto" w:fill="5B9BD5" w:themeFill="accent1"/>
            <w:vAlign w:val="center"/>
          </w:tcPr>
          <w:p w:rsidRPr="00A110F0" w:rsidR="00732713" w:rsidP="00FD3D2A" w:rsidRDefault="00A110F0" w14:paraId="1B026B1A"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519" w:type="dxa"/>
            <w:gridSpan w:val="2"/>
            <w:tcBorders>
              <w:bottom w:val="single" w:color="auto" w:sz="4" w:space="0"/>
            </w:tcBorders>
            <w:shd w:val="clear" w:color="auto" w:fill="5B9BD5" w:themeFill="accent1"/>
            <w:vAlign w:val="center"/>
          </w:tcPr>
          <w:p w:rsidRPr="00A110F0" w:rsidR="00732713" w:rsidP="00FD3D2A" w:rsidRDefault="00732713" w14:paraId="46D3862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1519" w:type="dxa"/>
            <w:gridSpan w:val="2"/>
            <w:tcBorders>
              <w:bottom w:val="single" w:color="auto" w:sz="4" w:space="0"/>
            </w:tcBorders>
            <w:shd w:val="clear" w:color="auto" w:fill="5B9BD5" w:themeFill="accent1"/>
            <w:vAlign w:val="center"/>
          </w:tcPr>
          <w:p w:rsidRPr="00A110F0" w:rsidR="00732713" w:rsidP="00FD3D2A" w:rsidRDefault="00732713" w14:paraId="3BCE91D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1609" w:type="dxa"/>
            <w:gridSpan w:val="2"/>
            <w:tcBorders>
              <w:bottom w:val="single" w:color="auto" w:sz="4" w:space="0"/>
            </w:tcBorders>
            <w:shd w:val="clear" w:color="auto" w:fill="5B9BD5" w:themeFill="accent1"/>
            <w:vAlign w:val="center"/>
          </w:tcPr>
          <w:p w:rsidRPr="00A110F0" w:rsidR="00732713" w:rsidP="00FD3D2A" w:rsidRDefault="00732713" w14:paraId="7EBD8865"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3127" w:type="dxa"/>
            <w:vMerge w:val="restart"/>
            <w:shd w:val="clear" w:color="auto" w:fill="5B9BD5" w:themeFill="accent1"/>
            <w:vAlign w:val="center"/>
          </w:tcPr>
          <w:p w:rsidRPr="00A110F0" w:rsidR="00732713" w:rsidP="00FD3D2A" w:rsidRDefault="00732713" w14:paraId="482679B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390AED" w14:paraId="6C0A9C4E" w14:textId="77777777">
        <w:trPr>
          <w:trHeight w:val="667"/>
        </w:trPr>
        <w:tc>
          <w:tcPr>
            <w:tcW w:w="1765" w:type="dxa"/>
            <w:vMerge/>
            <w:shd w:val="clear" w:color="auto" w:fill="5B9BD5" w:themeFill="accent1"/>
            <w:vAlign w:val="center"/>
          </w:tcPr>
          <w:p w:rsidRPr="00A110F0" w:rsidR="00732713" w:rsidP="00FD3D2A" w:rsidRDefault="00732713" w14:paraId="6586B274" w14:textId="77777777">
            <w:pPr>
              <w:keepNext/>
              <w:rPr>
                <w:rFonts w:eastAsia="Calibri" w:asciiTheme="minorHAnsi" w:hAnsiTheme="minorHAnsi"/>
                <w:sz w:val="16"/>
                <w:szCs w:val="16"/>
              </w:rPr>
            </w:pPr>
          </w:p>
        </w:tc>
        <w:tc>
          <w:tcPr>
            <w:tcW w:w="763" w:type="dxa"/>
            <w:tcBorders>
              <w:bottom w:val="single" w:color="auto" w:sz="4" w:space="0"/>
              <w:right w:val="dashed" w:color="auto" w:sz="4" w:space="0"/>
            </w:tcBorders>
            <w:shd w:val="clear" w:color="auto" w:fill="FBE4D5"/>
            <w:vAlign w:val="center"/>
          </w:tcPr>
          <w:p w:rsidRPr="00A110F0" w:rsidR="00732713" w:rsidP="00FD3D2A" w:rsidRDefault="00732713" w14:paraId="7B78EF6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756" w:type="dxa"/>
            <w:tcBorders>
              <w:left w:val="dashed" w:color="auto" w:sz="4" w:space="0"/>
              <w:bottom w:val="single" w:color="auto" w:sz="4" w:space="0"/>
            </w:tcBorders>
            <w:shd w:val="clear" w:color="auto" w:fill="FBE4D5"/>
            <w:vAlign w:val="center"/>
          </w:tcPr>
          <w:p w:rsidRPr="00A110F0" w:rsidR="00732713" w:rsidP="00FD3D2A" w:rsidRDefault="00732713" w14:paraId="6985CF8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714" w:type="dxa"/>
            <w:tcBorders>
              <w:right w:val="dashed" w:color="auto" w:sz="4" w:space="0"/>
            </w:tcBorders>
            <w:shd w:val="clear" w:color="auto" w:fill="FBE4D5"/>
            <w:vAlign w:val="center"/>
          </w:tcPr>
          <w:p w:rsidRPr="00A110F0" w:rsidR="00732713" w:rsidP="00A110F0" w:rsidRDefault="00732713" w14:paraId="4D788C2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805" w:type="dxa"/>
            <w:tcBorders>
              <w:left w:val="dashed" w:color="auto" w:sz="4" w:space="0"/>
            </w:tcBorders>
            <w:shd w:val="clear" w:color="auto" w:fill="FBE4D5"/>
            <w:vAlign w:val="center"/>
          </w:tcPr>
          <w:p w:rsidRPr="00A110F0" w:rsidR="00732713" w:rsidP="00FD3D2A" w:rsidRDefault="00732713" w14:paraId="24A64B0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804" w:type="dxa"/>
            <w:tcBorders>
              <w:bottom w:val="single" w:color="auto" w:sz="4" w:space="0"/>
              <w:right w:val="dashed" w:color="auto" w:sz="4" w:space="0"/>
            </w:tcBorders>
            <w:shd w:val="clear" w:color="auto" w:fill="FBE4D5"/>
            <w:vAlign w:val="center"/>
          </w:tcPr>
          <w:p w:rsidRPr="00A110F0" w:rsidR="00732713" w:rsidP="00FD3D2A" w:rsidRDefault="00732713" w14:paraId="1A9A0E1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805" w:type="dxa"/>
            <w:tcBorders>
              <w:left w:val="dashed" w:color="auto" w:sz="4" w:space="0"/>
            </w:tcBorders>
            <w:shd w:val="clear" w:color="auto" w:fill="FBE4D5"/>
            <w:vAlign w:val="center"/>
          </w:tcPr>
          <w:p w:rsidRPr="00A110F0" w:rsidR="00732713" w:rsidP="00FD3D2A" w:rsidRDefault="00732713" w14:paraId="231C209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3127" w:type="dxa"/>
            <w:vMerge/>
            <w:shd w:val="clear" w:color="auto" w:fill="FBE4D5"/>
            <w:vAlign w:val="center"/>
          </w:tcPr>
          <w:p w:rsidRPr="00A110F0" w:rsidR="00732713" w:rsidP="00FD3D2A" w:rsidRDefault="00732713" w14:paraId="091B0139" w14:textId="77777777">
            <w:pPr>
              <w:keepNext/>
              <w:rPr>
                <w:rFonts w:eastAsia="Calibri" w:asciiTheme="minorHAnsi" w:hAnsiTheme="minorHAnsi"/>
                <w:sz w:val="16"/>
                <w:szCs w:val="16"/>
              </w:rPr>
            </w:pPr>
          </w:p>
        </w:tc>
      </w:tr>
      <w:tr w:rsidRPr="00A110F0" w:rsidR="00732713" w:rsidTr="00390AED" w14:paraId="20BA6AD6" w14:textId="77777777">
        <w:trPr>
          <w:trHeight w:val="441"/>
        </w:trPr>
        <w:tc>
          <w:tcPr>
            <w:tcW w:w="1765" w:type="dxa"/>
            <w:shd w:val="clear" w:color="auto" w:fill="auto"/>
            <w:vAlign w:val="center"/>
          </w:tcPr>
          <w:p w:rsidRPr="00A110F0" w:rsidR="00732713" w:rsidP="00FD3D2A" w:rsidRDefault="002E23A0" w14:paraId="6E1B49CE" w14:textId="77777777">
            <w:pPr>
              <w:rPr>
                <w:rFonts w:asciiTheme="minorHAnsi" w:hAnsiTheme="minorHAnsi"/>
                <w:sz w:val="16"/>
                <w:szCs w:val="16"/>
              </w:rPr>
            </w:pPr>
            <w:r>
              <w:rPr>
                <w:rFonts w:asciiTheme="minorHAnsi" w:hAnsiTheme="minorHAnsi"/>
                <w:sz w:val="16"/>
                <w:szCs w:val="16"/>
              </w:rPr>
              <w:t>MHI non-comm. permit application</w:t>
            </w:r>
          </w:p>
        </w:tc>
        <w:tc>
          <w:tcPr>
            <w:tcW w:w="763" w:type="dxa"/>
            <w:tcBorders>
              <w:bottom w:val="dotted" w:color="auto" w:sz="4" w:space="0"/>
              <w:right w:val="dashed" w:color="auto" w:sz="4" w:space="0"/>
            </w:tcBorders>
            <w:shd w:val="clear" w:color="auto" w:fill="auto"/>
            <w:vAlign w:val="center"/>
          </w:tcPr>
          <w:p w:rsidRPr="00A110F0" w:rsidR="00732713" w:rsidP="00FD3D2A" w:rsidRDefault="002E23A0" w14:paraId="27EB4C36" w14:textId="77777777">
            <w:pPr>
              <w:jc w:val="center"/>
              <w:rPr>
                <w:rFonts w:eastAsia="Calibri" w:asciiTheme="minorHAnsi" w:hAnsiTheme="minorHAnsi"/>
                <w:sz w:val="16"/>
                <w:szCs w:val="16"/>
              </w:rPr>
            </w:pPr>
            <w:r>
              <w:rPr>
                <w:rFonts w:eastAsia="Calibri" w:asciiTheme="minorHAnsi" w:hAnsiTheme="minorHAnsi"/>
                <w:sz w:val="16"/>
                <w:szCs w:val="16"/>
              </w:rPr>
              <w:t>100</w:t>
            </w:r>
          </w:p>
        </w:tc>
        <w:tc>
          <w:tcPr>
            <w:tcW w:w="756" w:type="dxa"/>
            <w:tcBorders>
              <w:left w:val="dashed" w:color="auto" w:sz="4" w:space="0"/>
              <w:bottom w:val="dotted" w:color="auto" w:sz="4" w:space="0"/>
            </w:tcBorders>
            <w:shd w:val="clear" w:color="auto" w:fill="auto"/>
            <w:vAlign w:val="center"/>
          </w:tcPr>
          <w:p w:rsidRPr="00A110F0" w:rsidR="00732713" w:rsidP="00FD3D2A" w:rsidRDefault="002E23A0" w14:paraId="08D78E82" w14:textId="77777777">
            <w:pPr>
              <w:keepNext/>
              <w:jc w:val="center"/>
              <w:rPr>
                <w:rFonts w:eastAsia="Calibri" w:asciiTheme="minorHAnsi" w:hAnsiTheme="minorHAnsi"/>
                <w:sz w:val="16"/>
                <w:szCs w:val="16"/>
              </w:rPr>
            </w:pPr>
            <w:r>
              <w:rPr>
                <w:rFonts w:eastAsia="Calibri" w:asciiTheme="minorHAnsi" w:hAnsiTheme="minorHAnsi"/>
                <w:sz w:val="16"/>
                <w:szCs w:val="16"/>
              </w:rPr>
              <w:t>100</w:t>
            </w:r>
          </w:p>
        </w:tc>
        <w:tc>
          <w:tcPr>
            <w:tcW w:w="714" w:type="dxa"/>
            <w:tcBorders>
              <w:bottom w:val="dotted" w:color="auto" w:sz="4" w:space="0"/>
              <w:right w:val="dashed" w:color="auto" w:sz="4" w:space="0"/>
            </w:tcBorders>
            <w:shd w:val="clear" w:color="auto" w:fill="auto"/>
            <w:vAlign w:val="center"/>
          </w:tcPr>
          <w:p w:rsidRPr="00A110F0" w:rsidR="00732713" w:rsidP="00FD3D2A" w:rsidRDefault="002E23A0" w14:paraId="5082D15D" w14:textId="77777777">
            <w:pPr>
              <w:jc w:val="center"/>
              <w:rPr>
                <w:rFonts w:eastAsia="Calibri" w:asciiTheme="minorHAnsi" w:hAnsiTheme="minorHAnsi"/>
                <w:sz w:val="16"/>
                <w:szCs w:val="16"/>
              </w:rPr>
            </w:pPr>
            <w:r>
              <w:rPr>
                <w:rFonts w:eastAsia="Calibri" w:asciiTheme="minorHAnsi" w:hAnsiTheme="minorHAnsi"/>
                <w:sz w:val="16"/>
                <w:szCs w:val="16"/>
              </w:rPr>
              <w:t>100</w:t>
            </w:r>
          </w:p>
        </w:tc>
        <w:tc>
          <w:tcPr>
            <w:tcW w:w="805" w:type="dxa"/>
            <w:tcBorders>
              <w:left w:val="dashed" w:color="auto" w:sz="4" w:space="0"/>
              <w:bottom w:val="dotted" w:color="auto" w:sz="4" w:space="0"/>
            </w:tcBorders>
            <w:shd w:val="clear" w:color="auto" w:fill="auto"/>
            <w:vAlign w:val="center"/>
          </w:tcPr>
          <w:p w:rsidRPr="00A110F0" w:rsidR="00732713" w:rsidP="00FD3D2A" w:rsidRDefault="002E23A0" w14:paraId="45A6C935" w14:textId="77777777">
            <w:pPr>
              <w:keepNext/>
              <w:jc w:val="center"/>
              <w:rPr>
                <w:rFonts w:eastAsia="Calibri" w:asciiTheme="minorHAnsi" w:hAnsiTheme="minorHAnsi"/>
                <w:sz w:val="16"/>
                <w:szCs w:val="16"/>
              </w:rPr>
            </w:pPr>
            <w:r>
              <w:rPr>
                <w:rFonts w:eastAsia="Calibri" w:asciiTheme="minorHAnsi" w:hAnsiTheme="minorHAnsi"/>
                <w:sz w:val="16"/>
                <w:szCs w:val="16"/>
              </w:rPr>
              <w:t>100</w:t>
            </w:r>
          </w:p>
        </w:tc>
        <w:tc>
          <w:tcPr>
            <w:tcW w:w="804" w:type="dxa"/>
            <w:tcBorders>
              <w:bottom w:val="dotted" w:color="auto" w:sz="4" w:space="0"/>
              <w:right w:val="dashed" w:color="auto" w:sz="4" w:space="0"/>
            </w:tcBorders>
            <w:shd w:val="clear" w:color="auto" w:fill="auto"/>
            <w:vAlign w:val="center"/>
          </w:tcPr>
          <w:p w:rsidRPr="00A110F0" w:rsidR="00732713" w:rsidP="00FD3D2A" w:rsidRDefault="002E23A0" w14:paraId="2A81C9BA" w14:textId="77777777">
            <w:pPr>
              <w:jc w:val="center"/>
              <w:rPr>
                <w:rFonts w:eastAsia="Calibri" w:asciiTheme="minorHAnsi" w:hAnsiTheme="minorHAnsi"/>
                <w:sz w:val="16"/>
                <w:szCs w:val="16"/>
              </w:rPr>
            </w:pPr>
            <w:r>
              <w:rPr>
                <w:rFonts w:eastAsia="Calibri" w:asciiTheme="minorHAnsi" w:hAnsiTheme="minorHAnsi"/>
                <w:sz w:val="16"/>
                <w:szCs w:val="16"/>
              </w:rPr>
              <w:t>25</w:t>
            </w:r>
          </w:p>
        </w:tc>
        <w:tc>
          <w:tcPr>
            <w:tcW w:w="805" w:type="dxa"/>
            <w:tcBorders>
              <w:left w:val="dashed" w:color="auto" w:sz="4" w:space="0"/>
              <w:bottom w:val="dotted" w:color="auto" w:sz="4" w:space="0"/>
            </w:tcBorders>
            <w:shd w:val="clear" w:color="auto" w:fill="auto"/>
            <w:vAlign w:val="center"/>
          </w:tcPr>
          <w:p w:rsidRPr="00A110F0" w:rsidR="00732713" w:rsidP="00FD3D2A" w:rsidRDefault="00981894" w14:paraId="5024A562" w14:textId="77777777">
            <w:pPr>
              <w:keepNext/>
              <w:jc w:val="center"/>
              <w:rPr>
                <w:rFonts w:eastAsia="Calibri" w:asciiTheme="minorHAnsi" w:hAnsiTheme="minorHAnsi"/>
                <w:sz w:val="16"/>
                <w:szCs w:val="16"/>
              </w:rPr>
            </w:pPr>
            <w:r>
              <w:rPr>
                <w:rFonts w:eastAsia="Calibri" w:asciiTheme="minorHAnsi" w:hAnsiTheme="minorHAnsi"/>
                <w:sz w:val="16"/>
                <w:szCs w:val="16"/>
              </w:rPr>
              <w:t>17</w:t>
            </w:r>
          </w:p>
        </w:tc>
        <w:tc>
          <w:tcPr>
            <w:tcW w:w="3127" w:type="dxa"/>
            <w:tcBorders>
              <w:left w:val="dotted" w:color="auto" w:sz="4" w:space="0"/>
              <w:bottom w:val="dotted" w:color="auto" w:sz="4" w:space="0"/>
            </w:tcBorders>
            <w:shd w:val="clear" w:color="auto" w:fill="auto"/>
            <w:vAlign w:val="center"/>
          </w:tcPr>
          <w:p w:rsidRPr="00A110F0" w:rsidR="00732713" w:rsidP="00FD3D2A" w:rsidRDefault="00981894" w14:paraId="28E97F03" w14:textId="77777777">
            <w:pPr>
              <w:rPr>
                <w:rFonts w:eastAsia="Calibri" w:asciiTheme="minorHAnsi" w:hAnsiTheme="minorHAnsi"/>
                <w:sz w:val="16"/>
                <w:szCs w:val="16"/>
              </w:rPr>
            </w:pPr>
            <w:r>
              <w:rPr>
                <w:rFonts w:eastAsia="Calibri" w:asciiTheme="minorHAnsi" w:hAnsiTheme="minorHAnsi"/>
                <w:sz w:val="16"/>
                <w:szCs w:val="16"/>
              </w:rPr>
              <w:t>Increased estimated burden for permit application</w:t>
            </w:r>
          </w:p>
        </w:tc>
      </w:tr>
      <w:tr w:rsidRPr="00A110F0" w:rsidR="00732713" w:rsidTr="00390AED" w14:paraId="14F3FB90" w14:textId="77777777">
        <w:trPr>
          <w:trHeight w:val="226"/>
        </w:trPr>
        <w:tc>
          <w:tcPr>
            <w:tcW w:w="1765" w:type="dxa"/>
            <w:shd w:val="clear" w:color="auto" w:fill="auto"/>
            <w:vAlign w:val="center"/>
          </w:tcPr>
          <w:p w:rsidRPr="00A110F0" w:rsidR="00732713" w:rsidP="00FD3D2A" w:rsidRDefault="004D2FDC" w14:paraId="2AA157EE" w14:textId="77777777">
            <w:pPr>
              <w:rPr>
                <w:rFonts w:asciiTheme="minorHAnsi" w:hAnsiTheme="minorHAnsi"/>
                <w:sz w:val="16"/>
                <w:szCs w:val="16"/>
              </w:rPr>
            </w:pPr>
            <w:r>
              <w:rPr>
                <w:rFonts w:asciiTheme="minorHAnsi" w:hAnsiTheme="minorHAnsi"/>
                <w:sz w:val="16"/>
                <w:szCs w:val="16"/>
              </w:rPr>
              <w:t>MHI non-comm. permit appeal</w:t>
            </w:r>
          </w:p>
        </w:tc>
        <w:tc>
          <w:tcPr>
            <w:tcW w:w="763" w:type="dxa"/>
            <w:tcBorders>
              <w:bottom w:val="dotted" w:color="auto" w:sz="4" w:space="0"/>
              <w:right w:val="dashed" w:color="auto" w:sz="4" w:space="0"/>
            </w:tcBorders>
            <w:shd w:val="clear" w:color="auto" w:fill="auto"/>
            <w:vAlign w:val="center"/>
          </w:tcPr>
          <w:p w:rsidRPr="00A110F0" w:rsidR="00732713" w:rsidP="00FD3D2A" w:rsidRDefault="004D2FDC" w14:paraId="0AB7042E" w14:textId="77777777">
            <w:pPr>
              <w:jc w:val="center"/>
              <w:rPr>
                <w:rFonts w:eastAsia="Calibri" w:asciiTheme="minorHAnsi" w:hAnsiTheme="minorHAnsi"/>
                <w:sz w:val="16"/>
                <w:szCs w:val="16"/>
              </w:rPr>
            </w:pPr>
            <w:r>
              <w:rPr>
                <w:rFonts w:eastAsia="Calibri" w:asciiTheme="minorHAnsi" w:hAnsiTheme="minorHAnsi"/>
                <w:sz w:val="16"/>
                <w:szCs w:val="16"/>
              </w:rPr>
              <w:t>1</w:t>
            </w:r>
          </w:p>
        </w:tc>
        <w:tc>
          <w:tcPr>
            <w:tcW w:w="756" w:type="dxa"/>
            <w:tcBorders>
              <w:left w:val="dashed" w:color="auto" w:sz="4" w:space="0"/>
              <w:bottom w:val="dotted" w:color="auto" w:sz="4" w:space="0"/>
            </w:tcBorders>
            <w:shd w:val="clear" w:color="auto" w:fill="auto"/>
            <w:vAlign w:val="center"/>
          </w:tcPr>
          <w:p w:rsidRPr="00A110F0" w:rsidR="00732713" w:rsidP="00FD3D2A" w:rsidRDefault="004D2FDC" w14:paraId="2A280D76"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714" w:type="dxa"/>
            <w:tcBorders>
              <w:bottom w:val="dotted" w:color="auto" w:sz="4" w:space="0"/>
              <w:right w:val="dashed" w:color="auto" w:sz="4" w:space="0"/>
            </w:tcBorders>
            <w:shd w:val="clear" w:color="auto" w:fill="auto"/>
            <w:vAlign w:val="center"/>
          </w:tcPr>
          <w:p w:rsidRPr="00A110F0" w:rsidR="00732713" w:rsidP="00FD3D2A" w:rsidRDefault="004D2FDC" w14:paraId="5D993CE9" w14:textId="77777777">
            <w:pPr>
              <w:jc w:val="center"/>
              <w:rPr>
                <w:rFonts w:asciiTheme="minorHAnsi" w:hAnsiTheme="minorHAnsi"/>
                <w:sz w:val="16"/>
                <w:szCs w:val="16"/>
              </w:rPr>
            </w:pPr>
            <w:r>
              <w:rPr>
                <w:rFonts w:asciiTheme="minorHAnsi" w:hAnsiTheme="minorHAnsi"/>
                <w:sz w:val="16"/>
                <w:szCs w:val="16"/>
              </w:rPr>
              <w:t>1</w:t>
            </w:r>
          </w:p>
        </w:tc>
        <w:tc>
          <w:tcPr>
            <w:tcW w:w="805" w:type="dxa"/>
            <w:tcBorders>
              <w:left w:val="dashed" w:color="auto" w:sz="4" w:space="0"/>
              <w:bottom w:val="dotted" w:color="auto" w:sz="4" w:space="0"/>
            </w:tcBorders>
            <w:shd w:val="clear" w:color="auto" w:fill="auto"/>
            <w:vAlign w:val="center"/>
          </w:tcPr>
          <w:p w:rsidRPr="00A110F0" w:rsidR="00732713" w:rsidP="00FD3D2A" w:rsidRDefault="004D2FDC" w14:paraId="5AC296B4" w14:textId="77777777">
            <w:pPr>
              <w:keepNext/>
              <w:jc w:val="center"/>
              <w:rPr>
                <w:rFonts w:eastAsia="Calibri" w:asciiTheme="minorHAnsi" w:hAnsiTheme="minorHAnsi"/>
                <w:sz w:val="16"/>
                <w:szCs w:val="16"/>
              </w:rPr>
            </w:pPr>
            <w:r>
              <w:rPr>
                <w:rFonts w:eastAsia="Calibri" w:asciiTheme="minorHAnsi" w:hAnsiTheme="minorHAnsi"/>
                <w:sz w:val="16"/>
                <w:szCs w:val="16"/>
              </w:rPr>
              <w:t>1</w:t>
            </w:r>
          </w:p>
        </w:tc>
        <w:tc>
          <w:tcPr>
            <w:tcW w:w="804" w:type="dxa"/>
            <w:tcBorders>
              <w:bottom w:val="dotted" w:color="auto" w:sz="4" w:space="0"/>
              <w:right w:val="dashed" w:color="auto" w:sz="4" w:space="0"/>
            </w:tcBorders>
            <w:shd w:val="clear" w:color="auto" w:fill="auto"/>
            <w:vAlign w:val="center"/>
          </w:tcPr>
          <w:p w:rsidRPr="00A110F0" w:rsidR="00732713" w:rsidP="00FD3D2A" w:rsidRDefault="004D2FDC" w14:paraId="761C4BFB" w14:textId="77777777">
            <w:pPr>
              <w:jc w:val="center"/>
              <w:rPr>
                <w:rFonts w:eastAsia="Calibri" w:asciiTheme="minorHAnsi" w:hAnsiTheme="minorHAnsi"/>
                <w:sz w:val="16"/>
                <w:szCs w:val="16"/>
              </w:rPr>
            </w:pPr>
            <w:r>
              <w:rPr>
                <w:rFonts w:eastAsia="Calibri" w:asciiTheme="minorHAnsi" w:hAnsiTheme="minorHAnsi"/>
                <w:sz w:val="16"/>
                <w:szCs w:val="16"/>
              </w:rPr>
              <w:t>2</w:t>
            </w:r>
          </w:p>
        </w:tc>
        <w:tc>
          <w:tcPr>
            <w:tcW w:w="805" w:type="dxa"/>
            <w:tcBorders>
              <w:left w:val="dashed" w:color="auto" w:sz="4" w:space="0"/>
              <w:bottom w:val="dotted" w:color="auto" w:sz="4" w:space="0"/>
            </w:tcBorders>
            <w:shd w:val="clear" w:color="auto" w:fill="auto"/>
            <w:vAlign w:val="center"/>
          </w:tcPr>
          <w:p w:rsidRPr="00A110F0" w:rsidR="00732713" w:rsidP="00FD3D2A" w:rsidRDefault="004D2FDC" w14:paraId="369BDF29" w14:textId="77777777">
            <w:pPr>
              <w:keepNext/>
              <w:jc w:val="center"/>
              <w:rPr>
                <w:rFonts w:eastAsia="Calibri" w:asciiTheme="minorHAnsi" w:hAnsiTheme="minorHAnsi"/>
                <w:sz w:val="16"/>
                <w:szCs w:val="16"/>
              </w:rPr>
            </w:pPr>
            <w:r>
              <w:rPr>
                <w:rFonts w:eastAsia="Calibri" w:asciiTheme="minorHAnsi" w:hAnsiTheme="minorHAnsi"/>
                <w:sz w:val="16"/>
                <w:szCs w:val="16"/>
              </w:rPr>
              <w:t>2</w:t>
            </w:r>
          </w:p>
        </w:tc>
        <w:tc>
          <w:tcPr>
            <w:tcW w:w="3127" w:type="dxa"/>
            <w:tcBorders>
              <w:left w:val="dotted" w:color="auto" w:sz="4" w:space="0"/>
              <w:bottom w:val="dotted" w:color="auto" w:sz="4" w:space="0"/>
            </w:tcBorders>
            <w:shd w:val="clear" w:color="auto" w:fill="auto"/>
            <w:vAlign w:val="center"/>
          </w:tcPr>
          <w:p w:rsidRPr="00A110F0" w:rsidR="00732713" w:rsidP="00FD3D2A" w:rsidRDefault="004D2FDC" w14:paraId="14CCEEDB" w14:textId="77777777">
            <w:pPr>
              <w:keepNext/>
              <w:rPr>
                <w:rFonts w:eastAsia="Calibri" w:asciiTheme="minorHAnsi" w:hAnsiTheme="minorHAnsi"/>
                <w:sz w:val="16"/>
                <w:szCs w:val="16"/>
              </w:rPr>
            </w:pPr>
            <w:r>
              <w:rPr>
                <w:rFonts w:eastAsia="Calibri" w:asciiTheme="minorHAnsi" w:hAnsiTheme="minorHAnsi"/>
                <w:sz w:val="16"/>
                <w:szCs w:val="16"/>
              </w:rPr>
              <w:t>No change.</w:t>
            </w:r>
          </w:p>
        </w:tc>
      </w:tr>
      <w:tr w:rsidRPr="00A110F0" w:rsidR="00981894" w:rsidTr="00FB7870" w14:paraId="5272D766" w14:textId="77777777">
        <w:trPr>
          <w:trHeight w:val="215"/>
        </w:trPr>
        <w:tc>
          <w:tcPr>
            <w:tcW w:w="1765" w:type="dxa"/>
            <w:shd w:val="clear" w:color="auto" w:fill="auto"/>
            <w:vAlign w:val="center"/>
          </w:tcPr>
          <w:p w:rsidRPr="00A110F0" w:rsidR="00981894" w:rsidP="00981894" w:rsidRDefault="00981894" w14:paraId="6F067909" w14:textId="77777777">
            <w:pPr>
              <w:rPr>
                <w:rFonts w:asciiTheme="minorHAnsi" w:hAnsiTheme="minorHAnsi"/>
                <w:sz w:val="16"/>
                <w:szCs w:val="16"/>
              </w:rPr>
            </w:pPr>
            <w:r>
              <w:rPr>
                <w:rFonts w:asciiTheme="minorHAnsi" w:hAnsiTheme="minorHAnsi"/>
                <w:sz w:val="16"/>
                <w:szCs w:val="16"/>
              </w:rPr>
              <w:t>MHI non-comm</w:t>
            </w:r>
            <w:r w:rsidR="00275474">
              <w:rPr>
                <w:rFonts w:asciiTheme="minorHAnsi" w:hAnsiTheme="minorHAnsi"/>
                <w:sz w:val="16"/>
                <w:szCs w:val="16"/>
              </w:rPr>
              <w:t>.</w:t>
            </w:r>
            <w:r>
              <w:rPr>
                <w:rFonts w:asciiTheme="minorHAnsi" w:hAnsiTheme="minorHAnsi"/>
                <w:sz w:val="16"/>
                <w:szCs w:val="16"/>
              </w:rPr>
              <w:t xml:space="preserve"> report</w:t>
            </w:r>
          </w:p>
        </w:tc>
        <w:tc>
          <w:tcPr>
            <w:tcW w:w="763" w:type="dxa"/>
            <w:tcBorders>
              <w:bottom w:val="dotted" w:color="auto" w:sz="4" w:space="0"/>
              <w:right w:val="dashed" w:color="auto" w:sz="4" w:space="0"/>
            </w:tcBorders>
            <w:shd w:val="clear" w:color="auto" w:fill="auto"/>
            <w:vAlign w:val="center"/>
          </w:tcPr>
          <w:p w:rsidRPr="00A110F0" w:rsidR="00981894" w:rsidP="00981894" w:rsidRDefault="00981894" w14:paraId="665E312C" w14:textId="77777777">
            <w:pPr>
              <w:jc w:val="center"/>
              <w:rPr>
                <w:rFonts w:eastAsia="Calibri" w:asciiTheme="minorHAnsi" w:hAnsiTheme="minorHAnsi"/>
                <w:sz w:val="16"/>
                <w:szCs w:val="16"/>
              </w:rPr>
            </w:pPr>
            <w:r>
              <w:rPr>
                <w:rFonts w:eastAsia="Calibri" w:asciiTheme="minorHAnsi" w:hAnsiTheme="minorHAnsi"/>
                <w:sz w:val="16"/>
                <w:szCs w:val="16"/>
              </w:rPr>
              <w:t>25</w:t>
            </w:r>
          </w:p>
        </w:tc>
        <w:tc>
          <w:tcPr>
            <w:tcW w:w="756" w:type="dxa"/>
            <w:tcBorders>
              <w:left w:val="dashed" w:color="auto" w:sz="4" w:space="0"/>
              <w:bottom w:val="dotted" w:color="auto" w:sz="4" w:space="0"/>
            </w:tcBorders>
            <w:shd w:val="clear" w:color="auto" w:fill="auto"/>
            <w:vAlign w:val="center"/>
          </w:tcPr>
          <w:p w:rsidRPr="00A110F0" w:rsidR="00981894" w:rsidP="00981894" w:rsidRDefault="00981894" w14:paraId="46915C32" w14:textId="77777777">
            <w:pPr>
              <w:keepNext/>
              <w:jc w:val="center"/>
              <w:rPr>
                <w:rFonts w:eastAsia="Calibri" w:asciiTheme="minorHAnsi" w:hAnsiTheme="minorHAnsi"/>
                <w:sz w:val="16"/>
                <w:szCs w:val="16"/>
              </w:rPr>
            </w:pPr>
            <w:r>
              <w:rPr>
                <w:rFonts w:eastAsia="Calibri" w:asciiTheme="minorHAnsi" w:hAnsiTheme="minorHAnsi"/>
                <w:sz w:val="16"/>
                <w:szCs w:val="16"/>
              </w:rPr>
              <w:t>50</w:t>
            </w:r>
          </w:p>
        </w:tc>
        <w:tc>
          <w:tcPr>
            <w:tcW w:w="714" w:type="dxa"/>
            <w:tcBorders>
              <w:bottom w:val="dotted" w:color="auto" w:sz="4" w:space="0"/>
              <w:right w:val="dashed" w:color="auto" w:sz="4" w:space="0"/>
            </w:tcBorders>
            <w:shd w:val="clear" w:color="auto" w:fill="auto"/>
            <w:vAlign w:val="center"/>
          </w:tcPr>
          <w:p w:rsidRPr="00A110F0" w:rsidR="00981894" w:rsidP="00981894" w:rsidRDefault="00981894" w14:paraId="518AC3A1" w14:textId="77777777">
            <w:pPr>
              <w:jc w:val="center"/>
              <w:rPr>
                <w:rFonts w:asciiTheme="minorHAnsi" w:hAnsiTheme="minorHAnsi"/>
                <w:sz w:val="16"/>
                <w:szCs w:val="16"/>
              </w:rPr>
            </w:pPr>
            <w:r>
              <w:rPr>
                <w:rFonts w:asciiTheme="minorHAnsi" w:hAnsiTheme="minorHAnsi"/>
                <w:sz w:val="16"/>
                <w:szCs w:val="16"/>
              </w:rPr>
              <w:t>125</w:t>
            </w:r>
          </w:p>
        </w:tc>
        <w:tc>
          <w:tcPr>
            <w:tcW w:w="804" w:type="dxa"/>
            <w:tcBorders>
              <w:left w:val="dashed" w:color="auto" w:sz="4" w:space="0"/>
              <w:bottom w:val="dotted" w:color="auto" w:sz="4" w:space="0"/>
            </w:tcBorders>
            <w:shd w:val="clear" w:color="auto" w:fill="auto"/>
            <w:vAlign w:val="center"/>
          </w:tcPr>
          <w:p w:rsidRPr="00A110F0" w:rsidR="00981894" w:rsidP="00981894" w:rsidRDefault="00981894" w14:paraId="537FCCAE" w14:textId="77777777">
            <w:pPr>
              <w:keepNext/>
              <w:jc w:val="center"/>
              <w:rPr>
                <w:rFonts w:eastAsia="Calibri" w:asciiTheme="minorHAnsi" w:hAnsiTheme="minorHAnsi"/>
                <w:sz w:val="16"/>
                <w:szCs w:val="16"/>
              </w:rPr>
            </w:pPr>
            <w:r>
              <w:rPr>
                <w:rFonts w:eastAsia="Calibri" w:asciiTheme="minorHAnsi" w:hAnsiTheme="minorHAnsi"/>
                <w:sz w:val="16"/>
                <w:szCs w:val="16"/>
              </w:rPr>
              <w:t>250</w:t>
            </w:r>
          </w:p>
        </w:tc>
        <w:tc>
          <w:tcPr>
            <w:tcW w:w="804" w:type="dxa"/>
            <w:tcBorders>
              <w:bottom w:val="dotted" w:color="auto" w:sz="4" w:space="0"/>
              <w:right w:val="dashed" w:color="auto" w:sz="4" w:space="0"/>
            </w:tcBorders>
            <w:shd w:val="clear" w:color="auto" w:fill="auto"/>
            <w:vAlign w:val="center"/>
          </w:tcPr>
          <w:p w:rsidRPr="00A110F0" w:rsidR="00981894" w:rsidP="00981894" w:rsidRDefault="00981894" w14:paraId="68DC1D34" w14:textId="78CB3072">
            <w:pPr>
              <w:jc w:val="center"/>
              <w:rPr>
                <w:rFonts w:eastAsia="Calibri" w:asciiTheme="minorHAnsi" w:hAnsiTheme="minorHAnsi"/>
                <w:sz w:val="16"/>
                <w:szCs w:val="16"/>
              </w:rPr>
            </w:pPr>
            <w:r>
              <w:rPr>
                <w:rFonts w:eastAsia="Calibri" w:asciiTheme="minorHAnsi" w:hAnsiTheme="minorHAnsi"/>
                <w:sz w:val="16"/>
                <w:szCs w:val="16"/>
              </w:rPr>
              <w:t>4</w:t>
            </w:r>
            <w:r w:rsidR="00390AED">
              <w:rPr>
                <w:rFonts w:eastAsia="Calibri" w:asciiTheme="minorHAnsi" w:hAnsiTheme="minorHAnsi"/>
                <w:sz w:val="16"/>
                <w:szCs w:val="16"/>
              </w:rPr>
              <w:t>2</w:t>
            </w:r>
          </w:p>
        </w:tc>
        <w:tc>
          <w:tcPr>
            <w:tcW w:w="805" w:type="dxa"/>
            <w:tcBorders>
              <w:left w:val="dashed" w:color="auto" w:sz="4" w:space="0"/>
              <w:bottom w:val="dotted" w:color="auto" w:sz="4" w:space="0"/>
            </w:tcBorders>
            <w:shd w:val="clear" w:color="auto" w:fill="auto"/>
            <w:vAlign w:val="center"/>
          </w:tcPr>
          <w:p w:rsidRPr="00A110F0" w:rsidR="00981894" w:rsidP="00981894" w:rsidRDefault="00981894" w14:paraId="5F59469B" w14:textId="77777777">
            <w:pPr>
              <w:keepNext/>
              <w:jc w:val="center"/>
              <w:rPr>
                <w:rFonts w:eastAsia="Calibri" w:asciiTheme="minorHAnsi" w:hAnsiTheme="minorHAnsi"/>
                <w:sz w:val="16"/>
                <w:szCs w:val="16"/>
              </w:rPr>
            </w:pPr>
            <w:r>
              <w:rPr>
                <w:rFonts w:eastAsia="Calibri" w:asciiTheme="minorHAnsi" w:hAnsiTheme="minorHAnsi"/>
                <w:sz w:val="16"/>
                <w:szCs w:val="16"/>
              </w:rPr>
              <w:t>83</w:t>
            </w:r>
          </w:p>
        </w:tc>
        <w:tc>
          <w:tcPr>
            <w:tcW w:w="3127" w:type="dxa"/>
            <w:tcBorders>
              <w:left w:val="dotted" w:color="auto" w:sz="4" w:space="0"/>
              <w:bottom w:val="dotted" w:color="auto" w:sz="4" w:space="0"/>
            </w:tcBorders>
            <w:shd w:val="clear" w:color="auto" w:fill="auto"/>
            <w:vAlign w:val="center"/>
          </w:tcPr>
          <w:p w:rsidRPr="00A110F0" w:rsidR="00981894" w:rsidP="00981894" w:rsidRDefault="00981894" w14:paraId="7EF685AA" w14:textId="77777777">
            <w:pPr>
              <w:keepNext/>
              <w:rPr>
                <w:rFonts w:eastAsia="Calibri" w:asciiTheme="minorHAnsi" w:hAnsiTheme="minorHAnsi"/>
                <w:sz w:val="16"/>
                <w:szCs w:val="16"/>
              </w:rPr>
            </w:pPr>
            <w:r>
              <w:rPr>
                <w:rFonts w:eastAsia="Calibri" w:asciiTheme="minorHAnsi" w:hAnsiTheme="minorHAnsi"/>
                <w:sz w:val="16"/>
                <w:szCs w:val="16"/>
              </w:rPr>
              <w:t>Reduced number of respon</w:t>
            </w:r>
            <w:r w:rsidR="006D7552">
              <w:rPr>
                <w:rFonts w:eastAsia="Calibri" w:asciiTheme="minorHAnsi" w:hAnsiTheme="minorHAnsi"/>
                <w:sz w:val="16"/>
                <w:szCs w:val="16"/>
              </w:rPr>
              <w:t>dents</w:t>
            </w:r>
          </w:p>
        </w:tc>
      </w:tr>
      <w:tr w:rsidRPr="00A110F0" w:rsidR="00981894" w:rsidTr="00390AED" w14:paraId="415EC25D" w14:textId="77777777">
        <w:trPr>
          <w:trHeight w:val="226"/>
        </w:trPr>
        <w:tc>
          <w:tcPr>
            <w:tcW w:w="1765" w:type="dxa"/>
            <w:shd w:val="clear" w:color="auto" w:fill="BDD6EE" w:themeFill="accent1" w:themeFillTint="66"/>
            <w:vAlign w:val="center"/>
          </w:tcPr>
          <w:p w:rsidRPr="00A110F0" w:rsidR="00981894" w:rsidP="00981894" w:rsidRDefault="00981894" w14:paraId="0F978F3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763" w:type="dxa"/>
            <w:tcBorders>
              <w:right w:val="dashed" w:color="auto" w:sz="4" w:space="0"/>
            </w:tcBorders>
            <w:shd w:val="clear" w:color="auto" w:fill="BDD6EE" w:themeFill="accent1" w:themeFillTint="66"/>
            <w:vAlign w:val="center"/>
          </w:tcPr>
          <w:p w:rsidRPr="00A110F0" w:rsidR="00981894" w:rsidP="00C05566" w:rsidRDefault="00390AED" w14:paraId="445E9E94" w14:textId="57C6C621">
            <w:pPr>
              <w:keepNext/>
              <w:jc w:val="center"/>
              <w:rPr>
                <w:rFonts w:eastAsia="Calibri" w:asciiTheme="minorHAnsi" w:hAnsiTheme="minorHAnsi"/>
                <w:b/>
                <w:sz w:val="16"/>
                <w:szCs w:val="16"/>
              </w:rPr>
            </w:pPr>
            <w:r>
              <w:rPr>
                <w:rFonts w:eastAsia="Calibri" w:asciiTheme="minorHAnsi" w:hAnsiTheme="minorHAnsi"/>
                <w:b/>
                <w:sz w:val="16"/>
                <w:szCs w:val="16"/>
              </w:rPr>
              <w:t>1</w:t>
            </w:r>
            <w:r w:rsidR="00C05566">
              <w:rPr>
                <w:rFonts w:eastAsia="Calibri" w:asciiTheme="minorHAnsi" w:hAnsiTheme="minorHAnsi"/>
                <w:b/>
                <w:sz w:val="16"/>
                <w:szCs w:val="16"/>
              </w:rPr>
              <w:t>00*</w:t>
            </w:r>
          </w:p>
        </w:tc>
        <w:tc>
          <w:tcPr>
            <w:tcW w:w="756" w:type="dxa"/>
            <w:tcBorders>
              <w:left w:val="dashed" w:color="auto" w:sz="4" w:space="0"/>
            </w:tcBorders>
            <w:shd w:val="clear" w:color="auto" w:fill="BDD6EE" w:themeFill="accent1" w:themeFillTint="66"/>
            <w:vAlign w:val="center"/>
          </w:tcPr>
          <w:p w:rsidRPr="00A110F0" w:rsidR="00981894" w:rsidP="00C05566" w:rsidRDefault="00390AED" w14:paraId="7CF66CED" w14:textId="1F721784">
            <w:pPr>
              <w:keepNext/>
              <w:jc w:val="center"/>
              <w:rPr>
                <w:rFonts w:eastAsia="Calibri" w:asciiTheme="minorHAnsi" w:hAnsiTheme="minorHAnsi"/>
                <w:b/>
                <w:sz w:val="16"/>
                <w:szCs w:val="16"/>
              </w:rPr>
            </w:pPr>
            <w:r>
              <w:rPr>
                <w:rFonts w:eastAsia="Calibri" w:asciiTheme="minorHAnsi" w:hAnsiTheme="minorHAnsi"/>
                <w:b/>
                <w:sz w:val="16"/>
                <w:szCs w:val="16"/>
              </w:rPr>
              <w:t>1</w:t>
            </w:r>
            <w:r w:rsidR="00C05566">
              <w:rPr>
                <w:rFonts w:eastAsia="Calibri" w:asciiTheme="minorHAnsi" w:hAnsiTheme="minorHAnsi"/>
                <w:b/>
                <w:sz w:val="16"/>
                <w:szCs w:val="16"/>
              </w:rPr>
              <w:t>00*</w:t>
            </w:r>
          </w:p>
        </w:tc>
        <w:tc>
          <w:tcPr>
            <w:tcW w:w="714" w:type="dxa"/>
            <w:tcBorders>
              <w:right w:val="dashed" w:color="auto" w:sz="4" w:space="0"/>
            </w:tcBorders>
            <w:shd w:val="clear" w:color="auto" w:fill="BDD6EE" w:themeFill="accent1" w:themeFillTint="66"/>
            <w:vAlign w:val="center"/>
          </w:tcPr>
          <w:p w:rsidRPr="00A110F0" w:rsidR="00981894" w:rsidP="00981894" w:rsidRDefault="00390AED" w14:paraId="14BDC626" w14:textId="4CC7E4A2">
            <w:pPr>
              <w:keepNext/>
              <w:jc w:val="center"/>
              <w:rPr>
                <w:rFonts w:eastAsia="Calibri" w:asciiTheme="minorHAnsi" w:hAnsiTheme="minorHAnsi"/>
                <w:b/>
                <w:sz w:val="16"/>
                <w:szCs w:val="16"/>
              </w:rPr>
            </w:pPr>
            <w:r>
              <w:rPr>
                <w:rFonts w:eastAsia="Calibri" w:asciiTheme="minorHAnsi" w:hAnsiTheme="minorHAnsi"/>
                <w:b/>
                <w:sz w:val="16"/>
                <w:szCs w:val="16"/>
              </w:rPr>
              <w:t>226</w:t>
            </w:r>
          </w:p>
        </w:tc>
        <w:tc>
          <w:tcPr>
            <w:tcW w:w="804" w:type="dxa"/>
            <w:tcBorders>
              <w:left w:val="dashed" w:color="auto" w:sz="4" w:space="0"/>
            </w:tcBorders>
            <w:shd w:val="clear" w:color="auto" w:fill="BDD6EE" w:themeFill="accent1" w:themeFillTint="66"/>
            <w:vAlign w:val="center"/>
          </w:tcPr>
          <w:p w:rsidRPr="00A110F0" w:rsidR="00981894" w:rsidP="00981894" w:rsidRDefault="00390AED" w14:paraId="4F6751A2" w14:textId="25E71C37">
            <w:pPr>
              <w:keepNext/>
              <w:jc w:val="center"/>
              <w:rPr>
                <w:rFonts w:eastAsia="Calibri" w:asciiTheme="minorHAnsi" w:hAnsiTheme="minorHAnsi"/>
                <w:b/>
                <w:sz w:val="16"/>
                <w:szCs w:val="16"/>
              </w:rPr>
            </w:pPr>
            <w:r>
              <w:rPr>
                <w:rFonts w:eastAsia="Calibri" w:asciiTheme="minorHAnsi" w:hAnsiTheme="minorHAnsi"/>
                <w:b/>
                <w:sz w:val="16"/>
                <w:szCs w:val="16"/>
              </w:rPr>
              <w:t>351</w:t>
            </w:r>
          </w:p>
        </w:tc>
        <w:tc>
          <w:tcPr>
            <w:tcW w:w="804" w:type="dxa"/>
            <w:tcBorders>
              <w:right w:val="dashed" w:color="auto" w:sz="4" w:space="0"/>
            </w:tcBorders>
            <w:shd w:val="clear" w:color="auto" w:fill="BDD6EE" w:themeFill="accent1" w:themeFillTint="66"/>
            <w:vAlign w:val="center"/>
          </w:tcPr>
          <w:p w:rsidRPr="00A110F0" w:rsidR="00981894" w:rsidP="00981894" w:rsidRDefault="00390AED" w14:paraId="49B385AC" w14:textId="6BB6DE2A">
            <w:pPr>
              <w:keepNext/>
              <w:jc w:val="center"/>
              <w:rPr>
                <w:rFonts w:eastAsia="Calibri" w:asciiTheme="minorHAnsi" w:hAnsiTheme="minorHAnsi"/>
                <w:b/>
                <w:sz w:val="16"/>
                <w:szCs w:val="16"/>
              </w:rPr>
            </w:pPr>
            <w:r>
              <w:rPr>
                <w:rFonts w:eastAsia="Calibri" w:asciiTheme="minorHAnsi" w:hAnsiTheme="minorHAnsi"/>
                <w:b/>
                <w:sz w:val="16"/>
                <w:szCs w:val="16"/>
              </w:rPr>
              <w:t>69</w:t>
            </w:r>
          </w:p>
        </w:tc>
        <w:tc>
          <w:tcPr>
            <w:tcW w:w="805" w:type="dxa"/>
            <w:tcBorders>
              <w:left w:val="dashed" w:color="auto" w:sz="4" w:space="0"/>
            </w:tcBorders>
            <w:shd w:val="clear" w:color="auto" w:fill="BDD6EE" w:themeFill="accent1" w:themeFillTint="66"/>
            <w:vAlign w:val="center"/>
          </w:tcPr>
          <w:p w:rsidRPr="00A110F0" w:rsidR="00981894" w:rsidP="00981894" w:rsidRDefault="00390AED" w14:paraId="071BFED0" w14:textId="2E341054">
            <w:pPr>
              <w:keepNext/>
              <w:jc w:val="center"/>
              <w:rPr>
                <w:rFonts w:eastAsia="Calibri" w:asciiTheme="minorHAnsi" w:hAnsiTheme="minorHAnsi"/>
                <w:b/>
                <w:sz w:val="16"/>
                <w:szCs w:val="16"/>
              </w:rPr>
            </w:pPr>
            <w:r>
              <w:rPr>
                <w:rFonts w:eastAsia="Calibri" w:asciiTheme="minorHAnsi" w:hAnsiTheme="minorHAnsi"/>
                <w:b/>
                <w:sz w:val="16"/>
                <w:szCs w:val="16"/>
              </w:rPr>
              <w:t>102</w:t>
            </w:r>
          </w:p>
        </w:tc>
        <w:tc>
          <w:tcPr>
            <w:tcW w:w="3127" w:type="dxa"/>
            <w:tcBorders>
              <w:left w:val="dotted" w:color="auto" w:sz="4" w:space="0"/>
            </w:tcBorders>
            <w:shd w:val="clear" w:color="auto" w:fill="BDD6EE" w:themeFill="accent1" w:themeFillTint="66"/>
            <w:vAlign w:val="center"/>
          </w:tcPr>
          <w:p w:rsidRPr="00A110F0" w:rsidR="00981894" w:rsidP="00981894" w:rsidRDefault="00981894" w14:paraId="580B378B" w14:textId="77777777">
            <w:pPr>
              <w:keepNext/>
              <w:jc w:val="center"/>
              <w:rPr>
                <w:rFonts w:eastAsia="Calibri" w:asciiTheme="minorHAnsi" w:hAnsiTheme="minorHAnsi"/>
                <w:b/>
                <w:sz w:val="16"/>
                <w:szCs w:val="16"/>
              </w:rPr>
            </w:pPr>
          </w:p>
        </w:tc>
      </w:tr>
      <w:tr w:rsidRPr="00A110F0" w:rsidR="00390AED" w:rsidTr="0053009E" w14:paraId="5F1D92FA" w14:textId="77777777">
        <w:trPr>
          <w:trHeight w:val="226"/>
        </w:trPr>
        <w:tc>
          <w:tcPr>
            <w:tcW w:w="1765" w:type="dxa"/>
            <w:shd w:val="clear" w:color="auto" w:fill="FBE4D5" w:themeFill="accent2" w:themeFillTint="33"/>
            <w:vAlign w:val="center"/>
          </w:tcPr>
          <w:p w:rsidRPr="00A110F0" w:rsidR="00390AED" w:rsidP="00981894" w:rsidRDefault="00390AED" w14:paraId="74A2EBEF" w14:textId="71AE2606">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519" w:type="dxa"/>
            <w:gridSpan w:val="2"/>
            <w:shd w:val="clear" w:color="auto" w:fill="FBE4D5" w:themeFill="accent2" w:themeFillTint="33"/>
            <w:vAlign w:val="center"/>
          </w:tcPr>
          <w:p w:rsidR="00390AED" w:rsidP="00C05566" w:rsidRDefault="00C05566" w14:paraId="6A89F640" w14:textId="12853262">
            <w:pPr>
              <w:keepNext/>
              <w:jc w:val="center"/>
              <w:rPr>
                <w:rFonts w:eastAsia="Calibri" w:asciiTheme="minorHAnsi" w:hAnsiTheme="minorHAnsi"/>
                <w:b/>
                <w:sz w:val="16"/>
                <w:szCs w:val="16"/>
              </w:rPr>
            </w:pPr>
            <w:r>
              <w:rPr>
                <w:rFonts w:eastAsia="Calibri" w:asciiTheme="minorHAnsi" w:hAnsiTheme="minorHAnsi"/>
                <w:b/>
                <w:sz w:val="16"/>
                <w:szCs w:val="16"/>
              </w:rPr>
              <w:t>0</w:t>
            </w:r>
          </w:p>
        </w:tc>
        <w:tc>
          <w:tcPr>
            <w:tcW w:w="1519" w:type="dxa"/>
            <w:gridSpan w:val="2"/>
            <w:tcBorders>
              <w:bottom w:val="single" w:color="auto" w:sz="4" w:space="0"/>
            </w:tcBorders>
            <w:shd w:val="clear" w:color="auto" w:fill="FBE4D5" w:themeFill="accent2" w:themeFillTint="33"/>
            <w:vAlign w:val="center"/>
          </w:tcPr>
          <w:p w:rsidRPr="00A110F0" w:rsidR="00390AED" w:rsidP="00981894" w:rsidRDefault="00390AED" w14:paraId="57205B26" w14:textId="477AED9C">
            <w:pPr>
              <w:keepNext/>
              <w:jc w:val="center"/>
              <w:rPr>
                <w:rFonts w:eastAsia="Calibri" w:asciiTheme="minorHAnsi" w:hAnsiTheme="minorHAnsi"/>
                <w:b/>
                <w:sz w:val="16"/>
                <w:szCs w:val="16"/>
              </w:rPr>
            </w:pPr>
            <w:r>
              <w:rPr>
                <w:rFonts w:eastAsia="Calibri" w:asciiTheme="minorHAnsi" w:hAnsiTheme="minorHAnsi"/>
                <w:b/>
                <w:sz w:val="16"/>
                <w:szCs w:val="16"/>
              </w:rPr>
              <w:t>-125</w:t>
            </w:r>
          </w:p>
        </w:tc>
        <w:tc>
          <w:tcPr>
            <w:tcW w:w="1609" w:type="dxa"/>
            <w:gridSpan w:val="2"/>
            <w:shd w:val="clear" w:color="auto" w:fill="FBE4D5" w:themeFill="accent2" w:themeFillTint="33"/>
            <w:vAlign w:val="center"/>
          </w:tcPr>
          <w:p w:rsidRPr="00A110F0" w:rsidR="00390AED" w:rsidP="00981894" w:rsidRDefault="00390AED" w14:paraId="638D4CEE" w14:textId="73803F86">
            <w:pPr>
              <w:keepNext/>
              <w:jc w:val="center"/>
              <w:rPr>
                <w:rFonts w:eastAsia="Calibri" w:asciiTheme="minorHAnsi" w:hAnsiTheme="minorHAnsi"/>
                <w:b/>
                <w:sz w:val="16"/>
                <w:szCs w:val="16"/>
              </w:rPr>
            </w:pPr>
            <w:r>
              <w:rPr>
                <w:rFonts w:eastAsia="Calibri" w:asciiTheme="minorHAnsi" w:hAnsiTheme="minorHAnsi"/>
                <w:b/>
                <w:sz w:val="16"/>
                <w:szCs w:val="16"/>
              </w:rPr>
              <w:t>-33</w:t>
            </w:r>
          </w:p>
        </w:tc>
        <w:tc>
          <w:tcPr>
            <w:tcW w:w="3127" w:type="dxa"/>
            <w:tcBorders>
              <w:left w:val="dotted" w:color="auto" w:sz="4" w:space="0"/>
            </w:tcBorders>
            <w:shd w:val="clear" w:color="auto" w:fill="FBE4D5" w:themeFill="accent2" w:themeFillTint="33"/>
            <w:vAlign w:val="center"/>
          </w:tcPr>
          <w:p w:rsidRPr="00A110F0" w:rsidR="00390AED" w:rsidP="00981894" w:rsidRDefault="00390AED" w14:paraId="3ECD2552" w14:textId="77777777">
            <w:pPr>
              <w:keepNext/>
              <w:jc w:val="center"/>
              <w:rPr>
                <w:rFonts w:eastAsia="Calibri" w:asciiTheme="minorHAnsi" w:hAnsiTheme="minorHAnsi"/>
                <w:b/>
                <w:sz w:val="16"/>
                <w:szCs w:val="16"/>
              </w:rPr>
            </w:pPr>
          </w:p>
        </w:tc>
      </w:tr>
    </w:tbl>
    <w:p w:rsidRPr="00A110F0" w:rsidR="00732713" w:rsidP="00784D9F" w:rsidRDefault="00732713" w14:paraId="6B532EB8" w14:textId="77777777">
      <w:pPr>
        <w:tabs>
          <w:tab w:val="left" w:pos="540"/>
        </w:tabs>
        <w:ind w:left="540"/>
        <w:rPr>
          <w:rFonts w:asciiTheme="minorHAnsi" w:hAnsiTheme="minorHAnsi"/>
          <w:sz w:val="16"/>
          <w:szCs w:val="16"/>
        </w:rPr>
      </w:pPr>
    </w:p>
    <w:tbl>
      <w:tblPr>
        <w:tblW w:w="95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0"/>
        <w:gridCol w:w="893"/>
        <w:gridCol w:w="825"/>
        <w:gridCol w:w="755"/>
        <w:gridCol w:w="895"/>
        <w:gridCol w:w="4412"/>
      </w:tblGrid>
      <w:tr w:rsidRPr="00A110F0" w:rsidR="00A110F0" w:rsidTr="00FB7870" w14:paraId="7FFDBF31" w14:textId="77777777">
        <w:trPr>
          <w:trHeight w:val="218"/>
        </w:trPr>
        <w:tc>
          <w:tcPr>
            <w:tcW w:w="1770" w:type="dxa"/>
            <w:vMerge w:val="restart"/>
            <w:shd w:val="clear" w:color="auto" w:fill="5B9BD5" w:themeFill="accent1"/>
            <w:vAlign w:val="center"/>
          </w:tcPr>
          <w:p w:rsidRPr="00A110F0" w:rsidR="00A110F0" w:rsidP="00A110F0" w:rsidRDefault="00A110F0" w14:paraId="713426E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1718" w:type="dxa"/>
            <w:gridSpan w:val="2"/>
            <w:tcBorders>
              <w:bottom w:val="single" w:color="auto" w:sz="4" w:space="0"/>
            </w:tcBorders>
            <w:shd w:val="clear" w:color="auto" w:fill="5B9BD5" w:themeFill="accent1"/>
            <w:vAlign w:val="center"/>
          </w:tcPr>
          <w:p w:rsidRPr="00A110F0" w:rsidR="00A110F0" w:rsidP="00A110F0" w:rsidRDefault="00A110F0" w14:paraId="78C45E13"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1650" w:type="dxa"/>
            <w:gridSpan w:val="2"/>
            <w:shd w:val="clear" w:color="auto" w:fill="5B9BD5" w:themeFill="accent1"/>
          </w:tcPr>
          <w:p w:rsidRPr="00A110F0" w:rsidR="00A110F0" w:rsidP="00A110F0" w:rsidRDefault="00A110F0" w14:paraId="205A051A"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4412" w:type="dxa"/>
            <w:vMerge w:val="restart"/>
            <w:tcBorders>
              <w:right w:val="single" w:color="auto" w:sz="4" w:space="0"/>
            </w:tcBorders>
            <w:shd w:val="clear" w:color="auto" w:fill="5B9BD5" w:themeFill="accent1"/>
            <w:vAlign w:val="center"/>
          </w:tcPr>
          <w:p w:rsidRPr="00A110F0" w:rsidR="00A110F0" w:rsidP="00A110F0" w:rsidRDefault="00A110F0" w14:paraId="38827636"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390AED" w14:paraId="4C63FB99" w14:textId="77777777">
        <w:trPr>
          <w:trHeight w:val="218"/>
        </w:trPr>
        <w:tc>
          <w:tcPr>
            <w:tcW w:w="1770" w:type="dxa"/>
            <w:vMerge/>
            <w:shd w:val="clear" w:color="auto" w:fill="5B9BD5" w:themeFill="accent1"/>
            <w:vAlign w:val="center"/>
          </w:tcPr>
          <w:p w:rsidRPr="00A110F0" w:rsidR="00A110F0" w:rsidP="00FD3D2A" w:rsidRDefault="00A110F0" w14:paraId="449CC93D" w14:textId="77777777">
            <w:pPr>
              <w:keepNext/>
              <w:jc w:val="center"/>
              <w:rPr>
                <w:rFonts w:eastAsia="Calibri" w:asciiTheme="minorHAnsi" w:hAnsiTheme="minorHAnsi"/>
                <w:sz w:val="16"/>
                <w:szCs w:val="16"/>
              </w:rPr>
            </w:pPr>
          </w:p>
        </w:tc>
        <w:tc>
          <w:tcPr>
            <w:tcW w:w="893" w:type="dxa"/>
            <w:tcBorders>
              <w:bottom w:val="single" w:color="auto" w:sz="4" w:space="0"/>
              <w:right w:val="dashSmallGap" w:color="auto" w:sz="4" w:space="0"/>
            </w:tcBorders>
            <w:shd w:val="clear" w:color="auto" w:fill="FBE4D5"/>
            <w:vAlign w:val="center"/>
          </w:tcPr>
          <w:p w:rsidRPr="00A110F0" w:rsidR="00A110F0" w:rsidP="00FD3D2A" w:rsidRDefault="00A110F0" w14:paraId="4DE10E8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825" w:type="dxa"/>
            <w:tcBorders>
              <w:left w:val="dashSmallGap" w:color="auto" w:sz="4" w:space="0"/>
              <w:bottom w:val="single" w:color="auto" w:sz="4" w:space="0"/>
            </w:tcBorders>
            <w:shd w:val="clear" w:color="auto" w:fill="FBE4D5"/>
            <w:vAlign w:val="center"/>
          </w:tcPr>
          <w:p w:rsidRPr="00A110F0" w:rsidR="00A110F0" w:rsidP="00FD3D2A" w:rsidRDefault="00A110F0" w14:paraId="4DF794C1"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755" w:type="dxa"/>
            <w:tcBorders>
              <w:right w:val="dashSmallGap" w:color="auto" w:sz="4" w:space="0"/>
            </w:tcBorders>
            <w:shd w:val="clear" w:color="auto" w:fill="FBE4D5"/>
            <w:vAlign w:val="center"/>
          </w:tcPr>
          <w:p w:rsidRPr="00A110F0" w:rsidR="00A110F0" w:rsidP="00FD3D2A" w:rsidRDefault="00A110F0" w14:paraId="2E129B0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895" w:type="dxa"/>
            <w:tcBorders>
              <w:left w:val="dashSmallGap" w:color="auto" w:sz="4" w:space="0"/>
            </w:tcBorders>
            <w:shd w:val="clear" w:color="auto" w:fill="FBE4D5"/>
            <w:vAlign w:val="center"/>
          </w:tcPr>
          <w:p w:rsidRPr="00A110F0" w:rsidR="00A110F0" w:rsidP="00FD3D2A" w:rsidRDefault="00A110F0" w14:paraId="1AD289D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4412" w:type="dxa"/>
            <w:vMerge/>
            <w:tcBorders>
              <w:right w:val="single" w:color="auto" w:sz="4" w:space="0"/>
            </w:tcBorders>
            <w:shd w:val="clear" w:color="auto" w:fill="FBE4D5"/>
            <w:vAlign w:val="center"/>
          </w:tcPr>
          <w:p w:rsidRPr="00A110F0" w:rsidR="00A110F0" w:rsidP="00FD3D2A" w:rsidRDefault="00A110F0" w14:paraId="19FE5087" w14:textId="77777777">
            <w:pPr>
              <w:keepNext/>
              <w:rPr>
                <w:rFonts w:eastAsia="Calibri" w:asciiTheme="minorHAnsi" w:hAnsiTheme="minorHAnsi"/>
                <w:sz w:val="16"/>
                <w:szCs w:val="16"/>
              </w:rPr>
            </w:pPr>
          </w:p>
        </w:tc>
      </w:tr>
      <w:tr w:rsidRPr="00A110F0" w:rsidR="00A110F0" w:rsidTr="00390AED" w14:paraId="19CBC151" w14:textId="77777777">
        <w:trPr>
          <w:trHeight w:val="425"/>
        </w:trPr>
        <w:tc>
          <w:tcPr>
            <w:tcW w:w="1770" w:type="dxa"/>
            <w:shd w:val="clear" w:color="auto" w:fill="auto"/>
            <w:vAlign w:val="bottom"/>
          </w:tcPr>
          <w:p w:rsidRPr="00A110F0" w:rsidR="00A110F0" w:rsidP="00A110F0" w:rsidRDefault="00981894" w14:paraId="32B7EB08" w14:textId="77777777">
            <w:pPr>
              <w:keepNext/>
              <w:rPr>
                <w:rFonts w:eastAsia="Calibri" w:asciiTheme="minorHAnsi" w:hAnsiTheme="minorHAnsi"/>
                <w:sz w:val="16"/>
                <w:szCs w:val="16"/>
              </w:rPr>
            </w:pPr>
            <w:r>
              <w:rPr>
                <w:rFonts w:eastAsia="Calibri" w:asciiTheme="minorHAnsi" w:hAnsiTheme="minorHAnsi"/>
                <w:sz w:val="16"/>
                <w:szCs w:val="16"/>
              </w:rPr>
              <w:t>MHI non-comm. permit application</w:t>
            </w:r>
          </w:p>
        </w:tc>
        <w:tc>
          <w:tcPr>
            <w:tcW w:w="893" w:type="dxa"/>
            <w:tcBorders>
              <w:bottom w:val="dotted" w:color="auto" w:sz="4" w:space="0"/>
              <w:right w:val="dashSmallGap" w:color="auto" w:sz="4" w:space="0"/>
            </w:tcBorders>
            <w:shd w:val="clear" w:color="auto" w:fill="auto"/>
            <w:vAlign w:val="center"/>
          </w:tcPr>
          <w:p w:rsidRPr="00A110F0" w:rsidR="00A110F0" w:rsidP="00FD3D2A" w:rsidRDefault="00981894" w14:paraId="54C07290" w14:textId="77777777">
            <w:pPr>
              <w:jc w:val="center"/>
              <w:rPr>
                <w:rFonts w:eastAsia="Calibri" w:asciiTheme="minorHAnsi" w:hAnsiTheme="minorHAnsi"/>
                <w:sz w:val="16"/>
                <w:szCs w:val="16"/>
              </w:rPr>
            </w:pPr>
            <w:r>
              <w:rPr>
                <w:rFonts w:eastAsia="Calibri" w:asciiTheme="minorHAnsi" w:hAnsiTheme="minorHAnsi"/>
                <w:sz w:val="16"/>
                <w:szCs w:val="16"/>
              </w:rPr>
              <w:t>409</w:t>
            </w:r>
          </w:p>
        </w:tc>
        <w:tc>
          <w:tcPr>
            <w:tcW w:w="825" w:type="dxa"/>
            <w:tcBorders>
              <w:left w:val="dashSmallGap" w:color="auto" w:sz="4" w:space="0"/>
              <w:bottom w:val="dotted" w:color="auto" w:sz="4" w:space="0"/>
            </w:tcBorders>
            <w:shd w:val="clear" w:color="auto" w:fill="auto"/>
            <w:vAlign w:val="center"/>
          </w:tcPr>
          <w:p w:rsidRPr="00A110F0" w:rsidR="00A110F0" w:rsidP="00FD3D2A" w:rsidRDefault="00981894" w14:paraId="75F7E449"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755" w:type="dxa"/>
            <w:tcBorders>
              <w:left w:val="dotted" w:color="auto" w:sz="4" w:space="0"/>
              <w:bottom w:val="dotted" w:color="auto" w:sz="4" w:space="0"/>
              <w:right w:val="dashSmallGap" w:color="auto" w:sz="4" w:space="0"/>
            </w:tcBorders>
            <w:vAlign w:val="center"/>
          </w:tcPr>
          <w:p w:rsidRPr="00A110F0" w:rsidR="00A110F0" w:rsidP="00FD3D2A" w:rsidRDefault="008625DD" w14:paraId="41FDCCE4" w14:textId="2D446FBD">
            <w:pPr>
              <w:keepNext/>
              <w:jc w:val="center"/>
              <w:rPr>
                <w:rFonts w:eastAsia="Calibri" w:asciiTheme="minorHAnsi" w:hAnsiTheme="minorHAnsi"/>
                <w:sz w:val="16"/>
                <w:szCs w:val="16"/>
              </w:rPr>
            </w:pPr>
            <w:r>
              <w:rPr>
                <w:rFonts w:eastAsia="Calibri" w:asciiTheme="minorHAnsi" w:hAnsiTheme="minorHAnsi"/>
                <w:sz w:val="16"/>
                <w:szCs w:val="16"/>
              </w:rPr>
              <w:t>5,</w:t>
            </w:r>
            <w:r w:rsidR="00981894">
              <w:rPr>
                <w:rFonts w:eastAsia="Calibri" w:asciiTheme="minorHAnsi" w:hAnsiTheme="minorHAnsi"/>
                <w:sz w:val="16"/>
                <w:szCs w:val="16"/>
              </w:rPr>
              <w:t>300</w:t>
            </w:r>
          </w:p>
        </w:tc>
        <w:tc>
          <w:tcPr>
            <w:tcW w:w="895" w:type="dxa"/>
            <w:tcBorders>
              <w:left w:val="dashSmallGap" w:color="auto" w:sz="4" w:space="0"/>
              <w:bottom w:val="dotted" w:color="auto" w:sz="4" w:space="0"/>
              <w:right w:val="single" w:color="auto" w:sz="4" w:space="0"/>
            </w:tcBorders>
            <w:vAlign w:val="center"/>
          </w:tcPr>
          <w:p w:rsidRPr="00A110F0" w:rsidR="00A110F0" w:rsidP="00FD3D2A" w:rsidRDefault="008625DD" w14:paraId="40AA10C8" w14:textId="20EEE2EE">
            <w:pPr>
              <w:keepNext/>
              <w:jc w:val="center"/>
              <w:rPr>
                <w:rFonts w:eastAsia="Calibri" w:asciiTheme="minorHAnsi" w:hAnsiTheme="minorHAnsi"/>
                <w:sz w:val="16"/>
                <w:szCs w:val="16"/>
              </w:rPr>
            </w:pPr>
            <w:r>
              <w:rPr>
                <w:rFonts w:eastAsia="Calibri" w:asciiTheme="minorHAnsi" w:hAnsiTheme="minorHAnsi"/>
                <w:sz w:val="16"/>
                <w:szCs w:val="16"/>
              </w:rPr>
              <w:t>4,749</w:t>
            </w:r>
          </w:p>
        </w:tc>
        <w:tc>
          <w:tcPr>
            <w:tcW w:w="4412"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5C0D46" w14:paraId="5752AD35" w14:textId="77777777">
            <w:pPr>
              <w:keepNext/>
              <w:rPr>
                <w:rFonts w:eastAsia="Calibri" w:asciiTheme="minorHAnsi" w:hAnsiTheme="minorHAnsi"/>
                <w:sz w:val="16"/>
                <w:szCs w:val="16"/>
              </w:rPr>
            </w:pPr>
            <w:r>
              <w:rPr>
                <w:rFonts w:eastAsia="Calibri" w:asciiTheme="minorHAnsi" w:hAnsiTheme="minorHAnsi"/>
                <w:sz w:val="16"/>
                <w:szCs w:val="16"/>
              </w:rPr>
              <w:t>Added estimated labor cost</w:t>
            </w:r>
          </w:p>
        </w:tc>
      </w:tr>
      <w:tr w:rsidRPr="00A110F0" w:rsidR="00A110F0" w:rsidTr="00FB7870" w14:paraId="0D297B63" w14:textId="77777777">
        <w:trPr>
          <w:trHeight w:val="218"/>
        </w:trPr>
        <w:tc>
          <w:tcPr>
            <w:tcW w:w="1770" w:type="dxa"/>
            <w:shd w:val="clear" w:color="auto" w:fill="auto"/>
            <w:vAlign w:val="bottom"/>
          </w:tcPr>
          <w:p w:rsidRPr="00A110F0" w:rsidR="00A110F0" w:rsidP="00A110F0" w:rsidRDefault="005C0D46" w14:paraId="38C40BF4" w14:textId="77777777">
            <w:pPr>
              <w:keepNext/>
              <w:rPr>
                <w:rFonts w:eastAsia="Calibri" w:asciiTheme="minorHAnsi" w:hAnsiTheme="minorHAnsi"/>
                <w:sz w:val="16"/>
                <w:szCs w:val="16"/>
              </w:rPr>
            </w:pPr>
            <w:r>
              <w:rPr>
                <w:rFonts w:eastAsia="Calibri" w:asciiTheme="minorHAnsi" w:hAnsiTheme="minorHAnsi"/>
                <w:sz w:val="16"/>
                <w:szCs w:val="16"/>
              </w:rPr>
              <w:t>MHI non-comm. permit appeal</w:t>
            </w:r>
          </w:p>
        </w:tc>
        <w:tc>
          <w:tcPr>
            <w:tcW w:w="893" w:type="dxa"/>
            <w:tcBorders>
              <w:bottom w:val="dotted" w:color="auto" w:sz="4" w:space="0"/>
              <w:right w:val="dashSmallGap" w:color="auto" w:sz="4" w:space="0"/>
            </w:tcBorders>
            <w:shd w:val="clear" w:color="auto" w:fill="auto"/>
            <w:vAlign w:val="center"/>
          </w:tcPr>
          <w:p w:rsidRPr="00A110F0" w:rsidR="00A110F0" w:rsidP="00FD3D2A" w:rsidRDefault="005C0D46" w14:paraId="540B6D13" w14:textId="77777777">
            <w:pPr>
              <w:jc w:val="center"/>
              <w:rPr>
                <w:rFonts w:eastAsia="Calibri" w:asciiTheme="minorHAnsi" w:hAnsiTheme="minorHAnsi"/>
                <w:sz w:val="16"/>
                <w:szCs w:val="16"/>
              </w:rPr>
            </w:pPr>
            <w:r>
              <w:rPr>
                <w:rFonts w:eastAsia="Calibri" w:asciiTheme="minorHAnsi" w:hAnsiTheme="minorHAnsi"/>
                <w:sz w:val="16"/>
                <w:szCs w:val="16"/>
              </w:rPr>
              <w:t>33</w:t>
            </w:r>
          </w:p>
        </w:tc>
        <w:tc>
          <w:tcPr>
            <w:tcW w:w="825" w:type="dxa"/>
            <w:tcBorders>
              <w:left w:val="dashSmallGap" w:color="auto" w:sz="4" w:space="0"/>
              <w:bottom w:val="dotted" w:color="auto" w:sz="4" w:space="0"/>
            </w:tcBorders>
            <w:shd w:val="clear" w:color="auto" w:fill="auto"/>
            <w:vAlign w:val="center"/>
          </w:tcPr>
          <w:p w:rsidRPr="00A110F0" w:rsidR="00A110F0" w:rsidP="00FD3D2A" w:rsidRDefault="005C0D46" w14:paraId="55645F26"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755" w:type="dxa"/>
            <w:tcBorders>
              <w:left w:val="dotted" w:color="auto" w:sz="4" w:space="0"/>
              <w:bottom w:val="dotted" w:color="auto" w:sz="4" w:space="0"/>
              <w:right w:val="dashSmallGap" w:color="auto" w:sz="4" w:space="0"/>
            </w:tcBorders>
            <w:vAlign w:val="center"/>
          </w:tcPr>
          <w:p w:rsidRPr="00A110F0" w:rsidR="00A110F0" w:rsidP="00FD3D2A" w:rsidRDefault="005C0D46" w14:paraId="06A30834" w14:textId="77777777">
            <w:pPr>
              <w:keepNext/>
              <w:jc w:val="center"/>
              <w:rPr>
                <w:rFonts w:eastAsia="Calibri" w:asciiTheme="minorHAnsi" w:hAnsiTheme="minorHAnsi"/>
                <w:sz w:val="16"/>
                <w:szCs w:val="16"/>
              </w:rPr>
            </w:pPr>
            <w:r>
              <w:rPr>
                <w:rFonts w:eastAsia="Calibri" w:asciiTheme="minorHAnsi" w:hAnsiTheme="minorHAnsi"/>
                <w:sz w:val="16"/>
                <w:szCs w:val="16"/>
              </w:rPr>
              <w:t>10</w:t>
            </w:r>
          </w:p>
        </w:tc>
        <w:tc>
          <w:tcPr>
            <w:tcW w:w="894" w:type="dxa"/>
            <w:tcBorders>
              <w:left w:val="dashSmallGap" w:color="auto" w:sz="4" w:space="0"/>
              <w:bottom w:val="dotted" w:color="auto" w:sz="4" w:space="0"/>
              <w:right w:val="single" w:color="auto" w:sz="4" w:space="0"/>
            </w:tcBorders>
            <w:vAlign w:val="center"/>
          </w:tcPr>
          <w:p w:rsidRPr="00A110F0" w:rsidR="00A110F0" w:rsidP="00FD3D2A" w:rsidRDefault="008625DD" w14:paraId="377E6CBC" w14:textId="1D68857D">
            <w:pPr>
              <w:keepNext/>
              <w:jc w:val="center"/>
              <w:rPr>
                <w:rFonts w:eastAsia="Calibri" w:asciiTheme="minorHAnsi" w:hAnsiTheme="minorHAnsi"/>
                <w:sz w:val="16"/>
                <w:szCs w:val="16"/>
              </w:rPr>
            </w:pPr>
            <w:r>
              <w:rPr>
                <w:rFonts w:eastAsia="Calibri" w:asciiTheme="minorHAnsi" w:hAnsiTheme="minorHAnsi"/>
                <w:sz w:val="16"/>
                <w:szCs w:val="16"/>
              </w:rPr>
              <w:t>1</w:t>
            </w:r>
          </w:p>
        </w:tc>
        <w:tc>
          <w:tcPr>
            <w:tcW w:w="4412" w:type="dxa"/>
            <w:tcBorders>
              <w:left w:val="single" w:color="auto" w:sz="4" w:space="0"/>
              <w:bottom w:val="dotted" w:color="auto" w:sz="4" w:space="0"/>
              <w:right w:val="single" w:color="auto" w:sz="4" w:space="0"/>
            </w:tcBorders>
            <w:shd w:val="clear" w:color="auto" w:fill="auto"/>
            <w:vAlign w:val="center"/>
          </w:tcPr>
          <w:p w:rsidRPr="00A110F0" w:rsidR="00A110F0" w:rsidP="00FD3D2A" w:rsidRDefault="005C0D46" w14:paraId="081E4AD5" w14:textId="77777777">
            <w:pPr>
              <w:keepNext/>
              <w:rPr>
                <w:rFonts w:eastAsia="Calibri" w:asciiTheme="minorHAnsi" w:hAnsiTheme="minorHAnsi"/>
                <w:sz w:val="16"/>
                <w:szCs w:val="16"/>
              </w:rPr>
            </w:pPr>
            <w:r>
              <w:rPr>
                <w:rFonts w:eastAsia="Calibri" w:asciiTheme="minorHAnsi" w:hAnsiTheme="minorHAnsi"/>
                <w:sz w:val="16"/>
                <w:szCs w:val="16"/>
              </w:rPr>
              <w:t>Added estimated labor, copying and mailing costs</w:t>
            </w:r>
          </w:p>
        </w:tc>
      </w:tr>
      <w:tr w:rsidRPr="00A110F0" w:rsidR="005C0D46" w:rsidTr="00FB7870" w14:paraId="562304FC" w14:textId="77777777">
        <w:trPr>
          <w:trHeight w:val="207"/>
        </w:trPr>
        <w:tc>
          <w:tcPr>
            <w:tcW w:w="1770" w:type="dxa"/>
            <w:shd w:val="clear" w:color="auto" w:fill="auto"/>
            <w:vAlign w:val="bottom"/>
          </w:tcPr>
          <w:p w:rsidRPr="00A110F0" w:rsidR="005C0D46" w:rsidP="005C0D46" w:rsidRDefault="005C0D46" w14:paraId="0B6F4CAD" w14:textId="77777777">
            <w:pPr>
              <w:keepNext/>
              <w:rPr>
                <w:rFonts w:eastAsia="Calibri" w:asciiTheme="minorHAnsi" w:hAnsiTheme="minorHAnsi"/>
                <w:sz w:val="16"/>
                <w:szCs w:val="16"/>
              </w:rPr>
            </w:pPr>
            <w:r>
              <w:rPr>
                <w:rFonts w:eastAsia="Calibri" w:asciiTheme="minorHAnsi" w:hAnsiTheme="minorHAnsi"/>
                <w:sz w:val="16"/>
                <w:szCs w:val="16"/>
              </w:rPr>
              <w:t>MHI non-comm. report</w:t>
            </w:r>
          </w:p>
        </w:tc>
        <w:tc>
          <w:tcPr>
            <w:tcW w:w="893" w:type="dxa"/>
            <w:tcBorders>
              <w:bottom w:val="dotted" w:color="auto" w:sz="4" w:space="0"/>
              <w:right w:val="dashSmallGap" w:color="auto" w:sz="4" w:space="0"/>
            </w:tcBorders>
            <w:shd w:val="clear" w:color="auto" w:fill="auto"/>
            <w:vAlign w:val="center"/>
          </w:tcPr>
          <w:p w:rsidRPr="00A110F0" w:rsidR="005C0D46" w:rsidP="005C0D46" w:rsidRDefault="005C0D46" w14:paraId="47DD35CE" w14:textId="77777777">
            <w:pPr>
              <w:jc w:val="center"/>
              <w:rPr>
                <w:rFonts w:eastAsia="Calibri" w:asciiTheme="minorHAnsi" w:hAnsiTheme="minorHAnsi"/>
                <w:sz w:val="16"/>
                <w:szCs w:val="16"/>
              </w:rPr>
            </w:pPr>
            <w:r>
              <w:rPr>
                <w:rFonts w:eastAsia="Calibri" w:asciiTheme="minorHAnsi" w:hAnsiTheme="minorHAnsi"/>
                <w:sz w:val="16"/>
                <w:szCs w:val="16"/>
              </w:rPr>
              <w:t>674</w:t>
            </w:r>
          </w:p>
        </w:tc>
        <w:tc>
          <w:tcPr>
            <w:tcW w:w="825" w:type="dxa"/>
            <w:tcBorders>
              <w:left w:val="dashSmallGap" w:color="auto" w:sz="4" w:space="0"/>
              <w:bottom w:val="dotted" w:color="auto" w:sz="4" w:space="0"/>
            </w:tcBorders>
            <w:shd w:val="clear" w:color="auto" w:fill="auto"/>
            <w:vAlign w:val="center"/>
          </w:tcPr>
          <w:p w:rsidRPr="00A110F0" w:rsidR="005C0D46" w:rsidP="005C0D46" w:rsidRDefault="005C0D46" w14:paraId="0C65F914" w14:textId="77777777">
            <w:pPr>
              <w:keepNext/>
              <w:jc w:val="center"/>
              <w:rPr>
                <w:rFonts w:eastAsia="Calibri" w:asciiTheme="minorHAnsi" w:hAnsiTheme="minorHAnsi"/>
                <w:sz w:val="16"/>
                <w:szCs w:val="16"/>
              </w:rPr>
            </w:pPr>
            <w:r>
              <w:rPr>
                <w:rFonts w:eastAsia="Calibri" w:asciiTheme="minorHAnsi" w:hAnsiTheme="minorHAnsi"/>
                <w:sz w:val="16"/>
                <w:szCs w:val="16"/>
              </w:rPr>
              <w:t>n/a</w:t>
            </w:r>
          </w:p>
        </w:tc>
        <w:tc>
          <w:tcPr>
            <w:tcW w:w="755" w:type="dxa"/>
            <w:tcBorders>
              <w:left w:val="dotted" w:color="auto" w:sz="4" w:space="0"/>
              <w:bottom w:val="dotted" w:color="auto" w:sz="4" w:space="0"/>
              <w:right w:val="dashSmallGap" w:color="auto" w:sz="4" w:space="0"/>
            </w:tcBorders>
            <w:vAlign w:val="center"/>
          </w:tcPr>
          <w:p w:rsidRPr="00A110F0" w:rsidR="005C0D46" w:rsidP="005C0D46" w:rsidRDefault="005C0D46" w14:paraId="3F11348E" w14:textId="77777777">
            <w:pPr>
              <w:keepNext/>
              <w:jc w:val="center"/>
              <w:rPr>
                <w:rFonts w:eastAsia="Calibri" w:asciiTheme="minorHAnsi" w:hAnsiTheme="minorHAnsi"/>
                <w:sz w:val="16"/>
                <w:szCs w:val="16"/>
              </w:rPr>
            </w:pPr>
            <w:r>
              <w:rPr>
                <w:rFonts w:eastAsia="Calibri" w:asciiTheme="minorHAnsi" w:hAnsiTheme="minorHAnsi"/>
                <w:sz w:val="16"/>
                <w:szCs w:val="16"/>
              </w:rPr>
              <w:t>125</w:t>
            </w:r>
          </w:p>
        </w:tc>
        <w:tc>
          <w:tcPr>
            <w:tcW w:w="894" w:type="dxa"/>
            <w:tcBorders>
              <w:left w:val="dashSmallGap" w:color="auto" w:sz="4" w:space="0"/>
              <w:bottom w:val="dotted" w:color="auto" w:sz="4" w:space="0"/>
              <w:right w:val="single" w:color="auto" w:sz="4" w:space="0"/>
            </w:tcBorders>
            <w:vAlign w:val="center"/>
          </w:tcPr>
          <w:p w:rsidRPr="00A110F0" w:rsidR="005C0D46" w:rsidP="005C0D46" w:rsidRDefault="00390AED" w14:paraId="1219FF95" w14:textId="132ABBE4">
            <w:pPr>
              <w:keepNext/>
              <w:jc w:val="center"/>
              <w:rPr>
                <w:rFonts w:eastAsia="Calibri" w:asciiTheme="minorHAnsi" w:hAnsiTheme="minorHAnsi"/>
                <w:sz w:val="16"/>
                <w:szCs w:val="16"/>
              </w:rPr>
            </w:pPr>
            <w:r>
              <w:rPr>
                <w:rFonts w:eastAsia="Calibri" w:asciiTheme="minorHAnsi" w:hAnsiTheme="minorHAnsi"/>
                <w:sz w:val="16"/>
                <w:szCs w:val="16"/>
              </w:rPr>
              <w:t>248</w:t>
            </w:r>
          </w:p>
        </w:tc>
        <w:tc>
          <w:tcPr>
            <w:tcW w:w="4412" w:type="dxa"/>
            <w:tcBorders>
              <w:left w:val="single" w:color="auto" w:sz="4" w:space="0"/>
              <w:bottom w:val="dotted" w:color="auto" w:sz="4" w:space="0"/>
              <w:right w:val="single" w:color="auto" w:sz="4" w:space="0"/>
            </w:tcBorders>
            <w:shd w:val="clear" w:color="auto" w:fill="auto"/>
            <w:vAlign w:val="center"/>
          </w:tcPr>
          <w:p w:rsidRPr="00A110F0" w:rsidR="005C0D46" w:rsidP="005C0D46" w:rsidRDefault="005C0D46" w14:paraId="0A6EC25C" w14:textId="77777777">
            <w:pPr>
              <w:keepNext/>
              <w:rPr>
                <w:rFonts w:eastAsia="Calibri" w:asciiTheme="minorHAnsi" w:hAnsiTheme="minorHAnsi"/>
                <w:sz w:val="16"/>
                <w:szCs w:val="16"/>
              </w:rPr>
            </w:pPr>
            <w:r>
              <w:rPr>
                <w:rFonts w:eastAsia="Calibri" w:asciiTheme="minorHAnsi" w:hAnsiTheme="minorHAnsi"/>
                <w:sz w:val="16"/>
                <w:szCs w:val="16"/>
              </w:rPr>
              <w:t>Added estimated labor and mailing costs</w:t>
            </w:r>
          </w:p>
        </w:tc>
      </w:tr>
      <w:tr w:rsidRPr="00A110F0" w:rsidR="005C0D46" w:rsidTr="00390AED" w14:paraId="38B6D801" w14:textId="77777777">
        <w:trPr>
          <w:trHeight w:val="218"/>
        </w:trPr>
        <w:tc>
          <w:tcPr>
            <w:tcW w:w="1770" w:type="dxa"/>
            <w:shd w:val="clear" w:color="auto" w:fill="BDD6EE" w:themeFill="accent1" w:themeFillTint="66"/>
            <w:vAlign w:val="center"/>
          </w:tcPr>
          <w:p w:rsidRPr="00A110F0" w:rsidR="005C0D46" w:rsidP="005C0D46" w:rsidRDefault="005C0D46" w14:paraId="2E88DD1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893" w:type="dxa"/>
            <w:tcBorders>
              <w:right w:val="dashSmallGap" w:color="auto" w:sz="4" w:space="0"/>
            </w:tcBorders>
            <w:shd w:val="clear" w:color="auto" w:fill="BDD6EE" w:themeFill="accent1" w:themeFillTint="66"/>
            <w:vAlign w:val="center"/>
          </w:tcPr>
          <w:p w:rsidRPr="00A110F0" w:rsidR="005C0D46" w:rsidP="005C0D46" w:rsidRDefault="00390AED" w14:paraId="53959C5B" w14:textId="15CC6F4E">
            <w:pPr>
              <w:keepNext/>
              <w:jc w:val="center"/>
              <w:rPr>
                <w:rFonts w:eastAsia="Calibri" w:asciiTheme="minorHAnsi" w:hAnsiTheme="minorHAnsi"/>
                <w:b/>
                <w:sz w:val="16"/>
                <w:szCs w:val="16"/>
              </w:rPr>
            </w:pPr>
            <w:r>
              <w:rPr>
                <w:rFonts w:eastAsia="Calibri" w:asciiTheme="minorHAnsi" w:hAnsiTheme="minorHAnsi"/>
                <w:b/>
                <w:sz w:val="16"/>
                <w:szCs w:val="16"/>
              </w:rPr>
              <w:t>1,116</w:t>
            </w:r>
          </w:p>
        </w:tc>
        <w:tc>
          <w:tcPr>
            <w:tcW w:w="825" w:type="dxa"/>
            <w:tcBorders>
              <w:left w:val="dashSmallGap" w:color="auto" w:sz="4" w:space="0"/>
            </w:tcBorders>
            <w:shd w:val="clear" w:color="auto" w:fill="BDD6EE" w:themeFill="accent1" w:themeFillTint="66"/>
            <w:vAlign w:val="center"/>
          </w:tcPr>
          <w:p w:rsidRPr="00A110F0" w:rsidR="005C0D46" w:rsidP="005C0D46" w:rsidRDefault="00390AED" w14:paraId="2D9C3E54" w14:textId="75CABEAC">
            <w:pPr>
              <w:jc w:val="center"/>
              <w:rPr>
                <w:rFonts w:eastAsia="Calibri" w:asciiTheme="minorHAnsi" w:hAnsiTheme="minorHAnsi"/>
                <w:b/>
                <w:bCs/>
                <w:sz w:val="16"/>
                <w:szCs w:val="16"/>
              </w:rPr>
            </w:pPr>
            <w:r>
              <w:rPr>
                <w:rFonts w:eastAsia="Calibri" w:asciiTheme="minorHAnsi" w:hAnsiTheme="minorHAnsi"/>
                <w:b/>
                <w:bCs/>
                <w:sz w:val="16"/>
                <w:szCs w:val="16"/>
              </w:rPr>
              <w:t>n/a</w:t>
            </w:r>
          </w:p>
        </w:tc>
        <w:tc>
          <w:tcPr>
            <w:tcW w:w="755" w:type="dxa"/>
            <w:tcBorders>
              <w:left w:val="dotted" w:color="auto" w:sz="4" w:space="0"/>
              <w:right w:val="dashSmallGap" w:color="auto" w:sz="4" w:space="0"/>
            </w:tcBorders>
            <w:shd w:val="clear" w:color="auto" w:fill="BDD6EE" w:themeFill="accent1" w:themeFillTint="66"/>
            <w:vAlign w:val="center"/>
          </w:tcPr>
          <w:p w:rsidRPr="00A110F0" w:rsidR="005C0D46" w:rsidP="005C0D46" w:rsidRDefault="00390AED" w14:paraId="5E0FEC3D" w14:textId="732E84E7">
            <w:pPr>
              <w:keepNext/>
              <w:jc w:val="center"/>
              <w:rPr>
                <w:rFonts w:eastAsia="Calibri" w:asciiTheme="minorHAnsi" w:hAnsiTheme="minorHAnsi"/>
                <w:b/>
                <w:sz w:val="16"/>
                <w:szCs w:val="16"/>
              </w:rPr>
            </w:pPr>
            <w:r>
              <w:rPr>
                <w:rFonts w:eastAsia="Calibri" w:asciiTheme="minorHAnsi" w:hAnsiTheme="minorHAnsi"/>
                <w:b/>
                <w:sz w:val="16"/>
                <w:szCs w:val="16"/>
              </w:rPr>
              <w:t>5,435</w:t>
            </w:r>
          </w:p>
        </w:tc>
        <w:tc>
          <w:tcPr>
            <w:tcW w:w="894" w:type="dxa"/>
            <w:tcBorders>
              <w:left w:val="dashSmallGap" w:color="auto" w:sz="4" w:space="0"/>
              <w:right w:val="single" w:color="auto" w:sz="4" w:space="0"/>
            </w:tcBorders>
            <w:shd w:val="clear" w:color="auto" w:fill="BDD6EE" w:themeFill="accent1" w:themeFillTint="66"/>
            <w:vAlign w:val="center"/>
          </w:tcPr>
          <w:p w:rsidRPr="00A110F0" w:rsidR="005C0D46" w:rsidP="005C0D46" w:rsidRDefault="00390AED" w14:paraId="23E6C431" w14:textId="59FD9579">
            <w:pPr>
              <w:keepNext/>
              <w:jc w:val="center"/>
              <w:rPr>
                <w:rFonts w:eastAsia="Calibri" w:asciiTheme="minorHAnsi" w:hAnsiTheme="minorHAnsi"/>
                <w:b/>
                <w:sz w:val="16"/>
                <w:szCs w:val="16"/>
              </w:rPr>
            </w:pPr>
            <w:r>
              <w:rPr>
                <w:rFonts w:eastAsia="Calibri" w:asciiTheme="minorHAnsi" w:hAnsiTheme="minorHAnsi"/>
                <w:b/>
                <w:sz w:val="16"/>
                <w:szCs w:val="16"/>
              </w:rPr>
              <w:t>4,998</w:t>
            </w:r>
          </w:p>
        </w:tc>
        <w:tc>
          <w:tcPr>
            <w:tcW w:w="4412" w:type="dxa"/>
            <w:tcBorders>
              <w:left w:val="single" w:color="auto" w:sz="4" w:space="0"/>
              <w:right w:val="single" w:color="auto" w:sz="4" w:space="0"/>
            </w:tcBorders>
            <w:shd w:val="clear" w:color="auto" w:fill="BDD6EE" w:themeFill="accent1" w:themeFillTint="66"/>
            <w:vAlign w:val="center"/>
          </w:tcPr>
          <w:p w:rsidRPr="00A110F0" w:rsidR="005C0D46" w:rsidP="005C0D46" w:rsidRDefault="005C0D46" w14:paraId="67015215" w14:textId="77777777">
            <w:pPr>
              <w:keepNext/>
              <w:jc w:val="center"/>
              <w:rPr>
                <w:rFonts w:eastAsia="Calibri" w:asciiTheme="minorHAnsi" w:hAnsiTheme="minorHAnsi"/>
                <w:b/>
                <w:sz w:val="16"/>
                <w:szCs w:val="16"/>
              </w:rPr>
            </w:pPr>
          </w:p>
        </w:tc>
      </w:tr>
      <w:tr w:rsidRPr="00A110F0" w:rsidR="00390AED" w:rsidTr="00B40300" w14:paraId="7FE935B6" w14:textId="77777777">
        <w:trPr>
          <w:trHeight w:val="218"/>
        </w:trPr>
        <w:tc>
          <w:tcPr>
            <w:tcW w:w="1770" w:type="dxa"/>
            <w:shd w:val="clear" w:color="auto" w:fill="FBE4D5" w:themeFill="accent2" w:themeFillTint="33"/>
            <w:vAlign w:val="center"/>
          </w:tcPr>
          <w:p w:rsidRPr="00A110F0" w:rsidR="00390AED" w:rsidP="005C0D46" w:rsidRDefault="00390AED" w14:paraId="3DA41E43" w14:textId="2FA025BE">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1718" w:type="dxa"/>
            <w:gridSpan w:val="2"/>
            <w:shd w:val="clear" w:color="auto" w:fill="FBE4D5" w:themeFill="accent2" w:themeFillTint="33"/>
            <w:vAlign w:val="center"/>
          </w:tcPr>
          <w:p w:rsidRPr="00A110F0" w:rsidR="00390AED" w:rsidP="005C0D46" w:rsidRDefault="00390AED" w14:paraId="47F0D2E5" w14:textId="55BD589B">
            <w:pPr>
              <w:jc w:val="center"/>
              <w:rPr>
                <w:rFonts w:eastAsia="Calibri" w:asciiTheme="minorHAnsi" w:hAnsiTheme="minorHAnsi"/>
                <w:b/>
                <w:bCs/>
                <w:sz w:val="16"/>
                <w:szCs w:val="16"/>
              </w:rPr>
            </w:pPr>
            <w:r>
              <w:rPr>
                <w:rFonts w:eastAsia="Calibri" w:asciiTheme="minorHAnsi" w:hAnsiTheme="minorHAnsi"/>
                <w:b/>
                <w:bCs/>
                <w:sz w:val="16"/>
                <w:szCs w:val="16"/>
              </w:rPr>
              <w:t>1,116</w:t>
            </w:r>
          </w:p>
        </w:tc>
        <w:tc>
          <w:tcPr>
            <w:tcW w:w="1650" w:type="dxa"/>
            <w:gridSpan w:val="2"/>
            <w:tcBorders>
              <w:left w:val="dotted" w:color="auto" w:sz="4" w:space="0"/>
              <w:right w:val="single" w:color="auto" w:sz="4" w:space="0"/>
            </w:tcBorders>
            <w:shd w:val="clear" w:color="auto" w:fill="FBE4D5" w:themeFill="accent2" w:themeFillTint="33"/>
            <w:vAlign w:val="center"/>
          </w:tcPr>
          <w:p w:rsidRPr="00A110F0" w:rsidR="00390AED" w:rsidP="005C0D46" w:rsidRDefault="00390AED" w14:paraId="70BFE4EE" w14:textId="30BF4A25">
            <w:pPr>
              <w:keepNext/>
              <w:jc w:val="center"/>
              <w:rPr>
                <w:rFonts w:eastAsia="Calibri" w:asciiTheme="minorHAnsi" w:hAnsiTheme="minorHAnsi"/>
                <w:b/>
                <w:sz w:val="16"/>
                <w:szCs w:val="16"/>
              </w:rPr>
            </w:pPr>
            <w:r>
              <w:rPr>
                <w:rFonts w:eastAsia="Calibri" w:asciiTheme="minorHAnsi" w:hAnsiTheme="minorHAnsi"/>
                <w:b/>
                <w:sz w:val="16"/>
                <w:szCs w:val="16"/>
              </w:rPr>
              <w:t>437</w:t>
            </w:r>
          </w:p>
        </w:tc>
        <w:tc>
          <w:tcPr>
            <w:tcW w:w="4412"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390AED" w:rsidP="005C0D46" w:rsidRDefault="00390AED" w14:paraId="0CBE69B0" w14:textId="77777777">
            <w:pPr>
              <w:keepNext/>
              <w:jc w:val="center"/>
              <w:rPr>
                <w:rFonts w:eastAsia="Calibri" w:asciiTheme="minorHAnsi" w:hAnsiTheme="minorHAnsi"/>
                <w:b/>
                <w:sz w:val="16"/>
                <w:szCs w:val="16"/>
              </w:rPr>
            </w:pPr>
          </w:p>
        </w:tc>
      </w:tr>
    </w:tbl>
    <w:p w:rsidR="004F26E9" w:rsidP="00493868" w:rsidRDefault="004F26E9" w14:paraId="5989792D" w14:textId="77777777">
      <w:pPr>
        <w:tabs>
          <w:tab w:val="left" w:pos="540"/>
        </w:tabs>
        <w:ind w:left="540"/>
        <w:rPr>
          <w:sz w:val="24"/>
          <w:szCs w:val="24"/>
        </w:rPr>
      </w:pPr>
    </w:p>
    <w:p w:rsidR="00493868" w:rsidP="00493868" w:rsidRDefault="00493868" w14:paraId="09FA92E3" w14:textId="77777777">
      <w:pPr>
        <w:tabs>
          <w:tab w:val="left" w:pos="540"/>
        </w:tabs>
        <w:ind w:left="540"/>
        <w:rPr>
          <w:sz w:val="24"/>
          <w:szCs w:val="24"/>
        </w:rPr>
      </w:pPr>
    </w:p>
    <w:p w:rsidR="00732713" w:rsidP="00493868" w:rsidRDefault="00732713" w14:paraId="6CE1B247" w14:textId="77777777">
      <w:pPr>
        <w:tabs>
          <w:tab w:val="left" w:pos="540"/>
        </w:tabs>
        <w:ind w:left="540"/>
        <w:rPr>
          <w:sz w:val="24"/>
          <w:szCs w:val="24"/>
        </w:rPr>
        <w:sectPr w:rsidR="00732713" w:rsidSect="00FB7870">
          <w:footnotePr>
            <w:numRestart w:val="eachSect"/>
          </w:footnotePr>
          <w:endnotePr>
            <w:numFmt w:val="decimal"/>
          </w:endnotePr>
          <w:pgSz w:w="12240" w:h="15840"/>
          <w:pgMar w:top="1440" w:right="1440" w:bottom="1440" w:left="1440" w:header="720" w:footer="720" w:gutter="0"/>
          <w:cols w:space="720"/>
          <w:docGrid w:linePitch="272"/>
        </w:sectPr>
      </w:pPr>
    </w:p>
    <w:p w:rsidR="004F26E9" w:rsidP="00CD5390" w:rsidRDefault="004F26E9" w14:paraId="29814741" w14:textId="77777777">
      <w:pPr>
        <w:rPr>
          <w:sz w:val="24"/>
          <w:szCs w:val="24"/>
        </w:rPr>
      </w:pPr>
    </w:p>
    <w:p w:rsidRPr="00BD7237" w:rsidR="0020250C" w:rsidP="0020250C" w:rsidRDefault="00493868" w14:paraId="12DA0FC9"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20250C">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4A72B2CD" w14:textId="73610BB1">
      <w:pPr>
        <w:rPr>
          <w:sz w:val="24"/>
          <w:szCs w:val="24"/>
        </w:rPr>
      </w:pPr>
    </w:p>
    <w:p w:rsidRPr="00A22C7D" w:rsidR="004F26E9" w:rsidP="00CD5390" w:rsidRDefault="007604FD" w14:paraId="1457BFDF" w14:textId="7B7CDD2C">
      <w:pPr>
        <w:rPr>
          <w:sz w:val="24"/>
          <w:szCs w:val="24"/>
        </w:rPr>
      </w:pPr>
      <w:r w:rsidRPr="00A22C7D">
        <w:rPr>
          <w:sz w:val="24"/>
          <w:szCs w:val="24"/>
        </w:rPr>
        <w:t>No formal scientific publications based on these collections are planned at this time. NMFS and the Council wi</w:t>
      </w:r>
      <w:bookmarkStart w:name="_GoBack" w:id="0"/>
      <w:bookmarkEnd w:id="0"/>
      <w:r w:rsidRPr="00A22C7D">
        <w:rPr>
          <w:sz w:val="24"/>
          <w:szCs w:val="24"/>
        </w:rPr>
        <w:t xml:space="preserve">ll use the data </w:t>
      </w:r>
      <w:r w:rsidRPr="00A22C7D">
        <w:rPr>
          <w:b/>
          <w:sz w:val="24"/>
          <w:szCs w:val="24"/>
        </w:rPr>
        <w:t>(</w:t>
      </w:r>
      <w:r w:rsidRPr="00A22C7D">
        <w:rPr>
          <w:sz w:val="24"/>
          <w:szCs w:val="24"/>
        </w:rPr>
        <w:t>primarily in an aggregated, non-confidential format) for developing allowable catch limits for the MHI bottomfish fishery, management reports, and FEP amendments and evaluations. However, subsequent use of the data collected over a series of years may include scientific papers and publications.</w:t>
      </w:r>
    </w:p>
    <w:p w:rsidR="004F26E9" w:rsidP="00CD5390" w:rsidRDefault="004F26E9" w14:paraId="05688B28" w14:textId="77777777">
      <w:pPr>
        <w:rPr>
          <w:sz w:val="24"/>
          <w:szCs w:val="24"/>
        </w:rPr>
      </w:pPr>
    </w:p>
    <w:p w:rsidR="004F26E9" w:rsidP="00493868" w:rsidRDefault="00493868" w14:paraId="16AF3967" w14:textId="06CCC36F">
      <w:pPr>
        <w:tabs>
          <w:tab w:val="left" w:pos="540"/>
        </w:tabs>
        <w:ind w:left="540" w:hanging="540"/>
        <w:rPr>
          <w:sz w:val="24"/>
          <w:szCs w:val="24"/>
        </w:rPr>
      </w:pPr>
      <w:r>
        <w:rPr>
          <w:b/>
          <w:bCs/>
          <w:sz w:val="24"/>
          <w:szCs w:val="24"/>
        </w:rPr>
        <w:t>17.</w:t>
      </w:r>
      <w:r>
        <w:rPr>
          <w:b/>
          <w:bCs/>
          <w:sz w:val="24"/>
          <w:szCs w:val="24"/>
        </w:rPr>
        <w:tab/>
      </w:r>
      <w:r w:rsidRPr="000A0540" w:rsidR="004F26E9">
        <w:rPr>
          <w:b/>
          <w:bCs/>
          <w:sz w:val="24"/>
          <w:szCs w:val="24"/>
        </w:rPr>
        <w:t xml:space="preserve">If seeking approval to not display the expiration date for OMB approval of the information collection, explain the reasons </w:t>
      </w:r>
      <w:r w:rsidR="0020250C">
        <w:rPr>
          <w:b/>
          <w:bCs/>
          <w:sz w:val="24"/>
          <w:szCs w:val="24"/>
        </w:rPr>
        <w:t>that</w:t>
      </w:r>
      <w:r w:rsidRPr="000A0540" w:rsidR="004F26E9">
        <w:rPr>
          <w:b/>
          <w:bCs/>
          <w:sz w:val="24"/>
          <w:szCs w:val="24"/>
        </w:rPr>
        <w:t xml:space="preserve"> display would be inappropriate.</w:t>
      </w:r>
    </w:p>
    <w:p w:rsidR="004F26E9" w:rsidP="00CD5390" w:rsidRDefault="004F26E9" w14:paraId="5B39DCEA" w14:textId="77777777">
      <w:pPr>
        <w:rPr>
          <w:sz w:val="24"/>
          <w:szCs w:val="24"/>
        </w:rPr>
      </w:pPr>
    </w:p>
    <w:p w:rsidR="00493868" w:rsidP="00CD5390" w:rsidRDefault="00F457AE" w14:paraId="55DCD533" w14:textId="7C3DFCA8">
      <w:pPr>
        <w:rPr>
          <w:sz w:val="24"/>
          <w:szCs w:val="24"/>
        </w:rPr>
      </w:pPr>
      <w:r>
        <w:rPr>
          <w:sz w:val="24"/>
          <w:szCs w:val="24"/>
        </w:rPr>
        <w:t>The expiration date for OMB approval will be displayed.</w:t>
      </w:r>
    </w:p>
    <w:p w:rsidR="004F26E9" w:rsidP="00CD5390" w:rsidRDefault="004F26E9" w14:paraId="59B158A8" w14:textId="5F2D84B3">
      <w:pPr>
        <w:rPr>
          <w:sz w:val="24"/>
          <w:szCs w:val="24"/>
        </w:rPr>
      </w:pPr>
    </w:p>
    <w:p w:rsidRPr="00BD7237" w:rsidR="0020250C" w:rsidP="0020250C" w:rsidRDefault="00493868" w14:paraId="55745128" w14:textId="77777777">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0250C">
        <w:rPr>
          <w:b/>
          <w:sz w:val="24"/>
          <w:szCs w:val="24"/>
        </w:rPr>
        <w:t>Explain each exception to the certification statement identified in “Certification for Paperwork Reduction Act Submissions."</w:t>
      </w:r>
    </w:p>
    <w:p w:rsidR="004F26E9" w:rsidP="00CD5390" w:rsidRDefault="004F26E9" w14:paraId="21DE82BE" w14:textId="025A825C">
      <w:pPr>
        <w:rPr>
          <w:sz w:val="24"/>
          <w:szCs w:val="24"/>
        </w:rPr>
      </w:pPr>
    </w:p>
    <w:p w:rsidRPr="0020250C" w:rsidR="004F26E9" w:rsidP="00CD5390" w:rsidRDefault="0020250C" w14:paraId="704A77F4" w14:textId="392A27A0">
      <w:pPr>
        <w:rPr>
          <w:sz w:val="24"/>
          <w:szCs w:val="24"/>
        </w:rPr>
      </w:pPr>
      <w:r w:rsidRPr="0020250C">
        <w:rPr>
          <w:sz w:val="24"/>
          <w:szCs w:val="24"/>
        </w:rPr>
        <w:t xml:space="preserve">The agency certifies compliance with </w:t>
      </w:r>
      <w:hyperlink r:id="rId10">
        <w:r w:rsidRPr="0020250C">
          <w:rPr>
            <w:color w:val="0563C1"/>
            <w:sz w:val="24"/>
            <w:szCs w:val="24"/>
            <w:u w:val="thick" w:color="0563C1"/>
          </w:rPr>
          <w:t>5 CFR 1320.9</w:t>
        </w:r>
        <w:r w:rsidRPr="0020250C">
          <w:rPr>
            <w:color w:val="0563C1"/>
            <w:sz w:val="24"/>
            <w:szCs w:val="24"/>
          </w:rPr>
          <w:t xml:space="preserve"> </w:t>
        </w:r>
      </w:hyperlink>
      <w:r w:rsidRPr="0020250C">
        <w:rPr>
          <w:sz w:val="24"/>
          <w:szCs w:val="24"/>
        </w:rPr>
        <w:t xml:space="preserve">and the related provisions of </w:t>
      </w:r>
      <w:hyperlink r:id="rId11">
        <w:r w:rsidRPr="0020250C">
          <w:rPr>
            <w:color w:val="0563C1"/>
            <w:sz w:val="24"/>
            <w:szCs w:val="24"/>
            <w:u w:val="thick" w:color="0563C1"/>
          </w:rPr>
          <w:t>5</w:t>
        </w:r>
        <w:r w:rsidRPr="0020250C">
          <w:rPr>
            <w:color w:val="0563C1"/>
            <w:spacing w:val="-42"/>
            <w:sz w:val="24"/>
            <w:szCs w:val="24"/>
            <w:u w:val="thick" w:color="0563C1"/>
          </w:rPr>
          <w:t xml:space="preserve"> </w:t>
        </w:r>
        <w:r w:rsidRPr="0020250C">
          <w:rPr>
            <w:color w:val="0563C1"/>
            <w:sz w:val="24"/>
            <w:szCs w:val="24"/>
            <w:u w:val="thick" w:color="0563C1"/>
          </w:rPr>
          <w:t>CFR</w:t>
        </w:r>
      </w:hyperlink>
      <w:r w:rsidRPr="0020250C">
        <w:rPr>
          <w:color w:val="0563C1"/>
          <w:sz w:val="24"/>
          <w:szCs w:val="24"/>
        </w:rPr>
        <w:t xml:space="preserve"> </w:t>
      </w:r>
      <w:hyperlink r:id="rId12">
        <w:r w:rsidRPr="0020250C">
          <w:rPr>
            <w:color w:val="0563C1"/>
            <w:sz w:val="24"/>
            <w:szCs w:val="24"/>
            <w:u w:val="thick" w:color="0563C1"/>
          </w:rPr>
          <w:t>1320.8(b</w:t>
        </w:r>
        <w:proofErr w:type="gramStart"/>
        <w:r w:rsidRPr="0020250C">
          <w:rPr>
            <w:color w:val="0563C1"/>
            <w:sz w:val="24"/>
            <w:szCs w:val="24"/>
            <w:u w:val="thick" w:color="0563C1"/>
          </w:rPr>
          <w:t>)(</w:t>
        </w:r>
        <w:proofErr w:type="gramEnd"/>
        <w:r w:rsidRPr="0020250C">
          <w:rPr>
            <w:color w:val="0563C1"/>
            <w:sz w:val="24"/>
            <w:szCs w:val="24"/>
            <w:u w:val="thick" w:color="0563C1"/>
          </w:rPr>
          <w:t>3)</w:t>
        </w:r>
      </w:hyperlink>
      <w:r w:rsidRPr="0020250C">
        <w:rPr>
          <w:sz w:val="24"/>
          <w:szCs w:val="24"/>
        </w:rPr>
        <w:t>.</w:t>
      </w:r>
    </w:p>
    <w:p w:rsidR="00FD3D2A" w:rsidP="00CD5390" w:rsidRDefault="00FD3D2A" w14:paraId="73E8D009" w14:textId="77777777">
      <w:pPr>
        <w:rPr>
          <w:sz w:val="24"/>
          <w:szCs w:val="24"/>
        </w:rPr>
      </w:pPr>
    </w:p>
    <w:p w:rsidR="00FD3D2A" w:rsidP="00CD5390" w:rsidRDefault="00FD3D2A" w14:paraId="23AD1B4B" w14:textId="072ABD9A">
      <w:pPr>
        <w:rPr>
          <w:sz w:val="24"/>
          <w:szCs w:val="24"/>
        </w:rPr>
      </w:pPr>
    </w:p>
    <w:p w:rsidR="00946AB0" w:rsidP="00390AED" w:rsidRDefault="00946AB0" w14:paraId="4A1F70D3" w14:textId="00A66C74">
      <w:pPr>
        <w:rPr>
          <w:sz w:val="24"/>
          <w:szCs w:val="24"/>
        </w:rPr>
      </w:pPr>
    </w:p>
    <w:sectPr w:rsidR="00946AB0" w:rsidSect="00390AED">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C8294" w14:textId="77777777" w:rsidR="007A7C5C" w:rsidRDefault="007A7C5C">
      <w:r>
        <w:separator/>
      </w:r>
    </w:p>
  </w:endnote>
  <w:endnote w:type="continuationSeparator" w:id="0">
    <w:p w14:paraId="73E22F97" w14:textId="77777777" w:rsidR="007A7C5C" w:rsidRDefault="007A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5C50" w14:textId="0C9CE086" w:rsidR="008625DD" w:rsidRDefault="008625DD">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22C7D">
      <w:rPr>
        <w:rStyle w:val="PageNumber"/>
        <w:noProof/>
        <w:sz w:val="24"/>
        <w:szCs w:val="24"/>
      </w:rPr>
      <w:t>3</w:t>
    </w:r>
    <w:r>
      <w:rPr>
        <w:rStyle w:val="PageNumber"/>
        <w:sz w:val="24"/>
        <w:szCs w:val="24"/>
      </w:rPr>
      <w:fldChar w:fldCharType="end"/>
    </w:r>
  </w:p>
  <w:p w14:paraId="4B7729F3" w14:textId="77777777" w:rsidR="008625DD" w:rsidRDefault="0086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12D66" w14:textId="77777777" w:rsidR="007A7C5C" w:rsidRDefault="007A7C5C">
      <w:r>
        <w:separator/>
      </w:r>
    </w:p>
  </w:footnote>
  <w:footnote w:type="continuationSeparator" w:id="0">
    <w:p w14:paraId="5680027D" w14:textId="77777777" w:rsidR="007A7C5C" w:rsidRDefault="007A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116B"/>
    <w:rsid w:val="0004264D"/>
    <w:rsid w:val="00066544"/>
    <w:rsid w:val="000741CA"/>
    <w:rsid w:val="000979A4"/>
    <w:rsid w:val="000A0540"/>
    <w:rsid w:val="000D49BA"/>
    <w:rsid w:val="00107F5D"/>
    <w:rsid w:val="00132932"/>
    <w:rsid w:val="00143AA6"/>
    <w:rsid w:val="0018405E"/>
    <w:rsid w:val="00185785"/>
    <w:rsid w:val="00193F97"/>
    <w:rsid w:val="001A46F7"/>
    <w:rsid w:val="001A68BE"/>
    <w:rsid w:val="001E6F72"/>
    <w:rsid w:val="0020250C"/>
    <w:rsid w:val="0020448B"/>
    <w:rsid w:val="00220F1E"/>
    <w:rsid w:val="002748CB"/>
    <w:rsid w:val="00275474"/>
    <w:rsid w:val="002C02DB"/>
    <w:rsid w:val="002C148E"/>
    <w:rsid w:val="002C61BF"/>
    <w:rsid w:val="002E23A0"/>
    <w:rsid w:val="003340D8"/>
    <w:rsid w:val="003666C0"/>
    <w:rsid w:val="00380DBB"/>
    <w:rsid w:val="00382FB9"/>
    <w:rsid w:val="00390AED"/>
    <w:rsid w:val="003B36B3"/>
    <w:rsid w:val="003C5736"/>
    <w:rsid w:val="003C5B44"/>
    <w:rsid w:val="003F2E12"/>
    <w:rsid w:val="0040382E"/>
    <w:rsid w:val="004433C5"/>
    <w:rsid w:val="00486938"/>
    <w:rsid w:val="00493868"/>
    <w:rsid w:val="004A76F5"/>
    <w:rsid w:val="004B617D"/>
    <w:rsid w:val="004D2FDC"/>
    <w:rsid w:val="004F26E9"/>
    <w:rsid w:val="00515460"/>
    <w:rsid w:val="00532DD5"/>
    <w:rsid w:val="00557696"/>
    <w:rsid w:val="005643CC"/>
    <w:rsid w:val="00565110"/>
    <w:rsid w:val="00580714"/>
    <w:rsid w:val="00581C79"/>
    <w:rsid w:val="005B4C31"/>
    <w:rsid w:val="005C0D46"/>
    <w:rsid w:val="005C6817"/>
    <w:rsid w:val="005C6849"/>
    <w:rsid w:val="00626E1E"/>
    <w:rsid w:val="00640B76"/>
    <w:rsid w:val="006C1075"/>
    <w:rsid w:val="006D7552"/>
    <w:rsid w:val="006D76FE"/>
    <w:rsid w:val="00725C5C"/>
    <w:rsid w:val="00732713"/>
    <w:rsid w:val="007604FD"/>
    <w:rsid w:val="00772FFC"/>
    <w:rsid w:val="00784D9F"/>
    <w:rsid w:val="00785CAA"/>
    <w:rsid w:val="007A7C5C"/>
    <w:rsid w:val="007B442E"/>
    <w:rsid w:val="008002D5"/>
    <w:rsid w:val="00800494"/>
    <w:rsid w:val="008243A6"/>
    <w:rsid w:val="00846C18"/>
    <w:rsid w:val="00855631"/>
    <w:rsid w:val="008625DD"/>
    <w:rsid w:val="008A7A70"/>
    <w:rsid w:val="0090431D"/>
    <w:rsid w:val="00946AB0"/>
    <w:rsid w:val="00981894"/>
    <w:rsid w:val="00984CDB"/>
    <w:rsid w:val="0098547F"/>
    <w:rsid w:val="009F499F"/>
    <w:rsid w:val="00A110F0"/>
    <w:rsid w:val="00A22C7D"/>
    <w:rsid w:val="00A34EF9"/>
    <w:rsid w:val="00A52249"/>
    <w:rsid w:val="00A54C1D"/>
    <w:rsid w:val="00A74354"/>
    <w:rsid w:val="00AB643A"/>
    <w:rsid w:val="00AC56ED"/>
    <w:rsid w:val="00AD3F53"/>
    <w:rsid w:val="00AD62E6"/>
    <w:rsid w:val="00AE7E8A"/>
    <w:rsid w:val="00AF4B65"/>
    <w:rsid w:val="00B02A6D"/>
    <w:rsid w:val="00B52D0C"/>
    <w:rsid w:val="00B60874"/>
    <w:rsid w:val="00B86393"/>
    <w:rsid w:val="00BA0554"/>
    <w:rsid w:val="00BB7E74"/>
    <w:rsid w:val="00C05566"/>
    <w:rsid w:val="00C57CBB"/>
    <w:rsid w:val="00C82DF4"/>
    <w:rsid w:val="00CA2B37"/>
    <w:rsid w:val="00CB7635"/>
    <w:rsid w:val="00CD5390"/>
    <w:rsid w:val="00CE1E61"/>
    <w:rsid w:val="00D20BBD"/>
    <w:rsid w:val="00D37919"/>
    <w:rsid w:val="00D538B9"/>
    <w:rsid w:val="00D61E3B"/>
    <w:rsid w:val="00D878A4"/>
    <w:rsid w:val="00D9308B"/>
    <w:rsid w:val="00DC6F01"/>
    <w:rsid w:val="00DF7B97"/>
    <w:rsid w:val="00E166E6"/>
    <w:rsid w:val="00E339C7"/>
    <w:rsid w:val="00E605E0"/>
    <w:rsid w:val="00E6174B"/>
    <w:rsid w:val="00E84D61"/>
    <w:rsid w:val="00E85915"/>
    <w:rsid w:val="00E869FB"/>
    <w:rsid w:val="00EA56BF"/>
    <w:rsid w:val="00EB0AC2"/>
    <w:rsid w:val="00EB3374"/>
    <w:rsid w:val="00EF4126"/>
    <w:rsid w:val="00F0031A"/>
    <w:rsid w:val="00F160E2"/>
    <w:rsid w:val="00F16BFA"/>
    <w:rsid w:val="00F3256C"/>
    <w:rsid w:val="00F37052"/>
    <w:rsid w:val="00F413AC"/>
    <w:rsid w:val="00F457AE"/>
    <w:rsid w:val="00F52105"/>
    <w:rsid w:val="00F55483"/>
    <w:rsid w:val="00F85F29"/>
    <w:rsid w:val="00FB7870"/>
    <w:rsid w:val="00FC5ED5"/>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4B86A"/>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0250C"/>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llowedHyperlink">
    <w:name w:val="FollowedHyperlink"/>
    <w:basedOn w:val="DefaultParagraphFont"/>
    <w:rsid w:val="0098547F"/>
    <w:rPr>
      <w:color w:val="954F72" w:themeColor="followedHyperlink"/>
      <w:u w:val="single"/>
    </w:rPr>
  </w:style>
  <w:style w:type="paragraph" w:styleId="BalloonText">
    <w:name w:val="Balloon Text"/>
    <w:basedOn w:val="Normal"/>
    <w:link w:val="BalloonTextChar"/>
    <w:rsid w:val="00EB0AC2"/>
    <w:rPr>
      <w:rFonts w:ascii="Segoe UI" w:hAnsi="Segoe UI" w:cs="Segoe UI"/>
      <w:sz w:val="18"/>
      <w:szCs w:val="18"/>
    </w:rPr>
  </w:style>
  <w:style w:type="character" w:customStyle="1" w:styleId="BalloonTextChar">
    <w:name w:val="Balloon Text Char"/>
    <w:basedOn w:val="DefaultParagraphFont"/>
    <w:link w:val="BalloonText"/>
    <w:rsid w:val="00EB0AC2"/>
    <w:rPr>
      <w:rFonts w:ascii="Segoe UI" w:hAnsi="Segoe UI" w:cs="Segoe UI"/>
      <w:sz w:val="18"/>
      <w:szCs w:val="18"/>
    </w:rPr>
  </w:style>
  <w:style w:type="character" w:styleId="CommentReference">
    <w:name w:val="annotation reference"/>
    <w:basedOn w:val="DefaultParagraphFont"/>
    <w:rsid w:val="003C5736"/>
    <w:rPr>
      <w:sz w:val="16"/>
      <w:szCs w:val="16"/>
    </w:rPr>
  </w:style>
  <w:style w:type="paragraph" w:styleId="CommentText">
    <w:name w:val="annotation text"/>
    <w:basedOn w:val="Normal"/>
    <w:link w:val="CommentTextChar"/>
    <w:rsid w:val="003C5736"/>
  </w:style>
  <w:style w:type="character" w:customStyle="1" w:styleId="CommentTextChar">
    <w:name w:val="Comment Text Char"/>
    <w:basedOn w:val="DefaultParagraphFont"/>
    <w:link w:val="CommentText"/>
    <w:rsid w:val="003C5736"/>
  </w:style>
  <w:style w:type="paragraph" w:styleId="CommentSubject">
    <w:name w:val="annotation subject"/>
    <w:basedOn w:val="CommentText"/>
    <w:next w:val="CommentText"/>
    <w:link w:val="CommentSubjectChar"/>
    <w:rsid w:val="003C5736"/>
    <w:rPr>
      <w:b/>
      <w:bCs/>
    </w:rPr>
  </w:style>
  <w:style w:type="character" w:customStyle="1" w:styleId="CommentSubjectChar">
    <w:name w:val="Comment Subject Char"/>
    <w:basedOn w:val="CommentTextChar"/>
    <w:link w:val="CommentSubject"/>
    <w:rsid w:val="003C5736"/>
    <w:rPr>
      <w:b/>
      <w:bCs/>
    </w:rPr>
  </w:style>
  <w:style w:type="character" w:customStyle="1" w:styleId="Heading1Char">
    <w:name w:val="Heading 1 Char"/>
    <w:basedOn w:val="DefaultParagraphFont"/>
    <w:link w:val="Heading1"/>
    <w:uiPriority w:val="1"/>
    <w:rsid w:val="0020250C"/>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8.pdf" TargetMode="External"/><Relationship Id="rId5" Type="http://schemas.openxmlformats.org/officeDocument/2006/relationships/webSettings" Target="webSettings.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file:///\\PIR\PIRUser$\bob.harman\Desktop\0648-0577%20renewal%20submission\www.fisheries.noaa.gov\pacific-islands\commercial-fishing\apply-pacific-islands-fishing-perm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7FDB-A0D5-4A7C-9277-A417C667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2766</Words>
  <Characters>16315</Characters>
  <Application>Microsoft Office Word</Application>
  <DocSecurity>0</DocSecurity>
  <Lines>291</Lines>
  <Paragraphs>101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3</cp:revision>
  <cp:lastPrinted>2001-03-13T13:05:00Z</cp:lastPrinted>
  <dcterms:created xsi:type="dcterms:W3CDTF">2020-12-15T20:01:00Z</dcterms:created>
  <dcterms:modified xsi:type="dcterms:W3CDTF">2020-12-15T20:04:00Z</dcterms:modified>
</cp:coreProperties>
</file>