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1FA1" w:rsidR="004F26E9" w:rsidP="002500D2" w:rsidRDefault="004F26E9" w14:paraId="3FD97033" w14:textId="1DCBC6E4">
      <w:pPr>
        <w:jc w:val="center"/>
        <w:rPr>
          <w:b/>
          <w:bCs/>
          <w:sz w:val="24"/>
          <w:szCs w:val="24"/>
        </w:rPr>
      </w:pPr>
      <w:r w:rsidRPr="00ED1FA1">
        <w:rPr>
          <w:b/>
          <w:bCs/>
          <w:sz w:val="24"/>
          <w:szCs w:val="24"/>
        </w:rPr>
        <w:t>SUPPORTING STATEMENT</w:t>
      </w:r>
    </w:p>
    <w:p w:rsidRPr="00ED1FA1" w:rsidR="00ED1FA1" w:rsidP="00ED1FA1" w:rsidRDefault="00ED1FA1" w14:paraId="733EABFA" w14:textId="77777777">
      <w:pPr>
        <w:spacing w:before="22" w:line="259" w:lineRule="auto"/>
        <w:ind w:firstLine="14"/>
        <w:jc w:val="center"/>
        <w:rPr>
          <w:b/>
          <w:sz w:val="24"/>
          <w:szCs w:val="24"/>
        </w:rPr>
      </w:pPr>
      <w:r w:rsidRPr="00ED1FA1">
        <w:rPr>
          <w:b/>
          <w:sz w:val="24"/>
          <w:szCs w:val="24"/>
        </w:rPr>
        <w:t>U.S. Department of Commerce</w:t>
      </w:r>
    </w:p>
    <w:p w:rsidRPr="00ED1FA1" w:rsidR="00ED1FA1" w:rsidP="00ED1FA1" w:rsidRDefault="00ED1FA1" w14:paraId="2D99ECD3" w14:textId="0F13E26D">
      <w:pPr>
        <w:spacing w:before="22" w:line="259" w:lineRule="auto"/>
        <w:ind w:firstLine="14"/>
        <w:jc w:val="center"/>
        <w:rPr>
          <w:b/>
          <w:sz w:val="24"/>
          <w:szCs w:val="24"/>
        </w:rPr>
      </w:pPr>
      <w:r w:rsidRPr="00ED1FA1">
        <w:rPr>
          <w:b/>
          <w:sz w:val="24"/>
          <w:szCs w:val="24"/>
        </w:rPr>
        <w:t>National Oceanic &amp; Atmospheric Administration</w:t>
      </w:r>
    </w:p>
    <w:p w:rsidRPr="00ED1FA1" w:rsidR="00ED1FA1" w:rsidP="002500D2" w:rsidRDefault="00ED1FA1" w14:paraId="211DFA93" w14:textId="34B84C08">
      <w:pPr>
        <w:jc w:val="center"/>
        <w:rPr>
          <w:rFonts w:eastAsia="Calibri"/>
          <w:b/>
          <w:sz w:val="24"/>
          <w:szCs w:val="24"/>
        </w:rPr>
      </w:pPr>
      <w:r w:rsidRPr="00ED1FA1">
        <w:rPr>
          <w:rFonts w:eastAsia="Calibri"/>
          <w:b/>
          <w:sz w:val="24"/>
          <w:szCs w:val="24"/>
        </w:rPr>
        <w:t>Atlantic Highly Migratory Species Individual Bluefin Quote (IBQ) Tracking and Appeals</w:t>
      </w:r>
    </w:p>
    <w:p w:rsidRPr="00ED1FA1" w:rsidR="004F26E9" w:rsidP="002500D2" w:rsidRDefault="004F26E9" w14:paraId="33C9936B" w14:textId="51C50065">
      <w:pPr>
        <w:jc w:val="center"/>
        <w:rPr>
          <w:sz w:val="24"/>
          <w:szCs w:val="24"/>
        </w:rPr>
      </w:pPr>
      <w:r w:rsidRPr="00ED1FA1">
        <w:rPr>
          <w:b/>
          <w:bCs/>
          <w:sz w:val="24"/>
          <w:szCs w:val="24"/>
        </w:rPr>
        <w:t>OMB C</w:t>
      </w:r>
      <w:r w:rsidR="00AB1CF8">
        <w:rPr>
          <w:b/>
          <w:bCs/>
          <w:sz w:val="24"/>
          <w:szCs w:val="24"/>
        </w:rPr>
        <w:t>ontrol No</w:t>
      </w:r>
      <w:r w:rsidRPr="00ED1FA1">
        <w:rPr>
          <w:b/>
          <w:bCs/>
          <w:sz w:val="24"/>
          <w:szCs w:val="24"/>
        </w:rPr>
        <w:t>. 0648-</w:t>
      </w:r>
      <w:r w:rsidRPr="00ED1FA1" w:rsidR="00C733B7">
        <w:rPr>
          <w:b/>
          <w:bCs/>
          <w:sz w:val="24"/>
          <w:szCs w:val="24"/>
        </w:rPr>
        <w:t>0677</w:t>
      </w:r>
    </w:p>
    <w:p w:rsidRPr="00ED1FA1" w:rsidR="004F26E9" w:rsidP="002500D2" w:rsidRDefault="004F26E9" w14:paraId="572946F0" w14:textId="77777777">
      <w:pPr>
        <w:rPr>
          <w:sz w:val="24"/>
          <w:szCs w:val="24"/>
        </w:rPr>
      </w:pPr>
    </w:p>
    <w:p w:rsidRPr="00ED1FA1" w:rsidR="004F26E9" w:rsidP="002500D2" w:rsidRDefault="004F26E9" w14:paraId="65934192" w14:textId="77777777">
      <w:pPr>
        <w:rPr>
          <w:sz w:val="24"/>
          <w:szCs w:val="24"/>
        </w:rPr>
      </w:pPr>
    </w:p>
    <w:p w:rsidRPr="00ED1FA1" w:rsidR="004F26E9" w:rsidP="002500D2" w:rsidRDefault="00ED1FA1" w14:paraId="5D477CD1" w14:textId="240AA287">
      <w:pPr>
        <w:tabs>
          <w:tab w:val="left" w:pos="720"/>
        </w:tabs>
        <w:ind w:left="720" w:hanging="720"/>
        <w:rPr>
          <w:sz w:val="24"/>
          <w:szCs w:val="24"/>
        </w:rPr>
      </w:pPr>
      <w:r w:rsidRPr="00ED1FA1">
        <w:rPr>
          <w:b/>
          <w:bCs/>
          <w:sz w:val="24"/>
          <w:szCs w:val="24"/>
        </w:rPr>
        <w:t>Abstract</w:t>
      </w:r>
    </w:p>
    <w:p w:rsidR="00AB1CF8" w:rsidP="002500D2" w:rsidRDefault="00AB1CF8" w14:paraId="7B37D83B" w14:textId="3300B8D2">
      <w:pPr>
        <w:rPr>
          <w:bCs/>
          <w:sz w:val="24"/>
          <w:szCs w:val="24"/>
        </w:rPr>
      </w:pPr>
    </w:p>
    <w:p w:rsidRPr="00ED1FA1" w:rsidR="00AB1CF8" w:rsidP="002500D2" w:rsidRDefault="00AB1CF8" w14:paraId="68279419" w14:textId="5D983656">
      <w:pPr>
        <w:rPr>
          <w:bCs/>
          <w:sz w:val="24"/>
          <w:szCs w:val="24"/>
        </w:rPr>
      </w:pPr>
      <w:r>
        <w:rPr>
          <w:bCs/>
          <w:sz w:val="24"/>
          <w:szCs w:val="24"/>
        </w:rPr>
        <w:t xml:space="preserve">This request is for the extension of a currently approved information collection. </w:t>
      </w:r>
      <w:r w:rsidRPr="00AB1CF8">
        <w:rPr>
          <w:bCs/>
          <w:sz w:val="24"/>
          <w:szCs w:val="24"/>
        </w:rPr>
        <w:t xml:space="preserve">This information collection consists of tracking IBQ allocation trading among individuals with Longline category or Purse Seine category Atlantic tunas vessel permits.  An online system managed by the National Marine Fisheries Service (NMFS) will track allocations and allocation trades, and reconcile trades with landings for bluefin tuna quota monitoring.  The information collected through this program is essential for the United States to implement the IBQ program implemented by Amendment 7 to the Consolidated Highly Migratory Species Fishery Management Plan, and to meet its reporting obligations to the International Commission for the Conservation of Atlantic Tunas (ICCAT) by ensuring that the harvest of bluefin tuna remains within ICCAT required quotas and landings limits.  </w:t>
      </w:r>
    </w:p>
    <w:p w:rsidRPr="00ED1FA1" w:rsidR="00921977" w:rsidP="002500D2" w:rsidRDefault="00921977" w14:paraId="39A32EF6" w14:textId="084A8175">
      <w:pPr>
        <w:rPr>
          <w:bCs/>
          <w:sz w:val="24"/>
          <w:szCs w:val="24"/>
        </w:rPr>
      </w:pPr>
    </w:p>
    <w:p w:rsidRPr="00ED1FA1" w:rsidR="00ED1FA1" w:rsidP="002500D2" w:rsidRDefault="00ED1FA1" w14:paraId="2D551DC7" w14:textId="4B3E56DB">
      <w:pPr>
        <w:rPr>
          <w:b/>
          <w:bCs/>
          <w:sz w:val="24"/>
          <w:szCs w:val="24"/>
        </w:rPr>
      </w:pPr>
      <w:r w:rsidRPr="00ED1FA1">
        <w:rPr>
          <w:b/>
          <w:bCs/>
          <w:sz w:val="24"/>
          <w:szCs w:val="24"/>
        </w:rPr>
        <w:t>Justification</w:t>
      </w:r>
    </w:p>
    <w:p w:rsidRPr="00ED1FA1" w:rsidR="00ED1FA1" w:rsidP="002500D2" w:rsidRDefault="00ED1FA1" w14:paraId="3196E354" w14:textId="77777777">
      <w:pPr>
        <w:rPr>
          <w:b/>
          <w:bCs/>
          <w:sz w:val="24"/>
          <w:szCs w:val="24"/>
        </w:rPr>
      </w:pPr>
    </w:p>
    <w:p w:rsidRPr="00ED1FA1" w:rsidR="00ED1FA1" w:rsidP="00ED1FA1" w:rsidRDefault="004F26E9" w14:paraId="36279A18" w14:textId="77777777">
      <w:pPr>
        <w:pStyle w:val="ListParagraph"/>
        <w:tabs>
          <w:tab w:val="left" w:pos="360"/>
        </w:tabs>
        <w:spacing w:before="182" w:line="259" w:lineRule="auto"/>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  </w:t>
      </w:r>
      <w:r w:rsidRPr="00ED1FA1" w:rsidR="00ED1FA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500D2" w:rsidR="008923AD" w:rsidP="002500D2" w:rsidRDefault="008923AD" w14:paraId="65CE652E" w14:textId="195FAB24">
      <w:pPr>
        <w:widowControl/>
        <w:autoSpaceDE/>
        <w:autoSpaceDN/>
        <w:adjustRightInd/>
        <w:rPr>
          <w:rFonts w:eastAsia="Calibri"/>
          <w:sz w:val="24"/>
          <w:szCs w:val="24"/>
        </w:rPr>
      </w:pPr>
    </w:p>
    <w:p w:rsidRPr="002500D2" w:rsidR="006E2C27" w:rsidP="002500D2" w:rsidRDefault="003C0FBC" w14:paraId="3A0C795E" w14:textId="77777777">
      <w:pPr>
        <w:widowControl/>
        <w:autoSpaceDE/>
        <w:autoSpaceDN/>
        <w:adjustRightInd/>
        <w:rPr>
          <w:rFonts w:eastAsia="Calibri"/>
          <w:sz w:val="24"/>
          <w:szCs w:val="24"/>
        </w:rPr>
      </w:pPr>
      <w:r w:rsidRPr="002500D2">
        <w:rPr>
          <w:rFonts w:eastAsia="Calibri"/>
          <w:sz w:val="24"/>
          <w:szCs w:val="24"/>
        </w:rPr>
        <w:t>T</w:t>
      </w:r>
      <w:r w:rsidRPr="002500D2" w:rsidR="006E2C27">
        <w:rPr>
          <w:rFonts w:eastAsia="Calibri"/>
          <w:sz w:val="24"/>
          <w:szCs w:val="24"/>
        </w:rPr>
        <w:t>he U</w:t>
      </w:r>
      <w:r w:rsidRPr="002500D2" w:rsidR="008923AD">
        <w:rPr>
          <w:rFonts w:eastAsia="Calibri"/>
          <w:sz w:val="24"/>
          <w:szCs w:val="24"/>
        </w:rPr>
        <w:t>nited</w:t>
      </w:r>
      <w:r w:rsidRPr="002500D2" w:rsidR="00413430">
        <w:rPr>
          <w:rFonts w:eastAsia="Calibri"/>
          <w:sz w:val="24"/>
          <w:szCs w:val="24"/>
        </w:rPr>
        <w:t xml:space="preserve"> </w:t>
      </w:r>
      <w:r w:rsidRPr="002500D2" w:rsidR="006E2C27">
        <w:rPr>
          <w:rFonts w:eastAsia="Calibri"/>
          <w:sz w:val="24"/>
          <w:szCs w:val="24"/>
        </w:rPr>
        <w:t>S</w:t>
      </w:r>
      <w:r w:rsidRPr="002500D2" w:rsidR="008923AD">
        <w:rPr>
          <w:rFonts w:eastAsia="Calibri"/>
          <w:sz w:val="24"/>
          <w:szCs w:val="24"/>
        </w:rPr>
        <w:t>tates</w:t>
      </w:r>
      <w:r w:rsidRPr="002500D2" w:rsidR="00413430">
        <w:rPr>
          <w:rFonts w:eastAsia="Calibri"/>
          <w:sz w:val="24"/>
          <w:szCs w:val="24"/>
        </w:rPr>
        <w:t xml:space="preserve"> </w:t>
      </w:r>
      <w:r w:rsidRPr="002500D2" w:rsidR="008923AD">
        <w:rPr>
          <w:rFonts w:eastAsia="Calibri"/>
          <w:sz w:val="24"/>
          <w:szCs w:val="24"/>
        </w:rPr>
        <w:t>(U.S</w:t>
      </w:r>
      <w:r w:rsidRPr="002500D2" w:rsidR="00904A53">
        <w:rPr>
          <w:rFonts w:eastAsia="Calibri"/>
          <w:sz w:val="24"/>
          <w:szCs w:val="24"/>
        </w:rPr>
        <w:t>.</w:t>
      </w:r>
      <w:r w:rsidRPr="002500D2" w:rsidR="008923AD">
        <w:rPr>
          <w:rFonts w:eastAsia="Calibri"/>
          <w:sz w:val="24"/>
          <w:szCs w:val="24"/>
        </w:rPr>
        <w:t>)</w:t>
      </w:r>
      <w:r w:rsidRPr="002500D2" w:rsidR="006E2C27">
        <w:rPr>
          <w:rFonts w:eastAsia="Calibri"/>
          <w:sz w:val="24"/>
          <w:szCs w:val="24"/>
        </w:rPr>
        <w:t xml:space="preserve"> S</w:t>
      </w:r>
      <w:r w:rsidRPr="002500D2" w:rsidR="00901A8F">
        <w:rPr>
          <w:rFonts w:eastAsia="Calibri"/>
          <w:sz w:val="24"/>
          <w:szCs w:val="24"/>
        </w:rPr>
        <w:t>ecretary of Commerce</w:t>
      </w:r>
      <w:r w:rsidRPr="002500D2" w:rsidR="006E2C27">
        <w:rPr>
          <w:rFonts w:eastAsia="Calibri"/>
          <w:sz w:val="24"/>
          <w:szCs w:val="24"/>
        </w:rPr>
        <w:t xml:space="preserve"> is authorized to regulate fisheries for Atlantic highly migratory species (HMS) under the </w:t>
      </w:r>
      <w:hyperlink w:history="1" r:id="rId8">
        <w:r w:rsidRPr="002500D2" w:rsidR="006E2C27">
          <w:rPr>
            <w:rStyle w:val="Hyperlink"/>
            <w:rFonts w:eastAsia="Calibri"/>
            <w:sz w:val="24"/>
            <w:szCs w:val="24"/>
          </w:rPr>
          <w:t>Magnuson-Stevens Fishery Conservation and Management Act</w:t>
        </w:r>
      </w:hyperlink>
      <w:r w:rsidRPr="002500D2" w:rsidR="006E2C27">
        <w:rPr>
          <w:rFonts w:eastAsia="Calibri"/>
          <w:sz w:val="24"/>
          <w:szCs w:val="24"/>
        </w:rPr>
        <w:t xml:space="preserve"> (MSA; 16 U.S.C. 1801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xml:space="preserve">.) and the </w:t>
      </w:r>
      <w:hyperlink w:history="1" r:id="rId9">
        <w:r w:rsidRPr="002500D2" w:rsidR="006E2C27">
          <w:rPr>
            <w:rStyle w:val="Hyperlink"/>
            <w:rFonts w:eastAsia="Calibri"/>
            <w:sz w:val="24"/>
            <w:szCs w:val="24"/>
          </w:rPr>
          <w:t>Atlantic Tunas Convention Act of 1975</w:t>
        </w:r>
      </w:hyperlink>
      <w:r w:rsidRPr="002500D2" w:rsidR="006E2C27">
        <w:rPr>
          <w:rFonts w:eastAsia="Calibri"/>
          <w:sz w:val="24"/>
          <w:szCs w:val="24"/>
        </w:rPr>
        <w:t xml:space="preserve"> (ATCA; 16 U.S.C. 971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xml:space="preserve">.), as amended.  ATCA authorizes </w:t>
      </w:r>
      <w:r w:rsidRPr="002500D2" w:rsidR="00901A8F">
        <w:rPr>
          <w:rFonts w:eastAsia="Calibri"/>
          <w:sz w:val="24"/>
          <w:szCs w:val="24"/>
        </w:rPr>
        <w:t>the Secretary</w:t>
      </w:r>
      <w:r w:rsidRPr="002500D2" w:rsidR="006E2C27">
        <w:rPr>
          <w:rFonts w:eastAsia="Calibri"/>
          <w:sz w:val="24"/>
          <w:szCs w:val="24"/>
        </w:rPr>
        <w:t xml:space="preserve"> to promulgate regulations as may be necessary and appropriate to carry out the binding recommendations from the International Commission for the Conservation of Atlantic Tunas (ICCA</w:t>
      </w:r>
      <w:r w:rsidRPr="002500D2" w:rsidR="000F7CBC">
        <w:rPr>
          <w:rFonts w:eastAsia="Calibri"/>
          <w:sz w:val="24"/>
          <w:szCs w:val="24"/>
        </w:rPr>
        <w:t>T).</w:t>
      </w:r>
    </w:p>
    <w:p w:rsidRPr="002500D2" w:rsidR="006E2C27" w:rsidP="002500D2" w:rsidRDefault="006E2C27" w14:paraId="0B98D4F5" w14:textId="77777777">
      <w:pPr>
        <w:widowControl/>
        <w:autoSpaceDE/>
        <w:autoSpaceDN/>
        <w:adjustRightInd/>
        <w:rPr>
          <w:rFonts w:eastAsia="Calibri"/>
          <w:sz w:val="24"/>
          <w:szCs w:val="24"/>
        </w:rPr>
      </w:pPr>
    </w:p>
    <w:p w:rsidR="00E735BD" w:rsidP="002500D2" w:rsidRDefault="00E735BD" w14:paraId="012E6B43" w14:textId="2E3B9AE4">
      <w:pPr>
        <w:widowControl/>
        <w:autoSpaceDE/>
        <w:autoSpaceDN/>
        <w:adjustRightInd/>
        <w:rPr>
          <w:rFonts w:eastAsia="Calibri"/>
          <w:sz w:val="24"/>
          <w:szCs w:val="24"/>
        </w:rPr>
      </w:pPr>
      <w:r>
        <w:rPr>
          <w:rFonts w:eastAsia="Calibri"/>
          <w:sz w:val="24"/>
          <w:szCs w:val="24"/>
        </w:rPr>
        <w:t>ICCAT manages t</w:t>
      </w:r>
      <w:r w:rsidRPr="002500D2" w:rsidR="006E2C27">
        <w:rPr>
          <w:rFonts w:eastAsia="Calibri"/>
          <w:sz w:val="24"/>
          <w:szCs w:val="24"/>
        </w:rPr>
        <w:t>h</w:t>
      </w:r>
      <w:r w:rsidRPr="002500D2" w:rsidR="00BB0019">
        <w:rPr>
          <w:rFonts w:eastAsia="Calibri"/>
          <w:sz w:val="24"/>
          <w:szCs w:val="24"/>
        </w:rPr>
        <w:t>e</w:t>
      </w:r>
      <w:r w:rsidRPr="002500D2" w:rsidR="006E2C27">
        <w:rPr>
          <w:rFonts w:eastAsia="Calibri"/>
          <w:sz w:val="24"/>
          <w:szCs w:val="24"/>
        </w:rPr>
        <w:t xml:space="preserve"> highly valued, internationally pursued Atlantic bluefin tuna.  ICCAT recommendations allocate a limited portion of the Western Atlantic bluefin tuna quota to the </w:t>
      </w:r>
      <w:r w:rsidRPr="002500D2" w:rsidR="000F7CBC">
        <w:rPr>
          <w:rFonts w:eastAsia="Calibri"/>
          <w:sz w:val="24"/>
          <w:szCs w:val="24"/>
        </w:rPr>
        <w:t>U</w:t>
      </w:r>
      <w:r w:rsidRPr="002500D2" w:rsidR="00E03999">
        <w:rPr>
          <w:rFonts w:eastAsia="Calibri"/>
          <w:sz w:val="24"/>
          <w:szCs w:val="24"/>
        </w:rPr>
        <w:t xml:space="preserve">nited </w:t>
      </w:r>
      <w:r w:rsidRPr="002500D2" w:rsidR="000F7CBC">
        <w:rPr>
          <w:rFonts w:eastAsia="Calibri"/>
          <w:sz w:val="24"/>
          <w:szCs w:val="24"/>
        </w:rPr>
        <w:t>S</w:t>
      </w:r>
      <w:r w:rsidRPr="002500D2" w:rsidR="00E03999">
        <w:rPr>
          <w:rFonts w:eastAsia="Calibri"/>
          <w:sz w:val="24"/>
          <w:szCs w:val="24"/>
        </w:rPr>
        <w:t>tates</w:t>
      </w:r>
      <w:r w:rsidRPr="002500D2" w:rsidR="006E2C27">
        <w:rPr>
          <w:rFonts w:eastAsia="Calibri"/>
          <w:sz w:val="24"/>
          <w:szCs w:val="24"/>
        </w:rPr>
        <w:t xml:space="preserve"> for distribution among domestic user groups.  </w:t>
      </w:r>
      <w:r w:rsidRPr="002500D2" w:rsidR="000F7CBC">
        <w:rPr>
          <w:rFonts w:eastAsia="Calibri"/>
          <w:sz w:val="24"/>
          <w:szCs w:val="24"/>
        </w:rPr>
        <w:t>The National Marine Fisheries Service (</w:t>
      </w:r>
      <w:r w:rsidRPr="002500D2" w:rsidR="006E2C27">
        <w:rPr>
          <w:rFonts w:eastAsia="Calibri"/>
          <w:sz w:val="24"/>
          <w:szCs w:val="24"/>
        </w:rPr>
        <w:t>NMFS</w:t>
      </w:r>
      <w:r w:rsidRPr="002500D2" w:rsidR="000F7CBC">
        <w:rPr>
          <w:rFonts w:eastAsia="Calibri"/>
          <w:sz w:val="24"/>
          <w:szCs w:val="24"/>
        </w:rPr>
        <w:t>)</w:t>
      </w:r>
      <w:r w:rsidRPr="002500D2" w:rsidR="006E2C27">
        <w:rPr>
          <w:rFonts w:eastAsia="Calibri"/>
          <w:sz w:val="24"/>
          <w:szCs w:val="24"/>
        </w:rPr>
        <w:t xml:space="preserve"> regulations at </w:t>
      </w:r>
      <w:hyperlink w:history="1" r:id="rId10">
        <w:r w:rsidRPr="002500D2" w:rsidR="006E2C27">
          <w:rPr>
            <w:rStyle w:val="Hyperlink"/>
            <w:rFonts w:eastAsia="Calibri"/>
            <w:sz w:val="24"/>
            <w:szCs w:val="24"/>
          </w:rPr>
          <w:t>50 CFR part 635</w:t>
        </w:r>
      </w:hyperlink>
      <w:r w:rsidRPr="002500D2" w:rsidR="006E2C27">
        <w:rPr>
          <w:rFonts w:eastAsia="Calibri"/>
          <w:sz w:val="24"/>
          <w:szCs w:val="24"/>
        </w:rPr>
        <w:t xml:space="preserve"> per </w:t>
      </w:r>
      <w:r w:rsidRPr="00E735BD" w:rsidR="006E2C27">
        <w:rPr>
          <w:rFonts w:eastAsia="Calibri"/>
          <w:sz w:val="24"/>
          <w:szCs w:val="24"/>
        </w:rPr>
        <w:t xml:space="preserve">the </w:t>
      </w:r>
      <w:r w:rsidRPr="00E735BD" w:rsidR="003C0FBC">
        <w:rPr>
          <w:rFonts w:eastAsia="Calibri"/>
          <w:sz w:val="24"/>
          <w:szCs w:val="24"/>
        </w:rPr>
        <w:t xml:space="preserve">2006 </w:t>
      </w:r>
      <w:r w:rsidRPr="00E735BD" w:rsidR="006E2C27">
        <w:rPr>
          <w:rFonts w:eastAsia="Calibri"/>
          <w:sz w:val="24"/>
          <w:szCs w:val="24"/>
        </w:rPr>
        <w:t xml:space="preserve">Consolidated </w:t>
      </w:r>
      <w:r w:rsidR="00015C33">
        <w:rPr>
          <w:rFonts w:eastAsia="Calibri"/>
          <w:sz w:val="24"/>
          <w:szCs w:val="24"/>
        </w:rPr>
        <w:t xml:space="preserve">Atlantic </w:t>
      </w:r>
      <w:r w:rsidRPr="00E735BD" w:rsidR="006E2C27">
        <w:rPr>
          <w:rFonts w:eastAsia="Calibri"/>
          <w:sz w:val="24"/>
          <w:szCs w:val="24"/>
        </w:rPr>
        <w:t xml:space="preserve">HMS Fishery Management Plan </w:t>
      </w:r>
      <w:r w:rsidRPr="00E735BD" w:rsidR="003C0FBC">
        <w:rPr>
          <w:rFonts w:eastAsia="Calibri"/>
          <w:sz w:val="24"/>
          <w:szCs w:val="24"/>
        </w:rPr>
        <w:t>(Consolidated HMS FMP)</w:t>
      </w:r>
      <w:r w:rsidRPr="002500D2" w:rsidR="003C0FBC">
        <w:rPr>
          <w:rFonts w:eastAsia="Calibri"/>
          <w:sz w:val="24"/>
          <w:szCs w:val="24"/>
        </w:rPr>
        <w:t xml:space="preserve"> </w:t>
      </w:r>
      <w:r w:rsidRPr="002500D2" w:rsidR="006E2C27">
        <w:rPr>
          <w:rFonts w:eastAsia="Calibri"/>
          <w:sz w:val="24"/>
          <w:szCs w:val="24"/>
        </w:rPr>
        <w:t xml:space="preserve">govern domestic allocation of the ICCAT </w:t>
      </w:r>
      <w:r w:rsidRPr="002500D2" w:rsidR="00904A53">
        <w:rPr>
          <w:rFonts w:eastAsia="Calibri"/>
          <w:sz w:val="24"/>
          <w:szCs w:val="24"/>
        </w:rPr>
        <w:t xml:space="preserve">recommended </w:t>
      </w:r>
      <w:r w:rsidRPr="002500D2" w:rsidR="006E2C27">
        <w:rPr>
          <w:rFonts w:eastAsia="Calibri"/>
          <w:sz w:val="24"/>
          <w:szCs w:val="24"/>
        </w:rPr>
        <w:t>bluefin tuna quota.</w:t>
      </w:r>
      <w:r>
        <w:rPr>
          <w:rFonts w:eastAsia="Calibri"/>
          <w:sz w:val="24"/>
          <w:szCs w:val="24"/>
        </w:rPr>
        <w:t xml:space="preserve">  </w:t>
      </w:r>
    </w:p>
    <w:p w:rsidR="00E735BD" w:rsidP="002500D2" w:rsidRDefault="00E735BD" w14:paraId="6CD59BEA" w14:textId="77777777">
      <w:pPr>
        <w:widowControl/>
        <w:autoSpaceDE/>
        <w:autoSpaceDN/>
        <w:adjustRightInd/>
        <w:rPr>
          <w:rFonts w:eastAsia="Calibri"/>
          <w:sz w:val="24"/>
          <w:szCs w:val="24"/>
        </w:rPr>
      </w:pPr>
    </w:p>
    <w:p w:rsidRPr="002500D2" w:rsidR="006E2C27" w:rsidP="002500D2" w:rsidRDefault="006E2C27" w14:paraId="59CB5126" w14:textId="6542CE11">
      <w:pPr>
        <w:widowControl/>
        <w:autoSpaceDE/>
        <w:autoSpaceDN/>
        <w:adjustRightInd/>
        <w:rPr>
          <w:rFonts w:eastAsia="Calibri"/>
          <w:sz w:val="24"/>
          <w:szCs w:val="24"/>
        </w:rPr>
      </w:pPr>
      <w:r w:rsidRPr="002500D2">
        <w:rPr>
          <w:rFonts w:eastAsia="Calibri"/>
          <w:sz w:val="24"/>
          <w:szCs w:val="24"/>
        </w:rPr>
        <w:t>Amendmen</w:t>
      </w:r>
      <w:r w:rsidRPr="002500D2" w:rsidR="00AB69F3">
        <w:rPr>
          <w:rFonts w:eastAsia="Calibri"/>
          <w:sz w:val="24"/>
          <w:szCs w:val="24"/>
        </w:rPr>
        <w:t xml:space="preserve">t 7 to the </w:t>
      </w:r>
      <w:r w:rsidRPr="002500D2" w:rsidR="00904A53">
        <w:rPr>
          <w:rFonts w:eastAsia="Calibri"/>
          <w:sz w:val="24"/>
          <w:szCs w:val="24"/>
        </w:rPr>
        <w:t xml:space="preserve">2006 </w:t>
      </w:r>
      <w:r w:rsidRPr="002500D2" w:rsidR="00AB69F3">
        <w:rPr>
          <w:rFonts w:eastAsia="Calibri"/>
          <w:sz w:val="24"/>
          <w:szCs w:val="24"/>
        </w:rPr>
        <w:t>Cons</w:t>
      </w:r>
      <w:r w:rsidR="00E735BD">
        <w:rPr>
          <w:rFonts w:eastAsia="Calibri"/>
          <w:sz w:val="24"/>
          <w:szCs w:val="24"/>
        </w:rPr>
        <w:t>olidated HMS FMP</w:t>
      </w:r>
      <w:r w:rsidRPr="002500D2" w:rsidR="00AB69F3">
        <w:rPr>
          <w:rFonts w:eastAsia="Calibri"/>
          <w:sz w:val="24"/>
          <w:szCs w:val="24"/>
        </w:rPr>
        <w:t xml:space="preserve"> implement</w:t>
      </w:r>
      <w:r w:rsidR="00921977">
        <w:rPr>
          <w:rFonts w:eastAsia="Calibri"/>
          <w:sz w:val="24"/>
          <w:szCs w:val="24"/>
        </w:rPr>
        <w:t>ed</w:t>
      </w:r>
      <w:r w:rsidRPr="002500D2" w:rsidR="00AB69F3">
        <w:rPr>
          <w:rFonts w:eastAsia="Calibri"/>
          <w:sz w:val="24"/>
          <w:szCs w:val="24"/>
        </w:rPr>
        <w:t xml:space="preserve"> individual bluefin quota </w:t>
      </w:r>
      <w:r w:rsidRPr="002500D2" w:rsidR="003C0FBC">
        <w:rPr>
          <w:rFonts w:eastAsia="Calibri"/>
          <w:sz w:val="24"/>
          <w:szCs w:val="24"/>
        </w:rPr>
        <w:t xml:space="preserve">(IBQ) </w:t>
      </w:r>
      <w:r w:rsidRPr="002500D2" w:rsidR="00AB69F3">
        <w:rPr>
          <w:rFonts w:eastAsia="Calibri"/>
          <w:sz w:val="24"/>
          <w:szCs w:val="24"/>
        </w:rPr>
        <w:t xml:space="preserve">shares </w:t>
      </w:r>
      <w:r w:rsidRPr="002500D2" w:rsidR="00904A53">
        <w:rPr>
          <w:rFonts w:eastAsia="Calibri"/>
          <w:sz w:val="24"/>
          <w:szCs w:val="24"/>
        </w:rPr>
        <w:t xml:space="preserve">and allocations </w:t>
      </w:r>
      <w:r w:rsidRPr="002500D2" w:rsidR="00AB69F3">
        <w:rPr>
          <w:rFonts w:eastAsia="Calibri"/>
          <w:sz w:val="24"/>
          <w:szCs w:val="24"/>
        </w:rPr>
        <w:t xml:space="preserve">to vessels fishing in the Atlantic </w:t>
      </w:r>
      <w:r w:rsidR="009A46A6">
        <w:rPr>
          <w:rFonts w:eastAsia="Calibri"/>
          <w:sz w:val="24"/>
          <w:szCs w:val="24"/>
        </w:rPr>
        <w:t>T</w:t>
      </w:r>
      <w:r w:rsidRPr="002500D2" w:rsidR="009A46A6">
        <w:rPr>
          <w:rFonts w:eastAsia="Calibri"/>
          <w:sz w:val="24"/>
          <w:szCs w:val="24"/>
        </w:rPr>
        <w:t xml:space="preserve">unas </w:t>
      </w:r>
      <w:r w:rsidRPr="002500D2" w:rsidR="00AB69F3">
        <w:rPr>
          <w:rFonts w:eastAsia="Calibri"/>
          <w:sz w:val="24"/>
          <w:szCs w:val="24"/>
        </w:rPr>
        <w:t>Longline category.</w:t>
      </w:r>
      <w:r w:rsidR="00E735BD">
        <w:rPr>
          <w:rFonts w:eastAsia="Calibri"/>
          <w:sz w:val="24"/>
          <w:szCs w:val="24"/>
        </w:rPr>
        <w:t xml:space="preserve"> </w:t>
      </w:r>
      <w:r w:rsidRPr="002500D2">
        <w:rPr>
          <w:rFonts w:eastAsia="Calibri"/>
          <w:sz w:val="24"/>
          <w:szCs w:val="24"/>
        </w:rPr>
        <w:t xml:space="preserve"> IBQs are intended to fairly and effectively allocate limited quota for incidental capture of bluefin tuna </w:t>
      </w:r>
      <w:r w:rsidRPr="002500D2" w:rsidR="00AB69F3">
        <w:rPr>
          <w:rFonts w:eastAsia="Calibri"/>
          <w:sz w:val="24"/>
          <w:szCs w:val="24"/>
        </w:rPr>
        <w:t>among vessels in the Longline</w:t>
      </w:r>
      <w:r w:rsidRPr="002500D2">
        <w:rPr>
          <w:rFonts w:eastAsia="Calibri"/>
          <w:sz w:val="24"/>
          <w:szCs w:val="24"/>
        </w:rPr>
        <w:t xml:space="preserve"> category, while minimizing dead discards and discouraging</w:t>
      </w:r>
      <w:r w:rsidRPr="002500D2" w:rsidR="00904A53">
        <w:rPr>
          <w:rFonts w:eastAsia="Calibri"/>
          <w:sz w:val="24"/>
          <w:szCs w:val="24"/>
        </w:rPr>
        <w:t xml:space="preserve"> </w:t>
      </w:r>
      <w:r w:rsidRPr="002500D2" w:rsidR="00904A53">
        <w:rPr>
          <w:rFonts w:eastAsia="Calibri"/>
          <w:sz w:val="24"/>
          <w:szCs w:val="24"/>
        </w:rPr>
        <w:lastRenderedPageBreak/>
        <w:t xml:space="preserve">interactions with </w:t>
      </w:r>
      <w:r w:rsidRPr="002500D2">
        <w:rPr>
          <w:rFonts w:eastAsia="Calibri"/>
          <w:sz w:val="24"/>
          <w:szCs w:val="24"/>
        </w:rPr>
        <w:t>bluefin tuna</w:t>
      </w:r>
      <w:r w:rsidRPr="002500D2" w:rsidR="00AB69F3">
        <w:rPr>
          <w:rFonts w:eastAsia="Calibri"/>
          <w:sz w:val="24"/>
          <w:szCs w:val="24"/>
        </w:rPr>
        <w:t>, and better utilizing the Purse seine category quota</w:t>
      </w:r>
      <w:r w:rsidRPr="002500D2">
        <w:rPr>
          <w:rFonts w:eastAsia="Calibri"/>
          <w:sz w:val="24"/>
          <w:szCs w:val="24"/>
        </w:rPr>
        <w:t>.</w:t>
      </w:r>
      <w:r w:rsidRPr="002500D2" w:rsidR="00AB69F3">
        <w:rPr>
          <w:rFonts w:eastAsia="Calibri"/>
          <w:sz w:val="24"/>
          <w:szCs w:val="24"/>
        </w:rPr>
        <w:t xml:space="preserve">  </w:t>
      </w:r>
      <w:r w:rsidRPr="002500D2">
        <w:rPr>
          <w:rFonts w:eastAsia="Calibri"/>
          <w:sz w:val="24"/>
          <w:szCs w:val="24"/>
        </w:rPr>
        <w:t>An on-line system developed by NMFS track</w:t>
      </w:r>
      <w:r w:rsidR="00921977">
        <w:rPr>
          <w:rFonts w:eastAsia="Calibri"/>
          <w:sz w:val="24"/>
          <w:szCs w:val="24"/>
        </w:rPr>
        <w:t>s</w:t>
      </w:r>
      <w:r w:rsidRPr="002500D2">
        <w:rPr>
          <w:rFonts w:eastAsia="Calibri"/>
          <w:sz w:val="24"/>
          <w:szCs w:val="24"/>
        </w:rPr>
        <w:t xml:space="preserve"> allocations and allocation </w:t>
      </w:r>
      <w:r w:rsidRPr="002500D2" w:rsidR="00E93A1C">
        <w:rPr>
          <w:rFonts w:eastAsia="Calibri"/>
          <w:sz w:val="24"/>
          <w:szCs w:val="24"/>
        </w:rPr>
        <w:t>leases</w:t>
      </w:r>
      <w:r w:rsidRPr="002500D2">
        <w:rPr>
          <w:rFonts w:eastAsia="Calibri"/>
          <w:sz w:val="24"/>
          <w:szCs w:val="24"/>
        </w:rPr>
        <w:t xml:space="preserve">, </w:t>
      </w:r>
      <w:r w:rsidRPr="002500D2" w:rsidR="00AB69F3">
        <w:rPr>
          <w:rFonts w:eastAsia="Calibri"/>
          <w:sz w:val="24"/>
          <w:szCs w:val="24"/>
        </w:rPr>
        <w:t>and reconcile</w:t>
      </w:r>
      <w:r w:rsidR="00921977">
        <w:rPr>
          <w:rFonts w:eastAsia="Calibri"/>
          <w:sz w:val="24"/>
          <w:szCs w:val="24"/>
        </w:rPr>
        <w:t>s</w:t>
      </w:r>
      <w:r w:rsidRPr="002500D2" w:rsidR="00AB69F3">
        <w:rPr>
          <w:rFonts w:eastAsia="Calibri"/>
          <w:sz w:val="24"/>
          <w:szCs w:val="24"/>
        </w:rPr>
        <w:t xml:space="preserve"> </w:t>
      </w:r>
      <w:r w:rsidRPr="002500D2" w:rsidR="00E93A1C">
        <w:rPr>
          <w:rFonts w:eastAsia="Calibri"/>
          <w:sz w:val="24"/>
          <w:szCs w:val="24"/>
        </w:rPr>
        <w:t xml:space="preserve">leases </w:t>
      </w:r>
      <w:r w:rsidRPr="002500D2" w:rsidR="00AB69F3">
        <w:rPr>
          <w:rFonts w:eastAsia="Calibri"/>
          <w:sz w:val="24"/>
          <w:szCs w:val="24"/>
        </w:rPr>
        <w:t xml:space="preserve">with </w:t>
      </w:r>
      <w:r w:rsidRPr="002500D2" w:rsidR="00904A53">
        <w:rPr>
          <w:rFonts w:eastAsia="Calibri"/>
          <w:sz w:val="24"/>
          <w:szCs w:val="24"/>
        </w:rPr>
        <w:t xml:space="preserve">bluefin tuna catch </w:t>
      </w:r>
      <w:r w:rsidRPr="002500D2" w:rsidR="00AB69F3">
        <w:rPr>
          <w:rFonts w:eastAsia="Calibri"/>
          <w:sz w:val="24"/>
          <w:szCs w:val="24"/>
        </w:rPr>
        <w:t xml:space="preserve">for quota monitoring.  </w:t>
      </w:r>
      <w:r w:rsidRPr="002500D2" w:rsidR="00E735BD">
        <w:rPr>
          <w:rFonts w:eastAsia="Calibri"/>
          <w:sz w:val="24"/>
          <w:szCs w:val="24"/>
        </w:rPr>
        <w:t xml:space="preserve">This collection of information </w:t>
      </w:r>
      <w:r w:rsidR="00E735BD">
        <w:rPr>
          <w:rFonts w:eastAsia="Calibri"/>
          <w:sz w:val="24"/>
          <w:szCs w:val="24"/>
        </w:rPr>
        <w:t>includes</w:t>
      </w:r>
      <w:r w:rsidRPr="002500D2" w:rsidR="00E735BD">
        <w:rPr>
          <w:rFonts w:eastAsia="Calibri"/>
          <w:sz w:val="24"/>
          <w:szCs w:val="24"/>
        </w:rPr>
        <w:t xml:space="preserve"> reporting of IBQ allocation leases among pelagic longline (PLL) vessels and between PLL and purse seine vessels.</w:t>
      </w:r>
    </w:p>
    <w:p w:rsidRPr="002500D2" w:rsidR="00AB69F3" w:rsidP="002500D2" w:rsidRDefault="00AB69F3" w14:paraId="67F50ED2" w14:textId="77777777">
      <w:pPr>
        <w:widowControl/>
        <w:autoSpaceDE/>
        <w:autoSpaceDN/>
        <w:adjustRightInd/>
        <w:rPr>
          <w:rFonts w:eastAsia="Calibri"/>
          <w:sz w:val="24"/>
          <w:szCs w:val="24"/>
        </w:rPr>
      </w:pPr>
    </w:p>
    <w:p w:rsidRPr="00ED1FA1" w:rsidR="00ED1FA1" w:rsidP="00ED1FA1" w:rsidRDefault="004F26E9" w14:paraId="5189F338" w14:textId="34448DBA">
      <w:pPr>
        <w:pStyle w:val="Heading1"/>
        <w:tabs>
          <w:tab w:val="left" w:pos="360"/>
        </w:tabs>
        <w:spacing w:before="197"/>
        <w:ind w:left="0"/>
        <w:rPr>
          <w:rFonts w:ascii="Times New Roman" w:hAnsi="Times New Roman" w:cs="Times New Roman"/>
        </w:rPr>
      </w:pPr>
      <w:r w:rsidRPr="00ED1FA1">
        <w:rPr>
          <w:rFonts w:ascii="Times New Roman" w:hAnsi="Times New Roman" w:cs="Times New Roman"/>
        </w:rPr>
        <w:t xml:space="preserve">2.  </w:t>
      </w:r>
      <w:r w:rsidRPr="00ED1FA1">
        <w:rPr>
          <w:rFonts w:ascii="Times New Roman" w:hAnsi="Times New Roman" w:cs="Times New Roman"/>
          <w:lang w:val="en-CA"/>
        </w:rPr>
        <w:fldChar w:fldCharType="begin"/>
      </w:r>
      <w:r w:rsidRPr="00ED1FA1">
        <w:rPr>
          <w:rFonts w:ascii="Times New Roman" w:hAnsi="Times New Roman" w:cs="Times New Roman"/>
          <w:lang w:val="en-CA"/>
        </w:rPr>
        <w:instrText xml:space="preserve"> SEQ CHAPTER \h \r 1</w:instrText>
      </w:r>
      <w:r w:rsidRPr="00ED1FA1">
        <w:rPr>
          <w:rFonts w:ascii="Times New Roman" w:hAnsi="Times New Roman" w:cs="Times New Roman"/>
          <w:lang w:val="en-CA"/>
        </w:rPr>
        <w:fldChar w:fldCharType="end"/>
      </w:r>
      <w:r w:rsidRPr="00ED1FA1" w:rsidR="00ED1FA1">
        <w:rPr>
          <w:rFonts w:ascii="Times New Roman" w:hAnsi="Times New Roman" w:cs="Times New Roman"/>
        </w:rPr>
        <w:t xml:space="preserve"> </w:t>
      </w:r>
      <w:r w:rsidRPr="00ED1FA1" w:rsidR="00ED1FA1">
        <w:rPr>
          <w:rFonts w:ascii="Times New Roman" w:hAnsi="Times New Roman" w:cs="Times New Roman"/>
          <w:bCs w:val="0"/>
        </w:rPr>
        <w:t>Indicate how, by whom, and for what purpose the information is to be used. Except for a</w:t>
      </w:r>
      <w:r w:rsidRPr="00ED1FA1" w:rsidR="00ED1FA1">
        <w:rPr>
          <w:rFonts w:ascii="Times New Roman" w:hAnsi="Times New Roman" w:cs="Times New Roman"/>
        </w:rPr>
        <w:t xml:space="preserve"> </w:t>
      </w:r>
      <w:r w:rsidRPr="00ED1FA1" w:rsidR="00ED1FA1">
        <w:rPr>
          <w:rFonts w:ascii="Times New Roman" w:hAnsi="Times New Roman" w:cs="Times New Roman"/>
          <w:bCs w:val="0"/>
        </w:rPr>
        <w:t>new collection, indicate the actual use the agency has made of the information received from the</w:t>
      </w:r>
      <w:r w:rsidRPr="00ED1FA1" w:rsidR="00ED1FA1">
        <w:rPr>
          <w:rFonts w:ascii="Times New Roman" w:hAnsi="Times New Roman" w:cs="Times New Roman"/>
        </w:rPr>
        <w:t xml:space="preserve"> current</w:t>
      </w:r>
      <w:r w:rsidRPr="00ED1FA1" w:rsidR="00ED1FA1">
        <w:rPr>
          <w:rFonts w:ascii="Times New Roman" w:hAnsi="Times New Roman" w:cs="Times New Roman"/>
          <w:spacing w:val="-1"/>
        </w:rPr>
        <w:t xml:space="preserve"> </w:t>
      </w:r>
      <w:r w:rsidRPr="00ED1FA1" w:rsidR="00ED1FA1">
        <w:rPr>
          <w:rFonts w:ascii="Times New Roman" w:hAnsi="Times New Roman" w:cs="Times New Roman"/>
        </w:rPr>
        <w:t>collection.</w:t>
      </w:r>
    </w:p>
    <w:p w:rsidRPr="00ED1FA1" w:rsidR="004F26E9" w:rsidP="002500D2" w:rsidRDefault="004F26E9" w14:paraId="3C72BAD8" w14:textId="455C30DF">
      <w:pPr>
        <w:rPr>
          <w:sz w:val="24"/>
          <w:szCs w:val="24"/>
        </w:rPr>
      </w:pPr>
    </w:p>
    <w:p w:rsidRPr="002500D2" w:rsidR="00F61925" w:rsidP="002500D2" w:rsidRDefault="006061E0" w14:paraId="1876B5A1" w14:textId="77777777">
      <w:pPr>
        <w:rPr>
          <w:sz w:val="24"/>
          <w:szCs w:val="24"/>
        </w:rPr>
      </w:pPr>
      <w:r w:rsidRPr="00ED1FA1">
        <w:rPr>
          <w:sz w:val="24"/>
          <w:szCs w:val="24"/>
        </w:rPr>
        <w:t xml:space="preserve">Eligible Atlantic Tunas Longline category permit holders </w:t>
      </w:r>
      <w:r w:rsidRPr="00ED1FA1" w:rsidR="00FA6533">
        <w:rPr>
          <w:sz w:val="24"/>
          <w:szCs w:val="24"/>
        </w:rPr>
        <w:t>must have an IBQ System account in order to be issued IBQ shares and resultant allocation</w:t>
      </w:r>
      <w:r w:rsidRPr="00ED1FA1" w:rsidR="00921977">
        <w:rPr>
          <w:sz w:val="24"/>
          <w:szCs w:val="24"/>
        </w:rPr>
        <w:t>,</w:t>
      </w:r>
      <w:r w:rsidRPr="00ED1FA1" w:rsidR="00FA6533">
        <w:rPr>
          <w:sz w:val="24"/>
          <w:szCs w:val="24"/>
        </w:rPr>
        <w:t xml:space="preserve"> or lease IBQ.  NMFS set</w:t>
      </w:r>
      <w:r w:rsidRPr="00ED1FA1" w:rsidR="001A5A46">
        <w:rPr>
          <w:sz w:val="24"/>
          <w:szCs w:val="24"/>
        </w:rPr>
        <w:t>s</w:t>
      </w:r>
      <w:r w:rsidRPr="00ED1FA1" w:rsidR="00FA6533">
        <w:rPr>
          <w:sz w:val="24"/>
          <w:szCs w:val="24"/>
        </w:rPr>
        <w:t xml:space="preserve"> up the IBQ System account for eligible IBQ participants</w:t>
      </w:r>
      <w:r w:rsidRPr="00ED1FA1" w:rsidR="001A5A46">
        <w:rPr>
          <w:sz w:val="24"/>
          <w:szCs w:val="24"/>
        </w:rPr>
        <w:t xml:space="preserve"> based on information provided in the application for the Atlantic Tunas Longline permit or Atlantic Tunas Purse</w:t>
      </w:r>
      <w:r w:rsidR="001A5A46">
        <w:rPr>
          <w:sz w:val="24"/>
          <w:szCs w:val="24"/>
        </w:rPr>
        <w:t xml:space="preserve"> Seine permit (Collection 0648-0327)</w:t>
      </w:r>
      <w:r w:rsidRPr="007816A9" w:rsidR="00FA6533">
        <w:rPr>
          <w:sz w:val="24"/>
          <w:szCs w:val="24"/>
        </w:rPr>
        <w:t xml:space="preserve">.  </w:t>
      </w:r>
      <w:r w:rsidRPr="002500D2" w:rsidR="009D32FE">
        <w:rPr>
          <w:sz w:val="24"/>
          <w:szCs w:val="24"/>
        </w:rPr>
        <w:t xml:space="preserve">The information </w:t>
      </w:r>
      <w:r w:rsidR="00E735BD">
        <w:rPr>
          <w:sz w:val="24"/>
          <w:szCs w:val="24"/>
        </w:rPr>
        <w:t>is</w:t>
      </w:r>
      <w:r w:rsidRPr="002500D2" w:rsidR="009D32FE">
        <w:rPr>
          <w:sz w:val="24"/>
          <w:szCs w:val="24"/>
        </w:rPr>
        <w:t xml:space="preserve"> updated </w:t>
      </w:r>
      <w:r w:rsidRPr="002500D2" w:rsidR="00AC606F">
        <w:rPr>
          <w:sz w:val="24"/>
          <w:szCs w:val="24"/>
        </w:rPr>
        <w:t>as needed</w:t>
      </w:r>
      <w:r w:rsidRPr="002500D2" w:rsidR="009D32FE">
        <w:rPr>
          <w:sz w:val="24"/>
          <w:szCs w:val="24"/>
        </w:rPr>
        <w:t>.</w:t>
      </w:r>
    </w:p>
    <w:p w:rsidRPr="002500D2" w:rsidR="00F61925" w:rsidP="002500D2" w:rsidRDefault="00F61925" w14:paraId="1D22AE11" w14:textId="77777777">
      <w:pPr>
        <w:rPr>
          <w:sz w:val="24"/>
          <w:szCs w:val="24"/>
        </w:rPr>
      </w:pPr>
    </w:p>
    <w:p w:rsidR="00134C63" w:rsidP="002500D2" w:rsidRDefault="00BA3BA7" w14:paraId="03636F2F" w14:textId="2E8DCDCB">
      <w:pPr>
        <w:rPr>
          <w:sz w:val="24"/>
          <w:szCs w:val="24"/>
        </w:rPr>
      </w:pPr>
      <w:r w:rsidRPr="002500D2">
        <w:rPr>
          <w:sz w:val="24"/>
          <w:szCs w:val="24"/>
        </w:rPr>
        <w:t>T</w:t>
      </w:r>
      <w:r w:rsidRPr="002500D2" w:rsidR="004C2DC4">
        <w:rPr>
          <w:sz w:val="24"/>
          <w:szCs w:val="24"/>
        </w:rPr>
        <w:t>h</w:t>
      </w:r>
      <w:r w:rsidRPr="002500D2">
        <w:rPr>
          <w:sz w:val="24"/>
          <w:szCs w:val="24"/>
        </w:rPr>
        <w:t xml:space="preserve">e </w:t>
      </w:r>
      <w:r w:rsidRPr="005A4C72" w:rsidR="005A4C72">
        <w:rPr>
          <w:sz w:val="24"/>
          <w:szCs w:val="24"/>
        </w:rPr>
        <w:t>lease monitoring</w:t>
      </w:r>
      <w:r w:rsidR="005A4C72">
        <w:rPr>
          <w:sz w:val="24"/>
          <w:szCs w:val="24"/>
        </w:rPr>
        <w:t xml:space="preserve"> </w:t>
      </w:r>
      <w:r w:rsidRPr="002500D2">
        <w:rPr>
          <w:sz w:val="24"/>
          <w:szCs w:val="24"/>
        </w:rPr>
        <w:t>information collected by the</w:t>
      </w:r>
      <w:r w:rsidRPr="002500D2" w:rsidR="00D47B6D">
        <w:rPr>
          <w:sz w:val="24"/>
          <w:szCs w:val="24"/>
        </w:rPr>
        <w:t xml:space="preserve"> </w:t>
      </w:r>
      <w:r w:rsidRPr="002500D2">
        <w:rPr>
          <w:sz w:val="24"/>
          <w:szCs w:val="24"/>
        </w:rPr>
        <w:t xml:space="preserve">IBQ </w:t>
      </w:r>
      <w:r w:rsidR="005A4C72">
        <w:rPr>
          <w:sz w:val="24"/>
          <w:szCs w:val="24"/>
        </w:rPr>
        <w:t xml:space="preserve">System </w:t>
      </w:r>
      <w:r w:rsidRPr="002500D2">
        <w:rPr>
          <w:sz w:val="24"/>
          <w:szCs w:val="24"/>
        </w:rPr>
        <w:t xml:space="preserve">will be used by </w:t>
      </w:r>
      <w:r w:rsidR="005A4C72">
        <w:rPr>
          <w:sz w:val="24"/>
          <w:szCs w:val="24"/>
        </w:rPr>
        <w:t xml:space="preserve">eligible </w:t>
      </w:r>
      <w:r w:rsidR="00FA6533">
        <w:rPr>
          <w:sz w:val="24"/>
          <w:szCs w:val="24"/>
        </w:rPr>
        <w:t>permit holders</w:t>
      </w:r>
      <w:r w:rsidRPr="002500D2" w:rsidR="00FA6533">
        <w:rPr>
          <w:sz w:val="24"/>
          <w:szCs w:val="24"/>
        </w:rPr>
        <w:t xml:space="preserve"> </w:t>
      </w:r>
      <w:r w:rsidRPr="002500D2">
        <w:rPr>
          <w:sz w:val="24"/>
          <w:szCs w:val="24"/>
        </w:rPr>
        <w:t xml:space="preserve">in the </w:t>
      </w:r>
      <w:r w:rsidR="009A46A6">
        <w:rPr>
          <w:sz w:val="24"/>
          <w:szCs w:val="24"/>
        </w:rPr>
        <w:t>PLL</w:t>
      </w:r>
      <w:r w:rsidRPr="002500D2">
        <w:rPr>
          <w:sz w:val="24"/>
          <w:szCs w:val="24"/>
        </w:rPr>
        <w:t xml:space="preserve"> </w:t>
      </w:r>
      <w:r w:rsidR="005A4C72">
        <w:rPr>
          <w:sz w:val="24"/>
          <w:szCs w:val="24"/>
        </w:rPr>
        <w:t xml:space="preserve">fishery </w:t>
      </w:r>
      <w:r w:rsidRPr="002500D2">
        <w:rPr>
          <w:sz w:val="24"/>
          <w:szCs w:val="24"/>
        </w:rPr>
        <w:t xml:space="preserve">and </w:t>
      </w:r>
      <w:r w:rsidR="00015C33">
        <w:rPr>
          <w:sz w:val="24"/>
          <w:szCs w:val="24"/>
        </w:rPr>
        <w:t>p</w:t>
      </w:r>
      <w:r w:rsidRPr="002500D2">
        <w:rPr>
          <w:sz w:val="24"/>
          <w:szCs w:val="24"/>
        </w:rPr>
        <w:t xml:space="preserve">urse </w:t>
      </w:r>
      <w:r w:rsidR="00015C33">
        <w:rPr>
          <w:sz w:val="24"/>
          <w:szCs w:val="24"/>
        </w:rPr>
        <w:t>s</w:t>
      </w:r>
      <w:r w:rsidRPr="002500D2">
        <w:rPr>
          <w:sz w:val="24"/>
          <w:szCs w:val="24"/>
        </w:rPr>
        <w:t>eine fisher</w:t>
      </w:r>
      <w:r w:rsidR="005A4C72">
        <w:rPr>
          <w:sz w:val="24"/>
          <w:szCs w:val="24"/>
        </w:rPr>
        <w:t xml:space="preserve">y </w:t>
      </w:r>
      <w:r w:rsidRPr="002500D2">
        <w:rPr>
          <w:sz w:val="24"/>
          <w:szCs w:val="24"/>
        </w:rPr>
        <w:t xml:space="preserve">in accounting </w:t>
      </w:r>
      <w:r w:rsidR="00FA6533">
        <w:rPr>
          <w:sz w:val="24"/>
          <w:szCs w:val="24"/>
        </w:rPr>
        <w:t xml:space="preserve">for </w:t>
      </w:r>
      <w:r w:rsidRPr="002500D2">
        <w:rPr>
          <w:sz w:val="24"/>
          <w:szCs w:val="24"/>
        </w:rPr>
        <w:t xml:space="preserve">their </w:t>
      </w:r>
      <w:r w:rsidR="005A4C72">
        <w:rPr>
          <w:sz w:val="24"/>
          <w:szCs w:val="24"/>
        </w:rPr>
        <w:t xml:space="preserve">respective </w:t>
      </w:r>
      <w:r w:rsidRPr="002500D2">
        <w:rPr>
          <w:sz w:val="24"/>
          <w:szCs w:val="24"/>
        </w:rPr>
        <w:t xml:space="preserve">IBQ </w:t>
      </w:r>
      <w:r w:rsidR="005A4C72">
        <w:rPr>
          <w:sz w:val="24"/>
          <w:szCs w:val="24"/>
        </w:rPr>
        <w:t xml:space="preserve">and Purse Seine </w:t>
      </w:r>
      <w:r w:rsidR="00015C33">
        <w:rPr>
          <w:sz w:val="24"/>
          <w:szCs w:val="24"/>
        </w:rPr>
        <w:t xml:space="preserve">category </w:t>
      </w:r>
      <w:r w:rsidRPr="002500D2" w:rsidR="00592C88">
        <w:rPr>
          <w:sz w:val="24"/>
          <w:szCs w:val="24"/>
        </w:rPr>
        <w:t>allocation</w:t>
      </w:r>
      <w:r w:rsidRPr="002500D2">
        <w:rPr>
          <w:sz w:val="24"/>
          <w:szCs w:val="24"/>
        </w:rPr>
        <w:t>s</w:t>
      </w:r>
      <w:r w:rsidR="001A5A46">
        <w:rPr>
          <w:sz w:val="24"/>
          <w:szCs w:val="24"/>
        </w:rPr>
        <w:t>,</w:t>
      </w:r>
      <w:r w:rsidRPr="002500D2">
        <w:rPr>
          <w:sz w:val="24"/>
          <w:szCs w:val="24"/>
        </w:rPr>
        <w:t xml:space="preserve"> </w:t>
      </w:r>
      <w:r w:rsidRPr="002500D2" w:rsidR="005319F8">
        <w:rPr>
          <w:sz w:val="24"/>
          <w:szCs w:val="24"/>
        </w:rPr>
        <w:t>and documenting</w:t>
      </w:r>
      <w:r w:rsidRPr="002500D2" w:rsidR="00E436CF">
        <w:rPr>
          <w:sz w:val="24"/>
          <w:szCs w:val="24"/>
        </w:rPr>
        <w:t xml:space="preserve"> allocation</w:t>
      </w:r>
      <w:r w:rsidRPr="002500D2" w:rsidR="005319F8">
        <w:rPr>
          <w:sz w:val="24"/>
          <w:szCs w:val="24"/>
        </w:rPr>
        <w:t xml:space="preserve"> </w:t>
      </w:r>
      <w:r w:rsidRPr="002500D2" w:rsidR="00E93A1C">
        <w:rPr>
          <w:sz w:val="24"/>
          <w:szCs w:val="24"/>
        </w:rPr>
        <w:t xml:space="preserve">leases </w:t>
      </w:r>
      <w:r w:rsidRPr="002500D2" w:rsidR="005319F8">
        <w:rPr>
          <w:sz w:val="24"/>
          <w:szCs w:val="24"/>
        </w:rPr>
        <w:t xml:space="preserve">with other </w:t>
      </w:r>
      <w:r w:rsidR="005A4C72">
        <w:rPr>
          <w:sz w:val="24"/>
          <w:szCs w:val="24"/>
        </w:rPr>
        <w:t>IBQ</w:t>
      </w:r>
      <w:r w:rsidRPr="002500D2" w:rsidR="005A4C72">
        <w:rPr>
          <w:sz w:val="24"/>
          <w:szCs w:val="24"/>
        </w:rPr>
        <w:t xml:space="preserve"> </w:t>
      </w:r>
      <w:r w:rsidRPr="002500D2" w:rsidR="005319F8">
        <w:rPr>
          <w:sz w:val="24"/>
          <w:szCs w:val="24"/>
        </w:rPr>
        <w:t xml:space="preserve">participants.  </w:t>
      </w:r>
      <w:r w:rsidR="00293DD9">
        <w:rPr>
          <w:sz w:val="24"/>
          <w:szCs w:val="24"/>
        </w:rPr>
        <w:t xml:space="preserve">Participants (lessors) will enter the amount of quota they wish to lease, the price per pound, and the account number receiving the lease.  </w:t>
      </w:r>
      <w:r w:rsidR="00C73F19">
        <w:rPr>
          <w:sz w:val="24"/>
          <w:szCs w:val="24"/>
        </w:rPr>
        <w:t xml:space="preserve">Lessees will then acknowledge receipt of the transfer.  </w:t>
      </w:r>
      <w:r w:rsidRPr="002500D2" w:rsidR="005319F8">
        <w:rPr>
          <w:sz w:val="24"/>
          <w:szCs w:val="24"/>
        </w:rPr>
        <w:t xml:space="preserve">NMFS </w:t>
      </w:r>
      <w:r w:rsidRPr="002500D2" w:rsidR="009D32FE">
        <w:rPr>
          <w:sz w:val="24"/>
          <w:szCs w:val="24"/>
        </w:rPr>
        <w:t>will</w:t>
      </w:r>
      <w:r w:rsidRPr="002500D2" w:rsidR="005319F8">
        <w:rPr>
          <w:sz w:val="24"/>
          <w:szCs w:val="24"/>
        </w:rPr>
        <w:t xml:space="preserve"> use these data to</w:t>
      </w:r>
      <w:r w:rsidRPr="002500D2" w:rsidR="00D47B6D">
        <w:rPr>
          <w:sz w:val="24"/>
          <w:szCs w:val="24"/>
        </w:rPr>
        <w:t xml:space="preserve"> ensure proper accounting of </w:t>
      </w:r>
      <w:r w:rsidRPr="002500D2" w:rsidR="00592C88">
        <w:rPr>
          <w:sz w:val="24"/>
          <w:szCs w:val="24"/>
        </w:rPr>
        <w:t>allocation</w:t>
      </w:r>
      <w:r w:rsidRPr="002500D2" w:rsidR="00D47B6D">
        <w:rPr>
          <w:sz w:val="24"/>
          <w:szCs w:val="24"/>
        </w:rPr>
        <w:t>s among participants, and to</w:t>
      </w:r>
      <w:r w:rsidRPr="002500D2" w:rsidR="005319F8">
        <w:rPr>
          <w:sz w:val="24"/>
          <w:szCs w:val="24"/>
        </w:rPr>
        <w:t xml:space="preserve"> track use of quota </w:t>
      </w:r>
      <w:r w:rsidRPr="002500D2" w:rsidR="00592C88">
        <w:rPr>
          <w:sz w:val="24"/>
          <w:szCs w:val="24"/>
        </w:rPr>
        <w:t>allocation</w:t>
      </w:r>
      <w:r w:rsidRPr="002500D2" w:rsidR="005319F8">
        <w:rPr>
          <w:sz w:val="24"/>
          <w:szCs w:val="24"/>
        </w:rPr>
        <w:t xml:space="preserve">s and reconcile </w:t>
      </w:r>
      <w:r w:rsidRPr="002500D2" w:rsidR="00592C88">
        <w:rPr>
          <w:sz w:val="24"/>
          <w:szCs w:val="24"/>
        </w:rPr>
        <w:t>allocation</w:t>
      </w:r>
      <w:r w:rsidRPr="002500D2" w:rsidR="005319F8">
        <w:rPr>
          <w:sz w:val="24"/>
          <w:szCs w:val="24"/>
        </w:rPr>
        <w:t xml:space="preserve"> usage with bluefin tuna catch and landings.</w:t>
      </w:r>
      <w:r w:rsidRPr="002500D2" w:rsidR="009D32FE">
        <w:rPr>
          <w:sz w:val="24"/>
          <w:szCs w:val="24"/>
        </w:rPr>
        <w:t xml:space="preserve">  </w:t>
      </w:r>
      <w:r w:rsidR="005A4C72">
        <w:rPr>
          <w:sz w:val="24"/>
          <w:szCs w:val="24"/>
        </w:rPr>
        <w:t xml:space="preserve">Eligible IBQ participants </w:t>
      </w:r>
      <w:r w:rsidRPr="002500D2" w:rsidR="00050555">
        <w:rPr>
          <w:sz w:val="24"/>
          <w:szCs w:val="24"/>
        </w:rPr>
        <w:t xml:space="preserve">will </w:t>
      </w:r>
      <w:r w:rsidR="00C73F19">
        <w:rPr>
          <w:sz w:val="24"/>
          <w:szCs w:val="24"/>
        </w:rPr>
        <w:t xml:space="preserve">also </w:t>
      </w:r>
      <w:r w:rsidRPr="002500D2" w:rsidR="00050555">
        <w:rPr>
          <w:sz w:val="24"/>
          <w:szCs w:val="24"/>
        </w:rPr>
        <w:t>use the system to monitor their IBQ</w:t>
      </w:r>
      <w:r w:rsidR="00015C33">
        <w:rPr>
          <w:sz w:val="24"/>
          <w:szCs w:val="24"/>
        </w:rPr>
        <w:t xml:space="preserve"> </w:t>
      </w:r>
      <w:r w:rsidR="005A4C72">
        <w:rPr>
          <w:sz w:val="24"/>
          <w:szCs w:val="24"/>
        </w:rPr>
        <w:t xml:space="preserve">allocations, Purse Seine </w:t>
      </w:r>
      <w:r w:rsidR="00015C33">
        <w:rPr>
          <w:sz w:val="24"/>
          <w:szCs w:val="24"/>
        </w:rPr>
        <w:t xml:space="preserve">category </w:t>
      </w:r>
      <w:r w:rsidR="005A4C72">
        <w:rPr>
          <w:sz w:val="24"/>
          <w:szCs w:val="24"/>
        </w:rPr>
        <w:t>allocations</w:t>
      </w:r>
      <w:r w:rsidR="00015C33">
        <w:rPr>
          <w:sz w:val="24"/>
          <w:szCs w:val="24"/>
        </w:rPr>
        <w:t>,</w:t>
      </w:r>
      <w:r w:rsidR="005A4C72">
        <w:rPr>
          <w:sz w:val="24"/>
          <w:szCs w:val="24"/>
        </w:rPr>
        <w:t xml:space="preserve"> </w:t>
      </w:r>
      <w:r w:rsidRPr="002500D2" w:rsidR="00050555">
        <w:rPr>
          <w:sz w:val="24"/>
          <w:szCs w:val="24"/>
        </w:rPr>
        <w:t>and catch data</w:t>
      </w:r>
      <w:r w:rsidR="00C73F19">
        <w:rPr>
          <w:sz w:val="24"/>
          <w:szCs w:val="24"/>
        </w:rPr>
        <w:t>.</w:t>
      </w:r>
    </w:p>
    <w:p w:rsidR="00015C33" w:rsidP="002500D2" w:rsidRDefault="00015C33" w14:paraId="18AD105B" w14:textId="77777777">
      <w:pPr>
        <w:rPr>
          <w:sz w:val="24"/>
          <w:szCs w:val="24"/>
        </w:rPr>
      </w:pPr>
    </w:p>
    <w:p w:rsidR="00C73F19" w:rsidP="002500D2" w:rsidRDefault="00C73F19" w14:paraId="425921F7" w14:textId="77777777">
      <w:pPr>
        <w:rPr>
          <w:sz w:val="24"/>
          <w:szCs w:val="24"/>
        </w:rPr>
      </w:pPr>
      <w:r>
        <w:rPr>
          <w:sz w:val="24"/>
          <w:szCs w:val="24"/>
        </w:rPr>
        <w:t>Figure 1.  Screen shot of allocation leasing webpage</w:t>
      </w:r>
    </w:p>
    <w:p w:rsidR="005319F8" w:rsidP="002500D2" w:rsidRDefault="007858F4" w14:paraId="7078CF54" w14:textId="73921E75">
      <w:pPr>
        <w:rPr>
          <w:sz w:val="24"/>
          <w:szCs w:val="24"/>
        </w:rPr>
      </w:pPr>
      <w:r w:rsidRPr="00293DD9">
        <w:rPr>
          <w:noProof/>
          <w:sz w:val="24"/>
          <w:szCs w:val="24"/>
        </w:rPr>
        <w:drawing>
          <wp:inline distT="0" distB="0" distL="0" distR="0" wp14:anchorId="41A6E2D2" wp14:editId="6D0541AB">
            <wp:extent cx="5248275" cy="34623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4884" cy="3473302"/>
                    </a:xfrm>
                    <a:prstGeom prst="rect">
                      <a:avLst/>
                    </a:prstGeom>
                    <a:noFill/>
                    <a:ln>
                      <a:noFill/>
                    </a:ln>
                  </pic:spPr>
                </pic:pic>
              </a:graphicData>
            </a:graphic>
          </wp:inline>
        </w:drawing>
      </w:r>
    </w:p>
    <w:p w:rsidR="00293DD9" w:rsidP="002500D2" w:rsidRDefault="00293DD9" w14:paraId="65B6B81C" w14:textId="77777777">
      <w:pPr>
        <w:rPr>
          <w:sz w:val="24"/>
          <w:szCs w:val="24"/>
        </w:rPr>
      </w:pPr>
    </w:p>
    <w:p w:rsidRPr="002500D2" w:rsidR="00293DD9" w:rsidP="002500D2" w:rsidRDefault="00293DD9" w14:paraId="2DC1E7E9" w14:textId="77777777">
      <w:pPr>
        <w:rPr>
          <w:sz w:val="24"/>
          <w:szCs w:val="24"/>
        </w:rPr>
      </w:pPr>
    </w:p>
    <w:p w:rsidRPr="002500D2" w:rsidR="005319F8" w:rsidP="002500D2" w:rsidRDefault="005319F8" w14:paraId="02EA920A" w14:textId="77777777">
      <w:pPr>
        <w:rPr>
          <w:sz w:val="24"/>
          <w:szCs w:val="24"/>
        </w:rPr>
      </w:pPr>
      <w:r w:rsidRPr="002500D2">
        <w:rPr>
          <w:sz w:val="24"/>
          <w:szCs w:val="24"/>
        </w:rPr>
        <w:t xml:space="preserve">None of these data will be released for public review, except in </w:t>
      </w:r>
      <w:r w:rsidRPr="002500D2" w:rsidR="00D47B6D">
        <w:rPr>
          <w:sz w:val="24"/>
          <w:szCs w:val="24"/>
        </w:rPr>
        <w:t>aggregate form.  NMFS will retain control over the information and safeguard it from improper access, modification, and destruction, consistent with NOAA</w:t>
      </w:r>
      <w:r w:rsidRPr="002500D2" w:rsidR="0021041E">
        <w:rPr>
          <w:sz w:val="24"/>
          <w:szCs w:val="24"/>
        </w:rPr>
        <w:t xml:space="preserve"> standards for confidentiality, </w:t>
      </w:r>
      <w:r w:rsidRPr="002500D2" w:rsidR="00D47B6D">
        <w:rPr>
          <w:sz w:val="24"/>
          <w:szCs w:val="24"/>
        </w:rPr>
        <w:t xml:space="preserve">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sidRPr="002500D2" w:rsidR="00D47B6D">
          <w:rPr>
            <w:rStyle w:val="Hyperlink"/>
            <w:sz w:val="24"/>
            <w:szCs w:val="24"/>
          </w:rPr>
          <w:t>Section 515 of Public Law 106-554</w:t>
        </w:r>
      </w:hyperlink>
      <w:r w:rsidRPr="002500D2" w:rsidR="00D47B6D">
        <w:rPr>
          <w:sz w:val="24"/>
          <w:szCs w:val="24"/>
        </w:rPr>
        <w:t>.</w:t>
      </w:r>
    </w:p>
    <w:p w:rsidRPr="002500D2" w:rsidR="00BA3BA7" w:rsidP="002500D2" w:rsidRDefault="00BA3BA7" w14:paraId="7BF14C8A" w14:textId="77777777">
      <w:pPr>
        <w:rPr>
          <w:sz w:val="24"/>
          <w:szCs w:val="24"/>
        </w:rPr>
      </w:pPr>
    </w:p>
    <w:p w:rsidRPr="00ED1FA1" w:rsidR="00ED1FA1" w:rsidP="00ED1FA1" w:rsidRDefault="004F26E9" w14:paraId="50A10B50" w14:textId="77777777">
      <w:pPr>
        <w:pStyle w:val="ListParagraph"/>
        <w:tabs>
          <w:tab w:val="left" w:pos="360"/>
        </w:tabs>
        <w:spacing w:before="199"/>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3.  </w:t>
      </w:r>
      <w:r w:rsidRPr="00ED1FA1" w:rsidR="00ED1FA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D1FA1" w:rsidR="00ED1FA1">
        <w:rPr>
          <w:rFonts w:ascii="Times New Roman" w:hAnsi="Times New Roman" w:cs="Times New Roman"/>
          <w:b/>
          <w:spacing w:val="-6"/>
          <w:sz w:val="24"/>
          <w:szCs w:val="24"/>
        </w:rPr>
        <w:t xml:space="preserve"> </w:t>
      </w:r>
      <w:r w:rsidRPr="00ED1FA1" w:rsidR="00ED1FA1">
        <w:rPr>
          <w:rFonts w:ascii="Times New Roman" w:hAnsi="Times New Roman" w:cs="Times New Roman"/>
          <w:b/>
          <w:sz w:val="24"/>
          <w:szCs w:val="24"/>
        </w:rPr>
        <w:t>burden.</w:t>
      </w:r>
    </w:p>
    <w:p w:rsidRPr="00ED1FA1" w:rsidR="004F26E9" w:rsidP="002500D2" w:rsidRDefault="004F26E9" w14:paraId="20E8806A" w14:textId="405B6091">
      <w:pPr>
        <w:rPr>
          <w:sz w:val="24"/>
          <w:szCs w:val="24"/>
        </w:rPr>
      </w:pPr>
    </w:p>
    <w:p w:rsidRPr="00ED1FA1" w:rsidR="004F26E9" w:rsidP="002500D2" w:rsidRDefault="00E735BD" w14:paraId="12932F2A" w14:textId="5B2EEFBA">
      <w:pPr>
        <w:rPr>
          <w:sz w:val="24"/>
          <w:szCs w:val="24"/>
        </w:rPr>
      </w:pPr>
      <w:r w:rsidRPr="00ED1FA1">
        <w:rPr>
          <w:sz w:val="24"/>
          <w:szCs w:val="24"/>
        </w:rPr>
        <w:t>NMFS developed</w:t>
      </w:r>
      <w:r w:rsidRPr="00ED1FA1" w:rsidR="009228D3">
        <w:rPr>
          <w:sz w:val="24"/>
          <w:szCs w:val="24"/>
        </w:rPr>
        <w:t>,</w:t>
      </w:r>
      <w:r w:rsidRPr="00ED1FA1">
        <w:rPr>
          <w:sz w:val="24"/>
          <w:szCs w:val="24"/>
        </w:rPr>
        <w:t xml:space="preserve"> and </w:t>
      </w:r>
      <w:r w:rsidRPr="00ED1FA1" w:rsidR="009228D3">
        <w:rPr>
          <w:sz w:val="24"/>
          <w:szCs w:val="24"/>
        </w:rPr>
        <w:t xml:space="preserve">now </w:t>
      </w:r>
      <w:r w:rsidRPr="00ED1FA1">
        <w:rPr>
          <w:sz w:val="24"/>
          <w:szCs w:val="24"/>
        </w:rPr>
        <w:t>maintains</w:t>
      </w:r>
      <w:r w:rsidRPr="00ED1FA1" w:rsidR="009228D3">
        <w:rPr>
          <w:sz w:val="24"/>
          <w:szCs w:val="24"/>
        </w:rPr>
        <w:t>,</w:t>
      </w:r>
      <w:r w:rsidRPr="00ED1FA1">
        <w:rPr>
          <w:sz w:val="24"/>
          <w:szCs w:val="24"/>
        </w:rPr>
        <w:t xml:space="preserve"> the</w:t>
      </w:r>
      <w:r w:rsidRPr="00ED1FA1" w:rsidR="00846040">
        <w:rPr>
          <w:sz w:val="24"/>
          <w:szCs w:val="24"/>
        </w:rPr>
        <w:t xml:space="preserve"> online</w:t>
      </w:r>
      <w:r w:rsidRPr="00ED1FA1" w:rsidR="000B37DE">
        <w:rPr>
          <w:sz w:val="24"/>
          <w:szCs w:val="24"/>
        </w:rPr>
        <w:t xml:space="preserve"> IBQ </w:t>
      </w:r>
      <w:r w:rsidRPr="00ED1FA1" w:rsidR="005A56CE">
        <w:rPr>
          <w:sz w:val="24"/>
          <w:szCs w:val="24"/>
        </w:rPr>
        <w:t xml:space="preserve">data management </w:t>
      </w:r>
      <w:r w:rsidRPr="00ED1FA1">
        <w:rPr>
          <w:sz w:val="24"/>
          <w:szCs w:val="24"/>
        </w:rPr>
        <w:t>system</w:t>
      </w:r>
      <w:r w:rsidRPr="00ED1FA1" w:rsidR="000B37DE">
        <w:rPr>
          <w:sz w:val="24"/>
          <w:szCs w:val="24"/>
        </w:rPr>
        <w:t xml:space="preserve"> </w:t>
      </w:r>
      <w:r w:rsidRPr="00ED1FA1" w:rsidR="00C12E0A">
        <w:rPr>
          <w:sz w:val="24"/>
          <w:szCs w:val="24"/>
        </w:rPr>
        <w:t>to track IBQs</w:t>
      </w:r>
      <w:r w:rsidRPr="00ED1FA1" w:rsidR="00846040">
        <w:rPr>
          <w:sz w:val="24"/>
          <w:szCs w:val="24"/>
        </w:rPr>
        <w:t>.</w:t>
      </w:r>
      <w:r w:rsidRPr="00ED1FA1" w:rsidR="00C12E0A">
        <w:rPr>
          <w:sz w:val="24"/>
          <w:szCs w:val="24"/>
        </w:rPr>
        <w:t xml:space="preserve"> </w:t>
      </w:r>
      <w:r w:rsidRPr="00ED1FA1">
        <w:rPr>
          <w:sz w:val="24"/>
          <w:szCs w:val="24"/>
        </w:rPr>
        <w:t xml:space="preserve"> All</w:t>
      </w:r>
      <w:r w:rsidRPr="00ED1FA1" w:rsidR="009228D3">
        <w:rPr>
          <w:sz w:val="24"/>
          <w:szCs w:val="24"/>
        </w:rPr>
        <w:t xml:space="preserve"> data entry is via the internet-</w:t>
      </w:r>
      <w:r w:rsidRPr="00ED1FA1">
        <w:rPr>
          <w:sz w:val="24"/>
          <w:szCs w:val="24"/>
        </w:rPr>
        <w:t>based webpage https://portal.southeast.fisheries.noaa.gov.</w:t>
      </w:r>
      <w:r w:rsidRPr="00ED1FA1" w:rsidR="00C12E0A">
        <w:rPr>
          <w:sz w:val="24"/>
          <w:szCs w:val="24"/>
        </w:rPr>
        <w:t xml:space="preserve">  </w:t>
      </w:r>
      <w:r w:rsidRPr="00ED1FA1" w:rsidR="009228D3">
        <w:rPr>
          <w:sz w:val="24"/>
          <w:szCs w:val="24"/>
        </w:rPr>
        <w:t>Shareholders use the</w:t>
      </w:r>
      <w:r w:rsidRPr="00ED1FA1" w:rsidR="00C12E0A">
        <w:rPr>
          <w:sz w:val="24"/>
          <w:szCs w:val="24"/>
        </w:rPr>
        <w:t xml:space="preserve"> system </w:t>
      </w:r>
      <w:r w:rsidRPr="00ED1FA1" w:rsidR="000B37DE">
        <w:rPr>
          <w:sz w:val="24"/>
          <w:szCs w:val="24"/>
        </w:rPr>
        <w:t>to</w:t>
      </w:r>
      <w:r w:rsidRPr="00ED1FA1" w:rsidR="00C12E0A">
        <w:rPr>
          <w:sz w:val="24"/>
          <w:szCs w:val="24"/>
        </w:rPr>
        <w:t xml:space="preserve"> track their IBQ and</w:t>
      </w:r>
      <w:r w:rsidRPr="00ED1FA1" w:rsidR="000B37DE">
        <w:rPr>
          <w:sz w:val="24"/>
          <w:szCs w:val="24"/>
        </w:rPr>
        <w:t xml:space="preserve"> </w:t>
      </w:r>
      <w:r w:rsidRPr="00ED1FA1" w:rsidR="00E93A1C">
        <w:rPr>
          <w:sz w:val="24"/>
          <w:szCs w:val="24"/>
        </w:rPr>
        <w:t>lease allocations</w:t>
      </w:r>
      <w:r w:rsidRPr="00ED1FA1" w:rsidR="000B37DE">
        <w:rPr>
          <w:sz w:val="24"/>
          <w:szCs w:val="24"/>
        </w:rPr>
        <w:t xml:space="preserve"> with other </w:t>
      </w:r>
      <w:r w:rsidRPr="00ED1FA1" w:rsidR="008904AB">
        <w:rPr>
          <w:sz w:val="24"/>
          <w:szCs w:val="24"/>
        </w:rPr>
        <w:t>shareholders</w:t>
      </w:r>
      <w:r w:rsidRPr="00ED1FA1" w:rsidR="000B37DE">
        <w:rPr>
          <w:sz w:val="24"/>
          <w:szCs w:val="24"/>
        </w:rPr>
        <w:t>. Shareholders sign into the system</w:t>
      </w:r>
      <w:r w:rsidRPr="00ED1FA1" w:rsidR="00C12E0A">
        <w:rPr>
          <w:sz w:val="24"/>
          <w:szCs w:val="24"/>
        </w:rPr>
        <w:t xml:space="preserve"> to monitor their IBQ,</w:t>
      </w:r>
      <w:r w:rsidRPr="00ED1FA1" w:rsidR="000B37DE">
        <w:rPr>
          <w:sz w:val="24"/>
          <w:szCs w:val="24"/>
        </w:rPr>
        <w:t xml:space="preserve"> and </w:t>
      </w:r>
      <w:r w:rsidRPr="00ED1FA1" w:rsidR="00C12E0A">
        <w:rPr>
          <w:sz w:val="24"/>
          <w:szCs w:val="24"/>
        </w:rPr>
        <w:t xml:space="preserve">to </w:t>
      </w:r>
      <w:r w:rsidRPr="00ED1FA1" w:rsidR="000B37DE">
        <w:rPr>
          <w:sz w:val="24"/>
          <w:szCs w:val="24"/>
        </w:rPr>
        <w:t xml:space="preserve">indicate </w:t>
      </w:r>
      <w:r w:rsidRPr="00ED1FA1" w:rsidR="00E436CF">
        <w:rPr>
          <w:sz w:val="24"/>
          <w:szCs w:val="24"/>
        </w:rPr>
        <w:t xml:space="preserve">the </w:t>
      </w:r>
      <w:r w:rsidRPr="00ED1FA1" w:rsidR="000B37DE">
        <w:rPr>
          <w:sz w:val="24"/>
          <w:szCs w:val="24"/>
        </w:rPr>
        <w:t xml:space="preserve">amount of quota </w:t>
      </w:r>
      <w:r w:rsidRPr="00ED1FA1" w:rsidR="00592C88">
        <w:rPr>
          <w:sz w:val="24"/>
          <w:szCs w:val="24"/>
        </w:rPr>
        <w:t>allocation</w:t>
      </w:r>
      <w:r w:rsidRPr="00ED1FA1" w:rsidR="000B37DE">
        <w:rPr>
          <w:sz w:val="24"/>
          <w:szCs w:val="24"/>
        </w:rPr>
        <w:t xml:space="preserve"> they would like to </w:t>
      </w:r>
      <w:r w:rsidRPr="00ED1FA1" w:rsidR="00E93A1C">
        <w:rPr>
          <w:sz w:val="24"/>
          <w:szCs w:val="24"/>
        </w:rPr>
        <w:t>lease</w:t>
      </w:r>
      <w:r w:rsidRPr="00ED1FA1" w:rsidR="000B37DE">
        <w:rPr>
          <w:sz w:val="24"/>
          <w:szCs w:val="24"/>
        </w:rPr>
        <w:t xml:space="preserve">, and identify </w:t>
      </w:r>
      <w:r w:rsidRPr="00ED1FA1" w:rsidR="00F53779">
        <w:rPr>
          <w:sz w:val="24"/>
          <w:szCs w:val="24"/>
        </w:rPr>
        <w:t>the</w:t>
      </w:r>
      <w:r w:rsidRPr="00ED1FA1" w:rsidR="000B37DE">
        <w:rPr>
          <w:sz w:val="24"/>
          <w:szCs w:val="24"/>
        </w:rPr>
        <w:t xml:space="preserve"> other shareholder </w:t>
      </w:r>
      <w:r w:rsidRPr="00ED1FA1" w:rsidR="00FA3FC4">
        <w:rPr>
          <w:sz w:val="24"/>
          <w:szCs w:val="24"/>
        </w:rPr>
        <w:t xml:space="preserve">to whom </w:t>
      </w:r>
      <w:r w:rsidRPr="00ED1FA1" w:rsidR="000B37DE">
        <w:rPr>
          <w:sz w:val="24"/>
          <w:szCs w:val="24"/>
        </w:rPr>
        <w:t xml:space="preserve">they </w:t>
      </w:r>
      <w:r w:rsidRPr="00ED1FA1" w:rsidR="00F53779">
        <w:rPr>
          <w:sz w:val="24"/>
          <w:szCs w:val="24"/>
        </w:rPr>
        <w:t>will</w:t>
      </w:r>
      <w:r w:rsidRPr="00ED1FA1" w:rsidR="000B37DE">
        <w:rPr>
          <w:sz w:val="24"/>
          <w:szCs w:val="24"/>
        </w:rPr>
        <w:t xml:space="preserve"> transfer the </w:t>
      </w:r>
      <w:r w:rsidRPr="00ED1FA1" w:rsidR="00592C88">
        <w:rPr>
          <w:sz w:val="24"/>
          <w:szCs w:val="24"/>
        </w:rPr>
        <w:t>allocation</w:t>
      </w:r>
      <w:r w:rsidRPr="00ED1FA1" w:rsidR="00846040">
        <w:rPr>
          <w:sz w:val="24"/>
          <w:szCs w:val="24"/>
        </w:rPr>
        <w:t xml:space="preserve"> (lessee)</w:t>
      </w:r>
      <w:r w:rsidRPr="00ED1FA1" w:rsidR="000B37DE">
        <w:rPr>
          <w:sz w:val="24"/>
          <w:szCs w:val="24"/>
        </w:rPr>
        <w:t>.  The system tracks the</w:t>
      </w:r>
      <w:r w:rsidRPr="00ED1FA1" w:rsidR="00846040">
        <w:rPr>
          <w:sz w:val="24"/>
          <w:szCs w:val="24"/>
        </w:rPr>
        <w:t xml:space="preserve"> amount of allocation leased</w:t>
      </w:r>
      <w:r w:rsidRPr="00ED1FA1" w:rsidR="000B37DE">
        <w:rPr>
          <w:sz w:val="24"/>
          <w:szCs w:val="24"/>
        </w:rPr>
        <w:t xml:space="preserve"> </w:t>
      </w:r>
      <w:r w:rsidRPr="00ED1FA1" w:rsidR="00846040">
        <w:rPr>
          <w:sz w:val="24"/>
          <w:szCs w:val="24"/>
        </w:rPr>
        <w:t xml:space="preserve">and the </w:t>
      </w:r>
      <w:r w:rsidRPr="00ED1FA1" w:rsidR="000B37DE">
        <w:rPr>
          <w:sz w:val="24"/>
          <w:szCs w:val="24"/>
        </w:rPr>
        <w:t xml:space="preserve">cost of </w:t>
      </w:r>
      <w:r w:rsidRPr="00ED1FA1" w:rsidR="00592C88">
        <w:rPr>
          <w:sz w:val="24"/>
          <w:szCs w:val="24"/>
        </w:rPr>
        <w:t>allocation</w:t>
      </w:r>
      <w:r w:rsidRPr="00ED1FA1" w:rsidR="000B37DE">
        <w:rPr>
          <w:sz w:val="24"/>
          <w:szCs w:val="24"/>
        </w:rPr>
        <w:t>s</w:t>
      </w:r>
      <w:r w:rsidRPr="00ED1FA1">
        <w:rPr>
          <w:sz w:val="24"/>
          <w:szCs w:val="24"/>
        </w:rPr>
        <w:t>.  Along with the bluefin tuna dealer reporting system, it is used to monitor the status of the Longline category quota.</w:t>
      </w:r>
    </w:p>
    <w:p w:rsidRPr="00ED1FA1" w:rsidR="00D8408D" w:rsidP="002500D2" w:rsidRDefault="00D8408D" w14:paraId="33850AC4" w14:textId="77777777">
      <w:pPr>
        <w:rPr>
          <w:sz w:val="24"/>
          <w:szCs w:val="24"/>
        </w:rPr>
      </w:pPr>
    </w:p>
    <w:p w:rsidRPr="00ED1FA1" w:rsidR="00ED1FA1" w:rsidP="00ED1FA1" w:rsidRDefault="004F26E9" w14:paraId="2CC2CD78" w14:textId="77777777">
      <w:pPr>
        <w:tabs>
          <w:tab w:val="left" w:pos="360"/>
        </w:tabs>
        <w:spacing w:before="80"/>
        <w:rPr>
          <w:b/>
          <w:sz w:val="24"/>
          <w:szCs w:val="24"/>
        </w:rPr>
      </w:pPr>
      <w:r w:rsidRPr="00ED1FA1">
        <w:rPr>
          <w:b/>
          <w:bCs/>
          <w:sz w:val="24"/>
          <w:szCs w:val="24"/>
        </w:rPr>
        <w:t xml:space="preserve">4.  </w:t>
      </w:r>
      <w:r w:rsidRPr="00ED1FA1" w:rsidR="00ED1FA1">
        <w:rPr>
          <w:b/>
          <w:sz w:val="24"/>
          <w:szCs w:val="24"/>
        </w:rPr>
        <w:t>Describe efforts to identify duplication. Show specifically why any similar information already available cannot be used or modified for use for the purposes described in Question</w:t>
      </w:r>
      <w:r w:rsidRPr="00ED1FA1" w:rsidR="00ED1FA1">
        <w:rPr>
          <w:b/>
          <w:spacing w:val="-42"/>
          <w:sz w:val="24"/>
          <w:szCs w:val="24"/>
        </w:rPr>
        <w:t xml:space="preserve"> </w:t>
      </w:r>
      <w:r w:rsidRPr="00ED1FA1" w:rsidR="00ED1FA1">
        <w:rPr>
          <w:b/>
          <w:sz w:val="24"/>
          <w:szCs w:val="24"/>
        </w:rPr>
        <w:t>2</w:t>
      </w:r>
    </w:p>
    <w:p w:rsidRPr="00ED1FA1" w:rsidR="00F861CF" w:rsidP="002500D2" w:rsidRDefault="00F861CF" w14:paraId="364CB485" w14:textId="08518EAD">
      <w:pPr>
        <w:rPr>
          <w:sz w:val="24"/>
          <w:szCs w:val="24"/>
        </w:rPr>
      </w:pPr>
    </w:p>
    <w:p w:rsidRPr="00ED1FA1" w:rsidR="00B14141" w:rsidP="002500D2" w:rsidRDefault="00AA6076" w14:paraId="5F16CDA6" w14:textId="77777777">
      <w:pPr>
        <w:rPr>
          <w:sz w:val="24"/>
          <w:szCs w:val="24"/>
        </w:rPr>
      </w:pPr>
      <w:r w:rsidRPr="00ED1FA1">
        <w:rPr>
          <w:sz w:val="24"/>
          <w:szCs w:val="24"/>
        </w:rPr>
        <w:t>T</w:t>
      </w:r>
      <w:r w:rsidRPr="00ED1FA1" w:rsidR="00480B96">
        <w:rPr>
          <w:sz w:val="24"/>
          <w:szCs w:val="24"/>
        </w:rPr>
        <w:t>he</w:t>
      </w:r>
      <w:r w:rsidRPr="00ED1FA1" w:rsidR="00E735BD">
        <w:rPr>
          <w:sz w:val="24"/>
          <w:szCs w:val="24"/>
        </w:rPr>
        <w:t xml:space="preserve"> </w:t>
      </w:r>
      <w:r w:rsidRPr="00ED1FA1">
        <w:rPr>
          <w:sz w:val="24"/>
          <w:szCs w:val="24"/>
        </w:rPr>
        <w:t>IBQ</w:t>
      </w:r>
      <w:r w:rsidRPr="00ED1FA1" w:rsidR="00480B96">
        <w:rPr>
          <w:sz w:val="24"/>
          <w:szCs w:val="24"/>
        </w:rPr>
        <w:t xml:space="preserve"> program covered under this collection of information </w:t>
      </w:r>
      <w:r w:rsidRPr="00ED1FA1">
        <w:rPr>
          <w:sz w:val="24"/>
          <w:szCs w:val="24"/>
        </w:rPr>
        <w:t>is</w:t>
      </w:r>
      <w:r w:rsidRPr="00ED1FA1" w:rsidR="00480B96">
        <w:rPr>
          <w:sz w:val="24"/>
          <w:szCs w:val="24"/>
        </w:rPr>
        <w:t xml:space="preserve"> implemented by NMFS, which is the sole authority responsible for managing the domestic </w:t>
      </w:r>
      <w:r w:rsidRPr="00ED1FA1" w:rsidR="009228D3">
        <w:rPr>
          <w:sz w:val="24"/>
          <w:szCs w:val="24"/>
        </w:rPr>
        <w:t xml:space="preserve">Atlantic </w:t>
      </w:r>
      <w:r w:rsidRPr="00ED1FA1" w:rsidR="00480B96">
        <w:rPr>
          <w:sz w:val="24"/>
          <w:szCs w:val="24"/>
        </w:rPr>
        <w:t>bluefin tuna fishery</w:t>
      </w:r>
      <w:r w:rsidRPr="00ED1FA1" w:rsidR="00FA3FC4">
        <w:rPr>
          <w:sz w:val="24"/>
          <w:szCs w:val="24"/>
        </w:rPr>
        <w:t>, on behalf of the Secretary of Commerce</w:t>
      </w:r>
      <w:r w:rsidRPr="00ED1FA1" w:rsidR="00480B96">
        <w:rPr>
          <w:sz w:val="24"/>
          <w:szCs w:val="24"/>
        </w:rPr>
        <w:t>.  No other agency has authority to implement an IBQ system for bluefin tuna fisheries</w:t>
      </w:r>
      <w:r w:rsidRPr="00ED1FA1">
        <w:rPr>
          <w:sz w:val="24"/>
          <w:szCs w:val="24"/>
        </w:rPr>
        <w:t xml:space="preserve">. </w:t>
      </w:r>
      <w:r w:rsidRPr="00ED1FA1" w:rsidR="00B14141">
        <w:rPr>
          <w:sz w:val="24"/>
          <w:szCs w:val="24"/>
        </w:rPr>
        <w:t xml:space="preserve">The Atlantic HMS management program includes a high degree of internal coordination across NMFS regions, science centers, and headquarters offices.  The distributed nature of the HMS </w:t>
      </w:r>
      <w:r w:rsidRPr="00ED1FA1" w:rsidR="005A56CE">
        <w:rPr>
          <w:sz w:val="24"/>
          <w:szCs w:val="24"/>
        </w:rPr>
        <w:t xml:space="preserve">staff </w:t>
      </w:r>
      <w:r w:rsidRPr="00ED1FA1" w:rsidR="00B14141">
        <w:rPr>
          <w:sz w:val="24"/>
          <w:szCs w:val="24"/>
        </w:rPr>
        <w:t xml:space="preserve">throughout the agency helps the program </w:t>
      </w:r>
      <w:r w:rsidRPr="00ED1FA1" w:rsidR="00521787">
        <w:rPr>
          <w:sz w:val="24"/>
          <w:szCs w:val="24"/>
        </w:rPr>
        <w:t xml:space="preserve">avoid duplication and </w:t>
      </w:r>
      <w:r w:rsidRPr="00ED1FA1" w:rsidR="00B14141">
        <w:rPr>
          <w:sz w:val="24"/>
          <w:szCs w:val="24"/>
        </w:rPr>
        <w:t>leverage other NMFS assets such as the Gulf of Mexico Red Snapper IFQ program (OMB Control No 0648-0551) that serve</w:t>
      </w:r>
      <w:r w:rsidRPr="00ED1FA1" w:rsidR="009228D3">
        <w:rPr>
          <w:sz w:val="24"/>
          <w:szCs w:val="24"/>
        </w:rPr>
        <w:t>s</w:t>
      </w:r>
      <w:r w:rsidRPr="00ED1FA1" w:rsidR="00B14141">
        <w:rPr>
          <w:sz w:val="24"/>
          <w:szCs w:val="24"/>
        </w:rPr>
        <w:t xml:space="preserve"> as the operational basis for the IBQ </w:t>
      </w:r>
      <w:r w:rsidRPr="00ED1FA1" w:rsidR="005A56CE">
        <w:rPr>
          <w:sz w:val="24"/>
          <w:szCs w:val="24"/>
        </w:rPr>
        <w:t xml:space="preserve">data management </w:t>
      </w:r>
      <w:r w:rsidRPr="00ED1FA1" w:rsidR="00B14141">
        <w:rPr>
          <w:sz w:val="24"/>
          <w:szCs w:val="24"/>
        </w:rPr>
        <w:t>system.</w:t>
      </w:r>
    </w:p>
    <w:p w:rsidRPr="00ED1FA1" w:rsidR="00B14141" w:rsidP="002500D2" w:rsidRDefault="00B14141" w14:paraId="08DC516B" w14:textId="77777777">
      <w:pPr>
        <w:rPr>
          <w:sz w:val="24"/>
          <w:szCs w:val="24"/>
        </w:rPr>
      </w:pPr>
    </w:p>
    <w:p w:rsidRPr="00ED1FA1" w:rsidR="00D8408D" w:rsidP="002500D2" w:rsidRDefault="00AA6076" w14:paraId="072C2FDF" w14:textId="77777777">
      <w:pPr>
        <w:rPr>
          <w:sz w:val="24"/>
          <w:szCs w:val="24"/>
        </w:rPr>
      </w:pPr>
      <w:r w:rsidRPr="00ED1FA1">
        <w:rPr>
          <w:sz w:val="24"/>
          <w:szCs w:val="24"/>
        </w:rPr>
        <w:t xml:space="preserve">During the </w:t>
      </w:r>
      <w:r w:rsidRPr="00ED1FA1" w:rsidR="00480B96">
        <w:rPr>
          <w:sz w:val="24"/>
          <w:szCs w:val="24"/>
        </w:rPr>
        <w:t>develop</w:t>
      </w:r>
      <w:r w:rsidRPr="00ED1FA1">
        <w:rPr>
          <w:sz w:val="24"/>
          <w:szCs w:val="24"/>
        </w:rPr>
        <w:t>ment</w:t>
      </w:r>
      <w:r w:rsidRPr="00ED1FA1" w:rsidR="009228D3">
        <w:rPr>
          <w:sz w:val="24"/>
          <w:szCs w:val="24"/>
        </w:rPr>
        <w:t xml:space="preserve"> </w:t>
      </w:r>
      <w:r w:rsidRPr="00ED1FA1">
        <w:rPr>
          <w:sz w:val="24"/>
          <w:szCs w:val="24"/>
        </w:rPr>
        <w:t>of Amendment 7</w:t>
      </w:r>
      <w:r w:rsidRPr="00ED1FA1" w:rsidR="00480B96">
        <w:rPr>
          <w:sz w:val="24"/>
          <w:szCs w:val="24"/>
        </w:rPr>
        <w:t xml:space="preserve">, </w:t>
      </w:r>
      <w:r w:rsidRPr="00ED1FA1" w:rsidR="009228D3">
        <w:rPr>
          <w:sz w:val="24"/>
          <w:szCs w:val="24"/>
        </w:rPr>
        <w:t xml:space="preserve">which established the regulations for the IBQ system, </w:t>
      </w:r>
      <w:r w:rsidRPr="00ED1FA1" w:rsidR="00480B96">
        <w:rPr>
          <w:sz w:val="24"/>
          <w:szCs w:val="24"/>
        </w:rPr>
        <w:t>NMFS coordinate</w:t>
      </w:r>
      <w:r w:rsidRPr="00ED1FA1">
        <w:rPr>
          <w:sz w:val="24"/>
          <w:szCs w:val="24"/>
        </w:rPr>
        <w:t>d</w:t>
      </w:r>
      <w:r w:rsidRPr="00ED1FA1" w:rsidR="00480B96">
        <w:rPr>
          <w:sz w:val="24"/>
          <w:szCs w:val="24"/>
        </w:rPr>
        <w:t xml:space="preserve"> </w:t>
      </w:r>
      <w:r w:rsidRPr="00ED1FA1" w:rsidR="009228D3">
        <w:rPr>
          <w:sz w:val="24"/>
          <w:szCs w:val="24"/>
        </w:rPr>
        <w:t xml:space="preserve">closely </w:t>
      </w:r>
      <w:r w:rsidRPr="00ED1FA1" w:rsidR="00480B96">
        <w:rPr>
          <w:sz w:val="24"/>
          <w:szCs w:val="24"/>
        </w:rPr>
        <w:t>with the HMS Advisory Pan</w:t>
      </w:r>
      <w:r w:rsidRPr="00ED1FA1" w:rsidR="009F6ABB">
        <w:rPr>
          <w:sz w:val="24"/>
          <w:szCs w:val="24"/>
        </w:rPr>
        <w:t>el (AP)</w:t>
      </w:r>
      <w:r w:rsidRPr="00ED1FA1" w:rsidR="00480B96">
        <w:rPr>
          <w:sz w:val="24"/>
          <w:szCs w:val="24"/>
        </w:rPr>
        <w:t>.  The HMS AP</w:t>
      </w:r>
      <w:r w:rsidRPr="00ED1FA1" w:rsidR="00B14141">
        <w:rPr>
          <w:sz w:val="24"/>
          <w:szCs w:val="24"/>
        </w:rPr>
        <w:t xml:space="preserve"> includes citizens from HMS commercial and recreational fishing interests, environmental interests, academia, state fishery agencies, and federal fishery management councils.  These individuals provide significant input and direction to NMFS, including the status of other fishery management or research programs and any potential for duplication of </w:t>
      </w:r>
      <w:r w:rsidRPr="00ED1FA1" w:rsidR="00A05734">
        <w:rPr>
          <w:sz w:val="24"/>
          <w:szCs w:val="24"/>
        </w:rPr>
        <w:t xml:space="preserve">or similar reporting </w:t>
      </w:r>
      <w:r w:rsidRPr="00ED1FA1" w:rsidR="00B14141">
        <w:rPr>
          <w:sz w:val="24"/>
          <w:szCs w:val="24"/>
        </w:rPr>
        <w:t xml:space="preserve">requirements in other fisheries.  </w:t>
      </w:r>
      <w:r w:rsidRPr="00ED1FA1" w:rsidR="00521787">
        <w:rPr>
          <w:sz w:val="24"/>
          <w:szCs w:val="24"/>
        </w:rPr>
        <w:t xml:space="preserve">NMFS also coordinates directly with the states of the Atlantic and Gulf of Mexico </w:t>
      </w:r>
      <w:r w:rsidRPr="00ED1FA1" w:rsidR="00521787">
        <w:rPr>
          <w:sz w:val="24"/>
          <w:szCs w:val="24"/>
        </w:rPr>
        <w:lastRenderedPageBreak/>
        <w:t xml:space="preserve">coasts, and the fishery management councils </w:t>
      </w:r>
      <w:r w:rsidRPr="00ED1FA1" w:rsidR="00FA3FC4">
        <w:rPr>
          <w:sz w:val="24"/>
          <w:szCs w:val="24"/>
        </w:rPr>
        <w:t xml:space="preserve">and interstate marine fisheries commissions </w:t>
      </w:r>
      <w:r w:rsidRPr="00ED1FA1" w:rsidR="00521787">
        <w:rPr>
          <w:sz w:val="24"/>
          <w:szCs w:val="24"/>
        </w:rPr>
        <w:t>operating in these geographic areas</w:t>
      </w:r>
    </w:p>
    <w:p w:rsidRPr="00ED1FA1" w:rsidR="00D8408D" w:rsidP="002500D2" w:rsidRDefault="00D8408D" w14:paraId="453521C1" w14:textId="77777777">
      <w:pPr>
        <w:rPr>
          <w:sz w:val="24"/>
          <w:szCs w:val="24"/>
        </w:rPr>
      </w:pPr>
    </w:p>
    <w:p w:rsidRPr="00ED1FA1" w:rsidR="004F26E9" w:rsidP="00ED1FA1" w:rsidRDefault="004F26E9" w14:paraId="225CB53E" w14:textId="331D26E5">
      <w:pPr>
        <w:tabs>
          <w:tab w:val="left" w:pos="360"/>
        </w:tabs>
        <w:spacing w:before="80"/>
        <w:rPr>
          <w:b/>
          <w:sz w:val="24"/>
          <w:szCs w:val="24"/>
        </w:rPr>
      </w:pPr>
      <w:r w:rsidRPr="00ED1FA1">
        <w:rPr>
          <w:b/>
          <w:bCs/>
          <w:sz w:val="24"/>
          <w:szCs w:val="24"/>
        </w:rPr>
        <w:t xml:space="preserve">5.  </w:t>
      </w:r>
      <w:r w:rsidRPr="00ED1FA1" w:rsidR="00ED1FA1">
        <w:rPr>
          <w:b/>
          <w:sz w:val="24"/>
          <w:szCs w:val="24"/>
        </w:rPr>
        <w:t>If the collection of information impacts small businesses or other small entities, describe any methods used to minimize burden.</w:t>
      </w:r>
    </w:p>
    <w:p w:rsidRPr="00ED1FA1" w:rsidR="008923AD" w:rsidP="002500D2" w:rsidRDefault="008923AD" w14:paraId="59A1D3FA" w14:textId="77777777">
      <w:pPr>
        <w:rPr>
          <w:sz w:val="24"/>
          <w:szCs w:val="24"/>
        </w:rPr>
      </w:pPr>
    </w:p>
    <w:p w:rsidRPr="00ED1FA1" w:rsidR="004F26E9" w:rsidP="002500D2" w:rsidRDefault="00521787" w14:paraId="304E1076" w14:textId="29CB9E5A">
      <w:pPr>
        <w:rPr>
          <w:sz w:val="24"/>
          <w:szCs w:val="24"/>
        </w:rPr>
      </w:pPr>
      <w:r w:rsidRPr="00ED1FA1">
        <w:rPr>
          <w:sz w:val="24"/>
          <w:szCs w:val="24"/>
        </w:rPr>
        <w:t xml:space="preserve">This collection of information will affect </w:t>
      </w:r>
      <w:r w:rsidRPr="00ED1FA1" w:rsidR="00FA3FC4">
        <w:rPr>
          <w:sz w:val="24"/>
          <w:szCs w:val="24"/>
        </w:rPr>
        <w:t>At</w:t>
      </w:r>
      <w:r w:rsidRPr="00ED1FA1" w:rsidR="008904AB">
        <w:rPr>
          <w:sz w:val="24"/>
          <w:szCs w:val="24"/>
        </w:rPr>
        <w:t>l</w:t>
      </w:r>
      <w:r w:rsidRPr="00ED1FA1" w:rsidR="00FA3FC4">
        <w:rPr>
          <w:sz w:val="24"/>
          <w:szCs w:val="24"/>
        </w:rPr>
        <w:t xml:space="preserve">antic </w:t>
      </w:r>
      <w:r w:rsidRPr="00ED1FA1" w:rsidR="00141BCF">
        <w:rPr>
          <w:sz w:val="24"/>
          <w:szCs w:val="24"/>
        </w:rPr>
        <w:t>T</w:t>
      </w:r>
      <w:r w:rsidRPr="00ED1FA1" w:rsidR="00FA3FC4">
        <w:rPr>
          <w:sz w:val="24"/>
          <w:szCs w:val="24"/>
        </w:rPr>
        <w:t xml:space="preserve">unas </w:t>
      </w:r>
      <w:r w:rsidRPr="00ED1FA1">
        <w:rPr>
          <w:sz w:val="24"/>
          <w:szCs w:val="24"/>
        </w:rPr>
        <w:t xml:space="preserve">Longline </w:t>
      </w:r>
      <w:r w:rsidRPr="00ED1FA1" w:rsidR="00A05734">
        <w:rPr>
          <w:sz w:val="24"/>
          <w:szCs w:val="24"/>
        </w:rPr>
        <w:t xml:space="preserve">and Purse </w:t>
      </w:r>
      <w:r w:rsidRPr="00ED1FA1" w:rsidR="00015C33">
        <w:rPr>
          <w:sz w:val="24"/>
          <w:szCs w:val="24"/>
        </w:rPr>
        <w:t>S</w:t>
      </w:r>
      <w:r w:rsidRPr="00ED1FA1" w:rsidR="00A05734">
        <w:rPr>
          <w:sz w:val="24"/>
          <w:szCs w:val="24"/>
        </w:rPr>
        <w:t>eine</w:t>
      </w:r>
      <w:r w:rsidRPr="00ED1FA1" w:rsidR="00FA3FC4">
        <w:rPr>
          <w:sz w:val="24"/>
          <w:szCs w:val="24"/>
        </w:rPr>
        <w:t xml:space="preserve"> category vessel owners</w:t>
      </w:r>
      <w:r w:rsidRPr="00ED1FA1" w:rsidR="005A56CE">
        <w:rPr>
          <w:sz w:val="24"/>
          <w:szCs w:val="24"/>
        </w:rPr>
        <w:t>/participants</w:t>
      </w:r>
      <w:r w:rsidRPr="00ED1FA1" w:rsidR="008923AD">
        <w:rPr>
          <w:sz w:val="24"/>
          <w:szCs w:val="24"/>
        </w:rPr>
        <w:t>, all of whom are small businesses</w:t>
      </w:r>
      <w:r w:rsidRPr="00ED1FA1" w:rsidR="00A05734">
        <w:rPr>
          <w:sz w:val="24"/>
          <w:szCs w:val="24"/>
        </w:rPr>
        <w:t xml:space="preserve">.  </w:t>
      </w:r>
      <w:r w:rsidRPr="00ED1FA1">
        <w:rPr>
          <w:sz w:val="24"/>
          <w:szCs w:val="24"/>
        </w:rPr>
        <w:t xml:space="preserve">Since the </w:t>
      </w:r>
      <w:r w:rsidRPr="00ED1FA1" w:rsidR="00141BCF">
        <w:rPr>
          <w:sz w:val="24"/>
          <w:szCs w:val="24"/>
        </w:rPr>
        <w:t>IBQ S</w:t>
      </w:r>
      <w:r w:rsidRPr="00ED1FA1">
        <w:rPr>
          <w:sz w:val="24"/>
          <w:szCs w:val="24"/>
        </w:rPr>
        <w:t xml:space="preserve">ystem </w:t>
      </w:r>
      <w:r w:rsidRPr="00ED1FA1" w:rsidR="00015C33">
        <w:rPr>
          <w:sz w:val="24"/>
          <w:szCs w:val="24"/>
        </w:rPr>
        <w:t>was built as</w:t>
      </w:r>
      <w:r w:rsidRPr="00ED1FA1">
        <w:rPr>
          <w:sz w:val="24"/>
          <w:szCs w:val="24"/>
        </w:rPr>
        <w:t xml:space="preserve"> an extension of the Southeast Gulf of Mexico red snapper IFQ system, </w:t>
      </w:r>
      <w:r w:rsidRPr="00ED1FA1" w:rsidR="00A05734">
        <w:rPr>
          <w:sz w:val="24"/>
          <w:szCs w:val="24"/>
        </w:rPr>
        <w:t>permit holders who currently use the IFQ system to satisfy their Gulf fisheries reporting requirements would already be familiar with and have access to the new system.</w:t>
      </w:r>
      <w:r w:rsidRPr="00ED1FA1">
        <w:rPr>
          <w:sz w:val="24"/>
          <w:szCs w:val="24"/>
        </w:rPr>
        <w:t xml:space="preserve"> </w:t>
      </w:r>
    </w:p>
    <w:p w:rsidRPr="00ED1FA1" w:rsidR="004F26E9" w:rsidP="002500D2" w:rsidRDefault="004F26E9" w14:paraId="3DDA5543" w14:textId="77777777">
      <w:pPr>
        <w:rPr>
          <w:sz w:val="24"/>
          <w:szCs w:val="24"/>
        </w:rPr>
      </w:pPr>
    </w:p>
    <w:p w:rsidRPr="00ED1FA1" w:rsidR="004F26E9" w:rsidP="00ED1FA1" w:rsidRDefault="004F26E9" w14:paraId="7C05AF5F" w14:textId="5BF43D72">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6.  </w:t>
      </w:r>
      <w:r w:rsidRPr="00ED1FA1" w:rsidR="00ED1FA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ED1FA1" w:rsidR="004F26E9" w:rsidP="002500D2" w:rsidRDefault="004F26E9" w14:paraId="0125CD05" w14:textId="77777777">
      <w:pPr>
        <w:rPr>
          <w:sz w:val="24"/>
          <w:szCs w:val="24"/>
        </w:rPr>
      </w:pPr>
    </w:p>
    <w:p w:rsidRPr="00ED1FA1" w:rsidR="00601325" w:rsidP="002500D2" w:rsidRDefault="00A05734" w14:paraId="2236F5E3" w14:textId="0386B8CB">
      <w:pPr>
        <w:rPr>
          <w:sz w:val="24"/>
          <w:szCs w:val="24"/>
        </w:rPr>
      </w:pPr>
      <w:r w:rsidRPr="00ED1FA1">
        <w:rPr>
          <w:sz w:val="24"/>
          <w:szCs w:val="24"/>
        </w:rPr>
        <w:t>If th</w:t>
      </w:r>
      <w:r w:rsidRPr="00ED1FA1" w:rsidR="00AA6076">
        <w:rPr>
          <w:sz w:val="24"/>
          <w:szCs w:val="24"/>
        </w:rPr>
        <w:t>is</w:t>
      </w:r>
      <w:r w:rsidRPr="00ED1FA1">
        <w:rPr>
          <w:sz w:val="24"/>
          <w:szCs w:val="24"/>
        </w:rPr>
        <w:t xml:space="preserve"> IBQ </w:t>
      </w:r>
      <w:r w:rsidRPr="00ED1FA1" w:rsidR="00AA6076">
        <w:rPr>
          <w:sz w:val="24"/>
          <w:szCs w:val="24"/>
        </w:rPr>
        <w:t>information tracking</w:t>
      </w:r>
      <w:r w:rsidRPr="00ED1FA1">
        <w:rPr>
          <w:sz w:val="24"/>
          <w:szCs w:val="24"/>
        </w:rPr>
        <w:t xml:space="preserve"> </w:t>
      </w:r>
      <w:r w:rsidRPr="00ED1FA1" w:rsidR="00AA6076">
        <w:rPr>
          <w:sz w:val="24"/>
          <w:szCs w:val="24"/>
        </w:rPr>
        <w:t xml:space="preserve">was </w:t>
      </w:r>
      <w:r w:rsidRPr="00ED1FA1">
        <w:rPr>
          <w:sz w:val="24"/>
          <w:szCs w:val="24"/>
        </w:rPr>
        <w:t xml:space="preserve">not conducted, NMFS would not be able to </w:t>
      </w:r>
      <w:r w:rsidRPr="00ED1FA1" w:rsidR="00141BCF">
        <w:rPr>
          <w:sz w:val="24"/>
          <w:szCs w:val="24"/>
        </w:rPr>
        <w:t xml:space="preserve">effectively </w:t>
      </w:r>
      <w:r w:rsidRPr="00ED1FA1">
        <w:rPr>
          <w:sz w:val="24"/>
          <w:szCs w:val="24"/>
        </w:rPr>
        <w:t xml:space="preserve">implement the IBQ </w:t>
      </w:r>
      <w:r w:rsidRPr="00ED1FA1" w:rsidR="005A56CE">
        <w:rPr>
          <w:sz w:val="24"/>
          <w:szCs w:val="24"/>
        </w:rPr>
        <w:t>tracking</w:t>
      </w:r>
      <w:r w:rsidRPr="00ED1FA1" w:rsidR="00C12E0A">
        <w:rPr>
          <w:sz w:val="24"/>
          <w:szCs w:val="24"/>
        </w:rPr>
        <w:t xml:space="preserve"> and</w:t>
      </w:r>
      <w:r w:rsidRPr="00ED1FA1" w:rsidR="00D8408D">
        <w:rPr>
          <w:sz w:val="24"/>
          <w:szCs w:val="24"/>
        </w:rPr>
        <w:t xml:space="preserve"> </w:t>
      </w:r>
      <w:r w:rsidRPr="00ED1FA1" w:rsidR="00E93A1C">
        <w:rPr>
          <w:sz w:val="24"/>
          <w:szCs w:val="24"/>
        </w:rPr>
        <w:t>leasing</w:t>
      </w:r>
      <w:r w:rsidRPr="00ED1FA1" w:rsidR="00AA6076">
        <w:rPr>
          <w:sz w:val="24"/>
          <w:szCs w:val="24"/>
        </w:rPr>
        <w:t xml:space="preserve"> required under HMS regulations at 50 CFR 635</w:t>
      </w:r>
      <w:r w:rsidRPr="00ED1FA1">
        <w:rPr>
          <w:sz w:val="24"/>
          <w:szCs w:val="24"/>
        </w:rPr>
        <w:t xml:space="preserve">.  </w:t>
      </w:r>
      <w:r w:rsidRPr="00ED1FA1" w:rsidR="00C12E0A">
        <w:rPr>
          <w:sz w:val="24"/>
          <w:szCs w:val="24"/>
        </w:rPr>
        <w:t xml:space="preserve">Without the tracking component of the IBQ </w:t>
      </w:r>
      <w:r w:rsidRPr="00ED1FA1" w:rsidR="00141BCF">
        <w:rPr>
          <w:sz w:val="24"/>
          <w:szCs w:val="24"/>
        </w:rPr>
        <w:t>S</w:t>
      </w:r>
      <w:r w:rsidRPr="00ED1FA1" w:rsidR="00C12E0A">
        <w:rPr>
          <w:sz w:val="24"/>
          <w:szCs w:val="24"/>
        </w:rPr>
        <w:t xml:space="preserve">ystem, NMFS and </w:t>
      </w:r>
      <w:r w:rsidRPr="00ED1FA1" w:rsidR="00141BCF">
        <w:rPr>
          <w:sz w:val="24"/>
          <w:szCs w:val="24"/>
        </w:rPr>
        <w:t xml:space="preserve">IBQ </w:t>
      </w:r>
      <w:r w:rsidRPr="00ED1FA1" w:rsidR="00C12E0A">
        <w:rPr>
          <w:sz w:val="24"/>
          <w:szCs w:val="24"/>
        </w:rPr>
        <w:t xml:space="preserve">shareholders would not be able to </w:t>
      </w:r>
      <w:r w:rsidRPr="00ED1FA1" w:rsidR="00141BCF">
        <w:rPr>
          <w:sz w:val="24"/>
          <w:szCs w:val="24"/>
        </w:rPr>
        <w:t xml:space="preserve">effectively </w:t>
      </w:r>
      <w:r w:rsidRPr="00ED1FA1" w:rsidR="00C12E0A">
        <w:rPr>
          <w:sz w:val="24"/>
          <w:szCs w:val="24"/>
        </w:rPr>
        <w:t xml:space="preserve">track the amount of IBQ </w:t>
      </w:r>
      <w:r w:rsidRPr="00ED1FA1" w:rsidR="00141BCF">
        <w:rPr>
          <w:sz w:val="24"/>
          <w:szCs w:val="24"/>
        </w:rPr>
        <w:t xml:space="preserve">allocation </w:t>
      </w:r>
      <w:r w:rsidRPr="00ED1FA1" w:rsidR="00C12E0A">
        <w:rPr>
          <w:sz w:val="24"/>
          <w:szCs w:val="24"/>
        </w:rPr>
        <w:t>used by vessel owners</w:t>
      </w:r>
      <w:r w:rsidRPr="00ED1FA1" w:rsidR="00141BCF">
        <w:rPr>
          <w:sz w:val="24"/>
          <w:szCs w:val="24"/>
        </w:rPr>
        <w:t>/participants</w:t>
      </w:r>
      <w:r w:rsidRPr="00ED1FA1" w:rsidR="00D8408D">
        <w:rPr>
          <w:sz w:val="24"/>
          <w:szCs w:val="24"/>
        </w:rPr>
        <w:t>.</w:t>
      </w:r>
      <w:r w:rsidRPr="00ED1FA1" w:rsidR="00372418">
        <w:rPr>
          <w:sz w:val="24"/>
          <w:szCs w:val="24"/>
        </w:rPr>
        <w:t xml:space="preserve">  </w:t>
      </w:r>
      <w:r w:rsidRPr="00ED1FA1">
        <w:rPr>
          <w:sz w:val="24"/>
          <w:szCs w:val="24"/>
        </w:rPr>
        <w:t xml:space="preserve">Without the </w:t>
      </w:r>
      <w:r w:rsidRPr="00ED1FA1" w:rsidR="00E93A1C">
        <w:rPr>
          <w:sz w:val="24"/>
          <w:szCs w:val="24"/>
        </w:rPr>
        <w:t xml:space="preserve">leasing </w:t>
      </w:r>
      <w:r w:rsidRPr="00ED1FA1">
        <w:rPr>
          <w:sz w:val="24"/>
          <w:szCs w:val="24"/>
        </w:rPr>
        <w:t xml:space="preserve">component, the management program would be less effective, in part because of the small relative size of the </w:t>
      </w:r>
      <w:r w:rsidRPr="00ED1FA1" w:rsidR="00141BCF">
        <w:rPr>
          <w:sz w:val="24"/>
          <w:szCs w:val="24"/>
        </w:rPr>
        <w:t xml:space="preserve">IBQ </w:t>
      </w:r>
      <w:r w:rsidRPr="00ED1FA1">
        <w:rPr>
          <w:sz w:val="24"/>
          <w:szCs w:val="24"/>
        </w:rPr>
        <w:t>shares</w:t>
      </w:r>
      <w:r w:rsidRPr="00ED1FA1" w:rsidR="00141BCF">
        <w:rPr>
          <w:sz w:val="24"/>
          <w:szCs w:val="24"/>
        </w:rPr>
        <w:t xml:space="preserve"> and</w:t>
      </w:r>
      <w:r w:rsidRPr="00ED1FA1" w:rsidR="00E93A1C">
        <w:rPr>
          <w:sz w:val="24"/>
          <w:szCs w:val="24"/>
        </w:rPr>
        <w:t xml:space="preserve"> resulting allocations</w:t>
      </w:r>
      <w:r w:rsidRPr="00ED1FA1">
        <w:rPr>
          <w:sz w:val="24"/>
          <w:szCs w:val="24"/>
        </w:rPr>
        <w:t xml:space="preserve"> that will be available to each </w:t>
      </w:r>
      <w:r w:rsidRPr="00ED1FA1" w:rsidR="00FA3FC4">
        <w:rPr>
          <w:sz w:val="24"/>
          <w:szCs w:val="24"/>
        </w:rPr>
        <w:t>Longline category</w:t>
      </w:r>
      <w:r w:rsidRPr="00ED1FA1">
        <w:rPr>
          <w:sz w:val="24"/>
          <w:szCs w:val="24"/>
        </w:rPr>
        <w:t xml:space="preserve"> vessel.  </w:t>
      </w:r>
      <w:r w:rsidRPr="00ED1FA1" w:rsidR="002C7596">
        <w:rPr>
          <w:sz w:val="24"/>
          <w:szCs w:val="24"/>
        </w:rPr>
        <w:t xml:space="preserve">The catch of bluefin among </w:t>
      </w:r>
      <w:r w:rsidRPr="00ED1FA1" w:rsidR="00FA3FC4">
        <w:rPr>
          <w:sz w:val="24"/>
          <w:szCs w:val="24"/>
        </w:rPr>
        <w:t>L</w:t>
      </w:r>
      <w:r w:rsidRPr="00ED1FA1" w:rsidR="002C7596">
        <w:rPr>
          <w:sz w:val="24"/>
          <w:szCs w:val="24"/>
        </w:rPr>
        <w:t xml:space="preserve">ongline </w:t>
      </w:r>
      <w:r w:rsidRPr="00ED1FA1" w:rsidR="00FA3FC4">
        <w:rPr>
          <w:sz w:val="24"/>
          <w:szCs w:val="24"/>
        </w:rPr>
        <w:t xml:space="preserve">category </w:t>
      </w:r>
      <w:r w:rsidRPr="00ED1FA1" w:rsidR="002C7596">
        <w:rPr>
          <w:sz w:val="24"/>
          <w:szCs w:val="24"/>
        </w:rPr>
        <w:t>vessels is not evenly distributed geographically or among the fleet.  It would be very difficult</w:t>
      </w:r>
      <w:r w:rsidRPr="00ED1FA1" w:rsidR="00141BCF">
        <w:rPr>
          <w:sz w:val="24"/>
          <w:szCs w:val="24"/>
        </w:rPr>
        <w:t xml:space="preserve"> </w:t>
      </w:r>
      <w:r w:rsidRPr="00ED1FA1" w:rsidR="009228D3">
        <w:rPr>
          <w:sz w:val="24"/>
          <w:szCs w:val="24"/>
        </w:rPr>
        <w:t xml:space="preserve">to </w:t>
      </w:r>
      <w:r w:rsidRPr="00ED1FA1" w:rsidR="00141BCF">
        <w:rPr>
          <w:sz w:val="24"/>
          <w:szCs w:val="24"/>
        </w:rPr>
        <w:t xml:space="preserve">award IBQ shares and resultant </w:t>
      </w:r>
      <w:r w:rsidRPr="00ED1FA1" w:rsidR="002C7596">
        <w:rPr>
          <w:sz w:val="24"/>
          <w:szCs w:val="24"/>
        </w:rPr>
        <w:t>allocat</w:t>
      </w:r>
      <w:r w:rsidRPr="00ED1FA1" w:rsidR="00141BCF">
        <w:rPr>
          <w:sz w:val="24"/>
          <w:szCs w:val="24"/>
        </w:rPr>
        <w:t>ion</w:t>
      </w:r>
      <w:r w:rsidRPr="00ED1FA1" w:rsidR="002C7596">
        <w:rPr>
          <w:sz w:val="24"/>
          <w:szCs w:val="24"/>
        </w:rPr>
        <w:t xml:space="preserve"> to </w:t>
      </w:r>
      <w:r w:rsidRPr="00ED1FA1" w:rsidR="00141BCF">
        <w:rPr>
          <w:sz w:val="24"/>
          <w:szCs w:val="24"/>
        </w:rPr>
        <w:t>permit holders</w:t>
      </w:r>
      <w:r w:rsidRPr="00ED1FA1" w:rsidR="002C7596">
        <w:rPr>
          <w:sz w:val="24"/>
          <w:szCs w:val="24"/>
        </w:rPr>
        <w:t xml:space="preserve"> in a way that would </w:t>
      </w:r>
      <w:r w:rsidRPr="00ED1FA1" w:rsidR="009228D3">
        <w:rPr>
          <w:sz w:val="24"/>
          <w:szCs w:val="24"/>
        </w:rPr>
        <w:t>provide</w:t>
      </w:r>
      <w:r w:rsidRPr="00ED1FA1" w:rsidR="002C7596">
        <w:rPr>
          <w:sz w:val="24"/>
          <w:szCs w:val="24"/>
        </w:rPr>
        <w:t xml:space="preserve"> the </w:t>
      </w:r>
      <w:r w:rsidRPr="00ED1FA1" w:rsidR="00141BCF">
        <w:rPr>
          <w:sz w:val="24"/>
          <w:szCs w:val="24"/>
        </w:rPr>
        <w:t xml:space="preserve">IBQ allocation </w:t>
      </w:r>
      <w:r w:rsidRPr="00ED1FA1" w:rsidR="002C7596">
        <w:rPr>
          <w:sz w:val="24"/>
          <w:szCs w:val="24"/>
        </w:rPr>
        <w:t xml:space="preserve">that they “need” to account for their bluefin landings and dead discards.  Without transferability, a </w:t>
      </w:r>
      <w:r w:rsidRPr="00ED1FA1" w:rsidR="00141BCF">
        <w:rPr>
          <w:sz w:val="24"/>
          <w:szCs w:val="24"/>
        </w:rPr>
        <w:t xml:space="preserve">permit holder’s </w:t>
      </w:r>
      <w:r w:rsidRPr="00ED1FA1" w:rsidR="002C7596">
        <w:rPr>
          <w:sz w:val="24"/>
          <w:szCs w:val="24"/>
        </w:rPr>
        <w:t xml:space="preserve">IBQ allocation could severely constrain their potential fishing effort.  </w:t>
      </w:r>
      <w:r w:rsidRPr="00ED1FA1">
        <w:rPr>
          <w:sz w:val="24"/>
          <w:szCs w:val="24"/>
        </w:rPr>
        <w:t>Furthe</w:t>
      </w:r>
      <w:r w:rsidRPr="00ED1FA1" w:rsidR="00601325">
        <w:rPr>
          <w:sz w:val="24"/>
          <w:szCs w:val="24"/>
        </w:rPr>
        <w:t xml:space="preserve">r, the Purse </w:t>
      </w:r>
      <w:r w:rsidRPr="00ED1FA1" w:rsidR="00015C33">
        <w:rPr>
          <w:sz w:val="24"/>
          <w:szCs w:val="24"/>
        </w:rPr>
        <w:t>S</w:t>
      </w:r>
      <w:r w:rsidRPr="00ED1FA1" w:rsidR="00601325">
        <w:rPr>
          <w:sz w:val="24"/>
          <w:szCs w:val="24"/>
        </w:rPr>
        <w:t xml:space="preserve">eine category </w:t>
      </w:r>
      <w:r w:rsidRPr="00ED1FA1" w:rsidR="00141BCF">
        <w:rPr>
          <w:sz w:val="24"/>
          <w:szCs w:val="24"/>
        </w:rPr>
        <w:t>partic</w:t>
      </w:r>
      <w:r w:rsidRPr="00ED1FA1" w:rsidR="00134C63">
        <w:rPr>
          <w:sz w:val="24"/>
          <w:szCs w:val="24"/>
        </w:rPr>
        <w:t>i</w:t>
      </w:r>
      <w:r w:rsidRPr="00ED1FA1" w:rsidR="00141BCF">
        <w:rPr>
          <w:sz w:val="24"/>
          <w:szCs w:val="24"/>
        </w:rPr>
        <w:t>pants</w:t>
      </w:r>
      <w:r w:rsidRPr="00ED1FA1">
        <w:rPr>
          <w:sz w:val="24"/>
          <w:szCs w:val="24"/>
        </w:rPr>
        <w:t xml:space="preserve"> would not be able to </w:t>
      </w:r>
      <w:r w:rsidRPr="00ED1FA1" w:rsidR="00601325">
        <w:rPr>
          <w:sz w:val="24"/>
          <w:szCs w:val="24"/>
        </w:rPr>
        <w:t xml:space="preserve">participate in the </w:t>
      </w:r>
      <w:r w:rsidRPr="00ED1FA1" w:rsidR="00141BCF">
        <w:rPr>
          <w:sz w:val="24"/>
          <w:szCs w:val="24"/>
        </w:rPr>
        <w:t xml:space="preserve">IBQ </w:t>
      </w:r>
      <w:r w:rsidRPr="00ED1FA1" w:rsidR="00E93A1C">
        <w:rPr>
          <w:sz w:val="24"/>
          <w:szCs w:val="24"/>
        </w:rPr>
        <w:t>leasing process</w:t>
      </w:r>
      <w:r w:rsidRPr="00ED1FA1" w:rsidR="00601325">
        <w:rPr>
          <w:sz w:val="24"/>
          <w:szCs w:val="24"/>
        </w:rPr>
        <w:t xml:space="preserve">.  </w:t>
      </w:r>
    </w:p>
    <w:p w:rsidRPr="00ED1FA1" w:rsidR="00601325" w:rsidP="002500D2" w:rsidRDefault="00601325" w14:paraId="3183BA5E" w14:textId="77777777">
      <w:pPr>
        <w:rPr>
          <w:sz w:val="24"/>
          <w:szCs w:val="24"/>
        </w:rPr>
      </w:pPr>
    </w:p>
    <w:p w:rsidRPr="00ED1FA1" w:rsidR="004F26E9" w:rsidP="002500D2" w:rsidRDefault="00601325" w14:paraId="25917045" w14:textId="77777777">
      <w:pPr>
        <w:rPr>
          <w:sz w:val="24"/>
          <w:szCs w:val="24"/>
        </w:rPr>
      </w:pPr>
      <w:r w:rsidRPr="00ED1FA1">
        <w:rPr>
          <w:sz w:val="24"/>
          <w:szCs w:val="24"/>
        </w:rPr>
        <w:t xml:space="preserve">Real-time data collection is required </w:t>
      </w:r>
      <w:r w:rsidRPr="00ED1FA1" w:rsidR="00141BCF">
        <w:rPr>
          <w:sz w:val="24"/>
          <w:szCs w:val="24"/>
        </w:rPr>
        <w:t xml:space="preserve">to </w:t>
      </w:r>
      <w:r w:rsidRPr="00ED1FA1" w:rsidR="009228D3">
        <w:rPr>
          <w:sz w:val="24"/>
          <w:szCs w:val="24"/>
        </w:rPr>
        <w:t xml:space="preserve">provide leasing functionality for </w:t>
      </w:r>
      <w:r w:rsidRPr="00ED1FA1">
        <w:rPr>
          <w:sz w:val="24"/>
          <w:szCs w:val="24"/>
        </w:rPr>
        <w:t xml:space="preserve">the limited </w:t>
      </w:r>
      <w:r w:rsidRPr="00ED1FA1" w:rsidR="00141BCF">
        <w:rPr>
          <w:sz w:val="24"/>
          <w:szCs w:val="24"/>
        </w:rPr>
        <w:t xml:space="preserve">IBQ </w:t>
      </w:r>
      <w:r w:rsidRPr="00ED1FA1" w:rsidR="009228D3">
        <w:rPr>
          <w:sz w:val="24"/>
          <w:szCs w:val="24"/>
        </w:rPr>
        <w:t>allocations</w:t>
      </w:r>
      <w:r w:rsidRPr="00ED1FA1">
        <w:rPr>
          <w:sz w:val="24"/>
          <w:szCs w:val="24"/>
        </w:rPr>
        <w:t xml:space="preserve"> and Longline category quota.</w:t>
      </w:r>
      <w:r w:rsidRPr="00ED1FA1" w:rsidR="009228D3">
        <w:rPr>
          <w:sz w:val="24"/>
          <w:szCs w:val="24"/>
        </w:rPr>
        <w:t xml:space="preserve">  Without real-time tracking of IBQ, vessels might not be able to meet the minimum allocation requirement to be able to lawfully proceed on a fishing trip.</w:t>
      </w:r>
      <w:r w:rsidRPr="00ED1FA1">
        <w:rPr>
          <w:sz w:val="24"/>
          <w:szCs w:val="24"/>
        </w:rPr>
        <w:t xml:space="preserve">  </w:t>
      </w:r>
      <w:r w:rsidRPr="00ED1FA1" w:rsidR="009228D3">
        <w:rPr>
          <w:sz w:val="24"/>
          <w:szCs w:val="24"/>
        </w:rPr>
        <w:t>Further, o</w:t>
      </w:r>
      <w:r w:rsidRPr="00ED1FA1">
        <w:rPr>
          <w:sz w:val="24"/>
          <w:szCs w:val="24"/>
        </w:rPr>
        <w:t>verages by the Longline category could impact other domestic user group</w:t>
      </w:r>
      <w:r w:rsidRPr="00ED1FA1" w:rsidR="002C7596">
        <w:rPr>
          <w:sz w:val="24"/>
          <w:szCs w:val="24"/>
        </w:rPr>
        <w:t xml:space="preserve">s or result in an annual </w:t>
      </w:r>
      <w:r w:rsidRPr="00ED1FA1">
        <w:rPr>
          <w:sz w:val="24"/>
          <w:szCs w:val="24"/>
        </w:rPr>
        <w:t>quota overage.  ICCAT could assess a penalty if</w:t>
      </w:r>
      <w:r w:rsidRPr="00ED1FA1" w:rsidR="009D769A">
        <w:rPr>
          <w:sz w:val="24"/>
          <w:szCs w:val="24"/>
        </w:rPr>
        <w:t xml:space="preserve"> the United States overharvests</w:t>
      </w:r>
      <w:r w:rsidRPr="00ED1FA1">
        <w:rPr>
          <w:sz w:val="24"/>
          <w:szCs w:val="24"/>
        </w:rPr>
        <w:t xml:space="preserve"> its quota.</w:t>
      </w:r>
    </w:p>
    <w:p w:rsidRPr="00ED1FA1" w:rsidR="00601325" w:rsidP="002500D2" w:rsidRDefault="00601325" w14:paraId="578CC72B" w14:textId="77777777">
      <w:pPr>
        <w:rPr>
          <w:sz w:val="24"/>
          <w:szCs w:val="24"/>
        </w:rPr>
      </w:pPr>
    </w:p>
    <w:p w:rsidRPr="00ED1FA1" w:rsidR="009D769A" w:rsidP="002500D2" w:rsidRDefault="009D769A" w14:paraId="4EC19260" w14:textId="77777777">
      <w:pPr>
        <w:rPr>
          <w:sz w:val="24"/>
          <w:szCs w:val="24"/>
        </w:rPr>
      </w:pPr>
    </w:p>
    <w:p w:rsidRPr="00ED1FA1" w:rsidR="004F26E9" w:rsidP="002500D2" w:rsidRDefault="004F26E9" w14:paraId="7319559F" w14:textId="77777777">
      <w:pPr>
        <w:rPr>
          <w:sz w:val="24"/>
          <w:szCs w:val="24"/>
        </w:rPr>
      </w:pPr>
      <w:r w:rsidRPr="00ED1FA1">
        <w:rPr>
          <w:b/>
          <w:bCs/>
          <w:sz w:val="24"/>
          <w:szCs w:val="24"/>
        </w:rPr>
        <w:t xml:space="preserve">7.  Explain any special circumstances that require the collection to be conducted in a manner inconsistent with OMB guidelines. </w:t>
      </w:r>
    </w:p>
    <w:p w:rsidRPr="00ED1FA1" w:rsidR="004F26E9" w:rsidP="002500D2" w:rsidRDefault="004F26E9" w14:paraId="2DF6B26B" w14:textId="77777777">
      <w:pPr>
        <w:rPr>
          <w:sz w:val="24"/>
          <w:szCs w:val="24"/>
        </w:rPr>
      </w:pPr>
    </w:p>
    <w:p w:rsidRPr="00ED1FA1" w:rsidR="004F26E9" w:rsidP="002500D2" w:rsidRDefault="009A3A78" w14:paraId="6C277DDF" w14:textId="77777777">
      <w:pPr>
        <w:rPr>
          <w:sz w:val="24"/>
          <w:szCs w:val="24"/>
        </w:rPr>
      </w:pPr>
      <w:r w:rsidRPr="00ED1FA1">
        <w:rPr>
          <w:sz w:val="24"/>
          <w:szCs w:val="24"/>
          <w:lang w:val="en-CA"/>
        </w:rPr>
        <w:t xml:space="preserve">OMB guidelines state that respondents should not be required to report information more often than quarterly.  However, the IBQ </w:t>
      </w:r>
      <w:r w:rsidRPr="00ED1FA1" w:rsidR="00360139">
        <w:rPr>
          <w:sz w:val="24"/>
          <w:szCs w:val="24"/>
          <w:lang w:val="en-CA"/>
        </w:rPr>
        <w:t>S</w:t>
      </w:r>
      <w:r w:rsidRPr="00ED1FA1">
        <w:rPr>
          <w:sz w:val="24"/>
          <w:szCs w:val="24"/>
          <w:lang w:val="en-CA"/>
        </w:rPr>
        <w:t xml:space="preserve">ystem requires information regarding </w:t>
      </w:r>
      <w:r w:rsidRPr="00ED1FA1" w:rsidR="00C12E0A">
        <w:rPr>
          <w:sz w:val="24"/>
          <w:szCs w:val="24"/>
          <w:lang w:val="en-CA"/>
        </w:rPr>
        <w:t>IBQ</w:t>
      </w:r>
      <w:r w:rsidRPr="00ED1FA1" w:rsidR="00841A3B">
        <w:rPr>
          <w:sz w:val="24"/>
          <w:szCs w:val="24"/>
          <w:lang w:val="en-CA"/>
        </w:rPr>
        <w:t xml:space="preserve"> </w:t>
      </w:r>
      <w:r w:rsidRPr="00ED1FA1" w:rsidR="005A56CE">
        <w:rPr>
          <w:sz w:val="24"/>
          <w:szCs w:val="24"/>
          <w:lang w:val="en-CA"/>
        </w:rPr>
        <w:t xml:space="preserve">tracking and </w:t>
      </w:r>
      <w:r w:rsidRPr="00ED1FA1" w:rsidR="00E93A1C">
        <w:rPr>
          <w:sz w:val="24"/>
          <w:szCs w:val="24"/>
          <w:lang w:val="en-CA"/>
        </w:rPr>
        <w:t>leas</w:t>
      </w:r>
      <w:r w:rsidRPr="00ED1FA1" w:rsidR="005A56CE">
        <w:rPr>
          <w:sz w:val="24"/>
          <w:szCs w:val="24"/>
          <w:lang w:val="en-CA"/>
        </w:rPr>
        <w:t>ing</w:t>
      </w:r>
      <w:r w:rsidRPr="00ED1FA1" w:rsidR="00E93A1C">
        <w:rPr>
          <w:sz w:val="24"/>
          <w:szCs w:val="24"/>
          <w:lang w:val="en-CA"/>
        </w:rPr>
        <w:t xml:space="preserve"> </w:t>
      </w:r>
      <w:r w:rsidRPr="00ED1FA1">
        <w:rPr>
          <w:sz w:val="24"/>
          <w:szCs w:val="24"/>
          <w:lang w:val="en-CA"/>
        </w:rPr>
        <w:t xml:space="preserve">to be entered in real-time.  Without real-time data entry, </w:t>
      </w:r>
      <w:r w:rsidRPr="00ED1FA1" w:rsidR="00B307C4">
        <w:rPr>
          <w:sz w:val="24"/>
          <w:szCs w:val="24"/>
          <w:lang w:val="en-CA"/>
        </w:rPr>
        <w:t>NMFS and vessel owners</w:t>
      </w:r>
      <w:r w:rsidRPr="00ED1FA1" w:rsidR="00360139">
        <w:rPr>
          <w:sz w:val="24"/>
          <w:szCs w:val="24"/>
          <w:lang w:val="en-CA"/>
        </w:rPr>
        <w:t>/fishery participants</w:t>
      </w:r>
      <w:r w:rsidRPr="00ED1FA1" w:rsidR="00B307C4">
        <w:rPr>
          <w:sz w:val="24"/>
          <w:szCs w:val="24"/>
          <w:lang w:val="en-CA"/>
        </w:rPr>
        <w:t xml:space="preserve"> would not be able to monitor the status of IBQ</w:t>
      </w:r>
      <w:r w:rsidRPr="00ED1FA1" w:rsidR="00360139">
        <w:rPr>
          <w:sz w:val="24"/>
          <w:szCs w:val="24"/>
          <w:lang w:val="en-CA"/>
        </w:rPr>
        <w:t xml:space="preserve"> allocations</w:t>
      </w:r>
      <w:r w:rsidRPr="00ED1FA1" w:rsidR="00B307C4">
        <w:rPr>
          <w:sz w:val="24"/>
          <w:szCs w:val="24"/>
          <w:lang w:val="en-CA"/>
        </w:rPr>
        <w:t xml:space="preserve"> in real-time.  Further, </w:t>
      </w:r>
      <w:r w:rsidRPr="00ED1FA1" w:rsidR="00793EA1">
        <w:rPr>
          <w:sz w:val="24"/>
          <w:szCs w:val="24"/>
          <w:lang w:val="en-CA"/>
        </w:rPr>
        <w:t>vessel owners</w:t>
      </w:r>
      <w:r w:rsidRPr="00ED1FA1" w:rsidR="00360139">
        <w:rPr>
          <w:sz w:val="24"/>
          <w:szCs w:val="24"/>
          <w:lang w:val="en-CA"/>
        </w:rPr>
        <w:t>/participants</w:t>
      </w:r>
      <w:r w:rsidRPr="00ED1FA1" w:rsidR="00793EA1">
        <w:rPr>
          <w:sz w:val="24"/>
          <w:szCs w:val="24"/>
          <w:lang w:val="en-CA"/>
        </w:rPr>
        <w:t xml:space="preserve"> </w:t>
      </w:r>
      <w:r w:rsidRPr="00ED1FA1">
        <w:rPr>
          <w:sz w:val="24"/>
          <w:szCs w:val="24"/>
          <w:lang w:val="en-CA"/>
        </w:rPr>
        <w:t xml:space="preserve">would not be able to conduct </w:t>
      </w:r>
      <w:r w:rsidRPr="00ED1FA1" w:rsidR="00360139">
        <w:rPr>
          <w:sz w:val="24"/>
          <w:szCs w:val="24"/>
          <w:lang w:val="en-CA"/>
        </w:rPr>
        <w:t xml:space="preserve">IBQ allocation </w:t>
      </w:r>
      <w:r w:rsidRPr="00ED1FA1" w:rsidR="00E93A1C">
        <w:rPr>
          <w:sz w:val="24"/>
          <w:szCs w:val="24"/>
          <w:lang w:val="en-CA"/>
        </w:rPr>
        <w:t xml:space="preserve">leases </w:t>
      </w:r>
      <w:r w:rsidRPr="00ED1FA1">
        <w:rPr>
          <w:sz w:val="24"/>
          <w:szCs w:val="24"/>
          <w:lang w:val="en-CA"/>
        </w:rPr>
        <w:t xml:space="preserve">in real-time and the </w:t>
      </w:r>
      <w:r w:rsidRPr="00ED1FA1" w:rsidR="00360139">
        <w:rPr>
          <w:sz w:val="24"/>
          <w:szCs w:val="24"/>
          <w:lang w:val="en-CA"/>
        </w:rPr>
        <w:t>IBQ S</w:t>
      </w:r>
      <w:r w:rsidRPr="00ED1FA1">
        <w:rPr>
          <w:sz w:val="24"/>
          <w:szCs w:val="24"/>
          <w:lang w:val="en-CA"/>
        </w:rPr>
        <w:t>ystem would not be useful to the respondents.</w:t>
      </w:r>
    </w:p>
    <w:p w:rsidRPr="00ED1FA1" w:rsidR="00725C5C" w:rsidP="002500D2" w:rsidRDefault="00725C5C" w14:paraId="4214CD65" w14:textId="77777777">
      <w:pPr>
        <w:rPr>
          <w:b/>
          <w:bCs/>
          <w:sz w:val="24"/>
          <w:szCs w:val="24"/>
        </w:rPr>
      </w:pPr>
    </w:p>
    <w:p w:rsidRPr="00ED1FA1" w:rsidR="00ED1FA1" w:rsidP="00ED1FA1" w:rsidRDefault="002500D2" w14:paraId="5F8CFADF"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8.  </w:t>
      </w:r>
      <w:r w:rsidRPr="00ED1FA1" w:rsidR="00ED1FA1">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D1FA1" w:rsidR="002500D2" w:rsidP="00ED1FA1" w:rsidRDefault="002500D2" w14:paraId="4DDD2302" w14:textId="2E59ED76">
      <w:pPr>
        <w:rPr>
          <w:sz w:val="24"/>
          <w:szCs w:val="24"/>
        </w:rPr>
      </w:pPr>
    </w:p>
    <w:p w:rsidRPr="00ED1FA1" w:rsidR="002A302F" w:rsidP="00ED1FA1" w:rsidRDefault="00AA6076" w14:paraId="4E850770" w14:textId="1765348D">
      <w:pPr>
        <w:rPr>
          <w:sz w:val="24"/>
          <w:szCs w:val="24"/>
        </w:rPr>
      </w:pPr>
      <w:r w:rsidRPr="00ED1FA1">
        <w:rPr>
          <w:sz w:val="24"/>
          <w:szCs w:val="24"/>
        </w:rPr>
        <w:t xml:space="preserve">A notice was published in the Federal Register on August </w:t>
      </w:r>
      <w:r w:rsidRPr="00ED1FA1" w:rsidR="007129BA">
        <w:rPr>
          <w:sz w:val="24"/>
          <w:szCs w:val="24"/>
        </w:rPr>
        <w:t>31</w:t>
      </w:r>
      <w:r w:rsidRPr="00ED1FA1">
        <w:rPr>
          <w:sz w:val="24"/>
          <w:szCs w:val="24"/>
        </w:rPr>
        <w:t>, 20</w:t>
      </w:r>
      <w:r w:rsidRPr="00ED1FA1" w:rsidR="007129BA">
        <w:rPr>
          <w:sz w:val="24"/>
          <w:szCs w:val="24"/>
        </w:rPr>
        <w:t>20</w:t>
      </w:r>
      <w:r w:rsidRPr="00ED1FA1">
        <w:rPr>
          <w:sz w:val="24"/>
          <w:szCs w:val="24"/>
        </w:rPr>
        <w:t xml:space="preserve"> (8</w:t>
      </w:r>
      <w:r w:rsidRPr="00ED1FA1" w:rsidR="007129BA">
        <w:rPr>
          <w:sz w:val="24"/>
          <w:szCs w:val="24"/>
        </w:rPr>
        <w:t>5</w:t>
      </w:r>
      <w:r w:rsidRPr="00ED1FA1">
        <w:rPr>
          <w:sz w:val="24"/>
          <w:szCs w:val="24"/>
        </w:rPr>
        <w:t xml:space="preserve"> FR </w:t>
      </w:r>
      <w:r w:rsidRPr="00ED1FA1" w:rsidR="007129BA">
        <w:rPr>
          <w:sz w:val="24"/>
          <w:szCs w:val="24"/>
        </w:rPr>
        <w:t>53796</w:t>
      </w:r>
      <w:r w:rsidRPr="00ED1FA1">
        <w:rPr>
          <w:sz w:val="24"/>
          <w:szCs w:val="24"/>
        </w:rPr>
        <w:t>) requesting public comment on the information collection requirements.  Although no comments were received as a result of the Federal Register notice, NMFS routinely communicates with the users of the IBQ system and other affected members of the public about its HMS management programs in general, and the IBQ system.</w:t>
      </w:r>
    </w:p>
    <w:p w:rsidRPr="00ED1FA1" w:rsidR="00ED1FA1" w:rsidP="00ED1FA1" w:rsidRDefault="00ED1FA1" w14:paraId="209DB315" w14:textId="77777777">
      <w:pPr>
        <w:rPr>
          <w:sz w:val="24"/>
          <w:szCs w:val="24"/>
        </w:rPr>
      </w:pPr>
    </w:p>
    <w:p w:rsidRPr="00ED1FA1" w:rsidR="002A302F" w:rsidP="002A302F" w:rsidRDefault="002A302F" w14:paraId="6F1016EA" w14:textId="77777777">
      <w:pPr>
        <w:widowControl/>
        <w:autoSpaceDE/>
        <w:autoSpaceDN/>
        <w:adjustRightInd/>
        <w:spacing w:after="160" w:line="259" w:lineRule="auto"/>
        <w:rPr>
          <w:rFonts w:eastAsia="Calibri"/>
          <w:sz w:val="24"/>
          <w:szCs w:val="24"/>
        </w:rPr>
      </w:pPr>
      <w:r w:rsidRPr="00ED1FA1">
        <w:rPr>
          <w:rFonts w:eastAsia="Calibri"/>
          <w:sz w:val="24"/>
          <w:szCs w:val="24"/>
        </w:rPr>
        <w:t>When the IBQ system became effective, NOAA staff implemented a “customer service” plan to assist users, including development and distribution of a “User Guide,” and maintenance of a phone</w:t>
      </w:r>
      <w:r w:rsidRPr="00ED1FA1" w:rsidR="006346AF">
        <w:rPr>
          <w:rFonts w:eastAsia="Calibri"/>
          <w:sz w:val="24"/>
          <w:szCs w:val="24"/>
        </w:rPr>
        <w:t xml:space="preserve"> </w:t>
      </w:r>
      <w:r w:rsidRPr="00ED1FA1">
        <w:rPr>
          <w:rFonts w:eastAsia="Calibri"/>
          <w:sz w:val="24"/>
          <w:szCs w:val="24"/>
        </w:rPr>
        <w:t>line (301-427-8591) staffed by knowledgeable individuals during business hours.  During the first year of implementation, customer service staff had routine conference calls to discuss implementation, and noted many calls from pelagic longline shareholders that needed assistance with navigating the system for trading catch allocation.  System development staff addressed these concerns by working to balance the needs of the system</w:t>
      </w:r>
      <w:r w:rsidRPr="00ED1FA1" w:rsidR="006346AF">
        <w:rPr>
          <w:rFonts w:eastAsia="Calibri"/>
          <w:sz w:val="24"/>
          <w:szCs w:val="24"/>
        </w:rPr>
        <w:t>,</w:t>
      </w:r>
      <w:r w:rsidRPr="00ED1FA1">
        <w:rPr>
          <w:rFonts w:eastAsia="Calibri"/>
          <w:sz w:val="24"/>
          <w:szCs w:val="24"/>
        </w:rPr>
        <w:t xml:space="preserve"> including system security</w:t>
      </w:r>
      <w:r w:rsidRPr="00ED1FA1" w:rsidR="006346AF">
        <w:rPr>
          <w:rFonts w:eastAsia="Calibri"/>
          <w:sz w:val="24"/>
          <w:szCs w:val="24"/>
        </w:rPr>
        <w:t>,</w:t>
      </w:r>
      <w:r w:rsidRPr="00ED1FA1">
        <w:rPr>
          <w:rFonts w:eastAsia="Calibri"/>
          <w:sz w:val="24"/>
          <w:szCs w:val="24"/>
        </w:rPr>
        <w:t xml:space="preserve"> with simplifying the system where possible.  For example, NOAA fisheries dropped the need for users to renew their access on a yearly basis.  Based on the feedback derived from customer service calls, NOAA also increased the estimate of time (burden) for a trade transaction from 2 minutes to 15 minutes.</w:t>
      </w:r>
    </w:p>
    <w:p w:rsidRPr="004E12D1" w:rsidR="00114109" w:rsidP="004E12D1" w:rsidRDefault="002A302F" w14:paraId="17C5EC46" w14:textId="4564746A">
      <w:pPr>
        <w:widowControl/>
        <w:autoSpaceDE/>
        <w:autoSpaceDN/>
        <w:adjustRightInd/>
        <w:spacing w:after="160" w:line="259" w:lineRule="auto"/>
        <w:rPr>
          <w:rFonts w:eastAsia="Calibri"/>
          <w:sz w:val="24"/>
          <w:szCs w:val="24"/>
        </w:rPr>
      </w:pPr>
      <w:r w:rsidRPr="00ED1FA1">
        <w:rPr>
          <w:rFonts w:eastAsia="Calibri"/>
          <w:sz w:val="24"/>
          <w:szCs w:val="24"/>
        </w:rPr>
        <w:t>NOAA continued to dialogue with the HMS</w:t>
      </w:r>
      <w:r w:rsidRPr="00ED1FA1" w:rsidR="009228D3">
        <w:rPr>
          <w:rFonts w:eastAsia="Calibri"/>
          <w:sz w:val="24"/>
          <w:szCs w:val="24"/>
        </w:rPr>
        <w:t xml:space="preserve"> AP during subsequent biannual </w:t>
      </w:r>
      <w:r w:rsidRPr="00ED1FA1">
        <w:rPr>
          <w:rFonts w:eastAsia="Calibri"/>
          <w:sz w:val="24"/>
          <w:szCs w:val="24"/>
        </w:rPr>
        <w:t>meetings, and did not receive any further specific comments on use of the system.  NOAA has continued to balance the needs of security and utility with system simplification while further developing</w:t>
      </w:r>
      <w:r w:rsidRPr="00ED1FA1" w:rsidR="006346AF">
        <w:rPr>
          <w:rFonts w:eastAsia="Calibri"/>
          <w:sz w:val="24"/>
          <w:szCs w:val="24"/>
        </w:rPr>
        <w:t xml:space="preserve"> enhancements for</w:t>
      </w:r>
      <w:r w:rsidRPr="00ED1FA1">
        <w:rPr>
          <w:rFonts w:eastAsia="Calibri"/>
          <w:sz w:val="24"/>
          <w:szCs w:val="24"/>
        </w:rPr>
        <w:t xml:space="preserve"> the system.</w:t>
      </w:r>
      <w:r w:rsidRPr="00ED1FA1" w:rsidR="00221662">
        <w:rPr>
          <w:rFonts w:eastAsia="Calibri"/>
          <w:sz w:val="24"/>
          <w:szCs w:val="24"/>
        </w:rPr>
        <w:t xml:space="preserve">  N</w:t>
      </w:r>
      <w:r w:rsidRPr="00ED1FA1" w:rsidR="00C3591D">
        <w:rPr>
          <w:rFonts w:eastAsia="Calibri"/>
          <w:sz w:val="24"/>
          <w:szCs w:val="24"/>
        </w:rPr>
        <w:t>OAA</w:t>
      </w:r>
      <w:r w:rsidRPr="00ED1FA1" w:rsidR="00221662">
        <w:rPr>
          <w:rFonts w:eastAsia="Calibri"/>
          <w:sz w:val="24"/>
          <w:szCs w:val="24"/>
        </w:rPr>
        <w:t xml:space="preserve"> is exploring removing the PIN for entry of landings in a rulemaking currently under development to further simplify the system.</w:t>
      </w:r>
    </w:p>
    <w:p w:rsidRPr="00ED1FA1" w:rsidR="00ED1FA1" w:rsidP="00ED1FA1" w:rsidRDefault="004F26E9" w14:paraId="192C1847" w14:textId="77777777">
      <w:pPr>
        <w:tabs>
          <w:tab w:val="left" w:pos="360"/>
        </w:tabs>
        <w:spacing w:before="80"/>
        <w:rPr>
          <w:b/>
          <w:sz w:val="24"/>
          <w:szCs w:val="24"/>
        </w:rPr>
      </w:pPr>
      <w:r w:rsidRPr="00ED1FA1">
        <w:rPr>
          <w:b/>
          <w:bCs/>
          <w:sz w:val="24"/>
          <w:szCs w:val="24"/>
        </w:rPr>
        <w:t xml:space="preserve">9.  </w:t>
      </w:r>
      <w:r w:rsidRPr="00ED1FA1" w:rsidR="00ED1FA1">
        <w:rPr>
          <w:b/>
          <w:sz w:val="24"/>
          <w:szCs w:val="24"/>
        </w:rPr>
        <w:t>Explain any decision to provide any payment or gift to respondents, other than remuneration of contractors or grantees.</w:t>
      </w:r>
    </w:p>
    <w:p w:rsidRPr="00ED1FA1" w:rsidR="004F26E9" w:rsidP="002500D2" w:rsidRDefault="004F26E9" w14:paraId="40757C6E" w14:textId="7B12BEBB">
      <w:pPr>
        <w:rPr>
          <w:sz w:val="24"/>
          <w:szCs w:val="24"/>
        </w:rPr>
      </w:pPr>
    </w:p>
    <w:p w:rsidRPr="00ED1FA1" w:rsidR="004F26E9" w:rsidP="002500D2" w:rsidRDefault="009F6ABB" w14:paraId="763355E2" w14:textId="77777777">
      <w:pPr>
        <w:rPr>
          <w:sz w:val="24"/>
          <w:szCs w:val="24"/>
        </w:rPr>
      </w:pPr>
      <w:r w:rsidRPr="00ED1FA1">
        <w:rPr>
          <w:sz w:val="24"/>
          <w:szCs w:val="24"/>
        </w:rPr>
        <w:t>There are no payments or other remunerations to respondents.</w:t>
      </w:r>
    </w:p>
    <w:p w:rsidRPr="00ED1FA1" w:rsidR="004F26E9" w:rsidP="002500D2" w:rsidRDefault="004F26E9" w14:paraId="2A72BBB5" w14:textId="77777777">
      <w:pPr>
        <w:rPr>
          <w:sz w:val="24"/>
          <w:szCs w:val="24"/>
        </w:rPr>
      </w:pPr>
    </w:p>
    <w:p w:rsidRPr="00ED1FA1" w:rsidR="00ED1FA1" w:rsidP="00ED1FA1" w:rsidRDefault="004F26E9" w14:paraId="2E68DF30"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10.  </w:t>
      </w:r>
      <w:r w:rsidRPr="00ED1FA1" w:rsidR="00ED1FA1">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D1FA1" w:rsidR="004F26E9" w:rsidP="002500D2" w:rsidRDefault="004F26E9" w14:paraId="752A5C3B" w14:textId="4354FD0F">
      <w:pPr>
        <w:rPr>
          <w:sz w:val="24"/>
          <w:szCs w:val="24"/>
        </w:rPr>
      </w:pPr>
    </w:p>
    <w:p w:rsidRPr="00ED1FA1" w:rsidR="004F26E9" w:rsidP="002500D2" w:rsidRDefault="009F6ABB" w14:paraId="75214847" w14:textId="77777777">
      <w:pPr>
        <w:rPr>
          <w:sz w:val="24"/>
          <w:szCs w:val="24"/>
        </w:rPr>
      </w:pPr>
      <w:r w:rsidRPr="00ED1FA1">
        <w:rPr>
          <w:sz w:val="24"/>
          <w:szCs w:val="24"/>
        </w:rPr>
        <w:t xml:space="preserve">All data submitted under this collection will be handled as confidential in accordance with the MSA, Section 402b, and </w:t>
      </w:r>
      <w:hyperlink w:history="1" r:id="rId13">
        <w:r w:rsidRPr="00ED1FA1">
          <w:rPr>
            <w:rStyle w:val="Hyperlink"/>
            <w:sz w:val="24"/>
            <w:szCs w:val="24"/>
          </w:rPr>
          <w:t>NOAA Administrative Order 216-100</w:t>
        </w:r>
      </w:hyperlink>
      <w:r w:rsidRPr="00ED1FA1">
        <w:rPr>
          <w:sz w:val="24"/>
          <w:szCs w:val="24"/>
        </w:rPr>
        <w:t xml:space="preserve">, Protection of Confidential Fishery Statistics.  Respondents are given this assurance as part of the initial information received upon enrollment to use the IBQ </w:t>
      </w:r>
      <w:r w:rsidRPr="00ED1FA1" w:rsidR="00CC0443">
        <w:rPr>
          <w:sz w:val="24"/>
          <w:szCs w:val="24"/>
        </w:rPr>
        <w:t>S</w:t>
      </w:r>
      <w:r w:rsidRPr="00ED1FA1">
        <w:rPr>
          <w:sz w:val="24"/>
          <w:szCs w:val="24"/>
        </w:rPr>
        <w:t>ystem.</w:t>
      </w:r>
      <w:r w:rsidRPr="00ED1FA1" w:rsidR="00645907">
        <w:rPr>
          <w:sz w:val="24"/>
          <w:szCs w:val="24"/>
        </w:rPr>
        <w:t xml:space="preserve">  The </w:t>
      </w:r>
      <w:r w:rsidRPr="00ED1FA1" w:rsidR="00511B7C">
        <w:rPr>
          <w:sz w:val="24"/>
          <w:szCs w:val="24"/>
        </w:rPr>
        <w:t>initial</w:t>
      </w:r>
      <w:r w:rsidRPr="00ED1FA1" w:rsidR="00645907">
        <w:rPr>
          <w:sz w:val="24"/>
          <w:szCs w:val="24"/>
        </w:rPr>
        <w:t xml:space="preserve"> information will either be mailed or </w:t>
      </w:r>
      <w:r w:rsidRPr="00ED1FA1" w:rsidR="00645907">
        <w:rPr>
          <w:sz w:val="24"/>
          <w:szCs w:val="24"/>
        </w:rPr>
        <w:lastRenderedPageBreak/>
        <w:t>emailed to the applicant, or available for download from the IFQ website.</w:t>
      </w:r>
    </w:p>
    <w:p w:rsidRPr="00ED1FA1" w:rsidR="004F26E9" w:rsidP="002500D2" w:rsidRDefault="004F26E9" w14:paraId="18DECDF2" w14:textId="77777777">
      <w:pPr>
        <w:rPr>
          <w:sz w:val="24"/>
          <w:szCs w:val="24"/>
        </w:rPr>
      </w:pPr>
    </w:p>
    <w:p w:rsidRPr="00ED1FA1" w:rsidR="00ED1FA1" w:rsidP="00ED1FA1" w:rsidRDefault="004F26E9" w14:paraId="64D86418"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11.  </w:t>
      </w:r>
      <w:r w:rsidRPr="00ED1FA1" w:rsidR="00ED1FA1">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1FA1" w:rsidR="004F26E9" w:rsidP="002500D2" w:rsidRDefault="004F26E9" w14:paraId="3AC89C1E" w14:textId="3D93131D">
      <w:pPr>
        <w:rPr>
          <w:sz w:val="24"/>
          <w:szCs w:val="24"/>
        </w:rPr>
      </w:pPr>
    </w:p>
    <w:p w:rsidRPr="00ED1FA1" w:rsidR="004F26E9" w:rsidP="002500D2" w:rsidRDefault="009F6ABB" w14:paraId="3D19FEBE" w14:textId="77777777">
      <w:pPr>
        <w:rPr>
          <w:sz w:val="24"/>
          <w:szCs w:val="24"/>
        </w:rPr>
      </w:pPr>
      <w:r w:rsidRPr="00ED1FA1">
        <w:rPr>
          <w:sz w:val="24"/>
          <w:szCs w:val="24"/>
        </w:rPr>
        <w:t>No questions of a sensitive nature are asked.</w:t>
      </w:r>
    </w:p>
    <w:p w:rsidRPr="00ED1FA1" w:rsidR="004F26E9" w:rsidP="002500D2" w:rsidRDefault="004F26E9" w14:paraId="294EA2AE" w14:textId="77777777">
      <w:pPr>
        <w:rPr>
          <w:sz w:val="24"/>
          <w:szCs w:val="24"/>
        </w:rPr>
      </w:pPr>
    </w:p>
    <w:p w:rsidRPr="00ED1FA1" w:rsidR="00ED1FA1" w:rsidP="00ED1FA1" w:rsidRDefault="004F26E9" w14:paraId="664BBE5B"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12.  </w:t>
      </w:r>
      <w:r w:rsidRPr="00ED1FA1" w:rsidR="00ED1FA1">
        <w:rPr>
          <w:rFonts w:ascii="Times New Roman" w:hAnsi="Times New Roman" w:cs="Times New Roman"/>
          <w:b/>
          <w:sz w:val="24"/>
          <w:szCs w:val="24"/>
        </w:rPr>
        <w:t>Provide estimates of the hour burden of the collection of information.</w:t>
      </w:r>
    </w:p>
    <w:p w:rsidRPr="00ED1FA1" w:rsidR="004F26E9" w:rsidP="002500D2" w:rsidRDefault="004F26E9" w14:paraId="1750EB13" w14:textId="6C683B41">
      <w:pPr>
        <w:rPr>
          <w:sz w:val="24"/>
          <w:szCs w:val="24"/>
        </w:rPr>
      </w:pPr>
    </w:p>
    <w:p w:rsidRPr="00ED1FA1" w:rsidR="00BE7157" w:rsidP="002500D2" w:rsidRDefault="00C3591D" w14:paraId="1656EA7B" w14:textId="7D7F1E75">
      <w:pPr>
        <w:rPr>
          <w:sz w:val="24"/>
          <w:szCs w:val="24"/>
        </w:rPr>
      </w:pPr>
      <w:r w:rsidRPr="00ED1FA1">
        <w:rPr>
          <w:sz w:val="24"/>
          <w:szCs w:val="24"/>
        </w:rPr>
        <w:t xml:space="preserve">For </w:t>
      </w:r>
      <w:r w:rsidRPr="00ED1FA1" w:rsidR="00CF72DC">
        <w:rPr>
          <w:sz w:val="24"/>
          <w:szCs w:val="24"/>
        </w:rPr>
        <w:t>201</w:t>
      </w:r>
      <w:r w:rsidRPr="00ED1FA1">
        <w:rPr>
          <w:sz w:val="24"/>
          <w:szCs w:val="24"/>
        </w:rPr>
        <w:t>7, 2018, and 2019 new vessel accounts totaled 11, 24,</w:t>
      </w:r>
      <w:r w:rsidRPr="00ED1FA1" w:rsidR="00F861CF">
        <w:rPr>
          <w:sz w:val="24"/>
          <w:szCs w:val="24"/>
        </w:rPr>
        <w:t xml:space="preserve"> and </w:t>
      </w:r>
      <w:r w:rsidRPr="00ED1FA1">
        <w:rPr>
          <w:sz w:val="24"/>
          <w:szCs w:val="24"/>
        </w:rPr>
        <w:t>16 respectively per year</w:t>
      </w:r>
      <w:r w:rsidRPr="00ED1FA1" w:rsidR="00CF72DC">
        <w:rPr>
          <w:sz w:val="24"/>
          <w:szCs w:val="24"/>
        </w:rPr>
        <w:t xml:space="preserve">, for an average of </w:t>
      </w:r>
      <w:r w:rsidRPr="00ED1FA1" w:rsidR="003D4F76">
        <w:rPr>
          <w:sz w:val="24"/>
          <w:szCs w:val="24"/>
        </w:rPr>
        <w:t>13.7</w:t>
      </w:r>
      <w:r w:rsidRPr="00ED1FA1" w:rsidR="00CF72DC">
        <w:rPr>
          <w:sz w:val="24"/>
          <w:szCs w:val="24"/>
        </w:rPr>
        <w:t xml:space="preserve"> per year, which NMFS is rounding up to 20 per year to account for potential </w:t>
      </w:r>
      <w:r w:rsidRPr="00ED1FA1" w:rsidR="002A302F">
        <w:rPr>
          <w:sz w:val="24"/>
          <w:szCs w:val="24"/>
        </w:rPr>
        <w:t xml:space="preserve">future </w:t>
      </w:r>
      <w:r w:rsidRPr="00ED1FA1" w:rsidR="00CF72DC">
        <w:rPr>
          <w:sz w:val="24"/>
          <w:szCs w:val="24"/>
        </w:rPr>
        <w:t xml:space="preserve">increases. </w:t>
      </w:r>
      <w:r w:rsidRPr="00ED1FA1" w:rsidR="002A302F">
        <w:rPr>
          <w:sz w:val="24"/>
          <w:szCs w:val="24"/>
        </w:rPr>
        <w:t xml:space="preserve"> </w:t>
      </w:r>
      <w:r w:rsidRPr="00ED1FA1" w:rsidR="00CF72DC">
        <w:rPr>
          <w:sz w:val="24"/>
          <w:szCs w:val="24"/>
        </w:rPr>
        <w:t xml:space="preserve">NMFS estimates that it takes 10 minutes for each respondent to </w:t>
      </w:r>
      <w:r w:rsidRPr="00ED1FA1" w:rsidR="000237E4">
        <w:rPr>
          <w:sz w:val="24"/>
          <w:szCs w:val="24"/>
        </w:rPr>
        <w:t xml:space="preserve">request and </w:t>
      </w:r>
      <w:r w:rsidRPr="00ED1FA1" w:rsidR="00CF72DC">
        <w:rPr>
          <w:sz w:val="24"/>
          <w:szCs w:val="24"/>
        </w:rPr>
        <w:t>set up their account</w:t>
      </w:r>
      <w:r w:rsidRPr="00ED1FA1" w:rsidR="000237E4">
        <w:rPr>
          <w:sz w:val="24"/>
          <w:szCs w:val="24"/>
        </w:rPr>
        <w:t>, for a total of (20 new accounts x 10 minutes per account = 200 minutes/60 minutes/hour = 3.3 hours) which NMFS is rounding up to 4 hours.</w:t>
      </w:r>
      <w:r w:rsidRPr="00ED1FA1" w:rsidR="00CF72DC">
        <w:rPr>
          <w:sz w:val="24"/>
          <w:szCs w:val="24"/>
        </w:rPr>
        <w:t xml:space="preserve">   </w:t>
      </w:r>
      <w:r w:rsidRPr="00ED1FA1" w:rsidR="00BA78BE">
        <w:rPr>
          <w:sz w:val="24"/>
          <w:szCs w:val="24"/>
        </w:rPr>
        <w:t xml:space="preserve">Reporting burden for IBQ </w:t>
      </w:r>
      <w:r w:rsidRPr="00ED1FA1" w:rsidR="00CC0443">
        <w:rPr>
          <w:sz w:val="24"/>
          <w:szCs w:val="24"/>
        </w:rPr>
        <w:t xml:space="preserve">System </w:t>
      </w:r>
      <w:r w:rsidRPr="00ED1FA1" w:rsidR="000237E4">
        <w:rPr>
          <w:sz w:val="24"/>
          <w:szCs w:val="24"/>
        </w:rPr>
        <w:t xml:space="preserve">request and set up </w:t>
      </w:r>
      <w:r w:rsidRPr="00ED1FA1" w:rsidR="00BA78BE">
        <w:rPr>
          <w:sz w:val="24"/>
          <w:szCs w:val="24"/>
        </w:rPr>
        <w:t xml:space="preserve">is </w:t>
      </w:r>
      <w:r w:rsidRPr="00ED1FA1" w:rsidR="002A302F">
        <w:rPr>
          <w:sz w:val="24"/>
          <w:szCs w:val="24"/>
        </w:rPr>
        <w:t>given</w:t>
      </w:r>
      <w:r w:rsidRPr="00ED1FA1" w:rsidR="00BA78BE">
        <w:rPr>
          <w:sz w:val="24"/>
          <w:szCs w:val="24"/>
        </w:rPr>
        <w:t xml:space="preserve"> in Table 1.</w:t>
      </w:r>
    </w:p>
    <w:p w:rsidRPr="002500D2" w:rsidR="002A302F" w:rsidP="002500D2" w:rsidRDefault="002A302F" w14:paraId="1F6E3B77" w14:textId="77777777">
      <w:pPr>
        <w:rPr>
          <w:sz w:val="24"/>
          <w:szCs w:val="24"/>
        </w:rPr>
      </w:pPr>
    </w:p>
    <w:p w:rsidR="00654D11" w:rsidP="002500D2" w:rsidRDefault="00BE7157" w14:paraId="62EC0258" w14:textId="40E66D69">
      <w:pPr>
        <w:rPr>
          <w:sz w:val="24"/>
          <w:szCs w:val="24"/>
        </w:rPr>
      </w:pPr>
      <w:r w:rsidRPr="002500D2">
        <w:rPr>
          <w:sz w:val="24"/>
          <w:szCs w:val="24"/>
        </w:rPr>
        <w:t xml:space="preserve">The annual amount of </w:t>
      </w:r>
      <w:r w:rsidR="00CC0443">
        <w:rPr>
          <w:sz w:val="24"/>
          <w:szCs w:val="24"/>
        </w:rPr>
        <w:t xml:space="preserve">IBQ </w:t>
      </w:r>
      <w:r w:rsidRPr="002500D2">
        <w:rPr>
          <w:sz w:val="24"/>
          <w:szCs w:val="24"/>
        </w:rPr>
        <w:t xml:space="preserve">allocation </w:t>
      </w:r>
      <w:r w:rsidRPr="002500D2" w:rsidR="00B96D14">
        <w:rPr>
          <w:sz w:val="24"/>
          <w:szCs w:val="24"/>
        </w:rPr>
        <w:t>leasing</w:t>
      </w:r>
      <w:r w:rsidRPr="002500D2">
        <w:rPr>
          <w:sz w:val="24"/>
          <w:szCs w:val="24"/>
        </w:rPr>
        <w:t xml:space="preserve"> </w:t>
      </w:r>
      <w:r w:rsidR="00461AE2">
        <w:rPr>
          <w:sz w:val="24"/>
          <w:szCs w:val="24"/>
        </w:rPr>
        <w:t>varies</w:t>
      </w:r>
      <w:r w:rsidRPr="002500D2">
        <w:rPr>
          <w:sz w:val="24"/>
          <w:szCs w:val="24"/>
        </w:rPr>
        <w:t xml:space="preserve"> based on </w:t>
      </w:r>
      <w:r w:rsidR="00CC0443">
        <w:rPr>
          <w:sz w:val="24"/>
          <w:szCs w:val="24"/>
        </w:rPr>
        <w:t xml:space="preserve">IBQ </w:t>
      </w:r>
      <w:r w:rsidRPr="002500D2">
        <w:rPr>
          <w:sz w:val="24"/>
          <w:szCs w:val="24"/>
        </w:rPr>
        <w:t xml:space="preserve">allocation size and the needs of </w:t>
      </w:r>
      <w:r w:rsidR="00CC0443">
        <w:rPr>
          <w:sz w:val="24"/>
          <w:szCs w:val="24"/>
        </w:rPr>
        <w:t>permit holders or fishery participants</w:t>
      </w:r>
      <w:r w:rsidR="000237E4">
        <w:rPr>
          <w:sz w:val="24"/>
          <w:szCs w:val="24"/>
        </w:rPr>
        <w:t>.  For 201</w:t>
      </w:r>
      <w:r w:rsidR="009858FA">
        <w:rPr>
          <w:sz w:val="24"/>
          <w:szCs w:val="24"/>
        </w:rPr>
        <w:t>7</w:t>
      </w:r>
      <w:r w:rsidR="000237E4">
        <w:rPr>
          <w:sz w:val="24"/>
          <w:szCs w:val="24"/>
        </w:rPr>
        <w:t>, 201</w:t>
      </w:r>
      <w:r w:rsidR="009858FA">
        <w:rPr>
          <w:sz w:val="24"/>
          <w:szCs w:val="24"/>
        </w:rPr>
        <w:t>8</w:t>
      </w:r>
      <w:r w:rsidR="000237E4">
        <w:rPr>
          <w:sz w:val="24"/>
          <w:szCs w:val="24"/>
        </w:rPr>
        <w:t>, and half of 201</w:t>
      </w:r>
      <w:r w:rsidR="009858FA">
        <w:rPr>
          <w:sz w:val="24"/>
          <w:szCs w:val="24"/>
        </w:rPr>
        <w:t>9</w:t>
      </w:r>
      <w:r w:rsidR="000237E4">
        <w:rPr>
          <w:sz w:val="24"/>
          <w:szCs w:val="24"/>
        </w:rPr>
        <w:t xml:space="preserve">, there were </w:t>
      </w:r>
      <w:r w:rsidR="009858FA">
        <w:rPr>
          <w:sz w:val="24"/>
          <w:szCs w:val="24"/>
        </w:rPr>
        <w:t>62</w:t>
      </w:r>
      <w:r w:rsidR="000237E4">
        <w:rPr>
          <w:sz w:val="24"/>
          <w:szCs w:val="24"/>
        </w:rPr>
        <w:t xml:space="preserve">, </w:t>
      </w:r>
      <w:r w:rsidR="009858FA">
        <w:rPr>
          <w:sz w:val="24"/>
          <w:szCs w:val="24"/>
        </w:rPr>
        <w:t>83</w:t>
      </w:r>
      <w:r w:rsidR="000237E4">
        <w:rPr>
          <w:sz w:val="24"/>
          <w:szCs w:val="24"/>
        </w:rPr>
        <w:t xml:space="preserve">, and </w:t>
      </w:r>
      <w:r w:rsidR="009858FA">
        <w:rPr>
          <w:sz w:val="24"/>
          <w:szCs w:val="24"/>
        </w:rPr>
        <w:t>76</w:t>
      </w:r>
      <w:r w:rsidR="000237E4">
        <w:rPr>
          <w:sz w:val="24"/>
          <w:szCs w:val="24"/>
        </w:rPr>
        <w:t xml:space="preserve"> leases, respectively, for an average of </w:t>
      </w:r>
      <w:r w:rsidR="009858FA">
        <w:rPr>
          <w:sz w:val="24"/>
          <w:szCs w:val="24"/>
        </w:rPr>
        <w:t>73.7</w:t>
      </w:r>
      <w:r w:rsidR="000237E4">
        <w:rPr>
          <w:sz w:val="24"/>
          <w:szCs w:val="24"/>
        </w:rPr>
        <w:t xml:space="preserve">per year, which NMFS is rounding up to 100 per year to account for </w:t>
      </w:r>
      <w:r w:rsidR="002A302F">
        <w:rPr>
          <w:sz w:val="24"/>
          <w:szCs w:val="24"/>
        </w:rPr>
        <w:t xml:space="preserve">potential </w:t>
      </w:r>
      <w:r w:rsidR="000237E4">
        <w:rPr>
          <w:sz w:val="24"/>
          <w:szCs w:val="24"/>
        </w:rPr>
        <w:t xml:space="preserve">future increases. At 100 leases per year, the greatest possible </w:t>
      </w:r>
      <w:r w:rsidR="00461AE2">
        <w:rPr>
          <w:sz w:val="24"/>
          <w:szCs w:val="24"/>
        </w:rPr>
        <w:t>number of respondents would be 2</w:t>
      </w:r>
      <w:r w:rsidR="000237E4">
        <w:rPr>
          <w:sz w:val="24"/>
          <w:szCs w:val="24"/>
        </w:rPr>
        <w:t>00</w:t>
      </w:r>
      <w:r w:rsidR="00461AE2">
        <w:rPr>
          <w:sz w:val="24"/>
          <w:szCs w:val="24"/>
        </w:rPr>
        <w:t xml:space="preserve"> (100 lessors and 100 lessees)</w:t>
      </w:r>
      <w:r w:rsidR="000237E4">
        <w:rPr>
          <w:sz w:val="24"/>
          <w:szCs w:val="24"/>
        </w:rPr>
        <w:t xml:space="preserve">.   </w:t>
      </w:r>
      <w:r w:rsidR="002A302F">
        <w:rPr>
          <w:sz w:val="24"/>
          <w:szCs w:val="24"/>
        </w:rPr>
        <w:t>NMFS estimates that each lease will t</w:t>
      </w:r>
      <w:r w:rsidR="000237E4">
        <w:rPr>
          <w:sz w:val="24"/>
          <w:szCs w:val="24"/>
        </w:rPr>
        <w:t>ake approximately 15 minutes</w:t>
      </w:r>
      <w:r w:rsidR="00461AE2">
        <w:rPr>
          <w:sz w:val="24"/>
          <w:szCs w:val="24"/>
        </w:rPr>
        <w:t xml:space="preserve"> per party</w:t>
      </w:r>
      <w:r w:rsidR="002A302F">
        <w:rPr>
          <w:sz w:val="24"/>
          <w:szCs w:val="24"/>
        </w:rPr>
        <w:t xml:space="preserve"> (lessor/lessee) to complete</w:t>
      </w:r>
      <w:r w:rsidR="000237E4">
        <w:rPr>
          <w:sz w:val="24"/>
          <w:szCs w:val="24"/>
        </w:rPr>
        <w:t xml:space="preserve">.  NMFS increased this estimate from 2 minutes in </w:t>
      </w:r>
      <w:r w:rsidR="003D4F76">
        <w:rPr>
          <w:sz w:val="24"/>
          <w:szCs w:val="24"/>
        </w:rPr>
        <w:t xml:space="preserve">our initial </w:t>
      </w:r>
      <w:r w:rsidR="000237E4">
        <w:rPr>
          <w:sz w:val="24"/>
          <w:szCs w:val="24"/>
        </w:rPr>
        <w:t>supporting statement based on feedback from constituents who use</w:t>
      </w:r>
      <w:r w:rsidR="00461AE2">
        <w:rPr>
          <w:sz w:val="24"/>
          <w:szCs w:val="24"/>
        </w:rPr>
        <w:t>d</w:t>
      </w:r>
      <w:r w:rsidR="000237E4">
        <w:rPr>
          <w:sz w:val="24"/>
          <w:szCs w:val="24"/>
        </w:rPr>
        <w:t xml:space="preserve"> the system.  At 100 leases per year and </w:t>
      </w:r>
      <w:r w:rsidR="00561DDD">
        <w:rPr>
          <w:sz w:val="24"/>
          <w:szCs w:val="24"/>
        </w:rPr>
        <w:t xml:space="preserve">15 </w:t>
      </w:r>
      <w:r w:rsidR="00461AE2">
        <w:rPr>
          <w:sz w:val="24"/>
          <w:szCs w:val="24"/>
        </w:rPr>
        <w:t>minutes per lease</w:t>
      </w:r>
      <w:r w:rsidR="00561DDD">
        <w:rPr>
          <w:sz w:val="24"/>
          <w:szCs w:val="24"/>
        </w:rPr>
        <w:t xml:space="preserve"> for the lessor and 15 minutes per lease for the lessee, </w:t>
      </w:r>
      <w:r w:rsidR="00461AE2">
        <w:rPr>
          <w:sz w:val="24"/>
          <w:szCs w:val="24"/>
        </w:rPr>
        <w:t xml:space="preserve"> </w:t>
      </w:r>
      <w:r w:rsidR="000237E4">
        <w:rPr>
          <w:sz w:val="24"/>
          <w:szCs w:val="24"/>
        </w:rPr>
        <w:t>the total re</w:t>
      </w:r>
      <w:r w:rsidR="00561DDD">
        <w:rPr>
          <w:sz w:val="24"/>
          <w:szCs w:val="24"/>
        </w:rPr>
        <w:t>porting burden would be 100 x 15 x 2</w:t>
      </w:r>
      <w:r w:rsidR="00461AE2">
        <w:rPr>
          <w:sz w:val="24"/>
          <w:szCs w:val="24"/>
        </w:rPr>
        <w:t xml:space="preserve"> = 30</w:t>
      </w:r>
      <w:r w:rsidR="000237E4">
        <w:rPr>
          <w:sz w:val="24"/>
          <w:szCs w:val="24"/>
        </w:rPr>
        <w:t xml:space="preserve">00/60 minutes/hour = </w:t>
      </w:r>
      <w:r w:rsidR="00461AE2">
        <w:rPr>
          <w:sz w:val="24"/>
          <w:szCs w:val="24"/>
        </w:rPr>
        <w:t>50</w:t>
      </w:r>
      <w:r w:rsidR="00654D11">
        <w:rPr>
          <w:sz w:val="24"/>
          <w:szCs w:val="24"/>
        </w:rPr>
        <w:t xml:space="preserve"> hours (see Table 1).  </w:t>
      </w:r>
    </w:p>
    <w:p w:rsidR="00654D11" w:rsidP="002500D2" w:rsidRDefault="00654D11" w14:paraId="1322DA11" w14:textId="77777777">
      <w:pPr>
        <w:rPr>
          <w:sz w:val="24"/>
          <w:szCs w:val="24"/>
        </w:rPr>
      </w:pPr>
    </w:p>
    <w:p w:rsidR="00114109" w:rsidP="002500D2" w:rsidRDefault="00114109" w14:paraId="49E6BC8C" w14:textId="77777777">
      <w:pPr>
        <w:rPr>
          <w:sz w:val="24"/>
          <w:szCs w:val="24"/>
        </w:rPr>
      </w:pPr>
    </w:p>
    <w:p w:rsidR="00840B32" w:rsidP="002500D2" w:rsidRDefault="006F1119" w14:paraId="33DC2B90" w14:textId="385B9247">
      <w:pPr>
        <w:rPr>
          <w:sz w:val="24"/>
          <w:szCs w:val="24"/>
        </w:rPr>
      </w:pPr>
      <w:r w:rsidRPr="002500D2">
        <w:rPr>
          <w:b/>
          <w:sz w:val="24"/>
          <w:szCs w:val="24"/>
        </w:rPr>
        <w:t xml:space="preserve">Table 1.  </w:t>
      </w:r>
      <w:r w:rsidRPr="002500D2" w:rsidR="008904AB">
        <w:rPr>
          <w:b/>
          <w:sz w:val="24"/>
          <w:szCs w:val="24"/>
        </w:rPr>
        <w:t>Annual r</w:t>
      </w:r>
      <w:r w:rsidRPr="002500D2" w:rsidR="002515B2">
        <w:rPr>
          <w:b/>
          <w:sz w:val="24"/>
          <w:szCs w:val="24"/>
        </w:rPr>
        <w:t>eporting re</w:t>
      </w:r>
      <w:r w:rsidRPr="002500D2" w:rsidR="008904AB">
        <w:rPr>
          <w:b/>
          <w:sz w:val="24"/>
          <w:szCs w:val="24"/>
        </w:rPr>
        <w:t>quirements</w:t>
      </w:r>
      <w:r w:rsidR="00F408A5">
        <w:rPr>
          <w:b/>
          <w:sz w:val="24"/>
          <w:szCs w:val="24"/>
        </w:rPr>
        <w:t>, respondents, burden estimates, and associated wage burden costs</w:t>
      </w:r>
      <w:r w:rsidRPr="002500D2" w:rsidR="008904AB">
        <w:rPr>
          <w:sz w:val="24"/>
          <w:szCs w:val="24"/>
        </w:rPr>
        <w:t>.</w:t>
      </w:r>
    </w:p>
    <w:p w:rsidR="00F408A5" w:rsidP="002500D2" w:rsidRDefault="00F408A5" w14:paraId="2C078C47" w14:textId="2152F0E7">
      <w:pPr>
        <w:rPr>
          <w:sz w:val="24"/>
          <w:szCs w:val="24"/>
        </w:rPr>
      </w:pPr>
    </w:p>
    <w:tbl>
      <w:tblPr>
        <w:tblW w:w="10610" w:type="dxa"/>
        <w:tblLook w:val="04A0" w:firstRow="1" w:lastRow="0" w:firstColumn="1" w:lastColumn="0" w:noHBand="0" w:noVBand="1"/>
      </w:tblPr>
      <w:tblGrid>
        <w:gridCol w:w="1250"/>
        <w:gridCol w:w="1440"/>
        <w:gridCol w:w="1080"/>
        <w:gridCol w:w="1080"/>
        <w:gridCol w:w="1170"/>
        <w:gridCol w:w="1080"/>
        <w:gridCol w:w="1170"/>
        <w:gridCol w:w="1260"/>
        <w:gridCol w:w="1080"/>
      </w:tblGrid>
      <w:tr w:rsidRPr="00F408A5" w:rsidR="00EB71A2" w:rsidTr="00F861CF" w14:paraId="7A3DC219" w14:textId="77777777">
        <w:trPr>
          <w:trHeight w:val="1365"/>
        </w:trPr>
        <w:tc>
          <w:tcPr>
            <w:tcW w:w="125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F408A5" w:rsidR="00F408A5" w:rsidP="00F408A5" w:rsidRDefault="00F408A5" w14:paraId="17469491"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09BE33F4"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60DBD0BC"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of Respondents</w:t>
            </w:r>
            <w:r w:rsidRPr="00F408A5">
              <w:rPr>
                <w:rFonts w:ascii="Calibri" w:hAnsi="Calibri" w:cs="Calibri"/>
                <w:b/>
                <w:bCs/>
                <w:color w:val="000000"/>
                <w:sz w:val="16"/>
                <w:szCs w:val="16"/>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6BE3A5DE"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Annual # of Responses / Respondent</w:t>
            </w:r>
            <w:r w:rsidRPr="00F408A5">
              <w:rPr>
                <w:rFonts w:ascii="Calibri" w:hAnsi="Calibri"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175F333B"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 Total # of Annual Responses</w:t>
            </w:r>
            <w:r w:rsidRPr="00F408A5">
              <w:rPr>
                <w:rFonts w:ascii="Calibri" w:hAnsi="Calibri"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A3D2265"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Burden Hrs / Response</w:t>
            </w:r>
            <w:r w:rsidRPr="00F408A5">
              <w:rPr>
                <w:rFonts w:ascii="Calibri" w:hAnsi="Calibri" w:cs="Calibri"/>
                <w:b/>
                <w:bCs/>
                <w:color w:val="000000"/>
                <w:sz w:val="16"/>
                <w:szCs w:val="16"/>
              </w:rPr>
              <w:br/>
              <w:t>(d)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65D4CDD"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Total Annual Burden Hrs</w:t>
            </w:r>
            <w:r w:rsidRPr="00F408A5">
              <w:rPr>
                <w:rFonts w:ascii="Calibri" w:hAnsi="Calibri" w:cs="Calibri"/>
                <w:b/>
                <w:bCs/>
                <w:color w:val="000000"/>
                <w:sz w:val="16"/>
                <w:szCs w:val="16"/>
              </w:rPr>
              <w:br/>
              <w:t>(e)  = (c) x (d)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45AA1C3"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Hourly Wage Rate  (for Type of Respondent)</w:t>
            </w:r>
            <w:r w:rsidRPr="00F408A5">
              <w:rPr>
                <w:rFonts w:ascii="Calibri" w:hAnsi="Calibri" w:cs="Calibri"/>
                <w:b/>
                <w:bCs/>
                <w:color w:val="000000"/>
                <w:sz w:val="16"/>
                <w:szCs w:val="16"/>
              </w:rPr>
              <w:br/>
              <w:t>(f)</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3FC89C3"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Total Annual Wage Burden Costs</w:t>
            </w:r>
            <w:r w:rsidRPr="00F408A5">
              <w:rPr>
                <w:rFonts w:ascii="Calibri" w:hAnsi="Calibri" w:cs="Calibri"/>
                <w:b/>
                <w:bCs/>
                <w:color w:val="000000"/>
                <w:sz w:val="16"/>
                <w:szCs w:val="16"/>
              </w:rPr>
              <w:br/>
              <w:t>(g) = (e) x (f)</w:t>
            </w:r>
          </w:p>
        </w:tc>
      </w:tr>
      <w:tr w:rsidRPr="00F408A5" w:rsidR="00EB71A2" w:rsidTr="00F861CF" w14:paraId="3C009508" w14:textId="77777777">
        <w:trPr>
          <w:trHeight w:val="315"/>
        </w:trPr>
        <w:tc>
          <w:tcPr>
            <w:tcW w:w="1250" w:type="dxa"/>
            <w:tcBorders>
              <w:top w:val="nil"/>
              <w:left w:val="single" w:color="auto" w:sz="8" w:space="0"/>
              <w:bottom w:val="single" w:color="auto" w:sz="4" w:space="0"/>
              <w:right w:val="single" w:color="auto" w:sz="4" w:space="0"/>
            </w:tcBorders>
            <w:shd w:val="clear" w:color="auto" w:fill="auto"/>
            <w:vAlign w:val="bottom"/>
            <w:hideMark/>
          </w:tcPr>
          <w:p w:rsidRPr="00F408A5" w:rsidR="00F408A5" w:rsidP="00F408A5" w:rsidRDefault="00F408A5" w14:paraId="2E4C2521"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Initial Application for IBQ Account</w:t>
            </w:r>
          </w:p>
        </w:tc>
        <w:tc>
          <w:tcPr>
            <w:tcW w:w="144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3A393A2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077E758"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52F2EF4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CD1C47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2669FA7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w:t>
            </w:r>
          </w:p>
        </w:tc>
        <w:tc>
          <w:tcPr>
            <w:tcW w:w="117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ABB8CA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4</w:t>
            </w:r>
          </w:p>
        </w:tc>
        <w:tc>
          <w:tcPr>
            <w:tcW w:w="1260" w:type="dxa"/>
            <w:tcBorders>
              <w:top w:val="nil"/>
              <w:left w:val="nil"/>
              <w:bottom w:val="single" w:color="auto" w:sz="4" w:space="0"/>
              <w:right w:val="single" w:color="auto" w:sz="4" w:space="0"/>
            </w:tcBorders>
            <w:shd w:val="clear" w:color="auto" w:fill="auto"/>
            <w:noWrap/>
            <w:vAlign w:val="bottom"/>
            <w:hideMark/>
          </w:tcPr>
          <w:p w:rsidRPr="00F408A5" w:rsidR="00F408A5" w:rsidP="00F408A5" w:rsidRDefault="00F408A5" w14:paraId="180F336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$25.25 </w:t>
            </w:r>
          </w:p>
        </w:tc>
        <w:tc>
          <w:tcPr>
            <w:tcW w:w="1080" w:type="dxa"/>
            <w:tcBorders>
              <w:top w:val="nil"/>
              <w:left w:val="nil"/>
              <w:bottom w:val="single" w:color="auto" w:sz="4" w:space="0"/>
              <w:right w:val="single" w:color="auto" w:sz="8" w:space="0"/>
            </w:tcBorders>
            <w:shd w:val="clear" w:color="auto" w:fill="auto"/>
            <w:noWrap/>
            <w:vAlign w:val="bottom"/>
            <w:hideMark/>
          </w:tcPr>
          <w:p w:rsidRPr="00F408A5" w:rsidR="00F408A5" w:rsidP="00F408A5" w:rsidRDefault="00F408A5" w14:paraId="1A33459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$101.00 </w:t>
            </w:r>
          </w:p>
        </w:tc>
      </w:tr>
      <w:tr w:rsidRPr="00F408A5" w:rsidR="00EB71A2" w:rsidTr="00F861CF" w14:paraId="368054B3" w14:textId="77777777">
        <w:trPr>
          <w:trHeight w:val="315"/>
        </w:trPr>
        <w:tc>
          <w:tcPr>
            <w:tcW w:w="1250" w:type="dxa"/>
            <w:tcBorders>
              <w:top w:val="nil"/>
              <w:left w:val="single" w:color="auto" w:sz="8" w:space="0"/>
              <w:bottom w:val="single" w:color="auto" w:sz="4" w:space="0"/>
              <w:right w:val="single" w:color="auto" w:sz="4" w:space="0"/>
            </w:tcBorders>
            <w:shd w:val="clear" w:color="auto" w:fill="auto"/>
            <w:vAlign w:val="bottom"/>
            <w:hideMark/>
          </w:tcPr>
          <w:p w:rsidRPr="00F408A5" w:rsidR="00F408A5" w:rsidP="00F408A5" w:rsidRDefault="00F408A5" w14:paraId="7D622713"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IBQ Lease of Allocation</w:t>
            </w:r>
          </w:p>
        </w:tc>
        <w:tc>
          <w:tcPr>
            <w:tcW w:w="144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3981F592"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9B6AAA5"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7FBD5627"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1D9F0AAF"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8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7969A06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643C996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50</w:t>
            </w:r>
          </w:p>
        </w:tc>
        <w:tc>
          <w:tcPr>
            <w:tcW w:w="1260" w:type="dxa"/>
            <w:tcBorders>
              <w:top w:val="single" w:color="auto" w:sz="8" w:space="0"/>
              <w:left w:val="nil"/>
              <w:bottom w:val="single" w:color="auto" w:sz="4" w:space="0"/>
              <w:right w:val="single" w:color="auto" w:sz="4" w:space="0"/>
            </w:tcBorders>
            <w:shd w:val="clear" w:color="auto" w:fill="auto"/>
            <w:noWrap/>
            <w:vAlign w:val="bottom"/>
            <w:hideMark/>
          </w:tcPr>
          <w:p w:rsidRPr="00F408A5" w:rsidR="00F408A5" w:rsidP="00F408A5" w:rsidRDefault="00F408A5" w14:paraId="03D56DD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$25.25 </w:t>
            </w:r>
          </w:p>
        </w:tc>
        <w:tc>
          <w:tcPr>
            <w:tcW w:w="1080" w:type="dxa"/>
            <w:tcBorders>
              <w:top w:val="single" w:color="auto" w:sz="8" w:space="0"/>
              <w:left w:val="nil"/>
              <w:bottom w:val="single" w:color="auto" w:sz="4" w:space="0"/>
              <w:right w:val="single" w:color="auto" w:sz="8" w:space="0"/>
            </w:tcBorders>
            <w:shd w:val="clear" w:color="auto" w:fill="auto"/>
            <w:noWrap/>
            <w:vAlign w:val="bottom"/>
            <w:hideMark/>
          </w:tcPr>
          <w:p w:rsidRPr="00F408A5" w:rsidR="00F408A5" w:rsidP="00F408A5" w:rsidRDefault="00F408A5" w14:paraId="2DE49DA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$1,262.50 </w:t>
            </w:r>
          </w:p>
        </w:tc>
      </w:tr>
      <w:tr w:rsidRPr="00F408A5" w:rsidR="00EB71A2" w:rsidTr="00F861CF" w14:paraId="5710A5E2" w14:textId="77777777">
        <w:trPr>
          <w:trHeight w:val="315"/>
        </w:trPr>
        <w:tc>
          <w:tcPr>
            <w:tcW w:w="125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F408A5" w:rsidR="00F408A5" w:rsidP="00F408A5" w:rsidRDefault="00F408A5" w14:paraId="743E32BD"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Totals</w:t>
            </w:r>
          </w:p>
        </w:tc>
        <w:tc>
          <w:tcPr>
            <w:tcW w:w="144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112D6317"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8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153F2886"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8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330254E1"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70"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F408A5" w:rsidRDefault="00F408A5" w14:paraId="7B7EF80D"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220</w:t>
            </w:r>
          </w:p>
        </w:tc>
        <w:tc>
          <w:tcPr>
            <w:tcW w:w="108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50FF1364"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70"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F408A5" w:rsidRDefault="00F408A5" w14:paraId="6497C927"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54</w:t>
            </w:r>
          </w:p>
        </w:tc>
        <w:tc>
          <w:tcPr>
            <w:tcW w:w="126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2E0CD79A"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80"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F408A5" w:rsidRDefault="00F408A5" w14:paraId="3DB8012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$1,363.50 </w:t>
            </w:r>
          </w:p>
        </w:tc>
      </w:tr>
    </w:tbl>
    <w:p w:rsidRPr="002500D2" w:rsidR="00F408A5" w:rsidP="002500D2" w:rsidRDefault="00F408A5" w14:paraId="05F0830C" w14:textId="77777777">
      <w:pPr>
        <w:rPr>
          <w:sz w:val="24"/>
          <w:szCs w:val="24"/>
        </w:rPr>
      </w:pPr>
    </w:p>
    <w:p w:rsidRPr="002500D2" w:rsidR="00130426" w:rsidP="002500D2" w:rsidRDefault="00130426" w14:paraId="2080EC7C" w14:textId="77777777">
      <w:pPr>
        <w:rPr>
          <w:sz w:val="24"/>
          <w:szCs w:val="24"/>
        </w:rPr>
      </w:pPr>
    </w:p>
    <w:p w:rsidRPr="00ED1FA1" w:rsidR="00ED1FA1" w:rsidP="00ED1FA1" w:rsidRDefault="004F26E9" w14:paraId="7C5915E4"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lastRenderedPageBreak/>
        <w:t xml:space="preserve">13.  </w:t>
      </w:r>
      <w:r w:rsidRPr="00ED1FA1" w:rsidR="00ED1FA1">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ED1FA1" w:rsidR="00A7754B" w:rsidP="002500D2" w:rsidRDefault="00A7754B" w14:paraId="6DCBD84C" w14:textId="7D230B00">
      <w:pPr>
        <w:rPr>
          <w:sz w:val="24"/>
          <w:szCs w:val="24"/>
        </w:rPr>
      </w:pPr>
    </w:p>
    <w:p w:rsidRPr="00ED1FA1" w:rsidR="00E95AA5" w:rsidRDefault="00B62953" w14:paraId="0563A299" w14:textId="77777777">
      <w:pPr>
        <w:rPr>
          <w:color w:val="000000"/>
          <w:sz w:val="24"/>
          <w:szCs w:val="24"/>
        </w:rPr>
      </w:pPr>
      <w:r w:rsidRPr="00ED1FA1">
        <w:rPr>
          <w:color w:val="000000"/>
          <w:sz w:val="24"/>
          <w:szCs w:val="24"/>
        </w:rPr>
        <w:t xml:space="preserve">There is no additional cost burden to the public as a result of this information collection. All IBQ leasing is done electronically, and electronic submission will not result in any additional cost to the public, since small businesses are already set up with computers and internet service as part of their regular business operations.   </w:t>
      </w:r>
    </w:p>
    <w:p w:rsidR="00E95AA5" w:rsidRDefault="00E95AA5" w14:paraId="7AD38BA6" w14:textId="77777777">
      <w:pPr>
        <w:rPr>
          <w:color w:val="000000"/>
          <w:sz w:val="24"/>
          <w:szCs w:val="24"/>
        </w:rPr>
      </w:pPr>
    </w:p>
    <w:p w:rsidRPr="00F861CF" w:rsidR="00E95AA5" w:rsidRDefault="00E95AA5" w14:paraId="1E61BC5C" w14:textId="77777777">
      <w:pPr>
        <w:rPr>
          <w:b/>
          <w:color w:val="000000"/>
          <w:sz w:val="24"/>
          <w:szCs w:val="24"/>
        </w:rPr>
      </w:pPr>
      <w:r w:rsidRPr="00F861CF">
        <w:rPr>
          <w:b/>
          <w:color w:val="000000"/>
          <w:sz w:val="24"/>
          <w:szCs w:val="24"/>
        </w:rPr>
        <w:t>Table 2. Annual cost burden per respondent and overall.</w:t>
      </w:r>
    </w:p>
    <w:p w:rsidR="00E95AA5" w:rsidRDefault="00E95AA5" w14:paraId="43A5A849" w14:textId="77777777">
      <w:pPr>
        <w:rPr>
          <w:color w:val="000000"/>
          <w:sz w:val="24"/>
          <w:szCs w:val="24"/>
        </w:rPr>
      </w:pPr>
    </w:p>
    <w:tbl>
      <w:tblPr>
        <w:tblW w:w="10160" w:type="dxa"/>
        <w:tblLook w:val="04A0" w:firstRow="1" w:lastRow="0" w:firstColumn="1" w:lastColumn="0" w:noHBand="0" w:noVBand="1"/>
      </w:tblPr>
      <w:tblGrid>
        <w:gridCol w:w="2600"/>
        <w:gridCol w:w="1800"/>
        <w:gridCol w:w="1800"/>
        <w:gridCol w:w="1530"/>
        <w:gridCol w:w="1260"/>
        <w:gridCol w:w="1170"/>
      </w:tblGrid>
      <w:tr w:rsidRPr="00E95AA5" w:rsidR="00E95AA5" w:rsidTr="00F861CF" w14:paraId="78054098" w14:textId="77777777">
        <w:trPr>
          <w:trHeight w:val="915"/>
        </w:trPr>
        <w:tc>
          <w:tcPr>
            <w:tcW w:w="260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95AA5" w:rsidR="00E95AA5" w:rsidP="00E95AA5" w:rsidRDefault="00E95AA5" w14:paraId="3C1ACD2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1800" w:type="dxa"/>
            <w:tcBorders>
              <w:top w:val="single" w:color="auto" w:sz="8" w:space="0"/>
              <w:left w:val="nil"/>
              <w:bottom w:val="single" w:color="auto" w:sz="8" w:space="0"/>
              <w:right w:val="single" w:color="000000" w:sz="8" w:space="0"/>
            </w:tcBorders>
            <w:shd w:val="clear" w:color="000000" w:fill="BDD7EE"/>
            <w:vAlign w:val="center"/>
            <w:hideMark/>
          </w:tcPr>
          <w:p w:rsidRPr="00E95AA5" w:rsidR="00E95AA5" w:rsidP="00E95AA5" w:rsidRDefault="00E95AA5" w14:paraId="6B3DDFBB"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of Respondents</w:t>
            </w:r>
            <w:r w:rsidRPr="00E95AA5">
              <w:rPr>
                <w:rFonts w:ascii="Calibri" w:hAnsi="Calibri" w:cs="Calibri"/>
                <w:b/>
                <w:bCs/>
                <w:color w:val="000000"/>
                <w:sz w:val="16"/>
                <w:szCs w:val="16"/>
              </w:rPr>
              <w:b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3FBD057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Annual # of Responses / Respondent</w:t>
            </w:r>
            <w:r w:rsidRPr="00E95AA5">
              <w:rPr>
                <w:rFonts w:ascii="Calibri" w:hAnsi="Calibri" w:cs="Calibri"/>
                <w:b/>
                <w:bCs/>
                <w:color w:val="000000"/>
                <w:sz w:val="16"/>
                <w:szCs w:val="16"/>
              </w:rPr>
              <w:br/>
              <w:t>(b)</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1877BD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 Total # of Annual Responses</w:t>
            </w:r>
            <w:r w:rsidRPr="00E95AA5">
              <w:rPr>
                <w:rFonts w:ascii="Calibri" w:hAnsi="Calibri" w:cs="Calibri"/>
                <w:b/>
                <w:bCs/>
                <w:color w:val="000000"/>
                <w:sz w:val="16"/>
                <w:szCs w:val="16"/>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5A80B74"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Cost Burden / Respondent</w:t>
            </w:r>
            <w:r w:rsidRPr="00E95AA5">
              <w:rPr>
                <w:rFonts w:ascii="Calibri" w:hAnsi="Calibri" w:cs="Calibri"/>
                <w:b/>
                <w:bCs/>
                <w:color w:val="000000"/>
                <w:sz w:val="16"/>
                <w:szCs w:val="16"/>
              </w:rPr>
              <w:br/>
              <w:t>(h)</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2ACC3B2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Annual Cost Burden</w:t>
            </w:r>
            <w:r w:rsidRPr="00E95AA5">
              <w:rPr>
                <w:rFonts w:ascii="Calibri" w:hAnsi="Calibri" w:cs="Calibri"/>
                <w:b/>
                <w:bCs/>
                <w:color w:val="000000"/>
                <w:sz w:val="16"/>
                <w:szCs w:val="16"/>
              </w:rPr>
              <w:br/>
              <w:t>(i) = (c) x (h)</w:t>
            </w:r>
          </w:p>
        </w:tc>
      </w:tr>
      <w:tr w:rsidRPr="00E95AA5" w:rsidR="00E95AA5" w:rsidTr="00F861CF" w14:paraId="10438A27" w14:textId="77777777">
        <w:trPr>
          <w:trHeight w:val="300"/>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7C8BFEBA"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1B81A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EF0014D"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86EB2F3"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59D3F529"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3370FA6A"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E95AA5" w:rsidTr="00F861CF" w14:paraId="0A803DC2" w14:textId="77777777">
        <w:trPr>
          <w:trHeight w:val="315"/>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0A17C54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CF6DBE0"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355DFF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723237B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0B8F76A4"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19C7367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E95AA5" w:rsidTr="00F861CF" w14:paraId="539B2353" w14:textId="77777777">
        <w:trPr>
          <w:trHeight w:val="315"/>
        </w:trPr>
        <w:tc>
          <w:tcPr>
            <w:tcW w:w="260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95AA5" w:rsidR="00E95AA5" w:rsidP="00E95AA5" w:rsidRDefault="00E95AA5" w14:paraId="74CDF17F"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TOTALS</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1BB693EB"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46555EBC"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54202D42"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xml:space="preserve">                          220 </w:t>
            </w:r>
          </w:p>
        </w:tc>
        <w:tc>
          <w:tcPr>
            <w:tcW w:w="126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71752A72"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DDEBF7"/>
            <w:vAlign w:val="center"/>
            <w:hideMark/>
          </w:tcPr>
          <w:p w:rsidRPr="00E95AA5" w:rsidR="00E95AA5" w:rsidP="00E95AA5" w:rsidRDefault="00E95AA5" w14:paraId="36EA3FB7"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xml:space="preserve">                         -   </w:t>
            </w:r>
          </w:p>
        </w:tc>
      </w:tr>
    </w:tbl>
    <w:p w:rsidRPr="002500D2" w:rsidR="009F4659" w:rsidRDefault="009F4659" w14:paraId="2F712F06" w14:textId="2A372C64">
      <w:pPr>
        <w:rPr>
          <w:b/>
          <w:sz w:val="24"/>
          <w:szCs w:val="24"/>
        </w:rPr>
      </w:pPr>
    </w:p>
    <w:p w:rsidRPr="00ED1FA1" w:rsidR="00ED1FA1" w:rsidP="00ED1FA1" w:rsidRDefault="004F26E9" w14:paraId="20680608"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14.  </w:t>
      </w:r>
      <w:r w:rsidRPr="00ED1FA1" w:rsidR="00ED1FA1">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D1FA1" w:rsidR="00A5263C" w:rsidP="002500D2" w:rsidRDefault="00A5263C" w14:paraId="5053E398" w14:textId="6784FD33">
      <w:pPr>
        <w:rPr>
          <w:sz w:val="24"/>
          <w:szCs w:val="24"/>
        </w:rPr>
      </w:pPr>
    </w:p>
    <w:p w:rsidRPr="00ED1FA1" w:rsidR="004F26E9" w:rsidP="002500D2" w:rsidRDefault="00DB1332" w14:paraId="3D4F2BEA" w14:textId="5FA9D466">
      <w:pPr>
        <w:rPr>
          <w:sz w:val="24"/>
          <w:szCs w:val="24"/>
        </w:rPr>
      </w:pPr>
      <w:r w:rsidRPr="00ED1FA1">
        <w:rPr>
          <w:sz w:val="24"/>
          <w:szCs w:val="24"/>
        </w:rPr>
        <w:t xml:space="preserve">The Federal government costs for this information collection include </w:t>
      </w:r>
      <w:r w:rsidRPr="00ED1FA1" w:rsidR="00751786">
        <w:rPr>
          <w:sz w:val="24"/>
          <w:szCs w:val="24"/>
        </w:rPr>
        <w:t xml:space="preserve">contractor costs to </w:t>
      </w:r>
      <w:r w:rsidRPr="00ED1FA1">
        <w:rPr>
          <w:sz w:val="24"/>
          <w:szCs w:val="24"/>
        </w:rPr>
        <w:t xml:space="preserve">build and maintain the </w:t>
      </w:r>
      <w:r w:rsidRPr="00ED1FA1" w:rsidR="00CC0443">
        <w:rPr>
          <w:sz w:val="24"/>
          <w:szCs w:val="24"/>
        </w:rPr>
        <w:t>electronic IBQ</w:t>
      </w:r>
      <w:r w:rsidRPr="00ED1FA1">
        <w:rPr>
          <w:sz w:val="24"/>
          <w:szCs w:val="24"/>
        </w:rPr>
        <w:t xml:space="preserve"> </w:t>
      </w:r>
      <w:r w:rsidRPr="00ED1FA1" w:rsidR="00CC0443">
        <w:rPr>
          <w:sz w:val="24"/>
          <w:szCs w:val="24"/>
        </w:rPr>
        <w:t>S</w:t>
      </w:r>
      <w:r w:rsidRPr="00ED1FA1">
        <w:rPr>
          <w:sz w:val="24"/>
          <w:szCs w:val="24"/>
        </w:rPr>
        <w:t xml:space="preserve">ystem </w:t>
      </w:r>
      <w:r w:rsidRPr="00ED1FA1" w:rsidR="00134C63">
        <w:rPr>
          <w:sz w:val="24"/>
          <w:szCs w:val="24"/>
        </w:rPr>
        <w:t>to</w:t>
      </w:r>
      <w:r w:rsidRPr="00ED1FA1" w:rsidR="00CC0443">
        <w:rPr>
          <w:sz w:val="24"/>
          <w:szCs w:val="24"/>
        </w:rPr>
        <w:t xml:space="preserve"> account for </w:t>
      </w:r>
      <w:r w:rsidRPr="00ED1FA1">
        <w:rPr>
          <w:sz w:val="24"/>
          <w:szCs w:val="24"/>
        </w:rPr>
        <w:t>trade</w:t>
      </w:r>
      <w:r w:rsidRPr="00ED1FA1" w:rsidR="00F75FAE">
        <w:rPr>
          <w:sz w:val="24"/>
          <w:szCs w:val="24"/>
        </w:rPr>
        <w:t>, program administration</w:t>
      </w:r>
      <w:r w:rsidRPr="00ED1FA1">
        <w:rPr>
          <w:sz w:val="24"/>
          <w:szCs w:val="24"/>
        </w:rPr>
        <w:t xml:space="preserve">, and processing any requested appeals.  </w:t>
      </w:r>
      <w:r w:rsidRPr="00ED1FA1" w:rsidR="00751786">
        <w:rPr>
          <w:sz w:val="24"/>
          <w:szCs w:val="24"/>
        </w:rPr>
        <w:t xml:space="preserve">FTE associated costs are for program oversight by the Fisheries Information and Monitoring Branch Chief in the Atlantic HMS Management Division, and customer service calls fielded by Atlantic HMS staff. </w:t>
      </w:r>
    </w:p>
    <w:p w:rsidRPr="00ED1FA1" w:rsidR="00DB1332" w:rsidP="002500D2" w:rsidRDefault="00DB1332" w14:paraId="215486DA" w14:textId="77777777">
      <w:pPr>
        <w:rPr>
          <w:sz w:val="24"/>
          <w:szCs w:val="24"/>
        </w:rPr>
      </w:pPr>
    </w:p>
    <w:p w:rsidRPr="00ED1FA1" w:rsidR="00751786" w:rsidP="002500D2" w:rsidRDefault="00DB1332" w14:paraId="7730BCA6" w14:textId="11463402">
      <w:pPr>
        <w:rPr>
          <w:sz w:val="24"/>
          <w:szCs w:val="24"/>
        </w:rPr>
      </w:pPr>
      <w:r w:rsidRPr="00ED1FA1">
        <w:rPr>
          <w:sz w:val="24"/>
          <w:szCs w:val="24"/>
        </w:rPr>
        <w:t xml:space="preserve">In an effort to reduce costs, NMFS </w:t>
      </w:r>
      <w:r w:rsidRPr="00ED1FA1" w:rsidR="002A302F">
        <w:rPr>
          <w:sz w:val="24"/>
          <w:szCs w:val="24"/>
        </w:rPr>
        <w:t>coordinated</w:t>
      </w:r>
      <w:r w:rsidRPr="00ED1FA1">
        <w:rPr>
          <w:sz w:val="24"/>
          <w:szCs w:val="24"/>
        </w:rPr>
        <w:t xml:space="preserve"> internally to build the IBQ </w:t>
      </w:r>
      <w:r w:rsidRPr="00ED1FA1" w:rsidR="00CC0443">
        <w:rPr>
          <w:sz w:val="24"/>
          <w:szCs w:val="24"/>
        </w:rPr>
        <w:t>S</w:t>
      </w:r>
      <w:r w:rsidRPr="00ED1FA1">
        <w:rPr>
          <w:sz w:val="24"/>
          <w:szCs w:val="24"/>
        </w:rPr>
        <w:t>ystem onto a similar system that is already in operation (</w:t>
      </w:r>
      <w:r w:rsidRPr="00ED1FA1" w:rsidR="00F75FAE">
        <w:rPr>
          <w:sz w:val="24"/>
          <w:szCs w:val="24"/>
        </w:rPr>
        <w:t xml:space="preserve">Southeast Region Gulf of Mexico Red Snapper IFQ Program, </w:t>
      </w:r>
      <w:r w:rsidRPr="00ED1FA1">
        <w:rPr>
          <w:sz w:val="24"/>
          <w:szCs w:val="24"/>
        </w:rPr>
        <w:t xml:space="preserve">OMB 0648-0551).  NMFS expects </w:t>
      </w:r>
      <w:r w:rsidRPr="00ED1FA1" w:rsidR="00BA78BE">
        <w:rPr>
          <w:sz w:val="24"/>
          <w:szCs w:val="24"/>
        </w:rPr>
        <w:t>annual maintenance costs of $</w:t>
      </w:r>
      <w:r w:rsidRPr="00ED1FA1" w:rsidR="00751786">
        <w:rPr>
          <w:sz w:val="24"/>
          <w:szCs w:val="24"/>
        </w:rPr>
        <w:t>25</w:t>
      </w:r>
      <w:r w:rsidRPr="00ED1FA1" w:rsidR="00BA78BE">
        <w:rPr>
          <w:sz w:val="24"/>
          <w:szCs w:val="24"/>
        </w:rPr>
        <w:t>,000 per year.</w:t>
      </w:r>
      <w:r w:rsidRPr="00ED1FA1" w:rsidR="00751786">
        <w:rPr>
          <w:sz w:val="24"/>
          <w:szCs w:val="24"/>
        </w:rPr>
        <w:t xml:space="preserve"> Additional contractual support for the IBQ system will now be provided through the Automated Fishery Management Support System contract which estimates IBQ related costs to </w:t>
      </w:r>
      <w:r w:rsidRPr="00ED1FA1" w:rsidR="00C57C59">
        <w:rPr>
          <w:sz w:val="24"/>
          <w:szCs w:val="24"/>
        </w:rPr>
        <w:t xml:space="preserve">be $59,000 annually. Finally, we estimate $22,500 in ODC costs associated with data storage for the IBQ program. </w:t>
      </w:r>
    </w:p>
    <w:p w:rsidRPr="00ED1FA1" w:rsidR="00751786" w:rsidP="002500D2" w:rsidRDefault="00751786" w14:paraId="2A0B7664" w14:textId="2FC6CAFA">
      <w:pPr>
        <w:rPr>
          <w:sz w:val="24"/>
          <w:szCs w:val="24"/>
        </w:rPr>
      </w:pPr>
    </w:p>
    <w:p w:rsidR="00751786" w:rsidP="002500D2" w:rsidRDefault="00C57C59" w14:paraId="78659EBA" w14:textId="7DE7892E">
      <w:pPr>
        <w:rPr>
          <w:sz w:val="24"/>
          <w:szCs w:val="24"/>
        </w:rPr>
      </w:pPr>
      <w:r w:rsidRPr="00ED1FA1">
        <w:rPr>
          <w:sz w:val="24"/>
          <w:szCs w:val="24"/>
        </w:rPr>
        <w:t>Table 3. Estimated federal costs associated with support of the Individual Bluefin Quota</w:t>
      </w:r>
      <w:r>
        <w:rPr>
          <w:sz w:val="24"/>
          <w:szCs w:val="24"/>
        </w:rPr>
        <w:t xml:space="preserve"> program.</w:t>
      </w:r>
    </w:p>
    <w:p w:rsidR="00C57C59" w:rsidP="002500D2" w:rsidRDefault="00C57C59" w14:paraId="3686B707" w14:textId="77777777">
      <w:pPr>
        <w:rPr>
          <w:sz w:val="24"/>
          <w:szCs w:val="24"/>
        </w:rPr>
      </w:pPr>
    </w:p>
    <w:tbl>
      <w:tblPr>
        <w:tblW w:w="9360" w:type="dxa"/>
        <w:tblLook w:val="04A0" w:firstRow="1" w:lastRow="0" w:firstColumn="1" w:lastColumn="0" w:noHBand="0" w:noVBand="1"/>
      </w:tblPr>
      <w:tblGrid>
        <w:gridCol w:w="1960"/>
        <w:gridCol w:w="1480"/>
        <w:gridCol w:w="1480"/>
        <w:gridCol w:w="1480"/>
        <w:gridCol w:w="1480"/>
        <w:gridCol w:w="1480"/>
      </w:tblGrid>
      <w:tr w:rsidRPr="00751786" w:rsidR="00751786" w:rsidTr="00751786" w14:paraId="19E4E8C2" w14:textId="77777777">
        <w:trPr>
          <w:trHeight w:val="690"/>
        </w:trPr>
        <w:tc>
          <w:tcPr>
            <w:tcW w:w="1960" w:type="dxa"/>
            <w:tcBorders>
              <w:top w:val="single" w:color="auto" w:sz="8" w:space="0"/>
              <w:left w:val="single" w:color="auto" w:sz="8" w:space="0"/>
              <w:bottom w:val="nil"/>
              <w:right w:val="single" w:color="auto" w:sz="8" w:space="0"/>
            </w:tcBorders>
            <w:shd w:val="clear" w:color="000000" w:fill="BDD7EE"/>
            <w:vAlign w:val="center"/>
            <w:hideMark/>
          </w:tcPr>
          <w:p w:rsidRPr="00751786" w:rsidR="00751786" w:rsidP="00751786" w:rsidRDefault="00751786" w14:paraId="40C847A1"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Cost Descriptions</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E70B3B8"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Grade/Step</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24AB779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Loaded Salary /Cost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61174B8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 of Effort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5B91697"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Fringe (if Applicable)</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38A48090"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Total Cost to Government</w:t>
            </w:r>
          </w:p>
        </w:tc>
      </w:tr>
      <w:tr w:rsidRPr="00751786" w:rsidR="00751786" w:rsidTr="00751786" w14:paraId="5BEE0B83" w14:textId="77777777">
        <w:trPr>
          <w:trHeight w:val="31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7DC22926"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Federal Oversight</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1CB18C5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ZA - 4/5</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262CBD6"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$228,405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0332BAD8"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5.0%</w:t>
            </w:r>
          </w:p>
        </w:tc>
        <w:tc>
          <w:tcPr>
            <w:tcW w:w="1480" w:type="dxa"/>
            <w:tcBorders>
              <w:top w:val="single" w:color="auto" w:sz="8" w:space="0"/>
              <w:left w:val="nil"/>
              <w:bottom w:val="single" w:color="auto" w:sz="8" w:space="0"/>
              <w:right w:val="single" w:color="auto" w:sz="8" w:space="0"/>
            </w:tcBorders>
            <w:shd w:val="clear" w:color="000000" w:fill="808080"/>
            <w:noWrap/>
            <w:vAlign w:val="center"/>
            <w:hideMark/>
          </w:tcPr>
          <w:p w:rsidRPr="00751786" w:rsidR="00751786" w:rsidP="00751786" w:rsidRDefault="00751786" w14:paraId="4C36ABB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8673F23"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$11,420.25 </w:t>
            </w:r>
          </w:p>
        </w:tc>
      </w:tr>
      <w:tr w:rsidRPr="00751786" w:rsidR="00751786" w:rsidTr="00751786" w14:paraId="516DD2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563C8CB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BEF001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ZP-4/3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AE2D09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$210,002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A68014C"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306AA6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1C443E7"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$3,150.03 </w:t>
            </w:r>
          </w:p>
        </w:tc>
      </w:tr>
      <w:tr w:rsidRPr="00751786" w:rsidR="00751786" w:rsidTr="00751786" w14:paraId="1EA16E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7D3FEA0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802557B"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ZP-3/2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C960D0D"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$127,635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37F7C8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2.5%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CD7E6A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1B7AE2B"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$3,190.88 </w:t>
            </w:r>
          </w:p>
        </w:tc>
      </w:tr>
      <w:tr w:rsidRPr="00751786" w:rsidR="00751786" w:rsidTr="00751786" w14:paraId="1DF3B129"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32277D9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lastRenderedPageBreak/>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00ABBA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6CD409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B34D68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516A67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0FC667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528AD71C" w14:textId="77777777">
        <w:trPr>
          <w:trHeight w:val="315"/>
        </w:trPr>
        <w:tc>
          <w:tcPr>
            <w:tcW w:w="1960" w:type="dxa"/>
            <w:tcBorders>
              <w:top w:val="nil"/>
              <w:left w:val="single" w:color="auto" w:sz="8" w:space="0"/>
              <w:bottom w:val="nil"/>
              <w:right w:val="single" w:color="auto" w:sz="8" w:space="0"/>
            </w:tcBorders>
            <w:shd w:val="clear" w:color="auto" w:fill="auto"/>
            <w:vAlign w:val="center"/>
            <w:hideMark/>
          </w:tcPr>
          <w:p w:rsidRPr="00751786" w:rsidR="00751786" w:rsidP="00751786" w:rsidRDefault="00751786" w14:paraId="28E021C7"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 xml:space="preserve">Other Costs: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97C856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9162CB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2BE24B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393A88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2B5C67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7815FF1D" w14:textId="77777777">
        <w:trPr>
          <w:trHeight w:val="46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336B22E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SERO IFQ System Administration</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02656E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9DFA53E"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3D31B8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4D317D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146E6ED" w14:textId="6332EB1F">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25</w:t>
            </w:r>
            <w:r w:rsidRPr="00751786">
              <w:rPr>
                <w:rFonts w:ascii="Calibri" w:hAnsi="Calibri" w:cs="Calibri"/>
                <w:color w:val="000000"/>
                <w:sz w:val="16"/>
                <w:szCs w:val="16"/>
              </w:rPr>
              <w:t xml:space="preserve">,000 </w:t>
            </w:r>
          </w:p>
        </w:tc>
      </w:tr>
      <w:tr w:rsidRPr="00751786" w:rsidR="00751786" w:rsidTr="00751786" w14:paraId="06A8C177"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7EE906C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AFMSS Contract</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B4E078"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52144B0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F8E8FB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B2D948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EA8393E" w14:textId="64E6BF9D">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59</w:t>
            </w:r>
            <w:r w:rsidRPr="00751786">
              <w:rPr>
                <w:rFonts w:ascii="Calibri" w:hAnsi="Calibri" w:cs="Calibri"/>
                <w:color w:val="000000"/>
                <w:sz w:val="16"/>
                <w:szCs w:val="16"/>
              </w:rPr>
              <w:t xml:space="preserve">,000 </w:t>
            </w:r>
          </w:p>
        </w:tc>
      </w:tr>
      <w:tr w:rsidRPr="00751786" w:rsidR="00751786" w:rsidTr="00751786" w14:paraId="0BD53A9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13129FB7"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Catch Share ODC</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85ECC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8D931B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F55CFE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A161CF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D61610F"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$22,500 </w:t>
            </w:r>
          </w:p>
        </w:tc>
      </w:tr>
      <w:tr w:rsidRPr="00751786" w:rsidR="00751786" w:rsidTr="00751786" w14:paraId="2A6929EE" w14:textId="77777777">
        <w:trPr>
          <w:trHeight w:val="315"/>
        </w:trPr>
        <w:tc>
          <w:tcPr>
            <w:tcW w:w="1960" w:type="dxa"/>
            <w:tcBorders>
              <w:top w:val="nil"/>
              <w:left w:val="single" w:color="auto" w:sz="8" w:space="0"/>
              <w:bottom w:val="single" w:color="auto" w:sz="8" w:space="0"/>
              <w:right w:val="single" w:color="auto" w:sz="8" w:space="0"/>
            </w:tcBorders>
            <w:shd w:val="clear" w:color="000000" w:fill="DDEBF7"/>
            <w:noWrap/>
            <w:vAlign w:val="center"/>
            <w:hideMark/>
          </w:tcPr>
          <w:p w:rsidRPr="00751786" w:rsidR="00751786" w:rsidP="00751786" w:rsidRDefault="00751786" w14:paraId="0E349669"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TOTAL</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27AE36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F73D00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757171"/>
            <w:noWrap/>
            <w:vAlign w:val="center"/>
            <w:hideMark/>
          </w:tcPr>
          <w:p w:rsidRPr="00751786" w:rsidR="00751786" w:rsidP="00751786" w:rsidRDefault="00751786" w14:paraId="6900409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49BA7C21"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1238DC53" w14:textId="2D30DF02">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w:t>
            </w:r>
            <w:r>
              <w:rPr>
                <w:rFonts w:ascii="Calibri" w:hAnsi="Calibri" w:cs="Calibri"/>
                <w:color w:val="000000"/>
                <w:sz w:val="16"/>
                <w:szCs w:val="16"/>
              </w:rPr>
              <w:t>25</w:t>
            </w:r>
            <w:r w:rsidRPr="00751786">
              <w:rPr>
                <w:rFonts w:ascii="Calibri" w:hAnsi="Calibri" w:cs="Calibri"/>
                <w:color w:val="000000"/>
                <w:sz w:val="16"/>
                <w:szCs w:val="16"/>
              </w:rPr>
              <w:t xml:space="preserve">,261.16 </w:t>
            </w:r>
          </w:p>
        </w:tc>
      </w:tr>
    </w:tbl>
    <w:p w:rsidR="00751786" w:rsidP="002500D2" w:rsidRDefault="00751786" w14:paraId="1F349B51" w14:textId="0BB72F7B">
      <w:pPr>
        <w:rPr>
          <w:sz w:val="24"/>
          <w:szCs w:val="24"/>
        </w:rPr>
      </w:pPr>
    </w:p>
    <w:p w:rsidRPr="002500D2" w:rsidR="00751786" w:rsidP="002500D2" w:rsidRDefault="00751786" w14:paraId="0DA529A0" w14:textId="77777777">
      <w:pPr>
        <w:rPr>
          <w:sz w:val="24"/>
          <w:szCs w:val="24"/>
        </w:rPr>
      </w:pPr>
    </w:p>
    <w:p w:rsidRPr="002500D2" w:rsidR="00DA4F01" w:rsidP="002500D2" w:rsidRDefault="00DA4F01" w14:paraId="504D8119" w14:textId="77777777">
      <w:pPr>
        <w:rPr>
          <w:b/>
          <w:sz w:val="24"/>
          <w:szCs w:val="24"/>
        </w:rPr>
      </w:pPr>
    </w:p>
    <w:p w:rsidRPr="00ED1FA1" w:rsidR="00ED1FA1" w:rsidP="00ED1FA1" w:rsidRDefault="004F26E9" w14:paraId="047DF9CB"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15.  </w:t>
      </w:r>
      <w:r w:rsidRPr="00ED1FA1" w:rsidR="00ED1FA1">
        <w:rPr>
          <w:rFonts w:ascii="Times New Roman" w:hAnsi="Times New Roman" w:cs="Times New Roman"/>
          <w:b/>
          <w:sz w:val="24"/>
          <w:szCs w:val="24"/>
        </w:rPr>
        <w:t>Explain the reasons for any program changes or adjustments reported in ROCIS.</w:t>
      </w:r>
    </w:p>
    <w:p w:rsidRPr="00ED1FA1" w:rsidR="004F26E9" w:rsidP="002500D2" w:rsidRDefault="004F26E9" w14:paraId="6B93C842" w14:textId="0C1868DD">
      <w:pPr>
        <w:rPr>
          <w:sz w:val="24"/>
          <w:szCs w:val="24"/>
        </w:rPr>
      </w:pPr>
    </w:p>
    <w:p w:rsidRPr="00ED1FA1" w:rsidR="00E95AA5" w:rsidP="002500D2" w:rsidRDefault="00C77E55" w14:paraId="62160778" w14:textId="2AF0AF7B">
      <w:pPr>
        <w:rPr>
          <w:sz w:val="24"/>
          <w:szCs w:val="24"/>
        </w:rPr>
      </w:pPr>
      <w:r w:rsidRPr="00ED1FA1">
        <w:rPr>
          <w:sz w:val="24"/>
          <w:szCs w:val="24"/>
        </w:rPr>
        <w:t xml:space="preserve">There are no changes in this renewal associated with the estimated number of respondents or responses.  There was minor change of one hour to the estimate of burden hours due to rounding of the final estimate.  There were more significant changes to the cost estimates for the information collection.  The previous authorization did not include labor costs which are now estimated to be $1,363.50 per year.  Conversely, the previous authorization included </w:t>
      </w:r>
      <w:r w:rsidRPr="00ED1FA1" w:rsidR="004C5D28">
        <w:rPr>
          <w:sz w:val="24"/>
          <w:szCs w:val="24"/>
        </w:rPr>
        <w:t xml:space="preserve">$1,100 for </w:t>
      </w:r>
      <w:r w:rsidRPr="00ED1FA1">
        <w:rPr>
          <w:sz w:val="24"/>
          <w:szCs w:val="24"/>
        </w:rPr>
        <w:t>the cost of purchasing a computer for conducting IBQ trades as a miscellaneous cost.  That cost has been removed in this renewal as it is arguably a standard business operating cost.</w:t>
      </w:r>
      <w:r w:rsidRPr="00ED1FA1" w:rsidR="004C5D28">
        <w:rPr>
          <w:sz w:val="24"/>
          <w:szCs w:val="24"/>
        </w:rPr>
        <w:t xml:space="preserve">  Combined, these adjustments result in an overall cost adjustment of $263.50.</w:t>
      </w:r>
    </w:p>
    <w:p w:rsidRPr="00ED1FA1" w:rsidR="00E95AA5" w:rsidP="002500D2" w:rsidRDefault="00E95AA5" w14:paraId="512AC715" w14:textId="6B402C07">
      <w:pPr>
        <w:rPr>
          <w:sz w:val="24"/>
          <w:szCs w:val="24"/>
        </w:rPr>
      </w:pPr>
    </w:p>
    <w:p w:rsidRPr="00ED1FA1" w:rsidR="003A1287" w:rsidP="002500D2" w:rsidRDefault="003A1287" w14:paraId="37189B51" w14:textId="77777777">
      <w:pPr>
        <w:rPr>
          <w:sz w:val="24"/>
          <w:szCs w:val="24"/>
        </w:rPr>
      </w:pPr>
    </w:p>
    <w:p w:rsidRPr="00ED1FA1" w:rsidR="00E95AA5" w:rsidP="002500D2" w:rsidRDefault="00E95AA5" w14:paraId="17E5FDA9" w14:textId="287F4F79">
      <w:pPr>
        <w:rPr>
          <w:sz w:val="24"/>
          <w:szCs w:val="24"/>
        </w:rPr>
      </w:pPr>
      <w:r w:rsidRPr="00ED1FA1">
        <w:rPr>
          <w:sz w:val="24"/>
          <w:szCs w:val="24"/>
        </w:rPr>
        <w:t>Table 4. Changes and adjustments to respondent burden estimates.</w:t>
      </w:r>
    </w:p>
    <w:p w:rsidR="00E95AA5" w:rsidP="002500D2" w:rsidRDefault="00E95AA5" w14:paraId="43E96CDF" w14:textId="4AD06F4F">
      <w:pPr>
        <w:rPr>
          <w:sz w:val="24"/>
          <w:szCs w:val="24"/>
        </w:rPr>
      </w:pPr>
    </w:p>
    <w:tbl>
      <w:tblPr>
        <w:tblW w:w="9800" w:type="dxa"/>
        <w:tblLook w:val="04A0" w:firstRow="1" w:lastRow="0" w:firstColumn="1" w:lastColumn="0" w:noHBand="0" w:noVBand="1"/>
      </w:tblPr>
      <w:tblGrid>
        <w:gridCol w:w="1790"/>
        <w:gridCol w:w="1080"/>
        <w:gridCol w:w="1170"/>
        <w:gridCol w:w="1080"/>
        <w:gridCol w:w="1170"/>
        <w:gridCol w:w="1170"/>
        <w:gridCol w:w="1170"/>
        <w:gridCol w:w="1170"/>
      </w:tblGrid>
      <w:tr w:rsidRPr="00E95AA5" w:rsidR="00E95AA5" w:rsidTr="00F861CF" w14:paraId="7DD1FBF7" w14:textId="77777777">
        <w:trPr>
          <w:trHeight w:val="315"/>
        </w:trPr>
        <w:tc>
          <w:tcPr>
            <w:tcW w:w="17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10388226"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E5AF0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Respondents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207803A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Responses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3731A1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Burden Hours</w:t>
            </w:r>
          </w:p>
        </w:tc>
        <w:tc>
          <w:tcPr>
            <w:tcW w:w="11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60B629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F861CF" w14:paraId="6426980F" w14:textId="77777777">
        <w:trPr>
          <w:trHeight w:val="690"/>
        </w:trPr>
        <w:tc>
          <w:tcPr>
            <w:tcW w:w="179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7BBC2D03" w14:textId="77777777">
            <w:pPr>
              <w:widowControl/>
              <w:autoSpaceDE/>
              <w:autoSpaceDN/>
              <w:adjustRightInd/>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D17B6B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11C9503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318123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7D7EE06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774B4E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234CCCC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54588D03" w14:textId="77777777">
            <w:pPr>
              <w:widowControl/>
              <w:autoSpaceDE/>
              <w:autoSpaceDN/>
              <w:adjustRightInd/>
              <w:rPr>
                <w:rFonts w:ascii="Calibri" w:hAnsi="Calibri" w:cs="Calibri"/>
                <w:b/>
                <w:bCs/>
                <w:color w:val="000000"/>
                <w:sz w:val="16"/>
                <w:szCs w:val="16"/>
              </w:rPr>
            </w:pPr>
          </w:p>
        </w:tc>
      </w:tr>
      <w:tr w:rsidRPr="00E95AA5" w:rsidR="00E95AA5" w:rsidTr="00F861CF" w14:paraId="0BF45504" w14:textId="77777777">
        <w:trPr>
          <w:trHeight w:val="465"/>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A46DD6"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3A16844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0CDD9A52"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2C75FF4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5CFF9B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6AB21D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7E3F135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54D50A2D"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No change</w:t>
            </w:r>
          </w:p>
        </w:tc>
      </w:tr>
      <w:tr w:rsidRPr="00E95AA5" w:rsidR="00E95AA5" w:rsidTr="00F861CF" w14:paraId="005B3064" w14:textId="77777777">
        <w:trPr>
          <w:trHeight w:val="323"/>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6E26D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17D3C16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31B0072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490E4DF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4D2A3F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FE86E3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50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72D995D0"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49</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2055383D"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Rounding</w:t>
            </w:r>
          </w:p>
        </w:tc>
      </w:tr>
      <w:tr w:rsidRPr="00E95AA5" w:rsidR="00E95AA5" w:rsidTr="00F861CF" w14:paraId="4C0009C9" w14:textId="77777777">
        <w:trPr>
          <w:trHeight w:val="315"/>
        </w:trPr>
        <w:tc>
          <w:tcPr>
            <w:tcW w:w="179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455C109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E95AA5" w14:paraId="77F56DC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1D80B23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E95AA5" w14:paraId="6D4118C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75608AB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170" w:type="dxa"/>
            <w:tcBorders>
              <w:top w:val="nil"/>
              <w:left w:val="nil"/>
              <w:bottom w:val="nil"/>
              <w:right w:val="dashed" w:color="auto" w:sz="8" w:space="0"/>
            </w:tcBorders>
            <w:shd w:val="clear" w:color="000000" w:fill="BDD6EE"/>
            <w:vAlign w:val="center"/>
            <w:hideMark/>
          </w:tcPr>
          <w:p w:rsidRPr="00E95AA5" w:rsidR="00E95AA5" w:rsidP="00E95AA5" w:rsidRDefault="00E95AA5" w14:paraId="13B69B9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54</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5F7B0B1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53</w:t>
            </w:r>
          </w:p>
        </w:tc>
        <w:tc>
          <w:tcPr>
            <w:tcW w:w="1170" w:type="dxa"/>
            <w:tcBorders>
              <w:top w:val="nil"/>
              <w:left w:val="nil"/>
              <w:bottom w:val="nil"/>
              <w:right w:val="single" w:color="auto" w:sz="8" w:space="0"/>
            </w:tcBorders>
            <w:shd w:val="clear" w:color="000000" w:fill="000000"/>
            <w:vAlign w:val="center"/>
            <w:hideMark/>
          </w:tcPr>
          <w:p w:rsidRPr="00E95AA5" w:rsidR="00E95AA5" w:rsidP="00E95AA5" w:rsidRDefault="00E95AA5" w14:paraId="0E64CC5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F861CF" w14:paraId="7ECC0F90" w14:textId="77777777">
        <w:trPr>
          <w:trHeight w:val="315"/>
        </w:trPr>
        <w:tc>
          <w:tcPr>
            <w:tcW w:w="179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884383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Difference</w:t>
            </w:r>
          </w:p>
        </w:tc>
        <w:tc>
          <w:tcPr>
            <w:tcW w:w="225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E95AA5" w:rsidRDefault="00E95AA5" w14:paraId="436E5C4B" w14:textId="77777777">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0</w:t>
            </w:r>
          </w:p>
        </w:tc>
        <w:tc>
          <w:tcPr>
            <w:tcW w:w="225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95AA5" w:rsidR="00E95AA5" w:rsidP="00E95AA5" w:rsidRDefault="00E95AA5" w14:paraId="7BD784CE" w14:textId="77777777">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0</w:t>
            </w:r>
          </w:p>
        </w:tc>
        <w:tc>
          <w:tcPr>
            <w:tcW w:w="23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95AA5" w:rsidR="00E95AA5" w:rsidP="00E95AA5" w:rsidRDefault="00E95AA5" w14:paraId="160ED1B1" w14:textId="77777777">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1</w:t>
            </w:r>
          </w:p>
        </w:tc>
        <w:tc>
          <w:tcPr>
            <w:tcW w:w="117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518F3AB5"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00E95AA5" w:rsidP="002500D2" w:rsidRDefault="00E95AA5" w14:paraId="394AF84A" w14:textId="580B6EEC">
      <w:pPr>
        <w:rPr>
          <w:sz w:val="24"/>
          <w:szCs w:val="24"/>
        </w:rPr>
      </w:pPr>
    </w:p>
    <w:p w:rsidR="00E95AA5" w:rsidP="002500D2" w:rsidRDefault="00E95AA5" w14:paraId="49AB348B" w14:textId="7E5F75A7">
      <w:pPr>
        <w:rPr>
          <w:sz w:val="24"/>
          <w:szCs w:val="24"/>
        </w:rPr>
      </w:pPr>
      <w:r>
        <w:rPr>
          <w:sz w:val="24"/>
          <w:szCs w:val="24"/>
        </w:rPr>
        <w:t>Table 5. Changes and adjustments to respondent labor and miscellaneous costs.</w:t>
      </w:r>
    </w:p>
    <w:p w:rsidR="00E95AA5" w:rsidP="002500D2" w:rsidRDefault="00E95AA5" w14:paraId="2F318613" w14:textId="2F8D1533">
      <w:pPr>
        <w:rPr>
          <w:sz w:val="24"/>
          <w:szCs w:val="24"/>
        </w:rPr>
      </w:pPr>
    </w:p>
    <w:tbl>
      <w:tblPr>
        <w:tblW w:w="8720" w:type="dxa"/>
        <w:tblLook w:val="04A0" w:firstRow="1" w:lastRow="0" w:firstColumn="1" w:lastColumn="0" w:noHBand="0" w:noVBand="1"/>
      </w:tblPr>
      <w:tblGrid>
        <w:gridCol w:w="1920"/>
        <w:gridCol w:w="1180"/>
        <w:gridCol w:w="1180"/>
        <w:gridCol w:w="1240"/>
        <w:gridCol w:w="1200"/>
        <w:gridCol w:w="2000"/>
      </w:tblGrid>
      <w:tr w:rsidRPr="00E95AA5" w:rsidR="00E95AA5" w:rsidTr="00E95AA5" w14:paraId="2A422CF8"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DCED7A1"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5332E29A"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2C00B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Miscellaneous Costs</w:t>
            </w:r>
          </w:p>
        </w:tc>
        <w:tc>
          <w:tcPr>
            <w:tcW w:w="20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4D2547D9"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E95AA5" w14:paraId="04EB6523" w14:textId="77777777">
        <w:trPr>
          <w:trHeight w:val="690"/>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47C3F777"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43F9741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53E834E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E418C5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03B25920"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6C11E0D6" w14:textId="77777777">
            <w:pPr>
              <w:widowControl/>
              <w:autoSpaceDE/>
              <w:autoSpaceDN/>
              <w:adjustRightInd/>
              <w:rPr>
                <w:rFonts w:ascii="Calibri" w:hAnsi="Calibri" w:cs="Calibri"/>
                <w:b/>
                <w:bCs/>
                <w:color w:val="000000"/>
                <w:sz w:val="16"/>
                <w:szCs w:val="16"/>
              </w:rPr>
            </w:pPr>
          </w:p>
        </w:tc>
      </w:tr>
      <w:tr w:rsidRPr="00E95AA5" w:rsidR="00E95AA5" w:rsidTr="00E95AA5" w14:paraId="00F1B269" w14:textId="77777777">
        <w:trPr>
          <w:trHeight w:val="465"/>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559398B3"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1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1A55F295"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$101 </w:t>
            </w:r>
          </w:p>
        </w:tc>
        <w:tc>
          <w:tcPr>
            <w:tcW w:w="118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6E47F2A7"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4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934D72B"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5B2F790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200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7436E77"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Labor costs had previously been excluded.</w:t>
            </w:r>
          </w:p>
        </w:tc>
      </w:tr>
      <w:tr w:rsidRPr="00E95AA5" w:rsidR="00E95AA5" w:rsidTr="00E95AA5" w14:paraId="11BA39A7" w14:textId="77777777">
        <w:trPr>
          <w:trHeight w:val="900"/>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53561E31"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1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29D1128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$1,262.50 </w:t>
            </w:r>
          </w:p>
        </w:tc>
        <w:tc>
          <w:tcPr>
            <w:tcW w:w="118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54C15482"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4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17D3DC4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35B6CD4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$1,100 </w:t>
            </w:r>
          </w:p>
        </w:tc>
        <w:tc>
          <w:tcPr>
            <w:tcW w:w="200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0EE5185"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Previously included computer costs now excluded as regular business operating cost.</w:t>
            </w:r>
          </w:p>
        </w:tc>
      </w:tr>
      <w:tr w:rsidRPr="00E95AA5" w:rsidR="00E95AA5" w:rsidTr="00E95AA5" w14:paraId="584A6912" w14:textId="77777777">
        <w:trPr>
          <w:trHeight w:val="315"/>
        </w:trPr>
        <w:tc>
          <w:tcPr>
            <w:tcW w:w="192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304289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180" w:type="dxa"/>
            <w:tcBorders>
              <w:top w:val="nil"/>
              <w:left w:val="nil"/>
              <w:bottom w:val="nil"/>
              <w:right w:val="dashed" w:color="auto" w:sz="8" w:space="0"/>
            </w:tcBorders>
            <w:shd w:val="clear" w:color="000000" w:fill="BDD6EE"/>
            <w:vAlign w:val="center"/>
            <w:hideMark/>
          </w:tcPr>
          <w:p w:rsidRPr="00E95AA5" w:rsidR="00E95AA5" w:rsidP="00E95AA5" w:rsidRDefault="00E95AA5" w14:paraId="039FA2B9"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$1,363.50 </w:t>
            </w:r>
          </w:p>
        </w:tc>
        <w:tc>
          <w:tcPr>
            <w:tcW w:w="1180" w:type="dxa"/>
            <w:tcBorders>
              <w:top w:val="nil"/>
              <w:left w:val="nil"/>
              <w:bottom w:val="nil"/>
              <w:right w:val="single" w:color="auto" w:sz="8" w:space="0"/>
            </w:tcBorders>
            <w:shd w:val="clear" w:color="000000" w:fill="BDD6EE"/>
            <w:vAlign w:val="center"/>
            <w:hideMark/>
          </w:tcPr>
          <w:p w:rsidRPr="00E95AA5" w:rsidR="00E95AA5" w:rsidP="00E95AA5" w:rsidRDefault="00E95AA5" w14:paraId="1E32518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1240" w:type="dxa"/>
            <w:tcBorders>
              <w:top w:val="nil"/>
              <w:left w:val="nil"/>
              <w:bottom w:val="nil"/>
              <w:right w:val="dashed" w:color="auto" w:sz="8" w:space="0"/>
            </w:tcBorders>
            <w:shd w:val="clear" w:color="000000" w:fill="BDD6EE"/>
            <w:vAlign w:val="center"/>
            <w:hideMark/>
          </w:tcPr>
          <w:p w:rsidRPr="00E95AA5" w:rsidR="00E95AA5" w:rsidP="00E95AA5" w:rsidRDefault="00E95AA5" w14:paraId="0B6F467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1200" w:type="dxa"/>
            <w:tcBorders>
              <w:top w:val="nil"/>
              <w:left w:val="nil"/>
              <w:bottom w:val="nil"/>
              <w:right w:val="single" w:color="auto" w:sz="8" w:space="0"/>
            </w:tcBorders>
            <w:shd w:val="clear" w:color="000000" w:fill="BDD6EE"/>
            <w:vAlign w:val="center"/>
            <w:hideMark/>
          </w:tcPr>
          <w:p w:rsidRPr="00E95AA5" w:rsidR="00E95AA5" w:rsidP="00E95AA5" w:rsidRDefault="00E95AA5" w14:paraId="46F0396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$1,100 </w:t>
            </w:r>
          </w:p>
        </w:tc>
        <w:tc>
          <w:tcPr>
            <w:tcW w:w="2000" w:type="dxa"/>
            <w:tcBorders>
              <w:top w:val="nil"/>
              <w:left w:val="nil"/>
              <w:bottom w:val="nil"/>
              <w:right w:val="single" w:color="auto" w:sz="8" w:space="0"/>
            </w:tcBorders>
            <w:shd w:val="clear" w:color="000000" w:fill="000000"/>
            <w:vAlign w:val="center"/>
            <w:hideMark/>
          </w:tcPr>
          <w:p w:rsidRPr="00E95AA5" w:rsidR="00E95AA5" w:rsidP="00E95AA5" w:rsidRDefault="00E95AA5" w14:paraId="08D7C26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E95AA5" w14:paraId="19E69110" w14:textId="77777777">
        <w:trPr>
          <w:trHeight w:val="315"/>
        </w:trPr>
        <w:tc>
          <w:tcPr>
            <w:tcW w:w="192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9ADCE7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lastRenderedPageBreak/>
              <w:t>Difference</w:t>
            </w:r>
          </w:p>
        </w:tc>
        <w:tc>
          <w:tcPr>
            <w:tcW w:w="23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E95AA5" w:rsidRDefault="00E95AA5" w14:paraId="5BD5F5BB" w14:textId="77777777">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 xml:space="preserve">$1,363.50 </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95AA5" w:rsidR="00E95AA5" w:rsidP="00E95AA5" w:rsidRDefault="00E95AA5" w14:paraId="3A40EC9D" w14:textId="77777777">
            <w:pPr>
              <w:widowControl/>
              <w:autoSpaceDE/>
              <w:autoSpaceDN/>
              <w:adjustRightInd/>
              <w:jc w:val="center"/>
              <w:rPr>
                <w:rFonts w:ascii="Calibri" w:hAnsi="Calibri" w:cs="Calibri"/>
                <w:color w:val="000000"/>
                <w:sz w:val="22"/>
                <w:szCs w:val="22"/>
              </w:rPr>
            </w:pPr>
            <w:r w:rsidRPr="00E95AA5">
              <w:rPr>
                <w:rFonts w:ascii="Calibri" w:hAnsi="Calibri" w:cs="Calibri"/>
                <w:color w:val="FF0000"/>
                <w:sz w:val="22"/>
                <w:szCs w:val="22"/>
              </w:rPr>
              <w:t>($1,100)</w:t>
            </w:r>
          </w:p>
        </w:tc>
        <w:tc>
          <w:tcPr>
            <w:tcW w:w="200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67C2092A"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Pr="00ED1FA1" w:rsidR="00E95AA5" w:rsidP="002500D2" w:rsidRDefault="00E95AA5" w14:paraId="527307C3" w14:textId="77777777">
      <w:pPr>
        <w:rPr>
          <w:sz w:val="24"/>
          <w:szCs w:val="24"/>
        </w:rPr>
      </w:pPr>
    </w:p>
    <w:p w:rsidRPr="00ED1FA1" w:rsidR="004F26E9" w:rsidP="002500D2" w:rsidRDefault="004F26E9" w14:paraId="7DE8228E" w14:textId="77777777">
      <w:pPr>
        <w:rPr>
          <w:sz w:val="24"/>
          <w:szCs w:val="24"/>
        </w:rPr>
      </w:pPr>
    </w:p>
    <w:p w:rsidRPr="00ED1FA1" w:rsidR="00ED1FA1" w:rsidP="00ED1FA1" w:rsidRDefault="004F26E9" w14:paraId="57795D36"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16.  </w:t>
      </w:r>
      <w:r w:rsidRPr="00ED1FA1" w:rsidR="00ED1FA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1FA1" w:rsidR="004F26E9" w:rsidP="002500D2" w:rsidRDefault="004F26E9" w14:paraId="27F5AF2A" w14:textId="730FBB0A">
      <w:pPr>
        <w:rPr>
          <w:sz w:val="24"/>
          <w:szCs w:val="24"/>
        </w:rPr>
      </w:pPr>
    </w:p>
    <w:p w:rsidRPr="00ED1FA1" w:rsidR="004F26E9" w:rsidP="002500D2" w:rsidRDefault="009F6ABB" w14:paraId="174D97F5" w14:textId="77777777">
      <w:pPr>
        <w:rPr>
          <w:sz w:val="24"/>
          <w:szCs w:val="24"/>
        </w:rPr>
      </w:pPr>
      <w:r w:rsidRPr="00ED1FA1">
        <w:rPr>
          <w:sz w:val="24"/>
          <w:szCs w:val="24"/>
        </w:rPr>
        <w:t>The results from the collection are not planned for statistical publication, although NMFS may distribute the results in reports or other publications.  Prior to publication, data would be aggregated, as needed, to maintain confidentiality, and any report would comply with the Information Quality Act guidelines.</w:t>
      </w:r>
    </w:p>
    <w:p w:rsidRPr="00ED1FA1" w:rsidR="00A5263C" w:rsidP="002500D2" w:rsidRDefault="00A5263C" w14:paraId="16CB403D" w14:textId="77777777">
      <w:pPr>
        <w:rPr>
          <w:sz w:val="24"/>
          <w:szCs w:val="24"/>
        </w:rPr>
      </w:pPr>
    </w:p>
    <w:p w:rsidRPr="00ED1FA1" w:rsidR="004F26E9" w:rsidP="00ED1FA1" w:rsidRDefault="004F26E9" w14:paraId="0E6C1A69" w14:textId="70107B5C">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17.  </w:t>
      </w:r>
      <w:r w:rsidRPr="00ED1FA1" w:rsidR="00ED1FA1">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ED1FA1" w:rsidR="004F26E9" w:rsidP="002500D2" w:rsidRDefault="004F26E9" w14:paraId="643DF51A" w14:textId="77777777">
      <w:pPr>
        <w:rPr>
          <w:sz w:val="24"/>
          <w:szCs w:val="24"/>
        </w:rPr>
      </w:pPr>
    </w:p>
    <w:p w:rsidRPr="00ED1FA1" w:rsidR="004F26E9" w:rsidP="002500D2" w:rsidRDefault="00165F6E" w14:paraId="37F0C0CF" w14:textId="32CCB417">
      <w:pPr>
        <w:rPr>
          <w:sz w:val="24"/>
          <w:szCs w:val="24"/>
        </w:rPr>
      </w:pPr>
      <w:r>
        <w:rPr>
          <w:sz w:val="24"/>
          <w:szCs w:val="24"/>
        </w:rPr>
        <w:t>The expiration date is displayed on the SERO Catch Share Programs – Public Home page</w:t>
      </w:r>
      <w:bookmarkStart w:name="_GoBack" w:id="0"/>
      <w:bookmarkEnd w:id="0"/>
      <w:r w:rsidRPr="00ED1FA1" w:rsidR="00A5263C">
        <w:rPr>
          <w:sz w:val="24"/>
          <w:szCs w:val="24"/>
        </w:rPr>
        <w:t>.</w:t>
      </w:r>
    </w:p>
    <w:p w:rsidRPr="00ED1FA1" w:rsidR="004F26E9" w:rsidP="002500D2" w:rsidRDefault="004F26E9" w14:paraId="2A21A14A" w14:textId="77777777">
      <w:pPr>
        <w:rPr>
          <w:sz w:val="24"/>
          <w:szCs w:val="24"/>
        </w:rPr>
      </w:pPr>
    </w:p>
    <w:p w:rsidRPr="00ED1FA1" w:rsidR="00ED1FA1" w:rsidP="00ED1FA1" w:rsidRDefault="004F26E9" w14:paraId="56FD3556" w14:textId="7777777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 xml:space="preserve">18.  </w:t>
      </w:r>
      <w:r w:rsidRPr="00ED1FA1" w:rsidR="00ED1FA1">
        <w:rPr>
          <w:rFonts w:ascii="Times New Roman" w:hAnsi="Times New Roman" w:cs="Times New Roman"/>
          <w:b/>
          <w:sz w:val="24"/>
          <w:szCs w:val="24"/>
        </w:rPr>
        <w:t>Explain each exception to the certification statement identified in “Certification for Paperwork Reduction Act Submissions."</w:t>
      </w:r>
    </w:p>
    <w:p w:rsidRPr="00ED1FA1" w:rsidR="00ED1FA1" w:rsidP="00ED1FA1" w:rsidRDefault="00ED1FA1" w14:paraId="53CDA797" w14:textId="01A4A12D">
      <w:pPr>
        <w:spacing w:before="221" w:line="259" w:lineRule="auto"/>
        <w:jc w:val="both"/>
        <w:rPr>
          <w:sz w:val="24"/>
          <w:szCs w:val="24"/>
        </w:rPr>
      </w:pPr>
      <w:r w:rsidRPr="00ED1FA1">
        <w:rPr>
          <w:sz w:val="24"/>
          <w:szCs w:val="24"/>
        </w:rPr>
        <w:t xml:space="preserve">The agency certifies compliance with </w:t>
      </w:r>
      <w:hyperlink r:id="rId14">
        <w:r w:rsidRPr="00ED1FA1">
          <w:rPr>
            <w:color w:val="0563C1"/>
            <w:sz w:val="24"/>
            <w:szCs w:val="24"/>
            <w:u w:val="thick" w:color="0563C1"/>
          </w:rPr>
          <w:t>5 CFR 1320.9</w:t>
        </w:r>
        <w:r w:rsidRPr="00ED1FA1">
          <w:rPr>
            <w:color w:val="0563C1"/>
            <w:sz w:val="24"/>
            <w:szCs w:val="24"/>
          </w:rPr>
          <w:t xml:space="preserve"> </w:t>
        </w:r>
      </w:hyperlink>
      <w:r w:rsidRPr="00ED1FA1">
        <w:rPr>
          <w:sz w:val="24"/>
          <w:szCs w:val="24"/>
        </w:rPr>
        <w:t xml:space="preserve">and the related provisions of </w:t>
      </w:r>
      <w:hyperlink r:id="rId15">
        <w:r w:rsidRPr="00ED1FA1">
          <w:rPr>
            <w:color w:val="0563C1"/>
            <w:sz w:val="24"/>
            <w:szCs w:val="24"/>
            <w:u w:val="thick" w:color="0563C1"/>
          </w:rPr>
          <w:t>5</w:t>
        </w:r>
        <w:r w:rsidRPr="00ED1FA1">
          <w:rPr>
            <w:color w:val="0563C1"/>
            <w:spacing w:val="-42"/>
            <w:sz w:val="24"/>
            <w:szCs w:val="24"/>
            <w:u w:val="thick" w:color="0563C1"/>
          </w:rPr>
          <w:t xml:space="preserve"> </w:t>
        </w:r>
        <w:r w:rsidRPr="00ED1FA1">
          <w:rPr>
            <w:color w:val="0563C1"/>
            <w:sz w:val="24"/>
            <w:szCs w:val="24"/>
            <w:u w:val="thick" w:color="0563C1"/>
          </w:rPr>
          <w:t>CFR</w:t>
        </w:r>
      </w:hyperlink>
      <w:r w:rsidRPr="00ED1FA1">
        <w:rPr>
          <w:color w:val="0563C1"/>
          <w:sz w:val="24"/>
          <w:szCs w:val="24"/>
        </w:rPr>
        <w:t xml:space="preserve"> </w:t>
      </w:r>
      <w:hyperlink r:id="rId16">
        <w:r w:rsidRPr="00ED1FA1">
          <w:rPr>
            <w:color w:val="0563C1"/>
            <w:sz w:val="24"/>
            <w:szCs w:val="24"/>
            <w:u w:val="thick" w:color="0563C1"/>
          </w:rPr>
          <w:t>1320.8(b)(3)</w:t>
        </w:r>
      </w:hyperlink>
      <w:r w:rsidRPr="00ED1FA1">
        <w:rPr>
          <w:sz w:val="24"/>
          <w:szCs w:val="24"/>
        </w:rPr>
        <w:t>.</w:t>
      </w:r>
    </w:p>
    <w:p w:rsidRPr="002500D2" w:rsidR="004F26E9" w:rsidP="00ED1FA1" w:rsidRDefault="004F26E9" w14:paraId="26BD27A6" w14:textId="67416BB3">
      <w:pPr>
        <w:rPr>
          <w:sz w:val="24"/>
          <w:szCs w:val="24"/>
        </w:rPr>
      </w:pPr>
    </w:p>
    <w:sectPr w:rsidRPr="002500D2" w:rsidR="004F26E9">
      <w:footerReference w:type="default" r:id="rId1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24EA" w14:textId="77777777" w:rsidR="004F2CFE" w:rsidRDefault="004F2CFE">
      <w:r>
        <w:separator/>
      </w:r>
    </w:p>
  </w:endnote>
  <w:endnote w:type="continuationSeparator" w:id="0">
    <w:p w14:paraId="55870B60" w14:textId="77777777" w:rsidR="004F2CFE" w:rsidRDefault="004F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E509" w14:textId="5C19AB8A" w:rsidR="003E0901" w:rsidRDefault="003E090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65F6E">
      <w:rPr>
        <w:rStyle w:val="PageNumber"/>
        <w:noProof/>
        <w:sz w:val="24"/>
        <w:szCs w:val="24"/>
      </w:rPr>
      <w:t>9</w:t>
    </w:r>
    <w:r>
      <w:rPr>
        <w:rStyle w:val="PageNumber"/>
        <w:sz w:val="24"/>
        <w:szCs w:val="24"/>
      </w:rPr>
      <w:fldChar w:fldCharType="end"/>
    </w:r>
  </w:p>
  <w:p w14:paraId="327D939D" w14:textId="77777777" w:rsidR="003E0901" w:rsidRDefault="003E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DBA0" w14:textId="77777777" w:rsidR="004F2CFE" w:rsidRDefault="004F2CFE">
      <w:r>
        <w:separator/>
      </w:r>
    </w:p>
  </w:footnote>
  <w:footnote w:type="continuationSeparator" w:id="0">
    <w:p w14:paraId="34262F34" w14:textId="77777777" w:rsidR="004F2CFE" w:rsidRDefault="004F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5C33"/>
    <w:rsid w:val="00021831"/>
    <w:rsid w:val="000237E4"/>
    <w:rsid w:val="00023F79"/>
    <w:rsid w:val="000255FC"/>
    <w:rsid w:val="000256E7"/>
    <w:rsid w:val="000365EE"/>
    <w:rsid w:val="00050555"/>
    <w:rsid w:val="00054B8D"/>
    <w:rsid w:val="00062B11"/>
    <w:rsid w:val="000662AD"/>
    <w:rsid w:val="0008240E"/>
    <w:rsid w:val="000829F9"/>
    <w:rsid w:val="0008636A"/>
    <w:rsid w:val="000A400C"/>
    <w:rsid w:val="000B37DE"/>
    <w:rsid w:val="000B418D"/>
    <w:rsid w:val="000C3400"/>
    <w:rsid w:val="000D1446"/>
    <w:rsid w:val="000E7009"/>
    <w:rsid w:val="000F7ACB"/>
    <w:rsid w:val="000F7CBC"/>
    <w:rsid w:val="00107F5D"/>
    <w:rsid w:val="00114109"/>
    <w:rsid w:val="0012772C"/>
    <w:rsid w:val="00130426"/>
    <w:rsid w:val="001322FA"/>
    <w:rsid w:val="00134C63"/>
    <w:rsid w:val="00140E22"/>
    <w:rsid w:val="00141BCF"/>
    <w:rsid w:val="00151012"/>
    <w:rsid w:val="00165F6E"/>
    <w:rsid w:val="001A465B"/>
    <w:rsid w:val="001A5A46"/>
    <w:rsid w:val="001A68BE"/>
    <w:rsid w:val="001E250B"/>
    <w:rsid w:val="001E6F72"/>
    <w:rsid w:val="001F052E"/>
    <w:rsid w:val="0021041E"/>
    <w:rsid w:val="00221662"/>
    <w:rsid w:val="00246FA2"/>
    <w:rsid w:val="002500D2"/>
    <w:rsid w:val="002515B2"/>
    <w:rsid w:val="0025329B"/>
    <w:rsid w:val="00255E84"/>
    <w:rsid w:val="00265E2E"/>
    <w:rsid w:val="00290D3E"/>
    <w:rsid w:val="00293DD9"/>
    <w:rsid w:val="00296AFF"/>
    <w:rsid w:val="002A22C4"/>
    <w:rsid w:val="002A302F"/>
    <w:rsid w:val="002C2695"/>
    <w:rsid w:val="002C6D98"/>
    <w:rsid w:val="002C7596"/>
    <w:rsid w:val="002D5CE7"/>
    <w:rsid w:val="002E2408"/>
    <w:rsid w:val="002E49D0"/>
    <w:rsid w:val="002F4854"/>
    <w:rsid w:val="00302EE7"/>
    <w:rsid w:val="003063A5"/>
    <w:rsid w:val="003227E6"/>
    <w:rsid w:val="00336397"/>
    <w:rsid w:val="0035252D"/>
    <w:rsid w:val="00352C63"/>
    <w:rsid w:val="00360139"/>
    <w:rsid w:val="00372418"/>
    <w:rsid w:val="003901FA"/>
    <w:rsid w:val="003A1287"/>
    <w:rsid w:val="003B7F5E"/>
    <w:rsid w:val="003C0FBC"/>
    <w:rsid w:val="003D03B5"/>
    <w:rsid w:val="003D3049"/>
    <w:rsid w:val="003D37F4"/>
    <w:rsid w:val="003D3E58"/>
    <w:rsid w:val="003D4F76"/>
    <w:rsid w:val="003E0901"/>
    <w:rsid w:val="003F2285"/>
    <w:rsid w:val="003F274E"/>
    <w:rsid w:val="004027AB"/>
    <w:rsid w:val="004079A6"/>
    <w:rsid w:val="00411F62"/>
    <w:rsid w:val="00413430"/>
    <w:rsid w:val="00430FD6"/>
    <w:rsid w:val="00461AE2"/>
    <w:rsid w:val="00476077"/>
    <w:rsid w:val="00480B96"/>
    <w:rsid w:val="004860E8"/>
    <w:rsid w:val="00486932"/>
    <w:rsid w:val="004870DB"/>
    <w:rsid w:val="004B3D8B"/>
    <w:rsid w:val="004C2DC4"/>
    <w:rsid w:val="004C5D28"/>
    <w:rsid w:val="004C7DEE"/>
    <w:rsid w:val="004E12D1"/>
    <w:rsid w:val="004F26E9"/>
    <w:rsid w:val="004F2CFE"/>
    <w:rsid w:val="00504538"/>
    <w:rsid w:val="00511B7C"/>
    <w:rsid w:val="00521787"/>
    <w:rsid w:val="005243A5"/>
    <w:rsid w:val="00526CE4"/>
    <w:rsid w:val="005319F8"/>
    <w:rsid w:val="00532DD5"/>
    <w:rsid w:val="00541BBE"/>
    <w:rsid w:val="00561DDD"/>
    <w:rsid w:val="00572B7F"/>
    <w:rsid w:val="005743D0"/>
    <w:rsid w:val="00592C88"/>
    <w:rsid w:val="005A4C72"/>
    <w:rsid w:val="005A56CE"/>
    <w:rsid w:val="005B5E27"/>
    <w:rsid w:val="005C59E7"/>
    <w:rsid w:val="005D0E86"/>
    <w:rsid w:val="005D1A63"/>
    <w:rsid w:val="005F0F52"/>
    <w:rsid w:val="00600127"/>
    <w:rsid w:val="00601325"/>
    <w:rsid w:val="006061E0"/>
    <w:rsid w:val="006166BB"/>
    <w:rsid w:val="006167B4"/>
    <w:rsid w:val="00624598"/>
    <w:rsid w:val="006346AF"/>
    <w:rsid w:val="00645907"/>
    <w:rsid w:val="00654D11"/>
    <w:rsid w:val="00655A2E"/>
    <w:rsid w:val="006723F3"/>
    <w:rsid w:val="00693D59"/>
    <w:rsid w:val="006D48B5"/>
    <w:rsid w:val="006D4C00"/>
    <w:rsid w:val="006E115E"/>
    <w:rsid w:val="006E2C27"/>
    <w:rsid w:val="006F1119"/>
    <w:rsid w:val="006F73FC"/>
    <w:rsid w:val="00700847"/>
    <w:rsid w:val="007129BA"/>
    <w:rsid w:val="00716517"/>
    <w:rsid w:val="00722A94"/>
    <w:rsid w:val="00725C5C"/>
    <w:rsid w:val="00745BDD"/>
    <w:rsid w:val="00751786"/>
    <w:rsid w:val="00761EF3"/>
    <w:rsid w:val="00773C50"/>
    <w:rsid w:val="007858F4"/>
    <w:rsid w:val="00793EA1"/>
    <w:rsid w:val="007D684A"/>
    <w:rsid w:val="008021FB"/>
    <w:rsid w:val="00840B32"/>
    <w:rsid w:val="00841A3B"/>
    <w:rsid w:val="00846040"/>
    <w:rsid w:val="00865640"/>
    <w:rsid w:val="00871501"/>
    <w:rsid w:val="00877027"/>
    <w:rsid w:val="008904AB"/>
    <w:rsid w:val="008923AD"/>
    <w:rsid w:val="008945B0"/>
    <w:rsid w:val="008B766F"/>
    <w:rsid w:val="008E211C"/>
    <w:rsid w:val="008F229B"/>
    <w:rsid w:val="008F5C60"/>
    <w:rsid w:val="00900A04"/>
    <w:rsid w:val="00900FC0"/>
    <w:rsid w:val="00901A8F"/>
    <w:rsid w:val="00904A53"/>
    <w:rsid w:val="00921977"/>
    <w:rsid w:val="009228D3"/>
    <w:rsid w:val="00925CD3"/>
    <w:rsid w:val="009268FF"/>
    <w:rsid w:val="0093082E"/>
    <w:rsid w:val="009824EA"/>
    <w:rsid w:val="009858FA"/>
    <w:rsid w:val="00985BB0"/>
    <w:rsid w:val="009A390B"/>
    <w:rsid w:val="009A3A78"/>
    <w:rsid w:val="009A46A6"/>
    <w:rsid w:val="009B5563"/>
    <w:rsid w:val="009D32FE"/>
    <w:rsid w:val="009D769A"/>
    <w:rsid w:val="009F4659"/>
    <w:rsid w:val="009F58C9"/>
    <w:rsid w:val="009F6ABB"/>
    <w:rsid w:val="00A02DE0"/>
    <w:rsid w:val="00A05734"/>
    <w:rsid w:val="00A066E2"/>
    <w:rsid w:val="00A13162"/>
    <w:rsid w:val="00A20FF8"/>
    <w:rsid w:val="00A41FF8"/>
    <w:rsid w:val="00A51076"/>
    <w:rsid w:val="00A52249"/>
    <w:rsid w:val="00A5263C"/>
    <w:rsid w:val="00A54317"/>
    <w:rsid w:val="00A64916"/>
    <w:rsid w:val="00A73296"/>
    <w:rsid w:val="00A7754B"/>
    <w:rsid w:val="00A82125"/>
    <w:rsid w:val="00A84D73"/>
    <w:rsid w:val="00A90279"/>
    <w:rsid w:val="00AA0719"/>
    <w:rsid w:val="00AA6076"/>
    <w:rsid w:val="00AB1CF8"/>
    <w:rsid w:val="00AB69F3"/>
    <w:rsid w:val="00AC606F"/>
    <w:rsid w:val="00AF3742"/>
    <w:rsid w:val="00AF4237"/>
    <w:rsid w:val="00B02FD5"/>
    <w:rsid w:val="00B10EE6"/>
    <w:rsid w:val="00B11E49"/>
    <w:rsid w:val="00B14141"/>
    <w:rsid w:val="00B17898"/>
    <w:rsid w:val="00B22745"/>
    <w:rsid w:val="00B307C4"/>
    <w:rsid w:val="00B368E3"/>
    <w:rsid w:val="00B509A7"/>
    <w:rsid w:val="00B62953"/>
    <w:rsid w:val="00B6516B"/>
    <w:rsid w:val="00B67E80"/>
    <w:rsid w:val="00B96D14"/>
    <w:rsid w:val="00BA3BA7"/>
    <w:rsid w:val="00BA78BE"/>
    <w:rsid w:val="00BB0019"/>
    <w:rsid w:val="00BE7157"/>
    <w:rsid w:val="00BF256F"/>
    <w:rsid w:val="00BF2AB4"/>
    <w:rsid w:val="00BF7A05"/>
    <w:rsid w:val="00C12E0A"/>
    <w:rsid w:val="00C21B04"/>
    <w:rsid w:val="00C30DD6"/>
    <w:rsid w:val="00C34369"/>
    <w:rsid w:val="00C3591D"/>
    <w:rsid w:val="00C40B14"/>
    <w:rsid w:val="00C57C59"/>
    <w:rsid w:val="00C64593"/>
    <w:rsid w:val="00C733B7"/>
    <w:rsid w:val="00C73F19"/>
    <w:rsid w:val="00C77E55"/>
    <w:rsid w:val="00CA1095"/>
    <w:rsid w:val="00CA6457"/>
    <w:rsid w:val="00CC0443"/>
    <w:rsid w:val="00CC42B8"/>
    <w:rsid w:val="00CD03FD"/>
    <w:rsid w:val="00CD0B3E"/>
    <w:rsid w:val="00CE1E61"/>
    <w:rsid w:val="00CF72DC"/>
    <w:rsid w:val="00CF77DE"/>
    <w:rsid w:val="00D02A9B"/>
    <w:rsid w:val="00D2392E"/>
    <w:rsid w:val="00D43B4F"/>
    <w:rsid w:val="00D45485"/>
    <w:rsid w:val="00D47B6D"/>
    <w:rsid w:val="00D50369"/>
    <w:rsid w:val="00D66989"/>
    <w:rsid w:val="00D672D7"/>
    <w:rsid w:val="00D8408D"/>
    <w:rsid w:val="00D90DCC"/>
    <w:rsid w:val="00DA4F01"/>
    <w:rsid w:val="00DB1332"/>
    <w:rsid w:val="00DB2ED1"/>
    <w:rsid w:val="00DC250E"/>
    <w:rsid w:val="00DE721F"/>
    <w:rsid w:val="00DE77CF"/>
    <w:rsid w:val="00E03999"/>
    <w:rsid w:val="00E0763F"/>
    <w:rsid w:val="00E116F3"/>
    <w:rsid w:val="00E166E6"/>
    <w:rsid w:val="00E307DA"/>
    <w:rsid w:val="00E436CF"/>
    <w:rsid w:val="00E44C06"/>
    <w:rsid w:val="00E55E3E"/>
    <w:rsid w:val="00E62273"/>
    <w:rsid w:val="00E66CC6"/>
    <w:rsid w:val="00E679B9"/>
    <w:rsid w:val="00E735BD"/>
    <w:rsid w:val="00E81249"/>
    <w:rsid w:val="00E93A1C"/>
    <w:rsid w:val="00E95AA5"/>
    <w:rsid w:val="00E96526"/>
    <w:rsid w:val="00EA4786"/>
    <w:rsid w:val="00EB2F10"/>
    <w:rsid w:val="00EB71A2"/>
    <w:rsid w:val="00EC2271"/>
    <w:rsid w:val="00EC5818"/>
    <w:rsid w:val="00EC5EA0"/>
    <w:rsid w:val="00ED0174"/>
    <w:rsid w:val="00ED1FA1"/>
    <w:rsid w:val="00EE27A0"/>
    <w:rsid w:val="00F15DA1"/>
    <w:rsid w:val="00F15EF8"/>
    <w:rsid w:val="00F16BFA"/>
    <w:rsid w:val="00F25081"/>
    <w:rsid w:val="00F25262"/>
    <w:rsid w:val="00F27B26"/>
    <w:rsid w:val="00F357B0"/>
    <w:rsid w:val="00F408A5"/>
    <w:rsid w:val="00F44BB8"/>
    <w:rsid w:val="00F5327B"/>
    <w:rsid w:val="00F535A7"/>
    <w:rsid w:val="00F53779"/>
    <w:rsid w:val="00F56E51"/>
    <w:rsid w:val="00F61925"/>
    <w:rsid w:val="00F67EDE"/>
    <w:rsid w:val="00F75FAE"/>
    <w:rsid w:val="00F85DCF"/>
    <w:rsid w:val="00F861CF"/>
    <w:rsid w:val="00FA3FC4"/>
    <w:rsid w:val="00FA4104"/>
    <w:rsid w:val="00FA6533"/>
    <w:rsid w:val="00FB0352"/>
    <w:rsid w:val="00FB5CB3"/>
    <w:rsid w:val="00FC0C7E"/>
    <w:rsid w:val="00FE70C7"/>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FDB3"/>
  <w15:chartTrackingRefBased/>
  <w15:docId w15:val="{57B9316F-5187-49DE-BC4C-BC81B7E6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ED1FA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84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C250E"/>
    <w:rPr>
      <w:sz w:val="16"/>
      <w:szCs w:val="16"/>
    </w:rPr>
  </w:style>
  <w:style w:type="paragraph" w:styleId="CommentText">
    <w:name w:val="annotation text"/>
    <w:basedOn w:val="Normal"/>
    <w:link w:val="CommentTextChar"/>
    <w:uiPriority w:val="99"/>
    <w:rsid w:val="00DC250E"/>
  </w:style>
  <w:style w:type="character" w:customStyle="1" w:styleId="CommentTextChar">
    <w:name w:val="Comment Text Char"/>
    <w:basedOn w:val="DefaultParagraphFont"/>
    <w:link w:val="CommentText"/>
    <w:uiPriority w:val="99"/>
    <w:rsid w:val="00DC250E"/>
  </w:style>
  <w:style w:type="paragraph" w:styleId="CommentSubject">
    <w:name w:val="annotation subject"/>
    <w:basedOn w:val="CommentText"/>
    <w:next w:val="CommentText"/>
    <w:link w:val="CommentSubjectChar"/>
    <w:rsid w:val="00DC250E"/>
    <w:rPr>
      <w:b/>
      <w:bCs/>
    </w:rPr>
  </w:style>
  <w:style w:type="character" w:customStyle="1" w:styleId="CommentSubjectChar">
    <w:name w:val="Comment Subject Char"/>
    <w:link w:val="CommentSubject"/>
    <w:rsid w:val="00DC250E"/>
    <w:rPr>
      <w:b/>
      <w:bCs/>
    </w:rPr>
  </w:style>
  <w:style w:type="paragraph" w:styleId="BalloonText">
    <w:name w:val="Balloon Text"/>
    <w:basedOn w:val="Normal"/>
    <w:link w:val="BalloonTextChar"/>
    <w:rsid w:val="00DC250E"/>
    <w:rPr>
      <w:rFonts w:ascii="Tahoma" w:hAnsi="Tahoma" w:cs="Tahoma"/>
      <w:sz w:val="16"/>
      <w:szCs w:val="16"/>
    </w:rPr>
  </w:style>
  <w:style w:type="character" w:customStyle="1" w:styleId="BalloonTextChar">
    <w:name w:val="Balloon Text Char"/>
    <w:link w:val="BalloonText"/>
    <w:rsid w:val="00DC250E"/>
    <w:rPr>
      <w:rFonts w:ascii="Tahoma" w:hAnsi="Tahoma" w:cs="Tahoma"/>
      <w:sz w:val="16"/>
      <w:szCs w:val="16"/>
    </w:rPr>
  </w:style>
  <w:style w:type="character" w:styleId="Hyperlink">
    <w:name w:val="Hyperlink"/>
    <w:rsid w:val="00511B7C"/>
    <w:rPr>
      <w:color w:val="0000FF"/>
      <w:u w:val="single"/>
    </w:rPr>
  </w:style>
  <w:style w:type="paragraph" w:styleId="ListParagraph">
    <w:name w:val="List Paragraph"/>
    <w:basedOn w:val="Normal"/>
    <w:uiPriority w:val="1"/>
    <w:qFormat/>
    <w:rsid w:val="00ED1FA1"/>
    <w:pPr>
      <w:adjustRightInd/>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1"/>
    <w:rsid w:val="00ED1FA1"/>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932">
      <w:bodyDiv w:val="1"/>
      <w:marLeft w:val="0"/>
      <w:marRight w:val="0"/>
      <w:marTop w:val="0"/>
      <w:marBottom w:val="0"/>
      <w:divBdr>
        <w:top w:val="none" w:sz="0" w:space="0" w:color="auto"/>
        <w:left w:val="none" w:sz="0" w:space="0" w:color="auto"/>
        <w:bottom w:val="none" w:sz="0" w:space="0" w:color="auto"/>
        <w:right w:val="none" w:sz="0" w:space="0" w:color="auto"/>
      </w:divBdr>
    </w:div>
    <w:div w:id="184365487">
      <w:bodyDiv w:val="1"/>
      <w:marLeft w:val="0"/>
      <w:marRight w:val="0"/>
      <w:marTop w:val="0"/>
      <w:marBottom w:val="0"/>
      <w:divBdr>
        <w:top w:val="none" w:sz="0" w:space="0" w:color="auto"/>
        <w:left w:val="none" w:sz="0" w:space="0" w:color="auto"/>
        <w:bottom w:val="none" w:sz="0" w:space="0" w:color="auto"/>
        <w:right w:val="none" w:sz="0" w:space="0" w:color="auto"/>
      </w:divBdr>
    </w:div>
    <w:div w:id="642734673">
      <w:bodyDiv w:val="1"/>
      <w:marLeft w:val="0"/>
      <w:marRight w:val="0"/>
      <w:marTop w:val="0"/>
      <w:marBottom w:val="0"/>
      <w:divBdr>
        <w:top w:val="none" w:sz="0" w:space="0" w:color="auto"/>
        <w:left w:val="none" w:sz="0" w:space="0" w:color="auto"/>
        <w:bottom w:val="none" w:sz="0" w:space="0" w:color="auto"/>
        <w:right w:val="none" w:sz="0" w:space="0" w:color="auto"/>
      </w:divBdr>
    </w:div>
    <w:div w:id="975135731">
      <w:bodyDiv w:val="1"/>
      <w:marLeft w:val="0"/>
      <w:marRight w:val="0"/>
      <w:marTop w:val="0"/>
      <w:marBottom w:val="0"/>
      <w:divBdr>
        <w:top w:val="none" w:sz="0" w:space="0" w:color="auto"/>
        <w:left w:val="none" w:sz="0" w:space="0" w:color="auto"/>
        <w:bottom w:val="none" w:sz="0" w:space="0" w:color="auto"/>
        <w:right w:val="none" w:sz="0" w:space="0" w:color="auto"/>
      </w:divBdr>
    </w:div>
    <w:div w:id="1422026848">
      <w:bodyDiv w:val="1"/>
      <w:marLeft w:val="0"/>
      <w:marRight w:val="0"/>
      <w:marTop w:val="0"/>
      <w:marBottom w:val="0"/>
      <w:divBdr>
        <w:top w:val="none" w:sz="0" w:space="0" w:color="auto"/>
        <w:left w:val="none" w:sz="0" w:space="0" w:color="auto"/>
        <w:bottom w:val="none" w:sz="0" w:space="0" w:color="auto"/>
        <w:right w:val="none" w:sz="0" w:space="0" w:color="auto"/>
      </w:divBdr>
    </w:div>
    <w:div w:id="18564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ecfr.gov/cgi-bin/text-idx?c=ecfr&amp;SID=74af600787ae612ef21c103cae574222&amp;tpl=/ecfrbrowse/Title50/50cfr635_main_02.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w.cornell.edu/uscode/text/16/chapter-16A"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4428-5A5A-483F-93ED-41D5F6B7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3450</Words>
  <Characters>20279</Characters>
  <Application>Microsoft Office Word</Application>
  <DocSecurity>0</DocSecurity>
  <Lines>362</Lines>
  <Paragraphs>126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23603</CharactersWithSpaces>
  <SharedDoc>false</SharedDoc>
  <HLinks>
    <vt:vector size="30" baseType="variant">
      <vt:variant>
        <vt:i4>7798847</vt:i4>
      </vt:variant>
      <vt:variant>
        <vt:i4>16</vt:i4>
      </vt:variant>
      <vt:variant>
        <vt:i4>0</vt:i4>
      </vt:variant>
      <vt:variant>
        <vt:i4>5</vt:i4>
      </vt:variant>
      <vt:variant>
        <vt:lpwstr>http://www.corporateservices.noaa.gov/ames/administrative_orders/chapter_216/216-100.html</vt:lpwstr>
      </vt:variant>
      <vt:variant>
        <vt:lpwstr/>
      </vt:variant>
      <vt:variant>
        <vt:i4>852034</vt:i4>
      </vt:variant>
      <vt:variant>
        <vt:i4>13</vt:i4>
      </vt:variant>
      <vt:variant>
        <vt:i4>0</vt:i4>
      </vt:variant>
      <vt:variant>
        <vt:i4>5</vt:i4>
      </vt:variant>
      <vt:variant>
        <vt:lpwstr>http://www.fws.gov/informationquality/section515.html</vt:lpwstr>
      </vt:variant>
      <vt:variant>
        <vt:lpwstr/>
      </vt:variant>
      <vt:variant>
        <vt:i4>6357107</vt:i4>
      </vt:variant>
      <vt:variant>
        <vt:i4>6</vt:i4>
      </vt:variant>
      <vt:variant>
        <vt:i4>0</vt:i4>
      </vt:variant>
      <vt:variant>
        <vt:i4>5</vt:i4>
      </vt:variant>
      <vt:variant>
        <vt:lpwstr>http://www.ecfr.gov/cgi-bin/text-idx?c=ecfr&amp;SID=74af600787ae612ef21c103cae574222&amp;tpl=/ecfrbrowse/Title50/50cfr635_main_02.tpl</vt:lpwstr>
      </vt:variant>
      <vt:variant>
        <vt:lpwstr/>
      </vt:variant>
      <vt:variant>
        <vt:i4>786510</vt:i4>
      </vt:variant>
      <vt:variant>
        <vt:i4>3</vt:i4>
      </vt:variant>
      <vt:variant>
        <vt:i4>0</vt:i4>
      </vt:variant>
      <vt:variant>
        <vt:i4>5</vt:i4>
      </vt:variant>
      <vt:variant>
        <vt:lpwstr>http://www.law.cornell.edu/uscode/text/16/chapter-16A</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Adrienne Thomas</cp:lastModifiedBy>
  <cp:revision>2</cp:revision>
  <cp:lastPrinted>2017-10-23T18:19:00Z</cp:lastPrinted>
  <dcterms:created xsi:type="dcterms:W3CDTF">2020-12-17T22:22:00Z</dcterms:created>
  <dcterms:modified xsi:type="dcterms:W3CDTF">2020-12-17T22:22:00Z</dcterms:modified>
</cp:coreProperties>
</file>