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E60" w:rsidP="005442F9" w:rsidRDefault="005442F9" w14:paraId="6E10607F" w14:textId="77777777">
      <w:pPr>
        <w:pStyle w:val="NoSpacing"/>
        <w:jc w:val="center"/>
        <w:rPr>
          <w:rFonts w:ascii="Arial" w:hAnsi="Arial" w:cs="Arial"/>
          <w:b/>
          <w:sz w:val="24"/>
          <w:szCs w:val="24"/>
        </w:rPr>
      </w:pPr>
      <w:r>
        <w:rPr>
          <w:rFonts w:ascii="Arial" w:hAnsi="Arial" w:cs="Arial"/>
          <w:b/>
          <w:sz w:val="24"/>
          <w:szCs w:val="24"/>
        </w:rPr>
        <w:t>SUPPORTING STATEMENT</w:t>
      </w:r>
    </w:p>
    <w:p w:rsidR="005442F9" w:rsidP="005442F9" w:rsidRDefault="005442F9" w14:paraId="6E106080" w14:textId="77777777">
      <w:pPr>
        <w:pStyle w:val="NoSpacing"/>
        <w:jc w:val="center"/>
        <w:rPr>
          <w:rFonts w:ascii="Arial" w:hAnsi="Arial" w:cs="Arial"/>
          <w:b/>
          <w:sz w:val="24"/>
          <w:szCs w:val="24"/>
        </w:rPr>
      </w:pPr>
      <w:r>
        <w:rPr>
          <w:rFonts w:ascii="Arial" w:hAnsi="Arial" w:cs="Arial"/>
          <w:b/>
          <w:sz w:val="24"/>
          <w:szCs w:val="24"/>
        </w:rPr>
        <w:t>United States Patent and Trademark Office</w:t>
      </w:r>
    </w:p>
    <w:p w:rsidR="005442F9" w:rsidP="005442F9" w:rsidRDefault="005442F9" w14:paraId="6E106081" w14:textId="77777777">
      <w:pPr>
        <w:pStyle w:val="NoSpacing"/>
        <w:jc w:val="center"/>
        <w:rPr>
          <w:rFonts w:ascii="Arial" w:hAnsi="Arial" w:cs="Arial"/>
          <w:b/>
          <w:sz w:val="24"/>
          <w:szCs w:val="24"/>
        </w:rPr>
      </w:pPr>
      <w:r>
        <w:rPr>
          <w:rFonts w:ascii="Arial" w:hAnsi="Arial" w:cs="Arial"/>
          <w:b/>
          <w:sz w:val="24"/>
          <w:szCs w:val="24"/>
        </w:rPr>
        <w:t>Patent Examiner Employment Application</w:t>
      </w:r>
    </w:p>
    <w:p w:rsidR="005442F9" w:rsidP="005442F9" w:rsidRDefault="005442F9" w14:paraId="6E106082" w14:textId="77777777">
      <w:pPr>
        <w:pStyle w:val="NoSpacing"/>
        <w:jc w:val="center"/>
        <w:rPr>
          <w:rFonts w:ascii="Arial" w:hAnsi="Arial" w:cs="Arial"/>
          <w:b/>
          <w:sz w:val="24"/>
          <w:szCs w:val="24"/>
        </w:rPr>
      </w:pPr>
      <w:r>
        <w:rPr>
          <w:rFonts w:ascii="Arial" w:hAnsi="Arial" w:cs="Arial"/>
          <w:b/>
          <w:sz w:val="24"/>
          <w:szCs w:val="24"/>
        </w:rPr>
        <w:t>OMB CONTROL NUMBER 0651-0042</w:t>
      </w:r>
    </w:p>
    <w:p w:rsidR="005442F9" w:rsidP="005442F9" w:rsidRDefault="00F6651C" w14:paraId="6E106083" w14:textId="34975A2F">
      <w:pPr>
        <w:pStyle w:val="NoSpacing"/>
        <w:jc w:val="center"/>
        <w:rPr>
          <w:rFonts w:ascii="Arial" w:hAnsi="Arial" w:cs="Arial"/>
          <w:sz w:val="24"/>
          <w:szCs w:val="24"/>
        </w:rPr>
      </w:pPr>
      <w:r>
        <w:rPr>
          <w:rFonts w:ascii="Arial" w:hAnsi="Arial" w:cs="Arial"/>
          <w:b/>
          <w:sz w:val="24"/>
          <w:szCs w:val="24"/>
        </w:rPr>
        <w:t>2020</w:t>
      </w:r>
    </w:p>
    <w:p w:rsidR="005442F9" w:rsidP="005442F9" w:rsidRDefault="005442F9" w14:paraId="6E106084" w14:textId="4BDFE565">
      <w:pPr>
        <w:pStyle w:val="NoSpacing"/>
        <w:rPr>
          <w:rFonts w:ascii="Arial" w:hAnsi="Arial" w:cs="Arial"/>
          <w:sz w:val="24"/>
          <w:szCs w:val="24"/>
        </w:rPr>
      </w:pPr>
    </w:p>
    <w:p w:rsidR="00195500" w:rsidP="005442F9" w:rsidRDefault="00195500" w14:paraId="677038EB" w14:textId="77777777">
      <w:pPr>
        <w:pStyle w:val="NoSpacing"/>
        <w:rPr>
          <w:rFonts w:ascii="Arial" w:hAnsi="Arial" w:cs="Arial"/>
          <w:sz w:val="24"/>
          <w:szCs w:val="24"/>
        </w:rPr>
      </w:pPr>
    </w:p>
    <w:p w:rsidR="005442F9" w:rsidP="005442F9" w:rsidRDefault="005442F9" w14:paraId="6E106085" w14:textId="77777777">
      <w:pPr>
        <w:pStyle w:val="NoSpacing"/>
        <w:rPr>
          <w:rFonts w:ascii="Arial" w:hAnsi="Arial" w:cs="Arial"/>
          <w:sz w:val="24"/>
          <w:szCs w:val="24"/>
        </w:rPr>
      </w:pPr>
      <w:r>
        <w:rPr>
          <w:rFonts w:ascii="Arial" w:hAnsi="Arial" w:cs="Arial"/>
          <w:b/>
          <w:sz w:val="24"/>
          <w:szCs w:val="24"/>
        </w:rPr>
        <w:t xml:space="preserve">A. </w:t>
      </w:r>
      <w:r>
        <w:rPr>
          <w:rFonts w:ascii="Arial" w:hAnsi="Arial" w:cs="Arial"/>
          <w:b/>
          <w:sz w:val="24"/>
          <w:szCs w:val="24"/>
        </w:rPr>
        <w:tab/>
        <w:t>JUSTIFICATION</w:t>
      </w:r>
    </w:p>
    <w:p w:rsidR="005442F9" w:rsidP="005442F9" w:rsidRDefault="005442F9" w14:paraId="6E106086" w14:textId="77777777">
      <w:pPr>
        <w:pStyle w:val="NoSpacing"/>
        <w:rPr>
          <w:rFonts w:ascii="Arial" w:hAnsi="Arial" w:cs="Arial"/>
          <w:sz w:val="24"/>
          <w:szCs w:val="24"/>
        </w:rPr>
      </w:pPr>
    </w:p>
    <w:p w:rsidR="005442F9" w:rsidP="005442F9" w:rsidRDefault="005442F9" w14:paraId="6E106087" w14:textId="7506B344">
      <w:pPr>
        <w:pStyle w:val="NoSpacing"/>
        <w:rPr>
          <w:rFonts w:ascii="Arial" w:hAnsi="Arial" w:cs="Arial"/>
          <w:b/>
          <w:sz w:val="24"/>
          <w:szCs w:val="24"/>
        </w:rPr>
      </w:pPr>
      <w:r>
        <w:rPr>
          <w:rFonts w:ascii="Arial" w:hAnsi="Arial" w:cs="Arial"/>
          <w:b/>
          <w:sz w:val="24"/>
          <w:szCs w:val="24"/>
        </w:rPr>
        <w:t xml:space="preserve">1. </w:t>
      </w:r>
      <w:r w:rsidRPr="00FB2EAA" w:rsidR="00FB2EAA">
        <w:rPr>
          <w:rFonts w:ascii="Arial" w:hAnsi="Arial" w:cs="Arial"/>
          <w:b/>
          <w:sz w:val="24"/>
          <w:szCs w:val="24"/>
        </w:rPr>
        <w:t xml:space="preserve">Explain the circumstances that make the collection of information necessary. Identify any legal or administrative requirements that necessitate the </w:t>
      </w:r>
      <w:r w:rsidR="003903C9">
        <w:rPr>
          <w:rFonts w:ascii="Arial" w:hAnsi="Arial" w:cs="Arial"/>
          <w:b/>
          <w:sz w:val="24"/>
          <w:szCs w:val="24"/>
        </w:rPr>
        <w:t xml:space="preserve">information </w:t>
      </w:r>
      <w:r w:rsidRPr="00FB2EAA" w:rsidR="00FB2EAA">
        <w:rPr>
          <w:rFonts w:ascii="Arial" w:hAnsi="Arial" w:cs="Arial"/>
          <w:b/>
          <w:sz w:val="24"/>
          <w:szCs w:val="24"/>
        </w:rPr>
        <w:t>collection. Attach a copy of the appropriate section of each statute and regulation mandating or authorizing the collection of information.</w:t>
      </w:r>
    </w:p>
    <w:p w:rsidR="005442F9" w:rsidP="005442F9" w:rsidRDefault="005442F9" w14:paraId="6E106088" w14:textId="77777777">
      <w:pPr>
        <w:pStyle w:val="NoSpacing"/>
        <w:rPr>
          <w:rFonts w:ascii="Arial" w:hAnsi="Arial" w:cs="Arial"/>
          <w:sz w:val="24"/>
          <w:szCs w:val="24"/>
        </w:rPr>
      </w:pPr>
    </w:p>
    <w:p w:rsidR="00E671EB" w:rsidP="0070767D" w:rsidRDefault="00E671EB" w14:paraId="37305B5C" w14:textId="7C971B85">
      <w:pPr>
        <w:pStyle w:val="NoSpacing"/>
        <w:jc w:val="both"/>
        <w:rPr>
          <w:rFonts w:ascii="Arial" w:hAnsi="Arial" w:cs="Arial"/>
          <w:sz w:val="24"/>
          <w:szCs w:val="24"/>
        </w:rPr>
      </w:pPr>
      <w:r>
        <w:rPr>
          <w:rFonts w:ascii="Arial" w:hAnsi="Arial" w:cs="Arial"/>
          <w:sz w:val="24"/>
          <w:szCs w:val="24"/>
        </w:rPr>
        <w:t>In the current employment environment, information technology professionals and engineering graduates are in great demand. The United States Patent and Trademark Office (USPTO) is in direct competition with the private industry for the same caliber of candidates with the requisite knowledge and skills to perform patent examination work. The use of automated online systems during recruitment allows the USPTO to remain competitive, meet hiring goals, and fulfill the agency’s Congressional commitment to reduce the pendency rate for the examination of patent applications.</w:t>
      </w:r>
    </w:p>
    <w:p w:rsidR="00436FFC" w:rsidP="00436FFC" w:rsidRDefault="00436FFC" w14:paraId="10446C86" w14:textId="77777777">
      <w:pPr>
        <w:pStyle w:val="NoSpacing"/>
        <w:jc w:val="both"/>
        <w:rPr>
          <w:rFonts w:ascii="Arial" w:hAnsi="Arial" w:cs="Arial"/>
          <w:sz w:val="24"/>
        </w:rPr>
      </w:pPr>
    </w:p>
    <w:p w:rsidR="00436FFC" w:rsidP="00436FFC" w:rsidRDefault="005524FC" w14:paraId="3EA35DF3" w14:textId="3860DA10">
      <w:pPr>
        <w:pStyle w:val="NoSpacing"/>
        <w:jc w:val="both"/>
        <w:rPr>
          <w:rFonts w:ascii="Arial" w:hAnsi="Arial" w:cs="Arial"/>
          <w:sz w:val="24"/>
        </w:rPr>
      </w:pPr>
      <w:r w:rsidRPr="008D2FE9">
        <w:rPr>
          <w:rFonts w:ascii="Arial" w:hAnsi="Arial" w:cs="Arial"/>
          <w:sz w:val="24"/>
        </w:rPr>
        <w:t xml:space="preserve">USPTO engages in a robust marketing strategy that historically results in a high volume of applications </w:t>
      </w:r>
      <w:r>
        <w:rPr>
          <w:rFonts w:ascii="Arial" w:hAnsi="Arial" w:cs="Arial"/>
          <w:sz w:val="24"/>
        </w:rPr>
        <w:t xml:space="preserve">from recent college graduates with engineering and science degrees </w:t>
      </w:r>
      <w:r w:rsidRPr="008D2FE9">
        <w:rPr>
          <w:rFonts w:ascii="Arial" w:hAnsi="Arial" w:cs="Arial"/>
          <w:sz w:val="24"/>
        </w:rPr>
        <w:t xml:space="preserve">for </w:t>
      </w:r>
      <w:r>
        <w:rPr>
          <w:rFonts w:ascii="Arial" w:hAnsi="Arial" w:cs="Arial"/>
          <w:sz w:val="24"/>
        </w:rPr>
        <w:t>entry-level patent examiner</w:t>
      </w:r>
      <w:r w:rsidRPr="008D2FE9">
        <w:rPr>
          <w:rFonts w:ascii="Arial" w:hAnsi="Arial" w:cs="Arial"/>
          <w:sz w:val="24"/>
        </w:rPr>
        <w:t xml:space="preserve"> position</w:t>
      </w:r>
      <w:r>
        <w:rPr>
          <w:rFonts w:ascii="Arial" w:hAnsi="Arial" w:cs="Arial"/>
          <w:sz w:val="24"/>
        </w:rPr>
        <w:t>s</w:t>
      </w:r>
      <w:r w:rsidRPr="008D2FE9">
        <w:rPr>
          <w:rFonts w:ascii="Arial" w:hAnsi="Arial" w:cs="Arial"/>
          <w:sz w:val="24"/>
        </w:rPr>
        <w:t>.</w:t>
      </w:r>
      <w:r>
        <w:rPr>
          <w:rFonts w:ascii="Arial" w:hAnsi="Arial" w:cs="Arial"/>
          <w:sz w:val="24"/>
        </w:rPr>
        <w:t xml:space="preserve">  </w:t>
      </w:r>
      <w:r w:rsidRPr="004F3B59">
        <w:rPr>
          <w:rFonts w:ascii="Arial" w:hAnsi="Arial" w:cs="Arial"/>
          <w:sz w:val="24"/>
        </w:rPr>
        <w:t xml:space="preserve">USPTO uses the </w:t>
      </w:r>
      <w:r w:rsidRPr="008D2FE9">
        <w:rPr>
          <w:rFonts w:ascii="Arial" w:hAnsi="Arial" w:cs="Arial"/>
          <w:sz w:val="24"/>
        </w:rPr>
        <w:t>Monster Hiring Management (MHM) system to rapidly review applications for employment of entry-level patent examiners. Given the time sensitive hiring needs of the Patent Examining Corps, the MHM system provides increased speed and accuracy during the employment process.</w:t>
      </w:r>
    </w:p>
    <w:p w:rsidR="00436FFC" w:rsidP="00436FFC" w:rsidRDefault="00436FFC" w14:paraId="53AF343F" w14:textId="77777777">
      <w:pPr>
        <w:pStyle w:val="NoSpacing"/>
        <w:jc w:val="both"/>
        <w:rPr>
          <w:rFonts w:ascii="Arial" w:hAnsi="Arial" w:cs="Arial"/>
          <w:sz w:val="24"/>
        </w:rPr>
      </w:pPr>
    </w:p>
    <w:p w:rsidRPr="008D2FE9" w:rsidR="005524FC" w:rsidP="00436FFC" w:rsidRDefault="007527D6" w14:paraId="63276C66" w14:textId="4803C527">
      <w:pPr>
        <w:pStyle w:val="NoSpacing"/>
        <w:jc w:val="both"/>
        <w:rPr>
          <w:rFonts w:ascii="Arial" w:hAnsi="Arial" w:cs="Arial"/>
          <w:sz w:val="24"/>
        </w:rPr>
      </w:pPr>
      <w:r w:rsidRPr="00CA5CD6">
        <w:rPr>
          <w:rFonts w:ascii="Arial" w:hAnsi="Arial" w:cs="Arial"/>
          <w:sz w:val="24"/>
        </w:rPr>
        <w:t>The use of the MHM online application fully complies with 5 U.S.C. § 2301, which requires adequate public notice to assure open competition by guaranteeing that necessary employment information will be accessible and available to the public on inquiry. It is also fully compliant with Section 508 (29 U.S.C. § 794(d)), which requires agencies to provide disabled employees and members of the public access to information that is comparable to the access available to others</w:t>
      </w:r>
      <w:r w:rsidR="003C04C1">
        <w:rPr>
          <w:rFonts w:ascii="Arial" w:hAnsi="Arial" w:cs="Arial"/>
          <w:sz w:val="24"/>
        </w:rPr>
        <w:t xml:space="preserve">.  </w:t>
      </w:r>
      <w:r w:rsidRPr="008D2FE9" w:rsidR="005524FC">
        <w:rPr>
          <w:rFonts w:ascii="Arial" w:hAnsi="Arial" w:cs="Arial"/>
          <w:sz w:val="24"/>
        </w:rPr>
        <w:t xml:space="preserve">  </w:t>
      </w:r>
    </w:p>
    <w:p w:rsidR="00C07394" w:rsidP="00723AEA" w:rsidRDefault="00C07394" w14:paraId="4366A776" w14:textId="77777777">
      <w:pPr>
        <w:pStyle w:val="NoSpacing"/>
        <w:jc w:val="both"/>
        <w:rPr>
          <w:rFonts w:ascii="Arial" w:hAnsi="Arial" w:cs="Arial"/>
          <w:sz w:val="24"/>
          <w:szCs w:val="24"/>
        </w:rPr>
      </w:pPr>
    </w:p>
    <w:p w:rsidR="00CE2DEC" w:rsidP="00723AEA" w:rsidRDefault="00CE2DEC" w14:paraId="6E106091" w14:textId="77777777">
      <w:pPr>
        <w:pStyle w:val="NoSpacing"/>
        <w:jc w:val="both"/>
        <w:rPr>
          <w:rFonts w:ascii="Arial" w:hAnsi="Arial" w:cs="Arial"/>
          <w:sz w:val="24"/>
          <w:szCs w:val="24"/>
        </w:rPr>
      </w:pPr>
      <w:r>
        <w:rPr>
          <w:rFonts w:ascii="Arial" w:hAnsi="Arial" w:cs="Arial"/>
          <w:sz w:val="24"/>
          <w:szCs w:val="24"/>
        </w:rPr>
        <w:t xml:space="preserve">Table 1 provides the specific statutes and regulations authorizing the USPTO to collect </w:t>
      </w:r>
      <w:proofErr w:type="gramStart"/>
      <w:r>
        <w:rPr>
          <w:rFonts w:ascii="Arial" w:hAnsi="Arial" w:cs="Arial"/>
          <w:sz w:val="24"/>
          <w:szCs w:val="24"/>
        </w:rPr>
        <w:t>the</w:t>
      </w:r>
      <w:proofErr w:type="gramEnd"/>
      <w:r>
        <w:rPr>
          <w:rFonts w:ascii="Arial" w:hAnsi="Arial" w:cs="Arial"/>
          <w:sz w:val="24"/>
          <w:szCs w:val="24"/>
        </w:rPr>
        <w:t xml:space="preserve"> information discussed above:</w:t>
      </w:r>
    </w:p>
    <w:p w:rsidR="00CE2DEC" w:rsidP="00723AEA" w:rsidRDefault="00CE2DEC" w14:paraId="6E106092" w14:textId="77777777">
      <w:pPr>
        <w:pStyle w:val="NoSpacing"/>
        <w:jc w:val="both"/>
        <w:rPr>
          <w:rFonts w:ascii="Arial" w:hAnsi="Arial" w:cs="Arial"/>
          <w:sz w:val="24"/>
          <w:szCs w:val="24"/>
        </w:rPr>
      </w:pPr>
    </w:p>
    <w:p w:rsidRPr="00396E91" w:rsidR="00CE2DEC" w:rsidP="00723AEA" w:rsidRDefault="00CE2DEC" w14:paraId="6E106093" w14:textId="6BF71AA0">
      <w:pPr>
        <w:pStyle w:val="NoSpacing"/>
        <w:jc w:val="both"/>
        <w:rPr>
          <w:rFonts w:ascii="Arial" w:hAnsi="Arial" w:cs="Arial"/>
          <w:sz w:val="28"/>
          <w:szCs w:val="20"/>
        </w:rPr>
      </w:pPr>
      <w:r w:rsidRPr="00396E91">
        <w:rPr>
          <w:rFonts w:ascii="Arial" w:hAnsi="Arial" w:cs="Arial"/>
          <w:b/>
          <w:szCs w:val="20"/>
        </w:rPr>
        <w:t>Table 1: Information Requirements</w:t>
      </w:r>
      <w:r w:rsidR="00195500">
        <w:rPr>
          <w:rFonts w:ascii="Arial" w:hAnsi="Arial" w:cs="Arial"/>
          <w:b/>
          <w:szCs w:val="20"/>
        </w:rPr>
        <w:t xml:space="preserve"> for </w:t>
      </w:r>
      <w:r w:rsidRPr="00195500" w:rsidR="00195500">
        <w:rPr>
          <w:rFonts w:ascii="Arial" w:hAnsi="Arial" w:cs="Arial"/>
          <w:b/>
          <w:szCs w:val="20"/>
        </w:rPr>
        <w:t>Patent Examiner Employment Application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0"/>
        <w:gridCol w:w="3690"/>
        <w:gridCol w:w="2700"/>
        <w:gridCol w:w="2070"/>
      </w:tblGrid>
      <w:tr w:rsidRPr="00396E91" w:rsidR="00CE2DEC" w:rsidTr="00EA0F95" w14:paraId="6E10609A" w14:textId="77777777">
        <w:trPr>
          <w:cantSplit/>
          <w:trHeight w:val="287"/>
        </w:trPr>
        <w:tc>
          <w:tcPr>
            <w:tcW w:w="900" w:type="dxa"/>
            <w:vAlign w:val="center"/>
          </w:tcPr>
          <w:p w:rsidRPr="00396E91" w:rsidR="00CE2DEC" w:rsidP="00EA0F95" w:rsidRDefault="00CE2DEC" w14:paraId="6E106094" w14:textId="77777777">
            <w:pPr>
              <w:widowControl/>
              <w:tabs>
                <w:tab w:val="left" w:pos="720"/>
              </w:tabs>
              <w:autoSpaceDE/>
              <w:autoSpaceDN/>
              <w:adjustRightInd/>
              <w:jc w:val="center"/>
              <w:rPr>
                <w:rFonts w:ascii="Arial" w:hAnsi="Arial"/>
                <w:b/>
                <w:sz w:val="18"/>
                <w:szCs w:val="20"/>
              </w:rPr>
            </w:pPr>
          </w:p>
          <w:p w:rsidRPr="00396E91" w:rsidR="00CE2DEC" w:rsidP="00EA0F95" w:rsidRDefault="006D4EA1" w14:paraId="6E106095" w14:textId="099C785D">
            <w:pPr>
              <w:widowControl/>
              <w:tabs>
                <w:tab w:val="left" w:pos="720"/>
              </w:tabs>
              <w:autoSpaceDE/>
              <w:autoSpaceDN/>
              <w:adjustRightInd/>
              <w:jc w:val="center"/>
              <w:rPr>
                <w:rFonts w:ascii="Arial" w:hAnsi="Arial"/>
                <w:b/>
                <w:sz w:val="18"/>
                <w:szCs w:val="20"/>
              </w:rPr>
            </w:pPr>
            <w:r>
              <w:rPr>
                <w:rFonts w:ascii="Arial" w:hAnsi="Arial"/>
                <w:b/>
                <w:sz w:val="18"/>
                <w:szCs w:val="20"/>
              </w:rPr>
              <w:t>Item</w:t>
            </w:r>
            <w:r w:rsidRPr="00396E91" w:rsidR="00CE2DEC">
              <w:rPr>
                <w:rFonts w:ascii="Arial" w:hAnsi="Arial"/>
                <w:b/>
                <w:sz w:val="18"/>
                <w:szCs w:val="20"/>
              </w:rPr>
              <w:t xml:space="preserve"> </w:t>
            </w:r>
            <w:r w:rsidR="00B113EA">
              <w:rPr>
                <w:rFonts w:ascii="Arial" w:hAnsi="Arial"/>
                <w:b/>
                <w:sz w:val="18"/>
                <w:szCs w:val="20"/>
              </w:rPr>
              <w:t>No.</w:t>
            </w:r>
          </w:p>
          <w:p w:rsidRPr="00396E91" w:rsidR="00CE2DEC" w:rsidP="00EA0F95" w:rsidRDefault="00CE2DEC" w14:paraId="6E106096" w14:textId="77777777">
            <w:pPr>
              <w:widowControl/>
              <w:tabs>
                <w:tab w:val="left" w:pos="720"/>
              </w:tabs>
              <w:autoSpaceDE/>
              <w:autoSpaceDN/>
              <w:adjustRightInd/>
              <w:jc w:val="center"/>
              <w:rPr>
                <w:rFonts w:ascii="Arial" w:hAnsi="Arial"/>
                <w:b/>
                <w:sz w:val="18"/>
                <w:szCs w:val="20"/>
              </w:rPr>
            </w:pPr>
          </w:p>
        </w:tc>
        <w:tc>
          <w:tcPr>
            <w:tcW w:w="3690" w:type="dxa"/>
            <w:vAlign w:val="center"/>
          </w:tcPr>
          <w:p w:rsidRPr="00396E91" w:rsidR="00CE2DEC" w:rsidP="00EA0F95" w:rsidRDefault="00195500" w14:paraId="6E106097" w14:textId="4076AC2C">
            <w:pPr>
              <w:widowControl/>
              <w:autoSpaceDE/>
              <w:autoSpaceDN/>
              <w:adjustRightInd/>
              <w:jc w:val="center"/>
              <w:rPr>
                <w:rFonts w:ascii="Arial" w:hAnsi="Arial"/>
                <w:b/>
                <w:sz w:val="18"/>
                <w:szCs w:val="20"/>
              </w:rPr>
            </w:pPr>
            <w:r>
              <w:rPr>
                <w:rFonts w:ascii="Arial" w:hAnsi="Arial"/>
                <w:b/>
                <w:sz w:val="18"/>
                <w:szCs w:val="20"/>
              </w:rPr>
              <w:t>Item</w:t>
            </w:r>
          </w:p>
        </w:tc>
        <w:tc>
          <w:tcPr>
            <w:tcW w:w="2700" w:type="dxa"/>
            <w:vAlign w:val="center"/>
          </w:tcPr>
          <w:p w:rsidRPr="00396E91" w:rsidR="00CE2DEC" w:rsidP="00EA0F95" w:rsidRDefault="00CE2DEC" w14:paraId="6E106098" w14:textId="77777777">
            <w:pPr>
              <w:widowControl/>
              <w:autoSpaceDE/>
              <w:autoSpaceDN/>
              <w:adjustRightInd/>
              <w:jc w:val="center"/>
              <w:rPr>
                <w:rFonts w:ascii="Arial" w:hAnsi="Arial"/>
                <w:b/>
                <w:sz w:val="18"/>
                <w:szCs w:val="20"/>
              </w:rPr>
            </w:pPr>
            <w:r w:rsidRPr="00396E91">
              <w:rPr>
                <w:rFonts w:ascii="Arial" w:hAnsi="Arial"/>
                <w:b/>
                <w:sz w:val="18"/>
                <w:szCs w:val="20"/>
              </w:rPr>
              <w:t>Statute</w:t>
            </w:r>
          </w:p>
        </w:tc>
        <w:tc>
          <w:tcPr>
            <w:tcW w:w="2070" w:type="dxa"/>
            <w:vAlign w:val="center"/>
          </w:tcPr>
          <w:p w:rsidRPr="00396E91" w:rsidR="00CE2DEC" w:rsidP="00EA0F95" w:rsidRDefault="00FB2EAA" w14:paraId="6E106099" w14:textId="72D0F76C">
            <w:pPr>
              <w:widowControl/>
              <w:autoSpaceDE/>
              <w:autoSpaceDN/>
              <w:adjustRightInd/>
              <w:jc w:val="center"/>
              <w:rPr>
                <w:rFonts w:ascii="Arial" w:hAnsi="Arial"/>
                <w:b/>
                <w:sz w:val="18"/>
                <w:szCs w:val="20"/>
              </w:rPr>
            </w:pPr>
            <w:r w:rsidRPr="00396E91">
              <w:rPr>
                <w:rFonts w:ascii="Arial" w:hAnsi="Arial"/>
                <w:b/>
                <w:sz w:val="18"/>
                <w:szCs w:val="20"/>
              </w:rPr>
              <w:t>Regulations</w:t>
            </w:r>
          </w:p>
        </w:tc>
      </w:tr>
      <w:tr w:rsidRPr="00396E91" w:rsidR="00CE2DEC" w:rsidTr="00EA0F95" w14:paraId="6E1060A1" w14:textId="77777777">
        <w:trPr>
          <w:cantSplit/>
        </w:trPr>
        <w:tc>
          <w:tcPr>
            <w:tcW w:w="900" w:type="dxa"/>
            <w:vAlign w:val="center"/>
          </w:tcPr>
          <w:p w:rsidRPr="00396E91" w:rsidR="00CE2DEC" w:rsidP="00EA0F95" w:rsidRDefault="00CE2DEC" w14:paraId="6E10609B" w14:textId="77777777">
            <w:pPr>
              <w:widowControl/>
              <w:autoSpaceDE/>
              <w:autoSpaceDN/>
              <w:adjustRightInd/>
              <w:jc w:val="center"/>
              <w:rPr>
                <w:rFonts w:ascii="Arial" w:hAnsi="Arial"/>
                <w:b/>
                <w:sz w:val="18"/>
              </w:rPr>
            </w:pPr>
            <w:r w:rsidRPr="00396E91">
              <w:rPr>
                <w:rFonts w:ascii="Arial" w:hAnsi="Arial"/>
                <w:b/>
                <w:sz w:val="18"/>
              </w:rPr>
              <w:t>1</w:t>
            </w:r>
          </w:p>
        </w:tc>
        <w:tc>
          <w:tcPr>
            <w:tcW w:w="3690" w:type="dxa"/>
            <w:vAlign w:val="center"/>
          </w:tcPr>
          <w:p w:rsidRPr="00396E91" w:rsidR="00CE2DEC" w:rsidP="00EA0F95" w:rsidRDefault="00CE2DEC" w14:paraId="6E10609C" w14:textId="77777777">
            <w:pPr>
              <w:widowControl/>
              <w:autoSpaceDE/>
              <w:autoSpaceDN/>
              <w:adjustRightInd/>
              <w:rPr>
                <w:rFonts w:ascii="Arial" w:hAnsi="Arial"/>
                <w:sz w:val="18"/>
              </w:rPr>
            </w:pPr>
          </w:p>
          <w:p w:rsidRPr="00396E91" w:rsidR="00CE2DEC" w:rsidP="00EA0F95" w:rsidRDefault="00CE2DEC" w14:paraId="6E10609D" w14:textId="77777777">
            <w:pPr>
              <w:widowControl/>
              <w:autoSpaceDE/>
              <w:autoSpaceDN/>
              <w:adjustRightInd/>
              <w:rPr>
                <w:rFonts w:ascii="Arial" w:hAnsi="Arial"/>
                <w:sz w:val="18"/>
              </w:rPr>
            </w:pPr>
            <w:r w:rsidRPr="00396E91">
              <w:rPr>
                <w:rFonts w:ascii="Arial" w:hAnsi="Arial"/>
                <w:sz w:val="18"/>
              </w:rPr>
              <w:t>Patent Examiner Employment Application</w:t>
            </w:r>
          </w:p>
          <w:p w:rsidRPr="00396E91" w:rsidR="00CE2DEC" w:rsidP="00EA0F95" w:rsidRDefault="00CE2DEC" w14:paraId="6E10609E" w14:textId="77777777">
            <w:pPr>
              <w:widowControl/>
              <w:autoSpaceDE/>
              <w:autoSpaceDN/>
              <w:adjustRightInd/>
              <w:rPr>
                <w:rFonts w:ascii="Arial" w:hAnsi="Arial"/>
                <w:sz w:val="18"/>
              </w:rPr>
            </w:pPr>
          </w:p>
        </w:tc>
        <w:tc>
          <w:tcPr>
            <w:tcW w:w="2700" w:type="dxa"/>
            <w:vAlign w:val="center"/>
          </w:tcPr>
          <w:p w:rsidRPr="00396E91" w:rsidR="00CE2DEC" w:rsidP="00EA0F95" w:rsidRDefault="00CE2DEC" w14:paraId="6E10609F" w14:textId="77777777">
            <w:pPr>
              <w:widowControl/>
              <w:autoSpaceDE/>
              <w:autoSpaceDN/>
              <w:adjustRightInd/>
              <w:jc w:val="center"/>
              <w:rPr>
                <w:rFonts w:ascii="Arial" w:hAnsi="Arial"/>
                <w:sz w:val="18"/>
                <w:szCs w:val="20"/>
              </w:rPr>
            </w:pPr>
            <w:r w:rsidRPr="00396E91">
              <w:rPr>
                <w:rFonts w:ascii="Arial" w:hAnsi="Arial"/>
                <w:sz w:val="18"/>
                <w:szCs w:val="20"/>
              </w:rPr>
              <w:t>5 USC § 2301</w:t>
            </w:r>
          </w:p>
        </w:tc>
        <w:tc>
          <w:tcPr>
            <w:tcW w:w="2070" w:type="dxa"/>
            <w:vAlign w:val="center"/>
          </w:tcPr>
          <w:p w:rsidRPr="00396E91" w:rsidR="00CE2DEC" w:rsidP="00EA0F95" w:rsidRDefault="00387D9D" w14:paraId="6E1060A0" w14:textId="6EFE701E">
            <w:pPr>
              <w:widowControl/>
              <w:autoSpaceDE/>
              <w:autoSpaceDN/>
              <w:adjustRightInd/>
              <w:jc w:val="center"/>
              <w:rPr>
                <w:rFonts w:ascii="Arial" w:hAnsi="Arial"/>
                <w:sz w:val="18"/>
                <w:szCs w:val="20"/>
              </w:rPr>
            </w:pPr>
            <w:r w:rsidRPr="00396E91">
              <w:rPr>
                <w:rFonts w:ascii="Arial" w:hAnsi="Arial"/>
                <w:sz w:val="18"/>
                <w:szCs w:val="20"/>
              </w:rPr>
              <w:t>5 CFR 1320, 29 CFR 1625.5, 37 CFR 10.39</w:t>
            </w:r>
          </w:p>
        </w:tc>
      </w:tr>
    </w:tbl>
    <w:p w:rsidR="00670EF1" w:rsidP="00723AEA" w:rsidRDefault="00670EF1" w14:paraId="6E1060A2" w14:textId="77777777">
      <w:pPr>
        <w:pStyle w:val="NoSpacing"/>
        <w:jc w:val="both"/>
        <w:rPr>
          <w:rFonts w:ascii="Arial" w:hAnsi="Arial" w:cs="Arial"/>
          <w:sz w:val="24"/>
          <w:szCs w:val="24"/>
        </w:rPr>
      </w:pPr>
    </w:p>
    <w:p w:rsidR="00670EF1" w:rsidP="00723AEA" w:rsidRDefault="00670EF1" w14:paraId="6E1060A3" w14:textId="0628BE7E">
      <w:pPr>
        <w:pStyle w:val="NoSpacing"/>
        <w:jc w:val="both"/>
        <w:rPr>
          <w:rFonts w:ascii="Arial" w:hAnsi="Arial" w:cs="Arial"/>
          <w:sz w:val="24"/>
          <w:szCs w:val="24"/>
        </w:rPr>
      </w:pPr>
      <w:r>
        <w:rPr>
          <w:rFonts w:ascii="Arial" w:hAnsi="Arial" w:cs="Arial"/>
          <w:b/>
          <w:sz w:val="24"/>
          <w:szCs w:val="24"/>
        </w:rPr>
        <w:lastRenderedPageBreak/>
        <w:t xml:space="preserve">2. </w:t>
      </w:r>
      <w:r>
        <w:rPr>
          <w:rFonts w:ascii="Arial" w:hAnsi="Arial" w:cs="Arial"/>
          <w:b/>
          <w:sz w:val="24"/>
          <w:szCs w:val="24"/>
        </w:rPr>
        <w:tab/>
      </w:r>
      <w:r w:rsidRPr="00FB2EAA" w:rsidR="00FB2EAA">
        <w:rPr>
          <w:rFonts w:ascii="Arial" w:hAnsi="Arial" w:cs="Arial"/>
          <w:b/>
          <w:sz w:val="24"/>
          <w:szCs w:val="24"/>
        </w:rPr>
        <w:t xml:space="preserve">Indicate how, by whom, and for what purpose the information is to be used. Except for a new </w:t>
      </w:r>
      <w:r w:rsidR="00B54067">
        <w:rPr>
          <w:rFonts w:ascii="Arial" w:hAnsi="Arial" w:cs="Arial"/>
          <w:b/>
          <w:sz w:val="24"/>
          <w:szCs w:val="24"/>
        </w:rPr>
        <w:t xml:space="preserve">information </w:t>
      </w:r>
      <w:r w:rsidRPr="00FB2EAA" w:rsidR="00FB2EAA">
        <w:rPr>
          <w:rFonts w:ascii="Arial" w:hAnsi="Arial" w:cs="Arial"/>
          <w:b/>
          <w:sz w:val="24"/>
          <w:szCs w:val="24"/>
        </w:rPr>
        <w:t xml:space="preserve">collection, indicate the actual use the agency has made of the information received from the current </w:t>
      </w:r>
      <w:r w:rsidR="00B54067">
        <w:rPr>
          <w:rFonts w:ascii="Arial" w:hAnsi="Arial" w:cs="Arial"/>
          <w:b/>
          <w:sz w:val="24"/>
          <w:szCs w:val="24"/>
        </w:rPr>
        <w:t xml:space="preserve">information </w:t>
      </w:r>
      <w:r w:rsidRPr="00FB2EAA" w:rsidR="00FB2EAA">
        <w:rPr>
          <w:rFonts w:ascii="Arial" w:hAnsi="Arial" w:cs="Arial"/>
          <w:b/>
          <w:sz w:val="24"/>
          <w:szCs w:val="24"/>
        </w:rPr>
        <w:t>collection.</w:t>
      </w:r>
    </w:p>
    <w:p w:rsidR="00670EF1" w:rsidP="00723AEA" w:rsidRDefault="00670EF1" w14:paraId="6E1060A4" w14:textId="77777777">
      <w:pPr>
        <w:pStyle w:val="NoSpacing"/>
        <w:jc w:val="both"/>
        <w:rPr>
          <w:rFonts w:ascii="Arial" w:hAnsi="Arial" w:cs="Arial"/>
          <w:sz w:val="24"/>
          <w:szCs w:val="24"/>
        </w:rPr>
      </w:pPr>
    </w:p>
    <w:p w:rsidR="005549D0" w:rsidP="00FD301E" w:rsidRDefault="005549D0" w14:paraId="12B1B92A" w14:textId="77777777">
      <w:pPr>
        <w:pStyle w:val="NoSpacing"/>
        <w:jc w:val="both"/>
        <w:rPr>
          <w:rFonts w:ascii="Arial" w:hAnsi="Arial" w:cs="Arial"/>
          <w:sz w:val="24"/>
          <w:szCs w:val="24"/>
        </w:rPr>
      </w:pPr>
      <w:r w:rsidRPr="005549D0">
        <w:rPr>
          <w:rFonts w:ascii="Arial" w:hAnsi="Arial" w:cs="Arial"/>
          <w:sz w:val="24"/>
          <w:szCs w:val="24"/>
        </w:rPr>
        <w:t>This information collection covers respondent data gathered through the MHM system. The MHM online application collects supplemental information to a candidate’s USAJOBS application. This information assists USPTO Human Resource Specialists and Hiring Managers in determining whether an applicant possesses the basic qualification requirements for a patent examiner position. From the information collected, the MHM system creates an electronic real-time candidate inventory on applicants’ expertise and technical knowledge, whi</w:t>
      </w:r>
      <w:r>
        <w:rPr>
          <w:rFonts w:ascii="Arial" w:hAnsi="Arial" w:cs="Arial"/>
          <w:sz w:val="24"/>
          <w:szCs w:val="24"/>
        </w:rPr>
        <w:t xml:space="preserve">ch allows USPTO to immediately </w:t>
      </w:r>
      <w:r w:rsidRPr="005549D0">
        <w:rPr>
          <w:rFonts w:ascii="Arial" w:hAnsi="Arial" w:cs="Arial"/>
          <w:sz w:val="24"/>
          <w:szCs w:val="24"/>
        </w:rPr>
        <w:t>review applications from multiple applicants.</w:t>
      </w:r>
    </w:p>
    <w:p w:rsidR="00FD301E" w:rsidP="00FD301E" w:rsidRDefault="005549D0" w14:paraId="51C47584" w14:textId="1EC9FFC8">
      <w:pPr>
        <w:pStyle w:val="NoSpacing"/>
        <w:jc w:val="both"/>
        <w:rPr>
          <w:rFonts w:ascii="Arial" w:hAnsi="Arial" w:cs="Arial"/>
          <w:sz w:val="24"/>
          <w:szCs w:val="24"/>
        </w:rPr>
      </w:pPr>
      <w:r w:rsidRPr="005549D0">
        <w:rPr>
          <w:rFonts w:ascii="Arial" w:hAnsi="Arial" w:cs="Arial"/>
          <w:sz w:val="24"/>
          <w:szCs w:val="24"/>
        </w:rPr>
        <w:t xml:space="preserve"> </w:t>
      </w:r>
    </w:p>
    <w:p w:rsidR="00FD301E" w:rsidP="00FD301E" w:rsidRDefault="00FD301E" w14:paraId="5792732E" w14:textId="298AE839">
      <w:pPr>
        <w:pStyle w:val="NoSpacing"/>
        <w:jc w:val="both"/>
        <w:rPr>
          <w:rFonts w:ascii="Arial" w:hAnsi="Arial" w:cs="Arial"/>
          <w:sz w:val="24"/>
          <w:szCs w:val="24"/>
        </w:rPr>
      </w:pPr>
      <w:r>
        <w:rPr>
          <w:rFonts w:ascii="Arial" w:hAnsi="Arial" w:cs="Arial"/>
          <w:sz w:val="24"/>
          <w:szCs w:val="24"/>
        </w:rPr>
        <w:t>Using MHM saves time by eliminating paper applications, reducing the time the Office of Human Resources staff needs to spend processing and reviewing applications by several weeks. Given the time-sensitive hiring needs of the Patent Examining Corps, the MHM system provides increased speed and accuracy during the employment process.</w:t>
      </w:r>
    </w:p>
    <w:p w:rsidR="00FD301E" w:rsidP="00FD301E" w:rsidRDefault="00FD301E" w14:paraId="50FB9CF6" w14:textId="77777777">
      <w:pPr>
        <w:pStyle w:val="NoSpacing"/>
        <w:jc w:val="both"/>
        <w:rPr>
          <w:rFonts w:ascii="Arial" w:hAnsi="Arial" w:cs="Arial"/>
          <w:sz w:val="24"/>
          <w:szCs w:val="24"/>
        </w:rPr>
      </w:pPr>
    </w:p>
    <w:p w:rsidR="007D1C0D" w:rsidP="00723AEA" w:rsidRDefault="007D1C0D" w14:paraId="6E1060A7" w14:textId="4CF00A2B">
      <w:pPr>
        <w:pStyle w:val="NoSpacing"/>
        <w:jc w:val="both"/>
        <w:rPr>
          <w:rFonts w:ascii="Arial" w:hAnsi="Arial" w:cs="Arial"/>
          <w:sz w:val="24"/>
          <w:szCs w:val="24"/>
        </w:rPr>
      </w:pPr>
      <w:r>
        <w:rPr>
          <w:rFonts w:ascii="Arial" w:hAnsi="Arial" w:cs="Arial"/>
          <w:sz w:val="24"/>
          <w:szCs w:val="24"/>
        </w:rPr>
        <w:t xml:space="preserve">The information collected, maintained, and used </w:t>
      </w:r>
      <w:r w:rsidR="00B27D49">
        <w:rPr>
          <w:rFonts w:ascii="Arial" w:hAnsi="Arial" w:cs="Arial"/>
          <w:sz w:val="24"/>
          <w:szCs w:val="24"/>
        </w:rPr>
        <w:t>in this</w:t>
      </w:r>
      <w:r w:rsidR="00B54067">
        <w:rPr>
          <w:rFonts w:ascii="Arial" w:hAnsi="Arial" w:cs="Arial"/>
          <w:sz w:val="24"/>
          <w:szCs w:val="24"/>
        </w:rPr>
        <w:t xml:space="preserve"> information</w:t>
      </w:r>
      <w:r w:rsidR="00B27D49">
        <w:rPr>
          <w:rFonts w:ascii="Arial" w:hAnsi="Arial" w:cs="Arial"/>
          <w:sz w:val="24"/>
          <w:szCs w:val="24"/>
        </w:rPr>
        <w:t xml:space="preserve"> collection is based on OMB and USPTO guidelines. This includes the basic information quality standards established in the Paperwork Reduction Act </w:t>
      </w:r>
      <w:r w:rsidR="00CE2DEC">
        <w:rPr>
          <w:rFonts w:ascii="Arial" w:hAnsi="Arial" w:cs="Arial"/>
          <w:sz w:val="24"/>
          <w:szCs w:val="24"/>
        </w:rPr>
        <w:t xml:space="preserve">(44 U.S.C. Chapter 35), in OMB Circular A-130, and in the </w:t>
      </w:r>
      <w:r w:rsidR="00993327">
        <w:rPr>
          <w:rFonts w:ascii="Arial" w:hAnsi="Arial" w:cs="Arial"/>
          <w:sz w:val="24"/>
          <w:szCs w:val="24"/>
        </w:rPr>
        <w:t xml:space="preserve">USPTO </w:t>
      </w:r>
      <w:r w:rsidR="00CE2DEC">
        <w:rPr>
          <w:rFonts w:ascii="Arial" w:hAnsi="Arial" w:cs="Arial"/>
          <w:sz w:val="24"/>
          <w:szCs w:val="24"/>
        </w:rPr>
        <w:t xml:space="preserve">information quality guidelines. </w:t>
      </w:r>
    </w:p>
    <w:p w:rsidR="00CE2DEC" w:rsidP="00723AEA" w:rsidRDefault="00CE2DEC" w14:paraId="6E1060A8" w14:textId="77777777">
      <w:pPr>
        <w:pStyle w:val="NoSpacing"/>
        <w:jc w:val="both"/>
        <w:rPr>
          <w:rFonts w:ascii="Arial" w:hAnsi="Arial" w:cs="Arial"/>
          <w:sz w:val="24"/>
          <w:szCs w:val="24"/>
        </w:rPr>
      </w:pPr>
    </w:p>
    <w:p w:rsidR="00CE2DEC" w:rsidP="00723AEA" w:rsidRDefault="00CE2DEC" w14:paraId="6E1060A9" w14:textId="77777777">
      <w:pPr>
        <w:pStyle w:val="NoSpacing"/>
        <w:jc w:val="both"/>
        <w:rPr>
          <w:rFonts w:ascii="Arial" w:hAnsi="Arial" w:cs="Arial"/>
          <w:sz w:val="24"/>
          <w:szCs w:val="24"/>
        </w:rPr>
      </w:pPr>
      <w:r>
        <w:rPr>
          <w:rFonts w:ascii="Arial" w:hAnsi="Arial" w:cs="Arial"/>
          <w:sz w:val="24"/>
          <w:szCs w:val="24"/>
        </w:rPr>
        <w:t xml:space="preserve">Table 2 outlines how this collection of information is used by the public and the USPTO: </w:t>
      </w:r>
    </w:p>
    <w:p w:rsidR="00CE2DEC" w:rsidP="00723AEA" w:rsidRDefault="00CE2DEC" w14:paraId="6E1060AA" w14:textId="77777777">
      <w:pPr>
        <w:pStyle w:val="NoSpacing"/>
        <w:jc w:val="both"/>
        <w:rPr>
          <w:rFonts w:ascii="Arial" w:hAnsi="Arial" w:cs="Arial"/>
          <w:sz w:val="24"/>
          <w:szCs w:val="24"/>
        </w:rPr>
      </w:pPr>
    </w:p>
    <w:p w:rsidRPr="00396E91" w:rsidR="00CE2DEC" w:rsidP="00723AEA" w:rsidRDefault="00CE2DEC" w14:paraId="6E1060AB" w14:textId="144710E8">
      <w:pPr>
        <w:pStyle w:val="NoSpacing"/>
        <w:jc w:val="both"/>
        <w:rPr>
          <w:rFonts w:ascii="Arial" w:hAnsi="Arial" w:cs="Arial"/>
          <w:sz w:val="28"/>
          <w:szCs w:val="24"/>
        </w:rPr>
      </w:pPr>
      <w:r w:rsidRPr="00396E91">
        <w:rPr>
          <w:rFonts w:ascii="Arial" w:hAnsi="Arial" w:cs="Arial"/>
          <w:b/>
          <w:szCs w:val="24"/>
        </w:rPr>
        <w:t>Table 2: Needs and Uses</w:t>
      </w:r>
      <w:r w:rsidR="00195500">
        <w:rPr>
          <w:rFonts w:ascii="Arial" w:hAnsi="Arial" w:cs="Arial"/>
          <w:b/>
          <w:szCs w:val="24"/>
        </w:rPr>
        <w:t xml:space="preserve"> </w:t>
      </w:r>
      <w:r w:rsidRPr="00195500" w:rsidR="00195500">
        <w:rPr>
          <w:rFonts w:ascii="Arial" w:hAnsi="Arial" w:cs="Arial"/>
          <w:b/>
          <w:szCs w:val="24"/>
        </w:rPr>
        <w:t>of Information Collected for</w:t>
      </w:r>
      <w:r w:rsidR="00195500">
        <w:rPr>
          <w:rFonts w:ascii="Arial" w:hAnsi="Arial" w:cs="Arial"/>
          <w:b/>
          <w:szCs w:val="24"/>
        </w:rPr>
        <w:t xml:space="preserve"> </w:t>
      </w:r>
      <w:r w:rsidRPr="00195500" w:rsidR="00195500">
        <w:rPr>
          <w:rFonts w:ascii="Arial" w:hAnsi="Arial" w:cs="Arial"/>
          <w:b/>
          <w:szCs w:val="24"/>
        </w:rPr>
        <w:t>Patent Examiner Employment Application</w:t>
      </w: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70"/>
        <w:gridCol w:w="2340"/>
        <w:gridCol w:w="1777"/>
        <w:gridCol w:w="4073"/>
      </w:tblGrid>
      <w:tr w:rsidRPr="00396E91" w:rsidR="00CE2DEC" w:rsidTr="00436FFC" w14:paraId="6E1060B4" w14:textId="77777777">
        <w:trPr>
          <w:cantSplit/>
          <w:trHeight w:val="278"/>
        </w:trPr>
        <w:tc>
          <w:tcPr>
            <w:tcW w:w="1170" w:type="dxa"/>
          </w:tcPr>
          <w:p w:rsidRPr="00396E91" w:rsidR="00CE2DEC" w:rsidP="00EA0F95" w:rsidRDefault="00CE2DEC" w14:paraId="6E1060AC" w14:textId="77777777">
            <w:pPr>
              <w:widowControl/>
              <w:tabs>
                <w:tab w:val="left" w:pos="720"/>
              </w:tabs>
              <w:autoSpaceDE/>
              <w:autoSpaceDN/>
              <w:adjustRightInd/>
              <w:jc w:val="center"/>
              <w:rPr>
                <w:rFonts w:ascii="Arial" w:hAnsi="Arial"/>
                <w:b/>
                <w:sz w:val="18"/>
                <w:szCs w:val="20"/>
              </w:rPr>
            </w:pPr>
          </w:p>
          <w:p w:rsidRPr="00396E91" w:rsidR="00CE2DEC" w:rsidP="00B113EA" w:rsidRDefault="006D4EA1" w14:paraId="6E1060AD" w14:textId="4DD8F281">
            <w:pPr>
              <w:widowControl/>
              <w:tabs>
                <w:tab w:val="left" w:pos="720"/>
              </w:tabs>
              <w:autoSpaceDE/>
              <w:autoSpaceDN/>
              <w:adjustRightInd/>
              <w:jc w:val="center"/>
              <w:rPr>
                <w:rFonts w:ascii="Arial" w:hAnsi="Arial"/>
                <w:b/>
                <w:sz w:val="18"/>
                <w:szCs w:val="20"/>
              </w:rPr>
            </w:pPr>
            <w:r>
              <w:rPr>
                <w:rFonts w:ascii="Arial" w:hAnsi="Arial"/>
                <w:b/>
                <w:sz w:val="18"/>
                <w:szCs w:val="20"/>
              </w:rPr>
              <w:t>Item</w:t>
            </w:r>
            <w:r w:rsidRPr="00396E91" w:rsidR="00CE2DEC">
              <w:rPr>
                <w:rFonts w:ascii="Arial" w:hAnsi="Arial"/>
                <w:b/>
                <w:sz w:val="18"/>
                <w:szCs w:val="20"/>
              </w:rPr>
              <w:t xml:space="preserve"> </w:t>
            </w:r>
            <w:r w:rsidR="00B113EA">
              <w:rPr>
                <w:rFonts w:ascii="Arial" w:hAnsi="Arial"/>
                <w:b/>
                <w:sz w:val="18"/>
                <w:szCs w:val="20"/>
              </w:rPr>
              <w:t>No.</w:t>
            </w:r>
          </w:p>
        </w:tc>
        <w:tc>
          <w:tcPr>
            <w:tcW w:w="2340" w:type="dxa"/>
          </w:tcPr>
          <w:p w:rsidR="00195500" w:rsidP="00EA0F95" w:rsidRDefault="00195500" w14:paraId="27AC8A8D" w14:textId="77777777">
            <w:pPr>
              <w:widowControl/>
              <w:tabs>
                <w:tab w:val="left" w:pos="720"/>
              </w:tabs>
              <w:autoSpaceDE/>
              <w:autoSpaceDN/>
              <w:adjustRightInd/>
              <w:jc w:val="center"/>
              <w:rPr>
                <w:rFonts w:ascii="Arial" w:hAnsi="Arial"/>
                <w:b/>
                <w:sz w:val="18"/>
                <w:szCs w:val="20"/>
              </w:rPr>
            </w:pPr>
          </w:p>
          <w:p w:rsidRPr="00396E91" w:rsidR="00CE2DEC" w:rsidP="00195500" w:rsidRDefault="00195500" w14:paraId="6E1060AF" w14:textId="6FC79713">
            <w:pPr>
              <w:widowControl/>
              <w:tabs>
                <w:tab w:val="left" w:pos="720"/>
              </w:tabs>
              <w:autoSpaceDE/>
              <w:autoSpaceDN/>
              <w:adjustRightInd/>
              <w:jc w:val="center"/>
              <w:rPr>
                <w:rFonts w:ascii="Arial" w:hAnsi="Arial"/>
                <w:b/>
                <w:sz w:val="18"/>
                <w:szCs w:val="20"/>
              </w:rPr>
            </w:pPr>
            <w:r>
              <w:rPr>
                <w:rFonts w:ascii="Arial" w:hAnsi="Arial"/>
                <w:b/>
                <w:sz w:val="18"/>
                <w:szCs w:val="20"/>
              </w:rPr>
              <w:t>Item</w:t>
            </w:r>
          </w:p>
        </w:tc>
        <w:tc>
          <w:tcPr>
            <w:tcW w:w="1777" w:type="dxa"/>
          </w:tcPr>
          <w:p w:rsidRPr="00396E91" w:rsidR="00CE2DEC" w:rsidP="00EA0F95" w:rsidRDefault="00CE2DEC" w14:paraId="6E1060B0" w14:textId="77777777">
            <w:pPr>
              <w:widowControl/>
              <w:tabs>
                <w:tab w:val="left" w:pos="720"/>
              </w:tabs>
              <w:autoSpaceDE/>
              <w:autoSpaceDN/>
              <w:adjustRightInd/>
              <w:jc w:val="center"/>
              <w:rPr>
                <w:rFonts w:ascii="Arial" w:hAnsi="Arial"/>
                <w:b/>
                <w:sz w:val="18"/>
                <w:szCs w:val="20"/>
              </w:rPr>
            </w:pPr>
          </w:p>
          <w:p w:rsidRPr="00396E91" w:rsidR="00CE2DEC" w:rsidP="00EA0F95" w:rsidRDefault="00436FFC" w14:paraId="6E1060B1" w14:textId="6707A559">
            <w:pPr>
              <w:keepNext/>
              <w:widowControl/>
              <w:tabs>
                <w:tab w:val="left" w:pos="720"/>
              </w:tabs>
              <w:autoSpaceDE/>
              <w:autoSpaceDN/>
              <w:adjustRightInd/>
              <w:jc w:val="center"/>
              <w:outlineLvl w:val="6"/>
              <w:rPr>
                <w:rFonts w:ascii="Arial" w:hAnsi="Arial"/>
                <w:b/>
                <w:sz w:val="18"/>
                <w:szCs w:val="20"/>
              </w:rPr>
            </w:pPr>
            <w:r>
              <w:rPr>
                <w:rFonts w:ascii="Arial" w:hAnsi="Arial"/>
                <w:b/>
                <w:sz w:val="18"/>
                <w:szCs w:val="20"/>
              </w:rPr>
              <w:t>Instrument</w:t>
            </w:r>
          </w:p>
        </w:tc>
        <w:tc>
          <w:tcPr>
            <w:tcW w:w="4073" w:type="dxa"/>
          </w:tcPr>
          <w:p w:rsidRPr="00396E91" w:rsidR="00CE2DEC" w:rsidP="00EA0F95" w:rsidRDefault="00CE2DEC" w14:paraId="6E1060B2" w14:textId="77777777">
            <w:pPr>
              <w:widowControl/>
              <w:tabs>
                <w:tab w:val="left" w:pos="720"/>
              </w:tabs>
              <w:autoSpaceDE/>
              <w:autoSpaceDN/>
              <w:adjustRightInd/>
              <w:jc w:val="center"/>
              <w:rPr>
                <w:rFonts w:ascii="Arial" w:hAnsi="Arial"/>
                <w:b/>
                <w:sz w:val="18"/>
                <w:szCs w:val="20"/>
              </w:rPr>
            </w:pPr>
          </w:p>
          <w:p w:rsidRPr="00396E91" w:rsidR="00CE2DEC" w:rsidP="00EA0F95" w:rsidRDefault="00CE2DEC" w14:paraId="6E1060B3" w14:textId="77777777">
            <w:pPr>
              <w:widowControl/>
              <w:tabs>
                <w:tab w:val="left" w:pos="720"/>
              </w:tabs>
              <w:autoSpaceDE/>
              <w:autoSpaceDN/>
              <w:adjustRightInd/>
              <w:jc w:val="center"/>
              <w:rPr>
                <w:rFonts w:ascii="Arial" w:hAnsi="Arial"/>
                <w:b/>
                <w:sz w:val="18"/>
                <w:szCs w:val="20"/>
              </w:rPr>
            </w:pPr>
            <w:r w:rsidRPr="00396E91">
              <w:rPr>
                <w:rFonts w:ascii="Arial" w:hAnsi="Arial"/>
                <w:b/>
                <w:sz w:val="18"/>
                <w:szCs w:val="20"/>
              </w:rPr>
              <w:t>Needs and Uses</w:t>
            </w:r>
          </w:p>
        </w:tc>
      </w:tr>
      <w:tr w:rsidRPr="00396E91" w:rsidR="00CE2DEC" w:rsidTr="00436FFC" w14:paraId="6E1060C1" w14:textId="77777777">
        <w:trPr>
          <w:cantSplit/>
        </w:trPr>
        <w:tc>
          <w:tcPr>
            <w:tcW w:w="1170" w:type="dxa"/>
          </w:tcPr>
          <w:p w:rsidRPr="00396E91" w:rsidR="00CE2DEC" w:rsidP="00EA0F95" w:rsidRDefault="00CE2DEC" w14:paraId="6E1060B5" w14:textId="77777777">
            <w:pPr>
              <w:widowControl/>
              <w:tabs>
                <w:tab w:val="left" w:pos="720"/>
              </w:tabs>
              <w:autoSpaceDE/>
              <w:autoSpaceDN/>
              <w:adjustRightInd/>
              <w:jc w:val="center"/>
              <w:rPr>
                <w:rFonts w:ascii="Arial" w:hAnsi="Arial"/>
                <w:b/>
                <w:sz w:val="18"/>
              </w:rPr>
            </w:pPr>
          </w:p>
          <w:p w:rsidRPr="00396E91" w:rsidR="00CE2DEC" w:rsidP="00EA0F95" w:rsidRDefault="00CE2DEC" w14:paraId="6E1060B6" w14:textId="77777777">
            <w:pPr>
              <w:widowControl/>
              <w:tabs>
                <w:tab w:val="left" w:pos="720"/>
              </w:tabs>
              <w:autoSpaceDE/>
              <w:autoSpaceDN/>
              <w:adjustRightInd/>
              <w:jc w:val="center"/>
              <w:rPr>
                <w:rFonts w:ascii="Arial" w:hAnsi="Arial"/>
                <w:b/>
                <w:sz w:val="18"/>
              </w:rPr>
            </w:pPr>
            <w:r w:rsidRPr="00396E91">
              <w:rPr>
                <w:rFonts w:ascii="Arial" w:hAnsi="Arial"/>
                <w:b/>
                <w:sz w:val="18"/>
              </w:rPr>
              <w:t>1</w:t>
            </w:r>
          </w:p>
        </w:tc>
        <w:tc>
          <w:tcPr>
            <w:tcW w:w="2340" w:type="dxa"/>
          </w:tcPr>
          <w:p w:rsidRPr="00396E91" w:rsidR="00CE2DEC" w:rsidP="00EA0F95" w:rsidRDefault="00CE2DEC" w14:paraId="6E1060B7" w14:textId="77777777">
            <w:pPr>
              <w:widowControl/>
              <w:tabs>
                <w:tab w:val="left" w:pos="720"/>
              </w:tabs>
              <w:autoSpaceDE/>
              <w:autoSpaceDN/>
              <w:adjustRightInd/>
              <w:rPr>
                <w:rFonts w:ascii="Arial" w:hAnsi="Arial" w:cs="Arial"/>
                <w:sz w:val="18"/>
              </w:rPr>
            </w:pPr>
          </w:p>
          <w:p w:rsidRPr="00396E91" w:rsidR="00CE2DEC" w:rsidP="00CE2DEC" w:rsidRDefault="00CE2DEC" w14:paraId="6E1060B8" w14:textId="77777777">
            <w:pPr>
              <w:widowControl/>
              <w:autoSpaceDE/>
              <w:autoSpaceDN/>
              <w:adjustRightInd/>
              <w:rPr>
                <w:rFonts w:ascii="Arial" w:hAnsi="Arial"/>
                <w:sz w:val="18"/>
              </w:rPr>
            </w:pPr>
            <w:r w:rsidRPr="00396E91">
              <w:rPr>
                <w:rFonts w:ascii="Arial" w:hAnsi="Arial"/>
                <w:sz w:val="18"/>
              </w:rPr>
              <w:t>Patent Examiner Employment Application</w:t>
            </w:r>
          </w:p>
          <w:p w:rsidRPr="00396E91" w:rsidR="00CE2DEC" w:rsidP="00EA0F95" w:rsidRDefault="00CE2DEC" w14:paraId="6E1060B9" w14:textId="77777777">
            <w:pPr>
              <w:widowControl/>
              <w:tabs>
                <w:tab w:val="left" w:pos="720"/>
              </w:tabs>
              <w:autoSpaceDE/>
              <w:autoSpaceDN/>
              <w:adjustRightInd/>
              <w:rPr>
                <w:rFonts w:ascii="Arial" w:hAnsi="Arial" w:cs="Arial"/>
                <w:sz w:val="18"/>
              </w:rPr>
            </w:pPr>
          </w:p>
        </w:tc>
        <w:tc>
          <w:tcPr>
            <w:tcW w:w="1777" w:type="dxa"/>
          </w:tcPr>
          <w:p w:rsidRPr="00396E91" w:rsidR="00CE2DEC" w:rsidP="00EA0F95" w:rsidRDefault="00CE2DEC" w14:paraId="6E1060BA" w14:textId="77777777">
            <w:pPr>
              <w:widowControl/>
              <w:tabs>
                <w:tab w:val="left" w:pos="720"/>
              </w:tabs>
              <w:autoSpaceDE/>
              <w:autoSpaceDN/>
              <w:adjustRightInd/>
              <w:jc w:val="center"/>
              <w:rPr>
                <w:rFonts w:ascii="Arial" w:hAnsi="Arial"/>
                <w:sz w:val="18"/>
                <w:szCs w:val="20"/>
              </w:rPr>
            </w:pPr>
          </w:p>
          <w:p w:rsidR="00D973AB" w:rsidP="00D973AB" w:rsidRDefault="00D973AB" w14:paraId="06A0416A" w14:textId="2759E103">
            <w:pPr>
              <w:widowControl/>
              <w:tabs>
                <w:tab w:val="left" w:pos="720"/>
              </w:tabs>
              <w:autoSpaceDE/>
              <w:autoSpaceDN/>
              <w:adjustRightInd/>
              <w:rPr>
                <w:rFonts w:ascii="Arial" w:hAnsi="Arial"/>
                <w:sz w:val="18"/>
                <w:szCs w:val="20"/>
              </w:rPr>
            </w:pPr>
            <w:r>
              <w:rPr>
                <w:rFonts w:ascii="Arial" w:hAnsi="Arial"/>
                <w:sz w:val="18"/>
                <w:szCs w:val="20"/>
              </w:rPr>
              <w:t xml:space="preserve">Vacancy Questions </w:t>
            </w:r>
            <w:r w:rsidR="00E671EB">
              <w:rPr>
                <w:rFonts w:ascii="Arial" w:hAnsi="Arial"/>
                <w:sz w:val="18"/>
                <w:szCs w:val="20"/>
              </w:rPr>
              <w:t>(</w:t>
            </w:r>
            <w:r>
              <w:rPr>
                <w:rFonts w:ascii="Arial" w:hAnsi="Arial"/>
                <w:sz w:val="18"/>
                <w:szCs w:val="20"/>
              </w:rPr>
              <w:t>Patent Examiner)</w:t>
            </w:r>
          </w:p>
          <w:p w:rsidR="00D973AB" w:rsidP="00D973AB" w:rsidRDefault="00D973AB" w14:paraId="71E3256A" w14:textId="77777777">
            <w:pPr>
              <w:widowControl/>
              <w:tabs>
                <w:tab w:val="left" w:pos="720"/>
              </w:tabs>
              <w:autoSpaceDE/>
              <w:autoSpaceDN/>
              <w:adjustRightInd/>
              <w:rPr>
                <w:rFonts w:ascii="Arial" w:hAnsi="Arial"/>
                <w:sz w:val="18"/>
                <w:szCs w:val="20"/>
              </w:rPr>
            </w:pPr>
          </w:p>
          <w:p w:rsidR="00D973AB" w:rsidP="00D973AB" w:rsidRDefault="00D973AB" w14:paraId="548273BD" w14:textId="77777777">
            <w:pPr>
              <w:widowControl/>
              <w:tabs>
                <w:tab w:val="left" w:pos="720"/>
              </w:tabs>
              <w:autoSpaceDE/>
              <w:autoSpaceDN/>
              <w:adjustRightInd/>
              <w:rPr>
                <w:rFonts w:ascii="Arial" w:hAnsi="Arial"/>
                <w:sz w:val="18"/>
                <w:szCs w:val="20"/>
              </w:rPr>
            </w:pPr>
            <w:r>
              <w:rPr>
                <w:rFonts w:ascii="Arial" w:hAnsi="Arial"/>
                <w:sz w:val="18"/>
                <w:szCs w:val="20"/>
              </w:rPr>
              <w:t>Eligibility Questions (Patent Examiner)</w:t>
            </w:r>
          </w:p>
          <w:p w:rsidR="00D973AB" w:rsidP="00D973AB" w:rsidRDefault="00D973AB" w14:paraId="5F8B4A0F" w14:textId="77777777">
            <w:pPr>
              <w:widowControl/>
              <w:tabs>
                <w:tab w:val="left" w:pos="720"/>
              </w:tabs>
              <w:autoSpaceDE/>
              <w:autoSpaceDN/>
              <w:adjustRightInd/>
              <w:rPr>
                <w:rFonts w:ascii="Arial" w:hAnsi="Arial"/>
                <w:sz w:val="18"/>
                <w:szCs w:val="20"/>
              </w:rPr>
            </w:pPr>
          </w:p>
          <w:p w:rsidRPr="00396E91" w:rsidR="00D973AB" w:rsidP="00D973AB" w:rsidRDefault="00D973AB" w14:paraId="6E1060BB" w14:textId="3ACD3A79">
            <w:pPr>
              <w:widowControl/>
              <w:tabs>
                <w:tab w:val="left" w:pos="720"/>
              </w:tabs>
              <w:autoSpaceDE/>
              <w:autoSpaceDN/>
              <w:adjustRightInd/>
              <w:rPr>
                <w:rFonts w:ascii="Arial" w:hAnsi="Arial"/>
                <w:sz w:val="18"/>
                <w:szCs w:val="20"/>
              </w:rPr>
            </w:pPr>
            <w:r>
              <w:rPr>
                <w:rFonts w:ascii="Arial" w:hAnsi="Arial"/>
                <w:sz w:val="18"/>
                <w:szCs w:val="20"/>
              </w:rPr>
              <w:t>Monster Hiring Questions</w:t>
            </w:r>
          </w:p>
        </w:tc>
        <w:tc>
          <w:tcPr>
            <w:tcW w:w="4073" w:type="dxa"/>
          </w:tcPr>
          <w:p w:rsidRPr="00396E91" w:rsidR="00CE2DEC" w:rsidP="00EA0F95" w:rsidRDefault="00CE2DEC" w14:paraId="6E1060BC" w14:textId="77777777">
            <w:pPr>
              <w:widowControl/>
              <w:tabs>
                <w:tab w:val="left" w:pos="720"/>
              </w:tabs>
              <w:autoSpaceDE/>
              <w:autoSpaceDN/>
              <w:adjustRightInd/>
              <w:rPr>
                <w:rFonts w:ascii="Arial" w:hAnsi="Arial" w:cs="Arial"/>
                <w:sz w:val="18"/>
                <w:szCs w:val="20"/>
              </w:rPr>
            </w:pPr>
          </w:p>
          <w:p w:rsidRPr="00396E91" w:rsidR="00CE2DEC" w:rsidP="00CE2DEC" w:rsidRDefault="00CE2DEC" w14:paraId="6E1060BD" w14:textId="77777777">
            <w:pPr>
              <w:widowControl/>
              <w:numPr>
                <w:ilvl w:val="0"/>
                <w:numId w:val="1"/>
              </w:numPr>
              <w:tabs>
                <w:tab w:val="left" w:pos="162"/>
              </w:tabs>
              <w:autoSpaceDE/>
              <w:autoSpaceDN/>
              <w:adjustRightInd/>
              <w:ind w:left="162" w:hanging="180"/>
              <w:rPr>
                <w:rFonts w:ascii="Arial" w:hAnsi="Arial" w:cs="Arial"/>
                <w:sz w:val="18"/>
                <w:szCs w:val="20"/>
              </w:rPr>
            </w:pPr>
            <w:r w:rsidRPr="00396E91">
              <w:rPr>
                <w:rFonts w:ascii="Arial" w:hAnsi="Arial" w:cs="Arial"/>
                <w:sz w:val="18"/>
                <w:szCs w:val="20"/>
              </w:rPr>
              <w:t>Used by the public to apply for a position as a patent examiner.</w:t>
            </w:r>
          </w:p>
          <w:p w:rsidRPr="00396E91" w:rsidR="00CE2DEC" w:rsidP="00CE2DEC" w:rsidRDefault="00CE2DEC" w14:paraId="6E1060BE" w14:textId="3548EF79">
            <w:pPr>
              <w:widowControl/>
              <w:numPr>
                <w:ilvl w:val="0"/>
                <w:numId w:val="1"/>
              </w:numPr>
              <w:tabs>
                <w:tab w:val="left" w:pos="162"/>
              </w:tabs>
              <w:autoSpaceDE/>
              <w:autoSpaceDN/>
              <w:adjustRightInd/>
              <w:ind w:left="162" w:hanging="180"/>
              <w:rPr>
                <w:rFonts w:ascii="Arial" w:hAnsi="Arial" w:cs="Arial"/>
                <w:sz w:val="18"/>
                <w:szCs w:val="20"/>
              </w:rPr>
            </w:pPr>
            <w:r w:rsidRPr="00396E91">
              <w:rPr>
                <w:rFonts w:ascii="Arial" w:hAnsi="Arial" w:cs="Arial"/>
                <w:sz w:val="18"/>
                <w:szCs w:val="20"/>
              </w:rPr>
              <w:t>Used by the USPTO to rate applicants for a patent examiner position.</w:t>
            </w:r>
          </w:p>
          <w:p w:rsidRPr="00195500" w:rsidR="00C96D64" w:rsidP="006B225C" w:rsidRDefault="00C96D64" w14:paraId="6E1060C0" w14:textId="734D2272">
            <w:pPr>
              <w:widowControl/>
              <w:tabs>
                <w:tab w:val="left" w:pos="162"/>
              </w:tabs>
              <w:autoSpaceDE/>
              <w:autoSpaceDN/>
              <w:adjustRightInd/>
              <w:ind w:left="162"/>
              <w:rPr>
                <w:rFonts w:ascii="Arial" w:hAnsi="Arial" w:cs="Arial"/>
                <w:sz w:val="18"/>
                <w:szCs w:val="20"/>
              </w:rPr>
            </w:pPr>
          </w:p>
        </w:tc>
      </w:tr>
    </w:tbl>
    <w:p w:rsidR="00CE2DEC" w:rsidP="00723AEA" w:rsidRDefault="00CE2DEC" w14:paraId="6E1060C2" w14:textId="77777777">
      <w:pPr>
        <w:pStyle w:val="NoSpacing"/>
        <w:jc w:val="both"/>
        <w:rPr>
          <w:rFonts w:ascii="Arial" w:hAnsi="Arial" w:cs="Arial"/>
          <w:sz w:val="24"/>
          <w:szCs w:val="24"/>
        </w:rPr>
      </w:pPr>
    </w:p>
    <w:p w:rsidR="002519FB" w:rsidP="00723AEA" w:rsidRDefault="002519FB" w14:paraId="6E1060C3" w14:textId="0F327639">
      <w:pPr>
        <w:pStyle w:val="NoSpacing"/>
        <w:jc w:val="both"/>
        <w:rPr>
          <w:rFonts w:ascii="Arial" w:hAnsi="Arial" w:cs="Arial"/>
          <w:sz w:val="24"/>
          <w:szCs w:val="24"/>
        </w:rPr>
      </w:pPr>
      <w:r>
        <w:rPr>
          <w:rFonts w:ascii="Arial" w:hAnsi="Arial" w:cs="Arial"/>
          <w:b/>
          <w:sz w:val="24"/>
          <w:szCs w:val="24"/>
        </w:rPr>
        <w:t xml:space="preserve">3. </w:t>
      </w:r>
      <w:r>
        <w:rPr>
          <w:rFonts w:ascii="Arial" w:hAnsi="Arial" w:cs="Arial"/>
          <w:b/>
          <w:sz w:val="24"/>
          <w:szCs w:val="24"/>
        </w:rPr>
        <w:tab/>
      </w:r>
      <w:r w:rsidRPr="00FB2EAA" w:rsidR="00FB2EAA">
        <w:rPr>
          <w:rFonts w:ascii="Arial" w:hAnsi="Arial" w:cs="Arial"/>
          <w:b/>
          <w:sz w:val="24"/>
          <w:szCs w:val="24"/>
        </w:rPr>
        <w:t xml:space="preserve">Describe whether, and to what extent, the collection of information involves the use of automated, electronic, mechanical, or other technological </w:t>
      </w:r>
      <w:r w:rsidR="000310C7">
        <w:rPr>
          <w:rFonts w:ascii="Arial" w:hAnsi="Arial" w:cs="Arial"/>
          <w:b/>
          <w:sz w:val="24"/>
          <w:szCs w:val="24"/>
        </w:rPr>
        <w:t xml:space="preserve">information </w:t>
      </w:r>
      <w:r w:rsidRPr="00FB2EAA" w:rsidR="00FB2EAA">
        <w:rPr>
          <w:rFonts w:ascii="Arial" w:hAnsi="Arial" w:cs="Arial"/>
          <w:b/>
          <w:sz w:val="24"/>
          <w:szCs w:val="24"/>
        </w:rPr>
        <w:t xml:space="preserve">collection techniques or other forms of information technology, e.g., permitting electronic submission of responses, and the basis for the decision for adopting this means of </w:t>
      </w:r>
      <w:r w:rsidR="00764BB3">
        <w:rPr>
          <w:rFonts w:ascii="Arial" w:hAnsi="Arial" w:cs="Arial"/>
          <w:b/>
          <w:sz w:val="24"/>
          <w:szCs w:val="24"/>
        </w:rPr>
        <w:t xml:space="preserve">information </w:t>
      </w:r>
      <w:r w:rsidRPr="00FB2EAA" w:rsidR="00FB2EAA">
        <w:rPr>
          <w:rFonts w:ascii="Arial" w:hAnsi="Arial" w:cs="Arial"/>
          <w:b/>
          <w:sz w:val="24"/>
          <w:szCs w:val="24"/>
        </w:rPr>
        <w:t>collection. Also describe any consideration of using information technology to reduce burden.</w:t>
      </w:r>
    </w:p>
    <w:p w:rsidR="002519FB" w:rsidP="00723AEA" w:rsidRDefault="002519FB" w14:paraId="6E1060C4" w14:textId="77777777">
      <w:pPr>
        <w:pStyle w:val="NoSpacing"/>
        <w:jc w:val="both"/>
        <w:rPr>
          <w:rFonts w:ascii="Arial" w:hAnsi="Arial" w:cs="Arial"/>
          <w:sz w:val="24"/>
          <w:szCs w:val="24"/>
        </w:rPr>
      </w:pPr>
    </w:p>
    <w:p w:rsidR="002519FB" w:rsidP="00723AEA" w:rsidRDefault="00734DCC" w14:paraId="6E1060C5" w14:textId="26FECAF9">
      <w:pPr>
        <w:pStyle w:val="NoSpacing"/>
        <w:jc w:val="both"/>
        <w:rPr>
          <w:rFonts w:ascii="Arial" w:hAnsi="Arial" w:cs="Arial"/>
          <w:sz w:val="24"/>
          <w:szCs w:val="24"/>
        </w:rPr>
      </w:pPr>
      <w:r>
        <w:rPr>
          <w:rFonts w:ascii="Arial" w:hAnsi="Arial" w:cs="Arial"/>
          <w:sz w:val="24"/>
          <w:szCs w:val="24"/>
        </w:rPr>
        <w:t>Applicants use the Monster Hiring Management system, when they submit electronic applications to the USPTO.</w:t>
      </w:r>
      <w:r w:rsidR="007B14FD">
        <w:rPr>
          <w:rFonts w:ascii="Arial" w:hAnsi="Arial" w:cs="Arial"/>
          <w:sz w:val="24"/>
          <w:szCs w:val="24"/>
        </w:rPr>
        <w:t xml:space="preserve"> Applicants </w:t>
      </w:r>
      <w:r w:rsidR="00C96D64">
        <w:rPr>
          <w:rFonts w:ascii="Arial" w:hAnsi="Arial" w:cs="Arial"/>
          <w:sz w:val="24"/>
          <w:szCs w:val="24"/>
        </w:rPr>
        <w:t xml:space="preserve">visit the OPM </w:t>
      </w:r>
      <w:proofErr w:type="spellStart"/>
      <w:r w:rsidR="00C96D64">
        <w:rPr>
          <w:rFonts w:ascii="Arial" w:hAnsi="Arial" w:cs="Arial"/>
          <w:sz w:val="24"/>
          <w:szCs w:val="24"/>
        </w:rPr>
        <w:t>USAJobs</w:t>
      </w:r>
      <w:proofErr w:type="spellEnd"/>
      <w:r w:rsidR="00C96D64">
        <w:rPr>
          <w:rFonts w:ascii="Arial" w:hAnsi="Arial" w:cs="Arial"/>
          <w:sz w:val="24"/>
          <w:szCs w:val="24"/>
        </w:rPr>
        <w:t xml:space="preserve"> website </w:t>
      </w:r>
      <w:r w:rsidR="00070383">
        <w:rPr>
          <w:rFonts w:ascii="Arial" w:hAnsi="Arial" w:cs="Arial"/>
          <w:sz w:val="24"/>
          <w:szCs w:val="24"/>
        </w:rPr>
        <w:t xml:space="preserve">where they find a patent examiner job announcement which links them to the </w:t>
      </w:r>
      <w:r w:rsidR="00FF6919">
        <w:rPr>
          <w:rFonts w:ascii="Arial" w:hAnsi="Arial" w:cs="Arial"/>
          <w:sz w:val="24"/>
          <w:szCs w:val="24"/>
        </w:rPr>
        <w:t xml:space="preserve">MHM </w:t>
      </w:r>
      <w:r w:rsidR="00070383">
        <w:rPr>
          <w:rFonts w:ascii="Arial" w:hAnsi="Arial" w:cs="Arial"/>
          <w:sz w:val="24"/>
          <w:szCs w:val="24"/>
        </w:rPr>
        <w:t xml:space="preserve">system. The applicant </w:t>
      </w:r>
      <w:r w:rsidR="00070383">
        <w:rPr>
          <w:rFonts w:ascii="Arial" w:hAnsi="Arial" w:cs="Arial"/>
          <w:sz w:val="24"/>
          <w:szCs w:val="24"/>
        </w:rPr>
        <w:lastRenderedPageBreak/>
        <w:t>th</w:t>
      </w:r>
      <w:r w:rsidR="00FF6919">
        <w:rPr>
          <w:rFonts w:ascii="Arial" w:hAnsi="Arial" w:cs="Arial"/>
          <w:sz w:val="24"/>
          <w:szCs w:val="24"/>
        </w:rPr>
        <w:t>en completes and transmits his/her</w:t>
      </w:r>
      <w:r w:rsidR="00070383">
        <w:rPr>
          <w:rFonts w:ascii="Arial" w:hAnsi="Arial" w:cs="Arial"/>
          <w:sz w:val="24"/>
          <w:szCs w:val="24"/>
        </w:rPr>
        <w:t xml:space="preserve"> application to the USPTO via the Internet. Applicants who do not have access to a computer should contact OHR prior to the closing date of the announcement so appropriate accommodations can be made for submitting their applications. </w:t>
      </w:r>
    </w:p>
    <w:p w:rsidR="00322F69" w:rsidP="00723AEA" w:rsidRDefault="00322F69" w14:paraId="6E1060C6" w14:textId="77777777">
      <w:pPr>
        <w:pStyle w:val="NoSpacing"/>
        <w:jc w:val="both"/>
        <w:rPr>
          <w:rFonts w:ascii="Arial" w:hAnsi="Arial" w:cs="Arial"/>
          <w:sz w:val="24"/>
          <w:szCs w:val="24"/>
        </w:rPr>
      </w:pPr>
    </w:p>
    <w:p w:rsidR="00322F69" w:rsidP="00723AEA" w:rsidRDefault="00322F69" w14:paraId="6E1060C7" w14:textId="7DCD5CA7">
      <w:pPr>
        <w:pStyle w:val="NoSpacing"/>
        <w:jc w:val="both"/>
        <w:rPr>
          <w:rFonts w:ascii="Arial" w:hAnsi="Arial" w:cs="Arial"/>
          <w:sz w:val="24"/>
          <w:szCs w:val="24"/>
        </w:rPr>
      </w:pPr>
      <w:r>
        <w:rPr>
          <w:rFonts w:ascii="Arial" w:hAnsi="Arial" w:cs="Arial"/>
          <w:sz w:val="24"/>
          <w:szCs w:val="24"/>
        </w:rPr>
        <w:t xml:space="preserve">Each applicant who submits an electronic employment application through the </w:t>
      </w:r>
      <w:r w:rsidR="00FF6919">
        <w:rPr>
          <w:rFonts w:ascii="Arial" w:hAnsi="Arial" w:cs="Arial"/>
          <w:sz w:val="24"/>
          <w:szCs w:val="24"/>
        </w:rPr>
        <w:t xml:space="preserve">MHM </w:t>
      </w:r>
      <w:r>
        <w:rPr>
          <w:rFonts w:ascii="Arial" w:hAnsi="Arial" w:cs="Arial"/>
          <w:sz w:val="24"/>
          <w:szCs w:val="24"/>
        </w:rPr>
        <w:t xml:space="preserve">system </w:t>
      </w:r>
      <w:r w:rsidR="0090060A">
        <w:rPr>
          <w:rFonts w:ascii="Arial" w:hAnsi="Arial" w:cs="Arial"/>
          <w:sz w:val="24"/>
          <w:szCs w:val="24"/>
        </w:rPr>
        <w:t xml:space="preserve">receives instant confirmation of their submission. After the application is submitted, it is reviewed for completeness. With the MHM system, reviewers can view qualified employment applications accompanied by electronic images of supplemental documentation stored with the online application. </w:t>
      </w:r>
      <w:r w:rsidR="00CE37E3">
        <w:rPr>
          <w:rFonts w:ascii="Arial" w:hAnsi="Arial" w:cs="Arial"/>
          <w:sz w:val="24"/>
          <w:szCs w:val="24"/>
        </w:rPr>
        <w:t xml:space="preserve">If the application is complete, the applicant’s qualifications will be reviewed. If the application is incomplete, the applicant receives an e-mail notification of the deficiency. </w:t>
      </w:r>
    </w:p>
    <w:p w:rsidR="00A469B3" w:rsidP="00723AEA" w:rsidRDefault="00A469B3" w14:paraId="6E1060C8" w14:textId="77777777">
      <w:pPr>
        <w:pStyle w:val="NoSpacing"/>
        <w:jc w:val="both"/>
        <w:rPr>
          <w:rFonts w:ascii="Arial" w:hAnsi="Arial" w:cs="Arial"/>
          <w:sz w:val="24"/>
          <w:szCs w:val="24"/>
        </w:rPr>
      </w:pPr>
    </w:p>
    <w:p w:rsidR="00A469B3" w:rsidP="00723AEA" w:rsidRDefault="00A469B3" w14:paraId="6E1060C9" w14:textId="7D65BBA6">
      <w:pPr>
        <w:pStyle w:val="NoSpacing"/>
        <w:jc w:val="both"/>
        <w:rPr>
          <w:rFonts w:ascii="Arial" w:hAnsi="Arial" w:cs="Arial"/>
          <w:sz w:val="24"/>
          <w:szCs w:val="24"/>
        </w:rPr>
      </w:pPr>
      <w:r>
        <w:rPr>
          <w:rFonts w:ascii="Arial" w:hAnsi="Arial" w:cs="Arial"/>
          <w:sz w:val="24"/>
          <w:szCs w:val="24"/>
        </w:rPr>
        <w:t xml:space="preserve">It should be noted, however, that not all of the required information can be provided in the patent examiner employment application through </w:t>
      </w:r>
      <w:r w:rsidR="002A09F8">
        <w:rPr>
          <w:rFonts w:ascii="Arial" w:hAnsi="Arial" w:cs="Arial"/>
          <w:sz w:val="24"/>
          <w:szCs w:val="24"/>
        </w:rPr>
        <w:t xml:space="preserve">the </w:t>
      </w:r>
      <w:r w:rsidR="00FF6919">
        <w:rPr>
          <w:rFonts w:ascii="Arial" w:hAnsi="Arial" w:cs="Arial"/>
          <w:sz w:val="24"/>
          <w:szCs w:val="24"/>
        </w:rPr>
        <w:t xml:space="preserve">MHM </w:t>
      </w:r>
      <w:r w:rsidR="002A09F8">
        <w:rPr>
          <w:rFonts w:ascii="Arial" w:hAnsi="Arial" w:cs="Arial"/>
          <w:sz w:val="24"/>
          <w:szCs w:val="24"/>
        </w:rPr>
        <w:t>system</w:t>
      </w:r>
      <w:r>
        <w:rPr>
          <w:rFonts w:ascii="Arial" w:hAnsi="Arial" w:cs="Arial"/>
          <w:sz w:val="24"/>
          <w:szCs w:val="24"/>
        </w:rPr>
        <w:t xml:space="preserve">. </w:t>
      </w:r>
      <w:r w:rsidR="002A09F8">
        <w:rPr>
          <w:rFonts w:ascii="Arial" w:hAnsi="Arial" w:cs="Arial"/>
          <w:sz w:val="24"/>
          <w:szCs w:val="24"/>
        </w:rPr>
        <w:t xml:space="preserve">For example, in order to apply for a patent examiner position, the applicant must also possess a minimum of a bachelor’s degree. However, as part of the application through the MHM system, an unofficial college transcript must be uploaded and transmitted. </w:t>
      </w:r>
    </w:p>
    <w:p w:rsidR="002A09F8" w:rsidP="00723AEA" w:rsidRDefault="002A09F8" w14:paraId="6E1060CA" w14:textId="77777777">
      <w:pPr>
        <w:pStyle w:val="NoSpacing"/>
        <w:jc w:val="both"/>
        <w:rPr>
          <w:rFonts w:ascii="Arial" w:hAnsi="Arial" w:cs="Arial"/>
          <w:sz w:val="24"/>
          <w:szCs w:val="24"/>
        </w:rPr>
      </w:pPr>
    </w:p>
    <w:p w:rsidR="002A09F8" w:rsidP="00723AEA" w:rsidRDefault="002A09F8" w14:paraId="6E1060CB" w14:textId="7430D341">
      <w:pPr>
        <w:pStyle w:val="NoSpacing"/>
        <w:jc w:val="both"/>
        <w:rPr>
          <w:rFonts w:ascii="Arial" w:hAnsi="Arial" w:cs="Arial"/>
          <w:sz w:val="24"/>
          <w:szCs w:val="24"/>
        </w:rPr>
      </w:pPr>
      <w:r>
        <w:rPr>
          <w:rFonts w:ascii="Arial" w:hAnsi="Arial" w:cs="Arial"/>
          <w:sz w:val="24"/>
          <w:szCs w:val="24"/>
        </w:rPr>
        <w:t xml:space="preserve">The </w:t>
      </w:r>
      <w:r w:rsidR="00FF6919">
        <w:rPr>
          <w:rFonts w:ascii="Arial" w:hAnsi="Arial" w:cs="Arial"/>
          <w:sz w:val="24"/>
          <w:szCs w:val="24"/>
        </w:rPr>
        <w:t xml:space="preserve">MHM </w:t>
      </w:r>
      <w:r>
        <w:rPr>
          <w:rFonts w:ascii="Arial" w:hAnsi="Arial" w:cs="Arial"/>
          <w:sz w:val="24"/>
          <w:szCs w:val="24"/>
        </w:rPr>
        <w:t xml:space="preserve">system </w:t>
      </w:r>
      <w:r w:rsidR="00255DBA">
        <w:rPr>
          <w:rFonts w:ascii="Arial" w:hAnsi="Arial" w:cs="Arial"/>
          <w:sz w:val="24"/>
          <w:szCs w:val="24"/>
        </w:rPr>
        <w:t>allows the USPTO to carry out its missions by providing a streamlined and integrated approach to human resource management and support for business process improvements. Benefits of the system include reduced over all time from the initiation of a request for employment to completion of a re-scored listing, elimination of paneling costs paid to another agency, near instantaneous return of certificates, and automated protection of Veterans’ hiring preferences.</w:t>
      </w:r>
    </w:p>
    <w:p w:rsidR="00B865A8" w:rsidP="00723AEA" w:rsidRDefault="00B865A8" w14:paraId="6E1060CC" w14:textId="77777777">
      <w:pPr>
        <w:pStyle w:val="NoSpacing"/>
        <w:jc w:val="both"/>
        <w:rPr>
          <w:rFonts w:ascii="Arial" w:hAnsi="Arial" w:cs="Arial"/>
          <w:sz w:val="24"/>
          <w:szCs w:val="24"/>
        </w:rPr>
      </w:pPr>
    </w:p>
    <w:p w:rsidR="00FB2EAA" w:rsidP="00723AEA" w:rsidRDefault="00104CC4" w14:paraId="524785B5" w14:textId="77777777">
      <w:pPr>
        <w:pStyle w:val="NoSpacing"/>
        <w:jc w:val="both"/>
        <w:rPr>
          <w:rFonts w:ascii="Arial" w:hAnsi="Arial" w:cs="Arial"/>
          <w:b/>
          <w:sz w:val="24"/>
          <w:szCs w:val="24"/>
        </w:rPr>
      </w:pPr>
      <w:r>
        <w:rPr>
          <w:rFonts w:ascii="Arial" w:hAnsi="Arial" w:cs="Arial"/>
          <w:b/>
          <w:sz w:val="24"/>
          <w:szCs w:val="24"/>
        </w:rPr>
        <w:t>4</w:t>
      </w:r>
      <w:r w:rsidR="00B865A8">
        <w:rPr>
          <w:rFonts w:ascii="Arial" w:hAnsi="Arial" w:cs="Arial"/>
          <w:b/>
          <w:sz w:val="24"/>
          <w:szCs w:val="24"/>
        </w:rPr>
        <w:t xml:space="preserve">. </w:t>
      </w:r>
      <w:r w:rsidR="00AB6484">
        <w:rPr>
          <w:rFonts w:ascii="Arial" w:hAnsi="Arial" w:cs="Arial"/>
          <w:b/>
          <w:sz w:val="24"/>
          <w:szCs w:val="24"/>
        </w:rPr>
        <w:tab/>
      </w:r>
      <w:r w:rsidRPr="00FB2EAA" w:rsidR="00FB2EAA">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B865A8" w:rsidP="00723AEA" w:rsidRDefault="00B865A8" w14:paraId="6E1060CE" w14:textId="77777777">
      <w:pPr>
        <w:pStyle w:val="NoSpacing"/>
        <w:jc w:val="both"/>
        <w:rPr>
          <w:rFonts w:ascii="Arial" w:hAnsi="Arial" w:cs="Arial"/>
          <w:sz w:val="24"/>
          <w:szCs w:val="24"/>
        </w:rPr>
      </w:pPr>
    </w:p>
    <w:p w:rsidR="00B865A8" w:rsidP="00723AEA" w:rsidRDefault="00F44958" w14:paraId="6E1060CF" w14:textId="22BBA220">
      <w:pPr>
        <w:pStyle w:val="NoSpacing"/>
        <w:jc w:val="both"/>
        <w:rPr>
          <w:rFonts w:ascii="Arial" w:hAnsi="Arial" w:cs="Arial"/>
          <w:sz w:val="24"/>
          <w:szCs w:val="24"/>
        </w:rPr>
      </w:pPr>
      <w:r>
        <w:rPr>
          <w:rFonts w:ascii="Arial" w:hAnsi="Arial" w:cs="Arial"/>
          <w:sz w:val="24"/>
          <w:szCs w:val="24"/>
        </w:rPr>
        <w:t xml:space="preserve">Every applicant who submits an application for employment through the </w:t>
      </w:r>
      <w:r w:rsidR="00FF6919">
        <w:rPr>
          <w:rFonts w:ascii="Arial" w:hAnsi="Arial" w:cs="Arial"/>
          <w:sz w:val="24"/>
          <w:szCs w:val="24"/>
        </w:rPr>
        <w:t xml:space="preserve">MHM </w:t>
      </w:r>
      <w:r>
        <w:rPr>
          <w:rFonts w:ascii="Arial" w:hAnsi="Arial" w:cs="Arial"/>
          <w:sz w:val="24"/>
          <w:szCs w:val="24"/>
        </w:rPr>
        <w:t>system will receive a unique system-generated</w:t>
      </w:r>
      <w:r w:rsidR="00AB6484">
        <w:rPr>
          <w:rFonts w:ascii="Arial" w:hAnsi="Arial" w:cs="Arial"/>
          <w:sz w:val="24"/>
          <w:szCs w:val="24"/>
        </w:rPr>
        <w:t xml:space="preserve"> identification number. Since an application for employment can only be filed through the MHM system, no duplication of effort or collection of information is expected.</w:t>
      </w:r>
    </w:p>
    <w:p w:rsidR="00AB6484" w:rsidP="00723AEA" w:rsidRDefault="00AB6484" w14:paraId="6E1060D0" w14:textId="77777777">
      <w:pPr>
        <w:pStyle w:val="NoSpacing"/>
        <w:jc w:val="both"/>
        <w:rPr>
          <w:rFonts w:ascii="Arial" w:hAnsi="Arial" w:cs="Arial"/>
          <w:sz w:val="24"/>
          <w:szCs w:val="24"/>
        </w:rPr>
      </w:pPr>
    </w:p>
    <w:p w:rsidR="00AB6484" w:rsidP="00723AEA" w:rsidRDefault="00AB6484" w14:paraId="6E1060D1" w14:textId="194D62F3">
      <w:pPr>
        <w:pStyle w:val="NoSpacing"/>
        <w:jc w:val="both"/>
        <w:rPr>
          <w:rFonts w:ascii="Arial" w:hAnsi="Arial" w:cs="Arial"/>
          <w:sz w:val="24"/>
          <w:szCs w:val="24"/>
        </w:rPr>
      </w:pPr>
      <w:r>
        <w:rPr>
          <w:rFonts w:ascii="Arial" w:hAnsi="Arial" w:cs="Arial"/>
          <w:b/>
          <w:sz w:val="24"/>
          <w:szCs w:val="24"/>
        </w:rPr>
        <w:t xml:space="preserve">5. </w:t>
      </w:r>
      <w:r>
        <w:rPr>
          <w:rFonts w:ascii="Arial" w:hAnsi="Arial" w:cs="Arial"/>
          <w:b/>
          <w:sz w:val="24"/>
          <w:szCs w:val="24"/>
        </w:rPr>
        <w:tab/>
      </w:r>
      <w:r w:rsidRPr="00FB2EAA" w:rsidR="00FB2EAA">
        <w:rPr>
          <w:rFonts w:ascii="Arial" w:hAnsi="Arial" w:cs="Arial"/>
          <w:b/>
          <w:sz w:val="24"/>
          <w:szCs w:val="24"/>
        </w:rPr>
        <w:t>If the collection of information impacts small businesses or other small entities, describe any methods used to minimize burden.</w:t>
      </w:r>
    </w:p>
    <w:p w:rsidR="00AB6484" w:rsidP="00723AEA" w:rsidRDefault="00AB6484" w14:paraId="6E1060D2" w14:textId="77777777">
      <w:pPr>
        <w:pStyle w:val="NoSpacing"/>
        <w:jc w:val="both"/>
        <w:rPr>
          <w:rFonts w:ascii="Arial" w:hAnsi="Arial" w:cs="Arial"/>
          <w:sz w:val="24"/>
          <w:szCs w:val="24"/>
        </w:rPr>
      </w:pPr>
    </w:p>
    <w:p w:rsidR="00DC239C" w:rsidP="00723AEA" w:rsidRDefault="00FD301E" w14:paraId="6E1060D5" w14:textId="4578B001">
      <w:pPr>
        <w:pStyle w:val="NoSpacing"/>
        <w:jc w:val="both"/>
        <w:rPr>
          <w:rFonts w:ascii="Arial" w:hAnsi="Arial" w:cs="Arial"/>
          <w:sz w:val="24"/>
          <w:szCs w:val="24"/>
        </w:rPr>
      </w:pPr>
      <w:r>
        <w:rPr>
          <w:rFonts w:ascii="Arial" w:hAnsi="Arial" w:cs="Arial"/>
          <w:sz w:val="24"/>
          <w:szCs w:val="24"/>
        </w:rPr>
        <w:t xml:space="preserve">Individuals involved in this information collection respond as individuals seeking employment with the Agency.  </w:t>
      </w:r>
      <w:r w:rsidR="00741B8C">
        <w:rPr>
          <w:rFonts w:ascii="Arial" w:hAnsi="Arial" w:cs="Arial"/>
          <w:sz w:val="24"/>
          <w:szCs w:val="24"/>
        </w:rPr>
        <w:t xml:space="preserve">No significant impact is placed on small entities. </w:t>
      </w:r>
    </w:p>
    <w:p w:rsidR="008F6DAA" w:rsidP="00723AEA" w:rsidRDefault="008F6DAA" w14:paraId="6E1060D6" w14:textId="77777777">
      <w:pPr>
        <w:pStyle w:val="NoSpacing"/>
        <w:jc w:val="both"/>
        <w:rPr>
          <w:rFonts w:ascii="Arial" w:hAnsi="Arial" w:cs="Arial"/>
          <w:sz w:val="24"/>
          <w:szCs w:val="24"/>
        </w:rPr>
      </w:pPr>
    </w:p>
    <w:p w:rsidR="00FB2EAA" w:rsidP="00723AEA" w:rsidRDefault="00B73B29" w14:paraId="604473E3" w14:textId="1AD8F205">
      <w:pPr>
        <w:pStyle w:val="NoSpacing"/>
        <w:jc w:val="both"/>
        <w:rPr>
          <w:rFonts w:ascii="Arial" w:hAnsi="Arial" w:cs="Arial"/>
          <w:b/>
          <w:sz w:val="24"/>
          <w:szCs w:val="24"/>
        </w:rPr>
      </w:pPr>
      <w:r>
        <w:rPr>
          <w:rFonts w:ascii="Arial" w:hAnsi="Arial" w:cs="Arial"/>
          <w:b/>
          <w:sz w:val="24"/>
          <w:szCs w:val="24"/>
        </w:rPr>
        <w:t xml:space="preserve">6. </w:t>
      </w:r>
      <w:r>
        <w:rPr>
          <w:rFonts w:ascii="Arial" w:hAnsi="Arial" w:cs="Arial"/>
          <w:b/>
          <w:sz w:val="24"/>
          <w:szCs w:val="24"/>
        </w:rPr>
        <w:tab/>
      </w:r>
      <w:r w:rsidRPr="00FB2EAA" w:rsidR="00FB2EAA">
        <w:rPr>
          <w:rFonts w:ascii="Arial" w:hAnsi="Arial" w:cs="Arial"/>
          <w:b/>
          <w:sz w:val="24"/>
          <w:szCs w:val="24"/>
        </w:rPr>
        <w:t xml:space="preserve">Describe the consequence to Federal program or policy activities if the </w:t>
      </w:r>
      <w:r w:rsidR="00764BB3">
        <w:rPr>
          <w:rFonts w:ascii="Arial" w:hAnsi="Arial" w:cs="Arial"/>
          <w:b/>
          <w:sz w:val="24"/>
          <w:szCs w:val="24"/>
        </w:rPr>
        <w:t xml:space="preserve">information </w:t>
      </w:r>
      <w:r w:rsidRPr="00FB2EAA" w:rsidR="00FB2EAA">
        <w:rPr>
          <w:rFonts w:ascii="Arial" w:hAnsi="Arial" w:cs="Arial"/>
          <w:b/>
          <w:sz w:val="24"/>
          <w:szCs w:val="24"/>
        </w:rPr>
        <w:t>collection is not conducted or is conducted less frequently, as well as any technical or legal obstacles to reducing burden.</w:t>
      </w:r>
    </w:p>
    <w:p w:rsidR="00B73B29" w:rsidP="00723AEA" w:rsidRDefault="00B73B29" w14:paraId="6E1060D8" w14:textId="77777777">
      <w:pPr>
        <w:pStyle w:val="NoSpacing"/>
        <w:jc w:val="both"/>
        <w:rPr>
          <w:rFonts w:ascii="Arial" w:hAnsi="Arial" w:cs="Arial"/>
          <w:sz w:val="24"/>
          <w:szCs w:val="24"/>
        </w:rPr>
      </w:pPr>
    </w:p>
    <w:p w:rsidR="00B73B29" w:rsidP="00723AEA" w:rsidRDefault="00B73B29" w14:paraId="6E1060D9" w14:textId="77777777">
      <w:pPr>
        <w:pStyle w:val="NoSpacing"/>
        <w:jc w:val="both"/>
        <w:rPr>
          <w:rFonts w:ascii="Arial" w:hAnsi="Arial" w:cs="Arial"/>
          <w:sz w:val="24"/>
          <w:szCs w:val="24"/>
        </w:rPr>
      </w:pPr>
      <w:r>
        <w:rPr>
          <w:rFonts w:ascii="Arial" w:hAnsi="Arial" w:cs="Arial"/>
          <w:sz w:val="24"/>
          <w:szCs w:val="24"/>
        </w:rPr>
        <w:lastRenderedPageBreak/>
        <w:t xml:space="preserve">This information is collected only when the applicant is applying for a position at the USPTO. Therefore, this collection of information could not be conducted less frequently. </w:t>
      </w:r>
    </w:p>
    <w:p w:rsidR="00B73B29" w:rsidP="00723AEA" w:rsidRDefault="00B73B29" w14:paraId="6E1060DA" w14:textId="77777777">
      <w:pPr>
        <w:pStyle w:val="NoSpacing"/>
        <w:jc w:val="both"/>
        <w:rPr>
          <w:rFonts w:ascii="Arial" w:hAnsi="Arial" w:cs="Arial"/>
          <w:sz w:val="24"/>
          <w:szCs w:val="24"/>
        </w:rPr>
      </w:pPr>
    </w:p>
    <w:p w:rsidRPr="00FB2EAA" w:rsidR="00FB2EAA" w:rsidP="00FB2EAA" w:rsidRDefault="00B73B29" w14:paraId="66378D1D" w14:textId="77777777">
      <w:pPr>
        <w:pStyle w:val="NoSpacing"/>
        <w:jc w:val="both"/>
        <w:rPr>
          <w:rFonts w:ascii="Arial" w:hAnsi="Arial" w:cs="Arial"/>
          <w:b/>
          <w:sz w:val="24"/>
          <w:szCs w:val="24"/>
        </w:rPr>
      </w:pPr>
      <w:r>
        <w:rPr>
          <w:rFonts w:ascii="Arial" w:hAnsi="Arial" w:cs="Arial"/>
          <w:b/>
          <w:sz w:val="24"/>
          <w:szCs w:val="24"/>
        </w:rPr>
        <w:t xml:space="preserve">7. </w:t>
      </w:r>
      <w:r>
        <w:rPr>
          <w:rFonts w:ascii="Arial" w:hAnsi="Arial" w:cs="Arial"/>
          <w:b/>
          <w:sz w:val="24"/>
          <w:szCs w:val="24"/>
        </w:rPr>
        <w:tab/>
      </w:r>
      <w:r w:rsidRPr="00FB2EAA" w:rsidR="00FB2EAA">
        <w:rPr>
          <w:rFonts w:ascii="Arial" w:hAnsi="Arial" w:cs="Arial"/>
          <w:b/>
          <w:sz w:val="24"/>
          <w:szCs w:val="24"/>
        </w:rPr>
        <w:t>Explain any special circumstances that would cause an information collection to be conducted in a manner:</w:t>
      </w:r>
    </w:p>
    <w:p w:rsidRPr="00FB2EAA" w:rsidR="00FB2EAA" w:rsidP="00396E91" w:rsidRDefault="00FB2EAA" w14:paraId="7C2D7F4D" w14:textId="649E49EE">
      <w:pPr>
        <w:pStyle w:val="NoSpacing"/>
        <w:numPr>
          <w:ilvl w:val="0"/>
          <w:numId w:val="1"/>
        </w:numPr>
        <w:jc w:val="both"/>
        <w:rPr>
          <w:rFonts w:ascii="Arial" w:hAnsi="Arial" w:cs="Arial"/>
          <w:b/>
          <w:sz w:val="24"/>
          <w:szCs w:val="24"/>
        </w:rPr>
      </w:pPr>
      <w:r w:rsidRPr="00FB2EAA">
        <w:rPr>
          <w:rFonts w:ascii="Arial" w:hAnsi="Arial" w:cs="Arial"/>
          <w:b/>
          <w:sz w:val="24"/>
          <w:szCs w:val="24"/>
        </w:rPr>
        <w:t>requiring respondents to report information to the agency more often than quarterly;</w:t>
      </w:r>
    </w:p>
    <w:p w:rsidRPr="00FB2EAA" w:rsidR="00FB2EAA" w:rsidP="00396E91" w:rsidRDefault="00FB2EAA" w14:paraId="7879B125" w14:textId="27870ACD">
      <w:pPr>
        <w:pStyle w:val="NoSpacing"/>
        <w:numPr>
          <w:ilvl w:val="0"/>
          <w:numId w:val="1"/>
        </w:numPr>
        <w:jc w:val="both"/>
        <w:rPr>
          <w:rFonts w:ascii="Arial" w:hAnsi="Arial" w:cs="Arial"/>
          <w:b/>
          <w:sz w:val="24"/>
          <w:szCs w:val="24"/>
        </w:rPr>
      </w:pPr>
      <w:r w:rsidRPr="00FB2EAA">
        <w:rPr>
          <w:rFonts w:ascii="Arial" w:hAnsi="Arial" w:cs="Arial"/>
          <w:b/>
          <w:sz w:val="24"/>
          <w:szCs w:val="24"/>
        </w:rPr>
        <w:t>requiring respondents to prepare a written response to a collection of information in fewer than 30 days after receipt of it;</w:t>
      </w:r>
    </w:p>
    <w:p w:rsidRPr="00FB2EAA" w:rsidR="00FB2EAA" w:rsidP="00396E91" w:rsidRDefault="00FB2EAA" w14:paraId="6F8DC22A" w14:textId="7A7D33E5">
      <w:pPr>
        <w:pStyle w:val="NoSpacing"/>
        <w:numPr>
          <w:ilvl w:val="0"/>
          <w:numId w:val="1"/>
        </w:numPr>
        <w:jc w:val="both"/>
        <w:rPr>
          <w:rFonts w:ascii="Arial" w:hAnsi="Arial" w:cs="Arial"/>
          <w:b/>
          <w:sz w:val="24"/>
          <w:szCs w:val="24"/>
        </w:rPr>
      </w:pPr>
      <w:r w:rsidRPr="00FB2EAA">
        <w:rPr>
          <w:rFonts w:ascii="Arial" w:hAnsi="Arial" w:cs="Arial"/>
          <w:b/>
          <w:sz w:val="24"/>
          <w:szCs w:val="24"/>
        </w:rPr>
        <w:t xml:space="preserve">requiring respondents to submit more than an original and </w:t>
      </w:r>
      <w:r w:rsidR="00CB2E6D">
        <w:rPr>
          <w:rFonts w:ascii="Arial" w:hAnsi="Arial" w:cs="Arial"/>
          <w:b/>
          <w:sz w:val="24"/>
          <w:szCs w:val="24"/>
        </w:rPr>
        <w:t>2</w:t>
      </w:r>
      <w:r w:rsidRPr="00FB2EAA">
        <w:rPr>
          <w:rFonts w:ascii="Arial" w:hAnsi="Arial" w:cs="Arial"/>
          <w:b/>
          <w:sz w:val="24"/>
          <w:szCs w:val="24"/>
        </w:rPr>
        <w:t xml:space="preserve"> copies of any document;</w:t>
      </w:r>
    </w:p>
    <w:p w:rsidRPr="00FB2EAA" w:rsidR="00FB2EAA" w:rsidP="00396E91" w:rsidRDefault="00FB2EAA" w14:paraId="2C5EAA7D" w14:textId="107480C6">
      <w:pPr>
        <w:pStyle w:val="NoSpacing"/>
        <w:numPr>
          <w:ilvl w:val="0"/>
          <w:numId w:val="1"/>
        </w:numPr>
        <w:jc w:val="both"/>
        <w:rPr>
          <w:rFonts w:ascii="Arial" w:hAnsi="Arial" w:cs="Arial"/>
          <w:b/>
          <w:sz w:val="24"/>
          <w:szCs w:val="24"/>
        </w:rPr>
      </w:pPr>
      <w:r w:rsidRPr="00FB2EAA">
        <w:rPr>
          <w:rFonts w:ascii="Arial" w:hAnsi="Arial" w:cs="Arial"/>
          <w:b/>
          <w:sz w:val="24"/>
          <w:szCs w:val="24"/>
        </w:rPr>
        <w:t xml:space="preserve">requiring respondents to retain records, other than health, medical, government contract, grant-in-aid, or tax records, for more than </w:t>
      </w:r>
      <w:r w:rsidR="00F71FE8">
        <w:rPr>
          <w:rFonts w:ascii="Arial" w:hAnsi="Arial" w:cs="Arial"/>
          <w:b/>
          <w:sz w:val="24"/>
          <w:szCs w:val="24"/>
        </w:rPr>
        <w:t>3</w:t>
      </w:r>
      <w:r w:rsidRPr="00FB2EAA">
        <w:rPr>
          <w:rFonts w:ascii="Arial" w:hAnsi="Arial" w:cs="Arial"/>
          <w:b/>
          <w:sz w:val="24"/>
          <w:szCs w:val="24"/>
        </w:rPr>
        <w:t xml:space="preserve"> years;</w:t>
      </w:r>
    </w:p>
    <w:p w:rsidR="00FB2EAA" w:rsidP="00396E91" w:rsidRDefault="00FB2EAA" w14:paraId="68D59D29" w14:textId="2381D62A">
      <w:pPr>
        <w:pStyle w:val="NoSpacing"/>
        <w:numPr>
          <w:ilvl w:val="0"/>
          <w:numId w:val="1"/>
        </w:numPr>
        <w:jc w:val="both"/>
        <w:rPr>
          <w:rFonts w:ascii="Arial" w:hAnsi="Arial" w:cs="Arial"/>
          <w:b/>
          <w:sz w:val="24"/>
          <w:szCs w:val="24"/>
        </w:rPr>
      </w:pPr>
      <w:r w:rsidRPr="00FB2EAA">
        <w:rPr>
          <w:rFonts w:ascii="Arial" w:hAnsi="Arial" w:cs="Arial"/>
          <w:b/>
          <w:sz w:val="24"/>
          <w:szCs w:val="24"/>
        </w:rPr>
        <w:t>in connection with a statistical survey, that is not designed to produce valid and reliable results that can be generalized to the universe of study;</w:t>
      </w:r>
    </w:p>
    <w:p w:rsidRPr="00FB2EAA" w:rsidR="00FB2EAA" w:rsidP="00396E91" w:rsidRDefault="00FB2EAA" w14:paraId="079E9D26" w14:textId="4701CBF2">
      <w:pPr>
        <w:pStyle w:val="NoSpacing"/>
        <w:numPr>
          <w:ilvl w:val="0"/>
          <w:numId w:val="1"/>
        </w:numPr>
        <w:jc w:val="both"/>
        <w:rPr>
          <w:rFonts w:ascii="Arial" w:hAnsi="Arial" w:cs="Arial"/>
          <w:b/>
          <w:sz w:val="24"/>
          <w:szCs w:val="24"/>
        </w:rPr>
      </w:pPr>
      <w:r w:rsidRPr="00FB2EAA">
        <w:rPr>
          <w:rFonts w:ascii="Arial" w:hAnsi="Arial" w:cs="Arial"/>
          <w:b/>
          <w:sz w:val="24"/>
          <w:szCs w:val="24"/>
        </w:rPr>
        <w:t>requiring the use of a statistical data classification that has not been reviewed and approved by OMB;</w:t>
      </w:r>
    </w:p>
    <w:p w:rsidRPr="00FB2EAA" w:rsidR="00FB2EAA" w:rsidP="00396E91" w:rsidRDefault="00FB2EAA" w14:paraId="6AFF6D74" w14:textId="2AF9CFB8">
      <w:pPr>
        <w:pStyle w:val="NoSpacing"/>
        <w:numPr>
          <w:ilvl w:val="0"/>
          <w:numId w:val="1"/>
        </w:numPr>
        <w:jc w:val="both"/>
        <w:rPr>
          <w:rFonts w:ascii="Arial" w:hAnsi="Arial" w:cs="Arial"/>
          <w:b/>
          <w:sz w:val="24"/>
          <w:szCs w:val="24"/>
        </w:rPr>
      </w:pPr>
      <w:r w:rsidRPr="00FB2EAA">
        <w:rPr>
          <w:rFonts w:ascii="Arial" w:hAnsi="Arial" w:cs="Arial"/>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B2EAA" w:rsidP="00396E91" w:rsidRDefault="00FB2EAA" w14:paraId="6B267433" w14:textId="4CA2804A">
      <w:pPr>
        <w:pStyle w:val="NoSpacing"/>
        <w:numPr>
          <w:ilvl w:val="0"/>
          <w:numId w:val="1"/>
        </w:numPr>
        <w:jc w:val="both"/>
        <w:rPr>
          <w:rFonts w:ascii="Arial" w:hAnsi="Arial" w:cs="Arial"/>
          <w:b/>
          <w:sz w:val="24"/>
          <w:szCs w:val="24"/>
        </w:rPr>
      </w:pPr>
      <w:proofErr w:type="gramStart"/>
      <w:r w:rsidRPr="00FB2EAA">
        <w:rPr>
          <w:rFonts w:ascii="Arial" w:hAnsi="Arial" w:cs="Arial"/>
          <w:b/>
          <w:sz w:val="24"/>
          <w:szCs w:val="24"/>
        </w:rPr>
        <w:t>requiring</w:t>
      </w:r>
      <w:proofErr w:type="gramEnd"/>
      <w:r w:rsidRPr="00FB2EAA">
        <w:rPr>
          <w:rFonts w:ascii="Arial" w:hAnsi="Arial" w:cs="Arial"/>
          <w:b/>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B73B29" w:rsidP="00723AEA" w:rsidRDefault="00B73B29" w14:paraId="6E1060DC" w14:textId="77777777">
      <w:pPr>
        <w:pStyle w:val="NoSpacing"/>
        <w:jc w:val="both"/>
        <w:rPr>
          <w:rFonts w:ascii="Arial" w:hAnsi="Arial" w:cs="Arial"/>
          <w:sz w:val="24"/>
          <w:szCs w:val="24"/>
        </w:rPr>
      </w:pPr>
    </w:p>
    <w:p w:rsidR="00B73B29" w:rsidP="00723AEA" w:rsidRDefault="00B73B29" w14:paraId="6E1060DD" w14:textId="77777777">
      <w:pPr>
        <w:pStyle w:val="NoSpacing"/>
        <w:jc w:val="both"/>
        <w:rPr>
          <w:rFonts w:ascii="Arial" w:hAnsi="Arial" w:cs="Arial"/>
          <w:sz w:val="24"/>
          <w:szCs w:val="24"/>
        </w:rPr>
      </w:pPr>
      <w:r>
        <w:rPr>
          <w:rFonts w:ascii="Arial" w:hAnsi="Arial" w:cs="Arial"/>
          <w:sz w:val="24"/>
          <w:szCs w:val="24"/>
        </w:rPr>
        <w:t>There are no special circumstances associated with this collection of information.</w:t>
      </w:r>
    </w:p>
    <w:p w:rsidR="00B73B29" w:rsidP="00723AEA" w:rsidRDefault="00B73B29" w14:paraId="6E1060DE" w14:textId="77777777">
      <w:pPr>
        <w:pStyle w:val="NoSpacing"/>
        <w:jc w:val="both"/>
        <w:rPr>
          <w:rFonts w:ascii="Arial" w:hAnsi="Arial" w:cs="Arial"/>
          <w:sz w:val="24"/>
          <w:szCs w:val="24"/>
        </w:rPr>
      </w:pPr>
    </w:p>
    <w:p w:rsidR="00A374EF" w:rsidP="00A374EF" w:rsidRDefault="00B73B29" w14:paraId="534E2123" w14:textId="709B0D1B">
      <w:pPr>
        <w:pStyle w:val="NoSpacing"/>
        <w:jc w:val="both"/>
        <w:rPr>
          <w:rFonts w:ascii="Arial" w:hAnsi="Arial" w:cs="Arial"/>
          <w:b/>
          <w:sz w:val="24"/>
          <w:szCs w:val="24"/>
        </w:rPr>
      </w:pPr>
      <w:r>
        <w:rPr>
          <w:rFonts w:ascii="Arial" w:hAnsi="Arial" w:cs="Arial"/>
          <w:b/>
          <w:sz w:val="24"/>
          <w:szCs w:val="24"/>
        </w:rPr>
        <w:t xml:space="preserve">8. </w:t>
      </w:r>
      <w:r>
        <w:rPr>
          <w:rFonts w:ascii="Arial" w:hAnsi="Arial" w:cs="Arial"/>
          <w:b/>
          <w:sz w:val="24"/>
          <w:szCs w:val="24"/>
        </w:rPr>
        <w:tab/>
      </w:r>
      <w:r w:rsidRPr="00A374EF" w:rsidR="00A374EF">
        <w:rPr>
          <w:rFonts w:ascii="Arial" w:hAnsi="Arial" w:cs="Arial"/>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374EF" w:rsidR="00A374EF" w:rsidP="00A374EF" w:rsidRDefault="00A374EF" w14:paraId="0752B009" w14:textId="77777777">
      <w:pPr>
        <w:pStyle w:val="NoSpacing"/>
        <w:jc w:val="both"/>
        <w:rPr>
          <w:rFonts w:ascii="Arial" w:hAnsi="Arial" w:cs="Arial"/>
          <w:b/>
          <w:sz w:val="24"/>
          <w:szCs w:val="24"/>
        </w:rPr>
      </w:pPr>
    </w:p>
    <w:p w:rsidR="00A374EF" w:rsidP="00A374EF" w:rsidRDefault="00A374EF" w14:paraId="775A2536" w14:textId="71A41678">
      <w:pPr>
        <w:pStyle w:val="NoSpacing"/>
        <w:jc w:val="both"/>
        <w:rPr>
          <w:rFonts w:ascii="Arial" w:hAnsi="Arial" w:cs="Arial"/>
          <w:b/>
          <w:sz w:val="24"/>
          <w:szCs w:val="24"/>
        </w:rPr>
      </w:pPr>
      <w:r w:rsidRPr="00A374EF">
        <w:rPr>
          <w:rFonts w:ascii="Arial" w:hAnsi="Arial" w:cs="Arial"/>
          <w:b/>
          <w:sz w:val="24"/>
          <w:szCs w:val="24"/>
        </w:rPr>
        <w:t xml:space="preserve">Describe efforts to consult with persons outside the agency to obtain their views on the availability of data, frequency of </w:t>
      </w:r>
      <w:r w:rsidR="00E574F5">
        <w:rPr>
          <w:rFonts w:ascii="Arial" w:hAnsi="Arial" w:cs="Arial"/>
          <w:b/>
          <w:sz w:val="24"/>
          <w:szCs w:val="24"/>
        </w:rPr>
        <w:t xml:space="preserve">information </w:t>
      </w:r>
      <w:r w:rsidRPr="00A374EF">
        <w:rPr>
          <w:rFonts w:ascii="Arial" w:hAnsi="Arial" w:cs="Arial"/>
          <w:b/>
          <w:sz w:val="24"/>
          <w:szCs w:val="24"/>
        </w:rPr>
        <w:t>collection, the clarity of instructions and recordkeeping, disclosure, or reporting format (if any), and on the data elements to be recorded, disclosed, or reported.</w:t>
      </w:r>
    </w:p>
    <w:p w:rsidRPr="00A374EF" w:rsidR="00A374EF" w:rsidP="00A374EF" w:rsidRDefault="00A374EF" w14:paraId="473CC62A" w14:textId="77777777">
      <w:pPr>
        <w:pStyle w:val="NoSpacing"/>
        <w:jc w:val="both"/>
        <w:rPr>
          <w:rFonts w:ascii="Arial" w:hAnsi="Arial" w:cs="Arial"/>
          <w:b/>
          <w:sz w:val="24"/>
          <w:szCs w:val="24"/>
        </w:rPr>
      </w:pPr>
    </w:p>
    <w:p w:rsidR="00B73B29" w:rsidP="00A374EF" w:rsidRDefault="00A374EF" w14:paraId="6E1060DF" w14:textId="3707D31E">
      <w:pPr>
        <w:pStyle w:val="NoSpacing"/>
        <w:jc w:val="both"/>
        <w:rPr>
          <w:rFonts w:ascii="Arial" w:hAnsi="Arial" w:cs="Arial"/>
          <w:sz w:val="24"/>
          <w:szCs w:val="24"/>
        </w:rPr>
      </w:pPr>
      <w:r w:rsidRPr="00A374EF">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73B29" w:rsidP="00723AEA" w:rsidRDefault="00B73B29" w14:paraId="6E1060E0" w14:textId="77777777">
      <w:pPr>
        <w:pStyle w:val="NoSpacing"/>
        <w:jc w:val="both"/>
        <w:rPr>
          <w:rFonts w:ascii="Arial" w:hAnsi="Arial" w:cs="Arial"/>
          <w:sz w:val="24"/>
          <w:szCs w:val="24"/>
        </w:rPr>
      </w:pPr>
    </w:p>
    <w:p w:rsidR="00B73B29" w:rsidP="00723AEA" w:rsidRDefault="000249FC" w14:paraId="6E1060E1" w14:textId="7B8AC1A0">
      <w:pPr>
        <w:pStyle w:val="NoSpacing"/>
        <w:jc w:val="both"/>
        <w:rPr>
          <w:rFonts w:ascii="Arial" w:hAnsi="Arial" w:cs="Arial"/>
          <w:sz w:val="24"/>
          <w:szCs w:val="24"/>
        </w:rPr>
      </w:pPr>
      <w:r>
        <w:rPr>
          <w:rFonts w:ascii="Arial" w:hAnsi="Arial" w:cs="Arial"/>
          <w:sz w:val="24"/>
          <w:szCs w:val="24"/>
        </w:rPr>
        <w:lastRenderedPageBreak/>
        <w:t xml:space="preserve">The 60-Day Notice was published in the </w:t>
      </w:r>
      <w:r>
        <w:rPr>
          <w:rFonts w:ascii="Arial" w:hAnsi="Arial" w:cs="Arial"/>
          <w:i/>
          <w:sz w:val="24"/>
          <w:szCs w:val="24"/>
        </w:rPr>
        <w:t>Federal Register</w:t>
      </w:r>
      <w:r>
        <w:rPr>
          <w:rFonts w:ascii="Arial" w:hAnsi="Arial" w:cs="Arial"/>
          <w:sz w:val="24"/>
          <w:szCs w:val="24"/>
        </w:rPr>
        <w:t xml:space="preserve"> on </w:t>
      </w:r>
      <w:r w:rsidR="005865E5">
        <w:rPr>
          <w:rFonts w:ascii="Arial" w:hAnsi="Arial" w:cs="Arial"/>
          <w:sz w:val="24"/>
          <w:szCs w:val="24"/>
        </w:rPr>
        <w:t>October 23</w:t>
      </w:r>
      <w:r w:rsidR="00930D95">
        <w:rPr>
          <w:rFonts w:ascii="Arial" w:hAnsi="Arial" w:cs="Arial"/>
          <w:sz w:val="24"/>
          <w:szCs w:val="24"/>
        </w:rPr>
        <w:t xml:space="preserve">, </w:t>
      </w:r>
      <w:r w:rsidR="005865E5">
        <w:rPr>
          <w:rFonts w:ascii="Arial" w:hAnsi="Arial" w:cs="Arial"/>
          <w:sz w:val="24"/>
          <w:szCs w:val="24"/>
        </w:rPr>
        <w:t>2020</w:t>
      </w:r>
      <w:r>
        <w:rPr>
          <w:rFonts w:ascii="Arial" w:hAnsi="Arial" w:cs="Arial"/>
          <w:sz w:val="24"/>
          <w:szCs w:val="24"/>
        </w:rPr>
        <w:t xml:space="preserve">. The comment period ended on </w:t>
      </w:r>
      <w:r w:rsidR="005865E5">
        <w:rPr>
          <w:rFonts w:ascii="Arial" w:hAnsi="Arial" w:cs="Arial"/>
          <w:sz w:val="24"/>
          <w:szCs w:val="24"/>
        </w:rPr>
        <w:t>December 22, 2020</w:t>
      </w:r>
      <w:r>
        <w:rPr>
          <w:rFonts w:ascii="Arial" w:hAnsi="Arial" w:cs="Arial"/>
          <w:sz w:val="24"/>
          <w:szCs w:val="24"/>
        </w:rPr>
        <w:t xml:space="preserve">. No </w:t>
      </w:r>
      <w:r w:rsidR="00E4606C">
        <w:rPr>
          <w:rFonts w:ascii="Arial" w:hAnsi="Arial" w:cs="Arial"/>
          <w:sz w:val="24"/>
          <w:szCs w:val="24"/>
        </w:rPr>
        <w:t xml:space="preserve">public </w:t>
      </w:r>
      <w:r>
        <w:rPr>
          <w:rFonts w:ascii="Arial" w:hAnsi="Arial" w:cs="Arial"/>
          <w:sz w:val="24"/>
          <w:szCs w:val="24"/>
        </w:rPr>
        <w:t>comments were received</w:t>
      </w:r>
      <w:r w:rsidR="00E4606C">
        <w:rPr>
          <w:rFonts w:ascii="Arial" w:hAnsi="Arial" w:cs="Arial"/>
          <w:sz w:val="24"/>
          <w:szCs w:val="24"/>
        </w:rPr>
        <w:t xml:space="preserve"> in response to the notice</w:t>
      </w:r>
      <w:r>
        <w:rPr>
          <w:rFonts w:ascii="Arial" w:hAnsi="Arial" w:cs="Arial"/>
          <w:sz w:val="24"/>
          <w:szCs w:val="24"/>
        </w:rPr>
        <w:t xml:space="preserve">. </w:t>
      </w:r>
    </w:p>
    <w:p w:rsidR="000249FC" w:rsidP="00723AEA" w:rsidRDefault="000249FC" w14:paraId="6E1060E2" w14:textId="77777777">
      <w:pPr>
        <w:pStyle w:val="NoSpacing"/>
        <w:jc w:val="both"/>
        <w:rPr>
          <w:rFonts w:ascii="Arial" w:hAnsi="Arial" w:cs="Arial"/>
          <w:sz w:val="24"/>
          <w:szCs w:val="24"/>
        </w:rPr>
      </w:pPr>
    </w:p>
    <w:p w:rsidR="000249FC" w:rsidP="00723AEA" w:rsidRDefault="000249FC" w14:paraId="6E1060E3" w14:textId="35503CC8">
      <w:pPr>
        <w:pStyle w:val="NoSpacing"/>
        <w:jc w:val="both"/>
        <w:rPr>
          <w:rFonts w:ascii="Arial" w:hAnsi="Arial" w:cs="Arial"/>
          <w:sz w:val="24"/>
          <w:szCs w:val="24"/>
        </w:rPr>
      </w:pPr>
      <w:r>
        <w:rPr>
          <w:rFonts w:ascii="Arial" w:hAnsi="Arial" w:cs="Arial"/>
          <w:sz w:val="24"/>
          <w:szCs w:val="24"/>
        </w:rPr>
        <w:t xml:space="preserve">The USPTO has long-standing relationships with groups from whom patent application information is collected, such as the American Intellectual Property Law Association, as well as patent bar associations, independent inventor groups, and users of the public search facilities. Their views are expressed in regularly scheduled meetings and considered when developing proposals for </w:t>
      </w:r>
      <w:r w:rsidR="00ED47E7">
        <w:rPr>
          <w:rFonts w:ascii="Arial" w:hAnsi="Arial" w:cs="Arial"/>
          <w:sz w:val="24"/>
          <w:szCs w:val="24"/>
        </w:rPr>
        <w:t xml:space="preserve">information collection requirements. There have been no comments or concerns expressed by these or similar organizations concerning the time to provide the information required under this </w:t>
      </w:r>
      <w:r w:rsidR="007138F9">
        <w:rPr>
          <w:rFonts w:ascii="Arial" w:hAnsi="Arial" w:cs="Arial"/>
          <w:sz w:val="24"/>
          <w:szCs w:val="24"/>
        </w:rPr>
        <w:t>application process</w:t>
      </w:r>
      <w:r w:rsidR="00ED47E7">
        <w:rPr>
          <w:rFonts w:ascii="Arial" w:hAnsi="Arial" w:cs="Arial"/>
          <w:sz w:val="24"/>
          <w:szCs w:val="24"/>
        </w:rPr>
        <w:t xml:space="preserve">. </w:t>
      </w:r>
    </w:p>
    <w:p w:rsidR="00ED47E7" w:rsidP="00723AEA" w:rsidRDefault="00ED47E7" w14:paraId="6E1060E4" w14:textId="77777777">
      <w:pPr>
        <w:pStyle w:val="NoSpacing"/>
        <w:jc w:val="both"/>
        <w:rPr>
          <w:rFonts w:ascii="Arial" w:hAnsi="Arial" w:cs="Arial"/>
          <w:sz w:val="24"/>
          <w:szCs w:val="24"/>
        </w:rPr>
      </w:pPr>
    </w:p>
    <w:p w:rsidR="00A374EF" w:rsidP="00723AEA" w:rsidRDefault="00ED47E7" w14:paraId="4962770D" w14:textId="77777777">
      <w:pPr>
        <w:pStyle w:val="NoSpacing"/>
        <w:jc w:val="both"/>
        <w:rPr>
          <w:rFonts w:ascii="Arial" w:hAnsi="Arial" w:cs="Arial"/>
          <w:b/>
          <w:sz w:val="24"/>
          <w:szCs w:val="24"/>
        </w:rPr>
      </w:pPr>
      <w:r>
        <w:rPr>
          <w:rFonts w:ascii="Arial" w:hAnsi="Arial" w:cs="Arial"/>
          <w:b/>
          <w:sz w:val="24"/>
          <w:szCs w:val="24"/>
        </w:rPr>
        <w:t xml:space="preserve">9. </w:t>
      </w:r>
      <w:r>
        <w:rPr>
          <w:rFonts w:ascii="Arial" w:hAnsi="Arial" w:cs="Arial"/>
          <w:b/>
          <w:sz w:val="24"/>
          <w:szCs w:val="24"/>
        </w:rPr>
        <w:tab/>
      </w:r>
      <w:r w:rsidRPr="00A374EF" w:rsidR="00A374EF">
        <w:rPr>
          <w:rFonts w:ascii="Arial" w:hAnsi="Arial" w:cs="Arial"/>
          <w:b/>
          <w:sz w:val="24"/>
          <w:szCs w:val="24"/>
        </w:rPr>
        <w:t>Explain any decision to provide any payment or gift to respondents, other than remuneration of contractors or grantees.</w:t>
      </w:r>
    </w:p>
    <w:p w:rsidR="00ED47E7" w:rsidP="00723AEA" w:rsidRDefault="00ED47E7" w14:paraId="6E1060E6" w14:textId="77777777">
      <w:pPr>
        <w:pStyle w:val="NoSpacing"/>
        <w:jc w:val="both"/>
        <w:rPr>
          <w:rFonts w:ascii="Arial" w:hAnsi="Arial" w:cs="Arial"/>
          <w:sz w:val="24"/>
          <w:szCs w:val="24"/>
        </w:rPr>
      </w:pPr>
    </w:p>
    <w:p w:rsidR="00ED47E7" w:rsidP="00723AEA" w:rsidRDefault="00ED47E7" w14:paraId="6E1060E7" w14:textId="77777777">
      <w:pPr>
        <w:pStyle w:val="NoSpacing"/>
        <w:jc w:val="both"/>
        <w:rPr>
          <w:rFonts w:ascii="Arial" w:hAnsi="Arial" w:cs="Arial"/>
          <w:sz w:val="24"/>
          <w:szCs w:val="24"/>
        </w:rPr>
      </w:pPr>
      <w:r>
        <w:rPr>
          <w:rFonts w:ascii="Arial" w:hAnsi="Arial" w:cs="Arial"/>
          <w:sz w:val="24"/>
          <w:szCs w:val="24"/>
        </w:rPr>
        <w:t>This information collection does not involve a payment or gift to any respondent.</w:t>
      </w:r>
    </w:p>
    <w:p w:rsidR="00ED47E7" w:rsidP="00723AEA" w:rsidRDefault="00ED47E7" w14:paraId="6E1060E8" w14:textId="77777777">
      <w:pPr>
        <w:pStyle w:val="NoSpacing"/>
        <w:jc w:val="both"/>
        <w:rPr>
          <w:rFonts w:ascii="Arial" w:hAnsi="Arial" w:cs="Arial"/>
          <w:sz w:val="24"/>
          <w:szCs w:val="24"/>
        </w:rPr>
      </w:pPr>
    </w:p>
    <w:p w:rsidR="00ED47E7" w:rsidP="00723AEA" w:rsidRDefault="00ED47E7" w14:paraId="6E1060E9" w14:textId="42AF29B3">
      <w:pPr>
        <w:pStyle w:val="NoSpacing"/>
        <w:jc w:val="both"/>
        <w:rPr>
          <w:rFonts w:ascii="Arial" w:hAnsi="Arial" w:cs="Arial"/>
          <w:sz w:val="24"/>
          <w:szCs w:val="24"/>
        </w:rPr>
      </w:pPr>
      <w:r>
        <w:rPr>
          <w:rFonts w:ascii="Arial" w:hAnsi="Arial" w:cs="Arial"/>
          <w:b/>
          <w:sz w:val="24"/>
          <w:szCs w:val="24"/>
        </w:rPr>
        <w:t>10.</w:t>
      </w:r>
      <w:r>
        <w:rPr>
          <w:rFonts w:ascii="Arial" w:hAnsi="Arial" w:cs="Arial"/>
          <w:b/>
          <w:sz w:val="24"/>
          <w:szCs w:val="24"/>
        </w:rPr>
        <w:tab/>
        <w:t xml:space="preserve"> </w:t>
      </w:r>
      <w:r w:rsidRPr="00A374EF" w:rsidR="00A374EF">
        <w:rPr>
          <w:rFonts w:ascii="Arial" w:hAnsi="Arial" w:cs="Arial"/>
          <w:b/>
          <w:sz w:val="24"/>
          <w:szCs w:val="24"/>
        </w:rPr>
        <w:t xml:space="preserve">Describe any assurance of confidentiality provided to respondents and the basis for the assurance in statute, regulation, or agency policy. If the </w:t>
      </w:r>
      <w:r w:rsidR="00E574F5">
        <w:rPr>
          <w:rFonts w:ascii="Arial" w:hAnsi="Arial" w:cs="Arial"/>
          <w:b/>
          <w:sz w:val="24"/>
          <w:szCs w:val="24"/>
        </w:rPr>
        <w:t xml:space="preserve">information </w:t>
      </w:r>
      <w:r w:rsidRPr="00A374EF" w:rsidR="00A374EF">
        <w:rPr>
          <w:rFonts w:ascii="Arial" w:hAnsi="Arial" w:cs="Arial"/>
          <w:b/>
          <w:sz w:val="24"/>
          <w:szCs w:val="24"/>
        </w:rPr>
        <w:t>collection requires a systems of records notice (SORN) or privacy impact assessment (PIA), those should be cited and described here.</w:t>
      </w:r>
    </w:p>
    <w:p w:rsidR="00ED47E7" w:rsidP="00723AEA" w:rsidRDefault="00ED47E7" w14:paraId="6E1060EA" w14:textId="77777777">
      <w:pPr>
        <w:pStyle w:val="NoSpacing"/>
        <w:jc w:val="both"/>
        <w:rPr>
          <w:rFonts w:ascii="Arial" w:hAnsi="Arial" w:cs="Arial"/>
          <w:sz w:val="24"/>
          <w:szCs w:val="24"/>
        </w:rPr>
      </w:pPr>
    </w:p>
    <w:p w:rsidRPr="00265C25" w:rsidR="00265C25" w:rsidP="00265C25" w:rsidRDefault="00265C25" w14:paraId="67A2FEA0" w14:textId="77777777">
      <w:pPr>
        <w:pStyle w:val="NoSpacing"/>
        <w:jc w:val="both"/>
        <w:rPr>
          <w:rFonts w:ascii="Arial" w:hAnsi="Arial" w:cs="Arial"/>
          <w:sz w:val="24"/>
          <w:szCs w:val="24"/>
        </w:rPr>
      </w:pPr>
      <w:r w:rsidRPr="00265C25">
        <w:rPr>
          <w:rFonts w:ascii="Arial" w:hAnsi="Arial" w:cs="Arial"/>
          <w:sz w:val="24"/>
          <w:szCs w:val="24"/>
        </w:rPr>
        <w:t>The Office of Personnel Management (OPM) and other Federal agencies rate applications for Federal jobs under the authority of 5 U.S.C. §§ 1104, 1302, 3301, 3304, and 8716. The information in this collection will be treated confidentially to the extent allowed by law under the Freedom of Information Act (FOIA) and the Privacy Act. The information from the online applications and the vacancy announcements are used to determine suitability for Federal employment and to evaluate individual qualifications.</w:t>
      </w:r>
    </w:p>
    <w:p w:rsidRPr="00265C25" w:rsidR="00265C25" w:rsidP="00265C25" w:rsidRDefault="00265C25" w14:paraId="730F255A" w14:textId="77777777">
      <w:pPr>
        <w:pStyle w:val="NoSpacing"/>
        <w:jc w:val="both"/>
        <w:rPr>
          <w:rFonts w:ascii="Arial" w:hAnsi="Arial" w:cs="Arial"/>
          <w:sz w:val="24"/>
          <w:szCs w:val="24"/>
        </w:rPr>
      </w:pPr>
    </w:p>
    <w:p w:rsidRPr="00265C25" w:rsidR="00265C25" w:rsidP="00265C25" w:rsidRDefault="00265C25" w14:paraId="2718D6BF" w14:textId="77777777">
      <w:pPr>
        <w:pStyle w:val="NoSpacing"/>
        <w:jc w:val="both"/>
        <w:rPr>
          <w:rFonts w:ascii="Arial" w:hAnsi="Arial" w:cs="Arial"/>
          <w:sz w:val="24"/>
          <w:szCs w:val="24"/>
        </w:rPr>
      </w:pPr>
      <w:r w:rsidRPr="00265C25">
        <w:rPr>
          <w:rFonts w:ascii="Arial" w:hAnsi="Arial" w:cs="Arial"/>
          <w:sz w:val="24"/>
          <w:szCs w:val="24"/>
        </w:rPr>
        <w:t>Confidentiality of Patent Examiner Employment Application is governed by statute (35 U.S.C. § 122) and regulation (37 CFR 1.11 and 1.14).  The USPTO has a legal obligation to maintain the confidentiality of the contents of all automated online applications submissions and related documents. For secure electronic access to PAIR, the USPTO employs digital certificates and PKI technology to permit only authorized individuals to access private USPTO’s Office of Human Resources (OHR) department information and to maintain the confidentiality and integrity of the information as it is transmitted over the Internet. PII stored in the system is data collected from USPTO job applicants in which the information is confidential and unique to those individuals. The unauthorized access, modification, and/or disclosure of sensitive data would have a Moderate impact on the organization and its operations.</w:t>
      </w:r>
    </w:p>
    <w:p w:rsidR="00265C25" w:rsidP="00265C25" w:rsidRDefault="00265C25" w14:paraId="41E9DEB5" w14:textId="77777777">
      <w:pPr>
        <w:pStyle w:val="NoSpacing"/>
        <w:jc w:val="both"/>
        <w:rPr>
          <w:rFonts w:ascii="Arial" w:hAnsi="Arial" w:cs="Arial"/>
          <w:sz w:val="24"/>
          <w:szCs w:val="24"/>
        </w:rPr>
      </w:pPr>
    </w:p>
    <w:p w:rsidRPr="00265C25" w:rsidR="00265C25" w:rsidP="00265C25" w:rsidRDefault="00265C25" w14:paraId="7EF32A56" w14:textId="53545D31">
      <w:pPr>
        <w:pStyle w:val="NoSpacing"/>
        <w:jc w:val="both"/>
        <w:rPr>
          <w:rFonts w:ascii="Arial" w:hAnsi="Arial" w:cs="Arial"/>
          <w:sz w:val="24"/>
          <w:szCs w:val="24"/>
        </w:rPr>
      </w:pPr>
      <w:r w:rsidRPr="00265C25">
        <w:rPr>
          <w:rFonts w:ascii="Arial" w:hAnsi="Arial" w:cs="Arial"/>
          <w:sz w:val="24"/>
          <w:szCs w:val="24"/>
        </w:rPr>
        <w:t xml:space="preserve">This information collection contains information which is subject to the Privacy Act. This information is collected by the USPTO to rate applicants for a patent examiner position and to expedite the hiring process. Individuals that is interested in Patent Examiner position may apply through the Monster Hiring Manager (MHM). Patent Examiner Employment Application information collection activities are covered under the Statement </w:t>
      </w:r>
      <w:r w:rsidRPr="00265C25">
        <w:rPr>
          <w:rFonts w:ascii="Arial" w:hAnsi="Arial" w:cs="Arial"/>
          <w:sz w:val="24"/>
          <w:szCs w:val="24"/>
        </w:rPr>
        <w:lastRenderedPageBreak/>
        <w:t>of Records Notice (OPM/GOVT–5 Recruiting, Examining, and Placement Records) at Federal Register / Vol. 79, No. 58 / Wednesday, March 26, 2014 / Notices, page 16835. This SORN identifies the categories of records in the system</w:t>
      </w:r>
      <w:r w:rsidR="0087517C">
        <w:rPr>
          <w:rFonts w:ascii="Arial" w:hAnsi="Arial" w:cs="Arial"/>
          <w:sz w:val="24"/>
          <w:szCs w:val="24"/>
        </w:rPr>
        <w:t>.</w:t>
      </w:r>
      <w:r w:rsidRPr="00265C25">
        <w:rPr>
          <w:rFonts w:ascii="Arial" w:hAnsi="Arial" w:cs="Arial"/>
          <w:sz w:val="24"/>
          <w:szCs w:val="24"/>
        </w:rPr>
        <w:t xml:space="preserve"> These records pertain to assembled and unassembled examining procedures and contain information on both competitive examinations and on certain noncompetitive actions, such as determinations of time-in- grade restriction waivers, waiver of qualification requirement determinations, and variations in regulatory requirements in individual cases. </w:t>
      </w:r>
    </w:p>
    <w:p w:rsidR="00265C25" w:rsidP="00265C25" w:rsidRDefault="00265C25" w14:paraId="5BEBD106" w14:textId="77777777">
      <w:pPr>
        <w:pStyle w:val="NoSpacing"/>
        <w:jc w:val="both"/>
        <w:rPr>
          <w:rFonts w:ascii="Arial" w:hAnsi="Arial" w:cs="Arial"/>
          <w:sz w:val="24"/>
          <w:szCs w:val="24"/>
        </w:rPr>
      </w:pPr>
    </w:p>
    <w:p w:rsidR="0013375F" w:rsidP="00265C25" w:rsidRDefault="00265C25" w14:paraId="4931EF68" w14:textId="451D7273">
      <w:pPr>
        <w:pStyle w:val="NoSpacing"/>
        <w:jc w:val="both"/>
        <w:rPr>
          <w:rFonts w:ascii="Arial" w:hAnsi="Arial" w:cs="Arial"/>
          <w:sz w:val="24"/>
          <w:szCs w:val="24"/>
        </w:rPr>
      </w:pPr>
      <w:r w:rsidRPr="00265C25">
        <w:rPr>
          <w:rFonts w:ascii="Arial" w:hAnsi="Arial" w:cs="Arial"/>
          <w:sz w:val="24"/>
          <w:szCs w:val="24"/>
        </w:rPr>
        <w:t xml:space="preserve">This system includes such records as: (a.) Applications for employment that contain information on work and education, military service, convictions for offenses against the law, military service, and indications of specialized training or receipt of awards or honors. These records may also include copies of correspondence between the applicant and the Office or agency. (b.) Results of written exams and indications of how information in the application was rated. (c.) Records regarding the Office's final decision on an agency's decision to object/pass over an eligible for suitability or medical reasons or when the objection/pass over decision applies to a compensable preference eligible with 30 percent or more disability. (d.) Responses to and results of approved personality or similar tests administered by the Office or agency. (e) Records relating to rating appeals filed with the Office or agency. (f.) Registration sheets, control cards, and related documents regarding Federal employees requesting placement assistance in view of pending or realized displacement because of reduction in force, transfer or discontinuance of function, or reorganization. (g.) Records concerning non-competitive action cases referred to the Office for decision. These files include such records as waiver of time-in-grade requirements, decisions on superior qualification appointments, temporary appointments outside a register, and employee status determinations. (h.) Records retained to support Schedule </w:t>
      </w:r>
      <w:proofErr w:type="gramStart"/>
      <w:r w:rsidRPr="00265C25">
        <w:rPr>
          <w:rFonts w:ascii="Arial" w:hAnsi="Arial" w:cs="Arial"/>
          <w:sz w:val="24"/>
          <w:szCs w:val="24"/>
        </w:rPr>
        <w:t>A</w:t>
      </w:r>
      <w:proofErr w:type="gramEnd"/>
      <w:r w:rsidRPr="00265C25">
        <w:rPr>
          <w:rFonts w:ascii="Arial" w:hAnsi="Arial" w:cs="Arial"/>
          <w:sz w:val="24"/>
          <w:szCs w:val="24"/>
        </w:rPr>
        <w:t xml:space="preserve"> appointments of severely physically handicapped individuals, retained both by the Office and agencies acting under the Office delegated authorities, are part of this system. (</w:t>
      </w:r>
      <w:proofErr w:type="spellStart"/>
      <w:r w:rsidRPr="00265C25">
        <w:rPr>
          <w:rFonts w:ascii="Arial" w:hAnsi="Arial" w:cs="Arial"/>
          <w:sz w:val="24"/>
          <w:szCs w:val="24"/>
        </w:rPr>
        <w:t>i</w:t>
      </w:r>
      <w:proofErr w:type="spellEnd"/>
      <w:r w:rsidRPr="00265C25">
        <w:rPr>
          <w:rFonts w:ascii="Arial" w:hAnsi="Arial" w:cs="Arial"/>
          <w:sz w:val="24"/>
          <w:szCs w:val="24"/>
        </w:rPr>
        <w:t>.) Agency applicant supply file systems (when the agency retains applications, resumes, and other related records for hard-to-fill or unique positions, for future consideration), along with any pre-employment vouchers obtained in connection with an agency's processing of an application, are included in this system. (j). Records derived from the Office-developed or agency-developed assessment center exercises. (k.) Case files related to medical suitability determinations and appeals. (l.) Records related to an applicant's examination for use of illegal drugs under provisions of Executive Order 12564</w:t>
      </w:r>
    </w:p>
    <w:p w:rsidR="00771067" w:rsidP="00723AEA" w:rsidRDefault="00771067" w14:paraId="6E1060EC" w14:textId="77777777">
      <w:pPr>
        <w:pStyle w:val="NoSpacing"/>
        <w:jc w:val="both"/>
        <w:rPr>
          <w:rFonts w:ascii="Arial" w:hAnsi="Arial" w:cs="Arial"/>
          <w:sz w:val="24"/>
          <w:szCs w:val="24"/>
        </w:rPr>
      </w:pPr>
    </w:p>
    <w:p w:rsidR="00771067" w:rsidP="00723AEA" w:rsidRDefault="00771067" w14:paraId="6E1060ED" w14:textId="0BD8FC7D">
      <w:pPr>
        <w:pStyle w:val="NoSpacing"/>
        <w:jc w:val="both"/>
        <w:rPr>
          <w:rFonts w:ascii="Arial" w:hAnsi="Arial" w:cs="Arial"/>
          <w:sz w:val="24"/>
          <w:szCs w:val="24"/>
        </w:rPr>
      </w:pPr>
      <w:r>
        <w:rPr>
          <w:rFonts w:ascii="Arial" w:hAnsi="Arial" w:cs="Arial"/>
          <w:b/>
          <w:sz w:val="24"/>
          <w:szCs w:val="24"/>
        </w:rPr>
        <w:t xml:space="preserve">11. </w:t>
      </w:r>
      <w:r>
        <w:rPr>
          <w:rFonts w:ascii="Arial" w:hAnsi="Arial" w:cs="Arial"/>
          <w:b/>
          <w:sz w:val="24"/>
          <w:szCs w:val="24"/>
        </w:rPr>
        <w:tab/>
      </w:r>
      <w:r w:rsidRPr="00A374EF" w:rsidR="00A374EF">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71067" w:rsidP="00723AEA" w:rsidRDefault="00771067" w14:paraId="6E1060EE" w14:textId="77777777">
      <w:pPr>
        <w:pStyle w:val="NoSpacing"/>
        <w:jc w:val="both"/>
        <w:rPr>
          <w:rFonts w:ascii="Arial" w:hAnsi="Arial" w:cs="Arial"/>
          <w:sz w:val="24"/>
          <w:szCs w:val="24"/>
        </w:rPr>
      </w:pPr>
    </w:p>
    <w:p w:rsidR="00771067" w:rsidP="00723AEA" w:rsidRDefault="00771067" w14:paraId="6E1060EF" w14:textId="0164EE09">
      <w:pPr>
        <w:pStyle w:val="NoSpacing"/>
        <w:jc w:val="both"/>
        <w:rPr>
          <w:rFonts w:ascii="Arial" w:hAnsi="Arial" w:cs="Arial"/>
          <w:sz w:val="24"/>
          <w:szCs w:val="24"/>
        </w:rPr>
      </w:pPr>
      <w:r>
        <w:rPr>
          <w:rFonts w:ascii="Arial" w:hAnsi="Arial" w:cs="Arial"/>
          <w:sz w:val="24"/>
          <w:szCs w:val="24"/>
        </w:rPr>
        <w:t>The questions provided in the online applications are used to determine suitability to employment with the Federal Government.</w:t>
      </w:r>
      <w:r w:rsidR="00476F55">
        <w:rPr>
          <w:rFonts w:ascii="Arial" w:hAnsi="Arial" w:cs="Arial"/>
          <w:sz w:val="24"/>
          <w:szCs w:val="24"/>
        </w:rPr>
        <w:t xml:space="preserve"> Patent examiners must possess good moral character and reputation in order to represent patent applications. Asking these questions on the online applications facilitates the hiring process by identifying </w:t>
      </w:r>
      <w:r w:rsidR="00653E06">
        <w:rPr>
          <w:rFonts w:ascii="Arial" w:hAnsi="Arial" w:cs="Arial"/>
          <w:sz w:val="24"/>
          <w:szCs w:val="24"/>
        </w:rPr>
        <w:t xml:space="preserve">any situation </w:t>
      </w:r>
      <w:r w:rsidR="00E85401">
        <w:rPr>
          <w:rFonts w:ascii="Arial" w:hAnsi="Arial" w:cs="Arial"/>
          <w:sz w:val="24"/>
          <w:szCs w:val="24"/>
        </w:rPr>
        <w:t xml:space="preserve">that </w:t>
      </w:r>
      <w:r w:rsidR="00E85401">
        <w:rPr>
          <w:rFonts w:ascii="Arial" w:hAnsi="Arial" w:cs="Arial"/>
          <w:sz w:val="24"/>
          <w:szCs w:val="24"/>
        </w:rPr>
        <w:lastRenderedPageBreak/>
        <w:t xml:space="preserve">could potentially disqualify an applicant from Federal employment. Because of the volume of applications received </w:t>
      </w:r>
      <w:r w:rsidR="005E2D71">
        <w:rPr>
          <w:rFonts w:ascii="Arial" w:hAnsi="Arial" w:cs="Arial"/>
          <w:sz w:val="24"/>
          <w:szCs w:val="24"/>
        </w:rPr>
        <w:t>and the number of applications that must be processed in order to hire patent examiners, asking these questions up front reduces the burden on the part of the hiring manager, the recruitment staff, and the employee</w:t>
      </w:r>
      <w:r w:rsidR="00580167">
        <w:rPr>
          <w:rFonts w:ascii="Arial" w:hAnsi="Arial" w:cs="Arial"/>
          <w:sz w:val="24"/>
          <w:szCs w:val="24"/>
        </w:rPr>
        <w:t xml:space="preserve"> relations branch in terms of screening individuals who have suitability restrictions or who have falsified their applications.</w:t>
      </w:r>
    </w:p>
    <w:p w:rsidR="00580167" w:rsidP="00723AEA" w:rsidRDefault="00580167" w14:paraId="6E1060F0" w14:textId="77777777">
      <w:pPr>
        <w:pStyle w:val="NoSpacing"/>
        <w:jc w:val="both"/>
        <w:rPr>
          <w:rFonts w:ascii="Arial" w:hAnsi="Arial" w:cs="Arial"/>
          <w:sz w:val="24"/>
          <w:szCs w:val="24"/>
        </w:rPr>
      </w:pPr>
    </w:p>
    <w:p w:rsidR="00580167" w:rsidP="00723AEA" w:rsidRDefault="00580167" w14:paraId="6E1060F1" w14:textId="77777777">
      <w:pPr>
        <w:pStyle w:val="NoSpacing"/>
        <w:jc w:val="both"/>
        <w:rPr>
          <w:rFonts w:ascii="Arial" w:hAnsi="Arial" w:cs="Arial"/>
          <w:sz w:val="24"/>
          <w:szCs w:val="24"/>
        </w:rPr>
      </w:pPr>
      <w:r>
        <w:rPr>
          <w:rFonts w:ascii="Arial" w:hAnsi="Arial" w:cs="Arial"/>
          <w:sz w:val="24"/>
          <w:szCs w:val="24"/>
        </w:rPr>
        <w:t xml:space="preserve">Individual managers </w:t>
      </w:r>
      <w:r w:rsidR="00872C08">
        <w:rPr>
          <w:rFonts w:ascii="Arial" w:hAnsi="Arial" w:cs="Arial"/>
          <w:sz w:val="24"/>
          <w:szCs w:val="24"/>
        </w:rPr>
        <w:t>conduct reference checks after an applicant has been referred to them on an eligibility document generated through the Monster Hiring Manager system from the online application.</w:t>
      </w:r>
    </w:p>
    <w:p w:rsidR="00872C08" w:rsidP="00723AEA" w:rsidRDefault="00872C08" w14:paraId="6E1060F2" w14:textId="77777777">
      <w:pPr>
        <w:pStyle w:val="NoSpacing"/>
        <w:jc w:val="both"/>
        <w:rPr>
          <w:rFonts w:ascii="Arial" w:hAnsi="Arial" w:cs="Arial"/>
          <w:sz w:val="24"/>
          <w:szCs w:val="24"/>
        </w:rPr>
      </w:pPr>
    </w:p>
    <w:p w:rsidRPr="00A374EF" w:rsidR="00A374EF" w:rsidP="00A374EF" w:rsidRDefault="00872C08" w14:paraId="3B4D1EAB" w14:textId="719CE565">
      <w:pPr>
        <w:pStyle w:val="NoSpacing"/>
        <w:jc w:val="both"/>
        <w:rPr>
          <w:rFonts w:ascii="Arial" w:hAnsi="Arial" w:cs="Arial"/>
          <w:b/>
          <w:sz w:val="24"/>
          <w:szCs w:val="24"/>
        </w:rPr>
      </w:pPr>
      <w:r>
        <w:rPr>
          <w:rFonts w:ascii="Arial" w:hAnsi="Arial" w:cs="Arial"/>
          <w:b/>
          <w:sz w:val="24"/>
          <w:szCs w:val="24"/>
        </w:rPr>
        <w:t xml:space="preserve">12. </w:t>
      </w:r>
      <w:r w:rsidRPr="00A374EF" w:rsidR="00A374EF">
        <w:rPr>
          <w:rFonts w:ascii="Arial" w:hAnsi="Arial" w:cs="Arial"/>
          <w:b/>
          <w:sz w:val="24"/>
          <w:szCs w:val="24"/>
        </w:rPr>
        <w:t>Provide estimates of the hour burden of the collection of information. The statement should:</w:t>
      </w:r>
    </w:p>
    <w:p w:rsidRPr="00A374EF" w:rsidR="00A374EF" w:rsidP="00396E91" w:rsidRDefault="00A374EF" w14:paraId="63374C61" w14:textId="073ED32D">
      <w:pPr>
        <w:pStyle w:val="NoSpacing"/>
        <w:numPr>
          <w:ilvl w:val="0"/>
          <w:numId w:val="1"/>
        </w:numPr>
        <w:jc w:val="both"/>
        <w:rPr>
          <w:rFonts w:ascii="Arial" w:hAnsi="Arial" w:cs="Arial"/>
          <w:b/>
          <w:sz w:val="24"/>
          <w:szCs w:val="24"/>
        </w:rPr>
      </w:pPr>
      <w:r w:rsidRPr="00A374EF">
        <w:rPr>
          <w:rFonts w:ascii="Arial" w:hAnsi="Arial" w:cs="Arial"/>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w:t>
      </w:r>
      <w:r>
        <w:rPr>
          <w:rFonts w:ascii="Arial" w:hAnsi="Arial" w:cs="Arial"/>
          <w:b/>
          <w:sz w:val="24"/>
          <w:szCs w:val="24"/>
        </w:rPr>
        <w:t xml:space="preserve"> </w:t>
      </w:r>
      <w:r w:rsidRPr="00A374EF">
        <w:rPr>
          <w:rFonts w:ascii="Arial" w:hAnsi="Arial" w:cs="Arial"/>
          <w:b/>
          <w:sz w:val="24"/>
          <w:szCs w:val="24"/>
        </w:rPr>
        <w:t>differences in activity, size, or complexity, show the range of estimated hour burden, and explain the reasons for the variance. Generally, estimates should not include burden hours for customary and usual business practices.</w:t>
      </w:r>
    </w:p>
    <w:p w:rsidRPr="00A374EF" w:rsidR="00A374EF" w:rsidP="00396E91" w:rsidRDefault="00A374EF" w14:paraId="5B7A078B" w14:textId="6BAF18EC">
      <w:pPr>
        <w:pStyle w:val="NoSpacing"/>
        <w:numPr>
          <w:ilvl w:val="0"/>
          <w:numId w:val="1"/>
        </w:numPr>
        <w:jc w:val="both"/>
        <w:rPr>
          <w:rFonts w:ascii="Arial" w:hAnsi="Arial" w:cs="Arial"/>
          <w:b/>
          <w:sz w:val="24"/>
          <w:szCs w:val="24"/>
        </w:rPr>
      </w:pPr>
      <w:r w:rsidRPr="00A374EF">
        <w:rPr>
          <w:rFonts w:ascii="Arial" w:hAnsi="Arial" w:cs="Arial"/>
          <w:b/>
          <w:sz w:val="24"/>
          <w:szCs w:val="24"/>
        </w:rPr>
        <w:t xml:space="preserve">If this request for approval covers more than </w:t>
      </w:r>
      <w:r w:rsidR="00DA4B2D">
        <w:rPr>
          <w:rFonts w:ascii="Arial" w:hAnsi="Arial" w:cs="Arial"/>
          <w:b/>
          <w:sz w:val="24"/>
          <w:szCs w:val="24"/>
        </w:rPr>
        <w:t>1</w:t>
      </w:r>
      <w:r w:rsidRPr="00A374EF">
        <w:rPr>
          <w:rFonts w:ascii="Arial" w:hAnsi="Arial" w:cs="Arial"/>
          <w:b/>
          <w:sz w:val="24"/>
          <w:szCs w:val="24"/>
        </w:rPr>
        <w:t xml:space="preserve"> form, provide separate hour burden estimates for each form and aggregate the hour burdens.</w:t>
      </w:r>
    </w:p>
    <w:p w:rsidR="00872C08" w:rsidP="00396E91" w:rsidRDefault="00A374EF" w14:paraId="6E1060F3" w14:textId="02E602B9">
      <w:pPr>
        <w:pStyle w:val="NoSpacing"/>
        <w:numPr>
          <w:ilvl w:val="0"/>
          <w:numId w:val="1"/>
        </w:numPr>
        <w:jc w:val="both"/>
        <w:rPr>
          <w:rFonts w:ascii="Arial" w:hAnsi="Arial" w:cs="Arial"/>
          <w:sz w:val="24"/>
          <w:szCs w:val="24"/>
        </w:rPr>
      </w:pPr>
      <w:r w:rsidRPr="00A374EF">
        <w:rPr>
          <w:rFonts w:ascii="Arial" w:hAnsi="Arial" w:cs="Arial"/>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872C08" w:rsidP="00723AEA" w:rsidRDefault="00872C08" w14:paraId="6E1060F4" w14:textId="77777777">
      <w:pPr>
        <w:pStyle w:val="NoSpacing"/>
        <w:jc w:val="both"/>
        <w:rPr>
          <w:rFonts w:ascii="Arial" w:hAnsi="Arial" w:cs="Arial"/>
          <w:sz w:val="24"/>
          <w:szCs w:val="24"/>
        </w:rPr>
      </w:pPr>
    </w:p>
    <w:p w:rsidR="00872C08" w:rsidP="00723AEA" w:rsidRDefault="00872C08" w14:paraId="6E1060F5" w14:textId="77777777">
      <w:pPr>
        <w:pStyle w:val="NoSpacing"/>
        <w:jc w:val="both"/>
        <w:rPr>
          <w:rFonts w:ascii="Arial" w:hAnsi="Arial" w:cs="Arial"/>
          <w:sz w:val="24"/>
          <w:szCs w:val="24"/>
        </w:rPr>
      </w:pPr>
      <w:r>
        <w:rPr>
          <w:rFonts w:ascii="Arial" w:hAnsi="Arial" w:cs="Arial"/>
          <w:sz w:val="24"/>
          <w:szCs w:val="24"/>
        </w:rPr>
        <w:t>Table 3 calcul</w:t>
      </w:r>
      <w:r w:rsidR="00D66AA8">
        <w:rPr>
          <w:rFonts w:ascii="Arial" w:hAnsi="Arial" w:cs="Arial"/>
          <w:sz w:val="24"/>
          <w:szCs w:val="24"/>
        </w:rPr>
        <w:t xml:space="preserve">ates the burden hours and costs </w:t>
      </w:r>
      <w:r>
        <w:rPr>
          <w:rFonts w:ascii="Arial" w:hAnsi="Arial" w:cs="Arial"/>
          <w:sz w:val="24"/>
          <w:szCs w:val="24"/>
        </w:rPr>
        <w:t xml:space="preserve">of this information collection to the public, based </w:t>
      </w:r>
      <w:r w:rsidR="00D66AA8">
        <w:rPr>
          <w:rFonts w:ascii="Arial" w:hAnsi="Arial" w:cs="Arial"/>
          <w:sz w:val="24"/>
          <w:szCs w:val="24"/>
        </w:rPr>
        <w:t>on the following factors:</w:t>
      </w:r>
    </w:p>
    <w:p w:rsidR="00D66AA8" w:rsidP="00723AEA" w:rsidRDefault="00D66AA8" w14:paraId="6E1060F6" w14:textId="77777777">
      <w:pPr>
        <w:pStyle w:val="NoSpacing"/>
        <w:jc w:val="both"/>
        <w:rPr>
          <w:rFonts w:ascii="Arial" w:hAnsi="Arial" w:cs="Arial"/>
          <w:sz w:val="24"/>
          <w:szCs w:val="24"/>
        </w:rPr>
      </w:pPr>
    </w:p>
    <w:p w:rsidR="00D66AA8" w:rsidP="00D66AA8" w:rsidRDefault="00D66AA8" w14:paraId="6E1060F7" w14:textId="77777777">
      <w:pPr>
        <w:pStyle w:val="NoSpacing"/>
        <w:numPr>
          <w:ilvl w:val="0"/>
          <w:numId w:val="2"/>
        </w:numPr>
        <w:jc w:val="both"/>
        <w:rPr>
          <w:rFonts w:ascii="Arial" w:hAnsi="Arial" w:cs="Arial"/>
          <w:sz w:val="24"/>
          <w:szCs w:val="24"/>
        </w:rPr>
      </w:pPr>
      <w:r>
        <w:rPr>
          <w:rFonts w:ascii="Arial" w:hAnsi="Arial" w:cs="Arial"/>
          <w:b/>
          <w:sz w:val="24"/>
          <w:szCs w:val="24"/>
        </w:rPr>
        <w:t>Respondent Calculation Factors</w:t>
      </w:r>
    </w:p>
    <w:p w:rsidR="00D66AA8" w:rsidP="00D66AA8" w:rsidRDefault="00D66AA8" w14:paraId="6E1060F8" w14:textId="5A3D56FA">
      <w:pPr>
        <w:pStyle w:val="NoSpacing"/>
        <w:ind w:left="720"/>
        <w:jc w:val="both"/>
        <w:rPr>
          <w:rFonts w:ascii="Arial" w:hAnsi="Arial" w:cs="Arial"/>
          <w:sz w:val="24"/>
          <w:szCs w:val="24"/>
        </w:rPr>
      </w:pPr>
      <w:r>
        <w:rPr>
          <w:rFonts w:ascii="Arial" w:hAnsi="Arial" w:cs="Arial"/>
          <w:sz w:val="24"/>
          <w:szCs w:val="24"/>
        </w:rPr>
        <w:t xml:space="preserve">The USPTO </w:t>
      </w:r>
      <w:r w:rsidR="00DE09D9">
        <w:rPr>
          <w:rFonts w:ascii="Arial" w:hAnsi="Arial" w:cs="Arial"/>
          <w:sz w:val="24"/>
          <w:szCs w:val="24"/>
        </w:rPr>
        <w:t xml:space="preserve">estimates that it will receive approximately </w:t>
      </w:r>
      <w:r w:rsidR="00F031D0">
        <w:rPr>
          <w:rFonts w:ascii="Arial" w:hAnsi="Arial" w:cs="Arial"/>
          <w:sz w:val="24"/>
          <w:szCs w:val="24"/>
        </w:rPr>
        <w:t xml:space="preserve">8,386 </w:t>
      </w:r>
      <w:r w:rsidR="00DE09D9">
        <w:rPr>
          <w:rFonts w:ascii="Arial" w:hAnsi="Arial" w:cs="Arial"/>
          <w:sz w:val="24"/>
          <w:szCs w:val="24"/>
        </w:rPr>
        <w:t xml:space="preserve">respondents per year for this </w:t>
      </w:r>
      <w:r w:rsidR="00E574F5">
        <w:rPr>
          <w:rFonts w:ascii="Arial" w:hAnsi="Arial" w:cs="Arial"/>
          <w:sz w:val="24"/>
          <w:szCs w:val="24"/>
        </w:rPr>
        <w:t xml:space="preserve">information </w:t>
      </w:r>
      <w:r w:rsidR="00DE09D9">
        <w:rPr>
          <w:rFonts w:ascii="Arial" w:hAnsi="Arial" w:cs="Arial"/>
          <w:sz w:val="24"/>
          <w:szCs w:val="24"/>
        </w:rPr>
        <w:t xml:space="preserve">collection. </w:t>
      </w:r>
    </w:p>
    <w:p w:rsidR="00DE09D9" w:rsidP="00DE09D9" w:rsidRDefault="00DE09D9" w14:paraId="6E1060F9" w14:textId="77777777">
      <w:pPr>
        <w:pStyle w:val="NoSpacing"/>
        <w:jc w:val="both"/>
        <w:rPr>
          <w:rFonts w:ascii="Arial" w:hAnsi="Arial" w:cs="Arial"/>
          <w:sz w:val="24"/>
          <w:szCs w:val="24"/>
        </w:rPr>
      </w:pPr>
    </w:p>
    <w:p w:rsidR="00DE09D9" w:rsidP="00877CCB" w:rsidRDefault="00877CCB" w14:paraId="6E1060FA" w14:textId="77777777">
      <w:pPr>
        <w:pStyle w:val="NoSpacing"/>
        <w:numPr>
          <w:ilvl w:val="0"/>
          <w:numId w:val="2"/>
        </w:numPr>
        <w:jc w:val="both"/>
        <w:rPr>
          <w:rFonts w:ascii="Arial" w:hAnsi="Arial" w:cs="Arial"/>
          <w:sz w:val="24"/>
          <w:szCs w:val="24"/>
        </w:rPr>
      </w:pPr>
      <w:r>
        <w:rPr>
          <w:rFonts w:ascii="Arial" w:hAnsi="Arial" w:cs="Arial"/>
          <w:b/>
          <w:sz w:val="24"/>
          <w:szCs w:val="24"/>
        </w:rPr>
        <w:t>Burden Hour Calculation Factors</w:t>
      </w:r>
    </w:p>
    <w:p w:rsidR="00877CCB" w:rsidP="00877CCB" w:rsidRDefault="00877CCB" w14:paraId="6E1060FB" w14:textId="391CC55C">
      <w:pPr>
        <w:pStyle w:val="NoSpacing"/>
        <w:ind w:left="720"/>
        <w:jc w:val="both"/>
        <w:rPr>
          <w:rFonts w:ascii="Arial" w:hAnsi="Arial" w:cs="Arial"/>
          <w:sz w:val="24"/>
          <w:szCs w:val="24"/>
        </w:rPr>
      </w:pPr>
      <w:r>
        <w:rPr>
          <w:rFonts w:ascii="Arial" w:hAnsi="Arial" w:cs="Arial"/>
          <w:sz w:val="24"/>
          <w:szCs w:val="24"/>
        </w:rPr>
        <w:t xml:space="preserve">The USPTO estimates that it will take the public approximately 30 minutes (0.50 hours) to gather and prepare the necessary </w:t>
      </w:r>
      <w:r w:rsidR="00256D74">
        <w:rPr>
          <w:rFonts w:ascii="Arial" w:hAnsi="Arial" w:cs="Arial"/>
          <w:sz w:val="24"/>
          <w:szCs w:val="24"/>
        </w:rPr>
        <w:t xml:space="preserve">information </w:t>
      </w:r>
      <w:r w:rsidRPr="00256D74" w:rsidR="00256D74">
        <w:rPr>
          <w:rFonts w:ascii="Arial" w:hAnsi="Arial" w:cs="Arial"/>
          <w:sz w:val="24"/>
          <w:szCs w:val="24"/>
        </w:rPr>
        <w:t>and submit the completed request to the USPTO</w:t>
      </w:r>
      <w:r>
        <w:rPr>
          <w:rFonts w:ascii="Arial" w:hAnsi="Arial" w:cs="Arial"/>
          <w:sz w:val="24"/>
          <w:szCs w:val="24"/>
        </w:rPr>
        <w:t>.</w:t>
      </w:r>
    </w:p>
    <w:p w:rsidR="000F14D7" w:rsidP="000F14D7" w:rsidRDefault="000F14D7" w14:paraId="6E1060FC" w14:textId="77777777">
      <w:pPr>
        <w:pStyle w:val="NoSpacing"/>
        <w:jc w:val="both"/>
        <w:rPr>
          <w:rFonts w:ascii="Arial" w:hAnsi="Arial" w:cs="Arial"/>
          <w:sz w:val="24"/>
          <w:szCs w:val="24"/>
        </w:rPr>
      </w:pPr>
    </w:p>
    <w:p w:rsidR="000F14D7" w:rsidP="000F14D7" w:rsidRDefault="000F14D7" w14:paraId="6E1060FD" w14:textId="77777777">
      <w:pPr>
        <w:pStyle w:val="NoSpacing"/>
        <w:numPr>
          <w:ilvl w:val="0"/>
          <w:numId w:val="2"/>
        </w:numPr>
        <w:jc w:val="both"/>
        <w:rPr>
          <w:rFonts w:ascii="Arial" w:hAnsi="Arial" w:cs="Arial"/>
          <w:sz w:val="24"/>
          <w:szCs w:val="24"/>
        </w:rPr>
      </w:pPr>
      <w:r>
        <w:rPr>
          <w:rFonts w:ascii="Arial" w:hAnsi="Arial" w:cs="Arial"/>
          <w:b/>
          <w:sz w:val="24"/>
          <w:szCs w:val="24"/>
        </w:rPr>
        <w:t>Cost Burden Calculation Factors</w:t>
      </w:r>
    </w:p>
    <w:p w:rsidRPr="00436FFC" w:rsidR="00BA0BC6" w:rsidP="00BA0BC6" w:rsidRDefault="000F14D7" w14:paraId="6ED3259D" w14:textId="177AE94F">
      <w:pPr>
        <w:ind w:left="720"/>
        <w:rPr>
          <w:rFonts w:ascii="Arial" w:hAnsi="Arial" w:cs="Arial"/>
          <w:szCs w:val="22"/>
        </w:rPr>
      </w:pPr>
      <w:r>
        <w:rPr>
          <w:rFonts w:ascii="Arial" w:hAnsi="Arial" w:cs="Arial"/>
        </w:rPr>
        <w:t xml:space="preserve">The USPTO estimates that the candidate pools or users of the Monster Hiring Management system are </w:t>
      </w:r>
      <w:r w:rsidR="00AC3171">
        <w:rPr>
          <w:rFonts w:ascii="Arial" w:hAnsi="Arial" w:cs="Arial"/>
        </w:rPr>
        <w:t>entry-level patent examiners</w:t>
      </w:r>
      <w:r w:rsidR="00B303B1">
        <w:rPr>
          <w:rFonts w:ascii="Arial" w:hAnsi="Arial" w:cs="Arial"/>
        </w:rPr>
        <w:t>.</w:t>
      </w:r>
      <w:r>
        <w:rPr>
          <w:rFonts w:ascii="Arial" w:hAnsi="Arial" w:cs="Arial"/>
        </w:rPr>
        <w:t xml:space="preserve"> </w:t>
      </w:r>
      <w:r w:rsidR="00B303B1">
        <w:rPr>
          <w:rFonts w:ascii="Arial" w:hAnsi="Arial" w:cs="Arial"/>
        </w:rPr>
        <w:t>The professional hourly rate for these respondents is estimated at an hourly rate</w:t>
      </w:r>
      <w:r w:rsidR="00436FFC">
        <w:rPr>
          <w:rFonts w:ascii="Arial" w:hAnsi="Arial" w:cs="Arial"/>
        </w:rPr>
        <w:t xml:space="preserve"> of entry level patent </w:t>
      </w:r>
      <w:r w:rsidR="00436FFC">
        <w:rPr>
          <w:rFonts w:ascii="Arial" w:hAnsi="Arial" w:cs="Arial"/>
        </w:rPr>
        <w:lastRenderedPageBreak/>
        <w:t>examiners (</w:t>
      </w:r>
      <w:r w:rsidRPr="00436FFC" w:rsidR="00436FFC">
        <w:rPr>
          <w:rFonts w:ascii="Arial" w:hAnsi="Arial" w:cs="Arial"/>
        </w:rPr>
        <w:t>Patent Examiner 07–Step 1</w:t>
      </w:r>
      <w:r w:rsidR="00436FFC">
        <w:t xml:space="preserve">) </w:t>
      </w:r>
      <w:r w:rsidR="00436FFC">
        <w:rPr>
          <w:rFonts w:ascii="Arial" w:hAnsi="Arial" w:cs="Arial"/>
        </w:rPr>
        <w:t>which is</w:t>
      </w:r>
      <w:r w:rsidR="00B303B1">
        <w:rPr>
          <w:rFonts w:ascii="Arial" w:hAnsi="Arial" w:cs="Arial"/>
        </w:rPr>
        <w:t xml:space="preserve"> </w:t>
      </w:r>
      <w:r w:rsidRPr="00AC3171" w:rsidR="00AC3171">
        <w:rPr>
          <w:rFonts w:ascii="Arial" w:hAnsi="Arial" w:cs="Arial"/>
        </w:rPr>
        <w:t>$27.44</w:t>
      </w:r>
      <w:r w:rsidR="00B303B1">
        <w:rPr>
          <w:rFonts w:ascii="Arial" w:hAnsi="Arial" w:cs="Arial"/>
        </w:rPr>
        <w:t xml:space="preserve">. </w:t>
      </w:r>
      <w:r w:rsidRPr="00436FFC" w:rsidR="00BA0BC6">
        <w:rPr>
          <w:rFonts w:ascii="Arial" w:hAnsi="Arial" w:cs="Arial"/>
          <w:szCs w:val="22"/>
        </w:rPr>
        <w:t>Using these hourly rates, the USPTO estimates that the total respondent cost burden for this information collection is $115,056 per year.</w:t>
      </w:r>
    </w:p>
    <w:p w:rsidR="008C33B8" w:rsidP="008C33B8" w:rsidRDefault="008C33B8" w14:paraId="6E1060FF" w14:textId="3E917D4A">
      <w:pPr>
        <w:pStyle w:val="NoSpacing"/>
        <w:jc w:val="both"/>
        <w:rPr>
          <w:rFonts w:ascii="Arial" w:hAnsi="Arial" w:cs="Arial"/>
          <w:sz w:val="24"/>
          <w:szCs w:val="24"/>
        </w:rPr>
      </w:pPr>
    </w:p>
    <w:p w:rsidRPr="008D2FE9" w:rsidR="00DF04CB" w:rsidP="00DF04CB" w:rsidRDefault="00DF04CB" w14:paraId="4366EEBA" w14:textId="763F0911">
      <w:pPr>
        <w:pStyle w:val="NoSpacing"/>
        <w:jc w:val="both"/>
        <w:rPr>
          <w:rFonts w:ascii="Arial" w:hAnsi="Arial" w:cs="Arial"/>
          <w:b/>
          <w:szCs w:val="20"/>
        </w:rPr>
      </w:pPr>
      <w:r w:rsidRPr="004F3B59">
        <w:rPr>
          <w:rFonts w:ascii="Arial" w:hAnsi="Arial" w:cs="Arial"/>
          <w:b/>
          <w:szCs w:val="20"/>
        </w:rPr>
        <w:t xml:space="preserve">Table </w:t>
      </w:r>
      <w:r w:rsidR="00407AC1">
        <w:rPr>
          <w:rFonts w:ascii="Arial" w:hAnsi="Arial" w:cs="Arial"/>
          <w:b/>
          <w:szCs w:val="20"/>
        </w:rPr>
        <w:t>3</w:t>
      </w:r>
      <w:r w:rsidRPr="004F3B59">
        <w:rPr>
          <w:rFonts w:ascii="Arial" w:hAnsi="Arial" w:cs="Arial"/>
          <w:b/>
          <w:szCs w:val="20"/>
        </w:rPr>
        <w:t xml:space="preserve">: Total Hourly Burden </w:t>
      </w:r>
      <w:proofErr w:type="gramStart"/>
      <w:r w:rsidRPr="004F3B59">
        <w:rPr>
          <w:rFonts w:ascii="Arial" w:hAnsi="Arial" w:cs="Arial"/>
          <w:b/>
          <w:szCs w:val="20"/>
        </w:rPr>
        <w:t>For</w:t>
      </w:r>
      <w:proofErr w:type="gramEnd"/>
      <w:r w:rsidRPr="004F3B59">
        <w:rPr>
          <w:rFonts w:ascii="Arial" w:hAnsi="Arial" w:cs="Arial"/>
          <w:b/>
          <w:szCs w:val="20"/>
        </w:rPr>
        <w:t xml:space="preserve"> Respondents</w:t>
      </w:r>
    </w:p>
    <w:tbl>
      <w:tblPr>
        <w:tblStyle w:val="TableGrid"/>
        <w:tblW w:w="0" w:type="auto"/>
        <w:tblLook w:val="04A0" w:firstRow="1" w:lastRow="0" w:firstColumn="1" w:lastColumn="0" w:noHBand="0" w:noVBand="1"/>
      </w:tblPr>
      <w:tblGrid>
        <w:gridCol w:w="661"/>
        <w:gridCol w:w="1097"/>
        <w:gridCol w:w="1357"/>
        <w:gridCol w:w="1177"/>
        <w:gridCol w:w="1077"/>
        <w:gridCol w:w="1157"/>
        <w:gridCol w:w="1027"/>
        <w:gridCol w:w="1077"/>
      </w:tblGrid>
      <w:tr w:rsidRPr="003F4450" w:rsidR="008F2982" w:rsidTr="00087021" w14:paraId="5ECEBD57" w14:textId="77777777">
        <w:tc>
          <w:tcPr>
            <w:tcW w:w="661" w:type="dxa"/>
            <w:vAlign w:val="center"/>
          </w:tcPr>
          <w:p w:rsidRPr="003F4450" w:rsidR="008F2982" w:rsidP="00855805" w:rsidRDefault="008F2982" w14:paraId="122C708A" w14:textId="77777777">
            <w:pPr>
              <w:pStyle w:val="NoSpacing"/>
              <w:jc w:val="center"/>
              <w:rPr>
                <w:rFonts w:ascii="Arial" w:hAnsi="Arial" w:cs="Arial"/>
                <w:b/>
                <w:sz w:val="18"/>
                <w:szCs w:val="18"/>
              </w:rPr>
            </w:pPr>
            <w:r>
              <w:rPr>
                <w:rFonts w:ascii="Arial" w:hAnsi="Arial" w:cs="Arial"/>
                <w:b/>
                <w:sz w:val="18"/>
                <w:szCs w:val="18"/>
              </w:rPr>
              <w:t>Item No.</w:t>
            </w:r>
          </w:p>
        </w:tc>
        <w:tc>
          <w:tcPr>
            <w:tcW w:w="1097" w:type="dxa"/>
            <w:vAlign w:val="center"/>
          </w:tcPr>
          <w:p w:rsidRPr="003F4450" w:rsidR="008F2982" w:rsidP="00855805" w:rsidRDefault="008F2982" w14:paraId="4DE616B4" w14:textId="77777777">
            <w:pPr>
              <w:pStyle w:val="NoSpacing"/>
              <w:jc w:val="center"/>
              <w:rPr>
                <w:rFonts w:ascii="Arial" w:hAnsi="Arial" w:cs="Arial"/>
                <w:b/>
                <w:sz w:val="18"/>
                <w:szCs w:val="18"/>
              </w:rPr>
            </w:pPr>
          </w:p>
          <w:p w:rsidRPr="003F4450" w:rsidR="008F2982" w:rsidP="00855805" w:rsidRDefault="008F2982" w14:paraId="0F01D68E" w14:textId="77777777">
            <w:pPr>
              <w:pStyle w:val="NoSpacing"/>
              <w:jc w:val="center"/>
              <w:rPr>
                <w:rFonts w:ascii="Arial" w:hAnsi="Arial" w:cs="Arial"/>
                <w:b/>
                <w:sz w:val="18"/>
                <w:szCs w:val="18"/>
              </w:rPr>
            </w:pPr>
            <w:r w:rsidRPr="003F4450">
              <w:rPr>
                <w:rFonts w:ascii="Arial" w:hAnsi="Arial" w:cs="Arial"/>
                <w:b/>
                <w:sz w:val="18"/>
                <w:szCs w:val="18"/>
              </w:rPr>
              <w:t>Item</w:t>
            </w:r>
          </w:p>
          <w:p w:rsidRPr="003F4450" w:rsidR="008F2982" w:rsidP="00855805" w:rsidRDefault="008F2982" w14:paraId="5490ACEC" w14:textId="77777777">
            <w:pPr>
              <w:pStyle w:val="NoSpacing"/>
              <w:jc w:val="center"/>
              <w:rPr>
                <w:rFonts w:ascii="Arial" w:hAnsi="Arial" w:cs="Arial"/>
                <w:b/>
                <w:sz w:val="18"/>
                <w:szCs w:val="18"/>
              </w:rPr>
            </w:pPr>
          </w:p>
        </w:tc>
        <w:tc>
          <w:tcPr>
            <w:tcW w:w="1357" w:type="dxa"/>
            <w:tcBorders>
              <w:bottom w:val="single" w:color="auto" w:sz="4" w:space="0"/>
            </w:tcBorders>
          </w:tcPr>
          <w:p w:rsidRPr="003F4450" w:rsidR="008F2982" w:rsidP="00855805" w:rsidRDefault="008F2982" w14:paraId="4D46C16F" w14:textId="77777777">
            <w:pPr>
              <w:pStyle w:val="NoSpacing"/>
              <w:jc w:val="center"/>
              <w:rPr>
                <w:rFonts w:ascii="Arial" w:hAnsi="Arial" w:cs="Arial"/>
                <w:b/>
                <w:sz w:val="18"/>
                <w:szCs w:val="18"/>
              </w:rPr>
            </w:pPr>
            <w:r>
              <w:rPr>
                <w:rFonts w:ascii="Arial" w:hAnsi="Arial" w:cs="Arial"/>
                <w:b/>
                <w:sz w:val="18"/>
                <w:szCs w:val="18"/>
              </w:rPr>
              <w:t>Estimated Annual Respondents</w:t>
            </w:r>
          </w:p>
        </w:tc>
        <w:tc>
          <w:tcPr>
            <w:tcW w:w="1177" w:type="dxa"/>
            <w:tcBorders>
              <w:bottom w:val="single" w:color="auto" w:sz="4" w:space="0"/>
            </w:tcBorders>
          </w:tcPr>
          <w:p w:rsidR="008F2982" w:rsidP="00855805" w:rsidRDefault="008F2982" w14:paraId="2E77A826" w14:textId="77777777">
            <w:pPr>
              <w:pStyle w:val="NoSpacing"/>
              <w:jc w:val="center"/>
              <w:rPr>
                <w:rFonts w:ascii="Arial" w:hAnsi="Arial" w:cs="Arial"/>
                <w:b/>
                <w:sz w:val="18"/>
                <w:szCs w:val="18"/>
              </w:rPr>
            </w:pPr>
            <w:r>
              <w:rPr>
                <w:rFonts w:ascii="Arial" w:hAnsi="Arial" w:cs="Arial"/>
                <w:b/>
                <w:sz w:val="18"/>
                <w:szCs w:val="18"/>
              </w:rPr>
              <w:t xml:space="preserve">Estimated Annual Responses (year) </w:t>
            </w:r>
          </w:p>
          <w:p w:rsidRPr="003F4450" w:rsidR="008F2982" w:rsidP="00855805" w:rsidRDefault="008F2982" w14:paraId="3F7A9811" w14:textId="77777777">
            <w:pPr>
              <w:pStyle w:val="NoSpacing"/>
              <w:jc w:val="center"/>
              <w:rPr>
                <w:rFonts w:ascii="Arial" w:hAnsi="Arial" w:cs="Arial"/>
                <w:b/>
                <w:sz w:val="18"/>
                <w:szCs w:val="18"/>
              </w:rPr>
            </w:pPr>
            <w:r>
              <w:rPr>
                <w:rFonts w:ascii="Arial" w:hAnsi="Arial" w:cs="Arial"/>
                <w:b/>
                <w:sz w:val="18"/>
                <w:szCs w:val="18"/>
              </w:rPr>
              <w:t>(a)</w:t>
            </w:r>
          </w:p>
        </w:tc>
        <w:tc>
          <w:tcPr>
            <w:tcW w:w="1077" w:type="dxa"/>
            <w:tcBorders>
              <w:bottom w:val="single" w:color="auto" w:sz="4" w:space="0"/>
            </w:tcBorders>
            <w:vAlign w:val="center"/>
          </w:tcPr>
          <w:p w:rsidRPr="003F4450" w:rsidR="008F2982" w:rsidP="00855805" w:rsidRDefault="008F2982" w14:paraId="5D288AFB" w14:textId="77777777">
            <w:pPr>
              <w:pStyle w:val="NoSpacing"/>
              <w:jc w:val="center"/>
              <w:rPr>
                <w:rFonts w:ascii="Arial" w:hAnsi="Arial" w:cs="Arial"/>
                <w:b/>
                <w:sz w:val="18"/>
                <w:szCs w:val="18"/>
              </w:rPr>
            </w:pPr>
            <w:r w:rsidRPr="003F4450">
              <w:rPr>
                <w:rFonts w:ascii="Arial" w:hAnsi="Arial" w:cs="Arial"/>
                <w:b/>
                <w:sz w:val="18"/>
                <w:szCs w:val="18"/>
              </w:rPr>
              <w:t>Estimated Time for Response</w:t>
            </w:r>
          </w:p>
          <w:p w:rsidRPr="003F4450" w:rsidR="008F2982" w:rsidP="00855805" w:rsidRDefault="008F2982" w14:paraId="7768B1F8" w14:textId="77777777">
            <w:pPr>
              <w:pStyle w:val="NoSpacing"/>
              <w:jc w:val="center"/>
              <w:rPr>
                <w:rFonts w:ascii="Arial" w:hAnsi="Arial" w:cs="Arial"/>
                <w:b/>
                <w:sz w:val="18"/>
                <w:szCs w:val="18"/>
              </w:rPr>
            </w:pPr>
            <w:r w:rsidRPr="003F4450">
              <w:rPr>
                <w:rFonts w:ascii="Arial" w:hAnsi="Arial" w:cs="Arial"/>
                <w:b/>
                <w:sz w:val="18"/>
                <w:szCs w:val="18"/>
              </w:rPr>
              <w:t>(h</w:t>
            </w:r>
            <w:r>
              <w:rPr>
                <w:rFonts w:ascii="Arial" w:hAnsi="Arial" w:cs="Arial"/>
                <w:b/>
                <w:sz w:val="18"/>
                <w:szCs w:val="18"/>
              </w:rPr>
              <w:t>ou</w:t>
            </w:r>
            <w:r w:rsidRPr="003F4450">
              <w:rPr>
                <w:rFonts w:ascii="Arial" w:hAnsi="Arial" w:cs="Arial"/>
                <w:b/>
                <w:sz w:val="18"/>
                <w:szCs w:val="18"/>
              </w:rPr>
              <w:t>r)</w:t>
            </w:r>
          </w:p>
          <w:p w:rsidRPr="003F4450" w:rsidR="008F2982" w:rsidP="00855805" w:rsidRDefault="008F2982" w14:paraId="068081CA" w14:textId="77777777">
            <w:pPr>
              <w:pStyle w:val="NoSpacing"/>
              <w:jc w:val="center"/>
              <w:rPr>
                <w:rFonts w:ascii="Arial" w:hAnsi="Arial" w:cs="Arial"/>
                <w:b/>
                <w:sz w:val="18"/>
                <w:szCs w:val="18"/>
              </w:rPr>
            </w:pPr>
            <w:r w:rsidRPr="003F4450">
              <w:rPr>
                <w:rFonts w:ascii="Arial" w:hAnsi="Arial" w:cs="Arial"/>
                <w:b/>
                <w:sz w:val="18"/>
                <w:szCs w:val="18"/>
              </w:rPr>
              <w:t>(</w:t>
            </w:r>
            <w:r>
              <w:rPr>
                <w:rFonts w:ascii="Arial" w:hAnsi="Arial" w:cs="Arial"/>
                <w:b/>
                <w:sz w:val="18"/>
                <w:szCs w:val="18"/>
              </w:rPr>
              <w:t>b</w:t>
            </w:r>
            <w:r w:rsidRPr="003F4450">
              <w:rPr>
                <w:rFonts w:ascii="Arial" w:hAnsi="Arial" w:cs="Arial"/>
                <w:b/>
                <w:sz w:val="18"/>
                <w:szCs w:val="18"/>
              </w:rPr>
              <w:t>)</w:t>
            </w:r>
          </w:p>
        </w:tc>
        <w:tc>
          <w:tcPr>
            <w:tcW w:w="1157" w:type="dxa"/>
            <w:vAlign w:val="center"/>
          </w:tcPr>
          <w:p w:rsidRPr="003F4450" w:rsidR="008F2982" w:rsidP="00855805" w:rsidRDefault="008F2982" w14:paraId="0AFFDE41" w14:textId="77777777">
            <w:pPr>
              <w:pStyle w:val="NoSpacing"/>
              <w:jc w:val="center"/>
              <w:rPr>
                <w:rFonts w:ascii="Arial" w:hAnsi="Arial" w:cs="Arial"/>
                <w:b/>
                <w:sz w:val="18"/>
                <w:szCs w:val="18"/>
              </w:rPr>
            </w:pPr>
            <w:r w:rsidRPr="003F4450">
              <w:rPr>
                <w:rFonts w:ascii="Arial" w:hAnsi="Arial" w:cs="Arial"/>
                <w:b/>
                <w:sz w:val="18"/>
                <w:szCs w:val="18"/>
              </w:rPr>
              <w:t>Estimated Annual Burden</w:t>
            </w:r>
            <w:r>
              <w:rPr>
                <w:rFonts w:ascii="Arial" w:hAnsi="Arial" w:cs="Arial"/>
                <w:b/>
                <w:sz w:val="18"/>
                <w:szCs w:val="18"/>
              </w:rPr>
              <w:t xml:space="preserve"> (hour/year)</w:t>
            </w:r>
          </w:p>
          <w:p w:rsidRPr="003F4450" w:rsidR="008F2982" w:rsidP="00855805" w:rsidRDefault="008F2982" w14:paraId="14FE1C1D" w14:textId="77777777">
            <w:pPr>
              <w:pStyle w:val="NoSpacing"/>
              <w:jc w:val="center"/>
              <w:rPr>
                <w:rFonts w:ascii="Arial" w:hAnsi="Arial" w:cs="Arial"/>
                <w:b/>
                <w:sz w:val="18"/>
                <w:szCs w:val="18"/>
              </w:rPr>
            </w:pPr>
            <w:r w:rsidRPr="003F4450">
              <w:rPr>
                <w:rFonts w:ascii="Arial" w:hAnsi="Arial" w:cs="Arial"/>
                <w:b/>
                <w:sz w:val="18"/>
                <w:szCs w:val="18"/>
              </w:rPr>
              <w:t>(c)</w:t>
            </w:r>
          </w:p>
          <w:p w:rsidRPr="003F4450" w:rsidR="008F2982" w:rsidP="00855805" w:rsidRDefault="008F2982" w14:paraId="7389365C" w14:textId="77777777">
            <w:pPr>
              <w:pStyle w:val="NoSpacing"/>
              <w:jc w:val="center"/>
              <w:rPr>
                <w:rFonts w:ascii="Arial" w:hAnsi="Arial" w:cs="Arial"/>
                <w:b/>
                <w:sz w:val="18"/>
                <w:szCs w:val="18"/>
              </w:rPr>
            </w:pPr>
            <w:r w:rsidRPr="003F4450">
              <w:rPr>
                <w:rFonts w:ascii="Arial" w:hAnsi="Arial" w:cs="Arial"/>
                <w:b/>
                <w:sz w:val="18"/>
                <w:szCs w:val="18"/>
              </w:rPr>
              <w:t>(a) x (b)</w:t>
            </w:r>
          </w:p>
        </w:tc>
        <w:tc>
          <w:tcPr>
            <w:tcW w:w="1027" w:type="dxa"/>
            <w:vAlign w:val="center"/>
          </w:tcPr>
          <w:p w:rsidRPr="003F4450" w:rsidR="008F2982" w:rsidP="00855805" w:rsidRDefault="008F2982" w14:paraId="71F75F9B" w14:textId="77777777">
            <w:pPr>
              <w:pStyle w:val="NoSpacing"/>
              <w:jc w:val="center"/>
              <w:rPr>
                <w:rFonts w:ascii="Arial" w:hAnsi="Arial" w:cs="Arial"/>
                <w:b/>
                <w:sz w:val="18"/>
                <w:szCs w:val="18"/>
              </w:rPr>
            </w:pPr>
            <w:r w:rsidRPr="003F4450">
              <w:rPr>
                <w:rFonts w:ascii="Arial" w:hAnsi="Arial" w:cs="Arial"/>
                <w:b/>
                <w:sz w:val="18"/>
                <w:szCs w:val="18"/>
              </w:rPr>
              <w:t>Rate</w:t>
            </w:r>
            <w:r>
              <w:rPr>
                <w:rStyle w:val="FootnoteReference"/>
                <w:rFonts w:ascii="Arial" w:hAnsi="Arial" w:cs="Arial"/>
                <w:b/>
                <w:sz w:val="18"/>
                <w:szCs w:val="18"/>
              </w:rPr>
              <w:footnoteReference w:id="1"/>
            </w:r>
            <w:r>
              <w:rPr>
                <w:rFonts w:ascii="Arial" w:hAnsi="Arial" w:cs="Arial"/>
                <w:b/>
                <w:sz w:val="18"/>
                <w:szCs w:val="18"/>
              </w:rPr>
              <w:t xml:space="preserve"> ($/hour)</w:t>
            </w:r>
          </w:p>
          <w:p w:rsidRPr="003F4450" w:rsidR="008F2982" w:rsidP="00855805" w:rsidRDefault="008F2982" w14:paraId="3A1BA4A3" w14:textId="77777777">
            <w:pPr>
              <w:pStyle w:val="NoSpacing"/>
              <w:jc w:val="center"/>
              <w:rPr>
                <w:rFonts w:ascii="Arial" w:hAnsi="Arial" w:cs="Arial"/>
                <w:b/>
                <w:sz w:val="18"/>
                <w:szCs w:val="18"/>
              </w:rPr>
            </w:pPr>
            <w:r w:rsidRPr="003F4450">
              <w:rPr>
                <w:rFonts w:ascii="Arial" w:hAnsi="Arial" w:cs="Arial"/>
                <w:b/>
                <w:sz w:val="18"/>
                <w:szCs w:val="18"/>
              </w:rPr>
              <w:t>(d)</w:t>
            </w:r>
          </w:p>
        </w:tc>
        <w:tc>
          <w:tcPr>
            <w:tcW w:w="1077" w:type="dxa"/>
            <w:vAlign w:val="center"/>
          </w:tcPr>
          <w:p w:rsidRPr="003F4450" w:rsidR="008F2982" w:rsidP="00855805" w:rsidRDefault="008F2982" w14:paraId="5187C746" w14:textId="77777777">
            <w:pPr>
              <w:pStyle w:val="NoSpacing"/>
              <w:jc w:val="center"/>
              <w:rPr>
                <w:rFonts w:ascii="Arial" w:hAnsi="Arial" w:cs="Arial"/>
                <w:b/>
                <w:sz w:val="18"/>
                <w:szCs w:val="18"/>
              </w:rPr>
            </w:pPr>
            <w:r w:rsidRPr="003F4450">
              <w:rPr>
                <w:rFonts w:ascii="Arial" w:hAnsi="Arial" w:cs="Arial"/>
                <w:b/>
                <w:sz w:val="18"/>
                <w:szCs w:val="18"/>
              </w:rPr>
              <w:t xml:space="preserve">Estimated Annual </w:t>
            </w:r>
            <w:r>
              <w:rPr>
                <w:rFonts w:ascii="Arial" w:hAnsi="Arial" w:cs="Arial"/>
                <w:b/>
                <w:sz w:val="18"/>
                <w:szCs w:val="18"/>
              </w:rPr>
              <w:t>Burden</w:t>
            </w:r>
            <w:r w:rsidRPr="003F4450">
              <w:rPr>
                <w:rFonts w:ascii="Arial" w:hAnsi="Arial" w:cs="Arial"/>
                <w:b/>
                <w:sz w:val="18"/>
                <w:szCs w:val="18"/>
              </w:rPr>
              <w:t xml:space="preserve"> </w:t>
            </w:r>
          </w:p>
          <w:p w:rsidRPr="003F4450" w:rsidR="008F2982" w:rsidP="00855805" w:rsidRDefault="008F2982" w14:paraId="60F49BE6" w14:textId="77777777">
            <w:pPr>
              <w:pStyle w:val="NoSpacing"/>
              <w:jc w:val="center"/>
              <w:rPr>
                <w:rFonts w:ascii="Arial" w:hAnsi="Arial" w:cs="Arial"/>
                <w:b/>
                <w:sz w:val="18"/>
                <w:szCs w:val="18"/>
              </w:rPr>
            </w:pPr>
            <w:r w:rsidRPr="003F4450">
              <w:rPr>
                <w:rFonts w:ascii="Arial" w:hAnsi="Arial" w:cs="Arial"/>
                <w:b/>
                <w:sz w:val="18"/>
                <w:szCs w:val="18"/>
              </w:rPr>
              <w:t>(e)</w:t>
            </w:r>
          </w:p>
          <w:p w:rsidRPr="003F4450" w:rsidR="008F2982" w:rsidP="00855805" w:rsidRDefault="008F2982" w14:paraId="230DADBC" w14:textId="77777777">
            <w:pPr>
              <w:pStyle w:val="NoSpacing"/>
              <w:jc w:val="center"/>
              <w:rPr>
                <w:rFonts w:ascii="Arial" w:hAnsi="Arial" w:cs="Arial"/>
                <w:b/>
                <w:sz w:val="18"/>
                <w:szCs w:val="18"/>
              </w:rPr>
            </w:pPr>
            <w:r w:rsidRPr="003F4450">
              <w:rPr>
                <w:rFonts w:ascii="Arial" w:hAnsi="Arial" w:cs="Arial"/>
                <w:b/>
                <w:sz w:val="18"/>
                <w:szCs w:val="18"/>
              </w:rPr>
              <w:t>(c) x (d)</w:t>
            </w:r>
          </w:p>
        </w:tc>
      </w:tr>
      <w:tr w:rsidRPr="003F4450" w:rsidR="008F2982" w:rsidTr="00087021" w14:paraId="03F4859D" w14:textId="77777777">
        <w:tc>
          <w:tcPr>
            <w:tcW w:w="661" w:type="dxa"/>
            <w:vAlign w:val="center"/>
          </w:tcPr>
          <w:p w:rsidRPr="003F4450" w:rsidR="008F2982" w:rsidP="00855805" w:rsidRDefault="008F2982" w14:paraId="3C42ADB7" w14:textId="77777777">
            <w:pPr>
              <w:pStyle w:val="NoSpacing"/>
              <w:rPr>
                <w:rFonts w:ascii="Arial" w:hAnsi="Arial" w:cs="Arial"/>
                <w:sz w:val="18"/>
                <w:szCs w:val="18"/>
              </w:rPr>
            </w:pPr>
            <w:r w:rsidRPr="003F4450">
              <w:rPr>
                <w:rFonts w:ascii="Arial" w:hAnsi="Arial" w:cs="Arial"/>
                <w:sz w:val="18"/>
                <w:szCs w:val="18"/>
              </w:rPr>
              <w:t>1</w:t>
            </w:r>
          </w:p>
        </w:tc>
        <w:tc>
          <w:tcPr>
            <w:tcW w:w="1097" w:type="dxa"/>
            <w:vAlign w:val="center"/>
          </w:tcPr>
          <w:p w:rsidRPr="003F4450" w:rsidR="008F2982" w:rsidP="00855805" w:rsidRDefault="008F2982" w14:paraId="650F09AA" w14:textId="77777777">
            <w:pPr>
              <w:pStyle w:val="NoSpacing"/>
              <w:rPr>
                <w:rFonts w:ascii="Arial" w:hAnsi="Arial" w:cs="Arial"/>
                <w:sz w:val="18"/>
                <w:szCs w:val="18"/>
              </w:rPr>
            </w:pPr>
          </w:p>
          <w:p w:rsidRPr="003F4450" w:rsidR="008F2982" w:rsidP="00855805" w:rsidRDefault="008F2982" w14:paraId="0CF2A3D7" w14:textId="77777777">
            <w:pPr>
              <w:pStyle w:val="NoSpacing"/>
              <w:rPr>
                <w:rFonts w:ascii="Arial" w:hAnsi="Arial" w:cs="Arial"/>
                <w:sz w:val="18"/>
                <w:szCs w:val="18"/>
              </w:rPr>
            </w:pPr>
            <w:r w:rsidRPr="003F4450">
              <w:rPr>
                <w:rFonts w:ascii="Arial" w:hAnsi="Arial" w:cs="Arial"/>
                <w:sz w:val="18"/>
                <w:szCs w:val="18"/>
              </w:rPr>
              <w:t>Patent Examiner Employee Application</w:t>
            </w:r>
          </w:p>
          <w:p w:rsidRPr="003F4450" w:rsidR="008F2982" w:rsidP="00855805" w:rsidRDefault="008F2982" w14:paraId="538423DB" w14:textId="77777777">
            <w:pPr>
              <w:pStyle w:val="NoSpacing"/>
              <w:rPr>
                <w:rFonts w:ascii="Arial" w:hAnsi="Arial" w:cs="Arial"/>
                <w:sz w:val="18"/>
                <w:szCs w:val="18"/>
              </w:rPr>
            </w:pPr>
          </w:p>
        </w:tc>
        <w:tc>
          <w:tcPr>
            <w:tcW w:w="1357" w:type="dxa"/>
            <w:shd w:val="clear" w:color="auto" w:fill="auto"/>
          </w:tcPr>
          <w:p w:rsidR="008F2982" w:rsidP="00855805" w:rsidRDefault="008F2982" w14:paraId="302B947D" w14:textId="77777777">
            <w:pPr>
              <w:pStyle w:val="NoSpacing"/>
              <w:jc w:val="right"/>
              <w:rPr>
                <w:rFonts w:ascii="Arial" w:hAnsi="Arial" w:cs="Arial"/>
                <w:sz w:val="18"/>
                <w:szCs w:val="18"/>
              </w:rPr>
            </w:pPr>
          </w:p>
          <w:p w:rsidR="00F031D0" w:rsidP="00855805" w:rsidRDefault="00F031D0" w14:paraId="323729A7" w14:textId="77777777">
            <w:pPr>
              <w:pStyle w:val="NoSpacing"/>
              <w:jc w:val="right"/>
              <w:rPr>
                <w:rFonts w:ascii="Arial" w:hAnsi="Arial" w:cs="Arial"/>
                <w:sz w:val="18"/>
                <w:szCs w:val="18"/>
              </w:rPr>
            </w:pPr>
          </w:p>
          <w:p w:rsidR="00F031D0" w:rsidP="00855805" w:rsidRDefault="00F031D0" w14:paraId="1D6BFF42" w14:textId="77777777">
            <w:pPr>
              <w:pStyle w:val="NoSpacing"/>
              <w:jc w:val="right"/>
              <w:rPr>
                <w:rFonts w:ascii="Arial" w:hAnsi="Arial" w:cs="Arial"/>
                <w:sz w:val="18"/>
                <w:szCs w:val="18"/>
              </w:rPr>
            </w:pPr>
          </w:p>
          <w:p w:rsidRPr="003F4450" w:rsidR="00F031D0" w:rsidP="00855805" w:rsidRDefault="00F031D0" w14:paraId="0F605D9B" w14:textId="2804CAA5">
            <w:pPr>
              <w:pStyle w:val="NoSpacing"/>
              <w:jc w:val="right"/>
              <w:rPr>
                <w:rFonts w:ascii="Arial" w:hAnsi="Arial" w:cs="Arial"/>
                <w:sz w:val="18"/>
                <w:szCs w:val="18"/>
              </w:rPr>
            </w:pPr>
            <w:r>
              <w:rPr>
                <w:rFonts w:ascii="Arial" w:hAnsi="Arial" w:cs="Arial"/>
                <w:sz w:val="18"/>
                <w:szCs w:val="18"/>
              </w:rPr>
              <w:t>8,386</w:t>
            </w:r>
          </w:p>
        </w:tc>
        <w:tc>
          <w:tcPr>
            <w:tcW w:w="1177" w:type="dxa"/>
            <w:shd w:val="clear" w:color="auto" w:fill="auto"/>
          </w:tcPr>
          <w:p w:rsidR="008F2982" w:rsidP="00855805" w:rsidRDefault="008F2982" w14:paraId="7EF3BD00" w14:textId="77777777">
            <w:pPr>
              <w:pStyle w:val="NoSpacing"/>
              <w:jc w:val="right"/>
              <w:rPr>
                <w:rFonts w:ascii="Arial" w:hAnsi="Arial" w:cs="Arial"/>
                <w:sz w:val="18"/>
                <w:szCs w:val="18"/>
              </w:rPr>
            </w:pPr>
          </w:p>
          <w:p w:rsidR="008F2982" w:rsidP="00855805" w:rsidRDefault="008F2982" w14:paraId="67A6A3F5" w14:textId="77777777">
            <w:pPr>
              <w:pStyle w:val="NoSpacing"/>
              <w:jc w:val="right"/>
              <w:rPr>
                <w:rFonts w:ascii="Arial" w:hAnsi="Arial" w:cs="Arial"/>
                <w:sz w:val="18"/>
                <w:szCs w:val="18"/>
              </w:rPr>
            </w:pPr>
          </w:p>
          <w:p w:rsidR="008F2982" w:rsidP="00855805" w:rsidRDefault="008F2982" w14:paraId="7EECCAB0" w14:textId="77777777">
            <w:pPr>
              <w:pStyle w:val="NoSpacing"/>
              <w:jc w:val="right"/>
              <w:rPr>
                <w:rFonts w:ascii="Arial" w:hAnsi="Arial" w:cs="Arial"/>
                <w:sz w:val="18"/>
                <w:szCs w:val="18"/>
              </w:rPr>
            </w:pPr>
          </w:p>
          <w:p w:rsidRPr="003F4450" w:rsidR="008F2982" w:rsidP="00855805" w:rsidRDefault="00F031D0" w14:paraId="5D28B63A" w14:textId="6A4F5DD0">
            <w:pPr>
              <w:pStyle w:val="NoSpacing"/>
              <w:jc w:val="right"/>
              <w:rPr>
                <w:rFonts w:ascii="Arial" w:hAnsi="Arial" w:cs="Arial"/>
                <w:sz w:val="18"/>
                <w:szCs w:val="18"/>
              </w:rPr>
            </w:pPr>
            <w:r>
              <w:rPr>
                <w:rFonts w:ascii="Arial" w:hAnsi="Arial" w:cs="Arial"/>
                <w:sz w:val="18"/>
                <w:szCs w:val="18"/>
              </w:rPr>
              <w:t>8,386</w:t>
            </w:r>
          </w:p>
        </w:tc>
        <w:tc>
          <w:tcPr>
            <w:tcW w:w="1077" w:type="dxa"/>
            <w:shd w:val="clear" w:color="auto" w:fill="auto"/>
            <w:vAlign w:val="center"/>
          </w:tcPr>
          <w:p w:rsidRPr="003F4450" w:rsidR="008F2982" w:rsidP="00855805" w:rsidRDefault="008F2982" w14:paraId="7DE3A54F" w14:textId="77777777">
            <w:pPr>
              <w:pStyle w:val="NoSpacing"/>
              <w:jc w:val="right"/>
              <w:rPr>
                <w:rFonts w:ascii="Arial" w:hAnsi="Arial" w:cs="Arial"/>
                <w:sz w:val="18"/>
                <w:szCs w:val="18"/>
              </w:rPr>
            </w:pPr>
            <w:r w:rsidRPr="003F4450">
              <w:rPr>
                <w:rFonts w:ascii="Arial" w:hAnsi="Arial" w:cs="Arial"/>
                <w:sz w:val="18"/>
                <w:szCs w:val="18"/>
              </w:rPr>
              <w:t>0.50</w:t>
            </w:r>
          </w:p>
          <w:p w:rsidRPr="003F4450" w:rsidR="008F2982" w:rsidP="00855805" w:rsidRDefault="008F2982" w14:paraId="2149CA87" w14:textId="77777777">
            <w:pPr>
              <w:pStyle w:val="NoSpacing"/>
              <w:jc w:val="right"/>
              <w:rPr>
                <w:rFonts w:ascii="Arial" w:hAnsi="Arial" w:cs="Arial"/>
                <w:sz w:val="18"/>
                <w:szCs w:val="18"/>
              </w:rPr>
            </w:pPr>
            <w:r w:rsidRPr="003F4450">
              <w:rPr>
                <w:rFonts w:ascii="Arial" w:hAnsi="Arial" w:cs="Arial"/>
                <w:sz w:val="18"/>
                <w:szCs w:val="18"/>
              </w:rPr>
              <w:t>(30 minutes)</w:t>
            </w:r>
          </w:p>
        </w:tc>
        <w:tc>
          <w:tcPr>
            <w:tcW w:w="1157" w:type="dxa"/>
            <w:vAlign w:val="center"/>
          </w:tcPr>
          <w:p w:rsidRPr="003F4450" w:rsidR="008F2982" w:rsidP="00855805" w:rsidRDefault="00F031D0" w14:paraId="26EB5637" w14:textId="0D0E0CB2">
            <w:pPr>
              <w:pStyle w:val="NoSpacing"/>
              <w:jc w:val="right"/>
              <w:rPr>
                <w:rFonts w:ascii="Arial" w:hAnsi="Arial" w:cs="Arial"/>
                <w:sz w:val="18"/>
                <w:szCs w:val="18"/>
              </w:rPr>
            </w:pPr>
            <w:r w:rsidRPr="00F031D0">
              <w:rPr>
                <w:rFonts w:ascii="Arial" w:hAnsi="Arial" w:cs="Arial"/>
                <w:sz w:val="18"/>
                <w:szCs w:val="18"/>
              </w:rPr>
              <w:t>4</w:t>
            </w:r>
            <w:r>
              <w:rPr>
                <w:rFonts w:ascii="Arial" w:hAnsi="Arial" w:cs="Arial"/>
                <w:sz w:val="18"/>
                <w:szCs w:val="18"/>
              </w:rPr>
              <w:t>,</w:t>
            </w:r>
            <w:r w:rsidRPr="00F031D0">
              <w:rPr>
                <w:rFonts w:ascii="Arial" w:hAnsi="Arial" w:cs="Arial"/>
                <w:sz w:val="18"/>
                <w:szCs w:val="18"/>
              </w:rPr>
              <w:t>193</w:t>
            </w:r>
          </w:p>
        </w:tc>
        <w:tc>
          <w:tcPr>
            <w:tcW w:w="1027" w:type="dxa"/>
            <w:vAlign w:val="center"/>
          </w:tcPr>
          <w:p w:rsidRPr="003F4450" w:rsidR="008F2982" w:rsidP="00855805" w:rsidRDefault="003135F4" w14:paraId="2D574629" w14:textId="7A1E058E">
            <w:pPr>
              <w:pStyle w:val="NoSpacing"/>
              <w:jc w:val="center"/>
              <w:rPr>
                <w:rFonts w:ascii="Arial" w:hAnsi="Arial" w:cs="Arial"/>
                <w:sz w:val="18"/>
                <w:szCs w:val="18"/>
              </w:rPr>
            </w:pPr>
            <w:r w:rsidRPr="003135F4">
              <w:rPr>
                <w:rFonts w:ascii="Arial" w:hAnsi="Arial" w:cs="Arial"/>
                <w:sz w:val="18"/>
                <w:szCs w:val="18"/>
              </w:rPr>
              <w:t>$27.44</w:t>
            </w:r>
          </w:p>
        </w:tc>
        <w:tc>
          <w:tcPr>
            <w:tcW w:w="1077" w:type="dxa"/>
            <w:vAlign w:val="center"/>
          </w:tcPr>
          <w:p w:rsidRPr="003F4450" w:rsidR="008F2982" w:rsidP="00E96F96" w:rsidRDefault="0024481E" w14:paraId="082B65FE" w14:textId="5D20D03E">
            <w:pPr>
              <w:pStyle w:val="NoSpacing"/>
              <w:jc w:val="right"/>
              <w:rPr>
                <w:rFonts w:ascii="Arial" w:hAnsi="Arial" w:cs="Arial"/>
                <w:sz w:val="18"/>
                <w:szCs w:val="18"/>
              </w:rPr>
            </w:pPr>
            <w:r>
              <w:rPr>
                <w:rFonts w:ascii="Arial" w:hAnsi="Arial" w:cs="Arial"/>
                <w:sz w:val="18"/>
                <w:szCs w:val="18"/>
              </w:rPr>
              <w:t>$</w:t>
            </w:r>
            <w:r w:rsidRPr="00AC3171" w:rsidR="00AC3171">
              <w:rPr>
                <w:rFonts w:ascii="Arial" w:hAnsi="Arial" w:cs="Arial"/>
                <w:sz w:val="18"/>
                <w:szCs w:val="18"/>
              </w:rPr>
              <w:t>115</w:t>
            </w:r>
            <w:r w:rsidR="00AC3171">
              <w:rPr>
                <w:rFonts w:ascii="Arial" w:hAnsi="Arial" w:cs="Arial"/>
                <w:sz w:val="18"/>
                <w:szCs w:val="18"/>
              </w:rPr>
              <w:t>,056</w:t>
            </w:r>
          </w:p>
        </w:tc>
      </w:tr>
      <w:tr w:rsidRPr="003F4450" w:rsidR="008F2982" w:rsidTr="008F2982" w14:paraId="02516DAC" w14:textId="77777777">
        <w:tc>
          <w:tcPr>
            <w:tcW w:w="661" w:type="dxa"/>
            <w:vAlign w:val="center"/>
          </w:tcPr>
          <w:p w:rsidRPr="003F4450" w:rsidR="008F2982" w:rsidP="00855805" w:rsidRDefault="008F2982" w14:paraId="56B67E53" w14:textId="0E7E8F40">
            <w:pPr>
              <w:pStyle w:val="NoSpacing"/>
              <w:rPr>
                <w:rFonts w:ascii="Arial" w:hAnsi="Arial" w:cs="Arial"/>
                <w:b/>
                <w:sz w:val="18"/>
                <w:szCs w:val="18"/>
              </w:rPr>
            </w:pPr>
          </w:p>
        </w:tc>
        <w:tc>
          <w:tcPr>
            <w:tcW w:w="1097" w:type="dxa"/>
            <w:vAlign w:val="center"/>
          </w:tcPr>
          <w:p w:rsidRPr="003F4450" w:rsidR="008F2982" w:rsidP="00855805" w:rsidRDefault="00874FF0" w14:paraId="32190906" w14:textId="6E7067E5">
            <w:pPr>
              <w:pStyle w:val="NoSpacing"/>
              <w:rPr>
                <w:rFonts w:ascii="Arial" w:hAnsi="Arial" w:cs="Arial"/>
                <w:b/>
                <w:sz w:val="18"/>
                <w:szCs w:val="18"/>
              </w:rPr>
            </w:pPr>
            <w:r w:rsidRPr="00874FF0">
              <w:rPr>
                <w:rFonts w:ascii="Arial" w:hAnsi="Arial" w:cs="Arial"/>
                <w:b/>
                <w:sz w:val="18"/>
                <w:szCs w:val="18"/>
              </w:rPr>
              <w:t>Total</w:t>
            </w:r>
          </w:p>
        </w:tc>
        <w:tc>
          <w:tcPr>
            <w:tcW w:w="1357" w:type="dxa"/>
          </w:tcPr>
          <w:p w:rsidRPr="00437218" w:rsidR="008F2982" w:rsidP="00855805" w:rsidRDefault="008F50A3" w14:paraId="057C00FA" w14:textId="38A179D5">
            <w:pPr>
              <w:pStyle w:val="NoSpacing"/>
              <w:jc w:val="right"/>
              <w:rPr>
                <w:rFonts w:ascii="Arial" w:hAnsi="Arial" w:cs="Arial"/>
                <w:b/>
                <w:sz w:val="18"/>
                <w:szCs w:val="18"/>
              </w:rPr>
            </w:pPr>
            <w:r w:rsidRPr="00437218">
              <w:rPr>
                <w:rFonts w:ascii="Arial" w:hAnsi="Arial" w:cs="Arial"/>
                <w:b/>
                <w:sz w:val="18"/>
                <w:szCs w:val="18"/>
              </w:rPr>
              <w:t>8,386</w:t>
            </w:r>
          </w:p>
        </w:tc>
        <w:tc>
          <w:tcPr>
            <w:tcW w:w="1177" w:type="dxa"/>
          </w:tcPr>
          <w:p w:rsidRPr="003F4450" w:rsidR="008F2982" w:rsidP="00855805" w:rsidRDefault="0024481E" w14:paraId="013E297A" w14:textId="1E832EAE">
            <w:pPr>
              <w:pStyle w:val="NoSpacing"/>
              <w:jc w:val="right"/>
              <w:rPr>
                <w:rFonts w:ascii="Arial" w:hAnsi="Arial" w:cs="Arial"/>
                <w:b/>
                <w:sz w:val="18"/>
                <w:szCs w:val="18"/>
              </w:rPr>
            </w:pPr>
            <w:r w:rsidRPr="0024481E">
              <w:rPr>
                <w:rFonts w:ascii="Arial" w:hAnsi="Arial" w:cs="Arial"/>
                <w:b/>
                <w:sz w:val="18"/>
                <w:szCs w:val="18"/>
              </w:rPr>
              <w:t>8,386</w:t>
            </w:r>
          </w:p>
        </w:tc>
        <w:tc>
          <w:tcPr>
            <w:tcW w:w="1077" w:type="dxa"/>
            <w:vAlign w:val="center"/>
          </w:tcPr>
          <w:p w:rsidRPr="003F4450" w:rsidR="008F2982" w:rsidP="00855805" w:rsidRDefault="008F2982" w14:paraId="48C9D8B4" w14:textId="77777777">
            <w:pPr>
              <w:pStyle w:val="NoSpacing"/>
              <w:jc w:val="center"/>
              <w:rPr>
                <w:rFonts w:ascii="Arial" w:hAnsi="Arial" w:cs="Arial"/>
                <w:b/>
                <w:sz w:val="18"/>
                <w:szCs w:val="18"/>
              </w:rPr>
            </w:pPr>
            <w:r>
              <w:rPr>
                <w:rFonts w:ascii="Arial" w:hAnsi="Arial" w:cs="Arial"/>
                <w:b/>
                <w:sz w:val="18"/>
                <w:szCs w:val="18"/>
              </w:rPr>
              <w:t>-------</w:t>
            </w:r>
          </w:p>
        </w:tc>
        <w:tc>
          <w:tcPr>
            <w:tcW w:w="1157" w:type="dxa"/>
            <w:vAlign w:val="center"/>
          </w:tcPr>
          <w:p w:rsidRPr="003F4450" w:rsidR="008F2982" w:rsidP="00855805" w:rsidRDefault="0024481E" w14:paraId="028B51C1" w14:textId="74BAA42D">
            <w:pPr>
              <w:pStyle w:val="NoSpacing"/>
              <w:jc w:val="right"/>
              <w:rPr>
                <w:rFonts w:ascii="Arial" w:hAnsi="Arial" w:cs="Arial"/>
                <w:b/>
                <w:sz w:val="18"/>
                <w:szCs w:val="18"/>
              </w:rPr>
            </w:pPr>
            <w:r w:rsidRPr="0024481E">
              <w:rPr>
                <w:rFonts w:ascii="Arial" w:hAnsi="Arial" w:cs="Arial"/>
                <w:b/>
                <w:sz w:val="18"/>
                <w:szCs w:val="18"/>
              </w:rPr>
              <w:t>4,193</w:t>
            </w:r>
          </w:p>
        </w:tc>
        <w:tc>
          <w:tcPr>
            <w:tcW w:w="1027" w:type="dxa"/>
            <w:vAlign w:val="center"/>
          </w:tcPr>
          <w:p w:rsidRPr="003F4450" w:rsidR="008F2982" w:rsidP="00855805" w:rsidRDefault="008F2982" w14:paraId="35CC0852" w14:textId="77777777">
            <w:pPr>
              <w:pStyle w:val="NoSpacing"/>
              <w:jc w:val="center"/>
              <w:rPr>
                <w:rFonts w:ascii="Arial" w:hAnsi="Arial" w:cs="Arial"/>
                <w:b/>
                <w:sz w:val="18"/>
                <w:szCs w:val="18"/>
              </w:rPr>
            </w:pPr>
            <w:r>
              <w:rPr>
                <w:rFonts w:ascii="Arial" w:hAnsi="Arial" w:cs="Arial"/>
                <w:b/>
                <w:sz w:val="18"/>
                <w:szCs w:val="18"/>
              </w:rPr>
              <w:t>-------</w:t>
            </w:r>
          </w:p>
        </w:tc>
        <w:tc>
          <w:tcPr>
            <w:tcW w:w="1077" w:type="dxa"/>
            <w:vAlign w:val="center"/>
          </w:tcPr>
          <w:p w:rsidRPr="00437218" w:rsidR="008F2982" w:rsidP="00E96F96" w:rsidRDefault="0024481E" w14:paraId="6F67F5E6" w14:textId="7512693D">
            <w:pPr>
              <w:pStyle w:val="NoSpacing"/>
              <w:jc w:val="right"/>
              <w:rPr>
                <w:rFonts w:ascii="Arial" w:hAnsi="Arial" w:cs="Arial"/>
                <w:b/>
                <w:sz w:val="18"/>
                <w:szCs w:val="18"/>
              </w:rPr>
            </w:pPr>
            <w:r w:rsidRPr="00437218">
              <w:rPr>
                <w:rFonts w:ascii="Arial" w:hAnsi="Arial" w:cs="Arial"/>
                <w:b/>
                <w:sz w:val="18"/>
                <w:szCs w:val="18"/>
              </w:rPr>
              <w:t>$</w:t>
            </w:r>
            <w:r w:rsidRPr="00AC3171" w:rsidR="00AC3171">
              <w:rPr>
                <w:rFonts w:ascii="Arial" w:hAnsi="Arial" w:cs="Arial"/>
                <w:b/>
                <w:sz w:val="18"/>
                <w:szCs w:val="18"/>
              </w:rPr>
              <w:t>115</w:t>
            </w:r>
            <w:r w:rsidR="00AC3171">
              <w:rPr>
                <w:rFonts w:ascii="Arial" w:hAnsi="Arial" w:cs="Arial"/>
                <w:b/>
                <w:sz w:val="18"/>
                <w:szCs w:val="18"/>
              </w:rPr>
              <w:t>,056</w:t>
            </w:r>
          </w:p>
        </w:tc>
      </w:tr>
    </w:tbl>
    <w:p w:rsidR="008C33B8" w:rsidP="008C33B8" w:rsidRDefault="008C33B8" w14:paraId="6E10612A" w14:textId="77777777">
      <w:pPr>
        <w:pStyle w:val="NoSpacing"/>
        <w:jc w:val="both"/>
        <w:rPr>
          <w:rFonts w:ascii="Arial" w:hAnsi="Arial" w:cs="Arial"/>
          <w:sz w:val="24"/>
          <w:szCs w:val="24"/>
        </w:rPr>
      </w:pPr>
    </w:p>
    <w:p w:rsidRPr="00A374EF" w:rsidR="00A374EF" w:rsidP="00396E91" w:rsidRDefault="004253B8" w14:paraId="0C1A6CDF" w14:textId="77777777">
      <w:pPr>
        <w:pStyle w:val="NoSpacing"/>
        <w:ind w:left="720" w:hanging="720"/>
        <w:jc w:val="both"/>
        <w:rPr>
          <w:rFonts w:ascii="Arial" w:hAnsi="Arial" w:cs="Arial"/>
          <w:b/>
          <w:sz w:val="24"/>
          <w:szCs w:val="24"/>
        </w:rPr>
      </w:pPr>
      <w:r>
        <w:rPr>
          <w:rFonts w:ascii="Arial" w:hAnsi="Arial" w:cs="Arial"/>
          <w:b/>
          <w:sz w:val="24"/>
          <w:szCs w:val="24"/>
        </w:rPr>
        <w:t xml:space="preserve">13. </w:t>
      </w:r>
      <w:r>
        <w:rPr>
          <w:rFonts w:ascii="Arial" w:hAnsi="Arial" w:cs="Arial"/>
          <w:b/>
          <w:sz w:val="24"/>
          <w:szCs w:val="24"/>
        </w:rPr>
        <w:tab/>
      </w:r>
      <w:r w:rsidRPr="00A374EF" w:rsidR="00A374EF">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00A374EF" w:rsidP="00396E91" w:rsidRDefault="00A374EF" w14:paraId="2E442AC6" w14:textId="185A90D9">
      <w:pPr>
        <w:pStyle w:val="NoSpacing"/>
        <w:numPr>
          <w:ilvl w:val="0"/>
          <w:numId w:val="2"/>
        </w:numPr>
        <w:jc w:val="both"/>
        <w:rPr>
          <w:rFonts w:ascii="Arial" w:hAnsi="Arial" w:cs="Arial"/>
          <w:b/>
          <w:sz w:val="24"/>
          <w:szCs w:val="24"/>
        </w:rPr>
      </w:pPr>
      <w:r w:rsidRPr="00A374EF">
        <w:rPr>
          <w:rFonts w:ascii="Arial" w:hAnsi="Arial" w:cs="Arial"/>
          <w:b/>
          <w:sz w:val="24"/>
          <w:szCs w:val="24"/>
        </w:rPr>
        <w:t xml:space="preserve">The cost estimate should be split into </w:t>
      </w:r>
      <w:r w:rsidR="00CB2E6D">
        <w:rPr>
          <w:rFonts w:ascii="Arial" w:hAnsi="Arial" w:cs="Arial"/>
          <w:b/>
          <w:sz w:val="24"/>
          <w:szCs w:val="24"/>
        </w:rPr>
        <w:t>2</w:t>
      </w:r>
      <w:r w:rsidRPr="00A374EF">
        <w:rPr>
          <w:rFonts w:ascii="Arial" w:hAnsi="Arial" w:cs="Arial"/>
          <w:b/>
          <w:sz w:val="24"/>
          <w:szCs w:val="24"/>
        </w:rPr>
        <w:t xml:space="preserve">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A374EF" w:rsidR="00A374EF" w:rsidP="00396E91" w:rsidRDefault="00A374EF" w14:paraId="0C474422" w14:textId="6BF5B654">
      <w:pPr>
        <w:pStyle w:val="NoSpacing"/>
        <w:numPr>
          <w:ilvl w:val="0"/>
          <w:numId w:val="2"/>
        </w:numPr>
        <w:jc w:val="both"/>
        <w:rPr>
          <w:rFonts w:ascii="Arial" w:hAnsi="Arial" w:cs="Arial"/>
          <w:b/>
          <w:sz w:val="24"/>
          <w:szCs w:val="24"/>
        </w:rPr>
      </w:pPr>
      <w:r w:rsidRPr="00A374EF">
        <w:rPr>
          <w:rFonts w:ascii="Arial" w:hAnsi="Arial" w:cs="Arial"/>
          <w:b/>
          <w:sz w:val="24"/>
          <w:szCs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2CE0" w:rsidP="00D15D34" w:rsidRDefault="00A374EF" w14:paraId="7BB2163E" w14:textId="3B71DD2F">
      <w:pPr>
        <w:pStyle w:val="NoSpacing"/>
        <w:ind w:left="720"/>
        <w:jc w:val="both"/>
        <w:rPr>
          <w:rFonts w:ascii="Arial" w:hAnsi="Arial" w:cs="Arial"/>
          <w:b/>
          <w:sz w:val="24"/>
          <w:szCs w:val="24"/>
        </w:rPr>
      </w:pPr>
      <w:r w:rsidRPr="00A374EF">
        <w:rPr>
          <w:rFonts w:ascii="Arial" w:hAnsi="Arial" w:cs="Arial"/>
          <w:b/>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A374EF">
        <w:rPr>
          <w:rFonts w:ascii="Arial" w:hAnsi="Arial" w:cs="Arial"/>
          <w:b/>
          <w:sz w:val="24"/>
          <w:szCs w:val="24"/>
        </w:rPr>
        <w:lastRenderedPageBreak/>
        <w:t>keep records for the government, or (4) as part of customary and usual business or private practices.</w:t>
      </w:r>
    </w:p>
    <w:p w:rsidRPr="00D15D34" w:rsidR="0087517C" w:rsidP="00D15D34" w:rsidRDefault="0087517C" w14:paraId="1A3F24A0" w14:textId="77777777">
      <w:pPr>
        <w:pStyle w:val="NoSpacing"/>
        <w:ind w:left="720"/>
        <w:jc w:val="both"/>
        <w:rPr>
          <w:rFonts w:ascii="Arial" w:hAnsi="Arial" w:cs="Arial"/>
          <w:sz w:val="24"/>
          <w:szCs w:val="24"/>
        </w:rPr>
      </w:pPr>
    </w:p>
    <w:p w:rsidR="004253B8" w:rsidP="008C33B8" w:rsidRDefault="004253B8" w14:paraId="6E10612D" w14:textId="6E70E29A">
      <w:pPr>
        <w:pStyle w:val="NoSpacing"/>
        <w:jc w:val="both"/>
        <w:rPr>
          <w:rFonts w:ascii="Arial" w:hAnsi="Arial" w:cs="Arial"/>
          <w:sz w:val="24"/>
          <w:szCs w:val="24"/>
        </w:rPr>
      </w:pPr>
      <w:r>
        <w:rPr>
          <w:rFonts w:ascii="Arial" w:hAnsi="Arial" w:cs="Arial"/>
          <w:sz w:val="24"/>
          <w:szCs w:val="24"/>
        </w:rPr>
        <w:t>There are no capital start-up, maintenance or record keeping costs, postage costs, or filing fees associated with this information collection.</w:t>
      </w:r>
    </w:p>
    <w:p w:rsidR="006F71DC" w:rsidP="008C33B8" w:rsidRDefault="006F71DC" w14:paraId="6E10612E" w14:textId="77777777">
      <w:pPr>
        <w:pStyle w:val="NoSpacing"/>
        <w:jc w:val="both"/>
        <w:rPr>
          <w:rFonts w:ascii="Arial" w:hAnsi="Arial" w:cs="Arial"/>
          <w:sz w:val="24"/>
          <w:szCs w:val="24"/>
        </w:rPr>
      </w:pPr>
    </w:p>
    <w:p w:rsidR="006F71DC" w:rsidP="00396E91" w:rsidRDefault="006F71DC" w14:paraId="6E10612F" w14:textId="74162386">
      <w:pPr>
        <w:pStyle w:val="NoSpacing"/>
        <w:ind w:left="720" w:hanging="720"/>
        <w:jc w:val="both"/>
        <w:rPr>
          <w:rFonts w:ascii="Arial" w:hAnsi="Arial" w:cs="Arial"/>
          <w:sz w:val="24"/>
          <w:szCs w:val="24"/>
        </w:rPr>
      </w:pPr>
      <w:r>
        <w:rPr>
          <w:rFonts w:ascii="Arial" w:hAnsi="Arial" w:cs="Arial"/>
          <w:b/>
          <w:sz w:val="24"/>
          <w:szCs w:val="24"/>
        </w:rPr>
        <w:t xml:space="preserve">14. </w:t>
      </w:r>
      <w:r>
        <w:rPr>
          <w:rFonts w:ascii="Arial" w:hAnsi="Arial" w:cs="Arial"/>
          <w:b/>
          <w:sz w:val="24"/>
          <w:szCs w:val="24"/>
        </w:rPr>
        <w:tab/>
      </w:r>
      <w:r w:rsidRPr="00A374EF" w:rsidR="00A374EF">
        <w:rPr>
          <w:rFonts w:ascii="Arial" w:hAnsi="Arial" w:cs="Arial"/>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6F71DC" w:rsidP="008C33B8" w:rsidRDefault="006F71DC" w14:paraId="6E106130" w14:textId="77777777">
      <w:pPr>
        <w:pStyle w:val="NoSpacing"/>
        <w:jc w:val="both"/>
        <w:rPr>
          <w:rFonts w:ascii="Arial" w:hAnsi="Arial" w:cs="Arial"/>
          <w:sz w:val="24"/>
          <w:szCs w:val="24"/>
        </w:rPr>
      </w:pPr>
    </w:p>
    <w:p w:rsidR="006F71DC" w:rsidP="008C33B8" w:rsidRDefault="006F71DC" w14:paraId="6E106131" w14:textId="2643A82B">
      <w:pPr>
        <w:pStyle w:val="NoSpacing"/>
        <w:jc w:val="both"/>
        <w:rPr>
          <w:rFonts w:ascii="Arial" w:hAnsi="Arial" w:cs="Arial"/>
          <w:sz w:val="24"/>
          <w:szCs w:val="24"/>
        </w:rPr>
      </w:pPr>
      <w:r>
        <w:rPr>
          <w:rFonts w:ascii="Arial" w:hAnsi="Arial" w:cs="Arial"/>
          <w:sz w:val="24"/>
          <w:szCs w:val="24"/>
        </w:rPr>
        <w:t xml:space="preserve">The USPTO estimates that it takes a </w:t>
      </w:r>
      <w:hyperlink w:history="1" r:id="rId11">
        <w:r w:rsidRPr="00B22CE0">
          <w:rPr>
            <w:rStyle w:val="Hyperlink"/>
            <w:rFonts w:ascii="Arial" w:hAnsi="Arial" w:cs="Arial"/>
            <w:sz w:val="24"/>
            <w:szCs w:val="24"/>
          </w:rPr>
          <w:t>GS-12, step 4</w:t>
        </w:r>
      </w:hyperlink>
      <w:r>
        <w:rPr>
          <w:rFonts w:ascii="Arial" w:hAnsi="Arial" w:cs="Arial"/>
          <w:sz w:val="24"/>
          <w:szCs w:val="24"/>
        </w:rPr>
        <w:t xml:space="preserve"> approximately 1 hour to process an electronic employment application, depending on the situation. </w:t>
      </w:r>
    </w:p>
    <w:p w:rsidR="006F71DC" w:rsidP="008C33B8" w:rsidRDefault="006F71DC" w14:paraId="6E106132" w14:textId="77777777">
      <w:pPr>
        <w:pStyle w:val="NoSpacing"/>
        <w:jc w:val="both"/>
        <w:rPr>
          <w:rFonts w:ascii="Arial" w:hAnsi="Arial" w:cs="Arial"/>
          <w:sz w:val="24"/>
          <w:szCs w:val="24"/>
        </w:rPr>
      </w:pPr>
    </w:p>
    <w:p w:rsidR="006F71DC" w:rsidP="008C33B8" w:rsidRDefault="006F71DC" w14:paraId="6E106133" w14:textId="35939598">
      <w:pPr>
        <w:pStyle w:val="NoSpacing"/>
        <w:jc w:val="both"/>
        <w:rPr>
          <w:rFonts w:ascii="Arial" w:hAnsi="Arial" w:cs="Arial"/>
          <w:sz w:val="24"/>
          <w:szCs w:val="24"/>
        </w:rPr>
      </w:pPr>
      <w:r>
        <w:rPr>
          <w:rFonts w:ascii="Arial" w:hAnsi="Arial" w:cs="Arial"/>
          <w:sz w:val="24"/>
          <w:szCs w:val="24"/>
        </w:rPr>
        <w:t xml:space="preserve">The USPTO estimates that the cost of a </w:t>
      </w:r>
      <w:hyperlink w:history="1" r:id="rId12">
        <w:r w:rsidRPr="002208FB">
          <w:rPr>
            <w:rStyle w:val="Hyperlink"/>
            <w:rFonts w:ascii="Arial" w:hAnsi="Arial" w:cs="Arial"/>
            <w:sz w:val="24"/>
            <w:szCs w:val="24"/>
          </w:rPr>
          <w:t>GS-12, step 4</w:t>
        </w:r>
      </w:hyperlink>
      <w:r>
        <w:rPr>
          <w:rFonts w:ascii="Arial" w:hAnsi="Arial" w:cs="Arial"/>
          <w:sz w:val="24"/>
          <w:szCs w:val="24"/>
        </w:rPr>
        <w:t xml:space="preserve"> employee is $</w:t>
      </w:r>
      <w:r w:rsidR="00941C9F">
        <w:rPr>
          <w:rFonts w:ascii="Arial" w:hAnsi="Arial" w:cs="Arial"/>
          <w:sz w:val="24"/>
          <w:szCs w:val="24"/>
        </w:rPr>
        <w:t>59.16</w:t>
      </w:r>
      <w:r w:rsidR="000655AF">
        <w:rPr>
          <w:rFonts w:ascii="Arial" w:hAnsi="Arial" w:cs="Arial"/>
          <w:sz w:val="24"/>
          <w:szCs w:val="24"/>
        </w:rPr>
        <w:t xml:space="preserve"> </w:t>
      </w:r>
      <w:r>
        <w:rPr>
          <w:rFonts w:ascii="Arial" w:hAnsi="Arial" w:cs="Arial"/>
          <w:sz w:val="24"/>
          <w:szCs w:val="24"/>
        </w:rPr>
        <w:t>(GS hourly rate of $</w:t>
      </w:r>
      <w:r w:rsidR="00941C9F">
        <w:rPr>
          <w:rFonts w:ascii="Arial" w:hAnsi="Arial" w:cs="Arial"/>
          <w:sz w:val="24"/>
          <w:szCs w:val="24"/>
        </w:rPr>
        <w:t>45.51</w:t>
      </w:r>
      <w:r>
        <w:rPr>
          <w:rFonts w:ascii="Arial" w:hAnsi="Arial" w:cs="Arial"/>
          <w:sz w:val="24"/>
          <w:szCs w:val="24"/>
        </w:rPr>
        <w:t xml:space="preserve"> with 30% ($</w:t>
      </w:r>
      <w:r w:rsidRPr="00941C9F" w:rsidR="00941C9F">
        <w:rPr>
          <w:rFonts w:ascii="Arial" w:hAnsi="Arial" w:cs="Arial"/>
          <w:sz w:val="24"/>
          <w:szCs w:val="24"/>
        </w:rPr>
        <w:t>13.65</w:t>
      </w:r>
      <w:r>
        <w:rPr>
          <w:rFonts w:ascii="Arial" w:hAnsi="Arial" w:cs="Arial"/>
          <w:sz w:val="24"/>
          <w:szCs w:val="24"/>
        </w:rPr>
        <w:t xml:space="preserve">) added for benefits and overhead). </w:t>
      </w:r>
    </w:p>
    <w:p w:rsidR="006F71DC" w:rsidP="008C33B8" w:rsidRDefault="006F71DC" w14:paraId="6E106134" w14:textId="77777777">
      <w:pPr>
        <w:pStyle w:val="NoSpacing"/>
        <w:jc w:val="both"/>
        <w:rPr>
          <w:rFonts w:ascii="Arial" w:hAnsi="Arial" w:cs="Arial"/>
          <w:sz w:val="24"/>
          <w:szCs w:val="24"/>
        </w:rPr>
      </w:pPr>
    </w:p>
    <w:p w:rsidR="006F71DC" w:rsidP="008C33B8" w:rsidRDefault="006F71DC" w14:paraId="6E106135" w14:textId="77777777">
      <w:pPr>
        <w:pStyle w:val="NoSpacing"/>
        <w:jc w:val="both"/>
        <w:rPr>
          <w:rFonts w:ascii="Arial" w:hAnsi="Arial" w:cs="Arial"/>
          <w:sz w:val="24"/>
          <w:szCs w:val="24"/>
        </w:rPr>
      </w:pPr>
      <w:r>
        <w:rPr>
          <w:rFonts w:ascii="Arial" w:hAnsi="Arial" w:cs="Arial"/>
          <w:sz w:val="24"/>
          <w:szCs w:val="24"/>
        </w:rPr>
        <w:t>Table 4 calculates the processing hours and costs for a patent examiner employment application to the Federal Government.</w:t>
      </w:r>
    </w:p>
    <w:p w:rsidR="006F71DC" w:rsidP="008C33B8" w:rsidRDefault="006F71DC" w14:paraId="6E106136" w14:textId="77777777">
      <w:pPr>
        <w:pStyle w:val="NoSpacing"/>
        <w:jc w:val="both"/>
        <w:rPr>
          <w:rFonts w:ascii="Arial" w:hAnsi="Arial" w:cs="Arial"/>
          <w:sz w:val="24"/>
          <w:szCs w:val="24"/>
        </w:rPr>
      </w:pPr>
    </w:p>
    <w:p w:rsidRPr="001A5A3E" w:rsidR="006F71DC" w:rsidP="008C33B8" w:rsidRDefault="006F71DC" w14:paraId="6E106137" w14:textId="1C000565">
      <w:pPr>
        <w:pStyle w:val="NoSpacing"/>
        <w:jc w:val="both"/>
        <w:rPr>
          <w:rFonts w:ascii="Arial" w:hAnsi="Arial" w:cs="Arial"/>
          <w:sz w:val="18"/>
          <w:szCs w:val="24"/>
        </w:rPr>
      </w:pPr>
      <w:r w:rsidRPr="001A5A3E">
        <w:rPr>
          <w:rFonts w:ascii="Arial" w:hAnsi="Arial" w:cs="Arial"/>
          <w:b/>
          <w:sz w:val="18"/>
          <w:szCs w:val="24"/>
        </w:rPr>
        <w:t xml:space="preserve">Table 4: </w:t>
      </w:r>
      <w:r w:rsidRPr="001A5A3E" w:rsidR="002C48A6">
        <w:rPr>
          <w:rFonts w:ascii="Arial" w:hAnsi="Arial" w:cs="Arial"/>
          <w:b/>
          <w:sz w:val="18"/>
          <w:szCs w:val="24"/>
        </w:rPr>
        <w:t>Burden Hour/Burden Cost to the Federal Government for</w:t>
      </w:r>
      <w:r w:rsidRPr="001A5A3E" w:rsidR="00F22C10">
        <w:rPr>
          <w:rFonts w:ascii="Arial" w:hAnsi="Arial" w:cs="Arial"/>
          <w:b/>
          <w:sz w:val="18"/>
          <w:szCs w:val="24"/>
        </w:rPr>
        <w:t xml:space="preserve"> Patent Examiner Employment Application</w:t>
      </w:r>
    </w:p>
    <w:tbl>
      <w:tblPr>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0"/>
        <w:gridCol w:w="2700"/>
        <w:gridCol w:w="1147"/>
        <w:gridCol w:w="1080"/>
        <w:gridCol w:w="1080"/>
        <w:gridCol w:w="923"/>
        <w:gridCol w:w="1260"/>
      </w:tblGrid>
      <w:tr w:rsidRPr="001B7D58" w:rsidR="006F71DC" w:rsidTr="00874FF0" w14:paraId="6E10614E" w14:textId="77777777">
        <w:trPr>
          <w:cantSplit/>
        </w:trPr>
        <w:tc>
          <w:tcPr>
            <w:tcW w:w="990" w:type="dxa"/>
            <w:vAlign w:val="center"/>
          </w:tcPr>
          <w:p w:rsidRPr="001B7D58" w:rsidR="006F71DC" w:rsidP="00EA0F95" w:rsidRDefault="0043776B" w14:paraId="6E106138" w14:textId="3CA88052">
            <w:pPr>
              <w:widowControl/>
              <w:autoSpaceDE/>
              <w:autoSpaceDN/>
              <w:adjustRightInd/>
              <w:jc w:val="center"/>
              <w:rPr>
                <w:rFonts w:ascii="Arial" w:hAnsi="Arial"/>
                <w:b/>
                <w:sz w:val="18"/>
                <w:szCs w:val="20"/>
              </w:rPr>
            </w:pPr>
            <w:r w:rsidRPr="001B7D58">
              <w:rPr>
                <w:rFonts w:ascii="Arial" w:hAnsi="Arial"/>
                <w:b/>
                <w:sz w:val="18"/>
                <w:szCs w:val="20"/>
              </w:rPr>
              <w:t>Item</w:t>
            </w:r>
            <w:r w:rsidRPr="001B7D58" w:rsidR="006F71DC">
              <w:rPr>
                <w:rFonts w:ascii="Arial" w:hAnsi="Arial"/>
                <w:b/>
                <w:sz w:val="18"/>
                <w:szCs w:val="20"/>
              </w:rPr>
              <w:t xml:space="preserve"> N</w:t>
            </w:r>
            <w:r w:rsidR="00874FF0">
              <w:rPr>
                <w:rFonts w:ascii="Arial" w:hAnsi="Arial"/>
                <w:b/>
                <w:sz w:val="18"/>
                <w:szCs w:val="20"/>
              </w:rPr>
              <w:t>o.</w:t>
            </w:r>
          </w:p>
        </w:tc>
        <w:tc>
          <w:tcPr>
            <w:tcW w:w="2700" w:type="dxa"/>
            <w:vAlign w:val="center"/>
          </w:tcPr>
          <w:p w:rsidRPr="001B7D58" w:rsidR="006F71DC" w:rsidP="00EA0F95" w:rsidRDefault="006F71DC" w14:paraId="6E106139" w14:textId="77777777">
            <w:pPr>
              <w:widowControl/>
              <w:autoSpaceDE/>
              <w:autoSpaceDN/>
              <w:adjustRightInd/>
              <w:jc w:val="center"/>
              <w:rPr>
                <w:rFonts w:ascii="Arial" w:hAnsi="Arial"/>
                <w:b/>
                <w:sz w:val="18"/>
                <w:szCs w:val="20"/>
              </w:rPr>
            </w:pPr>
            <w:r w:rsidRPr="001B7D58">
              <w:rPr>
                <w:rFonts w:ascii="Arial" w:hAnsi="Arial"/>
                <w:b/>
                <w:sz w:val="18"/>
                <w:szCs w:val="20"/>
              </w:rPr>
              <w:t>Item</w:t>
            </w:r>
          </w:p>
        </w:tc>
        <w:tc>
          <w:tcPr>
            <w:tcW w:w="1147" w:type="dxa"/>
            <w:tcBorders>
              <w:bottom w:val="single" w:color="auto" w:sz="4" w:space="0"/>
            </w:tcBorders>
            <w:vAlign w:val="center"/>
          </w:tcPr>
          <w:p w:rsidRPr="001B7D58" w:rsidR="006F71DC" w:rsidP="00874FF0" w:rsidRDefault="00874FF0" w14:paraId="6E10613A" w14:textId="2FA97D86">
            <w:pPr>
              <w:widowControl/>
              <w:autoSpaceDE/>
              <w:autoSpaceDN/>
              <w:adjustRightInd/>
              <w:jc w:val="center"/>
              <w:rPr>
                <w:rFonts w:ascii="Arial" w:hAnsi="Arial"/>
                <w:b/>
                <w:sz w:val="18"/>
                <w:szCs w:val="20"/>
              </w:rPr>
            </w:pPr>
            <w:r>
              <w:rPr>
                <w:rFonts w:ascii="Arial" w:hAnsi="Arial"/>
                <w:b/>
                <w:sz w:val="18"/>
                <w:szCs w:val="20"/>
              </w:rPr>
              <w:t>Estimated Time For Response (h</w:t>
            </w:r>
            <w:r w:rsidRPr="001B7D58" w:rsidR="006F71DC">
              <w:rPr>
                <w:rFonts w:ascii="Arial" w:hAnsi="Arial"/>
                <w:b/>
                <w:sz w:val="18"/>
                <w:szCs w:val="20"/>
              </w:rPr>
              <w:t>ours</w:t>
            </w:r>
            <w:r>
              <w:rPr>
                <w:rFonts w:ascii="Arial" w:hAnsi="Arial"/>
                <w:b/>
                <w:sz w:val="18"/>
                <w:szCs w:val="20"/>
              </w:rPr>
              <w:t>)</w:t>
            </w:r>
          </w:p>
          <w:p w:rsidRPr="001B7D58" w:rsidR="006F71DC" w:rsidP="00874FF0" w:rsidRDefault="006F71DC" w14:paraId="6E10613B" w14:textId="77777777">
            <w:pPr>
              <w:widowControl/>
              <w:autoSpaceDE/>
              <w:autoSpaceDN/>
              <w:adjustRightInd/>
              <w:jc w:val="center"/>
              <w:rPr>
                <w:rFonts w:ascii="Arial" w:hAnsi="Arial"/>
                <w:b/>
                <w:sz w:val="18"/>
                <w:szCs w:val="20"/>
              </w:rPr>
            </w:pPr>
          </w:p>
          <w:p w:rsidRPr="001B7D58" w:rsidR="006F71DC" w:rsidP="00874FF0" w:rsidRDefault="006F71DC" w14:paraId="6E10613C" w14:textId="77777777">
            <w:pPr>
              <w:widowControl/>
              <w:autoSpaceDE/>
              <w:autoSpaceDN/>
              <w:adjustRightInd/>
              <w:jc w:val="center"/>
              <w:rPr>
                <w:rFonts w:ascii="Arial" w:hAnsi="Arial"/>
                <w:b/>
                <w:sz w:val="18"/>
                <w:szCs w:val="20"/>
              </w:rPr>
            </w:pPr>
          </w:p>
          <w:p w:rsidRPr="001B7D58" w:rsidR="006F71DC" w:rsidP="00874FF0" w:rsidRDefault="006F71DC" w14:paraId="6E10613D" w14:textId="77777777">
            <w:pPr>
              <w:widowControl/>
              <w:autoSpaceDE/>
              <w:autoSpaceDN/>
              <w:adjustRightInd/>
              <w:jc w:val="center"/>
              <w:rPr>
                <w:rFonts w:ascii="Arial" w:hAnsi="Arial"/>
                <w:b/>
                <w:sz w:val="18"/>
                <w:szCs w:val="20"/>
              </w:rPr>
            </w:pPr>
            <w:r w:rsidRPr="001B7D58">
              <w:rPr>
                <w:rFonts w:ascii="Arial" w:hAnsi="Arial"/>
                <w:b/>
                <w:sz w:val="18"/>
                <w:szCs w:val="20"/>
              </w:rPr>
              <w:t>(a)</w:t>
            </w:r>
          </w:p>
        </w:tc>
        <w:tc>
          <w:tcPr>
            <w:tcW w:w="1080" w:type="dxa"/>
            <w:tcBorders>
              <w:bottom w:val="single" w:color="auto" w:sz="4" w:space="0"/>
            </w:tcBorders>
            <w:vAlign w:val="center"/>
          </w:tcPr>
          <w:p w:rsidRPr="001B7D58" w:rsidR="006F71DC" w:rsidP="00874FF0" w:rsidRDefault="00874FF0" w14:paraId="6E10613E" w14:textId="72FD87BD">
            <w:pPr>
              <w:widowControl/>
              <w:autoSpaceDE/>
              <w:autoSpaceDN/>
              <w:adjustRightInd/>
              <w:jc w:val="center"/>
              <w:rPr>
                <w:rFonts w:ascii="Arial" w:hAnsi="Arial"/>
                <w:b/>
                <w:sz w:val="18"/>
                <w:szCs w:val="20"/>
              </w:rPr>
            </w:pPr>
            <w:r>
              <w:rPr>
                <w:rFonts w:ascii="Arial" w:hAnsi="Arial"/>
                <w:b/>
                <w:sz w:val="18"/>
                <w:szCs w:val="20"/>
              </w:rPr>
              <w:t xml:space="preserve">Estimated Annual </w:t>
            </w:r>
            <w:r w:rsidRPr="001B7D58" w:rsidR="006F71DC">
              <w:rPr>
                <w:rFonts w:ascii="Arial" w:hAnsi="Arial"/>
                <w:b/>
                <w:sz w:val="18"/>
                <w:szCs w:val="20"/>
              </w:rPr>
              <w:t>Responses</w:t>
            </w:r>
          </w:p>
          <w:p w:rsidRPr="001B7D58" w:rsidR="006F71DC" w:rsidP="00874FF0" w:rsidRDefault="006F71DC" w14:paraId="6E10613F" w14:textId="407429A5">
            <w:pPr>
              <w:widowControl/>
              <w:autoSpaceDE/>
              <w:autoSpaceDN/>
              <w:adjustRightInd/>
              <w:jc w:val="center"/>
              <w:rPr>
                <w:rFonts w:ascii="Arial" w:hAnsi="Arial"/>
                <w:b/>
                <w:sz w:val="18"/>
                <w:szCs w:val="20"/>
              </w:rPr>
            </w:pPr>
            <w:r w:rsidRPr="001B7D58">
              <w:rPr>
                <w:rFonts w:ascii="Arial" w:hAnsi="Arial"/>
                <w:b/>
                <w:sz w:val="18"/>
                <w:szCs w:val="20"/>
              </w:rPr>
              <w:t>(y</w:t>
            </w:r>
            <w:r w:rsidR="00874FF0">
              <w:rPr>
                <w:rFonts w:ascii="Arial" w:hAnsi="Arial"/>
                <w:b/>
                <w:sz w:val="18"/>
                <w:szCs w:val="20"/>
              </w:rPr>
              <w:t>ea</w:t>
            </w:r>
            <w:r w:rsidRPr="001B7D58">
              <w:rPr>
                <w:rFonts w:ascii="Arial" w:hAnsi="Arial"/>
                <w:b/>
                <w:sz w:val="18"/>
                <w:szCs w:val="20"/>
              </w:rPr>
              <w:t>r)</w:t>
            </w:r>
          </w:p>
          <w:p w:rsidRPr="001B7D58" w:rsidR="006F71DC" w:rsidP="00874FF0" w:rsidRDefault="006F71DC" w14:paraId="6E106140" w14:textId="77777777">
            <w:pPr>
              <w:widowControl/>
              <w:autoSpaceDE/>
              <w:autoSpaceDN/>
              <w:adjustRightInd/>
              <w:jc w:val="center"/>
              <w:rPr>
                <w:rFonts w:ascii="Arial" w:hAnsi="Arial"/>
                <w:b/>
                <w:sz w:val="18"/>
                <w:szCs w:val="20"/>
              </w:rPr>
            </w:pPr>
          </w:p>
          <w:p w:rsidRPr="001B7D58" w:rsidR="006F71DC" w:rsidP="00874FF0" w:rsidRDefault="006F71DC" w14:paraId="6E106141" w14:textId="77777777">
            <w:pPr>
              <w:widowControl/>
              <w:autoSpaceDE/>
              <w:autoSpaceDN/>
              <w:adjustRightInd/>
              <w:jc w:val="center"/>
              <w:rPr>
                <w:rFonts w:ascii="Arial" w:hAnsi="Arial"/>
                <w:b/>
                <w:sz w:val="18"/>
                <w:szCs w:val="20"/>
              </w:rPr>
            </w:pPr>
            <w:r w:rsidRPr="001B7D58">
              <w:rPr>
                <w:rFonts w:ascii="Arial" w:hAnsi="Arial"/>
                <w:b/>
                <w:sz w:val="18"/>
                <w:szCs w:val="20"/>
              </w:rPr>
              <w:t>(b)</w:t>
            </w:r>
          </w:p>
        </w:tc>
        <w:tc>
          <w:tcPr>
            <w:tcW w:w="1080" w:type="dxa"/>
            <w:vAlign w:val="center"/>
          </w:tcPr>
          <w:p w:rsidRPr="001B7D58" w:rsidR="006F71DC" w:rsidP="00874FF0" w:rsidRDefault="00874FF0" w14:paraId="6E106142" w14:textId="59EB610C">
            <w:pPr>
              <w:widowControl/>
              <w:autoSpaceDE/>
              <w:autoSpaceDN/>
              <w:adjustRightInd/>
              <w:jc w:val="center"/>
              <w:rPr>
                <w:rFonts w:ascii="Arial" w:hAnsi="Arial"/>
                <w:b/>
                <w:sz w:val="18"/>
                <w:szCs w:val="20"/>
              </w:rPr>
            </w:pPr>
            <w:r>
              <w:rPr>
                <w:rFonts w:ascii="Arial" w:hAnsi="Arial"/>
                <w:b/>
                <w:sz w:val="18"/>
                <w:szCs w:val="20"/>
              </w:rPr>
              <w:t xml:space="preserve">Estimated Annual </w:t>
            </w:r>
            <w:r w:rsidRPr="001B7D58" w:rsidR="006F71DC">
              <w:rPr>
                <w:rFonts w:ascii="Arial" w:hAnsi="Arial"/>
                <w:b/>
                <w:sz w:val="18"/>
                <w:szCs w:val="20"/>
              </w:rPr>
              <w:t>Burden</w:t>
            </w:r>
          </w:p>
          <w:p w:rsidRPr="001B7D58" w:rsidR="006F71DC" w:rsidP="00874FF0" w:rsidRDefault="006F71DC" w14:paraId="6E106143" w14:textId="5CDF1CF8">
            <w:pPr>
              <w:widowControl/>
              <w:autoSpaceDE/>
              <w:autoSpaceDN/>
              <w:adjustRightInd/>
              <w:jc w:val="center"/>
              <w:rPr>
                <w:rFonts w:ascii="Arial" w:hAnsi="Arial"/>
                <w:b/>
                <w:sz w:val="18"/>
                <w:szCs w:val="20"/>
              </w:rPr>
            </w:pPr>
            <w:r w:rsidRPr="001B7D58">
              <w:rPr>
                <w:rFonts w:ascii="Arial" w:hAnsi="Arial"/>
                <w:b/>
                <w:sz w:val="18"/>
                <w:szCs w:val="20"/>
              </w:rPr>
              <w:t>(h</w:t>
            </w:r>
            <w:r w:rsidR="00874FF0">
              <w:rPr>
                <w:rFonts w:ascii="Arial" w:hAnsi="Arial"/>
                <w:b/>
                <w:sz w:val="18"/>
                <w:szCs w:val="20"/>
              </w:rPr>
              <w:t>our</w:t>
            </w:r>
            <w:r w:rsidRPr="001B7D58">
              <w:rPr>
                <w:rFonts w:ascii="Arial" w:hAnsi="Arial"/>
                <w:b/>
                <w:sz w:val="18"/>
                <w:szCs w:val="20"/>
              </w:rPr>
              <w:t>/y</w:t>
            </w:r>
            <w:r w:rsidR="00874FF0">
              <w:rPr>
                <w:rFonts w:ascii="Arial" w:hAnsi="Arial"/>
                <w:b/>
                <w:sz w:val="18"/>
                <w:szCs w:val="20"/>
              </w:rPr>
              <w:t>ea</w:t>
            </w:r>
            <w:r w:rsidRPr="001B7D58">
              <w:rPr>
                <w:rFonts w:ascii="Arial" w:hAnsi="Arial"/>
                <w:b/>
                <w:sz w:val="18"/>
                <w:szCs w:val="20"/>
              </w:rPr>
              <w:t>r)</w:t>
            </w:r>
          </w:p>
          <w:p w:rsidRPr="001B7D58" w:rsidR="006F71DC" w:rsidP="00874FF0" w:rsidRDefault="006F71DC" w14:paraId="6E106144" w14:textId="77777777">
            <w:pPr>
              <w:widowControl/>
              <w:autoSpaceDE/>
              <w:autoSpaceDN/>
              <w:adjustRightInd/>
              <w:jc w:val="center"/>
              <w:rPr>
                <w:rFonts w:ascii="Arial" w:hAnsi="Arial"/>
                <w:b/>
                <w:sz w:val="18"/>
                <w:szCs w:val="20"/>
              </w:rPr>
            </w:pPr>
            <w:r w:rsidRPr="001B7D58">
              <w:rPr>
                <w:rFonts w:ascii="Arial" w:hAnsi="Arial"/>
                <w:b/>
                <w:sz w:val="18"/>
                <w:szCs w:val="20"/>
              </w:rPr>
              <w:t>(a) x (b)</w:t>
            </w:r>
          </w:p>
          <w:p w:rsidRPr="001B7D58" w:rsidR="006F71DC" w:rsidP="00874FF0" w:rsidRDefault="006F71DC" w14:paraId="6E106145" w14:textId="77777777">
            <w:pPr>
              <w:widowControl/>
              <w:autoSpaceDE/>
              <w:autoSpaceDN/>
              <w:adjustRightInd/>
              <w:jc w:val="center"/>
              <w:rPr>
                <w:rFonts w:ascii="Arial" w:hAnsi="Arial"/>
                <w:b/>
                <w:sz w:val="18"/>
                <w:szCs w:val="20"/>
              </w:rPr>
            </w:pPr>
            <w:r w:rsidRPr="001B7D58">
              <w:rPr>
                <w:rFonts w:ascii="Arial" w:hAnsi="Arial"/>
                <w:b/>
                <w:sz w:val="18"/>
                <w:szCs w:val="20"/>
              </w:rPr>
              <w:t>(c)</w:t>
            </w:r>
          </w:p>
        </w:tc>
        <w:tc>
          <w:tcPr>
            <w:tcW w:w="923" w:type="dxa"/>
            <w:vAlign w:val="center"/>
          </w:tcPr>
          <w:p w:rsidRPr="001B7D58" w:rsidR="006F71DC" w:rsidP="00874FF0" w:rsidRDefault="006F71DC" w14:paraId="6E106146" w14:textId="77777777">
            <w:pPr>
              <w:widowControl/>
              <w:autoSpaceDE/>
              <w:autoSpaceDN/>
              <w:adjustRightInd/>
              <w:jc w:val="center"/>
              <w:rPr>
                <w:rFonts w:ascii="Arial" w:hAnsi="Arial"/>
                <w:b/>
                <w:sz w:val="18"/>
                <w:szCs w:val="20"/>
              </w:rPr>
            </w:pPr>
            <w:r w:rsidRPr="001B7D58">
              <w:rPr>
                <w:rFonts w:ascii="Arial" w:hAnsi="Arial"/>
                <w:b/>
                <w:sz w:val="18"/>
                <w:szCs w:val="20"/>
              </w:rPr>
              <w:t>Rate</w:t>
            </w:r>
          </w:p>
          <w:p w:rsidRPr="001B7D58" w:rsidR="006F71DC" w:rsidP="00874FF0" w:rsidRDefault="006F71DC" w14:paraId="6E106147" w14:textId="577D2AFE">
            <w:pPr>
              <w:widowControl/>
              <w:autoSpaceDE/>
              <w:autoSpaceDN/>
              <w:adjustRightInd/>
              <w:jc w:val="center"/>
              <w:rPr>
                <w:rFonts w:ascii="Arial" w:hAnsi="Arial"/>
                <w:b/>
                <w:sz w:val="18"/>
                <w:szCs w:val="20"/>
              </w:rPr>
            </w:pPr>
            <w:r w:rsidRPr="001B7D58">
              <w:rPr>
                <w:rFonts w:ascii="Arial" w:hAnsi="Arial"/>
                <w:b/>
                <w:sz w:val="18"/>
                <w:szCs w:val="20"/>
              </w:rPr>
              <w:t>($/h</w:t>
            </w:r>
            <w:r w:rsidR="00874FF0">
              <w:rPr>
                <w:rFonts w:ascii="Arial" w:hAnsi="Arial"/>
                <w:b/>
                <w:sz w:val="18"/>
                <w:szCs w:val="20"/>
              </w:rPr>
              <w:t>ou</w:t>
            </w:r>
            <w:r w:rsidRPr="001B7D58">
              <w:rPr>
                <w:rFonts w:ascii="Arial" w:hAnsi="Arial"/>
                <w:b/>
                <w:sz w:val="18"/>
                <w:szCs w:val="20"/>
              </w:rPr>
              <w:t>r)</w:t>
            </w:r>
          </w:p>
          <w:p w:rsidRPr="001B7D58" w:rsidR="006F71DC" w:rsidP="00874FF0" w:rsidRDefault="006F71DC" w14:paraId="6E106148" w14:textId="77777777">
            <w:pPr>
              <w:widowControl/>
              <w:autoSpaceDE/>
              <w:autoSpaceDN/>
              <w:adjustRightInd/>
              <w:jc w:val="center"/>
              <w:rPr>
                <w:rFonts w:ascii="Arial" w:hAnsi="Arial"/>
                <w:b/>
                <w:sz w:val="18"/>
                <w:szCs w:val="20"/>
              </w:rPr>
            </w:pPr>
          </w:p>
          <w:p w:rsidRPr="001B7D58" w:rsidR="006F71DC" w:rsidP="00874FF0" w:rsidRDefault="006F71DC" w14:paraId="6E106149" w14:textId="77777777">
            <w:pPr>
              <w:widowControl/>
              <w:autoSpaceDE/>
              <w:autoSpaceDN/>
              <w:adjustRightInd/>
              <w:jc w:val="center"/>
              <w:rPr>
                <w:rFonts w:ascii="Arial" w:hAnsi="Arial"/>
                <w:b/>
                <w:sz w:val="18"/>
                <w:szCs w:val="20"/>
              </w:rPr>
            </w:pPr>
            <w:r w:rsidRPr="001B7D58">
              <w:rPr>
                <w:rFonts w:ascii="Arial" w:hAnsi="Arial"/>
                <w:b/>
                <w:sz w:val="18"/>
                <w:szCs w:val="20"/>
              </w:rPr>
              <w:t>(d)</w:t>
            </w:r>
          </w:p>
        </w:tc>
        <w:tc>
          <w:tcPr>
            <w:tcW w:w="1260" w:type="dxa"/>
            <w:vAlign w:val="center"/>
          </w:tcPr>
          <w:p w:rsidRPr="001B7D58" w:rsidR="006F71DC" w:rsidP="00874FF0" w:rsidRDefault="00874FF0" w14:paraId="6E10614B" w14:textId="0EB19AD9">
            <w:pPr>
              <w:widowControl/>
              <w:autoSpaceDE/>
              <w:autoSpaceDN/>
              <w:adjustRightInd/>
              <w:jc w:val="center"/>
              <w:rPr>
                <w:rFonts w:ascii="Arial" w:hAnsi="Arial"/>
                <w:b/>
                <w:sz w:val="18"/>
                <w:szCs w:val="20"/>
              </w:rPr>
            </w:pPr>
            <w:r>
              <w:rPr>
                <w:rFonts w:ascii="Arial" w:hAnsi="Arial"/>
                <w:b/>
                <w:sz w:val="18"/>
                <w:szCs w:val="20"/>
              </w:rPr>
              <w:t>Estimated Annual Burden</w:t>
            </w:r>
          </w:p>
          <w:p w:rsidRPr="001B7D58" w:rsidR="006F71DC" w:rsidP="00874FF0" w:rsidRDefault="006F71DC" w14:paraId="6E10614C" w14:textId="77777777">
            <w:pPr>
              <w:widowControl/>
              <w:autoSpaceDE/>
              <w:autoSpaceDN/>
              <w:adjustRightInd/>
              <w:jc w:val="center"/>
              <w:rPr>
                <w:rFonts w:ascii="Arial" w:hAnsi="Arial"/>
                <w:b/>
                <w:sz w:val="18"/>
                <w:szCs w:val="20"/>
              </w:rPr>
            </w:pPr>
            <w:r w:rsidRPr="001B7D58">
              <w:rPr>
                <w:rFonts w:ascii="Arial" w:hAnsi="Arial"/>
                <w:b/>
                <w:sz w:val="18"/>
                <w:szCs w:val="20"/>
              </w:rPr>
              <w:t>(c) x (d)</w:t>
            </w:r>
          </w:p>
          <w:p w:rsidRPr="001B7D58" w:rsidR="006F71DC" w:rsidP="00874FF0" w:rsidRDefault="006F71DC" w14:paraId="6E10614D" w14:textId="77777777">
            <w:pPr>
              <w:widowControl/>
              <w:autoSpaceDE/>
              <w:autoSpaceDN/>
              <w:adjustRightInd/>
              <w:jc w:val="center"/>
              <w:rPr>
                <w:rFonts w:ascii="Arial" w:hAnsi="Arial"/>
                <w:b/>
                <w:sz w:val="18"/>
                <w:szCs w:val="20"/>
              </w:rPr>
            </w:pPr>
            <w:r w:rsidRPr="001B7D58">
              <w:rPr>
                <w:rFonts w:ascii="Arial" w:hAnsi="Arial"/>
                <w:b/>
                <w:sz w:val="18"/>
                <w:szCs w:val="20"/>
              </w:rPr>
              <w:t>(e)</w:t>
            </w:r>
          </w:p>
        </w:tc>
      </w:tr>
      <w:tr w:rsidRPr="001B7D58" w:rsidR="009D39DB" w:rsidTr="0087517C" w14:paraId="6E106158" w14:textId="77777777">
        <w:trPr>
          <w:cantSplit/>
        </w:trPr>
        <w:tc>
          <w:tcPr>
            <w:tcW w:w="990" w:type="dxa"/>
            <w:vAlign w:val="center"/>
          </w:tcPr>
          <w:p w:rsidRPr="001B7D58" w:rsidR="009D39DB" w:rsidP="00EA0F95" w:rsidRDefault="009D39DB" w14:paraId="6E10614F" w14:textId="77777777">
            <w:pPr>
              <w:widowControl/>
              <w:autoSpaceDE/>
              <w:autoSpaceDN/>
              <w:adjustRightInd/>
              <w:jc w:val="center"/>
              <w:rPr>
                <w:rFonts w:ascii="Arial" w:hAnsi="Arial"/>
                <w:b/>
                <w:sz w:val="18"/>
                <w:szCs w:val="20"/>
              </w:rPr>
            </w:pPr>
            <w:r w:rsidRPr="001B7D58">
              <w:rPr>
                <w:rFonts w:ascii="Arial" w:hAnsi="Arial"/>
                <w:b/>
                <w:sz w:val="18"/>
                <w:szCs w:val="20"/>
              </w:rPr>
              <w:t>1</w:t>
            </w:r>
          </w:p>
        </w:tc>
        <w:tc>
          <w:tcPr>
            <w:tcW w:w="2700" w:type="dxa"/>
            <w:vAlign w:val="center"/>
          </w:tcPr>
          <w:p w:rsidRPr="001B7D58" w:rsidR="009D39DB" w:rsidP="00EA0F95" w:rsidRDefault="009D39DB" w14:paraId="6E106150" w14:textId="77777777">
            <w:pPr>
              <w:widowControl/>
              <w:autoSpaceDE/>
              <w:autoSpaceDN/>
              <w:adjustRightInd/>
              <w:rPr>
                <w:rFonts w:ascii="Arial" w:hAnsi="Arial"/>
                <w:sz w:val="18"/>
                <w:szCs w:val="20"/>
              </w:rPr>
            </w:pPr>
          </w:p>
          <w:p w:rsidRPr="001B7D58" w:rsidR="009D39DB" w:rsidP="006F71DC" w:rsidRDefault="009D39DB" w14:paraId="6E106151" w14:textId="77777777">
            <w:pPr>
              <w:rPr>
                <w:rFonts w:ascii="Arial" w:hAnsi="Arial"/>
                <w:sz w:val="18"/>
              </w:rPr>
            </w:pPr>
            <w:r w:rsidRPr="001B7D58">
              <w:rPr>
                <w:rFonts w:ascii="Arial" w:hAnsi="Arial"/>
                <w:sz w:val="18"/>
              </w:rPr>
              <w:t>Patent Examiner Employee Application</w:t>
            </w:r>
          </w:p>
          <w:p w:rsidRPr="001B7D58" w:rsidR="009D39DB" w:rsidP="00EA0F95" w:rsidRDefault="009D39DB" w14:paraId="6E106152" w14:textId="77777777">
            <w:pPr>
              <w:widowControl/>
              <w:autoSpaceDE/>
              <w:autoSpaceDN/>
              <w:adjustRightInd/>
              <w:rPr>
                <w:rFonts w:ascii="Arial" w:hAnsi="Arial"/>
                <w:sz w:val="18"/>
                <w:szCs w:val="20"/>
              </w:rPr>
            </w:pPr>
          </w:p>
        </w:tc>
        <w:tc>
          <w:tcPr>
            <w:tcW w:w="1147" w:type="dxa"/>
            <w:shd w:val="clear" w:color="auto" w:fill="auto"/>
            <w:vAlign w:val="center"/>
          </w:tcPr>
          <w:p w:rsidRPr="0087517C" w:rsidR="009D39DB" w:rsidP="00EA0F95" w:rsidRDefault="000C09A4" w14:paraId="6E106153" w14:textId="7FEA732D">
            <w:pPr>
              <w:widowControl/>
              <w:autoSpaceDE/>
              <w:autoSpaceDN/>
              <w:adjustRightInd/>
              <w:jc w:val="right"/>
              <w:rPr>
                <w:rFonts w:ascii="Arial" w:hAnsi="Arial"/>
                <w:sz w:val="18"/>
                <w:szCs w:val="20"/>
              </w:rPr>
            </w:pPr>
            <w:r>
              <w:rPr>
                <w:rFonts w:ascii="Arial" w:hAnsi="Arial"/>
                <w:sz w:val="18"/>
                <w:szCs w:val="20"/>
              </w:rPr>
              <w:t>0.5</w:t>
            </w:r>
          </w:p>
        </w:tc>
        <w:tc>
          <w:tcPr>
            <w:tcW w:w="1080" w:type="dxa"/>
            <w:shd w:val="clear" w:color="auto" w:fill="auto"/>
            <w:vAlign w:val="center"/>
          </w:tcPr>
          <w:p w:rsidRPr="0087517C" w:rsidR="009D39DB" w:rsidP="00EA0F95" w:rsidRDefault="00F031D0" w14:paraId="6E106154" w14:textId="00DE9D7E">
            <w:pPr>
              <w:widowControl/>
              <w:autoSpaceDE/>
              <w:autoSpaceDN/>
              <w:adjustRightInd/>
              <w:jc w:val="right"/>
              <w:rPr>
                <w:rFonts w:ascii="Arial" w:hAnsi="Arial"/>
                <w:sz w:val="18"/>
                <w:szCs w:val="20"/>
              </w:rPr>
            </w:pPr>
            <w:r w:rsidRPr="0087517C">
              <w:rPr>
                <w:rFonts w:ascii="Arial" w:hAnsi="Arial" w:cs="Arial"/>
                <w:sz w:val="18"/>
                <w:szCs w:val="18"/>
              </w:rPr>
              <w:t>8,386</w:t>
            </w:r>
          </w:p>
        </w:tc>
        <w:tc>
          <w:tcPr>
            <w:tcW w:w="1080" w:type="dxa"/>
            <w:vAlign w:val="center"/>
          </w:tcPr>
          <w:p w:rsidRPr="001B7D58" w:rsidR="009D39DB" w:rsidP="00EA0F95" w:rsidRDefault="000C09A4" w14:paraId="6E106155" w14:textId="03A407AE">
            <w:pPr>
              <w:widowControl/>
              <w:autoSpaceDE/>
              <w:autoSpaceDN/>
              <w:adjustRightInd/>
              <w:jc w:val="right"/>
              <w:rPr>
                <w:rFonts w:ascii="Arial" w:hAnsi="Arial"/>
                <w:sz w:val="18"/>
                <w:szCs w:val="20"/>
              </w:rPr>
            </w:pPr>
            <w:r>
              <w:rPr>
                <w:rFonts w:ascii="Arial" w:hAnsi="Arial" w:cs="Arial"/>
                <w:sz w:val="18"/>
                <w:szCs w:val="18"/>
              </w:rPr>
              <w:t>4,193</w:t>
            </w:r>
          </w:p>
        </w:tc>
        <w:tc>
          <w:tcPr>
            <w:tcW w:w="923" w:type="dxa"/>
            <w:vAlign w:val="center"/>
          </w:tcPr>
          <w:p w:rsidRPr="001B7D58" w:rsidR="009D39DB" w:rsidP="00EA0F95" w:rsidRDefault="00941C9F" w14:paraId="6E106156" w14:textId="5076F966">
            <w:pPr>
              <w:widowControl/>
              <w:autoSpaceDE/>
              <w:autoSpaceDN/>
              <w:adjustRightInd/>
              <w:jc w:val="right"/>
              <w:rPr>
                <w:rFonts w:ascii="Arial" w:hAnsi="Arial"/>
                <w:sz w:val="18"/>
                <w:szCs w:val="20"/>
              </w:rPr>
            </w:pPr>
            <w:r>
              <w:rPr>
                <w:rFonts w:ascii="Arial" w:hAnsi="Arial"/>
                <w:sz w:val="18"/>
                <w:szCs w:val="20"/>
              </w:rPr>
              <w:t>$</w:t>
            </w:r>
            <w:r w:rsidRPr="00941C9F">
              <w:rPr>
                <w:rFonts w:ascii="Arial" w:hAnsi="Arial"/>
                <w:sz w:val="18"/>
                <w:szCs w:val="20"/>
              </w:rPr>
              <w:t>59.16</w:t>
            </w:r>
          </w:p>
        </w:tc>
        <w:tc>
          <w:tcPr>
            <w:tcW w:w="1260" w:type="dxa"/>
            <w:vAlign w:val="center"/>
          </w:tcPr>
          <w:p w:rsidRPr="001B7D58" w:rsidR="009D39DB" w:rsidP="000C09A4" w:rsidRDefault="00941C9F" w14:paraId="6E106157" w14:textId="20F9466C">
            <w:pPr>
              <w:widowControl/>
              <w:autoSpaceDE/>
              <w:autoSpaceDN/>
              <w:adjustRightInd/>
              <w:jc w:val="right"/>
              <w:rPr>
                <w:rFonts w:ascii="Arial" w:hAnsi="Arial"/>
                <w:sz w:val="18"/>
                <w:szCs w:val="20"/>
              </w:rPr>
            </w:pPr>
            <w:r>
              <w:rPr>
                <w:rFonts w:ascii="Arial" w:hAnsi="Arial"/>
                <w:sz w:val="18"/>
                <w:szCs w:val="20"/>
              </w:rPr>
              <w:t>$</w:t>
            </w:r>
            <w:r w:rsidR="000C09A4">
              <w:rPr>
                <w:rFonts w:ascii="Arial" w:hAnsi="Arial"/>
                <w:sz w:val="18"/>
                <w:szCs w:val="20"/>
              </w:rPr>
              <w:t>248,057</w:t>
            </w:r>
          </w:p>
        </w:tc>
      </w:tr>
      <w:tr w:rsidRPr="001B7D58" w:rsidR="009D39DB" w:rsidTr="00874FF0" w14:paraId="6E106161" w14:textId="77777777">
        <w:trPr>
          <w:cantSplit/>
          <w:trHeight w:val="377"/>
        </w:trPr>
        <w:tc>
          <w:tcPr>
            <w:tcW w:w="990" w:type="dxa"/>
            <w:vAlign w:val="center"/>
          </w:tcPr>
          <w:p w:rsidRPr="001B7D58" w:rsidR="009D39DB" w:rsidP="00EA0F95" w:rsidRDefault="009D39DB" w14:paraId="6E106159" w14:textId="77777777">
            <w:pPr>
              <w:widowControl/>
              <w:autoSpaceDE/>
              <w:autoSpaceDN/>
              <w:adjustRightInd/>
              <w:rPr>
                <w:rFonts w:ascii="Arial" w:hAnsi="Arial"/>
                <w:b/>
                <w:sz w:val="18"/>
                <w:szCs w:val="20"/>
              </w:rPr>
            </w:pPr>
          </w:p>
          <w:p w:rsidRPr="001B7D58" w:rsidR="009D39DB" w:rsidP="00EA0F95" w:rsidRDefault="009D39DB" w14:paraId="6E10615A" w14:textId="77777777">
            <w:pPr>
              <w:widowControl/>
              <w:autoSpaceDE/>
              <w:autoSpaceDN/>
              <w:adjustRightInd/>
              <w:rPr>
                <w:rFonts w:ascii="Arial" w:hAnsi="Arial"/>
                <w:b/>
                <w:sz w:val="18"/>
                <w:szCs w:val="20"/>
              </w:rPr>
            </w:pPr>
          </w:p>
        </w:tc>
        <w:tc>
          <w:tcPr>
            <w:tcW w:w="2700" w:type="dxa"/>
            <w:vAlign w:val="center"/>
          </w:tcPr>
          <w:p w:rsidRPr="001B7D58" w:rsidR="009D39DB" w:rsidP="00EA0F95" w:rsidRDefault="009D39DB" w14:paraId="6E10615B" w14:textId="77777777">
            <w:pPr>
              <w:keepNext/>
              <w:widowControl/>
              <w:autoSpaceDE/>
              <w:autoSpaceDN/>
              <w:adjustRightInd/>
              <w:outlineLvl w:val="8"/>
              <w:rPr>
                <w:rFonts w:ascii="Arial" w:hAnsi="Arial"/>
                <w:b/>
                <w:sz w:val="18"/>
                <w:szCs w:val="20"/>
              </w:rPr>
            </w:pPr>
            <w:r w:rsidRPr="001B7D58">
              <w:rPr>
                <w:rFonts w:ascii="Arial" w:hAnsi="Arial"/>
                <w:b/>
                <w:sz w:val="18"/>
                <w:szCs w:val="20"/>
              </w:rPr>
              <w:t>TOTAL</w:t>
            </w:r>
          </w:p>
        </w:tc>
        <w:tc>
          <w:tcPr>
            <w:tcW w:w="1147" w:type="dxa"/>
            <w:vAlign w:val="center"/>
          </w:tcPr>
          <w:p w:rsidRPr="001B7D58" w:rsidR="009D39DB" w:rsidP="00EA0F95" w:rsidRDefault="009D39DB" w14:paraId="6E10615C" w14:textId="77777777">
            <w:pPr>
              <w:widowControl/>
              <w:autoSpaceDE/>
              <w:autoSpaceDN/>
              <w:adjustRightInd/>
              <w:jc w:val="center"/>
              <w:rPr>
                <w:rFonts w:ascii="Arial" w:hAnsi="Arial"/>
                <w:b/>
                <w:sz w:val="18"/>
                <w:szCs w:val="20"/>
              </w:rPr>
            </w:pPr>
            <w:r w:rsidRPr="001B7D58">
              <w:rPr>
                <w:rFonts w:ascii="Arial" w:hAnsi="Arial"/>
                <w:b/>
                <w:sz w:val="18"/>
                <w:szCs w:val="20"/>
              </w:rPr>
              <w:t xml:space="preserve">-  -  -  -  </w:t>
            </w:r>
          </w:p>
        </w:tc>
        <w:tc>
          <w:tcPr>
            <w:tcW w:w="1080" w:type="dxa"/>
            <w:vAlign w:val="center"/>
          </w:tcPr>
          <w:p w:rsidRPr="001B7D58" w:rsidR="009D39DB" w:rsidP="00EA0F95" w:rsidRDefault="00F031D0" w14:paraId="6E10615D" w14:textId="6BA67E61">
            <w:pPr>
              <w:widowControl/>
              <w:autoSpaceDE/>
              <w:autoSpaceDN/>
              <w:adjustRightInd/>
              <w:jc w:val="right"/>
              <w:rPr>
                <w:rFonts w:ascii="Arial" w:hAnsi="Arial"/>
                <w:b/>
                <w:sz w:val="18"/>
                <w:szCs w:val="20"/>
              </w:rPr>
            </w:pPr>
            <w:r>
              <w:rPr>
                <w:rFonts w:ascii="Arial" w:hAnsi="Arial" w:cs="Arial"/>
                <w:sz w:val="18"/>
                <w:szCs w:val="18"/>
              </w:rPr>
              <w:t>8,386</w:t>
            </w:r>
          </w:p>
        </w:tc>
        <w:tc>
          <w:tcPr>
            <w:tcW w:w="1080" w:type="dxa"/>
            <w:vAlign w:val="center"/>
          </w:tcPr>
          <w:p w:rsidRPr="001B7D58" w:rsidR="009D39DB" w:rsidP="00EA0F95" w:rsidRDefault="000C09A4" w14:paraId="6E10615E" w14:textId="61AE005B">
            <w:pPr>
              <w:widowControl/>
              <w:autoSpaceDE/>
              <w:autoSpaceDN/>
              <w:adjustRightInd/>
              <w:jc w:val="right"/>
              <w:rPr>
                <w:rFonts w:ascii="Arial" w:hAnsi="Arial"/>
                <w:b/>
                <w:sz w:val="18"/>
                <w:szCs w:val="20"/>
              </w:rPr>
            </w:pPr>
            <w:r>
              <w:rPr>
                <w:rFonts w:ascii="Arial" w:hAnsi="Arial" w:cs="Arial"/>
                <w:sz w:val="18"/>
                <w:szCs w:val="18"/>
              </w:rPr>
              <w:t>4,193</w:t>
            </w:r>
          </w:p>
        </w:tc>
        <w:tc>
          <w:tcPr>
            <w:tcW w:w="923" w:type="dxa"/>
            <w:vAlign w:val="center"/>
          </w:tcPr>
          <w:p w:rsidRPr="001B7D58" w:rsidR="009D39DB" w:rsidP="00EA0F95" w:rsidRDefault="009D39DB" w14:paraId="6E10615F" w14:textId="6E371EAC">
            <w:pPr>
              <w:widowControl/>
              <w:autoSpaceDE/>
              <w:autoSpaceDN/>
              <w:adjustRightInd/>
              <w:jc w:val="right"/>
              <w:rPr>
                <w:rFonts w:ascii="Arial" w:hAnsi="Arial"/>
                <w:b/>
                <w:sz w:val="18"/>
                <w:szCs w:val="20"/>
              </w:rPr>
            </w:pPr>
            <w:r w:rsidRPr="001B7D58">
              <w:rPr>
                <w:rFonts w:ascii="Arial" w:hAnsi="Arial"/>
                <w:b/>
                <w:sz w:val="18"/>
                <w:szCs w:val="20"/>
              </w:rPr>
              <w:t>-  -  -  -</w:t>
            </w:r>
          </w:p>
        </w:tc>
        <w:tc>
          <w:tcPr>
            <w:tcW w:w="1260" w:type="dxa"/>
            <w:vAlign w:val="center"/>
          </w:tcPr>
          <w:p w:rsidRPr="001B7D58" w:rsidR="009D39DB" w:rsidP="000C09A4" w:rsidRDefault="00941C9F" w14:paraId="6E106160" w14:textId="172C86A3">
            <w:pPr>
              <w:widowControl/>
              <w:autoSpaceDE/>
              <w:autoSpaceDN/>
              <w:adjustRightInd/>
              <w:jc w:val="right"/>
              <w:rPr>
                <w:rFonts w:ascii="Arial" w:hAnsi="Arial"/>
                <w:b/>
                <w:sz w:val="18"/>
                <w:szCs w:val="20"/>
              </w:rPr>
            </w:pPr>
            <w:r>
              <w:rPr>
                <w:rFonts w:ascii="Arial" w:hAnsi="Arial"/>
                <w:sz w:val="18"/>
                <w:szCs w:val="20"/>
              </w:rPr>
              <w:t>$</w:t>
            </w:r>
            <w:r w:rsidR="000C09A4">
              <w:rPr>
                <w:rFonts w:ascii="Arial" w:hAnsi="Arial"/>
                <w:sz w:val="18"/>
                <w:szCs w:val="20"/>
              </w:rPr>
              <w:t>248,057</w:t>
            </w:r>
          </w:p>
        </w:tc>
      </w:tr>
    </w:tbl>
    <w:p w:rsidR="009D39DB" w:rsidP="008C33B8" w:rsidRDefault="009D39DB" w14:paraId="6E106162" w14:textId="77777777">
      <w:pPr>
        <w:pStyle w:val="NoSpacing"/>
        <w:jc w:val="both"/>
        <w:rPr>
          <w:rFonts w:ascii="Arial" w:hAnsi="Arial" w:cs="Arial"/>
          <w:sz w:val="24"/>
        </w:rPr>
      </w:pPr>
    </w:p>
    <w:p w:rsidR="009D39DB" w:rsidP="008C33B8" w:rsidRDefault="009D39DB" w14:paraId="6E106163" w14:textId="5CB25629">
      <w:pPr>
        <w:pStyle w:val="NoSpacing"/>
        <w:jc w:val="both"/>
        <w:rPr>
          <w:rFonts w:ascii="Arial" w:hAnsi="Arial" w:cs="Arial"/>
          <w:sz w:val="24"/>
        </w:rPr>
      </w:pPr>
      <w:r>
        <w:rPr>
          <w:rFonts w:ascii="Arial" w:hAnsi="Arial" w:cs="Arial"/>
          <w:sz w:val="24"/>
        </w:rPr>
        <w:t>The USPTO has an annual maintenance cost with regard to the software license and the maintenance of the Monster Hiring Management system. The USPTO projects that it will cost approximately $162,000 per year to maintain the software license. Therefore, the total cost to the USPTO for collecting this information is $</w:t>
      </w:r>
      <w:r w:rsidR="000C09A4">
        <w:rPr>
          <w:rFonts w:ascii="Arial" w:hAnsi="Arial" w:cs="Arial"/>
          <w:sz w:val="24"/>
        </w:rPr>
        <w:t>410,057</w:t>
      </w:r>
      <w:r>
        <w:rPr>
          <w:rFonts w:ascii="Arial" w:hAnsi="Arial" w:cs="Arial"/>
          <w:sz w:val="24"/>
        </w:rPr>
        <w:t>.</w:t>
      </w:r>
    </w:p>
    <w:p w:rsidR="00766366" w:rsidP="008C33B8" w:rsidRDefault="00766366" w14:paraId="6E106164" w14:textId="77777777">
      <w:pPr>
        <w:pStyle w:val="NoSpacing"/>
        <w:jc w:val="both"/>
        <w:rPr>
          <w:rFonts w:ascii="Arial" w:hAnsi="Arial" w:cs="Arial"/>
          <w:sz w:val="24"/>
        </w:rPr>
      </w:pPr>
    </w:p>
    <w:p w:rsidR="00766366" w:rsidP="00396E91" w:rsidRDefault="00766366" w14:paraId="6E106165" w14:textId="1C8D07A2">
      <w:pPr>
        <w:pStyle w:val="NoSpacing"/>
        <w:ind w:left="720" w:hanging="720"/>
        <w:jc w:val="both"/>
        <w:rPr>
          <w:rFonts w:ascii="Arial" w:hAnsi="Arial" w:cs="Arial"/>
          <w:b/>
          <w:sz w:val="24"/>
        </w:rPr>
      </w:pPr>
      <w:r>
        <w:rPr>
          <w:rFonts w:ascii="Arial" w:hAnsi="Arial" w:cs="Arial"/>
          <w:b/>
          <w:sz w:val="24"/>
        </w:rPr>
        <w:t xml:space="preserve">15. </w:t>
      </w:r>
      <w:r>
        <w:rPr>
          <w:rFonts w:ascii="Arial" w:hAnsi="Arial" w:cs="Arial"/>
          <w:b/>
          <w:sz w:val="24"/>
        </w:rPr>
        <w:tab/>
      </w:r>
      <w:r w:rsidRPr="00A374EF" w:rsidR="00A374EF">
        <w:rPr>
          <w:rFonts w:ascii="Arial" w:hAnsi="Arial" w:cs="Arial"/>
          <w:b/>
          <w:sz w:val="24"/>
        </w:rPr>
        <w:t>Explain the reasons for any program changes or adjustments reported on the burden worksheet.</w:t>
      </w:r>
    </w:p>
    <w:p w:rsidR="002C48A6" w:rsidP="00396E91" w:rsidRDefault="002C48A6" w14:paraId="696A9EBA" w14:textId="1B8D3B3F">
      <w:pPr>
        <w:pStyle w:val="NoSpacing"/>
        <w:ind w:left="720" w:hanging="720"/>
        <w:jc w:val="both"/>
        <w:rPr>
          <w:rFonts w:ascii="Arial" w:hAnsi="Arial" w:cs="Arial"/>
          <w:b/>
          <w:sz w:val="24"/>
        </w:rPr>
      </w:pPr>
    </w:p>
    <w:p w:rsidRPr="002C48A6" w:rsidR="002C48A6" w:rsidP="002C48A6" w:rsidRDefault="00FF6919" w14:paraId="325AF74B" w14:textId="5EBAA4DB">
      <w:pPr>
        <w:widowControl/>
        <w:autoSpaceDE/>
        <w:autoSpaceDN/>
        <w:adjustRightInd/>
        <w:jc w:val="both"/>
        <w:rPr>
          <w:rFonts w:ascii="Arial" w:hAnsi="Arial"/>
          <w:szCs w:val="20"/>
          <w:lang w:val="en-GB"/>
        </w:rPr>
      </w:pPr>
      <w:r>
        <w:rPr>
          <w:rFonts w:ascii="Arial" w:hAnsi="Arial"/>
          <w:szCs w:val="20"/>
          <w:lang w:val="en-GB"/>
        </w:rPr>
        <w:t>OMB p</w:t>
      </w:r>
      <w:r w:rsidRPr="002C48A6" w:rsidR="002C48A6">
        <w:rPr>
          <w:rFonts w:ascii="Arial" w:hAnsi="Arial"/>
          <w:szCs w:val="20"/>
          <w:lang w:val="en-GB"/>
        </w:rPr>
        <w:t>reviously approved the renewal of this information collection in 2017. The current information collection contains:</w:t>
      </w:r>
    </w:p>
    <w:p w:rsidR="002C48A6" w:rsidP="00396E91" w:rsidRDefault="002C48A6" w14:paraId="14269876" w14:textId="5DEDC35F">
      <w:pPr>
        <w:pStyle w:val="NoSpacing"/>
        <w:ind w:left="720" w:hanging="720"/>
        <w:jc w:val="both"/>
        <w:rPr>
          <w:rFonts w:ascii="Arial" w:hAnsi="Arial" w:cs="Arial"/>
          <w:sz w:val="24"/>
        </w:rPr>
      </w:pPr>
    </w:p>
    <w:p w:rsidR="002C48A6" w:rsidP="00A2679C" w:rsidRDefault="00A2679C" w14:paraId="056CFCA4" w14:textId="3295F9ED">
      <w:pPr>
        <w:pStyle w:val="NoSpacing"/>
        <w:ind w:left="-1350"/>
        <w:jc w:val="both"/>
        <w:rPr>
          <w:rFonts w:ascii="Arial" w:hAnsi="Arial" w:cs="Arial"/>
          <w:sz w:val="24"/>
        </w:rPr>
      </w:pPr>
      <w:r>
        <w:rPr>
          <w:noProof/>
        </w:rPr>
        <w:lastRenderedPageBreak/>
        <w:drawing>
          <wp:inline distT="0" distB="0" distL="0" distR="0" wp14:anchorId="3EA1C2C1" wp14:editId="1E92A2DC">
            <wp:extent cx="7818657" cy="881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7936965" cy="894605"/>
                    </a:xfrm>
                    <a:prstGeom prst="rect">
                      <a:avLst/>
                    </a:prstGeom>
                  </pic:spPr>
                </pic:pic>
              </a:graphicData>
            </a:graphic>
          </wp:inline>
        </w:drawing>
      </w:r>
    </w:p>
    <w:p w:rsidR="00766366" w:rsidP="008C33B8" w:rsidRDefault="00766366" w14:paraId="6E106168" w14:textId="77777777">
      <w:pPr>
        <w:pStyle w:val="NoSpacing"/>
        <w:jc w:val="both"/>
        <w:rPr>
          <w:rFonts w:ascii="Arial" w:hAnsi="Arial" w:cs="Arial"/>
          <w:sz w:val="24"/>
        </w:rPr>
      </w:pPr>
    </w:p>
    <w:p w:rsidR="00766366" w:rsidP="00766366" w:rsidRDefault="00766366" w14:paraId="6E106178" w14:textId="5FE93B1E">
      <w:pPr>
        <w:pStyle w:val="NoSpacing"/>
        <w:jc w:val="both"/>
        <w:rPr>
          <w:rFonts w:ascii="Arial" w:hAnsi="Arial" w:cs="Arial"/>
          <w:sz w:val="24"/>
        </w:rPr>
      </w:pPr>
    </w:p>
    <w:p w:rsidR="00766366" w:rsidP="00766366" w:rsidRDefault="005A171C" w14:paraId="6E106179" w14:textId="2926B72B">
      <w:pPr>
        <w:pStyle w:val="NoSpacing"/>
        <w:jc w:val="both"/>
        <w:rPr>
          <w:rFonts w:ascii="Arial" w:hAnsi="Arial" w:cs="Arial"/>
          <w:sz w:val="24"/>
        </w:rPr>
      </w:pPr>
      <w:r>
        <w:rPr>
          <w:rFonts w:ascii="Arial" w:hAnsi="Arial" w:cs="Arial"/>
          <w:sz w:val="24"/>
          <w:u w:val="single"/>
        </w:rPr>
        <w:t>Change in Responses and Burden Hours</w:t>
      </w:r>
    </w:p>
    <w:p w:rsidR="005A171C" w:rsidP="00766366" w:rsidRDefault="005A171C" w14:paraId="6E10617A" w14:textId="4D4DBB5F">
      <w:pPr>
        <w:pStyle w:val="NoSpacing"/>
        <w:jc w:val="both"/>
        <w:rPr>
          <w:rFonts w:ascii="Arial" w:hAnsi="Arial" w:cs="Arial"/>
          <w:sz w:val="24"/>
        </w:rPr>
      </w:pPr>
    </w:p>
    <w:p w:rsidR="005A171C" w:rsidP="00766366" w:rsidRDefault="005A171C" w14:paraId="6E10617B" w14:textId="3090DE9D">
      <w:pPr>
        <w:pStyle w:val="NoSpacing"/>
        <w:jc w:val="both"/>
        <w:rPr>
          <w:rFonts w:ascii="Arial" w:hAnsi="Arial" w:cs="Arial"/>
          <w:sz w:val="24"/>
        </w:rPr>
      </w:pPr>
      <w:r>
        <w:rPr>
          <w:rFonts w:ascii="Arial" w:hAnsi="Arial" w:cs="Arial"/>
          <w:sz w:val="24"/>
        </w:rPr>
        <w:t xml:space="preserve">For this renewal, the USPTO estimates that the annual responses will decrease by </w:t>
      </w:r>
      <w:r w:rsidRPr="003B586E" w:rsidR="003B586E">
        <w:rPr>
          <w:rFonts w:ascii="Arial" w:hAnsi="Arial" w:cs="Arial"/>
          <w:sz w:val="24"/>
        </w:rPr>
        <w:t>2</w:t>
      </w:r>
      <w:r w:rsidR="003B586E">
        <w:rPr>
          <w:rFonts w:ascii="Arial" w:hAnsi="Arial" w:cs="Arial"/>
          <w:sz w:val="24"/>
        </w:rPr>
        <w:t>,</w:t>
      </w:r>
      <w:r w:rsidRPr="003B586E" w:rsidR="003B586E">
        <w:rPr>
          <w:rFonts w:ascii="Arial" w:hAnsi="Arial" w:cs="Arial"/>
          <w:sz w:val="24"/>
        </w:rPr>
        <w:t>274</w:t>
      </w:r>
      <w:r w:rsidRPr="003B586E" w:rsidDel="00F90BF6" w:rsidR="003B586E">
        <w:rPr>
          <w:rFonts w:ascii="Arial" w:hAnsi="Arial" w:cs="Arial"/>
          <w:sz w:val="24"/>
        </w:rPr>
        <w:t xml:space="preserve"> </w:t>
      </w:r>
      <w:r w:rsidR="00936E87">
        <w:rPr>
          <w:rFonts w:ascii="Arial" w:hAnsi="Arial" w:cs="Arial"/>
          <w:sz w:val="24"/>
        </w:rPr>
        <w:t xml:space="preserve">(from </w:t>
      </w:r>
      <w:r w:rsidRPr="003B586E" w:rsidR="003B586E">
        <w:rPr>
          <w:rFonts w:ascii="Arial" w:hAnsi="Arial" w:cs="Arial"/>
          <w:sz w:val="24"/>
        </w:rPr>
        <w:t>10,660</w:t>
      </w:r>
      <w:r w:rsidR="003B586E">
        <w:rPr>
          <w:rFonts w:ascii="Arial" w:hAnsi="Arial" w:cs="Arial"/>
          <w:sz w:val="24"/>
        </w:rPr>
        <w:t xml:space="preserve"> </w:t>
      </w:r>
      <w:r w:rsidR="00936E87">
        <w:rPr>
          <w:rFonts w:ascii="Arial" w:hAnsi="Arial" w:cs="Arial"/>
          <w:sz w:val="24"/>
        </w:rPr>
        <w:t xml:space="preserve">to </w:t>
      </w:r>
      <w:r w:rsidR="003B586E">
        <w:rPr>
          <w:rFonts w:ascii="Arial" w:hAnsi="Arial" w:cs="Arial"/>
          <w:sz w:val="24"/>
        </w:rPr>
        <w:t>8,386</w:t>
      </w:r>
      <w:r w:rsidR="00936E87">
        <w:rPr>
          <w:rFonts w:ascii="Arial" w:hAnsi="Arial" w:cs="Arial"/>
          <w:sz w:val="24"/>
        </w:rPr>
        <w:t>) and the total burden hours will d</w:t>
      </w:r>
      <w:r w:rsidR="00930D95">
        <w:rPr>
          <w:rFonts w:ascii="Arial" w:hAnsi="Arial" w:cs="Arial"/>
          <w:sz w:val="24"/>
        </w:rPr>
        <w:t>ecrease by</w:t>
      </w:r>
      <w:r w:rsidRPr="003B586E" w:rsidR="003B586E">
        <w:rPr>
          <w:rFonts w:ascii="Arial" w:hAnsi="Arial" w:cs="Arial"/>
          <w:sz w:val="24"/>
        </w:rPr>
        <w:t xml:space="preserve"> </w:t>
      </w:r>
      <w:r w:rsidR="00A2679C">
        <w:rPr>
          <w:rFonts w:ascii="Arial" w:hAnsi="Arial" w:cs="Arial"/>
          <w:sz w:val="24"/>
        </w:rPr>
        <w:t>6,467</w:t>
      </w:r>
      <w:r w:rsidRPr="003B586E" w:rsidR="003B586E">
        <w:rPr>
          <w:rFonts w:ascii="Arial" w:hAnsi="Arial" w:cs="Arial"/>
          <w:sz w:val="24"/>
        </w:rPr>
        <w:t xml:space="preserve"> </w:t>
      </w:r>
      <w:r w:rsidR="00930D95">
        <w:rPr>
          <w:rFonts w:ascii="Arial" w:hAnsi="Arial" w:cs="Arial"/>
          <w:sz w:val="24"/>
        </w:rPr>
        <w:t xml:space="preserve">(from </w:t>
      </w:r>
      <w:r w:rsidR="003B586E">
        <w:rPr>
          <w:rFonts w:ascii="Arial" w:hAnsi="Arial" w:cs="Arial"/>
          <w:sz w:val="24"/>
        </w:rPr>
        <w:t>10,660</w:t>
      </w:r>
      <w:r w:rsidR="00936E87">
        <w:rPr>
          <w:rFonts w:ascii="Arial" w:hAnsi="Arial" w:cs="Arial"/>
          <w:sz w:val="24"/>
        </w:rPr>
        <w:t xml:space="preserve"> to </w:t>
      </w:r>
      <w:r w:rsidR="00A2679C">
        <w:rPr>
          <w:rFonts w:ascii="Arial" w:hAnsi="Arial" w:cs="Arial"/>
          <w:sz w:val="24"/>
        </w:rPr>
        <w:t>4,193</w:t>
      </w:r>
      <w:r w:rsidR="00FF6919">
        <w:rPr>
          <w:rFonts w:ascii="Arial" w:hAnsi="Arial" w:cs="Arial"/>
          <w:sz w:val="24"/>
        </w:rPr>
        <w:t>)</w:t>
      </w:r>
      <w:r w:rsidR="00936E87">
        <w:rPr>
          <w:rFonts w:ascii="Arial" w:hAnsi="Arial" w:cs="Arial"/>
          <w:sz w:val="24"/>
        </w:rPr>
        <w:t>. These changes are due to the following administrative adjustment</w:t>
      </w:r>
      <w:r w:rsidR="00FF6919">
        <w:rPr>
          <w:rFonts w:ascii="Arial" w:hAnsi="Arial" w:cs="Arial"/>
          <w:sz w:val="24"/>
        </w:rPr>
        <w:t>s</w:t>
      </w:r>
      <w:r w:rsidR="00936E87">
        <w:rPr>
          <w:rFonts w:ascii="Arial" w:hAnsi="Arial" w:cs="Arial"/>
          <w:sz w:val="24"/>
        </w:rPr>
        <w:t>:</w:t>
      </w:r>
    </w:p>
    <w:p w:rsidR="00CB6D4E" w:rsidP="00766366" w:rsidRDefault="00CB6D4E" w14:paraId="6E10617C" w14:textId="6D7FE677">
      <w:pPr>
        <w:pStyle w:val="NoSpacing"/>
        <w:jc w:val="both"/>
        <w:rPr>
          <w:rFonts w:ascii="Arial" w:hAnsi="Arial" w:cs="Arial"/>
          <w:sz w:val="24"/>
        </w:rPr>
      </w:pPr>
    </w:p>
    <w:p w:rsidR="00CB6D4E" w:rsidP="003B586E" w:rsidRDefault="00CB6D4E" w14:paraId="6E10617D" w14:textId="55565AF1">
      <w:pPr>
        <w:pStyle w:val="NoSpacing"/>
        <w:numPr>
          <w:ilvl w:val="0"/>
          <w:numId w:val="4"/>
        </w:numPr>
        <w:jc w:val="both"/>
        <w:rPr>
          <w:rFonts w:ascii="Arial" w:hAnsi="Arial" w:cs="Arial"/>
          <w:sz w:val="24"/>
        </w:rPr>
      </w:pPr>
      <w:r>
        <w:rPr>
          <w:rFonts w:ascii="Arial" w:hAnsi="Arial" w:cs="Arial"/>
          <w:sz w:val="24"/>
        </w:rPr>
        <w:t xml:space="preserve">Decrease of </w:t>
      </w:r>
      <w:r w:rsidRPr="003B586E" w:rsidR="003B586E">
        <w:rPr>
          <w:rFonts w:ascii="Arial" w:hAnsi="Arial" w:cs="Arial"/>
          <w:sz w:val="24"/>
        </w:rPr>
        <w:t xml:space="preserve">2,274 </w:t>
      </w:r>
      <w:r>
        <w:rPr>
          <w:rFonts w:ascii="Arial" w:hAnsi="Arial" w:cs="Arial"/>
          <w:sz w:val="24"/>
        </w:rPr>
        <w:t xml:space="preserve">responses due to </w:t>
      </w:r>
      <w:r w:rsidR="001F5E35">
        <w:rPr>
          <w:rFonts w:ascii="Arial" w:hAnsi="Arial" w:cs="Arial"/>
          <w:sz w:val="24"/>
        </w:rPr>
        <w:t>revisions of A</w:t>
      </w:r>
      <w:r w:rsidR="00105098">
        <w:rPr>
          <w:rFonts w:ascii="Arial" w:hAnsi="Arial" w:cs="Arial"/>
          <w:sz w:val="24"/>
        </w:rPr>
        <w:t>gency estimates</w:t>
      </w:r>
      <w:r w:rsidR="00B224AD">
        <w:rPr>
          <w:rFonts w:ascii="Arial" w:hAnsi="Arial" w:cs="Arial"/>
          <w:sz w:val="24"/>
        </w:rPr>
        <w:t xml:space="preserve"> results in a decrease of burden hours</w:t>
      </w:r>
      <w:r w:rsidR="00105098">
        <w:rPr>
          <w:rFonts w:ascii="Arial" w:hAnsi="Arial" w:cs="Arial"/>
          <w:sz w:val="24"/>
        </w:rPr>
        <w:t>.</w:t>
      </w:r>
    </w:p>
    <w:p w:rsidR="00A2679C" w:rsidP="003B586E" w:rsidRDefault="00A2679C" w14:paraId="053A9999" w14:textId="6CF810B5">
      <w:pPr>
        <w:pStyle w:val="NoSpacing"/>
        <w:numPr>
          <w:ilvl w:val="0"/>
          <w:numId w:val="4"/>
        </w:numPr>
        <w:jc w:val="both"/>
        <w:rPr>
          <w:rFonts w:ascii="Arial" w:hAnsi="Arial" w:cs="Arial"/>
          <w:sz w:val="24"/>
        </w:rPr>
      </w:pPr>
      <w:r>
        <w:rPr>
          <w:rFonts w:ascii="Arial" w:hAnsi="Arial" w:cs="Arial"/>
          <w:sz w:val="24"/>
        </w:rPr>
        <w:t xml:space="preserve">Additionally the estimated time to complete the items in the </w:t>
      </w:r>
      <w:r w:rsidR="001F5E35">
        <w:rPr>
          <w:rFonts w:ascii="Arial" w:hAnsi="Arial" w:cs="Arial"/>
          <w:sz w:val="24"/>
        </w:rPr>
        <w:t xml:space="preserve">information </w:t>
      </w:r>
      <w:r>
        <w:rPr>
          <w:rFonts w:ascii="Arial" w:hAnsi="Arial" w:cs="Arial"/>
          <w:sz w:val="24"/>
        </w:rPr>
        <w:t xml:space="preserve">collection was reduced from 1 hour to 30 minutes based on updated usage information from </w:t>
      </w:r>
      <w:proofErr w:type="spellStart"/>
      <w:r>
        <w:rPr>
          <w:rFonts w:ascii="Arial" w:hAnsi="Arial" w:cs="Arial"/>
          <w:sz w:val="24"/>
        </w:rPr>
        <w:t>USAJobs</w:t>
      </w:r>
      <w:proofErr w:type="spellEnd"/>
      <w:r>
        <w:rPr>
          <w:rFonts w:ascii="Arial" w:hAnsi="Arial" w:cs="Arial"/>
          <w:sz w:val="24"/>
        </w:rPr>
        <w:t xml:space="preserve"> and other sources.  </w:t>
      </w:r>
    </w:p>
    <w:p w:rsidR="00B224AD" w:rsidP="00B224AD" w:rsidRDefault="00B224AD" w14:paraId="6E106184" w14:textId="711E4477">
      <w:pPr>
        <w:pStyle w:val="NoSpacing"/>
        <w:jc w:val="both"/>
        <w:rPr>
          <w:rFonts w:ascii="Arial" w:hAnsi="Arial" w:cs="Arial"/>
          <w:sz w:val="24"/>
        </w:rPr>
      </w:pPr>
    </w:p>
    <w:p w:rsidR="00B224AD" w:rsidP="00396E91" w:rsidRDefault="00CF524C" w14:paraId="6E106185" w14:textId="6523E77D">
      <w:pPr>
        <w:pStyle w:val="NoSpacing"/>
        <w:ind w:left="720" w:hanging="720"/>
        <w:jc w:val="both"/>
        <w:rPr>
          <w:rFonts w:ascii="Arial" w:hAnsi="Arial" w:cs="Arial"/>
          <w:sz w:val="24"/>
        </w:rPr>
      </w:pPr>
      <w:r>
        <w:rPr>
          <w:rFonts w:ascii="Arial" w:hAnsi="Arial" w:cs="Arial"/>
          <w:b/>
          <w:sz w:val="24"/>
        </w:rPr>
        <w:t xml:space="preserve">16. </w:t>
      </w:r>
      <w:r>
        <w:rPr>
          <w:rFonts w:ascii="Arial" w:hAnsi="Arial" w:cs="Arial"/>
          <w:b/>
          <w:sz w:val="24"/>
        </w:rPr>
        <w:tab/>
      </w:r>
      <w:r w:rsidRPr="00E82DF3" w:rsidR="00E82DF3">
        <w:rPr>
          <w:rFonts w:ascii="Arial" w:hAnsi="Arial" w:cs="Arial"/>
          <w:b/>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F524C" w:rsidP="00B224AD" w:rsidRDefault="00CF524C" w14:paraId="6E106186" w14:textId="77777777">
      <w:pPr>
        <w:pStyle w:val="NoSpacing"/>
        <w:jc w:val="both"/>
        <w:rPr>
          <w:rFonts w:ascii="Arial" w:hAnsi="Arial" w:cs="Arial"/>
          <w:sz w:val="24"/>
        </w:rPr>
      </w:pPr>
    </w:p>
    <w:p w:rsidRPr="00CF524C" w:rsidR="00CF524C" w:rsidP="00396E91" w:rsidRDefault="00CF524C" w14:paraId="6E106187" w14:textId="77777777">
      <w:pPr>
        <w:pStyle w:val="NoSpacing"/>
        <w:ind w:firstLine="720"/>
        <w:jc w:val="both"/>
        <w:rPr>
          <w:rFonts w:ascii="Arial" w:hAnsi="Arial" w:cs="Arial"/>
          <w:sz w:val="24"/>
        </w:rPr>
      </w:pPr>
      <w:r>
        <w:rPr>
          <w:rFonts w:ascii="Arial" w:hAnsi="Arial" w:cs="Arial"/>
          <w:sz w:val="24"/>
        </w:rPr>
        <w:t xml:space="preserve">The USPTO does not plan to publish this information for statistical use. </w:t>
      </w:r>
    </w:p>
    <w:p w:rsidR="00120758" w:rsidP="00B224AD" w:rsidRDefault="00120758" w14:paraId="6E106188" w14:textId="77777777">
      <w:pPr>
        <w:pStyle w:val="NoSpacing"/>
        <w:jc w:val="both"/>
        <w:rPr>
          <w:rFonts w:ascii="Arial" w:hAnsi="Arial" w:cs="Arial"/>
          <w:sz w:val="24"/>
        </w:rPr>
      </w:pPr>
    </w:p>
    <w:p w:rsidR="00B224AD" w:rsidP="00396E91" w:rsidRDefault="00CF524C" w14:paraId="6E106189" w14:textId="533214B2">
      <w:pPr>
        <w:pStyle w:val="NoSpacing"/>
        <w:ind w:left="720" w:hanging="720"/>
        <w:jc w:val="both"/>
        <w:rPr>
          <w:rFonts w:ascii="Arial" w:hAnsi="Arial" w:cs="Arial"/>
          <w:sz w:val="24"/>
        </w:rPr>
      </w:pPr>
      <w:r>
        <w:rPr>
          <w:rFonts w:ascii="Arial" w:hAnsi="Arial" w:cs="Arial"/>
          <w:b/>
          <w:sz w:val="24"/>
        </w:rPr>
        <w:t xml:space="preserve">17. </w:t>
      </w:r>
      <w:r>
        <w:rPr>
          <w:rFonts w:ascii="Arial" w:hAnsi="Arial" w:cs="Arial"/>
          <w:b/>
          <w:sz w:val="24"/>
        </w:rPr>
        <w:tab/>
      </w:r>
      <w:r w:rsidRPr="00E82DF3" w:rsidR="00E82DF3">
        <w:rPr>
          <w:rFonts w:ascii="Arial" w:hAnsi="Arial" w:cs="Arial"/>
          <w:b/>
          <w:sz w:val="24"/>
        </w:rPr>
        <w:t>If seeking approval to not display the expiration date for OMB approval of the information collection, explain the reasons that display would be inappropriate.</w:t>
      </w:r>
    </w:p>
    <w:p w:rsidR="00CF524C" w:rsidP="00B224AD" w:rsidRDefault="00CF524C" w14:paraId="6E10618A" w14:textId="77777777">
      <w:pPr>
        <w:pStyle w:val="NoSpacing"/>
        <w:jc w:val="both"/>
        <w:rPr>
          <w:rFonts w:ascii="Arial" w:hAnsi="Arial" w:cs="Arial"/>
          <w:sz w:val="24"/>
        </w:rPr>
      </w:pPr>
    </w:p>
    <w:p w:rsidR="000C09A4" w:rsidP="000C09A4" w:rsidRDefault="000C09A4" w14:paraId="2AC2955E" w14:textId="3CB607D2">
      <w:pPr>
        <w:pStyle w:val="NoSpacing"/>
        <w:ind w:left="720"/>
        <w:jc w:val="both"/>
        <w:rPr>
          <w:rFonts w:ascii="Arial" w:hAnsi="Arial" w:cs="Arial"/>
          <w:sz w:val="24"/>
        </w:rPr>
      </w:pPr>
      <w:r>
        <w:rPr>
          <w:rFonts w:ascii="Arial" w:hAnsi="Arial" w:cs="Arial"/>
          <w:sz w:val="24"/>
        </w:rPr>
        <w:t xml:space="preserve">The items in this information collection will display the OMB Control Number and the expiration date of OMB approval.   </w:t>
      </w:r>
    </w:p>
    <w:p w:rsidR="00CF524C" w:rsidP="00B224AD" w:rsidRDefault="00CF524C" w14:paraId="6E10618C" w14:textId="77777777">
      <w:pPr>
        <w:pStyle w:val="NoSpacing"/>
        <w:jc w:val="both"/>
        <w:rPr>
          <w:rFonts w:ascii="Arial" w:hAnsi="Arial" w:cs="Arial"/>
          <w:sz w:val="24"/>
        </w:rPr>
      </w:pPr>
    </w:p>
    <w:p w:rsidR="00E82DF3" w:rsidP="00396E91" w:rsidRDefault="00CF524C" w14:paraId="5579B391" w14:textId="77777777">
      <w:pPr>
        <w:pStyle w:val="NoSpacing"/>
        <w:ind w:left="720" w:hanging="720"/>
        <w:jc w:val="both"/>
        <w:rPr>
          <w:rFonts w:ascii="Arial" w:hAnsi="Arial" w:cs="Arial"/>
          <w:b/>
          <w:sz w:val="24"/>
        </w:rPr>
      </w:pPr>
      <w:r>
        <w:rPr>
          <w:rFonts w:ascii="Arial" w:hAnsi="Arial" w:cs="Arial"/>
          <w:b/>
          <w:sz w:val="24"/>
        </w:rPr>
        <w:t xml:space="preserve">18. </w:t>
      </w:r>
      <w:r>
        <w:rPr>
          <w:rFonts w:ascii="Arial" w:hAnsi="Arial" w:cs="Arial"/>
          <w:b/>
          <w:sz w:val="24"/>
        </w:rPr>
        <w:tab/>
      </w:r>
      <w:r w:rsidRPr="00E82DF3" w:rsidR="00E82DF3">
        <w:rPr>
          <w:rFonts w:ascii="Arial" w:hAnsi="Arial" w:cs="Arial"/>
          <w:b/>
          <w:sz w:val="24"/>
        </w:rPr>
        <w:t>Explain each exception to the topics of the certification statement identified in “Certification for Paperwork Reduction Act Submissions.”</w:t>
      </w:r>
    </w:p>
    <w:p w:rsidR="00CF524C" w:rsidP="00B224AD" w:rsidRDefault="00CF524C" w14:paraId="6E10618E" w14:textId="77777777">
      <w:pPr>
        <w:pStyle w:val="NoSpacing"/>
        <w:jc w:val="both"/>
        <w:rPr>
          <w:rFonts w:ascii="Arial" w:hAnsi="Arial" w:cs="Arial"/>
          <w:sz w:val="24"/>
        </w:rPr>
      </w:pPr>
    </w:p>
    <w:p w:rsidR="00CF524C" w:rsidP="00396E91" w:rsidRDefault="00CF524C" w14:paraId="6E10618F" w14:textId="77777777">
      <w:pPr>
        <w:pStyle w:val="NoSpacing"/>
        <w:ind w:left="720"/>
        <w:jc w:val="both"/>
        <w:rPr>
          <w:rFonts w:ascii="Arial" w:hAnsi="Arial" w:cs="Arial"/>
          <w:sz w:val="24"/>
        </w:rPr>
      </w:pPr>
      <w:r>
        <w:rPr>
          <w:rFonts w:ascii="Arial" w:hAnsi="Arial" w:cs="Arial"/>
          <w:sz w:val="24"/>
        </w:rPr>
        <w:t>This collection of information does not include any exceptions to the certificate statement.</w:t>
      </w:r>
    </w:p>
    <w:p w:rsidR="00CF524C" w:rsidP="00B224AD" w:rsidRDefault="00CF524C" w14:paraId="6E106192" w14:textId="26730C03">
      <w:pPr>
        <w:pStyle w:val="NoSpacing"/>
        <w:jc w:val="both"/>
        <w:rPr>
          <w:rFonts w:ascii="Arial" w:hAnsi="Arial" w:cs="Arial"/>
          <w:sz w:val="24"/>
        </w:rPr>
      </w:pPr>
      <w:bookmarkStart w:name="_GoBack" w:id="0"/>
      <w:bookmarkEnd w:id="0"/>
    </w:p>
    <w:p w:rsidR="00CF524C" w:rsidP="00B224AD" w:rsidRDefault="00CF524C" w14:paraId="6E106193" w14:textId="77777777">
      <w:pPr>
        <w:pStyle w:val="NoSpacing"/>
        <w:jc w:val="both"/>
        <w:rPr>
          <w:rFonts w:ascii="Arial" w:hAnsi="Arial" w:cs="Arial"/>
          <w:sz w:val="24"/>
        </w:rPr>
      </w:pPr>
      <w:r>
        <w:rPr>
          <w:rFonts w:ascii="Arial" w:hAnsi="Arial" w:cs="Arial"/>
          <w:b/>
          <w:sz w:val="24"/>
        </w:rPr>
        <w:t xml:space="preserve">B. </w:t>
      </w:r>
      <w:r>
        <w:rPr>
          <w:rFonts w:ascii="Arial" w:hAnsi="Arial" w:cs="Arial"/>
          <w:b/>
          <w:sz w:val="24"/>
        </w:rPr>
        <w:tab/>
        <w:t>COLLECTIONS OF INFORMATION EMPLOYING STATISTICAL METHODS</w:t>
      </w:r>
    </w:p>
    <w:p w:rsidR="00CF524C" w:rsidP="00B224AD" w:rsidRDefault="00CF524C" w14:paraId="6E106194" w14:textId="77777777">
      <w:pPr>
        <w:pStyle w:val="NoSpacing"/>
        <w:jc w:val="both"/>
        <w:rPr>
          <w:rFonts w:ascii="Arial" w:hAnsi="Arial" w:cs="Arial"/>
          <w:sz w:val="24"/>
        </w:rPr>
      </w:pPr>
    </w:p>
    <w:p w:rsidRPr="00CF524C" w:rsidR="00CF524C" w:rsidP="00396E91" w:rsidRDefault="00CF524C" w14:paraId="6E106195" w14:textId="77777777">
      <w:pPr>
        <w:pStyle w:val="NoSpacing"/>
        <w:ind w:firstLine="720"/>
        <w:jc w:val="both"/>
        <w:rPr>
          <w:rFonts w:ascii="Arial" w:hAnsi="Arial" w:cs="Arial"/>
          <w:sz w:val="24"/>
        </w:rPr>
      </w:pPr>
      <w:r>
        <w:rPr>
          <w:rFonts w:ascii="Arial" w:hAnsi="Arial" w:cs="Arial"/>
          <w:sz w:val="24"/>
        </w:rPr>
        <w:t xml:space="preserve">This collection of information does not employ statistical </w:t>
      </w:r>
      <w:r w:rsidR="00AE1A86">
        <w:rPr>
          <w:rFonts w:ascii="Arial" w:hAnsi="Arial" w:cs="Arial"/>
          <w:sz w:val="24"/>
        </w:rPr>
        <w:t>methods</w:t>
      </w:r>
      <w:r>
        <w:rPr>
          <w:rFonts w:ascii="Arial" w:hAnsi="Arial" w:cs="Arial"/>
          <w:sz w:val="24"/>
        </w:rPr>
        <w:t>.</w:t>
      </w:r>
    </w:p>
    <w:sectPr w:rsidRPr="00CF524C" w:rsidR="00CF524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06198" w14:textId="77777777" w:rsidR="00A12632" w:rsidRDefault="00A12632" w:rsidP="005442F9">
      <w:r>
        <w:separator/>
      </w:r>
    </w:p>
  </w:endnote>
  <w:endnote w:type="continuationSeparator" w:id="0">
    <w:p w14:paraId="6E106199" w14:textId="77777777" w:rsidR="00A12632" w:rsidRDefault="00A12632" w:rsidP="00544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715951"/>
      <w:docPartObj>
        <w:docPartGallery w:val="Page Numbers (Bottom of Page)"/>
        <w:docPartUnique/>
      </w:docPartObj>
    </w:sdtPr>
    <w:sdtEndPr>
      <w:rPr>
        <w:noProof/>
      </w:rPr>
    </w:sdtEndPr>
    <w:sdtContent>
      <w:p w14:paraId="6E10619A" w14:textId="24E6CAF3" w:rsidR="005442F9" w:rsidRDefault="005442F9">
        <w:pPr>
          <w:pStyle w:val="Footer"/>
          <w:jc w:val="center"/>
        </w:pPr>
        <w:r>
          <w:fldChar w:fldCharType="begin"/>
        </w:r>
        <w:r>
          <w:instrText xml:space="preserve"> PAGE   \* MERGEFORMAT </w:instrText>
        </w:r>
        <w:r>
          <w:fldChar w:fldCharType="separate"/>
        </w:r>
        <w:r w:rsidR="001F5E35">
          <w:rPr>
            <w:noProof/>
          </w:rPr>
          <w:t>10</w:t>
        </w:r>
        <w:r>
          <w:rPr>
            <w:noProof/>
          </w:rPr>
          <w:fldChar w:fldCharType="end"/>
        </w:r>
      </w:p>
    </w:sdtContent>
  </w:sdt>
  <w:p w14:paraId="6E10619B" w14:textId="77777777" w:rsidR="005442F9" w:rsidRDefault="0054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06196" w14:textId="77777777" w:rsidR="00A12632" w:rsidRDefault="00A12632" w:rsidP="005442F9">
      <w:r>
        <w:separator/>
      </w:r>
    </w:p>
  </w:footnote>
  <w:footnote w:type="continuationSeparator" w:id="0">
    <w:p w14:paraId="6E106197" w14:textId="77777777" w:rsidR="00A12632" w:rsidRDefault="00A12632" w:rsidP="005442F9">
      <w:r>
        <w:continuationSeparator/>
      </w:r>
    </w:p>
  </w:footnote>
  <w:footnote w:id="1">
    <w:p w14:paraId="6FFF3F3F" w14:textId="193E5F0B" w:rsidR="008F2982" w:rsidRDefault="008F2982" w:rsidP="008F2982">
      <w:pPr>
        <w:pStyle w:val="FootnoteText"/>
      </w:pPr>
      <w:r>
        <w:rPr>
          <w:rStyle w:val="FootnoteReference"/>
        </w:rPr>
        <w:footnoteRef/>
      </w:r>
      <w:r>
        <w:t xml:space="preserve"> </w:t>
      </w:r>
      <w:r w:rsidR="00436FFC">
        <w:t>1USPTO is using the OPM Special Rate Table 0576—Patent Examiner 07–Step 1 as an estimate for the hourly rate: https://apps.opm.gov/SpecialRates/ 2020/Table057601012020.aspx.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F444E"/>
    <w:multiLevelType w:val="hybridMultilevel"/>
    <w:tmpl w:val="7238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6F41A6"/>
    <w:multiLevelType w:val="hybridMultilevel"/>
    <w:tmpl w:val="8A7E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AA4675"/>
    <w:multiLevelType w:val="hybridMultilevel"/>
    <w:tmpl w:val="D4488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920B99"/>
    <w:multiLevelType w:val="hybridMultilevel"/>
    <w:tmpl w:val="76FC2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11638"/>
    <w:multiLevelType w:val="hybridMultilevel"/>
    <w:tmpl w:val="219E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F9"/>
    <w:rsid w:val="00002236"/>
    <w:rsid w:val="00006166"/>
    <w:rsid w:val="000249FC"/>
    <w:rsid w:val="000310C7"/>
    <w:rsid w:val="000314C0"/>
    <w:rsid w:val="0006124E"/>
    <w:rsid w:val="000655AF"/>
    <w:rsid w:val="00070383"/>
    <w:rsid w:val="00082D64"/>
    <w:rsid w:val="00087021"/>
    <w:rsid w:val="000C09A4"/>
    <w:rsid w:val="000C25FB"/>
    <w:rsid w:val="000C75A0"/>
    <w:rsid w:val="000D0A4A"/>
    <w:rsid w:val="000F14D7"/>
    <w:rsid w:val="001048A7"/>
    <w:rsid w:val="00104CC4"/>
    <w:rsid w:val="00105098"/>
    <w:rsid w:val="00120758"/>
    <w:rsid w:val="0013375F"/>
    <w:rsid w:val="001726C3"/>
    <w:rsid w:val="00174182"/>
    <w:rsid w:val="001763E6"/>
    <w:rsid w:val="00195500"/>
    <w:rsid w:val="001A5A3E"/>
    <w:rsid w:val="001B7D58"/>
    <w:rsid w:val="001D705E"/>
    <w:rsid w:val="001F5E35"/>
    <w:rsid w:val="002208FB"/>
    <w:rsid w:val="002372C7"/>
    <w:rsid w:val="0024481E"/>
    <w:rsid w:val="00244ADF"/>
    <w:rsid w:val="00247930"/>
    <w:rsid w:val="002519FB"/>
    <w:rsid w:val="00255DBA"/>
    <w:rsid w:val="00256D74"/>
    <w:rsid w:val="00257E1F"/>
    <w:rsid w:val="00262376"/>
    <w:rsid w:val="00265C25"/>
    <w:rsid w:val="00271D78"/>
    <w:rsid w:val="002A09F8"/>
    <w:rsid w:val="002A7752"/>
    <w:rsid w:val="002C48A6"/>
    <w:rsid w:val="002E4DE2"/>
    <w:rsid w:val="002F5274"/>
    <w:rsid w:val="003070BE"/>
    <w:rsid w:val="003135F4"/>
    <w:rsid w:val="003141F0"/>
    <w:rsid w:val="00316BED"/>
    <w:rsid w:val="00322F69"/>
    <w:rsid w:val="0032608C"/>
    <w:rsid w:val="00330A4E"/>
    <w:rsid w:val="0036742A"/>
    <w:rsid w:val="00387D9D"/>
    <w:rsid w:val="003903C9"/>
    <w:rsid w:val="00396E91"/>
    <w:rsid w:val="003A3646"/>
    <w:rsid w:val="003B586E"/>
    <w:rsid w:val="003C04C1"/>
    <w:rsid w:val="003F3AE1"/>
    <w:rsid w:val="00407AC1"/>
    <w:rsid w:val="004253B8"/>
    <w:rsid w:val="00436FFC"/>
    <w:rsid w:val="00437218"/>
    <w:rsid w:val="0043776B"/>
    <w:rsid w:val="00476F55"/>
    <w:rsid w:val="00480F75"/>
    <w:rsid w:val="00503368"/>
    <w:rsid w:val="00510D4D"/>
    <w:rsid w:val="0051393C"/>
    <w:rsid w:val="0051785C"/>
    <w:rsid w:val="005442F9"/>
    <w:rsid w:val="005524FC"/>
    <w:rsid w:val="005549D0"/>
    <w:rsid w:val="0055588D"/>
    <w:rsid w:val="005568F4"/>
    <w:rsid w:val="005669FA"/>
    <w:rsid w:val="00580167"/>
    <w:rsid w:val="00582315"/>
    <w:rsid w:val="005865E5"/>
    <w:rsid w:val="005A171C"/>
    <w:rsid w:val="005A3284"/>
    <w:rsid w:val="005B3301"/>
    <w:rsid w:val="005B69D7"/>
    <w:rsid w:val="005E2D71"/>
    <w:rsid w:val="00603EE5"/>
    <w:rsid w:val="00605A7F"/>
    <w:rsid w:val="00641360"/>
    <w:rsid w:val="006457B0"/>
    <w:rsid w:val="00653E06"/>
    <w:rsid w:val="006641E3"/>
    <w:rsid w:val="00670EF1"/>
    <w:rsid w:val="006B225C"/>
    <w:rsid w:val="006B374E"/>
    <w:rsid w:val="006C7DBE"/>
    <w:rsid w:val="006D4EA1"/>
    <w:rsid w:val="006F71DC"/>
    <w:rsid w:val="00700588"/>
    <w:rsid w:val="00706687"/>
    <w:rsid w:val="0070767D"/>
    <w:rsid w:val="007138F9"/>
    <w:rsid w:val="00720579"/>
    <w:rsid w:val="00720A3A"/>
    <w:rsid w:val="00723AEA"/>
    <w:rsid w:val="00734DCC"/>
    <w:rsid w:val="00741B8C"/>
    <w:rsid w:val="0074798F"/>
    <w:rsid w:val="007527D6"/>
    <w:rsid w:val="00762AF7"/>
    <w:rsid w:val="00764BB3"/>
    <w:rsid w:val="00766366"/>
    <w:rsid w:val="00771067"/>
    <w:rsid w:val="007A4753"/>
    <w:rsid w:val="007B14FD"/>
    <w:rsid w:val="007D1C0D"/>
    <w:rsid w:val="007E7481"/>
    <w:rsid w:val="007F04C7"/>
    <w:rsid w:val="007F3206"/>
    <w:rsid w:val="007F7169"/>
    <w:rsid w:val="0083711B"/>
    <w:rsid w:val="00863337"/>
    <w:rsid w:val="008636E3"/>
    <w:rsid w:val="00865824"/>
    <w:rsid w:val="00872C08"/>
    <w:rsid w:val="00874FF0"/>
    <w:rsid w:val="0087517C"/>
    <w:rsid w:val="00875F1C"/>
    <w:rsid w:val="00877CCB"/>
    <w:rsid w:val="00885897"/>
    <w:rsid w:val="008C33B8"/>
    <w:rsid w:val="008F2982"/>
    <w:rsid w:val="008F3234"/>
    <w:rsid w:val="008F50A3"/>
    <w:rsid w:val="008F6DAA"/>
    <w:rsid w:val="0090021E"/>
    <w:rsid w:val="0090060A"/>
    <w:rsid w:val="00912DBD"/>
    <w:rsid w:val="009218C9"/>
    <w:rsid w:val="00925E0A"/>
    <w:rsid w:val="00927914"/>
    <w:rsid w:val="00930D95"/>
    <w:rsid w:val="00936E87"/>
    <w:rsid w:val="00941C9F"/>
    <w:rsid w:val="0095015E"/>
    <w:rsid w:val="009538AE"/>
    <w:rsid w:val="00961930"/>
    <w:rsid w:val="00965C26"/>
    <w:rsid w:val="00993327"/>
    <w:rsid w:val="0099493A"/>
    <w:rsid w:val="009B1569"/>
    <w:rsid w:val="009C6E60"/>
    <w:rsid w:val="009D39DB"/>
    <w:rsid w:val="009F01C4"/>
    <w:rsid w:val="00A12632"/>
    <w:rsid w:val="00A16FEF"/>
    <w:rsid w:val="00A2679C"/>
    <w:rsid w:val="00A329AD"/>
    <w:rsid w:val="00A34923"/>
    <w:rsid w:val="00A34A4C"/>
    <w:rsid w:val="00A374EF"/>
    <w:rsid w:val="00A469B3"/>
    <w:rsid w:val="00A55FCE"/>
    <w:rsid w:val="00AB6484"/>
    <w:rsid w:val="00AB6596"/>
    <w:rsid w:val="00AC3171"/>
    <w:rsid w:val="00AE1A86"/>
    <w:rsid w:val="00AE2135"/>
    <w:rsid w:val="00AF4C3D"/>
    <w:rsid w:val="00AF77BA"/>
    <w:rsid w:val="00B01162"/>
    <w:rsid w:val="00B113EA"/>
    <w:rsid w:val="00B1282C"/>
    <w:rsid w:val="00B224AD"/>
    <w:rsid w:val="00B22CE0"/>
    <w:rsid w:val="00B233B3"/>
    <w:rsid w:val="00B24BE2"/>
    <w:rsid w:val="00B27D49"/>
    <w:rsid w:val="00B303B1"/>
    <w:rsid w:val="00B36B4E"/>
    <w:rsid w:val="00B37BDE"/>
    <w:rsid w:val="00B468AC"/>
    <w:rsid w:val="00B50917"/>
    <w:rsid w:val="00B54067"/>
    <w:rsid w:val="00B56255"/>
    <w:rsid w:val="00B73B29"/>
    <w:rsid w:val="00B851E3"/>
    <w:rsid w:val="00B865A8"/>
    <w:rsid w:val="00B925A3"/>
    <w:rsid w:val="00BA0BC6"/>
    <w:rsid w:val="00BA69B6"/>
    <w:rsid w:val="00BE5DF7"/>
    <w:rsid w:val="00BE695B"/>
    <w:rsid w:val="00BF6833"/>
    <w:rsid w:val="00C01BAB"/>
    <w:rsid w:val="00C07394"/>
    <w:rsid w:val="00C51521"/>
    <w:rsid w:val="00C74C61"/>
    <w:rsid w:val="00C851B1"/>
    <w:rsid w:val="00C96D64"/>
    <w:rsid w:val="00CB2E6D"/>
    <w:rsid w:val="00CB6D4E"/>
    <w:rsid w:val="00CE2DEC"/>
    <w:rsid w:val="00CE37E3"/>
    <w:rsid w:val="00CF524C"/>
    <w:rsid w:val="00CF785B"/>
    <w:rsid w:val="00D04EAF"/>
    <w:rsid w:val="00D15D34"/>
    <w:rsid w:val="00D2289B"/>
    <w:rsid w:val="00D532DC"/>
    <w:rsid w:val="00D66AA8"/>
    <w:rsid w:val="00D849CC"/>
    <w:rsid w:val="00D973AB"/>
    <w:rsid w:val="00DA4B2D"/>
    <w:rsid w:val="00DB62EC"/>
    <w:rsid w:val="00DC239C"/>
    <w:rsid w:val="00DC73DD"/>
    <w:rsid w:val="00DE09D9"/>
    <w:rsid w:val="00DF04CB"/>
    <w:rsid w:val="00E17FED"/>
    <w:rsid w:val="00E364AD"/>
    <w:rsid w:val="00E4606C"/>
    <w:rsid w:val="00E574F5"/>
    <w:rsid w:val="00E632C6"/>
    <w:rsid w:val="00E671EB"/>
    <w:rsid w:val="00E76268"/>
    <w:rsid w:val="00E8106F"/>
    <w:rsid w:val="00E82DF3"/>
    <w:rsid w:val="00E85401"/>
    <w:rsid w:val="00E906B2"/>
    <w:rsid w:val="00E94704"/>
    <w:rsid w:val="00E96F96"/>
    <w:rsid w:val="00EA6508"/>
    <w:rsid w:val="00EB0CD2"/>
    <w:rsid w:val="00ED47E7"/>
    <w:rsid w:val="00F031D0"/>
    <w:rsid w:val="00F22C10"/>
    <w:rsid w:val="00F262D1"/>
    <w:rsid w:val="00F44958"/>
    <w:rsid w:val="00F6651C"/>
    <w:rsid w:val="00F71FE8"/>
    <w:rsid w:val="00F748A0"/>
    <w:rsid w:val="00F90BF6"/>
    <w:rsid w:val="00F95B42"/>
    <w:rsid w:val="00FB2EAA"/>
    <w:rsid w:val="00FD301E"/>
    <w:rsid w:val="00FF6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0607F"/>
  <w15:docId w15:val="{96128AEE-A56E-4523-9205-B071072F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D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42F9"/>
    <w:pPr>
      <w:spacing w:after="0" w:line="240" w:lineRule="auto"/>
    </w:pPr>
  </w:style>
  <w:style w:type="paragraph" w:styleId="Header">
    <w:name w:val="header"/>
    <w:basedOn w:val="Normal"/>
    <w:link w:val="HeaderChar"/>
    <w:uiPriority w:val="99"/>
    <w:unhideWhenUsed/>
    <w:rsid w:val="005442F9"/>
    <w:pPr>
      <w:tabs>
        <w:tab w:val="center" w:pos="4680"/>
        <w:tab w:val="right" w:pos="9360"/>
      </w:tabs>
    </w:pPr>
  </w:style>
  <w:style w:type="character" w:customStyle="1" w:styleId="HeaderChar">
    <w:name w:val="Header Char"/>
    <w:basedOn w:val="DefaultParagraphFont"/>
    <w:link w:val="Header"/>
    <w:uiPriority w:val="99"/>
    <w:rsid w:val="005442F9"/>
  </w:style>
  <w:style w:type="paragraph" w:styleId="Footer">
    <w:name w:val="footer"/>
    <w:basedOn w:val="Normal"/>
    <w:link w:val="FooterChar"/>
    <w:uiPriority w:val="99"/>
    <w:unhideWhenUsed/>
    <w:rsid w:val="005442F9"/>
    <w:pPr>
      <w:tabs>
        <w:tab w:val="center" w:pos="4680"/>
        <w:tab w:val="right" w:pos="9360"/>
      </w:tabs>
    </w:pPr>
  </w:style>
  <w:style w:type="character" w:customStyle="1" w:styleId="FooterChar">
    <w:name w:val="Footer Char"/>
    <w:basedOn w:val="DefaultParagraphFont"/>
    <w:link w:val="Footer"/>
    <w:uiPriority w:val="99"/>
    <w:rsid w:val="005442F9"/>
  </w:style>
  <w:style w:type="character" w:styleId="CommentReference">
    <w:name w:val="annotation reference"/>
    <w:basedOn w:val="DefaultParagraphFont"/>
    <w:uiPriority w:val="99"/>
    <w:semiHidden/>
    <w:unhideWhenUsed/>
    <w:rsid w:val="00CE2DEC"/>
    <w:rPr>
      <w:sz w:val="16"/>
      <w:szCs w:val="16"/>
    </w:rPr>
  </w:style>
  <w:style w:type="paragraph" w:styleId="CommentText">
    <w:name w:val="annotation text"/>
    <w:basedOn w:val="Normal"/>
    <w:link w:val="CommentTextChar"/>
    <w:uiPriority w:val="99"/>
    <w:semiHidden/>
    <w:unhideWhenUsed/>
    <w:rsid w:val="00CE2DEC"/>
    <w:rPr>
      <w:sz w:val="20"/>
      <w:szCs w:val="20"/>
    </w:rPr>
  </w:style>
  <w:style w:type="character" w:customStyle="1" w:styleId="CommentTextChar">
    <w:name w:val="Comment Text Char"/>
    <w:basedOn w:val="DefaultParagraphFont"/>
    <w:link w:val="CommentText"/>
    <w:uiPriority w:val="99"/>
    <w:semiHidden/>
    <w:rsid w:val="00CE2DE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E2DEC"/>
    <w:rPr>
      <w:rFonts w:ascii="Tahoma" w:hAnsi="Tahoma" w:cs="Tahoma"/>
      <w:sz w:val="16"/>
      <w:szCs w:val="16"/>
    </w:rPr>
  </w:style>
  <w:style w:type="character" w:customStyle="1" w:styleId="BalloonTextChar">
    <w:name w:val="Balloon Text Char"/>
    <w:basedOn w:val="DefaultParagraphFont"/>
    <w:link w:val="BalloonText"/>
    <w:uiPriority w:val="99"/>
    <w:semiHidden/>
    <w:rsid w:val="00CE2DE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885897"/>
    <w:rPr>
      <w:b/>
      <w:bCs/>
    </w:rPr>
  </w:style>
  <w:style w:type="character" w:customStyle="1" w:styleId="CommentSubjectChar">
    <w:name w:val="Comment Subject Char"/>
    <w:basedOn w:val="CommentTextChar"/>
    <w:link w:val="CommentSubject"/>
    <w:uiPriority w:val="99"/>
    <w:semiHidden/>
    <w:rsid w:val="0088589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B303B1"/>
    <w:rPr>
      <w:color w:val="0000FF" w:themeColor="hyperlink"/>
      <w:u w:val="single"/>
    </w:rPr>
  </w:style>
  <w:style w:type="paragraph" w:styleId="EndnoteText">
    <w:name w:val="endnote text"/>
    <w:basedOn w:val="Normal"/>
    <w:link w:val="EndnoteTextChar"/>
    <w:uiPriority w:val="99"/>
    <w:semiHidden/>
    <w:unhideWhenUsed/>
    <w:rsid w:val="00B22CE0"/>
    <w:rPr>
      <w:sz w:val="20"/>
      <w:szCs w:val="20"/>
    </w:rPr>
  </w:style>
  <w:style w:type="character" w:customStyle="1" w:styleId="EndnoteTextChar">
    <w:name w:val="Endnote Text Char"/>
    <w:basedOn w:val="DefaultParagraphFont"/>
    <w:link w:val="EndnoteText"/>
    <w:uiPriority w:val="99"/>
    <w:semiHidden/>
    <w:rsid w:val="00B22CE0"/>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22CE0"/>
    <w:rPr>
      <w:vertAlign w:val="superscript"/>
    </w:rPr>
  </w:style>
  <w:style w:type="paragraph" w:styleId="FootnoteText">
    <w:name w:val="footnote text"/>
    <w:basedOn w:val="Normal"/>
    <w:link w:val="FootnoteTextChar"/>
    <w:uiPriority w:val="99"/>
    <w:semiHidden/>
    <w:unhideWhenUsed/>
    <w:rsid w:val="00B22CE0"/>
    <w:rPr>
      <w:sz w:val="20"/>
      <w:szCs w:val="20"/>
    </w:rPr>
  </w:style>
  <w:style w:type="character" w:customStyle="1" w:styleId="FootnoteTextChar">
    <w:name w:val="Footnote Text Char"/>
    <w:basedOn w:val="DefaultParagraphFont"/>
    <w:link w:val="FootnoteText"/>
    <w:uiPriority w:val="99"/>
    <w:semiHidden/>
    <w:rsid w:val="00B22CE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B22CE0"/>
    <w:rPr>
      <w:vertAlign w:val="superscript"/>
    </w:rPr>
  </w:style>
  <w:style w:type="table" w:styleId="TableGrid">
    <w:name w:val="Table Grid"/>
    <w:basedOn w:val="TableNormal"/>
    <w:uiPriority w:val="59"/>
    <w:rsid w:val="008F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15D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7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0/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DCB_h.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Berry, Robert</DisplayName>
        <AccountId>335</AccountId>
        <AccountType/>
      </UserInfo>
    </Owner>
    <Initiation_x0020__x0028_Start_x0029_ xmlns="e85de8a9-5cd3-41fe-a1a0-70bc17107555" xsi:nil="true"/>
    <IC_x0020_Category xmlns="E85DE8A9-5CD3-41FE-A1A0-70BC17107555">Renewal</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2017</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SharedWithUsers xmlns="5dfc53cf-7c17-4489-98ab-5f87c96333b9">
      <UserInfo>
        <DisplayName>Isaac, Justin (AMBIT)</DisplayName>
        <AccountId>115</AccountId>
        <AccountType/>
      </UserInfo>
      <UserInfo>
        <DisplayName>Azam, Maryam (AMBIT)</DisplayName>
        <AccountId>594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B0652-E25A-4858-9947-ABF421313FC9}">
  <ds:schemaRefs>
    <ds:schemaRef ds:uri="http://schemas.microsoft.com/office/2006/documentManagement/types"/>
    <ds:schemaRef ds:uri="5DFC53CF-7C17-4489-98AB-5F87C96333B9"/>
    <ds:schemaRef ds:uri="http://schemas.openxmlformats.org/package/2006/metadata/core-properties"/>
    <ds:schemaRef ds:uri="http://purl.org/dc/elements/1.1/"/>
    <ds:schemaRef ds:uri="http://schemas.microsoft.com/office/infopath/2007/PartnerControls"/>
    <ds:schemaRef ds:uri="e85de8a9-5cd3-41fe-a1a0-70bc17107555"/>
    <ds:schemaRef ds:uri="http://purl.org/dc/terms/"/>
    <ds:schemaRef ds:uri="5dfc53cf-7c17-4489-98ab-5f87c96333b9"/>
    <ds:schemaRef ds:uri="E85DE8A9-5CD3-41FE-A1A0-70BC17107555"/>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1CC09E5-D8E7-4D0A-8230-727D1D0CD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9BCA0E-D4D2-4A8B-9437-21A1FE1FA146}">
  <ds:schemaRefs>
    <ds:schemaRef ds:uri="http://schemas.microsoft.com/sharepoint/v3/contenttype/forms"/>
  </ds:schemaRefs>
</ds:datastoreItem>
</file>

<file path=customXml/itemProps4.xml><?xml version="1.0" encoding="utf-8"?>
<ds:datastoreItem xmlns:ds="http://schemas.openxmlformats.org/officeDocument/2006/customXml" ds:itemID="{3236B30D-EE21-491B-8FE3-8C3E48491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Hardy, Kimberly</cp:lastModifiedBy>
  <cp:revision>2</cp:revision>
  <dcterms:created xsi:type="dcterms:W3CDTF">2020-12-31T16:46:00Z</dcterms:created>
  <dcterms:modified xsi:type="dcterms:W3CDTF">2020-12-31T16:46:00Z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