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2299E" w:rsidR="001824D0" w:rsidP="00DD521C" w:rsidRDefault="001824D0" w14:paraId="645A9B65" w14:textId="77777777">
      <w:pPr>
        <w:tabs>
          <w:tab w:val="left" w:pos="-720"/>
          <w:tab w:val="right" w:pos="8622"/>
        </w:tabs>
        <w:spacing w:after="60" w:line="240" w:lineRule="auto"/>
        <w:jc w:val="center"/>
        <w:rPr>
          <w:rFonts w:ascii="Times New Roman" w:hAnsi="Times New Roman"/>
          <w:b/>
          <w:sz w:val="24"/>
          <w:szCs w:val="24"/>
        </w:rPr>
      </w:pPr>
      <w:r w:rsidRPr="00D2299E">
        <w:rPr>
          <w:rFonts w:ascii="Times New Roman" w:hAnsi="Times New Roman"/>
          <w:b/>
          <w:sz w:val="24"/>
          <w:szCs w:val="24"/>
        </w:rPr>
        <w:t>Health Resources and Services Administration</w:t>
      </w:r>
    </w:p>
    <w:p w:rsidR="001824D0" w:rsidP="00DD521C" w:rsidRDefault="001824D0" w14:paraId="030864DC" w14:textId="6803541B">
      <w:pPr>
        <w:tabs>
          <w:tab w:val="left" w:pos="-720"/>
          <w:tab w:val="right" w:pos="8622"/>
        </w:tabs>
        <w:spacing w:after="60" w:line="240" w:lineRule="auto"/>
        <w:jc w:val="center"/>
        <w:rPr>
          <w:rFonts w:ascii="Times New Roman" w:hAnsi="Times New Roman"/>
          <w:b/>
          <w:bCs/>
          <w:sz w:val="24"/>
          <w:szCs w:val="24"/>
        </w:rPr>
      </w:pPr>
      <w:r>
        <w:rPr>
          <w:rFonts w:ascii="Times New Roman" w:hAnsi="Times New Roman"/>
          <w:b/>
          <w:bCs/>
          <w:sz w:val="24"/>
          <w:szCs w:val="24"/>
        </w:rPr>
        <w:t>SUPPORTING STATEMENT A</w:t>
      </w:r>
    </w:p>
    <w:p w:rsidRPr="000F00F3" w:rsidR="00C139A4" w:rsidP="00DD521C" w:rsidRDefault="00C139A4" w14:paraId="5FEE6636" w14:textId="77777777">
      <w:pPr>
        <w:tabs>
          <w:tab w:val="center" w:pos="4680"/>
        </w:tabs>
        <w:spacing w:after="60" w:line="240" w:lineRule="auto"/>
        <w:jc w:val="center"/>
        <w:rPr>
          <w:rFonts w:ascii="Times New Roman" w:hAnsi="Times New Roman" w:cs="Times New Roman"/>
          <w:b/>
          <w:bCs/>
          <w:sz w:val="24"/>
          <w:szCs w:val="24"/>
        </w:rPr>
      </w:pPr>
      <w:r w:rsidRPr="000F00F3">
        <w:rPr>
          <w:rFonts w:ascii="Times New Roman" w:hAnsi="Times New Roman" w:cs="Times New Roman"/>
          <w:b/>
          <w:bCs/>
          <w:sz w:val="24"/>
          <w:szCs w:val="24"/>
        </w:rPr>
        <w:t>Scientific Registry of Transplant Recipients Living Organ Donation Registry Data Collection Surveys</w:t>
      </w:r>
    </w:p>
    <w:p w:rsidRPr="000F00F3" w:rsidR="00C139A4" w:rsidP="00DD521C" w:rsidRDefault="00C139A4" w14:paraId="7F06CE9D" w14:textId="77777777">
      <w:pPr>
        <w:tabs>
          <w:tab w:val="center" w:pos="4680"/>
        </w:tabs>
        <w:spacing w:after="60" w:line="240" w:lineRule="auto"/>
        <w:jc w:val="center"/>
        <w:rPr>
          <w:rFonts w:ascii="Times New Roman" w:hAnsi="Times New Roman" w:cs="Times New Roman"/>
          <w:b/>
          <w:bCs/>
          <w:sz w:val="24"/>
          <w:szCs w:val="24"/>
        </w:rPr>
      </w:pPr>
      <w:r w:rsidRPr="000F00F3">
        <w:rPr>
          <w:rFonts w:ascii="Times New Roman" w:hAnsi="Times New Roman" w:cs="Times New Roman"/>
          <w:b/>
          <w:bCs/>
          <w:sz w:val="24"/>
          <w:szCs w:val="24"/>
        </w:rPr>
        <w:t>OMB Control No. 0906-0034</w:t>
      </w:r>
    </w:p>
    <w:p w:rsidRPr="000F00F3" w:rsidR="00C139A4" w:rsidP="00C139A4" w:rsidRDefault="00C139A4" w14:paraId="43316960" w14:textId="77777777">
      <w:pPr>
        <w:tabs>
          <w:tab w:val="center" w:pos="4680"/>
        </w:tabs>
        <w:spacing w:before="120"/>
        <w:jc w:val="center"/>
        <w:rPr>
          <w:rFonts w:ascii="Times New Roman" w:hAnsi="Times New Roman" w:cs="Times New Roman"/>
          <w:b/>
          <w:bCs/>
          <w:sz w:val="24"/>
          <w:szCs w:val="24"/>
        </w:rPr>
      </w:pPr>
    </w:p>
    <w:p w:rsidRPr="000F00F3" w:rsidR="00C139A4" w:rsidP="008766ED" w:rsidRDefault="00C139A4" w14:paraId="70D3E087" w14:textId="77777777">
      <w:pPr>
        <w:spacing w:before="120" w:line="240" w:lineRule="auto"/>
        <w:rPr>
          <w:rFonts w:ascii="Times New Roman" w:hAnsi="Times New Roman" w:cs="Times New Roman"/>
          <w:b/>
          <w:bCs/>
          <w:sz w:val="24"/>
          <w:szCs w:val="24"/>
        </w:rPr>
      </w:pPr>
      <w:r w:rsidRPr="000F00F3">
        <w:rPr>
          <w:rFonts w:ascii="Times New Roman" w:hAnsi="Times New Roman" w:cs="Times New Roman"/>
          <w:b/>
          <w:bCs/>
          <w:sz w:val="24"/>
          <w:szCs w:val="24"/>
        </w:rPr>
        <w:t>A.</w:t>
      </w:r>
      <w:r w:rsidRPr="000F00F3">
        <w:rPr>
          <w:rFonts w:ascii="Times New Roman" w:hAnsi="Times New Roman" w:cs="Times New Roman"/>
          <w:b/>
          <w:bCs/>
          <w:sz w:val="24"/>
          <w:szCs w:val="24"/>
        </w:rPr>
        <w:tab/>
        <w:t>Justification</w:t>
      </w:r>
    </w:p>
    <w:p w:rsidRPr="000F00F3" w:rsidR="001A1747" w:rsidP="008766ED" w:rsidRDefault="00C139A4" w14:paraId="0B59927B"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b/>
          <w:sz w:val="24"/>
          <w:szCs w:val="24"/>
        </w:rPr>
      </w:pPr>
      <w:r w:rsidRPr="000F00F3">
        <w:rPr>
          <w:rFonts w:ascii="Times New Roman" w:hAnsi="Times New Roman" w:cs="Times New Roman"/>
          <w:b/>
          <w:sz w:val="24"/>
          <w:szCs w:val="24"/>
          <w:u w:val="single"/>
        </w:rPr>
        <w:t>Circumstances Making the Collection of Information Necessary</w:t>
      </w:r>
    </w:p>
    <w:p w:rsidRPr="000F00F3" w:rsidR="00C139A4" w:rsidP="008766ED" w:rsidRDefault="00ED2AA7" w14:paraId="065540D8" w14:textId="76475463">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This is a request </w:t>
      </w:r>
      <w:r w:rsidR="000F00F3">
        <w:rPr>
          <w:rFonts w:ascii="Times New Roman" w:hAnsi="Times New Roman" w:cs="Times New Roman"/>
          <w:sz w:val="24"/>
          <w:szCs w:val="24"/>
        </w:rPr>
        <w:t>for</w:t>
      </w:r>
      <w:r w:rsidRPr="000F00F3" w:rsidR="001A1747">
        <w:rPr>
          <w:rFonts w:ascii="Times New Roman" w:hAnsi="Times New Roman" w:cs="Times New Roman"/>
          <w:sz w:val="24"/>
          <w:szCs w:val="24"/>
        </w:rPr>
        <w:t xml:space="preserve"> </w:t>
      </w:r>
      <w:r w:rsidRPr="000F00F3" w:rsidR="000F00F3">
        <w:rPr>
          <w:rFonts w:ascii="Times New Roman" w:hAnsi="Times New Roman" w:cs="Times New Roman"/>
          <w:sz w:val="24"/>
          <w:szCs w:val="24"/>
        </w:rPr>
        <w:t xml:space="preserve">an </w:t>
      </w:r>
      <w:r w:rsidRPr="009B2C41" w:rsidR="000F00F3">
        <w:rPr>
          <w:rFonts w:ascii="Times New Roman" w:hAnsi="Times New Roman" w:cs="Times New Roman"/>
          <w:sz w:val="24"/>
          <w:szCs w:val="24"/>
          <w:u w:val="single"/>
        </w:rPr>
        <w:t>extension</w:t>
      </w:r>
      <w:r w:rsidRPr="000F00F3" w:rsidR="000F00F3">
        <w:rPr>
          <w:rFonts w:ascii="Times New Roman" w:hAnsi="Times New Roman" w:cs="Times New Roman"/>
          <w:sz w:val="24"/>
          <w:szCs w:val="24"/>
        </w:rPr>
        <w:t xml:space="preserve"> </w:t>
      </w:r>
      <w:r w:rsidR="009B2C41">
        <w:rPr>
          <w:rFonts w:ascii="Times New Roman" w:hAnsi="Times New Roman" w:cs="Times New Roman"/>
          <w:sz w:val="24"/>
          <w:szCs w:val="24"/>
        </w:rPr>
        <w:t xml:space="preserve">of the </w:t>
      </w:r>
      <w:r w:rsidRPr="000F00F3" w:rsidR="000F00F3">
        <w:rPr>
          <w:rFonts w:ascii="Times New Roman" w:hAnsi="Times New Roman" w:cs="Times New Roman"/>
          <w:sz w:val="24"/>
          <w:szCs w:val="24"/>
        </w:rPr>
        <w:t>Scientific Registry of Transplant Recipients (</w:t>
      </w:r>
      <w:proofErr w:type="spellStart"/>
      <w:r w:rsidRPr="000F00F3" w:rsidR="000F00F3">
        <w:rPr>
          <w:rFonts w:ascii="Times New Roman" w:hAnsi="Times New Roman" w:cs="Times New Roman"/>
          <w:sz w:val="24"/>
          <w:szCs w:val="24"/>
        </w:rPr>
        <w:t>SRTR</w:t>
      </w:r>
      <w:proofErr w:type="spellEnd"/>
      <w:r w:rsidRPr="000F00F3" w:rsidR="000F00F3">
        <w:rPr>
          <w:rFonts w:ascii="Times New Roman" w:hAnsi="Times New Roman" w:cs="Times New Roman"/>
          <w:sz w:val="24"/>
          <w:szCs w:val="24"/>
        </w:rPr>
        <w:t>) Information Collection Effort for Potential Donors for Living Organ Donation (OMB 0906-0034)</w:t>
      </w:r>
      <w:r w:rsidR="000F00F3">
        <w:rPr>
          <w:rFonts w:ascii="Times New Roman" w:hAnsi="Times New Roman" w:cs="Times New Roman"/>
          <w:sz w:val="24"/>
          <w:szCs w:val="24"/>
        </w:rPr>
        <w:t xml:space="preserve">. </w:t>
      </w:r>
      <w:r w:rsidR="00CF4C33">
        <w:rPr>
          <w:rFonts w:ascii="Times New Roman" w:hAnsi="Times New Roman" w:cs="Times New Roman"/>
          <w:sz w:val="24"/>
          <w:szCs w:val="24"/>
        </w:rPr>
        <w:t xml:space="preserve"> </w:t>
      </w:r>
      <w:r w:rsidR="000F00F3">
        <w:rPr>
          <w:rFonts w:ascii="Times New Roman" w:hAnsi="Times New Roman" w:cs="Times New Roman"/>
          <w:sz w:val="24"/>
          <w:szCs w:val="24"/>
        </w:rPr>
        <w:t xml:space="preserve">These data collection instruments </w:t>
      </w:r>
      <w:r w:rsidRPr="000F00F3" w:rsidR="00C95250">
        <w:rPr>
          <w:rFonts w:ascii="Times New Roman" w:hAnsi="Times New Roman" w:cs="Times New Roman"/>
          <w:sz w:val="24"/>
          <w:szCs w:val="24"/>
        </w:rPr>
        <w:t xml:space="preserve">establish and maintain a national registry of living organ donors. </w:t>
      </w:r>
    </w:p>
    <w:p w:rsidRPr="000F00F3" w:rsidR="0069705A" w:rsidP="008766ED" w:rsidRDefault="00C95250" w14:paraId="0FA54EE0" w14:textId="1E3471E7">
      <w:pPr>
        <w:spacing w:line="240" w:lineRule="auto"/>
        <w:rPr>
          <w:rFonts w:ascii="Times New Roman" w:hAnsi="Times New Roman" w:cs="Times New Roman"/>
          <w:sz w:val="24"/>
          <w:szCs w:val="24"/>
        </w:rPr>
      </w:pPr>
      <w:r w:rsidRPr="000F00F3">
        <w:rPr>
          <w:rFonts w:ascii="Times New Roman" w:hAnsi="Times New Roman" w:cs="Times New Roman"/>
          <w:sz w:val="24"/>
          <w:szCs w:val="24"/>
        </w:rPr>
        <w:t>Since its approval in 2018, the registry</w:t>
      </w:r>
      <w:r w:rsidR="00E60CEB">
        <w:rPr>
          <w:rFonts w:ascii="Times New Roman" w:hAnsi="Times New Roman" w:cs="Times New Roman"/>
          <w:sz w:val="24"/>
          <w:szCs w:val="24"/>
        </w:rPr>
        <w:t>'</w:t>
      </w:r>
      <w:r w:rsidR="00280D1D">
        <w:rPr>
          <w:rFonts w:ascii="Times New Roman" w:hAnsi="Times New Roman" w:cs="Times New Roman"/>
          <w:sz w:val="24"/>
          <w:szCs w:val="24"/>
        </w:rPr>
        <w:t>s</w:t>
      </w:r>
      <w:r w:rsidRPr="000F00F3">
        <w:rPr>
          <w:rFonts w:ascii="Times New Roman" w:hAnsi="Times New Roman" w:cs="Times New Roman"/>
          <w:sz w:val="24"/>
          <w:szCs w:val="24"/>
        </w:rPr>
        <w:t xml:space="preserve"> data collection efforts have been operated by the </w:t>
      </w:r>
      <w:proofErr w:type="spellStart"/>
      <w:r w:rsidRPr="000F00F3">
        <w:rPr>
          <w:rFonts w:ascii="Times New Roman" w:hAnsi="Times New Roman" w:cs="Times New Roman"/>
          <w:sz w:val="24"/>
          <w:szCs w:val="24"/>
        </w:rPr>
        <w:t>SRTR</w:t>
      </w:r>
      <w:proofErr w:type="spellEnd"/>
      <w:r w:rsidR="00DD7446">
        <w:rPr>
          <w:rFonts w:ascii="Times New Roman" w:hAnsi="Times New Roman" w:cs="Times New Roman"/>
          <w:sz w:val="24"/>
          <w:szCs w:val="24"/>
        </w:rPr>
        <w:t xml:space="preserve"> </w:t>
      </w:r>
      <w:r w:rsidRPr="000F00F3" w:rsidR="00C139A4">
        <w:rPr>
          <w:rFonts w:ascii="Times New Roman" w:hAnsi="Times New Roman" w:cs="Times New Roman"/>
          <w:sz w:val="24"/>
          <w:szCs w:val="24"/>
        </w:rPr>
        <w:t>under contract with</w:t>
      </w:r>
      <w:r w:rsidRPr="000F00F3" w:rsidR="001A1747">
        <w:rPr>
          <w:rFonts w:ascii="Times New Roman" w:hAnsi="Times New Roman" w:cs="Times New Roman"/>
          <w:sz w:val="24"/>
          <w:szCs w:val="24"/>
        </w:rPr>
        <w:t xml:space="preserve"> </w:t>
      </w:r>
      <w:r w:rsidR="00D5230B">
        <w:rPr>
          <w:rFonts w:ascii="Times New Roman" w:hAnsi="Times New Roman" w:cs="Times New Roman"/>
          <w:sz w:val="24"/>
          <w:szCs w:val="24"/>
        </w:rPr>
        <w:t>the Health Resources and Service Administration (</w:t>
      </w:r>
      <w:r w:rsidRPr="000F00F3" w:rsidR="00C139A4">
        <w:rPr>
          <w:rFonts w:ascii="Times New Roman" w:hAnsi="Times New Roman" w:cs="Times New Roman"/>
          <w:sz w:val="24"/>
          <w:szCs w:val="24"/>
        </w:rPr>
        <w:t>HRSA</w:t>
      </w:r>
      <w:r w:rsidR="00D5230B">
        <w:rPr>
          <w:rFonts w:ascii="Times New Roman" w:hAnsi="Times New Roman" w:cs="Times New Roman"/>
          <w:sz w:val="24"/>
          <w:szCs w:val="24"/>
        </w:rPr>
        <w:t>)</w:t>
      </w:r>
      <w:r w:rsidRPr="000F00F3">
        <w:rPr>
          <w:rFonts w:ascii="Times New Roman" w:hAnsi="Times New Roman" w:cs="Times New Roman"/>
          <w:sz w:val="24"/>
          <w:szCs w:val="24"/>
        </w:rPr>
        <w:t>.</w:t>
      </w:r>
      <w:r w:rsidRPr="000F00F3" w:rsidR="00C139A4">
        <w:rPr>
          <w:rFonts w:ascii="Times New Roman" w:hAnsi="Times New Roman" w:cs="Times New Roman"/>
          <w:sz w:val="24"/>
          <w:szCs w:val="24"/>
        </w:rPr>
        <w:t xml:space="preserve"> </w:t>
      </w:r>
      <w:r w:rsidR="00CF4C33">
        <w:rPr>
          <w:rFonts w:ascii="Times New Roman" w:hAnsi="Times New Roman" w:cs="Times New Roman"/>
          <w:sz w:val="24"/>
          <w:szCs w:val="24"/>
        </w:rPr>
        <w:t xml:space="preserve"> </w:t>
      </w:r>
      <w:r w:rsidRPr="000F00F3" w:rsidR="001A1747">
        <w:rPr>
          <w:rFonts w:ascii="Times New Roman" w:hAnsi="Times New Roman" w:cs="Times New Roman"/>
          <w:sz w:val="24"/>
          <w:szCs w:val="24"/>
        </w:rPr>
        <w:t>The registry</w:t>
      </w:r>
      <w:r w:rsidRPr="000F00F3" w:rsidR="001A2782">
        <w:rPr>
          <w:rFonts w:ascii="Times New Roman" w:hAnsi="Times New Roman" w:cs="Times New Roman"/>
          <w:sz w:val="24"/>
          <w:szCs w:val="24"/>
        </w:rPr>
        <w:t>, known as the Living Donor Collective (</w:t>
      </w:r>
      <w:proofErr w:type="spellStart"/>
      <w:r w:rsidRPr="000F00F3" w:rsidR="001A2782">
        <w:rPr>
          <w:rFonts w:ascii="Times New Roman" w:hAnsi="Times New Roman" w:cs="Times New Roman"/>
          <w:sz w:val="24"/>
          <w:szCs w:val="24"/>
        </w:rPr>
        <w:t>LDC</w:t>
      </w:r>
      <w:proofErr w:type="spellEnd"/>
      <w:r w:rsidRPr="000F00F3" w:rsidR="001A2782">
        <w:rPr>
          <w:rFonts w:ascii="Times New Roman" w:hAnsi="Times New Roman" w:cs="Times New Roman"/>
          <w:sz w:val="24"/>
          <w:szCs w:val="24"/>
        </w:rPr>
        <w:t>),</w:t>
      </w:r>
      <w:r w:rsidRPr="000F00F3" w:rsidR="0069705A">
        <w:rPr>
          <w:rFonts w:ascii="Times New Roman" w:hAnsi="Times New Roman" w:cs="Times New Roman"/>
          <w:sz w:val="24"/>
          <w:szCs w:val="24"/>
        </w:rPr>
        <w:t xml:space="preserve"> serves an </w:t>
      </w:r>
      <w:r w:rsidR="00E60CEB">
        <w:rPr>
          <w:rFonts w:ascii="Times New Roman" w:hAnsi="Times New Roman" w:cs="Times New Roman"/>
          <w:sz w:val="24"/>
          <w:szCs w:val="24"/>
        </w:rPr>
        <w:t>essential</w:t>
      </w:r>
      <w:r w:rsidRPr="000F00F3" w:rsidR="0069705A">
        <w:rPr>
          <w:rFonts w:ascii="Times New Roman" w:hAnsi="Times New Roman" w:cs="Times New Roman"/>
          <w:sz w:val="24"/>
          <w:szCs w:val="24"/>
        </w:rPr>
        <w:t xml:space="preserve"> public health purpose by collecting long-term data critical to understanding the risks and impacts of </w:t>
      </w:r>
      <w:r w:rsidR="009A127F">
        <w:rPr>
          <w:rFonts w:ascii="Times New Roman" w:hAnsi="Times New Roman" w:cs="Times New Roman"/>
          <w:sz w:val="24"/>
          <w:szCs w:val="24"/>
        </w:rPr>
        <w:t>living organ donation</w:t>
      </w:r>
      <w:r w:rsidRPr="000F00F3" w:rsidR="0069705A">
        <w:rPr>
          <w:rFonts w:ascii="Times New Roman" w:hAnsi="Times New Roman" w:cs="Times New Roman"/>
          <w:sz w:val="24"/>
          <w:szCs w:val="24"/>
        </w:rPr>
        <w:t>, which are not regularly collected elsewhere.</w:t>
      </w:r>
    </w:p>
    <w:p w:rsidRPr="000F00F3" w:rsidR="00A327B6" w:rsidP="008766ED" w:rsidRDefault="00C139A4" w14:paraId="53CFA7E3" w14:textId="6F8906A5">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This </w:t>
      </w:r>
      <w:r w:rsidRPr="000F00F3" w:rsidR="0069705A">
        <w:rPr>
          <w:rFonts w:ascii="Times New Roman" w:hAnsi="Times New Roman" w:cs="Times New Roman"/>
          <w:sz w:val="24"/>
          <w:szCs w:val="24"/>
        </w:rPr>
        <w:t>i</w:t>
      </w:r>
      <w:r w:rsidRPr="000F00F3">
        <w:rPr>
          <w:rFonts w:ascii="Times New Roman" w:hAnsi="Times New Roman" w:cs="Times New Roman"/>
          <w:sz w:val="24"/>
          <w:szCs w:val="24"/>
        </w:rPr>
        <w:t>nformation collection</w:t>
      </w:r>
      <w:r w:rsidRPr="000F00F3" w:rsidR="0069705A">
        <w:rPr>
          <w:rFonts w:ascii="Times New Roman" w:hAnsi="Times New Roman" w:cs="Times New Roman"/>
          <w:sz w:val="24"/>
          <w:szCs w:val="24"/>
        </w:rPr>
        <w:t xml:space="preserve"> </w:t>
      </w:r>
      <w:r w:rsidRPr="000F00F3" w:rsidR="00A327B6">
        <w:rPr>
          <w:rFonts w:ascii="Times New Roman" w:hAnsi="Times New Roman" w:cs="Times New Roman"/>
          <w:sz w:val="24"/>
          <w:szCs w:val="24"/>
        </w:rPr>
        <w:t xml:space="preserve">is permitted </w:t>
      </w:r>
      <w:r w:rsidRPr="000F00F3" w:rsidR="001A1747">
        <w:rPr>
          <w:rFonts w:ascii="Times New Roman" w:hAnsi="Times New Roman" w:cs="Times New Roman"/>
          <w:sz w:val="24"/>
          <w:szCs w:val="24"/>
        </w:rPr>
        <w:t>under</w:t>
      </w:r>
      <w:r w:rsidRPr="000F00F3" w:rsidR="00A327B6">
        <w:rPr>
          <w:rFonts w:ascii="Times New Roman" w:hAnsi="Times New Roman" w:cs="Times New Roman"/>
          <w:sz w:val="24"/>
          <w:szCs w:val="24"/>
        </w:rPr>
        <w:t xml:space="preserve"> the </w:t>
      </w:r>
      <w:r w:rsidR="00E60CEB">
        <w:rPr>
          <w:rFonts w:ascii="Times New Roman" w:hAnsi="Times New Roman" w:cs="Times New Roman"/>
          <w:sz w:val="24"/>
          <w:szCs w:val="24"/>
        </w:rPr>
        <w:t>U.S. Department of Health and Human Services (HHS) authority</w:t>
      </w:r>
      <w:r w:rsidRPr="000F00F3" w:rsidR="0069705A">
        <w:rPr>
          <w:rFonts w:ascii="Times New Roman" w:hAnsi="Times New Roman" w:cs="Times New Roman"/>
          <w:sz w:val="24"/>
          <w:szCs w:val="24"/>
        </w:rPr>
        <w:t xml:space="preserve"> to establish and maintain mechanisms to evaluate the long-term effects associated with </w:t>
      </w:r>
      <w:r w:rsidR="009A127F">
        <w:rPr>
          <w:rFonts w:ascii="Times New Roman" w:hAnsi="Times New Roman" w:cs="Times New Roman"/>
          <w:sz w:val="24"/>
          <w:szCs w:val="24"/>
        </w:rPr>
        <w:t>living organ donation</w:t>
      </w:r>
      <w:r w:rsidRPr="000F00F3" w:rsidR="0069705A">
        <w:rPr>
          <w:rFonts w:ascii="Times New Roman" w:hAnsi="Times New Roman" w:cs="Times New Roman"/>
          <w:sz w:val="24"/>
          <w:szCs w:val="24"/>
        </w:rPr>
        <w:t xml:space="preserve">s (42 </w:t>
      </w:r>
      <w:proofErr w:type="spellStart"/>
      <w:r w:rsidRPr="000F00F3" w:rsidR="0069705A">
        <w:rPr>
          <w:rFonts w:ascii="Times New Roman" w:hAnsi="Times New Roman" w:cs="Times New Roman"/>
          <w:sz w:val="24"/>
          <w:szCs w:val="24"/>
        </w:rPr>
        <w:t>U.S.C</w:t>
      </w:r>
      <w:proofErr w:type="spellEnd"/>
      <w:r w:rsidRPr="000F00F3" w:rsidR="0069705A">
        <w:rPr>
          <w:rFonts w:ascii="Times New Roman" w:hAnsi="Times New Roman" w:cs="Times New Roman"/>
          <w:sz w:val="24"/>
          <w:szCs w:val="24"/>
        </w:rPr>
        <w:t>. §273a)</w:t>
      </w:r>
      <w:r w:rsidR="00CF4C33">
        <w:rPr>
          <w:rFonts w:ascii="Times New Roman" w:hAnsi="Times New Roman" w:cs="Times New Roman"/>
          <w:sz w:val="24"/>
          <w:szCs w:val="24"/>
        </w:rPr>
        <w:t xml:space="preserve">.  </w:t>
      </w:r>
      <w:r w:rsidRPr="000F00F3" w:rsidR="00A327B6">
        <w:rPr>
          <w:rFonts w:ascii="Times New Roman" w:hAnsi="Times New Roman" w:cs="Times New Roman"/>
          <w:sz w:val="24"/>
          <w:szCs w:val="24"/>
        </w:rPr>
        <w:t>It is necessary to fulfill</w:t>
      </w:r>
      <w:r w:rsidRPr="000F00F3" w:rsidR="0069705A">
        <w:rPr>
          <w:rFonts w:ascii="Times New Roman" w:hAnsi="Times New Roman" w:cs="Times New Roman"/>
          <w:sz w:val="24"/>
          <w:szCs w:val="24"/>
        </w:rPr>
        <w:t xml:space="preserve"> </w:t>
      </w:r>
      <w:proofErr w:type="spellStart"/>
      <w:r w:rsidR="00E60CEB">
        <w:rPr>
          <w:rFonts w:ascii="Times New Roman" w:hAnsi="Times New Roman" w:cs="Times New Roman"/>
          <w:sz w:val="24"/>
          <w:szCs w:val="24"/>
        </w:rPr>
        <w:t>HHS's</w:t>
      </w:r>
      <w:proofErr w:type="spellEnd"/>
      <w:r w:rsidR="00E60CEB">
        <w:rPr>
          <w:rFonts w:ascii="Times New Roman" w:hAnsi="Times New Roman" w:cs="Times New Roman"/>
          <w:sz w:val="24"/>
          <w:szCs w:val="24"/>
        </w:rPr>
        <w:t xml:space="preserve"> requirement</w:t>
      </w:r>
      <w:r w:rsidRPr="000F00F3" w:rsidR="0069705A">
        <w:rPr>
          <w:rFonts w:ascii="Times New Roman" w:hAnsi="Times New Roman" w:cs="Times New Roman"/>
          <w:sz w:val="24"/>
          <w:szCs w:val="24"/>
        </w:rPr>
        <w:t xml:space="preserve"> to submit to Congress an annual report on the long-term health effects of </w:t>
      </w:r>
      <w:r w:rsidR="009A127F">
        <w:rPr>
          <w:rFonts w:ascii="Times New Roman" w:hAnsi="Times New Roman" w:cs="Times New Roman"/>
          <w:sz w:val="24"/>
          <w:szCs w:val="24"/>
        </w:rPr>
        <w:t xml:space="preserve">living </w:t>
      </w:r>
      <w:proofErr w:type="gramStart"/>
      <w:r w:rsidR="009A127F">
        <w:rPr>
          <w:rFonts w:ascii="Times New Roman" w:hAnsi="Times New Roman" w:cs="Times New Roman"/>
          <w:sz w:val="24"/>
          <w:szCs w:val="24"/>
        </w:rPr>
        <w:t>organ</w:t>
      </w:r>
      <w:proofErr w:type="gramEnd"/>
      <w:r w:rsidR="009A127F">
        <w:rPr>
          <w:rFonts w:ascii="Times New Roman" w:hAnsi="Times New Roman" w:cs="Times New Roman"/>
          <w:sz w:val="24"/>
          <w:szCs w:val="24"/>
        </w:rPr>
        <w:t xml:space="preserve"> donation</w:t>
      </w:r>
      <w:r w:rsidRPr="000F00F3" w:rsidR="0069705A">
        <w:rPr>
          <w:rFonts w:ascii="Times New Roman" w:hAnsi="Times New Roman" w:cs="Times New Roman"/>
          <w:sz w:val="24"/>
          <w:szCs w:val="24"/>
        </w:rPr>
        <w:t xml:space="preserve"> (42 </w:t>
      </w:r>
      <w:proofErr w:type="spellStart"/>
      <w:r w:rsidRPr="000F00F3" w:rsidR="0069705A">
        <w:rPr>
          <w:rFonts w:ascii="Times New Roman" w:hAnsi="Times New Roman" w:cs="Times New Roman"/>
          <w:sz w:val="24"/>
          <w:szCs w:val="24"/>
        </w:rPr>
        <w:t>U.S.C</w:t>
      </w:r>
      <w:proofErr w:type="spellEnd"/>
      <w:r w:rsidRPr="000F00F3" w:rsidR="0069705A">
        <w:rPr>
          <w:rFonts w:ascii="Times New Roman" w:hAnsi="Times New Roman" w:cs="Times New Roman"/>
          <w:sz w:val="24"/>
          <w:szCs w:val="24"/>
        </w:rPr>
        <w:t>. §273b)</w:t>
      </w:r>
      <w:r w:rsidR="00CF4C33">
        <w:rPr>
          <w:rFonts w:ascii="Times New Roman" w:hAnsi="Times New Roman" w:cs="Times New Roman"/>
          <w:sz w:val="24"/>
          <w:szCs w:val="24"/>
        </w:rPr>
        <w:t xml:space="preserve">.  </w:t>
      </w:r>
      <w:r w:rsidRPr="000F00F3" w:rsidR="00A327B6">
        <w:rPr>
          <w:rFonts w:ascii="Times New Roman" w:hAnsi="Times New Roman" w:cs="Times New Roman"/>
          <w:sz w:val="24"/>
          <w:szCs w:val="24"/>
        </w:rPr>
        <w:t xml:space="preserve">The authority of the </w:t>
      </w:r>
      <w:proofErr w:type="spellStart"/>
      <w:r w:rsidRPr="000F00F3" w:rsidR="00A327B6">
        <w:rPr>
          <w:rFonts w:ascii="Times New Roman" w:hAnsi="Times New Roman" w:cs="Times New Roman"/>
          <w:sz w:val="24"/>
          <w:szCs w:val="24"/>
        </w:rPr>
        <w:t>SRTR</w:t>
      </w:r>
      <w:proofErr w:type="spellEnd"/>
      <w:r w:rsidRPr="000F00F3" w:rsidR="00A327B6">
        <w:rPr>
          <w:rFonts w:ascii="Times New Roman" w:hAnsi="Times New Roman" w:cs="Times New Roman"/>
          <w:sz w:val="24"/>
          <w:szCs w:val="24"/>
        </w:rPr>
        <w:t xml:space="preserve"> to collect information concerning potential living organ donors is </w:t>
      </w:r>
      <w:r w:rsidR="00E60CEB">
        <w:rPr>
          <w:rFonts w:ascii="Times New Roman" w:hAnsi="Times New Roman" w:cs="Times New Roman"/>
          <w:sz w:val="24"/>
          <w:szCs w:val="24"/>
        </w:rPr>
        <w:t>outlined</w:t>
      </w:r>
      <w:r w:rsidRPr="000F00F3" w:rsidR="00A327B6">
        <w:rPr>
          <w:rFonts w:ascii="Times New Roman" w:hAnsi="Times New Roman" w:cs="Times New Roman"/>
          <w:sz w:val="24"/>
          <w:szCs w:val="24"/>
        </w:rPr>
        <w:t xml:space="preserve"> in the </w:t>
      </w:r>
      <w:r w:rsidRPr="008766ED" w:rsidR="008766ED">
        <w:rPr>
          <w:rFonts w:ascii="Times New Roman" w:hAnsi="Times New Roman" w:cs="Times New Roman"/>
          <w:sz w:val="24"/>
          <w:szCs w:val="24"/>
        </w:rPr>
        <w:t xml:space="preserve">Organ Procurement and Transplantation Network </w:t>
      </w:r>
      <w:r w:rsidR="008766ED">
        <w:rPr>
          <w:rFonts w:ascii="Times New Roman" w:hAnsi="Times New Roman" w:cs="Times New Roman"/>
          <w:sz w:val="24"/>
          <w:szCs w:val="24"/>
        </w:rPr>
        <w:t>(</w:t>
      </w:r>
      <w:proofErr w:type="spellStart"/>
      <w:r w:rsidRPr="000F00F3" w:rsidR="00A327B6">
        <w:rPr>
          <w:rFonts w:ascii="Times New Roman" w:hAnsi="Times New Roman" w:cs="Times New Roman"/>
          <w:sz w:val="24"/>
          <w:szCs w:val="24"/>
        </w:rPr>
        <w:t>OPTN</w:t>
      </w:r>
      <w:proofErr w:type="spellEnd"/>
      <w:r w:rsidR="008766ED">
        <w:rPr>
          <w:rFonts w:ascii="Times New Roman" w:hAnsi="Times New Roman" w:cs="Times New Roman"/>
          <w:sz w:val="24"/>
          <w:szCs w:val="24"/>
        </w:rPr>
        <w:t>)</w:t>
      </w:r>
      <w:r w:rsidRPr="000F00F3" w:rsidR="00A327B6">
        <w:rPr>
          <w:rFonts w:ascii="Times New Roman" w:hAnsi="Times New Roman" w:cs="Times New Roman"/>
          <w:sz w:val="24"/>
          <w:szCs w:val="24"/>
        </w:rPr>
        <w:t xml:space="preserve"> Final Rule, which allows transplant centers to submit data to the </w:t>
      </w:r>
      <w:proofErr w:type="spellStart"/>
      <w:r w:rsidRPr="000F00F3" w:rsidR="00A327B6">
        <w:rPr>
          <w:rFonts w:ascii="Times New Roman" w:hAnsi="Times New Roman" w:cs="Times New Roman"/>
          <w:sz w:val="24"/>
          <w:szCs w:val="24"/>
        </w:rPr>
        <w:t>OPTN</w:t>
      </w:r>
      <w:proofErr w:type="spellEnd"/>
      <w:r w:rsidRPr="000F00F3" w:rsidR="00A327B6">
        <w:rPr>
          <w:rFonts w:ascii="Times New Roman" w:hAnsi="Times New Roman" w:cs="Times New Roman"/>
          <w:sz w:val="24"/>
          <w:szCs w:val="24"/>
        </w:rPr>
        <w:t xml:space="preserve"> and the </w:t>
      </w:r>
      <w:proofErr w:type="spellStart"/>
      <w:r w:rsidRPr="000F00F3" w:rsidR="00A327B6">
        <w:rPr>
          <w:rFonts w:ascii="Times New Roman" w:hAnsi="Times New Roman" w:cs="Times New Roman"/>
          <w:sz w:val="24"/>
          <w:szCs w:val="24"/>
        </w:rPr>
        <w:t>SRTR</w:t>
      </w:r>
      <w:proofErr w:type="spellEnd"/>
      <w:r w:rsidRPr="000F00F3" w:rsidR="00A327B6">
        <w:rPr>
          <w:rFonts w:ascii="Times New Roman" w:hAnsi="Times New Roman" w:cs="Times New Roman"/>
          <w:sz w:val="24"/>
          <w:szCs w:val="24"/>
        </w:rPr>
        <w:t xml:space="preserve"> (42 </w:t>
      </w:r>
      <w:proofErr w:type="spellStart"/>
      <w:r w:rsidRPr="000F00F3" w:rsidR="00A327B6">
        <w:rPr>
          <w:rFonts w:ascii="Times New Roman" w:hAnsi="Times New Roman" w:cs="Times New Roman"/>
          <w:sz w:val="24"/>
          <w:szCs w:val="24"/>
        </w:rPr>
        <w:t>U.S.C</w:t>
      </w:r>
      <w:proofErr w:type="spellEnd"/>
      <w:r w:rsidRPr="000F00F3" w:rsidR="00A327B6">
        <w:rPr>
          <w:rFonts w:ascii="Times New Roman" w:hAnsi="Times New Roman" w:cs="Times New Roman"/>
          <w:sz w:val="24"/>
          <w:szCs w:val="24"/>
        </w:rPr>
        <w:t xml:space="preserve">. 121).  </w:t>
      </w:r>
    </w:p>
    <w:p w:rsidR="00905250" w:rsidP="008766ED" w:rsidRDefault="00C139A4" w14:paraId="27AA0D04" w14:textId="4CF65D72">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In 2019, OMB approved minor changes to </w:t>
      </w:r>
      <w:r w:rsidRPr="000F00F3" w:rsidR="009E16D5">
        <w:rPr>
          <w:rFonts w:ascii="Times New Roman" w:hAnsi="Times New Roman" w:cs="Times New Roman"/>
          <w:sz w:val="24"/>
          <w:szCs w:val="24"/>
        </w:rPr>
        <w:t>the previously approved data forms</w:t>
      </w:r>
      <w:r w:rsidR="00882A24">
        <w:rPr>
          <w:rFonts w:ascii="Times New Roman" w:hAnsi="Times New Roman" w:cs="Times New Roman"/>
          <w:sz w:val="24"/>
          <w:szCs w:val="24"/>
        </w:rPr>
        <w:t xml:space="preserve">.  </w:t>
      </w:r>
      <w:r w:rsidRPr="000F00F3" w:rsidR="00562241">
        <w:rPr>
          <w:rFonts w:ascii="Times New Roman" w:hAnsi="Times New Roman" w:cs="Times New Roman"/>
          <w:sz w:val="24"/>
          <w:szCs w:val="24"/>
        </w:rPr>
        <w:t xml:space="preserve">These changes were developed in consultation with experts in </w:t>
      </w:r>
      <w:r w:rsidR="00E60CEB">
        <w:rPr>
          <w:rFonts w:ascii="Times New Roman" w:hAnsi="Times New Roman" w:cs="Times New Roman"/>
          <w:sz w:val="24"/>
          <w:szCs w:val="24"/>
        </w:rPr>
        <w:t>living donor transplantation to improve the quality of data collected by the registry and reduce the effort required of transplant programs to submit</w:t>
      </w:r>
      <w:r w:rsidRPr="000F00F3" w:rsidR="00562241">
        <w:rPr>
          <w:rFonts w:ascii="Times New Roman" w:hAnsi="Times New Roman" w:cs="Times New Roman"/>
          <w:sz w:val="24"/>
          <w:szCs w:val="24"/>
        </w:rPr>
        <w:t xml:space="preserve"> data to the registry</w:t>
      </w:r>
      <w:r w:rsidR="00CF4C33">
        <w:rPr>
          <w:rFonts w:ascii="Times New Roman" w:hAnsi="Times New Roman" w:cs="Times New Roman"/>
          <w:sz w:val="24"/>
          <w:szCs w:val="24"/>
        </w:rPr>
        <w:t xml:space="preserve">.  </w:t>
      </w:r>
      <w:r w:rsidRPr="000F00F3" w:rsidR="009E16D5">
        <w:rPr>
          <w:rFonts w:ascii="Times New Roman" w:hAnsi="Times New Roman" w:cs="Times New Roman"/>
          <w:sz w:val="24"/>
          <w:szCs w:val="24"/>
        </w:rPr>
        <w:t xml:space="preserve">In 2020, HRSA contracted with </w:t>
      </w:r>
      <w:proofErr w:type="spellStart"/>
      <w:r w:rsidRPr="000F00F3" w:rsidR="009E16D5">
        <w:rPr>
          <w:rFonts w:ascii="Times New Roman" w:hAnsi="Times New Roman" w:cs="Times New Roman"/>
          <w:sz w:val="24"/>
          <w:szCs w:val="24"/>
        </w:rPr>
        <w:t>SRTR</w:t>
      </w:r>
      <w:proofErr w:type="spellEnd"/>
      <w:r w:rsidRPr="000F00F3" w:rsidR="009E16D5">
        <w:rPr>
          <w:rFonts w:ascii="Times New Roman" w:hAnsi="Times New Roman" w:cs="Times New Roman"/>
          <w:sz w:val="24"/>
          <w:szCs w:val="24"/>
        </w:rPr>
        <w:t xml:space="preserve"> for the continued operation of the registry.</w:t>
      </w:r>
    </w:p>
    <w:p w:rsidRPr="000F00F3" w:rsidR="00843F58" w:rsidP="008766ED" w:rsidRDefault="00843F58" w14:paraId="252CABA2" w14:textId="6073197B">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registry's objective</w:t>
      </w:r>
      <w:r w:rsidRPr="000F00F3">
        <w:rPr>
          <w:rFonts w:ascii="Times New Roman" w:hAnsi="Times New Roman" w:cs="Times New Roman"/>
          <w:sz w:val="24"/>
          <w:szCs w:val="24"/>
        </w:rPr>
        <w:t xml:space="preserve"> is to collect </w:t>
      </w:r>
      <w:r w:rsidR="0034712C">
        <w:rPr>
          <w:rFonts w:ascii="Times New Roman" w:hAnsi="Times New Roman" w:cs="Times New Roman"/>
          <w:sz w:val="24"/>
          <w:szCs w:val="24"/>
        </w:rPr>
        <w:t xml:space="preserve">longitudinal </w:t>
      </w:r>
      <w:r w:rsidRPr="000F00F3">
        <w:rPr>
          <w:rFonts w:ascii="Times New Roman" w:hAnsi="Times New Roman" w:cs="Times New Roman"/>
          <w:sz w:val="24"/>
          <w:szCs w:val="24"/>
        </w:rPr>
        <w:t>data on the health outcomes of living</w:t>
      </w:r>
      <w:r w:rsidR="003F7592">
        <w:rPr>
          <w:rFonts w:ascii="Times New Roman" w:hAnsi="Times New Roman" w:cs="Times New Roman"/>
          <w:sz w:val="24"/>
          <w:szCs w:val="24"/>
        </w:rPr>
        <w:t xml:space="preserve"> organ</w:t>
      </w:r>
      <w:r w:rsidRPr="000F00F3">
        <w:rPr>
          <w:rFonts w:ascii="Times New Roman" w:hAnsi="Times New Roman" w:cs="Times New Roman"/>
          <w:sz w:val="24"/>
          <w:szCs w:val="24"/>
        </w:rPr>
        <w:t xml:space="preserve"> donors</w:t>
      </w:r>
      <w:r w:rsidR="0034712C">
        <w:rPr>
          <w:rFonts w:ascii="Times New Roman" w:hAnsi="Times New Roman" w:cs="Times New Roman"/>
          <w:sz w:val="24"/>
          <w:szCs w:val="24"/>
        </w:rPr>
        <w:t xml:space="preserve"> and a control group of potential donors who did not donate</w:t>
      </w:r>
      <w:r w:rsidRPr="000F00F3">
        <w:rPr>
          <w:rFonts w:ascii="Times New Roman" w:hAnsi="Times New Roman" w:cs="Times New Roman"/>
          <w:sz w:val="24"/>
          <w:szCs w:val="24"/>
        </w:rPr>
        <w:t xml:space="preserve"> to</w:t>
      </w:r>
      <w:r w:rsidR="003F7592">
        <w:rPr>
          <w:rFonts w:ascii="Times New Roman" w:hAnsi="Times New Roman" w:cs="Times New Roman"/>
          <w:sz w:val="24"/>
          <w:szCs w:val="24"/>
        </w:rPr>
        <w:t xml:space="preserve"> try </w:t>
      </w:r>
      <w:r w:rsidR="00E60CEB">
        <w:rPr>
          <w:rFonts w:ascii="Times New Roman" w:hAnsi="Times New Roman" w:cs="Times New Roman"/>
          <w:sz w:val="24"/>
          <w:szCs w:val="24"/>
        </w:rPr>
        <w:t>better to</w:t>
      </w:r>
      <w:r w:rsidRPr="000F00F3">
        <w:rPr>
          <w:rFonts w:ascii="Times New Roman" w:hAnsi="Times New Roman" w:cs="Times New Roman"/>
          <w:sz w:val="24"/>
          <w:szCs w:val="24"/>
        </w:rPr>
        <w:t xml:space="preserve"> understand the long-term health effects of </w:t>
      </w:r>
      <w:r w:rsidR="009A127F">
        <w:rPr>
          <w:rFonts w:ascii="Times New Roman" w:hAnsi="Times New Roman" w:cs="Times New Roman"/>
          <w:sz w:val="24"/>
          <w:szCs w:val="24"/>
        </w:rPr>
        <w:t>living organ donation</w:t>
      </w:r>
      <w:r w:rsidR="00CF4C33">
        <w:rPr>
          <w:rFonts w:ascii="Times New Roman" w:hAnsi="Times New Roman" w:cs="Times New Roman"/>
          <w:sz w:val="24"/>
          <w:szCs w:val="24"/>
        </w:rPr>
        <w:t xml:space="preserve">.  </w:t>
      </w:r>
    </w:p>
    <w:p w:rsidRPr="000F00F3" w:rsidR="00905250" w:rsidP="008766ED" w:rsidRDefault="00905250" w14:paraId="41C21524" w14:textId="2061BFC8">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b/>
          <w:sz w:val="24"/>
          <w:szCs w:val="24"/>
        </w:rPr>
      </w:pPr>
      <w:r w:rsidRPr="000F00F3">
        <w:rPr>
          <w:rFonts w:ascii="Times New Roman" w:hAnsi="Times New Roman" w:cs="Times New Roman"/>
          <w:b/>
          <w:sz w:val="24"/>
          <w:szCs w:val="24"/>
          <w:u w:val="single"/>
        </w:rPr>
        <w:t>Purpose and Use of Information Collection</w:t>
      </w:r>
    </w:p>
    <w:p w:rsidRPr="000F00F3" w:rsidR="00A9515D" w:rsidP="008766ED" w:rsidRDefault="004E799C" w14:paraId="39F3E28C" w14:textId="12B54723">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Transplant programs submit health information </w:t>
      </w:r>
      <w:r w:rsidRPr="000F00F3" w:rsidR="00A9515D">
        <w:rPr>
          <w:rFonts w:ascii="Times New Roman" w:hAnsi="Times New Roman" w:cs="Times New Roman"/>
          <w:sz w:val="24"/>
          <w:szCs w:val="24"/>
        </w:rPr>
        <w:t xml:space="preserve">on candidates for </w:t>
      </w:r>
      <w:r w:rsidR="009A127F">
        <w:rPr>
          <w:rFonts w:ascii="Times New Roman" w:hAnsi="Times New Roman" w:cs="Times New Roman"/>
          <w:sz w:val="24"/>
          <w:szCs w:val="24"/>
        </w:rPr>
        <w:t>living organ donation</w:t>
      </w:r>
      <w:r w:rsidRPr="000F00F3" w:rsidR="00A9515D">
        <w:rPr>
          <w:rFonts w:ascii="Times New Roman" w:hAnsi="Times New Roman" w:cs="Times New Roman"/>
          <w:sz w:val="24"/>
          <w:szCs w:val="24"/>
        </w:rPr>
        <w:t xml:space="preserve"> collected at the time of their evaluation</w:t>
      </w:r>
      <w:r w:rsidR="00CF4C33">
        <w:rPr>
          <w:rFonts w:ascii="Times New Roman" w:hAnsi="Times New Roman" w:cs="Times New Roman"/>
          <w:sz w:val="24"/>
          <w:szCs w:val="24"/>
        </w:rPr>
        <w:t xml:space="preserve">.  </w:t>
      </w:r>
      <w:r w:rsidRPr="000F00F3" w:rsidR="00A9515D">
        <w:rPr>
          <w:rFonts w:ascii="Times New Roman" w:hAnsi="Times New Roman" w:cs="Times New Roman"/>
          <w:sz w:val="24"/>
          <w:szCs w:val="24"/>
        </w:rPr>
        <w:t xml:space="preserve">Once it has been determined whether </w:t>
      </w:r>
      <w:r w:rsidRPr="000F00F3" w:rsidR="002B73B5">
        <w:rPr>
          <w:rFonts w:ascii="Times New Roman" w:hAnsi="Times New Roman" w:cs="Times New Roman"/>
          <w:sz w:val="24"/>
          <w:szCs w:val="24"/>
        </w:rPr>
        <w:t>a</w:t>
      </w:r>
      <w:r w:rsidRPr="000F00F3" w:rsidR="00A9515D">
        <w:rPr>
          <w:rFonts w:ascii="Times New Roman" w:hAnsi="Times New Roman" w:cs="Times New Roman"/>
          <w:sz w:val="24"/>
          <w:szCs w:val="24"/>
        </w:rPr>
        <w:t xml:space="preserve"> candidate will donate, </w:t>
      </w:r>
      <w:r w:rsidRPr="000F00F3" w:rsidR="002B73B5">
        <w:rPr>
          <w:rFonts w:ascii="Times New Roman" w:hAnsi="Times New Roman" w:cs="Times New Roman"/>
          <w:sz w:val="24"/>
          <w:szCs w:val="24"/>
        </w:rPr>
        <w:t>this outcome is reported</w:t>
      </w:r>
      <w:r w:rsidRPr="000F00F3" w:rsidR="00A9515D">
        <w:rPr>
          <w:rFonts w:ascii="Times New Roman" w:hAnsi="Times New Roman" w:cs="Times New Roman"/>
          <w:sz w:val="24"/>
          <w:szCs w:val="24"/>
        </w:rPr>
        <w:t xml:space="preserve">, </w:t>
      </w:r>
      <w:r w:rsidRPr="000F00F3" w:rsidR="002B73B5">
        <w:rPr>
          <w:rFonts w:ascii="Times New Roman" w:hAnsi="Times New Roman" w:cs="Times New Roman"/>
          <w:sz w:val="24"/>
          <w:szCs w:val="24"/>
        </w:rPr>
        <w:t>along with</w:t>
      </w:r>
      <w:r w:rsidRPr="000F00F3" w:rsidR="00A9515D">
        <w:rPr>
          <w:rFonts w:ascii="Times New Roman" w:hAnsi="Times New Roman" w:cs="Times New Roman"/>
          <w:sz w:val="24"/>
          <w:szCs w:val="24"/>
        </w:rPr>
        <w:t xml:space="preserve"> the reasons for no</w:t>
      </w:r>
      <w:r w:rsidRPr="000F00F3" w:rsidR="002B73B5">
        <w:rPr>
          <w:rFonts w:ascii="Times New Roman" w:hAnsi="Times New Roman" w:cs="Times New Roman"/>
          <w:sz w:val="24"/>
          <w:szCs w:val="24"/>
        </w:rPr>
        <w:t>n-donation</w:t>
      </w:r>
      <w:r w:rsidR="00280D1D">
        <w:rPr>
          <w:rFonts w:ascii="Times New Roman" w:hAnsi="Times New Roman" w:cs="Times New Roman"/>
          <w:sz w:val="24"/>
          <w:szCs w:val="24"/>
        </w:rPr>
        <w:t>,</w:t>
      </w:r>
      <w:r w:rsidRPr="000F00F3" w:rsidR="00A9515D">
        <w:rPr>
          <w:rFonts w:ascii="Times New Roman" w:hAnsi="Times New Roman" w:cs="Times New Roman"/>
          <w:sz w:val="24"/>
          <w:szCs w:val="24"/>
        </w:rPr>
        <w:t xml:space="preserve"> where applicable</w:t>
      </w:r>
      <w:r w:rsidR="00CF4C33">
        <w:rPr>
          <w:rFonts w:ascii="Times New Roman" w:hAnsi="Times New Roman" w:cs="Times New Roman"/>
          <w:sz w:val="24"/>
          <w:szCs w:val="24"/>
        </w:rPr>
        <w:t xml:space="preserve">.  </w:t>
      </w:r>
    </w:p>
    <w:p w:rsidRPr="000F00F3" w:rsidR="002B73B5" w:rsidP="008766ED" w:rsidRDefault="004E799C" w14:paraId="5C46E269" w14:textId="296D0238">
      <w:pPr>
        <w:spacing w:line="240" w:lineRule="auto"/>
        <w:rPr>
          <w:rFonts w:ascii="Times New Roman" w:hAnsi="Times New Roman" w:cs="Times New Roman"/>
          <w:sz w:val="24"/>
          <w:szCs w:val="24"/>
        </w:rPr>
      </w:pPr>
      <w:r w:rsidRPr="000F00F3">
        <w:rPr>
          <w:rFonts w:ascii="Times New Roman" w:hAnsi="Times New Roman" w:cs="Times New Roman"/>
          <w:sz w:val="24"/>
          <w:szCs w:val="24"/>
        </w:rPr>
        <w:t>The contractor maintains contact with registry participants and collects data on long-term health outcomes through surveys</w:t>
      </w:r>
      <w:r w:rsidR="00CF4C33">
        <w:rPr>
          <w:rFonts w:ascii="Times New Roman" w:hAnsi="Times New Roman" w:cs="Times New Roman"/>
          <w:sz w:val="24"/>
          <w:szCs w:val="24"/>
        </w:rPr>
        <w:t xml:space="preserve">.  </w:t>
      </w:r>
      <w:r w:rsidRPr="000F00F3" w:rsidR="0087087B">
        <w:rPr>
          <w:rFonts w:ascii="Times New Roman" w:hAnsi="Times New Roman" w:cs="Times New Roman"/>
          <w:sz w:val="24"/>
          <w:szCs w:val="24"/>
        </w:rPr>
        <w:t>This follow-up includes both living</w:t>
      </w:r>
      <w:r w:rsidR="003F7592">
        <w:rPr>
          <w:rFonts w:ascii="Times New Roman" w:hAnsi="Times New Roman" w:cs="Times New Roman"/>
          <w:sz w:val="24"/>
          <w:szCs w:val="24"/>
        </w:rPr>
        <w:t xml:space="preserve"> organ</w:t>
      </w:r>
      <w:r w:rsidRPr="000F00F3" w:rsidR="0087087B">
        <w:rPr>
          <w:rFonts w:ascii="Times New Roman" w:hAnsi="Times New Roman" w:cs="Times New Roman"/>
          <w:sz w:val="24"/>
          <w:szCs w:val="24"/>
        </w:rPr>
        <w:t xml:space="preserve"> donors and candidates </w:t>
      </w:r>
      <w:r w:rsidRPr="000F00F3" w:rsidR="0087087B">
        <w:rPr>
          <w:rFonts w:ascii="Times New Roman" w:hAnsi="Times New Roman" w:cs="Times New Roman"/>
          <w:sz w:val="24"/>
          <w:szCs w:val="24"/>
        </w:rPr>
        <w:lastRenderedPageBreak/>
        <w:t>who do not go on to donate</w:t>
      </w:r>
      <w:r w:rsidR="00CF4C33">
        <w:rPr>
          <w:rFonts w:ascii="Times New Roman" w:hAnsi="Times New Roman" w:cs="Times New Roman"/>
          <w:sz w:val="24"/>
          <w:szCs w:val="24"/>
        </w:rPr>
        <w:t xml:space="preserve">.  </w:t>
      </w:r>
      <w:r w:rsidRPr="000F00F3" w:rsidR="002B73B5">
        <w:rPr>
          <w:rFonts w:ascii="Times New Roman" w:hAnsi="Times New Roman" w:cs="Times New Roman"/>
          <w:sz w:val="24"/>
          <w:szCs w:val="24"/>
        </w:rPr>
        <w:t>In the future, additional data on these patients will be obtained via linkages to other registries and data sources</w:t>
      </w:r>
      <w:r w:rsidR="00CF4C33">
        <w:rPr>
          <w:rFonts w:ascii="Times New Roman" w:hAnsi="Times New Roman" w:cs="Times New Roman"/>
          <w:sz w:val="24"/>
          <w:szCs w:val="24"/>
        </w:rPr>
        <w:t xml:space="preserve">.  </w:t>
      </w:r>
    </w:p>
    <w:p w:rsidRPr="000F00F3" w:rsidR="0087087B" w:rsidP="008766ED" w:rsidRDefault="002B73B5" w14:paraId="2668AFE9" w14:textId="0AE7B19C">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Monitoring and reporting </w:t>
      </w:r>
      <w:r w:rsidR="008766ED">
        <w:rPr>
          <w:rFonts w:ascii="Times New Roman" w:hAnsi="Times New Roman" w:cs="Times New Roman"/>
          <w:sz w:val="24"/>
          <w:szCs w:val="24"/>
        </w:rPr>
        <w:t xml:space="preserve">the </w:t>
      </w:r>
      <w:r w:rsidRPr="000F00F3">
        <w:rPr>
          <w:rFonts w:ascii="Times New Roman" w:hAnsi="Times New Roman" w:cs="Times New Roman"/>
          <w:sz w:val="24"/>
          <w:szCs w:val="24"/>
        </w:rPr>
        <w:t xml:space="preserve">long-term health outcomes of living organ donors will continue to </w:t>
      </w:r>
      <w:bookmarkStart w:name="_Hlk53119483" w:id="0"/>
      <w:r w:rsidRPr="000F00F3">
        <w:rPr>
          <w:rFonts w:ascii="Times New Roman" w:hAnsi="Times New Roman" w:cs="Times New Roman"/>
          <w:sz w:val="24"/>
          <w:szCs w:val="24"/>
        </w:rPr>
        <w:t xml:space="preserve">provide useful information to transplant programs in their future donor selection process and </w:t>
      </w:r>
      <w:r w:rsidR="00E60CEB">
        <w:rPr>
          <w:rFonts w:ascii="Times New Roman" w:hAnsi="Times New Roman" w:cs="Times New Roman"/>
          <w:sz w:val="24"/>
          <w:szCs w:val="24"/>
        </w:rPr>
        <w:t>help potential living organ donors decide</w:t>
      </w:r>
      <w:r w:rsidRPr="000F00F3">
        <w:rPr>
          <w:rFonts w:ascii="Times New Roman" w:hAnsi="Times New Roman" w:cs="Times New Roman"/>
          <w:sz w:val="24"/>
          <w:szCs w:val="24"/>
        </w:rPr>
        <w:t xml:space="preserve"> to pursue </w:t>
      </w:r>
      <w:r w:rsidR="009A127F">
        <w:rPr>
          <w:rFonts w:ascii="Times New Roman" w:hAnsi="Times New Roman" w:cs="Times New Roman"/>
          <w:sz w:val="24"/>
          <w:szCs w:val="24"/>
        </w:rPr>
        <w:t>living organ donation</w:t>
      </w:r>
      <w:bookmarkEnd w:id="0"/>
      <w:r w:rsidR="00CF4C33">
        <w:rPr>
          <w:rFonts w:ascii="Times New Roman" w:hAnsi="Times New Roman" w:cs="Times New Roman"/>
          <w:sz w:val="24"/>
          <w:szCs w:val="24"/>
        </w:rPr>
        <w:t xml:space="preserve">.  </w:t>
      </w:r>
    </w:p>
    <w:p w:rsidRPr="000F00F3" w:rsidR="004E799C" w:rsidP="008766ED" w:rsidRDefault="0087087B" w14:paraId="1931485A" w14:textId="686DE283">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Long-term monitoring of candidates who are approved to donate but who do not </w:t>
      </w:r>
      <w:r w:rsidR="00E60CEB">
        <w:rPr>
          <w:rFonts w:ascii="Times New Roman" w:hAnsi="Times New Roman" w:cs="Times New Roman"/>
          <w:sz w:val="24"/>
          <w:szCs w:val="24"/>
        </w:rPr>
        <w:t>donate for reasons unrelated to the health of the candidate will help</w:t>
      </w:r>
      <w:r w:rsidRPr="000F00F3">
        <w:rPr>
          <w:rFonts w:ascii="Times New Roman" w:hAnsi="Times New Roman" w:cs="Times New Roman"/>
          <w:sz w:val="24"/>
          <w:szCs w:val="24"/>
        </w:rPr>
        <w:t xml:space="preserve"> establish a control group that can be used in future research on the effects of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Pr="000F00F3" w:rsidR="00347B68" w:rsidP="008766ED" w:rsidRDefault="00CA1AB7" w14:paraId="12B15BD8"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sz w:val="24"/>
          <w:szCs w:val="24"/>
        </w:rPr>
      </w:pPr>
      <w:r w:rsidRPr="000F00F3">
        <w:rPr>
          <w:rFonts w:ascii="Times New Roman" w:hAnsi="Times New Roman" w:cs="Times New Roman"/>
          <w:b/>
          <w:sz w:val="24"/>
          <w:szCs w:val="24"/>
          <w:u w:val="single"/>
        </w:rPr>
        <w:t>Use of Improved Information Technology and Burden Reduction</w:t>
      </w:r>
    </w:p>
    <w:p w:rsidRPr="000F00F3" w:rsidR="00347B68" w:rsidP="008766ED" w:rsidRDefault="00347B68" w14:paraId="391D3B52" w14:textId="1B033A13">
      <w:pPr>
        <w:spacing w:line="240" w:lineRule="auto"/>
        <w:rPr>
          <w:rFonts w:ascii="Times New Roman" w:hAnsi="Times New Roman" w:cs="Times New Roman"/>
          <w:sz w:val="24"/>
          <w:szCs w:val="24"/>
        </w:rPr>
      </w:pPr>
      <w:r w:rsidRPr="000F00F3">
        <w:rPr>
          <w:rFonts w:ascii="Times New Roman" w:hAnsi="Times New Roman" w:cs="Times New Roman"/>
          <w:sz w:val="24"/>
          <w:szCs w:val="24"/>
        </w:rPr>
        <w:t>Data is submitted to the registry through a secure web-based application developed by the contractor</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 application supports </w:t>
      </w:r>
      <w:r w:rsidR="00406483">
        <w:rPr>
          <w:rFonts w:ascii="Times New Roman" w:hAnsi="Times New Roman" w:cs="Times New Roman"/>
          <w:sz w:val="24"/>
          <w:szCs w:val="24"/>
        </w:rPr>
        <w:t xml:space="preserve">data </w:t>
      </w:r>
      <w:r w:rsidRPr="000F00F3">
        <w:rPr>
          <w:rFonts w:ascii="Times New Roman" w:hAnsi="Times New Roman" w:cs="Times New Roman"/>
          <w:sz w:val="24"/>
          <w:szCs w:val="24"/>
        </w:rPr>
        <w:t>entry</w:t>
      </w:r>
      <w:r w:rsidR="00406483">
        <w:rPr>
          <w:rFonts w:ascii="Times New Roman" w:hAnsi="Times New Roman" w:cs="Times New Roman"/>
          <w:sz w:val="24"/>
          <w:szCs w:val="24"/>
        </w:rPr>
        <w:t xml:space="preserve"> for individual records</w:t>
      </w:r>
      <w:r w:rsidR="00E60CEB">
        <w:rPr>
          <w:rFonts w:ascii="Times New Roman" w:hAnsi="Times New Roman" w:cs="Times New Roman"/>
          <w:sz w:val="24"/>
          <w:szCs w:val="24"/>
        </w:rPr>
        <w:t xml:space="preserve"> and</w:t>
      </w:r>
      <w:r w:rsidRPr="000F00F3">
        <w:rPr>
          <w:rFonts w:ascii="Times New Roman" w:hAnsi="Times New Roman" w:cs="Times New Roman"/>
          <w:sz w:val="24"/>
          <w:szCs w:val="24"/>
        </w:rPr>
        <w:t xml:space="preserve"> the </w:t>
      </w:r>
      <w:r w:rsidRPr="000F00F3" w:rsidR="0052175E">
        <w:rPr>
          <w:rFonts w:ascii="Times New Roman" w:hAnsi="Times New Roman" w:cs="Times New Roman"/>
          <w:sz w:val="24"/>
          <w:szCs w:val="24"/>
        </w:rPr>
        <w:t xml:space="preserve">electronic </w:t>
      </w:r>
      <w:r w:rsidRPr="000F00F3">
        <w:rPr>
          <w:rFonts w:ascii="Times New Roman" w:hAnsi="Times New Roman" w:cs="Times New Roman"/>
          <w:sz w:val="24"/>
          <w:szCs w:val="24"/>
        </w:rPr>
        <w:t xml:space="preserve">batch upload of </w:t>
      </w:r>
      <w:r w:rsidR="00406483">
        <w:rPr>
          <w:rFonts w:ascii="Times New Roman" w:hAnsi="Times New Roman" w:cs="Times New Roman"/>
          <w:sz w:val="24"/>
          <w:szCs w:val="24"/>
        </w:rPr>
        <w:t xml:space="preserve">multiple </w:t>
      </w:r>
      <w:r w:rsidRPr="000F00F3">
        <w:rPr>
          <w:rFonts w:ascii="Times New Roman" w:hAnsi="Times New Roman" w:cs="Times New Roman"/>
          <w:sz w:val="24"/>
          <w:szCs w:val="24"/>
        </w:rPr>
        <w:t>records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Of transplant programs that participated in the</w:t>
      </w:r>
      <w:r w:rsidR="00D5230B">
        <w:rPr>
          <w:rFonts w:ascii="Times New Roman" w:hAnsi="Times New Roman" w:cs="Times New Roman"/>
          <w:sz w:val="24"/>
          <w:szCs w:val="24"/>
        </w:rPr>
        <w:t xml:space="preserve"> registry</w:t>
      </w:r>
      <w:r w:rsidR="00E60CEB">
        <w:rPr>
          <w:rFonts w:ascii="Times New Roman" w:hAnsi="Times New Roman" w:cs="Times New Roman"/>
          <w:sz w:val="24"/>
          <w:szCs w:val="24"/>
        </w:rPr>
        <w:t>'</w:t>
      </w:r>
      <w:r w:rsidR="00D5230B">
        <w:rPr>
          <w:rFonts w:ascii="Times New Roman" w:hAnsi="Times New Roman" w:cs="Times New Roman"/>
          <w:sz w:val="24"/>
          <w:szCs w:val="24"/>
        </w:rPr>
        <w:t>s</w:t>
      </w:r>
      <w:r w:rsidRPr="000F00F3">
        <w:rPr>
          <w:rFonts w:ascii="Times New Roman" w:hAnsi="Times New Roman" w:cs="Times New Roman"/>
          <w:sz w:val="24"/>
          <w:szCs w:val="24"/>
        </w:rPr>
        <w:t xml:space="preserve"> pilot phase of the registry, 40</w:t>
      </w:r>
      <w:r w:rsidR="009A127F">
        <w:rPr>
          <w:rFonts w:ascii="Times New Roman" w:hAnsi="Times New Roman" w:cs="Times New Roman"/>
          <w:sz w:val="24"/>
          <w:szCs w:val="24"/>
        </w:rPr>
        <w:t xml:space="preserve"> percent</w:t>
      </w:r>
      <w:r w:rsidRPr="000F00F3">
        <w:rPr>
          <w:rFonts w:ascii="Times New Roman" w:hAnsi="Times New Roman" w:cs="Times New Roman"/>
          <w:sz w:val="24"/>
          <w:szCs w:val="24"/>
        </w:rPr>
        <w:t xml:space="preserve"> developed processes for batch upload</w:t>
      </w:r>
      <w:r w:rsidR="009A127F">
        <w:rPr>
          <w:rFonts w:ascii="Times New Roman" w:hAnsi="Times New Roman" w:cs="Times New Roman"/>
          <w:sz w:val="24"/>
          <w:szCs w:val="24"/>
        </w:rPr>
        <w:t>s</w:t>
      </w:r>
      <w:r w:rsidRPr="000F00F3">
        <w:rPr>
          <w:rFonts w:ascii="Times New Roman" w:hAnsi="Times New Roman" w:cs="Times New Roman"/>
          <w:sz w:val="24"/>
          <w:szCs w:val="24"/>
        </w:rPr>
        <w:t xml:space="preserve"> of data extracted from electronic health records and other sources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These programs reported </w:t>
      </w:r>
      <w:r w:rsidR="00E60CEB">
        <w:rPr>
          <w:rFonts w:ascii="Times New Roman" w:hAnsi="Times New Roman" w:cs="Times New Roman"/>
          <w:sz w:val="24"/>
          <w:szCs w:val="24"/>
        </w:rPr>
        <w:t xml:space="preserve">a </w:t>
      </w:r>
      <w:r w:rsidRPr="000F00F3">
        <w:rPr>
          <w:rFonts w:ascii="Times New Roman" w:hAnsi="Times New Roman" w:cs="Times New Roman"/>
          <w:sz w:val="24"/>
          <w:szCs w:val="24"/>
        </w:rPr>
        <w:t>significantly reduced burden of data entry</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Several programs developed sophisticated automated processes for extracting and formatting data from multiple sources, resulting in</w:t>
      </w:r>
      <w:r w:rsidR="00D5230B">
        <w:rPr>
          <w:rFonts w:ascii="Times New Roman" w:hAnsi="Times New Roman" w:cs="Times New Roman"/>
          <w:sz w:val="24"/>
          <w:szCs w:val="24"/>
        </w:rPr>
        <w:t xml:space="preserve"> an</w:t>
      </w:r>
      <w:r w:rsidRPr="000F00F3">
        <w:rPr>
          <w:rFonts w:ascii="Times New Roman" w:hAnsi="Times New Roman" w:cs="Times New Roman"/>
          <w:sz w:val="24"/>
          <w:szCs w:val="24"/>
        </w:rPr>
        <w:t xml:space="preserve"> additional burden</w:t>
      </w:r>
      <w:r w:rsidR="00D5230B">
        <w:rPr>
          <w:rFonts w:ascii="Times New Roman" w:hAnsi="Times New Roman" w:cs="Times New Roman"/>
          <w:sz w:val="24"/>
          <w:szCs w:val="24"/>
        </w:rPr>
        <w:t xml:space="preserve"> reduction</w:t>
      </w:r>
      <w:r w:rsidR="00CF4C33">
        <w:rPr>
          <w:rFonts w:ascii="Times New Roman" w:hAnsi="Times New Roman" w:cs="Times New Roman"/>
          <w:sz w:val="24"/>
          <w:szCs w:val="24"/>
        </w:rPr>
        <w:t xml:space="preserve">.  </w:t>
      </w:r>
    </w:p>
    <w:p w:rsidRPr="000F00F3" w:rsidR="00347B68" w:rsidP="008766ED" w:rsidRDefault="00347B68" w14:paraId="31798810" w14:textId="5C9A3946">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contractor consulted closely with programs to understand the </w:t>
      </w:r>
      <w:r w:rsidR="00406483">
        <w:rPr>
          <w:rFonts w:ascii="Times New Roman" w:hAnsi="Times New Roman" w:cs="Times New Roman"/>
          <w:sz w:val="24"/>
          <w:szCs w:val="24"/>
        </w:rPr>
        <w:t xml:space="preserve">data submission </w:t>
      </w:r>
      <w:r w:rsidRPr="000F00F3">
        <w:rPr>
          <w:rFonts w:ascii="Times New Roman" w:hAnsi="Times New Roman" w:cs="Times New Roman"/>
          <w:sz w:val="24"/>
          <w:szCs w:val="24"/>
        </w:rPr>
        <w:t>processes utilized</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In the future, there is potential to </w:t>
      </w:r>
      <w:r w:rsidR="00A2036C">
        <w:rPr>
          <w:rFonts w:ascii="Times New Roman" w:hAnsi="Times New Roman" w:cs="Times New Roman"/>
          <w:sz w:val="24"/>
          <w:szCs w:val="24"/>
        </w:rPr>
        <w:t xml:space="preserve">further </w:t>
      </w:r>
      <w:r w:rsidR="00E60CEB">
        <w:rPr>
          <w:rFonts w:ascii="Times New Roman" w:hAnsi="Times New Roman" w:cs="Times New Roman"/>
          <w:sz w:val="24"/>
          <w:szCs w:val="24"/>
        </w:rPr>
        <w:t>significan</w:t>
      </w:r>
      <w:r w:rsidR="00A2036C">
        <w:rPr>
          <w:rFonts w:ascii="Times New Roman" w:hAnsi="Times New Roman" w:cs="Times New Roman"/>
          <w:sz w:val="24"/>
          <w:szCs w:val="24"/>
        </w:rPr>
        <w:t>tly</w:t>
      </w:r>
      <w:r w:rsidRPr="000F00F3">
        <w:rPr>
          <w:rFonts w:ascii="Times New Roman" w:hAnsi="Times New Roman" w:cs="Times New Roman"/>
          <w:sz w:val="24"/>
          <w:szCs w:val="24"/>
        </w:rPr>
        <w:t xml:space="preserve"> reduce the overall burden across programs by promoting the use of automated </w:t>
      </w:r>
      <w:r w:rsidR="00D5230B">
        <w:rPr>
          <w:rFonts w:ascii="Times New Roman" w:hAnsi="Times New Roman" w:cs="Times New Roman"/>
          <w:sz w:val="24"/>
          <w:szCs w:val="24"/>
        </w:rPr>
        <w:t xml:space="preserve">methods </w:t>
      </w:r>
      <w:r w:rsidRPr="000F00F3">
        <w:rPr>
          <w:rFonts w:ascii="Times New Roman" w:hAnsi="Times New Roman" w:cs="Times New Roman"/>
          <w:sz w:val="24"/>
          <w:szCs w:val="24"/>
        </w:rPr>
        <w:t>for data submission and developing additional integration with data sources commonly used within transplant programs</w:t>
      </w:r>
      <w:r w:rsidR="00CF4C33">
        <w:rPr>
          <w:rFonts w:ascii="Times New Roman" w:hAnsi="Times New Roman" w:cs="Times New Roman"/>
          <w:sz w:val="24"/>
          <w:szCs w:val="24"/>
        </w:rPr>
        <w:t xml:space="preserve">.  </w:t>
      </w:r>
    </w:p>
    <w:p w:rsidRPr="000F00F3" w:rsidR="00347B68" w:rsidP="008766ED" w:rsidRDefault="00347B68" w14:paraId="1E65AE66" w14:textId="444F7C18">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contractor's web application can also</w:t>
      </w:r>
      <w:r w:rsidRPr="000F00F3">
        <w:rPr>
          <w:rFonts w:ascii="Times New Roman" w:hAnsi="Times New Roman" w:cs="Times New Roman"/>
          <w:sz w:val="24"/>
          <w:szCs w:val="24"/>
        </w:rPr>
        <w:t xml:space="preserve"> automatically distribute follow-up surveys to registered candidates via e-mail at determined intervals and track the status and results of these surveys</w:t>
      </w:r>
      <w:r w:rsidR="00CF4C33">
        <w:rPr>
          <w:rFonts w:ascii="Times New Roman" w:hAnsi="Times New Roman" w:cs="Times New Roman"/>
          <w:sz w:val="24"/>
          <w:szCs w:val="24"/>
        </w:rPr>
        <w:t xml:space="preserve">.  </w:t>
      </w:r>
      <w:r w:rsidRPr="00DD521C">
        <w:rPr>
          <w:rFonts w:ascii="Times New Roman" w:hAnsi="Times New Roman" w:cs="Times New Roman"/>
          <w:sz w:val="24"/>
          <w:szCs w:val="24"/>
        </w:rPr>
        <w:t xml:space="preserve">There </w:t>
      </w:r>
      <w:r w:rsidRPr="00DD521C" w:rsidR="0011356E">
        <w:rPr>
          <w:rFonts w:ascii="Times New Roman" w:hAnsi="Times New Roman" w:cs="Times New Roman"/>
          <w:sz w:val="24"/>
          <w:szCs w:val="24"/>
        </w:rPr>
        <w:t>is</w:t>
      </w:r>
      <w:r w:rsidRPr="00DD521C">
        <w:rPr>
          <w:rFonts w:ascii="Times New Roman" w:hAnsi="Times New Roman" w:cs="Times New Roman"/>
          <w:sz w:val="24"/>
          <w:szCs w:val="24"/>
        </w:rPr>
        <w:t xml:space="preserve"> potential to </w:t>
      </w:r>
      <w:r w:rsidRPr="00DD521C" w:rsidR="00D5230B">
        <w:rPr>
          <w:rFonts w:ascii="Times New Roman" w:hAnsi="Times New Roman" w:cs="Times New Roman"/>
          <w:sz w:val="24"/>
          <w:szCs w:val="24"/>
        </w:rPr>
        <w:t xml:space="preserve">reduce </w:t>
      </w:r>
      <w:r w:rsidR="00E60CEB">
        <w:rPr>
          <w:rFonts w:ascii="Times New Roman" w:hAnsi="Times New Roman" w:cs="Times New Roman"/>
          <w:sz w:val="24"/>
          <w:szCs w:val="24"/>
        </w:rPr>
        <w:t xml:space="preserve">the </w:t>
      </w:r>
      <w:r w:rsidRPr="00DD521C" w:rsidR="00D5230B">
        <w:rPr>
          <w:rFonts w:ascii="Times New Roman" w:hAnsi="Times New Roman" w:cs="Times New Roman"/>
          <w:sz w:val="24"/>
          <w:szCs w:val="24"/>
        </w:rPr>
        <w:t>burden on programs</w:t>
      </w:r>
      <w:r w:rsidRPr="00DD521C">
        <w:rPr>
          <w:rFonts w:ascii="Times New Roman" w:hAnsi="Times New Roman" w:cs="Times New Roman"/>
          <w:sz w:val="24"/>
          <w:szCs w:val="24"/>
        </w:rPr>
        <w:t xml:space="preserve"> if automated follow-up facilitated by the registry </w:t>
      </w:r>
      <w:r w:rsidR="00E60CEB">
        <w:rPr>
          <w:rFonts w:ascii="Times New Roman" w:hAnsi="Times New Roman" w:cs="Times New Roman"/>
          <w:sz w:val="24"/>
          <w:szCs w:val="24"/>
        </w:rPr>
        <w:t>can</w:t>
      </w:r>
      <w:r w:rsidRPr="00DD521C" w:rsidR="0011356E">
        <w:rPr>
          <w:rFonts w:ascii="Times New Roman" w:hAnsi="Times New Roman" w:cs="Times New Roman"/>
          <w:sz w:val="24"/>
          <w:szCs w:val="24"/>
        </w:rPr>
        <w:t xml:space="preserve"> accomplish</w:t>
      </w:r>
      <w:r w:rsidRPr="00DD521C" w:rsidR="001A1747">
        <w:rPr>
          <w:rFonts w:ascii="Times New Roman" w:hAnsi="Times New Roman" w:cs="Times New Roman"/>
          <w:sz w:val="24"/>
          <w:szCs w:val="24"/>
        </w:rPr>
        <w:t xml:space="preserve"> </w:t>
      </w:r>
      <w:r w:rsidRPr="00DD521C">
        <w:rPr>
          <w:rFonts w:ascii="Times New Roman" w:hAnsi="Times New Roman" w:cs="Times New Roman"/>
          <w:sz w:val="24"/>
          <w:szCs w:val="24"/>
        </w:rPr>
        <w:t>some of the purpose currently served by manual follow-up conducted by programs.</w:t>
      </w:r>
    </w:p>
    <w:p w:rsidRPr="000F00F3" w:rsidR="00347B68" w:rsidP="008766ED" w:rsidRDefault="00347B68" w14:paraId="3DE037B3" w14:textId="77777777">
      <w:pPr>
        <w:widowControl w:val="0"/>
        <w:numPr>
          <w:ilvl w:val="0"/>
          <w:numId w:val="1"/>
        </w:numPr>
        <w:tabs>
          <w:tab w:val="clear" w:pos="1080"/>
          <w:tab w:val="num" w:pos="360"/>
        </w:tabs>
        <w:autoSpaceDE w:val="0"/>
        <w:autoSpaceDN w:val="0"/>
        <w:adjustRightInd w:val="0"/>
        <w:spacing w:before="240" w:after="120" w:line="240" w:lineRule="auto"/>
        <w:ind w:left="360"/>
        <w:rPr>
          <w:rFonts w:ascii="Times New Roman" w:hAnsi="Times New Roman" w:cs="Times New Roman"/>
          <w:sz w:val="24"/>
          <w:szCs w:val="24"/>
        </w:rPr>
      </w:pPr>
      <w:r w:rsidRPr="000F00F3">
        <w:rPr>
          <w:rFonts w:ascii="Times New Roman" w:hAnsi="Times New Roman" w:cs="Times New Roman"/>
          <w:b/>
          <w:sz w:val="24"/>
          <w:szCs w:val="24"/>
          <w:u w:val="single"/>
        </w:rPr>
        <w:t>Efforts to Identify Duplication and Use of Similar Information</w:t>
      </w:r>
    </w:p>
    <w:p w:rsidRPr="000F00F3" w:rsidR="00347B68" w:rsidP="008766ED" w:rsidRDefault="00E137E5" w14:paraId="5DC5B427" w14:textId="162F6848">
      <w:pPr>
        <w:widowControl w:val="0"/>
        <w:autoSpaceDE w:val="0"/>
        <w:autoSpaceDN w:val="0"/>
        <w:adjustRightInd w:val="0"/>
        <w:spacing w:before="240" w:after="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need </w:t>
      </w:r>
      <w:r w:rsidR="00A2036C">
        <w:rPr>
          <w:rFonts w:ascii="Times New Roman" w:hAnsi="Times New Roman" w:cs="Times New Roman"/>
          <w:sz w:val="24"/>
          <w:szCs w:val="24"/>
        </w:rPr>
        <w:t>to obtain</w:t>
      </w:r>
      <w:r w:rsidRPr="000F00F3">
        <w:rPr>
          <w:rFonts w:ascii="Times New Roman" w:hAnsi="Times New Roman" w:cs="Times New Roman"/>
          <w:sz w:val="24"/>
          <w:szCs w:val="24"/>
        </w:rPr>
        <w:t xml:space="preserve"> more data on long-term outcomes for living</w:t>
      </w:r>
      <w:r w:rsidR="00A2036C">
        <w:rPr>
          <w:rFonts w:ascii="Times New Roman" w:hAnsi="Times New Roman" w:cs="Times New Roman"/>
          <w:sz w:val="24"/>
          <w:szCs w:val="24"/>
        </w:rPr>
        <w:t xml:space="preserve"> organ</w:t>
      </w:r>
      <w:r w:rsidRPr="000F00F3">
        <w:rPr>
          <w:rFonts w:ascii="Times New Roman" w:hAnsi="Times New Roman" w:cs="Times New Roman"/>
          <w:sz w:val="24"/>
          <w:szCs w:val="24"/>
        </w:rPr>
        <w:t xml:space="preserve"> donors has been discussed and acknowledged within the transplant community</w:t>
      </w:r>
      <w:r w:rsidR="00CF4C33">
        <w:rPr>
          <w:rFonts w:ascii="Times New Roman" w:hAnsi="Times New Roman" w:cs="Times New Roman"/>
          <w:sz w:val="24"/>
          <w:szCs w:val="24"/>
        </w:rPr>
        <w:t xml:space="preserve">. </w:t>
      </w:r>
      <w:r w:rsidR="008766ED">
        <w:rPr>
          <w:rFonts w:ascii="Times New Roman" w:hAnsi="Times New Roman" w:cs="Times New Roman"/>
          <w:sz w:val="24"/>
          <w:szCs w:val="24"/>
        </w:rPr>
        <w:t xml:space="preserve"> </w:t>
      </w:r>
      <w:r w:rsidR="001F0988">
        <w:rPr>
          <w:rFonts w:ascii="Times New Roman" w:hAnsi="Times New Roman" w:cs="Times New Roman"/>
          <w:sz w:val="24"/>
          <w:szCs w:val="24"/>
        </w:rPr>
        <w:t>Limited data are collected to support expanded knowledge in this area</w:t>
      </w:r>
      <w:r w:rsidR="00CF4C33">
        <w:rPr>
          <w:rFonts w:ascii="Times New Roman" w:hAnsi="Times New Roman" w:cs="Times New Roman"/>
          <w:sz w:val="24"/>
          <w:szCs w:val="24"/>
        </w:rPr>
        <w:t xml:space="preserve">.  </w:t>
      </w:r>
      <w:r w:rsidRPr="000F00F3" w:rsidR="00A54423">
        <w:rPr>
          <w:rFonts w:ascii="Times New Roman" w:hAnsi="Times New Roman" w:cs="Times New Roman"/>
          <w:sz w:val="24"/>
          <w:szCs w:val="24"/>
        </w:rPr>
        <w:t>Currently,</w:t>
      </w:r>
      <w:r w:rsidRPr="000F00F3" w:rsidR="00896715">
        <w:rPr>
          <w:rFonts w:ascii="Times New Roman" w:hAnsi="Times New Roman" w:cs="Times New Roman"/>
          <w:sz w:val="24"/>
          <w:szCs w:val="24"/>
        </w:rPr>
        <w:t xml:space="preserve"> </w:t>
      </w:r>
      <w:r w:rsidR="001F0988">
        <w:rPr>
          <w:rFonts w:ascii="Times New Roman" w:hAnsi="Times New Roman" w:cs="Times New Roman"/>
          <w:sz w:val="24"/>
          <w:szCs w:val="24"/>
        </w:rPr>
        <w:t xml:space="preserve">the only </w:t>
      </w:r>
      <w:r w:rsidRPr="000F00F3" w:rsidR="00896715">
        <w:rPr>
          <w:rFonts w:ascii="Times New Roman" w:hAnsi="Times New Roman" w:cs="Times New Roman"/>
          <w:sz w:val="24"/>
          <w:szCs w:val="24"/>
        </w:rPr>
        <w:t>centralized collection of data on living</w:t>
      </w:r>
      <w:r w:rsidR="00A2036C">
        <w:rPr>
          <w:rFonts w:ascii="Times New Roman" w:hAnsi="Times New Roman" w:cs="Times New Roman"/>
          <w:sz w:val="24"/>
          <w:szCs w:val="24"/>
        </w:rPr>
        <w:t xml:space="preserve"> organ</w:t>
      </w:r>
      <w:r w:rsidRPr="000F00F3" w:rsidR="00896715">
        <w:rPr>
          <w:rFonts w:ascii="Times New Roman" w:hAnsi="Times New Roman" w:cs="Times New Roman"/>
          <w:sz w:val="24"/>
          <w:szCs w:val="24"/>
        </w:rPr>
        <w:t xml:space="preserve"> donors is </w:t>
      </w:r>
      <w:r w:rsidR="00406483">
        <w:rPr>
          <w:rFonts w:ascii="Times New Roman" w:hAnsi="Times New Roman" w:cs="Times New Roman"/>
          <w:sz w:val="24"/>
          <w:szCs w:val="24"/>
        </w:rPr>
        <w:t xml:space="preserve">undertaken </w:t>
      </w:r>
      <w:r w:rsidR="001F0988">
        <w:rPr>
          <w:rFonts w:ascii="Times New Roman" w:hAnsi="Times New Roman" w:cs="Times New Roman"/>
          <w:sz w:val="24"/>
          <w:szCs w:val="24"/>
        </w:rPr>
        <w:t xml:space="preserve">by the </w:t>
      </w:r>
      <w:proofErr w:type="spellStart"/>
      <w:r w:rsidR="008766ED">
        <w:rPr>
          <w:rFonts w:ascii="Times New Roman" w:hAnsi="Times New Roman" w:cs="Times New Roman"/>
          <w:sz w:val="24"/>
          <w:szCs w:val="24"/>
        </w:rPr>
        <w:t>OPTN</w:t>
      </w:r>
      <w:proofErr w:type="spellEnd"/>
      <w:r w:rsidRPr="001F0988" w:rsidR="001F0988">
        <w:t xml:space="preserve"> </w:t>
      </w:r>
      <w:r w:rsidRPr="001F0988" w:rsidR="001F0988">
        <w:rPr>
          <w:rFonts w:ascii="Times New Roman" w:hAnsi="Times New Roman" w:cs="Times New Roman"/>
          <w:sz w:val="24"/>
          <w:szCs w:val="24"/>
        </w:rPr>
        <w:t xml:space="preserve">for a limited </w:t>
      </w:r>
      <w:r w:rsidR="00E60CEB">
        <w:rPr>
          <w:rFonts w:ascii="Times New Roman" w:hAnsi="Times New Roman" w:cs="Times New Roman"/>
          <w:sz w:val="24"/>
          <w:szCs w:val="24"/>
        </w:rPr>
        <w:t>donation period</w:t>
      </w:r>
      <w:r w:rsidR="00CF4C33">
        <w:rPr>
          <w:rFonts w:ascii="Times New Roman" w:hAnsi="Times New Roman" w:cs="Times New Roman"/>
          <w:sz w:val="24"/>
          <w:szCs w:val="24"/>
        </w:rPr>
        <w:t xml:space="preserve">.  </w:t>
      </w:r>
      <w:r w:rsidRPr="000F00F3" w:rsidR="00896715">
        <w:rPr>
          <w:rFonts w:ascii="Times New Roman" w:hAnsi="Times New Roman" w:cs="Times New Roman"/>
          <w:sz w:val="24"/>
          <w:szCs w:val="24"/>
        </w:rPr>
        <w:t xml:space="preserve">The </w:t>
      </w:r>
      <w:proofErr w:type="spellStart"/>
      <w:r w:rsidRPr="000F00F3" w:rsidR="00896715">
        <w:rPr>
          <w:rFonts w:ascii="Times New Roman" w:hAnsi="Times New Roman" w:cs="Times New Roman"/>
          <w:sz w:val="24"/>
          <w:szCs w:val="24"/>
        </w:rPr>
        <w:t>OPTN</w:t>
      </w:r>
      <w:proofErr w:type="spellEnd"/>
      <w:r w:rsidRPr="000F00F3">
        <w:rPr>
          <w:rFonts w:ascii="Times New Roman" w:hAnsi="Times New Roman" w:cs="Times New Roman"/>
          <w:sz w:val="24"/>
          <w:szCs w:val="24"/>
        </w:rPr>
        <w:t xml:space="preserve"> requires m</w:t>
      </w:r>
      <w:r w:rsidRPr="000F00F3" w:rsidR="00A54423">
        <w:rPr>
          <w:rFonts w:ascii="Times New Roman" w:hAnsi="Times New Roman" w:cs="Times New Roman"/>
          <w:sz w:val="24"/>
          <w:szCs w:val="24"/>
        </w:rPr>
        <w:t>ember programs to submit follow-up data on living</w:t>
      </w:r>
      <w:r w:rsidR="00A2036C">
        <w:rPr>
          <w:rFonts w:ascii="Times New Roman" w:hAnsi="Times New Roman" w:cs="Times New Roman"/>
          <w:sz w:val="24"/>
          <w:szCs w:val="24"/>
        </w:rPr>
        <w:t xml:space="preserve"> organ</w:t>
      </w:r>
      <w:r w:rsidRPr="000F00F3" w:rsidR="00A54423">
        <w:rPr>
          <w:rFonts w:ascii="Times New Roman" w:hAnsi="Times New Roman" w:cs="Times New Roman"/>
          <w:sz w:val="24"/>
          <w:szCs w:val="24"/>
        </w:rPr>
        <w:t xml:space="preserve"> donors at 6, 12, and 24 months post-donation</w:t>
      </w:r>
      <w:r w:rsidR="00CF4C33">
        <w:rPr>
          <w:rFonts w:ascii="Times New Roman" w:hAnsi="Times New Roman" w:cs="Times New Roman"/>
          <w:sz w:val="24"/>
          <w:szCs w:val="24"/>
        </w:rPr>
        <w:t xml:space="preserve">.  </w:t>
      </w:r>
      <w:r w:rsidR="001F0988">
        <w:rPr>
          <w:rFonts w:ascii="Times New Roman" w:hAnsi="Times New Roman" w:cs="Times New Roman"/>
          <w:sz w:val="24"/>
          <w:szCs w:val="24"/>
        </w:rPr>
        <w:t>T</w:t>
      </w:r>
      <w:r w:rsidRPr="000F00F3" w:rsidR="00A54423">
        <w:rPr>
          <w:rFonts w:ascii="Times New Roman" w:hAnsi="Times New Roman" w:cs="Times New Roman"/>
          <w:sz w:val="24"/>
          <w:szCs w:val="24"/>
        </w:rPr>
        <w:t xml:space="preserve">his </w:t>
      </w:r>
      <w:r w:rsidR="001F0988">
        <w:rPr>
          <w:rFonts w:ascii="Times New Roman" w:hAnsi="Times New Roman" w:cs="Times New Roman"/>
          <w:sz w:val="24"/>
          <w:szCs w:val="24"/>
        </w:rPr>
        <w:t>data collection</w:t>
      </w:r>
      <w:r w:rsidR="00406483">
        <w:rPr>
          <w:rFonts w:ascii="Times New Roman" w:hAnsi="Times New Roman" w:cs="Times New Roman"/>
          <w:sz w:val="24"/>
          <w:szCs w:val="24"/>
        </w:rPr>
        <w:t xml:space="preserve"> </w:t>
      </w:r>
      <w:r w:rsidRPr="000F00F3" w:rsidR="00A54423">
        <w:rPr>
          <w:rFonts w:ascii="Times New Roman" w:hAnsi="Times New Roman" w:cs="Times New Roman"/>
          <w:sz w:val="24"/>
          <w:szCs w:val="24"/>
        </w:rPr>
        <w:t xml:space="preserve">is not sufficient to study the long-term effects of </w:t>
      </w:r>
      <w:r w:rsidR="009A127F">
        <w:rPr>
          <w:rFonts w:ascii="Times New Roman" w:hAnsi="Times New Roman" w:cs="Times New Roman"/>
          <w:sz w:val="24"/>
          <w:szCs w:val="24"/>
        </w:rPr>
        <w:t>living organ donation</w:t>
      </w:r>
      <w:r w:rsidR="00406483">
        <w:rPr>
          <w:rFonts w:ascii="Times New Roman" w:hAnsi="Times New Roman" w:cs="Times New Roman"/>
          <w:sz w:val="24"/>
          <w:szCs w:val="24"/>
        </w:rPr>
        <w:t xml:space="preserve"> on the donor</w:t>
      </w:r>
      <w:r w:rsidRPr="000F00F3" w:rsidR="00A54423">
        <w:rPr>
          <w:rFonts w:ascii="Times New Roman" w:hAnsi="Times New Roman" w:cs="Times New Roman"/>
          <w:sz w:val="24"/>
          <w:szCs w:val="24"/>
        </w:rPr>
        <w:t>.</w:t>
      </w:r>
    </w:p>
    <w:p w:rsidRPr="000F00F3" w:rsidR="00A54423" w:rsidP="008766ED" w:rsidRDefault="003B360C" w14:paraId="049D2C1D" w14:textId="0C334BC1">
      <w:pPr>
        <w:widowControl w:val="0"/>
        <w:autoSpaceDE w:val="0"/>
        <w:autoSpaceDN w:val="0"/>
        <w:adjustRightInd w:val="0"/>
        <w:spacing w:before="240" w:after="120" w:line="240" w:lineRule="auto"/>
        <w:rPr>
          <w:rFonts w:ascii="Times New Roman" w:hAnsi="Times New Roman" w:cs="Times New Roman"/>
          <w:sz w:val="24"/>
          <w:szCs w:val="24"/>
        </w:rPr>
      </w:pPr>
      <w:r>
        <w:rPr>
          <w:rFonts w:ascii="Times New Roman" w:hAnsi="Times New Roman" w:cs="Times New Roman"/>
          <w:sz w:val="24"/>
          <w:szCs w:val="24"/>
        </w:rPr>
        <w:t>Moreover, t</w:t>
      </w:r>
      <w:r w:rsidRPr="000F00F3" w:rsidR="00A54423">
        <w:rPr>
          <w:rFonts w:ascii="Times New Roman" w:hAnsi="Times New Roman" w:cs="Times New Roman"/>
          <w:sz w:val="24"/>
          <w:szCs w:val="24"/>
        </w:rPr>
        <w:t xml:space="preserve">he </w:t>
      </w:r>
      <w:proofErr w:type="spellStart"/>
      <w:r w:rsidRPr="000F00F3" w:rsidR="00A54423">
        <w:rPr>
          <w:rFonts w:ascii="Times New Roman" w:hAnsi="Times New Roman" w:cs="Times New Roman"/>
          <w:sz w:val="24"/>
          <w:szCs w:val="24"/>
        </w:rPr>
        <w:t>OPTN</w:t>
      </w:r>
      <w:proofErr w:type="spellEnd"/>
      <w:r w:rsidRPr="000F00F3" w:rsidR="00A54423">
        <w:rPr>
          <w:rFonts w:ascii="Times New Roman" w:hAnsi="Times New Roman" w:cs="Times New Roman"/>
          <w:sz w:val="24"/>
          <w:szCs w:val="24"/>
        </w:rPr>
        <w:t xml:space="preserve"> does not collect data on donor candidates who </w:t>
      </w:r>
      <w:r w:rsidRPr="00A2036C" w:rsidR="00A54423">
        <w:rPr>
          <w:rFonts w:ascii="Times New Roman" w:hAnsi="Times New Roman" w:cs="Times New Roman"/>
          <w:i/>
          <w:sz w:val="24"/>
          <w:szCs w:val="24"/>
        </w:rPr>
        <w:t>do</w:t>
      </w:r>
      <w:r w:rsidRPr="000F00F3" w:rsidR="00A54423">
        <w:rPr>
          <w:rFonts w:ascii="Times New Roman" w:hAnsi="Times New Roman" w:cs="Times New Roman"/>
          <w:sz w:val="24"/>
          <w:szCs w:val="24"/>
        </w:rPr>
        <w:t xml:space="preserve"> </w:t>
      </w:r>
      <w:r w:rsidRPr="00FE351B" w:rsidR="00A54423">
        <w:rPr>
          <w:rFonts w:ascii="Times New Roman" w:hAnsi="Times New Roman" w:cs="Times New Roman"/>
          <w:i/>
          <w:sz w:val="24"/>
          <w:szCs w:val="24"/>
        </w:rPr>
        <w:t>not</w:t>
      </w:r>
      <w:r w:rsidRPr="000F00F3" w:rsidR="00A54423">
        <w:rPr>
          <w:rFonts w:ascii="Times New Roman" w:hAnsi="Times New Roman" w:cs="Times New Roman"/>
          <w:sz w:val="24"/>
          <w:szCs w:val="24"/>
        </w:rPr>
        <w:t xml:space="preserve"> go on to donate</w:t>
      </w:r>
      <w:r w:rsidR="00CF4C33">
        <w:rPr>
          <w:rFonts w:ascii="Times New Roman" w:hAnsi="Times New Roman" w:cs="Times New Roman"/>
          <w:sz w:val="24"/>
          <w:szCs w:val="24"/>
        </w:rPr>
        <w:t xml:space="preserve">.  </w:t>
      </w:r>
      <w:r w:rsidRPr="000F00F3" w:rsidR="00A54423">
        <w:rPr>
          <w:rFonts w:ascii="Times New Roman" w:hAnsi="Times New Roman" w:cs="Times New Roman"/>
          <w:sz w:val="24"/>
          <w:szCs w:val="24"/>
        </w:rPr>
        <w:t xml:space="preserve">Data on candidates who are </w:t>
      </w:r>
      <w:r w:rsidR="001F0988">
        <w:rPr>
          <w:rFonts w:ascii="Times New Roman" w:hAnsi="Times New Roman" w:cs="Times New Roman"/>
          <w:sz w:val="24"/>
          <w:szCs w:val="24"/>
        </w:rPr>
        <w:t xml:space="preserve">evaluated as donors and </w:t>
      </w:r>
      <w:r w:rsidRPr="000F00F3" w:rsidR="00A54423">
        <w:rPr>
          <w:rFonts w:ascii="Times New Roman" w:hAnsi="Times New Roman" w:cs="Times New Roman"/>
          <w:sz w:val="24"/>
          <w:szCs w:val="24"/>
        </w:rPr>
        <w:t>approved to donate</w:t>
      </w:r>
      <w:r w:rsidRPr="000F00F3" w:rsidR="00896715">
        <w:rPr>
          <w:rFonts w:ascii="Times New Roman" w:hAnsi="Times New Roman" w:cs="Times New Roman"/>
          <w:sz w:val="24"/>
          <w:szCs w:val="24"/>
        </w:rPr>
        <w:t xml:space="preserve"> but who do not go on to donate for reasons unrelated to their health (e.g., non-medical reasons or reasons related solely to the intended recipient) are valuable </w:t>
      </w:r>
      <w:r w:rsidR="001B0908">
        <w:rPr>
          <w:rFonts w:ascii="Times New Roman" w:hAnsi="Times New Roman" w:cs="Times New Roman"/>
          <w:sz w:val="24"/>
          <w:szCs w:val="24"/>
        </w:rPr>
        <w:t xml:space="preserve">for </w:t>
      </w:r>
      <w:r w:rsidRPr="001B0908" w:rsidR="001B0908">
        <w:rPr>
          <w:rFonts w:ascii="Times New Roman" w:hAnsi="Times New Roman" w:cs="Times New Roman"/>
          <w:sz w:val="24"/>
          <w:szCs w:val="24"/>
        </w:rPr>
        <w:t>study</w:t>
      </w:r>
      <w:r w:rsidR="001B0908">
        <w:rPr>
          <w:rFonts w:ascii="Times New Roman" w:hAnsi="Times New Roman" w:cs="Times New Roman"/>
          <w:sz w:val="24"/>
          <w:szCs w:val="24"/>
        </w:rPr>
        <w:t>ing</w:t>
      </w:r>
      <w:r w:rsidRPr="001B0908" w:rsidR="001B0908">
        <w:rPr>
          <w:rFonts w:ascii="Times New Roman" w:hAnsi="Times New Roman" w:cs="Times New Roman"/>
          <w:sz w:val="24"/>
          <w:szCs w:val="24"/>
        </w:rPr>
        <w:t xml:space="preserve"> the long-term effects of </w:t>
      </w:r>
      <w:r w:rsidR="009A127F">
        <w:rPr>
          <w:rFonts w:ascii="Times New Roman" w:hAnsi="Times New Roman" w:cs="Times New Roman"/>
          <w:sz w:val="24"/>
          <w:szCs w:val="24"/>
        </w:rPr>
        <w:t>living organ donation</w:t>
      </w:r>
      <w:r w:rsidR="00CF4C33">
        <w:rPr>
          <w:rFonts w:ascii="Times New Roman" w:hAnsi="Times New Roman" w:cs="Times New Roman"/>
          <w:sz w:val="24"/>
          <w:szCs w:val="24"/>
        </w:rPr>
        <w:t xml:space="preserve">.  </w:t>
      </w:r>
      <w:r w:rsidR="001B0908">
        <w:rPr>
          <w:rFonts w:ascii="Times New Roman" w:hAnsi="Times New Roman" w:cs="Times New Roman"/>
          <w:sz w:val="24"/>
          <w:szCs w:val="24"/>
        </w:rPr>
        <w:t>Approved living donor candidates who do not become donors can serve as a control/comparison group</w:t>
      </w:r>
      <w:r w:rsidRPr="000F00F3" w:rsidR="00896715">
        <w:rPr>
          <w:rFonts w:ascii="Times New Roman" w:hAnsi="Times New Roman" w:cs="Times New Roman"/>
          <w:sz w:val="24"/>
          <w:szCs w:val="24"/>
        </w:rPr>
        <w:t xml:space="preserve"> </w:t>
      </w:r>
      <w:r w:rsidR="001B0908">
        <w:rPr>
          <w:rFonts w:ascii="Times New Roman" w:hAnsi="Times New Roman" w:cs="Times New Roman"/>
          <w:sz w:val="24"/>
          <w:szCs w:val="24"/>
        </w:rPr>
        <w:t xml:space="preserve">of </w:t>
      </w:r>
      <w:r w:rsidRPr="000F00F3" w:rsidR="00896715">
        <w:rPr>
          <w:rFonts w:ascii="Times New Roman" w:hAnsi="Times New Roman" w:cs="Times New Roman"/>
          <w:sz w:val="24"/>
          <w:szCs w:val="24"/>
        </w:rPr>
        <w:t xml:space="preserve">individuals </w:t>
      </w:r>
      <w:r w:rsidRPr="000F00F3" w:rsidR="00F250E9">
        <w:rPr>
          <w:rFonts w:ascii="Times New Roman" w:hAnsi="Times New Roman" w:cs="Times New Roman"/>
          <w:sz w:val="24"/>
          <w:szCs w:val="24"/>
        </w:rPr>
        <w:t>who</w:t>
      </w:r>
      <w:r w:rsidR="00F250E9">
        <w:rPr>
          <w:rFonts w:ascii="Times New Roman" w:hAnsi="Times New Roman" w:cs="Times New Roman"/>
          <w:sz w:val="24"/>
          <w:szCs w:val="24"/>
        </w:rPr>
        <w:t>se</w:t>
      </w:r>
      <w:r w:rsidRPr="000F00F3" w:rsidR="00896715">
        <w:rPr>
          <w:rFonts w:ascii="Times New Roman" w:hAnsi="Times New Roman" w:cs="Times New Roman"/>
          <w:sz w:val="24"/>
          <w:szCs w:val="24"/>
        </w:rPr>
        <w:t xml:space="preserve"> health is closely comparable to candidates who do go on to donate</w:t>
      </w:r>
      <w:r w:rsidR="00CF4C33">
        <w:rPr>
          <w:rFonts w:ascii="Times New Roman" w:hAnsi="Times New Roman" w:cs="Times New Roman"/>
          <w:sz w:val="24"/>
          <w:szCs w:val="24"/>
        </w:rPr>
        <w:t xml:space="preserve">.  </w:t>
      </w:r>
    </w:p>
    <w:p w:rsidRPr="000F00F3" w:rsidR="001A1747" w:rsidP="008766ED" w:rsidRDefault="001A1747" w14:paraId="770C5430" w14:textId="38E59F5C">
      <w:pPr>
        <w:widowControl w:val="0"/>
        <w:autoSpaceDE w:val="0"/>
        <w:autoSpaceDN w:val="0"/>
        <w:adjustRightInd w:val="0"/>
        <w:spacing w:before="240" w:after="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lastRenderedPageBreak/>
        <w:t>5</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Impact on Small Businesses or Other Small Entities</w:t>
      </w:r>
    </w:p>
    <w:p w:rsidR="00843F58" w:rsidP="008766ED" w:rsidRDefault="00843F58" w14:paraId="3ED613E7" w14:textId="672A88B3">
      <w:pPr>
        <w:widowControl w:val="0"/>
        <w:autoSpaceDE w:val="0"/>
        <w:autoSpaceDN w:val="0"/>
        <w:adjustRightInd w:val="0"/>
        <w:spacing w:before="240" w:after="120" w:line="240" w:lineRule="auto"/>
        <w:rPr>
          <w:rFonts w:ascii="Times New Roman" w:hAnsi="Times New Roman" w:cs="Times New Roman"/>
          <w:sz w:val="24"/>
          <w:szCs w:val="24"/>
        </w:rPr>
      </w:pPr>
      <w:r w:rsidRPr="00843F58">
        <w:rPr>
          <w:rFonts w:ascii="Times New Roman" w:hAnsi="Times New Roman" w:cs="Times New Roman"/>
          <w:sz w:val="24"/>
          <w:szCs w:val="24"/>
        </w:rPr>
        <w:t>No small businesses will be involved in this study.</w:t>
      </w:r>
    </w:p>
    <w:p w:rsidRPr="000F00F3" w:rsidR="001302B5" w:rsidP="008766ED" w:rsidRDefault="001302B5" w14:paraId="2D064243" w14:textId="63A060BC">
      <w:pPr>
        <w:widowControl w:val="0"/>
        <w:autoSpaceDE w:val="0"/>
        <w:autoSpaceDN w:val="0"/>
        <w:adjustRightInd w:val="0"/>
        <w:spacing w:before="240" w:after="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6</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Consequences of Collecting the Information Less Frequently</w:t>
      </w:r>
    </w:p>
    <w:p w:rsidRPr="000F00F3" w:rsidR="001302B5" w:rsidP="008766ED" w:rsidRDefault="001302B5" w14:paraId="6428C620" w14:textId="5B9A315F">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Transplant programs are asked to collect registration data on candidates for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 xml:space="preserve"> at the time of their initial evaluation</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The </w:t>
      </w:r>
      <w:r w:rsidR="00D5230B">
        <w:rPr>
          <w:rFonts w:ascii="Times New Roman" w:hAnsi="Times New Roman" w:cs="Times New Roman"/>
          <w:sz w:val="24"/>
          <w:szCs w:val="24"/>
        </w:rPr>
        <w:t>collection</w:t>
      </w:r>
      <w:r w:rsidR="00E60CEB">
        <w:rPr>
          <w:rFonts w:ascii="Times New Roman" w:hAnsi="Times New Roman" w:cs="Times New Roman"/>
          <w:sz w:val="24"/>
          <w:szCs w:val="24"/>
        </w:rPr>
        <w:t>'</w:t>
      </w:r>
      <w:r w:rsidR="00D5230B">
        <w:rPr>
          <w:rFonts w:ascii="Times New Roman" w:hAnsi="Times New Roman" w:cs="Times New Roman"/>
          <w:sz w:val="24"/>
          <w:szCs w:val="24"/>
        </w:rPr>
        <w:t>s timing</w:t>
      </w:r>
      <w:r w:rsidRPr="000F00F3">
        <w:rPr>
          <w:rFonts w:ascii="Times New Roman" w:hAnsi="Times New Roman" w:cs="Times New Roman"/>
          <w:sz w:val="24"/>
          <w:szCs w:val="24"/>
        </w:rPr>
        <w:t xml:space="preserve"> is essential to capture both candidates who go on to donate and those who do not</w:t>
      </w:r>
      <w:r w:rsidR="00CF4C33">
        <w:rPr>
          <w:rFonts w:ascii="Times New Roman" w:hAnsi="Times New Roman" w:cs="Times New Roman"/>
          <w:sz w:val="24"/>
          <w:szCs w:val="24"/>
        </w:rPr>
        <w:t xml:space="preserve">.  </w:t>
      </w:r>
    </w:p>
    <w:p w:rsidRPr="000F00F3" w:rsidR="001302B5" w:rsidP="008766ED" w:rsidRDefault="001302B5" w14:paraId="0B45A5E6" w14:textId="0BE32830">
      <w:pPr>
        <w:spacing w:line="240" w:lineRule="auto"/>
        <w:rPr>
          <w:rFonts w:ascii="Times New Roman" w:hAnsi="Times New Roman" w:cs="Times New Roman"/>
          <w:sz w:val="24"/>
          <w:szCs w:val="24"/>
        </w:rPr>
      </w:pPr>
      <w:r w:rsidRPr="000F00F3">
        <w:rPr>
          <w:rFonts w:ascii="Times New Roman" w:hAnsi="Times New Roman" w:cs="Times New Roman"/>
          <w:sz w:val="24"/>
          <w:szCs w:val="24"/>
        </w:rPr>
        <w:t>Programs are asked to report t</w:t>
      </w:r>
      <w:r w:rsidRPr="000F00F3" w:rsidR="00702497">
        <w:rPr>
          <w:rFonts w:ascii="Times New Roman" w:hAnsi="Times New Roman" w:cs="Times New Roman"/>
          <w:sz w:val="24"/>
          <w:szCs w:val="24"/>
        </w:rPr>
        <w:t>he outcome of a candidate</w:t>
      </w:r>
      <w:r w:rsidR="00E60CEB">
        <w:rPr>
          <w:rFonts w:ascii="Times New Roman" w:hAnsi="Times New Roman" w:cs="Times New Roman"/>
          <w:sz w:val="24"/>
          <w:szCs w:val="24"/>
        </w:rPr>
        <w:t>'</w:t>
      </w:r>
      <w:r w:rsidRPr="000F00F3" w:rsidR="00702497">
        <w:rPr>
          <w:rFonts w:ascii="Times New Roman" w:hAnsi="Times New Roman" w:cs="Times New Roman"/>
          <w:sz w:val="24"/>
          <w:szCs w:val="24"/>
        </w:rPr>
        <w:t xml:space="preserve">s evaluation and donation decision </w:t>
      </w:r>
      <w:r w:rsidR="00E60CEB">
        <w:rPr>
          <w:rFonts w:ascii="Times New Roman" w:hAnsi="Times New Roman" w:cs="Times New Roman"/>
          <w:sz w:val="24"/>
          <w:szCs w:val="24"/>
        </w:rPr>
        <w:t>when</w:t>
      </w:r>
      <w:r w:rsidRPr="000F00F3" w:rsidR="00702497">
        <w:rPr>
          <w:rFonts w:ascii="Times New Roman" w:hAnsi="Times New Roman" w:cs="Times New Roman"/>
          <w:sz w:val="24"/>
          <w:szCs w:val="24"/>
        </w:rPr>
        <w:t xml:space="preserve"> this decision is made</w:t>
      </w:r>
      <w:r w:rsidR="00CF4C33">
        <w:rPr>
          <w:rFonts w:ascii="Times New Roman" w:hAnsi="Times New Roman" w:cs="Times New Roman"/>
          <w:sz w:val="24"/>
          <w:szCs w:val="24"/>
        </w:rPr>
        <w:t xml:space="preserve">.  </w:t>
      </w:r>
      <w:r w:rsidRPr="000F00F3" w:rsidR="00702497">
        <w:rPr>
          <w:rFonts w:ascii="Times New Roman" w:hAnsi="Times New Roman" w:cs="Times New Roman"/>
          <w:sz w:val="24"/>
          <w:szCs w:val="24"/>
        </w:rPr>
        <w:t>This is essential to capture the reasons for not donating (where applicable) since many programs do not systematically track this information.</w:t>
      </w:r>
    </w:p>
    <w:p w:rsidRPr="000F00F3" w:rsidR="00702497" w:rsidP="008766ED" w:rsidRDefault="00702497" w14:paraId="09FA2E17" w14:textId="66B4DC2C">
      <w:pPr>
        <w:spacing w:line="240" w:lineRule="auto"/>
        <w:rPr>
          <w:rFonts w:ascii="Times New Roman" w:hAnsi="Times New Roman" w:cs="Times New Roman"/>
          <w:sz w:val="24"/>
          <w:szCs w:val="24"/>
        </w:rPr>
      </w:pPr>
      <w:r w:rsidRPr="000F00F3">
        <w:rPr>
          <w:rFonts w:ascii="Times New Roman" w:hAnsi="Times New Roman" w:cs="Times New Roman"/>
          <w:sz w:val="24"/>
          <w:szCs w:val="24"/>
        </w:rPr>
        <w:t>Registered candidates are asked to reply to brief e</w:t>
      </w:r>
      <w:r w:rsidR="00D5230B">
        <w:rPr>
          <w:rFonts w:ascii="Times New Roman" w:hAnsi="Times New Roman" w:cs="Times New Roman"/>
          <w:sz w:val="24"/>
          <w:szCs w:val="24"/>
        </w:rPr>
        <w:t>-</w:t>
      </w:r>
      <w:r w:rsidRPr="000F00F3">
        <w:rPr>
          <w:rFonts w:ascii="Times New Roman" w:hAnsi="Times New Roman" w:cs="Times New Roman"/>
          <w:sz w:val="24"/>
          <w:szCs w:val="24"/>
        </w:rPr>
        <w:t>mail surveys at regular intervals (currently 1</w:t>
      </w:r>
      <w:r w:rsidR="00D5230B">
        <w:rPr>
          <w:rFonts w:ascii="Times New Roman" w:hAnsi="Times New Roman" w:cs="Times New Roman"/>
          <w:sz w:val="24"/>
          <w:szCs w:val="24"/>
        </w:rPr>
        <w:t>-</w:t>
      </w:r>
      <w:r w:rsidRPr="000F00F3">
        <w:rPr>
          <w:rFonts w:ascii="Times New Roman" w:hAnsi="Times New Roman" w:cs="Times New Roman"/>
          <w:sz w:val="24"/>
          <w:szCs w:val="24"/>
        </w:rPr>
        <w:t xml:space="preserve"> and 2</w:t>
      </w:r>
      <w:r w:rsidR="00D5230B">
        <w:rPr>
          <w:rFonts w:ascii="Times New Roman" w:hAnsi="Times New Roman" w:cs="Times New Roman"/>
          <w:sz w:val="24"/>
          <w:szCs w:val="24"/>
        </w:rPr>
        <w:t>-</w:t>
      </w:r>
      <w:r w:rsidRPr="000F00F3">
        <w:rPr>
          <w:rFonts w:ascii="Times New Roman" w:hAnsi="Times New Roman" w:cs="Times New Roman"/>
          <w:sz w:val="24"/>
          <w:szCs w:val="24"/>
        </w:rPr>
        <w:t>years post-donation)</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While the optimal follow-up interval may be the subject of further discussion, sufficient regular follow-up is essential to supporting research on the long-term effects of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Pr="000F00F3" w:rsidR="00702497" w:rsidP="008766ED" w:rsidRDefault="00702497" w14:paraId="5DC6F169" w14:textId="1B42B204">
      <w:pPr>
        <w:spacing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7</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Special Circumstances Relating to the Guidelines of 5 CFR 1320.5</w:t>
      </w:r>
    </w:p>
    <w:p w:rsidRPr="000F00F3" w:rsidR="00702497" w:rsidP="008766ED" w:rsidRDefault="00702497" w14:paraId="342826CE"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The request fully complies with the regulation.</w:t>
      </w:r>
    </w:p>
    <w:p w:rsidRPr="000F00F3" w:rsidR="00702497" w:rsidP="008766ED" w:rsidRDefault="00702497" w14:paraId="036588A1" w14:textId="03B19B8F">
      <w:pPr>
        <w:spacing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8</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Comments in Response to the Federal Register Notice/Outside Consultation</w:t>
      </w:r>
    </w:p>
    <w:p w:rsidRPr="000F00F3" w:rsidR="00702497" w:rsidP="008766ED" w:rsidRDefault="00702497" w14:paraId="69372928" w14:textId="77777777">
      <w:pPr>
        <w:spacing w:line="240" w:lineRule="auto"/>
        <w:rPr>
          <w:rFonts w:ascii="Times New Roman" w:hAnsi="Times New Roman" w:cs="Times New Roman"/>
          <w:b/>
          <w:sz w:val="24"/>
          <w:szCs w:val="24"/>
        </w:rPr>
      </w:pPr>
      <w:r w:rsidRPr="000F00F3">
        <w:rPr>
          <w:rFonts w:ascii="Times New Roman" w:hAnsi="Times New Roman" w:cs="Times New Roman"/>
          <w:b/>
          <w:sz w:val="24"/>
          <w:szCs w:val="24"/>
        </w:rPr>
        <w:t>Section 8A:</w:t>
      </w:r>
    </w:p>
    <w:p w:rsidRPr="000F00F3" w:rsidR="00702497" w:rsidP="008766ED" w:rsidRDefault="00702497" w14:paraId="0432C4DE" w14:textId="1246755E">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A 60-day </w:t>
      </w:r>
      <w:r w:rsidRPr="00546B83">
        <w:rPr>
          <w:rFonts w:ascii="Times New Roman" w:hAnsi="Times New Roman" w:cs="Times New Roman"/>
          <w:i/>
          <w:sz w:val="24"/>
          <w:szCs w:val="24"/>
        </w:rPr>
        <w:t xml:space="preserve">Federal Register </w:t>
      </w:r>
      <w:r w:rsidR="008815BC">
        <w:rPr>
          <w:rFonts w:ascii="Times New Roman" w:hAnsi="Times New Roman" w:cs="Times New Roman"/>
          <w:sz w:val="24"/>
          <w:szCs w:val="24"/>
        </w:rPr>
        <w:t>n</w:t>
      </w:r>
      <w:r w:rsidRPr="000F00F3">
        <w:rPr>
          <w:rFonts w:ascii="Times New Roman" w:hAnsi="Times New Roman" w:cs="Times New Roman"/>
          <w:sz w:val="24"/>
          <w:szCs w:val="24"/>
        </w:rPr>
        <w:t xml:space="preserve">otice was published in the </w:t>
      </w:r>
      <w:r w:rsidRPr="00546B83">
        <w:rPr>
          <w:rFonts w:ascii="Times New Roman" w:hAnsi="Times New Roman" w:cs="Times New Roman"/>
          <w:i/>
          <w:sz w:val="24"/>
          <w:szCs w:val="24"/>
        </w:rPr>
        <w:t>Federal Register</w:t>
      </w:r>
      <w:r w:rsidRPr="000F00F3">
        <w:rPr>
          <w:rFonts w:ascii="Times New Roman" w:hAnsi="Times New Roman" w:cs="Times New Roman"/>
          <w:sz w:val="24"/>
          <w:szCs w:val="24"/>
        </w:rPr>
        <w:t xml:space="preserve"> on September 8, 2020, vol. 85, No. 174; pp. 55464-65.</w:t>
      </w:r>
      <w:r w:rsidR="000D32C4">
        <w:rPr>
          <w:rFonts w:ascii="Times New Roman" w:hAnsi="Times New Roman" w:cs="Times New Roman"/>
          <w:sz w:val="24"/>
          <w:szCs w:val="24"/>
        </w:rPr>
        <w:t xml:space="preserve"> </w:t>
      </w:r>
      <w:r w:rsidR="00882A24">
        <w:rPr>
          <w:rFonts w:ascii="Times New Roman" w:hAnsi="Times New Roman" w:cs="Times New Roman"/>
          <w:sz w:val="24"/>
          <w:szCs w:val="24"/>
        </w:rPr>
        <w:t xml:space="preserve"> </w:t>
      </w:r>
      <w:r w:rsidR="000D32C4">
        <w:rPr>
          <w:rFonts w:ascii="Times New Roman" w:hAnsi="Times New Roman" w:cs="Times New Roman"/>
          <w:sz w:val="24"/>
          <w:szCs w:val="24"/>
        </w:rPr>
        <w:t xml:space="preserve">There were no public comments. </w:t>
      </w:r>
    </w:p>
    <w:p w:rsidRPr="000F00F3" w:rsidR="00702497" w:rsidP="008766ED" w:rsidRDefault="00702497" w14:paraId="2AB72A41" w14:textId="77777777">
      <w:pPr>
        <w:spacing w:line="240" w:lineRule="auto"/>
        <w:rPr>
          <w:rFonts w:ascii="Times New Roman" w:hAnsi="Times New Roman" w:cs="Times New Roman"/>
          <w:b/>
          <w:sz w:val="24"/>
          <w:szCs w:val="24"/>
        </w:rPr>
      </w:pPr>
      <w:r w:rsidRPr="000F00F3">
        <w:rPr>
          <w:rFonts w:ascii="Times New Roman" w:hAnsi="Times New Roman" w:cs="Times New Roman"/>
          <w:b/>
          <w:sz w:val="24"/>
          <w:szCs w:val="24"/>
        </w:rPr>
        <w:t>Section 8B:</w:t>
      </w:r>
    </w:p>
    <w:p w:rsidRPr="000F00F3" w:rsidR="00702497" w:rsidP="008766ED" w:rsidRDefault="00FF7E5D" w14:paraId="4FDCBC88" w14:textId="6E0B2DB1">
      <w:pPr>
        <w:spacing w:line="240" w:lineRule="auto"/>
        <w:rPr>
          <w:rFonts w:ascii="Times New Roman" w:hAnsi="Times New Roman" w:cs="Times New Roman"/>
          <w:sz w:val="24"/>
          <w:szCs w:val="24"/>
        </w:rPr>
      </w:pPr>
      <w:r w:rsidRPr="000F00F3">
        <w:rPr>
          <w:rFonts w:ascii="Times New Roman" w:hAnsi="Times New Roman" w:cs="Times New Roman"/>
          <w:sz w:val="24"/>
          <w:szCs w:val="24"/>
        </w:rPr>
        <w:t>In 2020</w:t>
      </w:r>
      <w:r w:rsidRPr="000F00F3" w:rsidR="00052E51">
        <w:rPr>
          <w:rFonts w:ascii="Times New Roman" w:hAnsi="Times New Roman" w:cs="Times New Roman"/>
          <w:sz w:val="24"/>
          <w:szCs w:val="24"/>
        </w:rPr>
        <w:t>,</w:t>
      </w:r>
      <w:r w:rsidRPr="000F00F3">
        <w:rPr>
          <w:rFonts w:ascii="Times New Roman" w:hAnsi="Times New Roman" w:cs="Times New Roman"/>
          <w:sz w:val="24"/>
          <w:szCs w:val="24"/>
        </w:rPr>
        <w:t xml:space="preserve"> the contractor held consultations with all programs participating in the registry regarding the burden of data collection, ways to improve the </w:t>
      </w:r>
      <w:r w:rsidR="00E60CEB">
        <w:rPr>
          <w:rFonts w:ascii="Times New Roman" w:hAnsi="Times New Roman" w:cs="Times New Roman"/>
          <w:sz w:val="24"/>
          <w:szCs w:val="24"/>
        </w:rPr>
        <w:t>data submission process's efficiency</w:t>
      </w:r>
      <w:r w:rsidRPr="000F00F3">
        <w:rPr>
          <w:rFonts w:ascii="Times New Roman" w:hAnsi="Times New Roman" w:cs="Times New Roman"/>
          <w:sz w:val="24"/>
          <w:szCs w:val="24"/>
        </w:rPr>
        <w:t>, and possible future models for program participation in the registry</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Below is a list of participating programs and e-mail contact information of the Principal Investigators who participated in the consultations.</w:t>
      </w:r>
    </w:p>
    <w:p w:rsidRPr="000F00F3" w:rsidR="00FF7E5D" w:rsidP="008766ED" w:rsidRDefault="00FF7E5D" w14:paraId="62397ABB" w14:textId="0860AB8A">
      <w:pPr>
        <w:spacing w:line="240" w:lineRule="auto"/>
        <w:rPr>
          <w:rFonts w:ascii="Times New Roman" w:hAnsi="Times New Roman" w:cs="Times New Roman"/>
          <w:sz w:val="24"/>
          <w:szCs w:val="24"/>
        </w:rPr>
      </w:pPr>
      <w:r w:rsidRPr="000F00F3">
        <w:rPr>
          <w:rFonts w:ascii="Times New Roman" w:hAnsi="Times New Roman" w:cs="Times New Roman"/>
          <w:sz w:val="24"/>
          <w:szCs w:val="24"/>
        </w:rPr>
        <w:t>Dr. Jeffrey Wang (</w:t>
      </w:r>
      <w:hyperlink w:history="1" r:id="rId12">
        <w:r w:rsidRPr="000F00F3">
          <w:rPr>
            <w:rStyle w:val="Hyperlink"/>
            <w:rFonts w:ascii="Times New Roman" w:hAnsi="Times New Roman" w:cs="Times New Roman"/>
            <w:sz w:val="24"/>
            <w:szCs w:val="24"/>
          </w:rPr>
          <w:t>Jeffrey.Wang@hcmed.org</w:t>
        </w:r>
      </w:hyperlink>
      <w:r w:rsidRPr="000F00F3">
        <w:rPr>
          <w:rFonts w:ascii="Times New Roman" w:hAnsi="Times New Roman" w:cs="Times New Roman"/>
          <w:sz w:val="24"/>
          <w:szCs w:val="24"/>
        </w:rPr>
        <w:t>) - Hennepin County Medical Center, Minneapolis, MN</w:t>
      </w:r>
    </w:p>
    <w:p w:rsidRPr="000F00F3" w:rsidR="00FF7E5D" w:rsidP="008766ED" w:rsidRDefault="00FF7E5D" w14:paraId="52264328"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James Trotter (</w:t>
      </w:r>
      <w:hyperlink w:history="1" r:id="rId13">
        <w:r w:rsidRPr="000F00F3">
          <w:rPr>
            <w:rStyle w:val="Hyperlink"/>
            <w:rFonts w:ascii="Times New Roman" w:hAnsi="Times New Roman" w:cs="Times New Roman"/>
            <w:sz w:val="24"/>
            <w:szCs w:val="24"/>
          </w:rPr>
          <w:t>James.Trotter@BSWHealth.org</w:t>
        </w:r>
      </w:hyperlink>
      <w:r w:rsidRPr="000F00F3">
        <w:rPr>
          <w:rFonts w:ascii="Times New Roman" w:hAnsi="Times New Roman" w:cs="Times New Roman"/>
          <w:sz w:val="24"/>
          <w:szCs w:val="24"/>
        </w:rPr>
        <w:t>) - Baylor University Medical Center, Dallas, TX</w:t>
      </w:r>
    </w:p>
    <w:p w:rsidRPr="000F00F3" w:rsidR="00FF7E5D" w:rsidP="008766ED" w:rsidRDefault="00FF7E5D" w14:paraId="20EB2C9A"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Mary Amanda Dew (</w:t>
      </w:r>
      <w:hyperlink w:history="1" r:id="rId14">
        <w:r w:rsidRPr="000F00F3">
          <w:rPr>
            <w:rStyle w:val="Hyperlink"/>
            <w:rFonts w:ascii="Times New Roman" w:hAnsi="Times New Roman" w:cs="Times New Roman"/>
            <w:sz w:val="24"/>
            <w:szCs w:val="24"/>
          </w:rPr>
          <w:t>dewma@upmc.edu</w:t>
        </w:r>
      </w:hyperlink>
      <w:r w:rsidRPr="000F00F3">
        <w:rPr>
          <w:rFonts w:ascii="Times New Roman" w:hAnsi="Times New Roman" w:cs="Times New Roman"/>
          <w:sz w:val="24"/>
          <w:szCs w:val="24"/>
        </w:rPr>
        <w:t>) - University of Pittsburgh, Pittsburgh, PA</w:t>
      </w:r>
    </w:p>
    <w:p w:rsidRPr="000F00F3" w:rsidR="00FF7E5D" w:rsidP="008766ED" w:rsidRDefault="00110AEA" w14:paraId="791AC5F7"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Macey Henderson (</w:t>
      </w:r>
      <w:hyperlink w:history="1" r:id="rId15">
        <w:r w:rsidRPr="000F00F3">
          <w:rPr>
            <w:rStyle w:val="Hyperlink"/>
            <w:rFonts w:ascii="Times New Roman" w:hAnsi="Times New Roman" w:cs="Times New Roman"/>
            <w:sz w:val="24"/>
            <w:szCs w:val="24"/>
          </w:rPr>
          <w:t>maceyh@jhmi.edu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Johns Hopkins University, Baltimore, MD</w:t>
      </w:r>
    </w:p>
    <w:p w:rsidRPr="000F00F3" w:rsidR="00FF7E5D" w:rsidP="008766ED" w:rsidRDefault="00110AEA" w14:paraId="13299383"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Dr. Krista </w:t>
      </w:r>
      <w:proofErr w:type="spellStart"/>
      <w:r w:rsidRPr="000F00F3">
        <w:rPr>
          <w:rFonts w:ascii="Times New Roman" w:hAnsi="Times New Roman" w:cs="Times New Roman"/>
          <w:sz w:val="24"/>
          <w:szCs w:val="24"/>
        </w:rPr>
        <w:t>Lentine</w:t>
      </w:r>
      <w:proofErr w:type="spellEnd"/>
      <w:r w:rsidRPr="000F00F3">
        <w:rPr>
          <w:rFonts w:ascii="Times New Roman" w:hAnsi="Times New Roman" w:cs="Times New Roman"/>
          <w:sz w:val="24"/>
          <w:szCs w:val="24"/>
        </w:rPr>
        <w:t xml:space="preserve"> (</w:t>
      </w:r>
      <w:hyperlink w:history="1" r:id="rId16">
        <w:r w:rsidRPr="000F00F3">
          <w:rPr>
            <w:rStyle w:val="Hyperlink"/>
            <w:rFonts w:ascii="Times New Roman" w:hAnsi="Times New Roman" w:cs="Times New Roman"/>
            <w:sz w:val="24"/>
            <w:szCs w:val="24"/>
          </w:rPr>
          <w:t>krista.lentine@health.slu.edu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Saint Louis University, St. Louis, MO</w:t>
      </w:r>
    </w:p>
    <w:p w:rsidRPr="000F00F3" w:rsidR="00FF7E5D" w:rsidP="008766ED" w:rsidRDefault="00110AEA" w14:paraId="3D0CC8F4" w14:textId="77777777">
      <w:pPr>
        <w:spacing w:line="240" w:lineRule="auto"/>
        <w:ind w:left="720" w:hanging="720"/>
        <w:rPr>
          <w:rFonts w:ascii="Times New Roman" w:hAnsi="Times New Roman" w:cs="Times New Roman"/>
          <w:sz w:val="24"/>
          <w:szCs w:val="24"/>
        </w:rPr>
      </w:pPr>
      <w:r w:rsidRPr="000F00F3">
        <w:rPr>
          <w:rFonts w:ascii="Times New Roman" w:hAnsi="Times New Roman" w:cs="Times New Roman"/>
          <w:sz w:val="24"/>
          <w:szCs w:val="24"/>
        </w:rPr>
        <w:t xml:space="preserve">Dr. Arthur </w:t>
      </w:r>
      <w:proofErr w:type="spellStart"/>
      <w:r w:rsidRPr="000F00F3">
        <w:rPr>
          <w:rFonts w:ascii="Times New Roman" w:hAnsi="Times New Roman" w:cs="Times New Roman"/>
          <w:sz w:val="24"/>
          <w:szCs w:val="24"/>
        </w:rPr>
        <w:t>Matas</w:t>
      </w:r>
      <w:proofErr w:type="spellEnd"/>
      <w:r w:rsidRPr="000F00F3">
        <w:rPr>
          <w:rFonts w:ascii="Times New Roman" w:hAnsi="Times New Roman" w:cs="Times New Roman"/>
          <w:sz w:val="24"/>
          <w:szCs w:val="24"/>
        </w:rPr>
        <w:t xml:space="preserve"> (</w:t>
      </w:r>
      <w:hyperlink w:history="1" r:id="rId17">
        <w:r w:rsidRPr="000F00F3">
          <w:rPr>
            <w:rStyle w:val="Hyperlink"/>
            <w:rFonts w:ascii="Times New Roman" w:hAnsi="Times New Roman" w:cs="Times New Roman"/>
            <w:sz w:val="24"/>
            <w:szCs w:val="24"/>
          </w:rPr>
          <w:t>matas001@umn.edu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University of Minnesota, Minneapolis, MN</w:t>
      </w:r>
    </w:p>
    <w:p w:rsidRPr="000F00F3" w:rsidR="00110AEA" w:rsidP="008766ED" w:rsidRDefault="00110AEA" w14:paraId="2E86139B"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Kenneth Newell (</w:t>
      </w:r>
      <w:hyperlink w:history="1" r:id="rId18">
        <w:r w:rsidRPr="000F00F3">
          <w:rPr>
            <w:rStyle w:val="Hyperlink"/>
            <w:rFonts w:ascii="Times New Roman" w:hAnsi="Times New Roman" w:cs="Times New Roman"/>
            <w:sz w:val="24"/>
            <w:szCs w:val="24"/>
          </w:rPr>
          <w:t>kanewel@emory.edu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Emory University, Atlanta, GA</w:t>
      </w:r>
    </w:p>
    <w:p w:rsidRPr="000F00F3" w:rsidR="00FF7E5D" w:rsidP="008766ED" w:rsidRDefault="00110AEA" w14:paraId="68AAE86A" w14:textId="783A6710">
      <w:pPr>
        <w:spacing w:line="240" w:lineRule="auto"/>
        <w:rPr>
          <w:rFonts w:ascii="Times New Roman" w:hAnsi="Times New Roman" w:cs="Times New Roman"/>
          <w:sz w:val="24"/>
          <w:szCs w:val="24"/>
        </w:rPr>
      </w:pPr>
      <w:r w:rsidRPr="000F00F3">
        <w:rPr>
          <w:rFonts w:ascii="Times New Roman" w:hAnsi="Times New Roman" w:cs="Times New Roman"/>
          <w:sz w:val="24"/>
          <w:szCs w:val="24"/>
        </w:rPr>
        <w:lastRenderedPageBreak/>
        <w:t xml:space="preserve">Dr. Dianne </w:t>
      </w:r>
      <w:proofErr w:type="spellStart"/>
      <w:r w:rsidRPr="000F00F3">
        <w:rPr>
          <w:rFonts w:ascii="Times New Roman" w:hAnsi="Times New Roman" w:cs="Times New Roman"/>
          <w:sz w:val="24"/>
          <w:szCs w:val="24"/>
        </w:rPr>
        <w:t>LaPointe</w:t>
      </w:r>
      <w:proofErr w:type="spellEnd"/>
      <w:r w:rsidRPr="000F00F3">
        <w:rPr>
          <w:rFonts w:ascii="Times New Roman" w:hAnsi="Times New Roman" w:cs="Times New Roman"/>
          <w:sz w:val="24"/>
          <w:szCs w:val="24"/>
        </w:rPr>
        <w:t xml:space="preserve"> Rudow (</w:t>
      </w:r>
      <w:hyperlink w:history="1" r:id="rId19">
        <w:r w:rsidRPr="000F00F3">
          <w:rPr>
            <w:rStyle w:val="Hyperlink"/>
            <w:rFonts w:ascii="Times New Roman" w:hAnsi="Times New Roman" w:cs="Times New Roman"/>
            <w:sz w:val="24"/>
            <w:szCs w:val="24"/>
          </w:rPr>
          <w:t>dianne.lapointerudow@mountsinai.org</w:t>
        </w:r>
      </w:hyperlink>
      <w:r w:rsidRPr="000F00F3">
        <w:rPr>
          <w:rFonts w:ascii="Times New Roman" w:hAnsi="Times New Roman" w:cs="Times New Roman"/>
          <w:sz w:val="24"/>
          <w:szCs w:val="24"/>
        </w:rPr>
        <w:t>)</w:t>
      </w:r>
      <w:r w:rsidRPr="000F00F3" w:rsidR="00C62ADF">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r w:rsidRPr="000F00F3" w:rsidR="00FF7E5D">
        <w:rPr>
          <w:rFonts w:ascii="Times New Roman" w:hAnsi="Times New Roman" w:cs="Times New Roman"/>
          <w:sz w:val="24"/>
          <w:szCs w:val="24"/>
        </w:rPr>
        <w:t>Transplantation Institute, Mount Sinai Hospital, New York, NY</w:t>
      </w:r>
    </w:p>
    <w:p w:rsidRPr="000F00F3" w:rsidR="00FF7E5D" w:rsidP="008766ED" w:rsidRDefault="00110AEA" w14:paraId="7FA312CE"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Dr. Sandra </w:t>
      </w:r>
      <w:proofErr w:type="spellStart"/>
      <w:r w:rsidRPr="000F00F3">
        <w:rPr>
          <w:rFonts w:ascii="Times New Roman" w:hAnsi="Times New Roman" w:cs="Times New Roman"/>
          <w:sz w:val="24"/>
          <w:szCs w:val="24"/>
        </w:rPr>
        <w:t>Taler</w:t>
      </w:r>
      <w:proofErr w:type="spellEnd"/>
      <w:r w:rsidRPr="000F00F3">
        <w:rPr>
          <w:rFonts w:ascii="Times New Roman" w:hAnsi="Times New Roman" w:cs="Times New Roman"/>
          <w:sz w:val="24"/>
          <w:szCs w:val="24"/>
        </w:rPr>
        <w:t xml:space="preserve"> (</w:t>
      </w:r>
      <w:hyperlink w:history="1" r:id="rId20">
        <w:r w:rsidRPr="000F00F3">
          <w:rPr>
            <w:rStyle w:val="Hyperlink"/>
            <w:rFonts w:ascii="Times New Roman" w:hAnsi="Times New Roman" w:cs="Times New Roman"/>
            <w:sz w:val="24"/>
            <w:szCs w:val="24"/>
          </w:rPr>
          <w:t>staler@mayo.edu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Mayo Clinic, Rochester, MN</w:t>
      </w:r>
    </w:p>
    <w:p w:rsidRPr="000F00F3" w:rsidR="007E4B50" w:rsidP="008766ED" w:rsidRDefault="00110AEA" w14:paraId="2E15630C" w14:textId="77777777">
      <w:pPr>
        <w:spacing w:line="240" w:lineRule="auto"/>
        <w:rPr>
          <w:rFonts w:ascii="Times New Roman" w:hAnsi="Times New Roman" w:cs="Times New Roman"/>
          <w:sz w:val="24"/>
          <w:szCs w:val="24"/>
        </w:rPr>
      </w:pPr>
      <w:r w:rsidRPr="000F00F3">
        <w:rPr>
          <w:rFonts w:ascii="Times New Roman" w:hAnsi="Times New Roman" w:cs="Times New Roman"/>
          <w:sz w:val="24"/>
          <w:szCs w:val="24"/>
        </w:rPr>
        <w:t>Dr. Amy Waterman (</w:t>
      </w:r>
      <w:hyperlink w:history="1" r:id="rId21">
        <w:r w:rsidRPr="000F00F3">
          <w:rPr>
            <w:rStyle w:val="Hyperlink"/>
            <w:rFonts w:ascii="Times New Roman" w:hAnsi="Times New Roman" w:cs="Times New Roman"/>
            <w:sz w:val="24"/>
            <w:szCs w:val="24"/>
          </w:rPr>
          <w:t>AWaterman@mednet.ucla.edu</w:t>
        </w:r>
      </w:hyperlink>
      <w:r w:rsidRPr="000F00F3">
        <w:rPr>
          <w:rFonts w:ascii="Times New Roman" w:hAnsi="Times New Roman" w:cs="Times New Roman"/>
          <w:sz w:val="24"/>
          <w:szCs w:val="24"/>
        </w:rPr>
        <w:t xml:space="preserve">) - </w:t>
      </w:r>
      <w:r w:rsidRPr="000F00F3" w:rsidR="00FF7E5D">
        <w:rPr>
          <w:rFonts w:ascii="Times New Roman" w:hAnsi="Times New Roman" w:cs="Times New Roman"/>
          <w:sz w:val="24"/>
          <w:szCs w:val="24"/>
        </w:rPr>
        <w:t>University of California at Los Angeles, Los Angeles, CA</w:t>
      </w:r>
    </w:p>
    <w:p w:rsidR="009D34D6" w:rsidP="008766ED" w:rsidRDefault="009D34D6" w14:paraId="7AEED7C6" w14:textId="77777777">
      <w:pPr>
        <w:spacing w:line="240" w:lineRule="auto"/>
        <w:rPr>
          <w:rFonts w:ascii="Times New Roman" w:hAnsi="Times New Roman" w:cs="Times New Roman"/>
          <w:sz w:val="24"/>
          <w:szCs w:val="24"/>
        </w:rPr>
      </w:pPr>
    </w:p>
    <w:p w:rsidRPr="000F00F3" w:rsidR="007E4B50" w:rsidP="008766ED" w:rsidRDefault="00110AEA" w14:paraId="6DA83057" w14:textId="6C119E32">
      <w:pPr>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In 2020, the contractor also consulted with the </w:t>
      </w:r>
      <w:proofErr w:type="spellStart"/>
      <w:r w:rsidRPr="000F00F3">
        <w:rPr>
          <w:rFonts w:ascii="Times New Roman" w:hAnsi="Times New Roman" w:cs="Times New Roman"/>
          <w:sz w:val="24"/>
          <w:szCs w:val="24"/>
        </w:rPr>
        <w:t>OPTN</w:t>
      </w:r>
      <w:proofErr w:type="spellEnd"/>
      <w:r w:rsidRPr="000F00F3">
        <w:rPr>
          <w:rFonts w:ascii="Times New Roman" w:hAnsi="Times New Roman" w:cs="Times New Roman"/>
          <w:sz w:val="24"/>
          <w:szCs w:val="24"/>
        </w:rPr>
        <w:t xml:space="preserve"> Living Donor Committee</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Principal members of the committee and support staff included:</w:t>
      </w:r>
    </w:p>
    <w:p w:rsidRPr="000F00F3" w:rsidR="00110AEA" w:rsidP="008766ED" w:rsidRDefault="00110AEA" w14:paraId="68537276" w14:textId="1826260D">
      <w:pPr>
        <w:spacing w:line="240" w:lineRule="auto"/>
        <w:rPr>
          <w:rFonts w:ascii="Times New Roman" w:hAnsi="Times New Roman" w:cs="Times New Roman"/>
          <w:sz w:val="24"/>
          <w:szCs w:val="24"/>
        </w:rPr>
      </w:pPr>
      <w:r w:rsidRPr="000F00F3">
        <w:rPr>
          <w:rFonts w:ascii="Times New Roman" w:hAnsi="Times New Roman" w:cs="Times New Roman"/>
          <w:sz w:val="24"/>
          <w:szCs w:val="24"/>
        </w:rPr>
        <w:t>Committee Chair – Heather Hunt</w:t>
      </w:r>
      <w:r w:rsidRPr="000F00F3" w:rsidR="0055451B">
        <w:rPr>
          <w:rFonts w:ascii="Times New Roman" w:hAnsi="Times New Roman" w:cs="Times New Roman"/>
          <w:sz w:val="24"/>
          <w:szCs w:val="24"/>
        </w:rPr>
        <w:t xml:space="preserve"> (</w:t>
      </w:r>
      <w:hyperlink w:history="1" r:id="rId22">
        <w:r w:rsidRPr="00EC741F" w:rsidR="00CF4C33">
          <w:rPr>
            <w:rStyle w:val="Hyperlink"/>
            <w:rFonts w:ascii="Times New Roman" w:hAnsi="Times New Roman" w:cs="Times New Roman"/>
            <w:sz w:val="24"/>
            <w:szCs w:val="24"/>
          </w:rPr>
          <w:t>heatherfhunt@gmail.com</w:t>
        </w:r>
      </w:hyperlink>
      <w:r w:rsidRPr="000F00F3" w:rsidR="0055451B">
        <w:rPr>
          <w:rFonts w:ascii="Times New Roman" w:hAnsi="Times New Roman" w:cs="Times New Roman"/>
          <w:sz w:val="24"/>
          <w:szCs w:val="24"/>
        </w:rPr>
        <w:t>)</w:t>
      </w:r>
    </w:p>
    <w:p w:rsidRPr="000F00F3" w:rsidR="00110AEA" w:rsidP="008766ED" w:rsidRDefault="00110AEA" w14:paraId="645B189E" w14:textId="0390F190">
      <w:pPr>
        <w:spacing w:line="240" w:lineRule="auto"/>
        <w:rPr>
          <w:rFonts w:ascii="Times New Roman" w:hAnsi="Times New Roman" w:cs="Times New Roman"/>
          <w:sz w:val="24"/>
          <w:szCs w:val="24"/>
        </w:rPr>
      </w:pPr>
      <w:r w:rsidRPr="000F00F3">
        <w:rPr>
          <w:rFonts w:ascii="Times New Roman" w:hAnsi="Times New Roman" w:cs="Times New Roman"/>
          <w:sz w:val="24"/>
          <w:szCs w:val="24"/>
        </w:rPr>
        <w:t>Committee Vice</w:t>
      </w:r>
      <w:r w:rsidR="00E60CEB">
        <w:rPr>
          <w:rFonts w:ascii="Times New Roman" w:hAnsi="Times New Roman" w:cs="Times New Roman"/>
          <w:sz w:val="24"/>
          <w:szCs w:val="24"/>
        </w:rPr>
        <w:t>-</w:t>
      </w:r>
      <w:r w:rsidRPr="000F00F3">
        <w:rPr>
          <w:rFonts w:ascii="Times New Roman" w:hAnsi="Times New Roman" w:cs="Times New Roman"/>
          <w:sz w:val="24"/>
          <w:szCs w:val="24"/>
        </w:rPr>
        <w:t xml:space="preserve">Chair – Dr. </w:t>
      </w:r>
      <w:proofErr w:type="spellStart"/>
      <w:r w:rsidRPr="000F00F3">
        <w:rPr>
          <w:rFonts w:ascii="Times New Roman" w:hAnsi="Times New Roman" w:cs="Times New Roman"/>
          <w:sz w:val="24"/>
          <w:szCs w:val="24"/>
        </w:rPr>
        <w:t>Titte</w:t>
      </w:r>
      <w:proofErr w:type="spellEnd"/>
      <w:r w:rsidRPr="000F00F3">
        <w:rPr>
          <w:rFonts w:ascii="Times New Roman" w:hAnsi="Times New Roman" w:cs="Times New Roman"/>
          <w:sz w:val="24"/>
          <w:szCs w:val="24"/>
        </w:rPr>
        <w:t xml:space="preserve"> Srinivas, University Hospitals of Cleveland</w:t>
      </w:r>
    </w:p>
    <w:p w:rsidRPr="000F00F3" w:rsidR="00110AEA" w:rsidP="008766ED" w:rsidRDefault="00110AEA" w14:paraId="15CC59FD" w14:textId="77777777">
      <w:pPr>
        <w:spacing w:line="240" w:lineRule="auto"/>
        <w:rPr>
          <w:rFonts w:ascii="Times New Roman" w:hAnsi="Times New Roman" w:cs="Times New Roman"/>
          <w:sz w:val="24"/>
          <w:szCs w:val="24"/>
        </w:rPr>
      </w:pPr>
      <w:proofErr w:type="spellStart"/>
      <w:r w:rsidRPr="000F00F3">
        <w:rPr>
          <w:rFonts w:ascii="Times New Roman" w:hAnsi="Times New Roman" w:cs="Times New Roman"/>
          <w:sz w:val="24"/>
          <w:szCs w:val="24"/>
        </w:rPr>
        <w:t>OPTN</w:t>
      </w:r>
      <w:proofErr w:type="spellEnd"/>
      <w:r w:rsidRPr="000F00F3">
        <w:rPr>
          <w:rFonts w:ascii="Times New Roman" w:hAnsi="Times New Roman" w:cs="Times New Roman"/>
          <w:sz w:val="24"/>
          <w:szCs w:val="24"/>
        </w:rPr>
        <w:t xml:space="preserve"> Liaison – Lindsay Larkin (</w:t>
      </w:r>
      <w:hyperlink w:history="1" r:id="rId23">
        <w:r w:rsidRPr="000F00F3">
          <w:rPr>
            <w:rStyle w:val="Hyperlink"/>
            <w:rFonts w:ascii="Times New Roman" w:hAnsi="Times New Roman" w:cs="Times New Roman"/>
            <w:sz w:val="24"/>
            <w:szCs w:val="24"/>
          </w:rPr>
          <w:t>lindsay.larkin@unos.org</w:t>
        </w:r>
      </w:hyperlink>
      <w:r w:rsidRPr="000F00F3">
        <w:rPr>
          <w:rFonts w:ascii="Times New Roman" w:hAnsi="Times New Roman" w:cs="Times New Roman"/>
          <w:sz w:val="24"/>
          <w:szCs w:val="24"/>
        </w:rPr>
        <w:t>)</w:t>
      </w:r>
    </w:p>
    <w:p w:rsidRPr="000F00F3" w:rsidR="00110AEA" w:rsidP="008766ED" w:rsidRDefault="0039231E" w14:paraId="5BA50AA9" w14:textId="142DF108">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9</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Explanation of any Payment/Gift to Respondents</w:t>
      </w:r>
    </w:p>
    <w:p w:rsidRPr="000F00F3" w:rsidR="0039231E" w:rsidP="008766ED" w:rsidRDefault="002F0D4A" w14:paraId="6596E7BC" w14:textId="77777777">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Respondents will not receive any payments or gifts.</w:t>
      </w:r>
    </w:p>
    <w:p w:rsidRPr="000F00F3" w:rsidR="002F0D4A" w:rsidP="008766ED" w:rsidRDefault="002F0D4A" w14:paraId="6944F82D" w14:textId="78A976CC">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10</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Assurance of Confidentiality Provided to Respondents</w:t>
      </w:r>
    </w:p>
    <w:p w:rsidRPr="000F00F3" w:rsidR="002F0D4A" w:rsidP="008766ED" w:rsidRDefault="002F0D4A" w14:paraId="15F1D13C" w14:textId="5713C577">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Data will be kept private to the extent allowed by law</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Information proposed to be collected is considered to be protected health information</w:t>
      </w:r>
      <w:r w:rsidR="00CF4C33">
        <w:rPr>
          <w:rFonts w:ascii="Times New Roman" w:hAnsi="Times New Roman" w:cs="Times New Roman"/>
          <w:sz w:val="24"/>
          <w:szCs w:val="24"/>
        </w:rPr>
        <w:t xml:space="preserve">.  </w:t>
      </w:r>
      <w:proofErr w:type="spellStart"/>
      <w:r w:rsidRPr="000F00F3">
        <w:rPr>
          <w:rFonts w:ascii="Times New Roman" w:hAnsi="Times New Roman" w:cs="Times New Roman"/>
          <w:sz w:val="24"/>
          <w:szCs w:val="24"/>
        </w:rPr>
        <w:t>SRTR</w:t>
      </w:r>
      <w:proofErr w:type="spellEnd"/>
      <w:r w:rsidRPr="000F00F3">
        <w:rPr>
          <w:rFonts w:ascii="Times New Roman" w:hAnsi="Times New Roman" w:cs="Times New Roman"/>
          <w:sz w:val="24"/>
          <w:szCs w:val="24"/>
        </w:rPr>
        <w:t xml:space="preserve"> is recognized as a public health authority under the </w:t>
      </w:r>
      <w:proofErr w:type="spellStart"/>
      <w:r w:rsidRPr="000F00F3">
        <w:rPr>
          <w:rFonts w:ascii="Times New Roman" w:hAnsi="Times New Roman" w:cs="Times New Roman"/>
          <w:sz w:val="24"/>
          <w:szCs w:val="24"/>
        </w:rPr>
        <w:t>HIPAA</w:t>
      </w:r>
      <w:proofErr w:type="spellEnd"/>
      <w:r w:rsidRPr="000F00F3">
        <w:rPr>
          <w:rFonts w:ascii="Times New Roman" w:hAnsi="Times New Roman" w:cs="Times New Roman"/>
          <w:sz w:val="24"/>
          <w:szCs w:val="24"/>
        </w:rPr>
        <w:t xml:space="preserve"> Privacy Rule (42 CFR 164.512(b)).</w:t>
      </w:r>
    </w:p>
    <w:p w:rsidRPr="000F00F3" w:rsidR="002F0D4A" w:rsidP="008766ED" w:rsidRDefault="002F0D4A" w14:paraId="78F49A13" w14:textId="7DDEA11E">
      <w:pPr>
        <w:spacing w:before="12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11</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Justification for Sensitive Questions</w:t>
      </w:r>
    </w:p>
    <w:p w:rsidRPr="000F00F3" w:rsidR="002F0D4A" w:rsidP="008766ED" w:rsidRDefault="002F0D4A" w14:paraId="5AC7BC58" w14:textId="77777777">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Potentially sensitive information included in this data collection includes:</w:t>
      </w:r>
    </w:p>
    <w:p w:rsidRPr="000F00F3" w:rsidR="002F0D4A" w:rsidP="008766ED" w:rsidRDefault="008C0265" w14:paraId="3B91561C" w14:textId="140D0E4F">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Race/Ethnicity – </w:t>
      </w:r>
      <w:r w:rsidRPr="000F00F3" w:rsidR="00E3647F">
        <w:rPr>
          <w:rFonts w:ascii="Times New Roman" w:hAnsi="Times New Roman" w:cs="Times New Roman"/>
          <w:sz w:val="24"/>
          <w:szCs w:val="24"/>
        </w:rPr>
        <w:t xml:space="preserve">This information </w:t>
      </w:r>
      <w:r w:rsidRPr="000F00F3">
        <w:rPr>
          <w:rFonts w:ascii="Times New Roman" w:hAnsi="Times New Roman" w:cs="Times New Roman"/>
          <w:sz w:val="24"/>
          <w:szCs w:val="24"/>
        </w:rPr>
        <w:t xml:space="preserve">is essential </w:t>
      </w:r>
      <w:r w:rsidRPr="000F00F3" w:rsidR="00A2131E">
        <w:rPr>
          <w:rFonts w:ascii="Times New Roman" w:hAnsi="Times New Roman" w:cs="Times New Roman"/>
          <w:sz w:val="24"/>
          <w:szCs w:val="24"/>
        </w:rPr>
        <w:t xml:space="preserve">to </w:t>
      </w:r>
      <w:r w:rsidRPr="000F00F3">
        <w:rPr>
          <w:rFonts w:ascii="Times New Roman" w:hAnsi="Times New Roman" w:cs="Times New Roman"/>
          <w:sz w:val="24"/>
          <w:szCs w:val="24"/>
        </w:rPr>
        <w:t>analyzing observed</w:t>
      </w:r>
      <w:r w:rsidRPr="000F00F3" w:rsidR="00A2131E">
        <w:rPr>
          <w:rFonts w:ascii="Times New Roman" w:hAnsi="Times New Roman" w:cs="Times New Roman"/>
          <w:sz w:val="24"/>
          <w:szCs w:val="24"/>
        </w:rPr>
        <w:t xml:space="preserve"> health</w:t>
      </w:r>
      <w:r w:rsidRPr="000F00F3">
        <w:rPr>
          <w:rFonts w:ascii="Times New Roman" w:hAnsi="Times New Roman" w:cs="Times New Roman"/>
          <w:sz w:val="24"/>
          <w:szCs w:val="24"/>
        </w:rPr>
        <w:t xml:space="preserve"> outcomes relative to expected risk since risk factors are prevalent to different degrees within different racial and ethnic group</w:t>
      </w:r>
      <w:r w:rsidRPr="000F00F3" w:rsidR="00A2131E">
        <w:rPr>
          <w:rFonts w:ascii="Times New Roman" w:hAnsi="Times New Roman" w:cs="Times New Roman"/>
          <w:sz w:val="24"/>
          <w:szCs w:val="24"/>
        </w:rPr>
        <w:t>s</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This data </w:t>
      </w:r>
      <w:r w:rsidRPr="000F00F3" w:rsidR="00A2131E">
        <w:rPr>
          <w:rFonts w:ascii="Times New Roman" w:hAnsi="Times New Roman" w:cs="Times New Roman"/>
          <w:sz w:val="24"/>
          <w:szCs w:val="24"/>
        </w:rPr>
        <w:t>is also relevant to the</w:t>
      </w:r>
      <w:r w:rsidRPr="000F00F3">
        <w:rPr>
          <w:rFonts w:ascii="Times New Roman" w:hAnsi="Times New Roman" w:cs="Times New Roman"/>
          <w:sz w:val="24"/>
          <w:szCs w:val="24"/>
        </w:rPr>
        <w:t xml:space="preserve"> interpretation of psychosocial factors that may </w:t>
      </w:r>
      <w:r w:rsidRPr="000F00F3" w:rsidR="00A2131E">
        <w:rPr>
          <w:rFonts w:ascii="Times New Roman" w:hAnsi="Times New Roman" w:cs="Times New Roman"/>
          <w:sz w:val="24"/>
          <w:szCs w:val="24"/>
        </w:rPr>
        <w:t xml:space="preserve">influence how candidates for </w:t>
      </w:r>
      <w:r w:rsidR="009A127F">
        <w:rPr>
          <w:rFonts w:ascii="Times New Roman" w:hAnsi="Times New Roman" w:cs="Times New Roman"/>
          <w:sz w:val="24"/>
          <w:szCs w:val="24"/>
        </w:rPr>
        <w:t>living organ donation</w:t>
      </w:r>
      <w:r w:rsidR="008815BC">
        <w:rPr>
          <w:rFonts w:ascii="Times New Roman" w:hAnsi="Times New Roman" w:cs="Times New Roman"/>
          <w:sz w:val="24"/>
          <w:szCs w:val="24"/>
        </w:rPr>
        <w:t xml:space="preserve"> are evaluated </w:t>
      </w:r>
      <w:r w:rsidRPr="000F00F3" w:rsidR="00A2131E">
        <w:rPr>
          <w:rFonts w:ascii="Times New Roman" w:hAnsi="Times New Roman" w:cs="Times New Roman"/>
          <w:sz w:val="24"/>
          <w:szCs w:val="24"/>
        </w:rPr>
        <w:t xml:space="preserve">and their decision whether </w:t>
      </w:r>
      <w:r w:rsidR="008815BC">
        <w:rPr>
          <w:rFonts w:ascii="Times New Roman" w:hAnsi="Times New Roman" w:cs="Times New Roman"/>
          <w:sz w:val="24"/>
          <w:szCs w:val="24"/>
        </w:rPr>
        <w:t xml:space="preserve">or not </w:t>
      </w:r>
      <w:r w:rsidRPr="000F00F3" w:rsidR="00A2131E">
        <w:rPr>
          <w:rFonts w:ascii="Times New Roman" w:hAnsi="Times New Roman" w:cs="Times New Roman"/>
          <w:sz w:val="24"/>
          <w:szCs w:val="24"/>
        </w:rPr>
        <w:t>to donate.</w:t>
      </w:r>
    </w:p>
    <w:p w:rsidRPr="000F00F3" w:rsidR="00F45CC6" w:rsidP="008766ED" w:rsidRDefault="00A2131E" w14:paraId="2D342BF9" w14:textId="162B7FA4">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Use of Drugs/Alcohol/Tobacco – </w:t>
      </w:r>
      <w:r w:rsidRPr="000F00F3" w:rsidR="00E3647F">
        <w:rPr>
          <w:rFonts w:ascii="Times New Roman" w:hAnsi="Times New Roman" w:cs="Times New Roman"/>
          <w:sz w:val="24"/>
          <w:szCs w:val="24"/>
        </w:rPr>
        <w:t>T</w:t>
      </w:r>
      <w:r w:rsidR="00E60CEB">
        <w:rPr>
          <w:rFonts w:ascii="Times New Roman" w:hAnsi="Times New Roman" w:cs="Times New Roman"/>
          <w:sz w:val="24"/>
          <w:szCs w:val="24"/>
        </w:rPr>
        <w:t>ransplant programs use this information</w:t>
      </w:r>
      <w:r w:rsidRPr="000F00F3">
        <w:rPr>
          <w:rFonts w:ascii="Times New Roman" w:hAnsi="Times New Roman" w:cs="Times New Roman"/>
          <w:sz w:val="24"/>
          <w:szCs w:val="24"/>
        </w:rPr>
        <w:t xml:space="preserve"> as a factor in determining the fitness of candidates for </w:t>
      </w:r>
      <w:r w:rsidR="009A127F">
        <w:rPr>
          <w:rFonts w:ascii="Times New Roman" w:hAnsi="Times New Roman" w:cs="Times New Roman"/>
          <w:sz w:val="24"/>
          <w:szCs w:val="24"/>
        </w:rPr>
        <w:t>living organ donation</w:t>
      </w:r>
      <w:r w:rsidRPr="000F00F3">
        <w:rPr>
          <w:rFonts w:ascii="Times New Roman" w:hAnsi="Times New Roman" w:cs="Times New Roman"/>
          <w:sz w:val="24"/>
          <w:szCs w:val="24"/>
        </w:rPr>
        <w:t>.</w:t>
      </w:r>
    </w:p>
    <w:p w:rsidRPr="000F00F3" w:rsidR="00E3647F" w:rsidP="008766ED" w:rsidRDefault="00A2131E" w14:paraId="30D566F7" w14:textId="3433914A">
      <w:pPr>
        <w:pStyle w:val="ListParagraph"/>
        <w:numPr>
          <w:ilvl w:val="0"/>
          <w:numId w:val="6"/>
        </w:num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Social Security Number –</w:t>
      </w:r>
      <w:r w:rsidRPr="000F00F3" w:rsidR="00E3647F">
        <w:rPr>
          <w:rFonts w:ascii="Times New Roman" w:hAnsi="Times New Roman" w:cs="Times New Roman"/>
          <w:sz w:val="24"/>
          <w:szCs w:val="24"/>
        </w:rPr>
        <w:t xml:space="preserve"> This information</w:t>
      </w:r>
      <w:r w:rsidRPr="000F00F3">
        <w:rPr>
          <w:rFonts w:ascii="Times New Roman" w:hAnsi="Times New Roman" w:cs="Times New Roman"/>
          <w:sz w:val="24"/>
          <w:szCs w:val="24"/>
        </w:rPr>
        <w:t xml:space="preserve"> will be used to obtain additional data on long-term outcomes of individuals </w:t>
      </w:r>
      <w:r w:rsidRPr="000F00F3" w:rsidR="00E3647F">
        <w:rPr>
          <w:rFonts w:ascii="Times New Roman" w:hAnsi="Times New Roman" w:cs="Times New Roman"/>
          <w:sz w:val="24"/>
          <w:szCs w:val="24"/>
        </w:rPr>
        <w:t xml:space="preserve">by </w:t>
      </w:r>
      <w:r w:rsidRPr="000F00F3">
        <w:rPr>
          <w:rFonts w:ascii="Times New Roman" w:hAnsi="Times New Roman" w:cs="Times New Roman"/>
          <w:sz w:val="24"/>
          <w:szCs w:val="24"/>
        </w:rPr>
        <w:t xml:space="preserve">matching with </w:t>
      </w:r>
      <w:r w:rsidRPr="000F00F3" w:rsidR="00E3647F">
        <w:rPr>
          <w:rFonts w:ascii="Times New Roman" w:hAnsi="Times New Roman" w:cs="Times New Roman"/>
          <w:sz w:val="24"/>
          <w:szCs w:val="24"/>
        </w:rPr>
        <w:t>data obtained from other registries or sources</w:t>
      </w:r>
      <w:r w:rsidR="00CF4C33">
        <w:rPr>
          <w:rFonts w:ascii="Times New Roman" w:hAnsi="Times New Roman" w:cs="Times New Roman"/>
          <w:sz w:val="24"/>
          <w:szCs w:val="24"/>
        </w:rPr>
        <w:t xml:space="preserve">.  </w:t>
      </w:r>
      <w:r w:rsidRPr="000F00F3" w:rsidR="00E3647F">
        <w:rPr>
          <w:rFonts w:ascii="Times New Roman" w:hAnsi="Times New Roman" w:cs="Times New Roman"/>
          <w:sz w:val="24"/>
          <w:szCs w:val="24"/>
        </w:rPr>
        <w:t xml:space="preserve">Given this limited and centrally important use case, there is justification for using </w:t>
      </w:r>
      <w:r w:rsidR="00AC295D">
        <w:rPr>
          <w:rFonts w:ascii="Times New Roman" w:hAnsi="Times New Roman" w:cs="Times New Roman"/>
          <w:sz w:val="24"/>
          <w:szCs w:val="24"/>
        </w:rPr>
        <w:t>s</w:t>
      </w:r>
      <w:r w:rsidRPr="00726F37" w:rsidR="00726F37">
        <w:rPr>
          <w:rFonts w:ascii="Times New Roman" w:hAnsi="Times New Roman" w:cs="Times New Roman"/>
          <w:sz w:val="24"/>
          <w:szCs w:val="24"/>
        </w:rPr>
        <w:t xml:space="preserve">ocial </w:t>
      </w:r>
      <w:r w:rsidR="00AC295D">
        <w:rPr>
          <w:rFonts w:ascii="Times New Roman" w:hAnsi="Times New Roman" w:cs="Times New Roman"/>
          <w:sz w:val="24"/>
          <w:szCs w:val="24"/>
        </w:rPr>
        <w:t>s</w:t>
      </w:r>
      <w:r w:rsidRPr="00726F37" w:rsidR="00726F37">
        <w:rPr>
          <w:rFonts w:ascii="Times New Roman" w:hAnsi="Times New Roman" w:cs="Times New Roman"/>
          <w:sz w:val="24"/>
          <w:szCs w:val="24"/>
        </w:rPr>
        <w:t xml:space="preserve">ecurity </w:t>
      </w:r>
      <w:r w:rsidR="00AC295D">
        <w:rPr>
          <w:rFonts w:ascii="Times New Roman" w:hAnsi="Times New Roman" w:cs="Times New Roman"/>
          <w:sz w:val="24"/>
          <w:szCs w:val="24"/>
        </w:rPr>
        <w:t>n</w:t>
      </w:r>
      <w:r w:rsidRPr="00726F37" w:rsidR="00726F37">
        <w:rPr>
          <w:rFonts w:ascii="Times New Roman" w:hAnsi="Times New Roman" w:cs="Times New Roman"/>
          <w:sz w:val="24"/>
          <w:szCs w:val="24"/>
        </w:rPr>
        <w:t xml:space="preserve">umber </w:t>
      </w:r>
      <w:r w:rsidRPr="000F00F3" w:rsidR="00E3647F">
        <w:rPr>
          <w:rFonts w:ascii="Times New Roman" w:hAnsi="Times New Roman" w:cs="Times New Roman"/>
          <w:sz w:val="24"/>
          <w:szCs w:val="24"/>
        </w:rPr>
        <w:t xml:space="preserve">as an identifier rather than a composite of non-unique factors (e.g., name, </w:t>
      </w:r>
      <w:r w:rsidR="008815BC">
        <w:rPr>
          <w:rFonts w:ascii="Times New Roman" w:hAnsi="Times New Roman" w:cs="Times New Roman"/>
          <w:sz w:val="24"/>
          <w:szCs w:val="24"/>
        </w:rPr>
        <w:t>date of birth</w:t>
      </w:r>
      <w:r w:rsidRPr="000F00F3" w:rsidR="00E3647F">
        <w:rPr>
          <w:rFonts w:ascii="Times New Roman" w:hAnsi="Times New Roman" w:cs="Times New Roman"/>
          <w:sz w:val="24"/>
          <w:szCs w:val="24"/>
        </w:rPr>
        <w:t>).</w:t>
      </w:r>
    </w:p>
    <w:p w:rsidR="00723FC5" w:rsidRDefault="00723FC5" w14:paraId="72D53A3E" w14:textId="77777777">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rsidRPr="000F00F3" w:rsidR="00E3647F" w:rsidP="008766ED" w:rsidRDefault="00BB19F6" w14:paraId="05DBE175" w14:textId="741C0ABF">
      <w:pPr>
        <w:widowControl w:val="0"/>
        <w:autoSpaceDE w:val="0"/>
        <w:autoSpaceDN w:val="0"/>
        <w:adjustRightInd w:val="0"/>
        <w:spacing w:before="240" w:after="0" w:line="240" w:lineRule="auto"/>
        <w:rPr>
          <w:rFonts w:ascii="Times New Roman" w:hAnsi="Times New Roman" w:cs="Times New Roman"/>
          <w:sz w:val="24"/>
          <w:szCs w:val="24"/>
        </w:rPr>
      </w:pPr>
      <w:r w:rsidRPr="000F00F3">
        <w:rPr>
          <w:rFonts w:ascii="Times New Roman" w:hAnsi="Times New Roman" w:cs="Times New Roman"/>
          <w:b/>
          <w:sz w:val="24"/>
          <w:szCs w:val="24"/>
          <w:u w:val="single"/>
        </w:rPr>
        <w:t>12</w:t>
      </w:r>
      <w:r w:rsidR="00CF4C33">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w:t>
      </w:r>
      <w:r w:rsidRPr="000F00F3" w:rsidR="00E3647F">
        <w:rPr>
          <w:rFonts w:ascii="Times New Roman" w:hAnsi="Times New Roman" w:cs="Times New Roman"/>
          <w:b/>
          <w:sz w:val="24"/>
          <w:szCs w:val="24"/>
          <w:u w:val="single"/>
        </w:rPr>
        <w:t xml:space="preserve">stimates of Annualized Hour and Cost Burden </w:t>
      </w:r>
    </w:p>
    <w:p w:rsidRPr="000F00F3" w:rsidR="00E3647F" w:rsidP="008766ED" w:rsidRDefault="00E3647F" w14:paraId="41377544" w14:textId="4533B223">
      <w:pPr>
        <w:tabs>
          <w:tab w:val="num" w:pos="720"/>
        </w:tabs>
        <w:spacing w:before="120" w:line="240" w:lineRule="auto"/>
        <w:rPr>
          <w:rFonts w:ascii="Times New Roman" w:hAnsi="Times New Roman" w:cs="Times New Roman"/>
          <w:b/>
          <w:sz w:val="24"/>
          <w:szCs w:val="24"/>
          <w:highlight w:val="yellow"/>
        </w:rPr>
      </w:pPr>
      <w:r w:rsidRPr="000F00F3">
        <w:rPr>
          <w:rFonts w:ascii="Times New Roman" w:hAnsi="Times New Roman" w:cs="Times New Roman"/>
          <w:b/>
          <w:sz w:val="24"/>
          <w:szCs w:val="24"/>
        </w:rPr>
        <w:t>12A</w:t>
      </w:r>
      <w:r w:rsidR="00CF4C33">
        <w:rPr>
          <w:rFonts w:ascii="Times New Roman" w:hAnsi="Times New Roman" w:cs="Times New Roman"/>
          <w:b/>
          <w:sz w:val="24"/>
          <w:szCs w:val="24"/>
        </w:rPr>
        <w:t xml:space="preserve">.  </w:t>
      </w:r>
      <w:r w:rsidRPr="000F00F3">
        <w:rPr>
          <w:rFonts w:ascii="Times New Roman" w:hAnsi="Times New Roman" w:cs="Times New Roman"/>
          <w:sz w:val="24"/>
          <w:szCs w:val="24"/>
        </w:rPr>
        <w:t xml:space="preserve">       </w:t>
      </w:r>
      <w:r w:rsidRPr="000F00F3">
        <w:rPr>
          <w:rFonts w:ascii="Times New Roman" w:hAnsi="Times New Roman" w:cs="Times New Roman"/>
          <w:b/>
          <w:sz w:val="24"/>
          <w:szCs w:val="24"/>
        </w:rPr>
        <w:t>Estimated Annualized Burden Hours</w:t>
      </w:r>
    </w:p>
    <w:tbl>
      <w:tblPr>
        <w:tblStyle w:val="TableGrid"/>
        <w:tblW w:w="10949" w:type="dxa"/>
        <w:tblInd w:w="-545" w:type="dxa"/>
        <w:tblLayout w:type="fixed"/>
        <w:tblLook w:val="04A0" w:firstRow="1" w:lastRow="0" w:firstColumn="1" w:lastColumn="0" w:noHBand="0" w:noVBand="1"/>
      </w:tblPr>
      <w:tblGrid>
        <w:gridCol w:w="3600"/>
        <w:gridCol w:w="1620"/>
        <w:gridCol w:w="1710"/>
        <w:gridCol w:w="1350"/>
        <w:gridCol w:w="1463"/>
        <w:gridCol w:w="1206"/>
      </w:tblGrid>
      <w:tr w:rsidRPr="000F00F3" w:rsidR="00E3647F" w:rsidTr="00FF6011" w14:paraId="043C36CA" w14:textId="77777777">
        <w:trPr>
          <w:trHeight w:val="600"/>
        </w:trPr>
        <w:tc>
          <w:tcPr>
            <w:tcW w:w="3600" w:type="dxa"/>
            <w:noWrap/>
            <w:vAlign w:val="center"/>
            <w:hideMark/>
          </w:tcPr>
          <w:p w:rsidRPr="000F00F3" w:rsidR="00E3647F" w:rsidP="008766ED" w:rsidRDefault="00E3647F" w14:paraId="079A9A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bCs/>
                <w:sz w:val="24"/>
                <w:szCs w:val="24"/>
              </w:rPr>
            </w:pPr>
            <w:r w:rsidRPr="000F00F3">
              <w:rPr>
                <w:b/>
                <w:sz w:val="24"/>
                <w:szCs w:val="24"/>
              </w:rPr>
              <w:lastRenderedPageBreak/>
              <w:t>Form Name</w:t>
            </w:r>
          </w:p>
        </w:tc>
        <w:tc>
          <w:tcPr>
            <w:tcW w:w="1620" w:type="dxa"/>
            <w:vAlign w:val="center"/>
            <w:hideMark/>
          </w:tcPr>
          <w:p w:rsidRPr="000F00F3" w:rsidR="00E3647F" w:rsidP="008766ED" w:rsidRDefault="00E3647F" w14:paraId="5115CC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Number of Respondents</w:t>
            </w:r>
          </w:p>
        </w:tc>
        <w:tc>
          <w:tcPr>
            <w:tcW w:w="1710" w:type="dxa"/>
            <w:vAlign w:val="center"/>
            <w:hideMark/>
          </w:tcPr>
          <w:p w:rsidRPr="000F00F3" w:rsidR="00E3647F" w:rsidP="008766ED" w:rsidRDefault="00E3647F" w14:paraId="4C42FAC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Average Number of Responses per Respondent</w:t>
            </w:r>
          </w:p>
        </w:tc>
        <w:tc>
          <w:tcPr>
            <w:tcW w:w="1350" w:type="dxa"/>
            <w:vAlign w:val="center"/>
            <w:hideMark/>
          </w:tcPr>
          <w:p w:rsidRPr="000F00F3" w:rsidR="00E3647F" w:rsidP="008766ED" w:rsidRDefault="00E3647F" w14:paraId="409C54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Total Number of Responses</w:t>
            </w:r>
          </w:p>
        </w:tc>
        <w:tc>
          <w:tcPr>
            <w:tcW w:w="1463" w:type="dxa"/>
            <w:vAlign w:val="center"/>
            <w:hideMark/>
          </w:tcPr>
          <w:p w:rsidRPr="000F00F3" w:rsidR="00E3647F" w:rsidP="008766ED" w:rsidRDefault="00E3647F" w14:paraId="48685DC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Average Burden per Response (in hours)</w:t>
            </w:r>
          </w:p>
        </w:tc>
        <w:tc>
          <w:tcPr>
            <w:tcW w:w="1206" w:type="dxa"/>
            <w:noWrap/>
            <w:vAlign w:val="center"/>
            <w:hideMark/>
          </w:tcPr>
          <w:p w:rsidRPr="000F00F3" w:rsidR="00E3647F" w:rsidP="008766ED" w:rsidRDefault="00E3647F" w14:paraId="66E1EC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sz w:val="24"/>
                <w:szCs w:val="24"/>
              </w:rPr>
            </w:pPr>
            <w:r w:rsidRPr="000F00F3">
              <w:rPr>
                <w:b/>
                <w:bCs/>
                <w:sz w:val="24"/>
                <w:szCs w:val="24"/>
              </w:rPr>
              <w:t>Total Burden Hours</w:t>
            </w:r>
          </w:p>
        </w:tc>
      </w:tr>
      <w:tr w:rsidRPr="000F00F3" w:rsidR="00E3647F" w:rsidTr="00FF6011" w14:paraId="7CDB1F41" w14:textId="77777777">
        <w:trPr>
          <w:trHeight w:val="300"/>
        </w:trPr>
        <w:tc>
          <w:tcPr>
            <w:tcW w:w="3600" w:type="dxa"/>
            <w:noWrap/>
            <w:hideMark/>
          </w:tcPr>
          <w:p w:rsidRPr="000F00F3" w:rsidR="00E3647F" w:rsidP="008766ED" w:rsidRDefault="00E3647F" w14:paraId="150E8FE5" w14:textId="1D8E496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Potential Living Dono</w:t>
            </w:r>
            <w:r w:rsidR="0021692F">
              <w:rPr>
                <w:sz w:val="24"/>
                <w:szCs w:val="24"/>
              </w:rPr>
              <w:t>r Registration F</w:t>
            </w:r>
            <w:r w:rsidRPr="000F00F3">
              <w:rPr>
                <w:sz w:val="24"/>
                <w:szCs w:val="24"/>
              </w:rPr>
              <w:t>orm</w:t>
            </w:r>
          </w:p>
        </w:tc>
        <w:tc>
          <w:tcPr>
            <w:tcW w:w="1620" w:type="dxa"/>
            <w:noWrap/>
          </w:tcPr>
          <w:p w:rsidRPr="000F00F3" w:rsidR="00E3647F" w:rsidP="008766ED" w:rsidRDefault="00E3647F" w14:paraId="6AB2F3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16</w:t>
            </w:r>
            <w:r w:rsidRPr="000F00F3">
              <w:rPr>
                <w:sz w:val="24"/>
                <w:szCs w:val="24"/>
                <w:vertAlign w:val="superscript"/>
              </w:rPr>
              <w:t>a</w:t>
            </w:r>
          </w:p>
        </w:tc>
        <w:tc>
          <w:tcPr>
            <w:tcW w:w="1710" w:type="dxa"/>
            <w:noWrap/>
          </w:tcPr>
          <w:p w:rsidRPr="000F00F3" w:rsidR="00E3647F" w:rsidP="008766ED" w:rsidRDefault="00E3647F" w14:paraId="6E38F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112</w:t>
            </w:r>
            <w:r w:rsidRPr="000F00F3">
              <w:rPr>
                <w:sz w:val="24"/>
                <w:szCs w:val="24"/>
                <w:vertAlign w:val="superscript"/>
              </w:rPr>
              <w:t>c</w:t>
            </w:r>
          </w:p>
        </w:tc>
        <w:tc>
          <w:tcPr>
            <w:tcW w:w="1350" w:type="dxa"/>
            <w:noWrap/>
          </w:tcPr>
          <w:p w:rsidRPr="000F00F3" w:rsidR="00E3647F" w:rsidP="008766ED" w:rsidRDefault="00E3647F" w14:paraId="19ECEB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r w:rsidRPr="000F00F3" w:rsidR="00BB19F6">
              <w:rPr>
                <w:sz w:val="24"/>
                <w:szCs w:val="24"/>
              </w:rPr>
              <w:t>,</w:t>
            </w:r>
            <w:r w:rsidRPr="000F00F3">
              <w:rPr>
                <w:sz w:val="24"/>
                <w:szCs w:val="24"/>
              </w:rPr>
              <w:t>79</w:t>
            </w:r>
            <w:r w:rsidRPr="000F00F3" w:rsidR="00BB19F6">
              <w:rPr>
                <w:sz w:val="24"/>
                <w:szCs w:val="24"/>
              </w:rPr>
              <w:t>2</w:t>
            </w:r>
            <w:r w:rsidRPr="000F00F3">
              <w:rPr>
                <w:sz w:val="24"/>
                <w:szCs w:val="24"/>
                <w:vertAlign w:val="superscript"/>
              </w:rPr>
              <w:t>c</w:t>
            </w:r>
          </w:p>
        </w:tc>
        <w:tc>
          <w:tcPr>
            <w:tcW w:w="1463" w:type="dxa"/>
            <w:noWrap/>
          </w:tcPr>
          <w:p w:rsidRPr="000F00F3" w:rsidR="00E3647F" w:rsidP="008766ED" w:rsidRDefault="0055451B" w14:paraId="3101BF11" w14:textId="737C29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BB19F6">
              <w:rPr>
                <w:sz w:val="24"/>
                <w:szCs w:val="24"/>
              </w:rPr>
              <w:t>.27</w:t>
            </w:r>
            <w:r w:rsidRPr="000F00F3" w:rsidR="00E3647F">
              <w:rPr>
                <w:sz w:val="24"/>
                <w:szCs w:val="24"/>
                <w:vertAlign w:val="superscript"/>
              </w:rPr>
              <w:t>e</w:t>
            </w:r>
          </w:p>
        </w:tc>
        <w:tc>
          <w:tcPr>
            <w:tcW w:w="1206" w:type="dxa"/>
            <w:noWrap/>
          </w:tcPr>
          <w:p w:rsidRPr="000F00F3" w:rsidR="00E3647F" w:rsidP="008766ED" w:rsidRDefault="00E3647F" w14:paraId="2B0BC0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4</w:t>
            </w:r>
            <w:r w:rsidRPr="000F00F3" w:rsidR="00BB19F6">
              <w:rPr>
                <w:sz w:val="24"/>
                <w:szCs w:val="24"/>
              </w:rPr>
              <w:t>84</w:t>
            </w:r>
          </w:p>
        </w:tc>
      </w:tr>
      <w:tr w:rsidRPr="000F00F3" w:rsidR="00E3647F" w:rsidTr="00FF6011" w14:paraId="112F149E" w14:textId="77777777">
        <w:trPr>
          <w:trHeight w:val="300"/>
        </w:trPr>
        <w:tc>
          <w:tcPr>
            <w:tcW w:w="3600" w:type="dxa"/>
            <w:noWrap/>
          </w:tcPr>
          <w:p w:rsidRPr="000F00F3" w:rsidR="00E3647F" w:rsidP="008766ED" w:rsidRDefault="00E3647F" w14:paraId="7D4AEFCE" w14:textId="62ECB8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Po</w:t>
            </w:r>
            <w:r w:rsidR="0021692F">
              <w:rPr>
                <w:sz w:val="24"/>
                <w:szCs w:val="24"/>
              </w:rPr>
              <w:t>tential Living Donor Follow-up F</w:t>
            </w:r>
            <w:r w:rsidRPr="000F00F3">
              <w:rPr>
                <w:sz w:val="24"/>
                <w:szCs w:val="24"/>
              </w:rPr>
              <w:t xml:space="preserve">orm </w:t>
            </w:r>
          </w:p>
        </w:tc>
        <w:tc>
          <w:tcPr>
            <w:tcW w:w="1620" w:type="dxa"/>
            <w:noWrap/>
          </w:tcPr>
          <w:p w:rsidRPr="000F00F3" w:rsidR="00E3647F" w:rsidP="008766ED" w:rsidRDefault="00E3647F" w14:paraId="3EDEA0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754</w:t>
            </w:r>
            <w:r w:rsidRPr="00546B83">
              <w:rPr>
                <w:sz w:val="24"/>
                <w:szCs w:val="24"/>
                <w:vertAlign w:val="superscript"/>
              </w:rPr>
              <w:t>b</w:t>
            </w:r>
          </w:p>
        </w:tc>
        <w:tc>
          <w:tcPr>
            <w:tcW w:w="1710" w:type="dxa"/>
            <w:noWrap/>
          </w:tcPr>
          <w:p w:rsidRPr="000F00F3" w:rsidR="00E3647F" w:rsidP="008766ED" w:rsidRDefault="00E3647F" w14:paraId="7DD198D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p>
        </w:tc>
        <w:tc>
          <w:tcPr>
            <w:tcW w:w="1350" w:type="dxa"/>
            <w:noWrap/>
          </w:tcPr>
          <w:p w:rsidRPr="000F00F3" w:rsidR="00E3647F" w:rsidP="008766ED" w:rsidRDefault="00E3647F" w14:paraId="6CE2498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754</w:t>
            </w:r>
            <w:r w:rsidRPr="000F00F3">
              <w:rPr>
                <w:sz w:val="24"/>
                <w:szCs w:val="24"/>
                <w:vertAlign w:val="superscript"/>
              </w:rPr>
              <w:t>d</w:t>
            </w:r>
          </w:p>
        </w:tc>
        <w:tc>
          <w:tcPr>
            <w:tcW w:w="1463" w:type="dxa"/>
            <w:noWrap/>
          </w:tcPr>
          <w:p w:rsidRPr="000F00F3" w:rsidR="00E3647F" w:rsidP="008766ED" w:rsidRDefault="0055451B" w14:paraId="402B819B" w14:textId="7D6098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E3647F">
              <w:rPr>
                <w:sz w:val="24"/>
                <w:szCs w:val="24"/>
              </w:rPr>
              <w:t>.</w:t>
            </w:r>
            <w:r w:rsidRPr="000F00F3" w:rsidR="00BB19F6">
              <w:rPr>
                <w:sz w:val="24"/>
                <w:szCs w:val="24"/>
              </w:rPr>
              <w:t>50</w:t>
            </w:r>
            <w:r w:rsidRPr="000F00F3" w:rsidR="00E3647F">
              <w:rPr>
                <w:sz w:val="24"/>
                <w:szCs w:val="24"/>
                <w:vertAlign w:val="superscript"/>
              </w:rPr>
              <w:t>f</w:t>
            </w:r>
          </w:p>
        </w:tc>
        <w:tc>
          <w:tcPr>
            <w:tcW w:w="1206" w:type="dxa"/>
            <w:noWrap/>
          </w:tcPr>
          <w:p w:rsidRPr="000F00F3" w:rsidR="00E3647F" w:rsidP="008766ED" w:rsidRDefault="00E3647F" w14:paraId="6017EE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377</w:t>
            </w:r>
          </w:p>
        </w:tc>
      </w:tr>
      <w:tr w:rsidRPr="000F00F3" w:rsidR="00E3647F" w:rsidTr="00FF6011" w14:paraId="04A61505" w14:textId="77777777">
        <w:trPr>
          <w:trHeight w:val="300"/>
        </w:trPr>
        <w:tc>
          <w:tcPr>
            <w:tcW w:w="3600" w:type="dxa"/>
            <w:noWrap/>
          </w:tcPr>
          <w:p w:rsidRPr="000F00F3" w:rsidR="00E3647F" w:rsidP="0021692F" w:rsidRDefault="00E3647F" w14:paraId="5636B535" w14:textId="1E0F6B3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szCs w:val="24"/>
              </w:rPr>
            </w:pPr>
            <w:r w:rsidRPr="000F00F3">
              <w:rPr>
                <w:sz w:val="24"/>
                <w:szCs w:val="24"/>
              </w:rPr>
              <w:t xml:space="preserve">Reasons Did </w:t>
            </w:r>
            <w:r w:rsidR="0021692F">
              <w:rPr>
                <w:sz w:val="24"/>
                <w:szCs w:val="24"/>
              </w:rPr>
              <w:t>N</w:t>
            </w:r>
            <w:r w:rsidRPr="000F00F3">
              <w:rPr>
                <w:sz w:val="24"/>
                <w:szCs w:val="24"/>
              </w:rPr>
              <w:t>ot Do</w:t>
            </w:r>
            <w:r w:rsidR="0021692F">
              <w:rPr>
                <w:sz w:val="24"/>
                <w:szCs w:val="24"/>
              </w:rPr>
              <w:t>nate F</w:t>
            </w:r>
            <w:r w:rsidRPr="000F00F3">
              <w:rPr>
                <w:sz w:val="24"/>
                <w:szCs w:val="24"/>
              </w:rPr>
              <w:t>orm (</w:t>
            </w:r>
            <w:r w:rsidR="0021692F">
              <w:rPr>
                <w:sz w:val="24"/>
                <w:szCs w:val="24"/>
              </w:rPr>
              <w:t>Liver or K</w:t>
            </w:r>
            <w:r w:rsidRPr="000F00F3">
              <w:rPr>
                <w:sz w:val="24"/>
                <w:szCs w:val="24"/>
              </w:rPr>
              <w:t>idney)</w:t>
            </w:r>
          </w:p>
        </w:tc>
        <w:tc>
          <w:tcPr>
            <w:tcW w:w="1620" w:type="dxa"/>
            <w:noWrap/>
          </w:tcPr>
          <w:p w:rsidRPr="000F00F3" w:rsidR="00E3647F" w:rsidP="008766ED" w:rsidRDefault="00E3647F" w14:paraId="0BD29ADB" w14:textId="42EF9F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16</w:t>
            </w:r>
            <w:r w:rsidRPr="000F00F3" w:rsidR="000E6F9D">
              <w:rPr>
                <w:sz w:val="24"/>
                <w:szCs w:val="24"/>
                <w:vertAlign w:val="superscript"/>
              </w:rPr>
              <w:t>a</w:t>
            </w:r>
          </w:p>
        </w:tc>
        <w:tc>
          <w:tcPr>
            <w:tcW w:w="1710" w:type="dxa"/>
            <w:noWrap/>
          </w:tcPr>
          <w:p w:rsidRPr="000F00F3" w:rsidR="00E3647F" w:rsidP="008766ED" w:rsidRDefault="00E3647F" w14:paraId="298B8CE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106</w:t>
            </w:r>
            <w:r w:rsidRPr="000F00F3">
              <w:rPr>
                <w:sz w:val="24"/>
                <w:szCs w:val="24"/>
                <w:vertAlign w:val="superscript"/>
              </w:rPr>
              <w:t>c</w:t>
            </w:r>
          </w:p>
        </w:tc>
        <w:tc>
          <w:tcPr>
            <w:tcW w:w="1350" w:type="dxa"/>
            <w:noWrap/>
          </w:tcPr>
          <w:p w:rsidRPr="000F00F3" w:rsidR="00E3647F" w:rsidP="008766ED" w:rsidRDefault="00E3647F" w14:paraId="69A9C0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1</w:t>
            </w:r>
            <w:r w:rsidRPr="000F00F3" w:rsidR="00BB19F6">
              <w:rPr>
                <w:sz w:val="24"/>
                <w:szCs w:val="24"/>
              </w:rPr>
              <w:t>,</w:t>
            </w:r>
            <w:r w:rsidRPr="000F00F3">
              <w:rPr>
                <w:sz w:val="24"/>
                <w:szCs w:val="24"/>
              </w:rPr>
              <w:t>69</w:t>
            </w:r>
            <w:r w:rsidRPr="000F00F3" w:rsidR="00BB19F6">
              <w:rPr>
                <w:sz w:val="24"/>
                <w:szCs w:val="24"/>
              </w:rPr>
              <w:t>6</w:t>
            </w:r>
            <w:r w:rsidRPr="000F00F3">
              <w:rPr>
                <w:sz w:val="24"/>
                <w:szCs w:val="24"/>
                <w:vertAlign w:val="superscript"/>
              </w:rPr>
              <w:t>c</w:t>
            </w:r>
          </w:p>
        </w:tc>
        <w:tc>
          <w:tcPr>
            <w:tcW w:w="1463" w:type="dxa"/>
            <w:noWrap/>
          </w:tcPr>
          <w:p w:rsidRPr="000F00F3" w:rsidR="00E3647F" w:rsidP="008766ED" w:rsidRDefault="0055451B" w14:paraId="303E7004" w14:textId="7DB7E9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0</w:t>
            </w:r>
            <w:r w:rsidRPr="000F00F3" w:rsidR="00E3647F">
              <w:rPr>
                <w:sz w:val="24"/>
                <w:szCs w:val="24"/>
              </w:rPr>
              <w:t>.</w:t>
            </w:r>
            <w:r w:rsidRPr="000F00F3" w:rsidR="00BB19F6">
              <w:rPr>
                <w:sz w:val="24"/>
                <w:szCs w:val="24"/>
              </w:rPr>
              <w:t>23</w:t>
            </w:r>
            <w:r w:rsidRPr="000F00F3" w:rsidR="00E3647F">
              <w:rPr>
                <w:sz w:val="24"/>
                <w:szCs w:val="24"/>
                <w:vertAlign w:val="superscript"/>
              </w:rPr>
              <w:t>g</w:t>
            </w:r>
          </w:p>
        </w:tc>
        <w:tc>
          <w:tcPr>
            <w:tcW w:w="1206" w:type="dxa"/>
            <w:noWrap/>
          </w:tcPr>
          <w:p w:rsidRPr="000F00F3" w:rsidR="00E3647F" w:rsidP="008766ED" w:rsidRDefault="00E3647F" w14:paraId="665C11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sz w:val="24"/>
                <w:szCs w:val="24"/>
              </w:rPr>
            </w:pPr>
            <w:r w:rsidRPr="000F00F3">
              <w:rPr>
                <w:sz w:val="24"/>
                <w:szCs w:val="24"/>
              </w:rPr>
              <w:t>39</w:t>
            </w:r>
            <w:r w:rsidRPr="000F00F3" w:rsidR="00BB19F6">
              <w:rPr>
                <w:sz w:val="24"/>
                <w:szCs w:val="24"/>
              </w:rPr>
              <w:t>0</w:t>
            </w:r>
          </w:p>
          <w:p w:rsidRPr="000F00F3" w:rsidR="00E3647F" w:rsidP="008766ED" w:rsidRDefault="00E3647F" w14:paraId="752AC3CA" w14:textId="77777777">
            <w:pPr>
              <w:rPr>
                <w:sz w:val="24"/>
                <w:szCs w:val="24"/>
              </w:rPr>
            </w:pPr>
          </w:p>
        </w:tc>
      </w:tr>
      <w:tr w:rsidRPr="000F00F3" w:rsidR="00E3647F" w:rsidTr="00FF6011" w14:paraId="479FD3E3" w14:textId="77777777">
        <w:trPr>
          <w:trHeight w:val="300"/>
        </w:trPr>
        <w:tc>
          <w:tcPr>
            <w:tcW w:w="3600" w:type="dxa"/>
            <w:noWrap/>
            <w:hideMark/>
          </w:tcPr>
          <w:p w:rsidRPr="000F00F3" w:rsidR="00E3647F" w:rsidP="008766ED" w:rsidRDefault="00E3647F" w14:paraId="270C84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szCs w:val="24"/>
              </w:rPr>
            </w:pPr>
            <w:r w:rsidRPr="000F00F3">
              <w:rPr>
                <w:b/>
                <w:sz w:val="24"/>
                <w:szCs w:val="24"/>
              </w:rPr>
              <w:t>Total</w:t>
            </w:r>
          </w:p>
        </w:tc>
        <w:tc>
          <w:tcPr>
            <w:tcW w:w="1620" w:type="dxa"/>
            <w:noWrap/>
          </w:tcPr>
          <w:p w:rsidRPr="000F00F3" w:rsidR="00E3647F" w:rsidP="008766ED" w:rsidRDefault="00E3647F" w14:paraId="265105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786</w:t>
            </w:r>
            <w:r w:rsidRPr="000F00F3">
              <w:rPr>
                <w:b/>
                <w:sz w:val="24"/>
                <w:szCs w:val="24"/>
                <w:vertAlign w:val="superscript"/>
              </w:rPr>
              <w:t>a</w:t>
            </w:r>
          </w:p>
        </w:tc>
        <w:tc>
          <w:tcPr>
            <w:tcW w:w="1710" w:type="dxa"/>
            <w:noWrap/>
          </w:tcPr>
          <w:p w:rsidRPr="000F00F3" w:rsidR="00E3647F" w:rsidP="008766ED" w:rsidRDefault="00E3647F" w14:paraId="0D4407C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p>
        </w:tc>
        <w:tc>
          <w:tcPr>
            <w:tcW w:w="1350" w:type="dxa"/>
            <w:noWrap/>
          </w:tcPr>
          <w:p w:rsidRPr="000F00F3" w:rsidR="00E3647F" w:rsidP="008766ED" w:rsidRDefault="00E3647F" w14:paraId="05EA28DF" w14:textId="4B51576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4</w:t>
            </w:r>
            <w:r w:rsidRPr="000F00F3" w:rsidR="00BB19F6">
              <w:rPr>
                <w:b/>
                <w:sz w:val="24"/>
                <w:szCs w:val="24"/>
              </w:rPr>
              <w:t>,</w:t>
            </w:r>
            <w:r w:rsidRPr="000F00F3">
              <w:rPr>
                <w:b/>
                <w:sz w:val="24"/>
                <w:szCs w:val="24"/>
              </w:rPr>
              <w:t>2</w:t>
            </w:r>
            <w:r w:rsidR="00A424AD">
              <w:rPr>
                <w:b/>
                <w:sz w:val="24"/>
                <w:szCs w:val="24"/>
              </w:rPr>
              <w:t>42</w:t>
            </w:r>
          </w:p>
        </w:tc>
        <w:tc>
          <w:tcPr>
            <w:tcW w:w="1463" w:type="dxa"/>
            <w:noWrap/>
          </w:tcPr>
          <w:p w:rsidRPr="000F00F3" w:rsidR="00E3647F" w:rsidP="008766ED" w:rsidRDefault="00E3647F" w14:paraId="032E978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p>
        </w:tc>
        <w:tc>
          <w:tcPr>
            <w:tcW w:w="1206" w:type="dxa"/>
            <w:noWrap/>
          </w:tcPr>
          <w:p w:rsidRPr="000F00F3" w:rsidR="00E3647F" w:rsidP="008766ED" w:rsidRDefault="00E3647F" w14:paraId="2D76F4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sz w:val="24"/>
                <w:szCs w:val="24"/>
              </w:rPr>
            </w:pPr>
            <w:r w:rsidRPr="000F00F3">
              <w:rPr>
                <w:b/>
                <w:sz w:val="24"/>
                <w:szCs w:val="24"/>
              </w:rPr>
              <w:t>1</w:t>
            </w:r>
            <w:r w:rsidRPr="000F00F3" w:rsidR="00BB19F6">
              <w:rPr>
                <w:b/>
                <w:sz w:val="24"/>
                <w:szCs w:val="24"/>
              </w:rPr>
              <w:t>,</w:t>
            </w:r>
            <w:r w:rsidRPr="000F00F3">
              <w:rPr>
                <w:b/>
                <w:sz w:val="24"/>
                <w:szCs w:val="24"/>
              </w:rPr>
              <w:t>251</w:t>
            </w:r>
          </w:p>
        </w:tc>
      </w:tr>
    </w:tbl>
    <w:p w:rsidRPr="000F00F3" w:rsidR="00E3647F" w:rsidP="008766ED" w:rsidRDefault="00E3647F" w14:paraId="72CC4F6E" w14:textId="756E6B82">
      <w:pPr>
        <w:spacing w:before="120" w:line="240" w:lineRule="auto"/>
        <w:rPr>
          <w:rFonts w:ascii="Times New Roman" w:hAnsi="Times New Roman" w:cs="Times New Roman"/>
          <w:sz w:val="24"/>
          <w:szCs w:val="24"/>
        </w:rPr>
      </w:pPr>
      <w:r w:rsidRPr="000F00F3">
        <w:rPr>
          <w:rFonts w:ascii="Times New Roman" w:hAnsi="Times New Roman" w:cs="Times New Roman"/>
          <w:b/>
          <w:sz w:val="24"/>
          <w:szCs w:val="24"/>
        </w:rPr>
        <w:t>12B</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p>
    <w:tbl>
      <w:tblPr>
        <w:tblW w:w="11058"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27"/>
        <w:gridCol w:w="1530"/>
        <w:gridCol w:w="1440"/>
        <w:gridCol w:w="1373"/>
        <w:gridCol w:w="1260"/>
        <w:gridCol w:w="1057"/>
        <w:gridCol w:w="1080"/>
        <w:gridCol w:w="1091"/>
      </w:tblGrid>
      <w:tr w:rsidRPr="000F00F3" w:rsidR="00E3647F" w:rsidTr="00FF6011" w14:paraId="1A18D68C" w14:textId="77777777">
        <w:tc>
          <w:tcPr>
            <w:tcW w:w="2227" w:type="dxa"/>
          </w:tcPr>
          <w:p w:rsidRPr="000F00F3" w:rsidR="00E3647F" w:rsidP="008766ED" w:rsidRDefault="00E3647F" w14:paraId="231032E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r w:rsidRPr="000F00F3">
              <w:rPr>
                <w:rFonts w:ascii="Times New Roman" w:hAnsi="Times New Roman" w:cs="Times New Roman"/>
                <w:b/>
                <w:sz w:val="24"/>
                <w:szCs w:val="24"/>
              </w:rPr>
              <w:t>Type of Collection</w:t>
            </w:r>
          </w:p>
        </w:tc>
        <w:tc>
          <w:tcPr>
            <w:tcW w:w="1530" w:type="dxa"/>
          </w:tcPr>
          <w:p w:rsidRPr="000F00F3" w:rsidR="00E3647F" w:rsidP="008766ED" w:rsidRDefault="00E3647F" w14:paraId="3F7DE98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Number of Respondents</w:t>
            </w:r>
          </w:p>
        </w:tc>
        <w:tc>
          <w:tcPr>
            <w:tcW w:w="1440" w:type="dxa"/>
          </w:tcPr>
          <w:p w:rsidRPr="000F00F3" w:rsidR="00E3647F" w:rsidP="008766ED" w:rsidRDefault="00E3647F" w14:paraId="5C752541" w14:textId="77777777">
            <w:pPr>
              <w:pStyle w:val="Cen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b/>
                <w:szCs w:val="24"/>
              </w:rPr>
            </w:pPr>
            <w:r w:rsidRPr="000F00F3">
              <w:rPr>
                <w:b/>
                <w:szCs w:val="24"/>
              </w:rPr>
              <w:t>Average Number of Responses per Respondent</w:t>
            </w:r>
          </w:p>
        </w:tc>
        <w:tc>
          <w:tcPr>
            <w:tcW w:w="1373" w:type="dxa"/>
          </w:tcPr>
          <w:p w:rsidRPr="000F00F3" w:rsidR="00E3647F" w:rsidP="008766ED" w:rsidRDefault="00E3647F" w14:paraId="15230B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Number of Responses</w:t>
            </w:r>
          </w:p>
        </w:tc>
        <w:tc>
          <w:tcPr>
            <w:tcW w:w="1260" w:type="dxa"/>
          </w:tcPr>
          <w:p w:rsidRPr="000F00F3" w:rsidR="00E3647F" w:rsidP="008766ED" w:rsidRDefault="00E3647F" w14:paraId="7C7B16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 xml:space="preserve">Average Burden per Response (in </w:t>
            </w:r>
            <w:r w:rsidRPr="000F00F3" w:rsidR="006F3BEE">
              <w:rPr>
                <w:rFonts w:ascii="Times New Roman" w:hAnsi="Times New Roman" w:cs="Times New Roman"/>
                <w:b/>
                <w:sz w:val="24"/>
                <w:szCs w:val="24"/>
              </w:rPr>
              <w:t>h</w:t>
            </w:r>
            <w:r w:rsidRPr="000F00F3" w:rsidR="00BB19F6">
              <w:rPr>
                <w:rFonts w:ascii="Times New Roman" w:hAnsi="Times New Roman" w:cs="Times New Roman"/>
                <w:b/>
                <w:sz w:val="24"/>
                <w:szCs w:val="24"/>
              </w:rPr>
              <w:t>ours</w:t>
            </w:r>
            <w:r w:rsidRPr="000F00F3">
              <w:rPr>
                <w:rFonts w:ascii="Times New Roman" w:hAnsi="Times New Roman" w:cs="Times New Roman"/>
                <w:b/>
                <w:sz w:val="24"/>
                <w:szCs w:val="24"/>
              </w:rPr>
              <w:t>)</w:t>
            </w:r>
          </w:p>
        </w:tc>
        <w:tc>
          <w:tcPr>
            <w:tcW w:w="1057" w:type="dxa"/>
          </w:tcPr>
          <w:p w:rsidRPr="000F00F3" w:rsidR="00E3647F" w:rsidP="008766ED" w:rsidRDefault="00E3647F" w14:paraId="19205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Burden Hours</w:t>
            </w:r>
          </w:p>
        </w:tc>
        <w:tc>
          <w:tcPr>
            <w:tcW w:w="1080" w:type="dxa"/>
          </w:tcPr>
          <w:p w:rsidRPr="000F00F3" w:rsidR="00E3647F" w:rsidP="008766ED" w:rsidRDefault="00E3647F" w14:paraId="09FF8E0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Wage Rate</w:t>
            </w:r>
          </w:p>
        </w:tc>
        <w:tc>
          <w:tcPr>
            <w:tcW w:w="1091" w:type="dxa"/>
          </w:tcPr>
          <w:p w:rsidRPr="000F00F3" w:rsidR="00E3647F" w:rsidP="008766ED" w:rsidRDefault="00E3647F" w14:paraId="2BF968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Total Hour Cost</w:t>
            </w:r>
          </w:p>
        </w:tc>
      </w:tr>
      <w:tr w:rsidRPr="000F00F3" w:rsidR="00E3647F" w:rsidTr="00FF6011" w14:paraId="419FC959" w14:textId="77777777">
        <w:trPr>
          <w:trHeight w:val="552"/>
        </w:trPr>
        <w:tc>
          <w:tcPr>
            <w:tcW w:w="2227" w:type="dxa"/>
          </w:tcPr>
          <w:p w:rsidRPr="000F00F3" w:rsidR="00E3647F" w:rsidP="0021692F" w:rsidRDefault="00E3647F" w14:paraId="45EB71F4" w14:textId="7EDC761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Potential Living Donor Registration </w:t>
            </w:r>
            <w:r w:rsidR="0021692F">
              <w:rPr>
                <w:rFonts w:ascii="Times New Roman" w:hAnsi="Times New Roman" w:cs="Times New Roman"/>
                <w:sz w:val="24"/>
                <w:szCs w:val="24"/>
              </w:rPr>
              <w:t>F</w:t>
            </w:r>
            <w:r w:rsidRPr="000F00F3">
              <w:rPr>
                <w:rFonts w:ascii="Times New Roman" w:hAnsi="Times New Roman" w:cs="Times New Roman"/>
                <w:sz w:val="24"/>
                <w:szCs w:val="24"/>
              </w:rPr>
              <w:t>orm</w:t>
            </w:r>
          </w:p>
        </w:tc>
        <w:tc>
          <w:tcPr>
            <w:tcW w:w="1530" w:type="dxa"/>
            <w:vAlign w:val="center"/>
          </w:tcPr>
          <w:p w:rsidRPr="000F00F3" w:rsidR="00E3647F" w:rsidP="008766ED" w:rsidRDefault="00E3647F" w14:paraId="747F8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16</w:t>
            </w:r>
            <w:r w:rsidRPr="000F00F3">
              <w:rPr>
                <w:rFonts w:ascii="Times New Roman" w:hAnsi="Times New Roman" w:cs="Times New Roman"/>
                <w:sz w:val="24"/>
                <w:szCs w:val="24"/>
                <w:vertAlign w:val="superscript"/>
              </w:rPr>
              <w:t>a</w:t>
            </w:r>
          </w:p>
        </w:tc>
        <w:tc>
          <w:tcPr>
            <w:tcW w:w="1440" w:type="dxa"/>
            <w:vAlign w:val="center"/>
          </w:tcPr>
          <w:p w:rsidRPr="000F00F3" w:rsidR="00E3647F" w:rsidP="008766ED" w:rsidRDefault="00E3647F" w14:paraId="5B7320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112</w:t>
            </w:r>
            <w:r w:rsidRPr="000F00F3">
              <w:rPr>
                <w:rFonts w:ascii="Times New Roman" w:hAnsi="Times New Roman" w:cs="Times New Roman"/>
                <w:sz w:val="24"/>
                <w:szCs w:val="24"/>
                <w:vertAlign w:val="superscript"/>
              </w:rPr>
              <w:t>c</w:t>
            </w:r>
          </w:p>
        </w:tc>
        <w:tc>
          <w:tcPr>
            <w:tcW w:w="1373" w:type="dxa"/>
            <w:vAlign w:val="center"/>
          </w:tcPr>
          <w:p w:rsidRPr="00546B83" w:rsidR="00E3647F" w:rsidP="008766ED" w:rsidRDefault="00E3647F" w14:paraId="6AA7087C" w14:textId="5D0D10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highlight w:val="yellow"/>
              </w:rPr>
            </w:pPr>
            <w:r w:rsidRPr="00546B83">
              <w:rPr>
                <w:rFonts w:ascii="Times New Roman" w:hAnsi="Times New Roman" w:cs="Times New Roman"/>
                <w:sz w:val="24"/>
                <w:szCs w:val="24"/>
              </w:rPr>
              <w:t>1</w:t>
            </w:r>
            <w:r w:rsidRPr="00546B83" w:rsidR="00494CF6">
              <w:rPr>
                <w:rFonts w:ascii="Times New Roman" w:hAnsi="Times New Roman" w:cs="Times New Roman"/>
                <w:sz w:val="24"/>
                <w:szCs w:val="24"/>
              </w:rPr>
              <w:t>,</w:t>
            </w:r>
            <w:r w:rsidRPr="00546B83">
              <w:rPr>
                <w:rFonts w:ascii="Times New Roman" w:hAnsi="Times New Roman" w:cs="Times New Roman"/>
                <w:sz w:val="24"/>
                <w:szCs w:val="24"/>
              </w:rPr>
              <w:t>79</w:t>
            </w:r>
            <w:r w:rsidRPr="00546B83" w:rsidR="00A424AD">
              <w:rPr>
                <w:rFonts w:ascii="Times New Roman" w:hAnsi="Times New Roman" w:cs="Times New Roman"/>
                <w:sz w:val="24"/>
                <w:szCs w:val="24"/>
              </w:rPr>
              <w:t>2</w:t>
            </w:r>
            <w:r w:rsidRPr="00546B83">
              <w:rPr>
                <w:rFonts w:ascii="Times New Roman" w:hAnsi="Times New Roman" w:cs="Times New Roman"/>
                <w:sz w:val="24"/>
                <w:szCs w:val="24"/>
                <w:vertAlign w:val="superscript"/>
              </w:rPr>
              <w:t>c</w:t>
            </w:r>
          </w:p>
        </w:tc>
        <w:tc>
          <w:tcPr>
            <w:tcW w:w="1260" w:type="dxa"/>
            <w:vAlign w:val="center"/>
          </w:tcPr>
          <w:p w:rsidRPr="000F00F3" w:rsidR="00E3647F" w:rsidP="008766ED" w:rsidRDefault="0055451B" w14:paraId="24FD7396" w14:textId="13911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6F3BEE">
              <w:rPr>
                <w:rFonts w:ascii="Times New Roman" w:hAnsi="Times New Roman" w:cs="Times New Roman"/>
                <w:sz w:val="24"/>
                <w:szCs w:val="24"/>
              </w:rPr>
              <w:t>.27</w:t>
            </w:r>
            <w:r w:rsidRPr="000F00F3" w:rsidR="00E3647F">
              <w:rPr>
                <w:rFonts w:ascii="Times New Roman" w:hAnsi="Times New Roman" w:cs="Times New Roman"/>
                <w:sz w:val="24"/>
                <w:szCs w:val="24"/>
                <w:vertAlign w:val="superscript"/>
              </w:rPr>
              <w:t>e</w:t>
            </w:r>
          </w:p>
        </w:tc>
        <w:tc>
          <w:tcPr>
            <w:tcW w:w="1057" w:type="dxa"/>
            <w:vAlign w:val="center"/>
          </w:tcPr>
          <w:p w:rsidRPr="000F00F3" w:rsidR="00E3647F" w:rsidP="008766ED" w:rsidRDefault="00E3647F" w14:paraId="2A48029B" w14:textId="3E8201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4</w:t>
            </w:r>
            <w:r w:rsidR="00A424AD">
              <w:rPr>
                <w:rFonts w:ascii="Times New Roman" w:hAnsi="Times New Roman" w:cs="Times New Roman"/>
                <w:sz w:val="24"/>
                <w:szCs w:val="24"/>
              </w:rPr>
              <w:t>84</w:t>
            </w:r>
          </w:p>
        </w:tc>
        <w:tc>
          <w:tcPr>
            <w:tcW w:w="1080" w:type="dxa"/>
            <w:vAlign w:val="center"/>
          </w:tcPr>
          <w:p w:rsidRPr="000F00F3" w:rsidR="00E3647F" w:rsidP="008766ED" w:rsidRDefault="00E3647F" w14:paraId="2798C83B" w14:textId="3B75A2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r w:rsidRPr="000F00F3" w:rsidR="00C87E6D">
              <w:rPr>
                <w:rFonts w:ascii="Times New Roman" w:hAnsi="Times New Roman" w:cs="Times New Roman"/>
                <w:sz w:val="24"/>
                <w:szCs w:val="24"/>
              </w:rPr>
              <w:t>37.77</w:t>
            </w:r>
            <w:r w:rsidRPr="000F00F3">
              <w:rPr>
                <w:rFonts w:ascii="Times New Roman" w:hAnsi="Times New Roman" w:cs="Times New Roman"/>
                <w:sz w:val="24"/>
                <w:szCs w:val="24"/>
                <w:vertAlign w:val="superscript"/>
              </w:rPr>
              <w:t>h</w:t>
            </w:r>
          </w:p>
        </w:tc>
        <w:tc>
          <w:tcPr>
            <w:tcW w:w="1091" w:type="dxa"/>
            <w:vAlign w:val="center"/>
          </w:tcPr>
          <w:p w:rsidRPr="000F00F3" w:rsidR="00E3647F" w:rsidP="008766ED" w:rsidRDefault="00E3647F" w14:paraId="2B4643B2" w14:textId="39FD9A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w:t>
            </w:r>
            <w:r w:rsidRPr="000F00F3" w:rsidR="00C87E6D">
              <w:rPr>
                <w:rFonts w:ascii="Times New Roman" w:hAnsi="Times New Roman" w:cs="Times New Roman"/>
                <w:sz w:val="24"/>
                <w:szCs w:val="24"/>
              </w:rPr>
              <w:t>8</w:t>
            </w:r>
            <w:r w:rsidRPr="000F00F3">
              <w:rPr>
                <w:rFonts w:ascii="Times New Roman" w:hAnsi="Times New Roman" w:cs="Times New Roman"/>
                <w:sz w:val="24"/>
                <w:szCs w:val="24"/>
              </w:rPr>
              <w:t>,</w:t>
            </w:r>
            <w:r w:rsidRPr="000F00F3" w:rsidR="00C87E6D">
              <w:rPr>
                <w:rFonts w:ascii="Times New Roman" w:hAnsi="Times New Roman" w:cs="Times New Roman"/>
                <w:sz w:val="24"/>
                <w:szCs w:val="24"/>
              </w:rPr>
              <w:t>054</w:t>
            </w:r>
          </w:p>
        </w:tc>
      </w:tr>
      <w:tr w:rsidRPr="000F00F3" w:rsidR="00E3647F" w:rsidTr="00FF6011" w14:paraId="550738C7" w14:textId="77777777">
        <w:trPr>
          <w:trHeight w:val="552"/>
        </w:trPr>
        <w:tc>
          <w:tcPr>
            <w:tcW w:w="2227" w:type="dxa"/>
            <w:shd w:val="clear" w:color="auto" w:fill="auto"/>
          </w:tcPr>
          <w:p w:rsidRPr="000F00F3" w:rsidR="00E3647F" w:rsidP="0021692F" w:rsidRDefault="00827E54" w14:paraId="29FC3253" w14:textId="168B27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Potential Living Donor Follow-up </w:t>
            </w:r>
            <w:r w:rsidR="0021692F">
              <w:rPr>
                <w:rFonts w:ascii="Times New Roman" w:hAnsi="Times New Roman" w:cs="Times New Roman"/>
                <w:sz w:val="24"/>
                <w:szCs w:val="24"/>
              </w:rPr>
              <w:t>F</w:t>
            </w:r>
            <w:r w:rsidRPr="000F00F3">
              <w:rPr>
                <w:rFonts w:ascii="Times New Roman" w:hAnsi="Times New Roman" w:cs="Times New Roman"/>
                <w:sz w:val="24"/>
                <w:szCs w:val="24"/>
              </w:rPr>
              <w:t>orm</w:t>
            </w:r>
          </w:p>
        </w:tc>
        <w:tc>
          <w:tcPr>
            <w:tcW w:w="1530" w:type="dxa"/>
            <w:vAlign w:val="center"/>
          </w:tcPr>
          <w:p w:rsidRPr="000F00F3" w:rsidR="00E3647F" w:rsidP="008766ED" w:rsidRDefault="00E3647F" w14:paraId="4B236F9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754</w:t>
            </w:r>
            <w:r w:rsidRPr="000F00F3">
              <w:rPr>
                <w:rFonts w:ascii="Times New Roman" w:hAnsi="Times New Roman" w:cs="Times New Roman"/>
                <w:sz w:val="24"/>
                <w:szCs w:val="24"/>
                <w:vertAlign w:val="superscript"/>
              </w:rPr>
              <w:t>b</w:t>
            </w:r>
          </w:p>
        </w:tc>
        <w:tc>
          <w:tcPr>
            <w:tcW w:w="1440" w:type="dxa"/>
            <w:vAlign w:val="center"/>
          </w:tcPr>
          <w:p w:rsidRPr="000F00F3" w:rsidR="00E3647F" w:rsidP="008766ED" w:rsidRDefault="00E3647F" w14:paraId="297C10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w:t>
            </w:r>
          </w:p>
        </w:tc>
        <w:tc>
          <w:tcPr>
            <w:tcW w:w="1373" w:type="dxa"/>
            <w:vAlign w:val="center"/>
          </w:tcPr>
          <w:p w:rsidRPr="000F00F3" w:rsidR="00E3647F" w:rsidP="008766ED" w:rsidRDefault="00E3647F" w14:paraId="1794BD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754</w:t>
            </w:r>
            <w:r w:rsidRPr="000F00F3">
              <w:rPr>
                <w:rFonts w:ascii="Times New Roman" w:hAnsi="Times New Roman" w:cs="Times New Roman"/>
                <w:sz w:val="24"/>
                <w:szCs w:val="24"/>
                <w:vertAlign w:val="superscript"/>
              </w:rPr>
              <w:t>d</w:t>
            </w:r>
          </w:p>
        </w:tc>
        <w:tc>
          <w:tcPr>
            <w:tcW w:w="1260" w:type="dxa"/>
            <w:vAlign w:val="center"/>
          </w:tcPr>
          <w:p w:rsidRPr="000F00F3" w:rsidR="00E3647F" w:rsidP="008766ED" w:rsidRDefault="0055451B" w14:paraId="40407399" w14:textId="3FCE05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E3647F">
              <w:rPr>
                <w:rFonts w:ascii="Times New Roman" w:hAnsi="Times New Roman" w:cs="Times New Roman"/>
                <w:sz w:val="24"/>
                <w:szCs w:val="24"/>
              </w:rPr>
              <w:t>.</w:t>
            </w:r>
            <w:r w:rsidRPr="000F00F3" w:rsidR="006F3BEE">
              <w:rPr>
                <w:rFonts w:ascii="Times New Roman" w:hAnsi="Times New Roman" w:cs="Times New Roman"/>
                <w:sz w:val="24"/>
                <w:szCs w:val="24"/>
              </w:rPr>
              <w:t>50</w:t>
            </w:r>
            <w:r w:rsidRPr="000F00F3" w:rsidR="00E3647F">
              <w:rPr>
                <w:rFonts w:ascii="Times New Roman" w:hAnsi="Times New Roman" w:cs="Times New Roman"/>
                <w:sz w:val="24"/>
                <w:szCs w:val="24"/>
                <w:vertAlign w:val="superscript"/>
              </w:rPr>
              <w:t>f</w:t>
            </w:r>
          </w:p>
        </w:tc>
        <w:tc>
          <w:tcPr>
            <w:tcW w:w="1057" w:type="dxa"/>
            <w:vAlign w:val="center"/>
          </w:tcPr>
          <w:p w:rsidRPr="000F00F3" w:rsidR="00E3647F" w:rsidP="008766ED" w:rsidRDefault="00E3647F" w14:paraId="039F90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377</w:t>
            </w:r>
          </w:p>
        </w:tc>
        <w:tc>
          <w:tcPr>
            <w:tcW w:w="1080" w:type="dxa"/>
            <w:vAlign w:val="center"/>
          </w:tcPr>
          <w:p w:rsidRPr="000F00F3" w:rsidR="00E3647F" w:rsidP="008766ED" w:rsidRDefault="00E3647F" w14:paraId="1B6F73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p>
        </w:tc>
        <w:tc>
          <w:tcPr>
            <w:tcW w:w="1091" w:type="dxa"/>
            <w:vAlign w:val="center"/>
          </w:tcPr>
          <w:p w:rsidRPr="000F00F3" w:rsidR="00E3647F" w:rsidP="008766ED" w:rsidRDefault="00E3647F" w14:paraId="1DB57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p>
        </w:tc>
      </w:tr>
      <w:tr w:rsidRPr="000F00F3" w:rsidR="00BB19F6" w:rsidTr="00FF6011" w14:paraId="277D58D5" w14:textId="77777777">
        <w:trPr>
          <w:trHeight w:val="552"/>
        </w:trPr>
        <w:tc>
          <w:tcPr>
            <w:tcW w:w="2227" w:type="dxa"/>
            <w:shd w:val="clear" w:color="auto" w:fill="auto"/>
          </w:tcPr>
          <w:p w:rsidRPr="000F00F3" w:rsidR="00BB19F6" w:rsidP="0021692F" w:rsidRDefault="00827E54" w14:paraId="111A1119" w14:textId="194FF9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sz w:val="24"/>
                <w:szCs w:val="24"/>
              </w:rPr>
            </w:pPr>
            <w:r w:rsidRPr="000F00F3">
              <w:rPr>
                <w:rFonts w:ascii="Times New Roman" w:hAnsi="Times New Roman" w:cs="Times New Roman"/>
                <w:sz w:val="24"/>
                <w:szCs w:val="24"/>
              </w:rPr>
              <w:t xml:space="preserve">Reasons Did </w:t>
            </w:r>
            <w:r w:rsidR="0021692F">
              <w:rPr>
                <w:rFonts w:ascii="Times New Roman" w:hAnsi="Times New Roman" w:cs="Times New Roman"/>
                <w:sz w:val="24"/>
                <w:szCs w:val="24"/>
              </w:rPr>
              <w:t>N</w:t>
            </w:r>
            <w:r w:rsidRPr="000F00F3">
              <w:rPr>
                <w:rFonts w:ascii="Times New Roman" w:hAnsi="Times New Roman" w:cs="Times New Roman"/>
                <w:sz w:val="24"/>
                <w:szCs w:val="24"/>
              </w:rPr>
              <w:t xml:space="preserve">ot Donate </w:t>
            </w:r>
            <w:r w:rsidR="0021692F">
              <w:rPr>
                <w:rFonts w:ascii="Times New Roman" w:hAnsi="Times New Roman" w:cs="Times New Roman"/>
                <w:sz w:val="24"/>
                <w:szCs w:val="24"/>
              </w:rPr>
              <w:t>F</w:t>
            </w:r>
            <w:r w:rsidRPr="000F00F3">
              <w:rPr>
                <w:rFonts w:ascii="Times New Roman" w:hAnsi="Times New Roman" w:cs="Times New Roman"/>
                <w:sz w:val="24"/>
                <w:szCs w:val="24"/>
              </w:rPr>
              <w:t>orm (</w:t>
            </w:r>
            <w:r w:rsidR="0021692F">
              <w:rPr>
                <w:rFonts w:ascii="Times New Roman" w:hAnsi="Times New Roman" w:cs="Times New Roman"/>
                <w:sz w:val="24"/>
                <w:szCs w:val="24"/>
              </w:rPr>
              <w:t>Liver or K</w:t>
            </w:r>
            <w:r w:rsidRPr="000F00F3">
              <w:rPr>
                <w:rFonts w:ascii="Times New Roman" w:hAnsi="Times New Roman" w:cs="Times New Roman"/>
                <w:sz w:val="24"/>
                <w:szCs w:val="24"/>
              </w:rPr>
              <w:t>idney)</w:t>
            </w:r>
          </w:p>
        </w:tc>
        <w:tc>
          <w:tcPr>
            <w:tcW w:w="1530" w:type="dxa"/>
            <w:vAlign w:val="center"/>
          </w:tcPr>
          <w:p w:rsidRPr="000F00F3" w:rsidR="00BB19F6" w:rsidP="008766ED" w:rsidRDefault="00BB19F6" w14:paraId="300EA7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16</w:t>
            </w:r>
            <w:r w:rsidRPr="000F00F3">
              <w:rPr>
                <w:rFonts w:ascii="Times New Roman" w:hAnsi="Times New Roman" w:cs="Times New Roman"/>
                <w:sz w:val="24"/>
                <w:szCs w:val="24"/>
                <w:vertAlign w:val="superscript"/>
              </w:rPr>
              <w:t>b</w:t>
            </w:r>
          </w:p>
        </w:tc>
        <w:tc>
          <w:tcPr>
            <w:tcW w:w="1440" w:type="dxa"/>
            <w:vAlign w:val="center"/>
          </w:tcPr>
          <w:p w:rsidRPr="000F00F3" w:rsidR="00BB19F6" w:rsidP="008766ED" w:rsidRDefault="00BB19F6" w14:paraId="3D4274A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106</w:t>
            </w:r>
            <w:r w:rsidRPr="000F00F3">
              <w:rPr>
                <w:rFonts w:ascii="Times New Roman" w:hAnsi="Times New Roman" w:cs="Times New Roman"/>
                <w:sz w:val="24"/>
                <w:szCs w:val="24"/>
                <w:vertAlign w:val="superscript"/>
              </w:rPr>
              <w:t>c</w:t>
            </w:r>
          </w:p>
        </w:tc>
        <w:tc>
          <w:tcPr>
            <w:tcW w:w="1373" w:type="dxa"/>
            <w:vAlign w:val="center"/>
          </w:tcPr>
          <w:p w:rsidRPr="000F00F3" w:rsidR="00BB19F6" w:rsidP="008766ED" w:rsidRDefault="00BB19F6" w14:paraId="39821358" w14:textId="2A23B1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546B83">
              <w:rPr>
                <w:rFonts w:ascii="Times New Roman" w:hAnsi="Times New Roman" w:cs="Times New Roman"/>
                <w:sz w:val="24"/>
                <w:szCs w:val="24"/>
              </w:rPr>
              <w:t>1</w:t>
            </w:r>
            <w:r w:rsidRPr="00546B83" w:rsidR="00494CF6">
              <w:rPr>
                <w:rFonts w:ascii="Times New Roman" w:hAnsi="Times New Roman" w:cs="Times New Roman"/>
                <w:sz w:val="24"/>
                <w:szCs w:val="24"/>
              </w:rPr>
              <w:t>,</w:t>
            </w:r>
            <w:r w:rsidRPr="00546B83">
              <w:rPr>
                <w:rFonts w:ascii="Times New Roman" w:hAnsi="Times New Roman" w:cs="Times New Roman"/>
                <w:sz w:val="24"/>
                <w:szCs w:val="24"/>
              </w:rPr>
              <w:t>69</w:t>
            </w:r>
            <w:r w:rsidRPr="00546B83" w:rsidR="00A424AD">
              <w:rPr>
                <w:rFonts w:ascii="Times New Roman" w:hAnsi="Times New Roman" w:cs="Times New Roman"/>
                <w:sz w:val="24"/>
                <w:szCs w:val="24"/>
              </w:rPr>
              <w:t>6</w:t>
            </w:r>
            <w:r w:rsidRPr="00546B83">
              <w:rPr>
                <w:rFonts w:ascii="Times New Roman" w:hAnsi="Times New Roman" w:cs="Times New Roman"/>
                <w:sz w:val="24"/>
                <w:szCs w:val="24"/>
                <w:vertAlign w:val="superscript"/>
              </w:rPr>
              <w:t>c</w:t>
            </w:r>
          </w:p>
        </w:tc>
        <w:tc>
          <w:tcPr>
            <w:tcW w:w="1260" w:type="dxa"/>
            <w:vAlign w:val="center"/>
          </w:tcPr>
          <w:p w:rsidRPr="000F00F3" w:rsidR="00BB19F6" w:rsidP="008766ED" w:rsidRDefault="0055451B" w14:paraId="4E2CE74B" w14:textId="5DC1FD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0</w:t>
            </w:r>
            <w:r w:rsidRPr="000F00F3" w:rsidR="006F3BEE">
              <w:rPr>
                <w:rFonts w:ascii="Times New Roman" w:hAnsi="Times New Roman" w:cs="Times New Roman"/>
                <w:sz w:val="24"/>
                <w:szCs w:val="24"/>
              </w:rPr>
              <w:t>.23</w:t>
            </w:r>
            <w:r w:rsidRPr="000F00F3" w:rsidR="00BB19F6">
              <w:rPr>
                <w:rFonts w:ascii="Times New Roman" w:hAnsi="Times New Roman" w:cs="Times New Roman"/>
                <w:sz w:val="24"/>
                <w:szCs w:val="24"/>
                <w:vertAlign w:val="superscript"/>
              </w:rPr>
              <w:t>g</w:t>
            </w:r>
          </w:p>
        </w:tc>
        <w:tc>
          <w:tcPr>
            <w:tcW w:w="1057" w:type="dxa"/>
            <w:vAlign w:val="center"/>
          </w:tcPr>
          <w:p w:rsidRPr="000F00F3" w:rsidR="00BB19F6" w:rsidP="008766ED" w:rsidRDefault="00BB19F6" w14:paraId="2BB1F7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39</w:t>
            </w:r>
            <w:r w:rsidRPr="000F00F3" w:rsidR="006F3BEE">
              <w:rPr>
                <w:rFonts w:ascii="Times New Roman" w:hAnsi="Times New Roman" w:cs="Times New Roman"/>
                <w:sz w:val="24"/>
                <w:szCs w:val="24"/>
              </w:rPr>
              <w:t>0</w:t>
            </w:r>
          </w:p>
        </w:tc>
        <w:tc>
          <w:tcPr>
            <w:tcW w:w="1080" w:type="dxa"/>
            <w:vAlign w:val="center"/>
          </w:tcPr>
          <w:p w:rsidRPr="000F00F3" w:rsidR="00BB19F6" w:rsidP="008766ED" w:rsidRDefault="00BB19F6" w14:paraId="6568EA49" w14:textId="318702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$3</w:t>
            </w:r>
            <w:r w:rsidRPr="000F00F3" w:rsidR="00C87E6D">
              <w:rPr>
                <w:rFonts w:ascii="Times New Roman" w:hAnsi="Times New Roman" w:cs="Times New Roman"/>
                <w:sz w:val="24"/>
                <w:szCs w:val="24"/>
              </w:rPr>
              <w:t>7</w:t>
            </w:r>
            <w:r w:rsidRPr="000F00F3">
              <w:rPr>
                <w:rFonts w:ascii="Times New Roman" w:hAnsi="Times New Roman" w:cs="Times New Roman"/>
                <w:sz w:val="24"/>
                <w:szCs w:val="24"/>
              </w:rPr>
              <w:t>.</w:t>
            </w:r>
            <w:r w:rsidRPr="000F00F3" w:rsidR="00C87E6D">
              <w:rPr>
                <w:rFonts w:ascii="Times New Roman" w:hAnsi="Times New Roman" w:cs="Times New Roman"/>
                <w:sz w:val="24"/>
                <w:szCs w:val="24"/>
              </w:rPr>
              <w:t>77</w:t>
            </w:r>
            <w:r w:rsidRPr="000F00F3">
              <w:rPr>
                <w:rFonts w:ascii="Times New Roman" w:hAnsi="Times New Roman" w:cs="Times New Roman"/>
                <w:sz w:val="24"/>
                <w:szCs w:val="24"/>
                <w:vertAlign w:val="superscript"/>
              </w:rPr>
              <w:t>h</w:t>
            </w:r>
          </w:p>
        </w:tc>
        <w:tc>
          <w:tcPr>
            <w:tcW w:w="1091" w:type="dxa"/>
            <w:vAlign w:val="center"/>
          </w:tcPr>
          <w:p w:rsidRPr="000F00F3" w:rsidR="00BB19F6" w:rsidP="008766ED" w:rsidRDefault="00BB19F6" w14:paraId="04F0DDE5" w14:textId="72D0E8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sz w:val="24"/>
                <w:szCs w:val="24"/>
              </w:rPr>
            </w:pPr>
            <w:r w:rsidRPr="000F00F3">
              <w:rPr>
                <w:rFonts w:ascii="Times New Roman" w:hAnsi="Times New Roman" w:cs="Times New Roman"/>
                <w:sz w:val="24"/>
                <w:szCs w:val="24"/>
              </w:rPr>
              <w:t>$</w:t>
            </w:r>
            <w:r w:rsidRPr="000F00F3" w:rsidR="00C87E6D">
              <w:rPr>
                <w:rFonts w:ascii="Times New Roman" w:hAnsi="Times New Roman" w:cs="Times New Roman"/>
                <w:sz w:val="24"/>
                <w:szCs w:val="24"/>
              </w:rPr>
              <w:t>14,730</w:t>
            </w:r>
          </w:p>
        </w:tc>
      </w:tr>
      <w:tr w:rsidRPr="000F00F3" w:rsidR="00BB19F6" w:rsidTr="00FF6011" w14:paraId="64F1CC02" w14:textId="77777777">
        <w:trPr>
          <w:trHeight w:val="552"/>
        </w:trPr>
        <w:tc>
          <w:tcPr>
            <w:tcW w:w="2227" w:type="dxa"/>
            <w:vAlign w:val="center"/>
          </w:tcPr>
          <w:p w:rsidRPr="000F00F3" w:rsidR="00BB19F6" w:rsidP="008766ED" w:rsidRDefault="00BB19F6" w14:paraId="0EC5B78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hAnsi="Times New Roman" w:cs="Times New Roman"/>
                <w:b/>
                <w:sz w:val="24"/>
                <w:szCs w:val="24"/>
              </w:rPr>
            </w:pPr>
            <w:r w:rsidRPr="000F00F3">
              <w:rPr>
                <w:rFonts w:ascii="Times New Roman" w:hAnsi="Times New Roman" w:cs="Times New Roman"/>
                <w:b/>
                <w:sz w:val="24"/>
                <w:szCs w:val="24"/>
              </w:rPr>
              <w:t>Total</w:t>
            </w:r>
          </w:p>
        </w:tc>
        <w:tc>
          <w:tcPr>
            <w:tcW w:w="1530" w:type="dxa"/>
            <w:vAlign w:val="center"/>
          </w:tcPr>
          <w:p w:rsidRPr="000F00F3" w:rsidR="00BB19F6" w:rsidP="008766ED" w:rsidRDefault="00BB19F6" w14:paraId="521E68D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786</w:t>
            </w:r>
            <w:r w:rsidRPr="000F00F3">
              <w:rPr>
                <w:rFonts w:ascii="Times New Roman" w:hAnsi="Times New Roman" w:cs="Times New Roman"/>
                <w:b/>
                <w:sz w:val="24"/>
                <w:szCs w:val="24"/>
                <w:vertAlign w:val="superscript"/>
              </w:rPr>
              <w:t>a</w:t>
            </w:r>
          </w:p>
        </w:tc>
        <w:tc>
          <w:tcPr>
            <w:tcW w:w="1440" w:type="dxa"/>
            <w:vAlign w:val="center"/>
          </w:tcPr>
          <w:p w:rsidRPr="000F00F3" w:rsidR="00BB19F6" w:rsidP="008766ED" w:rsidRDefault="00BB19F6" w14:paraId="73A9062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p>
        </w:tc>
        <w:tc>
          <w:tcPr>
            <w:tcW w:w="1373" w:type="dxa"/>
            <w:vAlign w:val="center"/>
          </w:tcPr>
          <w:p w:rsidRPr="000F00F3" w:rsidR="00BB19F6" w:rsidP="008766ED" w:rsidRDefault="00BB19F6" w14:paraId="365DDE49" w14:textId="3BAA43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546B83">
              <w:rPr>
                <w:rFonts w:ascii="Times New Roman" w:hAnsi="Times New Roman" w:cs="Times New Roman"/>
                <w:b/>
                <w:sz w:val="24"/>
                <w:szCs w:val="24"/>
              </w:rPr>
              <w:t>4</w:t>
            </w:r>
            <w:r w:rsidRPr="00546B83" w:rsidR="004159A8">
              <w:rPr>
                <w:rFonts w:ascii="Times New Roman" w:hAnsi="Times New Roman" w:cs="Times New Roman"/>
                <w:b/>
                <w:sz w:val="24"/>
                <w:szCs w:val="24"/>
              </w:rPr>
              <w:t>,</w:t>
            </w:r>
            <w:r w:rsidRPr="00546B83">
              <w:rPr>
                <w:rFonts w:ascii="Times New Roman" w:hAnsi="Times New Roman" w:cs="Times New Roman"/>
                <w:b/>
                <w:sz w:val="24"/>
                <w:szCs w:val="24"/>
              </w:rPr>
              <w:t>24</w:t>
            </w:r>
            <w:r w:rsidRPr="00546B83" w:rsidR="00A424AD">
              <w:rPr>
                <w:rFonts w:ascii="Times New Roman" w:hAnsi="Times New Roman" w:cs="Times New Roman"/>
                <w:b/>
                <w:sz w:val="24"/>
                <w:szCs w:val="24"/>
              </w:rPr>
              <w:t>2</w:t>
            </w:r>
          </w:p>
        </w:tc>
        <w:tc>
          <w:tcPr>
            <w:tcW w:w="1260" w:type="dxa"/>
            <w:vAlign w:val="center"/>
          </w:tcPr>
          <w:p w:rsidRPr="000F00F3" w:rsidR="00BB19F6" w:rsidP="008766ED" w:rsidRDefault="00BB19F6" w14:paraId="4A25615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p>
        </w:tc>
        <w:tc>
          <w:tcPr>
            <w:tcW w:w="1057" w:type="dxa"/>
            <w:vAlign w:val="center"/>
          </w:tcPr>
          <w:p w:rsidRPr="000F00F3" w:rsidR="00BB19F6" w:rsidP="008766ED" w:rsidRDefault="00BB19F6" w14:paraId="171564F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1</w:t>
            </w:r>
            <w:r w:rsidRPr="000F00F3" w:rsidR="006F3BEE">
              <w:rPr>
                <w:rFonts w:ascii="Times New Roman" w:hAnsi="Times New Roman" w:cs="Times New Roman"/>
                <w:b/>
                <w:sz w:val="24"/>
                <w:szCs w:val="24"/>
              </w:rPr>
              <w:t>,</w:t>
            </w:r>
            <w:r w:rsidRPr="000F00F3">
              <w:rPr>
                <w:rFonts w:ascii="Times New Roman" w:hAnsi="Times New Roman" w:cs="Times New Roman"/>
                <w:b/>
                <w:sz w:val="24"/>
                <w:szCs w:val="24"/>
              </w:rPr>
              <w:t>251</w:t>
            </w:r>
          </w:p>
        </w:tc>
        <w:tc>
          <w:tcPr>
            <w:tcW w:w="1080" w:type="dxa"/>
            <w:vAlign w:val="center"/>
          </w:tcPr>
          <w:p w:rsidRPr="000F00F3" w:rsidR="00BB19F6" w:rsidP="008766ED" w:rsidRDefault="00BB19F6" w14:paraId="2ACEF6F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420"/>
              <w:jc w:val="center"/>
              <w:rPr>
                <w:rFonts w:ascii="Times New Roman" w:hAnsi="Times New Roman" w:cs="Times New Roman"/>
                <w:b/>
                <w:sz w:val="24"/>
                <w:szCs w:val="24"/>
              </w:rPr>
            </w:pPr>
          </w:p>
        </w:tc>
        <w:tc>
          <w:tcPr>
            <w:tcW w:w="1091" w:type="dxa"/>
            <w:vAlign w:val="center"/>
          </w:tcPr>
          <w:p w:rsidRPr="000F00F3" w:rsidR="00BB19F6" w:rsidP="008766ED" w:rsidRDefault="00BB19F6" w14:paraId="60E5A4D8" w14:textId="4260F56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center"/>
              <w:rPr>
                <w:rFonts w:ascii="Times New Roman" w:hAnsi="Times New Roman" w:cs="Times New Roman"/>
                <w:b/>
                <w:sz w:val="24"/>
                <w:szCs w:val="24"/>
              </w:rPr>
            </w:pPr>
            <w:r w:rsidRPr="000F00F3">
              <w:rPr>
                <w:rFonts w:ascii="Times New Roman" w:hAnsi="Times New Roman" w:cs="Times New Roman"/>
                <w:b/>
                <w:sz w:val="24"/>
                <w:szCs w:val="24"/>
              </w:rPr>
              <w:t>$3</w:t>
            </w:r>
            <w:r w:rsidRPr="000F00F3" w:rsidR="00C87E6D">
              <w:rPr>
                <w:rFonts w:ascii="Times New Roman" w:hAnsi="Times New Roman" w:cs="Times New Roman"/>
                <w:b/>
                <w:sz w:val="24"/>
                <w:szCs w:val="24"/>
              </w:rPr>
              <w:t>2</w:t>
            </w:r>
            <w:r w:rsidRPr="000F00F3">
              <w:rPr>
                <w:rFonts w:ascii="Times New Roman" w:hAnsi="Times New Roman" w:cs="Times New Roman"/>
                <w:b/>
                <w:sz w:val="24"/>
                <w:szCs w:val="24"/>
              </w:rPr>
              <w:t>,</w:t>
            </w:r>
            <w:r w:rsidRPr="000F00F3" w:rsidR="00C87E6D">
              <w:rPr>
                <w:rFonts w:ascii="Times New Roman" w:hAnsi="Times New Roman" w:cs="Times New Roman"/>
                <w:b/>
                <w:sz w:val="24"/>
                <w:szCs w:val="24"/>
              </w:rPr>
              <w:t>784</w:t>
            </w:r>
          </w:p>
        </w:tc>
      </w:tr>
    </w:tbl>
    <w:p w:rsidRPr="000F00F3" w:rsidR="00E3647F" w:rsidP="008766ED" w:rsidRDefault="00E3647F" w14:paraId="2B2C44E4" w14:textId="68DE7F84">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a. Number of respondents for potential living donor registration forms based on </w:t>
      </w:r>
      <w:r w:rsidR="00E60CEB">
        <w:rPr>
          <w:rFonts w:ascii="Times New Roman" w:hAnsi="Times New Roman" w:cs="Times New Roman"/>
          <w:sz w:val="24"/>
          <w:szCs w:val="24"/>
        </w:rPr>
        <w:t xml:space="preserve">the </w:t>
      </w:r>
      <w:r w:rsidRPr="000F00F3">
        <w:rPr>
          <w:rFonts w:ascii="Times New Roman" w:hAnsi="Times New Roman" w:cs="Times New Roman"/>
          <w:sz w:val="24"/>
          <w:szCs w:val="24"/>
        </w:rPr>
        <w:t>number of programs participating in the pilot registry</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Number of respondents for potential living donor follow-up forms based on </w:t>
      </w:r>
      <w:r w:rsidR="00E60CEB">
        <w:rPr>
          <w:rFonts w:ascii="Times New Roman" w:hAnsi="Times New Roman" w:cs="Times New Roman"/>
          <w:sz w:val="24"/>
          <w:szCs w:val="24"/>
        </w:rPr>
        <w:t xml:space="preserve">the </w:t>
      </w:r>
      <w:r w:rsidRPr="000F00F3">
        <w:rPr>
          <w:rFonts w:ascii="Times New Roman" w:hAnsi="Times New Roman" w:cs="Times New Roman"/>
          <w:sz w:val="24"/>
          <w:szCs w:val="24"/>
        </w:rPr>
        <w:t>number of potential living donors evaluated at the 14 participating programs in 2015</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Total number of transplant programs submitting data to </w:t>
      </w:r>
      <w:proofErr w:type="spellStart"/>
      <w:r w:rsidRPr="000F00F3">
        <w:rPr>
          <w:rFonts w:ascii="Times New Roman" w:hAnsi="Times New Roman" w:cs="Times New Roman"/>
          <w:sz w:val="24"/>
          <w:szCs w:val="24"/>
        </w:rPr>
        <w:t>LDC</w:t>
      </w:r>
      <w:proofErr w:type="spellEnd"/>
      <w:r w:rsidRPr="000F00F3">
        <w:rPr>
          <w:rFonts w:ascii="Times New Roman" w:hAnsi="Times New Roman" w:cs="Times New Roman"/>
          <w:sz w:val="24"/>
          <w:szCs w:val="24"/>
        </w:rPr>
        <w:t xml:space="preserve"> in 2019</w:t>
      </w:r>
      <w:r w:rsidR="00CF4C33">
        <w:rPr>
          <w:rFonts w:ascii="Times New Roman" w:hAnsi="Times New Roman" w:cs="Times New Roman"/>
          <w:sz w:val="24"/>
          <w:szCs w:val="24"/>
        </w:rPr>
        <w:t xml:space="preserve">.  </w:t>
      </w:r>
      <w:r w:rsidRPr="000F00F3">
        <w:rPr>
          <w:rFonts w:ascii="Times New Roman" w:hAnsi="Times New Roman" w:cs="Times New Roman"/>
          <w:sz w:val="24"/>
          <w:szCs w:val="24"/>
        </w:rPr>
        <w:t xml:space="preserve">We anticipate an increase of 30 additional programs submitting data to </w:t>
      </w:r>
      <w:proofErr w:type="spellStart"/>
      <w:r w:rsidRPr="000F00F3">
        <w:rPr>
          <w:rFonts w:ascii="Times New Roman" w:hAnsi="Times New Roman" w:cs="Times New Roman"/>
          <w:sz w:val="24"/>
          <w:szCs w:val="24"/>
        </w:rPr>
        <w:t>LDC</w:t>
      </w:r>
      <w:proofErr w:type="spellEnd"/>
      <w:r w:rsidRPr="000F00F3">
        <w:rPr>
          <w:rFonts w:ascii="Times New Roman" w:hAnsi="Times New Roman" w:cs="Times New Roman"/>
          <w:sz w:val="24"/>
          <w:szCs w:val="24"/>
        </w:rPr>
        <w:t xml:space="preserve"> over the three</w:t>
      </w:r>
      <w:r w:rsidR="00E60CEB">
        <w:rPr>
          <w:rFonts w:ascii="Times New Roman" w:hAnsi="Times New Roman" w:cs="Times New Roman"/>
          <w:sz w:val="24"/>
          <w:szCs w:val="24"/>
        </w:rPr>
        <w:t xml:space="preserve"> years</w:t>
      </w:r>
      <w:r w:rsidRPr="000F00F3">
        <w:rPr>
          <w:rFonts w:ascii="Times New Roman" w:hAnsi="Times New Roman" w:cs="Times New Roman"/>
          <w:sz w:val="24"/>
          <w:szCs w:val="24"/>
        </w:rPr>
        <w:t xml:space="preserve"> from Sep</w:t>
      </w:r>
      <w:r w:rsidR="00AC295D">
        <w:rPr>
          <w:rFonts w:ascii="Times New Roman" w:hAnsi="Times New Roman" w:cs="Times New Roman"/>
          <w:sz w:val="24"/>
          <w:szCs w:val="24"/>
        </w:rPr>
        <w:t>tember</w:t>
      </w:r>
      <w:r w:rsidRPr="000F00F3">
        <w:rPr>
          <w:rFonts w:ascii="Times New Roman" w:hAnsi="Times New Roman" w:cs="Times New Roman"/>
          <w:sz w:val="24"/>
          <w:szCs w:val="24"/>
        </w:rPr>
        <w:t xml:space="preserve"> 2020 to </w:t>
      </w:r>
      <w:r w:rsidRPr="000F00F3" w:rsidR="00AC295D">
        <w:rPr>
          <w:rFonts w:ascii="Times New Roman" w:hAnsi="Times New Roman" w:cs="Times New Roman"/>
          <w:sz w:val="24"/>
          <w:szCs w:val="24"/>
        </w:rPr>
        <w:t>Sep</w:t>
      </w:r>
      <w:r w:rsidR="00AC295D">
        <w:rPr>
          <w:rFonts w:ascii="Times New Roman" w:hAnsi="Times New Roman" w:cs="Times New Roman"/>
          <w:sz w:val="24"/>
          <w:szCs w:val="24"/>
        </w:rPr>
        <w:t>tember</w:t>
      </w:r>
      <w:r w:rsidRPr="000F00F3" w:rsidR="00AC295D">
        <w:rPr>
          <w:rFonts w:ascii="Times New Roman" w:hAnsi="Times New Roman" w:cs="Times New Roman"/>
          <w:sz w:val="24"/>
          <w:szCs w:val="24"/>
        </w:rPr>
        <w:t xml:space="preserve"> </w:t>
      </w:r>
      <w:r w:rsidRPr="000F00F3">
        <w:rPr>
          <w:rFonts w:ascii="Times New Roman" w:hAnsi="Times New Roman" w:cs="Times New Roman"/>
          <w:sz w:val="24"/>
          <w:szCs w:val="24"/>
        </w:rPr>
        <w:t>2023, with the goal of all U</w:t>
      </w:r>
      <w:r w:rsidR="00AC295D">
        <w:rPr>
          <w:rFonts w:ascii="Times New Roman" w:hAnsi="Times New Roman" w:cs="Times New Roman"/>
          <w:sz w:val="24"/>
          <w:szCs w:val="24"/>
        </w:rPr>
        <w:t>.</w:t>
      </w:r>
      <w:r w:rsidRPr="000F00F3">
        <w:rPr>
          <w:rFonts w:ascii="Times New Roman" w:hAnsi="Times New Roman" w:cs="Times New Roman"/>
          <w:sz w:val="24"/>
          <w:szCs w:val="24"/>
        </w:rPr>
        <w:t>S</w:t>
      </w:r>
      <w:r w:rsidR="00AC295D">
        <w:rPr>
          <w:rFonts w:ascii="Times New Roman" w:hAnsi="Times New Roman" w:cs="Times New Roman"/>
          <w:sz w:val="24"/>
          <w:szCs w:val="24"/>
        </w:rPr>
        <w:t>.</w:t>
      </w:r>
      <w:r w:rsidRPr="000F00F3">
        <w:rPr>
          <w:rFonts w:ascii="Times New Roman" w:hAnsi="Times New Roman" w:cs="Times New Roman"/>
          <w:sz w:val="24"/>
          <w:szCs w:val="24"/>
        </w:rPr>
        <w:t xml:space="preserve"> transplant programs subm</w:t>
      </w:r>
      <w:r w:rsidR="00AC295D">
        <w:rPr>
          <w:rFonts w:ascii="Times New Roman" w:hAnsi="Times New Roman" w:cs="Times New Roman"/>
          <w:sz w:val="24"/>
          <w:szCs w:val="24"/>
        </w:rPr>
        <w:t xml:space="preserve">itting data to </w:t>
      </w:r>
      <w:proofErr w:type="spellStart"/>
      <w:r w:rsidR="00AC295D">
        <w:rPr>
          <w:rFonts w:ascii="Times New Roman" w:hAnsi="Times New Roman" w:cs="Times New Roman"/>
          <w:sz w:val="24"/>
          <w:szCs w:val="24"/>
        </w:rPr>
        <w:t>LDC</w:t>
      </w:r>
      <w:proofErr w:type="spellEnd"/>
      <w:r w:rsidR="00AC295D">
        <w:rPr>
          <w:rFonts w:ascii="Times New Roman" w:hAnsi="Times New Roman" w:cs="Times New Roman"/>
          <w:sz w:val="24"/>
          <w:szCs w:val="24"/>
        </w:rPr>
        <w:t xml:space="preserve"> by </w:t>
      </w:r>
      <w:r w:rsidRPr="000F00F3" w:rsidR="00AC295D">
        <w:rPr>
          <w:rFonts w:ascii="Times New Roman" w:hAnsi="Times New Roman" w:cs="Times New Roman"/>
          <w:sz w:val="24"/>
          <w:szCs w:val="24"/>
        </w:rPr>
        <w:t>Sep</w:t>
      </w:r>
      <w:r w:rsidR="00AC295D">
        <w:rPr>
          <w:rFonts w:ascii="Times New Roman" w:hAnsi="Times New Roman" w:cs="Times New Roman"/>
          <w:sz w:val="24"/>
          <w:szCs w:val="24"/>
        </w:rPr>
        <w:t>tember</w:t>
      </w:r>
      <w:r w:rsidRPr="000F00F3" w:rsidR="00AC295D">
        <w:rPr>
          <w:rFonts w:ascii="Times New Roman" w:hAnsi="Times New Roman" w:cs="Times New Roman"/>
          <w:sz w:val="24"/>
          <w:szCs w:val="24"/>
        </w:rPr>
        <w:t xml:space="preserve"> </w:t>
      </w:r>
      <w:r w:rsidR="00AC295D">
        <w:rPr>
          <w:rFonts w:ascii="Times New Roman" w:hAnsi="Times New Roman" w:cs="Times New Roman"/>
          <w:sz w:val="24"/>
          <w:szCs w:val="24"/>
        </w:rPr>
        <w:t>2025.</w:t>
      </w:r>
    </w:p>
    <w:p w:rsidRPr="000F00F3" w:rsidR="00E3647F" w:rsidP="008766ED" w:rsidRDefault="00E3647F" w14:paraId="5C5BA256" w14:textId="3D057AFC">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b. Total number of living donor candidates submitting </w:t>
      </w:r>
      <w:proofErr w:type="spellStart"/>
      <w:r w:rsidRPr="000F00F3">
        <w:rPr>
          <w:rFonts w:ascii="Times New Roman" w:hAnsi="Times New Roman" w:cs="Times New Roman"/>
          <w:sz w:val="24"/>
          <w:szCs w:val="24"/>
        </w:rPr>
        <w:t>LDC</w:t>
      </w:r>
      <w:proofErr w:type="spellEnd"/>
      <w:r w:rsidRPr="000F00F3">
        <w:rPr>
          <w:rFonts w:ascii="Times New Roman" w:hAnsi="Times New Roman" w:cs="Times New Roman"/>
          <w:sz w:val="24"/>
          <w:szCs w:val="24"/>
        </w:rPr>
        <w:t xml:space="preserve"> follow-up forms in 2019</w:t>
      </w:r>
      <w:r w:rsidR="00AC295D">
        <w:rPr>
          <w:rFonts w:ascii="Times New Roman" w:hAnsi="Times New Roman" w:cs="Times New Roman"/>
          <w:sz w:val="24"/>
          <w:szCs w:val="24"/>
        </w:rPr>
        <w:t>.</w:t>
      </w:r>
    </w:p>
    <w:p w:rsidRPr="000F00F3" w:rsidR="00E3647F" w:rsidP="008766ED" w:rsidRDefault="00E3647F" w14:paraId="426FB055" w14:textId="120E02FD">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c. Derived from the number of forms submitted by transplant programs in 2019</w:t>
      </w:r>
      <w:r w:rsidR="00AC295D">
        <w:rPr>
          <w:rFonts w:ascii="Times New Roman" w:hAnsi="Times New Roman" w:cs="Times New Roman"/>
          <w:sz w:val="24"/>
          <w:szCs w:val="24"/>
        </w:rPr>
        <w:t>.</w:t>
      </w:r>
    </w:p>
    <w:p w:rsidRPr="000F00F3" w:rsidR="00E3647F" w:rsidP="008766ED" w:rsidRDefault="00E3647F" w14:paraId="51CC86B8" w14:textId="56AD1A2F">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d. Total number of </w:t>
      </w:r>
      <w:proofErr w:type="spellStart"/>
      <w:r w:rsidRPr="000F00F3">
        <w:rPr>
          <w:rFonts w:ascii="Times New Roman" w:hAnsi="Times New Roman" w:cs="Times New Roman"/>
          <w:sz w:val="24"/>
          <w:szCs w:val="24"/>
        </w:rPr>
        <w:t>LDC</w:t>
      </w:r>
      <w:proofErr w:type="spellEnd"/>
      <w:r w:rsidRPr="000F00F3">
        <w:rPr>
          <w:rFonts w:ascii="Times New Roman" w:hAnsi="Times New Roman" w:cs="Times New Roman"/>
          <w:sz w:val="24"/>
          <w:szCs w:val="24"/>
        </w:rPr>
        <w:t xml:space="preserve"> follow-up forms submitted by living donor candidates in 2019</w:t>
      </w:r>
      <w:r w:rsidR="00AC295D">
        <w:rPr>
          <w:rFonts w:ascii="Times New Roman" w:hAnsi="Times New Roman" w:cs="Times New Roman"/>
          <w:sz w:val="24"/>
          <w:szCs w:val="24"/>
        </w:rPr>
        <w:t>.</w:t>
      </w:r>
    </w:p>
    <w:p w:rsidRPr="000F00F3" w:rsidR="00E3647F" w:rsidP="008766ED" w:rsidRDefault="00E3647F" w14:paraId="2E591284" w14:textId="3B7FCDD4">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e. Based on a 2019 survey of transplant programs submitting data to </w:t>
      </w:r>
      <w:proofErr w:type="spellStart"/>
      <w:r w:rsidRPr="000F00F3">
        <w:rPr>
          <w:rFonts w:ascii="Times New Roman" w:hAnsi="Times New Roman" w:cs="Times New Roman"/>
          <w:sz w:val="24"/>
          <w:szCs w:val="24"/>
        </w:rPr>
        <w:t>LDC</w:t>
      </w:r>
      <w:proofErr w:type="spellEnd"/>
      <w:r w:rsidR="00AC295D">
        <w:rPr>
          <w:rFonts w:ascii="Times New Roman" w:hAnsi="Times New Roman" w:cs="Times New Roman"/>
          <w:sz w:val="24"/>
          <w:szCs w:val="24"/>
        </w:rPr>
        <w:t>.</w:t>
      </w:r>
    </w:p>
    <w:p w:rsidRPr="000F00F3" w:rsidR="00E3647F" w:rsidP="008766ED" w:rsidRDefault="00E3647F" w14:paraId="2A282B58" w14:textId="02CC01CB">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lastRenderedPageBreak/>
        <w:t>f. Based on internal testing and user feedback</w:t>
      </w:r>
      <w:r w:rsidR="00AC295D">
        <w:rPr>
          <w:rFonts w:ascii="Times New Roman" w:hAnsi="Times New Roman" w:cs="Times New Roman"/>
          <w:sz w:val="24"/>
          <w:szCs w:val="24"/>
        </w:rPr>
        <w:t>.</w:t>
      </w:r>
    </w:p>
    <w:p w:rsidRPr="000F00F3" w:rsidR="00E3647F" w:rsidP="008766ED" w:rsidRDefault="00E3647F" w14:paraId="62139D31" w14:textId="45D23AD0">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 xml:space="preserve">g. Based on discussion and interviews with staff at participating transplant programs </w:t>
      </w:r>
      <w:r w:rsidR="001A0DDF">
        <w:rPr>
          <w:rFonts w:ascii="Times New Roman" w:hAnsi="Times New Roman" w:cs="Times New Roman"/>
          <w:sz w:val="24"/>
          <w:szCs w:val="24"/>
        </w:rPr>
        <w:t xml:space="preserve">in </w:t>
      </w:r>
      <w:r w:rsidRPr="000F00F3">
        <w:rPr>
          <w:rFonts w:ascii="Times New Roman" w:hAnsi="Times New Roman" w:cs="Times New Roman"/>
          <w:sz w:val="24"/>
          <w:szCs w:val="24"/>
        </w:rPr>
        <w:t>2019-2020</w:t>
      </w:r>
      <w:r w:rsidR="00AC295D">
        <w:rPr>
          <w:rFonts w:ascii="Times New Roman" w:hAnsi="Times New Roman" w:cs="Times New Roman"/>
          <w:sz w:val="24"/>
          <w:szCs w:val="24"/>
        </w:rPr>
        <w:t>.</w:t>
      </w:r>
    </w:p>
    <w:p w:rsidRPr="000F00F3" w:rsidR="002F0D4A" w:rsidP="008766ED" w:rsidRDefault="00E3647F" w14:paraId="258252EB" w14:textId="4ACCF00B">
      <w:pPr>
        <w:spacing w:before="120" w:line="240" w:lineRule="auto"/>
        <w:rPr>
          <w:rFonts w:ascii="Times New Roman" w:hAnsi="Times New Roman" w:cs="Times New Roman"/>
          <w:sz w:val="24"/>
          <w:szCs w:val="24"/>
        </w:rPr>
      </w:pPr>
      <w:r w:rsidRPr="000F00F3">
        <w:rPr>
          <w:rFonts w:ascii="Times New Roman" w:hAnsi="Times New Roman" w:cs="Times New Roman"/>
          <w:sz w:val="24"/>
          <w:szCs w:val="24"/>
        </w:rPr>
        <w:t>h. Based on 201</w:t>
      </w:r>
      <w:r w:rsidRPr="000F00F3" w:rsidR="006F3BEE">
        <w:rPr>
          <w:rFonts w:ascii="Times New Roman" w:hAnsi="Times New Roman" w:cs="Times New Roman"/>
          <w:sz w:val="24"/>
          <w:szCs w:val="24"/>
        </w:rPr>
        <w:t>9</w:t>
      </w:r>
      <w:r w:rsidRPr="000F00F3">
        <w:rPr>
          <w:rFonts w:ascii="Times New Roman" w:hAnsi="Times New Roman" w:cs="Times New Roman"/>
          <w:sz w:val="24"/>
          <w:szCs w:val="24"/>
        </w:rPr>
        <w:t xml:space="preserve"> mean hourly rate for </w:t>
      </w:r>
      <w:r w:rsidR="00AC295D">
        <w:rPr>
          <w:rFonts w:ascii="Times New Roman" w:hAnsi="Times New Roman" w:cs="Times New Roman"/>
          <w:sz w:val="24"/>
          <w:szCs w:val="24"/>
        </w:rPr>
        <w:t>r</w:t>
      </w:r>
      <w:r w:rsidRPr="000F00F3">
        <w:rPr>
          <w:rFonts w:ascii="Times New Roman" w:hAnsi="Times New Roman" w:cs="Times New Roman"/>
          <w:sz w:val="24"/>
          <w:szCs w:val="24"/>
        </w:rPr>
        <w:t xml:space="preserve">egistered </w:t>
      </w:r>
      <w:r w:rsidR="00AC295D">
        <w:rPr>
          <w:rFonts w:ascii="Times New Roman" w:hAnsi="Times New Roman" w:cs="Times New Roman"/>
          <w:sz w:val="24"/>
          <w:szCs w:val="24"/>
        </w:rPr>
        <w:t>n</w:t>
      </w:r>
      <w:r w:rsidRPr="000F00F3">
        <w:rPr>
          <w:rFonts w:ascii="Times New Roman" w:hAnsi="Times New Roman" w:cs="Times New Roman"/>
          <w:sz w:val="24"/>
          <w:szCs w:val="24"/>
        </w:rPr>
        <w:t xml:space="preserve">urses in the Minneapolis-St. Paul-St. Cloud area in Minnesota (accessed here: </w:t>
      </w:r>
      <w:hyperlink w:history="1" w:anchor="29-0000" r:id="rId24">
        <w:r w:rsidRPr="00EC741F" w:rsidR="00CF4C33">
          <w:rPr>
            <w:rStyle w:val="Hyperlink"/>
            <w:rFonts w:ascii="Times New Roman" w:hAnsi="Times New Roman" w:cs="Times New Roman"/>
            <w:sz w:val="24"/>
            <w:szCs w:val="24"/>
          </w:rPr>
          <w:t>https://www.bls.gov/oes/current/oes_mn.htm#29-0000</w:t>
        </w:r>
      </w:hyperlink>
      <w:r w:rsidRPr="000F00F3">
        <w:rPr>
          <w:rFonts w:ascii="Times New Roman" w:hAnsi="Times New Roman" w:cs="Times New Roman"/>
          <w:sz w:val="24"/>
          <w:szCs w:val="24"/>
        </w:rPr>
        <w:t>).</w:t>
      </w:r>
      <w:r w:rsidR="00CF4C33">
        <w:rPr>
          <w:rFonts w:ascii="Times New Roman" w:hAnsi="Times New Roman" w:cs="Times New Roman"/>
          <w:sz w:val="24"/>
          <w:szCs w:val="24"/>
        </w:rPr>
        <w:t xml:space="preserve"> </w:t>
      </w:r>
    </w:p>
    <w:p w:rsidRPr="000F00F3" w:rsidR="004159A8" w:rsidP="008766ED" w:rsidRDefault="004159A8" w14:paraId="0135C406" w14:textId="1CE74904">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13</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 xml:space="preserve">Estimates of other Total Annual Cost Burden to Respondents or </w:t>
      </w:r>
      <w:proofErr w:type="spellStart"/>
      <w:r w:rsidRPr="000F00F3">
        <w:rPr>
          <w:rFonts w:ascii="Times New Roman" w:hAnsi="Times New Roman" w:cs="Times New Roman"/>
          <w:b/>
          <w:sz w:val="24"/>
          <w:szCs w:val="24"/>
          <w:u w:val="single"/>
        </w:rPr>
        <w:t>Recordkeepers</w:t>
      </w:r>
      <w:proofErr w:type="spellEnd"/>
      <w:r w:rsidRPr="000F00F3">
        <w:rPr>
          <w:rFonts w:ascii="Times New Roman" w:hAnsi="Times New Roman" w:cs="Times New Roman"/>
          <w:b/>
          <w:sz w:val="24"/>
          <w:szCs w:val="24"/>
          <w:u w:val="single"/>
        </w:rPr>
        <w:t>/Capital Costs</w:t>
      </w:r>
    </w:p>
    <w:p w:rsidRPr="000F00F3" w:rsidR="002F0D4A" w:rsidP="008766ED" w:rsidRDefault="004159A8" w14:paraId="13B3CD5A" w14:textId="63FAC8E6">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Other than their time, there is no cost to respondents.</w:t>
      </w:r>
    </w:p>
    <w:p w:rsidRPr="000F00F3" w:rsidR="004159A8" w:rsidP="008766ED" w:rsidRDefault="004159A8" w14:paraId="0F12CBA0" w14:textId="785F654D">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14</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Annualized Cost to Federal Government</w:t>
      </w:r>
    </w:p>
    <w:p w:rsidRPr="000F00F3" w:rsidR="009F7C34" w:rsidP="008766ED" w:rsidRDefault="009F7C34" w14:paraId="67354433" w14:textId="38A0A46A">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w:t>
      </w:r>
      <w:r w:rsidR="00E60CEB">
        <w:rPr>
          <w:rFonts w:ascii="Times New Roman" w:hAnsi="Times New Roman" w:cs="Times New Roman"/>
          <w:sz w:val="24"/>
          <w:szCs w:val="24"/>
        </w:rPr>
        <w:t>federal government's annual cos</w:t>
      </w:r>
      <w:r w:rsidRPr="000F00F3">
        <w:rPr>
          <w:rFonts w:ascii="Times New Roman" w:hAnsi="Times New Roman" w:cs="Times New Roman"/>
          <w:sz w:val="24"/>
          <w:szCs w:val="24"/>
        </w:rPr>
        <w:t xml:space="preserve">t consists of those costs allocated to the registry under the HRSA contract for the </w:t>
      </w:r>
      <w:proofErr w:type="spellStart"/>
      <w:r w:rsidRPr="000F00F3">
        <w:rPr>
          <w:rFonts w:ascii="Times New Roman" w:hAnsi="Times New Roman" w:cs="Times New Roman"/>
          <w:sz w:val="24"/>
          <w:szCs w:val="24"/>
        </w:rPr>
        <w:t>SRTR</w:t>
      </w:r>
      <w:proofErr w:type="spellEnd"/>
      <w:r w:rsidR="001A0DDF">
        <w:rPr>
          <w:rFonts w:ascii="Times New Roman" w:hAnsi="Times New Roman" w:cs="Times New Roman"/>
          <w:sz w:val="24"/>
          <w:szCs w:val="24"/>
        </w:rPr>
        <w:t>.</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 xml:space="preserve"> There </w:t>
      </w:r>
      <w:r w:rsidR="00E60CEB">
        <w:rPr>
          <w:rFonts w:ascii="Times New Roman" w:hAnsi="Times New Roman" w:cs="Times New Roman"/>
          <w:sz w:val="24"/>
          <w:szCs w:val="24"/>
        </w:rPr>
        <w:t>is also the government's cos</w:t>
      </w:r>
      <w:r w:rsidRPr="000F00F3">
        <w:rPr>
          <w:rFonts w:ascii="Times New Roman" w:hAnsi="Times New Roman" w:cs="Times New Roman"/>
          <w:sz w:val="24"/>
          <w:szCs w:val="24"/>
        </w:rPr>
        <w:t>t to monitor the registry</w:t>
      </w:r>
      <w:r w:rsidR="000D4013">
        <w:rPr>
          <w:rFonts w:ascii="Times New Roman" w:hAnsi="Times New Roman" w:cs="Times New Roman"/>
          <w:sz w:val="24"/>
          <w:szCs w:val="24"/>
        </w:rPr>
        <w:t>,</w:t>
      </w:r>
      <w:r w:rsidRPr="000F00F3">
        <w:rPr>
          <w:rFonts w:ascii="Times New Roman" w:hAnsi="Times New Roman" w:cs="Times New Roman"/>
          <w:sz w:val="24"/>
          <w:szCs w:val="24"/>
        </w:rPr>
        <w:t xml:space="preserve"> which will be .025 FTE (project officer) at $57.13 per hour ($2,970.76 per year).</w:t>
      </w:r>
    </w:p>
    <w:p w:rsidRPr="000F00F3" w:rsidR="004159A8" w:rsidP="008766ED" w:rsidRDefault="004159A8" w14:paraId="14F8B3C8" w14:textId="5151AE12">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15</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Explanation for Program Changes or Adjustments</w:t>
      </w:r>
    </w:p>
    <w:p w:rsidRPr="007A218D" w:rsidR="004159A8" w:rsidP="008766ED" w:rsidRDefault="007A218D" w14:paraId="26FA1E43" w14:textId="747ACFD4">
      <w:pPr>
        <w:spacing w:before="240" w:line="240" w:lineRule="auto"/>
        <w:rPr>
          <w:rFonts w:ascii="Times New Roman" w:hAnsi="Times New Roman" w:cs="Times New Roman"/>
          <w:sz w:val="24"/>
          <w:szCs w:val="24"/>
        </w:rPr>
      </w:pPr>
      <w:r w:rsidRPr="007A218D">
        <w:rPr>
          <w:rFonts w:ascii="Times New Roman" w:hAnsi="Times New Roman" w:cs="Times New Roman"/>
          <w:sz w:val="24"/>
          <w:szCs w:val="24"/>
        </w:rPr>
        <w:t>The current burden inventory for this information collection request is 1358 hours.  This extension request is for 1251 hours due to improvements to the efficiency of the processes used by programs for data submission.</w:t>
      </w:r>
    </w:p>
    <w:p w:rsidRPr="000F00F3" w:rsidR="009F7C34" w:rsidP="008766ED" w:rsidRDefault="009F7C34" w14:paraId="2B91211C" w14:textId="22EA4355">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16</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Plans for Tabulation, Publication, and Project Time Schedule</w:t>
      </w:r>
    </w:p>
    <w:p w:rsidRPr="000F00F3" w:rsidR="009F7C34" w:rsidP="008766ED" w:rsidRDefault="009F7C34" w14:paraId="79AFECAF" w14:textId="6957A2DF">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Data collected for the registry may be tabulated in several forms:</w:t>
      </w:r>
    </w:p>
    <w:p w:rsidRPr="000F00F3" w:rsidR="009F7C34" w:rsidP="008766ED" w:rsidRDefault="00AE3918" w14:paraId="41DDB281" w14:textId="61FEB362">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Living Donor Registry Data Files</w:t>
      </w:r>
      <w:r w:rsidRPr="000F00F3" w:rsidR="009F7C34">
        <w:rPr>
          <w:rFonts w:ascii="Times New Roman" w:hAnsi="Times New Roman" w:cs="Times New Roman"/>
          <w:sz w:val="24"/>
          <w:szCs w:val="24"/>
        </w:rPr>
        <w:t xml:space="preserve"> </w:t>
      </w:r>
      <w:r w:rsidRPr="000F00F3">
        <w:rPr>
          <w:rFonts w:ascii="Times New Roman" w:hAnsi="Times New Roman" w:cs="Times New Roman"/>
          <w:sz w:val="24"/>
          <w:szCs w:val="24"/>
        </w:rPr>
        <w:t>- P</w:t>
      </w:r>
      <w:r w:rsidRPr="000F00F3" w:rsidR="009F7C34">
        <w:rPr>
          <w:rFonts w:ascii="Times New Roman" w:hAnsi="Times New Roman" w:cs="Times New Roman"/>
          <w:sz w:val="24"/>
          <w:szCs w:val="24"/>
        </w:rPr>
        <w:t xml:space="preserve">roduced at regular intervals and </w:t>
      </w:r>
      <w:r w:rsidRPr="000F00F3">
        <w:rPr>
          <w:rFonts w:ascii="Times New Roman" w:hAnsi="Times New Roman" w:cs="Times New Roman"/>
          <w:sz w:val="24"/>
          <w:szCs w:val="24"/>
        </w:rPr>
        <w:t>made</w:t>
      </w:r>
      <w:r w:rsidRPr="000F00F3" w:rsidR="00F45CC6">
        <w:rPr>
          <w:rFonts w:ascii="Times New Roman" w:hAnsi="Times New Roman" w:cs="Times New Roman"/>
          <w:sz w:val="24"/>
          <w:szCs w:val="24"/>
        </w:rPr>
        <w:t xml:space="preserve"> available</w:t>
      </w:r>
      <w:r w:rsidRPr="000F00F3">
        <w:rPr>
          <w:rFonts w:ascii="Times New Roman" w:hAnsi="Times New Roman" w:cs="Times New Roman"/>
          <w:sz w:val="24"/>
          <w:szCs w:val="24"/>
        </w:rPr>
        <w:t xml:space="preserve"> to the scientific community for research</w:t>
      </w:r>
    </w:p>
    <w:p w:rsidRPr="000F00F3" w:rsidR="009F7C34" w:rsidP="008766ED" w:rsidRDefault="009F7C34" w14:paraId="70725416" w14:textId="7FF459D9">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Site-specific </w:t>
      </w:r>
      <w:r w:rsidRPr="000F00F3" w:rsidR="009864E4">
        <w:rPr>
          <w:rFonts w:ascii="Times New Roman" w:hAnsi="Times New Roman" w:cs="Times New Roman"/>
          <w:sz w:val="24"/>
          <w:szCs w:val="24"/>
        </w:rPr>
        <w:t>R</w:t>
      </w:r>
      <w:r w:rsidRPr="000F00F3">
        <w:rPr>
          <w:rFonts w:ascii="Times New Roman" w:hAnsi="Times New Roman" w:cs="Times New Roman"/>
          <w:sz w:val="24"/>
          <w:szCs w:val="24"/>
        </w:rPr>
        <w:t>eports</w:t>
      </w:r>
      <w:r w:rsidRPr="000F00F3" w:rsidR="00AE3918">
        <w:rPr>
          <w:rFonts w:ascii="Times New Roman" w:hAnsi="Times New Roman" w:cs="Times New Roman"/>
          <w:sz w:val="24"/>
          <w:szCs w:val="24"/>
        </w:rPr>
        <w:t xml:space="preserve"> -</w:t>
      </w:r>
      <w:r w:rsidRPr="000F00F3">
        <w:rPr>
          <w:rFonts w:ascii="Times New Roman" w:hAnsi="Times New Roman" w:cs="Times New Roman"/>
          <w:sz w:val="24"/>
          <w:szCs w:val="24"/>
        </w:rPr>
        <w:t xml:space="preserve"> </w:t>
      </w:r>
      <w:r w:rsidRPr="000F00F3" w:rsidR="00AE3918">
        <w:rPr>
          <w:rFonts w:ascii="Times New Roman" w:hAnsi="Times New Roman" w:cs="Times New Roman"/>
          <w:sz w:val="24"/>
          <w:szCs w:val="24"/>
        </w:rPr>
        <w:t>S</w:t>
      </w:r>
      <w:r w:rsidRPr="000F00F3">
        <w:rPr>
          <w:rFonts w:ascii="Times New Roman" w:hAnsi="Times New Roman" w:cs="Times New Roman"/>
          <w:sz w:val="24"/>
          <w:szCs w:val="24"/>
        </w:rPr>
        <w:t>hared securely with participating transplant programs.</w:t>
      </w:r>
    </w:p>
    <w:p w:rsidRPr="000F00F3" w:rsidR="00AE3918" w:rsidP="008766ED" w:rsidRDefault="00AE3918" w14:paraId="21B2A964" w14:textId="12540FCA">
      <w:pPr>
        <w:pStyle w:val="ListParagraph"/>
        <w:numPr>
          <w:ilvl w:val="0"/>
          <w:numId w:val="8"/>
        </w:num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Quarterly </w:t>
      </w:r>
      <w:r w:rsidRPr="000F00F3" w:rsidR="009864E4">
        <w:rPr>
          <w:rFonts w:ascii="Times New Roman" w:hAnsi="Times New Roman" w:cs="Times New Roman"/>
          <w:sz w:val="24"/>
          <w:szCs w:val="24"/>
        </w:rPr>
        <w:t>P</w:t>
      </w:r>
      <w:r w:rsidRPr="000F00F3">
        <w:rPr>
          <w:rFonts w:ascii="Times New Roman" w:hAnsi="Times New Roman" w:cs="Times New Roman"/>
          <w:sz w:val="24"/>
          <w:szCs w:val="24"/>
        </w:rPr>
        <w:t>roject Reports – Shared directly with HRSA</w:t>
      </w:r>
    </w:p>
    <w:p w:rsidRPr="000F00F3" w:rsidR="009F7C34" w:rsidP="008766ED" w:rsidRDefault="009F7C34" w14:paraId="6D10BD89" w14:textId="16FEF642">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These data may be shared electronically through e</w:t>
      </w:r>
      <w:r w:rsidR="000D4013">
        <w:rPr>
          <w:rFonts w:ascii="Times New Roman" w:hAnsi="Times New Roman" w:cs="Times New Roman"/>
          <w:sz w:val="24"/>
          <w:szCs w:val="24"/>
        </w:rPr>
        <w:t>-</w:t>
      </w:r>
      <w:r w:rsidRPr="000F00F3">
        <w:rPr>
          <w:rFonts w:ascii="Times New Roman" w:hAnsi="Times New Roman" w:cs="Times New Roman"/>
          <w:sz w:val="24"/>
          <w:szCs w:val="24"/>
        </w:rPr>
        <w:t xml:space="preserve">mail, secure file transfer, and/or publication on a website maintained by </w:t>
      </w:r>
      <w:proofErr w:type="spellStart"/>
      <w:r w:rsidRPr="000F00F3">
        <w:rPr>
          <w:rFonts w:ascii="Times New Roman" w:hAnsi="Times New Roman" w:cs="Times New Roman"/>
          <w:sz w:val="24"/>
          <w:szCs w:val="24"/>
        </w:rPr>
        <w:t>LDC</w:t>
      </w:r>
      <w:proofErr w:type="spellEnd"/>
      <w:r w:rsidRPr="000F00F3">
        <w:rPr>
          <w:rFonts w:ascii="Times New Roman" w:hAnsi="Times New Roman" w:cs="Times New Roman"/>
          <w:sz w:val="24"/>
          <w:szCs w:val="24"/>
        </w:rPr>
        <w:t xml:space="preserve"> for this purpose</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The final content and statistical methods used in these reports remain to be determined</w:t>
      </w:r>
      <w:r w:rsidR="009A127F">
        <w:rPr>
          <w:rFonts w:ascii="Times New Roman" w:hAnsi="Times New Roman" w:cs="Times New Roman"/>
          <w:sz w:val="24"/>
          <w:szCs w:val="24"/>
        </w:rPr>
        <w:t xml:space="preserve">.  </w:t>
      </w:r>
      <w:r w:rsidRPr="000F00F3">
        <w:rPr>
          <w:rFonts w:ascii="Times New Roman" w:hAnsi="Times New Roman" w:cs="Times New Roman"/>
          <w:sz w:val="24"/>
          <w:szCs w:val="24"/>
        </w:rPr>
        <w:t xml:space="preserve">A formal analysis plan was submitted to HRSA in the initial phase of the project and </w:t>
      </w:r>
      <w:r w:rsidRPr="000F00F3" w:rsidR="00332952">
        <w:rPr>
          <w:rFonts w:ascii="Times New Roman" w:hAnsi="Times New Roman" w:cs="Times New Roman"/>
          <w:sz w:val="24"/>
          <w:szCs w:val="24"/>
        </w:rPr>
        <w:t>modified</w:t>
      </w:r>
      <w:r w:rsidRPr="000F00F3">
        <w:rPr>
          <w:rFonts w:ascii="Times New Roman" w:hAnsi="Times New Roman" w:cs="Times New Roman"/>
          <w:sz w:val="24"/>
          <w:szCs w:val="24"/>
        </w:rPr>
        <w:t xml:space="preserve"> as necessary.</w:t>
      </w:r>
    </w:p>
    <w:p w:rsidR="009F7C34" w:rsidP="008766ED" w:rsidRDefault="009F7C34" w14:paraId="51CFDC2D" w14:textId="5B109190">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registry will be expanded through the addition of participating transplants over the next 3-5 years, with the ultimate goal of including all </w:t>
      </w:r>
      <w:proofErr w:type="spellStart"/>
      <w:r w:rsidRPr="000F00F3">
        <w:rPr>
          <w:rFonts w:ascii="Times New Roman" w:hAnsi="Times New Roman" w:cs="Times New Roman"/>
          <w:sz w:val="24"/>
          <w:szCs w:val="24"/>
        </w:rPr>
        <w:t>U</w:t>
      </w:r>
      <w:r w:rsidR="000D4013">
        <w:rPr>
          <w:rFonts w:ascii="Times New Roman" w:hAnsi="Times New Roman" w:cs="Times New Roman"/>
          <w:sz w:val="24"/>
          <w:szCs w:val="24"/>
        </w:rPr>
        <w:t>.</w:t>
      </w:r>
      <w:r w:rsidRPr="000F00F3">
        <w:rPr>
          <w:rFonts w:ascii="Times New Roman" w:hAnsi="Times New Roman" w:cs="Times New Roman"/>
          <w:sz w:val="24"/>
          <w:szCs w:val="24"/>
        </w:rPr>
        <w:t>S</w:t>
      </w:r>
      <w:proofErr w:type="spellEnd"/>
      <w:r w:rsidRPr="000F00F3">
        <w:rPr>
          <w:rFonts w:ascii="Times New Roman" w:hAnsi="Times New Roman" w:cs="Times New Roman"/>
          <w:sz w:val="24"/>
          <w:szCs w:val="24"/>
        </w:rPr>
        <w:t xml:space="preserve"> </w:t>
      </w:r>
      <w:r w:rsidRPr="000F00F3" w:rsidR="00AE3918">
        <w:rPr>
          <w:rFonts w:ascii="Times New Roman" w:hAnsi="Times New Roman" w:cs="Times New Roman"/>
          <w:sz w:val="24"/>
          <w:szCs w:val="24"/>
        </w:rPr>
        <w:t xml:space="preserve">living donor </w:t>
      </w:r>
      <w:r w:rsidRPr="000F00F3">
        <w:rPr>
          <w:rFonts w:ascii="Times New Roman" w:hAnsi="Times New Roman" w:cs="Times New Roman"/>
          <w:sz w:val="24"/>
          <w:szCs w:val="24"/>
        </w:rPr>
        <w:t>transplant programs</w:t>
      </w:r>
      <w:r w:rsidR="009A127F">
        <w:rPr>
          <w:rFonts w:ascii="Times New Roman" w:hAnsi="Times New Roman" w:cs="Times New Roman"/>
          <w:sz w:val="24"/>
          <w:szCs w:val="24"/>
        </w:rPr>
        <w:t xml:space="preserve">. </w:t>
      </w:r>
      <w:r w:rsidR="00B55DAA">
        <w:rPr>
          <w:rFonts w:ascii="Times New Roman" w:hAnsi="Times New Roman" w:cs="Times New Roman"/>
          <w:sz w:val="24"/>
          <w:szCs w:val="24"/>
        </w:rPr>
        <w:t xml:space="preserve"> </w:t>
      </w:r>
      <w:r w:rsidR="00A424AD">
        <w:rPr>
          <w:rFonts w:ascii="Times New Roman" w:hAnsi="Times New Roman" w:cs="Times New Roman"/>
          <w:sz w:val="24"/>
          <w:szCs w:val="24"/>
        </w:rPr>
        <w:t>Per requirements, t</w:t>
      </w:r>
      <w:r w:rsidRPr="000F00F3" w:rsidR="00CD53A0">
        <w:rPr>
          <w:rFonts w:ascii="Times New Roman" w:hAnsi="Times New Roman" w:cs="Times New Roman"/>
          <w:sz w:val="24"/>
          <w:szCs w:val="24"/>
        </w:rPr>
        <w:t>he contractor</w:t>
      </w:r>
      <w:r w:rsidRPr="000F00F3">
        <w:rPr>
          <w:rFonts w:ascii="Times New Roman" w:hAnsi="Times New Roman" w:cs="Times New Roman"/>
          <w:sz w:val="24"/>
          <w:szCs w:val="24"/>
        </w:rPr>
        <w:t xml:space="preserve"> will submit to HRSA a plan for expan</w:t>
      </w:r>
      <w:r w:rsidR="000D4013">
        <w:rPr>
          <w:rFonts w:ascii="Times New Roman" w:hAnsi="Times New Roman" w:cs="Times New Roman"/>
          <w:sz w:val="24"/>
          <w:szCs w:val="24"/>
        </w:rPr>
        <w:t>ding</w:t>
      </w:r>
      <w:r w:rsidRPr="000F00F3">
        <w:rPr>
          <w:rFonts w:ascii="Times New Roman" w:hAnsi="Times New Roman" w:cs="Times New Roman"/>
          <w:sz w:val="24"/>
          <w:szCs w:val="24"/>
        </w:rPr>
        <w:t xml:space="preserve"> the registry within 90 days of the effective date of the </w:t>
      </w:r>
      <w:proofErr w:type="spellStart"/>
      <w:r w:rsidRPr="000F00F3">
        <w:rPr>
          <w:rFonts w:ascii="Times New Roman" w:hAnsi="Times New Roman" w:cs="Times New Roman"/>
          <w:sz w:val="24"/>
          <w:szCs w:val="24"/>
        </w:rPr>
        <w:t>SRTR</w:t>
      </w:r>
      <w:proofErr w:type="spellEnd"/>
      <w:r w:rsidRPr="000F00F3">
        <w:rPr>
          <w:rFonts w:ascii="Times New Roman" w:hAnsi="Times New Roman" w:cs="Times New Roman"/>
          <w:sz w:val="24"/>
          <w:szCs w:val="24"/>
        </w:rPr>
        <w:t xml:space="preserve"> contract beginning in September 2020.</w:t>
      </w:r>
    </w:p>
    <w:p w:rsidRPr="000F00F3" w:rsidR="00723FC5" w:rsidP="008766ED" w:rsidRDefault="00723FC5" w14:paraId="25AD2040" w14:textId="77777777">
      <w:pPr>
        <w:spacing w:before="240" w:line="240" w:lineRule="auto"/>
        <w:rPr>
          <w:rFonts w:ascii="Times New Roman" w:hAnsi="Times New Roman" w:cs="Times New Roman"/>
          <w:sz w:val="24"/>
          <w:szCs w:val="24"/>
        </w:rPr>
      </w:pPr>
      <w:bookmarkStart w:name="_GoBack" w:id="1"/>
      <w:bookmarkEnd w:id="1"/>
    </w:p>
    <w:p w:rsidRPr="000F00F3" w:rsidR="00AE3918" w:rsidP="008766ED" w:rsidRDefault="00AE3918" w14:paraId="275C6F50" w14:textId="00C6AFDB">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17</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Reason(s) Display of OMB Expiration Date is Inappropriate</w:t>
      </w:r>
    </w:p>
    <w:p w:rsidRPr="000F00F3" w:rsidR="00AE3918" w:rsidP="008766ED" w:rsidRDefault="00AE3918" w14:paraId="5FC2F8E4" w14:textId="39F4E071">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t xml:space="preserve">The OMB number and </w:t>
      </w:r>
      <w:r w:rsidR="001A0DDF">
        <w:rPr>
          <w:rFonts w:ascii="Times New Roman" w:hAnsi="Times New Roman" w:cs="Times New Roman"/>
          <w:sz w:val="24"/>
          <w:szCs w:val="24"/>
        </w:rPr>
        <w:t>e</w:t>
      </w:r>
      <w:r w:rsidRPr="000F00F3">
        <w:rPr>
          <w:rFonts w:ascii="Times New Roman" w:hAnsi="Times New Roman" w:cs="Times New Roman"/>
          <w:sz w:val="24"/>
          <w:szCs w:val="24"/>
        </w:rPr>
        <w:t>xpiration date will be displayed on every page of every form/instrument.</w:t>
      </w:r>
    </w:p>
    <w:p w:rsidRPr="000F00F3" w:rsidR="00AE3918" w:rsidP="008766ED" w:rsidRDefault="00AE3918" w14:paraId="3AB25810" w14:textId="01043AA6">
      <w:pPr>
        <w:spacing w:before="240" w:line="240" w:lineRule="auto"/>
        <w:rPr>
          <w:rFonts w:ascii="Times New Roman" w:hAnsi="Times New Roman" w:cs="Times New Roman"/>
          <w:b/>
          <w:sz w:val="24"/>
          <w:szCs w:val="24"/>
          <w:u w:val="single"/>
        </w:rPr>
      </w:pPr>
      <w:r w:rsidRPr="000F00F3">
        <w:rPr>
          <w:rFonts w:ascii="Times New Roman" w:hAnsi="Times New Roman" w:cs="Times New Roman"/>
          <w:b/>
          <w:sz w:val="24"/>
          <w:szCs w:val="24"/>
          <w:u w:val="single"/>
        </w:rPr>
        <w:t>18</w:t>
      </w:r>
      <w:r w:rsidR="009A127F">
        <w:rPr>
          <w:rFonts w:ascii="Times New Roman" w:hAnsi="Times New Roman" w:cs="Times New Roman"/>
          <w:b/>
          <w:sz w:val="24"/>
          <w:szCs w:val="24"/>
          <w:u w:val="single"/>
        </w:rPr>
        <w:t xml:space="preserve">.  </w:t>
      </w:r>
      <w:r w:rsidRPr="000F00F3">
        <w:rPr>
          <w:rFonts w:ascii="Times New Roman" w:hAnsi="Times New Roman" w:cs="Times New Roman"/>
          <w:b/>
          <w:sz w:val="24"/>
          <w:szCs w:val="24"/>
          <w:u w:val="single"/>
        </w:rPr>
        <w:t>Exceptions to Certification for Paperwork Reduction Act Submissions</w:t>
      </w:r>
    </w:p>
    <w:p w:rsidRPr="000F00F3" w:rsidR="00AE3918" w:rsidP="008766ED" w:rsidRDefault="00AE3918" w14:paraId="1AE60BE2" w14:textId="66E92943">
      <w:pPr>
        <w:spacing w:before="240" w:line="240" w:lineRule="auto"/>
        <w:rPr>
          <w:rFonts w:ascii="Times New Roman" w:hAnsi="Times New Roman" w:cs="Times New Roman"/>
          <w:sz w:val="24"/>
          <w:szCs w:val="24"/>
        </w:rPr>
      </w:pPr>
      <w:r w:rsidRPr="000F00F3">
        <w:rPr>
          <w:rFonts w:ascii="Times New Roman" w:hAnsi="Times New Roman" w:cs="Times New Roman"/>
          <w:sz w:val="24"/>
          <w:szCs w:val="24"/>
        </w:rPr>
        <w:lastRenderedPageBreak/>
        <w:t>There are no exceptions to the certification.</w:t>
      </w:r>
    </w:p>
    <w:sectPr w:rsidRPr="000F00F3" w:rsidR="00AE3918">
      <w:footerReference w:type="default" r:id="rId2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6D2C5D" w16cid:durableId="2312B72B"/>
  <w16cid:commentId w16cid:paraId="3F4BD86E" w16cid:durableId="2312B72C"/>
  <w16cid:commentId w16cid:paraId="5BBADC56" w16cid:durableId="2312B72D"/>
  <w16cid:commentId w16cid:paraId="2AA3AA0F" w16cid:durableId="2312B72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6F5E79" w14:textId="77777777" w:rsidR="007D2781" w:rsidRDefault="007D2781" w:rsidP="009360B0">
      <w:pPr>
        <w:spacing w:after="0" w:line="240" w:lineRule="auto"/>
      </w:pPr>
      <w:r>
        <w:separator/>
      </w:r>
    </w:p>
  </w:endnote>
  <w:endnote w:type="continuationSeparator" w:id="0">
    <w:p w14:paraId="01EC5999" w14:textId="77777777" w:rsidR="007D2781" w:rsidRDefault="007D2781" w:rsidP="0093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798820940"/>
      <w:docPartObj>
        <w:docPartGallery w:val="Page Numbers (Bottom of Page)"/>
        <w:docPartUnique/>
      </w:docPartObj>
    </w:sdtPr>
    <w:sdtEndPr>
      <w:rPr>
        <w:noProof/>
      </w:rPr>
    </w:sdtEndPr>
    <w:sdtContent>
      <w:p w14:paraId="56680D06" w14:textId="4DAAA39A" w:rsidR="009A127F" w:rsidRPr="00723FC5" w:rsidRDefault="009A127F">
        <w:pPr>
          <w:pStyle w:val="Footer"/>
          <w:jc w:val="center"/>
          <w:rPr>
            <w:rFonts w:ascii="Times New Roman" w:hAnsi="Times New Roman" w:cs="Times New Roman"/>
            <w:sz w:val="20"/>
            <w:szCs w:val="20"/>
          </w:rPr>
        </w:pPr>
        <w:r w:rsidRPr="00723FC5">
          <w:rPr>
            <w:rFonts w:ascii="Times New Roman" w:hAnsi="Times New Roman" w:cs="Times New Roman"/>
            <w:sz w:val="20"/>
            <w:szCs w:val="20"/>
          </w:rPr>
          <w:fldChar w:fldCharType="begin"/>
        </w:r>
        <w:r w:rsidRPr="00723FC5">
          <w:rPr>
            <w:rFonts w:ascii="Times New Roman" w:hAnsi="Times New Roman" w:cs="Times New Roman"/>
            <w:sz w:val="20"/>
            <w:szCs w:val="20"/>
          </w:rPr>
          <w:instrText xml:space="preserve"> PAGE   \* MERGEFORMAT </w:instrText>
        </w:r>
        <w:r w:rsidRPr="00723FC5">
          <w:rPr>
            <w:rFonts w:ascii="Times New Roman" w:hAnsi="Times New Roman" w:cs="Times New Roman"/>
            <w:sz w:val="20"/>
            <w:szCs w:val="20"/>
          </w:rPr>
          <w:fldChar w:fldCharType="separate"/>
        </w:r>
        <w:r w:rsidR="00723FC5">
          <w:rPr>
            <w:rFonts w:ascii="Times New Roman" w:hAnsi="Times New Roman" w:cs="Times New Roman"/>
            <w:noProof/>
            <w:sz w:val="20"/>
            <w:szCs w:val="20"/>
          </w:rPr>
          <w:t>5</w:t>
        </w:r>
        <w:r w:rsidRPr="00723FC5">
          <w:rPr>
            <w:rFonts w:ascii="Times New Roman" w:hAnsi="Times New Roman" w:cs="Times New Roman"/>
            <w:noProof/>
            <w:sz w:val="20"/>
            <w:szCs w:val="20"/>
          </w:rPr>
          <w:fldChar w:fldCharType="end"/>
        </w:r>
      </w:p>
    </w:sdtContent>
  </w:sdt>
  <w:p w14:paraId="75E522A3" w14:textId="77777777" w:rsidR="009A127F" w:rsidRDefault="009A1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86B366" w14:textId="77777777" w:rsidR="007D2781" w:rsidRDefault="007D2781" w:rsidP="009360B0">
      <w:pPr>
        <w:spacing w:after="0" w:line="240" w:lineRule="auto"/>
      </w:pPr>
      <w:r>
        <w:separator/>
      </w:r>
    </w:p>
  </w:footnote>
  <w:footnote w:type="continuationSeparator" w:id="0">
    <w:p w14:paraId="71E141E9" w14:textId="77777777" w:rsidR="007D2781" w:rsidRDefault="007D2781" w:rsidP="00936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BA339E"/>
    <w:multiLevelType w:val="hybridMultilevel"/>
    <w:tmpl w:val="E4A2A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1D7109"/>
    <w:multiLevelType w:val="hybridMultilevel"/>
    <w:tmpl w:val="D76AA200"/>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DD114A7"/>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87B34E5"/>
    <w:multiLevelType w:val="hybridMultilevel"/>
    <w:tmpl w:val="E35499C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0B52A37"/>
    <w:multiLevelType w:val="hybridMultilevel"/>
    <w:tmpl w:val="F38CF768"/>
    <w:lvl w:ilvl="0" w:tplc="9A345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ewMDAzM7YwsjA2MzFT0lEKTi0uzszPAykwqwUAFfD5niwAAAA="/>
  </w:docVars>
  <w:rsids>
    <w:rsidRoot w:val="008B436D"/>
    <w:rsid w:val="000415F9"/>
    <w:rsid w:val="00052E51"/>
    <w:rsid w:val="000774FA"/>
    <w:rsid w:val="000D1621"/>
    <w:rsid w:val="000D32C4"/>
    <w:rsid w:val="000D4013"/>
    <w:rsid w:val="000E0FD1"/>
    <w:rsid w:val="000E2B5B"/>
    <w:rsid w:val="000E6F9D"/>
    <w:rsid w:val="000F00F3"/>
    <w:rsid w:val="00110AEA"/>
    <w:rsid w:val="0011356E"/>
    <w:rsid w:val="00113AD9"/>
    <w:rsid w:val="001302B5"/>
    <w:rsid w:val="001354C9"/>
    <w:rsid w:val="001824D0"/>
    <w:rsid w:val="001A0DDF"/>
    <w:rsid w:val="001A1747"/>
    <w:rsid w:val="001A2782"/>
    <w:rsid w:val="001A3DD3"/>
    <w:rsid w:val="001B0908"/>
    <w:rsid w:val="001C22F8"/>
    <w:rsid w:val="001F0988"/>
    <w:rsid w:val="00214E54"/>
    <w:rsid w:val="0021692F"/>
    <w:rsid w:val="002235E0"/>
    <w:rsid w:val="00260F1A"/>
    <w:rsid w:val="00280D1D"/>
    <w:rsid w:val="00283774"/>
    <w:rsid w:val="002B73B5"/>
    <w:rsid w:val="002C0AC5"/>
    <w:rsid w:val="002F0D4A"/>
    <w:rsid w:val="00332952"/>
    <w:rsid w:val="0034712C"/>
    <w:rsid w:val="00347B68"/>
    <w:rsid w:val="0039231E"/>
    <w:rsid w:val="003B360C"/>
    <w:rsid w:val="003B6377"/>
    <w:rsid w:val="003F7592"/>
    <w:rsid w:val="00406483"/>
    <w:rsid w:val="004159A8"/>
    <w:rsid w:val="004652FF"/>
    <w:rsid w:val="00477AD9"/>
    <w:rsid w:val="00494CF6"/>
    <w:rsid w:val="004B0A74"/>
    <w:rsid w:val="004B7707"/>
    <w:rsid w:val="004C7A41"/>
    <w:rsid w:val="004E48B3"/>
    <w:rsid w:val="004E799C"/>
    <w:rsid w:val="0052175E"/>
    <w:rsid w:val="0054241E"/>
    <w:rsid w:val="00546B83"/>
    <w:rsid w:val="0055451B"/>
    <w:rsid w:val="00562241"/>
    <w:rsid w:val="00593BC1"/>
    <w:rsid w:val="0069705A"/>
    <w:rsid w:val="006F3BEE"/>
    <w:rsid w:val="00702497"/>
    <w:rsid w:val="00723FC5"/>
    <w:rsid w:val="00726F37"/>
    <w:rsid w:val="007A218D"/>
    <w:rsid w:val="007D2781"/>
    <w:rsid w:val="007E4B50"/>
    <w:rsid w:val="007F348E"/>
    <w:rsid w:val="00827E54"/>
    <w:rsid w:val="0083352D"/>
    <w:rsid w:val="00843F58"/>
    <w:rsid w:val="0087087B"/>
    <w:rsid w:val="008766ED"/>
    <w:rsid w:val="008815BC"/>
    <w:rsid w:val="00882A24"/>
    <w:rsid w:val="00892D92"/>
    <w:rsid w:val="00896715"/>
    <w:rsid w:val="008B436D"/>
    <w:rsid w:val="008C0265"/>
    <w:rsid w:val="008D6DCD"/>
    <w:rsid w:val="008E1B3A"/>
    <w:rsid w:val="00905250"/>
    <w:rsid w:val="009241BF"/>
    <w:rsid w:val="009360B0"/>
    <w:rsid w:val="00945EDA"/>
    <w:rsid w:val="009864E4"/>
    <w:rsid w:val="009A127F"/>
    <w:rsid w:val="009B2C41"/>
    <w:rsid w:val="009D34D6"/>
    <w:rsid w:val="009D675D"/>
    <w:rsid w:val="009E16D5"/>
    <w:rsid w:val="009F7C34"/>
    <w:rsid w:val="00A02B72"/>
    <w:rsid w:val="00A073FE"/>
    <w:rsid w:val="00A2036C"/>
    <w:rsid w:val="00A2131E"/>
    <w:rsid w:val="00A327B6"/>
    <w:rsid w:val="00A424AD"/>
    <w:rsid w:val="00A54423"/>
    <w:rsid w:val="00A9515D"/>
    <w:rsid w:val="00AC15CD"/>
    <w:rsid w:val="00AC295D"/>
    <w:rsid w:val="00AE3918"/>
    <w:rsid w:val="00B55DAA"/>
    <w:rsid w:val="00B975E3"/>
    <w:rsid w:val="00BB19F6"/>
    <w:rsid w:val="00BB7CAA"/>
    <w:rsid w:val="00BC5C13"/>
    <w:rsid w:val="00C139A4"/>
    <w:rsid w:val="00C54321"/>
    <w:rsid w:val="00C62ADF"/>
    <w:rsid w:val="00C87E6D"/>
    <w:rsid w:val="00C95250"/>
    <w:rsid w:val="00CA1AB7"/>
    <w:rsid w:val="00CD53A0"/>
    <w:rsid w:val="00CF4C33"/>
    <w:rsid w:val="00CF633B"/>
    <w:rsid w:val="00D5230B"/>
    <w:rsid w:val="00D93AFC"/>
    <w:rsid w:val="00DA4B2C"/>
    <w:rsid w:val="00DD521C"/>
    <w:rsid w:val="00DD7446"/>
    <w:rsid w:val="00E11BF7"/>
    <w:rsid w:val="00E137E5"/>
    <w:rsid w:val="00E35FA9"/>
    <w:rsid w:val="00E3647F"/>
    <w:rsid w:val="00E57E47"/>
    <w:rsid w:val="00E60CEB"/>
    <w:rsid w:val="00E74C8D"/>
    <w:rsid w:val="00E966B7"/>
    <w:rsid w:val="00EA0919"/>
    <w:rsid w:val="00ED2AA7"/>
    <w:rsid w:val="00F250E9"/>
    <w:rsid w:val="00F45CC6"/>
    <w:rsid w:val="00F73E11"/>
    <w:rsid w:val="00F83AB0"/>
    <w:rsid w:val="00FE351B"/>
    <w:rsid w:val="00FF7CFE"/>
    <w:rsid w:val="00FF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FAF9C"/>
  <w15:chartTrackingRefBased/>
  <w15:docId w15:val="{0ACFCB61-2E6F-4363-B371-667CC4FC3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7B68"/>
    <w:pPr>
      <w:ind w:left="720"/>
      <w:contextualSpacing/>
    </w:pPr>
  </w:style>
  <w:style w:type="character" w:styleId="Hyperlink">
    <w:name w:val="Hyperlink"/>
    <w:basedOn w:val="DefaultParagraphFont"/>
    <w:uiPriority w:val="99"/>
    <w:unhideWhenUsed/>
    <w:rsid w:val="00FF7E5D"/>
    <w:rPr>
      <w:color w:val="0563C1" w:themeColor="hyperlink"/>
      <w:u w:val="single"/>
    </w:rPr>
  </w:style>
  <w:style w:type="character" w:customStyle="1" w:styleId="UnresolvedMention1">
    <w:name w:val="Unresolved Mention1"/>
    <w:basedOn w:val="DefaultParagraphFont"/>
    <w:uiPriority w:val="99"/>
    <w:semiHidden/>
    <w:unhideWhenUsed/>
    <w:rsid w:val="00FF7E5D"/>
    <w:rPr>
      <w:color w:val="605E5C"/>
      <w:shd w:val="clear" w:color="auto" w:fill="E1DFDD"/>
    </w:rPr>
  </w:style>
  <w:style w:type="table" w:styleId="TableGrid">
    <w:name w:val="Table Grid"/>
    <w:basedOn w:val="TableNormal"/>
    <w:rsid w:val="00E3647F"/>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E3647F"/>
    <w:rPr>
      <w:sz w:val="16"/>
      <w:szCs w:val="16"/>
    </w:rPr>
  </w:style>
  <w:style w:type="paragraph" w:styleId="CommentText">
    <w:name w:val="annotation text"/>
    <w:basedOn w:val="Normal"/>
    <w:link w:val="CommentTextChar"/>
    <w:uiPriority w:val="99"/>
    <w:unhideWhenUsed/>
    <w:rsid w:val="00E3647F"/>
    <w:pPr>
      <w:spacing w:line="240" w:lineRule="auto"/>
    </w:pPr>
    <w:rPr>
      <w:sz w:val="20"/>
      <w:szCs w:val="20"/>
    </w:rPr>
  </w:style>
  <w:style w:type="character" w:customStyle="1" w:styleId="CommentTextChar">
    <w:name w:val="Comment Text Char"/>
    <w:basedOn w:val="DefaultParagraphFont"/>
    <w:link w:val="CommentText"/>
    <w:uiPriority w:val="99"/>
    <w:rsid w:val="00E3647F"/>
    <w:rPr>
      <w:sz w:val="20"/>
      <w:szCs w:val="20"/>
    </w:rPr>
  </w:style>
  <w:style w:type="paragraph" w:customStyle="1" w:styleId="Center">
    <w:name w:val="Center"/>
    <w:basedOn w:val="Normal"/>
    <w:rsid w:val="00E3647F"/>
    <w:pPr>
      <w:tabs>
        <w:tab w:val="left" w:pos="432"/>
      </w:tabs>
      <w:spacing w:after="0" w:line="480" w:lineRule="auto"/>
      <w:jc w:val="center"/>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E364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47F"/>
    <w:rPr>
      <w:rFonts w:ascii="Segoe UI" w:hAnsi="Segoe UI" w:cs="Segoe UI"/>
      <w:sz w:val="18"/>
      <w:szCs w:val="18"/>
    </w:rPr>
  </w:style>
  <w:style w:type="paragraph" w:styleId="Header">
    <w:name w:val="header"/>
    <w:basedOn w:val="Normal"/>
    <w:link w:val="HeaderChar"/>
    <w:uiPriority w:val="99"/>
    <w:unhideWhenUsed/>
    <w:rsid w:val="00936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0B0"/>
  </w:style>
  <w:style w:type="paragraph" w:styleId="Footer">
    <w:name w:val="footer"/>
    <w:basedOn w:val="Normal"/>
    <w:link w:val="FooterChar"/>
    <w:uiPriority w:val="99"/>
    <w:unhideWhenUsed/>
    <w:rsid w:val="00936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0B0"/>
  </w:style>
  <w:style w:type="paragraph" w:styleId="CommentSubject">
    <w:name w:val="annotation subject"/>
    <w:basedOn w:val="CommentText"/>
    <w:next w:val="CommentText"/>
    <w:link w:val="CommentSubjectChar"/>
    <w:uiPriority w:val="99"/>
    <w:semiHidden/>
    <w:unhideWhenUsed/>
    <w:rsid w:val="004C7A41"/>
    <w:rPr>
      <w:b/>
      <w:bCs/>
    </w:rPr>
  </w:style>
  <w:style w:type="character" w:customStyle="1" w:styleId="CommentSubjectChar">
    <w:name w:val="Comment Subject Char"/>
    <w:basedOn w:val="CommentTextChar"/>
    <w:link w:val="CommentSubject"/>
    <w:uiPriority w:val="99"/>
    <w:semiHidden/>
    <w:rsid w:val="004C7A41"/>
    <w:rPr>
      <w:b/>
      <w:bCs/>
      <w:sz w:val="20"/>
      <w:szCs w:val="20"/>
    </w:rPr>
  </w:style>
  <w:style w:type="paragraph" w:styleId="Revision">
    <w:name w:val="Revision"/>
    <w:hidden/>
    <w:uiPriority w:val="99"/>
    <w:semiHidden/>
    <w:rsid w:val="00494CF6"/>
    <w:pPr>
      <w:spacing w:after="0" w:line="240" w:lineRule="auto"/>
    </w:pPr>
  </w:style>
  <w:style w:type="character" w:styleId="FollowedHyperlink">
    <w:name w:val="FollowedHyperlink"/>
    <w:basedOn w:val="DefaultParagraphFont"/>
    <w:uiPriority w:val="99"/>
    <w:semiHidden/>
    <w:unhideWhenUsed/>
    <w:rsid w:val="001A0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957308">
      <w:bodyDiv w:val="1"/>
      <w:marLeft w:val="0"/>
      <w:marRight w:val="0"/>
      <w:marTop w:val="0"/>
      <w:marBottom w:val="0"/>
      <w:divBdr>
        <w:top w:val="none" w:sz="0" w:space="0" w:color="auto"/>
        <w:left w:val="none" w:sz="0" w:space="0" w:color="auto"/>
        <w:bottom w:val="none" w:sz="0" w:space="0" w:color="auto"/>
        <w:right w:val="none" w:sz="0" w:space="0" w:color="auto"/>
      </w:divBdr>
    </w:div>
    <w:div w:id="639188165">
      <w:bodyDiv w:val="1"/>
      <w:marLeft w:val="0"/>
      <w:marRight w:val="0"/>
      <w:marTop w:val="0"/>
      <w:marBottom w:val="0"/>
      <w:divBdr>
        <w:top w:val="none" w:sz="0" w:space="0" w:color="auto"/>
        <w:left w:val="none" w:sz="0" w:space="0" w:color="auto"/>
        <w:bottom w:val="none" w:sz="0" w:space="0" w:color="auto"/>
        <w:right w:val="none" w:sz="0" w:space="0" w:color="auto"/>
      </w:divBdr>
    </w:div>
    <w:div w:id="785193575">
      <w:bodyDiv w:val="1"/>
      <w:marLeft w:val="0"/>
      <w:marRight w:val="0"/>
      <w:marTop w:val="0"/>
      <w:marBottom w:val="0"/>
      <w:divBdr>
        <w:top w:val="none" w:sz="0" w:space="0" w:color="auto"/>
        <w:left w:val="none" w:sz="0" w:space="0" w:color="auto"/>
        <w:bottom w:val="none" w:sz="0" w:space="0" w:color="auto"/>
        <w:right w:val="none" w:sz="0" w:space="0" w:color="auto"/>
      </w:divBdr>
    </w:div>
    <w:div w:id="976955614">
      <w:bodyDiv w:val="1"/>
      <w:marLeft w:val="0"/>
      <w:marRight w:val="0"/>
      <w:marTop w:val="0"/>
      <w:marBottom w:val="0"/>
      <w:divBdr>
        <w:top w:val="none" w:sz="0" w:space="0" w:color="auto"/>
        <w:left w:val="none" w:sz="0" w:space="0" w:color="auto"/>
        <w:bottom w:val="none" w:sz="0" w:space="0" w:color="auto"/>
        <w:right w:val="none" w:sz="0" w:space="0" w:color="auto"/>
      </w:divBdr>
    </w:div>
    <w:div w:id="1069108549">
      <w:bodyDiv w:val="1"/>
      <w:marLeft w:val="0"/>
      <w:marRight w:val="0"/>
      <w:marTop w:val="0"/>
      <w:marBottom w:val="0"/>
      <w:divBdr>
        <w:top w:val="none" w:sz="0" w:space="0" w:color="auto"/>
        <w:left w:val="none" w:sz="0" w:space="0" w:color="auto"/>
        <w:bottom w:val="none" w:sz="0" w:space="0" w:color="auto"/>
        <w:right w:val="none" w:sz="0" w:space="0" w:color="auto"/>
      </w:divBdr>
    </w:div>
    <w:div w:id="109428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ames.Trotter@BSWHealth.org" TargetMode="External"/><Relationship Id="rId18" Type="http://schemas.openxmlformats.org/officeDocument/2006/relationships/hyperlink" Target="mailto:kanewel@emory.edu"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Waterman@mednet.ucla.edu" TargetMode="External"/><Relationship Id="rId7" Type="http://schemas.openxmlformats.org/officeDocument/2006/relationships/styles" Target="styles.xml"/><Relationship Id="rId12" Type="http://schemas.openxmlformats.org/officeDocument/2006/relationships/hyperlink" Target="mailto:Jeffrey.Wang@hcmed.org" TargetMode="External"/><Relationship Id="rId17" Type="http://schemas.openxmlformats.org/officeDocument/2006/relationships/hyperlink" Target="mailto:matas001@umn.ed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krista.lentine@health.slu.edu" TargetMode="External"/><Relationship Id="rId20" Type="http://schemas.openxmlformats.org/officeDocument/2006/relationships/hyperlink" Target="mailto:staler@mayo.edu"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bls.gov/oes/current/oes_mn.htm" TargetMode="External"/><Relationship Id="rId5" Type="http://schemas.openxmlformats.org/officeDocument/2006/relationships/customXml" Target="../customXml/item5.xml"/><Relationship Id="rId15" Type="http://schemas.openxmlformats.org/officeDocument/2006/relationships/hyperlink" Target="mailto:maceyh@jhmi.edu" TargetMode="External"/><Relationship Id="rId23" Type="http://schemas.openxmlformats.org/officeDocument/2006/relationships/hyperlink" Target="mailto:lindsay.larkin@unos.org" TargetMode="External"/><Relationship Id="rId10" Type="http://schemas.openxmlformats.org/officeDocument/2006/relationships/footnotes" Target="footnotes.xml"/><Relationship Id="rId19" Type="http://schemas.openxmlformats.org/officeDocument/2006/relationships/hyperlink" Target="mailto:dianne.lapointerudow@mountsinai.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dewma@upmc.edu" TargetMode="External"/><Relationship Id="rId22" Type="http://schemas.openxmlformats.org/officeDocument/2006/relationships/hyperlink" Target="mailto:heatherfhunt@gmail.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QPVJESM53SK4-2028541707-26263</_dlc_DocId>
    <_dlc_DocIdUrl xmlns="053a5afd-1424-405b-82d9-63deec7446f8">
      <Url>https://sharepoint.hrsa.gov/sites/HSB/dot/_layouts/15/DocIdRedir.aspx?ID=QPVJESM53SK4-2028541707-26263</Url>
      <Description>QPVJESM53SK4-2028541707-26263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6" ma:contentTypeDescription="Create a new document." ma:contentTypeScope="" ma:versionID="e937660d2e57fb17062f2f87247eabae">
  <xsd:schema xmlns:xsd="http://www.w3.org/2001/XMLSchema" xmlns:xs="http://www.w3.org/2001/XMLSchema" xmlns:p="http://schemas.microsoft.com/office/2006/metadata/properties" xmlns:ns2="053a5afd-1424-405b-82d9-63deec7446f8" targetNamespace="http://schemas.microsoft.com/office/2006/metadata/properties" ma:root="true" ma:fieldsID="75e8d67774436b6eaebafbfbe16eb9df"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D60B1023-DCD8-43A4-8643-27274354797E}">
  <ds:schemaRefs>
    <ds:schemaRef ds:uri="http://schemas.microsoft.com/sharepoint/events"/>
  </ds:schemaRefs>
</ds:datastoreItem>
</file>

<file path=customXml/itemProps2.xml><?xml version="1.0" encoding="utf-8"?>
<ds:datastoreItem xmlns:ds="http://schemas.openxmlformats.org/officeDocument/2006/customXml" ds:itemID="{C797B72F-B3D1-4F4A-9E48-70841B20AD8F}">
  <ds:schemaRefs>
    <ds:schemaRef ds:uri="http://schemas.microsoft.com/office/2006/metadata/properties"/>
    <ds:schemaRef ds:uri="http://schemas.microsoft.com/office/infopath/2007/PartnerControls"/>
    <ds:schemaRef ds:uri="053a5afd-1424-405b-82d9-63deec7446f8"/>
  </ds:schemaRefs>
</ds:datastoreItem>
</file>

<file path=customXml/itemProps3.xml><?xml version="1.0" encoding="utf-8"?>
<ds:datastoreItem xmlns:ds="http://schemas.openxmlformats.org/officeDocument/2006/customXml" ds:itemID="{D5D43C95-3BAA-489D-B783-38AD49A61BE3}">
  <ds:schemaRefs>
    <ds:schemaRef ds:uri="http://schemas.microsoft.com/sharepoint/v3/contenttype/forms"/>
  </ds:schemaRefs>
</ds:datastoreItem>
</file>

<file path=customXml/itemProps4.xml><?xml version="1.0" encoding="utf-8"?>
<ds:datastoreItem xmlns:ds="http://schemas.openxmlformats.org/officeDocument/2006/customXml" ds:itemID="{3F8D14AB-661B-4C4B-A305-2C009B271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A037D54-3648-4C74-AA0E-99964C383DD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7</Pages>
  <Words>2322</Words>
  <Characters>13238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SRTR Supporting Statement A- REDLINE</vt:lpstr>
    </vt:vector>
  </TitlesOfParts>
  <Company/>
  <LinksUpToDate>false</LinksUpToDate>
  <CharactersWithSpaces>15529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SRTR Supporting Statement A- REDLINE</dc:title>
  <dc:subject/>
  <dc:creator>Michael Conboy</dc:creator>
  <cp:keywords/>
  <dc:description/>
  <cp:lastModifiedBy>Elyana N.  Bowman</cp:lastModifiedBy>
  <cp:revision>24</cp:revision>
  <dcterms:created xsi:type="dcterms:W3CDTF">2020-10-30T17:42:00Z</dcterms:created>
  <dcterms:modified xsi:type="dcterms:W3CDTF">2020-12-16T17:07:00Z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_dlc_DocIdItemGuid">
    <vt:lpwstr>94e63dec-d9f7-47d1-bbaf-fa8685761c2f</vt:lpwstr>
  </property>
</Properties>
</file>