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EF8" w:rsidP="00347A22" w:rsidRDefault="00724EF8">
      <w:pPr>
        <w:autoSpaceDE w:val="0"/>
        <w:autoSpaceDN w:val="0"/>
        <w:adjustRightInd w:val="0"/>
        <w:jc w:val="center"/>
      </w:pPr>
      <w:r>
        <w:t>U</w:t>
      </w:r>
      <w:r w:rsidR="00196F94">
        <w:t>.</w:t>
      </w:r>
      <w:r>
        <w:t>S</w:t>
      </w:r>
      <w:r w:rsidR="00196F94">
        <w:t>.</w:t>
      </w:r>
      <w:r>
        <w:t xml:space="preserve"> Food and Drug Administration</w:t>
      </w:r>
    </w:p>
    <w:p w:rsidR="00A218BA" w:rsidP="00347A22" w:rsidRDefault="00A559FB">
      <w:pPr>
        <w:autoSpaceDE w:val="0"/>
        <w:autoSpaceDN w:val="0"/>
        <w:adjustRightInd w:val="0"/>
        <w:jc w:val="center"/>
      </w:pPr>
      <w:r>
        <w:t>Application for Participation in Food and Drug Adm</w:t>
      </w:r>
      <w:r w:rsidR="00347A22">
        <w:t xml:space="preserve">inistration </w:t>
      </w:r>
    </w:p>
    <w:p w:rsidRPr="009A1674" w:rsidR="00B23769" w:rsidP="005D4A54" w:rsidRDefault="00347A22">
      <w:pPr>
        <w:autoSpaceDE w:val="0"/>
        <w:autoSpaceDN w:val="0"/>
        <w:adjustRightInd w:val="0"/>
        <w:jc w:val="center"/>
      </w:pPr>
      <w:r>
        <w:t>Fellowship</w:t>
      </w:r>
      <w:r w:rsidR="000F02E7">
        <w:t xml:space="preserve"> and </w:t>
      </w:r>
      <w:r w:rsidR="00A218BA">
        <w:t xml:space="preserve">Traineeship </w:t>
      </w:r>
      <w:r>
        <w:t>Program</w:t>
      </w:r>
      <w:r w:rsidR="00A218BA">
        <w:t>s</w:t>
      </w:r>
    </w:p>
    <w:p w:rsidR="00196F94" w:rsidP="00B23769" w:rsidRDefault="00196F94">
      <w:pPr>
        <w:jc w:val="center"/>
      </w:pPr>
      <w:bookmarkStart w:name="_Hlk5616361" w:id="0"/>
    </w:p>
    <w:p w:rsidRPr="009A1674" w:rsidR="00EB7538" w:rsidP="00B23769" w:rsidRDefault="0032044E">
      <w:pPr>
        <w:jc w:val="center"/>
      </w:pPr>
      <w:r>
        <w:t xml:space="preserve">OMB Control Number </w:t>
      </w:r>
      <w:r w:rsidRPr="009A1674" w:rsidR="00EB7538">
        <w:t>0910</w:t>
      </w:r>
      <w:r w:rsidR="00A559FB">
        <w:t>-0780</w:t>
      </w:r>
      <w:bookmarkEnd w:id="0"/>
      <w:r w:rsidRPr="009A1674" w:rsidR="00A35D42">
        <w:br/>
      </w:r>
    </w:p>
    <w:p w:rsidRPr="004706B6" w:rsidR="0032044E" w:rsidP="005D4A54" w:rsidRDefault="0032044E">
      <w:pPr>
        <w:jc w:val="center"/>
      </w:pPr>
      <w:r w:rsidRPr="004706B6">
        <w:t xml:space="preserve">SUPPORTING STATEMENT </w:t>
      </w:r>
      <w:proofErr w:type="gramStart"/>
      <w:r w:rsidRPr="001667B7">
        <w:rPr>
          <w:b/>
        </w:rPr>
        <w:t>Part</w:t>
      </w:r>
      <w:proofErr w:type="gramEnd"/>
      <w:r w:rsidRPr="001667B7">
        <w:rPr>
          <w:b/>
        </w:rPr>
        <w:t xml:space="preserve"> A:  Justification</w:t>
      </w:r>
    </w:p>
    <w:p w:rsidR="00EB7538" w:rsidP="00EB7538" w:rsidRDefault="00EB7538">
      <w:pPr>
        <w:pStyle w:val="NormalWeb"/>
      </w:pPr>
      <w:r>
        <w:rPr>
          <w:b/>
          <w:bCs/>
        </w:rPr>
        <w:t>A. Justification</w:t>
      </w:r>
    </w:p>
    <w:p w:rsidR="00C96B35" w:rsidP="00C96B35" w:rsidRDefault="00C96B35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2746DB">
        <w:rPr>
          <w:u w:val="single"/>
        </w:rPr>
        <w:t>Circumstances Making the Collection of Information Necessary</w:t>
      </w:r>
    </w:p>
    <w:p w:rsidR="00FC6418" w:rsidP="00EA214A" w:rsidRDefault="00F24546">
      <w:pPr>
        <w:ind w:left="720"/>
      </w:pPr>
      <w:r>
        <w:rPr>
          <w:rFonts w:eastAsia="Calibri"/>
        </w:rPr>
        <w:t xml:space="preserve">This information collection supports Food and Drug Administration (FDA, us or we) programs.  </w:t>
      </w:r>
      <w:r w:rsidR="004140FB">
        <w:t xml:space="preserve">The </w:t>
      </w:r>
      <w:r w:rsidR="00673170">
        <w:t>FDA has</w:t>
      </w:r>
      <w:r w:rsidR="004140FB">
        <w:t xml:space="preserve"> established fellowship </w:t>
      </w:r>
      <w:r w:rsidR="00316C14">
        <w:t xml:space="preserve">and traineeship </w:t>
      </w:r>
      <w:r w:rsidR="004140FB">
        <w:t xml:space="preserve">programs to </w:t>
      </w:r>
      <w:r w:rsidR="00E52C14">
        <w:t>train scientist in intramural research and/or review</w:t>
      </w:r>
      <w:r w:rsidR="004140FB">
        <w:t xml:space="preserve">. </w:t>
      </w:r>
      <w:r w:rsidR="009E66ED">
        <w:t xml:space="preserve"> </w:t>
      </w:r>
      <w:r w:rsidRPr="002F2FEB" w:rsidR="00FC6418">
        <w:t>Section 5 CFR Chapter 1, Section</w:t>
      </w:r>
      <w:r w:rsidR="00FC6418">
        <w:t>s 250 and</w:t>
      </w:r>
      <w:r w:rsidRPr="002F2FEB" w:rsidR="00FC6418">
        <w:t xml:space="preserve"> 293 of Title 5 of the United States Code, </w:t>
      </w:r>
      <w:r w:rsidR="0032044E">
        <w:t xml:space="preserve">provides </w:t>
      </w:r>
      <w:hyperlink w:history="1"/>
      <w:r w:rsidR="0032044E">
        <w:t xml:space="preserve">authorization </w:t>
      </w:r>
      <w:r w:rsidR="001160F0">
        <w:t>for</w:t>
      </w:r>
      <w:r w:rsidR="0032044E">
        <w:t xml:space="preserve"> </w:t>
      </w:r>
      <w:r w:rsidRPr="002F2FEB" w:rsidR="00FC6418">
        <w:t xml:space="preserve">Federal agencies to </w:t>
      </w:r>
      <w:r w:rsidR="00FC6418">
        <w:t>collect</w:t>
      </w:r>
      <w:r w:rsidRPr="002F2FEB" w:rsidR="00FC6418">
        <w:t xml:space="preserve"> applicati</w:t>
      </w:r>
      <w:r w:rsidR="00FC6418">
        <w:t>ons</w:t>
      </w:r>
      <w:r w:rsidRPr="002F2FEB" w:rsidR="00FC6418">
        <w:t xml:space="preserve"> for Federal </w:t>
      </w:r>
      <w:r w:rsidR="00C92C0E">
        <w:t>positions</w:t>
      </w:r>
      <w:r w:rsidR="00FC6418">
        <w:t>.</w:t>
      </w:r>
      <w:r w:rsidRPr="002F2FEB" w:rsidR="00FC6418">
        <w:t xml:space="preserve"> </w:t>
      </w:r>
      <w:r w:rsidR="0040455D">
        <w:t xml:space="preserve">The collection of </w:t>
      </w:r>
      <w:r w:rsidRPr="002F2FEB" w:rsidR="00FC6418">
        <w:t>applications</w:t>
      </w:r>
      <w:r w:rsidR="002C4E48">
        <w:t xml:space="preserve"> </w:t>
      </w:r>
      <w:r w:rsidRPr="002F2FEB" w:rsidR="00FC6418">
        <w:t xml:space="preserve">for </w:t>
      </w:r>
      <w:r w:rsidR="008D050A">
        <w:t xml:space="preserve">FDA </w:t>
      </w:r>
      <w:r w:rsidR="00AD48EE">
        <w:t xml:space="preserve">traineeship and </w:t>
      </w:r>
      <w:r w:rsidR="008D050A">
        <w:t xml:space="preserve">fellowship programs </w:t>
      </w:r>
      <w:r w:rsidRPr="002F2FEB" w:rsidR="00FC6418">
        <w:t xml:space="preserve">will allow </w:t>
      </w:r>
      <w:r w:rsidR="00AD48EE">
        <w:t xml:space="preserve">FDA </w:t>
      </w:r>
      <w:r w:rsidRPr="002F2FEB" w:rsidR="00FC6418">
        <w:t xml:space="preserve">to easily and efficiently </w:t>
      </w:r>
      <w:r w:rsidR="00FC6418">
        <w:t xml:space="preserve">solicit </w:t>
      </w:r>
      <w:r w:rsidRPr="002F2FEB" w:rsidR="00FC6418">
        <w:t>and review information from students and health care professionals who are interested in becomi</w:t>
      </w:r>
      <w:r w:rsidR="00FC6418">
        <w:t xml:space="preserve">ng involved in FDA-wide activities.  </w:t>
      </w:r>
      <w:r w:rsidRPr="002F2FEB" w:rsidR="00FC6418">
        <w:t>The process will reduce the time and cost of submitting written documentation to the agency and lessen the likelihood of applications being misrouted</w:t>
      </w:r>
      <w:r w:rsidR="00FC6418">
        <w:t xml:space="preserve"> within the agency mail system.  </w:t>
      </w:r>
      <w:r w:rsidRPr="002F2FEB" w:rsidR="00FC6418">
        <w:t xml:space="preserve">It will assist the agency in promoting and protecting the public health by encouraging outside persons to share their expertise with </w:t>
      </w:r>
      <w:r w:rsidR="00FC6418">
        <w:t xml:space="preserve">the </w:t>
      </w:r>
      <w:r w:rsidR="00FF1896">
        <w:t>FDA. Section</w:t>
      </w:r>
      <w:r w:rsidR="009E66ED">
        <w:t xml:space="preserve"> 746(b) of the Federal Food, Drug and Cosmetic Act </w:t>
      </w:r>
      <w:r w:rsidR="00FF1896">
        <w:t xml:space="preserve">authorizes </w:t>
      </w:r>
      <w:r w:rsidR="009E66ED">
        <w:t>FDA to provide non-employees with intramural research training and support all aspects of th</w:t>
      </w:r>
      <w:r w:rsidR="00E52C14">
        <w:t>e</w:t>
      </w:r>
      <w:r w:rsidR="009E66ED">
        <w:t xml:space="preserve"> program</w:t>
      </w:r>
      <w:r w:rsidR="00E52C14">
        <w:t xml:space="preserve"> to include collection </w:t>
      </w:r>
      <w:r w:rsidR="00AF4B79">
        <w:t xml:space="preserve">of </w:t>
      </w:r>
      <w:r w:rsidR="00E52C14">
        <w:t>application materials</w:t>
      </w:r>
      <w:r w:rsidR="009E66ED">
        <w:t xml:space="preserve">.  </w:t>
      </w:r>
      <w:r w:rsidRPr="002F2FEB" w:rsidR="00FC6418">
        <w:tab/>
      </w:r>
    </w:p>
    <w:p w:rsidR="002A6208" w:rsidP="00EA214A" w:rsidRDefault="002A6208">
      <w:pPr>
        <w:ind w:left="720"/>
      </w:pPr>
    </w:p>
    <w:p w:rsidRPr="002F2FEB" w:rsidR="002A6208" w:rsidP="00EA214A" w:rsidRDefault="002A6208">
      <w:pPr>
        <w:ind w:left="720"/>
      </w:pPr>
      <w:r>
        <w:t>We therefore request extension of OMB approval for the information collection</w:t>
      </w:r>
      <w:r w:rsidR="00560AF2">
        <w:t xml:space="preserve"> </w:t>
      </w:r>
      <w:r>
        <w:t xml:space="preserve">associated with fellowship </w:t>
      </w:r>
      <w:r w:rsidR="00FF1896">
        <w:t xml:space="preserve">and traineeship </w:t>
      </w:r>
      <w:r>
        <w:t xml:space="preserve">programs, as discussed in this supporting statement, including the associated </w:t>
      </w:r>
      <w:r w:rsidR="00FF1896">
        <w:t>forms</w:t>
      </w:r>
      <w:r>
        <w:t>.</w:t>
      </w:r>
    </w:p>
    <w:p w:rsidR="00472222" w:rsidP="00EA214A" w:rsidRDefault="00EB7538">
      <w:pPr>
        <w:numPr>
          <w:ilvl w:val="0"/>
          <w:numId w:val="1"/>
        </w:numPr>
        <w:spacing w:before="100" w:beforeAutospacing="1" w:after="100" w:afterAutospacing="1"/>
      </w:pPr>
      <w:r w:rsidRPr="00C96B35">
        <w:rPr>
          <w:u w:val="single"/>
        </w:rPr>
        <w:t xml:space="preserve">Purpose and Use of the Information Collection </w:t>
      </w:r>
    </w:p>
    <w:p w:rsidR="00472222" w:rsidP="00472222" w:rsidRDefault="00472222">
      <w:pPr>
        <w:ind w:left="720"/>
      </w:pPr>
      <w:r w:rsidRPr="002F2FEB">
        <w:t xml:space="preserve">The </w:t>
      </w:r>
      <w:r w:rsidR="00714B1B">
        <w:t xml:space="preserve">information </w:t>
      </w:r>
      <w:r w:rsidRPr="002F2FEB">
        <w:t xml:space="preserve">collection is </w:t>
      </w:r>
      <w:r w:rsidR="00714B1B">
        <w:t xml:space="preserve">used </w:t>
      </w:r>
      <w:r w:rsidRPr="002F2FEB">
        <w:t xml:space="preserve">to develop a pool </w:t>
      </w:r>
      <w:r>
        <w:t>of qualified</w:t>
      </w:r>
      <w:r w:rsidRPr="002F2FEB">
        <w:t xml:space="preserve"> </w:t>
      </w:r>
      <w:r w:rsidR="009E66ED">
        <w:t xml:space="preserve">applicants </w:t>
      </w:r>
      <w:r w:rsidRPr="002F2FEB">
        <w:t xml:space="preserve">and to increase the range and depth of collaborations between </w:t>
      </w:r>
      <w:r w:rsidR="003E0315">
        <w:t>the Agency</w:t>
      </w:r>
      <w:r w:rsidRPr="002F2FEB">
        <w:t xml:space="preserve"> and the</w:t>
      </w:r>
      <w:r w:rsidR="003E0315">
        <w:t xml:space="preserve"> outside </w:t>
      </w:r>
      <w:r w:rsidR="00E52C14">
        <w:t xml:space="preserve">scientific </w:t>
      </w:r>
      <w:r w:rsidRPr="002F2FEB">
        <w:t xml:space="preserve">community.  This collection </w:t>
      </w:r>
      <w:r w:rsidR="003E0315">
        <w:t xml:space="preserve">supports </w:t>
      </w:r>
      <w:r w:rsidRPr="002F2FEB">
        <w:t>FDA program</w:t>
      </w:r>
      <w:r w:rsidR="003E0315">
        <w:t>s</w:t>
      </w:r>
      <w:r w:rsidRPr="002F2FEB">
        <w:t xml:space="preserve"> to </w:t>
      </w:r>
      <w:r w:rsidR="009E66ED">
        <w:t xml:space="preserve">train scientists </w:t>
      </w:r>
      <w:r w:rsidRPr="002F2FEB">
        <w:t xml:space="preserve">in the regulatory </w:t>
      </w:r>
      <w:r w:rsidR="00E52C14">
        <w:t xml:space="preserve">research </w:t>
      </w:r>
      <w:r w:rsidRPr="002F2FEB">
        <w:t>process, share expertise with FDA staff</w:t>
      </w:r>
      <w:r>
        <w:t>,</w:t>
      </w:r>
      <w:r w:rsidRPr="002F2FEB">
        <w:t xml:space="preserve"> and </w:t>
      </w:r>
      <w:r w:rsidR="009E66ED">
        <w:t xml:space="preserve">when applicable </w:t>
      </w:r>
      <w:r w:rsidR="00E52C14">
        <w:t>train in regulatory review</w:t>
      </w:r>
      <w:r w:rsidRPr="002F2FEB">
        <w:t xml:space="preserve">.  The information collected enables </w:t>
      </w:r>
      <w:r w:rsidR="003E0315">
        <w:t>FDA</w:t>
      </w:r>
      <w:r w:rsidRPr="002F2FEB">
        <w:t xml:space="preserve"> to determine the applicant’s level of education, experience, expertise, citizenship, and whether there are any conflict(s) of interest for the applicant.</w:t>
      </w:r>
      <w:r>
        <w:t xml:space="preserve"> </w:t>
      </w:r>
    </w:p>
    <w:p w:rsidRPr="004C6979" w:rsidR="002746DB" w:rsidP="00EB7538" w:rsidRDefault="00EB7538">
      <w:pPr>
        <w:numPr>
          <w:ilvl w:val="0"/>
          <w:numId w:val="1"/>
        </w:numPr>
        <w:spacing w:before="100" w:beforeAutospacing="1" w:after="100" w:afterAutospacing="1"/>
        <w:ind w:right="-1440"/>
        <w:rPr>
          <w:u w:val="single"/>
        </w:rPr>
      </w:pPr>
      <w:r w:rsidRPr="004C6979">
        <w:rPr>
          <w:u w:val="single"/>
        </w:rPr>
        <w:t xml:space="preserve">Use of Improved Information Technology and Burden Reduction </w:t>
      </w:r>
    </w:p>
    <w:p w:rsidR="00090675" w:rsidP="00EA214A" w:rsidRDefault="002B72B0">
      <w:pPr>
        <w:ind w:left="720"/>
      </w:pPr>
      <w:r>
        <w:t>Respondents</w:t>
      </w:r>
      <w:r w:rsidR="00D45446">
        <w:t xml:space="preserve"> applying to FDA</w:t>
      </w:r>
      <w:r w:rsidR="007831FD">
        <w:t xml:space="preserve"> </w:t>
      </w:r>
      <w:r w:rsidR="00D45446">
        <w:t xml:space="preserve">programs are encouraged to complete an online application. </w:t>
      </w:r>
    </w:p>
    <w:p w:rsidR="00090675" w:rsidP="00090675" w:rsidRDefault="00090675">
      <w:pPr>
        <w:ind w:left="720"/>
      </w:pPr>
      <w:r>
        <w:lastRenderedPageBreak/>
        <w:t>Medical Device Fellowship Program</w:t>
      </w:r>
      <w:r w:rsidRPr="002F2FEB">
        <w:t xml:space="preserve"> </w:t>
      </w:r>
      <w:r>
        <w:t xml:space="preserve">- </w:t>
      </w:r>
      <w:hyperlink w:history="1" r:id="rId8">
        <w:r w:rsidRPr="00DE4D4F">
          <w:rPr>
            <w:rStyle w:val="Hyperlink"/>
          </w:rPr>
          <w:t>http://www.fda.gov/AboutFDA/WorkingatFD</w:t>
        </w:r>
        <w:r w:rsidRPr="00DE4D4F">
          <w:rPr>
            <w:rStyle w:val="Hyperlink"/>
          </w:rPr>
          <w:t>A</w:t>
        </w:r>
        <w:r w:rsidRPr="00DE4D4F">
          <w:rPr>
            <w:rStyle w:val="Hyperlink"/>
          </w:rPr>
          <w:t>/FellowshipInternshipGraduateFacultyPrograms/MedicalDeviceFellowshipProgramCDRH/def</w:t>
        </w:r>
        <w:r w:rsidRPr="00DE4D4F">
          <w:rPr>
            <w:rStyle w:val="Hyperlink"/>
          </w:rPr>
          <w:t>a</w:t>
        </w:r>
        <w:r w:rsidRPr="00DE4D4F">
          <w:rPr>
            <w:rStyle w:val="Hyperlink"/>
          </w:rPr>
          <w:t>u</w:t>
        </w:r>
        <w:r w:rsidRPr="00DE4D4F">
          <w:rPr>
            <w:rStyle w:val="Hyperlink"/>
          </w:rPr>
          <w:t>lt.htm</w:t>
        </w:r>
      </w:hyperlink>
      <w:r w:rsidRPr="002F2FEB">
        <w:t xml:space="preserve">.  </w:t>
      </w:r>
      <w:r>
        <w:t xml:space="preserve">Alternatively, </w:t>
      </w:r>
      <w:r w:rsidRPr="002F2FEB">
        <w:t xml:space="preserve">applicants may </w:t>
      </w:r>
      <w:r>
        <w:t>submit their applications by mail or by facsimile</w:t>
      </w:r>
      <w:r w:rsidRPr="002F2FEB">
        <w:t>.</w:t>
      </w:r>
      <w:r>
        <w:t xml:space="preserve">  </w:t>
      </w:r>
      <w:r w:rsidRPr="00AE6164">
        <w:t>FDA estimates that 95% of the respondents will use electronic means to submit the information.</w:t>
      </w:r>
    </w:p>
    <w:p w:rsidR="00090675" w:rsidP="00090675" w:rsidRDefault="00090675">
      <w:pPr>
        <w:ind w:left="720"/>
      </w:pPr>
    </w:p>
    <w:p w:rsidR="00D6274B" w:rsidP="00090675" w:rsidRDefault="00316C14">
      <w:pPr>
        <w:ind w:left="720"/>
      </w:pPr>
      <w:r>
        <w:t xml:space="preserve">FDA Traineeship Program – </w:t>
      </w:r>
      <w:hyperlink w:history="1" r:id="rId9">
        <w:r w:rsidRPr="000D5C2E" w:rsidR="00D6274B">
          <w:rPr>
            <w:rStyle w:val="Hyperlink"/>
          </w:rPr>
          <w:t>https://www.a</w:t>
        </w:r>
        <w:r w:rsidRPr="000D5C2E" w:rsidR="00D6274B">
          <w:rPr>
            <w:rStyle w:val="Hyperlink"/>
          </w:rPr>
          <w:t>c</w:t>
        </w:r>
        <w:r w:rsidRPr="000D5C2E" w:rsidR="00D6274B">
          <w:rPr>
            <w:rStyle w:val="Hyperlink"/>
          </w:rPr>
          <w:t>cess.fda.gov/TPEXT/#/</w:t>
        </w:r>
      </w:hyperlink>
    </w:p>
    <w:p w:rsidR="00D45446" w:rsidP="00090675" w:rsidRDefault="00316C14">
      <w:pPr>
        <w:ind w:left="720"/>
      </w:pPr>
      <w:r>
        <w:t>100% of the respondents will use electronic means to submit the information</w:t>
      </w:r>
      <w:r w:rsidR="00724EF8">
        <w:t>.</w:t>
      </w:r>
    </w:p>
    <w:p w:rsidRPr="002746DB" w:rsidR="002746DB" w:rsidP="00EB7538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2746DB">
        <w:rPr>
          <w:u w:val="single"/>
        </w:rPr>
        <w:t xml:space="preserve">Efforts to Identify Duplication and Use of Similar Information </w:t>
      </w:r>
    </w:p>
    <w:p w:rsidRPr="002F2FEB" w:rsidR="00FC6418" w:rsidP="00EA214A" w:rsidRDefault="00FC6418">
      <w:pPr>
        <w:ind w:left="720"/>
      </w:pPr>
      <w:r w:rsidRPr="002F2FEB">
        <w:t>The</w:t>
      </w:r>
      <w:r>
        <w:t xml:space="preserve"> information is not duplicative of information collected elsewhere.</w:t>
      </w:r>
    </w:p>
    <w:p w:rsidRPr="004C6979" w:rsidR="002746DB" w:rsidP="00EB7538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4C6979">
        <w:rPr>
          <w:u w:val="single"/>
        </w:rPr>
        <w:t>Impact on Small Businesses or Other Small Entities</w:t>
      </w:r>
    </w:p>
    <w:p w:rsidRPr="002F2FEB" w:rsidR="00FC6418" w:rsidP="00EA214A" w:rsidRDefault="00FC6418">
      <w:pPr>
        <w:keepNext/>
        <w:ind w:left="720"/>
      </w:pPr>
      <w:r>
        <w:t>No res</w:t>
      </w:r>
      <w:r w:rsidR="00B63C1F">
        <w:t xml:space="preserve">pondents are small businesses. </w:t>
      </w:r>
      <w:r>
        <w:t xml:space="preserve">Respondents are </w:t>
      </w:r>
      <w:r w:rsidRPr="002F2FEB">
        <w:t>individuals and applications</w:t>
      </w:r>
      <w:r>
        <w:t xml:space="preserve"> are</w:t>
      </w:r>
      <w:r w:rsidRPr="002F2FEB">
        <w:t xml:space="preserve"> voluntary.</w:t>
      </w:r>
    </w:p>
    <w:p w:rsidRPr="004C6979" w:rsidR="00CD77C3" w:rsidP="00EB7538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4C6979">
        <w:rPr>
          <w:u w:val="single"/>
        </w:rPr>
        <w:t>Consequences of Collecting the Information Less Frequently</w:t>
      </w:r>
    </w:p>
    <w:p w:rsidR="00CD77C3" w:rsidP="00EA214A" w:rsidRDefault="00FC6418">
      <w:pPr>
        <w:ind w:left="720"/>
      </w:pPr>
      <w:r>
        <w:t xml:space="preserve">Each respondent will submit the information once.  </w:t>
      </w:r>
    </w:p>
    <w:p w:rsidRPr="004C6979" w:rsidR="00CD77C3" w:rsidP="00EB7538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4C6979">
        <w:rPr>
          <w:u w:val="single"/>
        </w:rPr>
        <w:t>Special Circumstances Relating to the Guidelines of 5 CFR 1320.5</w:t>
      </w:r>
    </w:p>
    <w:p w:rsidRPr="002F2FEB" w:rsidR="00FC6418" w:rsidP="00EA214A" w:rsidRDefault="00FC6418">
      <w:pPr>
        <w:ind w:left="720"/>
      </w:pPr>
      <w:r w:rsidRPr="002F2FEB">
        <w:t xml:space="preserve">There are no special circumstances that occur when collecting this information. </w:t>
      </w:r>
    </w:p>
    <w:p w:rsidRPr="00840372" w:rsidR="00840372" w:rsidP="00840372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840372">
        <w:rPr>
          <w:u w:val="single"/>
        </w:rPr>
        <w:t>Comments in Response to the Federal Register Notice and Efforts to Consult Outside the Agency</w:t>
      </w:r>
    </w:p>
    <w:p w:rsidR="00840372" w:rsidP="00840372" w:rsidRDefault="00840372">
      <w:pPr>
        <w:ind w:left="720"/>
      </w:pPr>
      <w:r w:rsidRPr="00C647A4">
        <w:t>In accordance with 5 CFR 1320.8(d), FDA published a 60</w:t>
      </w:r>
      <w:r w:rsidR="00724EF8">
        <w:t>-</w:t>
      </w:r>
      <w:r w:rsidRPr="00C647A4">
        <w:t xml:space="preserve">day notice for public comment in the FEDERAL REGISTER of </w:t>
      </w:r>
      <w:r w:rsidR="00724EF8">
        <w:t xml:space="preserve">October </w:t>
      </w:r>
      <w:r w:rsidR="0041626E">
        <w:t>22, 2018</w:t>
      </w:r>
      <w:r w:rsidRPr="00C647A4">
        <w:t>(</w:t>
      </w:r>
      <w:r w:rsidR="00724EF8">
        <w:t>83 FR 53257</w:t>
      </w:r>
      <w:r>
        <w:t>). Although one comment was received, it wasn’t responsive to the four collection of information topics solicited and therefore will not be discussed in this document.</w:t>
      </w:r>
    </w:p>
    <w:p w:rsidR="00496A56" w:rsidP="00840372" w:rsidRDefault="00496A56">
      <w:pPr>
        <w:ind w:left="720"/>
      </w:pPr>
    </w:p>
    <w:p w:rsidR="00496A56" w:rsidP="00496A56" w:rsidRDefault="00496A56">
      <w:pPr>
        <w:ind w:left="720"/>
      </w:pPr>
      <w:r>
        <w:t xml:space="preserve">FDA published a 30-day notice for this information collection on February 3, 2020 (85 FR 5966. We reopened the 30-day comment period to satisfy PRA requirements. </w:t>
      </w:r>
    </w:p>
    <w:p w:rsidRPr="004C6979" w:rsidR="00CD77C3" w:rsidP="00E00EA0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4C6979">
        <w:rPr>
          <w:u w:val="single"/>
        </w:rPr>
        <w:t>Explanation of Any Payment or Gift to Respondents</w:t>
      </w:r>
    </w:p>
    <w:p w:rsidR="00FC6418" w:rsidP="00EA214A" w:rsidRDefault="00FC6418">
      <w:pPr>
        <w:ind w:left="720"/>
      </w:pPr>
      <w:r w:rsidRPr="002F2FEB">
        <w:t xml:space="preserve">This is a recruitment process for temporary positions </w:t>
      </w:r>
      <w:r>
        <w:t>with</w:t>
      </w:r>
      <w:r w:rsidRPr="002F2FEB">
        <w:t xml:space="preserve">in </w:t>
      </w:r>
      <w:r>
        <w:t>the FDA</w:t>
      </w:r>
      <w:r w:rsidRPr="002F2FEB">
        <w:t xml:space="preserve">.  Individuals </w:t>
      </w:r>
      <w:r w:rsidR="00E52C14">
        <w:t xml:space="preserve">selected </w:t>
      </w:r>
      <w:r w:rsidRPr="002F2FEB">
        <w:t>through th</w:t>
      </w:r>
      <w:r w:rsidR="00E52C14">
        <w:t>ese</w:t>
      </w:r>
      <w:r w:rsidRPr="002F2FEB">
        <w:t xml:space="preserve"> program</w:t>
      </w:r>
      <w:r w:rsidR="00E52C14">
        <w:t>s</w:t>
      </w:r>
      <w:r w:rsidRPr="002F2FEB">
        <w:t xml:space="preserve"> will be paid in accordance with Federal regulations and policies.  No gifts will be given to these individuals. </w:t>
      </w:r>
    </w:p>
    <w:p w:rsidR="00343236" w:rsidP="00EA214A" w:rsidRDefault="00343236">
      <w:pPr>
        <w:ind w:left="720"/>
      </w:pPr>
    </w:p>
    <w:p w:rsidR="00343236" w:rsidP="00EA214A" w:rsidRDefault="00343236">
      <w:pPr>
        <w:ind w:left="720"/>
      </w:pPr>
    </w:p>
    <w:p w:rsidR="00343236" w:rsidP="00EA214A" w:rsidRDefault="00343236">
      <w:pPr>
        <w:ind w:left="720"/>
      </w:pPr>
    </w:p>
    <w:p w:rsidRPr="00CF03EC" w:rsidR="002E3FA4" w:rsidP="00CF03EC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4C6979">
        <w:rPr>
          <w:u w:val="single"/>
        </w:rPr>
        <w:lastRenderedPageBreak/>
        <w:t>Assurance of Confidentiality Provided to Respondents</w:t>
      </w:r>
    </w:p>
    <w:p w:rsidR="002E3FA4" w:rsidP="00EA214A" w:rsidRDefault="00FC6418">
      <w:pPr>
        <w:ind w:left="720"/>
      </w:pPr>
      <w:r w:rsidRPr="002F2FEB">
        <w:t>FDA assures confidentiality as prescribed under the Federal Privacy Act</w:t>
      </w:r>
      <w:r>
        <w:t xml:space="preserve"> of 1974</w:t>
      </w:r>
      <w:r w:rsidRPr="002F2FEB">
        <w:t xml:space="preserve">.  Information collected is shared with </w:t>
      </w:r>
      <w:r>
        <w:t>FDA</w:t>
      </w:r>
      <w:r w:rsidRPr="002F2FEB">
        <w:t xml:space="preserve"> management and appropriate personnel for the purpose of recruiting external expertise. </w:t>
      </w:r>
      <w:r>
        <w:t xml:space="preserve">  </w:t>
      </w:r>
    </w:p>
    <w:p w:rsidR="00E8440B" w:rsidP="00EA214A" w:rsidRDefault="00EB7538">
      <w:pPr>
        <w:numPr>
          <w:ilvl w:val="0"/>
          <w:numId w:val="1"/>
        </w:numPr>
        <w:spacing w:before="100" w:beforeAutospacing="1" w:after="100" w:afterAutospacing="1"/>
      </w:pPr>
      <w:r w:rsidRPr="00355EDB">
        <w:rPr>
          <w:u w:val="single"/>
        </w:rPr>
        <w:t>Justification for Sensitive Questions</w:t>
      </w:r>
      <w:r w:rsidRPr="00355EDB" w:rsidR="00CF03EC">
        <w:rPr>
          <w:u w:val="single"/>
        </w:rPr>
        <w:t xml:space="preserve"> </w:t>
      </w:r>
    </w:p>
    <w:p w:rsidR="00E52C14" w:rsidP="00E8440B" w:rsidRDefault="00E52C14">
      <w:pPr>
        <w:ind w:left="720"/>
      </w:pPr>
      <w:r>
        <w:t>For employee Fellowship programs, t</w:t>
      </w:r>
      <w:r w:rsidRPr="002F2FEB" w:rsidR="00E8440B">
        <w:t>he Office of Personnel Management is authorized to rate applicants for Federal jobs under sections 1302, 3301</w:t>
      </w:r>
      <w:r w:rsidR="00E8440B">
        <w:t>,</w:t>
      </w:r>
      <w:r w:rsidRPr="002F2FEB" w:rsidR="00E8440B">
        <w:t xml:space="preserve"> and 3304 of title 5 of the U.S. Code.  Section 1104 of title 5 allows the Office of Personnel Management to authorize other Federal agencies to rate applicants for Federal jobs. </w:t>
      </w:r>
    </w:p>
    <w:p w:rsidR="00E52C14" w:rsidP="00E8440B" w:rsidRDefault="00E52C14">
      <w:pPr>
        <w:ind w:left="720"/>
      </w:pPr>
    </w:p>
    <w:p w:rsidRPr="002F2FEB" w:rsidR="00E8440B" w:rsidP="00E8440B" w:rsidRDefault="00E52C14">
      <w:pPr>
        <w:ind w:left="720"/>
      </w:pPr>
      <w:r>
        <w:t>For both FDA employee and non-employee Fellowship and Traineeship Programs, FDA</w:t>
      </w:r>
      <w:r w:rsidRPr="002F2FEB" w:rsidR="00E8440B">
        <w:t xml:space="preserve"> require</w:t>
      </w:r>
      <w:r>
        <w:t>s</w:t>
      </w:r>
      <w:r w:rsidRPr="002F2FEB" w:rsidR="00E8440B">
        <w:t xml:space="preserve"> the information included on this form and associated documentation to see how well each applicant’s education and experience qualifies him/her for a position at</w:t>
      </w:r>
      <w:r w:rsidR="00E8440B">
        <w:t xml:space="preserve"> </w:t>
      </w:r>
      <w:r w:rsidR="00B84F59">
        <w:t>the FDA</w:t>
      </w:r>
      <w:r w:rsidRPr="002F2FEB" w:rsidR="00E8440B">
        <w:t xml:space="preserve">.  </w:t>
      </w:r>
      <w:r>
        <w:t>FDA a</w:t>
      </w:r>
      <w:r w:rsidRPr="002F2FEB" w:rsidR="00E8440B">
        <w:t>lso require</w:t>
      </w:r>
      <w:r>
        <w:t>s</w:t>
      </w:r>
      <w:r w:rsidRPr="002F2FEB" w:rsidR="00E8440B">
        <w:t xml:space="preserve"> information regarding citizenship to determine whether he/she is affected by laws that we must follow in deciding who may be employed by the Federal government</w:t>
      </w:r>
      <w:r>
        <w:t xml:space="preserve">. </w:t>
      </w:r>
    </w:p>
    <w:p w:rsidRPr="002F2FEB" w:rsidR="00E8440B" w:rsidP="00E8440B" w:rsidRDefault="00E8440B">
      <w:pPr>
        <w:ind w:left="720"/>
      </w:pPr>
    </w:p>
    <w:p w:rsidR="004C6979" w:rsidP="007C7BAD" w:rsidRDefault="00E8440B">
      <w:pPr>
        <w:pStyle w:val="BodyText2"/>
        <w:ind w:left="720"/>
      </w:pPr>
      <w:r w:rsidRPr="002F2FEB">
        <w:t>Information collect</w:t>
      </w:r>
      <w:r>
        <w:t>ed</w:t>
      </w:r>
      <w:r w:rsidRPr="002F2FEB">
        <w:t xml:space="preserve"> may be given to Federal, State</w:t>
      </w:r>
      <w:r>
        <w:t>,</w:t>
      </w:r>
      <w:r w:rsidRPr="002F2FEB">
        <w:t xml:space="preserve"> and local agencies </w:t>
      </w:r>
      <w:r>
        <w:t xml:space="preserve">to verify the absence of </w:t>
      </w:r>
      <w:r w:rsidRPr="002F2FEB">
        <w:t>legal violations</w:t>
      </w:r>
      <w:r>
        <w:t>,</w:t>
      </w:r>
      <w:r w:rsidRPr="002F2FEB">
        <w:t xml:space="preserve"> or for other lawful purposes.  We may send an applicant’s name and address to state </w:t>
      </w:r>
      <w:r>
        <w:t>and local government agencies, C</w:t>
      </w:r>
      <w:r w:rsidRPr="002F2FEB">
        <w:t>ongressional and other public offices and public international organizations, if they request names of people to consider for employment.  Providing per</w:t>
      </w:r>
      <w:r>
        <w:t xml:space="preserve">sonal information is voluntary, </w:t>
      </w:r>
      <w:r w:rsidRPr="002F2FEB">
        <w:t xml:space="preserve">however, </w:t>
      </w:r>
      <w:r>
        <w:t xml:space="preserve">applications </w:t>
      </w:r>
      <w:r w:rsidRPr="002F2FEB">
        <w:t xml:space="preserve">cannot </w:t>
      </w:r>
      <w:r>
        <w:t xml:space="preserve">be </w:t>
      </w:r>
      <w:r w:rsidRPr="002F2FEB">
        <w:t>process</w:t>
      </w:r>
      <w:r>
        <w:t>ed</w:t>
      </w:r>
      <w:r w:rsidRPr="002F2FEB">
        <w:t xml:space="preserve"> if </w:t>
      </w:r>
      <w:r>
        <w:t>the requested information is not provided.</w:t>
      </w:r>
    </w:p>
    <w:p w:rsidRPr="004C6979" w:rsidR="004C6979" w:rsidP="00EB7538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4C6979">
        <w:rPr>
          <w:u w:val="single"/>
        </w:rPr>
        <w:t>Estimates of Annualized Burden Hours and Costs</w:t>
      </w:r>
    </w:p>
    <w:p w:rsidR="001B17ED" w:rsidP="00EA214A" w:rsidRDefault="008B0E29">
      <w:pPr>
        <w:ind w:left="720"/>
      </w:pPr>
      <w:r>
        <w:rPr>
          <w:u w:val="single"/>
        </w:rPr>
        <w:t xml:space="preserve">12 a. </w:t>
      </w:r>
      <w:r w:rsidR="00411D11">
        <w:rPr>
          <w:u w:val="single"/>
        </w:rPr>
        <w:t xml:space="preserve">Annualized </w:t>
      </w:r>
      <w:r w:rsidR="004C6979">
        <w:rPr>
          <w:u w:val="single"/>
        </w:rPr>
        <w:t>Hour Burden Estimate</w:t>
      </w:r>
    </w:p>
    <w:p w:rsidR="008B0E29" w:rsidP="00EA214A" w:rsidRDefault="008B0E29">
      <w:pPr>
        <w:pStyle w:val="BodyText2"/>
        <w:ind w:left="1080"/>
      </w:pPr>
    </w:p>
    <w:p w:rsidRPr="00672E81" w:rsidR="00700250" w:rsidP="00EA214A" w:rsidRDefault="00700250">
      <w:pPr>
        <w:spacing w:line="480" w:lineRule="auto"/>
        <w:ind w:left="360" w:firstLine="720"/>
      </w:pPr>
      <w:r w:rsidRPr="00672E81">
        <w:t>FDA estimates the burden of this collection of information as follows:</w:t>
      </w:r>
    </w:p>
    <w:tbl>
      <w:tblPr>
        <w:tblW w:w="4375" w:type="pct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08"/>
        <w:gridCol w:w="1440"/>
        <w:gridCol w:w="1440"/>
        <w:gridCol w:w="1171"/>
        <w:gridCol w:w="1530"/>
        <w:gridCol w:w="1111"/>
      </w:tblGrid>
      <w:tr w:rsidRPr="00D60131" w:rsidR="00CA6E0B" w:rsidTr="00E52C14">
        <w:trPr>
          <w:cantSplit/>
          <w:trHeight w:val="146"/>
          <w:tblHeader/>
          <w:jc w:val="center"/>
        </w:trPr>
        <w:tc>
          <w:tcPr>
            <w:tcW w:w="8400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hideMark/>
          </w:tcPr>
          <w:p w:rsidRPr="00D60131" w:rsidR="00CA6E0B" w:rsidP="004C247F" w:rsidRDefault="00CA6E0B">
            <w:pPr>
              <w:keepNext/>
              <w:jc w:val="center"/>
              <w:rPr>
                <w:sz w:val="20"/>
                <w:szCs w:val="20"/>
              </w:rPr>
            </w:pPr>
            <w:r w:rsidRPr="00D60131">
              <w:rPr>
                <w:sz w:val="20"/>
                <w:szCs w:val="20"/>
              </w:rPr>
              <w:t xml:space="preserve">Table </w:t>
            </w:r>
            <w:proofErr w:type="gramStart"/>
            <w:r w:rsidRPr="00D60131">
              <w:rPr>
                <w:sz w:val="20"/>
                <w:szCs w:val="20"/>
              </w:rPr>
              <w:t>1.--</w:t>
            </w:r>
            <w:proofErr w:type="gramEnd"/>
            <w:r w:rsidRPr="00D60131">
              <w:rPr>
                <w:sz w:val="20"/>
                <w:szCs w:val="20"/>
              </w:rPr>
              <w:t>Estimated Annual Recordkeeping Burden</w:t>
            </w:r>
            <w:r w:rsidRPr="00D60131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Pr="00D60131" w:rsidR="00CA6E0B" w:rsidTr="00E52C14">
        <w:trPr>
          <w:cantSplit/>
          <w:trHeight w:val="460"/>
          <w:tblHeader/>
          <w:jc w:val="center"/>
        </w:trPr>
        <w:tc>
          <w:tcPr>
            <w:tcW w:w="1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60131" w:rsidR="00CA6E0B" w:rsidP="007B65FD" w:rsidRDefault="00CA6E0B">
            <w:pPr>
              <w:keepNext/>
              <w:jc w:val="center"/>
              <w:rPr>
                <w:sz w:val="20"/>
                <w:szCs w:val="20"/>
              </w:rPr>
            </w:pPr>
            <w:r w:rsidRPr="00D60131">
              <w:rPr>
                <w:sz w:val="20"/>
                <w:szCs w:val="20"/>
              </w:rPr>
              <w:t>Activity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60131" w:rsidR="00CA6E0B" w:rsidP="004C247F" w:rsidRDefault="00CA6E0B">
            <w:pPr>
              <w:jc w:val="center"/>
              <w:rPr>
                <w:sz w:val="20"/>
                <w:szCs w:val="20"/>
              </w:rPr>
            </w:pPr>
            <w:r w:rsidRPr="00D60131">
              <w:rPr>
                <w:sz w:val="20"/>
                <w:szCs w:val="20"/>
              </w:rPr>
              <w:t>No. of Respondents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60131" w:rsidR="00CA6E0B" w:rsidP="004C247F" w:rsidRDefault="00CA6E0B">
            <w:pPr>
              <w:jc w:val="center"/>
              <w:rPr>
                <w:sz w:val="20"/>
                <w:szCs w:val="20"/>
              </w:rPr>
            </w:pPr>
            <w:r w:rsidRPr="00D60131">
              <w:rPr>
                <w:bCs/>
                <w:sz w:val="20"/>
                <w:szCs w:val="20"/>
              </w:rPr>
              <w:t>No. of Responses per Respondent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60131" w:rsidR="00CA6E0B" w:rsidP="004C247F" w:rsidRDefault="00CA6E0B">
            <w:pPr>
              <w:jc w:val="center"/>
              <w:rPr>
                <w:sz w:val="20"/>
                <w:szCs w:val="20"/>
              </w:rPr>
            </w:pPr>
            <w:r w:rsidRPr="00D60131">
              <w:rPr>
                <w:sz w:val="20"/>
                <w:szCs w:val="20"/>
              </w:rPr>
              <w:t>Total Annual Responses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60131" w:rsidR="00CA6E0B" w:rsidP="004C247F" w:rsidRDefault="00CA6E0B">
            <w:pPr>
              <w:jc w:val="center"/>
              <w:rPr>
                <w:sz w:val="20"/>
                <w:szCs w:val="20"/>
              </w:rPr>
            </w:pPr>
            <w:r w:rsidRPr="00D60131">
              <w:rPr>
                <w:bCs/>
                <w:sz w:val="20"/>
                <w:szCs w:val="20"/>
              </w:rPr>
              <w:t>Average Burden per Response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60131" w:rsidR="00CA6E0B" w:rsidP="004C247F" w:rsidRDefault="00CA6E0B">
            <w:pPr>
              <w:jc w:val="center"/>
              <w:rPr>
                <w:sz w:val="20"/>
                <w:szCs w:val="20"/>
              </w:rPr>
            </w:pPr>
            <w:r w:rsidRPr="00D60131">
              <w:rPr>
                <w:sz w:val="20"/>
                <w:szCs w:val="20"/>
              </w:rPr>
              <w:t>Total Hours</w:t>
            </w:r>
          </w:p>
        </w:tc>
      </w:tr>
      <w:tr w:rsidRPr="00D60131" w:rsidR="00CA6E0B" w:rsidTr="00E52C14">
        <w:trPr>
          <w:cantSplit/>
          <w:trHeight w:val="460"/>
          <w:jc w:val="center"/>
        </w:trPr>
        <w:tc>
          <w:tcPr>
            <w:tcW w:w="1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60131" w:rsidR="00CA6E0B" w:rsidP="004C247F" w:rsidRDefault="00CA6E0B">
            <w:pPr>
              <w:keepNext/>
              <w:rPr>
                <w:sz w:val="20"/>
                <w:szCs w:val="20"/>
              </w:rPr>
            </w:pPr>
            <w:r w:rsidRPr="00D60131">
              <w:rPr>
                <w:sz w:val="20"/>
                <w:szCs w:val="20"/>
              </w:rPr>
              <w:t>Medical Device Fellowship Program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60131" w:rsidR="00CA6E0B" w:rsidP="004C247F" w:rsidRDefault="00CA6E0B">
            <w:pPr>
              <w:keepNext/>
              <w:jc w:val="right"/>
              <w:rPr>
                <w:sz w:val="20"/>
                <w:szCs w:val="20"/>
              </w:rPr>
            </w:pPr>
            <w:r w:rsidRPr="00D60131">
              <w:rPr>
                <w:sz w:val="20"/>
                <w:szCs w:val="20"/>
              </w:rPr>
              <w:t>250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60131" w:rsidR="00CA6E0B" w:rsidP="004C247F" w:rsidRDefault="00CA6E0B">
            <w:pPr>
              <w:keepNext/>
              <w:jc w:val="right"/>
              <w:rPr>
                <w:sz w:val="20"/>
                <w:szCs w:val="20"/>
              </w:rPr>
            </w:pPr>
            <w:r w:rsidRPr="00D60131">
              <w:rPr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60131" w:rsidR="00CA6E0B" w:rsidP="004C247F" w:rsidRDefault="00CA6E0B">
            <w:pPr>
              <w:keepNext/>
              <w:jc w:val="right"/>
              <w:rPr>
                <w:sz w:val="20"/>
                <w:szCs w:val="20"/>
              </w:rPr>
            </w:pPr>
            <w:r w:rsidRPr="00D60131">
              <w:rPr>
                <w:sz w:val="20"/>
                <w:szCs w:val="20"/>
              </w:rPr>
              <w:t>250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60131" w:rsidR="00CA6E0B" w:rsidP="004C247F" w:rsidRDefault="00CA6E0B">
            <w:pPr>
              <w:keepNext/>
              <w:jc w:val="right"/>
              <w:rPr>
                <w:sz w:val="20"/>
                <w:szCs w:val="20"/>
              </w:rPr>
            </w:pPr>
            <w:r w:rsidRPr="00D60131"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60131" w:rsidR="00CA6E0B" w:rsidP="004C247F" w:rsidRDefault="00CA6E0B">
            <w:pPr>
              <w:keepNext/>
              <w:jc w:val="right"/>
              <w:rPr>
                <w:sz w:val="20"/>
                <w:szCs w:val="20"/>
              </w:rPr>
            </w:pPr>
            <w:r w:rsidRPr="00D60131">
              <w:rPr>
                <w:sz w:val="20"/>
                <w:szCs w:val="20"/>
              </w:rPr>
              <w:t>250</w:t>
            </w:r>
          </w:p>
        </w:tc>
      </w:tr>
      <w:tr w:rsidRPr="00D60131" w:rsidR="00316C14" w:rsidTr="00E52C14">
        <w:trPr>
          <w:cantSplit/>
          <w:trHeight w:val="460"/>
          <w:jc w:val="center"/>
        </w:trPr>
        <w:tc>
          <w:tcPr>
            <w:tcW w:w="1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60131" w:rsidR="00316C14" w:rsidP="004C247F" w:rsidRDefault="00316C1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FDA Traineeship Program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60131" w:rsidR="00316C14" w:rsidP="004C247F" w:rsidRDefault="00316C14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60131" w:rsidR="00316C14" w:rsidP="004C247F" w:rsidRDefault="00316C14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60131" w:rsidR="00316C14" w:rsidP="004C247F" w:rsidRDefault="00316C14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60131" w:rsidR="00316C14" w:rsidP="004C247F" w:rsidRDefault="00316C14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60131" w:rsidR="00316C14" w:rsidP="004C247F" w:rsidRDefault="00316C14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Pr="00D60131" w:rsidR="00CA6E0B" w:rsidTr="00E52C14">
        <w:trPr>
          <w:cantSplit/>
          <w:trHeight w:val="460"/>
          <w:jc w:val="center"/>
        </w:trPr>
        <w:tc>
          <w:tcPr>
            <w:tcW w:w="72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60131" w:rsidR="00CA6E0B" w:rsidP="004C247F" w:rsidRDefault="00CA6E0B">
            <w:pPr>
              <w:keepNext/>
              <w:rPr>
                <w:sz w:val="20"/>
                <w:szCs w:val="20"/>
              </w:rPr>
            </w:pPr>
            <w:r w:rsidRPr="00D60131">
              <w:rPr>
                <w:sz w:val="20"/>
                <w:szCs w:val="20"/>
              </w:rPr>
              <w:t>Total</w:t>
            </w:r>
          </w:p>
          <w:p w:rsidRPr="00D60131" w:rsidR="00CA6E0B" w:rsidP="004C247F" w:rsidRDefault="00CA6E0B">
            <w:pPr>
              <w:keepNext/>
              <w:jc w:val="right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60131" w:rsidR="00CA6E0B" w:rsidP="004C247F" w:rsidRDefault="00316C14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E66ED">
              <w:rPr>
                <w:sz w:val="20"/>
                <w:szCs w:val="20"/>
              </w:rPr>
              <w:t>1</w:t>
            </w:r>
            <w:r w:rsidR="00D45446">
              <w:rPr>
                <w:sz w:val="20"/>
                <w:szCs w:val="20"/>
              </w:rPr>
              <w:t>,</w:t>
            </w:r>
            <w:r w:rsidR="009E66ED">
              <w:rPr>
                <w:sz w:val="20"/>
                <w:szCs w:val="20"/>
              </w:rPr>
              <w:t>250</w:t>
            </w:r>
          </w:p>
        </w:tc>
      </w:tr>
    </w:tbl>
    <w:p w:rsidRPr="00D60131" w:rsidR="00C15197" w:rsidP="00C15197" w:rsidRDefault="00CA6E0B">
      <w:pPr>
        <w:spacing w:line="480" w:lineRule="auto"/>
        <w:ind w:left="720"/>
        <w:rPr>
          <w:sz w:val="20"/>
          <w:szCs w:val="20"/>
        </w:rPr>
      </w:pPr>
      <w:r w:rsidRPr="00D60131">
        <w:rPr>
          <w:sz w:val="20"/>
          <w:szCs w:val="20"/>
          <w:vertAlign w:val="superscript"/>
        </w:rPr>
        <w:t>1</w:t>
      </w:r>
      <w:r w:rsidRPr="00D60131">
        <w:rPr>
          <w:sz w:val="20"/>
          <w:szCs w:val="20"/>
        </w:rPr>
        <w:t xml:space="preserve"> There are no capital costs or operating and maintenance costs associated with this </w:t>
      </w:r>
      <w:r w:rsidRPr="00D60131" w:rsidR="00700250">
        <w:rPr>
          <w:sz w:val="20"/>
          <w:szCs w:val="20"/>
          <w:vertAlign w:val="superscript"/>
        </w:rPr>
        <w:t>1</w:t>
      </w:r>
      <w:r w:rsidRPr="00D60131" w:rsidR="00700250">
        <w:rPr>
          <w:sz w:val="20"/>
          <w:szCs w:val="20"/>
        </w:rPr>
        <w:t xml:space="preserve"> </w:t>
      </w:r>
    </w:p>
    <w:p w:rsidR="00E65A37" w:rsidP="00E52C14" w:rsidRDefault="00700250">
      <w:pPr>
        <w:ind w:left="720"/>
      </w:pPr>
      <w:r w:rsidRPr="002E14E1">
        <w:lastRenderedPageBreak/>
        <w:t>FDA based these estimates on the number of inquiries that have been received concerning the program and the number of requests for a</w:t>
      </w:r>
      <w:r>
        <w:t xml:space="preserve">pplication forms over the past </w:t>
      </w:r>
      <w:r w:rsidR="001D6F6B">
        <w:t>3</w:t>
      </w:r>
      <w:r w:rsidR="001B17ED">
        <w:t xml:space="preserve"> years.</w:t>
      </w:r>
    </w:p>
    <w:p w:rsidR="007C7BAD" w:rsidP="007C7BAD" w:rsidRDefault="007C7BAD">
      <w:pPr>
        <w:pStyle w:val="BodyText2"/>
        <w:ind w:left="720"/>
      </w:pPr>
    </w:p>
    <w:p w:rsidR="00C96B35" w:rsidP="007C7BAD" w:rsidRDefault="00C15197">
      <w:pPr>
        <w:pStyle w:val="BodyText2"/>
        <w:ind w:left="720"/>
      </w:pPr>
      <w:r>
        <w:t xml:space="preserve">For Medical Device Fellowship Program – 250 </w:t>
      </w:r>
      <w:bookmarkStart w:name="_Hlk58914898" w:id="1"/>
      <w:r>
        <w:t>respondents annually x 1 hour per response =</w:t>
      </w:r>
      <w:bookmarkEnd w:id="1"/>
      <w:r>
        <w:t xml:space="preserve"> 250 hours.</w:t>
      </w:r>
    </w:p>
    <w:p w:rsidR="00316C14" w:rsidP="007C7BAD" w:rsidRDefault="00316C14">
      <w:pPr>
        <w:pStyle w:val="BodyText2"/>
        <w:ind w:left="720"/>
      </w:pPr>
    </w:p>
    <w:p w:rsidR="007C7BAD" w:rsidP="00E52C14" w:rsidRDefault="00316C14">
      <w:pPr>
        <w:pStyle w:val="BodyText2"/>
        <w:ind w:left="720"/>
      </w:pPr>
      <w:r>
        <w:t xml:space="preserve">For the FDA Traineeship </w:t>
      </w:r>
      <w:r w:rsidR="009E66ED">
        <w:t>– 1000 respondents annually x 1 hour per response = 1</w:t>
      </w:r>
      <w:r w:rsidR="005232A1">
        <w:t>,</w:t>
      </w:r>
      <w:r w:rsidR="009E66ED">
        <w:t>000 hours</w:t>
      </w:r>
    </w:p>
    <w:p w:rsidR="009E66ED" w:rsidP="007C7BAD" w:rsidRDefault="009E66ED">
      <w:pPr>
        <w:pStyle w:val="BodyText2"/>
        <w:ind w:left="720" w:firstLine="360"/>
      </w:pPr>
    </w:p>
    <w:p w:rsidR="00A93ED9" w:rsidP="00A93ED9" w:rsidRDefault="00A93ED9">
      <w:pPr>
        <w:pStyle w:val="BodyText2"/>
        <w:ind w:left="360"/>
      </w:pPr>
      <w:r w:rsidRPr="00C75CBF">
        <w:t xml:space="preserve">12b. </w:t>
      </w:r>
      <w:r w:rsidRPr="00C75CBF" w:rsidR="00411D11">
        <w:rPr>
          <w:u w:val="single"/>
        </w:rPr>
        <w:t>Annualized Cost Burden Estimate</w:t>
      </w:r>
    </w:p>
    <w:p w:rsidR="00A93ED9" w:rsidP="001D495A" w:rsidRDefault="00A93ED9">
      <w:pPr>
        <w:pStyle w:val="BodyText2"/>
        <w:ind w:left="720"/>
      </w:pPr>
    </w:p>
    <w:p w:rsidR="000D48FD" w:rsidP="00EA214A" w:rsidRDefault="001B17ED">
      <w:pPr>
        <w:ind w:left="720"/>
      </w:pPr>
      <w:r w:rsidRPr="002F2FEB">
        <w:t>There are no costs to the respondents</w:t>
      </w:r>
      <w:r>
        <w:t xml:space="preserve"> associated with this information collection.</w:t>
      </w:r>
    </w:p>
    <w:p w:rsidRPr="004C6979" w:rsidR="004C6979" w:rsidP="00EB7538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4C6979">
        <w:rPr>
          <w:u w:val="single"/>
        </w:rPr>
        <w:t>Estimates of Other Total Annual Cost</w:t>
      </w:r>
      <w:r w:rsidR="007C75B1">
        <w:rPr>
          <w:u w:val="single"/>
        </w:rPr>
        <w:t>s</w:t>
      </w:r>
      <w:r w:rsidRPr="004C6979">
        <w:rPr>
          <w:u w:val="single"/>
        </w:rPr>
        <w:t xml:space="preserve"> to Respondents and</w:t>
      </w:r>
      <w:r w:rsidR="00350523">
        <w:rPr>
          <w:u w:val="single"/>
        </w:rPr>
        <w:t>/or Recordkeepers/Capital Costs</w:t>
      </w:r>
    </w:p>
    <w:p w:rsidR="001B17ED" w:rsidP="00EA214A" w:rsidRDefault="00E52C14">
      <w:pPr>
        <w:ind w:left="720"/>
      </w:pPr>
      <w:r>
        <w:t>For the respondents, t</w:t>
      </w:r>
      <w:r w:rsidRPr="002F2FEB" w:rsidR="001B17ED">
        <w:t xml:space="preserve">here are no operating and maintenance </w:t>
      </w:r>
      <w:proofErr w:type="gramStart"/>
      <w:r w:rsidRPr="002F2FEB" w:rsidR="001B17ED">
        <w:t>costs</w:t>
      </w:r>
      <w:proofErr w:type="gramEnd"/>
      <w:r w:rsidRPr="002F2FEB" w:rsidR="001B17ED">
        <w:t xml:space="preserve"> or capital costs associated with this collection of information.</w:t>
      </w:r>
    </w:p>
    <w:p w:rsidRPr="004C6979" w:rsidR="004C6979" w:rsidP="00EB7538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4C6979">
        <w:rPr>
          <w:u w:val="single"/>
        </w:rPr>
        <w:t>Annualized Cost to the Federal Government</w:t>
      </w:r>
    </w:p>
    <w:p w:rsidR="005C4EF0" w:rsidP="00EA214A" w:rsidRDefault="001B17ED">
      <w:pPr>
        <w:ind w:left="720"/>
      </w:pPr>
      <w:r>
        <w:t xml:space="preserve">There is no cost to the federal government other than staff time.  </w:t>
      </w:r>
      <w:r w:rsidRPr="002F2FEB">
        <w:t>We approximate</w:t>
      </w:r>
      <w:r>
        <w:t xml:space="preserve"> that</w:t>
      </w:r>
      <w:r w:rsidRPr="002F2FEB">
        <w:t xml:space="preserve"> </w:t>
      </w:r>
      <w:r w:rsidR="005C4EF0">
        <w:t>2</w:t>
      </w:r>
      <w:r w:rsidR="00D45446">
        <w:t>,</w:t>
      </w:r>
      <w:r w:rsidR="005C4EF0">
        <w:t>500</w:t>
      </w:r>
      <w:r w:rsidRPr="002F2FEB" w:rsidR="008156F3">
        <w:t xml:space="preserve"> </w:t>
      </w:r>
      <w:r w:rsidRPr="002F2FEB">
        <w:t>hours</w:t>
      </w:r>
      <w:r>
        <w:t xml:space="preserve"> of staff time is spent reviewing documents and managing the process</w:t>
      </w:r>
      <w:r w:rsidR="005C4EF0">
        <w:t>.</w:t>
      </w:r>
    </w:p>
    <w:p w:rsidR="005C4EF0" w:rsidP="00EA214A" w:rsidRDefault="005C4EF0">
      <w:pPr>
        <w:ind w:left="720"/>
      </w:pPr>
    </w:p>
    <w:p w:rsidR="005C4EF0" w:rsidP="005C4EF0" w:rsidRDefault="005C4EF0">
      <w:pPr>
        <w:ind w:left="720"/>
      </w:pPr>
      <w:r>
        <w:t xml:space="preserve">At the GS 13 ($63.96/hour) level, the expenses to the Federal Government are </w:t>
      </w:r>
      <w:r w:rsidR="001B17ED">
        <w:t>(</w:t>
      </w:r>
      <w:r>
        <w:t>$159,</w:t>
      </w:r>
      <w:r w:rsidR="00D45446">
        <w:t>900</w:t>
      </w:r>
      <w:r>
        <w:t xml:space="preserve">). </w:t>
      </w:r>
    </w:p>
    <w:p w:rsidR="005C4EF0" w:rsidP="005C4EF0" w:rsidRDefault="005C4EF0">
      <w:pPr>
        <w:ind w:left="720"/>
      </w:pPr>
    </w:p>
    <w:p w:rsidR="00BF00E5" w:rsidP="00CD2E2A" w:rsidRDefault="00EB7538">
      <w:pPr>
        <w:numPr>
          <w:ilvl w:val="0"/>
          <w:numId w:val="1"/>
        </w:numPr>
      </w:pPr>
      <w:r w:rsidRPr="00BF00E5">
        <w:rPr>
          <w:u w:val="single"/>
        </w:rPr>
        <w:t>Explanation for Program Changes or Adjustments</w:t>
      </w:r>
    </w:p>
    <w:p w:rsidR="00724EF8" w:rsidP="00E7085D" w:rsidRDefault="00724EF8">
      <w:pPr>
        <w:ind w:left="720"/>
      </w:pPr>
    </w:p>
    <w:p w:rsidR="000101F4" w:rsidP="001A5EE4" w:rsidRDefault="005D4A54">
      <w:pPr>
        <w:ind w:left="720"/>
      </w:pPr>
      <w:r>
        <w:t>This information collection is being submitted with changes.  We have revised the information collection to include an application for a new program – FDA Traineeship Program.  We have also</w:t>
      </w:r>
      <w:r w:rsidR="00496A56">
        <w:t xml:space="preserve"> terminated two programs </w:t>
      </w:r>
      <w:r w:rsidR="00054573">
        <w:t>–</w:t>
      </w:r>
      <w:r w:rsidR="00712026">
        <w:t xml:space="preserve"> </w:t>
      </w:r>
      <w:r w:rsidR="00054573">
        <w:t xml:space="preserve">Commissioner’s Fellowship </w:t>
      </w:r>
      <w:r w:rsidR="00712026">
        <w:t xml:space="preserve">Program </w:t>
      </w:r>
      <w:r w:rsidR="00054573">
        <w:t xml:space="preserve">and Regulatory Science </w:t>
      </w:r>
      <w:r w:rsidR="00712026">
        <w:t>Internship.  O</w:t>
      </w:r>
      <w:r w:rsidRPr="00712026" w:rsidR="00712026">
        <w:t>ur estimated burden</w:t>
      </w:r>
      <w:r w:rsidR="006E3DB0">
        <w:t xml:space="preserve"> of 1,250 hours, formerly 1,298 hours,</w:t>
      </w:r>
      <w:r w:rsidRPr="00712026" w:rsidR="00712026">
        <w:t xml:space="preserve"> for the information collection reflects an adjustment increase of 1,000</w:t>
      </w:r>
      <w:r w:rsidR="006E3DB0">
        <w:t>.</w:t>
      </w:r>
      <w:r w:rsidR="00712026">
        <w:t xml:space="preserve"> </w:t>
      </w:r>
      <w:r>
        <w:t xml:space="preserve">  </w:t>
      </w:r>
      <w:r w:rsidR="00AF47F8">
        <w:t xml:space="preserve"> </w:t>
      </w:r>
    </w:p>
    <w:p w:rsidR="001A5EE4" w:rsidP="001A5EE4" w:rsidRDefault="001A5EE4">
      <w:pPr>
        <w:ind w:left="720"/>
      </w:pPr>
    </w:p>
    <w:p w:rsidRPr="00196F94" w:rsidR="001A5EE4" w:rsidP="001A5EE4" w:rsidRDefault="001A5EE4">
      <w:pPr>
        <w:ind w:left="720"/>
      </w:pPr>
      <w:r w:rsidRPr="00196F94">
        <w:t xml:space="preserve">FDA published </w:t>
      </w:r>
      <w:r w:rsidRPr="00196F94" w:rsidR="003E69A6">
        <w:t>a 60</w:t>
      </w:r>
      <w:r w:rsidRPr="00196F94" w:rsidR="00337B0D">
        <w:t>-</w:t>
      </w:r>
      <w:r w:rsidRPr="00196F94" w:rsidR="003E69A6">
        <w:t>day and 30</w:t>
      </w:r>
      <w:r w:rsidRPr="00196F94" w:rsidR="00337B0D">
        <w:t>-</w:t>
      </w:r>
      <w:r w:rsidRPr="00196F94" w:rsidR="003E69A6">
        <w:t xml:space="preserve">day notice which included </w:t>
      </w:r>
      <w:r w:rsidR="00196F94">
        <w:t xml:space="preserve">a new </w:t>
      </w:r>
      <w:r w:rsidRPr="00196F94" w:rsidR="003E69A6">
        <w:t xml:space="preserve">program, </w:t>
      </w:r>
      <w:r w:rsidRPr="00196F94" w:rsidR="003E69A6">
        <w:t>Reagan-Udall Fellowship</w:t>
      </w:r>
      <w:r w:rsidRPr="00196F94" w:rsidR="003E69A6">
        <w:t>.  Since the publication of the 30 day notice</w:t>
      </w:r>
      <w:r w:rsidRPr="00196F94" w:rsidR="00064E9A">
        <w:t xml:space="preserve"> </w:t>
      </w:r>
      <w:r w:rsidRPr="00196F94" w:rsidR="00337B0D">
        <w:t xml:space="preserve">the </w:t>
      </w:r>
      <w:r w:rsidRPr="00196F94" w:rsidR="00064E9A">
        <w:t xml:space="preserve">program </w:t>
      </w:r>
      <w:r w:rsidRPr="00196F94" w:rsidR="003E69A6">
        <w:t>has</w:t>
      </w:r>
      <w:r w:rsidR="00196F94">
        <w:t xml:space="preserve"> been </w:t>
      </w:r>
      <w:r w:rsidRPr="00196F94">
        <w:t xml:space="preserve">removed </w:t>
      </w:r>
      <w:r w:rsidR="00196F94">
        <w:t xml:space="preserve">from </w:t>
      </w:r>
      <w:r w:rsidRPr="00196F94">
        <w:t xml:space="preserve">this </w:t>
      </w:r>
      <w:r w:rsidR="00196F94">
        <w:t xml:space="preserve">collection.  </w:t>
      </w:r>
      <w:r w:rsidR="00B06215">
        <w:t>FDA</w:t>
      </w:r>
      <w:r w:rsidR="00196F94">
        <w:t xml:space="preserve"> isn’t seeking approval for </w:t>
      </w:r>
      <w:r w:rsidRPr="00196F94" w:rsidR="00196F94">
        <w:t>Reagan-Udall Fellowship</w:t>
      </w:r>
      <w:r w:rsidR="00B06215">
        <w:t xml:space="preserve"> </w:t>
      </w:r>
      <w:proofErr w:type="gramStart"/>
      <w:r w:rsidR="00B06215">
        <w:t>at this time</w:t>
      </w:r>
      <w:proofErr w:type="gramEnd"/>
      <w:r w:rsidRPr="00196F94" w:rsidR="00196F94">
        <w:t>.</w:t>
      </w:r>
      <w:r w:rsidR="00196F94">
        <w:t xml:space="preserve"> </w:t>
      </w:r>
    </w:p>
    <w:p w:rsidRPr="004C6979" w:rsidR="004C6979" w:rsidP="00EB7538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4C6979">
        <w:rPr>
          <w:u w:val="single"/>
        </w:rPr>
        <w:t>Plans for Tabulation and Publication and Project Time Schedule</w:t>
      </w:r>
    </w:p>
    <w:p w:rsidR="008D050A" w:rsidP="008D050A" w:rsidRDefault="008D050A">
      <w:pPr>
        <w:ind w:left="720"/>
      </w:pPr>
      <w:r>
        <w:t>FDA does not have plans to tabulate or publish this information.</w:t>
      </w:r>
    </w:p>
    <w:p w:rsidR="00343236" w:rsidP="008D050A" w:rsidRDefault="00343236">
      <w:pPr>
        <w:ind w:left="720"/>
      </w:pPr>
      <w:bookmarkStart w:name="_GoBack" w:id="2"/>
      <w:bookmarkEnd w:id="2"/>
    </w:p>
    <w:p w:rsidRPr="004C6979" w:rsidR="004C6979" w:rsidP="00EB7538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4C6979">
        <w:rPr>
          <w:u w:val="single"/>
        </w:rPr>
        <w:lastRenderedPageBreak/>
        <w:t>Reason(s) Display of OMB Expiration Date is Inappropriate</w:t>
      </w:r>
    </w:p>
    <w:p w:rsidR="008D050A" w:rsidP="008D050A" w:rsidRDefault="008D050A">
      <w:pPr>
        <w:ind w:left="720"/>
      </w:pPr>
      <w:r>
        <w:t>FDA is not seeking exemption from displaying the OMB expiration date.</w:t>
      </w:r>
    </w:p>
    <w:p w:rsidR="00EB7538" w:rsidP="00EB7538" w:rsidRDefault="00EB7538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4C6979">
        <w:rPr>
          <w:u w:val="single"/>
        </w:rPr>
        <w:t>Exceptions to Certification for Paperwork Reduction Act Submissions</w:t>
      </w:r>
    </w:p>
    <w:p w:rsidRPr="004C6979" w:rsidR="002746DB" w:rsidP="00C96B35" w:rsidRDefault="008D050A">
      <w:pPr>
        <w:spacing w:before="100" w:beforeAutospacing="1" w:after="100" w:afterAutospacing="1"/>
        <w:ind w:left="720"/>
        <w:rPr>
          <w:b/>
        </w:rPr>
      </w:pPr>
      <w:r>
        <w:t>There are no exceptions to the certification.</w:t>
      </w:r>
    </w:p>
    <w:sectPr w:rsidRPr="004C6979" w:rsidR="002746DB" w:rsidSect="00EB7538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F4A" w:rsidRDefault="00B54F4A">
      <w:r>
        <w:separator/>
      </w:r>
    </w:p>
  </w:endnote>
  <w:endnote w:type="continuationSeparator" w:id="0">
    <w:p w:rsidR="00B54F4A" w:rsidRDefault="00B5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854" w:rsidRDefault="00347854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854" w:rsidRDefault="00347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854" w:rsidRDefault="00347854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34D">
      <w:rPr>
        <w:rStyle w:val="PageNumber"/>
        <w:noProof/>
      </w:rPr>
      <w:t>4</w:t>
    </w:r>
    <w:r>
      <w:rPr>
        <w:rStyle w:val="PageNumber"/>
      </w:rPr>
      <w:fldChar w:fldCharType="end"/>
    </w:r>
  </w:p>
  <w:p w:rsidR="00347854" w:rsidRDefault="00347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F4A" w:rsidRDefault="00B54F4A">
      <w:r>
        <w:separator/>
      </w:r>
    </w:p>
  </w:footnote>
  <w:footnote w:type="continuationSeparator" w:id="0">
    <w:p w:rsidR="00B54F4A" w:rsidRDefault="00B54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F4DB8"/>
    <w:multiLevelType w:val="hybridMultilevel"/>
    <w:tmpl w:val="7EBEB4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A6ACE"/>
    <w:multiLevelType w:val="hybridMultilevel"/>
    <w:tmpl w:val="44EA2790"/>
    <w:lvl w:ilvl="0" w:tplc="17F0BF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B91F04"/>
    <w:multiLevelType w:val="hybridMultilevel"/>
    <w:tmpl w:val="0764FE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515D4"/>
    <w:multiLevelType w:val="hybridMultilevel"/>
    <w:tmpl w:val="3A8806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A6BBF"/>
    <w:multiLevelType w:val="hybridMultilevel"/>
    <w:tmpl w:val="B4AEF0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F6F8E"/>
    <w:multiLevelType w:val="hybridMultilevel"/>
    <w:tmpl w:val="F3F0DD9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E385D16"/>
    <w:multiLevelType w:val="hybridMultilevel"/>
    <w:tmpl w:val="06B489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33949"/>
    <w:multiLevelType w:val="hybridMultilevel"/>
    <w:tmpl w:val="EE1E77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9D65D6"/>
    <w:multiLevelType w:val="hybridMultilevel"/>
    <w:tmpl w:val="35AA02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9D09AB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7494"/>
    <w:multiLevelType w:val="hybridMultilevel"/>
    <w:tmpl w:val="33C2E1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AB03BC"/>
    <w:multiLevelType w:val="hybridMultilevel"/>
    <w:tmpl w:val="CB806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4F798B"/>
    <w:multiLevelType w:val="hybridMultilevel"/>
    <w:tmpl w:val="4D5AF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912058"/>
    <w:multiLevelType w:val="hybridMultilevel"/>
    <w:tmpl w:val="063EBF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0E2065"/>
    <w:multiLevelType w:val="hybridMultilevel"/>
    <w:tmpl w:val="FDFAF3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422FFD"/>
    <w:multiLevelType w:val="hybridMultilevel"/>
    <w:tmpl w:val="69FEA0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5C0C3F"/>
    <w:multiLevelType w:val="hybridMultilevel"/>
    <w:tmpl w:val="C9A0A8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3A1327"/>
    <w:multiLevelType w:val="hybridMultilevel"/>
    <w:tmpl w:val="D930AC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A4594D"/>
    <w:multiLevelType w:val="hybridMultilevel"/>
    <w:tmpl w:val="A8BA88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B10A5B"/>
    <w:multiLevelType w:val="hybridMultilevel"/>
    <w:tmpl w:val="F4C6EC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DB58CB"/>
    <w:multiLevelType w:val="hybridMultilevel"/>
    <w:tmpl w:val="A57AC9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9A63D6"/>
    <w:multiLevelType w:val="hybridMultilevel"/>
    <w:tmpl w:val="707CAA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8B58D1"/>
    <w:multiLevelType w:val="hybridMultilevel"/>
    <w:tmpl w:val="420412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DA5096"/>
    <w:multiLevelType w:val="hybridMultilevel"/>
    <w:tmpl w:val="AC744B6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72FB651B"/>
    <w:multiLevelType w:val="hybridMultilevel"/>
    <w:tmpl w:val="056659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346864"/>
    <w:multiLevelType w:val="hybridMultilevel"/>
    <w:tmpl w:val="06C632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9F61EA"/>
    <w:multiLevelType w:val="hybridMultilevel"/>
    <w:tmpl w:val="4344FD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567685"/>
    <w:multiLevelType w:val="hybridMultilevel"/>
    <w:tmpl w:val="1FEE56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DC103B"/>
    <w:multiLevelType w:val="hybridMultilevel"/>
    <w:tmpl w:val="AB600B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E538FE"/>
    <w:multiLevelType w:val="hybridMultilevel"/>
    <w:tmpl w:val="30D832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20"/>
  </w:num>
  <w:num w:numId="5">
    <w:abstractNumId w:val="7"/>
  </w:num>
  <w:num w:numId="6">
    <w:abstractNumId w:val="22"/>
  </w:num>
  <w:num w:numId="7">
    <w:abstractNumId w:val="27"/>
  </w:num>
  <w:num w:numId="8">
    <w:abstractNumId w:val="4"/>
  </w:num>
  <w:num w:numId="9">
    <w:abstractNumId w:val="23"/>
  </w:num>
  <w:num w:numId="10">
    <w:abstractNumId w:val="19"/>
  </w:num>
  <w:num w:numId="11">
    <w:abstractNumId w:val="9"/>
  </w:num>
  <w:num w:numId="12">
    <w:abstractNumId w:val="30"/>
  </w:num>
  <w:num w:numId="13">
    <w:abstractNumId w:val="18"/>
  </w:num>
  <w:num w:numId="14">
    <w:abstractNumId w:val="8"/>
  </w:num>
  <w:num w:numId="15">
    <w:abstractNumId w:val="14"/>
  </w:num>
  <w:num w:numId="16">
    <w:abstractNumId w:val="13"/>
  </w:num>
  <w:num w:numId="17">
    <w:abstractNumId w:val="26"/>
  </w:num>
  <w:num w:numId="18">
    <w:abstractNumId w:val="29"/>
  </w:num>
  <w:num w:numId="19">
    <w:abstractNumId w:val="28"/>
  </w:num>
  <w:num w:numId="20">
    <w:abstractNumId w:val="17"/>
  </w:num>
  <w:num w:numId="21">
    <w:abstractNumId w:val="12"/>
  </w:num>
  <w:num w:numId="22">
    <w:abstractNumId w:val="3"/>
  </w:num>
  <w:num w:numId="23">
    <w:abstractNumId w:val="24"/>
  </w:num>
  <w:num w:numId="24">
    <w:abstractNumId w:val="21"/>
  </w:num>
  <w:num w:numId="25">
    <w:abstractNumId w:val="11"/>
  </w:num>
  <w:num w:numId="26">
    <w:abstractNumId w:val="6"/>
  </w:num>
  <w:num w:numId="27">
    <w:abstractNumId w:val="31"/>
  </w:num>
  <w:num w:numId="28">
    <w:abstractNumId w:val="25"/>
  </w:num>
  <w:num w:numId="29">
    <w:abstractNumId w:val="5"/>
  </w:num>
  <w:num w:numId="30">
    <w:abstractNumId w:val="16"/>
  </w:num>
  <w:num w:numId="31">
    <w:abstractNumId w:val="2"/>
  </w:num>
  <w:num w:numId="3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538"/>
    <w:rsid w:val="00000A18"/>
    <w:rsid w:val="000101F4"/>
    <w:rsid w:val="00014313"/>
    <w:rsid w:val="0001600E"/>
    <w:rsid w:val="00044440"/>
    <w:rsid w:val="00054573"/>
    <w:rsid w:val="000644EF"/>
    <w:rsid w:val="00064E9A"/>
    <w:rsid w:val="0006570F"/>
    <w:rsid w:val="00084D6B"/>
    <w:rsid w:val="00090675"/>
    <w:rsid w:val="000929EE"/>
    <w:rsid w:val="000A462B"/>
    <w:rsid w:val="000B3BC8"/>
    <w:rsid w:val="000C04B1"/>
    <w:rsid w:val="000D1B81"/>
    <w:rsid w:val="000D48FD"/>
    <w:rsid w:val="000D5BE2"/>
    <w:rsid w:val="000E1C64"/>
    <w:rsid w:val="000F02E7"/>
    <w:rsid w:val="00100739"/>
    <w:rsid w:val="00107885"/>
    <w:rsid w:val="00114FC4"/>
    <w:rsid w:val="001160F0"/>
    <w:rsid w:val="0012027A"/>
    <w:rsid w:val="00120FD8"/>
    <w:rsid w:val="0012329C"/>
    <w:rsid w:val="00134FA7"/>
    <w:rsid w:val="00137950"/>
    <w:rsid w:val="00152F29"/>
    <w:rsid w:val="0017654B"/>
    <w:rsid w:val="00185270"/>
    <w:rsid w:val="00196F94"/>
    <w:rsid w:val="001A3B5A"/>
    <w:rsid w:val="001A5EE4"/>
    <w:rsid w:val="001B17ED"/>
    <w:rsid w:val="001B7CE9"/>
    <w:rsid w:val="001D21C3"/>
    <w:rsid w:val="001D495A"/>
    <w:rsid w:val="001D6F6B"/>
    <w:rsid w:val="001D751B"/>
    <w:rsid w:val="001F5A88"/>
    <w:rsid w:val="0020252E"/>
    <w:rsid w:val="00203512"/>
    <w:rsid w:val="00205EC0"/>
    <w:rsid w:val="002062BB"/>
    <w:rsid w:val="002259EF"/>
    <w:rsid w:val="00242ED1"/>
    <w:rsid w:val="00254069"/>
    <w:rsid w:val="00254479"/>
    <w:rsid w:val="002734E5"/>
    <w:rsid w:val="002746DB"/>
    <w:rsid w:val="002804BA"/>
    <w:rsid w:val="00280CAF"/>
    <w:rsid w:val="00282F09"/>
    <w:rsid w:val="002A6208"/>
    <w:rsid w:val="002B72B0"/>
    <w:rsid w:val="002C4E48"/>
    <w:rsid w:val="002D14D8"/>
    <w:rsid w:val="002D4799"/>
    <w:rsid w:val="002D5E65"/>
    <w:rsid w:val="002E3FA4"/>
    <w:rsid w:val="00316C14"/>
    <w:rsid w:val="0032044E"/>
    <w:rsid w:val="0032277F"/>
    <w:rsid w:val="00331DBB"/>
    <w:rsid w:val="00337B0D"/>
    <w:rsid w:val="00343236"/>
    <w:rsid w:val="00347854"/>
    <w:rsid w:val="00347A22"/>
    <w:rsid w:val="00350523"/>
    <w:rsid w:val="00355EDB"/>
    <w:rsid w:val="003740BC"/>
    <w:rsid w:val="003801A3"/>
    <w:rsid w:val="00383D90"/>
    <w:rsid w:val="003B42B3"/>
    <w:rsid w:val="003B564F"/>
    <w:rsid w:val="003B6384"/>
    <w:rsid w:val="003C4EBB"/>
    <w:rsid w:val="003D1531"/>
    <w:rsid w:val="003E0315"/>
    <w:rsid w:val="003E4EC6"/>
    <w:rsid w:val="003E527E"/>
    <w:rsid w:val="003E553E"/>
    <w:rsid w:val="003E69A6"/>
    <w:rsid w:val="003E7078"/>
    <w:rsid w:val="003F3DF5"/>
    <w:rsid w:val="0040455D"/>
    <w:rsid w:val="00411D11"/>
    <w:rsid w:val="004140FB"/>
    <w:rsid w:val="00415E23"/>
    <w:rsid w:val="0041626E"/>
    <w:rsid w:val="00424061"/>
    <w:rsid w:val="00443679"/>
    <w:rsid w:val="00443969"/>
    <w:rsid w:val="00447D74"/>
    <w:rsid w:val="00450A74"/>
    <w:rsid w:val="00457A21"/>
    <w:rsid w:val="00462DE9"/>
    <w:rsid w:val="00465350"/>
    <w:rsid w:val="00472222"/>
    <w:rsid w:val="00473977"/>
    <w:rsid w:val="00474E26"/>
    <w:rsid w:val="00476D10"/>
    <w:rsid w:val="0048434D"/>
    <w:rsid w:val="004846BF"/>
    <w:rsid w:val="00496A56"/>
    <w:rsid w:val="004C247F"/>
    <w:rsid w:val="004C24CF"/>
    <w:rsid w:val="004C6979"/>
    <w:rsid w:val="004D3E7A"/>
    <w:rsid w:val="00503966"/>
    <w:rsid w:val="00513ACC"/>
    <w:rsid w:val="00521433"/>
    <w:rsid w:val="005232A1"/>
    <w:rsid w:val="00525F0B"/>
    <w:rsid w:val="005401B3"/>
    <w:rsid w:val="00544138"/>
    <w:rsid w:val="00560AF2"/>
    <w:rsid w:val="00584583"/>
    <w:rsid w:val="005915CB"/>
    <w:rsid w:val="00593D49"/>
    <w:rsid w:val="005A4099"/>
    <w:rsid w:val="005A55B4"/>
    <w:rsid w:val="005A6601"/>
    <w:rsid w:val="005A703B"/>
    <w:rsid w:val="005B7B94"/>
    <w:rsid w:val="005C38B2"/>
    <w:rsid w:val="005C4EF0"/>
    <w:rsid w:val="005C5029"/>
    <w:rsid w:val="005C55C2"/>
    <w:rsid w:val="005D4A54"/>
    <w:rsid w:val="005D4DF5"/>
    <w:rsid w:val="005E0A14"/>
    <w:rsid w:val="005E3C11"/>
    <w:rsid w:val="00611D6B"/>
    <w:rsid w:val="00622635"/>
    <w:rsid w:val="006649A6"/>
    <w:rsid w:val="00673170"/>
    <w:rsid w:val="006A26C6"/>
    <w:rsid w:val="006A4739"/>
    <w:rsid w:val="006A7D5D"/>
    <w:rsid w:val="006C1B8D"/>
    <w:rsid w:val="006E3DB0"/>
    <w:rsid w:val="006F4D6D"/>
    <w:rsid w:val="00700250"/>
    <w:rsid w:val="00705086"/>
    <w:rsid w:val="00712026"/>
    <w:rsid w:val="00714B1B"/>
    <w:rsid w:val="00724EF8"/>
    <w:rsid w:val="00731651"/>
    <w:rsid w:val="007454C2"/>
    <w:rsid w:val="00754497"/>
    <w:rsid w:val="00757936"/>
    <w:rsid w:val="007611CC"/>
    <w:rsid w:val="007831FD"/>
    <w:rsid w:val="00787C39"/>
    <w:rsid w:val="00795DF3"/>
    <w:rsid w:val="007A373C"/>
    <w:rsid w:val="007B225C"/>
    <w:rsid w:val="007B65FD"/>
    <w:rsid w:val="007C75B1"/>
    <w:rsid w:val="007C7BAD"/>
    <w:rsid w:val="007D3DFC"/>
    <w:rsid w:val="0080776D"/>
    <w:rsid w:val="00810145"/>
    <w:rsid w:val="008108FA"/>
    <w:rsid w:val="00810FF1"/>
    <w:rsid w:val="008156F3"/>
    <w:rsid w:val="00822336"/>
    <w:rsid w:val="00823DFA"/>
    <w:rsid w:val="00835658"/>
    <w:rsid w:val="00840372"/>
    <w:rsid w:val="00842E24"/>
    <w:rsid w:val="00843752"/>
    <w:rsid w:val="00862509"/>
    <w:rsid w:val="00865EF6"/>
    <w:rsid w:val="00883F58"/>
    <w:rsid w:val="00885B09"/>
    <w:rsid w:val="00892400"/>
    <w:rsid w:val="00892407"/>
    <w:rsid w:val="008A209D"/>
    <w:rsid w:val="008B0E29"/>
    <w:rsid w:val="008B0EFA"/>
    <w:rsid w:val="008B30AB"/>
    <w:rsid w:val="008D050A"/>
    <w:rsid w:val="008F3AE9"/>
    <w:rsid w:val="00905DEF"/>
    <w:rsid w:val="009075A8"/>
    <w:rsid w:val="00913B43"/>
    <w:rsid w:val="00930203"/>
    <w:rsid w:val="009311D2"/>
    <w:rsid w:val="00931275"/>
    <w:rsid w:val="00932E38"/>
    <w:rsid w:val="00936AC7"/>
    <w:rsid w:val="00945520"/>
    <w:rsid w:val="00945EF5"/>
    <w:rsid w:val="009A1674"/>
    <w:rsid w:val="009B5EB6"/>
    <w:rsid w:val="009C684F"/>
    <w:rsid w:val="009D074C"/>
    <w:rsid w:val="009E39F7"/>
    <w:rsid w:val="009E66ED"/>
    <w:rsid w:val="009F2B4F"/>
    <w:rsid w:val="009F66B5"/>
    <w:rsid w:val="00A04956"/>
    <w:rsid w:val="00A20A7D"/>
    <w:rsid w:val="00A218BA"/>
    <w:rsid w:val="00A35D42"/>
    <w:rsid w:val="00A46CCF"/>
    <w:rsid w:val="00A47038"/>
    <w:rsid w:val="00A559FB"/>
    <w:rsid w:val="00A70426"/>
    <w:rsid w:val="00A91E9A"/>
    <w:rsid w:val="00A91F1F"/>
    <w:rsid w:val="00A93ED9"/>
    <w:rsid w:val="00AC6A99"/>
    <w:rsid w:val="00AD48EE"/>
    <w:rsid w:val="00AD7478"/>
    <w:rsid w:val="00AF042B"/>
    <w:rsid w:val="00AF2987"/>
    <w:rsid w:val="00AF47F8"/>
    <w:rsid w:val="00AF4B79"/>
    <w:rsid w:val="00B055EF"/>
    <w:rsid w:val="00B06215"/>
    <w:rsid w:val="00B23769"/>
    <w:rsid w:val="00B33CCA"/>
    <w:rsid w:val="00B4121F"/>
    <w:rsid w:val="00B54F4A"/>
    <w:rsid w:val="00B63C1F"/>
    <w:rsid w:val="00B66C8B"/>
    <w:rsid w:val="00B84F59"/>
    <w:rsid w:val="00B86980"/>
    <w:rsid w:val="00B86DFA"/>
    <w:rsid w:val="00B936D0"/>
    <w:rsid w:val="00BA0BCD"/>
    <w:rsid w:val="00BA2533"/>
    <w:rsid w:val="00BE3600"/>
    <w:rsid w:val="00BF00E5"/>
    <w:rsid w:val="00C01F6F"/>
    <w:rsid w:val="00C149AB"/>
    <w:rsid w:val="00C15197"/>
    <w:rsid w:val="00C40694"/>
    <w:rsid w:val="00C6604F"/>
    <w:rsid w:val="00C70542"/>
    <w:rsid w:val="00C75CBF"/>
    <w:rsid w:val="00C87E4C"/>
    <w:rsid w:val="00C92C0E"/>
    <w:rsid w:val="00C96B35"/>
    <w:rsid w:val="00CA6E0B"/>
    <w:rsid w:val="00CC2894"/>
    <w:rsid w:val="00CD2E2A"/>
    <w:rsid w:val="00CD77C3"/>
    <w:rsid w:val="00CE112C"/>
    <w:rsid w:val="00CF03EC"/>
    <w:rsid w:val="00D03D41"/>
    <w:rsid w:val="00D23BCA"/>
    <w:rsid w:val="00D45446"/>
    <w:rsid w:val="00D60131"/>
    <w:rsid w:val="00D608DA"/>
    <w:rsid w:val="00D6238B"/>
    <w:rsid w:val="00D6274B"/>
    <w:rsid w:val="00D62996"/>
    <w:rsid w:val="00D730BF"/>
    <w:rsid w:val="00D940A8"/>
    <w:rsid w:val="00D97CCB"/>
    <w:rsid w:val="00DA4286"/>
    <w:rsid w:val="00DB4719"/>
    <w:rsid w:val="00DC715F"/>
    <w:rsid w:val="00DC76C7"/>
    <w:rsid w:val="00DD09F5"/>
    <w:rsid w:val="00DD4201"/>
    <w:rsid w:val="00DE24A6"/>
    <w:rsid w:val="00DE4D22"/>
    <w:rsid w:val="00DE5711"/>
    <w:rsid w:val="00E00EA0"/>
    <w:rsid w:val="00E26758"/>
    <w:rsid w:val="00E4357B"/>
    <w:rsid w:val="00E52C14"/>
    <w:rsid w:val="00E63DE5"/>
    <w:rsid w:val="00E65A37"/>
    <w:rsid w:val="00E66789"/>
    <w:rsid w:val="00E7085D"/>
    <w:rsid w:val="00E77B48"/>
    <w:rsid w:val="00E8440B"/>
    <w:rsid w:val="00E91799"/>
    <w:rsid w:val="00E92BFB"/>
    <w:rsid w:val="00EA214A"/>
    <w:rsid w:val="00EA34E3"/>
    <w:rsid w:val="00EA4D4E"/>
    <w:rsid w:val="00EB7538"/>
    <w:rsid w:val="00F06433"/>
    <w:rsid w:val="00F16DF4"/>
    <w:rsid w:val="00F176F2"/>
    <w:rsid w:val="00F17FE4"/>
    <w:rsid w:val="00F207A4"/>
    <w:rsid w:val="00F24546"/>
    <w:rsid w:val="00F355AC"/>
    <w:rsid w:val="00F43A6C"/>
    <w:rsid w:val="00F71A5A"/>
    <w:rsid w:val="00F769E0"/>
    <w:rsid w:val="00F8043C"/>
    <w:rsid w:val="00F809DF"/>
    <w:rsid w:val="00F83DD0"/>
    <w:rsid w:val="00F86A03"/>
    <w:rsid w:val="00FC6418"/>
    <w:rsid w:val="00FC6BDE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536973"/>
  <w15:chartTrackingRefBased/>
  <w15:docId w15:val="{37824555-013E-46F3-822A-0F15F58D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6CC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64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paragraph" w:styleId="HTMLPreformatted">
    <w:name w:val="HTML Preformatted"/>
    <w:basedOn w:val="Normal"/>
    <w:link w:val="HTMLPreformattedChar"/>
    <w:rsid w:val="00525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25F0B"/>
    <w:rPr>
      <w:rFonts w:ascii="Courier New" w:hAnsi="Courier New" w:cs="Courier New"/>
    </w:rPr>
  </w:style>
  <w:style w:type="character" w:styleId="Hyperlink">
    <w:name w:val="Hyperlink"/>
    <w:rsid w:val="00CF03EC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FC6418"/>
    <w:rPr>
      <w:rFonts w:ascii="Cambria" w:eastAsia="Times New Roman" w:hAnsi="Cambria" w:cs="Times New Roman"/>
      <w:b/>
      <w:bCs/>
      <w:sz w:val="26"/>
      <w:szCs w:val="26"/>
    </w:rPr>
  </w:style>
  <w:style w:type="character" w:styleId="FollowedHyperlink">
    <w:name w:val="FollowedHyperlink"/>
    <w:rsid w:val="00D23BCA"/>
    <w:rPr>
      <w:color w:val="800080"/>
      <w:u w:val="single"/>
    </w:rPr>
  </w:style>
  <w:style w:type="character" w:styleId="CommentReference">
    <w:name w:val="annotation reference"/>
    <w:rsid w:val="00D454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54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5446"/>
  </w:style>
  <w:style w:type="paragraph" w:styleId="CommentSubject">
    <w:name w:val="annotation subject"/>
    <w:basedOn w:val="CommentText"/>
    <w:next w:val="CommentText"/>
    <w:link w:val="CommentSubjectChar"/>
    <w:rsid w:val="00D45446"/>
    <w:rPr>
      <w:b/>
      <w:bCs/>
    </w:rPr>
  </w:style>
  <w:style w:type="character" w:customStyle="1" w:styleId="CommentSubjectChar">
    <w:name w:val="Comment Subject Char"/>
    <w:link w:val="CommentSubject"/>
    <w:rsid w:val="00D45446"/>
    <w:rPr>
      <w:b/>
      <w:bCs/>
    </w:rPr>
  </w:style>
  <w:style w:type="character" w:styleId="UnresolvedMention">
    <w:name w:val="Unresolved Mention"/>
    <w:uiPriority w:val="99"/>
    <w:semiHidden/>
    <w:unhideWhenUsed/>
    <w:rsid w:val="00320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AboutFDA/WorkingatFDA/FellowshipInternshipGraduateFacultyPrograms/MedicalDeviceFellowshipProgramCDRH/defaul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cess.fda.gov/TPEXT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4211-2FCC-42CD-9399-673939DA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Title of Information Collection]</vt:lpstr>
    </vt:vector>
  </TitlesOfParts>
  <Company>US FDA</Company>
  <LinksUpToDate>false</LinksUpToDate>
  <CharactersWithSpaces>8722</CharactersWithSpaces>
  <SharedDoc>false</SharedDoc>
  <HLinks>
    <vt:vector size="18" baseType="variant">
      <vt:variant>
        <vt:i4>5111858</vt:i4>
      </vt:variant>
      <vt:variant>
        <vt:i4>9</vt:i4>
      </vt:variant>
      <vt:variant>
        <vt:i4>0</vt:i4>
      </vt:variant>
      <vt:variant>
        <vt:i4>5</vt:i4>
      </vt:variant>
      <vt:variant>
        <vt:lpwstr>https://www.access.fda.gov/TPEXT/</vt:lpwstr>
      </vt:variant>
      <vt:variant>
        <vt:lpwstr>/</vt:lpwstr>
      </vt:variant>
      <vt:variant>
        <vt:i4>7012412</vt:i4>
      </vt:variant>
      <vt:variant>
        <vt:i4>6</vt:i4>
      </vt:variant>
      <vt:variant>
        <vt:i4>0</vt:i4>
      </vt:variant>
      <vt:variant>
        <vt:i4>5</vt:i4>
      </vt:variant>
      <vt:variant>
        <vt:lpwstr>http://www.fda.gov/AboutFDA/WorkingatFDA/FellowshipInternshipGraduateFacultyPrograms/MedicalDeviceFellowshipProgramCDRH/default.htm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http://www.access.gpo.gov/uscode/title5/title5.html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Information Collection]</dc:title>
  <dc:subject/>
  <dc:creator>jcapezzu</dc:creator>
  <cp:keywords/>
  <cp:lastModifiedBy>Sanford, Amber</cp:lastModifiedBy>
  <cp:revision>2</cp:revision>
  <cp:lastPrinted>2017-11-28T13:09:00Z</cp:lastPrinted>
  <dcterms:created xsi:type="dcterms:W3CDTF">2021-01-21T13:23:00Z</dcterms:created>
  <dcterms:modified xsi:type="dcterms:W3CDTF">2021-01-21T13:23:00Z</dcterms:modified>
</cp:coreProperties>
</file>