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333BE9"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P="00333BE9" w:rsidRDefault="001879E5"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9744B1" w:rsidP="00333BE9" w:rsidRDefault="00643A58" w14:paraId="5CC8B804"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 xml:space="preserve">HRSA Division of Transplantation (DoT) </w:t>
      </w:r>
      <w:r w:rsidR="009744B1">
        <w:rPr>
          <w:rFonts w:ascii="Times New Roman" w:hAnsi="Times New Roman"/>
          <w:b/>
          <w:bCs/>
          <w:sz w:val="24"/>
          <w:szCs w:val="24"/>
        </w:rPr>
        <w:t xml:space="preserve">Formative Evaluation </w:t>
      </w:r>
    </w:p>
    <w:p w:rsidR="001879E5" w:rsidP="00333BE9" w:rsidRDefault="00643A58" w14:paraId="0D6D0413" w14:textId="57D9E23A">
      <w:pPr>
        <w:tabs>
          <w:tab w:val="left" w:pos="-720"/>
          <w:tab w:val="right" w:pos="8622"/>
        </w:tabs>
        <w:jc w:val="center"/>
        <w:rPr>
          <w:rFonts w:ascii="Times New Roman" w:hAnsi="Times New Roman"/>
          <w:sz w:val="24"/>
          <w:szCs w:val="24"/>
        </w:rPr>
      </w:pPr>
      <w:r>
        <w:rPr>
          <w:rFonts w:ascii="Times New Roman" w:hAnsi="Times New Roman"/>
          <w:b/>
          <w:bCs/>
          <w:sz w:val="24"/>
          <w:szCs w:val="24"/>
        </w:rPr>
        <w:t>Minority Organ Donation Outreach</w:t>
      </w:r>
    </w:p>
    <w:p w:rsidR="001879E5" w:rsidP="00333BE9" w:rsidRDefault="001879E5" w14:paraId="0D6D0414" w14:textId="77777777">
      <w:pPr>
        <w:tabs>
          <w:tab w:val="left" w:pos="-720"/>
          <w:tab w:val="right" w:pos="8622"/>
        </w:tabs>
        <w:rPr>
          <w:rFonts w:ascii="Times New Roman" w:hAnsi="Times New Roman"/>
          <w:sz w:val="24"/>
          <w:szCs w:val="24"/>
        </w:rPr>
      </w:pPr>
    </w:p>
    <w:p w:rsidR="001879E5" w:rsidP="00333BE9"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P="00333BE9" w:rsidRDefault="001879E5" w14:paraId="0D6D0416" w14:textId="77777777">
      <w:pPr>
        <w:tabs>
          <w:tab w:val="left" w:pos="-720"/>
          <w:tab w:val="left" w:pos="720"/>
          <w:tab w:val="right" w:pos="8622"/>
        </w:tabs>
        <w:rPr>
          <w:rFonts w:ascii="Times New Roman" w:hAnsi="Times New Roman"/>
          <w:sz w:val="24"/>
          <w:szCs w:val="24"/>
        </w:rPr>
      </w:pPr>
    </w:p>
    <w:p w:rsidR="001879E5" w:rsidP="00333BE9"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P="00333BE9"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333BE9" w:rsidRDefault="00A342EB" w14:paraId="0D6D0419" w14:textId="4B76FC02">
      <w:pPr>
        <w:pStyle w:val="Heading2"/>
        <w:spacing w:before="0" w:after="0"/>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w:t>
      </w:r>
      <w:r w:rsidR="00612E98">
        <w:rPr>
          <w:b w:val="0"/>
          <w:color w:val="auto"/>
          <w:sz w:val="24"/>
          <w:szCs w:val="24"/>
        </w:rPr>
        <w:t xml:space="preserve">  </w:t>
      </w:r>
      <w:r>
        <w:rPr>
          <w:b w:val="0"/>
          <w:color w:val="auto"/>
          <w:sz w:val="24"/>
          <w:szCs w:val="24"/>
        </w:rPr>
        <w:t>This collection of information helps fulfill the requirements of:</w:t>
      </w:r>
    </w:p>
    <w:p w:rsidR="00687F23" w:rsidP="00333BE9" w:rsidRDefault="00687F23" w14:paraId="2EAEA6A7" w14:textId="77777777">
      <w:pPr>
        <w:pStyle w:val="Heading2"/>
        <w:spacing w:before="0" w:after="0"/>
        <w:rPr>
          <w:b w:val="0"/>
          <w:color w:val="auto"/>
          <w:sz w:val="24"/>
          <w:szCs w:val="24"/>
        </w:rPr>
      </w:pPr>
    </w:p>
    <w:p w:rsidR="00A342EB" w:rsidP="00333BE9" w:rsidRDefault="00A342EB" w14:paraId="0D6D041A" w14:textId="77777777">
      <w:pPr>
        <w:pStyle w:val="Heading2"/>
        <w:numPr>
          <w:ilvl w:val="0"/>
          <w:numId w:val="1"/>
        </w:numPr>
        <w:spacing w:before="0" w:after="0"/>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P="00333BE9" w:rsidRDefault="00A342EB" w14:paraId="0D6D041B" w14:textId="77777777">
      <w:pPr>
        <w:tabs>
          <w:tab w:val="left" w:pos="-720"/>
        </w:tabs>
        <w:rPr>
          <w:rFonts w:ascii="Times New Roman" w:hAnsi="Times New Roman"/>
          <w:sz w:val="24"/>
          <w:szCs w:val="24"/>
        </w:rPr>
      </w:pPr>
    </w:p>
    <w:p w:rsidR="004E3605" w:rsidP="00333BE9" w:rsidRDefault="001879E5" w14:paraId="0D6D041C" w14:textId="3D686BA8">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612E98">
        <w:rPr>
          <w:rFonts w:ascii="Times New Roman" w:hAnsi="Times New Roman"/>
          <w:sz w:val="24"/>
          <w:szCs w:val="24"/>
        </w:rPr>
        <w:t xml:space="preserve"> or</w:t>
      </w:r>
      <w:r w:rsidR="005F0168">
        <w:rPr>
          <w:rFonts w:ascii="Times New Roman" w:hAnsi="Times New Roman"/>
          <w:sz w:val="24"/>
          <w:szCs w:val="24"/>
        </w:rPr>
        <w:t xml:space="preserve"> </w:t>
      </w:r>
      <w:r w:rsidR="0033551D">
        <w:rPr>
          <w:rFonts w:ascii="Times New Roman" w:hAnsi="Times New Roman"/>
          <w:sz w:val="24"/>
          <w:szCs w:val="24"/>
        </w:rPr>
        <w:t>focus group</w:t>
      </w:r>
      <w:r w:rsidRPr="00A4213C" w:rsidR="00A342EB">
        <w:rPr>
          <w:rFonts w:ascii="Times New Roman" w:hAnsi="Times New Roman"/>
          <w:sz w:val="24"/>
          <w:szCs w:val="24"/>
        </w:rPr>
        <w:t xml:space="preserve"> under HRSA’s generic clearance.</w:t>
      </w:r>
      <w:r w:rsidR="00635536">
        <w:rPr>
          <w:rFonts w:ascii="Times New Roman" w:hAnsi="Times New Roman"/>
          <w:sz w:val="24"/>
          <w:szCs w:val="24"/>
        </w:rPr>
        <w:t xml:space="preserve"> </w:t>
      </w:r>
      <w:r w:rsidR="00612E98">
        <w:rPr>
          <w:rFonts w:ascii="Times New Roman" w:hAnsi="Times New Roman"/>
          <w:sz w:val="24"/>
          <w:szCs w:val="24"/>
        </w:rPr>
        <w:t xml:space="preserve"> </w:t>
      </w:r>
    </w:p>
    <w:p w:rsidR="004E3605" w:rsidP="00333BE9" w:rsidRDefault="004E3605" w14:paraId="0D6D041D" w14:textId="77777777">
      <w:pPr>
        <w:tabs>
          <w:tab w:val="left" w:pos="-720"/>
        </w:tabs>
        <w:rPr>
          <w:rFonts w:ascii="Times New Roman" w:hAnsi="Times New Roman"/>
          <w:sz w:val="24"/>
          <w:szCs w:val="24"/>
        </w:rPr>
      </w:pPr>
    </w:p>
    <w:p w:rsidRPr="00FA4FEE" w:rsidR="001879E5" w:rsidP="00333BE9" w:rsidRDefault="004B765F" w14:paraId="0D6D041E" w14:textId="65CDC550">
      <w:pPr>
        <w:tabs>
          <w:tab w:val="left" w:pos="-720"/>
        </w:tabs>
        <w:rPr>
          <w:rFonts w:ascii="Times New Roman" w:hAnsi="Times New Roman"/>
          <w:sz w:val="24"/>
          <w:szCs w:val="24"/>
        </w:rPr>
      </w:pPr>
      <w:r>
        <w:rPr>
          <w:rFonts w:ascii="Times New Roman" w:hAnsi="Times New Roman"/>
          <w:sz w:val="24"/>
          <w:szCs w:val="24"/>
        </w:rPr>
        <w:t xml:space="preserve">HRSA’s Division of Transplantation (DoT) is requesting approval to conduct a series of </w:t>
      </w:r>
      <w:r w:rsidR="006C40E5">
        <w:rPr>
          <w:rFonts w:ascii="Times New Roman" w:hAnsi="Times New Roman"/>
          <w:sz w:val="24"/>
          <w:szCs w:val="24"/>
        </w:rPr>
        <w:t>sixteen</w:t>
      </w:r>
      <w:r w:rsidRPr="006C40E5">
        <w:rPr>
          <w:rFonts w:ascii="Times New Roman" w:hAnsi="Times New Roman"/>
          <w:sz w:val="24"/>
          <w:szCs w:val="24"/>
        </w:rPr>
        <w:t xml:space="preserve"> (</w:t>
      </w:r>
      <w:r w:rsidRPr="006C40E5" w:rsidR="006C40E5">
        <w:rPr>
          <w:rFonts w:ascii="Times New Roman" w:hAnsi="Times New Roman"/>
          <w:sz w:val="24"/>
          <w:szCs w:val="24"/>
        </w:rPr>
        <w:t>1</w:t>
      </w:r>
      <w:r w:rsidR="006C40E5">
        <w:rPr>
          <w:rFonts w:ascii="Times New Roman" w:hAnsi="Times New Roman"/>
          <w:sz w:val="24"/>
          <w:szCs w:val="24"/>
        </w:rPr>
        <w:t>6</w:t>
      </w:r>
      <w:r w:rsidRPr="006C40E5">
        <w:rPr>
          <w:rFonts w:ascii="Times New Roman" w:hAnsi="Times New Roman"/>
          <w:sz w:val="24"/>
          <w:szCs w:val="24"/>
        </w:rPr>
        <w:t xml:space="preserve">) </w:t>
      </w:r>
      <w:r w:rsidR="001F3E23">
        <w:rPr>
          <w:rFonts w:ascii="Times New Roman" w:hAnsi="Times New Roman"/>
          <w:sz w:val="24"/>
          <w:szCs w:val="24"/>
        </w:rPr>
        <w:t xml:space="preserve">online </w:t>
      </w:r>
      <w:r w:rsidRPr="006C40E5">
        <w:rPr>
          <w:rFonts w:ascii="Times New Roman" w:hAnsi="Times New Roman"/>
          <w:sz w:val="24"/>
          <w:szCs w:val="24"/>
        </w:rPr>
        <w:t>qualitative focus groups</w:t>
      </w:r>
      <w:r>
        <w:rPr>
          <w:rFonts w:ascii="Times New Roman" w:hAnsi="Times New Roman"/>
          <w:sz w:val="24"/>
          <w:szCs w:val="24"/>
        </w:rPr>
        <w:t xml:space="preserve"> with customers, as well as to conduct a qualitative customer satisfaction survey for visitors to its website </w:t>
      </w:r>
      <w:r w:rsidR="001F3E23">
        <w:rPr>
          <w:rFonts w:ascii="Times New Roman" w:hAnsi="Times New Roman"/>
          <w:sz w:val="24"/>
          <w:szCs w:val="24"/>
        </w:rPr>
        <w:t xml:space="preserve">at </w:t>
      </w:r>
      <w:hyperlink w:history="1" r:id="rId12">
        <w:r w:rsidRPr="00DB769B">
          <w:rPr>
            <w:rStyle w:val="Hyperlink"/>
            <w:rFonts w:ascii="Times New Roman" w:hAnsi="Times New Roman"/>
            <w:sz w:val="24"/>
            <w:szCs w:val="24"/>
          </w:rPr>
          <w:t>www.organdonor.gov</w:t>
        </w:r>
      </w:hyperlink>
      <w:r>
        <w:rPr>
          <w:rFonts w:ascii="Times New Roman" w:hAnsi="Times New Roman"/>
          <w:sz w:val="24"/>
          <w:szCs w:val="24"/>
        </w:rPr>
        <w:t xml:space="preserve"> who </w:t>
      </w:r>
      <w:r w:rsidR="00EE3180">
        <w:rPr>
          <w:rFonts w:ascii="Times New Roman" w:hAnsi="Times New Roman"/>
          <w:sz w:val="24"/>
          <w:szCs w:val="24"/>
        </w:rPr>
        <w:t xml:space="preserve">indicate interest in </w:t>
      </w:r>
      <w:r>
        <w:rPr>
          <w:rFonts w:ascii="Times New Roman" w:hAnsi="Times New Roman"/>
          <w:sz w:val="24"/>
          <w:szCs w:val="24"/>
        </w:rPr>
        <w:t>register</w:t>
      </w:r>
      <w:r w:rsidR="00EE3180">
        <w:rPr>
          <w:rFonts w:ascii="Times New Roman" w:hAnsi="Times New Roman"/>
          <w:sz w:val="24"/>
          <w:szCs w:val="24"/>
        </w:rPr>
        <w:t>ing</w:t>
      </w:r>
      <w:r>
        <w:rPr>
          <w:rFonts w:ascii="Times New Roman" w:hAnsi="Times New Roman"/>
          <w:sz w:val="24"/>
          <w:szCs w:val="24"/>
        </w:rPr>
        <w:t xml:space="preserve"> to become </w:t>
      </w:r>
      <w:r w:rsidR="00332269">
        <w:rPr>
          <w:rFonts w:ascii="Times New Roman" w:hAnsi="Times New Roman"/>
          <w:sz w:val="24"/>
          <w:szCs w:val="24"/>
        </w:rPr>
        <w:t xml:space="preserve">an </w:t>
      </w:r>
      <w:r>
        <w:rPr>
          <w:rFonts w:ascii="Times New Roman" w:hAnsi="Times New Roman"/>
          <w:sz w:val="24"/>
          <w:szCs w:val="24"/>
        </w:rPr>
        <w:t xml:space="preserve">organ and tissue donor. </w:t>
      </w:r>
      <w:r w:rsidR="00612E98">
        <w:rPr>
          <w:rFonts w:ascii="Times New Roman" w:hAnsi="Times New Roman"/>
          <w:sz w:val="24"/>
          <w:szCs w:val="24"/>
        </w:rPr>
        <w:t xml:space="preserve"> </w:t>
      </w:r>
      <w:r w:rsidRPr="003932D7">
        <w:rPr>
          <w:rFonts w:ascii="Times New Roman" w:hAnsi="Times New Roman"/>
          <w:sz w:val="24"/>
          <w:szCs w:val="24"/>
        </w:rPr>
        <w:t>By qualitative feedback, we mean information that provides useful insights on perceptions and opinions, not statistical surveys that yield quantitative results that can be generali</w:t>
      </w:r>
      <w:r w:rsidR="00612E98">
        <w:rPr>
          <w:rFonts w:ascii="Times New Roman" w:hAnsi="Times New Roman"/>
          <w:sz w:val="24"/>
          <w:szCs w:val="24"/>
        </w:rPr>
        <w:t xml:space="preserve">zed to the population of study.  </w:t>
      </w:r>
    </w:p>
    <w:p w:rsidR="001F78C0" w:rsidP="00333BE9" w:rsidRDefault="001F78C0" w14:paraId="0D6D041F" w14:textId="77777777">
      <w:pPr>
        <w:tabs>
          <w:tab w:val="left" w:pos="-720"/>
        </w:tabs>
        <w:rPr>
          <w:rFonts w:ascii="Times New Roman" w:hAnsi="Times New Roman"/>
          <w:sz w:val="24"/>
          <w:szCs w:val="24"/>
        </w:rPr>
      </w:pPr>
    </w:p>
    <w:p w:rsidR="00FA4FEE" w:rsidP="00333BE9" w:rsidRDefault="001879E5" w14:paraId="0D6D0420" w14:textId="6DBD8387">
      <w:pPr>
        <w:tabs>
          <w:tab w:val="left" w:pos="-720"/>
        </w:tabs>
        <w:rPr>
          <w:rFonts w:ascii="Times New Roman" w:hAnsi="Times New Roman"/>
          <w:sz w:val="24"/>
          <w:szCs w:val="24"/>
        </w:rPr>
      </w:pPr>
      <w:r>
        <w:rPr>
          <w:rFonts w:ascii="Times New Roman" w:hAnsi="Times New Roman"/>
          <w:sz w:val="24"/>
          <w:szCs w:val="24"/>
        </w:rPr>
        <w:t>Executive Order 12862 directs agencies tha</w:t>
      </w:r>
      <w:r w:rsidR="00612E98">
        <w:rPr>
          <w:rFonts w:ascii="Times New Roman" w:hAnsi="Times New Roman"/>
          <w:sz w:val="24"/>
          <w:szCs w:val="24"/>
        </w:rPr>
        <w:t>t “</w:t>
      </w:r>
      <w:r>
        <w:rPr>
          <w:rFonts w:ascii="Times New Roman" w:hAnsi="Times New Roman"/>
          <w:sz w:val="24"/>
          <w:szCs w:val="24"/>
        </w:rPr>
        <w:t>provide significant servi</w:t>
      </w:r>
      <w:r w:rsidR="00612E98">
        <w:rPr>
          <w:rFonts w:ascii="Times New Roman" w:hAnsi="Times New Roman"/>
          <w:sz w:val="24"/>
          <w:szCs w:val="24"/>
        </w:rPr>
        <w:t>ces directly to the public”</w:t>
      </w:r>
      <w:r w:rsidR="00E44524">
        <w:rPr>
          <w:rFonts w:ascii="Times New Roman" w:hAnsi="Times New Roman"/>
          <w:sz w:val="24"/>
          <w:szCs w:val="24"/>
        </w:rPr>
        <w:t xml:space="preserve"> to “</w:t>
      </w:r>
      <w:r>
        <w:rPr>
          <w:rFonts w:ascii="Times New Roman" w:hAnsi="Times New Roman"/>
          <w:sz w:val="24"/>
          <w:szCs w:val="24"/>
        </w:rPr>
        <w:t>survey customers to determine the kind and quality of services they want and their level of satis</w:t>
      </w:r>
      <w:r w:rsidR="00E44524">
        <w:rPr>
          <w:rFonts w:ascii="Times New Roman" w:hAnsi="Times New Roman"/>
          <w:sz w:val="24"/>
          <w:szCs w:val="24"/>
        </w:rPr>
        <w:t>faction with existing services.”</w:t>
      </w:r>
    </w:p>
    <w:p w:rsidRPr="003932D7" w:rsidR="003932D7" w:rsidP="00333BE9" w:rsidRDefault="003932D7" w14:paraId="140CAC38" w14:textId="77777777">
      <w:pPr>
        <w:tabs>
          <w:tab w:val="left" w:pos="-720"/>
        </w:tabs>
        <w:rPr>
          <w:rFonts w:ascii="Times New Roman" w:hAnsi="Times New Roman"/>
          <w:sz w:val="24"/>
          <w:szCs w:val="24"/>
        </w:rPr>
      </w:pPr>
    </w:p>
    <w:p w:rsidRPr="003932D7" w:rsidR="003932D7" w:rsidP="00333BE9" w:rsidRDefault="003932D7" w14:paraId="4537A9A0" w14:textId="1438851C">
      <w:pPr>
        <w:tabs>
          <w:tab w:val="left" w:pos="-720"/>
        </w:tabs>
        <w:rPr>
          <w:rFonts w:ascii="Times New Roman" w:hAnsi="Times New Roman"/>
          <w:sz w:val="24"/>
          <w:szCs w:val="24"/>
        </w:rPr>
      </w:pPr>
      <w:r w:rsidRPr="003932D7">
        <w:rPr>
          <w:rFonts w:ascii="Times New Roman" w:hAnsi="Times New Roman"/>
          <w:sz w:val="24"/>
          <w:szCs w:val="24"/>
        </w:rPr>
        <w:t>DoT will obtain feedback from customers</w:t>
      </w:r>
      <w:r w:rsidR="004B765F">
        <w:rPr>
          <w:rFonts w:ascii="Times New Roman" w:hAnsi="Times New Roman"/>
          <w:sz w:val="24"/>
          <w:szCs w:val="24"/>
        </w:rPr>
        <w:t xml:space="preserve"> and</w:t>
      </w:r>
      <w:r w:rsidRPr="003932D7">
        <w:rPr>
          <w:rFonts w:ascii="Times New Roman" w:hAnsi="Times New Roman"/>
          <w:sz w:val="24"/>
          <w:szCs w:val="24"/>
        </w:rPr>
        <w:t xml:space="preserve"> potential customer</w:t>
      </w:r>
      <w:r w:rsidR="00EE3180">
        <w:rPr>
          <w:rFonts w:ascii="Times New Roman" w:hAnsi="Times New Roman"/>
          <w:sz w:val="24"/>
          <w:szCs w:val="24"/>
        </w:rPr>
        <w:t>s</w:t>
      </w:r>
      <w:r w:rsidR="004B765F">
        <w:rPr>
          <w:rFonts w:ascii="Times New Roman" w:hAnsi="Times New Roman"/>
          <w:sz w:val="24"/>
          <w:szCs w:val="24"/>
        </w:rPr>
        <w:t xml:space="preserve"> related to it</w:t>
      </w:r>
      <w:r w:rsidRPr="003932D7">
        <w:rPr>
          <w:rFonts w:ascii="Times New Roman" w:hAnsi="Times New Roman"/>
          <w:sz w:val="24"/>
          <w:szCs w:val="24"/>
        </w:rPr>
        <w:t>s outreach materials on organ donation and transplantation</w:t>
      </w:r>
      <w:r w:rsidR="004B765F">
        <w:rPr>
          <w:rFonts w:ascii="Times New Roman" w:hAnsi="Times New Roman"/>
          <w:sz w:val="24"/>
          <w:szCs w:val="24"/>
        </w:rPr>
        <w:t xml:space="preserve"> for minority audiences</w:t>
      </w:r>
      <w:r w:rsidRPr="003932D7">
        <w:rPr>
          <w:rFonts w:ascii="Times New Roman" w:hAnsi="Times New Roman"/>
          <w:sz w:val="24"/>
          <w:szCs w:val="24"/>
        </w:rPr>
        <w:t xml:space="preserve">. </w:t>
      </w:r>
      <w:r w:rsidR="00E44524">
        <w:rPr>
          <w:rFonts w:ascii="Times New Roman" w:hAnsi="Times New Roman"/>
          <w:sz w:val="24"/>
          <w:szCs w:val="24"/>
        </w:rPr>
        <w:t xml:space="preserve"> </w:t>
      </w:r>
      <w:r w:rsidRPr="003932D7">
        <w:rPr>
          <w:rFonts w:ascii="Times New Roman" w:hAnsi="Times New Roman"/>
          <w:sz w:val="24"/>
          <w:szCs w:val="24"/>
        </w:rPr>
        <w:t xml:space="preserve">These materials are a vital part of DoT’s mission to extend and enhance the lives of individuals with end-stage organ failure (Organ Donation and Recovery Improvement Act, 42 USC 201SEC 377A (a)). </w:t>
      </w:r>
      <w:r w:rsidR="00E44524">
        <w:rPr>
          <w:rFonts w:ascii="Times New Roman" w:hAnsi="Times New Roman"/>
          <w:sz w:val="24"/>
          <w:szCs w:val="24"/>
        </w:rPr>
        <w:t xml:space="preserve"> </w:t>
      </w:r>
    </w:p>
    <w:p w:rsidRPr="003932D7" w:rsidR="003932D7" w:rsidP="00333BE9" w:rsidRDefault="003932D7" w14:paraId="03732B55" w14:textId="77777777">
      <w:pPr>
        <w:tabs>
          <w:tab w:val="left" w:pos="-720"/>
        </w:tabs>
        <w:rPr>
          <w:rFonts w:ascii="Times New Roman" w:hAnsi="Times New Roman"/>
          <w:sz w:val="24"/>
          <w:szCs w:val="24"/>
        </w:rPr>
      </w:pPr>
    </w:p>
    <w:p w:rsidR="004B765F" w:rsidP="00333BE9" w:rsidRDefault="003932D7" w14:paraId="2B8CD1DD" w14:textId="69667BAD">
      <w:pPr>
        <w:tabs>
          <w:tab w:val="left" w:pos="-720"/>
        </w:tabs>
        <w:rPr>
          <w:rFonts w:ascii="Times New Roman" w:hAnsi="Times New Roman"/>
          <w:sz w:val="24"/>
          <w:szCs w:val="24"/>
        </w:rPr>
      </w:pPr>
      <w:r w:rsidRPr="003932D7">
        <w:rPr>
          <w:rFonts w:ascii="Times New Roman" w:hAnsi="Times New Roman"/>
          <w:sz w:val="24"/>
          <w:szCs w:val="24"/>
        </w:rPr>
        <w:t xml:space="preserve">This collection of information is necessary to enable the Agency to garner customer feedback in an efficient, timely manner, in accordance with our commitment to improving service delivery and increasing the number of donors. </w:t>
      </w:r>
      <w:r w:rsidR="00E44524">
        <w:rPr>
          <w:rFonts w:ascii="Times New Roman" w:hAnsi="Times New Roman"/>
          <w:sz w:val="24"/>
          <w:szCs w:val="24"/>
        </w:rPr>
        <w:t xml:space="preserve"> </w:t>
      </w:r>
      <w:r w:rsidR="00612E98">
        <w:rPr>
          <w:rFonts w:ascii="Times New Roman" w:hAnsi="Times New Roman"/>
          <w:sz w:val="24"/>
          <w:szCs w:val="24"/>
        </w:rPr>
        <w:t xml:space="preserve">Minority donors such as </w:t>
      </w:r>
      <w:r w:rsidRPr="004B765F" w:rsidR="004B765F">
        <w:rPr>
          <w:rFonts w:ascii="Times New Roman" w:hAnsi="Times New Roman"/>
          <w:sz w:val="24"/>
          <w:szCs w:val="24"/>
        </w:rPr>
        <w:t>African Americans; Asian, Native Hawaiian, or</w:t>
      </w:r>
      <w:r w:rsidR="00612E98">
        <w:rPr>
          <w:rFonts w:ascii="Times New Roman" w:hAnsi="Times New Roman"/>
          <w:sz w:val="24"/>
          <w:szCs w:val="24"/>
        </w:rPr>
        <w:t xml:space="preserve"> other Pacific Islanders</w:t>
      </w:r>
      <w:r w:rsidRPr="004B765F" w:rsidR="004B765F">
        <w:rPr>
          <w:rFonts w:ascii="Times New Roman" w:hAnsi="Times New Roman"/>
          <w:sz w:val="24"/>
          <w:szCs w:val="24"/>
        </w:rPr>
        <w:t>; Hispanics; and Americ</w:t>
      </w:r>
      <w:r w:rsidR="00612E98">
        <w:rPr>
          <w:rFonts w:ascii="Times New Roman" w:hAnsi="Times New Roman"/>
          <w:sz w:val="24"/>
          <w:szCs w:val="24"/>
        </w:rPr>
        <w:t>an Indians/Alaska Natives</w:t>
      </w:r>
      <w:r w:rsidR="004B765F">
        <w:rPr>
          <w:rFonts w:ascii="Times New Roman" w:hAnsi="Times New Roman"/>
          <w:sz w:val="24"/>
          <w:szCs w:val="24"/>
        </w:rPr>
        <w:t xml:space="preserve"> are particularly important to DoT’s outreach </w:t>
      </w:r>
      <w:r w:rsidR="00612E98">
        <w:rPr>
          <w:rFonts w:ascii="Times New Roman" w:hAnsi="Times New Roman"/>
          <w:sz w:val="24"/>
          <w:szCs w:val="24"/>
        </w:rPr>
        <w:t xml:space="preserve">efforts </w:t>
      </w:r>
      <w:r w:rsidR="004B765F">
        <w:rPr>
          <w:rFonts w:ascii="Times New Roman" w:hAnsi="Times New Roman"/>
          <w:sz w:val="24"/>
          <w:szCs w:val="24"/>
        </w:rPr>
        <w:t xml:space="preserve">because these </w:t>
      </w:r>
      <w:r w:rsidR="00296287">
        <w:rPr>
          <w:rFonts w:ascii="Times New Roman" w:hAnsi="Times New Roman"/>
          <w:sz w:val="24"/>
          <w:szCs w:val="24"/>
        </w:rPr>
        <w:t xml:space="preserve">populations </w:t>
      </w:r>
      <w:r w:rsidR="004B765F">
        <w:rPr>
          <w:rFonts w:ascii="Times New Roman" w:hAnsi="Times New Roman"/>
          <w:sz w:val="24"/>
          <w:szCs w:val="24"/>
        </w:rPr>
        <w:t xml:space="preserve">are over-represented </w:t>
      </w:r>
      <w:r w:rsidR="00FA2B84">
        <w:rPr>
          <w:rFonts w:ascii="Times New Roman" w:hAnsi="Times New Roman"/>
          <w:sz w:val="24"/>
          <w:szCs w:val="24"/>
        </w:rPr>
        <w:t xml:space="preserve">on organ recipient waiting lists. </w:t>
      </w:r>
      <w:r w:rsidR="00E44524">
        <w:rPr>
          <w:rFonts w:ascii="Times New Roman" w:hAnsi="Times New Roman"/>
          <w:sz w:val="24"/>
          <w:szCs w:val="24"/>
        </w:rPr>
        <w:t xml:space="preserve"> </w:t>
      </w:r>
      <w:r w:rsidR="00296287">
        <w:rPr>
          <w:rFonts w:ascii="Times New Roman" w:hAnsi="Times New Roman"/>
          <w:sz w:val="24"/>
          <w:szCs w:val="24"/>
        </w:rPr>
        <w:t>These m</w:t>
      </w:r>
      <w:r w:rsidR="00FA2B84">
        <w:rPr>
          <w:rFonts w:ascii="Times New Roman" w:hAnsi="Times New Roman"/>
          <w:sz w:val="24"/>
          <w:szCs w:val="24"/>
        </w:rPr>
        <w:t xml:space="preserve">inority </w:t>
      </w:r>
      <w:r w:rsidR="00296287">
        <w:rPr>
          <w:rFonts w:ascii="Times New Roman" w:hAnsi="Times New Roman"/>
          <w:sz w:val="24"/>
          <w:szCs w:val="24"/>
        </w:rPr>
        <w:t xml:space="preserve">groups </w:t>
      </w:r>
      <w:r w:rsidR="00FA2B84">
        <w:rPr>
          <w:rFonts w:ascii="Times New Roman" w:hAnsi="Times New Roman"/>
          <w:sz w:val="24"/>
          <w:szCs w:val="24"/>
        </w:rPr>
        <w:t xml:space="preserve">are </w:t>
      </w:r>
      <w:r w:rsidR="00332269">
        <w:rPr>
          <w:rFonts w:ascii="Times New Roman" w:hAnsi="Times New Roman"/>
          <w:sz w:val="24"/>
          <w:szCs w:val="24"/>
        </w:rPr>
        <w:t xml:space="preserve">also </w:t>
      </w:r>
      <w:r w:rsidR="00FA2B84">
        <w:rPr>
          <w:rFonts w:ascii="Times New Roman" w:hAnsi="Times New Roman"/>
          <w:sz w:val="24"/>
          <w:szCs w:val="24"/>
        </w:rPr>
        <w:t>more likely to suffer from health disparities that increase their chance</w:t>
      </w:r>
      <w:r w:rsidR="006840FA">
        <w:rPr>
          <w:rFonts w:ascii="Times New Roman" w:hAnsi="Times New Roman"/>
          <w:sz w:val="24"/>
          <w:szCs w:val="24"/>
        </w:rPr>
        <w:t>s</w:t>
      </w:r>
      <w:r w:rsidR="00FA2B84">
        <w:rPr>
          <w:rFonts w:ascii="Times New Roman" w:hAnsi="Times New Roman"/>
          <w:sz w:val="24"/>
          <w:szCs w:val="24"/>
        </w:rPr>
        <w:t xml:space="preserve"> of needing an organ transplant</w:t>
      </w:r>
      <w:r w:rsidR="004B765F">
        <w:rPr>
          <w:rFonts w:ascii="Times New Roman" w:hAnsi="Times New Roman"/>
          <w:sz w:val="24"/>
          <w:szCs w:val="24"/>
        </w:rPr>
        <w:t xml:space="preserve">. </w:t>
      </w:r>
      <w:r w:rsidR="00E44524">
        <w:rPr>
          <w:rFonts w:ascii="Times New Roman" w:hAnsi="Times New Roman"/>
          <w:sz w:val="24"/>
          <w:szCs w:val="24"/>
        </w:rPr>
        <w:t xml:space="preserve"> </w:t>
      </w:r>
      <w:r w:rsidR="00FA2B84">
        <w:rPr>
          <w:rFonts w:ascii="Times New Roman" w:hAnsi="Times New Roman"/>
          <w:sz w:val="24"/>
          <w:szCs w:val="24"/>
        </w:rPr>
        <w:t xml:space="preserve">Minority audiences have unique information needs </w:t>
      </w:r>
      <w:r w:rsidR="00296287">
        <w:rPr>
          <w:rFonts w:ascii="Times New Roman" w:hAnsi="Times New Roman"/>
          <w:sz w:val="24"/>
          <w:szCs w:val="24"/>
        </w:rPr>
        <w:t xml:space="preserve">along with established </w:t>
      </w:r>
      <w:r w:rsidR="00FA2B84">
        <w:rPr>
          <w:rFonts w:ascii="Times New Roman" w:hAnsi="Times New Roman"/>
          <w:sz w:val="24"/>
          <w:szCs w:val="24"/>
        </w:rPr>
        <w:t xml:space="preserve">barriers to organ donation that DoT needs to </w:t>
      </w:r>
      <w:r w:rsidR="00EE3180">
        <w:rPr>
          <w:rFonts w:ascii="Times New Roman" w:hAnsi="Times New Roman"/>
          <w:sz w:val="24"/>
          <w:szCs w:val="24"/>
        </w:rPr>
        <w:t xml:space="preserve">appropriately </w:t>
      </w:r>
      <w:r w:rsidR="00FA2B84">
        <w:rPr>
          <w:rFonts w:ascii="Times New Roman" w:hAnsi="Times New Roman"/>
          <w:sz w:val="24"/>
          <w:szCs w:val="24"/>
        </w:rPr>
        <w:t>address</w:t>
      </w:r>
      <w:r w:rsidR="00EE3180">
        <w:rPr>
          <w:rFonts w:ascii="Times New Roman" w:hAnsi="Times New Roman"/>
          <w:sz w:val="24"/>
          <w:szCs w:val="24"/>
        </w:rPr>
        <w:t xml:space="preserve"> in its communication materials and outreach efforts</w:t>
      </w:r>
      <w:r w:rsidR="00FA2B84">
        <w:rPr>
          <w:rFonts w:ascii="Times New Roman" w:hAnsi="Times New Roman"/>
          <w:sz w:val="24"/>
          <w:szCs w:val="24"/>
        </w:rPr>
        <w:t>.</w:t>
      </w:r>
    </w:p>
    <w:p w:rsidR="004B765F" w:rsidP="00333BE9" w:rsidRDefault="004B765F" w14:paraId="64BF6ACE" w14:textId="77777777">
      <w:pPr>
        <w:tabs>
          <w:tab w:val="left" w:pos="-720"/>
        </w:tabs>
        <w:rPr>
          <w:rFonts w:ascii="Times New Roman" w:hAnsi="Times New Roman"/>
          <w:sz w:val="24"/>
          <w:szCs w:val="24"/>
        </w:rPr>
      </w:pPr>
    </w:p>
    <w:p w:rsidR="003932D7" w:rsidP="00333BE9" w:rsidRDefault="003932D7" w14:paraId="24D46C6F" w14:textId="57AE43BE">
      <w:pPr>
        <w:tabs>
          <w:tab w:val="left" w:pos="-720"/>
        </w:tabs>
        <w:rPr>
          <w:rFonts w:ascii="Times New Roman" w:hAnsi="Times New Roman"/>
          <w:sz w:val="24"/>
          <w:szCs w:val="24"/>
        </w:rPr>
      </w:pPr>
      <w:r w:rsidRPr="003932D7">
        <w:rPr>
          <w:rFonts w:ascii="Times New Roman" w:hAnsi="Times New Roman"/>
          <w:sz w:val="24"/>
          <w:szCs w:val="24"/>
        </w:rPr>
        <w:t xml:space="preserve">The information collected will help ensure that users have an effective, efficient, and satisfying experience with DoT’s materials and programs. </w:t>
      </w:r>
      <w:r w:rsidR="00E44524">
        <w:rPr>
          <w:rFonts w:ascii="Times New Roman" w:hAnsi="Times New Roman"/>
          <w:sz w:val="24"/>
          <w:szCs w:val="24"/>
        </w:rPr>
        <w:t xml:space="preserve"> </w:t>
      </w:r>
      <w:r w:rsidRPr="003932D7">
        <w:rPr>
          <w:rFonts w:ascii="Times New Roman" w:hAnsi="Times New Roman"/>
          <w:sz w:val="24"/>
          <w:szCs w:val="24"/>
        </w:rPr>
        <w:t>These collections will allow for ongoing, collaborative</w:t>
      </w:r>
      <w:r w:rsidR="00E44524">
        <w:rPr>
          <w:rFonts w:ascii="Times New Roman" w:hAnsi="Times New Roman"/>
          <w:sz w:val="24"/>
          <w:szCs w:val="24"/>
        </w:rPr>
        <w:t>,</w:t>
      </w:r>
      <w:r w:rsidRPr="003932D7">
        <w:rPr>
          <w:rFonts w:ascii="Times New Roman" w:hAnsi="Times New Roman"/>
          <w:sz w:val="24"/>
          <w:szCs w:val="24"/>
        </w:rPr>
        <w:t xml:space="preserve"> and actionable communications between DoT and its customers</w:t>
      </w:r>
      <w:r w:rsidR="00FA2B84">
        <w:rPr>
          <w:rFonts w:ascii="Times New Roman" w:hAnsi="Times New Roman"/>
          <w:sz w:val="24"/>
          <w:szCs w:val="24"/>
        </w:rPr>
        <w:t>.</w:t>
      </w:r>
    </w:p>
    <w:p w:rsidR="001879E5" w:rsidP="00333BE9" w:rsidRDefault="001879E5" w14:paraId="0D6D0421" w14:textId="77777777">
      <w:pPr>
        <w:tabs>
          <w:tab w:val="left" w:pos="-720"/>
        </w:tabs>
        <w:rPr>
          <w:rFonts w:ascii="Times New Roman" w:hAnsi="Times New Roman"/>
          <w:sz w:val="24"/>
          <w:szCs w:val="24"/>
        </w:rPr>
      </w:pPr>
    </w:p>
    <w:p w:rsidR="001879E5" w:rsidP="00333BE9"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P="00333BE9" w:rsidRDefault="001879E5" w14:paraId="0D6D0423" w14:textId="1F3F80FA">
      <w:pPr>
        <w:tabs>
          <w:tab w:val="left" w:pos="-720"/>
          <w:tab w:val="left" w:pos="720"/>
          <w:tab w:val="right" w:pos="8648"/>
        </w:tabs>
        <w:rPr>
          <w:rFonts w:ascii="Times New Roman" w:hAnsi="Times New Roman"/>
          <w:sz w:val="24"/>
          <w:szCs w:val="24"/>
        </w:rPr>
      </w:pPr>
    </w:p>
    <w:p w:rsidRPr="003932D7" w:rsidR="008D5B86" w:rsidP="00333BE9" w:rsidRDefault="003932D7" w14:paraId="02335C0F" w14:textId="6A9B9EF3">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 xml:space="preserve">Improving agency programs requires ongoing </w:t>
      </w:r>
      <w:r w:rsidR="00C06246">
        <w:rPr>
          <w:rFonts w:ascii="Times New Roman" w:hAnsi="Times New Roman"/>
          <w:sz w:val="24"/>
          <w:szCs w:val="24"/>
        </w:rPr>
        <w:t xml:space="preserve">assessment of service delivery in the form of </w:t>
      </w:r>
      <w:r w:rsidRPr="003932D7">
        <w:rPr>
          <w:rFonts w:ascii="Times New Roman" w:hAnsi="Times New Roman"/>
          <w:sz w:val="24"/>
          <w:szCs w:val="24"/>
        </w:rPr>
        <w:t xml:space="preserve">systematic review of the operation of a program compared to a set of </w:t>
      </w:r>
      <w:r w:rsidR="00C06246">
        <w:rPr>
          <w:rFonts w:ascii="Times New Roman" w:hAnsi="Times New Roman"/>
          <w:sz w:val="24"/>
          <w:szCs w:val="24"/>
        </w:rPr>
        <w:t xml:space="preserve">explicit or implicit standards </w:t>
      </w:r>
      <w:r w:rsidRPr="003932D7">
        <w:rPr>
          <w:rFonts w:ascii="Times New Roman" w:hAnsi="Times New Roman"/>
          <w:sz w:val="24"/>
          <w:szCs w:val="24"/>
        </w:rPr>
        <w:t>as a means of contributing to the continuous improvement of the program.</w:t>
      </w:r>
      <w:r w:rsidR="00635536">
        <w:rPr>
          <w:rFonts w:ascii="Times New Roman" w:hAnsi="Times New Roman"/>
          <w:sz w:val="24"/>
          <w:szCs w:val="24"/>
        </w:rPr>
        <w:t xml:space="preserve"> </w:t>
      </w:r>
      <w:r w:rsidR="00333BE9">
        <w:rPr>
          <w:rFonts w:ascii="Times New Roman" w:hAnsi="Times New Roman"/>
          <w:sz w:val="24"/>
          <w:szCs w:val="24"/>
        </w:rPr>
        <w:t xml:space="preserve"> </w:t>
      </w:r>
      <w:r w:rsidRPr="003932D7">
        <w:rPr>
          <w:rFonts w:ascii="Times New Roman" w:hAnsi="Times New Roman"/>
          <w:sz w:val="24"/>
          <w:szCs w:val="24"/>
        </w:rPr>
        <w:t xml:space="preserve">As a vital part of its ongoing mission, DoT produces outreach and information materials on organ donation and transplantation for numerous audiences, including </w:t>
      </w:r>
      <w:r w:rsidR="00F12E62">
        <w:rPr>
          <w:rFonts w:ascii="Times New Roman" w:hAnsi="Times New Roman"/>
          <w:sz w:val="24"/>
          <w:szCs w:val="24"/>
        </w:rPr>
        <w:t>minority audiences</w:t>
      </w:r>
      <w:r w:rsidRPr="003932D7">
        <w:rPr>
          <w:rFonts w:ascii="Times New Roman" w:hAnsi="Times New Roman"/>
          <w:sz w:val="24"/>
          <w:szCs w:val="24"/>
        </w:rPr>
        <w:t xml:space="preserve">. </w:t>
      </w:r>
      <w:r w:rsidR="00333BE9">
        <w:rPr>
          <w:rFonts w:ascii="Times New Roman" w:hAnsi="Times New Roman"/>
          <w:sz w:val="24"/>
          <w:szCs w:val="24"/>
        </w:rPr>
        <w:t xml:space="preserve"> </w:t>
      </w:r>
      <w:r w:rsidRPr="003932D7">
        <w:rPr>
          <w:rFonts w:ascii="Times New Roman" w:hAnsi="Times New Roman"/>
          <w:sz w:val="24"/>
          <w:szCs w:val="24"/>
        </w:rPr>
        <w:t xml:space="preserve">These materials respond to and anticipate customer needs and requirements, including providing information about organ donation and </w:t>
      </w:r>
      <w:r w:rsidR="00DA470E">
        <w:rPr>
          <w:rFonts w:ascii="Times New Roman" w:hAnsi="Times New Roman"/>
          <w:sz w:val="24"/>
          <w:szCs w:val="24"/>
        </w:rPr>
        <w:t>instructions</w:t>
      </w:r>
      <w:r w:rsidRPr="003932D7">
        <w:rPr>
          <w:rFonts w:ascii="Times New Roman" w:hAnsi="Times New Roman"/>
          <w:sz w:val="24"/>
          <w:szCs w:val="24"/>
        </w:rPr>
        <w:t xml:space="preserve"> on how to register to become an organ donor.</w:t>
      </w:r>
      <w:r w:rsidR="00C06246">
        <w:rPr>
          <w:rFonts w:ascii="Times New Roman" w:hAnsi="Times New Roman"/>
          <w:sz w:val="24"/>
          <w:szCs w:val="24"/>
        </w:rPr>
        <w:t xml:space="preserve">  </w:t>
      </w:r>
      <w:r w:rsidRPr="008D5B86" w:rsidR="008D5B86">
        <w:rPr>
          <w:rFonts w:ascii="Times New Roman" w:hAnsi="Times New Roman"/>
          <w:sz w:val="24"/>
          <w:szCs w:val="24"/>
        </w:rPr>
        <w:t>HRSA will only use the information gathered for internal purposes</w:t>
      </w:r>
      <w:r w:rsidR="00296287">
        <w:rPr>
          <w:rFonts w:ascii="Times New Roman" w:hAnsi="Times New Roman"/>
          <w:sz w:val="24"/>
          <w:szCs w:val="24"/>
        </w:rPr>
        <w:t xml:space="preserve"> in an effort</w:t>
      </w:r>
      <w:r w:rsidRPr="008D5B86" w:rsidR="008D5B86">
        <w:rPr>
          <w:rFonts w:ascii="Times New Roman" w:hAnsi="Times New Roman"/>
          <w:sz w:val="24"/>
          <w:szCs w:val="24"/>
        </w:rPr>
        <w:t xml:space="preserve"> to </w:t>
      </w:r>
      <w:r w:rsidRPr="008D5B86" w:rsidR="00296287">
        <w:rPr>
          <w:rFonts w:ascii="Times New Roman" w:hAnsi="Times New Roman"/>
          <w:sz w:val="24"/>
          <w:szCs w:val="24"/>
        </w:rPr>
        <w:t>g</w:t>
      </w:r>
      <w:r w:rsidR="00296287">
        <w:rPr>
          <w:rFonts w:ascii="Times New Roman" w:hAnsi="Times New Roman"/>
          <w:sz w:val="24"/>
          <w:szCs w:val="24"/>
        </w:rPr>
        <w:t xml:space="preserve">ain </w:t>
      </w:r>
      <w:r w:rsidR="00C06246">
        <w:rPr>
          <w:rFonts w:ascii="Times New Roman" w:hAnsi="Times New Roman"/>
          <w:sz w:val="24"/>
          <w:szCs w:val="24"/>
        </w:rPr>
        <w:t>a better understanding of DoT outreach and information materials</w:t>
      </w:r>
      <w:r w:rsidRPr="008D5B86" w:rsidR="008D5B86">
        <w:rPr>
          <w:rFonts w:ascii="Times New Roman" w:hAnsi="Times New Roman"/>
          <w:sz w:val="24"/>
          <w:szCs w:val="24"/>
        </w:rPr>
        <w:t>.</w:t>
      </w:r>
    </w:p>
    <w:p w:rsidRPr="003932D7" w:rsidR="003932D7" w:rsidP="00333BE9" w:rsidRDefault="003932D7" w14:paraId="0F245B99" w14:textId="77777777">
      <w:pPr>
        <w:tabs>
          <w:tab w:val="left" w:pos="-720"/>
          <w:tab w:val="left" w:pos="720"/>
          <w:tab w:val="right" w:pos="8648"/>
        </w:tabs>
        <w:rPr>
          <w:rFonts w:ascii="Times New Roman" w:hAnsi="Times New Roman"/>
          <w:sz w:val="24"/>
          <w:szCs w:val="24"/>
        </w:rPr>
      </w:pPr>
    </w:p>
    <w:p w:rsidR="00EE3180" w:rsidP="00333BE9" w:rsidRDefault="003932D7" w14:paraId="41CBCDB5" w14:textId="02BEB00C">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 xml:space="preserve">DoT is seeking </w:t>
      </w:r>
      <w:r w:rsidR="00F12E62">
        <w:rPr>
          <w:rFonts w:ascii="Times New Roman" w:hAnsi="Times New Roman"/>
          <w:sz w:val="24"/>
          <w:szCs w:val="24"/>
        </w:rPr>
        <w:t xml:space="preserve">feedback on </w:t>
      </w:r>
      <w:r w:rsidR="00EE3180">
        <w:rPr>
          <w:rFonts w:ascii="Times New Roman" w:hAnsi="Times New Roman"/>
          <w:sz w:val="24"/>
          <w:szCs w:val="24"/>
        </w:rPr>
        <w:t xml:space="preserve">new </w:t>
      </w:r>
      <w:r w:rsidR="00F12E62">
        <w:rPr>
          <w:rFonts w:ascii="Times New Roman" w:hAnsi="Times New Roman"/>
          <w:sz w:val="24"/>
          <w:szCs w:val="24"/>
        </w:rPr>
        <w:t>materials specifically d</w:t>
      </w:r>
      <w:r w:rsidR="00333BE9">
        <w:rPr>
          <w:rFonts w:ascii="Times New Roman" w:hAnsi="Times New Roman"/>
          <w:sz w:val="24"/>
          <w:szCs w:val="24"/>
        </w:rPr>
        <w:t xml:space="preserve">esigned for minority audiences </w:t>
      </w:r>
      <w:r w:rsidR="00F12E62">
        <w:rPr>
          <w:rFonts w:ascii="Times New Roman" w:hAnsi="Times New Roman"/>
          <w:sz w:val="24"/>
          <w:szCs w:val="24"/>
        </w:rPr>
        <w:t xml:space="preserve">as well as to better understand the needs of </w:t>
      </w:r>
      <w:r w:rsidR="00296287">
        <w:rPr>
          <w:rFonts w:ascii="Times New Roman" w:hAnsi="Times New Roman"/>
          <w:sz w:val="24"/>
          <w:szCs w:val="24"/>
        </w:rPr>
        <w:t xml:space="preserve">minority </w:t>
      </w:r>
      <w:r w:rsidR="00F12E62">
        <w:rPr>
          <w:rFonts w:ascii="Times New Roman" w:hAnsi="Times New Roman"/>
          <w:sz w:val="24"/>
          <w:szCs w:val="24"/>
        </w:rPr>
        <w:t>customers who visit its website</w:t>
      </w:r>
      <w:r w:rsidRPr="003932D7">
        <w:rPr>
          <w:rFonts w:ascii="Times New Roman" w:hAnsi="Times New Roman"/>
          <w:sz w:val="24"/>
          <w:szCs w:val="24"/>
        </w:rPr>
        <w:t>.</w:t>
      </w:r>
      <w:r w:rsidR="00635536">
        <w:rPr>
          <w:rFonts w:ascii="Times New Roman" w:hAnsi="Times New Roman"/>
          <w:sz w:val="24"/>
          <w:szCs w:val="24"/>
        </w:rPr>
        <w:t xml:space="preserve"> </w:t>
      </w:r>
      <w:r w:rsidR="00333BE9">
        <w:rPr>
          <w:rFonts w:ascii="Times New Roman" w:hAnsi="Times New Roman"/>
          <w:sz w:val="24"/>
          <w:szCs w:val="24"/>
        </w:rPr>
        <w:t xml:space="preserve"> </w:t>
      </w:r>
      <w:r w:rsidR="00332269">
        <w:rPr>
          <w:rFonts w:ascii="Times New Roman" w:hAnsi="Times New Roman"/>
          <w:sz w:val="24"/>
          <w:szCs w:val="24"/>
        </w:rPr>
        <w:t>Two types of feedback are planned under this request:</w:t>
      </w:r>
    </w:p>
    <w:p w:rsidR="00333BE9" w:rsidP="00333BE9" w:rsidRDefault="00333BE9" w14:paraId="73F04FD2" w14:textId="77777777">
      <w:pPr>
        <w:tabs>
          <w:tab w:val="left" w:pos="-720"/>
          <w:tab w:val="left" w:pos="720"/>
          <w:tab w:val="right" w:pos="8648"/>
        </w:tabs>
        <w:rPr>
          <w:rFonts w:ascii="Times New Roman" w:hAnsi="Times New Roman"/>
          <w:sz w:val="24"/>
          <w:szCs w:val="24"/>
        </w:rPr>
      </w:pPr>
    </w:p>
    <w:p w:rsidRPr="006628FC" w:rsidR="006628FC" w:rsidP="00333BE9" w:rsidRDefault="00585D9A" w14:paraId="4E4E683E" w14:textId="6F2DC371">
      <w:pPr>
        <w:pStyle w:val="ListParagraph"/>
        <w:numPr>
          <w:ilvl w:val="0"/>
          <w:numId w:val="17"/>
        </w:numPr>
        <w:tabs>
          <w:tab w:val="left" w:pos="-720"/>
          <w:tab w:val="left" w:pos="720"/>
          <w:tab w:val="right" w:pos="8648"/>
        </w:tabs>
        <w:spacing w:after="0" w:line="240" w:lineRule="auto"/>
        <w:rPr>
          <w:rFonts w:ascii="Times New Roman" w:hAnsi="Times New Roman"/>
          <w:sz w:val="24"/>
          <w:szCs w:val="24"/>
        </w:rPr>
      </w:pPr>
      <w:r>
        <w:rPr>
          <w:rFonts w:ascii="Times New Roman" w:hAnsi="Times New Roman"/>
          <w:sz w:val="24"/>
          <w:szCs w:val="24"/>
        </w:rPr>
        <w:t>Online f</w:t>
      </w:r>
      <w:r w:rsidRPr="00EE3180" w:rsidR="00F12E62">
        <w:rPr>
          <w:rFonts w:ascii="Times New Roman" w:hAnsi="Times New Roman"/>
          <w:sz w:val="24"/>
          <w:szCs w:val="24"/>
        </w:rPr>
        <w:t>ocus group f</w:t>
      </w:r>
      <w:r w:rsidRPr="00EE3180" w:rsidR="003932D7">
        <w:rPr>
          <w:rFonts w:ascii="Times New Roman" w:hAnsi="Times New Roman"/>
          <w:sz w:val="24"/>
          <w:szCs w:val="24"/>
        </w:rPr>
        <w:t xml:space="preserve">eedback will include areas such as the appropriateness of </w:t>
      </w:r>
      <w:r w:rsidR="00332269">
        <w:rPr>
          <w:rFonts w:ascii="Times New Roman" w:hAnsi="Times New Roman"/>
          <w:sz w:val="24"/>
          <w:szCs w:val="24"/>
        </w:rPr>
        <w:t>outreach</w:t>
      </w:r>
      <w:r w:rsidRPr="00EE3180" w:rsidR="003932D7">
        <w:rPr>
          <w:rFonts w:ascii="Times New Roman" w:hAnsi="Times New Roman"/>
          <w:sz w:val="24"/>
          <w:szCs w:val="24"/>
        </w:rPr>
        <w:t xml:space="preserve"> materials</w:t>
      </w:r>
      <w:r w:rsidRPr="00EE3180" w:rsidR="00F12E62">
        <w:rPr>
          <w:rFonts w:ascii="Times New Roman" w:hAnsi="Times New Roman"/>
          <w:sz w:val="24"/>
          <w:szCs w:val="24"/>
        </w:rPr>
        <w:t xml:space="preserve"> </w:t>
      </w:r>
      <w:r w:rsidR="00332269">
        <w:rPr>
          <w:rFonts w:ascii="Times New Roman" w:hAnsi="Times New Roman"/>
          <w:sz w:val="24"/>
          <w:szCs w:val="24"/>
        </w:rPr>
        <w:t xml:space="preserve">for minority audiences </w:t>
      </w:r>
      <w:r w:rsidRPr="00EE3180" w:rsidR="00F12E62">
        <w:rPr>
          <w:rFonts w:ascii="Times New Roman" w:hAnsi="Times New Roman"/>
          <w:sz w:val="24"/>
          <w:szCs w:val="24"/>
        </w:rPr>
        <w:t>and</w:t>
      </w:r>
      <w:r w:rsidRPr="00EE3180" w:rsidR="003932D7">
        <w:rPr>
          <w:rFonts w:ascii="Times New Roman" w:hAnsi="Times New Roman"/>
          <w:sz w:val="24"/>
          <w:szCs w:val="24"/>
        </w:rPr>
        <w:t xml:space="preserve"> accuracy</w:t>
      </w:r>
      <w:r w:rsidR="00296287">
        <w:rPr>
          <w:rFonts w:ascii="Times New Roman" w:hAnsi="Times New Roman"/>
          <w:sz w:val="24"/>
          <w:szCs w:val="24"/>
        </w:rPr>
        <w:t xml:space="preserve"> of the information provided</w:t>
      </w:r>
      <w:r w:rsidRPr="00EE3180" w:rsidR="003932D7">
        <w:rPr>
          <w:rFonts w:ascii="Times New Roman" w:hAnsi="Times New Roman"/>
          <w:sz w:val="24"/>
          <w:szCs w:val="24"/>
        </w:rPr>
        <w:t>.</w:t>
      </w:r>
      <w:r w:rsidRPr="00EE3180" w:rsidR="00635536">
        <w:rPr>
          <w:rFonts w:ascii="Times New Roman" w:hAnsi="Times New Roman"/>
          <w:sz w:val="24"/>
          <w:szCs w:val="24"/>
        </w:rPr>
        <w:t xml:space="preserve"> </w:t>
      </w:r>
      <w:r w:rsidR="00C06246">
        <w:rPr>
          <w:rFonts w:ascii="Times New Roman" w:hAnsi="Times New Roman"/>
          <w:sz w:val="24"/>
          <w:szCs w:val="24"/>
        </w:rPr>
        <w:t xml:space="preserve"> </w:t>
      </w:r>
      <w:r w:rsidRPr="00EE3180" w:rsidR="003932D7">
        <w:rPr>
          <w:rFonts w:ascii="Times New Roman" w:hAnsi="Times New Roman"/>
          <w:sz w:val="24"/>
          <w:szCs w:val="24"/>
        </w:rPr>
        <w:t xml:space="preserve">Responses will be </w:t>
      </w:r>
      <w:r w:rsidRPr="00EE3180" w:rsidR="00F12E62">
        <w:rPr>
          <w:rFonts w:ascii="Times New Roman" w:hAnsi="Times New Roman"/>
          <w:sz w:val="24"/>
          <w:szCs w:val="24"/>
        </w:rPr>
        <w:t xml:space="preserve">used to finalize materials </w:t>
      </w:r>
      <w:r w:rsidR="00332269">
        <w:rPr>
          <w:rFonts w:ascii="Times New Roman" w:hAnsi="Times New Roman"/>
          <w:sz w:val="24"/>
          <w:szCs w:val="24"/>
        </w:rPr>
        <w:t>for dissemination</w:t>
      </w:r>
      <w:r w:rsidRPr="006628FC" w:rsidR="006628FC">
        <w:rPr>
          <w:rFonts w:ascii="Times New Roman" w:hAnsi="Times New Roman"/>
          <w:sz w:val="24"/>
          <w:szCs w:val="24"/>
        </w:rPr>
        <w:t xml:space="preserve">. </w:t>
      </w:r>
      <w:r w:rsidR="00C06246">
        <w:rPr>
          <w:rFonts w:ascii="Times New Roman" w:hAnsi="Times New Roman"/>
          <w:sz w:val="24"/>
          <w:szCs w:val="24"/>
        </w:rPr>
        <w:t xml:space="preserve"> </w:t>
      </w:r>
    </w:p>
    <w:p w:rsidR="006628FC" w:rsidP="00333BE9" w:rsidRDefault="00F12E62" w14:paraId="099D1BD1" w14:textId="21139022">
      <w:pPr>
        <w:pStyle w:val="ListParagraph"/>
        <w:numPr>
          <w:ilvl w:val="0"/>
          <w:numId w:val="17"/>
        </w:numPr>
        <w:tabs>
          <w:tab w:val="left" w:pos="-720"/>
          <w:tab w:val="left" w:pos="720"/>
          <w:tab w:val="right" w:pos="8648"/>
        </w:tabs>
        <w:spacing w:after="0" w:line="240" w:lineRule="auto"/>
        <w:rPr>
          <w:rFonts w:ascii="Times New Roman" w:hAnsi="Times New Roman"/>
          <w:sz w:val="24"/>
          <w:szCs w:val="24"/>
        </w:rPr>
      </w:pPr>
      <w:r w:rsidRPr="006628FC">
        <w:rPr>
          <w:rFonts w:ascii="Times New Roman" w:hAnsi="Times New Roman"/>
          <w:sz w:val="24"/>
          <w:szCs w:val="24"/>
        </w:rPr>
        <w:t xml:space="preserve">Online survey feedback will focus on satisfaction with the site as well </w:t>
      </w:r>
      <w:r w:rsidR="00332269">
        <w:rPr>
          <w:rFonts w:ascii="Times New Roman" w:hAnsi="Times New Roman"/>
          <w:sz w:val="24"/>
          <w:szCs w:val="24"/>
        </w:rPr>
        <w:t>to collect</w:t>
      </w:r>
      <w:r w:rsidRPr="006628FC" w:rsidR="006628FC">
        <w:rPr>
          <w:rFonts w:ascii="Times New Roman" w:hAnsi="Times New Roman"/>
          <w:sz w:val="24"/>
          <w:szCs w:val="24"/>
        </w:rPr>
        <w:t xml:space="preserve"> information from new registrants on why they decided to register and whether they have seen/heard anything recently on organ donation</w:t>
      </w:r>
      <w:r w:rsidR="00CC40FD">
        <w:rPr>
          <w:rFonts w:ascii="Times New Roman" w:hAnsi="Times New Roman"/>
          <w:sz w:val="24"/>
          <w:szCs w:val="24"/>
        </w:rPr>
        <w:t xml:space="preserve"> that influenced their decision</w:t>
      </w:r>
      <w:r w:rsidRPr="006628FC" w:rsidR="006628FC">
        <w:rPr>
          <w:rFonts w:ascii="Times New Roman" w:hAnsi="Times New Roman"/>
          <w:sz w:val="24"/>
          <w:szCs w:val="24"/>
        </w:rPr>
        <w:t xml:space="preserve">. </w:t>
      </w:r>
      <w:r w:rsidR="00E44524">
        <w:rPr>
          <w:rFonts w:ascii="Times New Roman" w:hAnsi="Times New Roman"/>
          <w:sz w:val="24"/>
          <w:szCs w:val="24"/>
        </w:rPr>
        <w:t xml:space="preserve"> </w:t>
      </w:r>
      <w:r w:rsidRPr="006628FC" w:rsidR="006628FC">
        <w:rPr>
          <w:rFonts w:ascii="Times New Roman" w:hAnsi="Times New Roman"/>
          <w:sz w:val="24"/>
          <w:szCs w:val="24"/>
        </w:rPr>
        <w:t xml:space="preserve">These data will help to inform future </w:t>
      </w:r>
      <w:r w:rsidR="00332269">
        <w:rPr>
          <w:rFonts w:ascii="Times New Roman" w:hAnsi="Times New Roman"/>
          <w:sz w:val="24"/>
          <w:szCs w:val="24"/>
        </w:rPr>
        <w:t xml:space="preserve">outreach </w:t>
      </w:r>
      <w:r w:rsidRPr="006628FC" w:rsidR="006628FC">
        <w:rPr>
          <w:rFonts w:ascii="Times New Roman" w:hAnsi="Times New Roman"/>
          <w:sz w:val="24"/>
          <w:szCs w:val="24"/>
        </w:rPr>
        <w:t>campaigns, as well as to provide information to evaluate the success of existing efforts to reach prospective donors</w:t>
      </w:r>
      <w:r w:rsidRPr="006628FC" w:rsidR="00EE3180">
        <w:rPr>
          <w:rFonts w:ascii="Times New Roman" w:hAnsi="Times New Roman"/>
          <w:sz w:val="24"/>
          <w:szCs w:val="24"/>
        </w:rPr>
        <w:t>.</w:t>
      </w:r>
      <w:r w:rsidRPr="006628FC" w:rsidR="006628FC">
        <w:rPr>
          <w:rFonts w:ascii="Times New Roman" w:hAnsi="Times New Roman"/>
          <w:sz w:val="24"/>
          <w:szCs w:val="24"/>
        </w:rPr>
        <w:t xml:space="preserve"> </w:t>
      </w:r>
    </w:p>
    <w:p w:rsidR="006628FC" w:rsidP="00333BE9" w:rsidRDefault="006628FC" w14:paraId="2ED6F678" w14:textId="77777777">
      <w:pPr>
        <w:pStyle w:val="ListParagraph"/>
        <w:tabs>
          <w:tab w:val="left" w:pos="-720"/>
          <w:tab w:val="left" w:pos="720"/>
          <w:tab w:val="right" w:pos="8648"/>
        </w:tabs>
        <w:spacing w:after="0" w:line="240" w:lineRule="auto"/>
        <w:rPr>
          <w:rFonts w:ascii="Times New Roman" w:hAnsi="Times New Roman"/>
          <w:sz w:val="24"/>
          <w:szCs w:val="24"/>
        </w:rPr>
      </w:pPr>
    </w:p>
    <w:p w:rsidRPr="006628FC" w:rsidR="003932D7" w:rsidP="00333BE9" w:rsidRDefault="00F12E62" w14:paraId="00DABA1A" w14:textId="6B40C51E">
      <w:pPr>
        <w:tabs>
          <w:tab w:val="left" w:pos="-720"/>
          <w:tab w:val="left" w:pos="720"/>
          <w:tab w:val="right" w:pos="8648"/>
        </w:tabs>
        <w:rPr>
          <w:rFonts w:ascii="Times New Roman" w:hAnsi="Times New Roman"/>
          <w:sz w:val="24"/>
          <w:szCs w:val="24"/>
        </w:rPr>
      </w:pPr>
      <w:r w:rsidRPr="006628FC">
        <w:rPr>
          <w:rFonts w:ascii="Times New Roman" w:hAnsi="Times New Roman"/>
          <w:sz w:val="24"/>
          <w:szCs w:val="24"/>
        </w:rPr>
        <w:t>If this information is not collected, vital feedback from customers will be unavailable, and DoT may develop and distribute materials that are confusing</w:t>
      </w:r>
      <w:r w:rsidRPr="006628FC" w:rsidR="00EE3180">
        <w:rPr>
          <w:rFonts w:ascii="Times New Roman" w:hAnsi="Times New Roman"/>
          <w:sz w:val="24"/>
          <w:szCs w:val="24"/>
        </w:rPr>
        <w:t xml:space="preserve"> or </w:t>
      </w:r>
      <w:r w:rsidRPr="006628FC">
        <w:rPr>
          <w:rFonts w:ascii="Times New Roman" w:hAnsi="Times New Roman"/>
          <w:sz w:val="24"/>
          <w:szCs w:val="24"/>
        </w:rPr>
        <w:t>not motivating.</w:t>
      </w:r>
    </w:p>
    <w:p w:rsidRPr="003932D7" w:rsidR="003932D7" w:rsidP="00333BE9" w:rsidRDefault="003932D7" w14:paraId="62222FCA" w14:textId="77777777">
      <w:pPr>
        <w:tabs>
          <w:tab w:val="left" w:pos="-720"/>
          <w:tab w:val="left" w:pos="720"/>
          <w:tab w:val="right" w:pos="8648"/>
        </w:tabs>
        <w:rPr>
          <w:rFonts w:ascii="Times New Roman" w:hAnsi="Times New Roman"/>
          <w:sz w:val="24"/>
          <w:szCs w:val="24"/>
        </w:rPr>
      </w:pPr>
    </w:p>
    <w:p w:rsidRPr="003932D7" w:rsidR="003932D7" w:rsidP="00333BE9" w:rsidRDefault="003932D7" w14:paraId="54904900" w14:textId="49AFA6DC">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The collection of this information will be qualitative, voluntary</w:t>
      </w:r>
      <w:r w:rsidR="001B0752">
        <w:rPr>
          <w:rFonts w:ascii="Times New Roman" w:hAnsi="Times New Roman"/>
          <w:sz w:val="24"/>
          <w:szCs w:val="24"/>
        </w:rPr>
        <w:t>,</w:t>
      </w:r>
      <w:r w:rsidRPr="003932D7">
        <w:rPr>
          <w:rFonts w:ascii="Times New Roman" w:hAnsi="Times New Roman"/>
          <w:sz w:val="24"/>
          <w:szCs w:val="24"/>
        </w:rPr>
        <w:t xml:space="preserve"> and non-controversial.</w:t>
      </w:r>
      <w:r w:rsidR="00635536">
        <w:rPr>
          <w:rFonts w:ascii="Times New Roman" w:hAnsi="Times New Roman"/>
          <w:sz w:val="24"/>
          <w:szCs w:val="24"/>
        </w:rPr>
        <w:t xml:space="preserve"> </w:t>
      </w:r>
      <w:r w:rsidR="001B0752">
        <w:rPr>
          <w:rFonts w:ascii="Times New Roman" w:hAnsi="Times New Roman"/>
          <w:sz w:val="24"/>
          <w:szCs w:val="24"/>
        </w:rPr>
        <w:t xml:space="preserve"> </w:t>
      </w:r>
      <w:r w:rsidRPr="003932D7">
        <w:rPr>
          <w:rFonts w:ascii="Times New Roman" w:hAnsi="Times New Roman"/>
          <w:sz w:val="24"/>
          <w:szCs w:val="24"/>
        </w:rPr>
        <w:t xml:space="preserve">Collection will be targeted to the opinions of </w:t>
      </w:r>
      <w:r w:rsidRPr="003932D7" w:rsidR="00296287">
        <w:rPr>
          <w:rFonts w:ascii="Times New Roman" w:hAnsi="Times New Roman"/>
          <w:sz w:val="24"/>
          <w:szCs w:val="24"/>
        </w:rPr>
        <w:t>c</w:t>
      </w:r>
      <w:r w:rsidR="00296287">
        <w:rPr>
          <w:rFonts w:ascii="Times New Roman" w:hAnsi="Times New Roman"/>
          <w:sz w:val="24"/>
          <w:szCs w:val="24"/>
        </w:rPr>
        <w:t>usto</w:t>
      </w:r>
      <w:r w:rsidRPr="003932D7" w:rsidR="00296287">
        <w:rPr>
          <w:rFonts w:ascii="Times New Roman" w:hAnsi="Times New Roman"/>
          <w:sz w:val="24"/>
          <w:szCs w:val="24"/>
        </w:rPr>
        <w:t xml:space="preserve">mers </w:t>
      </w:r>
      <w:r w:rsidRPr="003932D7">
        <w:rPr>
          <w:rFonts w:ascii="Times New Roman" w:hAnsi="Times New Roman"/>
          <w:sz w:val="24"/>
          <w:szCs w:val="24"/>
        </w:rPr>
        <w:t>who support organ donation and would consider registering as donors but have not yet done so</w:t>
      </w:r>
      <w:r w:rsidR="00F12E62">
        <w:rPr>
          <w:rFonts w:ascii="Times New Roman" w:hAnsi="Times New Roman"/>
          <w:sz w:val="24"/>
          <w:szCs w:val="24"/>
        </w:rPr>
        <w:t xml:space="preserve">, as well as to website </w:t>
      </w:r>
      <w:r w:rsidR="00332269">
        <w:rPr>
          <w:rFonts w:ascii="Times New Roman" w:hAnsi="Times New Roman"/>
          <w:sz w:val="24"/>
          <w:szCs w:val="24"/>
        </w:rPr>
        <w:t xml:space="preserve">visitors </w:t>
      </w:r>
      <w:r w:rsidR="00F12E62">
        <w:rPr>
          <w:rFonts w:ascii="Times New Roman" w:hAnsi="Times New Roman"/>
          <w:sz w:val="24"/>
          <w:szCs w:val="24"/>
        </w:rPr>
        <w:t xml:space="preserve">who </w:t>
      </w:r>
      <w:r w:rsidR="00EE3180">
        <w:rPr>
          <w:rFonts w:ascii="Times New Roman" w:hAnsi="Times New Roman"/>
          <w:sz w:val="24"/>
          <w:szCs w:val="24"/>
        </w:rPr>
        <w:t>indicate a desire</w:t>
      </w:r>
      <w:r w:rsidR="00F12E62">
        <w:rPr>
          <w:rFonts w:ascii="Times New Roman" w:hAnsi="Times New Roman"/>
          <w:sz w:val="24"/>
          <w:szCs w:val="24"/>
        </w:rPr>
        <w:t xml:space="preserve"> to register as donors</w:t>
      </w:r>
      <w:r w:rsidRPr="003932D7">
        <w:rPr>
          <w:rFonts w:ascii="Times New Roman" w:hAnsi="Times New Roman"/>
          <w:sz w:val="24"/>
          <w:szCs w:val="24"/>
        </w:rPr>
        <w:t xml:space="preserve">. </w:t>
      </w:r>
      <w:r w:rsidR="001B0752">
        <w:rPr>
          <w:rFonts w:ascii="Times New Roman" w:hAnsi="Times New Roman"/>
          <w:sz w:val="24"/>
          <w:szCs w:val="24"/>
        </w:rPr>
        <w:t xml:space="preserve"> </w:t>
      </w:r>
    </w:p>
    <w:p w:rsidRPr="003932D7" w:rsidR="003932D7" w:rsidP="00333BE9" w:rsidRDefault="003932D7" w14:paraId="3E4D6A87" w14:textId="77777777">
      <w:pPr>
        <w:tabs>
          <w:tab w:val="left" w:pos="-720"/>
          <w:tab w:val="left" w:pos="720"/>
          <w:tab w:val="right" w:pos="8648"/>
        </w:tabs>
        <w:rPr>
          <w:rFonts w:ascii="Times New Roman" w:hAnsi="Times New Roman"/>
          <w:sz w:val="24"/>
          <w:szCs w:val="24"/>
        </w:rPr>
      </w:pPr>
    </w:p>
    <w:p w:rsidRPr="003932D7" w:rsidR="003932D7" w:rsidP="00333BE9" w:rsidRDefault="003932D7" w14:paraId="3AFC9B9A" w14:textId="77777777">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DoT is requesting generic clearance to conduct:</w:t>
      </w:r>
    </w:p>
    <w:p w:rsidR="003932D7" w:rsidP="00333BE9" w:rsidRDefault="006C40E5" w14:paraId="417DED6E" w14:textId="69F6E9EA">
      <w:pPr>
        <w:pStyle w:val="ListParagraph"/>
        <w:numPr>
          <w:ilvl w:val="0"/>
          <w:numId w:val="16"/>
        </w:numPr>
        <w:tabs>
          <w:tab w:val="left" w:pos="-720"/>
          <w:tab w:val="left" w:pos="720"/>
          <w:tab w:val="right" w:pos="8648"/>
        </w:tabs>
        <w:spacing w:after="0" w:line="240" w:lineRule="auto"/>
        <w:rPr>
          <w:rFonts w:ascii="Times New Roman" w:hAnsi="Times New Roman"/>
          <w:sz w:val="24"/>
          <w:szCs w:val="24"/>
        </w:rPr>
      </w:pPr>
      <w:r w:rsidRPr="006C40E5">
        <w:rPr>
          <w:rFonts w:ascii="Times New Roman" w:hAnsi="Times New Roman"/>
          <w:sz w:val="24"/>
          <w:szCs w:val="24"/>
        </w:rPr>
        <w:t>Sixteen online</w:t>
      </w:r>
      <w:r w:rsidRPr="006C40E5" w:rsidR="00332269">
        <w:rPr>
          <w:rFonts w:ascii="Times New Roman" w:hAnsi="Times New Roman"/>
          <w:sz w:val="24"/>
          <w:szCs w:val="24"/>
        </w:rPr>
        <w:t xml:space="preserve"> f</w:t>
      </w:r>
      <w:r w:rsidRPr="006C40E5" w:rsidR="003932D7">
        <w:rPr>
          <w:rFonts w:ascii="Times New Roman" w:hAnsi="Times New Roman"/>
          <w:sz w:val="24"/>
          <w:szCs w:val="24"/>
        </w:rPr>
        <w:t>ocus groups</w:t>
      </w:r>
      <w:r w:rsidRPr="003932D7" w:rsidR="003932D7">
        <w:rPr>
          <w:rFonts w:ascii="Times New Roman" w:hAnsi="Times New Roman"/>
          <w:sz w:val="24"/>
          <w:szCs w:val="24"/>
        </w:rPr>
        <w:t xml:space="preserve"> of customers</w:t>
      </w:r>
      <w:r w:rsidR="00445915">
        <w:rPr>
          <w:rFonts w:ascii="Times New Roman" w:hAnsi="Times New Roman"/>
          <w:sz w:val="24"/>
          <w:szCs w:val="24"/>
        </w:rPr>
        <w:t xml:space="preserve"> and </w:t>
      </w:r>
      <w:r w:rsidRPr="003932D7" w:rsidR="003932D7">
        <w:rPr>
          <w:rFonts w:ascii="Times New Roman" w:hAnsi="Times New Roman"/>
          <w:sz w:val="24"/>
          <w:szCs w:val="24"/>
        </w:rPr>
        <w:t>potential customers</w:t>
      </w:r>
      <w:r w:rsidR="00670A3F">
        <w:rPr>
          <w:rFonts w:ascii="Times New Roman" w:hAnsi="Times New Roman"/>
          <w:sz w:val="24"/>
          <w:szCs w:val="24"/>
        </w:rPr>
        <w:t xml:space="preserve"> </w:t>
      </w:r>
      <w:r w:rsidR="00EE3180">
        <w:rPr>
          <w:rFonts w:ascii="Times New Roman" w:hAnsi="Times New Roman"/>
          <w:sz w:val="24"/>
          <w:szCs w:val="24"/>
        </w:rPr>
        <w:t>with a focus on minority audiences</w:t>
      </w:r>
      <w:r w:rsidR="006628FC">
        <w:rPr>
          <w:rFonts w:ascii="Times New Roman" w:hAnsi="Times New Roman"/>
          <w:sz w:val="24"/>
          <w:szCs w:val="24"/>
        </w:rPr>
        <w:t>.</w:t>
      </w:r>
    </w:p>
    <w:p w:rsidRPr="00445915" w:rsidR="003932D7" w:rsidP="00333BE9" w:rsidRDefault="00EE3180" w14:paraId="170A7ACB" w14:textId="13268452">
      <w:pPr>
        <w:pStyle w:val="ListParagraph"/>
        <w:numPr>
          <w:ilvl w:val="0"/>
          <w:numId w:val="16"/>
        </w:numPr>
        <w:tabs>
          <w:tab w:val="left" w:pos="-720"/>
          <w:tab w:val="left" w:pos="720"/>
          <w:tab w:val="right" w:pos="8648"/>
        </w:tabs>
        <w:spacing w:after="0" w:line="240" w:lineRule="auto"/>
        <w:rPr>
          <w:rFonts w:ascii="Times New Roman" w:hAnsi="Times New Roman"/>
          <w:sz w:val="24"/>
          <w:szCs w:val="24"/>
        </w:rPr>
      </w:pPr>
      <w:r>
        <w:rPr>
          <w:rFonts w:ascii="Times New Roman" w:hAnsi="Times New Roman"/>
          <w:sz w:val="24"/>
          <w:szCs w:val="24"/>
        </w:rPr>
        <w:t>An o</w:t>
      </w:r>
      <w:r w:rsidRPr="00445915" w:rsidR="00445915">
        <w:rPr>
          <w:rFonts w:ascii="Times New Roman" w:hAnsi="Times New Roman"/>
          <w:sz w:val="24"/>
          <w:szCs w:val="24"/>
        </w:rPr>
        <w:t xml:space="preserve">nline survey with website visitors who </w:t>
      </w:r>
      <w:r>
        <w:rPr>
          <w:rFonts w:ascii="Times New Roman" w:hAnsi="Times New Roman"/>
          <w:sz w:val="24"/>
          <w:szCs w:val="24"/>
        </w:rPr>
        <w:t xml:space="preserve">indicate that they intend to </w:t>
      </w:r>
      <w:r w:rsidRPr="00445915" w:rsidR="00445915">
        <w:rPr>
          <w:rFonts w:ascii="Times New Roman" w:hAnsi="Times New Roman"/>
          <w:sz w:val="24"/>
          <w:szCs w:val="24"/>
        </w:rPr>
        <w:t>register as organ donors</w:t>
      </w:r>
      <w:r w:rsidR="006628FC">
        <w:rPr>
          <w:rFonts w:ascii="Times New Roman" w:hAnsi="Times New Roman"/>
          <w:sz w:val="24"/>
          <w:szCs w:val="24"/>
        </w:rPr>
        <w:t>.</w:t>
      </w:r>
    </w:p>
    <w:p w:rsidR="003932D7" w:rsidP="00333BE9" w:rsidRDefault="003932D7" w14:paraId="6243B3F6" w14:textId="5517D626">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These qualitative research approaches will provide DoT with the information it needs to improve its materials and service delivery.</w:t>
      </w:r>
      <w:r w:rsidR="00635536">
        <w:rPr>
          <w:rFonts w:ascii="Times New Roman" w:hAnsi="Times New Roman"/>
          <w:sz w:val="24"/>
          <w:szCs w:val="24"/>
        </w:rPr>
        <w:t xml:space="preserve"> </w:t>
      </w:r>
    </w:p>
    <w:p w:rsidR="001879E5" w:rsidP="00333BE9" w:rsidRDefault="001879E5" w14:paraId="0D6D0428" w14:textId="77777777">
      <w:pPr>
        <w:tabs>
          <w:tab w:val="left" w:pos="720"/>
        </w:tabs>
        <w:rPr>
          <w:rFonts w:ascii="Times New Roman" w:hAnsi="Times New Roman"/>
          <w:sz w:val="24"/>
          <w:szCs w:val="24"/>
        </w:rPr>
      </w:pPr>
    </w:p>
    <w:p w:rsidR="001879E5" w:rsidP="00333BE9"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P="00333BE9" w:rsidRDefault="001879E5" w14:paraId="0D6D042A" w14:textId="77777777">
      <w:pPr>
        <w:tabs>
          <w:tab w:val="left" w:pos="-720"/>
          <w:tab w:val="left" w:pos="720"/>
          <w:tab w:val="right" w:pos="8648"/>
        </w:tabs>
        <w:rPr>
          <w:rFonts w:ascii="Times New Roman" w:hAnsi="Times New Roman"/>
          <w:sz w:val="24"/>
          <w:szCs w:val="24"/>
        </w:rPr>
      </w:pPr>
    </w:p>
    <w:p w:rsidR="00F94100" w:rsidP="00333BE9" w:rsidRDefault="00F94100" w14:paraId="0482269D" w14:textId="72A11378">
      <w:pPr>
        <w:rPr>
          <w:rFonts w:ascii="Times New Roman" w:hAnsi="Times New Roman"/>
          <w:sz w:val="24"/>
          <w:szCs w:val="24"/>
        </w:rPr>
      </w:pPr>
      <w:r w:rsidRPr="00FC4270">
        <w:rPr>
          <w:rFonts w:ascii="Times New Roman" w:hAnsi="Times New Roman"/>
          <w:sz w:val="24"/>
          <w:szCs w:val="24"/>
        </w:rPr>
        <w:t xml:space="preserve">The focus groups will be conducted </w:t>
      </w:r>
      <w:r w:rsidR="00585D9A">
        <w:rPr>
          <w:rFonts w:ascii="Times New Roman" w:hAnsi="Times New Roman"/>
          <w:sz w:val="24"/>
          <w:szCs w:val="24"/>
        </w:rPr>
        <w:t>online</w:t>
      </w:r>
      <w:r w:rsidRPr="00FC4270">
        <w:rPr>
          <w:rFonts w:ascii="Times New Roman" w:hAnsi="Times New Roman"/>
          <w:sz w:val="24"/>
          <w:szCs w:val="24"/>
        </w:rPr>
        <w:t xml:space="preserve">, which is </w:t>
      </w:r>
      <w:r w:rsidR="00585D9A">
        <w:rPr>
          <w:rFonts w:ascii="Times New Roman" w:hAnsi="Times New Roman"/>
          <w:sz w:val="24"/>
          <w:szCs w:val="24"/>
        </w:rPr>
        <w:t>an effective</w:t>
      </w:r>
      <w:r w:rsidRPr="00FC4270">
        <w:rPr>
          <w:rFonts w:ascii="Times New Roman" w:hAnsi="Times New Roman"/>
          <w:sz w:val="24"/>
          <w:szCs w:val="24"/>
        </w:rPr>
        <w:t xml:space="preserve"> </w:t>
      </w:r>
      <w:r w:rsidR="00585D9A">
        <w:rPr>
          <w:rFonts w:ascii="Times New Roman" w:hAnsi="Times New Roman"/>
          <w:sz w:val="24"/>
          <w:szCs w:val="24"/>
        </w:rPr>
        <w:t xml:space="preserve">methodology </w:t>
      </w:r>
      <w:r w:rsidRPr="00FC4270">
        <w:rPr>
          <w:rFonts w:ascii="Times New Roman" w:hAnsi="Times New Roman"/>
          <w:sz w:val="24"/>
          <w:szCs w:val="24"/>
        </w:rPr>
        <w:t>to obtain feedback from respondents</w:t>
      </w:r>
      <w:r w:rsidR="00585D9A">
        <w:rPr>
          <w:rFonts w:ascii="Times New Roman" w:hAnsi="Times New Roman"/>
          <w:sz w:val="24"/>
          <w:szCs w:val="24"/>
        </w:rPr>
        <w:t xml:space="preserve"> and to reduce overall burden and project costs</w:t>
      </w:r>
      <w:r w:rsidR="007A3EC7">
        <w:rPr>
          <w:rFonts w:ascii="Times New Roman" w:hAnsi="Times New Roman"/>
          <w:sz w:val="24"/>
          <w:szCs w:val="24"/>
        </w:rPr>
        <w:t xml:space="preserve">. </w:t>
      </w:r>
      <w:r w:rsidR="00670A3F">
        <w:rPr>
          <w:rFonts w:ascii="Times New Roman" w:hAnsi="Times New Roman"/>
          <w:sz w:val="24"/>
          <w:szCs w:val="24"/>
        </w:rPr>
        <w:t xml:space="preserve"> </w:t>
      </w:r>
      <w:r w:rsidR="00585D9A">
        <w:rPr>
          <w:rFonts w:ascii="Times New Roman" w:hAnsi="Times New Roman"/>
          <w:sz w:val="24"/>
          <w:szCs w:val="24"/>
        </w:rPr>
        <w:t>Online</w:t>
      </w:r>
      <w:r w:rsidR="007A3EC7">
        <w:rPr>
          <w:rFonts w:ascii="Times New Roman" w:hAnsi="Times New Roman"/>
          <w:sz w:val="24"/>
          <w:szCs w:val="24"/>
        </w:rPr>
        <w:t xml:space="preserve"> sessions </w:t>
      </w:r>
      <w:r w:rsidR="00445915">
        <w:rPr>
          <w:rFonts w:ascii="Times New Roman" w:hAnsi="Times New Roman"/>
          <w:sz w:val="24"/>
          <w:szCs w:val="24"/>
        </w:rPr>
        <w:t xml:space="preserve">will allow for </w:t>
      </w:r>
      <w:r w:rsidR="007A3EC7">
        <w:rPr>
          <w:rFonts w:ascii="Times New Roman" w:hAnsi="Times New Roman"/>
          <w:sz w:val="24"/>
          <w:szCs w:val="24"/>
        </w:rPr>
        <w:t>in-depth</w:t>
      </w:r>
      <w:r w:rsidR="00445915">
        <w:rPr>
          <w:rFonts w:ascii="Times New Roman" w:hAnsi="Times New Roman"/>
          <w:sz w:val="24"/>
          <w:szCs w:val="24"/>
        </w:rPr>
        <w:t xml:space="preserve"> exploration of themes and reactions to materials</w:t>
      </w:r>
      <w:r w:rsidRPr="00FC4270">
        <w:rPr>
          <w:rFonts w:ascii="Times New Roman" w:hAnsi="Times New Roman"/>
          <w:sz w:val="24"/>
          <w:szCs w:val="24"/>
        </w:rPr>
        <w:t>.</w:t>
      </w:r>
      <w:r w:rsidR="00635536">
        <w:rPr>
          <w:rFonts w:ascii="Times New Roman" w:hAnsi="Times New Roman"/>
          <w:sz w:val="24"/>
          <w:szCs w:val="24"/>
        </w:rPr>
        <w:t xml:space="preserve"> </w:t>
      </w:r>
      <w:r w:rsidR="00670A3F">
        <w:rPr>
          <w:rFonts w:ascii="Times New Roman" w:hAnsi="Times New Roman"/>
          <w:sz w:val="24"/>
          <w:szCs w:val="24"/>
        </w:rPr>
        <w:t xml:space="preserve"> </w:t>
      </w:r>
      <w:r w:rsidRPr="00FC4270">
        <w:rPr>
          <w:rFonts w:ascii="Times New Roman" w:hAnsi="Times New Roman"/>
          <w:sz w:val="24"/>
          <w:szCs w:val="24"/>
        </w:rPr>
        <w:t xml:space="preserve">We have limited the </w:t>
      </w:r>
      <w:r w:rsidR="007A3EC7">
        <w:rPr>
          <w:rFonts w:ascii="Times New Roman" w:hAnsi="Times New Roman"/>
          <w:sz w:val="24"/>
          <w:szCs w:val="24"/>
        </w:rPr>
        <w:t>number of sessions</w:t>
      </w:r>
      <w:r w:rsidRPr="00FC4270">
        <w:rPr>
          <w:rFonts w:ascii="Times New Roman" w:hAnsi="Times New Roman"/>
          <w:sz w:val="24"/>
          <w:szCs w:val="24"/>
        </w:rPr>
        <w:t xml:space="preserve"> to reduce the overall burden</w:t>
      </w:r>
      <w:r w:rsidR="00332269">
        <w:rPr>
          <w:rFonts w:ascii="Times New Roman" w:hAnsi="Times New Roman"/>
          <w:sz w:val="24"/>
          <w:szCs w:val="24"/>
        </w:rPr>
        <w:t>, while ensuring we speak to a sufficient number of individuals to represent each audience</w:t>
      </w:r>
      <w:r w:rsidRPr="00FC4270">
        <w:rPr>
          <w:rFonts w:ascii="Times New Roman" w:hAnsi="Times New Roman"/>
          <w:sz w:val="24"/>
          <w:szCs w:val="24"/>
        </w:rPr>
        <w:t>.</w:t>
      </w:r>
      <w:r w:rsidR="00585D9A">
        <w:rPr>
          <w:rFonts w:ascii="Times New Roman" w:hAnsi="Times New Roman"/>
          <w:sz w:val="24"/>
          <w:szCs w:val="24"/>
        </w:rPr>
        <w:t xml:space="preserve"> </w:t>
      </w:r>
      <w:r w:rsidR="00670A3F">
        <w:rPr>
          <w:rFonts w:ascii="Times New Roman" w:hAnsi="Times New Roman"/>
          <w:sz w:val="24"/>
          <w:szCs w:val="24"/>
        </w:rPr>
        <w:t xml:space="preserve"> </w:t>
      </w:r>
      <w:r w:rsidR="00585D9A">
        <w:rPr>
          <w:rFonts w:ascii="Times New Roman" w:hAnsi="Times New Roman"/>
          <w:sz w:val="24"/>
          <w:szCs w:val="24"/>
        </w:rPr>
        <w:t>Focus group feedback will be 100</w:t>
      </w:r>
      <w:r w:rsidR="00670A3F">
        <w:rPr>
          <w:rFonts w:ascii="Times New Roman" w:hAnsi="Times New Roman"/>
          <w:sz w:val="24"/>
          <w:szCs w:val="24"/>
        </w:rPr>
        <w:t xml:space="preserve"> percent</w:t>
      </w:r>
      <w:r w:rsidR="00585D9A">
        <w:rPr>
          <w:rFonts w:ascii="Times New Roman" w:hAnsi="Times New Roman"/>
          <w:sz w:val="24"/>
          <w:szCs w:val="24"/>
        </w:rPr>
        <w:t xml:space="preserve"> electronic, as the most efficient and least burdensome method to reach this audience.</w:t>
      </w:r>
    </w:p>
    <w:p w:rsidR="00445915" w:rsidP="00333BE9" w:rsidRDefault="00445915" w14:paraId="691D4F73" w14:textId="247DD9C7">
      <w:pPr>
        <w:rPr>
          <w:rFonts w:ascii="Times New Roman" w:hAnsi="Times New Roman"/>
          <w:sz w:val="24"/>
          <w:szCs w:val="24"/>
        </w:rPr>
      </w:pPr>
    </w:p>
    <w:p w:rsidRPr="00FC4270" w:rsidR="00445915" w:rsidP="00333BE9" w:rsidRDefault="00445915" w14:paraId="78238E18" w14:textId="687BDBE7">
      <w:pPr>
        <w:rPr>
          <w:rFonts w:ascii="Times New Roman" w:hAnsi="Times New Roman"/>
          <w:sz w:val="24"/>
          <w:szCs w:val="24"/>
        </w:rPr>
      </w:pPr>
      <w:r>
        <w:rPr>
          <w:rFonts w:ascii="Times New Roman" w:hAnsi="Times New Roman"/>
          <w:sz w:val="24"/>
          <w:szCs w:val="24"/>
        </w:rPr>
        <w:t xml:space="preserve">Website feedback will be obtained online via a short, opt-in survey for those to </w:t>
      </w:r>
      <w:r w:rsidR="007A3EC7">
        <w:rPr>
          <w:rFonts w:ascii="Times New Roman" w:hAnsi="Times New Roman"/>
          <w:sz w:val="24"/>
          <w:szCs w:val="24"/>
        </w:rPr>
        <w:t>indicate a desire to</w:t>
      </w:r>
      <w:r>
        <w:rPr>
          <w:rFonts w:ascii="Times New Roman" w:hAnsi="Times New Roman"/>
          <w:sz w:val="24"/>
          <w:szCs w:val="24"/>
        </w:rPr>
        <w:t xml:space="preserve"> register as organ donors</w:t>
      </w:r>
      <w:r w:rsidR="007A3EC7">
        <w:rPr>
          <w:rFonts w:ascii="Times New Roman" w:hAnsi="Times New Roman"/>
          <w:sz w:val="24"/>
          <w:szCs w:val="24"/>
        </w:rPr>
        <w:t xml:space="preserve"> (</w:t>
      </w:r>
      <w:r w:rsidR="006237FA">
        <w:rPr>
          <w:rFonts w:ascii="Times New Roman" w:hAnsi="Times New Roman"/>
          <w:sz w:val="24"/>
          <w:szCs w:val="24"/>
        </w:rPr>
        <w:t xml:space="preserve">i.e., </w:t>
      </w:r>
      <w:r w:rsidR="007A3EC7">
        <w:rPr>
          <w:rFonts w:ascii="Times New Roman" w:hAnsi="Times New Roman"/>
          <w:sz w:val="24"/>
          <w:szCs w:val="24"/>
        </w:rPr>
        <w:t xml:space="preserve">those who visit </w:t>
      </w:r>
      <w:hyperlink w:history="1" r:id="rId13">
        <w:r w:rsidRPr="00385F97" w:rsidR="007A3EC7">
          <w:rPr>
            <w:rStyle w:val="Hyperlink"/>
            <w:rFonts w:ascii="Times New Roman" w:hAnsi="Times New Roman"/>
            <w:sz w:val="24"/>
            <w:szCs w:val="24"/>
          </w:rPr>
          <w:t>https://www.organdonor.gov/register.html</w:t>
        </w:r>
      </w:hyperlink>
      <w:r w:rsidR="007A3EC7">
        <w:rPr>
          <w:rFonts w:ascii="Times New Roman" w:hAnsi="Times New Roman"/>
          <w:sz w:val="24"/>
          <w:szCs w:val="24"/>
        </w:rPr>
        <w:t>)</w:t>
      </w:r>
      <w:r>
        <w:rPr>
          <w:rFonts w:ascii="Times New Roman" w:hAnsi="Times New Roman"/>
          <w:sz w:val="24"/>
          <w:szCs w:val="24"/>
        </w:rPr>
        <w:t xml:space="preserve">. </w:t>
      </w:r>
      <w:r w:rsidR="00670A3F">
        <w:rPr>
          <w:rFonts w:ascii="Times New Roman" w:hAnsi="Times New Roman"/>
          <w:sz w:val="24"/>
          <w:szCs w:val="24"/>
        </w:rPr>
        <w:t xml:space="preserve"> </w:t>
      </w:r>
      <w:r>
        <w:rPr>
          <w:rFonts w:ascii="Times New Roman" w:hAnsi="Times New Roman"/>
          <w:sz w:val="24"/>
          <w:szCs w:val="24"/>
        </w:rPr>
        <w:t xml:space="preserve">The use of technology will reduce burden by </w:t>
      </w:r>
      <w:r w:rsidR="00332269">
        <w:rPr>
          <w:rFonts w:ascii="Times New Roman" w:hAnsi="Times New Roman"/>
          <w:sz w:val="24"/>
          <w:szCs w:val="24"/>
        </w:rPr>
        <w:t xml:space="preserve">only </w:t>
      </w:r>
      <w:r>
        <w:rPr>
          <w:rFonts w:ascii="Times New Roman" w:hAnsi="Times New Roman"/>
          <w:sz w:val="24"/>
          <w:szCs w:val="24"/>
        </w:rPr>
        <w:t xml:space="preserve">contacting potential respondents who are already visiting DoT’s website. </w:t>
      </w:r>
      <w:r w:rsidR="00E44524">
        <w:rPr>
          <w:rFonts w:ascii="Times New Roman" w:hAnsi="Times New Roman"/>
          <w:sz w:val="24"/>
          <w:szCs w:val="24"/>
        </w:rPr>
        <w:t xml:space="preserve"> </w:t>
      </w:r>
      <w:r>
        <w:rPr>
          <w:rFonts w:ascii="Times New Roman" w:hAnsi="Times New Roman"/>
          <w:sz w:val="24"/>
          <w:szCs w:val="24"/>
        </w:rPr>
        <w:t>Website feedback will be 100</w:t>
      </w:r>
      <w:r w:rsidR="00670A3F">
        <w:rPr>
          <w:rFonts w:ascii="Times New Roman" w:hAnsi="Times New Roman"/>
          <w:sz w:val="24"/>
          <w:szCs w:val="24"/>
        </w:rPr>
        <w:t xml:space="preserve"> percent</w:t>
      </w:r>
      <w:r>
        <w:rPr>
          <w:rFonts w:ascii="Times New Roman" w:hAnsi="Times New Roman"/>
          <w:sz w:val="24"/>
          <w:szCs w:val="24"/>
        </w:rPr>
        <w:t xml:space="preserve"> electronic</w:t>
      </w:r>
      <w:r w:rsidR="00A55479">
        <w:rPr>
          <w:rFonts w:ascii="Times New Roman" w:hAnsi="Times New Roman"/>
          <w:sz w:val="24"/>
          <w:szCs w:val="24"/>
        </w:rPr>
        <w:t xml:space="preserve"> </w:t>
      </w:r>
      <w:r>
        <w:rPr>
          <w:rFonts w:ascii="Times New Roman" w:hAnsi="Times New Roman"/>
          <w:sz w:val="24"/>
          <w:szCs w:val="24"/>
        </w:rPr>
        <w:t xml:space="preserve">as </w:t>
      </w:r>
      <w:r w:rsidR="00A55479">
        <w:rPr>
          <w:rFonts w:ascii="Times New Roman" w:hAnsi="Times New Roman"/>
          <w:sz w:val="24"/>
          <w:szCs w:val="24"/>
        </w:rPr>
        <w:t xml:space="preserve">this is </w:t>
      </w:r>
      <w:r>
        <w:rPr>
          <w:rFonts w:ascii="Times New Roman" w:hAnsi="Times New Roman"/>
          <w:sz w:val="24"/>
          <w:szCs w:val="24"/>
        </w:rPr>
        <w:t>the most efficient and least burdensome method to reach this audience.</w:t>
      </w:r>
    </w:p>
    <w:p w:rsidRPr="00896384" w:rsidR="00896384" w:rsidP="00333BE9" w:rsidRDefault="00896384" w14:paraId="0D6D042F" w14:textId="77777777">
      <w:pPr>
        <w:tabs>
          <w:tab w:val="left" w:pos="-720"/>
        </w:tabs>
        <w:rPr>
          <w:rFonts w:ascii="Times New Roman" w:hAnsi="Times New Roman"/>
          <w:sz w:val="24"/>
          <w:szCs w:val="24"/>
        </w:rPr>
      </w:pPr>
    </w:p>
    <w:p w:rsidR="001879E5" w:rsidP="00333BE9"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P="00333BE9" w:rsidRDefault="001879E5" w14:paraId="0D6D0431" w14:textId="77777777">
      <w:pPr>
        <w:tabs>
          <w:tab w:val="left" w:pos="-720"/>
          <w:tab w:val="left" w:pos="720"/>
          <w:tab w:val="right" w:pos="8648"/>
        </w:tabs>
        <w:rPr>
          <w:rFonts w:ascii="Times New Roman" w:hAnsi="Times New Roman"/>
          <w:sz w:val="24"/>
          <w:szCs w:val="24"/>
        </w:rPr>
      </w:pPr>
    </w:p>
    <w:p w:rsidR="00920C53" w:rsidP="00333BE9" w:rsidRDefault="00920C53" w14:paraId="45D2FBFE" w14:textId="1AC04275">
      <w:pPr>
        <w:tabs>
          <w:tab w:val="left" w:pos="-720"/>
        </w:tabs>
        <w:rPr>
          <w:rFonts w:ascii="Times New Roman" w:hAnsi="Times New Roman"/>
          <w:sz w:val="24"/>
          <w:highlight w:val="yellow"/>
        </w:rPr>
      </w:pPr>
      <w:r w:rsidRPr="00920C53">
        <w:rPr>
          <w:rFonts w:ascii="Times New Roman" w:hAnsi="Times New Roman"/>
          <w:sz w:val="24"/>
        </w:rPr>
        <w:t xml:space="preserve">The Department of Health and Human Services is the only </w:t>
      </w:r>
      <w:r w:rsidR="00A55479">
        <w:rPr>
          <w:rFonts w:ascii="Times New Roman" w:hAnsi="Times New Roman"/>
          <w:sz w:val="24"/>
        </w:rPr>
        <w:t>c</w:t>
      </w:r>
      <w:r w:rsidRPr="00920C53">
        <w:rPr>
          <w:rFonts w:ascii="Times New Roman" w:hAnsi="Times New Roman"/>
          <w:sz w:val="24"/>
        </w:rPr>
        <w:t xml:space="preserve">abinet </w:t>
      </w:r>
      <w:r w:rsidR="00A55479">
        <w:rPr>
          <w:rFonts w:ascii="Times New Roman" w:hAnsi="Times New Roman"/>
          <w:sz w:val="24"/>
        </w:rPr>
        <w:t>d</w:t>
      </w:r>
      <w:r w:rsidRPr="00920C53">
        <w:rPr>
          <w:rFonts w:ascii="Times New Roman" w:hAnsi="Times New Roman"/>
          <w:sz w:val="24"/>
        </w:rPr>
        <w:t>epartment with statutory responsibility for organ donation.</w:t>
      </w:r>
      <w:r w:rsidR="00635536">
        <w:rPr>
          <w:rFonts w:ascii="Times New Roman" w:hAnsi="Times New Roman"/>
          <w:sz w:val="24"/>
        </w:rPr>
        <w:t xml:space="preserve"> </w:t>
      </w:r>
      <w:r w:rsidR="009947DF">
        <w:rPr>
          <w:rFonts w:ascii="Times New Roman" w:hAnsi="Times New Roman"/>
          <w:sz w:val="24"/>
        </w:rPr>
        <w:t xml:space="preserve"> </w:t>
      </w:r>
      <w:r w:rsidRPr="00920C53">
        <w:rPr>
          <w:rFonts w:ascii="Times New Roman" w:hAnsi="Times New Roman"/>
          <w:sz w:val="24"/>
        </w:rPr>
        <w:t xml:space="preserve">Within </w:t>
      </w:r>
      <w:r w:rsidR="00A55479">
        <w:rPr>
          <w:rFonts w:ascii="Times New Roman" w:hAnsi="Times New Roman"/>
          <w:sz w:val="24"/>
        </w:rPr>
        <w:t>the Department of Health and Human Services</w:t>
      </w:r>
      <w:r w:rsidRPr="00920C53">
        <w:rPr>
          <w:rFonts w:ascii="Times New Roman" w:hAnsi="Times New Roman"/>
          <w:sz w:val="24"/>
        </w:rPr>
        <w:t>, responsibility for implementing efforts to increase organ donation is delegated to DoT.</w:t>
      </w:r>
      <w:r w:rsidR="00635536">
        <w:rPr>
          <w:rFonts w:ascii="Times New Roman" w:hAnsi="Times New Roman"/>
          <w:sz w:val="24"/>
        </w:rPr>
        <w:t xml:space="preserve"> </w:t>
      </w:r>
      <w:r w:rsidR="00A55479">
        <w:rPr>
          <w:rFonts w:ascii="Times New Roman" w:hAnsi="Times New Roman"/>
          <w:sz w:val="24"/>
        </w:rPr>
        <w:t xml:space="preserve"> </w:t>
      </w:r>
      <w:r w:rsidRPr="00920C53">
        <w:rPr>
          <w:rFonts w:ascii="Times New Roman" w:hAnsi="Times New Roman"/>
          <w:sz w:val="24"/>
        </w:rPr>
        <w:t xml:space="preserve">To the best of our knowledge, no other entity within the </w:t>
      </w:r>
      <w:r w:rsidR="00670A3F">
        <w:rPr>
          <w:rFonts w:ascii="Times New Roman" w:hAnsi="Times New Roman"/>
          <w:sz w:val="24"/>
        </w:rPr>
        <w:t>f</w:t>
      </w:r>
      <w:r w:rsidRPr="00920C53">
        <w:rPr>
          <w:rFonts w:ascii="Times New Roman" w:hAnsi="Times New Roman"/>
          <w:sz w:val="24"/>
        </w:rPr>
        <w:t xml:space="preserve">ederal </w:t>
      </w:r>
      <w:r w:rsidR="00670A3F">
        <w:rPr>
          <w:rFonts w:ascii="Times New Roman" w:hAnsi="Times New Roman"/>
          <w:sz w:val="24"/>
        </w:rPr>
        <w:t>g</w:t>
      </w:r>
      <w:r w:rsidRPr="00920C53">
        <w:rPr>
          <w:rFonts w:ascii="Times New Roman" w:hAnsi="Times New Roman"/>
          <w:sz w:val="24"/>
        </w:rPr>
        <w:t>overnment has gathered or is planning to gather similar data.</w:t>
      </w:r>
      <w:r w:rsidR="00635536">
        <w:rPr>
          <w:rFonts w:ascii="Times New Roman" w:hAnsi="Times New Roman"/>
          <w:sz w:val="24"/>
        </w:rPr>
        <w:t xml:space="preserve"> </w:t>
      </w:r>
      <w:r w:rsidR="00A55479">
        <w:rPr>
          <w:rFonts w:ascii="Times New Roman" w:hAnsi="Times New Roman"/>
          <w:sz w:val="24"/>
        </w:rPr>
        <w:t xml:space="preserve"> </w:t>
      </w:r>
      <w:r w:rsidRPr="00920C53">
        <w:rPr>
          <w:rFonts w:ascii="Times New Roman" w:hAnsi="Times New Roman"/>
          <w:sz w:val="24"/>
        </w:rPr>
        <w:t>The attached qualitative instruments have been reviewed carefully to avoid potential duplication.</w:t>
      </w:r>
    </w:p>
    <w:p w:rsidR="001879E5" w:rsidP="00333BE9" w:rsidRDefault="001879E5" w14:paraId="0D6D0433" w14:textId="77777777">
      <w:pPr>
        <w:tabs>
          <w:tab w:val="left" w:pos="-720"/>
        </w:tabs>
        <w:rPr>
          <w:rFonts w:ascii="Times New Roman" w:hAnsi="Times New Roman"/>
          <w:sz w:val="24"/>
          <w:szCs w:val="24"/>
        </w:rPr>
      </w:pPr>
    </w:p>
    <w:p w:rsidR="001879E5" w:rsidP="00333BE9"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P="00333BE9" w:rsidRDefault="001879E5" w14:paraId="0D6D0435" w14:textId="77777777">
      <w:pPr>
        <w:tabs>
          <w:tab w:val="left" w:pos="-720"/>
          <w:tab w:val="left" w:pos="720"/>
          <w:tab w:val="right" w:pos="8648"/>
        </w:tabs>
        <w:rPr>
          <w:rFonts w:ascii="Times New Roman" w:hAnsi="Times New Roman"/>
          <w:sz w:val="24"/>
          <w:szCs w:val="24"/>
        </w:rPr>
      </w:pPr>
    </w:p>
    <w:p w:rsidRPr="00643A58" w:rsidR="00896384" w:rsidP="00333BE9" w:rsidRDefault="00896384" w14:paraId="0D6D043A" w14:textId="19F144F3">
      <w:pPr>
        <w:rPr>
          <w:rFonts w:ascii="Times New Roman" w:hAnsi="Times New Roman"/>
          <w:bCs/>
          <w:iCs/>
          <w:sz w:val="24"/>
        </w:rPr>
      </w:pPr>
      <w:r w:rsidRPr="00643A58">
        <w:rPr>
          <w:rFonts w:ascii="Times New Roman" w:hAnsi="Times New Roman"/>
          <w:bCs/>
          <w:iCs/>
          <w:color w:val="000000"/>
          <w:sz w:val="24"/>
        </w:rPr>
        <w:t>No small businesses will be involved in this study.</w:t>
      </w:r>
    </w:p>
    <w:p w:rsidR="001879E5" w:rsidP="00333BE9" w:rsidRDefault="001879E5" w14:paraId="0D6D043C" w14:textId="77777777">
      <w:pPr>
        <w:tabs>
          <w:tab w:val="left" w:pos="-720"/>
        </w:tabs>
        <w:rPr>
          <w:rFonts w:ascii="Times New Roman" w:hAnsi="Times New Roman"/>
          <w:sz w:val="24"/>
          <w:szCs w:val="24"/>
        </w:rPr>
      </w:pPr>
    </w:p>
    <w:p w:rsidR="001879E5" w:rsidP="00333BE9"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P="00333BE9" w:rsidRDefault="001879E5" w14:paraId="0D6D043E" w14:textId="5B0E2E4A">
      <w:pPr>
        <w:tabs>
          <w:tab w:val="left" w:pos="-720"/>
          <w:tab w:val="left" w:pos="720"/>
          <w:tab w:val="right" w:pos="8648"/>
        </w:tabs>
        <w:rPr>
          <w:rFonts w:ascii="Times New Roman" w:hAnsi="Times New Roman"/>
          <w:sz w:val="24"/>
          <w:szCs w:val="24"/>
        </w:rPr>
      </w:pPr>
    </w:p>
    <w:p w:rsidRPr="007D0A91" w:rsidR="001879E5" w:rsidP="00333BE9" w:rsidRDefault="007D0A91" w14:paraId="0D6D0443" w14:textId="675B85E2">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feedback is to inform </w:t>
      </w:r>
      <w:r w:rsidR="006237FA">
        <w:rPr>
          <w:rFonts w:ascii="Times New Roman" w:hAnsi="Times New Roman"/>
          <w:sz w:val="24"/>
          <w:szCs w:val="24"/>
        </w:rPr>
        <w:t xml:space="preserve">an </w:t>
      </w:r>
      <w:r>
        <w:rPr>
          <w:rFonts w:ascii="Times New Roman" w:hAnsi="Times New Roman"/>
          <w:sz w:val="24"/>
          <w:szCs w:val="24"/>
        </w:rPr>
        <w:t xml:space="preserve">effort DoT is making to improve its outreach to minorities on organ donation. </w:t>
      </w:r>
      <w:r w:rsidR="001F3E23">
        <w:rPr>
          <w:rFonts w:ascii="Times New Roman" w:hAnsi="Times New Roman"/>
          <w:sz w:val="24"/>
          <w:szCs w:val="24"/>
        </w:rPr>
        <w:t xml:space="preserve"> </w:t>
      </w:r>
      <w:r w:rsidR="00332269">
        <w:rPr>
          <w:rFonts w:ascii="Times New Roman" w:hAnsi="Times New Roman"/>
          <w:sz w:val="24"/>
          <w:szCs w:val="24"/>
        </w:rPr>
        <w:t xml:space="preserve">This is a current focus of DoT. </w:t>
      </w:r>
      <w:r w:rsidR="001F3E23">
        <w:rPr>
          <w:rFonts w:ascii="Times New Roman" w:hAnsi="Times New Roman"/>
          <w:sz w:val="24"/>
          <w:szCs w:val="24"/>
        </w:rPr>
        <w:t xml:space="preserve"> </w:t>
      </w:r>
      <w:r w:rsidR="006237FA">
        <w:rPr>
          <w:rFonts w:ascii="Times New Roman" w:hAnsi="Times New Roman"/>
          <w:sz w:val="24"/>
          <w:szCs w:val="24"/>
        </w:rPr>
        <w:t xml:space="preserve">DoT has received negative feedback on </w:t>
      </w:r>
      <w:r w:rsidR="00332269">
        <w:rPr>
          <w:rFonts w:ascii="Times New Roman" w:hAnsi="Times New Roman"/>
          <w:sz w:val="24"/>
          <w:szCs w:val="24"/>
        </w:rPr>
        <w:t xml:space="preserve">some of </w:t>
      </w:r>
      <w:r w:rsidR="006237FA">
        <w:rPr>
          <w:rFonts w:ascii="Times New Roman" w:hAnsi="Times New Roman"/>
          <w:sz w:val="24"/>
          <w:szCs w:val="24"/>
        </w:rPr>
        <w:t xml:space="preserve">its past communications with minority audiences, and has identified </w:t>
      </w:r>
      <w:r w:rsidR="00332269">
        <w:rPr>
          <w:rFonts w:ascii="Times New Roman" w:hAnsi="Times New Roman"/>
          <w:sz w:val="24"/>
          <w:szCs w:val="24"/>
        </w:rPr>
        <w:t>a need for research to improve materials</w:t>
      </w:r>
      <w:r w:rsidR="006237FA">
        <w:rPr>
          <w:rFonts w:ascii="Times New Roman" w:hAnsi="Times New Roman"/>
          <w:sz w:val="24"/>
          <w:szCs w:val="24"/>
        </w:rPr>
        <w:t xml:space="preserve">. </w:t>
      </w:r>
      <w:r w:rsidR="001F3E23">
        <w:rPr>
          <w:rFonts w:ascii="Times New Roman" w:hAnsi="Times New Roman"/>
          <w:sz w:val="24"/>
          <w:szCs w:val="24"/>
        </w:rPr>
        <w:t xml:space="preserve"> </w:t>
      </w:r>
      <w:r>
        <w:rPr>
          <w:rFonts w:ascii="Times New Roman" w:hAnsi="Times New Roman"/>
          <w:sz w:val="24"/>
          <w:szCs w:val="24"/>
        </w:rPr>
        <w:t xml:space="preserve">The </w:t>
      </w:r>
      <w:r w:rsidR="00585D9A">
        <w:rPr>
          <w:rFonts w:ascii="Times New Roman" w:hAnsi="Times New Roman"/>
          <w:sz w:val="24"/>
          <w:szCs w:val="24"/>
        </w:rPr>
        <w:t xml:space="preserve">online </w:t>
      </w:r>
      <w:r>
        <w:rPr>
          <w:rFonts w:ascii="Times New Roman" w:hAnsi="Times New Roman"/>
          <w:sz w:val="24"/>
          <w:szCs w:val="24"/>
        </w:rPr>
        <w:t xml:space="preserve">focus groups are </w:t>
      </w:r>
      <w:r w:rsidR="004F130E">
        <w:rPr>
          <w:rFonts w:ascii="Times New Roman" w:hAnsi="Times New Roman"/>
          <w:sz w:val="24"/>
          <w:szCs w:val="24"/>
        </w:rPr>
        <w:t>designed</w:t>
      </w:r>
      <w:r>
        <w:rPr>
          <w:rFonts w:ascii="Times New Roman" w:hAnsi="Times New Roman"/>
          <w:sz w:val="24"/>
          <w:szCs w:val="24"/>
        </w:rPr>
        <w:t xml:space="preserve"> to support this effort. </w:t>
      </w:r>
      <w:r w:rsidR="001F3E23">
        <w:rPr>
          <w:rFonts w:ascii="Times New Roman" w:hAnsi="Times New Roman"/>
          <w:sz w:val="24"/>
          <w:szCs w:val="24"/>
        </w:rPr>
        <w:t xml:space="preserve"> </w:t>
      </w:r>
      <w:r w:rsidR="004F130E">
        <w:rPr>
          <w:rFonts w:ascii="Times New Roman" w:hAnsi="Times New Roman"/>
          <w:sz w:val="24"/>
          <w:szCs w:val="24"/>
        </w:rPr>
        <w:t>Likewise, t</w:t>
      </w:r>
      <w:r>
        <w:rPr>
          <w:rFonts w:ascii="Times New Roman" w:hAnsi="Times New Roman"/>
          <w:sz w:val="24"/>
          <w:szCs w:val="24"/>
        </w:rPr>
        <w:t>he web survey is a one-time effort to inform overall outreach efforts</w:t>
      </w:r>
      <w:r w:rsidR="004F130E">
        <w:rPr>
          <w:rFonts w:ascii="Times New Roman" w:hAnsi="Times New Roman"/>
          <w:sz w:val="24"/>
          <w:szCs w:val="24"/>
        </w:rPr>
        <w:t xml:space="preserve"> to better understand what information is most impactful for potential donors</w:t>
      </w:r>
      <w:r>
        <w:rPr>
          <w:rFonts w:ascii="Times New Roman" w:hAnsi="Times New Roman"/>
          <w:sz w:val="24"/>
          <w:szCs w:val="24"/>
        </w:rPr>
        <w:t xml:space="preserve">. </w:t>
      </w:r>
      <w:r w:rsidR="001F3E23">
        <w:rPr>
          <w:rFonts w:ascii="Times New Roman" w:hAnsi="Times New Roman"/>
          <w:sz w:val="24"/>
          <w:szCs w:val="24"/>
        </w:rPr>
        <w:t xml:space="preserve"> </w:t>
      </w:r>
      <w:r>
        <w:rPr>
          <w:rFonts w:ascii="Times New Roman" w:hAnsi="Times New Roman"/>
          <w:sz w:val="24"/>
          <w:szCs w:val="24"/>
        </w:rPr>
        <w:t>Without this information, DoT’s website will not be as effective in providing crucial information to customers.</w:t>
      </w:r>
    </w:p>
    <w:p w:rsidR="007D0A91" w:rsidP="00333BE9" w:rsidRDefault="007D0A91" w14:paraId="7A683B4C" w14:textId="77777777">
      <w:pPr>
        <w:tabs>
          <w:tab w:val="left" w:pos="-720"/>
        </w:tabs>
        <w:rPr>
          <w:rFonts w:ascii="Times New Roman" w:hAnsi="Times New Roman"/>
          <w:sz w:val="24"/>
          <w:szCs w:val="24"/>
        </w:rPr>
      </w:pPr>
    </w:p>
    <w:p w:rsidR="001879E5" w:rsidP="00333BE9" w:rsidRDefault="0061278C" w14:paraId="0D6D044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P="00333BE9" w:rsidRDefault="001879E5" w14:paraId="0D6D0445" w14:textId="77777777">
      <w:pPr>
        <w:tabs>
          <w:tab w:val="left" w:pos="-720"/>
          <w:tab w:val="left" w:pos="720"/>
          <w:tab w:val="right" w:pos="8677"/>
        </w:tabs>
        <w:rPr>
          <w:rFonts w:ascii="Times New Roman" w:hAnsi="Times New Roman"/>
          <w:sz w:val="24"/>
          <w:szCs w:val="24"/>
        </w:rPr>
      </w:pPr>
    </w:p>
    <w:p w:rsidR="001879E5" w:rsidP="00333BE9"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7D0A91" w:rsidP="00333BE9" w:rsidRDefault="007D0A91" w14:paraId="227071BB" w14:textId="77777777">
      <w:pPr>
        <w:tabs>
          <w:tab w:val="left" w:pos="-720"/>
        </w:tabs>
        <w:rPr>
          <w:rFonts w:ascii="Times New Roman" w:hAnsi="Times New Roman"/>
          <w:sz w:val="24"/>
          <w:szCs w:val="24"/>
        </w:rPr>
      </w:pPr>
    </w:p>
    <w:p w:rsidR="001879E5" w:rsidP="00333BE9" w:rsidRDefault="001879E5" w14:paraId="0D6D0448" w14:textId="77777777">
      <w:pPr>
        <w:keepNext/>
        <w:widowControl/>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P="00333BE9" w:rsidRDefault="001879E5" w14:paraId="0D6D0449" w14:textId="77777777">
      <w:pPr>
        <w:keepNext/>
        <w:widowControl/>
        <w:tabs>
          <w:tab w:val="left" w:pos="-720"/>
          <w:tab w:val="left" w:pos="720"/>
          <w:tab w:val="right" w:pos="8677"/>
        </w:tabs>
        <w:rPr>
          <w:rFonts w:ascii="Times New Roman" w:hAnsi="Times New Roman"/>
          <w:sz w:val="24"/>
          <w:szCs w:val="24"/>
        </w:rPr>
      </w:pPr>
    </w:p>
    <w:p w:rsidRPr="002F17B9" w:rsidR="00755B0D" w:rsidP="00755B0D" w:rsidRDefault="00755B0D" w14:paraId="53053008" w14:textId="39341B90">
      <w:pPr>
        <w:tabs>
          <w:tab w:val="left" w:pos="-720"/>
        </w:tabs>
        <w:rPr>
          <w:rFonts w:ascii="Times New Roman" w:hAnsi="Times New Roman"/>
          <w:sz w:val="24"/>
          <w:szCs w:val="24"/>
        </w:rPr>
      </w:pPr>
      <w:r w:rsidRPr="002F17B9">
        <w:rPr>
          <w:rFonts w:ascii="Times New Roman" w:hAnsi="Times New Roman"/>
          <w:sz w:val="24"/>
          <w:szCs w:val="24"/>
        </w:rPr>
        <w:t xml:space="preserve">In accordance with 5 CFR 1320.8(d), on </w:t>
      </w:r>
      <w:r w:rsidR="00F21B84">
        <w:rPr>
          <w:rFonts w:ascii="Times New Roman" w:hAnsi="Times New Roman"/>
          <w:sz w:val="24"/>
          <w:szCs w:val="24"/>
        </w:rPr>
        <w:t xml:space="preserve">November 13, </w:t>
      </w:r>
      <w:bookmarkStart w:name="_GoBack" w:id="0"/>
      <w:bookmarkEnd w:id="0"/>
      <w:r>
        <w:rPr>
          <w:rFonts w:ascii="Times New Roman" w:hAnsi="Times New Roman"/>
          <w:sz w:val="24"/>
          <w:szCs w:val="24"/>
        </w:rPr>
        <w:t>2017</w:t>
      </w:r>
      <w:r w:rsidRPr="002F17B9">
        <w:rPr>
          <w:rFonts w:ascii="Times New Roman" w:hAnsi="Times New Roman"/>
          <w:sz w:val="24"/>
          <w:szCs w:val="24"/>
        </w:rPr>
        <w:t xml:space="preserve">, a </w:t>
      </w:r>
      <w:r>
        <w:rPr>
          <w:rFonts w:ascii="Times New Roman" w:hAnsi="Times New Roman"/>
          <w:sz w:val="24"/>
          <w:szCs w:val="24"/>
        </w:rPr>
        <w:t>6</w:t>
      </w:r>
      <w:r w:rsidRPr="002F17B9">
        <w:rPr>
          <w:rFonts w:ascii="Times New Roman" w:hAnsi="Times New Roman"/>
          <w:sz w:val="24"/>
          <w:szCs w:val="24"/>
        </w:rPr>
        <w:t xml:space="preserve">0 day notice was published in the Federal Register for HRSA’s generic clearance, OMB Control No. 0915-0212 (Vol. </w:t>
      </w:r>
      <w:r>
        <w:rPr>
          <w:rFonts w:ascii="Times New Roman" w:hAnsi="Times New Roman"/>
          <w:sz w:val="24"/>
          <w:szCs w:val="24"/>
        </w:rPr>
        <w:t>82</w:t>
      </w:r>
      <w:r w:rsidRPr="002F17B9">
        <w:rPr>
          <w:rFonts w:ascii="Times New Roman" w:hAnsi="Times New Roman"/>
          <w:sz w:val="24"/>
          <w:szCs w:val="24"/>
        </w:rPr>
        <w:t xml:space="preserve">, </w:t>
      </w:r>
      <w:r>
        <w:rPr>
          <w:rFonts w:ascii="Times New Roman" w:hAnsi="Times New Roman"/>
          <w:sz w:val="24"/>
          <w:szCs w:val="24"/>
        </w:rPr>
        <w:t>No. 217, pp.</w:t>
      </w:r>
      <w:r w:rsidRPr="002F17B9">
        <w:rPr>
          <w:rFonts w:ascii="Times New Roman" w:hAnsi="Times New Roman"/>
          <w:sz w:val="24"/>
          <w:szCs w:val="24"/>
        </w:rPr>
        <w:t xml:space="preserve"> </w:t>
      </w:r>
      <w:r>
        <w:rPr>
          <w:rFonts w:ascii="Times New Roman" w:hAnsi="Times New Roman"/>
          <w:sz w:val="24"/>
          <w:szCs w:val="24"/>
        </w:rPr>
        <w:t>52308-09</w:t>
      </w:r>
      <w:r w:rsidRPr="002F17B9">
        <w:rPr>
          <w:rFonts w:ascii="Times New Roman" w:hAnsi="Times New Roman"/>
          <w:sz w:val="24"/>
          <w:szCs w:val="24"/>
        </w:rPr>
        <w:t xml:space="preserve">).  No public comments were received.  </w:t>
      </w:r>
    </w:p>
    <w:p w:rsidR="001879E5" w:rsidP="00333BE9" w:rsidRDefault="001879E5" w14:paraId="0D6D044B" w14:textId="77777777">
      <w:pPr>
        <w:tabs>
          <w:tab w:val="left" w:pos="-720"/>
        </w:tabs>
        <w:rPr>
          <w:rFonts w:ascii="Times New Roman" w:hAnsi="Times New Roman"/>
          <w:sz w:val="24"/>
          <w:szCs w:val="24"/>
        </w:rPr>
      </w:pPr>
    </w:p>
    <w:p w:rsidR="001879E5" w:rsidP="00333BE9"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P="00333BE9" w:rsidRDefault="001879E5" w14:paraId="0D6D044D" w14:textId="6E49491D">
      <w:pPr>
        <w:tabs>
          <w:tab w:val="left" w:pos="720"/>
          <w:tab w:val="right" w:pos="8677"/>
        </w:tabs>
        <w:rPr>
          <w:rFonts w:ascii="Times New Roman" w:hAnsi="Times New Roman"/>
          <w:sz w:val="24"/>
          <w:szCs w:val="24"/>
        </w:rPr>
      </w:pPr>
    </w:p>
    <w:p w:rsidR="00920C53" w:rsidP="00333BE9" w:rsidRDefault="00920C53" w14:paraId="0C86C22B" w14:textId="5CC235AE">
      <w:pPr>
        <w:tabs>
          <w:tab w:val="left" w:pos="720"/>
          <w:tab w:val="right" w:pos="8677"/>
        </w:tabs>
        <w:rPr>
          <w:rFonts w:ascii="Times New Roman" w:hAnsi="Times New Roman"/>
          <w:sz w:val="24"/>
          <w:szCs w:val="24"/>
        </w:rPr>
      </w:pPr>
      <w:r w:rsidRPr="00920C53">
        <w:rPr>
          <w:rFonts w:ascii="Times New Roman" w:hAnsi="Times New Roman"/>
          <w:sz w:val="24"/>
          <w:szCs w:val="24"/>
        </w:rPr>
        <w:t xml:space="preserve">This request involves </w:t>
      </w:r>
      <w:r w:rsidR="00585D9A">
        <w:rPr>
          <w:rFonts w:ascii="Times New Roman" w:hAnsi="Times New Roman"/>
          <w:sz w:val="24"/>
          <w:szCs w:val="24"/>
        </w:rPr>
        <w:t xml:space="preserve">online </w:t>
      </w:r>
      <w:r w:rsidRPr="00920C53">
        <w:rPr>
          <w:rFonts w:ascii="Times New Roman" w:hAnsi="Times New Roman"/>
          <w:sz w:val="24"/>
          <w:szCs w:val="24"/>
        </w:rPr>
        <w:t>focus groups</w:t>
      </w:r>
      <w:r w:rsidR="00FA58A8">
        <w:rPr>
          <w:rFonts w:ascii="Times New Roman" w:hAnsi="Times New Roman"/>
          <w:sz w:val="24"/>
          <w:szCs w:val="24"/>
        </w:rPr>
        <w:t xml:space="preserve"> and completion of an online survey</w:t>
      </w:r>
      <w:r w:rsidRPr="00920C53">
        <w:rPr>
          <w:rFonts w:ascii="Times New Roman" w:hAnsi="Times New Roman"/>
          <w:sz w:val="24"/>
          <w:szCs w:val="24"/>
        </w:rPr>
        <w:t xml:space="preserve">. </w:t>
      </w:r>
      <w:r w:rsidR="00E44524">
        <w:rPr>
          <w:rFonts w:ascii="Times New Roman" w:hAnsi="Times New Roman"/>
          <w:sz w:val="24"/>
          <w:szCs w:val="24"/>
        </w:rPr>
        <w:t xml:space="preserve"> </w:t>
      </w:r>
      <w:r w:rsidRPr="00920C53">
        <w:rPr>
          <w:rFonts w:ascii="Times New Roman" w:hAnsi="Times New Roman"/>
          <w:sz w:val="24"/>
          <w:szCs w:val="24"/>
        </w:rPr>
        <w:t>DoT will provide a stipend of $</w:t>
      </w:r>
      <w:r w:rsidR="00FA58A8">
        <w:rPr>
          <w:rFonts w:ascii="Times New Roman" w:hAnsi="Times New Roman"/>
          <w:sz w:val="24"/>
          <w:szCs w:val="24"/>
        </w:rPr>
        <w:t>1</w:t>
      </w:r>
      <w:r w:rsidR="00585D9A">
        <w:rPr>
          <w:rFonts w:ascii="Times New Roman" w:hAnsi="Times New Roman"/>
          <w:sz w:val="24"/>
          <w:szCs w:val="24"/>
        </w:rPr>
        <w:t>00</w:t>
      </w:r>
      <w:r w:rsidRPr="00920C53">
        <w:rPr>
          <w:rFonts w:ascii="Times New Roman" w:hAnsi="Times New Roman"/>
          <w:sz w:val="24"/>
          <w:szCs w:val="24"/>
        </w:rPr>
        <w:t xml:space="preserve"> for participants in </w:t>
      </w:r>
      <w:r w:rsidR="00585D9A">
        <w:rPr>
          <w:rFonts w:ascii="Times New Roman" w:hAnsi="Times New Roman"/>
          <w:sz w:val="24"/>
          <w:szCs w:val="24"/>
        </w:rPr>
        <w:t>90-minute online</w:t>
      </w:r>
      <w:r w:rsidR="00CC40FD">
        <w:rPr>
          <w:rFonts w:ascii="Times New Roman" w:hAnsi="Times New Roman"/>
          <w:sz w:val="24"/>
          <w:szCs w:val="24"/>
        </w:rPr>
        <w:t xml:space="preserve"> </w:t>
      </w:r>
      <w:r w:rsidRPr="00920C53">
        <w:rPr>
          <w:rFonts w:ascii="Times New Roman" w:hAnsi="Times New Roman"/>
          <w:sz w:val="24"/>
          <w:szCs w:val="24"/>
        </w:rPr>
        <w:t xml:space="preserve">focus groups. </w:t>
      </w:r>
      <w:r w:rsidR="00E44524">
        <w:rPr>
          <w:rFonts w:ascii="Times New Roman" w:hAnsi="Times New Roman"/>
          <w:sz w:val="24"/>
          <w:szCs w:val="24"/>
        </w:rPr>
        <w:t xml:space="preserve"> </w:t>
      </w:r>
      <w:r w:rsidRPr="00920C53">
        <w:rPr>
          <w:rFonts w:ascii="Times New Roman" w:hAnsi="Times New Roman"/>
          <w:sz w:val="24"/>
          <w:szCs w:val="24"/>
        </w:rPr>
        <w:t>These stipends are necessary to ensure the validity of research findings, as potential respondents are likely to be unwilling to participate in these research activities without receiving compensation for their time.</w:t>
      </w:r>
      <w:r w:rsidR="004F130E">
        <w:rPr>
          <w:rFonts w:ascii="Times New Roman" w:hAnsi="Times New Roman"/>
          <w:sz w:val="24"/>
          <w:szCs w:val="24"/>
        </w:rPr>
        <w:t xml:space="preserve"> </w:t>
      </w:r>
      <w:r w:rsidR="001F3E23">
        <w:rPr>
          <w:rFonts w:ascii="Times New Roman" w:hAnsi="Times New Roman"/>
          <w:sz w:val="24"/>
          <w:szCs w:val="24"/>
        </w:rPr>
        <w:t xml:space="preserve"> </w:t>
      </w:r>
      <w:r w:rsidR="004F130E">
        <w:rPr>
          <w:rFonts w:ascii="Times New Roman" w:hAnsi="Times New Roman"/>
          <w:sz w:val="24"/>
          <w:szCs w:val="24"/>
        </w:rPr>
        <w:t xml:space="preserve">Online web respondents will not be offered </w:t>
      </w:r>
      <w:r w:rsidR="00E44524">
        <w:rPr>
          <w:rFonts w:ascii="Times New Roman" w:hAnsi="Times New Roman"/>
          <w:sz w:val="24"/>
          <w:szCs w:val="24"/>
        </w:rPr>
        <w:t>remuneration</w:t>
      </w:r>
      <w:r w:rsidR="004F130E">
        <w:rPr>
          <w:rFonts w:ascii="Times New Roman" w:hAnsi="Times New Roman"/>
          <w:sz w:val="24"/>
          <w:szCs w:val="24"/>
        </w:rPr>
        <w:t>.</w:t>
      </w:r>
    </w:p>
    <w:p w:rsidR="0033551D" w:rsidP="00333BE9" w:rsidRDefault="0033551D" w14:paraId="0D6D0451" w14:textId="77777777">
      <w:pPr>
        <w:tabs>
          <w:tab w:val="left" w:pos="720"/>
          <w:tab w:val="right" w:pos="8677"/>
        </w:tabs>
        <w:rPr>
          <w:rFonts w:ascii="Times New Roman" w:hAnsi="Times New Roman"/>
          <w:sz w:val="24"/>
          <w:szCs w:val="24"/>
        </w:rPr>
      </w:pPr>
    </w:p>
    <w:p w:rsidR="001879E5" w:rsidP="00333BE9" w:rsidRDefault="001879E5" w14:paraId="0D6D0452" w14:textId="77777777">
      <w:pPr>
        <w:keepNext/>
        <w:widowControl/>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P="00333BE9" w:rsidRDefault="001879E5" w14:paraId="0D6D0453" w14:textId="77777777">
      <w:pPr>
        <w:keepNext/>
        <w:widowControl/>
        <w:tabs>
          <w:tab w:val="left" w:pos="-720"/>
          <w:tab w:val="left" w:pos="720"/>
          <w:tab w:val="right" w:pos="8677"/>
        </w:tabs>
        <w:rPr>
          <w:rFonts w:ascii="Times New Roman" w:hAnsi="Times New Roman"/>
          <w:sz w:val="24"/>
          <w:szCs w:val="24"/>
        </w:rPr>
      </w:pPr>
    </w:p>
    <w:p w:rsidR="001879E5" w:rsidP="00333BE9" w:rsidRDefault="00920C53" w14:paraId="0D6D0458" w14:textId="64DE3940">
      <w:pPr>
        <w:tabs>
          <w:tab w:val="left" w:pos="-720"/>
        </w:tabs>
        <w:rPr>
          <w:rFonts w:ascii="Times New Roman" w:hAnsi="Times New Roman"/>
          <w:sz w:val="24"/>
          <w:szCs w:val="24"/>
        </w:rPr>
      </w:pPr>
      <w:r w:rsidRPr="00920C53">
        <w:rPr>
          <w:rFonts w:ascii="Times New Roman" w:hAnsi="Times New Roman"/>
          <w:sz w:val="24"/>
          <w:szCs w:val="24"/>
        </w:rPr>
        <w:t xml:space="preserve">This assessment does not involve the collection of personally identifiable information except in order to provide compensation for </w:t>
      </w:r>
      <w:r w:rsidR="00C81F0F">
        <w:rPr>
          <w:rFonts w:ascii="Times New Roman" w:hAnsi="Times New Roman"/>
          <w:sz w:val="24"/>
          <w:szCs w:val="24"/>
        </w:rPr>
        <w:t xml:space="preserve">focus group </w:t>
      </w:r>
      <w:r w:rsidRPr="00920C53">
        <w:rPr>
          <w:rFonts w:ascii="Times New Roman" w:hAnsi="Times New Roman"/>
          <w:sz w:val="24"/>
          <w:szCs w:val="24"/>
        </w:rPr>
        <w:t xml:space="preserve">participants. </w:t>
      </w:r>
      <w:r w:rsidR="001F3E23">
        <w:rPr>
          <w:rFonts w:ascii="Times New Roman" w:hAnsi="Times New Roman"/>
          <w:sz w:val="24"/>
          <w:szCs w:val="24"/>
        </w:rPr>
        <w:t xml:space="preserve"> </w:t>
      </w:r>
      <w:r w:rsidR="00CC40FD">
        <w:rPr>
          <w:rFonts w:ascii="Times New Roman" w:hAnsi="Times New Roman"/>
          <w:sz w:val="24"/>
          <w:szCs w:val="24"/>
        </w:rPr>
        <w:t>Data</w:t>
      </w:r>
      <w:r w:rsidRPr="00920C53">
        <w:rPr>
          <w:rFonts w:ascii="Times New Roman" w:hAnsi="Times New Roman"/>
          <w:sz w:val="24"/>
          <w:szCs w:val="24"/>
        </w:rPr>
        <w:t xml:space="preserve"> collection will fully comply with all aspects of the Privacy Act, and participants will be notified that their research responses will be kept </w:t>
      </w:r>
      <w:r w:rsidR="00C81F0F">
        <w:rPr>
          <w:rFonts w:ascii="Times New Roman" w:hAnsi="Times New Roman"/>
          <w:sz w:val="24"/>
          <w:szCs w:val="24"/>
        </w:rPr>
        <w:t>private to the extent allowed by law</w:t>
      </w:r>
      <w:r w:rsidR="008917C2">
        <w:rPr>
          <w:rFonts w:ascii="Times New Roman" w:hAnsi="Times New Roman"/>
          <w:sz w:val="24"/>
          <w:szCs w:val="24"/>
        </w:rPr>
        <w:t xml:space="preserve"> and that participation is voluntary.</w:t>
      </w:r>
      <w:r w:rsidR="00635536">
        <w:rPr>
          <w:rFonts w:ascii="Times New Roman" w:hAnsi="Times New Roman"/>
          <w:sz w:val="24"/>
          <w:szCs w:val="24"/>
        </w:rPr>
        <w:t xml:space="preserve"> </w:t>
      </w:r>
      <w:r w:rsidR="001F3E23">
        <w:rPr>
          <w:rFonts w:ascii="Times New Roman" w:hAnsi="Times New Roman"/>
          <w:sz w:val="24"/>
          <w:szCs w:val="24"/>
        </w:rPr>
        <w:t xml:space="preserve"> </w:t>
      </w:r>
      <w:r w:rsidR="008917C2">
        <w:rPr>
          <w:rFonts w:ascii="Times New Roman" w:hAnsi="Times New Roman"/>
          <w:sz w:val="24"/>
          <w:szCs w:val="24"/>
        </w:rPr>
        <w:t>Audio</w:t>
      </w:r>
      <w:r w:rsidRPr="00920C53">
        <w:rPr>
          <w:rFonts w:ascii="Times New Roman" w:hAnsi="Times New Roman"/>
          <w:sz w:val="24"/>
          <w:szCs w:val="24"/>
        </w:rPr>
        <w:t xml:space="preserve"> recordings of the </w:t>
      </w:r>
      <w:r w:rsidR="00332269">
        <w:rPr>
          <w:rFonts w:ascii="Times New Roman" w:hAnsi="Times New Roman"/>
          <w:sz w:val="24"/>
          <w:szCs w:val="24"/>
        </w:rPr>
        <w:t xml:space="preserve">focus </w:t>
      </w:r>
      <w:r w:rsidRPr="00920C53">
        <w:rPr>
          <w:rFonts w:ascii="Times New Roman" w:hAnsi="Times New Roman"/>
          <w:sz w:val="24"/>
          <w:szCs w:val="24"/>
        </w:rPr>
        <w:t xml:space="preserve">groups will only be </w:t>
      </w:r>
      <w:r w:rsidR="00332269">
        <w:rPr>
          <w:rFonts w:ascii="Times New Roman" w:hAnsi="Times New Roman"/>
          <w:sz w:val="24"/>
          <w:szCs w:val="24"/>
        </w:rPr>
        <w:t>made</w:t>
      </w:r>
      <w:r w:rsidRPr="00920C53">
        <w:rPr>
          <w:rFonts w:ascii="Times New Roman" w:hAnsi="Times New Roman"/>
          <w:sz w:val="24"/>
          <w:szCs w:val="24"/>
        </w:rPr>
        <w:t xml:space="preserve"> with respondent permission. </w:t>
      </w:r>
      <w:r w:rsidR="001F3E23">
        <w:rPr>
          <w:rFonts w:ascii="Times New Roman" w:hAnsi="Times New Roman"/>
          <w:sz w:val="24"/>
          <w:szCs w:val="24"/>
        </w:rPr>
        <w:t xml:space="preserve"> </w:t>
      </w:r>
      <w:r w:rsidRPr="00920C53">
        <w:rPr>
          <w:rFonts w:ascii="Times New Roman" w:hAnsi="Times New Roman"/>
          <w:sz w:val="24"/>
          <w:szCs w:val="24"/>
        </w:rPr>
        <w:t>These recordings will be used solely to verify notes taken for accuracy and then destroyed.</w:t>
      </w:r>
      <w:r w:rsidR="00635536">
        <w:rPr>
          <w:rFonts w:ascii="Times New Roman" w:hAnsi="Times New Roman"/>
          <w:sz w:val="24"/>
          <w:szCs w:val="24"/>
        </w:rPr>
        <w:t xml:space="preserve"> </w:t>
      </w:r>
      <w:r w:rsidR="001F3E23">
        <w:rPr>
          <w:rFonts w:ascii="Times New Roman" w:hAnsi="Times New Roman"/>
          <w:sz w:val="24"/>
          <w:szCs w:val="24"/>
        </w:rPr>
        <w:t xml:space="preserve"> </w:t>
      </w:r>
      <w:r w:rsidRPr="00920C53">
        <w:rPr>
          <w:rFonts w:ascii="Times New Roman" w:hAnsi="Times New Roman"/>
          <w:sz w:val="24"/>
          <w:szCs w:val="24"/>
        </w:rPr>
        <w:t>Respondents will be assured that neither their participation/non-participation nor any of their responses to items will have any effect on their participation in Agency programs.</w:t>
      </w:r>
    </w:p>
    <w:p w:rsidR="008917C2" w:rsidP="00333BE9" w:rsidRDefault="008917C2" w14:paraId="47B5E50B" w14:textId="2820A35A">
      <w:pPr>
        <w:tabs>
          <w:tab w:val="left" w:pos="-720"/>
        </w:tabs>
        <w:rPr>
          <w:rFonts w:ascii="Times New Roman" w:hAnsi="Times New Roman"/>
          <w:sz w:val="24"/>
          <w:szCs w:val="24"/>
        </w:rPr>
      </w:pPr>
    </w:p>
    <w:p w:rsidR="008917C2" w:rsidP="00333BE9" w:rsidRDefault="00332269" w14:paraId="07276AB2" w14:textId="1DA3F13C">
      <w:pPr>
        <w:tabs>
          <w:tab w:val="left" w:pos="-720"/>
        </w:tabs>
        <w:rPr>
          <w:rFonts w:ascii="Times New Roman" w:hAnsi="Times New Roman"/>
          <w:sz w:val="24"/>
          <w:szCs w:val="24"/>
        </w:rPr>
      </w:pPr>
      <w:r>
        <w:rPr>
          <w:rFonts w:ascii="Times New Roman" w:hAnsi="Times New Roman"/>
          <w:sz w:val="24"/>
          <w:szCs w:val="24"/>
        </w:rPr>
        <w:t>N</w:t>
      </w:r>
      <w:r w:rsidR="008917C2">
        <w:rPr>
          <w:rFonts w:ascii="Times New Roman" w:hAnsi="Times New Roman"/>
          <w:sz w:val="24"/>
          <w:szCs w:val="24"/>
        </w:rPr>
        <w:t>o personally identifiable information will be collected</w:t>
      </w:r>
      <w:r>
        <w:rPr>
          <w:rFonts w:ascii="Times New Roman" w:hAnsi="Times New Roman"/>
          <w:sz w:val="24"/>
          <w:szCs w:val="24"/>
        </w:rPr>
        <w:t xml:space="preserve"> for respondents to the online survey.</w:t>
      </w:r>
    </w:p>
    <w:p w:rsidR="00920C53" w:rsidP="00333BE9" w:rsidRDefault="00920C53" w14:paraId="2D0FEC03" w14:textId="77777777">
      <w:pPr>
        <w:tabs>
          <w:tab w:val="left" w:pos="-720"/>
        </w:tabs>
        <w:rPr>
          <w:rFonts w:ascii="Times New Roman" w:hAnsi="Times New Roman"/>
          <w:sz w:val="24"/>
          <w:szCs w:val="24"/>
        </w:rPr>
      </w:pPr>
    </w:p>
    <w:p w:rsidR="001879E5" w:rsidP="00333BE9"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P="00333BE9" w:rsidRDefault="001879E5" w14:paraId="0D6D045A" w14:textId="1AD93460">
      <w:pPr>
        <w:tabs>
          <w:tab w:val="left" w:pos="-720"/>
          <w:tab w:val="left" w:pos="720"/>
          <w:tab w:val="right" w:pos="10080"/>
        </w:tabs>
        <w:rPr>
          <w:rFonts w:ascii="Times New Roman" w:hAnsi="Times New Roman"/>
          <w:sz w:val="24"/>
          <w:szCs w:val="24"/>
        </w:rPr>
      </w:pPr>
    </w:p>
    <w:p w:rsidR="00920C53" w:rsidP="00333BE9" w:rsidRDefault="00920C53" w14:paraId="19BAFC87" w14:textId="6899BAEA">
      <w:pPr>
        <w:tabs>
          <w:tab w:val="left" w:pos="-720"/>
          <w:tab w:val="left" w:pos="720"/>
          <w:tab w:val="right" w:pos="10080"/>
        </w:tabs>
        <w:rPr>
          <w:rFonts w:ascii="Times New Roman" w:hAnsi="Times New Roman"/>
          <w:sz w:val="24"/>
          <w:szCs w:val="24"/>
        </w:rPr>
      </w:pPr>
      <w:r w:rsidRPr="00920C53">
        <w:rPr>
          <w:rFonts w:ascii="Times New Roman" w:hAnsi="Times New Roman"/>
          <w:sz w:val="24"/>
          <w:szCs w:val="24"/>
        </w:rPr>
        <w:t xml:space="preserve">As a part of the screening process for selecting </w:t>
      </w:r>
      <w:r w:rsidR="007D0A91">
        <w:rPr>
          <w:rFonts w:ascii="Times New Roman" w:hAnsi="Times New Roman"/>
          <w:sz w:val="24"/>
          <w:szCs w:val="24"/>
        </w:rPr>
        <w:t xml:space="preserve">focus group </w:t>
      </w:r>
      <w:r w:rsidRPr="00920C53">
        <w:rPr>
          <w:rFonts w:ascii="Times New Roman" w:hAnsi="Times New Roman"/>
          <w:sz w:val="24"/>
          <w:szCs w:val="24"/>
        </w:rPr>
        <w:t xml:space="preserve">research participants, DoT will collect information on race and ethnicity. </w:t>
      </w:r>
      <w:r w:rsidR="001F3E23">
        <w:rPr>
          <w:rFonts w:ascii="Times New Roman" w:hAnsi="Times New Roman"/>
          <w:sz w:val="24"/>
          <w:szCs w:val="24"/>
        </w:rPr>
        <w:t xml:space="preserve"> </w:t>
      </w:r>
      <w:r w:rsidRPr="00920C53">
        <w:rPr>
          <w:rFonts w:ascii="Times New Roman" w:hAnsi="Times New Roman"/>
          <w:sz w:val="24"/>
          <w:szCs w:val="24"/>
        </w:rPr>
        <w:t xml:space="preserve">This information is necessary </w:t>
      </w:r>
      <w:r w:rsidR="007D0A91">
        <w:rPr>
          <w:rFonts w:ascii="Times New Roman" w:hAnsi="Times New Roman"/>
          <w:sz w:val="24"/>
          <w:szCs w:val="24"/>
        </w:rPr>
        <w:t xml:space="preserve">since the research focus </w:t>
      </w:r>
      <w:r w:rsidRPr="00920C53">
        <w:rPr>
          <w:rFonts w:ascii="Times New Roman" w:hAnsi="Times New Roman"/>
          <w:sz w:val="24"/>
          <w:szCs w:val="24"/>
        </w:rPr>
        <w:t xml:space="preserve">specifically </w:t>
      </w:r>
      <w:r w:rsidR="00585D9A">
        <w:rPr>
          <w:rFonts w:ascii="Times New Roman" w:hAnsi="Times New Roman"/>
          <w:sz w:val="24"/>
          <w:szCs w:val="24"/>
        </w:rPr>
        <w:t>relates to</w:t>
      </w:r>
      <w:r w:rsidR="007D0A91">
        <w:rPr>
          <w:rFonts w:ascii="Times New Roman" w:hAnsi="Times New Roman"/>
          <w:sz w:val="24"/>
          <w:szCs w:val="24"/>
        </w:rPr>
        <w:t xml:space="preserve"> materials for minority audiences</w:t>
      </w:r>
      <w:r w:rsidRPr="00920C53">
        <w:rPr>
          <w:rFonts w:ascii="Times New Roman" w:hAnsi="Times New Roman"/>
          <w:sz w:val="24"/>
          <w:szCs w:val="24"/>
        </w:rPr>
        <w:t xml:space="preserve">. </w:t>
      </w:r>
      <w:r w:rsidR="001F3E23">
        <w:rPr>
          <w:rFonts w:ascii="Times New Roman" w:hAnsi="Times New Roman"/>
          <w:sz w:val="24"/>
          <w:szCs w:val="24"/>
        </w:rPr>
        <w:t xml:space="preserve"> </w:t>
      </w:r>
      <w:r w:rsidRPr="00920C53">
        <w:rPr>
          <w:rFonts w:ascii="Times New Roman" w:hAnsi="Times New Roman"/>
          <w:sz w:val="24"/>
          <w:szCs w:val="24"/>
        </w:rPr>
        <w:t>Many of these audiences are disproportionately represented on transplant waiting lists and have had well documented health disparities.</w:t>
      </w:r>
      <w:r w:rsidR="008917C2">
        <w:rPr>
          <w:rFonts w:ascii="Times New Roman" w:hAnsi="Times New Roman"/>
          <w:sz w:val="24"/>
          <w:szCs w:val="24"/>
        </w:rPr>
        <w:t xml:space="preserve"> </w:t>
      </w:r>
      <w:r w:rsidR="001F3E23">
        <w:rPr>
          <w:rFonts w:ascii="Times New Roman" w:hAnsi="Times New Roman"/>
          <w:sz w:val="24"/>
          <w:szCs w:val="24"/>
        </w:rPr>
        <w:t xml:space="preserve"> </w:t>
      </w:r>
      <w:r w:rsidR="008917C2">
        <w:rPr>
          <w:rFonts w:ascii="Times New Roman" w:hAnsi="Times New Roman"/>
          <w:sz w:val="24"/>
          <w:szCs w:val="24"/>
        </w:rPr>
        <w:t xml:space="preserve">DoT needs to ensure that participants in the sessions can represent the viewpoints of these </w:t>
      </w:r>
      <w:r w:rsidR="00296287">
        <w:rPr>
          <w:rFonts w:ascii="Times New Roman" w:hAnsi="Times New Roman"/>
          <w:sz w:val="24"/>
          <w:szCs w:val="24"/>
        </w:rPr>
        <w:t xml:space="preserve">specific </w:t>
      </w:r>
      <w:r w:rsidR="008917C2">
        <w:rPr>
          <w:rFonts w:ascii="Times New Roman" w:hAnsi="Times New Roman"/>
          <w:sz w:val="24"/>
          <w:szCs w:val="24"/>
        </w:rPr>
        <w:t>audiences.</w:t>
      </w:r>
      <w:r w:rsidR="00332269">
        <w:rPr>
          <w:rFonts w:ascii="Times New Roman" w:hAnsi="Times New Roman"/>
          <w:sz w:val="24"/>
          <w:szCs w:val="24"/>
        </w:rPr>
        <w:t xml:space="preserve"> </w:t>
      </w:r>
      <w:r w:rsidR="001F3E23">
        <w:rPr>
          <w:rFonts w:ascii="Times New Roman" w:hAnsi="Times New Roman"/>
          <w:sz w:val="24"/>
          <w:szCs w:val="24"/>
        </w:rPr>
        <w:t xml:space="preserve"> </w:t>
      </w:r>
      <w:r w:rsidR="00332269">
        <w:rPr>
          <w:rFonts w:ascii="Times New Roman" w:hAnsi="Times New Roman"/>
          <w:sz w:val="24"/>
          <w:szCs w:val="24"/>
        </w:rPr>
        <w:t>No other sensitive information will be collected.</w:t>
      </w:r>
    </w:p>
    <w:p w:rsidR="007D0A91" w:rsidP="00333BE9" w:rsidRDefault="007D0A91" w14:paraId="6A30FA89" w14:textId="74083867">
      <w:pPr>
        <w:tabs>
          <w:tab w:val="left" w:pos="-720"/>
          <w:tab w:val="left" w:pos="720"/>
          <w:tab w:val="right" w:pos="10080"/>
        </w:tabs>
        <w:rPr>
          <w:rFonts w:ascii="Times New Roman" w:hAnsi="Times New Roman"/>
          <w:sz w:val="24"/>
          <w:szCs w:val="24"/>
        </w:rPr>
      </w:pPr>
    </w:p>
    <w:p w:rsidR="001879E5" w:rsidP="00333BE9" w:rsidRDefault="007D0A91" w14:paraId="0D6D0460" w14:textId="000B0CF7">
      <w:pPr>
        <w:tabs>
          <w:tab w:val="left" w:pos="-720"/>
          <w:tab w:val="left" w:pos="720"/>
          <w:tab w:val="right" w:pos="10080"/>
        </w:tabs>
        <w:rPr>
          <w:rFonts w:ascii="Times New Roman" w:hAnsi="Times New Roman"/>
          <w:sz w:val="24"/>
          <w:szCs w:val="24"/>
        </w:rPr>
      </w:pPr>
      <w:r>
        <w:rPr>
          <w:rFonts w:ascii="Times New Roman" w:hAnsi="Times New Roman"/>
          <w:sz w:val="24"/>
          <w:szCs w:val="24"/>
        </w:rPr>
        <w:t xml:space="preserve">The online survey will contain optional questions about race/ethnicity to collect demographic information about survey respondents. </w:t>
      </w:r>
      <w:r w:rsidR="001F3E23">
        <w:rPr>
          <w:rFonts w:ascii="Times New Roman" w:hAnsi="Times New Roman"/>
          <w:sz w:val="24"/>
          <w:szCs w:val="24"/>
        </w:rPr>
        <w:t xml:space="preserve"> </w:t>
      </w:r>
      <w:r>
        <w:rPr>
          <w:rFonts w:ascii="Times New Roman" w:hAnsi="Times New Roman"/>
          <w:sz w:val="24"/>
          <w:szCs w:val="24"/>
        </w:rPr>
        <w:t>These questions will help to ensure that findings can be appropriately applied to inform DoT’s materials</w:t>
      </w:r>
      <w:r w:rsidR="00332269">
        <w:rPr>
          <w:rFonts w:ascii="Times New Roman" w:hAnsi="Times New Roman"/>
          <w:sz w:val="24"/>
          <w:szCs w:val="24"/>
        </w:rPr>
        <w:t>;</w:t>
      </w:r>
      <w:r w:rsidR="008917C2">
        <w:rPr>
          <w:rFonts w:ascii="Times New Roman" w:hAnsi="Times New Roman"/>
          <w:sz w:val="24"/>
          <w:szCs w:val="24"/>
        </w:rPr>
        <w:t xml:space="preserve"> collecting such information is a best practice in all HRSA surveys.</w:t>
      </w:r>
    </w:p>
    <w:p w:rsidR="001879E5" w:rsidP="00333BE9" w:rsidRDefault="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rsidP="00333BE9" w:rsidRDefault="001879E5" w14:paraId="0D6D0462"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P="00333BE9" w:rsidRDefault="001879E5" w14:paraId="0D6D0463" w14:textId="77777777">
      <w:pPr>
        <w:tabs>
          <w:tab w:val="left" w:pos="-720"/>
          <w:tab w:val="left" w:pos="720"/>
          <w:tab w:val="right" w:pos="10080"/>
        </w:tabs>
        <w:rPr>
          <w:rFonts w:ascii="Times New Roman" w:hAnsi="Times New Roman"/>
          <w:sz w:val="24"/>
          <w:szCs w:val="24"/>
          <w:u w:val="single"/>
        </w:rPr>
      </w:pPr>
    </w:p>
    <w:p w:rsidR="00920C53" w:rsidP="00333BE9" w:rsidRDefault="007D0A91" w14:paraId="6EE7F0D6" w14:textId="21923060">
      <w:pPr>
        <w:keepNext/>
        <w:tabs>
          <w:tab w:val="left" w:pos="-1080"/>
          <w:tab w:val="left" w:pos="-720"/>
          <w:tab w:val="left" w:pos="0"/>
          <w:tab w:val="left" w:pos="450"/>
          <w:tab w:val="left" w:pos="720"/>
          <w:tab w:val="left" w:pos="2160"/>
        </w:tabs>
        <w:rPr>
          <w:rFonts w:ascii="Times New Roman" w:hAnsi="Times New Roman"/>
          <w:sz w:val="24"/>
          <w:szCs w:val="24"/>
        </w:rPr>
      </w:pPr>
      <w:r>
        <w:rPr>
          <w:rFonts w:ascii="Times New Roman" w:hAnsi="Times New Roman"/>
          <w:sz w:val="24"/>
          <w:szCs w:val="24"/>
        </w:rPr>
        <w:t>F</w:t>
      </w:r>
      <w:r w:rsidRPr="00FC4270" w:rsidR="00920C53">
        <w:rPr>
          <w:rFonts w:ascii="Times New Roman" w:hAnsi="Times New Roman"/>
          <w:sz w:val="24"/>
          <w:szCs w:val="24"/>
        </w:rPr>
        <w:t xml:space="preserve">ocus groups </w:t>
      </w:r>
      <w:r>
        <w:rPr>
          <w:rFonts w:ascii="Times New Roman" w:hAnsi="Times New Roman"/>
          <w:sz w:val="24"/>
          <w:szCs w:val="24"/>
        </w:rPr>
        <w:t xml:space="preserve">and an online survey </w:t>
      </w:r>
      <w:r w:rsidRPr="00FC4270" w:rsidR="00920C53">
        <w:rPr>
          <w:rFonts w:ascii="Times New Roman" w:hAnsi="Times New Roman"/>
          <w:sz w:val="24"/>
          <w:szCs w:val="24"/>
        </w:rPr>
        <w:t xml:space="preserve">will be used to collect information from respondents. </w:t>
      </w:r>
      <w:r w:rsidR="001F3E23">
        <w:rPr>
          <w:rFonts w:ascii="Times New Roman" w:hAnsi="Times New Roman"/>
          <w:sz w:val="24"/>
          <w:szCs w:val="24"/>
        </w:rPr>
        <w:t xml:space="preserve"> </w:t>
      </w:r>
      <w:r w:rsidRPr="00FC4270" w:rsidR="00920C53">
        <w:rPr>
          <w:rFonts w:ascii="Times New Roman" w:hAnsi="Times New Roman"/>
          <w:sz w:val="24"/>
          <w:szCs w:val="24"/>
        </w:rPr>
        <w:t xml:space="preserve">The annual burden hours requested </w:t>
      </w:r>
      <w:r w:rsidRPr="00F074C3" w:rsidR="00920C53">
        <w:rPr>
          <w:rFonts w:ascii="Times New Roman" w:hAnsi="Times New Roman"/>
          <w:sz w:val="24"/>
          <w:szCs w:val="24"/>
        </w:rPr>
        <w:t>(</w:t>
      </w:r>
      <w:r w:rsidRPr="006C40E5" w:rsidR="006C40E5">
        <w:rPr>
          <w:rFonts w:ascii="Times New Roman" w:hAnsi="Times New Roman"/>
          <w:sz w:val="24"/>
          <w:szCs w:val="24"/>
        </w:rPr>
        <w:t>301</w:t>
      </w:r>
      <w:r w:rsidRPr="006C40E5" w:rsidR="008917C2">
        <w:rPr>
          <w:rFonts w:ascii="Times New Roman" w:hAnsi="Times New Roman"/>
          <w:sz w:val="24"/>
          <w:szCs w:val="24"/>
        </w:rPr>
        <w:t>.</w:t>
      </w:r>
      <w:r w:rsidR="004967CD">
        <w:rPr>
          <w:rFonts w:ascii="Times New Roman" w:hAnsi="Times New Roman"/>
          <w:sz w:val="24"/>
          <w:szCs w:val="24"/>
        </w:rPr>
        <w:t>6</w:t>
      </w:r>
      <w:r w:rsidRPr="006C40E5" w:rsidR="006628FC">
        <w:rPr>
          <w:rFonts w:ascii="Times New Roman" w:hAnsi="Times New Roman"/>
          <w:sz w:val="24"/>
          <w:szCs w:val="24"/>
        </w:rPr>
        <w:t xml:space="preserve"> hours</w:t>
      </w:r>
      <w:r w:rsidRPr="00FC4270" w:rsidR="00920C53">
        <w:rPr>
          <w:rFonts w:ascii="Times New Roman" w:hAnsi="Times New Roman"/>
          <w:sz w:val="24"/>
          <w:szCs w:val="24"/>
        </w:rPr>
        <w:t xml:space="preserve">) are based on the number of collections we expect to conduct over the requested period for this clearance. </w:t>
      </w:r>
      <w:r w:rsidR="001F3E23">
        <w:rPr>
          <w:rFonts w:ascii="Times New Roman" w:hAnsi="Times New Roman"/>
          <w:sz w:val="24"/>
          <w:szCs w:val="24"/>
        </w:rPr>
        <w:t xml:space="preserve"> </w:t>
      </w:r>
    </w:p>
    <w:p w:rsidR="007A78B8" w:rsidP="00333BE9" w:rsidRDefault="007A78B8" w14:paraId="057DC3B8" w14:textId="44CA2B2E">
      <w:pPr>
        <w:keepNext/>
        <w:tabs>
          <w:tab w:val="left" w:pos="-1080"/>
          <w:tab w:val="left" w:pos="-720"/>
          <w:tab w:val="left" w:pos="0"/>
          <w:tab w:val="left" w:pos="450"/>
          <w:tab w:val="left" w:pos="720"/>
          <w:tab w:val="left" w:pos="2160"/>
        </w:tabs>
        <w:rPr>
          <w:rFonts w:ascii="Times New Roman" w:hAnsi="Times New Roman"/>
          <w:sz w:val="24"/>
          <w:szCs w:val="24"/>
        </w:rPr>
      </w:pPr>
    </w:p>
    <w:p w:rsidRPr="004239BD" w:rsidR="00176576" w:rsidP="00333BE9" w:rsidRDefault="00176576" w14:paraId="0D6D0464" w14:textId="11053396">
      <w:pPr>
        <w:pStyle w:val="NormalSS"/>
        <w:ind w:firstLine="0"/>
        <w:jc w:val="left"/>
        <w:rPr>
          <w:i/>
          <w:iCs/>
          <w:szCs w:val="24"/>
        </w:rPr>
      </w:pPr>
      <w:r w:rsidRPr="004239BD">
        <w:rPr>
          <w:i/>
          <w:iCs/>
          <w:szCs w:val="24"/>
        </w:rPr>
        <w:t>Respondents</w:t>
      </w:r>
      <w:r w:rsidR="0033551D">
        <w:rPr>
          <w:i/>
          <w:iCs/>
          <w:szCs w:val="24"/>
        </w:rPr>
        <w:t>:</w:t>
      </w:r>
    </w:p>
    <w:p w:rsidR="00176576" w:rsidP="00333BE9" w:rsidRDefault="00176576" w14:paraId="0D6D0465" w14:textId="343198F1">
      <w:pPr>
        <w:pStyle w:val="NormalSS"/>
        <w:ind w:firstLine="0"/>
        <w:jc w:val="left"/>
        <w:rPr>
          <w:szCs w:val="24"/>
        </w:rPr>
      </w:pPr>
    </w:p>
    <w:p w:rsidR="00F074C3" w:rsidP="00333BE9" w:rsidRDefault="00F074C3" w14:paraId="6DC52473" w14:textId="63B0C2D9">
      <w:pPr>
        <w:pStyle w:val="NormalSS"/>
        <w:ind w:firstLine="0"/>
        <w:jc w:val="left"/>
        <w:rPr>
          <w:szCs w:val="24"/>
        </w:rPr>
      </w:pPr>
      <w:r>
        <w:rPr>
          <w:szCs w:val="24"/>
        </w:rPr>
        <w:t>We anticipate two types of respondents for this research:</w:t>
      </w:r>
    </w:p>
    <w:p w:rsidR="00F074C3" w:rsidP="00333BE9" w:rsidRDefault="002B708C" w14:paraId="613B9B5B" w14:textId="26CD451F">
      <w:pPr>
        <w:pStyle w:val="NormalSS"/>
        <w:numPr>
          <w:ilvl w:val="0"/>
          <w:numId w:val="19"/>
        </w:numPr>
        <w:jc w:val="left"/>
        <w:rPr>
          <w:szCs w:val="24"/>
        </w:rPr>
      </w:pPr>
      <w:r>
        <w:rPr>
          <w:szCs w:val="24"/>
        </w:rPr>
        <w:t>Online f</w:t>
      </w:r>
      <w:r w:rsidR="00F074C3">
        <w:rPr>
          <w:szCs w:val="24"/>
        </w:rPr>
        <w:t xml:space="preserve">ocus group participants will be individuals who support organ donation but who have not registered as organ and tissue donors. </w:t>
      </w:r>
      <w:r w:rsidR="004967CD">
        <w:rPr>
          <w:szCs w:val="24"/>
        </w:rPr>
        <w:t xml:space="preserve"> </w:t>
      </w:r>
      <w:r w:rsidR="00F074C3">
        <w:rPr>
          <w:szCs w:val="24"/>
        </w:rPr>
        <w:t xml:space="preserve">Respondents will primarily represent diverse racial and ethnic backgrounds, including respondents who are </w:t>
      </w:r>
      <w:r w:rsidRPr="004B765F" w:rsidR="00F074C3">
        <w:rPr>
          <w:szCs w:val="24"/>
        </w:rPr>
        <w:t>African American; Asian, Native Hawaiian, or</w:t>
      </w:r>
      <w:r w:rsidR="00612E98">
        <w:rPr>
          <w:szCs w:val="24"/>
        </w:rPr>
        <w:t xml:space="preserve"> other Pacific Islander</w:t>
      </w:r>
      <w:r w:rsidRPr="004B765F" w:rsidR="00F074C3">
        <w:rPr>
          <w:szCs w:val="24"/>
        </w:rPr>
        <w:t>; Hispanic; and Americ</w:t>
      </w:r>
      <w:r w:rsidR="00612E98">
        <w:rPr>
          <w:szCs w:val="24"/>
        </w:rPr>
        <w:t>an Indian/Alaska Native</w:t>
      </w:r>
      <w:r w:rsidR="00F074C3">
        <w:rPr>
          <w:szCs w:val="24"/>
        </w:rPr>
        <w:t>.</w:t>
      </w:r>
      <w:r w:rsidR="00612E98">
        <w:rPr>
          <w:szCs w:val="24"/>
        </w:rPr>
        <w:t xml:space="preserve"> </w:t>
      </w:r>
      <w:r w:rsidR="00F074C3">
        <w:rPr>
          <w:szCs w:val="24"/>
        </w:rPr>
        <w:t xml:space="preserve"> We </w:t>
      </w:r>
      <w:r w:rsidR="00E918F2">
        <w:rPr>
          <w:szCs w:val="24"/>
        </w:rPr>
        <w:t>are planning</w:t>
      </w:r>
      <w:r w:rsidR="00F074C3">
        <w:rPr>
          <w:szCs w:val="24"/>
        </w:rPr>
        <w:t xml:space="preserve"> </w:t>
      </w:r>
      <w:r w:rsidRPr="006C40E5" w:rsidR="006C40E5">
        <w:rPr>
          <w:szCs w:val="24"/>
        </w:rPr>
        <w:t>sixteen</w:t>
      </w:r>
      <w:r w:rsidRPr="006C40E5" w:rsidR="00F074C3">
        <w:rPr>
          <w:szCs w:val="24"/>
        </w:rPr>
        <w:t xml:space="preserve"> focus groups with </w:t>
      </w:r>
      <w:r w:rsidRPr="006C40E5" w:rsidR="006C40E5">
        <w:rPr>
          <w:szCs w:val="24"/>
        </w:rPr>
        <w:t>six</w:t>
      </w:r>
      <w:r w:rsidRPr="006C40E5" w:rsidR="00F074C3">
        <w:rPr>
          <w:szCs w:val="24"/>
        </w:rPr>
        <w:t xml:space="preserve"> respondents each, for a total of </w:t>
      </w:r>
      <w:r w:rsidRPr="006C40E5" w:rsidR="006C40E5">
        <w:rPr>
          <w:szCs w:val="24"/>
        </w:rPr>
        <w:t>96</w:t>
      </w:r>
      <w:r w:rsidRPr="006C40E5" w:rsidR="00F074C3">
        <w:rPr>
          <w:szCs w:val="24"/>
        </w:rPr>
        <w:t xml:space="preserve"> respondents. </w:t>
      </w:r>
      <w:r w:rsidR="00612E98">
        <w:rPr>
          <w:szCs w:val="24"/>
        </w:rPr>
        <w:t xml:space="preserve"> </w:t>
      </w:r>
      <w:r w:rsidRPr="006C40E5" w:rsidR="00F074C3">
        <w:rPr>
          <w:szCs w:val="24"/>
        </w:rPr>
        <w:t>Each respondent</w:t>
      </w:r>
      <w:r w:rsidR="00F074C3">
        <w:rPr>
          <w:szCs w:val="24"/>
        </w:rPr>
        <w:t xml:space="preserve"> will take part in a </w:t>
      </w:r>
      <w:r>
        <w:rPr>
          <w:szCs w:val="24"/>
        </w:rPr>
        <w:t>90-minute</w:t>
      </w:r>
      <w:r w:rsidR="00F074C3">
        <w:rPr>
          <w:szCs w:val="24"/>
        </w:rPr>
        <w:t xml:space="preserve"> session, plus 15 minutes for screening time. </w:t>
      </w:r>
      <w:r w:rsidR="00612E98">
        <w:rPr>
          <w:szCs w:val="24"/>
        </w:rPr>
        <w:t xml:space="preserve"> </w:t>
      </w:r>
      <w:r w:rsidR="00F074C3">
        <w:rPr>
          <w:szCs w:val="24"/>
        </w:rPr>
        <w:t xml:space="preserve">Each respondent will </w:t>
      </w:r>
      <w:r w:rsidR="00CC40FD">
        <w:rPr>
          <w:szCs w:val="24"/>
        </w:rPr>
        <w:t>participate</w:t>
      </w:r>
      <w:r w:rsidR="00F074C3">
        <w:rPr>
          <w:szCs w:val="24"/>
        </w:rPr>
        <w:t xml:space="preserve"> </w:t>
      </w:r>
      <w:r w:rsidR="00E918F2">
        <w:rPr>
          <w:szCs w:val="24"/>
        </w:rPr>
        <w:t>once</w:t>
      </w:r>
      <w:r w:rsidR="00F074C3">
        <w:rPr>
          <w:szCs w:val="24"/>
        </w:rPr>
        <w:t>.</w:t>
      </w:r>
    </w:p>
    <w:p w:rsidR="00332269" w:rsidP="00333BE9" w:rsidRDefault="00332269" w14:paraId="491D76E5" w14:textId="77777777">
      <w:pPr>
        <w:pStyle w:val="NormalSS"/>
        <w:ind w:left="720" w:firstLine="0"/>
        <w:jc w:val="left"/>
        <w:rPr>
          <w:szCs w:val="24"/>
        </w:rPr>
      </w:pPr>
    </w:p>
    <w:p w:rsidR="00F074C3" w:rsidP="00333BE9" w:rsidRDefault="00F074C3" w14:paraId="583E9256" w14:textId="0206E4CF">
      <w:pPr>
        <w:pStyle w:val="NormalSS"/>
        <w:numPr>
          <w:ilvl w:val="0"/>
          <w:numId w:val="19"/>
        </w:numPr>
        <w:jc w:val="left"/>
        <w:rPr>
          <w:szCs w:val="24"/>
        </w:rPr>
      </w:pPr>
      <w:r>
        <w:rPr>
          <w:szCs w:val="24"/>
        </w:rPr>
        <w:t xml:space="preserve">Online survey respondents will be individuals who visit the online registration page at organdonor.gov. </w:t>
      </w:r>
      <w:r w:rsidR="004967CD">
        <w:rPr>
          <w:szCs w:val="24"/>
        </w:rPr>
        <w:t xml:space="preserve"> </w:t>
      </w:r>
      <w:r>
        <w:rPr>
          <w:szCs w:val="24"/>
        </w:rPr>
        <w:t xml:space="preserve">These respondents will be invited to take part in a survey to provide input. </w:t>
      </w:r>
      <w:r w:rsidR="004967CD">
        <w:rPr>
          <w:szCs w:val="24"/>
        </w:rPr>
        <w:t xml:space="preserve"> </w:t>
      </w:r>
      <w:r>
        <w:rPr>
          <w:szCs w:val="24"/>
        </w:rPr>
        <w:t>We expect about 10</w:t>
      </w:r>
      <w:r w:rsidR="001B0752">
        <w:rPr>
          <w:szCs w:val="24"/>
        </w:rPr>
        <w:t xml:space="preserve"> percent</w:t>
      </w:r>
      <w:r>
        <w:rPr>
          <w:szCs w:val="24"/>
        </w:rPr>
        <w:t xml:space="preserve"> of site visitors will take part in the survey</w:t>
      </w:r>
      <w:r w:rsidR="00A55479">
        <w:rPr>
          <w:szCs w:val="24"/>
        </w:rPr>
        <w:t xml:space="preserve"> </w:t>
      </w:r>
      <w:r>
        <w:rPr>
          <w:szCs w:val="24"/>
        </w:rPr>
        <w:t xml:space="preserve">and </w:t>
      </w:r>
      <w:r w:rsidR="00CC40FD">
        <w:rPr>
          <w:szCs w:val="24"/>
        </w:rPr>
        <w:t>will</w:t>
      </w:r>
      <w:r>
        <w:rPr>
          <w:szCs w:val="24"/>
        </w:rPr>
        <w:t xml:space="preserve"> have the survey on the site for about six months. </w:t>
      </w:r>
      <w:r w:rsidR="001B0752">
        <w:rPr>
          <w:szCs w:val="24"/>
        </w:rPr>
        <w:t xml:space="preserve"> </w:t>
      </w:r>
      <w:r>
        <w:rPr>
          <w:szCs w:val="24"/>
        </w:rPr>
        <w:t xml:space="preserve">We anticipate about 800 respondents will take part in the survey. </w:t>
      </w:r>
      <w:r w:rsidR="001B0752">
        <w:rPr>
          <w:szCs w:val="24"/>
        </w:rPr>
        <w:t xml:space="preserve"> </w:t>
      </w:r>
      <w:r>
        <w:rPr>
          <w:szCs w:val="24"/>
        </w:rPr>
        <w:t>Each respondent will participate once, and each response will take about 10 minutes (0.167 hours).</w:t>
      </w:r>
    </w:p>
    <w:p w:rsidRPr="008C13E2" w:rsidR="008C13E2" w:rsidP="00333BE9" w:rsidRDefault="008C13E2" w14:paraId="0D6D0469" w14:textId="77777777">
      <w:pPr>
        <w:widowControl/>
        <w:tabs>
          <w:tab w:val="num" w:pos="990"/>
        </w:tabs>
        <w:rPr>
          <w:rFonts w:ascii="Times New Roman" w:hAnsi="Times New Roman"/>
          <w:sz w:val="24"/>
        </w:rPr>
      </w:pPr>
    </w:p>
    <w:p w:rsidRPr="004239BD" w:rsidR="00176576" w:rsidP="00333BE9" w:rsidRDefault="00176576" w14:paraId="0D6D046A" w14:textId="77777777">
      <w:pPr>
        <w:pStyle w:val="NormalSS"/>
        <w:ind w:firstLine="0"/>
        <w:jc w:val="left"/>
        <w:rPr>
          <w:i/>
          <w:iCs/>
          <w:szCs w:val="24"/>
        </w:rPr>
      </w:pPr>
      <w:r w:rsidRPr="004239BD">
        <w:rPr>
          <w:i/>
          <w:iCs/>
          <w:szCs w:val="24"/>
        </w:rPr>
        <w:t>Annual burden estimates</w:t>
      </w:r>
      <w:r w:rsidR="0033551D">
        <w:rPr>
          <w:i/>
          <w:iCs/>
          <w:szCs w:val="24"/>
        </w:rPr>
        <w:t>:</w:t>
      </w:r>
    </w:p>
    <w:p w:rsidRPr="004239BD" w:rsidR="00176576" w:rsidP="00333BE9" w:rsidRDefault="00176576" w14:paraId="0D6D046B" w14:textId="77777777">
      <w:pPr>
        <w:pStyle w:val="NormalSS"/>
        <w:ind w:firstLine="0"/>
        <w:jc w:val="left"/>
        <w:rPr>
          <w:szCs w:val="24"/>
        </w:rPr>
      </w:pPr>
    </w:p>
    <w:p w:rsidRPr="004239BD" w:rsidR="00176576" w:rsidP="00333BE9" w:rsidRDefault="00176576" w14:paraId="0D6D046C" w14:textId="77777777">
      <w:pPr>
        <w:pStyle w:val="NormalSS"/>
        <w:ind w:firstLine="0"/>
        <w:jc w:val="left"/>
        <w:rPr>
          <w:szCs w:val="24"/>
        </w:rPr>
      </w:pPr>
    </w:p>
    <w:tbl>
      <w:tblPr>
        <w:tblW w:w="1026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1440"/>
        <w:gridCol w:w="1260"/>
        <w:gridCol w:w="1260"/>
        <w:gridCol w:w="1260"/>
        <w:gridCol w:w="900"/>
        <w:gridCol w:w="900"/>
        <w:gridCol w:w="1170"/>
      </w:tblGrid>
      <w:tr w:rsidRPr="004239BD" w:rsidR="007D1E4C" w:rsidTr="004113EE" w14:paraId="0D6D0475" w14:textId="77777777">
        <w:tc>
          <w:tcPr>
            <w:tcW w:w="2070" w:type="dxa"/>
          </w:tcPr>
          <w:p w:rsidRPr="0019133F" w:rsidR="00176576" w:rsidP="00333BE9" w:rsidRDefault="00176576" w14:paraId="0D6D046D" w14:textId="77777777">
            <w:pPr>
              <w:rPr>
                <w:rFonts w:ascii="Times New Roman" w:hAnsi="Times New Roman"/>
                <w:sz w:val="22"/>
                <w:szCs w:val="22"/>
              </w:rPr>
            </w:pPr>
            <w:r w:rsidRPr="0019133F">
              <w:rPr>
                <w:rFonts w:ascii="Times New Roman" w:hAnsi="Times New Roman"/>
                <w:sz w:val="22"/>
                <w:szCs w:val="22"/>
              </w:rPr>
              <w:t>Type of Collection</w:t>
            </w:r>
          </w:p>
        </w:tc>
        <w:tc>
          <w:tcPr>
            <w:tcW w:w="1440" w:type="dxa"/>
          </w:tcPr>
          <w:p w:rsidRPr="0019133F" w:rsidR="00176576" w:rsidP="004113EE" w:rsidRDefault="00176576" w14:paraId="0D6D046E" w14:textId="77777777">
            <w:pPr>
              <w:jc w:val="right"/>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Pr="0019133F" w:rsidR="00176576" w:rsidP="004113EE" w:rsidRDefault="00176576" w14:paraId="0D6D046F" w14:textId="77777777">
            <w:pPr>
              <w:pStyle w:val="Center"/>
              <w:spacing w:line="240" w:lineRule="auto"/>
              <w:jc w:val="right"/>
              <w:rPr>
                <w:sz w:val="22"/>
                <w:szCs w:val="22"/>
              </w:rPr>
            </w:pPr>
            <w:r w:rsidRPr="0019133F">
              <w:rPr>
                <w:sz w:val="22"/>
                <w:szCs w:val="22"/>
              </w:rPr>
              <w:t>Responses per Respondent</w:t>
            </w:r>
          </w:p>
        </w:tc>
        <w:tc>
          <w:tcPr>
            <w:tcW w:w="1260" w:type="dxa"/>
          </w:tcPr>
          <w:p w:rsidRPr="0019133F" w:rsidR="00176576" w:rsidP="004113EE" w:rsidRDefault="00176576" w14:paraId="0D6D0470" w14:textId="77777777">
            <w:pPr>
              <w:jc w:val="right"/>
              <w:rPr>
                <w:rFonts w:ascii="Times New Roman" w:hAnsi="Times New Roman"/>
                <w:sz w:val="22"/>
                <w:szCs w:val="22"/>
              </w:rPr>
            </w:pPr>
            <w:r w:rsidRPr="0019133F">
              <w:rPr>
                <w:rFonts w:ascii="Times New Roman" w:hAnsi="Times New Roman"/>
                <w:sz w:val="22"/>
                <w:szCs w:val="22"/>
              </w:rPr>
              <w:t>Total Responses</w:t>
            </w:r>
          </w:p>
        </w:tc>
        <w:tc>
          <w:tcPr>
            <w:tcW w:w="1260" w:type="dxa"/>
          </w:tcPr>
          <w:p w:rsidRPr="0019133F" w:rsidR="00176576" w:rsidP="004113EE" w:rsidRDefault="00176576" w14:paraId="0D6D0471" w14:textId="77777777">
            <w:pPr>
              <w:jc w:val="right"/>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4113EE" w:rsidRDefault="00176576" w14:paraId="0D6D0472" w14:textId="77777777">
            <w:pPr>
              <w:jc w:val="right"/>
              <w:rPr>
                <w:rFonts w:ascii="Times New Roman" w:hAnsi="Times New Roman"/>
                <w:sz w:val="22"/>
                <w:szCs w:val="22"/>
              </w:rPr>
            </w:pPr>
            <w:r w:rsidRPr="0019133F">
              <w:rPr>
                <w:rFonts w:ascii="Times New Roman" w:hAnsi="Times New Roman"/>
                <w:sz w:val="22"/>
                <w:szCs w:val="22"/>
              </w:rPr>
              <w:t>Total Burden Hours</w:t>
            </w:r>
          </w:p>
        </w:tc>
        <w:tc>
          <w:tcPr>
            <w:tcW w:w="900" w:type="dxa"/>
          </w:tcPr>
          <w:p w:rsidRPr="0019133F" w:rsidR="00176576" w:rsidP="004113EE" w:rsidRDefault="00176576" w14:paraId="0D6D0473" w14:textId="77777777">
            <w:pPr>
              <w:jc w:val="right"/>
              <w:rPr>
                <w:rFonts w:ascii="Times New Roman" w:hAnsi="Times New Roman"/>
                <w:sz w:val="22"/>
                <w:szCs w:val="22"/>
              </w:rPr>
            </w:pPr>
            <w:r w:rsidRPr="0019133F">
              <w:rPr>
                <w:rFonts w:ascii="Times New Roman" w:hAnsi="Times New Roman"/>
                <w:sz w:val="22"/>
                <w:szCs w:val="22"/>
              </w:rPr>
              <w:t>Wage Rate</w:t>
            </w:r>
          </w:p>
        </w:tc>
        <w:tc>
          <w:tcPr>
            <w:tcW w:w="1170" w:type="dxa"/>
          </w:tcPr>
          <w:p w:rsidRPr="0019133F" w:rsidR="00176576" w:rsidP="004113EE" w:rsidRDefault="00176576" w14:paraId="0D6D0474" w14:textId="77777777">
            <w:pPr>
              <w:jc w:val="right"/>
              <w:rPr>
                <w:rFonts w:ascii="Times New Roman" w:hAnsi="Times New Roman"/>
                <w:sz w:val="22"/>
                <w:szCs w:val="22"/>
              </w:rPr>
            </w:pPr>
            <w:r w:rsidRPr="0019133F">
              <w:rPr>
                <w:rFonts w:ascii="Times New Roman" w:hAnsi="Times New Roman"/>
                <w:sz w:val="22"/>
                <w:szCs w:val="22"/>
              </w:rPr>
              <w:t>Total Hour Cost</w:t>
            </w:r>
          </w:p>
        </w:tc>
      </w:tr>
      <w:tr w:rsidRPr="00531A2A" w:rsidR="007D1E4C" w:rsidTr="004113EE" w14:paraId="0D6D047E" w14:textId="77777777">
        <w:trPr>
          <w:trHeight w:val="552"/>
        </w:trPr>
        <w:tc>
          <w:tcPr>
            <w:tcW w:w="2070" w:type="dxa"/>
            <w:vAlign w:val="center"/>
          </w:tcPr>
          <w:p w:rsidRPr="00332269" w:rsidR="00176576" w:rsidP="00333BE9" w:rsidRDefault="00F42FE1" w14:paraId="0D6D0476" w14:textId="60169498">
            <w:pPr>
              <w:pStyle w:val="TOC1"/>
              <w:rPr>
                <w:sz w:val="22"/>
                <w:szCs w:val="22"/>
              </w:rPr>
            </w:pPr>
            <w:r>
              <w:rPr>
                <w:sz w:val="22"/>
                <w:szCs w:val="22"/>
              </w:rPr>
              <w:t>Online f</w:t>
            </w:r>
            <w:r w:rsidRPr="00332269" w:rsidR="00EE32EB">
              <w:rPr>
                <w:sz w:val="22"/>
                <w:szCs w:val="22"/>
              </w:rPr>
              <w:t>ocus groups</w:t>
            </w:r>
            <w:r w:rsidRPr="00332269" w:rsidR="007B2471">
              <w:rPr>
                <w:sz w:val="22"/>
                <w:szCs w:val="22"/>
              </w:rPr>
              <w:t xml:space="preserve"> </w:t>
            </w:r>
          </w:p>
        </w:tc>
        <w:tc>
          <w:tcPr>
            <w:tcW w:w="1440" w:type="dxa"/>
            <w:vAlign w:val="center"/>
          </w:tcPr>
          <w:p w:rsidRPr="00332269" w:rsidR="00176576" w:rsidP="004113EE" w:rsidRDefault="006C40E5" w14:paraId="0D6D0477" w14:textId="6F69E6DA">
            <w:pPr>
              <w:jc w:val="right"/>
              <w:rPr>
                <w:rFonts w:ascii="Times New Roman" w:hAnsi="Times New Roman"/>
                <w:sz w:val="22"/>
                <w:szCs w:val="22"/>
              </w:rPr>
            </w:pPr>
            <w:r>
              <w:rPr>
                <w:rFonts w:ascii="Times New Roman" w:hAnsi="Times New Roman"/>
                <w:sz w:val="22"/>
                <w:szCs w:val="22"/>
              </w:rPr>
              <w:t>96</w:t>
            </w:r>
          </w:p>
        </w:tc>
        <w:tc>
          <w:tcPr>
            <w:tcW w:w="1260" w:type="dxa"/>
            <w:vAlign w:val="center"/>
          </w:tcPr>
          <w:p w:rsidRPr="00332269" w:rsidR="00176576" w:rsidP="004113EE" w:rsidRDefault="00EE32EB" w14:paraId="0D6D0478" w14:textId="6447C3E7">
            <w:pPr>
              <w:pStyle w:val="Center"/>
              <w:spacing w:line="240" w:lineRule="auto"/>
              <w:jc w:val="right"/>
              <w:rPr>
                <w:sz w:val="22"/>
                <w:szCs w:val="22"/>
              </w:rPr>
            </w:pPr>
            <w:r w:rsidRPr="00332269">
              <w:rPr>
                <w:sz w:val="22"/>
                <w:szCs w:val="22"/>
              </w:rPr>
              <w:t>1</w:t>
            </w:r>
          </w:p>
        </w:tc>
        <w:tc>
          <w:tcPr>
            <w:tcW w:w="1260" w:type="dxa"/>
            <w:vAlign w:val="center"/>
          </w:tcPr>
          <w:p w:rsidRPr="00332269" w:rsidR="00176576" w:rsidP="004113EE" w:rsidRDefault="006C40E5" w14:paraId="0D6D0479" w14:textId="5DDC74A5">
            <w:pPr>
              <w:jc w:val="right"/>
              <w:rPr>
                <w:rFonts w:ascii="Times New Roman" w:hAnsi="Times New Roman"/>
                <w:sz w:val="22"/>
                <w:szCs w:val="22"/>
              </w:rPr>
            </w:pPr>
            <w:r>
              <w:rPr>
                <w:rFonts w:ascii="Times New Roman" w:hAnsi="Times New Roman"/>
                <w:sz w:val="22"/>
                <w:szCs w:val="22"/>
              </w:rPr>
              <w:t>96</w:t>
            </w:r>
          </w:p>
        </w:tc>
        <w:tc>
          <w:tcPr>
            <w:tcW w:w="1260" w:type="dxa"/>
            <w:vAlign w:val="center"/>
          </w:tcPr>
          <w:p w:rsidRPr="00332269" w:rsidR="00176576" w:rsidP="004113EE" w:rsidRDefault="002B708C" w14:paraId="0D6D047A" w14:textId="3056105A">
            <w:pPr>
              <w:jc w:val="right"/>
              <w:rPr>
                <w:rFonts w:ascii="Times New Roman" w:hAnsi="Times New Roman"/>
                <w:sz w:val="22"/>
                <w:szCs w:val="22"/>
              </w:rPr>
            </w:pPr>
            <w:r>
              <w:rPr>
                <w:rFonts w:ascii="Times New Roman" w:hAnsi="Times New Roman"/>
                <w:sz w:val="22"/>
                <w:szCs w:val="22"/>
              </w:rPr>
              <w:t>1.75</w:t>
            </w:r>
          </w:p>
        </w:tc>
        <w:tc>
          <w:tcPr>
            <w:tcW w:w="900" w:type="dxa"/>
            <w:vAlign w:val="center"/>
          </w:tcPr>
          <w:p w:rsidRPr="00332269" w:rsidR="00176576" w:rsidP="004113EE" w:rsidRDefault="006C40E5" w14:paraId="0D6D047B" w14:textId="1C0529EB">
            <w:pPr>
              <w:jc w:val="right"/>
              <w:rPr>
                <w:rFonts w:ascii="Times New Roman" w:hAnsi="Times New Roman"/>
                <w:sz w:val="22"/>
                <w:szCs w:val="22"/>
              </w:rPr>
            </w:pPr>
            <w:r>
              <w:rPr>
                <w:rFonts w:ascii="Times New Roman" w:hAnsi="Times New Roman"/>
                <w:sz w:val="22"/>
                <w:szCs w:val="22"/>
              </w:rPr>
              <w:t>168</w:t>
            </w:r>
          </w:p>
        </w:tc>
        <w:tc>
          <w:tcPr>
            <w:tcW w:w="900" w:type="dxa"/>
            <w:vAlign w:val="center"/>
          </w:tcPr>
          <w:p w:rsidRPr="00332269" w:rsidR="00176576" w:rsidP="004113EE" w:rsidRDefault="00EE32EB" w14:paraId="0D6D047C" w14:textId="577C5640">
            <w:pPr>
              <w:jc w:val="right"/>
              <w:rPr>
                <w:rFonts w:ascii="Times New Roman" w:hAnsi="Times New Roman"/>
                <w:sz w:val="22"/>
                <w:szCs w:val="22"/>
              </w:rPr>
            </w:pPr>
            <w:r w:rsidRPr="00332269">
              <w:rPr>
                <w:rFonts w:ascii="Times New Roman" w:hAnsi="Times New Roman"/>
                <w:sz w:val="22"/>
                <w:szCs w:val="22"/>
              </w:rPr>
              <w:t>$25.72</w:t>
            </w:r>
          </w:p>
        </w:tc>
        <w:tc>
          <w:tcPr>
            <w:tcW w:w="1170" w:type="dxa"/>
            <w:vAlign w:val="center"/>
          </w:tcPr>
          <w:p w:rsidRPr="00332269" w:rsidR="00176576" w:rsidP="004113EE" w:rsidRDefault="00EE32EB" w14:paraId="0D6D047D" w14:textId="6F2A4CAB">
            <w:pPr>
              <w:jc w:val="right"/>
              <w:rPr>
                <w:rFonts w:ascii="Times New Roman" w:hAnsi="Times New Roman"/>
                <w:sz w:val="22"/>
                <w:szCs w:val="22"/>
              </w:rPr>
            </w:pPr>
            <w:r w:rsidRPr="00332269">
              <w:rPr>
                <w:rFonts w:ascii="Times New Roman" w:hAnsi="Times New Roman"/>
                <w:sz w:val="22"/>
                <w:szCs w:val="22"/>
              </w:rPr>
              <w:t>$</w:t>
            </w:r>
            <w:r w:rsidR="006C40E5">
              <w:rPr>
                <w:rFonts w:ascii="Times New Roman" w:hAnsi="Times New Roman"/>
                <w:sz w:val="22"/>
                <w:szCs w:val="22"/>
              </w:rPr>
              <w:t>4,320.96</w:t>
            </w:r>
          </w:p>
        </w:tc>
      </w:tr>
      <w:tr w:rsidRPr="00531A2A" w:rsidR="00EE32EB" w:rsidTr="004113EE" w14:paraId="00197461" w14:textId="77777777">
        <w:trPr>
          <w:trHeight w:val="552"/>
        </w:trPr>
        <w:tc>
          <w:tcPr>
            <w:tcW w:w="2070" w:type="dxa"/>
            <w:vAlign w:val="center"/>
          </w:tcPr>
          <w:p w:rsidRPr="00332269" w:rsidR="00EE32EB" w:rsidP="00333BE9" w:rsidRDefault="00EE32EB" w14:paraId="76FD6A2B" w14:textId="6D3C3022">
            <w:pPr>
              <w:pStyle w:val="TOC1"/>
              <w:rPr>
                <w:sz w:val="22"/>
                <w:szCs w:val="22"/>
              </w:rPr>
            </w:pPr>
            <w:r w:rsidRPr="00332269">
              <w:rPr>
                <w:sz w:val="22"/>
                <w:szCs w:val="22"/>
              </w:rPr>
              <w:t>Online survey</w:t>
            </w:r>
          </w:p>
        </w:tc>
        <w:tc>
          <w:tcPr>
            <w:tcW w:w="1440" w:type="dxa"/>
            <w:vAlign w:val="center"/>
          </w:tcPr>
          <w:p w:rsidRPr="00332269" w:rsidR="00EE32EB" w:rsidP="004113EE" w:rsidRDefault="00EE32EB" w14:paraId="72DEF17F" w14:textId="752909D5">
            <w:pPr>
              <w:jc w:val="right"/>
              <w:rPr>
                <w:rFonts w:ascii="Times New Roman" w:hAnsi="Times New Roman"/>
                <w:sz w:val="22"/>
                <w:szCs w:val="22"/>
              </w:rPr>
            </w:pPr>
            <w:r w:rsidRPr="00332269">
              <w:rPr>
                <w:rFonts w:ascii="Times New Roman" w:hAnsi="Times New Roman"/>
                <w:sz w:val="22"/>
                <w:szCs w:val="22"/>
              </w:rPr>
              <w:t>800</w:t>
            </w:r>
          </w:p>
        </w:tc>
        <w:tc>
          <w:tcPr>
            <w:tcW w:w="1260" w:type="dxa"/>
            <w:vAlign w:val="center"/>
          </w:tcPr>
          <w:p w:rsidRPr="00332269" w:rsidR="00EE32EB" w:rsidP="004113EE" w:rsidRDefault="00EE32EB" w14:paraId="6DE39B55" w14:textId="426B20D9">
            <w:pPr>
              <w:pStyle w:val="Center"/>
              <w:spacing w:line="240" w:lineRule="auto"/>
              <w:jc w:val="right"/>
              <w:rPr>
                <w:sz w:val="22"/>
                <w:szCs w:val="22"/>
              </w:rPr>
            </w:pPr>
            <w:r w:rsidRPr="00332269">
              <w:rPr>
                <w:sz w:val="22"/>
                <w:szCs w:val="22"/>
              </w:rPr>
              <w:t>1</w:t>
            </w:r>
          </w:p>
        </w:tc>
        <w:tc>
          <w:tcPr>
            <w:tcW w:w="1260" w:type="dxa"/>
            <w:vAlign w:val="center"/>
          </w:tcPr>
          <w:p w:rsidRPr="00332269" w:rsidR="00EE32EB" w:rsidP="004113EE" w:rsidRDefault="00EE32EB" w14:paraId="4FCAF201" w14:textId="20B535D2">
            <w:pPr>
              <w:jc w:val="right"/>
              <w:rPr>
                <w:rFonts w:ascii="Times New Roman" w:hAnsi="Times New Roman"/>
                <w:sz w:val="22"/>
                <w:szCs w:val="22"/>
              </w:rPr>
            </w:pPr>
            <w:r w:rsidRPr="00332269">
              <w:rPr>
                <w:rFonts w:ascii="Times New Roman" w:hAnsi="Times New Roman"/>
                <w:sz w:val="22"/>
                <w:szCs w:val="22"/>
              </w:rPr>
              <w:t>800</w:t>
            </w:r>
          </w:p>
        </w:tc>
        <w:tc>
          <w:tcPr>
            <w:tcW w:w="1260" w:type="dxa"/>
            <w:vAlign w:val="center"/>
          </w:tcPr>
          <w:p w:rsidRPr="00332269" w:rsidR="00EE32EB" w:rsidP="004113EE" w:rsidRDefault="00EE32EB" w14:paraId="37B30062" w14:textId="621A3582">
            <w:pPr>
              <w:jc w:val="right"/>
              <w:rPr>
                <w:rFonts w:ascii="Times New Roman" w:hAnsi="Times New Roman"/>
                <w:sz w:val="22"/>
                <w:szCs w:val="22"/>
              </w:rPr>
            </w:pPr>
            <w:r w:rsidRPr="00332269">
              <w:rPr>
                <w:rFonts w:ascii="Times New Roman" w:hAnsi="Times New Roman"/>
                <w:sz w:val="22"/>
                <w:szCs w:val="22"/>
              </w:rPr>
              <w:t>0.167</w:t>
            </w:r>
          </w:p>
        </w:tc>
        <w:tc>
          <w:tcPr>
            <w:tcW w:w="900" w:type="dxa"/>
            <w:vAlign w:val="center"/>
          </w:tcPr>
          <w:p w:rsidRPr="00332269" w:rsidR="00EE32EB" w:rsidP="004113EE" w:rsidRDefault="00EE32EB" w14:paraId="69227848" w14:textId="5B0435EA">
            <w:pPr>
              <w:jc w:val="right"/>
              <w:rPr>
                <w:rFonts w:ascii="Times New Roman" w:hAnsi="Times New Roman"/>
                <w:sz w:val="22"/>
                <w:szCs w:val="22"/>
              </w:rPr>
            </w:pPr>
            <w:r w:rsidRPr="00332269">
              <w:rPr>
                <w:rFonts w:ascii="Times New Roman" w:hAnsi="Times New Roman"/>
                <w:sz w:val="22"/>
                <w:szCs w:val="22"/>
              </w:rPr>
              <w:t>133.</w:t>
            </w:r>
            <w:r w:rsidR="00E313FC">
              <w:rPr>
                <w:rFonts w:ascii="Times New Roman" w:hAnsi="Times New Roman"/>
                <w:sz w:val="22"/>
                <w:szCs w:val="22"/>
              </w:rPr>
              <w:t>6</w:t>
            </w:r>
          </w:p>
        </w:tc>
        <w:tc>
          <w:tcPr>
            <w:tcW w:w="900" w:type="dxa"/>
            <w:vAlign w:val="center"/>
          </w:tcPr>
          <w:p w:rsidRPr="00332269" w:rsidR="00EE32EB" w:rsidP="004113EE" w:rsidRDefault="00EE32EB" w14:paraId="6A6D4356" w14:textId="398E9F1F">
            <w:pPr>
              <w:jc w:val="right"/>
              <w:rPr>
                <w:rFonts w:ascii="Times New Roman" w:hAnsi="Times New Roman"/>
                <w:sz w:val="22"/>
                <w:szCs w:val="22"/>
              </w:rPr>
            </w:pPr>
            <w:r w:rsidRPr="00332269">
              <w:rPr>
                <w:rFonts w:ascii="Times New Roman" w:hAnsi="Times New Roman"/>
                <w:sz w:val="22"/>
                <w:szCs w:val="22"/>
              </w:rPr>
              <w:t>$25.72</w:t>
            </w:r>
          </w:p>
        </w:tc>
        <w:tc>
          <w:tcPr>
            <w:tcW w:w="1170" w:type="dxa"/>
            <w:vAlign w:val="center"/>
          </w:tcPr>
          <w:p w:rsidRPr="00332269" w:rsidR="00EE32EB" w:rsidP="004113EE" w:rsidRDefault="00C22DFD" w14:paraId="7CBD2AA2" w14:textId="38382D8B">
            <w:pPr>
              <w:jc w:val="right"/>
              <w:rPr>
                <w:rFonts w:ascii="Times New Roman" w:hAnsi="Times New Roman"/>
                <w:sz w:val="22"/>
                <w:szCs w:val="22"/>
              </w:rPr>
            </w:pPr>
            <w:r w:rsidRPr="00332269">
              <w:rPr>
                <w:rFonts w:ascii="Times New Roman" w:hAnsi="Times New Roman"/>
                <w:sz w:val="22"/>
                <w:szCs w:val="22"/>
              </w:rPr>
              <w:t>$3,4</w:t>
            </w:r>
            <w:r w:rsidR="00E313FC">
              <w:rPr>
                <w:rFonts w:ascii="Times New Roman" w:hAnsi="Times New Roman"/>
                <w:sz w:val="22"/>
                <w:szCs w:val="22"/>
              </w:rPr>
              <w:t>36</w:t>
            </w:r>
            <w:r w:rsidRPr="00332269">
              <w:rPr>
                <w:rFonts w:ascii="Times New Roman" w:hAnsi="Times New Roman"/>
                <w:sz w:val="22"/>
                <w:szCs w:val="22"/>
              </w:rPr>
              <w:t>.</w:t>
            </w:r>
            <w:r w:rsidR="00E313FC">
              <w:rPr>
                <w:rFonts w:ascii="Times New Roman" w:hAnsi="Times New Roman"/>
                <w:sz w:val="22"/>
                <w:szCs w:val="22"/>
              </w:rPr>
              <w:t>19</w:t>
            </w:r>
          </w:p>
        </w:tc>
      </w:tr>
      <w:tr w:rsidRPr="00E313FC" w:rsidR="007D1E4C" w:rsidTr="004113EE" w14:paraId="0D6D0487" w14:textId="77777777">
        <w:trPr>
          <w:trHeight w:val="552"/>
        </w:trPr>
        <w:tc>
          <w:tcPr>
            <w:tcW w:w="2070" w:type="dxa"/>
            <w:vAlign w:val="center"/>
          </w:tcPr>
          <w:p w:rsidRPr="004113EE" w:rsidR="00176576" w:rsidP="00333BE9" w:rsidRDefault="0033551D" w14:paraId="0D6D047F" w14:textId="77777777">
            <w:pPr>
              <w:rPr>
                <w:rFonts w:ascii="Times New Roman" w:hAnsi="Times New Roman"/>
                <w:b/>
                <w:sz w:val="22"/>
                <w:szCs w:val="22"/>
              </w:rPr>
            </w:pPr>
            <w:r w:rsidRPr="004113EE">
              <w:rPr>
                <w:rFonts w:ascii="Times New Roman" w:hAnsi="Times New Roman"/>
                <w:b/>
                <w:sz w:val="22"/>
                <w:szCs w:val="22"/>
              </w:rPr>
              <w:t>Total</w:t>
            </w:r>
          </w:p>
        </w:tc>
        <w:tc>
          <w:tcPr>
            <w:tcW w:w="1440" w:type="dxa"/>
            <w:vAlign w:val="center"/>
          </w:tcPr>
          <w:p w:rsidRPr="004113EE" w:rsidR="00176576" w:rsidP="004113EE" w:rsidRDefault="00C22DFD" w14:paraId="0D6D0480" w14:textId="6455B505">
            <w:pPr>
              <w:jc w:val="right"/>
              <w:rPr>
                <w:rFonts w:ascii="Times New Roman" w:hAnsi="Times New Roman"/>
                <w:b/>
                <w:sz w:val="22"/>
                <w:szCs w:val="22"/>
              </w:rPr>
            </w:pPr>
            <w:r w:rsidRPr="004113EE">
              <w:rPr>
                <w:rFonts w:ascii="Times New Roman" w:hAnsi="Times New Roman"/>
                <w:b/>
                <w:sz w:val="22"/>
                <w:szCs w:val="22"/>
              </w:rPr>
              <w:t>8</w:t>
            </w:r>
            <w:r w:rsidRPr="004113EE" w:rsidR="006C40E5">
              <w:rPr>
                <w:rFonts w:ascii="Times New Roman" w:hAnsi="Times New Roman"/>
                <w:b/>
                <w:sz w:val="22"/>
                <w:szCs w:val="22"/>
              </w:rPr>
              <w:t>96</w:t>
            </w:r>
          </w:p>
        </w:tc>
        <w:tc>
          <w:tcPr>
            <w:tcW w:w="1260" w:type="dxa"/>
            <w:vAlign w:val="center"/>
          </w:tcPr>
          <w:p w:rsidRPr="004113EE" w:rsidR="00176576" w:rsidP="004113EE" w:rsidRDefault="00176576" w14:paraId="0D6D0481" w14:textId="49E2FE38">
            <w:pPr>
              <w:jc w:val="right"/>
              <w:rPr>
                <w:rFonts w:ascii="Times New Roman" w:hAnsi="Times New Roman"/>
                <w:b/>
                <w:sz w:val="22"/>
                <w:szCs w:val="22"/>
              </w:rPr>
            </w:pPr>
          </w:p>
        </w:tc>
        <w:tc>
          <w:tcPr>
            <w:tcW w:w="1260" w:type="dxa"/>
            <w:vAlign w:val="center"/>
          </w:tcPr>
          <w:p w:rsidRPr="004113EE" w:rsidR="00176576" w:rsidP="004113EE" w:rsidRDefault="00C22DFD" w14:paraId="0D6D0482" w14:textId="549B758B">
            <w:pPr>
              <w:jc w:val="right"/>
              <w:rPr>
                <w:rFonts w:ascii="Times New Roman" w:hAnsi="Times New Roman"/>
                <w:b/>
                <w:sz w:val="22"/>
                <w:szCs w:val="22"/>
              </w:rPr>
            </w:pPr>
            <w:r w:rsidRPr="004113EE">
              <w:rPr>
                <w:rFonts w:ascii="Times New Roman" w:hAnsi="Times New Roman"/>
                <w:b/>
                <w:sz w:val="22"/>
                <w:szCs w:val="22"/>
              </w:rPr>
              <w:t>8</w:t>
            </w:r>
            <w:r w:rsidRPr="004113EE" w:rsidR="006C40E5">
              <w:rPr>
                <w:rFonts w:ascii="Times New Roman" w:hAnsi="Times New Roman"/>
                <w:b/>
                <w:sz w:val="22"/>
                <w:szCs w:val="22"/>
              </w:rPr>
              <w:t>96</w:t>
            </w:r>
          </w:p>
        </w:tc>
        <w:tc>
          <w:tcPr>
            <w:tcW w:w="1260" w:type="dxa"/>
            <w:vAlign w:val="center"/>
          </w:tcPr>
          <w:p w:rsidRPr="004113EE" w:rsidR="00176576" w:rsidP="004113EE" w:rsidRDefault="00176576" w14:paraId="0D6D0483" w14:textId="77777777">
            <w:pPr>
              <w:jc w:val="right"/>
              <w:rPr>
                <w:rFonts w:ascii="Times New Roman" w:hAnsi="Times New Roman"/>
                <w:b/>
                <w:sz w:val="22"/>
                <w:szCs w:val="22"/>
              </w:rPr>
            </w:pPr>
          </w:p>
        </w:tc>
        <w:tc>
          <w:tcPr>
            <w:tcW w:w="900" w:type="dxa"/>
            <w:vAlign w:val="center"/>
          </w:tcPr>
          <w:p w:rsidRPr="004113EE" w:rsidR="00176576" w:rsidP="004113EE" w:rsidRDefault="006C40E5" w14:paraId="0D6D0484" w14:textId="5E37FF77">
            <w:pPr>
              <w:jc w:val="right"/>
              <w:rPr>
                <w:rFonts w:ascii="Times New Roman" w:hAnsi="Times New Roman"/>
                <w:b/>
                <w:sz w:val="22"/>
                <w:szCs w:val="22"/>
              </w:rPr>
            </w:pPr>
            <w:r w:rsidRPr="004113EE">
              <w:rPr>
                <w:rFonts w:ascii="Times New Roman" w:hAnsi="Times New Roman"/>
                <w:b/>
                <w:sz w:val="22"/>
                <w:szCs w:val="22"/>
              </w:rPr>
              <w:t>301</w:t>
            </w:r>
            <w:r w:rsidRPr="004113EE" w:rsidR="00C22DFD">
              <w:rPr>
                <w:rFonts w:ascii="Times New Roman" w:hAnsi="Times New Roman"/>
                <w:b/>
                <w:sz w:val="22"/>
                <w:szCs w:val="22"/>
              </w:rPr>
              <w:t>.</w:t>
            </w:r>
            <w:r w:rsidRPr="004113EE" w:rsidR="00E313FC">
              <w:rPr>
                <w:rFonts w:ascii="Times New Roman" w:hAnsi="Times New Roman"/>
                <w:b/>
                <w:sz w:val="22"/>
                <w:szCs w:val="22"/>
              </w:rPr>
              <w:t>6</w:t>
            </w:r>
          </w:p>
        </w:tc>
        <w:tc>
          <w:tcPr>
            <w:tcW w:w="900" w:type="dxa"/>
            <w:vAlign w:val="center"/>
          </w:tcPr>
          <w:p w:rsidRPr="004113EE" w:rsidR="00176576" w:rsidP="004113EE" w:rsidRDefault="00176576" w14:paraId="0D6D0485" w14:textId="3E773C99">
            <w:pPr>
              <w:jc w:val="right"/>
              <w:rPr>
                <w:rFonts w:ascii="Times New Roman" w:hAnsi="Times New Roman"/>
                <w:b/>
                <w:sz w:val="22"/>
                <w:szCs w:val="22"/>
              </w:rPr>
            </w:pPr>
          </w:p>
        </w:tc>
        <w:tc>
          <w:tcPr>
            <w:tcW w:w="1170" w:type="dxa"/>
            <w:vAlign w:val="center"/>
          </w:tcPr>
          <w:p w:rsidRPr="004113EE" w:rsidR="00176576" w:rsidP="004113EE" w:rsidRDefault="00C22DFD" w14:paraId="0D6D0486" w14:textId="19855EE1">
            <w:pPr>
              <w:jc w:val="right"/>
              <w:rPr>
                <w:rFonts w:ascii="Times New Roman" w:hAnsi="Times New Roman"/>
                <w:b/>
                <w:sz w:val="22"/>
                <w:szCs w:val="22"/>
              </w:rPr>
            </w:pPr>
            <w:r w:rsidRPr="004113EE">
              <w:rPr>
                <w:rFonts w:ascii="Times New Roman" w:hAnsi="Times New Roman"/>
                <w:b/>
                <w:sz w:val="22"/>
                <w:szCs w:val="22"/>
              </w:rPr>
              <w:t>$7,</w:t>
            </w:r>
            <w:r w:rsidRPr="004113EE" w:rsidR="00E313FC">
              <w:rPr>
                <w:rFonts w:ascii="Times New Roman" w:hAnsi="Times New Roman"/>
                <w:b/>
                <w:sz w:val="22"/>
                <w:szCs w:val="22"/>
              </w:rPr>
              <w:t>757</w:t>
            </w:r>
            <w:r w:rsidRPr="004113EE" w:rsidR="006C40E5">
              <w:rPr>
                <w:rFonts w:ascii="Times New Roman" w:hAnsi="Times New Roman"/>
                <w:b/>
                <w:sz w:val="22"/>
                <w:szCs w:val="22"/>
              </w:rPr>
              <w:t>.</w:t>
            </w:r>
            <w:r w:rsidRPr="004113EE" w:rsidR="00E313FC">
              <w:rPr>
                <w:rFonts w:ascii="Times New Roman" w:hAnsi="Times New Roman"/>
                <w:b/>
                <w:sz w:val="22"/>
                <w:szCs w:val="22"/>
              </w:rPr>
              <w:t>15</w:t>
            </w:r>
          </w:p>
        </w:tc>
      </w:tr>
    </w:tbl>
    <w:p w:rsidRPr="004239BD" w:rsidR="00176576" w:rsidP="00333BE9" w:rsidRDefault="00176576" w14:paraId="0D6D0488" w14:textId="77777777">
      <w:pPr>
        <w:pStyle w:val="NormalSS"/>
        <w:ind w:firstLine="0"/>
        <w:jc w:val="left"/>
        <w:rPr>
          <w:szCs w:val="24"/>
        </w:rPr>
      </w:pPr>
    </w:p>
    <w:p w:rsidRPr="007E4B71" w:rsidR="00FA4FEE" w:rsidP="00333BE9" w:rsidRDefault="007E4B71" w14:paraId="0D6D0489" w14:textId="04CD902B">
      <w:pPr>
        <w:pStyle w:val="NormalSS"/>
        <w:ind w:firstLine="0"/>
        <w:jc w:val="left"/>
        <w:rPr>
          <w:bCs/>
          <w:szCs w:val="24"/>
        </w:rPr>
      </w:pPr>
      <w:r w:rsidRPr="007E4B71">
        <w:rPr>
          <w:bCs/>
          <w:szCs w:val="24"/>
        </w:rPr>
        <w:t xml:space="preserve">The anticipated burden </w:t>
      </w:r>
      <w:r w:rsidRPr="006C40E5">
        <w:rPr>
          <w:bCs/>
          <w:szCs w:val="24"/>
        </w:rPr>
        <w:t xml:space="preserve">is </w:t>
      </w:r>
      <w:r w:rsidRPr="006C40E5" w:rsidR="006C40E5">
        <w:rPr>
          <w:bCs/>
          <w:szCs w:val="24"/>
        </w:rPr>
        <w:t>301</w:t>
      </w:r>
      <w:r w:rsidRPr="006C40E5">
        <w:rPr>
          <w:bCs/>
          <w:szCs w:val="24"/>
        </w:rPr>
        <w:t>.</w:t>
      </w:r>
      <w:r w:rsidR="00E313FC">
        <w:rPr>
          <w:bCs/>
          <w:szCs w:val="24"/>
        </w:rPr>
        <w:t>6</w:t>
      </w:r>
      <w:r w:rsidRPr="006C40E5">
        <w:rPr>
          <w:bCs/>
          <w:szCs w:val="24"/>
        </w:rPr>
        <w:t xml:space="preserve"> hours, comprising 16</w:t>
      </w:r>
      <w:r w:rsidRPr="006C40E5" w:rsidR="006C40E5">
        <w:rPr>
          <w:bCs/>
          <w:szCs w:val="24"/>
        </w:rPr>
        <w:t>8</w:t>
      </w:r>
      <w:r w:rsidRPr="006C40E5">
        <w:rPr>
          <w:bCs/>
          <w:szCs w:val="24"/>
        </w:rPr>
        <w:t xml:space="preserve"> hours</w:t>
      </w:r>
      <w:r w:rsidRPr="007E4B71">
        <w:rPr>
          <w:bCs/>
          <w:szCs w:val="24"/>
        </w:rPr>
        <w:t xml:space="preserve"> from focus group respondents and 133.</w:t>
      </w:r>
      <w:r w:rsidR="00E313FC">
        <w:rPr>
          <w:bCs/>
          <w:szCs w:val="24"/>
        </w:rPr>
        <w:t>6</w:t>
      </w:r>
      <w:r w:rsidRPr="007E4B71">
        <w:rPr>
          <w:bCs/>
          <w:szCs w:val="24"/>
        </w:rPr>
        <w:t xml:space="preserve"> hours from online survey participants.</w:t>
      </w:r>
    </w:p>
    <w:p w:rsidR="00FA4FEE" w:rsidP="00333BE9" w:rsidRDefault="00FA4FEE" w14:paraId="0D6D048A" w14:textId="77777777">
      <w:pPr>
        <w:pStyle w:val="NormalSS"/>
        <w:ind w:firstLine="0"/>
        <w:jc w:val="left"/>
        <w:rPr>
          <w:i/>
          <w:szCs w:val="24"/>
        </w:rPr>
      </w:pPr>
    </w:p>
    <w:p w:rsidRPr="00176576" w:rsidR="00176576" w:rsidP="00333BE9" w:rsidRDefault="00176576" w14:paraId="0D6D048B" w14:textId="77777777">
      <w:pPr>
        <w:pStyle w:val="NormalSS"/>
        <w:ind w:firstLine="0"/>
        <w:jc w:val="left"/>
        <w:rPr>
          <w:i/>
          <w:szCs w:val="24"/>
        </w:rPr>
      </w:pPr>
      <w:r w:rsidRPr="00176576">
        <w:rPr>
          <w:i/>
          <w:szCs w:val="24"/>
        </w:rPr>
        <w:t>Planned frequency of information collection</w:t>
      </w:r>
      <w:r w:rsidR="0033551D">
        <w:rPr>
          <w:i/>
          <w:szCs w:val="24"/>
        </w:rPr>
        <w:t>:</w:t>
      </w:r>
    </w:p>
    <w:p w:rsidR="00FA4FEE" w:rsidP="00333BE9" w:rsidRDefault="00FA4FEE" w14:paraId="0D6D048D" w14:textId="77777777">
      <w:pPr>
        <w:pStyle w:val="NormalSS"/>
        <w:ind w:firstLine="0"/>
        <w:jc w:val="left"/>
        <w:rPr>
          <w:bCs/>
          <w:szCs w:val="24"/>
          <w:highlight w:val="yellow"/>
        </w:rPr>
      </w:pPr>
    </w:p>
    <w:p w:rsidRPr="004239BD" w:rsidR="00FA4FEE" w:rsidP="00333BE9" w:rsidRDefault="007E4B71" w14:paraId="0D6D048F" w14:textId="74CE5DCA">
      <w:pPr>
        <w:pStyle w:val="NormalSS"/>
        <w:ind w:firstLine="0"/>
        <w:jc w:val="left"/>
        <w:rPr>
          <w:bCs/>
          <w:szCs w:val="24"/>
        </w:rPr>
      </w:pPr>
      <w:r>
        <w:rPr>
          <w:bCs/>
          <w:szCs w:val="24"/>
        </w:rPr>
        <w:t xml:space="preserve">These are one-time data collection activities. </w:t>
      </w:r>
      <w:r w:rsidR="001B0752">
        <w:rPr>
          <w:bCs/>
          <w:szCs w:val="24"/>
        </w:rPr>
        <w:t xml:space="preserve"> </w:t>
      </w:r>
      <w:r>
        <w:rPr>
          <w:bCs/>
          <w:szCs w:val="24"/>
        </w:rPr>
        <w:t>Each focus group participant will take part once, and each survey respondent will take part once.</w:t>
      </w:r>
    </w:p>
    <w:p w:rsidR="007A25D0" w:rsidP="00333BE9" w:rsidRDefault="007A25D0" w14:paraId="0D6D0490" w14:textId="77777777">
      <w:pPr>
        <w:tabs>
          <w:tab w:val="left" w:pos="-720"/>
          <w:tab w:val="left" w:pos="720"/>
          <w:tab w:val="right" w:pos="10080"/>
        </w:tabs>
        <w:rPr>
          <w:rFonts w:ascii="Times New Roman" w:hAnsi="Times New Roman"/>
          <w:sz w:val="24"/>
          <w:szCs w:val="24"/>
        </w:rPr>
      </w:pPr>
    </w:p>
    <w:p w:rsidR="001879E5" w:rsidP="00333BE9"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P="00333BE9" w:rsidRDefault="008C13E2" w14:paraId="0D6D0492" w14:textId="7CAA806A">
      <w:pPr>
        <w:tabs>
          <w:tab w:val="left" w:pos="720"/>
          <w:tab w:val="right" w:pos="8732"/>
        </w:tabs>
        <w:rPr>
          <w:rFonts w:ascii="Times New Roman" w:hAnsi="Times New Roman"/>
          <w:sz w:val="24"/>
          <w:szCs w:val="24"/>
          <w:u w:val="single"/>
        </w:rPr>
      </w:pPr>
    </w:p>
    <w:p w:rsidRPr="00920C53" w:rsidR="00920C53" w:rsidP="00333BE9" w:rsidRDefault="00920C53" w14:paraId="43D32B06" w14:textId="318B2E07">
      <w:pPr>
        <w:tabs>
          <w:tab w:val="left" w:pos="720"/>
          <w:tab w:val="right" w:pos="8732"/>
        </w:tabs>
        <w:rPr>
          <w:rFonts w:ascii="Times New Roman" w:hAnsi="Times New Roman"/>
          <w:sz w:val="24"/>
          <w:szCs w:val="24"/>
        </w:rPr>
      </w:pPr>
      <w:r w:rsidRPr="00920C53">
        <w:rPr>
          <w:rFonts w:ascii="Times New Roman" w:hAnsi="Times New Roman"/>
          <w:sz w:val="24"/>
          <w:szCs w:val="24"/>
        </w:rPr>
        <w:t>No appreciable costs are anticipated</w:t>
      </w:r>
      <w:r w:rsidR="007E4B71">
        <w:rPr>
          <w:rFonts w:ascii="Times New Roman" w:hAnsi="Times New Roman"/>
          <w:sz w:val="24"/>
          <w:szCs w:val="24"/>
        </w:rPr>
        <w:t xml:space="preserve"> for focus group participants</w:t>
      </w:r>
      <w:r w:rsidRPr="00920C53">
        <w:rPr>
          <w:rFonts w:ascii="Times New Roman" w:hAnsi="Times New Roman"/>
          <w:sz w:val="24"/>
          <w:szCs w:val="24"/>
        </w:rPr>
        <w:t>.</w:t>
      </w:r>
      <w:r w:rsidR="00635536">
        <w:rPr>
          <w:rFonts w:ascii="Times New Roman" w:hAnsi="Times New Roman"/>
          <w:sz w:val="24"/>
          <w:szCs w:val="24"/>
        </w:rPr>
        <w:t xml:space="preserve"> </w:t>
      </w:r>
      <w:r w:rsidR="001B0752">
        <w:rPr>
          <w:rFonts w:ascii="Times New Roman" w:hAnsi="Times New Roman"/>
          <w:sz w:val="24"/>
          <w:szCs w:val="24"/>
        </w:rPr>
        <w:t xml:space="preserve"> </w:t>
      </w:r>
      <w:r w:rsidRPr="00920C53">
        <w:rPr>
          <w:rFonts w:ascii="Times New Roman" w:hAnsi="Times New Roman"/>
          <w:sz w:val="24"/>
          <w:szCs w:val="24"/>
        </w:rPr>
        <w:t>Any out-of-pocket expenses (</w:t>
      </w:r>
      <w:r w:rsidR="002B708C">
        <w:rPr>
          <w:rFonts w:ascii="Times New Roman" w:hAnsi="Times New Roman"/>
          <w:sz w:val="24"/>
          <w:szCs w:val="24"/>
        </w:rPr>
        <w:t xml:space="preserve">e.g., </w:t>
      </w:r>
      <w:r w:rsidRPr="00920C53">
        <w:rPr>
          <w:rFonts w:ascii="Times New Roman" w:hAnsi="Times New Roman"/>
          <w:sz w:val="24"/>
          <w:szCs w:val="24"/>
        </w:rPr>
        <w:t>phone minutes) would be more than offset by the honorarium.</w:t>
      </w:r>
      <w:r w:rsidR="007E4B71">
        <w:rPr>
          <w:rFonts w:ascii="Times New Roman" w:hAnsi="Times New Roman"/>
          <w:sz w:val="24"/>
          <w:szCs w:val="24"/>
        </w:rPr>
        <w:t xml:space="preserve"> </w:t>
      </w:r>
      <w:r w:rsidR="001B0752">
        <w:rPr>
          <w:rFonts w:ascii="Times New Roman" w:hAnsi="Times New Roman"/>
          <w:sz w:val="24"/>
          <w:szCs w:val="24"/>
        </w:rPr>
        <w:t xml:space="preserve"> </w:t>
      </w:r>
      <w:r w:rsidR="007E4B71">
        <w:rPr>
          <w:rFonts w:ascii="Times New Roman" w:hAnsi="Times New Roman"/>
          <w:sz w:val="24"/>
          <w:szCs w:val="24"/>
        </w:rPr>
        <w:t>There will be no cost to participate for online survey respondents.</w:t>
      </w:r>
    </w:p>
    <w:p w:rsidR="001879E5" w:rsidP="00333BE9" w:rsidRDefault="001879E5" w14:paraId="0D6D0495" w14:textId="77777777">
      <w:pPr>
        <w:tabs>
          <w:tab w:val="left" w:pos="-720"/>
        </w:tabs>
        <w:rPr>
          <w:rFonts w:ascii="Times New Roman" w:hAnsi="Times New Roman"/>
          <w:sz w:val="24"/>
          <w:szCs w:val="24"/>
        </w:rPr>
      </w:pPr>
    </w:p>
    <w:p w:rsidR="001879E5" w:rsidP="00333BE9" w:rsidRDefault="001879E5" w14:paraId="0D6D0496" w14:textId="77777777">
      <w:pPr>
        <w:keepNext/>
        <w:widowControl/>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P="00333BE9" w:rsidRDefault="001879E5" w14:paraId="0D6D0497" w14:textId="641F5D90">
      <w:pPr>
        <w:keepNext/>
        <w:widowControl/>
        <w:tabs>
          <w:tab w:val="left" w:pos="720"/>
          <w:tab w:val="right" w:pos="8732"/>
        </w:tabs>
        <w:rPr>
          <w:rFonts w:ascii="Times New Roman" w:hAnsi="Times New Roman"/>
          <w:sz w:val="24"/>
          <w:szCs w:val="24"/>
        </w:rPr>
      </w:pPr>
    </w:p>
    <w:p w:rsidR="002064F1" w:rsidP="00333BE9" w:rsidRDefault="00920C53" w14:paraId="605D09CB" w14:textId="065E648A">
      <w:pPr>
        <w:keepNext/>
        <w:widowControl/>
        <w:tabs>
          <w:tab w:val="left" w:pos="720"/>
          <w:tab w:val="right" w:pos="8732"/>
        </w:tabs>
        <w:rPr>
          <w:rFonts w:ascii="Times New Roman" w:hAnsi="Times New Roman"/>
          <w:sz w:val="24"/>
          <w:szCs w:val="24"/>
        </w:rPr>
      </w:pPr>
      <w:r w:rsidRPr="00920C53">
        <w:rPr>
          <w:rFonts w:ascii="Times New Roman" w:hAnsi="Times New Roman"/>
          <w:sz w:val="24"/>
          <w:szCs w:val="24"/>
        </w:rPr>
        <w:t xml:space="preserve">The anticipated cost to the </w:t>
      </w:r>
      <w:r w:rsidR="001B0752">
        <w:rPr>
          <w:rFonts w:ascii="Times New Roman" w:hAnsi="Times New Roman"/>
          <w:sz w:val="24"/>
          <w:szCs w:val="24"/>
        </w:rPr>
        <w:t>f</w:t>
      </w:r>
      <w:r w:rsidRPr="00920C53">
        <w:rPr>
          <w:rFonts w:ascii="Times New Roman" w:hAnsi="Times New Roman"/>
          <w:sz w:val="24"/>
          <w:szCs w:val="24"/>
        </w:rPr>
        <w:t xml:space="preserve">ederal </w:t>
      </w:r>
      <w:r w:rsidR="001B0752">
        <w:rPr>
          <w:rFonts w:ascii="Times New Roman" w:hAnsi="Times New Roman"/>
          <w:sz w:val="24"/>
          <w:szCs w:val="24"/>
        </w:rPr>
        <w:t>g</w:t>
      </w:r>
      <w:r w:rsidRPr="00920C53">
        <w:rPr>
          <w:rFonts w:ascii="Times New Roman" w:hAnsi="Times New Roman"/>
          <w:sz w:val="24"/>
          <w:szCs w:val="24"/>
        </w:rPr>
        <w:t>overnment is approximately $</w:t>
      </w:r>
      <w:r w:rsidR="00635A67">
        <w:rPr>
          <w:rFonts w:ascii="Times New Roman" w:hAnsi="Times New Roman"/>
          <w:sz w:val="24"/>
          <w:szCs w:val="24"/>
        </w:rPr>
        <w:t>189,449.90</w:t>
      </w:r>
      <w:r w:rsidR="002064F1">
        <w:rPr>
          <w:rFonts w:ascii="Times New Roman" w:hAnsi="Times New Roman"/>
          <w:sz w:val="24"/>
          <w:szCs w:val="24"/>
        </w:rPr>
        <w:t xml:space="preserve"> and is broken out into contract costs and personnel costs of </w:t>
      </w:r>
      <w:r w:rsidR="001B0752">
        <w:rPr>
          <w:rFonts w:ascii="Times New Roman" w:hAnsi="Times New Roman"/>
          <w:sz w:val="24"/>
          <w:szCs w:val="24"/>
        </w:rPr>
        <w:t>f</w:t>
      </w:r>
      <w:r w:rsidR="002064F1">
        <w:rPr>
          <w:rFonts w:ascii="Times New Roman" w:hAnsi="Times New Roman"/>
          <w:sz w:val="24"/>
          <w:szCs w:val="24"/>
        </w:rPr>
        <w:t>ederal employees</w:t>
      </w:r>
      <w:r w:rsidRPr="00920C53">
        <w:rPr>
          <w:rFonts w:ascii="Times New Roman" w:hAnsi="Times New Roman"/>
          <w:sz w:val="24"/>
          <w:szCs w:val="24"/>
        </w:rPr>
        <w:t>.</w:t>
      </w:r>
      <w:r w:rsidR="00635536">
        <w:rPr>
          <w:rFonts w:ascii="Times New Roman" w:hAnsi="Times New Roman"/>
          <w:sz w:val="24"/>
          <w:szCs w:val="24"/>
        </w:rPr>
        <w:t xml:space="preserve"> </w:t>
      </w:r>
      <w:r w:rsidR="001B0752">
        <w:rPr>
          <w:rFonts w:ascii="Times New Roman" w:hAnsi="Times New Roman"/>
          <w:sz w:val="24"/>
          <w:szCs w:val="24"/>
        </w:rPr>
        <w:t xml:space="preserve"> </w:t>
      </w:r>
    </w:p>
    <w:p w:rsidR="002064F1" w:rsidP="00333BE9" w:rsidRDefault="002064F1" w14:paraId="7900892C" w14:textId="77777777">
      <w:pPr>
        <w:tabs>
          <w:tab w:val="left" w:pos="720"/>
          <w:tab w:val="right" w:pos="8732"/>
        </w:tabs>
        <w:rPr>
          <w:rFonts w:ascii="Times New Roman" w:hAnsi="Times New Roman"/>
          <w:sz w:val="24"/>
          <w:szCs w:val="24"/>
        </w:rPr>
      </w:pPr>
    </w:p>
    <w:p w:rsidR="00920C53" w:rsidP="00333BE9" w:rsidRDefault="002064F1" w14:paraId="22554F35" w14:textId="58C6F9B6">
      <w:pPr>
        <w:tabs>
          <w:tab w:val="left" w:pos="720"/>
          <w:tab w:val="right" w:pos="8732"/>
        </w:tabs>
        <w:rPr>
          <w:rFonts w:ascii="Times New Roman" w:hAnsi="Times New Roman"/>
          <w:sz w:val="24"/>
          <w:szCs w:val="24"/>
        </w:rPr>
      </w:pPr>
      <w:r>
        <w:rPr>
          <w:rFonts w:ascii="Times New Roman" w:hAnsi="Times New Roman"/>
          <w:sz w:val="24"/>
          <w:szCs w:val="24"/>
        </w:rPr>
        <w:t>Contract</w:t>
      </w:r>
      <w:r w:rsidRPr="00920C53" w:rsidR="00920C53">
        <w:rPr>
          <w:rFonts w:ascii="Times New Roman" w:hAnsi="Times New Roman"/>
          <w:sz w:val="24"/>
          <w:szCs w:val="24"/>
        </w:rPr>
        <w:t xml:space="preserve"> costs are </w:t>
      </w:r>
      <w:r>
        <w:rPr>
          <w:rFonts w:ascii="Times New Roman" w:hAnsi="Times New Roman"/>
          <w:sz w:val="24"/>
          <w:szCs w:val="24"/>
        </w:rPr>
        <w:t>$</w:t>
      </w:r>
      <w:r w:rsidR="00635A67">
        <w:rPr>
          <w:rFonts w:ascii="Times New Roman" w:hAnsi="Times New Roman"/>
          <w:sz w:val="24"/>
          <w:szCs w:val="24"/>
        </w:rPr>
        <w:t xml:space="preserve">180,000 </w:t>
      </w:r>
      <w:r>
        <w:rPr>
          <w:rFonts w:ascii="Times New Roman" w:hAnsi="Times New Roman"/>
          <w:sz w:val="24"/>
          <w:szCs w:val="24"/>
        </w:rPr>
        <w:t xml:space="preserve">and are </w:t>
      </w:r>
      <w:r w:rsidRPr="00920C53" w:rsidR="00920C53">
        <w:rPr>
          <w:rFonts w:ascii="Times New Roman" w:hAnsi="Times New Roman"/>
          <w:sz w:val="24"/>
          <w:szCs w:val="24"/>
        </w:rPr>
        <w:t>comprised of</w:t>
      </w:r>
      <w:r w:rsidR="008677D4">
        <w:rPr>
          <w:rFonts w:ascii="Times New Roman" w:hAnsi="Times New Roman"/>
          <w:sz w:val="24"/>
          <w:szCs w:val="24"/>
        </w:rPr>
        <w:t xml:space="preserve"> </w:t>
      </w:r>
      <w:r w:rsidRPr="00920C53" w:rsidR="00920C53">
        <w:rPr>
          <w:rFonts w:ascii="Times New Roman" w:hAnsi="Times New Roman"/>
          <w:sz w:val="24"/>
          <w:szCs w:val="24"/>
        </w:rPr>
        <w:t>contractor payments</w:t>
      </w:r>
      <w:r w:rsidR="007E4B71">
        <w:rPr>
          <w:rFonts w:ascii="Times New Roman" w:hAnsi="Times New Roman"/>
          <w:sz w:val="24"/>
          <w:szCs w:val="24"/>
        </w:rPr>
        <w:t xml:space="preserve"> for staff time to conduct and analyze the research</w:t>
      </w:r>
      <w:r w:rsidRPr="00920C53" w:rsidR="00920C53">
        <w:rPr>
          <w:rFonts w:ascii="Times New Roman" w:hAnsi="Times New Roman"/>
          <w:sz w:val="24"/>
          <w:szCs w:val="24"/>
        </w:rPr>
        <w:t xml:space="preserve">, recruit participants, </w:t>
      </w:r>
      <w:r w:rsidR="00A55479">
        <w:rPr>
          <w:rFonts w:ascii="Times New Roman" w:hAnsi="Times New Roman"/>
          <w:sz w:val="24"/>
          <w:szCs w:val="24"/>
        </w:rPr>
        <w:t xml:space="preserve">distribute </w:t>
      </w:r>
      <w:r w:rsidRPr="00920C53" w:rsidR="00920C53">
        <w:rPr>
          <w:rFonts w:ascii="Times New Roman" w:hAnsi="Times New Roman"/>
          <w:sz w:val="24"/>
          <w:szCs w:val="24"/>
        </w:rPr>
        <w:t xml:space="preserve">stipends, </w:t>
      </w:r>
      <w:r w:rsidR="00A55479">
        <w:rPr>
          <w:rFonts w:ascii="Times New Roman" w:hAnsi="Times New Roman"/>
          <w:sz w:val="24"/>
          <w:szCs w:val="24"/>
        </w:rPr>
        <w:t xml:space="preserve">conduct </w:t>
      </w:r>
      <w:r w:rsidRPr="00920C53" w:rsidR="00920C53">
        <w:rPr>
          <w:rFonts w:ascii="Times New Roman" w:hAnsi="Times New Roman"/>
          <w:sz w:val="24"/>
          <w:szCs w:val="24"/>
        </w:rPr>
        <w:t>transcription</w:t>
      </w:r>
      <w:r w:rsidR="00A55479">
        <w:rPr>
          <w:rFonts w:ascii="Times New Roman" w:hAnsi="Times New Roman"/>
          <w:sz w:val="24"/>
          <w:szCs w:val="24"/>
        </w:rPr>
        <w:t xml:space="preserve"> and </w:t>
      </w:r>
      <w:r w:rsidRPr="00920C53" w:rsidR="00920C53">
        <w:rPr>
          <w:rFonts w:ascii="Times New Roman" w:hAnsi="Times New Roman"/>
          <w:sz w:val="24"/>
          <w:szCs w:val="24"/>
        </w:rPr>
        <w:t xml:space="preserve">translation, </w:t>
      </w:r>
      <w:r w:rsidR="00A55479">
        <w:rPr>
          <w:rFonts w:ascii="Times New Roman" w:hAnsi="Times New Roman"/>
          <w:sz w:val="24"/>
          <w:szCs w:val="24"/>
        </w:rPr>
        <w:t xml:space="preserve">host </w:t>
      </w:r>
      <w:r w:rsidR="002B708C">
        <w:rPr>
          <w:rFonts w:ascii="Times New Roman" w:hAnsi="Times New Roman"/>
          <w:sz w:val="24"/>
          <w:szCs w:val="24"/>
        </w:rPr>
        <w:t>focus group</w:t>
      </w:r>
      <w:r w:rsidR="00A55479">
        <w:rPr>
          <w:rFonts w:ascii="Times New Roman" w:hAnsi="Times New Roman"/>
          <w:sz w:val="24"/>
          <w:szCs w:val="24"/>
        </w:rPr>
        <w:t>s</w:t>
      </w:r>
      <w:r w:rsidR="002B708C">
        <w:rPr>
          <w:rFonts w:ascii="Times New Roman" w:hAnsi="Times New Roman"/>
          <w:sz w:val="24"/>
          <w:szCs w:val="24"/>
        </w:rPr>
        <w:t xml:space="preserve"> and</w:t>
      </w:r>
      <w:r w:rsidRPr="00920C53" w:rsidR="00920C53">
        <w:rPr>
          <w:rFonts w:ascii="Times New Roman" w:hAnsi="Times New Roman"/>
          <w:sz w:val="24"/>
          <w:szCs w:val="24"/>
        </w:rPr>
        <w:t xml:space="preserve"> remote feeds for offsite viewing</w:t>
      </w:r>
      <w:r w:rsidR="007E4B71">
        <w:rPr>
          <w:rFonts w:ascii="Times New Roman" w:hAnsi="Times New Roman"/>
          <w:sz w:val="24"/>
          <w:szCs w:val="24"/>
        </w:rPr>
        <w:t xml:space="preserve">, and </w:t>
      </w:r>
      <w:r w:rsidR="00A55479">
        <w:rPr>
          <w:rFonts w:ascii="Times New Roman" w:hAnsi="Times New Roman"/>
          <w:sz w:val="24"/>
          <w:szCs w:val="24"/>
        </w:rPr>
        <w:t xml:space="preserve">costs for </w:t>
      </w:r>
      <w:r w:rsidR="007E4B71">
        <w:rPr>
          <w:rFonts w:ascii="Times New Roman" w:hAnsi="Times New Roman"/>
          <w:sz w:val="24"/>
          <w:szCs w:val="24"/>
        </w:rPr>
        <w:t>survey hosting</w:t>
      </w:r>
      <w:r w:rsidRPr="00920C53" w:rsidR="00920C53">
        <w:rPr>
          <w:rFonts w:ascii="Times New Roman" w:hAnsi="Times New Roman"/>
          <w:sz w:val="24"/>
          <w:szCs w:val="24"/>
        </w:rPr>
        <w:t>.</w:t>
      </w:r>
    </w:p>
    <w:p w:rsidR="007D0A91" w:rsidP="00333BE9" w:rsidRDefault="007D0A91" w14:paraId="0EE7F195" w14:textId="732BA144">
      <w:pPr>
        <w:tabs>
          <w:tab w:val="left" w:pos="720"/>
          <w:tab w:val="right" w:pos="8732"/>
        </w:tabs>
        <w:rPr>
          <w:rFonts w:ascii="Times New Roman" w:hAnsi="Times New Roman"/>
          <w:sz w:val="24"/>
          <w:szCs w:val="24"/>
        </w:rPr>
      </w:pPr>
    </w:p>
    <w:p w:rsidR="007D0A91" w:rsidP="00333BE9" w:rsidRDefault="002064F1" w14:paraId="6BD69A1F" w14:textId="3A9602D4">
      <w:pPr>
        <w:tabs>
          <w:tab w:val="left" w:pos="-720"/>
        </w:tabs>
        <w:rPr>
          <w:rFonts w:ascii="Times New Roman" w:hAnsi="Times New Roman"/>
          <w:sz w:val="24"/>
          <w:szCs w:val="24"/>
        </w:rPr>
      </w:pPr>
      <w:r>
        <w:rPr>
          <w:rFonts w:ascii="Times New Roman" w:hAnsi="Times New Roman"/>
          <w:sz w:val="24"/>
          <w:szCs w:val="24"/>
        </w:rPr>
        <w:t xml:space="preserve">Personnel costs from </w:t>
      </w:r>
      <w:r w:rsidR="00670A3F">
        <w:rPr>
          <w:rFonts w:ascii="Times New Roman" w:hAnsi="Times New Roman"/>
          <w:sz w:val="24"/>
          <w:szCs w:val="24"/>
        </w:rPr>
        <w:t>f</w:t>
      </w:r>
      <w:r>
        <w:rPr>
          <w:rFonts w:ascii="Times New Roman" w:hAnsi="Times New Roman"/>
          <w:sz w:val="24"/>
          <w:szCs w:val="24"/>
        </w:rPr>
        <w:t>ederal employees are $</w:t>
      </w:r>
      <w:r w:rsidR="007E4B71">
        <w:rPr>
          <w:rFonts w:ascii="Times New Roman" w:hAnsi="Times New Roman"/>
          <w:sz w:val="24"/>
          <w:szCs w:val="24"/>
        </w:rPr>
        <w:t>9,449.90</w:t>
      </w:r>
      <w:r w:rsidR="008677D4">
        <w:rPr>
          <w:rFonts w:ascii="Times New Roman" w:hAnsi="Times New Roman"/>
          <w:sz w:val="24"/>
          <w:szCs w:val="24"/>
        </w:rPr>
        <w:t>,</w:t>
      </w:r>
      <w:r>
        <w:rPr>
          <w:rFonts w:ascii="Times New Roman" w:hAnsi="Times New Roman"/>
          <w:sz w:val="24"/>
          <w:szCs w:val="24"/>
        </w:rPr>
        <w:t xml:space="preserve"> </w:t>
      </w:r>
      <w:r w:rsidR="007D0A91">
        <w:rPr>
          <w:rFonts w:ascii="Times New Roman" w:hAnsi="Times New Roman"/>
          <w:sz w:val="24"/>
          <w:szCs w:val="24"/>
        </w:rPr>
        <w:t xml:space="preserve">which includes </w:t>
      </w:r>
      <w:r w:rsidR="007E4B71">
        <w:rPr>
          <w:rFonts w:ascii="Times New Roman" w:hAnsi="Times New Roman"/>
          <w:sz w:val="24"/>
          <w:szCs w:val="24"/>
        </w:rPr>
        <w:t>5</w:t>
      </w:r>
      <w:r w:rsidR="00670A3F">
        <w:rPr>
          <w:rFonts w:ascii="Times New Roman" w:hAnsi="Times New Roman"/>
          <w:sz w:val="24"/>
          <w:szCs w:val="24"/>
        </w:rPr>
        <w:t xml:space="preserve"> percent</w:t>
      </w:r>
      <w:r w:rsidR="007D0A91">
        <w:rPr>
          <w:rFonts w:ascii="Times New Roman" w:hAnsi="Times New Roman"/>
          <w:sz w:val="24"/>
          <w:szCs w:val="24"/>
        </w:rPr>
        <w:t xml:space="preserve"> from GS</w:t>
      </w:r>
      <w:r w:rsidR="00670A3F">
        <w:rPr>
          <w:rFonts w:ascii="Times New Roman" w:hAnsi="Times New Roman"/>
          <w:sz w:val="24"/>
          <w:szCs w:val="24"/>
        </w:rPr>
        <w:t>-</w:t>
      </w:r>
      <w:r w:rsidR="007E4B71">
        <w:rPr>
          <w:rFonts w:ascii="Times New Roman" w:hAnsi="Times New Roman"/>
          <w:sz w:val="24"/>
          <w:szCs w:val="24"/>
        </w:rPr>
        <w:t xml:space="preserve">12 </w:t>
      </w:r>
      <w:r w:rsidR="007D0A91">
        <w:rPr>
          <w:rFonts w:ascii="Times New Roman" w:hAnsi="Times New Roman"/>
          <w:sz w:val="24"/>
          <w:szCs w:val="24"/>
        </w:rPr>
        <w:t>($</w:t>
      </w:r>
      <w:r w:rsidR="007E4B71">
        <w:rPr>
          <w:rFonts w:ascii="Times New Roman" w:hAnsi="Times New Roman"/>
          <w:sz w:val="24"/>
          <w:szCs w:val="24"/>
        </w:rPr>
        <w:t>86,335</w:t>
      </w:r>
      <w:r w:rsidR="007D0A91">
        <w:rPr>
          <w:rFonts w:ascii="Times New Roman" w:hAnsi="Times New Roman"/>
          <w:sz w:val="24"/>
          <w:szCs w:val="24"/>
        </w:rPr>
        <w:t>)</w:t>
      </w:r>
      <w:r w:rsidR="007E4B71">
        <w:rPr>
          <w:rFonts w:ascii="Times New Roman" w:hAnsi="Times New Roman"/>
          <w:sz w:val="24"/>
          <w:szCs w:val="24"/>
        </w:rPr>
        <w:t xml:space="preserve"> and</w:t>
      </w:r>
      <w:r w:rsidR="007D0A91">
        <w:rPr>
          <w:rFonts w:ascii="Times New Roman" w:hAnsi="Times New Roman"/>
          <w:sz w:val="24"/>
          <w:szCs w:val="24"/>
        </w:rPr>
        <w:t xml:space="preserve"> </w:t>
      </w:r>
      <w:r w:rsidR="007E4B71">
        <w:rPr>
          <w:rFonts w:ascii="Times New Roman" w:hAnsi="Times New Roman"/>
          <w:sz w:val="24"/>
          <w:szCs w:val="24"/>
        </w:rPr>
        <w:t>5</w:t>
      </w:r>
      <w:r w:rsidR="00670A3F">
        <w:rPr>
          <w:rFonts w:ascii="Times New Roman" w:hAnsi="Times New Roman"/>
          <w:sz w:val="24"/>
          <w:szCs w:val="24"/>
        </w:rPr>
        <w:t xml:space="preserve"> percent</w:t>
      </w:r>
      <w:r w:rsidR="007D0A91">
        <w:rPr>
          <w:rFonts w:ascii="Times New Roman" w:hAnsi="Times New Roman"/>
          <w:sz w:val="24"/>
          <w:szCs w:val="24"/>
        </w:rPr>
        <w:t xml:space="preserve"> from GS</w:t>
      </w:r>
      <w:r w:rsidR="00670A3F">
        <w:rPr>
          <w:rFonts w:ascii="Times New Roman" w:hAnsi="Times New Roman"/>
          <w:sz w:val="24"/>
          <w:szCs w:val="24"/>
        </w:rPr>
        <w:t>-</w:t>
      </w:r>
      <w:r w:rsidR="007D0A91">
        <w:rPr>
          <w:rFonts w:ascii="Times New Roman" w:hAnsi="Times New Roman"/>
          <w:sz w:val="24"/>
          <w:szCs w:val="24"/>
        </w:rPr>
        <w:t>1</w:t>
      </w:r>
      <w:r w:rsidR="007E4B71">
        <w:rPr>
          <w:rFonts w:ascii="Times New Roman" w:hAnsi="Times New Roman"/>
          <w:sz w:val="24"/>
          <w:szCs w:val="24"/>
        </w:rPr>
        <w:t>3</w:t>
      </w:r>
      <w:r w:rsidR="007D0A91">
        <w:rPr>
          <w:rFonts w:ascii="Times New Roman" w:hAnsi="Times New Roman"/>
          <w:sz w:val="24"/>
          <w:szCs w:val="24"/>
        </w:rPr>
        <w:t xml:space="preserve"> ($</w:t>
      </w:r>
      <w:r w:rsidR="007E4B71">
        <w:rPr>
          <w:rFonts w:ascii="Times New Roman" w:hAnsi="Times New Roman"/>
          <w:sz w:val="24"/>
          <w:szCs w:val="24"/>
        </w:rPr>
        <w:t>102,663</w:t>
      </w:r>
      <w:r w:rsidR="007D0A91">
        <w:rPr>
          <w:rFonts w:ascii="Times New Roman" w:hAnsi="Times New Roman"/>
          <w:sz w:val="24"/>
          <w:szCs w:val="24"/>
        </w:rPr>
        <w:t>).</w:t>
      </w:r>
    </w:p>
    <w:p w:rsidR="001879E5" w:rsidP="00333BE9" w:rsidRDefault="001879E5" w14:paraId="0D6D049B" w14:textId="77777777">
      <w:pPr>
        <w:tabs>
          <w:tab w:val="left" w:pos="-720"/>
        </w:tabs>
        <w:rPr>
          <w:rFonts w:ascii="Times New Roman" w:hAnsi="Times New Roman"/>
          <w:sz w:val="24"/>
          <w:szCs w:val="24"/>
        </w:rPr>
      </w:pPr>
    </w:p>
    <w:p w:rsidR="001879E5" w:rsidP="00333BE9" w:rsidRDefault="001879E5"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P="00333BE9" w:rsidRDefault="001879E5" w14:paraId="0D6D049D" w14:textId="77777777">
      <w:pPr>
        <w:tabs>
          <w:tab w:val="left" w:pos="-720"/>
          <w:tab w:val="left" w:pos="44"/>
          <w:tab w:val="left" w:pos="720"/>
          <w:tab w:val="right" w:pos="8732"/>
        </w:tabs>
        <w:rPr>
          <w:rFonts w:ascii="Times New Roman" w:hAnsi="Times New Roman"/>
          <w:sz w:val="24"/>
          <w:szCs w:val="24"/>
        </w:rPr>
      </w:pPr>
    </w:p>
    <w:p w:rsidR="001879E5" w:rsidP="00333BE9" w:rsidRDefault="000038EB" w14:paraId="0D6D049E" w14:textId="27F763DF">
      <w:pPr>
        <w:tabs>
          <w:tab w:val="left" w:pos="-720"/>
        </w:tabs>
        <w:rPr>
          <w:rFonts w:ascii="Times New Roman" w:hAnsi="Times New Roman"/>
          <w:sz w:val="24"/>
          <w:szCs w:val="24"/>
        </w:rPr>
      </w:pPr>
      <w:r>
        <w:rPr>
          <w:rFonts w:ascii="Times New Roman" w:hAnsi="Times New Roman"/>
          <w:sz w:val="24"/>
          <w:szCs w:val="24"/>
        </w:rPr>
        <w:t>Not Applicable.</w:t>
      </w:r>
      <w:r w:rsidR="008677D4">
        <w:rPr>
          <w:rFonts w:ascii="Times New Roman" w:hAnsi="Times New Roman"/>
          <w:sz w:val="24"/>
          <w:szCs w:val="24"/>
        </w:rPr>
        <w:t xml:space="preserv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P="00333BE9" w:rsidRDefault="001879E5" w14:paraId="0D6D049F" w14:textId="77777777">
      <w:pPr>
        <w:tabs>
          <w:tab w:val="left" w:pos="-720"/>
        </w:tabs>
        <w:rPr>
          <w:rFonts w:ascii="Times New Roman" w:hAnsi="Times New Roman"/>
          <w:sz w:val="24"/>
          <w:szCs w:val="24"/>
        </w:rPr>
      </w:pPr>
    </w:p>
    <w:p w:rsidR="001879E5" w:rsidP="00333BE9"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920C53" w:rsidP="00333BE9" w:rsidRDefault="00920C53" w14:paraId="7D484134" w14:textId="57FA5DFA">
      <w:pPr>
        <w:tabs>
          <w:tab w:val="left" w:pos="-720"/>
          <w:tab w:val="right" w:pos="8692"/>
        </w:tabs>
        <w:rPr>
          <w:rFonts w:ascii="Times New Roman" w:hAnsi="Times New Roman"/>
          <w:sz w:val="24"/>
          <w:szCs w:val="24"/>
        </w:rPr>
      </w:pPr>
    </w:p>
    <w:p w:rsidRPr="00920C53" w:rsidR="00920C53" w:rsidP="00333BE9" w:rsidRDefault="00920C53" w14:paraId="7B53CC4B" w14:textId="5262C340">
      <w:pPr>
        <w:tabs>
          <w:tab w:val="left" w:pos="-720"/>
          <w:tab w:val="right" w:pos="8692"/>
        </w:tabs>
        <w:rPr>
          <w:rFonts w:ascii="Times New Roman" w:hAnsi="Times New Roman"/>
          <w:sz w:val="24"/>
          <w:szCs w:val="24"/>
        </w:rPr>
      </w:pPr>
      <w:r w:rsidRPr="00920C53">
        <w:rPr>
          <w:rFonts w:ascii="Times New Roman" w:hAnsi="Times New Roman"/>
          <w:sz w:val="24"/>
          <w:szCs w:val="24"/>
        </w:rPr>
        <w:t>Feedback collected will provide useful information, but it does not yield data that can be generalized to the overall population.</w:t>
      </w:r>
      <w:r w:rsidR="00635536">
        <w:rPr>
          <w:rFonts w:ascii="Times New Roman" w:hAnsi="Times New Roman"/>
          <w:sz w:val="24"/>
          <w:szCs w:val="24"/>
        </w:rPr>
        <w:t xml:space="preserve"> </w:t>
      </w:r>
      <w:r w:rsidR="004967CD">
        <w:rPr>
          <w:rFonts w:ascii="Times New Roman" w:hAnsi="Times New Roman"/>
          <w:sz w:val="24"/>
          <w:szCs w:val="24"/>
        </w:rPr>
        <w:t xml:space="preserve"> </w:t>
      </w:r>
      <w:r w:rsidRPr="00920C53">
        <w:rPr>
          <w:rFonts w:ascii="Times New Roman" w:hAnsi="Times New Roman"/>
          <w:sz w:val="24"/>
          <w:szCs w:val="24"/>
        </w:rPr>
        <w:t xml:space="preserve">Findings will be used </w:t>
      </w:r>
      <w:r w:rsidR="00EE32EB">
        <w:rPr>
          <w:rFonts w:ascii="Times New Roman" w:hAnsi="Times New Roman"/>
          <w:sz w:val="24"/>
          <w:szCs w:val="24"/>
        </w:rPr>
        <w:t>to</w:t>
      </w:r>
      <w:r w:rsidRPr="00920C53">
        <w:rPr>
          <w:rFonts w:ascii="Times New Roman" w:hAnsi="Times New Roman"/>
          <w:sz w:val="24"/>
          <w:szCs w:val="24"/>
        </w:rPr>
        <w:t xml:space="preserve"> </w:t>
      </w:r>
      <w:r w:rsidR="00EE32EB">
        <w:rPr>
          <w:rFonts w:ascii="Times New Roman" w:hAnsi="Times New Roman"/>
          <w:sz w:val="24"/>
          <w:szCs w:val="24"/>
        </w:rPr>
        <w:t>finalize materials for minority populations and to improve the website</w:t>
      </w:r>
      <w:r w:rsidRPr="00920C53">
        <w:rPr>
          <w:rFonts w:ascii="Times New Roman" w:hAnsi="Times New Roman"/>
          <w:sz w:val="24"/>
          <w:szCs w:val="24"/>
        </w:rPr>
        <w:t xml:space="preserve">, but not for publication or other public release. </w:t>
      </w:r>
      <w:r w:rsidR="004967CD">
        <w:rPr>
          <w:rFonts w:ascii="Times New Roman" w:hAnsi="Times New Roman"/>
          <w:sz w:val="24"/>
          <w:szCs w:val="24"/>
        </w:rPr>
        <w:t xml:space="preserve"> </w:t>
      </w:r>
    </w:p>
    <w:p w:rsidRPr="00920C53" w:rsidR="00920C53" w:rsidP="00333BE9" w:rsidRDefault="00920C53" w14:paraId="58D15AA5" w14:textId="77777777">
      <w:pPr>
        <w:tabs>
          <w:tab w:val="left" w:pos="-720"/>
          <w:tab w:val="right" w:pos="8692"/>
        </w:tabs>
        <w:rPr>
          <w:rFonts w:ascii="Times New Roman" w:hAnsi="Times New Roman"/>
          <w:sz w:val="24"/>
          <w:szCs w:val="24"/>
        </w:rPr>
      </w:pPr>
    </w:p>
    <w:p w:rsidR="00920C53" w:rsidP="00333BE9" w:rsidRDefault="00920C53" w14:paraId="3AF423DA" w14:textId="3876CDC0">
      <w:pPr>
        <w:tabs>
          <w:tab w:val="left" w:pos="-720"/>
          <w:tab w:val="right" w:pos="8692"/>
        </w:tabs>
        <w:rPr>
          <w:rFonts w:ascii="Times New Roman" w:hAnsi="Times New Roman"/>
          <w:sz w:val="24"/>
          <w:szCs w:val="24"/>
        </w:rPr>
      </w:pPr>
      <w:r w:rsidRPr="00920C53">
        <w:rPr>
          <w:rFonts w:ascii="Times New Roman" w:hAnsi="Times New Roman"/>
          <w:sz w:val="24"/>
          <w:szCs w:val="24"/>
        </w:rPr>
        <w:t>Although DoT does not intend to publish its findings, DoT may receive requests to release the information (e.g., congressional inquiry, Freedom of Information Act requests).</w:t>
      </w:r>
      <w:r w:rsidR="00635536">
        <w:rPr>
          <w:rFonts w:ascii="Times New Roman" w:hAnsi="Times New Roman"/>
          <w:sz w:val="24"/>
          <w:szCs w:val="24"/>
        </w:rPr>
        <w:t xml:space="preserve"> </w:t>
      </w:r>
      <w:r w:rsidR="004967CD">
        <w:rPr>
          <w:rFonts w:ascii="Times New Roman" w:hAnsi="Times New Roman"/>
          <w:sz w:val="24"/>
          <w:szCs w:val="24"/>
        </w:rPr>
        <w:t xml:space="preserve"> </w:t>
      </w:r>
      <w:r w:rsidRPr="00920C53">
        <w:rPr>
          <w:rFonts w:ascii="Times New Roman" w:hAnsi="Times New Roman"/>
          <w:sz w:val="24"/>
          <w:szCs w:val="24"/>
        </w:rPr>
        <w:t xml:space="preserve">The Agency will disseminate the findings when appropriate, strictly following the Agency's </w:t>
      </w:r>
      <w:r w:rsidR="004967CD">
        <w:rPr>
          <w:rFonts w:ascii="Times New Roman" w:hAnsi="Times New Roman"/>
          <w:sz w:val="24"/>
          <w:szCs w:val="24"/>
        </w:rPr>
        <w:t>“</w:t>
      </w:r>
      <w:r w:rsidRPr="00920C53">
        <w:rPr>
          <w:rFonts w:ascii="Times New Roman" w:hAnsi="Times New Roman"/>
          <w:sz w:val="24"/>
          <w:szCs w:val="24"/>
        </w:rPr>
        <w:t>Guidelines for Ensuring the Quality of Information Disseminated to the Public,</w:t>
      </w:r>
      <w:r w:rsidR="004967CD">
        <w:rPr>
          <w:rFonts w:ascii="Times New Roman" w:hAnsi="Times New Roman"/>
          <w:sz w:val="24"/>
          <w:szCs w:val="24"/>
        </w:rPr>
        <w:t>”</w:t>
      </w:r>
      <w:r w:rsidRPr="00920C53">
        <w:rPr>
          <w:rFonts w:ascii="Times New Roman" w:hAnsi="Times New Roman"/>
          <w:sz w:val="24"/>
          <w:szCs w:val="24"/>
        </w:rPr>
        <w:t xml:space="preserve"> and will include specific discussion of the limitation of the qualitative results discussed above.</w:t>
      </w:r>
    </w:p>
    <w:p w:rsidR="00EE32EB" w:rsidP="00333BE9" w:rsidRDefault="00EE32EB" w14:paraId="1DFFA0CE" w14:textId="72C8C03F">
      <w:pPr>
        <w:tabs>
          <w:tab w:val="left" w:pos="-720"/>
          <w:tab w:val="right" w:pos="8692"/>
        </w:tabs>
        <w:rPr>
          <w:rFonts w:ascii="Times New Roman" w:hAnsi="Times New Roman"/>
          <w:sz w:val="24"/>
          <w:szCs w:val="24"/>
        </w:rPr>
      </w:pPr>
    </w:p>
    <w:p w:rsidR="00E918F2" w:rsidP="00333BE9" w:rsidRDefault="009744B1" w14:paraId="4F40E6E5" w14:textId="61A20D64">
      <w:pPr>
        <w:tabs>
          <w:tab w:val="left" w:pos="-720"/>
          <w:tab w:val="right" w:pos="8692"/>
        </w:tabs>
        <w:rPr>
          <w:rFonts w:ascii="Times New Roman" w:hAnsi="Times New Roman"/>
          <w:sz w:val="24"/>
          <w:szCs w:val="24"/>
        </w:rPr>
      </w:pPr>
      <w:r>
        <w:rPr>
          <w:rFonts w:ascii="Times New Roman" w:hAnsi="Times New Roman"/>
          <w:sz w:val="24"/>
          <w:szCs w:val="24"/>
        </w:rPr>
        <w:t xml:space="preserve">Data collection will start in </w:t>
      </w:r>
      <w:r w:rsidR="00A55479">
        <w:rPr>
          <w:rFonts w:ascii="Times New Roman" w:hAnsi="Times New Roman"/>
          <w:sz w:val="24"/>
          <w:szCs w:val="24"/>
        </w:rPr>
        <w:t xml:space="preserve">or after </w:t>
      </w:r>
      <w:r>
        <w:rPr>
          <w:rFonts w:ascii="Times New Roman" w:hAnsi="Times New Roman"/>
          <w:sz w:val="24"/>
          <w:szCs w:val="24"/>
        </w:rPr>
        <w:t xml:space="preserve">September 2020.  </w:t>
      </w:r>
      <w:r w:rsidRPr="00EE32EB" w:rsidR="00EE32EB">
        <w:rPr>
          <w:rFonts w:ascii="Times New Roman" w:hAnsi="Times New Roman"/>
          <w:sz w:val="24"/>
          <w:szCs w:val="24"/>
        </w:rPr>
        <w:t xml:space="preserve">Focus group data will be collected and analyzed over a 5-month period. </w:t>
      </w:r>
      <w:r w:rsidR="004967CD">
        <w:rPr>
          <w:rFonts w:ascii="Times New Roman" w:hAnsi="Times New Roman"/>
          <w:sz w:val="24"/>
          <w:szCs w:val="24"/>
        </w:rPr>
        <w:t xml:space="preserve"> </w:t>
      </w:r>
      <w:r w:rsidR="00E918F2">
        <w:rPr>
          <w:rFonts w:ascii="Times New Roman" w:hAnsi="Times New Roman"/>
          <w:sz w:val="24"/>
          <w:szCs w:val="24"/>
        </w:rPr>
        <w:t xml:space="preserve">We anticipate one month to plan the research, two months to field the research, and two months to analyze and report on findings. </w:t>
      </w:r>
      <w:r>
        <w:rPr>
          <w:rFonts w:ascii="Times New Roman" w:hAnsi="Times New Roman"/>
          <w:sz w:val="24"/>
          <w:szCs w:val="24"/>
        </w:rPr>
        <w:t xml:space="preserve"> </w:t>
      </w:r>
    </w:p>
    <w:p w:rsidR="00E918F2" w:rsidP="00333BE9" w:rsidRDefault="00E918F2" w14:paraId="3B3DE398" w14:textId="77777777">
      <w:pPr>
        <w:tabs>
          <w:tab w:val="left" w:pos="-720"/>
          <w:tab w:val="right" w:pos="8692"/>
        </w:tabs>
        <w:rPr>
          <w:rFonts w:ascii="Times New Roman" w:hAnsi="Times New Roman"/>
          <w:sz w:val="24"/>
          <w:szCs w:val="24"/>
        </w:rPr>
      </w:pPr>
    </w:p>
    <w:p w:rsidR="00EE32EB" w:rsidP="00333BE9" w:rsidRDefault="00E918F2" w14:paraId="0A7EFCB5" w14:textId="055E2B5C">
      <w:pPr>
        <w:tabs>
          <w:tab w:val="left" w:pos="-720"/>
          <w:tab w:val="right" w:pos="8692"/>
        </w:tabs>
        <w:rPr>
          <w:rFonts w:ascii="Times New Roman" w:hAnsi="Times New Roman"/>
          <w:sz w:val="24"/>
          <w:szCs w:val="24"/>
        </w:rPr>
      </w:pPr>
      <w:r>
        <w:rPr>
          <w:rFonts w:ascii="Times New Roman" w:hAnsi="Times New Roman"/>
          <w:sz w:val="24"/>
          <w:szCs w:val="24"/>
        </w:rPr>
        <w:t>The online qualitative survey will be collected and analyzed over a 9-month period</w:t>
      </w:r>
      <w:r w:rsidR="00EE32EB">
        <w:rPr>
          <w:rFonts w:ascii="Times New Roman" w:hAnsi="Times New Roman"/>
          <w:sz w:val="24"/>
          <w:szCs w:val="24"/>
        </w:rPr>
        <w:t xml:space="preserve">. </w:t>
      </w:r>
      <w:r w:rsidR="008677D4">
        <w:rPr>
          <w:rFonts w:ascii="Times New Roman" w:hAnsi="Times New Roman"/>
          <w:sz w:val="24"/>
          <w:szCs w:val="24"/>
        </w:rPr>
        <w:t xml:space="preserve"> </w:t>
      </w:r>
      <w:r>
        <w:rPr>
          <w:rFonts w:ascii="Times New Roman" w:hAnsi="Times New Roman"/>
          <w:sz w:val="24"/>
          <w:szCs w:val="24"/>
        </w:rPr>
        <w:t>We anticipate one month to plan the research, six months to field the study, and two months to analyze and report on findings.</w:t>
      </w:r>
    </w:p>
    <w:p w:rsidR="006E3B33" w:rsidP="00333BE9" w:rsidRDefault="006E3B33" w14:paraId="0D6D04A3" w14:textId="77777777">
      <w:pPr>
        <w:tabs>
          <w:tab w:val="left" w:pos="-720"/>
          <w:tab w:val="right" w:pos="8692"/>
        </w:tabs>
        <w:rPr>
          <w:rFonts w:ascii="Times New Roman" w:hAnsi="Times New Roman"/>
          <w:sz w:val="24"/>
          <w:szCs w:val="24"/>
        </w:rPr>
      </w:pPr>
    </w:p>
    <w:p w:rsidR="001879E5" w:rsidP="00333BE9"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P="00333BE9" w:rsidRDefault="001879E5" w14:paraId="0D6D04A5" w14:textId="77777777">
      <w:pPr>
        <w:tabs>
          <w:tab w:val="left" w:pos="720"/>
          <w:tab w:val="right" w:pos="8692"/>
        </w:tabs>
        <w:rPr>
          <w:rFonts w:ascii="Times New Roman" w:hAnsi="Times New Roman"/>
          <w:sz w:val="24"/>
          <w:szCs w:val="24"/>
        </w:rPr>
      </w:pPr>
    </w:p>
    <w:p w:rsidR="001879E5" w:rsidP="00333BE9" w:rsidRDefault="001879E5" w14:paraId="0D6D04A6" w14:textId="0272C436">
      <w:pPr>
        <w:tabs>
          <w:tab w:val="left" w:pos="-720"/>
        </w:tabs>
        <w:rPr>
          <w:rFonts w:ascii="Times New Roman" w:hAnsi="Times New Roman"/>
          <w:sz w:val="24"/>
          <w:szCs w:val="24"/>
        </w:rPr>
      </w:pPr>
      <w:r>
        <w:rPr>
          <w:rFonts w:ascii="Times New Roman" w:hAnsi="Times New Roman"/>
          <w:sz w:val="24"/>
          <w:szCs w:val="24"/>
        </w:rPr>
        <w:t>No exemption is being requested.</w:t>
      </w:r>
      <w:r w:rsidR="00635536">
        <w:rPr>
          <w:rFonts w:ascii="Times New Roman" w:hAnsi="Times New Roman"/>
          <w:sz w:val="24"/>
          <w:szCs w:val="24"/>
        </w:rPr>
        <w:t xml:space="preserve"> </w:t>
      </w:r>
      <w:r w:rsidR="008677D4">
        <w:rPr>
          <w:rFonts w:ascii="Times New Roman" w:hAnsi="Times New Roman"/>
          <w:sz w:val="24"/>
          <w:szCs w:val="24"/>
        </w:rPr>
        <w:t xml:space="preserve"> </w:t>
      </w:r>
      <w:r>
        <w:rPr>
          <w:rFonts w:ascii="Times New Roman" w:hAnsi="Times New Roman"/>
          <w:sz w:val="24"/>
          <w:szCs w:val="24"/>
        </w:rPr>
        <w:t>The expiration date will be displayed.</w:t>
      </w:r>
    </w:p>
    <w:p w:rsidR="001879E5" w:rsidP="00333BE9" w:rsidRDefault="001879E5" w14:paraId="0D6D04A7" w14:textId="77777777">
      <w:pPr>
        <w:tabs>
          <w:tab w:val="left" w:pos="-720"/>
        </w:tabs>
        <w:rPr>
          <w:rFonts w:ascii="Times New Roman" w:hAnsi="Times New Roman"/>
          <w:sz w:val="24"/>
          <w:szCs w:val="24"/>
        </w:rPr>
      </w:pPr>
    </w:p>
    <w:p w:rsidR="001879E5" w:rsidP="00333BE9"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P="004113EE" w:rsidRDefault="001879E5" w14:paraId="0D6D04A9" w14:textId="77777777">
      <w:pPr>
        <w:tabs>
          <w:tab w:val="left" w:pos="-720"/>
          <w:tab w:val="left" w:pos="720"/>
          <w:tab w:val="right" w:pos="8692"/>
        </w:tabs>
        <w:jc w:val="both"/>
        <w:rPr>
          <w:rFonts w:ascii="Times New Roman" w:hAnsi="Times New Roman"/>
          <w:sz w:val="24"/>
          <w:szCs w:val="24"/>
        </w:rPr>
      </w:pPr>
    </w:p>
    <w:p w:rsidRPr="00176576" w:rsidR="001879E5" w:rsidP="00333BE9" w:rsidRDefault="00B906CD" w14:paraId="0D6D04AA"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612E98">
      <w:footerReference w:type="default" r:id="rId14"/>
      <w:pgSz w:w="12240" w:h="15840"/>
      <w:pgMar w:top="1440" w:right="1440" w:bottom="1080" w:left="1440" w:header="1440"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9B03" w14:textId="77777777" w:rsidR="00347FB2" w:rsidRDefault="00347FB2">
      <w:r>
        <w:separator/>
      </w:r>
    </w:p>
  </w:endnote>
  <w:endnote w:type="continuationSeparator" w:id="0">
    <w:p w14:paraId="2E296AB1" w14:textId="77777777" w:rsidR="00347FB2" w:rsidRDefault="0034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43062293"/>
      <w:docPartObj>
        <w:docPartGallery w:val="Page Numbers (Bottom of Page)"/>
        <w:docPartUnique/>
      </w:docPartObj>
    </w:sdtPr>
    <w:sdtEndPr>
      <w:rPr>
        <w:noProof/>
      </w:rPr>
    </w:sdtEndPr>
    <w:sdtContent>
      <w:p w14:paraId="7B9B05A2" w14:textId="0A5A2A10" w:rsidR="00E44524" w:rsidRPr="00612E98" w:rsidRDefault="00E44524">
        <w:pPr>
          <w:pStyle w:val="Footer"/>
          <w:jc w:val="center"/>
          <w:rPr>
            <w:rFonts w:ascii="Times New Roman" w:hAnsi="Times New Roman"/>
          </w:rPr>
        </w:pPr>
        <w:r w:rsidRPr="00612E98">
          <w:rPr>
            <w:rFonts w:ascii="Times New Roman" w:hAnsi="Times New Roman"/>
          </w:rPr>
          <w:fldChar w:fldCharType="begin"/>
        </w:r>
        <w:r w:rsidRPr="00612E98">
          <w:rPr>
            <w:rFonts w:ascii="Times New Roman" w:hAnsi="Times New Roman"/>
          </w:rPr>
          <w:instrText xml:space="preserve"> PAGE   \* MERGEFORMAT </w:instrText>
        </w:r>
        <w:r w:rsidRPr="00612E98">
          <w:rPr>
            <w:rFonts w:ascii="Times New Roman" w:hAnsi="Times New Roman"/>
          </w:rPr>
          <w:fldChar w:fldCharType="separate"/>
        </w:r>
        <w:r w:rsidR="00F21B84">
          <w:rPr>
            <w:rFonts w:ascii="Times New Roman" w:hAnsi="Times New Roman"/>
            <w:noProof/>
          </w:rPr>
          <w:t>6</w:t>
        </w:r>
        <w:r w:rsidRPr="00612E98">
          <w:rPr>
            <w:rFonts w:ascii="Times New Roman" w:hAnsi="Times New Roman"/>
            <w:noProof/>
          </w:rPr>
          <w:fldChar w:fldCharType="end"/>
        </w:r>
      </w:p>
    </w:sdtContent>
  </w:sdt>
  <w:p w14:paraId="0D6D04B0" w14:textId="77777777" w:rsidR="00896384" w:rsidRPr="00612E98" w:rsidRDefault="00896384">
    <w:pP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0975" w14:textId="77777777" w:rsidR="00347FB2" w:rsidRDefault="00347FB2">
      <w:r>
        <w:separator/>
      </w:r>
    </w:p>
  </w:footnote>
  <w:footnote w:type="continuationSeparator" w:id="0">
    <w:p w14:paraId="08ADC471" w14:textId="77777777" w:rsidR="00347FB2" w:rsidRDefault="0034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98E4EBD"/>
    <w:multiLevelType w:val="hybridMultilevel"/>
    <w:tmpl w:val="BEF672E2"/>
    <w:lvl w:ilvl="0" w:tplc="7D488F8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EF2692"/>
    <w:multiLevelType w:val="hybridMultilevel"/>
    <w:tmpl w:val="F094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B4811"/>
    <w:multiLevelType w:val="hybridMultilevel"/>
    <w:tmpl w:val="00EA58B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7654E44"/>
    <w:multiLevelType w:val="hybridMultilevel"/>
    <w:tmpl w:val="9A0A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8C76E99"/>
    <w:multiLevelType w:val="hybridMultilevel"/>
    <w:tmpl w:val="7E2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650ED9"/>
    <w:multiLevelType w:val="hybridMultilevel"/>
    <w:tmpl w:val="949E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8792C57"/>
    <w:multiLevelType w:val="hybridMultilevel"/>
    <w:tmpl w:val="988CA0D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81383"/>
    <w:multiLevelType w:val="hybridMultilevel"/>
    <w:tmpl w:val="8B66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6"/>
  </w:num>
  <w:num w:numId="5">
    <w:abstractNumId w:val="15"/>
  </w:num>
  <w:num w:numId="6">
    <w:abstractNumId w:val="14"/>
  </w:num>
  <w:num w:numId="7">
    <w:abstractNumId w:val="2"/>
  </w:num>
  <w:num w:numId="8">
    <w:abstractNumId w:val="8"/>
  </w:num>
  <w:num w:numId="9">
    <w:abstractNumId w:val="12"/>
  </w:num>
  <w:num w:numId="10">
    <w:abstractNumId w:val="6"/>
  </w:num>
  <w:num w:numId="11">
    <w:abstractNumId w:val="13"/>
  </w:num>
  <w:num w:numId="12">
    <w:abstractNumId w:val="11"/>
  </w:num>
  <w:num w:numId="13">
    <w:abstractNumId w:val="9"/>
  </w:num>
  <w:num w:numId="14">
    <w:abstractNumId w:val="1"/>
  </w:num>
  <w:num w:numId="15">
    <w:abstractNumId w:val="5"/>
  </w:num>
  <w:num w:numId="16">
    <w:abstractNumId w:val="18"/>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7192E"/>
    <w:rsid w:val="00072B9E"/>
    <w:rsid w:val="00077808"/>
    <w:rsid w:val="000E26C2"/>
    <w:rsid w:val="000F2D27"/>
    <w:rsid w:val="000F4A39"/>
    <w:rsid w:val="001017B2"/>
    <w:rsid w:val="00116F07"/>
    <w:rsid w:val="00144B81"/>
    <w:rsid w:val="00154C57"/>
    <w:rsid w:val="00176576"/>
    <w:rsid w:val="001879E5"/>
    <w:rsid w:val="0019133F"/>
    <w:rsid w:val="001B0752"/>
    <w:rsid w:val="001D586F"/>
    <w:rsid w:val="001E1080"/>
    <w:rsid w:val="001E58D1"/>
    <w:rsid w:val="001F05FA"/>
    <w:rsid w:val="001F3E23"/>
    <w:rsid w:val="001F78C0"/>
    <w:rsid w:val="00200DF8"/>
    <w:rsid w:val="002064F1"/>
    <w:rsid w:val="00213C9A"/>
    <w:rsid w:val="002279BC"/>
    <w:rsid w:val="00233B3F"/>
    <w:rsid w:val="00246222"/>
    <w:rsid w:val="00257014"/>
    <w:rsid w:val="00296287"/>
    <w:rsid w:val="002B708C"/>
    <w:rsid w:val="002D2BBC"/>
    <w:rsid w:val="002E5C9D"/>
    <w:rsid w:val="002F402D"/>
    <w:rsid w:val="00301BCD"/>
    <w:rsid w:val="00330C42"/>
    <w:rsid w:val="00332269"/>
    <w:rsid w:val="00333BE9"/>
    <w:rsid w:val="0033551D"/>
    <w:rsid w:val="00344701"/>
    <w:rsid w:val="00347FB2"/>
    <w:rsid w:val="00361FD0"/>
    <w:rsid w:val="003932D7"/>
    <w:rsid w:val="003D0C8E"/>
    <w:rsid w:val="00404E64"/>
    <w:rsid w:val="004113EE"/>
    <w:rsid w:val="004239BD"/>
    <w:rsid w:val="00445915"/>
    <w:rsid w:val="0046323A"/>
    <w:rsid w:val="00472378"/>
    <w:rsid w:val="004967CD"/>
    <w:rsid w:val="004B765F"/>
    <w:rsid w:val="004E3605"/>
    <w:rsid w:val="004E3A1F"/>
    <w:rsid w:val="004F130E"/>
    <w:rsid w:val="004F33ED"/>
    <w:rsid w:val="005210A3"/>
    <w:rsid w:val="00522C38"/>
    <w:rsid w:val="00531A2A"/>
    <w:rsid w:val="00537117"/>
    <w:rsid w:val="00557C4D"/>
    <w:rsid w:val="0056606F"/>
    <w:rsid w:val="00585D9A"/>
    <w:rsid w:val="00587151"/>
    <w:rsid w:val="005B4A77"/>
    <w:rsid w:val="005F0168"/>
    <w:rsid w:val="005F7618"/>
    <w:rsid w:val="0061278C"/>
    <w:rsid w:val="00612E98"/>
    <w:rsid w:val="00623295"/>
    <w:rsid w:val="006237FA"/>
    <w:rsid w:val="0063434A"/>
    <w:rsid w:val="00635536"/>
    <w:rsid w:val="00635A67"/>
    <w:rsid w:val="00642A5E"/>
    <w:rsid w:val="00643A58"/>
    <w:rsid w:val="006628FC"/>
    <w:rsid w:val="00670A3F"/>
    <w:rsid w:val="006840FA"/>
    <w:rsid w:val="00687F23"/>
    <w:rsid w:val="006C40E5"/>
    <w:rsid w:val="006E3B33"/>
    <w:rsid w:val="0071535E"/>
    <w:rsid w:val="00721134"/>
    <w:rsid w:val="007214F6"/>
    <w:rsid w:val="007312BE"/>
    <w:rsid w:val="007461EF"/>
    <w:rsid w:val="0075457F"/>
    <w:rsid w:val="00755B0D"/>
    <w:rsid w:val="007633BC"/>
    <w:rsid w:val="00782F66"/>
    <w:rsid w:val="00796F36"/>
    <w:rsid w:val="007A0D4F"/>
    <w:rsid w:val="007A25D0"/>
    <w:rsid w:val="007A3EC7"/>
    <w:rsid w:val="007A78B8"/>
    <w:rsid w:val="007B2471"/>
    <w:rsid w:val="007C52B1"/>
    <w:rsid w:val="007D0A91"/>
    <w:rsid w:val="007D1E4C"/>
    <w:rsid w:val="007D2413"/>
    <w:rsid w:val="007E4B71"/>
    <w:rsid w:val="008163BB"/>
    <w:rsid w:val="008165B2"/>
    <w:rsid w:val="0082656D"/>
    <w:rsid w:val="00850760"/>
    <w:rsid w:val="008677D4"/>
    <w:rsid w:val="008917C2"/>
    <w:rsid w:val="00896384"/>
    <w:rsid w:val="008C13E2"/>
    <w:rsid w:val="008D1D94"/>
    <w:rsid w:val="008D5B86"/>
    <w:rsid w:val="00920C53"/>
    <w:rsid w:val="009744B1"/>
    <w:rsid w:val="00990233"/>
    <w:rsid w:val="009910A4"/>
    <w:rsid w:val="009947DF"/>
    <w:rsid w:val="009B5A14"/>
    <w:rsid w:val="009B68A7"/>
    <w:rsid w:val="009C02B9"/>
    <w:rsid w:val="009D2EC6"/>
    <w:rsid w:val="009D6C07"/>
    <w:rsid w:val="009D73F6"/>
    <w:rsid w:val="00A244D1"/>
    <w:rsid w:val="00A327AB"/>
    <w:rsid w:val="00A342EB"/>
    <w:rsid w:val="00A4213C"/>
    <w:rsid w:val="00A55479"/>
    <w:rsid w:val="00A60207"/>
    <w:rsid w:val="00A91DCD"/>
    <w:rsid w:val="00AE120A"/>
    <w:rsid w:val="00AE1A75"/>
    <w:rsid w:val="00B21125"/>
    <w:rsid w:val="00B237EB"/>
    <w:rsid w:val="00B37D64"/>
    <w:rsid w:val="00B40D39"/>
    <w:rsid w:val="00B425DD"/>
    <w:rsid w:val="00B54521"/>
    <w:rsid w:val="00B906CD"/>
    <w:rsid w:val="00BA092C"/>
    <w:rsid w:val="00BA1E23"/>
    <w:rsid w:val="00BC6B01"/>
    <w:rsid w:val="00BC761A"/>
    <w:rsid w:val="00BF3FA7"/>
    <w:rsid w:val="00C06246"/>
    <w:rsid w:val="00C22DFD"/>
    <w:rsid w:val="00C22F5A"/>
    <w:rsid w:val="00C50E75"/>
    <w:rsid w:val="00C710C1"/>
    <w:rsid w:val="00C757F4"/>
    <w:rsid w:val="00C81F0F"/>
    <w:rsid w:val="00C91E67"/>
    <w:rsid w:val="00CA1D43"/>
    <w:rsid w:val="00CB2B80"/>
    <w:rsid w:val="00CB2E46"/>
    <w:rsid w:val="00CC40FD"/>
    <w:rsid w:val="00CD4592"/>
    <w:rsid w:val="00CE4102"/>
    <w:rsid w:val="00D2299E"/>
    <w:rsid w:val="00D32AA8"/>
    <w:rsid w:val="00D67A56"/>
    <w:rsid w:val="00D90E19"/>
    <w:rsid w:val="00DA470E"/>
    <w:rsid w:val="00DB27D4"/>
    <w:rsid w:val="00E24A53"/>
    <w:rsid w:val="00E313FC"/>
    <w:rsid w:val="00E44524"/>
    <w:rsid w:val="00E75947"/>
    <w:rsid w:val="00E84FF9"/>
    <w:rsid w:val="00E918F2"/>
    <w:rsid w:val="00EE3180"/>
    <w:rsid w:val="00EE32EB"/>
    <w:rsid w:val="00F007C3"/>
    <w:rsid w:val="00F0115D"/>
    <w:rsid w:val="00F074C3"/>
    <w:rsid w:val="00F12E62"/>
    <w:rsid w:val="00F1420F"/>
    <w:rsid w:val="00F21B84"/>
    <w:rsid w:val="00F42FE1"/>
    <w:rsid w:val="00F46FFB"/>
    <w:rsid w:val="00F66291"/>
    <w:rsid w:val="00F80C75"/>
    <w:rsid w:val="00F94100"/>
    <w:rsid w:val="00FA2B84"/>
    <w:rsid w:val="00FA4FEE"/>
    <w:rsid w:val="00FA58A8"/>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D6D0411"/>
  <w15:docId w15:val="{8E105506-086A-4533-B113-3DE0E980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20C53"/>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4B765F"/>
    <w:rPr>
      <w:color w:val="605E5C"/>
      <w:shd w:val="clear" w:color="auto" w:fill="E1DFDD"/>
    </w:rPr>
  </w:style>
  <w:style w:type="character" w:styleId="FollowedHyperlink">
    <w:name w:val="FollowedHyperlink"/>
    <w:basedOn w:val="DefaultParagraphFont"/>
    <w:uiPriority w:val="99"/>
    <w:semiHidden/>
    <w:unhideWhenUsed/>
    <w:rsid w:val="00EE32EB"/>
    <w:rPr>
      <w:color w:val="800080" w:themeColor="followedHyperlink"/>
      <w:u w:val="single"/>
    </w:rPr>
  </w:style>
  <w:style w:type="paragraph" w:styleId="Revision">
    <w:name w:val="Revision"/>
    <w:hidden/>
    <w:uiPriority w:val="99"/>
    <w:semiHidden/>
    <w:rsid w:val="00E24A53"/>
    <w:pPr>
      <w:spacing w:after="0" w:line="240" w:lineRule="auto"/>
    </w:pPr>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rgandonor.gov/register.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rgandonor.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QPVJESM53SK4-2028541707-24359</_dlc_DocId>
    <_dlc_DocIdUrl xmlns="053a5afd-1424-405b-82d9-63deec7446f8">
      <Url>https://sharepoint.hrsa.gov/sites/HSB/dot/_layouts/15/DocIdRedir.aspx?ID=QPVJESM53SK4-2028541707-24359</Url>
      <Description>QPVJESM53SK4-2028541707-24359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45816-E13F-442A-9F92-1BA440930800}">
  <ds:schemaRefs>
    <ds:schemaRef ds:uri="Microsoft.SharePoint.Taxonomy.ContentTypeSync"/>
  </ds:schemaRefs>
</ds:datastoreItem>
</file>

<file path=customXml/itemProps2.xml><?xml version="1.0" encoding="utf-8"?>
<ds:datastoreItem xmlns:ds="http://schemas.openxmlformats.org/officeDocument/2006/customXml" ds:itemID="{64CC5929-F7ED-4A6B-A7AB-FE8C9A4742A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047681D6-4B8B-45DC-A03D-B1849E8DCCF6}">
  <ds:schemaRefs>
    <ds:schemaRef ds:uri="http://schemas.microsoft.com/sharepoint/events"/>
  </ds:schemaRefs>
</ds:datastoreItem>
</file>

<file path=customXml/itemProps4.xml><?xml version="1.0" encoding="utf-8"?>
<ds:datastoreItem xmlns:ds="http://schemas.openxmlformats.org/officeDocument/2006/customXml" ds:itemID="{D8ECF0B6-448F-4D1C-9D0B-1A828FC4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EBBA2E-0936-4977-888B-1D5630AB2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2286</Words>
  <Characters>13245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Crosby Marketing</dc:creator>
  <cp:lastModifiedBy>Wright-Solomon, Lisa (HRSA)</cp:lastModifiedBy>
  <cp:revision>7</cp:revision>
  <dcterms:created xsi:type="dcterms:W3CDTF">2020-08-27T18:50:00Z</dcterms:created>
  <dcterms:modified xsi:type="dcterms:W3CDTF">2020-08-27T19:02:00Z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47a004e1-2e81-48c5-8836-5d25a1c080f2</vt:lpwstr>
  </property>
</Properties>
</file>