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1E2" w:rsidP="00EB104F" w:rsidRDefault="007111E2" w14:paraId="405A115B" w14:textId="77777777">
      <w:pPr>
        <w:widowControl/>
        <w:jc w:val="center"/>
        <w:rPr>
          <w:b/>
          <w:bCs/>
        </w:rPr>
      </w:pPr>
    </w:p>
    <w:p w:rsidR="007111E2" w:rsidP="00EB104F" w:rsidRDefault="007111E2" w14:paraId="5A58B283" w14:textId="77777777">
      <w:pPr>
        <w:widowControl/>
        <w:jc w:val="center"/>
        <w:rPr>
          <w:b/>
          <w:bCs/>
        </w:rPr>
      </w:pPr>
    </w:p>
    <w:p w:rsidR="007111E2" w:rsidP="00EB104F" w:rsidRDefault="007111E2" w14:paraId="17C53F5B" w14:textId="77777777">
      <w:pPr>
        <w:widowControl/>
        <w:jc w:val="center"/>
        <w:rPr>
          <w:b/>
          <w:bCs/>
        </w:rPr>
      </w:pPr>
    </w:p>
    <w:p w:rsidR="007111E2" w:rsidP="00EB104F" w:rsidRDefault="007111E2" w14:paraId="051C51E4" w14:textId="77777777">
      <w:pPr>
        <w:widowControl/>
        <w:jc w:val="center"/>
        <w:rPr>
          <w:b/>
          <w:bCs/>
        </w:rPr>
      </w:pPr>
    </w:p>
    <w:p w:rsidR="007111E2" w:rsidP="00EB104F" w:rsidRDefault="007111E2" w14:paraId="2A7E4469" w14:textId="77777777">
      <w:pPr>
        <w:widowControl/>
        <w:jc w:val="center"/>
        <w:rPr>
          <w:b/>
          <w:bCs/>
        </w:rPr>
      </w:pPr>
    </w:p>
    <w:p w:rsidR="007111E2" w:rsidP="00EB104F" w:rsidRDefault="007111E2" w14:paraId="49134CE8" w14:textId="77777777">
      <w:pPr>
        <w:widowControl/>
        <w:jc w:val="center"/>
        <w:rPr>
          <w:b/>
          <w:bCs/>
        </w:rPr>
      </w:pPr>
    </w:p>
    <w:p w:rsidR="00EB104F" w:rsidP="00EB104F" w:rsidRDefault="00A93F89" w14:paraId="047A352E" w14:textId="77777777">
      <w:pPr>
        <w:widowControl/>
        <w:jc w:val="center"/>
        <w:rPr>
          <w:b/>
          <w:bCs/>
        </w:rPr>
      </w:pPr>
      <w:r>
        <w:rPr>
          <w:b/>
          <w:bCs/>
        </w:rPr>
        <w:t>OMB SUPPORTING STATEMENT: Part A</w:t>
      </w:r>
      <w:r w:rsidR="00EB104F">
        <w:rPr>
          <w:b/>
          <w:bCs/>
        </w:rPr>
        <w:t xml:space="preserve"> </w:t>
      </w:r>
    </w:p>
    <w:p w:rsidR="00EB104F" w:rsidP="00EB104F" w:rsidRDefault="00EB104F" w14:paraId="5F56D178" w14:textId="77777777">
      <w:pPr>
        <w:widowControl/>
        <w:jc w:val="center"/>
        <w:rPr>
          <w:b/>
          <w:bCs/>
        </w:rPr>
      </w:pPr>
    </w:p>
    <w:p w:rsidR="00EB104F" w:rsidP="00EB104F" w:rsidRDefault="00EB104F" w14:paraId="20AEC56F" w14:textId="77777777">
      <w:pPr>
        <w:widowControl/>
        <w:jc w:val="center"/>
        <w:rPr>
          <w:b/>
          <w:bCs/>
        </w:rPr>
      </w:pPr>
    </w:p>
    <w:p w:rsidR="00EB104F" w:rsidP="00EB104F" w:rsidRDefault="007B75E6" w14:paraId="6BD8E8D2" w14:textId="00FF5A75">
      <w:pPr>
        <w:widowControl/>
        <w:jc w:val="center"/>
        <w:rPr>
          <w:b/>
          <w:bCs/>
        </w:rPr>
      </w:pPr>
      <w:r>
        <w:rPr>
          <w:b/>
          <w:bCs/>
        </w:rPr>
        <w:t xml:space="preserve">National </w:t>
      </w:r>
      <w:r w:rsidR="00E80B89">
        <w:rPr>
          <w:b/>
          <w:bCs/>
        </w:rPr>
        <w:t>Youth Risk Behavior Survey</w:t>
      </w:r>
      <w:r w:rsidR="00094498">
        <w:rPr>
          <w:b/>
          <w:bCs/>
        </w:rPr>
        <w:t xml:space="preserve"> Test-Retest</w:t>
      </w:r>
      <w:r w:rsidRPr="00781A67" w:rsidR="00781A67">
        <w:rPr>
          <w:b/>
          <w:bCs/>
        </w:rPr>
        <w:t xml:space="preserve"> Reliability Study</w:t>
      </w:r>
    </w:p>
    <w:p w:rsidR="00EB104F" w:rsidP="00EB104F" w:rsidRDefault="00EB104F" w14:paraId="7B68B4A6" w14:textId="77777777">
      <w:pPr>
        <w:widowControl/>
        <w:jc w:val="center"/>
        <w:rPr>
          <w:b/>
          <w:bCs/>
        </w:rPr>
      </w:pPr>
    </w:p>
    <w:p w:rsidR="00EB104F" w:rsidP="00EB104F" w:rsidRDefault="00EB104F" w14:paraId="7AE747F3" w14:textId="77777777">
      <w:pPr>
        <w:widowControl/>
        <w:jc w:val="center"/>
        <w:rPr>
          <w:b/>
          <w:bCs/>
        </w:rPr>
      </w:pPr>
    </w:p>
    <w:p w:rsidR="00EB104F" w:rsidP="00EB104F" w:rsidRDefault="00EB104F" w14:paraId="7F5CD539" w14:textId="77777777">
      <w:pPr>
        <w:widowControl/>
        <w:jc w:val="center"/>
        <w:rPr>
          <w:b/>
          <w:bCs/>
        </w:rPr>
      </w:pPr>
      <w:bookmarkStart w:name="_GoBack" w:id="0"/>
      <w:bookmarkEnd w:id="0"/>
    </w:p>
    <w:p w:rsidR="00EB104F" w:rsidP="00EB104F" w:rsidRDefault="00EB104F" w14:paraId="276CF7E6" w14:textId="77777777">
      <w:pPr>
        <w:widowControl/>
        <w:jc w:val="center"/>
        <w:rPr>
          <w:b/>
          <w:bCs/>
        </w:rPr>
      </w:pPr>
    </w:p>
    <w:p w:rsidR="00EB104F" w:rsidP="00A93F89" w:rsidRDefault="00EB104F" w14:paraId="1A6F06B4" w14:textId="77777777">
      <w:pPr>
        <w:widowControl/>
        <w:rPr>
          <w:b/>
          <w:bCs/>
        </w:rPr>
      </w:pPr>
    </w:p>
    <w:p w:rsidR="00EB104F" w:rsidP="00EB104F" w:rsidRDefault="00EB104F" w14:paraId="3060DA31" w14:textId="77777777">
      <w:pPr>
        <w:widowControl/>
        <w:jc w:val="center"/>
        <w:rPr>
          <w:b/>
          <w:bCs/>
        </w:rPr>
      </w:pPr>
    </w:p>
    <w:p w:rsidR="00EB104F" w:rsidP="00EB104F" w:rsidRDefault="00EB104F" w14:paraId="0E9F697D" w14:textId="77777777">
      <w:pPr>
        <w:widowControl/>
        <w:jc w:val="center"/>
        <w:rPr>
          <w:b/>
          <w:bCs/>
        </w:rPr>
      </w:pPr>
    </w:p>
    <w:p w:rsidR="00EB104F" w:rsidP="00EB104F" w:rsidRDefault="00EB104F" w14:paraId="149E922A" w14:textId="77777777">
      <w:pPr>
        <w:widowControl/>
        <w:jc w:val="center"/>
        <w:rPr>
          <w:b/>
          <w:bCs/>
        </w:rPr>
      </w:pPr>
    </w:p>
    <w:p w:rsidR="00EB104F" w:rsidP="00EB104F" w:rsidRDefault="00EB104F" w14:paraId="225A201D" w14:textId="77777777">
      <w:pPr>
        <w:widowControl/>
        <w:jc w:val="center"/>
        <w:rPr>
          <w:b/>
          <w:bCs/>
        </w:rPr>
      </w:pPr>
    </w:p>
    <w:p w:rsidR="00EB104F" w:rsidP="00EB104F" w:rsidRDefault="00EB104F" w14:paraId="768EBD9E" w14:textId="77777777">
      <w:pPr>
        <w:widowControl/>
        <w:jc w:val="center"/>
        <w:rPr>
          <w:b/>
          <w:bCs/>
        </w:rPr>
      </w:pPr>
      <w:r>
        <w:rPr>
          <w:b/>
          <w:bCs/>
        </w:rPr>
        <w:t>Submitted by:</w:t>
      </w:r>
    </w:p>
    <w:p w:rsidR="00EB104F" w:rsidP="00EB104F" w:rsidRDefault="00EB104F" w14:paraId="5D0D425E" w14:textId="77777777">
      <w:pPr>
        <w:widowControl/>
        <w:jc w:val="center"/>
        <w:rPr>
          <w:b/>
          <w:bCs/>
        </w:rPr>
      </w:pPr>
    </w:p>
    <w:p w:rsidR="00EB104F" w:rsidP="00EB104F" w:rsidRDefault="00EB104F" w14:paraId="60B8069C" w14:textId="77777777">
      <w:pPr>
        <w:widowControl/>
        <w:jc w:val="center"/>
        <w:rPr>
          <w:b/>
          <w:bCs/>
        </w:rPr>
      </w:pPr>
      <w:r>
        <w:rPr>
          <w:b/>
          <w:bCs/>
        </w:rPr>
        <w:t xml:space="preserve">Division of Adolescent and School Health </w:t>
      </w:r>
    </w:p>
    <w:p w:rsidRPr="00FE5EA8" w:rsidR="00FE5EA8" w:rsidP="00FE5EA8" w:rsidRDefault="00FE5EA8" w14:paraId="0EE26F2F" w14:textId="77777777">
      <w:pPr>
        <w:widowControl/>
        <w:jc w:val="center"/>
        <w:rPr>
          <w:b/>
          <w:bCs/>
        </w:rPr>
      </w:pPr>
      <w:r w:rsidRPr="00FE5EA8">
        <w:rPr>
          <w:b/>
          <w:bCs/>
        </w:rPr>
        <w:t>National Center for HIV/AIDS, Viral Hepatitis, STD, and TB Prevention</w:t>
      </w:r>
    </w:p>
    <w:p w:rsidR="00EB104F" w:rsidP="00EB104F" w:rsidRDefault="00EB104F" w14:paraId="1FD00FC1" w14:textId="77777777">
      <w:pPr>
        <w:widowControl/>
        <w:jc w:val="center"/>
        <w:rPr>
          <w:b/>
          <w:bCs/>
        </w:rPr>
      </w:pPr>
    </w:p>
    <w:p w:rsidR="00EB104F" w:rsidP="00EB104F" w:rsidRDefault="00EB104F" w14:paraId="0BF92300" w14:textId="77777777">
      <w:pPr>
        <w:widowControl/>
        <w:jc w:val="center"/>
        <w:rPr>
          <w:b/>
          <w:bCs/>
        </w:rPr>
      </w:pPr>
      <w:r>
        <w:rPr>
          <w:b/>
          <w:bCs/>
        </w:rPr>
        <w:t>Centers for Disease Control and Prevention</w:t>
      </w:r>
    </w:p>
    <w:p w:rsidR="00EB104F" w:rsidP="00EB104F" w:rsidRDefault="00EB104F" w14:paraId="6FC08034" w14:textId="77777777">
      <w:pPr>
        <w:widowControl/>
        <w:jc w:val="center"/>
        <w:rPr>
          <w:b/>
          <w:bCs/>
        </w:rPr>
      </w:pPr>
      <w:r>
        <w:rPr>
          <w:b/>
          <w:bCs/>
        </w:rPr>
        <w:t>Department of Health and Human Services</w:t>
      </w:r>
    </w:p>
    <w:p w:rsidR="00EB104F" w:rsidP="00EB104F" w:rsidRDefault="00EB104F" w14:paraId="4703367D" w14:textId="77777777">
      <w:pPr>
        <w:widowControl/>
        <w:jc w:val="center"/>
      </w:pPr>
    </w:p>
    <w:p w:rsidR="00EB104F" w:rsidP="00EB104F" w:rsidRDefault="00EB104F" w14:paraId="614E2CF4" w14:textId="77777777">
      <w:pPr>
        <w:widowControl/>
        <w:jc w:val="center"/>
      </w:pPr>
    </w:p>
    <w:p w:rsidR="00EB104F" w:rsidP="00EB104F" w:rsidRDefault="00EB104F" w14:paraId="0F1F7ACA" w14:textId="77777777">
      <w:pPr>
        <w:widowControl/>
      </w:pPr>
      <w:r>
        <w:t>Project Officer:</w:t>
      </w:r>
    </w:p>
    <w:p w:rsidR="00EB104F" w:rsidP="00EB104F" w:rsidRDefault="00EB104F" w14:paraId="45B64B4F" w14:textId="77777777">
      <w:pPr>
        <w:widowControl/>
      </w:pPr>
    </w:p>
    <w:p w:rsidR="00EB104F" w:rsidP="00EB104F" w:rsidRDefault="00A2396D" w14:paraId="7D73EAD0" w14:textId="4087E73E">
      <w:pPr>
        <w:widowControl/>
      </w:pPr>
      <w:r>
        <w:t>Sherry Everett Jones</w:t>
      </w:r>
      <w:r w:rsidR="00EB104F">
        <w:t>, PhD</w:t>
      </w:r>
      <w:r w:rsidR="009113C8">
        <w:t>, MPH, JD</w:t>
      </w:r>
    </w:p>
    <w:p w:rsidR="00DE3A7F" w:rsidP="00EB104F" w:rsidRDefault="00DE3A7F" w14:paraId="0B09F725" w14:textId="296EFD89">
      <w:pPr>
        <w:widowControl/>
      </w:pPr>
      <w:r>
        <w:t>School-Based Surveillance Branch</w:t>
      </w:r>
    </w:p>
    <w:p w:rsidR="00EB104F" w:rsidP="00EB104F" w:rsidRDefault="00EB104F" w14:paraId="63043AF3" w14:textId="77777777">
      <w:pPr>
        <w:widowControl/>
      </w:pPr>
      <w:r>
        <w:t>Division of Adolescent and School Health</w:t>
      </w:r>
    </w:p>
    <w:p w:rsidR="00EB104F" w:rsidP="00EB104F" w:rsidRDefault="00EB104F" w14:paraId="34567331" w14:textId="77777777">
      <w:pPr>
        <w:widowControl/>
      </w:pPr>
      <w:r>
        <w:t xml:space="preserve">National Center for </w:t>
      </w:r>
      <w:r w:rsidR="0051467B">
        <w:t>HIV/AIDS, Viral Hepatitis, STD, and TB Prevention</w:t>
      </w:r>
    </w:p>
    <w:p w:rsidR="00EB104F" w:rsidP="00EB104F" w:rsidRDefault="00EB104F" w14:paraId="738DDC64" w14:textId="77777777">
      <w:pPr>
        <w:widowControl/>
      </w:pPr>
      <w:r>
        <w:t>Centers for Disease Control and Prevention</w:t>
      </w:r>
    </w:p>
    <w:p w:rsidR="00DE3A7F" w:rsidP="00DE3A7F" w:rsidRDefault="00DE3A7F" w14:paraId="7615AC26" w14:textId="38BF0579">
      <w:r>
        <w:t xml:space="preserve">1600 Clifton Road MS </w:t>
      </w:r>
      <w:r w:rsidR="00A2396D">
        <w:t>US8-1</w:t>
      </w:r>
    </w:p>
    <w:p w:rsidRPr="00E15DF4" w:rsidR="00EB104F" w:rsidP="00DE3A7F" w:rsidRDefault="00DE3A7F" w14:paraId="45FFFA3B" w14:textId="00DF8428">
      <w:pPr>
        <w:widowControl/>
        <w:rPr>
          <w:highlight w:val="yellow"/>
        </w:rPr>
      </w:pPr>
      <w:r w:rsidRPr="008C1D08">
        <w:t>Atlanta, GA 303</w:t>
      </w:r>
      <w:r>
        <w:t>29-4027</w:t>
      </w:r>
    </w:p>
    <w:p w:rsidRPr="00DE3A7F" w:rsidR="00EB104F" w:rsidP="00EB104F" w:rsidRDefault="00EB104F" w14:paraId="082F885F" w14:textId="1341C588">
      <w:pPr>
        <w:widowControl/>
      </w:pPr>
      <w:r w:rsidRPr="00DE3A7F">
        <w:t xml:space="preserve">Phone: </w:t>
      </w:r>
      <w:r w:rsidRPr="00DE3A7F" w:rsidR="00DE3A7F">
        <w:t>404-718-</w:t>
      </w:r>
      <w:r w:rsidR="009113C8">
        <w:t>8288</w:t>
      </w:r>
    </w:p>
    <w:p w:rsidRPr="00E15DF4" w:rsidR="00EB104F" w:rsidP="00EB104F" w:rsidRDefault="00EB104F" w14:paraId="228F5D4F" w14:textId="7431090B">
      <w:pPr>
        <w:widowControl/>
        <w:rPr>
          <w:highlight w:val="yellow"/>
        </w:rPr>
      </w:pPr>
      <w:r w:rsidRPr="00DE3A7F">
        <w:t xml:space="preserve">Fax: </w:t>
      </w:r>
      <w:r w:rsidRPr="00DE3A7F" w:rsidR="00DE3A7F">
        <w:t>404-718-8010</w:t>
      </w:r>
    </w:p>
    <w:p w:rsidR="00EB104F" w:rsidP="00E24142" w:rsidRDefault="00EB104F" w14:paraId="78A0C9C1" w14:textId="3BDF3933">
      <w:pPr>
        <w:widowControl/>
        <w:rPr>
          <w:b/>
          <w:bCs/>
        </w:rPr>
        <w:sectPr w:rsidR="00EB104F" w:rsidSect="002B1594">
          <w:footerReference w:type="even" r:id="rId8"/>
          <w:footerReference w:type="default" r:id="rId9"/>
          <w:endnotePr>
            <w:numFmt w:val="decimal"/>
          </w:endnotePr>
          <w:pgSz w:w="12240" w:h="15840" w:code="1"/>
          <w:pgMar w:top="1440" w:right="1440" w:bottom="720" w:left="1440" w:header="1440" w:footer="720" w:gutter="0"/>
          <w:pgNumType w:fmt="lowerRoman"/>
          <w:cols w:space="720"/>
          <w:noEndnote/>
          <w:titlePg/>
          <w:docGrid w:linePitch="326"/>
        </w:sectPr>
      </w:pPr>
      <w:r w:rsidRPr="00DE3A7F">
        <w:t xml:space="preserve">E-mail: </w:t>
      </w:r>
      <w:hyperlink w:history="1" r:id="rId10">
        <w:r w:rsidRPr="00C51E6F" w:rsidR="00E24142">
          <w:rPr>
            <w:rStyle w:val="Hyperlink"/>
          </w:rPr>
          <w:t>sce2@cdc.gov</w:t>
        </w:r>
      </w:hyperlink>
    </w:p>
    <w:p w:rsidRPr="00360FAC" w:rsidR="00EB104F" w:rsidP="00810658" w:rsidRDefault="00767F05" w14:paraId="4B68D9F0" w14:textId="09EE5ECA">
      <w:pPr>
        <w:pStyle w:val="TOCHeading"/>
        <w:spacing w:before="0" w:after="480"/>
        <w:rPr>
          <w:color w:val="auto"/>
        </w:rPr>
      </w:pPr>
      <w:r w:rsidRPr="00360FAC">
        <w:rPr>
          <w:color w:val="auto"/>
        </w:rPr>
        <w:lastRenderedPageBreak/>
        <w:t>Contents</w:t>
      </w:r>
    </w:p>
    <w:p w:rsidRPr="00767F05" w:rsidR="007061E8" w:rsidP="007061E8" w:rsidRDefault="007061E8" w14:paraId="72BB7408" w14:textId="77777777">
      <w:pPr>
        <w:pStyle w:val="TOC1"/>
      </w:pPr>
      <w:r w:rsidRPr="00767F05">
        <w:t>A</w:t>
      </w:r>
      <w:r>
        <w:t>.</w:t>
      </w:r>
      <w:r w:rsidRPr="00767F05">
        <w:tab/>
        <w:t>JUSTIFICATION</w:t>
      </w:r>
      <w:r w:rsidRPr="00767F05">
        <w:tab/>
        <w:t>1</w:t>
      </w:r>
    </w:p>
    <w:p w:rsidRPr="009105E2" w:rsidR="007061E8" w:rsidP="007061E8" w:rsidRDefault="007061E8" w14:paraId="1C5F5D68" w14:textId="77777777">
      <w:pPr>
        <w:pStyle w:val="TOC2"/>
      </w:pPr>
      <w:r w:rsidRPr="00767F05">
        <w:t>A.1</w:t>
      </w:r>
      <w:r w:rsidRPr="00767F05">
        <w:tab/>
        <w:t>CIRCUMSTANCES MAKING THE COLLECTION OF INFORMATION NECESSARY</w:t>
      </w:r>
      <w:r w:rsidRPr="009105E2">
        <w:tab/>
        <w:t>1</w:t>
      </w:r>
    </w:p>
    <w:p w:rsidR="007061E8" w:rsidP="007061E8" w:rsidRDefault="007061E8" w14:paraId="4CDF4FCE" w14:textId="77777777">
      <w:pPr>
        <w:pStyle w:val="TOC2"/>
      </w:pPr>
      <w:r w:rsidRPr="00767F05">
        <w:t>A.2</w:t>
      </w:r>
      <w:r w:rsidRPr="00767F05">
        <w:tab/>
        <w:t>PURPOSE AND USE OF INFORMATION COLLECTED</w:t>
      </w:r>
      <w:r w:rsidRPr="00767F05">
        <w:tab/>
        <w:t>3</w:t>
      </w:r>
    </w:p>
    <w:p w:rsidR="007061E8" w:rsidP="007061E8" w:rsidRDefault="007061E8" w14:paraId="2E057604" w14:textId="358386C6">
      <w:pPr>
        <w:pStyle w:val="TOC2"/>
      </w:pPr>
      <w:r w:rsidRPr="00957D8A">
        <w:t>A.3</w:t>
      </w:r>
      <w:r w:rsidRPr="00957D8A">
        <w:tab/>
        <w:t xml:space="preserve">USE OF IMPROVED INFORMATION TECHNOLOGY AND </w:t>
      </w:r>
      <w:r>
        <w:br/>
      </w:r>
      <w:r w:rsidRPr="00957D8A">
        <w:t>BURDEN REDUCTION</w:t>
      </w:r>
      <w:r>
        <w:tab/>
        <w:t>4</w:t>
      </w:r>
    </w:p>
    <w:p w:rsidR="007061E8" w:rsidP="007061E8" w:rsidRDefault="007061E8" w14:paraId="228D4BAD" w14:textId="77777777">
      <w:pPr>
        <w:pStyle w:val="TOC2"/>
      </w:pPr>
      <w:r w:rsidRPr="006D6B92">
        <w:t>A.4</w:t>
      </w:r>
      <w:r w:rsidRPr="006D6B92">
        <w:tab/>
        <w:t xml:space="preserve">EFFORTS TO IDENTIFY DUPLICATION AND USE OF SIMILAR </w:t>
      </w:r>
      <w:r>
        <w:br/>
      </w:r>
      <w:r w:rsidRPr="006D6B92">
        <w:t>INFORMATION</w:t>
      </w:r>
      <w:r>
        <w:tab/>
        <w:t>4</w:t>
      </w:r>
    </w:p>
    <w:p w:rsidR="007061E8" w:rsidP="007061E8" w:rsidRDefault="007061E8" w14:paraId="219CE59F" w14:textId="77777777">
      <w:pPr>
        <w:pStyle w:val="TOC2"/>
      </w:pPr>
      <w:r w:rsidRPr="0029780B">
        <w:t>A.5</w:t>
      </w:r>
      <w:r w:rsidRPr="0029780B">
        <w:tab/>
        <w:t>IMPACT ON SMALL BUSINESSES OR OTHER SMALL ENTITIES</w:t>
      </w:r>
      <w:r>
        <w:tab/>
        <w:t>4</w:t>
      </w:r>
    </w:p>
    <w:p w:rsidR="007061E8" w:rsidP="007061E8" w:rsidRDefault="007061E8" w14:paraId="1B21B9F7" w14:textId="77777777">
      <w:pPr>
        <w:pStyle w:val="TOC2"/>
      </w:pPr>
      <w:r w:rsidRPr="00DB012E">
        <w:t>A.6</w:t>
      </w:r>
      <w:r w:rsidRPr="00DB012E">
        <w:tab/>
        <w:t>CONSEQUENCES OF COLLECTING THE INFORMATION LESS FREQUENTLY</w:t>
      </w:r>
      <w:r>
        <w:tab/>
        <w:t>4</w:t>
      </w:r>
    </w:p>
    <w:p w:rsidR="007061E8" w:rsidP="007061E8" w:rsidRDefault="007061E8" w14:paraId="77E7EADB" w14:textId="38EC366A">
      <w:pPr>
        <w:pStyle w:val="TOC2"/>
      </w:pPr>
      <w:r w:rsidRPr="00DB012E">
        <w:t>A.7</w:t>
      </w:r>
      <w:r w:rsidRPr="00DB012E">
        <w:tab/>
        <w:t>SPECIAL CIRCUMSTANCES RELATING TO THE GUIDELINE OF 5 CFR 1320.5</w:t>
      </w:r>
      <w:r>
        <w:tab/>
        <w:t>4</w:t>
      </w:r>
    </w:p>
    <w:p w:rsidR="007061E8" w:rsidP="007061E8" w:rsidRDefault="007061E8" w14:paraId="1729C142" w14:textId="0BAE4B28">
      <w:pPr>
        <w:pStyle w:val="TOC2"/>
      </w:pPr>
      <w:r>
        <w:t>A</w:t>
      </w:r>
      <w:r w:rsidRPr="00DB012E">
        <w:t>.8</w:t>
      </w:r>
      <w:r w:rsidRPr="00DB012E">
        <w:tab/>
        <w:t>COMMENTS IN RESPONSE TO THE FEDERAL REGISTER NOTICE AND EFFORTS TO CONSULT OUTSIDE THE AGENCY</w:t>
      </w:r>
      <w:r>
        <w:tab/>
      </w:r>
      <w:r w:rsidR="00DC7DCC">
        <w:t>5</w:t>
      </w:r>
    </w:p>
    <w:p w:rsidR="007061E8" w:rsidP="007061E8" w:rsidRDefault="007061E8" w14:paraId="37E7B175" w14:textId="1C74C0E9">
      <w:pPr>
        <w:pStyle w:val="TOC2"/>
      </w:pPr>
      <w:r w:rsidRPr="00DB012E">
        <w:t>A.9</w:t>
      </w:r>
      <w:r w:rsidRPr="00DB012E">
        <w:tab/>
        <w:t>EXPLANATION OF ANY PAYMENT OR GIFT TO RESPONDENTS</w:t>
      </w:r>
      <w:r>
        <w:tab/>
        <w:t>5</w:t>
      </w:r>
    </w:p>
    <w:p w:rsidR="007061E8" w:rsidP="007061E8" w:rsidRDefault="007061E8" w14:paraId="4E8F9CFC" w14:textId="77777777">
      <w:pPr>
        <w:pStyle w:val="TOC2"/>
      </w:pPr>
      <w:r w:rsidRPr="00DB012E">
        <w:t>A.10</w:t>
      </w:r>
      <w:r w:rsidRPr="00DB012E">
        <w:tab/>
      </w:r>
      <w:r>
        <w:t>PROTECTION OF THE PRIVACY AND</w:t>
      </w:r>
      <w:r w:rsidRPr="00DB012E">
        <w:t xml:space="preserve"> CONFIDENTIALITY</w:t>
      </w:r>
      <w:r>
        <w:t xml:space="preserve"> OF INFORMATION</w:t>
      </w:r>
      <w:r w:rsidRPr="00DB012E">
        <w:t xml:space="preserve"> PROVIDED </w:t>
      </w:r>
      <w:r>
        <w:t>BY</w:t>
      </w:r>
      <w:r w:rsidRPr="00DB012E">
        <w:t xml:space="preserve"> RESPONDENTS</w:t>
      </w:r>
      <w:r>
        <w:tab/>
        <w:t>5</w:t>
      </w:r>
    </w:p>
    <w:p w:rsidR="007061E8" w:rsidP="007061E8" w:rsidRDefault="007061E8" w14:paraId="76865453" w14:textId="77777777">
      <w:pPr>
        <w:pStyle w:val="TOC2"/>
      </w:pPr>
      <w:r w:rsidRPr="00DB012E">
        <w:t>A.11</w:t>
      </w:r>
      <w:r w:rsidRPr="00DB012E">
        <w:tab/>
      </w:r>
      <w:r>
        <w:t xml:space="preserve">INSTITUTIONAL REVIEW BOARD (IRB) AND </w:t>
      </w:r>
      <w:r w:rsidRPr="00DB012E">
        <w:t xml:space="preserve">JUSTIFICATION FOR </w:t>
      </w:r>
      <w:r>
        <w:br/>
      </w:r>
      <w:r w:rsidRPr="00DB012E">
        <w:t>SENSITIVE QUESTIONS</w:t>
      </w:r>
      <w:r>
        <w:tab/>
        <w:t>6</w:t>
      </w:r>
    </w:p>
    <w:p w:rsidRPr="00767F05" w:rsidR="007061E8" w:rsidP="007061E8" w:rsidRDefault="007061E8" w14:paraId="1A5DD9C2" w14:textId="3AE8AD0D">
      <w:pPr>
        <w:pStyle w:val="TOC2"/>
      </w:pPr>
      <w:r w:rsidRPr="00DB012E">
        <w:t>A.12</w:t>
      </w:r>
      <w:r w:rsidRPr="00DB012E">
        <w:tab/>
        <w:t>ESTIMATES OF ANNUALIZED BURDEN HOURS AND COSTS</w:t>
      </w:r>
      <w:r>
        <w:tab/>
        <w:t>8</w:t>
      </w:r>
    </w:p>
    <w:p w:rsidR="007061E8" w:rsidP="007061E8" w:rsidRDefault="007061E8" w14:paraId="1D77A6A5" w14:textId="0CE53499">
      <w:pPr>
        <w:pStyle w:val="TOC2"/>
      </w:pPr>
      <w:r w:rsidRPr="00DB012E">
        <w:t>A.13</w:t>
      </w:r>
      <w:r w:rsidRPr="00DB012E">
        <w:tab/>
        <w:t xml:space="preserve">ESTIMATES OF OTHER TOTAL ANNUAL COST BURDEN TO </w:t>
      </w:r>
      <w:r>
        <w:br/>
      </w:r>
      <w:r w:rsidRPr="00DB012E">
        <w:t>RESPONDENTS AND RECORD</w:t>
      </w:r>
      <w:r>
        <w:t xml:space="preserve"> </w:t>
      </w:r>
      <w:r w:rsidRPr="00DB012E">
        <w:t>KEEPERS</w:t>
      </w:r>
      <w:r>
        <w:tab/>
      </w:r>
      <w:r w:rsidR="00DC7DCC">
        <w:t>10</w:t>
      </w:r>
    </w:p>
    <w:p w:rsidR="007061E8" w:rsidP="007061E8" w:rsidRDefault="007061E8" w14:paraId="1240C024" w14:textId="19CBE3A0">
      <w:pPr>
        <w:pStyle w:val="TOC2"/>
      </w:pPr>
      <w:r w:rsidRPr="00DB012E">
        <w:t>A.14</w:t>
      </w:r>
      <w:r w:rsidRPr="00DB012E">
        <w:tab/>
        <w:t xml:space="preserve">ANNUALIZED COSTS TO THE </w:t>
      </w:r>
      <w:r>
        <w:t xml:space="preserve">FEDERAL </w:t>
      </w:r>
      <w:r w:rsidRPr="00DB012E">
        <w:t>GOVERNMENT</w:t>
      </w:r>
      <w:r>
        <w:tab/>
      </w:r>
      <w:r w:rsidR="00DC7DCC">
        <w:t>10</w:t>
      </w:r>
    </w:p>
    <w:p w:rsidR="007061E8" w:rsidP="007061E8" w:rsidRDefault="007061E8" w14:paraId="5917E165" w14:textId="4BED3A99">
      <w:pPr>
        <w:pStyle w:val="TOC2"/>
      </w:pPr>
      <w:r w:rsidRPr="00DB012E">
        <w:t>A.15</w:t>
      </w:r>
      <w:r w:rsidRPr="00DB012E">
        <w:tab/>
        <w:t xml:space="preserve">EXPLANATION </w:t>
      </w:r>
      <w:r>
        <w:t>FOR</w:t>
      </w:r>
      <w:r w:rsidRPr="00DB012E">
        <w:t xml:space="preserve"> PROGRAM CHANGES OR ADJUSTMENTS</w:t>
      </w:r>
      <w:r>
        <w:tab/>
        <w:t>10</w:t>
      </w:r>
    </w:p>
    <w:p w:rsidR="007061E8" w:rsidP="007061E8" w:rsidRDefault="007061E8" w14:paraId="042EC200" w14:textId="6649B53D">
      <w:pPr>
        <w:pStyle w:val="TOC2"/>
      </w:pPr>
      <w:r w:rsidRPr="00DB012E">
        <w:t>A.16</w:t>
      </w:r>
      <w:r w:rsidRPr="00DB012E">
        <w:tab/>
        <w:t>PLANS FOR TABULATION AND PUBLICATION AND PROJECT TIME SCHEDULE</w:t>
      </w:r>
      <w:r>
        <w:tab/>
        <w:t>10</w:t>
      </w:r>
    </w:p>
    <w:p w:rsidR="007061E8" w:rsidP="007061E8" w:rsidRDefault="007061E8" w14:paraId="10D53978" w14:textId="0C00451B">
      <w:pPr>
        <w:pStyle w:val="TOC2"/>
      </w:pPr>
      <w:r w:rsidRPr="00DB012E">
        <w:t>A.17</w:t>
      </w:r>
      <w:r w:rsidRPr="00DB012E">
        <w:tab/>
        <w:t>REASON(S) DISPLAY OF OMB EXPIRATION DATE IS INAPPROPRIATE</w:t>
      </w:r>
      <w:r>
        <w:tab/>
        <w:t>11</w:t>
      </w:r>
    </w:p>
    <w:p w:rsidR="007061E8" w:rsidP="007061E8" w:rsidRDefault="007061E8" w14:paraId="5F0A5E4C" w14:textId="59A4890F">
      <w:pPr>
        <w:pStyle w:val="TOC2"/>
        <w:spacing w:after="240"/>
        <w:ind w:left="1397" w:hanging="677"/>
      </w:pPr>
      <w:r w:rsidRPr="00DB012E">
        <w:t>A.18</w:t>
      </w:r>
      <w:r w:rsidRPr="00DB012E">
        <w:tab/>
        <w:t>EXCEPTIONS TO CERTIFICATION FOR PAPERWORK REDUCTION ACT SUBMISSIONS</w:t>
      </w:r>
      <w:r>
        <w:tab/>
        <w:t>11</w:t>
      </w:r>
    </w:p>
    <w:p w:rsidR="00C01693" w:rsidP="00C01693" w:rsidRDefault="00C01693" w14:paraId="18B72CF3" w14:textId="43B92F7A"/>
    <w:p w:rsidRPr="00767F05" w:rsidR="007061E8" w:rsidP="007061E8" w:rsidRDefault="007061E8" w14:paraId="38399ABB" w14:textId="77777777">
      <w:pPr>
        <w:rPr>
          <w:b/>
        </w:rPr>
      </w:pPr>
      <w:r w:rsidRPr="00767F05">
        <w:rPr>
          <w:b/>
        </w:rPr>
        <w:t>List of Exhibits</w:t>
      </w:r>
    </w:p>
    <w:p w:rsidR="007061E8" w:rsidP="007061E8" w:rsidRDefault="007061E8" w14:paraId="14F1CEB4" w14:textId="77777777"/>
    <w:p w:rsidRPr="00767F05" w:rsidR="007061E8" w:rsidP="007061E8" w:rsidRDefault="007061E8" w14:paraId="1B938FE8" w14:textId="09FE18BB">
      <w:pPr>
        <w:pStyle w:val="TOC1"/>
        <w:numPr>
          <w:ilvl w:val="0"/>
          <w:numId w:val="13"/>
        </w:numPr>
        <w:rPr>
          <w:b w:val="0"/>
        </w:rPr>
      </w:pPr>
      <w:r w:rsidRPr="00767F05">
        <w:rPr>
          <w:b w:val="0"/>
        </w:rPr>
        <w:t>Estimated Annualized Burden Hours</w:t>
      </w:r>
      <w:r w:rsidRPr="00767F05">
        <w:rPr>
          <w:b w:val="0"/>
        </w:rPr>
        <w:tab/>
      </w:r>
      <w:r w:rsidR="00DC7DCC">
        <w:rPr>
          <w:b w:val="0"/>
        </w:rPr>
        <w:t>9</w:t>
      </w:r>
    </w:p>
    <w:p w:rsidRPr="00767F05" w:rsidR="007061E8" w:rsidP="007061E8" w:rsidRDefault="007061E8" w14:paraId="070479D2" w14:textId="5DA1BB34">
      <w:pPr>
        <w:pStyle w:val="TOC1"/>
        <w:numPr>
          <w:ilvl w:val="0"/>
          <w:numId w:val="13"/>
        </w:numPr>
        <w:rPr>
          <w:b w:val="0"/>
        </w:rPr>
      </w:pPr>
      <w:r w:rsidRPr="00767F05">
        <w:rPr>
          <w:b w:val="0"/>
        </w:rPr>
        <w:t>Estimated Annualized Burden Costs</w:t>
      </w:r>
      <w:r w:rsidRPr="00767F05">
        <w:rPr>
          <w:b w:val="0"/>
        </w:rPr>
        <w:tab/>
      </w:r>
      <w:r>
        <w:rPr>
          <w:b w:val="0"/>
        </w:rPr>
        <w:t>9</w:t>
      </w:r>
    </w:p>
    <w:p w:rsidR="007061E8" w:rsidP="007061E8" w:rsidRDefault="007061E8" w14:paraId="51C22C27" w14:textId="7C3A7213">
      <w:pPr>
        <w:pStyle w:val="TOC1"/>
        <w:numPr>
          <w:ilvl w:val="0"/>
          <w:numId w:val="13"/>
        </w:numPr>
        <w:rPr>
          <w:b w:val="0"/>
        </w:rPr>
      </w:pPr>
      <w:r w:rsidRPr="00767F05">
        <w:rPr>
          <w:b w:val="0"/>
        </w:rPr>
        <w:t>Costs to the Federal Government</w:t>
      </w:r>
      <w:r w:rsidRPr="00767F05">
        <w:rPr>
          <w:b w:val="0"/>
        </w:rPr>
        <w:tab/>
      </w:r>
      <w:r>
        <w:rPr>
          <w:b w:val="0"/>
        </w:rPr>
        <w:t>10</w:t>
      </w:r>
    </w:p>
    <w:p w:rsidRPr="00AD26EB" w:rsidR="007061E8" w:rsidP="007061E8" w:rsidRDefault="007061E8" w14:paraId="2124BD38" w14:textId="595206EB">
      <w:pPr>
        <w:pStyle w:val="TOC1"/>
        <w:numPr>
          <w:ilvl w:val="0"/>
          <w:numId w:val="13"/>
        </w:numPr>
        <w:rPr>
          <w:b w:val="0"/>
        </w:rPr>
      </w:pPr>
      <w:r w:rsidRPr="00AD26EB">
        <w:rPr>
          <w:b w:val="0"/>
          <w:color w:val="000000" w:themeColor="text1"/>
        </w:rPr>
        <w:t xml:space="preserve">Time schedule for the </w:t>
      </w:r>
      <w:r>
        <w:rPr>
          <w:b w:val="0"/>
          <w:color w:val="000000" w:themeColor="text1"/>
        </w:rPr>
        <w:t xml:space="preserve">National YRBS </w:t>
      </w:r>
      <w:r w:rsidRPr="00AD26EB">
        <w:rPr>
          <w:b w:val="0"/>
          <w:color w:val="000000" w:themeColor="text1"/>
        </w:rPr>
        <w:t>Test-Retest Reliability Study</w:t>
      </w:r>
      <w:r w:rsidRPr="00AD26EB">
        <w:rPr>
          <w:b w:val="0"/>
          <w:color w:val="000000" w:themeColor="text1"/>
        </w:rPr>
        <w:tab/>
        <w:t>1</w:t>
      </w:r>
      <w:r>
        <w:rPr>
          <w:b w:val="0"/>
          <w:color w:val="000000" w:themeColor="text1"/>
        </w:rPr>
        <w:t>1</w:t>
      </w:r>
    </w:p>
    <w:p w:rsidRPr="00767F05" w:rsidR="00767F05" w:rsidP="00767F05" w:rsidRDefault="00767F05" w14:paraId="1A923A8B" w14:textId="0379C45E">
      <w:pPr>
        <w:pStyle w:val="TOC1"/>
        <w:ind w:left="446" w:hanging="446"/>
      </w:pPr>
      <w:r w:rsidRPr="00767F05">
        <w:lastRenderedPageBreak/>
        <w:t>List of Attachments</w:t>
      </w:r>
    </w:p>
    <w:p w:rsidRPr="00767F05" w:rsidR="00767F05" w:rsidP="00767F05" w:rsidRDefault="00767F05" w14:paraId="798FCEF5" w14:textId="5386AF98">
      <w:pPr>
        <w:pStyle w:val="TOC1"/>
        <w:rPr>
          <w:b w:val="0"/>
        </w:rPr>
      </w:pPr>
      <w:r w:rsidRPr="00767F05">
        <w:rPr>
          <w:b w:val="0"/>
        </w:rPr>
        <w:t>Attachment A – Authorizing Legislation</w:t>
      </w:r>
    </w:p>
    <w:p w:rsidRPr="00767F05" w:rsidR="00767F05" w:rsidP="00767F05" w:rsidRDefault="00767F05" w14:paraId="1D03991F" w14:textId="77777777">
      <w:pPr>
        <w:pStyle w:val="TOC1"/>
        <w:rPr>
          <w:b w:val="0"/>
        </w:rPr>
      </w:pPr>
      <w:r w:rsidRPr="00767F05">
        <w:rPr>
          <w:b w:val="0"/>
        </w:rPr>
        <w:t xml:space="preserve">Attachment B – Federal Register Notice </w:t>
      </w:r>
    </w:p>
    <w:p w:rsidRPr="00767F05" w:rsidR="00767F05" w:rsidP="00767F05" w:rsidRDefault="00767F05" w14:paraId="2E160784" w14:textId="3FF4EC92">
      <w:pPr>
        <w:pStyle w:val="TOC1"/>
        <w:rPr>
          <w:b w:val="0"/>
        </w:rPr>
      </w:pPr>
      <w:r w:rsidRPr="00767F05">
        <w:rPr>
          <w:b w:val="0"/>
        </w:rPr>
        <w:t xml:space="preserve">Attachment C – </w:t>
      </w:r>
      <w:r w:rsidR="000E6C8E">
        <w:rPr>
          <w:b w:val="0"/>
        </w:rPr>
        <w:t>20</w:t>
      </w:r>
      <w:r w:rsidR="00EC1543">
        <w:rPr>
          <w:b w:val="0"/>
        </w:rPr>
        <w:t>21</w:t>
      </w:r>
      <w:r w:rsidR="000E6C8E">
        <w:rPr>
          <w:b w:val="0"/>
        </w:rPr>
        <w:t xml:space="preserve"> National </w:t>
      </w:r>
      <w:r w:rsidR="00C25D58">
        <w:rPr>
          <w:b w:val="0"/>
        </w:rPr>
        <w:t>YRBS</w:t>
      </w:r>
      <w:r w:rsidRPr="00767F05">
        <w:rPr>
          <w:b w:val="0"/>
        </w:rPr>
        <w:t xml:space="preserve"> Questionnaire </w:t>
      </w:r>
    </w:p>
    <w:p w:rsidRPr="00767F05" w:rsidR="00767F05" w:rsidP="00767F05" w:rsidRDefault="00767F05" w14:paraId="1E2B10D9" w14:textId="1528F1DE">
      <w:pPr>
        <w:pStyle w:val="TOC1"/>
        <w:rPr>
          <w:b w:val="0"/>
        </w:rPr>
      </w:pPr>
      <w:r w:rsidRPr="00767F05">
        <w:rPr>
          <w:b w:val="0"/>
        </w:rPr>
        <w:t xml:space="preserve">Attachment D – </w:t>
      </w:r>
      <w:r w:rsidRPr="00767F05" w:rsidR="00C25D58">
        <w:rPr>
          <w:b w:val="0"/>
        </w:rPr>
        <w:t>Advance Superintendent Letter</w:t>
      </w:r>
    </w:p>
    <w:p w:rsidR="001C4E8F" w:rsidP="00767F05" w:rsidRDefault="00767F05" w14:paraId="73D8CE0A" w14:textId="77777777">
      <w:pPr>
        <w:pStyle w:val="TOC1"/>
        <w:rPr>
          <w:b w:val="0"/>
        </w:rPr>
      </w:pPr>
      <w:r w:rsidRPr="00767F05">
        <w:rPr>
          <w:b w:val="0"/>
        </w:rPr>
        <w:t xml:space="preserve">Attachment E – </w:t>
      </w:r>
      <w:r w:rsidR="001C4E8F">
        <w:rPr>
          <w:b w:val="0"/>
        </w:rPr>
        <w:t>District Recruitment Script</w:t>
      </w:r>
    </w:p>
    <w:p w:rsidRPr="001C4E8F" w:rsidR="001C4E8F" w:rsidP="001C4E8F" w:rsidRDefault="001C4E8F" w14:paraId="57837C86" w14:textId="3E02965F">
      <w:pPr>
        <w:pStyle w:val="TOC1"/>
        <w:rPr>
          <w:b w:val="0"/>
        </w:rPr>
      </w:pPr>
      <w:r>
        <w:rPr>
          <w:b w:val="0"/>
        </w:rPr>
        <w:t xml:space="preserve">Attachment F – </w:t>
      </w:r>
      <w:r w:rsidR="00C25D58">
        <w:rPr>
          <w:b w:val="0"/>
        </w:rPr>
        <w:t>Advance Principal Letter</w:t>
      </w:r>
    </w:p>
    <w:p w:rsidR="001C4E8F" w:rsidP="00767F05" w:rsidRDefault="00767F05" w14:paraId="50F7C6F1" w14:textId="0FB97630">
      <w:pPr>
        <w:pStyle w:val="TOC1"/>
        <w:rPr>
          <w:b w:val="0"/>
        </w:rPr>
      </w:pPr>
      <w:r w:rsidRPr="00767F05">
        <w:rPr>
          <w:b w:val="0"/>
        </w:rPr>
        <w:t xml:space="preserve">Attachment </w:t>
      </w:r>
      <w:r w:rsidR="001C4E8F">
        <w:rPr>
          <w:b w:val="0"/>
        </w:rPr>
        <w:t>G</w:t>
      </w:r>
      <w:r w:rsidRPr="00767F05" w:rsidR="001C4E8F">
        <w:rPr>
          <w:b w:val="0"/>
        </w:rPr>
        <w:t xml:space="preserve"> </w:t>
      </w:r>
      <w:r w:rsidRPr="00767F05">
        <w:rPr>
          <w:b w:val="0"/>
        </w:rPr>
        <w:t xml:space="preserve">– </w:t>
      </w:r>
      <w:r w:rsidR="001C4E8F">
        <w:rPr>
          <w:b w:val="0"/>
        </w:rPr>
        <w:t>School Recruitment Script</w:t>
      </w:r>
    </w:p>
    <w:p w:rsidR="00573BD3" w:rsidP="00767F05" w:rsidRDefault="001C4E8F" w14:paraId="15C681BB" w14:textId="4E48F6CF">
      <w:pPr>
        <w:pStyle w:val="TOC1"/>
        <w:rPr>
          <w:b w:val="0"/>
        </w:rPr>
      </w:pPr>
      <w:r>
        <w:rPr>
          <w:b w:val="0"/>
        </w:rPr>
        <w:t xml:space="preserve">Attachment H – </w:t>
      </w:r>
      <w:r w:rsidR="00573BD3">
        <w:rPr>
          <w:b w:val="0"/>
        </w:rPr>
        <w:t>Data Collection Script</w:t>
      </w:r>
      <w:r w:rsidR="00C07F73">
        <w:rPr>
          <w:b w:val="0"/>
        </w:rPr>
        <w:t>s</w:t>
      </w:r>
      <w:r w:rsidRPr="00767F05" w:rsidR="00573BD3">
        <w:rPr>
          <w:b w:val="0"/>
        </w:rPr>
        <w:t xml:space="preserve"> </w:t>
      </w:r>
    </w:p>
    <w:p w:rsidRPr="00767F05" w:rsidR="00767F05" w:rsidP="00767F05" w:rsidRDefault="00767F05" w14:paraId="4923D7EF" w14:textId="58F7D233">
      <w:pPr>
        <w:pStyle w:val="TOC1"/>
        <w:rPr>
          <w:b w:val="0"/>
        </w:rPr>
      </w:pPr>
      <w:r w:rsidRPr="00767F05">
        <w:rPr>
          <w:b w:val="0"/>
        </w:rPr>
        <w:t xml:space="preserve">Attachment </w:t>
      </w:r>
      <w:r w:rsidR="001C4E8F">
        <w:rPr>
          <w:b w:val="0"/>
        </w:rPr>
        <w:t>I</w:t>
      </w:r>
      <w:r w:rsidRPr="00767F05" w:rsidR="001C4E8F">
        <w:rPr>
          <w:b w:val="0"/>
        </w:rPr>
        <w:t xml:space="preserve"> </w:t>
      </w:r>
      <w:r w:rsidRPr="00767F05">
        <w:rPr>
          <w:b w:val="0"/>
        </w:rPr>
        <w:t xml:space="preserve">– </w:t>
      </w:r>
      <w:r w:rsidR="00573BD3">
        <w:rPr>
          <w:b w:val="0"/>
        </w:rPr>
        <w:t>IRB Approval Letter</w:t>
      </w:r>
    </w:p>
    <w:p w:rsidRPr="00767F05" w:rsidR="00767F05" w:rsidP="00767F05" w:rsidRDefault="00767F05" w14:paraId="7F1FC0CA" w14:textId="3ED3FAA4">
      <w:pPr>
        <w:pStyle w:val="TOC1"/>
        <w:rPr>
          <w:b w:val="0"/>
        </w:rPr>
      </w:pPr>
      <w:r w:rsidRPr="00767F05">
        <w:rPr>
          <w:b w:val="0"/>
        </w:rPr>
        <w:t xml:space="preserve">Attachment </w:t>
      </w:r>
      <w:r w:rsidR="001C4E8F">
        <w:rPr>
          <w:b w:val="0"/>
        </w:rPr>
        <w:t>J</w:t>
      </w:r>
      <w:r w:rsidRPr="00767F05" w:rsidR="001C4E8F">
        <w:rPr>
          <w:b w:val="0"/>
        </w:rPr>
        <w:t xml:space="preserve"> </w:t>
      </w:r>
      <w:r w:rsidRPr="00767F05">
        <w:rPr>
          <w:b w:val="0"/>
        </w:rPr>
        <w:t xml:space="preserve">– </w:t>
      </w:r>
      <w:r w:rsidR="00573BD3">
        <w:rPr>
          <w:b w:val="0"/>
        </w:rPr>
        <w:t>Active</w:t>
      </w:r>
      <w:r w:rsidR="00802EA0">
        <w:rPr>
          <w:b w:val="0"/>
        </w:rPr>
        <w:t xml:space="preserve"> </w:t>
      </w:r>
      <w:r w:rsidR="00C07F73">
        <w:rPr>
          <w:b w:val="0"/>
        </w:rPr>
        <w:t>Parental Permission</w:t>
      </w:r>
      <w:r w:rsidR="00573BD3">
        <w:rPr>
          <w:b w:val="0"/>
        </w:rPr>
        <w:t xml:space="preserve"> Form</w:t>
      </w:r>
    </w:p>
    <w:p w:rsidRPr="00767F05" w:rsidR="00767F05" w:rsidP="00767F05" w:rsidRDefault="00767F05" w14:paraId="003404D7" w14:textId="60F01184">
      <w:pPr>
        <w:pStyle w:val="TOC1"/>
        <w:rPr>
          <w:b w:val="0"/>
        </w:rPr>
      </w:pPr>
      <w:r w:rsidRPr="00767F05">
        <w:rPr>
          <w:b w:val="0"/>
        </w:rPr>
        <w:t xml:space="preserve">Attachment </w:t>
      </w:r>
      <w:r w:rsidR="001C4E8F">
        <w:rPr>
          <w:b w:val="0"/>
        </w:rPr>
        <w:t>K</w:t>
      </w:r>
      <w:r w:rsidRPr="00767F05" w:rsidR="001C4E8F">
        <w:rPr>
          <w:b w:val="0"/>
        </w:rPr>
        <w:t xml:space="preserve"> </w:t>
      </w:r>
      <w:r w:rsidRPr="00767F05">
        <w:rPr>
          <w:b w:val="0"/>
        </w:rPr>
        <w:t xml:space="preserve">– </w:t>
      </w:r>
      <w:r w:rsidR="00573BD3">
        <w:rPr>
          <w:b w:val="0"/>
        </w:rPr>
        <w:t xml:space="preserve">Passive </w:t>
      </w:r>
      <w:r w:rsidR="00C07F73">
        <w:rPr>
          <w:b w:val="0"/>
        </w:rPr>
        <w:t>Parental Permission</w:t>
      </w:r>
      <w:r w:rsidR="00573BD3">
        <w:rPr>
          <w:b w:val="0"/>
        </w:rPr>
        <w:t xml:space="preserve"> Form</w:t>
      </w:r>
    </w:p>
    <w:p w:rsidRPr="00767F05" w:rsidR="00767F05" w:rsidP="00767F05" w:rsidRDefault="00767F05" w14:paraId="66AA5E88" w14:textId="62F8C388">
      <w:pPr>
        <w:pStyle w:val="TOC1"/>
        <w:rPr>
          <w:b w:val="0"/>
        </w:rPr>
      </w:pPr>
      <w:r w:rsidRPr="00767F05">
        <w:rPr>
          <w:b w:val="0"/>
        </w:rPr>
        <w:t xml:space="preserve">Attachment </w:t>
      </w:r>
      <w:r w:rsidR="001C4E8F">
        <w:rPr>
          <w:b w:val="0"/>
        </w:rPr>
        <w:t>L</w:t>
      </w:r>
      <w:r w:rsidRPr="00767F05" w:rsidR="001C4E8F">
        <w:rPr>
          <w:b w:val="0"/>
        </w:rPr>
        <w:t xml:space="preserve"> </w:t>
      </w:r>
      <w:r w:rsidRPr="00767F05">
        <w:rPr>
          <w:b w:val="0"/>
        </w:rPr>
        <w:t xml:space="preserve">– </w:t>
      </w:r>
      <w:r w:rsidR="00573BD3">
        <w:rPr>
          <w:b w:val="0"/>
        </w:rPr>
        <w:t>Fact Sheet</w:t>
      </w:r>
    </w:p>
    <w:p w:rsidR="00767F05" w:rsidP="00767F05" w:rsidRDefault="00767F05" w14:paraId="30F96A9D" w14:textId="6548A411">
      <w:pPr>
        <w:pStyle w:val="TOC1"/>
        <w:rPr>
          <w:b w:val="0"/>
        </w:rPr>
      </w:pPr>
      <w:r w:rsidRPr="00767F05">
        <w:rPr>
          <w:b w:val="0"/>
        </w:rPr>
        <w:t xml:space="preserve">Attachment </w:t>
      </w:r>
      <w:r w:rsidR="001C4E8F">
        <w:rPr>
          <w:b w:val="0"/>
        </w:rPr>
        <w:t>M</w:t>
      </w:r>
      <w:r w:rsidRPr="00767F05" w:rsidR="001C4E8F">
        <w:rPr>
          <w:b w:val="0"/>
        </w:rPr>
        <w:t xml:space="preserve"> </w:t>
      </w:r>
      <w:r w:rsidRPr="00767F05">
        <w:rPr>
          <w:b w:val="0"/>
        </w:rPr>
        <w:t xml:space="preserve">– </w:t>
      </w:r>
      <w:r w:rsidR="00B826C3">
        <w:rPr>
          <w:b w:val="0"/>
        </w:rPr>
        <w:t>Permission</w:t>
      </w:r>
      <w:r w:rsidR="00573BD3">
        <w:rPr>
          <w:b w:val="0"/>
        </w:rPr>
        <w:t xml:space="preserve"> </w:t>
      </w:r>
      <w:r w:rsidR="00802EA0">
        <w:rPr>
          <w:b w:val="0"/>
        </w:rPr>
        <w:t>Form</w:t>
      </w:r>
      <w:r w:rsidR="00573BD3">
        <w:rPr>
          <w:b w:val="0"/>
        </w:rPr>
        <w:t xml:space="preserve"> </w:t>
      </w:r>
      <w:r w:rsidR="00C07F73">
        <w:rPr>
          <w:b w:val="0"/>
        </w:rPr>
        <w:t xml:space="preserve">Distribution </w:t>
      </w:r>
      <w:r w:rsidR="00573BD3">
        <w:rPr>
          <w:b w:val="0"/>
        </w:rPr>
        <w:t>Script</w:t>
      </w:r>
      <w:r w:rsidR="00C07F73">
        <w:rPr>
          <w:b w:val="0"/>
        </w:rPr>
        <w:t xml:space="preserve"> </w:t>
      </w:r>
    </w:p>
    <w:p w:rsidRPr="001C4E8F" w:rsidR="001C4E8F" w:rsidP="001C4E8F" w:rsidRDefault="001C4E8F" w14:paraId="3E65121C" w14:textId="7117A3B3">
      <w:pPr>
        <w:rPr>
          <w:noProof/>
          <w:sz w:val="22"/>
          <w:szCs w:val="22"/>
        </w:rPr>
      </w:pPr>
      <w:r w:rsidRPr="001C4E8F">
        <w:rPr>
          <w:noProof/>
          <w:sz w:val="22"/>
          <w:szCs w:val="22"/>
        </w:rPr>
        <w:t xml:space="preserve">    </w:t>
      </w:r>
      <w:r>
        <w:rPr>
          <w:noProof/>
          <w:sz w:val="22"/>
          <w:szCs w:val="22"/>
        </w:rPr>
        <w:t xml:space="preserve"> </w:t>
      </w:r>
      <w:r w:rsidRPr="001C4E8F">
        <w:rPr>
          <w:noProof/>
          <w:sz w:val="22"/>
          <w:szCs w:val="22"/>
        </w:rPr>
        <w:t>Att</w:t>
      </w:r>
      <w:r>
        <w:rPr>
          <w:noProof/>
          <w:sz w:val="22"/>
          <w:szCs w:val="22"/>
        </w:rPr>
        <w:t>a</w:t>
      </w:r>
      <w:r w:rsidRPr="001C4E8F">
        <w:rPr>
          <w:noProof/>
          <w:sz w:val="22"/>
          <w:szCs w:val="22"/>
        </w:rPr>
        <w:t xml:space="preserve">chment N – </w:t>
      </w:r>
      <w:r w:rsidR="00B826C3">
        <w:rPr>
          <w:noProof/>
          <w:sz w:val="22"/>
          <w:szCs w:val="22"/>
        </w:rPr>
        <w:t>Permission</w:t>
      </w:r>
      <w:r w:rsidRPr="001C4E8F">
        <w:rPr>
          <w:noProof/>
          <w:sz w:val="22"/>
          <w:szCs w:val="22"/>
        </w:rPr>
        <w:t xml:space="preserve"> </w:t>
      </w:r>
      <w:r>
        <w:rPr>
          <w:noProof/>
          <w:sz w:val="22"/>
          <w:szCs w:val="22"/>
        </w:rPr>
        <w:t xml:space="preserve">Form </w:t>
      </w:r>
      <w:r w:rsidRPr="001C4E8F">
        <w:rPr>
          <w:noProof/>
          <w:sz w:val="22"/>
          <w:szCs w:val="22"/>
        </w:rPr>
        <w:t>Checklist</w:t>
      </w:r>
    </w:p>
    <w:p w:rsidRPr="00767F05" w:rsidR="00767F05" w:rsidP="00767F05" w:rsidRDefault="00767F05" w14:paraId="70CBD16C" w14:textId="77777777"/>
    <w:p w:rsidRPr="00767F05" w:rsidR="00EB104F" w:rsidP="00EB104F" w:rsidRDefault="00EB104F" w14:paraId="4003A475" w14:textId="77777777">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Pr="00767F05" w:rsidR="00EB104F" w:rsidSect="00767F05">
          <w:endnotePr>
            <w:numFmt w:val="decimal"/>
          </w:endnotePr>
          <w:pgSz w:w="12240" w:h="15840" w:code="1"/>
          <w:pgMar w:top="1440" w:right="1440" w:bottom="720" w:left="1440" w:header="1440" w:footer="720" w:gutter="0"/>
          <w:pgNumType w:fmt="lowerRoman"/>
          <w:cols w:space="720"/>
          <w:noEndnote/>
        </w:sectPr>
      </w:pPr>
    </w:p>
    <w:p w:rsidR="00F55AF7" w:rsidP="007A7FA1" w:rsidRDefault="00F55AF7" w14:paraId="0172EBE2" w14:textId="77777777">
      <w:pPr>
        <w:widowControl/>
        <w:tabs>
          <w:tab w:val="center" w:pos="4687"/>
          <w:tab w:val="left" w:pos="5040"/>
          <w:tab w:val="left" w:pos="5443"/>
          <w:tab w:val="left" w:pos="5760"/>
          <w:tab w:val="left" w:pos="6480"/>
          <w:tab w:val="left" w:pos="7200"/>
          <w:tab w:val="left" w:pos="7920"/>
          <w:tab w:val="left" w:pos="8640"/>
          <w:tab w:val="left" w:pos="9360"/>
        </w:tabs>
        <w:spacing w:line="232" w:lineRule="auto"/>
      </w:pPr>
    </w:p>
    <w:p w:rsidR="008247EE" w:rsidP="00112815" w:rsidRDefault="008247EE" w14:paraId="5891FA0D" w14:textId="646C24DF">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F55AF7">
        <w:rPr>
          <w:sz w:val="22"/>
          <w:szCs w:val="22"/>
        </w:rPr>
        <w:t>T</w:t>
      </w:r>
      <w:r>
        <w:rPr>
          <w:sz w:val="22"/>
          <w:szCs w:val="22"/>
        </w:rPr>
        <w:t xml:space="preserve">he goal of the </w:t>
      </w:r>
      <w:r w:rsidR="007B75E6">
        <w:rPr>
          <w:sz w:val="22"/>
          <w:szCs w:val="22"/>
        </w:rPr>
        <w:t xml:space="preserve">National </w:t>
      </w:r>
      <w:r w:rsidR="005F4C0C">
        <w:rPr>
          <w:sz w:val="22"/>
          <w:szCs w:val="22"/>
        </w:rPr>
        <w:t>Y</w:t>
      </w:r>
      <w:r w:rsidR="0053243D">
        <w:rPr>
          <w:sz w:val="22"/>
          <w:szCs w:val="22"/>
        </w:rPr>
        <w:t xml:space="preserve">outh </w:t>
      </w:r>
      <w:r w:rsidR="005F4C0C">
        <w:rPr>
          <w:sz w:val="22"/>
          <w:szCs w:val="22"/>
        </w:rPr>
        <w:t>R</w:t>
      </w:r>
      <w:r w:rsidR="0053243D">
        <w:rPr>
          <w:sz w:val="22"/>
          <w:szCs w:val="22"/>
        </w:rPr>
        <w:t xml:space="preserve">isk </w:t>
      </w:r>
      <w:r w:rsidR="005F4C0C">
        <w:rPr>
          <w:sz w:val="22"/>
          <w:szCs w:val="22"/>
        </w:rPr>
        <w:t>B</w:t>
      </w:r>
      <w:r w:rsidR="0053243D">
        <w:rPr>
          <w:sz w:val="22"/>
          <w:szCs w:val="22"/>
        </w:rPr>
        <w:t xml:space="preserve">ehavior </w:t>
      </w:r>
      <w:r w:rsidR="005F4C0C">
        <w:rPr>
          <w:sz w:val="22"/>
          <w:szCs w:val="22"/>
        </w:rPr>
        <w:t>S</w:t>
      </w:r>
      <w:r w:rsidR="0053243D">
        <w:rPr>
          <w:sz w:val="22"/>
          <w:szCs w:val="22"/>
        </w:rPr>
        <w:t>urvey (YRBS)</w:t>
      </w:r>
      <w:r w:rsidRPr="00F55AF7">
        <w:rPr>
          <w:sz w:val="22"/>
          <w:szCs w:val="22"/>
        </w:rPr>
        <w:t xml:space="preserve"> Test-Retest Reliability Study is to test the reliability of the data collected through the </w:t>
      </w:r>
      <w:r w:rsidR="00877376">
        <w:rPr>
          <w:sz w:val="22"/>
          <w:szCs w:val="22"/>
        </w:rPr>
        <w:t>YRBS</w:t>
      </w:r>
      <w:r w:rsidRPr="00F55AF7">
        <w:rPr>
          <w:sz w:val="22"/>
          <w:szCs w:val="22"/>
        </w:rPr>
        <w:t xml:space="preserve"> questionnaire.</w:t>
      </w:r>
    </w:p>
    <w:p w:rsidR="008247EE" w:rsidP="00112815" w:rsidRDefault="008247EE" w14:paraId="7332AE12" w14:textId="4F0D0061">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F55AF7">
        <w:rPr>
          <w:sz w:val="22"/>
          <w:szCs w:val="22"/>
        </w:rPr>
        <w:t xml:space="preserve">The results of the </w:t>
      </w:r>
      <w:r w:rsidR="00CC0F54">
        <w:rPr>
          <w:sz w:val="22"/>
          <w:szCs w:val="22"/>
        </w:rPr>
        <w:t>study</w:t>
      </w:r>
      <w:r w:rsidRPr="00F55AF7">
        <w:rPr>
          <w:sz w:val="22"/>
          <w:szCs w:val="22"/>
        </w:rPr>
        <w:t xml:space="preserve"> will be us</w:t>
      </w:r>
      <w:r w:rsidR="00877376">
        <w:rPr>
          <w:sz w:val="22"/>
          <w:szCs w:val="22"/>
        </w:rPr>
        <w:t>ed to improve the questionnaire</w:t>
      </w:r>
      <w:r w:rsidRPr="00F55AF7">
        <w:rPr>
          <w:sz w:val="22"/>
          <w:szCs w:val="22"/>
        </w:rPr>
        <w:t xml:space="preserve"> for future cycles. For example, questions that show poor reliability will be revised to clarify question wording. This will, in turn</w:t>
      </w:r>
      <w:r w:rsidR="00C27CD2">
        <w:rPr>
          <w:sz w:val="22"/>
          <w:szCs w:val="22"/>
        </w:rPr>
        <w:t>,</w:t>
      </w:r>
      <w:r w:rsidRPr="00F55AF7">
        <w:rPr>
          <w:sz w:val="22"/>
          <w:szCs w:val="22"/>
        </w:rPr>
        <w:t xml:space="preserve"> improve the quality of the data collected using the</w:t>
      </w:r>
      <w:r w:rsidR="00DF2287">
        <w:rPr>
          <w:sz w:val="22"/>
          <w:szCs w:val="22"/>
        </w:rPr>
        <w:t xml:space="preserve"> </w:t>
      </w:r>
      <w:r w:rsidR="00877376">
        <w:rPr>
          <w:sz w:val="22"/>
          <w:szCs w:val="22"/>
        </w:rPr>
        <w:t>YRBS</w:t>
      </w:r>
      <w:r w:rsidRPr="00F55AF7">
        <w:rPr>
          <w:sz w:val="22"/>
          <w:szCs w:val="22"/>
        </w:rPr>
        <w:t xml:space="preserve"> questionnaire.</w:t>
      </w:r>
    </w:p>
    <w:p w:rsidR="008247EE" w:rsidP="00112815" w:rsidRDefault="008247EE" w14:paraId="7A4CD136" w14:textId="1D6AF666">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A</w:t>
      </w:r>
      <w:r w:rsidRPr="00F55AF7">
        <w:rPr>
          <w:sz w:val="22"/>
          <w:szCs w:val="22"/>
        </w:rPr>
        <w:t xml:space="preserve"> test-retest study</w:t>
      </w:r>
      <w:r>
        <w:rPr>
          <w:sz w:val="22"/>
          <w:szCs w:val="22"/>
        </w:rPr>
        <w:t xml:space="preserve"> will be implemented </w:t>
      </w:r>
      <w:r w:rsidR="00877376">
        <w:rPr>
          <w:sz w:val="22"/>
          <w:szCs w:val="22"/>
        </w:rPr>
        <w:t xml:space="preserve">in which the </w:t>
      </w:r>
      <w:r>
        <w:rPr>
          <w:sz w:val="22"/>
          <w:szCs w:val="22"/>
        </w:rPr>
        <w:t>questionnaire</w:t>
      </w:r>
      <w:r w:rsidRPr="00F55AF7">
        <w:rPr>
          <w:sz w:val="22"/>
          <w:szCs w:val="22"/>
        </w:rPr>
        <w:t xml:space="preserve"> will be administered to the same respondents at two time points, approximately two weeks apart</w:t>
      </w:r>
      <w:r w:rsidR="00877376">
        <w:rPr>
          <w:sz w:val="22"/>
          <w:szCs w:val="22"/>
        </w:rPr>
        <w:t>.</w:t>
      </w:r>
    </w:p>
    <w:p w:rsidR="004F5C0A" w:rsidP="00112815" w:rsidRDefault="008247EE" w14:paraId="448FB23E" w14:textId="31EEBAE1">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4F5C0A">
        <w:rPr>
          <w:sz w:val="22"/>
          <w:szCs w:val="22"/>
        </w:rPr>
        <w:t xml:space="preserve">The respondents for the </w:t>
      </w:r>
      <w:r w:rsidR="007B75E6">
        <w:rPr>
          <w:sz w:val="22"/>
          <w:szCs w:val="22"/>
        </w:rPr>
        <w:t xml:space="preserve">National </w:t>
      </w:r>
      <w:r w:rsidRPr="004F5C0A" w:rsidR="00877376">
        <w:rPr>
          <w:sz w:val="22"/>
          <w:szCs w:val="22"/>
        </w:rPr>
        <w:t xml:space="preserve">YRBS </w:t>
      </w:r>
      <w:r w:rsidRPr="004F5C0A">
        <w:rPr>
          <w:sz w:val="22"/>
          <w:szCs w:val="22"/>
        </w:rPr>
        <w:t xml:space="preserve">Test-Retest Reliability Study will </w:t>
      </w:r>
      <w:r w:rsidR="00C27CD2">
        <w:rPr>
          <w:sz w:val="22"/>
          <w:szCs w:val="22"/>
        </w:rPr>
        <w:t xml:space="preserve">be from </w:t>
      </w:r>
      <w:r w:rsidR="00C62A52">
        <w:rPr>
          <w:sz w:val="22"/>
          <w:szCs w:val="22"/>
        </w:rPr>
        <w:t>a</w:t>
      </w:r>
      <w:r w:rsidR="004F5C0A">
        <w:rPr>
          <w:sz w:val="22"/>
          <w:szCs w:val="22"/>
        </w:rPr>
        <w:t xml:space="preserve"> sample of 2,000 students </w:t>
      </w:r>
      <w:r w:rsidRPr="00E56377" w:rsidR="004F5C0A">
        <w:rPr>
          <w:sz w:val="22"/>
          <w:szCs w:val="22"/>
        </w:rPr>
        <w:t xml:space="preserve">from 20 regular public secondary schools in the U.S. containing at least one of grades 9 through 12 </w:t>
      </w:r>
      <w:r w:rsidR="00C27CD2">
        <w:rPr>
          <w:sz w:val="22"/>
          <w:szCs w:val="22"/>
        </w:rPr>
        <w:t xml:space="preserve">that </w:t>
      </w:r>
      <w:r w:rsidRPr="00E56377" w:rsidR="004F5C0A">
        <w:rPr>
          <w:sz w:val="22"/>
          <w:szCs w:val="22"/>
        </w:rPr>
        <w:t xml:space="preserve">will be selected </w:t>
      </w:r>
      <w:r w:rsidR="00C27CD2">
        <w:rPr>
          <w:sz w:val="22"/>
          <w:szCs w:val="22"/>
        </w:rPr>
        <w:t xml:space="preserve">from </w:t>
      </w:r>
      <w:r w:rsidRPr="00E56377" w:rsidR="004F5C0A">
        <w:rPr>
          <w:sz w:val="22"/>
          <w:szCs w:val="22"/>
        </w:rPr>
        <w:t>no more than 20 districts.</w:t>
      </w:r>
      <w:r w:rsidR="007061E8">
        <w:rPr>
          <w:sz w:val="22"/>
          <w:szCs w:val="22"/>
        </w:rPr>
        <w:t xml:space="preserve"> </w:t>
      </w:r>
      <w:r w:rsidRPr="00E56377" w:rsidR="004F5C0A">
        <w:rPr>
          <w:sz w:val="22"/>
          <w:szCs w:val="22"/>
        </w:rPr>
        <w:t xml:space="preserve">This sample is expected to yield at least 1,000 participating students who completed both a Time 1 and Time 2 questionnaire. </w:t>
      </w:r>
    </w:p>
    <w:p w:rsidR="008247EE" w:rsidP="00112815" w:rsidRDefault="008247EE" w14:paraId="3D728E55" w14:textId="575D1DBA">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4F5C0A">
        <w:rPr>
          <w:sz w:val="22"/>
          <w:szCs w:val="22"/>
        </w:rPr>
        <w:t>Data will be assessed in two ways. First, the extent of the agreement between Time 1 and Time 2 responses will be calculated. Using Time 1 and Time 2 data, reliability will be estimated through Cohen’s kappa. Second, prevalence estimates obtained at Time 1 will be compared to those obtained at Time 2.</w:t>
      </w:r>
    </w:p>
    <w:p w:rsidR="00323C16" w:rsidP="00323C16" w:rsidRDefault="0078196C" w14:paraId="191F5215" w14:textId="29BA5256">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The Centers for Disease Control and Prevention (CDC) is aware that some schools might be operating virtually in the semester leading up to data collection, but CDC assumes that by fall 2021, most schools, if not all schools, will be operating normally.  If at that time COVID-19 remains a threat to data collectors, school staff, or students, protocols prescribe</w:t>
      </w:r>
      <w:r w:rsidR="00323C16">
        <w:rPr>
          <w:sz w:val="22"/>
          <w:szCs w:val="22"/>
        </w:rPr>
        <w:t>d</w:t>
      </w:r>
      <w:r>
        <w:rPr>
          <w:sz w:val="22"/>
          <w:szCs w:val="22"/>
        </w:rPr>
        <w:t xml:space="preserve"> by local </w:t>
      </w:r>
      <w:r w:rsidR="00323C16">
        <w:rPr>
          <w:sz w:val="22"/>
          <w:szCs w:val="22"/>
        </w:rPr>
        <w:t xml:space="preserve">health and </w:t>
      </w:r>
      <w:r>
        <w:rPr>
          <w:sz w:val="22"/>
          <w:szCs w:val="22"/>
        </w:rPr>
        <w:t>education agencies</w:t>
      </w:r>
      <w:r w:rsidR="00323C16">
        <w:rPr>
          <w:sz w:val="22"/>
          <w:szCs w:val="22"/>
        </w:rPr>
        <w:t xml:space="preserve">, or the CDC, </w:t>
      </w:r>
      <w:r>
        <w:rPr>
          <w:sz w:val="22"/>
          <w:szCs w:val="22"/>
        </w:rPr>
        <w:t>will be followed</w:t>
      </w:r>
      <w:r w:rsidR="00323C16">
        <w:rPr>
          <w:sz w:val="22"/>
          <w:szCs w:val="22"/>
        </w:rPr>
        <w:t>, such as wearing face coverings or social distancing</w:t>
      </w:r>
      <w:r>
        <w:rPr>
          <w:sz w:val="22"/>
          <w:szCs w:val="22"/>
        </w:rPr>
        <w:t>.</w:t>
      </w:r>
      <w:r w:rsidR="00323C16">
        <w:rPr>
          <w:sz w:val="22"/>
          <w:szCs w:val="22"/>
        </w:rPr>
        <w:t xml:space="preserve">  </w:t>
      </w:r>
    </w:p>
    <w:p w:rsidRPr="00323C16" w:rsidR="00EB104F" w:rsidP="00FA54F6" w:rsidRDefault="00323C16" w14:paraId="66C8E4CF" w14:textId="202AA7E5">
      <w:pPr>
        <w:pStyle w:val="ListParagraph"/>
        <w:widowControl/>
        <w:numPr>
          <w:ilvl w:val="0"/>
          <w:numId w:val="7"/>
        </w:numPr>
        <w:pBdr>
          <w:top w:val="single" w:color="auto" w:sz="4" w:space="1"/>
          <w:left w:val="single" w:color="auto" w:sz="4" w:space="4"/>
          <w:bottom w:val="single" w:color="auto" w:sz="4" w:space="31"/>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323C16">
        <w:rPr>
          <w:sz w:val="22"/>
          <w:szCs w:val="22"/>
        </w:rPr>
        <w:t>The 2021 YRBS questionnaire includes two questions specific to COVID-19, one question about mental health during the pandemic and another about job loss experienced by adult in the home.</w:t>
      </w:r>
      <w:r w:rsidRPr="00323C16" w:rsidR="00EB104F">
        <w:rPr>
          <w:sz w:val="22"/>
          <w:szCs w:val="22"/>
        </w:rPr>
        <w:tab/>
      </w:r>
    </w:p>
    <w:p w:rsidR="00EB104F" w:rsidP="004304EF" w:rsidRDefault="00EB104F" w14:paraId="43FEBDE7" w14:textId="781C41DA">
      <w:pPr>
        <w:pStyle w:val="Heading1"/>
      </w:pPr>
      <w:bookmarkStart w:name="_Toc339868796" w:id="1"/>
      <w:bookmarkStart w:name="_Toc344295548" w:id="2"/>
      <w:r>
        <w:t>A.</w:t>
      </w:r>
      <w:r w:rsidR="00AD26EB">
        <w:t xml:space="preserve"> </w:t>
      </w:r>
      <w:r w:rsidRPr="004304EF">
        <w:t>JUSTIFICATION</w:t>
      </w:r>
      <w:bookmarkEnd w:id="1"/>
      <w:bookmarkEnd w:id="2"/>
    </w:p>
    <w:p w:rsidR="00EB104F" w:rsidP="00EB104F" w:rsidRDefault="00EB104F" w14:paraId="1EC8258E" w14:textId="77777777">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Pr="005A25D4" w:rsidR="00AD2A89" w:rsidP="004304EF" w:rsidRDefault="00AD2A89" w14:paraId="7F557BDE" w14:textId="77777777">
      <w:pPr>
        <w:pStyle w:val="ExhibitText"/>
        <w:outlineLvl w:val="1"/>
        <w:rPr>
          <w:b/>
          <w:sz w:val="22"/>
          <w:szCs w:val="22"/>
        </w:rPr>
      </w:pPr>
      <w:bookmarkStart w:name="_Toc344295549" w:id="3"/>
      <w:r w:rsidRPr="005A25D4">
        <w:rPr>
          <w:b/>
          <w:sz w:val="22"/>
          <w:szCs w:val="22"/>
        </w:rPr>
        <w:t>A.1.</w:t>
      </w:r>
      <w:r w:rsidRPr="005A25D4">
        <w:rPr>
          <w:b/>
          <w:sz w:val="22"/>
          <w:szCs w:val="22"/>
        </w:rPr>
        <w:tab/>
        <w:t>CIRCUMSTANCES MAKING THE COLLECTION OF INFORMATION NECESSARY</w:t>
      </w:r>
      <w:bookmarkEnd w:id="3"/>
    </w:p>
    <w:p w:rsidR="00AD2A89" w:rsidP="00EB104F" w:rsidRDefault="00AD2A89" w14:paraId="0D7DF833" w14:textId="77777777">
      <w:pPr>
        <w:ind w:firstLine="720"/>
      </w:pPr>
    </w:p>
    <w:p w:rsidR="00794AE7" w:rsidP="00474FF8" w:rsidRDefault="00474FF8" w14:paraId="34A77C71" w14:textId="469B9BA0">
      <w:pPr>
        <w:rPr>
          <w:sz w:val="22"/>
          <w:szCs w:val="22"/>
        </w:rPr>
      </w:pPr>
      <w:r w:rsidRPr="00603BAF">
        <w:rPr>
          <w:sz w:val="22"/>
          <w:szCs w:val="22"/>
        </w:rPr>
        <w:t xml:space="preserve">This request is for OMB review and approval for the </w:t>
      </w:r>
      <w:r w:rsidR="005F4C0C">
        <w:rPr>
          <w:sz w:val="22"/>
          <w:szCs w:val="22"/>
        </w:rPr>
        <w:t>National Youth Risk Behavior Survey (YRBS)</w:t>
      </w:r>
      <w:r w:rsidR="0024660F">
        <w:rPr>
          <w:sz w:val="22"/>
          <w:szCs w:val="22"/>
        </w:rPr>
        <w:t xml:space="preserve"> Test-Retest </w:t>
      </w:r>
      <w:r w:rsidRPr="0024660F" w:rsidR="0024660F">
        <w:rPr>
          <w:sz w:val="22"/>
          <w:szCs w:val="22"/>
        </w:rPr>
        <w:t>Reliability Study</w:t>
      </w:r>
      <w:r w:rsidRPr="0024660F" w:rsidDel="0024660F" w:rsidR="0024660F">
        <w:rPr>
          <w:sz w:val="22"/>
          <w:szCs w:val="22"/>
        </w:rPr>
        <w:t xml:space="preserve"> </w:t>
      </w:r>
      <w:r w:rsidR="005F4C0C">
        <w:rPr>
          <w:sz w:val="22"/>
          <w:szCs w:val="22"/>
        </w:rPr>
        <w:t>to be conducted in 2021</w:t>
      </w:r>
      <w:r w:rsidRPr="00603BAF">
        <w:rPr>
          <w:sz w:val="22"/>
          <w:szCs w:val="22"/>
        </w:rPr>
        <w:t>.</w:t>
      </w:r>
      <w:r w:rsidR="00AD26EB">
        <w:rPr>
          <w:sz w:val="22"/>
          <w:szCs w:val="22"/>
        </w:rPr>
        <w:t xml:space="preserve"> </w:t>
      </w:r>
      <w:r w:rsidRPr="00603BAF">
        <w:rPr>
          <w:sz w:val="22"/>
          <w:szCs w:val="22"/>
        </w:rPr>
        <w:t xml:space="preserve">The study would </w:t>
      </w:r>
      <w:r w:rsidR="0078196C">
        <w:rPr>
          <w:sz w:val="22"/>
          <w:szCs w:val="22"/>
        </w:rPr>
        <w:t>assess</w:t>
      </w:r>
      <w:r w:rsidRPr="00603BAF">
        <w:rPr>
          <w:sz w:val="22"/>
          <w:szCs w:val="22"/>
        </w:rPr>
        <w:t xml:space="preserve"> the reliability of the data collected </w:t>
      </w:r>
      <w:r w:rsidR="00BB7F42">
        <w:rPr>
          <w:sz w:val="22"/>
          <w:szCs w:val="22"/>
        </w:rPr>
        <w:t xml:space="preserve">using </w:t>
      </w:r>
      <w:r w:rsidRPr="00603BAF" w:rsidR="00603BAF">
        <w:rPr>
          <w:sz w:val="22"/>
          <w:szCs w:val="22"/>
        </w:rPr>
        <w:t>the</w:t>
      </w:r>
      <w:r w:rsidRPr="00603BAF">
        <w:rPr>
          <w:sz w:val="22"/>
          <w:szCs w:val="22"/>
        </w:rPr>
        <w:t xml:space="preserve"> </w:t>
      </w:r>
      <w:r w:rsidR="005614D1">
        <w:rPr>
          <w:sz w:val="22"/>
          <w:szCs w:val="22"/>
        </w:rPr>
        <w:t xml:space="preserve">national </w:t>
      </w:r>
      <w:r w:rsidR="005F4C0C">
        <w:rPr>
          <w:sz w:val="22"/>
          <w:szCs w:val="22"/>
        </w:rPr>
        <w:t>YRBS</w:t>
      </w:r>
      <w:r w:rsidR="00BB7F42">
        <w:rPr>
          <w:sz w:val="22"/>
          <w:szCs w:val="22"/>
        </w:rPr>
        <w:t xml:space="preserve"> questionnaire</w:t>
      </w:r>
      <w:r w:rsidR="005F4C0C">
        <w:rPr>
          <w:sz w:val="22"/>
          <w:szCs w:val="22"/>
        </w:rPr>
        <w:t>,</w:t>
      </w:r>
      <w:r w:rsidRPr="00603BAF">
        <w:rPr>
          <w:sz w:val="22"/>
          <w:szCs w:val="22"/>
        </w:rPr>
        <w:t xml:space="preserve"> </w:t>
      </w:r>
      <w:r w:rsidR="005614D1">
        <w:rPr>
          <w:sz w:val="22"/>
          <w:szCs w:val="22"/>
        </w:rPr>
        <w:t>which</w:t>
      </w:r>
      <w:r w:rsidRPr="005F4C0C" w:rsidR="005F4C0C">
        <w:rPr>
          <w:sz w:val="22"/>
          <w:szCs w:val="22"/>
        </w:rPr>
        <w:t xml:space="preserve"> is used by the </w:t>
      </w:r>
      <w:r w:rsidR="005F4C0C">
        <w:rPr>
          <w:sz w:val="22"/>
          <w:szCs w:val="22"/>
        </w:rPr>
        <w:t>Centers for Disease Control and Prevention (</w:t>
      </w:r>
      <w:r w:rsidRPr="00C62A52" w:rsidR="005F4C0C">
        <w:rPr>
          <w:sz w:val="22"/>
          <w:szCs w:val="22"/>
        </w:rPr>
        <w:t>CDC</w:t>
      </w:r>
      <w:r w:rsidR="005F4C0C">
        <w:rPr>
          <w:sz w:val="22"/>
          <w:szCs w:val="22"/>
        </w:rPr>
        <w:t xml:space="preserve">) </w:t>
      </w:r>
      <w:r w:rsidRPr="005F4C0C" w:rsidR="005F4C0C">
        <w:rPr>
          <w:sz w:val="22"/>
          <w:szCs w:val="22"/>
        </w:rPr>
        <w:t xml:space="preserve">to monitor </w:t>
      </w:r>
      <w:r w:rsidR="00B46382">
        <w:rPr>
          <w:sz w:val="22"/>
          <w:szCs w:val="22"/>
        </w:rPr>
        <w:t xml:space="preserve">the prevalence of </w:t>
      </w:r>
      <w:r w:rsidRPr="005F4C0C" w:rsidR="005F4C0C">
        <w:rPr>
          <w:sz w:val="22"/>
          <w:szCs w:val="22"/>
        </w:rPr>
        <w:t>health-risk behavior</w:t>
      </w:r>
      <w:r w:rsidR="00B46382">
        <w:rPr>
          <w:sz w:val="22"/>
          <w:szCs w:val="22"/>
        </w:rPr>
        <w:t>s</w:t>
      </w:r>
      <w:r w:rsidRPr="005F4C0C" w:rsidR="005F4C0C">
        <w:rPr>
          <w:sz w:val="22"/>
          <w:szCs w:val="22"/>
        </w:rPr>
        <w:t xml:space="preserve"> </w:t>
      </w:r>
      <w:r w:rsidR="00BB7F42">
        <w:rPr>
          <w:sz w:val="22"/>
          <w:szCs w:val="22"/>
        </w:rPr>
        <w:t>among</w:t>
      </w:r>
      <w:r w:rsidRPr="005F4C0C" w:rsidR="005F4C0C">
        <w:rPr>
          <w:sz w:val="22"/>
          <w:szCs w:val="22"/>
        </w:rPr>
        <w:t xml:space="preserve"> youth</w:t>
      </w:r>
      <w:r w:rsidR="00456ACF">
        <w:rPr>
          <w:sz w:val="22"/>
          <w:szCs w:val="22"/>
        </w:rPr>
        <w:t xml:space="preserve">. </w:t>
      </w:r>
      <w:r w:rsidRPr="005F4C0C" w:rsidR="005F4C0C">
        <w:rPr>
          <w:sz w:val="22"/>
          <w:szCs w:val="22"/>
        </w:rPr>
        <w:t xml:space="preserve">The YRBS is </w:t>
      </w:r>
      <w:r w:rsidR="0078196C">
        <w:rPr>
          <w:sz w:val="22"/>
          <w:szCs w:val="22"/>
        </w:rPr>
        <w:t xml:space="preserve">administered </w:t>
      </w:r>
      <w:r w:rsidRPr="005F4C0C" w:rsidR="005F4C0C">
        <w:rPr>
          <w:sz w:val="22"/>
          <w:szCs w:val="22"/>
        </w:rPr>
        <w:t>biennially in the spring semester of the school year to students in grades 9-12.</w:t>
      </w:r>
      <w:r w:rsidR="007061E8">
        <w:rPr>
          <w:sz w:val="22"/>
          <w:szCs w:val="22"/>
        </w:rPr>
        <w:t xml:space="preserve"> </w:t>
      </w:r>
      <w:r w:rsidRPr="005F4C0C" w:rsidR="005F4C0C">
        <w:rPr>
          <w:sz w:val="22"/>
          <w:szCs w:val="22"/>
        </w:rPr>
        <w:t xml:space="preserve">The national school-based survey has been </w:t>
      </w:r>
      <w:r w:rsidR="0078196C">
        <w:rPr>
          <w:sz w:val="22"/>
          <w:szCs w:val="22"/>
        </w:rPr>
        <w:t xml:space="preserve">administered </w:t>
      </w:r>
      <w:r w:rsidRPr="005F4C0C" w:rsidR="005F4C0C">
        <w:rPr>
          <w:sz w:val="22"/>
          <w:szCs w:val="22"/>
        </w:rPr>
        <w:t xml:space="preserve">by </w:t>
      </w:r>
      <w:r w:rsidR="00AF29AD">
        <w:rPr>
          <w:sz w:val="22"/>
          <w:szCs w:val="22"/>
        </w:rPr>
        <w:t xml:space="preserve">the </w:t>
      </w:r>
      <w:r w:rsidR="00AF29AD">
        <w:rPr>
          <w:rFonts w:eastAsia="Calibri"/>
          <w:bCs/>
          <w:iCs/>
          <w:sz w:val="22"/>
          <w:szCs w:val="22"/>
        </w:rPr>
        <w:t>Centers for Disease Control and Prevention</w:t>
      </w:r>
      <w:r w:rsidRPr="005F4C0C" w:rsidR="00AF29AD">
        <w:rPr>
          <w:sz w:val="22"/>
          <w:szCs w:val="22"/>
        </w:rPr>
        <w:t xml:space="preserve"> </w:t>
      </w:r>
      <w:r w:rsidRPr="005F4C0C" w:rsidR="005F4C0C">
        <w:rPr>
          <w:sz w:val="22"/>
          <w:szCs w:val="22"/>
        </w:rPr>
        <w:t>since 1991</w:t>
      </w:r>
      <w:r w:rsidR="00BB7F42">
        <w:rPr>
          <w:sz w:val="22"/>
          <w:szCs w:val="22"/>
        </w:rPr>
        <w:t xml:space="preserve"> (OMB No. 0920-0493)</w:t>
      </w:r>
      <w:r w:rsidRPr="005F4C0C" w:rsidR="005F4C0C">
        <w:rPr>
          <w:sz w:val="22"/>
          <w:szCs w:val="22"/>
        </w:rPr>
        <w:t>.</w:t>
      </w:r>
      <w:r w:rsidR="007061E8">
        <w:rPr>
          <w:sz w:val="22"/>
          <w:szCs w:val="22"/>
        </w:rPr>
        <w:t xml:space="preserve"> </w:t>
      </w:r>
      <w:r w:rsidR="00603BAF">
        <w:rPr>
          <w:sz w:val="22"/>
          <w:szCs w:val="22"/>
        </w:rPr>
        <w:t xml:space="preserve">This reliability study is funded by </w:t>
      </w:r>
      <w:r w:rsidR="00CB2AE2">
        <w:rPr>
          <w:sz w:val="22"/>
          <w:szCs w:val="22"/>
        </w:rPr>
        <w:t>the Division of Adolescent and School Health (DASH)</w:t>
      </w:r>
      <w:r w:rsidR="005D148F">
        <w:rPr>
          <w:sz w:val="22"/>
          <w:szCs w:val="22"/>
        </w:rPr>
        <w:t>,</w:t>
      </w:r>
      <w:r w:rsidR="00CB2AE2">
        <w:rPr>
          <w:sz w:val="22"/>
          <w:szCs w:val="22"/>
        </w:rPr>
        <w:t xml:space="preserve"> National Center for HIV/AIDS, Viral Hepatitis, STD, and TB Prevention</w:t>
      </w:r>
      <w:r w:rsidR="00337601">
        <w:rPr>
          <w:sz w:val="22"/>
          <w:szCs w:val="22"/>
        </w:rPr>
        <w:t xml:space="preserve"> (NCHHSTP)</w:t>
      </w:r>
      <w:r w:rsidR="005D148F">
        <w:rPr>
          <w:sz w:val="22"/>
          <w:szCs w:val="22"/>
        </w:rPr>
        <w:t>,</w:t>
      </w:r>
      <w:r w:rsidR="00CB2AE2">
        <w:rPr>
          <w:sz w:val="22"/>
          <w:szCs w:val="22"/>
        </w:rPr>
        <w:t xml:space="preserve"> </w:t>
      </w:r>
      <w:r w:rsidR="00C62A52">
        <w:rPr>
          <w:sz w:val="22"/>
          <w:szCs w:val="22"/>
        </w:rPr>
        <w:t>CDC</w:t>
      </w:r>
      <w:r w:rsidR="00CB2AE2">
        <w:rPr>
          <w:sz w:val="22"/>
          <w:szCs w:val="22"/>
        </w:rPr>
        <w:t>.</w:t>
      </w:r>
      <w:r w:rsidR="007061E8">
        <w:rPr>
          <w:sz w:val="22"/>
          <w:szCs w:val="22"/>
        </w:rPr>
        <w:t xml:space="preserve"> </w:t>
      </w:r>
      <w:r w:rsidR="000E3DFF">
        <w:rPr>
          <w:sz w:val="22"/>
          <w:szCs w:val="22"/>
        </w:rPr>
        <w:t xml:space="preserve">The </w:t>
      </w:r>
      <w:r w:rsidRPr="003118D2" w:rsidR="000E3DFF">
        <w:rPr>
          <w:sz w:val="22"/>
          <w:szCs w:val="22"/>
        </w:rPr>
        <w:t>data collection is authorized under Section 241 of the Public Health Service Act (42 U.S.C.241) (see Attachment A).</w:t>
      </w:r>
      <w:r w:rsidR="007061E8">
        <w:rPr>
          <w:sz w:val="22"/>
          <w:szCs w:val="22"/>
        </w:rPr>
        <w:t xml:space="preserve"> </w:t>
      </w:r>
      <w:r w:rsidRPr="003118D2" w:rsidR="000E3DFF">
        <w:rPr>
          <w:sz w:val="22"/>
          <w:szCs w:val="22"/>
        </w:rPr>
        <w:t xml:space="preserve">This is a new Information Collection Request </w:t>
      </w:r>
      <w:r w:rsidRPr="003118D2" w:rsidR="00C632D2">
        <w:rPr>
          <w:sz w:val="22"/>
          <w:szCs w:val="22"/>
        </w:rPr>
        <w:t>for a 6 month data collection period</w:t>
      </w:r>
      <w:r w:rsidRPr="003118D2" w:rsidR="000E3DFF">
        <w:rPr>
          <w:sz w:val="22"/>
          <w:szCs w:val="22"/>
        </w:rPr>
        <w:t>.</w:t>
      </w:r>
    </w:p>
    <w:p w:rsidR="000E3DFF" w:rsidP="00474FF8" w:rsidRDefault="000E3DFF" w14:paraId="4A0ECDF0" w14:textId="61B6EDB9">
      <w:pPr>
        <w:rPr>
          <w:sz w:val="22"/>
          <w:szCs w:val="22"/>
        </w:rPr>
      </w:pPr>
    </w:p>
    <w:p w:rsidRPr="00794AE7" w:rsidR="00794AE7" w:rsidP="00474FF8" w:rsidRDefault="005F4C0C" w14:paraId="6263E482" w14:textId="0E8E7270">
      <w:pPr>
        <w:rPr>
          <w:b/>
          <w:sz w:val="22"/>
          <w:szCs w:val="22"/>
        </w:rPr>
      </w:pPr>
      <w:r>
        <w:rPr>
          <w:b/>
          <w:sz w:val="22"/>
          <w:szCs w:val="22"/>
        </w:rPr>
        <w:t>YRBS</w:t>
      </w:r>
    </w:p>
    <w:p w:rsidR="00B94868" w:rsidP="00B94868" w:rsidRDefault="00B94868" w14:paraId="2A85AA10" w14:textId="21D11950">
      <w:pPr>
        <w:pStyle w:val="Default"/>
        <w:rPr>
          <w:rFonts w:eastAsia="Times New Roman"/>
          <w:color w:val="auto"/>
          <w:sz w:val="22"/>
          <w:szCs w:val="22"/>
        </w:rPr>
      </w:pPr>
      <w:r w:rsidRPr="00B94868">
        <w:rPr>
          <w:rFonts w:eastAsia="Times New Roman"/>
          <w:color w:val="auto"/>
          <w:sz w:val="22"/>
          <w:szCs w:val="22"/>
        </w:rPr>
        <w:t>The YRBS was developed by DASH at the CDC, in collaboration with more than 800 representatives from state and local agencies and other federal agencies. It was developed to monitor priority health risk behaviors that contribute to the leading causes of mortality, morbidity, and social problems among youth and adults in the United States. These behaviors fall into six categories:</w:t>
      </w:r>
    </w:p>
    <w:p w:rsidRPr="00B94868" w:rsidR="007061E8" w:rsidP="00B94868" w:rsidRDefault="007061E8" w14:paraId="2885C694" w14:textId="77777777">
      <w:pPr>
        <w:pStyle w:val="Default"/>
        <w:rPr>
          <w:rFonts w:eastAsia="Times New Roman"/>
          <w:color w:val="auto"/>
          <w:sz w:val="22"/>
          <w:szCs w:val="22"/>
        </w:rPr>
      </w:pPr>
    </w:p>
    <w:p w:rsidRPr="00B94868" w:rsidR="00B94868" w:rsidP="00B94868" w:rsidRDefault="00B94868" w14:paraId="64D9F2AA" w14:textId="2CE38096">
      <w:pPr>
        <w:pStyle w:val="Default"/>
        <w:numPr>
          <w:ilvl w:val="0"/>
          <w:numId w:val="14"/>
        </w:numPr>
        <w:rPr>
          <w:rFonts w:eastAsia="Times New Roman"/>
          <w:color w:val="auto"/>
          <w:sz w:val="22"/>
          <w:szCs w:val="22"/>
        </w:rPr>
      </w:pPr>
      <w:r w:rsidRPr="00B94868">
        <w:rPr>
          <w:rFonts w:eastAsia="Times New Roman"/>
          <w:color w:val="auto"/>
          <w:sz w:val="22"/>
          <w:szCs w:val="22"/>
        </w:rPr>
        <w:t>Behaviors that result in unintentional injuries and violence,</w:t>
      </w:r>
    </w:p>
    <w:p w:rsidRPr="00B94868" w:rsidR="00B94868" w:rsidP="00B94868" w:rsidRDefault="00B94868" w14:paraId="183F4F35" w14:textId="0DE43CA6">
      <w:pPr>
        <w:pStyle w:val="Default"/>
        <w:numPr>
          <w:ilvl w:val="0"/>
          <w:numId w:val="14"/>
        </w:numPr>
        <w:rPr>
          <w:rFonts w:eastAsia="Times New Roman"/>
          <w:color w:val="auto"/>
          <w:sz w:val="22"/>
          <w:szCs w:val="22"/>
        </w:rPr>
      </w:pPr>
      <w:r w:rsidRPr="00B94868">
        <w:rPr>
          <w:rFonts w:eastAsia="Times New Roman"/>
          <w:color w:val="auto"/>
          <w:sz w:val="22"/>
          <w:szCs w:val="22"/>
        </w:rPr>
        <w:t>Tobacco use,</w:t>
      </w:r>
    </w:p>
    <w:p w:rsidRPr="00B94868" w:rsidR="00B94868" w:rsidP="00B94868" w:rsidRDefault="00B94868" w14:paraId="4FCE69DD" w14:textId="452DA4B4">
      <w:pPr>
        <w:pStyle w:val="Default"/>
        <w:numPr>
          <w:ilvl w:val="0"/>
          <w:numId w:val="14"/>
        </w:numPr>
        <w:rPr>
          <w:rFonts w:eastAsia="Times New Roman"/>
          <w:color w:val="auto"/>
          <w:sz w:val="22"/>
          <w:szCs w:val="22"/>
        </w:rPr>
      </w:pPr>
      <w:r w:rsidRPr="00B94868">
        <w:rPr>
          <w:rFonts w:eastAsia="Times New Roman"/>
          <w:color w:val="auto"/>
          <w:sz w:val="22"/>
          <w:szCs w:val="22"/>
        </w:rPr>
        <w:lastRenderedPageBreak/>
        <w:t>Alcohol and other drug use,</w:t>
      </w:r>
    </w:p>
    <w:p w:rsidRPr="00B94868" w:rsidR="00B94868" w:rsidP="00B94868" w:rsidRDefault="00B94868" w14:paraId="3CC0134F" w14:textId="0D7D3770">
      <w:pPr>
        <w:pStyle w:val="Default"/>
        <w:numPr>
          <w:ilvl w:val="0"/>
          <w:numId w:val="14"/>
        </w:numPr>
        <w:rPr>
          <w:rFonts w:eastAsia="Times New Roman"/>
          <w:color w:val="auto"/>
          <w:sz w:val="22"/>
          <w:szCs w:val="22"/>
        </w:rPr>
      </w:pPr>
      <w:r w:rsidRPr="00B94868">
        <w:rPr>
          <w:rFonts w:eastAsia="Times New Roman"/>
          <w:color w:val="auto"/>
          <w:sz w:val="22"/>
          <w:szCs w:val="22"/>
        </w:rPr>
        <w:t>Sexual behaviors that could result in human immunodeficiency virus (HIV) infection, other sexually transmitted infections (STIs), and unintended pregnancies,</w:t>
      </w:r>
    </w:p>
    <w:p w:rsidRPr="00B94868" w:rsidR="00B94868" w:rsidP="00B94868" w:rsidRDefault="00B94868" w14:paraId="2FB1973D" w14:textId="7FFE49E3">
      <w:pPr>
        <w:pStyle w:val="Default"/>
        <w:numPr>
          <w:ilvl w:val="0"/>
          <w:numId w:val="14"/>
        </w:numPr>
        <w:rPr>
          <w:rFonts w:eastAsia="Times New Roman"/>
          <w:color w:val="auto"/>
          <w:sz w:val="22"/>
          <w:szCs w:val="22"/>
        </w:rPr>
      </w:pPr>
      <w:r w:rsidRPr="00B94868">
        <w:rPr>
          <w:rFonts w:eastAsia="Times New Roman"/>
          <w:color w:val="auto"/>
          <w:sz w:val="22"/>
          <w:szCs w:val="22"/>
        </w:rPr>
        <w:t>Unhealthy dietary behaviors, and</w:t>
      </w:r>
    </w:p>
    <w:p w:rsidRPr="00B94868" w:rsidR="00B94868" w:rsidP="00B94868" w:rsidRDefault="00B94868" w14:paraId="4B03DB52" w14:textId="50663A8E">
      <w:pPr>
        <w:pStyle w:val="Default"/>
        <w:numPr>
          <w:ilvl w:val="0"/>
          <w:numId w:val="14"/>
        </w:numPr>
        <w:rPr>
          <w:rFonts w:eastAsia="Times New Roman"/>
          <w:color w:val="auto"/>
          <w:sz w:val="22"/>
          <w:szCs w:val="22"/>
        </w:rPr>
      </w:pPr>
      <w:r w:rsidRPr="00B94868">
        <w:rPr>
          <w:rFonts w:eastAsia="Times New Roman"/>
          <w:color w:val="auto"/>
          <w:sz w:val="22"/>
          <w:szCs w:val="22"/>
        </w:rPr>
        <w:t>Physical inactivity.</w:t>
      </w:r>
    </w:p>
    <w:p w:rsidR="007061E8" w:rsidP="00B94868" w:rsidRDefault="007061E8" w14:paraId="6B463B02" w14:textId="77777777">
      <w:pPr>
        <w:pStyle w:val="Default"/>
        <w:rPr>
          <w:rFonts w:eastAsia="Times New Roman"/>
          <w:color w:val="auto"/>
          <w:sz w:val="22"/>
          <w:szCs w:val="22"/>
        </w:rPr>
      </w:pPr>
    </w:p>
    <w:p w:rsidR="00456ACF" w:rsidP="00B94868" w:rsidRDefault="00B94868" w14:paraId="6002CDC4" w14:textId="5141FAFA">
      <w:pPr>
        <w:pStyle w:val="Default"/>
        <w:rPr>
          <w:rFonts w:eastAsia="Times New Roman"/>
          <w:color w:val="auto"/>
          <w:sz w:val="22"/>
          <w:szCs w:val="22"/>
        </w:rPr>
      </w:pPr>
      <w:r w:rsidRPr="00B94868">
        <w:rPr>
          <w:rFonts w:eastAsia="Times New Roman"/>
          <w:color w:val="auto"/>
          <w:sz w:val="22"/>
          <w:szCs w:val="22"/>
        </w:rPr>
        <w:t>In addition, the YRBS measures the prevalence of obesity and other priority health issues.</w:t>
      </w:r>
    </w:p>
    <w:p w:rsidR="006250AD" w:rsidP="00B94868" w:rsidRDefault="00BB7F42" w14:paraId="68DAA585" w14:textId="71809E93">
      <w:pPr>
        <w:pStyle w:val="Default"/>
        <w:rPr>
          <w:sz w:val="22"/>
          <w:szCs w:val="22"/>
        </w:rPr>
      </w:pPr>
      <w:r>
        <w:rPr>
          <w:sz w:val="22"/>
          <w:szCs w:val="22"/>
        </w:rPr>
        <w:t>The national YRBS is the data source for multiple Healthy People national health objectives, which chart the direction for public health activities for each decade</w:t>
      </w:r>
      <w:r w:rsidR="001A1C16">
        <w:rPr>
          <w:sz w:val="22"/>
          <w:szCs w:val="22"/>
        </w:rPr>
        <w:t>.</w:t>
      </w:r>
      <w:r>
        <w:rPr>
          <w:sz w:val="22"/>
          <w:szCs w:val="22"/>
        </w:rPr>
        <w:t xml:space="preserve"> In Healthy People 2030,</w:t>
      </w:r>
      <w:r w:rsidRPr="00BB7F42">
        <w:t xml:space="preserve"> </w:t>
      </w:r>
      <w:r>
        <w:t>t</w:t>
      </w:r>
      <w:r w:rsidRPr="00BB7F42">
        <w:rPr>
          <w:sz w:val="22"/>
          <w:szCs w:val="22"/>
        </w:rPr>
        <w:t>he YRBS is the primary data source for 13 objectives in seven focus areas: cancer; educational and community-based programs; injury and violence prevention; lesbian, gay</w:t>
      </w:r>
      <w:r w:rsidR="00BA589C">
        <w:rPr>
          <w:sz w:val="22"/>
          <w:szCs w:val="22"/>
        </w:rPr>
        <w:t>,</w:t>
      </w:r>
      <w:r w:rsidRPr="00BB7F42">
        <w:rPr>
          <w:sz w:val="22"/>
          <w:szCs w:val="22"/>
        </w:rPr>
        <w:t xml:space="preserve"> bisexual</w:t>
      </w:r>
      <w:r w:rsidR="00BA589C">
        <w:rPr>
          <w:sz w:val="22"/>
          <w:szCs w:val="22"/>
        </w:rPr>
        <w:t>,</w:t>
      </w:r>
      <w:r w:rsidRPr="00BB7F42">
        <w:rPr>
          <w:sz w:val="22"/>
          <w:szCs w:val="22"/>
        </w:rPr>
        <w:t xml:space="preserve"> and transgender health; mental health and mental disorders; physical activity; and sleep health. The behaviors addressed by these objectives include: sun protection to reduce the risk of skin cancer; daily physical activity; physical fighting; weapon carrying; sexual and dating violence; bullying, suicidal ideation and attempts</w:t>
      </w:r>
      <w:r w:rsidR="00BA589C">
        <w:rPr>
          <w:sz w:val="22"/>
          <w:szCs w:val="22"/>
        </w:rPr>
        <w:t>,</w:t>
      </w:r>
      <w:r w:rsidRPr="00BB7F42">
        <w:rPr>
          <w:sz w:val="22"/>
          <w:szCs w:val="22"/>
        </w:rPr>
        <w:t xml:space="preserve"> and illicit drug use among sexual minority youth; suicide attempts among all youth; meeting federal recommendations for aerobic and muscle-strengthening physical activity; and sleep duration. </w:t>
      </w:r>
      <w:r>
        <w:rPr>
          <w:sz w:val="22"/>
          <w:szCs w:val="22"/>
        </w:rPr>
        <w:t xml:space="preserve"> </w:t>
      </w:r>
    </w:p>
    <w:p w:rsidR="006250AD" w:rsidP="00B94868" w:rsidRDefault="006250AD" w14:paraId="31F6795D" w14:textId="77777777">
      <w:pPr>
        <w:pStyle w:val="Default"/>
        <w:rPr>
          <w:sz w:val="22"/>
          <w:szCs w:val="22"/>
        </w:rPr>
      </w:pPr>
    </w:p>
    <w:p w:rsidR="00B94868" w:rsidP="001A1C16" w:rsidRDefault="000C0B3C" w14:paraId="2EF982E1" w14:textId="42E37E25">
      <w:pPr>
        <w:rPr>
          <w:sz w:val="22"/>
          <w:szCs w:val="22"/>
        </w:rPr>
      </w:pPr>
      <w:r w:rsidRPr="000C0B3C">
        <w:rPr>
          <w:rFonts w:eastAsia="Calibri"/>
          <w:color w:val="000000"/>
          <w:sz w:val="22"/>
          <w:szCs w:val="22"/>
        </w:rPr>
        <w:t>YRBS data are used by several Federal agencies, including the C</w:t>
      </w:r>
      <w:r w:rsidR="00BA589C">
        <w:rPr>
          <w:rFonts w:eastAsia="Calibri"/>
          <w:color w:val="000000"/>
          <w:sz w:val="22"/>
          <w:szCs w:val="22"/>
        </w:rPr>
        <w:t>DC.</w:t>
      </w:r>
      <w:r w:rsidRPr="000C0B3C">
        <w:rPr>
          <w:rFonts w:eastAsia="Calibri"/>
          <w:color w:val="000000"/>
          <w:sz w:val="22"/>
          <w:szCs w:val="22"/>
        </w:rPr>
        <w:t xml:space="preserve"> The data also are used by state and local governments, nongovernmental organizations, physicians, teacher training institutions, educational administrators, health educators, teachers, and parents. </w:t>
      </w:r>
      <w:r w:rsidR="006250AD">
        <w:rPr>
          <w:sz w:val="22"/>
          <w:szCs w:val="22"/>
        </w:rPr>
        <w:t>These agencies</w:t>
      </w:r>
      <w:r w:rsidR="001A1C16">
        <w:rPr>
          <w:sz w:val="22"/>
          <w:szCs w:val="22"/>
        </w:rPr>
        <w:t>,</w:t>
      </w:r>
      <w:r w:rsidR="006250AD">
        <w:rPr>
          <w:sz w:val="22"/>
          <w:szCs w:val="22"/>
        </w:rPr>
        <w:t xml:space="preserve"> organizations</w:t>
      </w:r>
      <w:r w:rsidR="001A1C16">
        <w:rPr>
          <w:sz w:val="22"/>
          <w:szCs w:val="22"/>
        </w:rPr>
        <w:t>, and individuals</w:t>
      </w:r>
      <w:r w:rsidR="006250AD">
        <w:rPr>
          <w:sz w:val="22"/>
          <w:szCs w:val="22"/>
        </w:rPr>
        <w:t xml:space="preserve"> use YRBS data</w:t>
      </w:r>
      <w:r w:rsidRPr="00B94868" w:rsidR="00B94868">
        <w:rPr>
          <w:sz w:val="22"/>
          <w:szCs w:val="22"/>
        </w:rPr>
        <w:t xml:space="preserve"> to:</w:t>
      </w:r>
    </w:p>
    <w:p w:rsidRPr="00B94868" w:rsidR="007061E8" w:rsidP="00B94868" w:rsidRDefault="007061E8" w14:paraId="753DF071" w14:textId="77777777">
      <w:pPr>
        <w:pStyle w:val="Default"/>
        <w:rPr>
          <w:sz w:val="22"/>
          <w:szCs w:val="22"/>
        </w:rPr>
      </w:pPr>
    </w:p>
    <w:p w:rsidRPr="00B94868" w:rsidR="00B94868" w:rsidP="00B94868" w:rsidRDefault="00B94868" w14:paraId="7F8B1EBD" w14:textId="2E28FCB9">
      <w:pPr>
        <w:pStyle w:val="Default"/>
        <w:numPr>
          <w:ilvl w:val="0"/>
          <w:numId w:val="15"/>
        </w:numPr>
        <w:rPr>
          <w:sz w:val="22"/>
          <w:szCs w:val="22"/>
        </w:rPr>
      </w:pPr>
      <w:r w:rsidRPr="00B94868">
        <w:rPr>
          <w:sz w:val="22"/>
          <w:szCs w:val="22"/>
        </w:rPr>
        <w:t>Create awareness of the extent to which youth practice health risk behaviors;</w:t>
      </w:r>
    </w:p>
    <w:p w:rsidRPr="00B94868" w:rsidR="00B94868" w:rsidP="00B94868" w:rsidRDefault="00B94868" w14:paraId="17274108" w14:textId="2C6B3313">
      <w:pPr>
        <w:pStyle w:val="Default"/>
        <w:numPr>
          <w:ilvl w:val="0"/>
          <w:numId w:val="15"/>
        </w:numPr>
        <w:rPr>
          <w:sz w:val="22"/>
          <w:szCs w:val="22"/>
        </w:rPr>
      </w:pPr>
      <w:r w:rsidRPr="00B94868">
        <w:rPr>
          <w:sz w:val="22"/>
          <w:szCs w:val="22"/>
        </w:rPr>
        <w:t xml:space="preserve">Develop programs that address health risk behaviors practiced </w:t>
      </w:r>
      <w:r w:rsidR="00BA589C">
        <w:rPr>
          <w:sz w:val="22"/>
          <w:szCs w:val="22"/>
        </w:rPr>
        <w:t>among</w:t>
      </w:r>
      <w:r w:rsidRPr="00B94868">
        <w:rPr>
          <w:sz w:val="22"/>
          <w:szCs w:val="22"/>
        </w:rPr>
        <w:t xml:space="preserve"> youth in their jurisdictions and set program goals;</w:t>
      </w:r>
    </w:p>
    <w:p w:rsidRPr="00B94868" w:rsidR="00B94868" w:rsidP="00B94868" w:rsidRDefault="00B94868" w14:paraId="57F699DC" w14:textId="66857644">
      <w:pPr>
        <w:pStyle w:val="Default"/>
        <w:numPr>
          <w:ilvl w:val="0"/>
          <w:numId w:val="15"/>
        </w:numPr>
        <w:rPr>
          <w:sz w:val="22"/>
          <w:szCs w:val="22"/>
        </w:rPr>
      </w:pPr>
      <w:r w:rsidRPr="00B94868">
        <w:rPr>
          <w:sz w:val="22"/>
          <w:szCs w:val="22"/>
        </w:rPr>
        <w:t>Focus school health education teacher training and instructional programs;</w:t>
      </w:r>
    </w:p>
    <w:p w:rsidRPr="00B94868" w:rsidR="00B94868" w:rsidP="00B94868" w:rsidRDefault="00B94868" w14:paraId="2A79717A" w14:textId="57DEE531">
      <w:pPr>
        <w:pStyle w:val="Default"/>
        <w:numPr>
          <w:ilvl w:val="0"/>
          <w:numId w:val="15"/>
        </w:numPr>
        <w:rPr>
          <w:sz w:val="22"/>
          <w:szCs w:val="22"/>
        </w:rPr>
      </w:pPr>
      <w:r w:rsidRPr="00B94868">
        <w:rPr>
          <w:sz w:val="22"/>
          <w:szCs w:val="22"/>
        </w:rPr>
        <w:t>Support health-related policies and legislation;</w:t>
      </w:r>
    </w:p>
    <w:p w:rsidRPr="00B94868" w:rsidR="00B94868" w:rsidP="00B94868" w:rsidRDefault="00B94868" w14:paraId="10032605" w14:textId="6DF0ACB7">
      <w:pPr>
        <w:pStyle w:val="Default"/>
        <w:numPr>
          <w:ilvl w:val="0"/>
          <w:numId w:val="15"/>
        </w:numPr>
        <w:rPr>
          <w:sz w:val="22"/>
          <w:szCs w:val="22"/>
        </w:rPr>
      </w:pPr>
      <w:r w:rsidRPr="00B94868">
        <w:rPr>
          <w:sz w:val="22"/>
          <w:szCs w:val="22"/>
        </w:rPr>
        <w:t>Seek funding for school health programs; and</w:t>
      </w:r>
    </w:p>
    <w:p w:rsidR="00B94868" w:rsidP="00B94868" w:rsidRDefault="00B94868" w14:paraId="6ADC04B6" w14:textId="5BCE2483">
      <w:pPr>
        <w:pStyle w:val="Default"/>
        <w:numPr>
          <w:ilvl w:val="0"/>
          <w:numId w:val="15"/>
        </w:numPr>
        <w:rPr>
          <w:sz w:val="22"/>
          <w:szCs w:val="22"/>
        </w:rPr>
      </w:pPr>
      <w:r w:rsidRPr="00B94868">
        <w:rPr>
          <w:sz w:val="22"/>
          <w:szCs w:val="22"/>
        </w:rPr>
        <w:t>Garner support for future surveys.</w:t>
      </w:r>
    </w:p>
    <w:p w:rsidR="00AD26EB" w:rsidP="00AD26EB" w:rsidRDefault="00AD26EB" w14:paraId="1C8433AD" w14:textId="7827273C">
      <w:pPr>
        <w:rPr>
          <w:rFonts w:eastAsia="Calibri"/>
          <w:color w:val="000000"/>
          <w:sz w:val="22"/>
          <w:szCs w:val="22"/>
        </w:rPr>
      </w:pPr>
    </w:p>
    <w:p w:rsidRPr="00794AE7" w:rsidR="00794AE7" w:rsidP="0082784A" w:rsidRDefault="00794AE7" w14:paraId="77811467" w14:textId="77777777">
      <w:pPr>
        <w:pStyle w:val="Default"/>
        <w:spacing w:after="218"/>
        <w:rPr>
          <w:rFonts w:eastAsia="Times New Roman"/>
          <w:b/>
          <w:color w:val="auto"/>
          <w:sz w:val="22"/>
          <w:szCs w:val="22"/>
        </w:rPr>
      </w:pPr>
      <w:r w:rsidRPr="00794AE7">
        <w:rPr>
          <w:rFonts w:eastAsia="Times New Roman"/>
          <w:b/>
          <w:color w:val="auto"/>
          <w:sz w:val="22"/>
          <w:szCs w:val="22"/>
        </w:rPr>
        <w:t>Test-Retest Reliability Study</w:t>
      </w:r>
      <w:r w:rsidR="00DC51F7">
        <w:rPr>
          <w:rFonts w:eastAsia="Times New Roman"/>
          <w:b/>
          <w:color w:val="auto"/>
          <w:sz w:val="22"/>
          <w:szCs w:val="22"/>
        </w:rPr>
        <w:t xml:space="preserve"> Data Collection</w:t>
      </w:r>
      <w:r w:rsidR="00AC2BCA">
        <w:rPr>
          <w:rFonts w:eastAsia="Times New Roman"/>
          <w:b/>
          <w:color w:val="auto"/>
          <w:sz w:val="22"/>
          <w:szCs w:val="22"/>
        </w:rPr>
        <w:t xml:space="preserve"> Overview</w:t>
      </w:r>
    </w:p>
    <w:p w:rsidRPr="00391565" w:rsidR="008D1BEB" w:rsidP="001F0E7E" w:rsidRDefault="00B94868" w14:paraId="0C58F1E0" w14:textId="1D0A9DD9">
      <w:pPr>
        <w:rPr>
          <w:sz w:val="22"/>
          <w:szCs w:val="22"/>
        </w:rPr>
      </w:pPr>
      <w:r w:rsidRPr="00B94868">
        <w:rPr>
          <w:rFonts w:eastAsia="Calibri"/>
          <w:color w:val="000000"/>
          <w:sz w:val="22"/>
          <w:szCs w:val="22"/>
        </w:rPr>
        <w:t xml:space="preserve">Because of the large impact YRBS has on the reporting of health factors affecting adolescents and the evaluation and development of school health policies, </w:t>
      </w:r>
      <w:r w:rsidRPr="00B94868" w:rsidR="008D1BEB">
        <w:rPr>
          <w:sz w:val="22"/>
          <w:szCs w:val="22"/>
        </w:rPr>
        <w:t>th</w:t>
      </w:r>
      <w:r w:rsidRPr="00391565" w:rsidR="008D1BEB">
        <w:rPr>
          <w:sz w:val="22"/>
          <w:szCs w:val="22"/>
        </w:rPr>
        <w:t xml:space="preserve">e </w:t>
      </w:r>
      <w:r w:rsidR="00762C02">
        <w:rPr>
          <w:sz w:val="22"/>
          <w:szCs w:val="22"/>
        </w:rPr>
        <w:t>CDC</w:t>
      </w:r>
      <w:r w:rsidRPr="00391565" w:rsidR="008D1BEB">
        <w:rPr>
          <w:sz w:val="22"/>
          <w:szCs w:val="22"/>
        </w:rPr>
        <w:t xml:space="preserve"> </w:t>
      </w:r>
      <w:r w:rsidRPr="00391565">
        <w:rPr>
          <w:rFonts w:eastAsia="Calibri"/>
          <w:color w:val="000000"/>
          <w:sz w:val="22"/>
          <w:szCs w:val="22"/>
        </w:rPr>
        <w:t>has determined there is a need to assess the reliability of the self-administered student surveys.</w:t>
      </w:r>
      <w:r w:rsidRPr="00391565" w:rsidR="007061E8">
        <w:rPr>
          <w:rFonts w:eastAsia="Calibri"/>
          <w:color w:val="000000"/>
          <w:sz w:val="22"/>
          <w:szCs w:val="22"/>
        </w:rPr>
        <w:t xml:space="preserve"> </w:t>
      </w:r>
      <w:r w:rsidRPr="00391565">
        <w:rPr>
          <w:rFonts w:eastAsia="Calibri"/>
          <w:color w:val="000000"/>
          <w:sz w:val="22"/>
          <w:szCs w:val="22"/>
        </w:rPr>
        <w:t>Previous reliability studies conducted</w:t>
      </w:r>
      <w:r w:rsidRPr="00391565" w:rsidR="004C1B69">
        <w:rPr>
          <w:rFonts w:eastAsia="Calibri"/>
          <w:color w:val="000000"/>
          <w:sz w:val="22"/>
          <w:szCs w:val="22"/>
        </w:rPr>
        <w:t xml:space="preserve"> by the </w:t>
      </w:r>
      <w:r w:rsidR="00762C02">
        <w:rPr>
          <w:rFonts w:eastAsia="Calibri"/>
          <w:color w:val="000000"/>
          <w:sz w:val="22"/>
          <w:szCs w:val="22"/>
        </w:rPr>
        <w:t>CDC</w:t>
      </w:r>
      <w:r w:rsidRPr="00391565">
        <w:rPr>
          <w:rFonts w:eastAsia="Calibri"/>
          <w:color w:val="000000"/>
          <w:sz w:val="22"/>
          <w:szCs w:val="22"/>
        </w:rPr>
        <w:t xml:space="preserve"> in 1992</w:t>
      </w:r>
      <w:r w:rsidRPr="00391565" w:rsidR="004C1B69">
        <w:rPr>
          <w:rStyle w:val="FootnoteReference"/>
          <w:rFonts w:eastAsia="Calibri"/>
          <w:color w:val="000000"/>
          <w:sz w:val="22"/>
          <w:szCs w:val="22"/>
          <w:vertAlign w:val="superscript"/>
        </w:rPr>
        <w:footnoteReference w:id="1"/>
      </w:r>
      <w:r w:rsidRPr="00391565" w:rsidR="00867D5F">
        <w:rPr>
          <w:rFonts w:eastAsia="Calibri"/>
          <w:color w:val="000000"/>
          <w:sz w:val="22"/>
          <w:szCs w:val="22"/>
        </w:rPr>
        <w:t xml:space="preserve"> </w:t>
      </w:r>
      <w:r w:rsidRPr="00391565">
        <w:rPr>
          <w:rFonts w:eastAsia="Calibri"/>
          <w:color w:val="000000"/>
          <w:sz w:val="22"/>
          <w:szCs w:val="22"/>
        </w:rPr>
        <w:t>and 1999</w:t>
      </w:r>
      <w:r w:rsidRPr="00391565" w:rsidR="004C1B69">
        <w:rPr>
          <w:rStyle w:val="FootnoteReference"/>
          <w:rFonts w:eastAsia="Calibri"/>
          <w:color w:val="000000"/>
          <w:sz w:val="22"/>
          <w:szCs w:val="22"/>
          <w:vertAlign w:val="superscript"/>
        </w:rPr>
        <w:footnoteReference w:id="2"/>
      </w:r>
      <w:r w:rsidRPr="00391565" w:rsidR="007061E8">
        <w:rPr>
          <w:rFonts w:eastAsia="Calibri"/>
          <w:color w:val="000000"/>
          <w:sz w:val="22"/>
          <w:szCs w:val="22"/>
          <w:vertAlign w:val="superscript"/>
        </w:rPr>
        <w:t xml:space="preserve"> </w:t>
      </w:r>
      <w:r w:rsidRPr="00391565" w:rsidR="00867D5F">
        <w:rPr>
          <w:rFonts w:eastAsia="Calibri"/>
          <w:color w:val="000000"/>
          <w:sz w:val="22"/>
          <w:szCs w:val="22"/>
        </w:rPr>
        <w:t>have demonstrated that most items have substantial reliability. However, given the substantial updates to YRBS since 1999, a new assessment is merited.</w:t>
      </w:r>
      <w:r w:rsidRPr="00391565" w:rsidR="007061E8">
        <w:rPr>
          <w:rFonts w:eastAsia="Calibri"/>
          <w:color w:val="000000"/>
          <w:sz w:val="22"/>
          <w:szCs w:val="22"/>
        </w:rPr>
        <w:t xml:space="preserve"> </w:t>
      </w:r>
      <w:r w:rsidRPr="00391565" w:rsidR="0048664B">
        <w:rPr>
          <w:sz w:val="22"/>
          <w:szCs w:val="22"/>
        </w:rPr>
        <w:t xml:space="preserve">Reliability of the </w:t>
      </w:r>
      <w:r w:rsidRPr="00391565">
        <w:rPr>
          <w:sz w:val="22"/>
          <w:szCs w:val="22"/>
        </w:rPr>
        <w:t>YRBS</w:t>
      </w:r>
      <w:r w:rsidRPr="00391565" w:rsidR="0072014A">
        <w:rPr>
          <w:sz w:val="22"/>
          <w:szCs w:val="22"/>
        </w:rPr>
        <w:t xml:space="preserve"> </w:t>
      </w:r>
      <w:r w:rsidRPr="00391565" w:rsidR="00603BAF">
        <w:rPr>
          <w:sz w:val="22"/>
          <w:szCs w:val="22"/>
        </w:rPr>
        <w:t>data will</w:t>
      </w:r>
      <w:r w:rsidRPr="00391565" w:rsidR="0048664B">
        <w:rPr>
          <w:sz w:val="22"/>
          <w:szCs w:val="22"/>
        </w:rPr>
        <w:t xml:space="preserve"> be assessed through a test-retest assessment using the </w:t>
      </w:r>
      <w:r w:rsidRPr="00391565">
        <w:rPr>
          <w:sz w:val="22"/>
          <w:szCs w:val="22"/>
        </w:rPr>
        <w:t>202</w:t>
      </w:r>
      <w:r w:rsidRPr="00391565" w:rsidR="00C63D23">
        <w:rPr>
          <w:sz w:val="22"/>
          <w:szCs w:val="22"/>
        </w:rPr>
        <w:t>1</w:t>
      </w:r>
      <w:r w:rsidRPr="00391565">
        <w:rPr>
          <w:sz w:val="22"/>
          <w:szCs w:val="22"/>
        </w:rPr>
        <w:t xml:space="preserve"> </w:t>
      </w:r>
      <w:r w:rsidRPr="00391565" w:rsidR="00A74B80">
        <w:rPr>
          <w:sz w:val="22"/>
          <w:szCs w:val="22"/>
        </w:rPr>
        <w:t xml:space="preserve">National </w:t>
      </w:r>
      <w:r w:rsidRPr="00391565">
        <w:rPr>
          <w:sz w:val="22"/>
          <w:szCs w:val="22"/>
        </w:rPr>
        <w:t xml:space="preserve">YRBS </w:t>
      </w:r>
      <w:r w:rsidRPr="00391565" w:rsidR="00BB1FBE">
        <w:rPr>
          <w:sz w:val="22"/>
          <w:szCs w:val="22"/>
        </w:rPr>
        <w:t>Questionnaire (see A</w:t>
      </w:r>
      <w:r w:rsidRPr="00391565" w:rsidR="002C3725">
        <w:rPr>
          <w:sz w:val="22"/>
          <w:szCs w:val="22"/>
        </w:rPr>
        <w:t>ttachment</w:t>
      </w:r>
      <w:r w:rsidRPr="00391565" w:rsidR="00BB1FBE">
        <w:rPr>
          <w:sz w:val="22"/>
          <w:szCs w:val="22"/>
        </w:rPr>
        <w:t xml:space="preserve"> </w:t>
      </w:r>
      <w:r w:rsidRPr="00391565" w:rsidR="00504AD6">
        <w:rPr>
          <w:sz w:val="22"/>
          <w:szCs w:val="22"/>
        </w:rPr>
        <w:t>C</w:t>
      </w:r>
      <w:r w:rsidR="006250AD">
        <w:rPr>
          <w:sz w:val="22"/>
          <w:szCs w:val="22"/>
        </w:rPr>
        <w:t>; the 2021 questionnaire is currently under review</w:t>
      </w:r>
      <w:r w:rsidRPr="00391565" w:rsidR="00BB1FBE">
        <w:rPr>
          <w:sz w:val="22"/>
          <w:szCs w:val="22"/>
        </w:rPr>
        <w:t>)</w:t>
      </w:r>
      <w:r w:rsidRPr="00391565" w:rsidR="0048664B">
        <w:rPr>
          <w:sz w:val="22"/>
          <w:szCs w:val="22"/>
        </w:rPr>
        <w:t>.</w:t>
      </w:r>
      <w:r w:rsidRPr="00391565" w:rsidR="00AD26EB">
        <w:rPr>
          <w:sz w:val="22"/>
          <w:szCs w:val="22"/>
        </w:rPr>
        <w:t xml:space="preserve"> </w:t>
      </w:r>
      <w:r w:rsidRPr="00391565" w:rsidR="001E665A">
        <w:rPr>
          <w:sz w:val="22"/>
          <w:szCs w:val="22"/>
        </w:rPr>
        <w:t xml:space="preserve">For the test-retest study, </w:t>
      </w:r>
      <w:r w:rsidRPr="00391565">
        <w:rPr>
          <w:sz w:val="22"/>
          <w:szCs w:val="22"/>
        </w:rPr>
        <w:t>the questionnaire</w:t>
      </w:r>
      <w:r w:rsidRPr="00391565" w:rsidR="001E665A">
        <w:rPr>
          <w:sz w:val="22"/>
          <w:szCs w:val="22"/>
        </w:rPr>
        <w:t xml:space="preserve"> will be administered to the same respondents at two time points, approximately two weeks apart.</w:t>
      </w:r>
      <w:r w:rsidRPr="00391565" w:rsidR="007061E8">
        <w:rPr>
          <w:sz w:val="22"/>
          <w:szCs w:val="22"/>
        </w:rPr>
        <w:t xml:space="preserve"> </w:t>
      </w:r>
      <w:r w:rsidRPr="00391565" w:rsidR="00A10A04">
        <w:rPr>
          <w:sz w:val="22"/>
          <w:szCs w:val="22"/>
        </w:rPr>
        <w:t>Data collection will occur between September and December of 2021 after completion of the school clearance process.</w:t>
      </w:r>
      <w:r w:rsidR="00A10A04">
        <w:rPr>
          <w:sz w:val="22"/>
          <w:szCs w:val="22"/>
        </w:rPr>
        <w:t xml:space="preserve">  </w:t>
      </w:r>
      <w:r w:rsidRPr="00391565" w:rsidR="00A10A04">
        <w:rPr>
          <w:sz w:val="22"/>
          <w:szCs w:val="22"/>
        </w:rPr>
        <w:t>For the study, a sample of 2,000 students from 20 regular public secondary schools in the U.S. containing at least one of grades 9 through 12 will be selected in no more than 20 districts. This sample is expected to yield at least 1,000 participating students who completed both a Time 1 and Time 2 questionnaire</w:t>
      </w:r>
    </w:p>
    <w:p w:rsidRPr="00391565" w:rsidR="008D1BEB" w:rsidP="001F0E7E" w:rsidRDefault="008D1BEB" w14:paraId="33819072" w14:textId="77777777">
      <w:pPr>
        <w:rPr>
          <w:sz w:val="22"/>
          <w:szCs w:val="22"/>
        </w:rPr>
      </w:pPr>
    </w:p>
    <w:p w:rsidR="00867D5F" w:rsidP="001F0E7E" w:rsidRDefault="00867D5F" w14:paraId="1F3441C3" w14:textId="77777777">
      <w:pPr>
        <w:rPr>
          <w:sz w:val="22"/>
          <w:szCs w:val="22"/>
        </w:rPr>
      </w:pPr>
    </w:p>
    <w:p w:rsidRPr="00AD26EB" w:rsidR="0048664B" w:rsidP="00AD26EB" w:rsidRDefault="0048664B" w14:paraId="2EBA10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EB104F" w:rsidP="005305CD" w:rsidRDefault="00EB104F" w14:paraId="331C7476" w14:textId="77777777">
      <w:pPr>
        <w:pStyle w:val="ExhibitText"/>
        <w:outlineLvl w:val="1"/>
        <w:rPr>
          <w:b/>
          <w:bCs/>
          <w:u w:val="single"/>
        </w:rPr>
      </w:pPr>
      <w:bookmarkStart w:name="_Toc344295558" w:id="4"/>
      <w:r w:rsidRPr="005305CD">
        <w:rPr>
          <w:b/>
          <w:sz w:val="22"/>
          <w:szCs w:val="22"/>
        </w:rPr>
        <w:lastRenderedPageBreak/>
        <w:t>A.2</w:t>
      </w:r>
      <w:r w:rsidRPr="005305CD">
        <w:rPr>
          <w:b/>
          <w:sz w:val="22"/>
          <w:szCs w:val="22"/>
        </w:rPr>
        <w:tab/>
        <w:t>PURPOSE AND USE OF INFORMATION COLLECTED</w:t>
      </w:r>
      <w:bookmarkEnd w:id="4"/>
    </w:p>
    <w:p w:rsidRPr="003C2899" w:rsidR="000F07C2" w:rsidP="00EB104F" w:rsidRDefault="000F07C2" w14:paraId="2A4566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EC5246" w:rsidP="00EB104F" w:rsidRDefault="00FA757C" w14:paraId="107250D3" w14:textId="0262DC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FA757C">
        <w:rPr>
          <w:sz w:val="22"/>
          <w:szCs w:val="22"/>
        </w:rPr>
        <w:t xml:space="preserve">The primary purpose </w:t>
      </w:r>
      <w:r w:rsidR="00C621C6">
        <w:rPr>
          <w:sz w:val="22"/>
          <w:szCs w:val="22"/>
        </w:rPr>
        <w:t>of</w:t>
      </w:r>
      <w:r w:rsidRPr="00FA757C" w:rsidR="00C621C6">
        <w:rPr>
          <w:sz w:val="22"/>
          <w:szCs w:val="22"/>
        </w:rPr>
        <w:t xml:space="preserve"> </w:t>
      </w:r>
      <w:r w:rsidRPr="00FA757C">
        <w:rPr>
          <w:sz w:val="22"/>
          <w:szCs w:val="22"/>
        </w:rPr>
        <w:t xml:space="preserve">this data collection is to obtain data that can be used to establish the reliability of data collected by </w:t>
      </w:r>
      <w:r w:rsidR="00E56377">
        <w:rPr>
          <w:sz w:val="22"/>
          <w:szCs w:val="22"/>
        </w:rPr>
        <w:t>YRBS</w:t>
      </w:r>
      <w:r w:rsidRPr="00FA757C">
        <w:rPr>
          <w:sz w:val="22"/>
          <w:szCs w:val="22"/>
        </w:rPr>
        <w:t>.</w:t>
      </w:r>
      <w:r w:rsidR="00AD26EB">
        <w:rPr>
          <w:sz w:val="22"/>
          <w:szCs w:val="22"/>
        </w:rPr>
        <w:t xml:space="preserve"> </w:t>
      </w:r>
      <w:r w:rsidRPr="00FA757C">
        <w:rPr>
          <w:sz w:val="22"/>
          <w:szCs w:val="22"/>
        </w:rPr>
        <w:t xml:space="preserve">The data will be used by </w:t>
      </w:r>
      <w:r w:rsidR="003A2298">
        <w:rPr>
          <w:sz w:val="22"/>
          <w:szCs w:val="22"/>
        </w:rPr>
        <w:t xml:space="preserve">the </w:t>
      </w:r>
      <w:r w:rsidR="00762C02">
        <w:rPr>
          <w:sz w:val="22"/>
          <w:szCs w:val="22"/>
        </w:rPr>
        <w:t>CDC</w:t>
      </w:r>
      <w:r w:rsidRPr="00FA757C" w:rsidR="003A2298">
        <w:rPr>
          <w:sz w:val="22"/>
          <w:szCs w:val="22"/>
        </w:rPr>
        <w:t xml:space="preserve"> </w:t>
      </w:r>
      <w:r w:rsidRPr="00FA757C">
        <w:rPr>
          <w:sz w:val="22"/>
          <w:szCs w:val="22"/>
        </w:rPr>
        <w:t xml:space="preserve">and analyzed for methodological purposes, rather than substantive purposes. </w:t>
      </w:r>
      <w:r w:rsidR="00EC5246">
        <w:rPr>
          <w:sz w:val="22"/>
          <w:szCs w:val="22"/>
        </w:rPr>
        <w:t xml:space="preserve">Test-retest reliability will be assessed in two ways. First, the extent of the agreement between Time 1 and Time 2 responses will be calculated. Second, prevalence estimates obtained at Time 1 will be compared to those obtained at Time 2. Together, these analyses will provide information about the quality of each item in </w:t>
      </w:r>
      <w:r w:rsidR="00E56377">
        <w:rPr>
          <w:sz w:val="22"/>
          <w:szCs w:val="22"/>
        </w:rPr>
        <w:t>the YRBS questionnaire.</w:t>
      </w:r>
    </w:p>
    <w:p w:rsidR="00EC5246" w:rsidP="00EB104F" w:rsidRDefault="00EC5246" w14:paraId="10F9B1B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711D9C" w:rsidP="00EB104F" w:rsidRDefault="00B54D6C" w14:paraId="7DC33239" w14:textId="399F914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 xml:space="preserve">The results of the </w:t>
      </w:r>
      <w:r w:rsidR="005410EF">
        <w:rPr>
          <w:sz w:val="22"/>
          <w:szCs w:val="22"/>
        </w:rPr>
        <w:t xml:space="preserve">National </w:t>
      </w:r>
      <w:r w:rsidR="00246379">
        <w:rPr>
          <w:sz w:val="22"/>
          <w:szCs w:val="22"/>
        </w:rPr>
        <w:t xml:space="preserve">YRBS </w:t>
      </w:r>
      <w:r w:rsidR="00711D9C">
        <w:rPr>
          <w:sz w:val="22"/>
          <w:szCs w:val="22"/>
        </w:rPr>
        <w:t>T</w:t>
      </w:r>
      <w:r>
        <w:rPr>
          <w:sz w:val="22"/>
          <w:szCs w:val="22"/>
        </w:rPr>
        <w:t>est-</w:t>
      </w:r>
      <w:r w:rsidR="00711D9C">
        <w:rPr>
          <w:sz w:val="22"/>
          <w:szCs w:val="22"/>
        </w:rPr>
        <w:t>R</w:t>
      </w:r>
      <w:r>
        <w:rPr>
          <w:sz w:val="22"/>
          <w:szCs w:val="22"/>
        </w:rPr>
        <w:t xml:space="preserve">etest </w:t>
      </w:r>
      <w:r w:rsidR="00711D9C">
        <w:rPr>
          <w:sz w:val="22"/>
          <w:szCs w:val="22"/>
        </w:rPr>
        <w:t>R</w:t>
      </w:r>
      <w:r>
        <w:rPr>
          <w:sz w:val="22"/>
          <w:szCs w:val="22"/>
        </w:rPr>
        <w:t xml:space="preserve">eliability </w:t>
      </w:r>
      <w:r w:rsidR="00711D9C">
        <w:rPr>
          <w:sz w:val="22"/>
          <w:szCs w:val="22"/>
        </w:rPr>
        <w:t>S</w:t>
      </w:r>
      <w:r>
        <w:rPr>
          <w:sz w:val="22"/>
          <w:szCs w:val="22"/>
        </w:rPr>
        <w:t xml:space="preserve">tudy will be used to </w:t>
      </w:r>
      <w:r w:rsidR="00711D9C">
        <w:rPr>
          <w:sz w:val="22"/>
          <w:szCs w:val="22"/>
        </w:rPr>
        <w:t>improve</w:t>
      </w:r>
      <w:r w:rsidR="00E56377">
        <w:rPr>
          <w:sz w:val="22"/>
          <w:szCs w:val="22"/>
        </w:rPr>
        <w:t xml:space="preserve"> the questionnaire</w:t>
      </w:r>
      <w:r>
        <w:rPr>
          <w:sz w:val="22"/>
          <w:szCs w:val="22"/>
        </w:rPr>
        <w:t xml:space="preserve"> for future cycles. For example,</w:t>
      </w:r>
      <w:r w:rsidR="00711D9C">
        <w:rPr>
          <w:sz w:val="22"/>
          <w:szCs w:val="22"/>
        </w:rPr>
        <w:t xml:space="preserve"> questions that show poor reliability will be revised to clarify question wording. This will, in turn improve the quality of the data collected using the </w:t>
      </w:r>
      <w:r w:rsidR="00E56377">
        <w:rPr>
          <w:sz w:val="22"/>
          <w:szCs w:val="22"/>
        </w:rPr>
        <w:t>YRBS</w:t>
      </w:r>
      <w:r w:rsidR="00711D9C">
        <w:rPr>
          <w:sz w:val="22"/>
          <w:szCs w:val="22"/>
        </w:rPr>
        <w:t xml:space="preserve"> questionnaire. </w:t>
      </w:r>
    </w:p>
    <w:p w:rsidR="00711D9C" w:rsidP="00EB104F" w:rsidRDefault="00711D9C" w14:paraId="4B07734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21756E" w:rsidR="000C0B3C" w:rsidP="001A1C16" w:rsidRDefault="00711D9C" w14:paraId="2780DFCF" w14:textId="504BD6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sz w:val="22"/>
          <w:szCs w:val="22"/>
        </w:rPr>
      </w:pPr>
      <w:r w:rsidRPr="002E77A7">
        <w:rPr>
          <w:sz w:val="22"/>
          <w:szCs w:val="22"/>
        </w:rPr>
        <w:t xml:space="preserve">It is important for </w:t>
      </w:r>
      <w:r w:rsidRPr="002E77A7" w:rsidR="00B77813">
        <w:rPr>
          <w:sz w:val="22"/>
          <w:szCs w:val="22"/>
        </w:rPr>
        <w:t xml:space="preserve">the </w:t>
      </w:r>
      <w:r w:rsidRPr="002E77A7" w:rsidR="00E56377">
        <w:rPr>
          <w:sz w:val="22"/>
          <w:szCs w:val="22"/>
        </w:rPr>
        <w:t>YRBS</w:t>
      </w:r>
      <w:r w:rsidRPr="002E77A7">
        <w:rPr>
          <w:sz w:val="22"/>
          <w:szCs w:val="22"/>
        </w:rPr>
        <w:t xml:space="preserve"> to produce the highest quality data possible because</w:t>
      </w:r>
      <w:r w:rsidRPr="002E77A7" w:rsidR="00C42D57">
        <w:rPr>
          <w:sz w:val="22"/>
          <w:szCs w:val="22"/>
        </w:rPr>
        <w:t xml:space="preserve"> </w:t>
      </w:r>
      <w:r w:rsidR="00A41E2F">
        <w:rPr>
          <w:sz w:val="22"/>
          <w:szCs w:val="22"/>
        </w:rPr>
        <w:t xml:space="preserve">the data are used and cited so widely. </w:t>
      </w:r>
      <w:r w:rsidR="001A1C16">
        <w:rPr>
          <w:sz w:val="22"/>
          <w:szCs w:val="22"/>
        </w:rPr>
        <w:t xml:space="preserve">In addition to the uses described in Section A.1, results are disseminated through a variety of channels. </w:t>
      </w:r>
      <w:r w:rsidRPr="00D0484A" w:rsidR="000C0B3C">
        <w:rPr>
          <w:rFonts w:eastAsia="Calibri"/>
          <w:bCs/>
          <w:iCs/>
          <w:sz w:val="22"/>
          <w:szCs w:val="22"/>
        </w:rPr>
        <w:t xml:space="preserve">The YRBS results are published each cycle by </w:t>
      </w:r>
      <w:r w:rsidR="000C0B3C">
        <w:rPr>
          <w:rFonts w:eastAsia="Calibri"/>
          <w:bCs/>
          <w:iCs/>
          <w:sz w:val="22"/>
          <w:szCs w:val="22"/>
        </w:rPr>
        <w:t xml:space="preserve">the </w:t>
      </w:r>
      <w:r w:rsidR="00762C02">
        <w:rPr>
          <w:rFonts w:eastAsia="Calibri"/>
          <w:bCs/>
          <w:iCs/>
          <w:sz w:val="22"/>
          <w:szCs w:val="22"/>
        </w:rPr>
        <w:t>CDC</w:t>
      </w:r>
      <w:r w:rsidRPr="00D0484A" w:rsidR="000C0B3C">
        <w:rPr>
          <w:rFonts w:eastAsia="Calibri"/>
          <w:bCs/>
          <w:iCs/>
          <w:sz w:val="22"/>
          <w:szCs w:val="22"/>
        </w:rPr>
        <w:t xml:space="preserve"> in </w:t>
      </w:r>
      <w:r w:rsidR="001A1C16">
        <w:rPr>
          <w:rFonts w:eastAsia="Calibri"/>
          <w:bCs/>
          <w:iCs/>
          <w:sz w:val="22"/>
          <w:szCs w:val="22"/>
        </w:rPr>
        <w:t xml:space="preserve">the </w:t>
      </w:r>
      <w:r w:rsidRPr="001A1C16" w:rsidR="001A1C16">
        <w:rPr>
          <w:rFonts w:eastAsia="Calibri"/>
          <w:bCs/>
          <w:i/>
          <w:iCs/>
          <w:sz w:val="22"/>
          <w:szCs w:val="22"/>
        </w:rPr>
        <w:t xml:space="preserve">Morbidity and Mortality Weekly Report, </w:t>
      </w:r>
      <w:r w:rsidRPr="001A1C16" w:rsidR="001A1C16">
        <w:rPr>
          <w:rFonts w:eastAsia="Calibri"/>
          <w:bCs/>
          <w:sz w:val="22"/>
          <w:szCs w:val="22"/>
        </w:rPr>
        <w:t>CDC’s flagship publication</w:t>
      </w:r>
      <w:r w:rsidRPr="00D0484A" w:rsidR="000C0B3C">
        <w:rPr>
          <w:rFonts w:eastAsia="Calibri"/>
          <w:bCs/>
          <w:iCs/>
          <w:sz w:val="22"/>
          <w:szCs w:val="22"/>
        </w:rPr>
        <w:t>.</w:t>
      </w:r>
      <w:r w:rsidR="000C0B3C">
        <w:rPr>
          <w:rFonts w:eastAsia="Calibri"/>
          <w:bCs/>
          <w:iCs/>
          <w:sz w:val="22"/>
          <w:szCs w:val="22"/>
        </w:rPr>
        <w:t xml:space="preserve"> </w:t>
      </w:r>
      <w:r w:rsidRPr="00D0484A" w:rsidR="000C0B3C">
        <w:rPr>
          <w:rFonts w:eastAsia="Calibri"/>
          <w:bCs/>
          <w:iCs/>
          <w:sz w:val="22"/>
          <w:szCs w:val="22"/>
        </w:rPr>
        <w:t xml:space="preserve">YRBS results </w:t>
      </w:r>
      <w:r w:rsidR="001A1C16">
        <w:rPr>
          <w:rFonts w:eastAsia="Calibri"/>
          <w:bCs/>
          <w:iCs/>
          <w:sz w:val="22"/>
          <w:szCs w:val="22"/>
        </w:rPr>
        <w:t xml:space="preserve">also </w:t>
      </w:r>
      <w:r w:rsidRPr="00D0484A" w:rsidR="000C0B3C">
        <w:rPr>
          <w:rFonts w:eastAsia="Calibri"/>
          <w:bCs/>
          <w:iCs/>
          <w:sz w:val="22"/>
          <w:szCs w:val="22"/>
        </w:rPr>
        <w:t>are available through Youth Online, an interactive online query system</w:t>
      </w:r>
      <w:r w:rsidRPr="0050557C" w:rsidR="000C0B3C">
        <w:rPr>
          <w:rFonts w:eastAsia="Calibri"/>
          <w:bCs/>
          <w:iCs/>
          <w:sz w:val="22"/>
          <w:szCs w:val="22"/>
        </w:rPr>
        <w:t>.</w:t>
      </w:r>
      <w:r w:rsidR="000C0B3C">
        <w:rPr>
          <w:rFonts w:eastAsia="Calibri"/>
          <w:bCs/>
          <w:iCs/>
          <w:sz w:val="22"/>
          <w:szCs w:val="22"/>
        </w:rPr>
        <w:t xml:space="preserve"> </w:t>
      </w:r>
      <w:r w:rsidRPr="00D0484A" w:rsidR="000C0B3C">
        <w:rPr>
          <w:rFonts w:eastAsia="Calibri"/>
          <w:bCs/>
          <w:iCs/>
          <w:sz w:val="22"/>
          <w:szCs w:val="22"/>
        </w:rPr>
        <w:t>YRBS results are regularly made available to the public through a variety of peer-reviewed journals, major media publications, and through the annual conferences of several national organizations.</w:t>
      </w:r>
    </w:p>
    <w:p w:rsidR="000C0B3C" w:rsidP="00EB104F" w:rsidRDefault="000C0B3C" w14:paraId="662BF6E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EB104F" w:rsidP="002E0C8A" w:rsidRDefault="00EB104F" w14:paraId="12E971FE" w14:textId="5B168D21">
      <w:pPr>
        <w:widowControl/>
        <w:autoSpaceDE/>
        <w:autoSpaceDN/>
        <w:adjustRightInd/>
        <w:rPr>
          <w:b/>
          <w:sz w:val="22"/>
          <w:szCs w:val="22"/>
        </w:rPr>
      </w:pPr>
      <w:bookmarkStart w:name="_Toc344295564" w:id="5"/>
      <w:r w:rsidRPr="00957D8A">
        <w:rPr>
          <w:b/>
          <w:sz w:val="22"/>
          <w:szCs w:val="22"/>
        </w:rPr>
        <w:t>A.3</w:t>
      </w:r>
      <w:r w:rsidRPr="00957D8A">
        <w:rPr>
          <w:b/>
          <w:sz w:val="22"/>
          <w:szCs w:val="22"/>
        </w:rPr>
        <w:tab/>
        <w:t>USE OF IMPROVED INFORMATION TECHNOLOGY AND BURDEN REDUCTION</w:t>
      </w:r>
      <w:bookmarkEnd w:id="5"/>
    </w:p>
    <w:p w:rsidRPr="006E7FD1" w:rsidR="00410304" w:rsidP="00957D8A" w:rsidRDefault="00410304" w14:paraId="20C6D971" w14:textId="77777777">
      <w:pPr>
        <w:pStyle w:val="ExhibitText"/>
        <w:outlineLvl w:val="1"/>
        <w:rPr>
          <w:rFonts w:ascii="Times New Roman" w:hAnsi="Times New Roman" w:eastAsia="Times New Roman" w:cs="Times New Roman"/>
          <w:color w:val="auto"/>
          <w:sz w:val="22"/>
          <w:szCs w:val="22"/>
          <w:lang w:eastAsia="en-US"/>
        </w:rPr>
      </w:pPr>
    </w:p>
    <w:p w:rsidR="009828C0" w:rsidP="009828C0" w:rsidRDefault="00FA757C" w14:paraId="0790986C" w14:textId="42348D00">
      <w:pPr>
        <w:widowControl/>
        <w:rPr>
          <w:sz w:val="22"/>
          <w:szCs w:val="22"/>
        </w:rPr>
      </w:pPr>
      <w:r w:rsidRPr="006E7FD1">
        <w:rPr>
          <w:sz w:val="22"/>
          <w:szCs w:val="22"/>
        </w:rPr>
        <w:t xml:space="preserve">The </w:t>
      </w:r>
      <w:r w:rsidR="007E4461">
        <w:rPr>
          <w:sz w:val="22"/>
          <w:szCs w:val="22"/>
        </w:rPr>
        <w:t xml:space="preserve">National </w:t>
      </w:r>
      <w:r w:rsidR="00E56377">
        <w:rPr>
          <w:sz w:val="22"/>
          <w:szCs w:val="22"/>
        </w:rPr>
        <w:t>YRBS</w:t>
      </w:r>
      <w:r w:rsidRPr="006E7FD1">
        <w:rPr>
          <w:sz w:val="22"/>
          <w:szCs w:val="22"/>
        </w:rPr>
        <w:t xml:space="preserve"> </w:t>
      </w:r>
      <w:r w:rsidR="005A0D6D">
        <w:rPr>
          <w:sz w:val="22"/>
          <w:szCs w:val="22"/>
        </w:rPr>
        <w:t xml:space="preserve">Test-Retest </w:t>
      </w:r>
      <w:r w:rsidRPr="006E7FD1">
        <w:rPr>
          <w:sz w:val="22"/>
          <w:szCs w:val="22"/>
        </w:rPr>
        <w:t xml:space="preserve">Reliability Study will employ the same </w:t>
      </w:r>
      <w:r w:rsidRPr="006E7FD1" w:rsidR="006E7FD1">
        <w:rPr>
          <w:sz w:val="22"/>
          <w:szCs w:val="22"/>
        </w:rPr>
        <w:t xml:space="preserve">data collection </w:t>
      </w:r>
      <w:r w:rsidRPr="006E7FD1">
        <w:rPr>
          <w:sz w:val="22"/>
          <w:szCs w:val="22"/>
        </w:rPr>
        <w:t xml:space="preserve">procedures currently used in </w:t>
      </w:r>
      <w:r w:rsidR="00E56377">
        <w:rPr>
          <w:sz w:val="22"/>
          <w:szCs w:val="22"/>
        </w:rPr>
        <w:t>the national</w:t>
      </w:r>
      <w:r w:rsidRPr="006E7FD1">
        <w:rPr>
          <w:sz w:val="22"/>
          <w:szCs w:val="22"/>
        </w:rPr>
        <w:t xml:space="preserve"> implementations of the </w:t>
      </w:r>
      <w:r w:rsidR="00E56377">
        <w:rPr>
          <w:sz w:val="22"/>
          <w:szCs w:val="22"/>
        </w:rPr>
        <w:t>YRBS</w:t>
      </w:r>
      <w:r w:rsidRPr="006E7FD1">
        <w:rPr>
          <w:sz w:val="22"/>
          <w:szCs w:val="22"/>
        </w:rPr>
        <w:t xml:space="preserve"> </w:t>
      </w:r>
      <w:r w:rsidRPr="006E7FD1" w:rsidR="006E7FD1">
        <w:rPr>
          <w:sz w:val="22"/>
          <w:szCs w:val="22"/>
        </w:rPr>
        <w:t xml:space="preserve">to </w:t>
      </w:r>
      <w:r w:rsidR="006E7FD1">
        <w:rPr>
          <w:sz w:val="22"/>
          <w:szCs w:val="22"/>
        </w:rPr>
        <w:t xml:space="preserve">ensure that the data collected for the test-retest study are comparable to data collected during actual </w:t>
      </w:r>
      <w:r w:rsidR="00E56377">
        <w:rPr>
          <w:sz w:val="22"/>
          <w:szCs w:val="22"/>
        </w:rPr>
        <w:t>YRBS</w:t>
      </w:r>
      <w:r w:rsidR="006E7FD1">
        <w:rPr>
          <w:sz w:val="22"/>
          <w:szCs w:val="22"/>
        </w:rPr>
        <w:t xml:space="preserve"> data collection</w:t>
      </w:r>
      <w:r w:rsidRPr="006E7FD1">
        <w:rPr>
          <w:sz w:val="22"/>
          <w:szCs w:val="22"/>
        </w:rPr>
        <w:t>.</w:t>
      </w:r>
      <w:r w:rsidRPr="00F55AF7">
        <w:rPr>
          <w:sz w:val="22"/>
          <w:szCs w:val="22"/>
        </w:rPr>
        <w:t xml:space="preserve"> </w:t>
      </w:r>
      <w:r w:rsidR="00F7403C">
        <w:rPr>
          <w:sz w:val="22"/>
          <w:szCs w:val="22"/>
        </w:rPr>
        <w:t xml:space="preserve">The national YRBS </w:t>
      </w:r>
      <w:r w:rsidR="006E7FD1">
        <w:rPr>
          <w:sz w:val="22"/>
          <w:szCs w:val="22"/>
        </w:rPr>
        <w:t xml:space="preserve">currently </w:t>
      </w:r>
      <w:r w:rsidR="00F7403C">
        <w:rPr>
          <w:sz w:val="22"/>
          <w:szCs w:val="22"/>
        </w:rPr>
        <w:t>uses paper-and-pencil questionnaire booklets to administer the survey</w:t>
      </w:r>
      <w:r w:rsidR="009828C0">
        <w:rPr>
          <w:sz w:val="22"/>
          <w:szCs w:val="22"/>
        </w:rPr>
        <w:t>.</w:t>
      </w:r>
      <w:r w:rsidR="007061E8">
        <w:rPr>
          <w:sz w:val="22"/>
          <w:szCs w:val="22"/>
        </w:rPr>
        <w:t xml:space="preserve"> </w:t>
      </w:r>
    </w:p>
    <w:p w:rsidRPr="00F55AF7" w:rsidR="009828C0" w:rsidP="009828C0" w:rsidRDefault="009828C0" w14:paraId="51342EF1" w14:textId="77777777">
      <w:pPr>
        <w:widowControl/>
        <w:rPr>
          <w:sz w:val="22"/>
          <w:szCs w:val="22"/>
        </w:rPr>
      </w:pPr>
    </w:p>
    <w:p w:rsidR="00EB104F" w:rsidP="006D6B92" w:rsidRDefault="00EB104F" w14:paraId="278E87E7" w14:textId="77777777">
      <w:pPr>
        <w:pStyle w:val="ExhibitText"/>
        <w:outlineLvl w:val="1"/>
        <w:rPr>
          <w:b/>
          <w:sz w:val="22"/>
          <w:szCs w:val="22"/>
        </w:rPr>
      </w:pPr>
      <w:bookmarkStart w:name="_Toc344295565" w:id="6"/>
      <w:r w:rsidRPr="006D6B92">
        <w:rPr>
          <w:b/>
          <w:sz w:val="22"/>
          <w:szCs w:val="22"/>
        </w:rPr>
        <w:t>A.4</w:t>
      </w:r>
      <w:r w:rsidRPr="006D6B92">
        <w:rPr>
          <w:b/>
          <w:sz w:val="22"/>
          <w:szCs w:val="22"/>
        </w:rPr>
        <w:tab/>
        <w:t>EFFORTS TO IDENTIFY DUPLICATION AND USE OF SIMILAR INFORMATION</w:t>
      </w:r>
      <w:bookmarkEnd w:id="6"/>
    </w:p>
    <w:p w:rsidR="00B41B1A" w:rsidP="006D6B92" w:rsidRDefault="00B41B1A" w14:paraId="22007CEA" w14:textId="77777777">
      <w:pPr>
        <w:pStyle w:val="ExhibitText"/>
        <w:outlineLvl w:val="1"/>
        <w:rPr>
          <w:b/>
          <w:sz w:val="22"/>
          <w:szCs w:val="22"/>
        </w:rPr>
      </w:pPr>
    </w:p>
    <w:p w:rsidRPr="00410304" w:rsidR="00B41B1A" w:rsidP="006D6B92" w:rsidRDefault="00410304" w14:paraId="07C4E83D" w14:textId="63CD6582">
      <w:pPr>
        <w:pStyle w:val="ExhibitText"/>
        <w:outlineLvl w:val="1"/>
        <w:rPr>
          <w:rFonts w:ascii="Times New Roman" w:hAnsi="Times New Roman" w:eastAsia="Times New Roman" w:cs="Times New Roman"/>
          <w:color w:val="auto"/>
          <w:sz w:val="22"/>
          <w:szCs w:val="22"/>
          <w:lang w:eastAsia="en-US"/>
        </w:rPr>
      </w:pPr>
      <w:r w:rsidRPr="00410304">
        <w:rPr>
          <w:rFonts w:ascii="Times New Roman" w:hAnsi="Times New Roman" w:eastAsia="Times New Roman" w:cs="Times New Roman"/>
          <w:color w:val="auto"/>
          <w:sz w:val="22"/>
          <w:szCs w:val="22"/>
          <w:lang w:eastAsia="en-US"/>
        </w:rPr>
        <w:t xml:space="preserve">Implementing a test-retest </w:t>
      </w:r>
      <w:r w:rsidR="00FA3071">
        <w:rPr>
          <w:rFonts w:ascii="Times New Roman" w:hAnsi="Times New Roman" w:eastAsia="Times New Roman" w:cs="Times New Roman"/>
          <w:color w:val="auto"/>
          <w:sz w:val="22"/>
          <w:szCs w:val="22"/>
          <w:lang w:eastAsia="en-US"/>
        </w:rPr>
        <w:t>reliability</w:t>
      </w:r>
      <w:r w:rsidR="00BD0E1A">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 xml:space="preserve">study is the only current means of collecting the data needed to test the reliability of the </w:t>
      </w:r>
      <w:r w:rsidR="00353C65">
        <w:rPr>
          <w:rFonts w:ascii="Times New Roman" w:hAnsi="Times New Roman" w:eastAsia="Times New Roman" w:cs="Times New Roman"/>
          <w:color w:val="auto"/>
          <w:sz w:val="22"/>
          <w:szCs w:val="22"/>
          <w:lang w:eastAsia="en-US"/>
        </w:rPr>
        <w:t>YRBS questionnaire</w:t>
      </w:r>
      <w:r w:rsidRPr="00410304">
        <w:rPr>
          <w:rFonts w:ascii="Times New Roman" w:hAnsi="Times New Roman" w:eastAsia="Times New Roman" w:cs="Times New Roman"/>
          <w:color w:val="auto"/>
          <w:sz w:val="22"/>
          <w:szCs w:val="22"/>
          <w:lang w:eastAsia="en-US"/>
        </w:rPr>
        <w:t xml:space="preserve"> items. </w:t>
      </w:r>
      <w:r w:rsidR="00E75158">
        <w:rPr>
          <w:rFonts w:ascii="Times New Roman" w:hAnsi="Times New Roman" w:eastAsia="Times New Roman" w:cs="Times New Roman"/>
          <w:color w:val="auto"/>
          <w:sz w:val="22"/>
          <w:szCs w:val="22"/>
          <w:lang w:eastAsia="en-US"/>
        </w:rPr>
        <w:t xml:space="preserve">Although the </w:t>
      </w:r>
      <w:r w:rsidR="00353C65">
        <w:rPr>
          <w:rFonts w:ascii="Times New Roman" w:hAnsi="Times New Roman" w:eastAsia="Times New Roman" w:cs="Times New Roman"/>
          <w:color w:val="auto"/>
          <w:sz w:val="22"/>
          <w:szCs w:val="22"/>
          <w:lang w:eastAsia="en-US"/>
        </w:rPr>
        <w:t xml:space="preserve">YRBS </w:t>
      </w:r>
      <w:r w:rsidR="0086243D">
        <w:rPr>
          <w:rFonts w:ascii="Times New Roman" w:hAnsi="Times New Roman" w:eastAsia="Times New Roman" w:cs="Times New Roman"/>
          <w:color w:val="auto"/>
          <w:sz w:val="22"/>
          <w:szCs w:val="22"/>
          <w:lang w:eastAsia="en-US"/>
        </w:rPr>
        <w:t>is</w:t>
      </w:r>
      <w:r w:rsidR="00E75158">
        <w:rPr>
          <w:rFonts w:ascii="Times New Roman" w:hAnsi="Times New Roman" w:eastAsia="Times New Roman" w:cs="Times New Roman"/>
          <w:color w:val="auto"/>
          <w:sz w:val="22"/>
          <w:szCs w:val="22"/>
          <w:lang w:eastAsia="en-US"/>
        </w:rPr>
        <w:t xml:space="preserve"> </w:t>
      </w:r>
      <w:r w:rsidR="0078196C">
        <w:rPr>
          <w:rFonts w:ascii="Times New Roman" w:hAnsi="Times New Roman" w:eastAsia="Times New Roman" w:cs="Times New Roman"/>
          <w:color w:val="auto"/>
          <w:sz w:val="22"/>
          <w:szCs w:val="22"/>
          <w:lang w:eastAsia="en-US"/>
        </w:rPr>
        <w:t xml:space="preserve">administered </w:t>
      </w:r>
      <w:r w:rsidR="00E75158">
        <w:rPr>
          <w:rFonts w:ascii="Times New Roman" w:hAnsi="Times New Roman" w:eastAsia="Times New Roman" w:cs="Times New Roman"/>
          <w:color w:val="auto"/>
          <w:sz w:val="22"/>
          <w:szCs w:val="22"/>
          <w:lang w:eastAsia="en-US"/>
        </w:rPr>
        <w:t xml:space="preserve">biennially by </w:t>
      </w:r>
      <w:bookmarkStart w:name="_Hlk26968484" w:id="7"/>
      <w:r w:rsidR="00BD0E1A">
        <w:rPr>
          <w:rFonts w:ascii="Times New Roman" w:hAnsi="Times New Roman" w:eastAsia="Times New Roman" w:cs="Times New Roman"/>
          <w:color w:val="auto"/>
          <w:sz w:val="22"/>
          <w:szCs w:val="22"/>
          <w:lang w:eastAsia="en-US"/>
        </w:rPr>
        <w:t>state,</w:t>
      </w:r>
      <w:r w:rsidR="00581DBC">
        <w:rPr>
          <w:rFonts w:ascii="Times New Roman" w:hAnsi="Times New Roman" w:eastAsia="Times New Roman" w:cs="Times New Roman"/>
          <w:color w:val="auto"/>
          <w:sz w:val="22"/>
          <w:szCs w:val="22"/>
          <w:lang w:eastAsia="en-US"/>
        </w:rPr>
        <w:t xml:space="preserve"> </w:t>
      </w:r>
      <w:r w:rsidR="00BD0E1A">
        <w:rPr>
          <w:rFonts w:ascii="Times New Roman" w:hAnsi="Times New Roman" w:eastAsia="Times New Roman" w:cs="Times New Roman"/>
          <w:color w:val="auto"/>
          <w:sz w:val="22"/>
          <w:szCs w:val="22"/>
          <w:lang w:eastAsia="en-US"/>
        </w:rPr>
        <w:t xml:space="preserve">territorial, tribal, and </w:t>
      </w:r>
      <w:r w:rsidR="00581DBC">
        <w:rPr>
          <w:rFonts w:ascii="Times New Roman" w:hAnsi="Times New Roman" w:eastAsia="Times New Roman" w:cs="Times New Roman"/>
          <w:color w:val="auto"/>
          <w:sz w:val="22"/>
          <w:szCs w:val="22"/>
          <w:lang w:eastAsia="en-US"/>
        </w:rPr>
        <w:t xml:space="preserve">large urban school district </w:t>
      </w:r>
      <w:bookmarkEnd w:id="7"/>
      <w:r w:rsidR="00BD0E1A">
        <w:rPr>
          <w:rFonts w:ascii="Times New Roman" w:hAnsi="Times New Roman" w:eastAsia="Times New Roman" w:cs="Times New Roman"/>
          <w:color w:val="auto"/>
          <w:sz w:val="22"/>
          <w:szCs w:val="22"/>
          <w:lang w:eastAsia="en-US"/>
        </w:rPr>
        <w:t xml:space="preserve">education </w:t>
      </w:r>
      <w:r w:rsidR="00581DBC">
        <w:rPr>
          <w:rFonts w:ascii="Times New Roman" w:hAnsi="Times New Roman" w:eastAsia="Times New Roman" w:cs="Times New Roman"/>
          <w:color w:val="auto"/>
          <w:sz w:val="22"/>
          <w:szCs w:val="22"/>
          <w:lang w:eastAsia="en-US"/>
        </w:rPr>
        <w:t xml:space="preserve">and health </w:t>
      </w:r>
      <w:r w:rsidR="00BD0E1A">
        <w:rPr>
          <w:rFonts w:ascii="Times New Roman" w:hAnsi="Times New Roman" w:eastAsia="Times New Roman" w:cs="Times New Roman"/>
          <w:color w:val="auto"/>
          <w:sz w:val="22"/>
          <w:szCs w:val="22"/>
          <w:lang w:eastAsia="en-US"/>
        </w:rPr>
        <w:t>agencies</w:t>
      </w:r>
      <w:r w:rsidR="00E75158">
        <w:rPr>
          <w:rFonts w:ascii="Times New Roman" w:hAnsi="Times New Roman" w:eastAsia="Times New Roman" w:cs="Times New Roman"/>
          <w:color w:val="auto"/>
          <w:sz w:val="22"/>
          <w:szCs w:val="22"/>
          <w:lang w:eastAsia="en-US"/>
        </w:rPr>
        <w:t>, a test-retest reliability study requires two controlled administrations of an identical instrument over a short period of time to the same respondents.</w:t>
      </w:r>
      <w:r w:rsidR="00AD26EB">
        <w:rPr>
          <w:rFonts w:ascii="Times New Roman" w:hAnsi="Times New Roman" w:eastAsia="Times New Roman" w:cs="Times New Roman"/>
          <w:color w:val="auto"/>
          <w:sz w:val="22"/>
          <w:szCs w:val="22"/>
          <w:lang w:eastAsia="en-US"/>
        </w:rPr>
        <w:t xml:space="preserve"> </w:t>
      </w:r>
      <w:r w:rsidR="00E75158">
        <w:rPr>
          <w:rFonts w:ascii="Times New Roman" w:hAnsi="Times New Roman" w:eastAsia="Times New Roman" w:cs="Times New Roman"/>
          <w:color w:val="auto"/>
          <w:sz w:val="22"/>
          <w:szCs w:val="22"/>
          <w:lang w:eastAsia="en-US"/>
        </w:rPr>
        <w:t>For this reason, a separate study including two survey administrations is necessary.</w:t>
      </w:r>
      <w:r w:rsidR="00AD26EB">
        <w:rPr>
          <w:rFonts w:ascii="Times New Roman" w:hAnsi="Times New Roman" w:eastAsia="Times New Roman" w:cs="Times New Roman"/>
          <w:color w:val="auto"/>
          <w:sz w:val="22"/>
          <w:szCs w:val="22"/>
          <w:lang w:eastAsia="en-US"/>
        </w:rPr>
        <w:t xml:space="preserve"> </w:t>
      </w:r>
      <w:r w:rsidRPr="006E7FD1" w:rsidR="006E7FD1">
        <w:rPr>
          <w:rFonts w:ascii="Times New Roman" w:hAnsi="Times New Roman" w:eastAsia="Times New Roman" w:cs="Times New Roman"/>
          <w:color w:val="auto"/>
          <w:sz w:val="22"/>
          <w:szCs w:val="22"/>
          <w:lang w:eastAsia="en-US"/>
        </w:rPr>
        <w:t>To reduce the burden on schools, schools that were selected for the 202</w:t>
      </w:r>
      <w:r w:rsidR="00353C65">
        <w:rPr>
          <w:rFonts w:ascii="Times New Roman" w:hAnsi="Times New Roman" w:eastAsia="Times New Roman" w:cs="Times New Roman"/>
          <w:color w:val="auto"/>
          <w:sz w:val="22"/>
          <w:szCs w:val="22"/>
          <w:lang w:eastAsia="en-US"/>
        </w:rPr>
        <w:t>1</w:t>
      </w:r>
      <w:r w:rsidRPr="006E7FD1" w:rsidR="006E7FD1">
        <w:rPr>
          <w:rFonts w:ascii="Times New Roman" w:hAnsi="Times New Roman" w:eastAsia="Times New Roman" w:cs="Times New Roman"/>
          <w:color w:val="auto"/>
          <w:sz w:val="22"/>
          <w:szCs w:val="22"/>
          <w:lang w:eastAsia="en-US"/>
        </w:rPr>
        <w:t xml:space="preserve"> </w:t>
      </w:r>
      <w:r w:rsidR="00353C65">
        <w:rPr>
          <w:rFonts w:ascii="Times New Roman" w:hAnsi="Times New Roman" w:eastAsia="Times New Roman" w:cs="Times New Roman"/>
          <w:color w:val="auto"/>
          <w:sz w:val="22"/>
          <w:szCs w:val="22"/>
          <w:lang w:eastAsia="en-US"/>
        </w:rPr>
        <w:t>YRBS</w:t>
      </w:r>
      <w:r w:rsidRPr="006E7FD1" w:rsidR="00353C65">
        <w:rPr>
          <w:rFonts w:ascii="Times New Roman" w:hAnsi="Times New Roman" w:eastAsia="Times New Roman" w:cs="Times New Roman"/>
          <w:color w:val="auto"/>
          <w:sz w:val="22"/>
          <w:szCs w:val="22"/>
          <w:lang w:eastAsia="en-US"/>
        </w:rPr>
        <w:t xml:space="preserve"> </w:t>
      </w:r>
      <w:r w:rsidRPr="006E7FD1" w:rsidR="006E7FD1">
        <w:rPr>
          <w:rFonts w:ascii="Times New Roman" w:hAnsi="Times New Roman" w:eastAsia="Times New Roman" w:cs="Times New Roman"/>
          <w:color w:val="auto"/>
          <w:sz w:val="22"/>
          <w:szCs w:val="22"/>
          <w:lang w:eastAsia="en-US"/>
        </w:rPr>
        <w:t>samples</w:t>
      </w:r>
      <w:r w:rsidR="006E7FD1">
        <w:rPr>
          <w:rFonts w:ascii="Times New Roman" w:hAnsi="Times New Roman" w:eastAsia="Times New Roman" w:cs="Times New Roman"/>
          <w:color w:val="auto"/>
          <w:sz w:val="22"/>
          <w:szCs w:val="22"/>
          <w:lang w:eastAsia="en-US"/>
        </w:rPr>
        <w:t xml:space="preserve"> </w:t>
      </w:r>
      <w:r w:rsidR="002A0EC0">
        <w:rPr>
          <w:rFonts w:ascii="Times New Roman" w:hAnsi="Times New Roman" w:eastAsia="Times New Roman" w:cs="Times New Roman"/>
          <w:color w:val="auto"/>
          <w:sz w:val="22"/>
          <w:szCs w:val="22"/>
          <w:lang w:eastAsia="en-US"/>
        </w:rPr>
        <w:t xml:space="preserve">will be excluded </w:t>
      </w:r>
      <w:r w:rsidR="006E7FD1">
        <w:rPr>
          <w:rFonts w:ascii="Times New Roman" w:hAnsi="Times New Roman" w:eastAsia="Times New Roman" w:cs="Times New Roman"/>
          <w:color w:val="auto"/>
          <w:sz w:val="22"/>
          <w:szCs w:val="22"/>
          <w:lang w:eastAsia="en-US"/>
        </w:rPr>
        <w:t>from the sample used for the test-retest reliability study</w:t>
      </w:r>
      <w:r w:rsidRPr="006E7FD1" w:rsidR="006E7FD1">
        <w:rPr>
          <w:rFonts w:ascii="Times New Roman" w:hAnsi="Times New Roman" w:eastAsia="Times New Roman" w:cs="Times New Roman"/>
          <w:color w:val="auto"/>
          <w:sz w:val="22"/>
          <w:szCs w:val="22"/>
          <w:lang w:eastAsia="en-US"/>
        </w:rPr>
        <w:t>.</w:t>
      </w:r>
      <w:r w:rsidR="00AD26EB">
        <w:rPr>
          <w:rFonts w:ascii="Times New Roman" w:hAnsi="Times New Roman" w:eastAsia="Times New Roman" w:cs="Times New Roman"/>
          <w:color w:val="auto"/>
          <w:sz w:val="22"/>
          <w:szCs w:val="22"/>
          <w:lang w:eastAsia="en-US"/>
        </w:rPr>
        <w:t xml:space="preserve"> </w:t>
      </w:r>
    </w:p>
    <w:p w:rsidR="00EB104F" w:rsidP="00EB104F" w:rsidRDefault="00EB104F" w14:paraId="280E2D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P="0029780B" w:rsidRDefault="00EB104F" w14:paraId="42FCE993" w14:textId="77777777">
      <w:pPr>
        <w:pStyle w:val="ExhibitText"/>
        <w:outlineLvl w:val="1"/>
        <w:rPr>
          <w:rFonts w:ascii="Times New Roman TUR" w:hAnsi="Times New Roman TUR" w:cs="Times New Roman TUR"/>
          <w:b/>
          <w:bCs/>
        </w:rPr>
      </w:pPr>
      <w:bookmarkStart w:name="_Toc344295566" w:id="8"/>
      <w:r w:rsidRPr="0029780B">
        <w:rPr>
          <w:b/>
          <w:sz w:val="22"/>
          <w:szCs w:val="22"/>
        </w:rPr>
        <w:t>A.5</w:t>
      </w:r>
      <w:r w:rsidRPr="0029780B">
        <w:rPr>
          <w:b/>
          <w:sz w:val="22"/>
          <w:szCs w:val="22"/>
        </w:rPr>
        <w:tab/>
        <w:t>IMPACT ON SMALL BUSINESSES OR OTHER SMALL ENTITIES</w:t>
      </w:r>
      <w:bookmarkEnd w:id="8"/>
    </w:p>
    <w:p w:rsidRPr="003C2899" w:rsidR="00EB104F" w:rsidP="00EB104F" w:rsidRDefault="00EB104F" w14:paraId="7B997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3C2899" w:rsidR="00EB104F" w:rsidP="00AC2BCA" w:rsidRDefault="00EB104F" w14:paraId="4A8F17E7" w14:textId="3896DE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3C2899">
        <w:rPr>
          <w:rFonts w:ascii="Times New Roman TUR" w:hAnsi="Times New Roman TUR" w:cs="Times New Roman TUR"/>
          <w:sz w:val="22"/>
          <w:szCs w:val="22"/>
        </w:rPr>
        <w:t xml:space="preserve">No small businesses will be involved in this </w:t>
      </w:r>
      <w:r w:rsidRPr="003C2899" w:rsidR="00B84379">
        <w:rPr>
          <w:rFonts w:ascii="Times New Roman TUR" w:hAnsi="Times New Roman TUR" w:cs="Times New Roman TUR"/>
          <w:sz w:val="22"/>
          <w:szCs w:val="22"/>
        </w:rPr>
        <w:t>data collection</w:t>
      </w:r>
      <w:r w:rsidRPr="003C2899">
        <w:rPr>
          <w:rFonts w:ascii="Times New Roman TUR" w:hAnsi="Times New Roman TUR" w:cs="Times New Roman TUR"/>
          <w:sz w:val="22"/>
          <w:szCs w:val="22"/>
        </w:rPr>
        <w:t>.</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Many school districts and schools have populations &lt; 50,000 people and</w:t>
      </w:r>
      <w:r w:rsidR="00380A5E">
        <w:rPr>
          <w:rFonts w:ascii="Times New Roman TUR" w:hAnsi="Times New Roman TUR" w:cs="Times New Roman TUR"/>
          <w:sz w:val="22"/>
          <w:szCs w:val="22"/>
        </w:rPr>
        <w:t>,</w:t>
      </w:r>
      <w:r w:rsidRPr="003C2899">
        <w:rPr>
          <w:rFonts w:ascii="Times New Roman TUR" w:hAnsi="Times New Roman TUR" w:cs="Times New Roman TUR"/>
          <w:sz w:val="22"/>
          <w:szCs w:val="22"/>
        </w:rPr>
        <w:t xml:space="preserve"> therefore</w:t>
      </w:r>
      <w:r w:rsidR="00380A5E">
        <w:rPr>
          <w:rFonts w:ascii="Times New Roman TUR" w:hAnsi="Times New Roman TUR" w:cs="Times New Roman TUR"/>
          <w:sz w:val="22"/>
          <w:szCs w:val="22"/>
        </w:rPr>
        <w:t>,</w:t>
      </w:r>
      <w:r w:rsidRPr="003C2899">
        <w:rPr>
          <w:rFonts w:ascii="Times New Roman TUR" w:hAnsi="Times New Roman TUR" w:cs="Times New Roman TUR"/>
          <w:sz w:val="22"/>
          <w:szCs w:val="22"/>
        </w:rPr>
        <w:t xml:space="preserve"> are considered small entities.</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These entities are the focus of this study.</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There will be no significant economic impact on these small entities.</w:t>
      </w:r>
      <w:r w:rsidRPr="00690A88" w:rsidR="00690A88">
        <w:rPr>
          <w:rFonts w:ascii="Times New Roman TUR" w:hAnsi="Times New Roman TUR" w:cs="Times New Roman TUR"/>
          <w:sz w:val="22"/>
          <w:szCs w:val="22"/>
        </w:rPr>
        <w:t xml:space="preserve"> </w:t>
      </w:r>
      <w:r w:rsidR="008247EE">
        <w:rPr>
          <w:rFonts w:ascii="Times New Roman TUR" w:hAnsi="Times New Roman TUR" w:cs="Times New Roman TUR"/>
          <w:sz w:val="22"/>
          <w:szCs w:val="22"/>
        </w:rPr>
        <w:t xml:space="preserve">The burden on </w:t>
      </w:r>
      <w:r w:rsidR="00C84FFF">
        <w:rPr>
          <w:rFonts w:ascii="Times New Roman TUR" w:hAnsi="Times New Roman TUR" w:cs="Times New Roman TUR"/>
          <w:sz w:val="22"/>
          <w:szCs w:val="22"/>
        </w:rPr>
        <w:t>classrooms</w:t>
      </w:r>
      <w:r w:rsidR="008247EE">
        <w:rPr>
          <w:rFonts w:ascii="Times New Roman TUR" w:hAnsi="Times New Roman TUR" w:cs="Times New Roman TUR"/>
          <w:sz w:val="22"/>
          <w:szCs w:val="22"/>
        </w:rPr>
        <w:t xml:space="preserve"> is minimized </w:t>
      </w:r>
      <w:r w:rsidRPr="004068FD" w:rsidR="008247EE">
        <w:rPr>
          <w:rFonts w:ascii="Times New Roman TUR" w:hAnsi="Times New Roman TUR" w:cs="Times New Roman TUR"/>
          <w:sz w:val="22"/>
          <w:szCs w:val="22"/>
        </w:rPr>
        <w:t xml:space="preserve">by limiting the questions on the questionnaire used for the test-retest reliability study to the same questions used for the </w:t>
      </w:r>
      <w:r w:rsidR="00C84FFF">
        <w:rPr>
          <w:rFonts w:ascii="Times New Roman TUR" w:hAnsi="Times New Roman TUR" w:cs="Times New Roman TUR"/>
          <w:sz w:val="22"/>
          <w:szCs w:val="22"/>
        </w:rPr>
        <w:t>YRBS</w:t>
      </w:r>
      <w:r w:rsidRPr="004068FD" w:rsidR="008247EE">
        <w:rPr>
          <w:rFonts w:ascii="Times New Roman TUR" w:hAnsi="Times New Roman TUR" w:cs="Times New Roman TUR"/>
          <w:sz w:val="22"/>
          <w:szCs w:val="22"/>
        </w:rPr>
        <w:t xml:space="preserve"> questionnaire implemented </w:t>
      </w:r>
      <w:r w:rsidR="00C84FFF">
        <w:rPr>
          <w:rFonts w:ascii="Times New Roman TUR" w:hAnsi="Times New Roman TUR" w:cs="Times New Roman TUR"/>
          <w:sz w:val="22"/>
          <w:szCs w:val="22"/>
        </w:rPr>
        <w:t xml:space="preserve">in the </w:t>
      </w:r>
      <w:r w:rsidR="009F0AF5">
        <w:rPr>
          <w:rFonts w:ascii="Times New Roman TUR" w:hAnsi="Times New Roman TUR" w:cs="Times New Roman TUR"/>
          <w:sz w:val="22"/>
          <w:szCs w:val="22"/>
        </w:rPr>
        <w:t>n</w:t>
      </w:r>
      <w:r w:rsidR="00C84FFF">
        <w:rPr>
          <w:rFonts w:ascii="Times New Roman TUR" w:hAnsi="Times New Roman TUR" w:cs="Times New Roman TUR"/>
          <w:sz w:val="22"/>
          <w:szCs w:val="22"/>
        </w:rPr>
        <w:t>ational study</w:t>
      </w:r>
      <w:r w:rsidRPr="004068FD" w:rsidR="008247EE">
        <w:rPr>
          <w:rFonts w:ascii="Times New Roman TUR" w:hAnsi="Times New Roman TUR" w:cs="Times New Roman TUR"/>
          <w:sz w:val="22"/>
          <w:szCs w:val="22"/>
        </w:rPr>
        <w:t>.</w:t>
      </w:r>
      <w:r w:rsidR="00AD26EB">
        <w:rPr>
          <w:rFonts w:ascii="Times New Roman TUR" w:hAnsi="Times New Roman TUR" w:cs="Times New Roman TUR"/>
          <w:sz w:val="22"/>
          <w:szCs w:val="22"/>
        </w:rPr>
        <w:t xml:space="preserve"> </w:t>
      </w:r>
    </w:p>
    <w:p w:rsidR="00EB104F" w:rsidP="00EB104F" w:rsidRDefault="00EB104F" w14:paraId="6E94E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DB012E" w:rsidR="00EB104F" w:rsidP="00767F05" w:rsidRDefault="00EB104F" w14:paraId="608E1551" w14:textId="77777777">
      <w:pPr>
        <w:pStyle w:val="ExhibitText"/>
        <w:keepNext/>
        <w:outlineLvl w:val="1"/>
        <w:rPr>
          <w:b/>
          <w:sz w:val="22"/>
          <w:szCs w:val="22"/>
        </w:rPr>
      </w:pPr>
      <w:bookmarkStart w:name="_Toc344295567" w:id="9"/>
      <w:r w:rsidRPr="00DB012E">
        <w:rPr>
          <w:b/>
          <w:sz w:val="22"/>
          <w:szCs w:val="22"/>
        </w:rPr>
        <w:t>A.6</w:t>
      </w:r>
      <w:r w:rsidRPr="00DB012E">
        <w:rPr>
          <w:b/>
          <w:sz w:val="22"/>
          <w:szCs w:val="22"/>
        </w:rPr>
        <w:tab/>
        <w:t>CONSEQUENCES OF COLLECTING THE INFORMATION LESS FREQUENTLY</w:t>
      </w:r>
      <w:bookmarkEnd w:id="9"/>
    </w:p>
    <w:p w:rsidR="00EB104F" w:rsidP="00EB104F" w:rsidRDefault="00EB104F" w14:paraId="45D4AC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3C2899" w:rsidR="00614F16" w:rsidP="00AC2BCA" w:rsidRDefault="00614F16" w14:paraId="0AE4D011" w14:textId="7E1515CE">
      <w:pPr>
        <w:rPr>
          <w:sz w:val="22"/>
          <w:szCs w:val="22"/>
        </w:rPr>
      </w:pPr>
      <w:r w:rsidRPr="003C2899">
        <w:rPr>
          <w:sz w:val="22"/>
          <w:szCs w:val="22"/>
        </w:rPr>
        <w:t>The planned data collection</w:t>
      </w:r>
      <w:r w:rsidRPr="003C2899" w:rsidR="00884606">
        <w:rPr>
          <w:sz w:val="22"/>
          <w:szCs w:val="22"/>
        </w:rPr>
        <w:t>s</w:t>
      </w:r>
      <w:r w:rsidRPr="003C2899">
        <w:rPr>
          <w:sz w:val="22"/>
          <w:szCs w:val="22"/>
        </w:rPr>
        <w:t xml:space="preserve"> </w:t>
      </w:r>
      <w:r w:rsidRPr="003C2899" w:rsidR="00227B30">
        <w:rPr>
          <w:sz w:val="22"/>
          <w:szCs w:val="22"/>
        </w:rPr>
        <w:t xml:space="preserve">for the test-retest </w:t>
      </w:r>
      <w:r w:rsidR="00BB235A">
        <w:rPr>
          <w:sz w:val="22"/>
          <w:szCs w:val="22"/>
        </w:rPr>
        <w:t xml:space="preserve">reliability </w:t>
      </w:r>
      <w:r w:rsidRPr="003C2899" w:rsidR="00227B30">
        <w:rPr>
          <w:sz w:val="22"/>
          <w:szCs w:val="22"/>
        </w:rPr>
        <w:t xml:space="preserve">study </w:t>
      </w:r>
      <w:r w:rsidRPr="003C2899">
        <w:rPr>
          <w:sz w:val="22"/>
          <w:szCs w:val="22"/>
        </w:rPr>
        <w:t xml:space="preserve">will occur </w:t>
      </w:r>
      <w:r w:rsidRPr="003C2899" w:rsidR="00E75158">
        <w:rPr>
          <w:sz w:val="22"/>
          <w:szCs w:val="22"/>
        </w:rPr>
        <w:t xml:space="preserve">only </w:t>
      </w:r>
      <w:r w:rsidRPr="003C2899">
        <w:rPr>
          <w:sz w:val="22"/>
          <w:szCs w:val="22"/>
        </w:rPr>
        <w:t>once.</w:t>
      </w:r>
      <w:r w:rsidR="00AD26EB">
        <w:rPr>
          <w:sz w:val="22"/>
          <w:szCs w:val="22"/>
        </w:rPr>
        <w:t xml:space="preserve"> </w:t>
      </w:r>
      <w:r w:rsidR="00A76D8A">
        <w:rPr>
          <w:sz w:val="22"/>
          <w:szCs w:val="22"/>
        </w:rPr>
        <w:t>T</w:t>
      </w:r>
      <w:r w:rsidRPr="003C2899" w:rsidR="00227B30">
        <w:rPr>
          <w:sz w:val="22"/>
          <w:szCs w:val="22"/>
        </w:rPr>
        <w:t xml:space="preserve">he </w:t>
      </w:r>
      <w:r w:rsidRPr="003C2899" w:rsidR="00E75158">
        <w:rPr>
          <w:sz w:val="22"/>
          <w:szCs w:val="22"/>
        </w:rPr>
        <w:t>202</w:t>
      </w:r>
      <w:r w:rsidR="00FA67D1">
        <w:rPr>
          <w:sz w:val="22"/>
          <w:szCs w:val="22"/>
        </w:rPr>
        <w:t>1</w:t>
      </w:r>
      <w:r w:rsidRPr="003C2899" w:rsidR="00E75158">
        <w:rPr>
          <w:sz w:val="22"/>
          <w:szCs w:val="22"/>
        </w:rPr>
        <w:t xml:space="preserve"> </w:t>
      </w:r>
      <w:r w:rsidR="00FA67D1">
        <w:rPr>
          <w:sz w:val="22"/>
          <w:szCs w:val="22"/>
        </w:rPr>
        <w:t xml:space="preserve">National </w:t>
      </w:r>
      <w:r w:rsidR="00C84FFF">
        <w:rPr>
          <w:sz w:val="22"/>
          <w:szCs w:val="22"/>
        </w:rPr>
        <w:t xml:space="preserve">YRBS </w:t>
      </w:r>
      <w:r w:rsidRPr="003C2899" w:rsidR="00E75158">
        <w:rPr>
          <w:sz w:val="22"/>
          <w:szCs w:val="22"/>
        </w:rPr>
        <w:t>Questionnaire</w:t>
      </w:r>
      <w:r w:rsidR="00FE427F">
        <w:rPr>
          <w:sz w:val="22"/>
          <w:szCs w:val="22"/>
        </w:rPr>
        <w:t xml:space="preserve"> </w:t>
      </w:r>
      <w:r w:rsidR="00A76D8A">
        <w:rPr>
          <w:sz w:val="22"/>
          <w:szCs w:val="22"/>
        </w:rPr>
        <w:t xml:space="preserve">will be administered </w:t>
      </w:r>
      <w:r w:rsidR="00C84FFF">
        <w:rPr>
          <w:sz w:val="22"/>
          <w:szCs w:val="22"/>
        </w:rPr>
        <w:t>two times in each participating classroom, two weeks apart</w:t>
      </w:r>
      <w:r w:rsidRPr="003C2899" w:rsidR="00227B30">
        <w:rPr>
          <w:sz w:val="22"/>
          <w:szCs w:val="22"/>
        </w:rPr>
        <w:t>.</w:t>
      </w:r>
      <w:r w:rsidRPr="003C2899" w:rsidR="00E75158">
        <w:rPr>
          <w:sz w:val="22"/>
          <w:szCs w:val="22"/>
        </w:rPr>
        <w:t xml:space="preserve"> A test-retest reliability study cannot be conducted with fewer than two survey administrations.</w:t>
      </w:r>
      <w:r w:rsidR="007061E8">
        <w:rPr>
          <w:sz w:val="22"/>
          <w:szCs w:val="22"/>
        </w:rPr>
        <w:t xml:space="preserve"> </w:t>
      </w:r>
    </w:p>
    <w:p w:rsidRPr="003C2899" w:rsidR="00614F16" w:rsidP="00EB104F" w:rsidRDefault="00614F16" w14:paraId="070EC7B7" w14:textId="77777777">
      <w:pPr>
        <w:ind w:firstLine="720"/>
        <w:rPr>
          <w:sz w:val="22"/>
          <w:szCs w:val="22"/>
          <w:highlight w:val="yellow"/>
        </w:rPr>
      </w:pPr>
    </w:p>
    <w:p w:rsidRPr="00DB012E" w:rsidR="00EB104F" w:rsidP="009241F9" w:rsidRDefault="00EB104F" w14:paraId="5D10590C" w14:textId="5095240E">
      <w:pPr>
        <w:pStyle w:val="ExhibitText"/>
        <w:keepNext/>
        <w:outlineLvl w:val="1"/>
        <w:rPr>
          <w:b/>
          <w:sz w:val="22"/>
          <w:szCs w:val="22"/>
        </w:rPr>
      </w:pPr>
      <w:bookmarkStart w:name="_Toc344295568" w:id="10"/>
      <w:r w:rsidRPr="00DB012E">
        <w:rPr>
          <w:b/>
          <w:sz w:val="22"/>
          <w:szCs w:val="22"/>
        </w:rPr>
        <w:lastRenderedPageBreak/>
        <w:t>A.7</w:t>
      </w:r>
      <w:r w:rsidRPr="00DB012E">
        <w:rPr>
          <w:b/>
          <w:sz w:val="22"/>
          <w:szCs w:val="22"/>
        </w:rPr>
        <w:tab/>
        <w:t>SPECIAL CIRCUMSTANCES RELATING TO THE GUIDELINE OF 5 CFR 1320.5</w:t>
      </w:r>
      <w:bookmarkEnd w:id="10"/>
    </w:p>
    <w:p w:rsidR="00EB104F" w:rsidP="00EB104F" w:rsidRDefault="00EB104F" w14:paraId="573509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P="00AC2BCA" w:rsidRDefault="00EB104F" w14:paraId="28BD8C5F" w14:textId="5E67C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3C2899">
        <w:rPr>
          <w:rFonts w:ascii="Times New Roman TUR" w:hAnsi="Times New Roman TUR" w:cs="Times New Roman TUR"/>
          <w:sz w:val="22"/>
          <w:szCs w:val="22"/>
        </w:rPr>
        <w:t>The data collection will be implemented in a manner</w:t>
      </w:r>
      <w:r w:rsidRPr="003C2899" w:rsidR="003C2899">
        <w:rPr>
          <w:rFonts w:ascii="Times New Roman TUR" w:hAnsi="Times New Roman TUR" w:cs="Times New Roman TUR"/>
          <w:sz w:val="22"/>
          <w:szCs w:val="22"/>
        </w:rPr>
        <w:t xml:space="preserve"> consistent with 5 CFR 1320.5.</w:t>
      </w:r>
      <w:r w:rsidR="00AD26EB">
        <w:rPr>
          <w:rFonts w:ascii="Times New Roman TUR" w:hAnsi="Times New Roman TUR" w:cs="Times New Roman TUR"/>
          <w:sz w:val="22"/>
          <w:szCs w:val="22"/>
        </w:rPr>
        <w:t xml:space="preserve"> </w:t>
      </w:r>
      <w:r w:rsidRPr="003C2899" w:rsidR="003C2899">
        <w:rPr>
          <w:rFonts w:ascii="Times New Roman TUR" w:hAnsi="Times New Roman TUR" w:cs="Times New Roman TUR"/>
          <w:sz w:val="22"/>
          <w:szCs w:val="22"/>
        </w:rPr>
        <w:t>The only exception is that Time 2 survey responses will be requested in fewer than 30 days. The time between the Time 1 and Time 2 data collections will target a two-week interval.</w:t>
      </w:r>
      <w:r w:rsidR="00AD26EB">
        <w:rPr>
          <w:rFonts w:ascii="Times New Roman TUR" w:hAnsi="Times New Roman TUR" w:cs="Times New Roman TUR"/>
          <w:sz w:val="22"/>
          <w:szCs w:val="22"/>
        </w:rPr>
        <w:t xml:space="preserve"> </w:t>
      </w:r>
      <w:r w:rsidRPr="0024660F" w:rsidR="0024660F">
        <w:rPr>
          <w:rFonts w:ascii="Times New Roman TUR" w:hAnsi="Times New Roman TUR" w:cs="Times New Roman TUR"/>
          <w:sz w:val="22"/>
          <w:szCs w:val="22"/>
        </w:rPr>
        <w:t xml:space="preserve">A two-week interval </w:t>
      </w:r>
      <w:r w:rsidR="0024660F">
        <w:rPr>
          <w:rFonts w:ascii="Times New Roman TUR" w:hAnsi="Times New Roman TUR" w:cs="Times New Roman TUR"/>
          <w:sz w:val="22"/>
          <w:szCs w:val="22"/>
        </w:rPr>
        <w:t>is the standard used in most test-retest reliability studies</w:t>
      </w:r>
      <w:r w:rsidRPr="0024660F" w:rsidR="0024660F">
        <w:rPr>
          <w:rFonts w:ascii="Times New Roman TUR" w:hAnsi="Times New Roman TUR" w:cs="Times New Roman TUR"/>
          <w:sz w:val="22"/>
          <w:szCs w:val="22"/>
        </w:rPr>
        <w:t xml:space="preserve"> for two reasons. First, </w:t>
      </w:r>
      <w:r w:rsidR="0024660F">
        <w:rPr>
          <w:rFonts w:ascii="Times New Roman TUR" w:hAnsi="Times New Roman TUR" w:cs="Times New Roman TUR"/>
          <w:sz w:val="22"/>
          <w:szCs w:val="22"/>
        </w:rPr>
        <w:t xml:space="preserve">it is unlikely that any changes in practice or other situations will occur </w:t>
      </w:r>
      <w:r w:rsidR="00933730">
        <w:rPr>
          <w:rFonts w:ascii="Times New Roman TUR" w:hAnsi="Times New Roman TUR" w:cs="Times New Roman TUR"/>
          <w:sz w:val="22"/>
          <w:szCs w:val="22"/>
        </w:rPr>
        <w:t>during</w:t>
      </w:r>
      <w:r w:rsidR="0024660F">
        <w:rPr>
          <w:rFonts w:ascii="Times New Roman TUR" w:hAnsi="Times New Roman TUR" w:cs="Times New Roman TUR"/>
          <w:sz w:val="22"/>
          <w:szCs w:val="22"/>
        </w:rPr>
        <w:t xml:space="preserve"> a two-week time period that would </w:t>
      </w:r>
      <w:r w:rsidRPr="0024660F" w:rsidR="0024660F">
        <w:rPr>
          <w:rFonts w:ascii="Times New Roman TUR" w:hAnsi="Times New Roman TUR" w:cs="Times New Roman TUR"/>
          <w:sz w:val="22"/>
          <w:szCs w:val="22"/>
        </w:rPr>
        <w:t xml:space="preserve">impact the </w:t>
      </w:r>
      <w:r w:rsidR="00933730">
        <w:rPr>
          <w:rFonts w:ascii="Times New Roman TUR" w:hAnsi="Times New Roman TUR" w:cs="Times New Roman TUR"/>
          <w:sz w:val="22"/>
          <w:szCs w:val="22"/>
        </w:rPr>
        <w:t>responses</w:t>
      </w:r>
      <w:r w:rsidRPr="0024660F" w:rsidR="0024660F">
        <w:rPr>
          <w:rFonts w:ascii="Times New Roman TUR" w:hAnsi="Times New Roman TUR" w:cs="Times New Roman TUR"/>
          <w:sz w:val="22"/>
          <w:szCs w:val="22"/>
        </w:rPr>
        <w:t xml:space="preserve">. Second, </w:t>
      </w:r>
      <w:r w:rsidR="0024660F">
        <w:rPr>
          <w:rFonts w:ascii="Times New Roman TUR" w:hAnsi="Times New Roman TUR" w:cs="Times New Roman TUR"/>
          <w:sz w:val="22"/>
          <w:szCs w:val="22"/>
        </w:rPr>
        <w:t>a two-week interval</w:t>
      </w:r>
      <w:r w:rsidRPr="0024660F" w:rsidR="0024660F">
        <w:rPr>
          <w:rFonts w:ascii="Times New Roman TUR" w:hAnsi="Times New Roman TUR" w:cs="Times New Roman TUR"/>
          <w:sz w:val="22"/>
          <w:szCs w:val="22"/>
        </w:rPr>
        <w:t xml:space="preserve"> is </w:t>
      </w:r>
      <w:r w:rsidR="0024660F">
        <w:rPr>
          <w:rFonts w:ascii="Times New Roman TUR" w:hAnsi="Times New Roman TUR" w:cs="Times New Roman TUR"/>
          <w:sz w:val="22"/>
          <w:szCs w:val="22"/>
        </w:rPr>
        <w:t xml:space="preserve">long </w:t>
      </w:r>
      <w:r w:rsidRPr="0024660F" w:rsidR="0024660F">
        <w:rPr>
          <w:rFonts w:ascii="Times New Roman TUR" w:hAnsi="Times New Roman TUR" w:cs="Times New Roman TUR"/>
          <w:sz w:val="22"/>
          <w:szCs w:val="22"/>
        </w:rPr>
        <w:t xml:space="preserve">enough </w:t>
      </w:r>
      <w:r w:rsidR="0024660F">
        <w:rPr>
          <w:rFonts w:ascii="Times New Roman TUR" w:hAnsi="Times New Roman TUR" w:cs="Times New Roman TUR"/>
          <w:sz w:val="22"/>
          <w:szCs w:val="22"/>
        </w:rPr>
        <w:t xml:space="preserve">to prevent </w:t>
      </w:r>
      <w:r w:rsidRPr="0024660F" w:rsidR="0024660F">
        <w:rPr>
          <w:rFonts w:ascii="Times New Roman TUR" w:hAnsi="Times New Roman TUR" w:cs="Times New Roman TUR"/>
          <w:sz w:val="22"/>
          <w:szCs w:val="22"/>
        </w:rPr>
        <w:t xml:space="preserve">respondents </w:t>
      </w:r>
      <w:r w:rsidR="0024660F">
        <w:rPr>
          <w:rFonts w:ascii="Times New Roman TUR" w:hAnsi="Times New Roman TUR" w:cs="Times New Roman TUR"/>
          <w:sz w:val="22"/>
          <w:szCs w:val="22"/>
        </w:rPr>
        <w:t>from simply providing answers that had been</w:t>
      </w:r>
      <w:r w:rsidRPr="0024660F" w:rsidR="0024660F">
        <w:rPr>
          <w:rFonts w:ascii="Times New Roman TUR" w:hAnsi="Times New Roman TUR" w:cs="Times New Roman TUR"/>
          <w:sz w:val="22"/>
          <w:szCs w:val="22"/>
        </w:rPr>
        <w:t xml:space="preserve"> memorize</w:t>
      </w:r>
      <w:r w:rsidR="0024660F">
        <w:rPr>
          <w:rFonts w:ascii="Times New Roman TUR" w:hAnsi="Times New Roman TUR" w:cs="Times New Roman TUR"/>
          <w:sz w:val="22"/>
          <w:szCs w:val="22"/>
        </w:rPr>
        <w:t>d</w:t>
      </w:r>
      <w:r w:rsidRPr="0024660F" w:rsidR="0024660F">
        <w:rPr>
          <w:rFonts w:ascii="Times New Roman TUR" w:hAnsi="Times New Roman TUR" w:cs="Times New Roman TUR"/>
          <w:sz w:val="22"/>
          <w:szCs w:val="22"/>
        </w:rPr>
        <w:t xml:space="preserve"> </w:t>
      </w:r>
      <w:r w:rsidR="0024660F">
        <w:rPr>
          <w:rFonts w:ascii="Times New Roman TUR" w:hAnsi="Times New Roman TUR" w:cs="Times New Roman TUR"/>
          <w:sz w:val="22"/>
          <w:szCs w:val="22"/>
        </w:rPr>
        <w:t>from</w:t>
      </w:r>
      <w:r w:rsidRPr="0024660F" w:rsidR="0024660F">
        <w:rPr>
          <w:rFonts w:ascii="Times New Roman TUR" w:hAnsi="Times New Roman TUR" w:cs="Times New Roman TUR"/>
          <w:sz w:val="22"/>
          <w:szCs w:val="22"/>
        </w:rPr>
        <w:t xml:space="preserve"> the Time 1 questionnaire. </w:t>
      </w:r>
    </w:p>
    <w:p w:rsidR="007061E8" w:rsidP="00AC2BCA" w:rsidRDefault="007061E8" w14:paraId="4D5F6A14" w14:textId="3AAD2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3C2899" w:rsidR="00762C02" w:rsidP="00AC2BCA" w:rsidRDefault="00762C02" w14:paraId="1F4033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DB012E" w:rsidR="00EB104F" w:rsidP="00460357" w:rsidRDefault="00EB104F" w14:paraId="56BB2287" w14:textId="77777777">
      <w:pPr>
        <w:pStyle w:val="ExhibitText"/>
        <w:ind w:left="720" w:hanging="720"/>
        <w:outlineLvl w:val="1"/>
        <w:rPr>
          <w:b/>
          <w:sz w:val="22"/>
          <w:szCs w:val="22"/>
        </w:rPr>
      </w:pPr>
      <w:bookmarkStart w:name="_Toc344295569" w:id="11"/>
      <w:r w:rsidRPr="00DB012E">
        <w:rPr>
          <w:b/>
          <w:sz w:val="22"/>
          <w:szCs w:val="22"/>
        </w:rPr>
        <w:t>A.8</w:t>
      </w:r>
      <w:r w:rsidRPr="00DB012E">
        <w:rPr>
          <w:b/>
          <w:sz w:val="22"/>
          <w:szCs w:val="22"/>
        </w:rPr>
        <w:tab/>
        <w:t>COMMENTS IN RESPONSE TO THE FEDERAL REGISTER NOTICE AND EFFORTS TO CONSULT OUTSIDE THE AGENCY</w:t>
      </w:r>
      <w:bookmarkEnd w:id="11"/>
    </w:p>
    <w:p w:rsidR="007061E8" w:rsidP="001B0570" w:rsidRDefault="007061E8" w14:paraId="6DD514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eastAsia="Calibri"/>
          <w:bCs/>
          <w:iCs/>
          <w:sz w:val="22"/>
          <w:szCs w:val="22"/>
        </w:rPr>
      </w:pPr>
    </w:p>
    <w:p w:rsidRPr="009241F9" w:rsidR="001B0570" w:rsidP="001B0570" w:rsidRDefault="00AF29AD" w14:paraId="4AF36288" w14:textId="6E0510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rFonts w:eastAsia="Calibri"/>
          <w:bCs/>
          <w:iCs/>
          <w:sz w:val="22"/>
          <w:szCs w:val="22"/>
        </w:rPr>
        <w:t xml:space="preserve">The </w:t>
      </w:r>
      <w:r w:rsidR="00762C02">
        <w:rPr>
          <w:rFonts w:eastAsia="Calibri"/>
          <w:bCs/>
          <w:iCs/>
          <w:sz w:val="22"/>
          <w:szCs w:val="22"/>
        </w:rPr>
        <w:t xml:space="preserve">CDC </w:t>
      </w:r>
      <w:r w:rsidRPr="009241F9" w:rsidR="001B0570">
        <w:rPr>
          <w:sz w:val="22"/>
          <w:szCs w:val="22"/>
        </w:rPr>
        <w:t xml:space="preserve">published a </w:t>
      </w:r>
      <w:r w:rsidRPr="009241F9" w:rsidR="001B0570">
        <w:rPr>
          <w:i/>
          <w:iCs/>
          <w:sz w:val="22"/>
          <w:szCs w:val="22"/>
        </w:rPr>
        <w:t>Federal Register</w:t>
      </w:r>
      <w:r w:rsidRPr="009241F9" w:rsidR="001B0570">
        <w:rPr>
          <w:sz w:val="22"/>
          <w:szCs w:val="22"/>
        </w:rPr>
        <w:t xml:space="preserve"> notice of the proposed data collection on </w:t>
      </w:r>
      <w:r w:rsidR="007123C1">
        <w:rPr>
          <w:sz w:val="22"/>
          <w:szCs w:val="22"/>
        </w:rPr>
        <w:t>June 2, 2020</w:t>
      </w:r>
      <w:r w:rsidRPr="009241F9" w:rsidR="001B0570">
        <w:rPr>
          <w:sz w:val="22"/>
          <w:szCs w:val="22"/>
        </w:rPr>
        <w:t xml:space="preserve"> </w:t>
      </w:r>
      <w:r w:rsidRPr="007123C1" w:rsidR="001B0570">
        <w:rPr>
          <w:sz w:val="22"/>
          <w:szCs w:val="22"/>
        </w:rPr>
        <w:t xml:space="preserve">(Volume </w:t>
      </w:r>
      <w:r w:rsidRPr="007123C1" w:rsidR="007123C1">
        <w:rPr>
          <w:sz w:val="22"/>
          <w:szCs w:val="22"/>
        </w:rPr>
        <w:t>85</w:t>
      </w:r>
      <w:r w:rsidRPr="007123C1" w:rsidR="001B0570">
        <w:rPr>
          <w:sz w:val="22"/>
          <w:szCs w:val="22"/>
        </w:rPr>
        <w:t xml:space="preserve">, Number </w:t>
      </w:r>
      <w:r w:rsidRPr="007123C1" w:rsidR="007123C1">
        <w:rPr>
          <w:sz w:val="22"/>
          <w:szCs w:val="22"/>
        </w:rPr>
        <w:t>106</w:t>
      </w:r>
      <w:r w:rsidRPr="007123C1" w:rsidR="001B0570">
        <w:rPr>
          <w:sz w:val="22"/>
          <w:szCs w:val="22"/>
        </w:rPr>
        <w:t xml:space="preserve"> pages </w:t>
      </w:r>
      <w:r w:rsidRPr="007123C1" w:rsidR="007123C1">
        <w:rPr>
          <w:sz w:val="22"/>
          <w:szCs w:val="22"/>
        </w:rPr>
        <w:t>33673</w:t>
      </w:r>
      <w:r w:rsidRPr="007123C1" w:rsidR="001B0570">
        <w:rPr>
          <w:sz w:val="22"/>
          <w:szCs w:val="22"/>
        </w:rPr>
        <w:t>-</w:t>
      </w:r>
      <w:r w:rsidRPr="007123C1" w:rsidR="007123C1">
        <w:rPr>
          <w:sz w:val="22"/>
          <w:szCs w:val="22"/>
        </w:rPr>
        <w:t>33674</w:t>
      </w:r>
      <w:r w:rsidRPr="007123C1" w:rsidR="001B0570">
        <w:rPr>
          <w:sz w:val="22"/>
          <w:szCs w:val="22"/>
        </w:rPr>
        <w:t>).</w:t>
      </w:r>
      <w:r w:rsidRPr="009241F9" w:rsidR="001B0570">
        <w:rPr>
          <w:sz w:val="22"/>
          <w:szCs w:val="22"/>
        </w:rPr>
        <w:t xml:space="preserve"> (See </w:t>
      </w:r>
      <w:r w:rsidRPr="009241F9" w:rsidR="002C3725">
        <w:rPr>
          <w:sz w:val="22"/>
          <w:szCs w:val="22"/>
        </w:rPr>
        <w:t>Attachment B</w:t>
      </w:r>
      <w:r w:rsidRPr="009241F9" w:rsidR="001B0570">
        <w:rPr>
          <w:sz w:val="22"/>
          <w:szCs w:val="22"/>
        </w:rPr>
        <w:t>).</w:t>
      </w:r>
      <w:r w:rsidRPr="009241F9" w:rsidR="00AD26EB">
        <w:rPr>
          <w:sz w:val="22"/>
          <w:szCs w:val="22"/>
        </w:rPr>
        <w:t xml:space="preserve"> </w:t>
      </w:r>
      <w:r w:rsidRPr="00416EF2" w:rsidR="00687122">
        <w:rPr>
          <w:sz w:val="22"/>
          <w:szCs w:val="22"/>
        </w:rPr>
        <w:t>No</w:t>
      </w:r>
      <w:r w:rsidRPr="00416EF2" w:rsidR="001B0570">
        <w:rPr>
          <w:sz w:val="22"/>
          <w:szCs w:val="22"/>
        </w:rPr>
        <w:t xml:space="preserve"> comments were received</w:t>
      </w:r>
      <w:r w:rsidRPr="00A10A04" w:rsidR="00687122">
        <w:rPr>
          <w:sz w:val="22"/>
          <w:szCs w:val="22"/>
        </w:rPr>
        <w:t>.</w:t>
      </w:r>
    </w:p>
    <w:p w:rsidR="00687122" w:rsidP="00687122" w:rsidRDefault="00687122" w14:paraId="140D3487" w14:textId="77777777">
      <w:pPr>
        <w:pStyle w:val="ExhibitHeaderRow"/>
        <w:jc w:val="left"/>
        <w:outlineLvl w:val="2"/>
        <w:rPr>
          <w:rFonts w:ascii="Times New Roman" w:hAnsi="Times New Roman" w:cs="Times New Roman"/>
          <w:b w:val="0"/>
          <w:sz w:val="22"/>
          <w:szCs w:val="22"/>
        </w:rPr>
      </w:pPr>
    </w:p>
    <w:p w:rsidR="00687122" w:rsidP="00687122" w:rsidRDefault="00687122" w14:paraId="4E3DDDEA" w14:textId="4BFF3A0F">
      <w:pPr>
        <w:pStyle w:val="ExhibitHeaderRow"/>
        <w:jc w:val="left"/>
        <w:outlineLvl w:val="2"/>
        <w:rPr>
          <w:rFonts w:ascii="Times New Roman" w:hAnsi="Times New Roman" w:cs="Times New Roman"/>
          <w:b w:val="0"/>
          <w:sz w:val="22"/>
          <w:szCs w:val="22"/>
        </w:rPr>
      </w:pPr>
      <w:r>
        <w:rPr>
          <w:rFonts w:ascii="Times New Roman" w:hAnsi="Times New Roman" w:cs="Times New Roman"/>
          <w:b w:val="0"/>
          <w:sz w:val="22"/>
          <w:szCs w:val="22"/>
        </w:rPr>
        <w:t>No additional efforts have been made to consult with persons outside the agency.</w:t>
      </w:r>
      <w:r w:rsidR="007061E8">
        <w:rPr>
          <w:rFonts w:ascii="Times New Roman" w:hAnsi="Times New Roman" w:cs="Times New Roman"/>
          <w:b w:val="0"/>
          <w:sz w:val="22"/>
          <w:szCs w:val="22"/>
        </w:rPr>
        <w:t xml:space="preserve"> </w:t>
      </w:r>
    </w:p>
    <w:p w:rsidR="00B51901" w:rsidP="00687122" w:rsidRDefault="00B51901" w14:paraId="19632B24" w14:textId="2479CADA">
      <w:pPr>
        <w:pStyle w:val="ExhibitHeaderRow"/>
        <w:jc w:val="left"/>
        <w:outlineLvl w:val="2"/>
        <w:rPr>
          <w:rFonts w:ascii="Times New Roman" w:hAnsi="Times New Roman" w:cs="Times New Roman"/>
          <w:b w:val="0"/>
          <w:sz w:val="22"/>
          <w:szCs w:val="22"/>
        </w:rPr>
      </w:pPr>
    </w:p>
    <w:p w:rsidRPr="00DB012E" w:rsidR="00EB104F" w:rsidP="00DB012E" w:rsidRDefault="00EB104F" w14:paraId="41BA008D" w14:textId="52CFB949">
      <w:pPr>
        <w:pStyle w:val="ExhibitText"/>
        <w:outlineLvl w:val="1"/>
        <w:rPr>
          <w:b/>
          <w:sz w:val="22"/>
          <w:szCs w:val="22"/>
        </w:rPr>
      </w:pPr>
      <w:bookmarkStart w:name="_Toc344295575" w:id="12"/>
      <w:r w:rsidRPr="00DB012E">
        <w:rPr>
          <w:b/>
          <w:sz w:val="22"/>
          <w:szCs w:val="22"/>
        </w:rPr>
        <w:t>A.9</w:t>
      </w:r>
      <w:r w:rsidRPr="00DB012E">
        <w:rPr>
          <w:b/>
          <w:sz w:val="22"/>
          <w:szCs w:val="22"/>
        </w:rPr>
        <w:tab/>
        <w:t>EXPLANATION OF ANY PAYMENT OR GIFT TO RESPONDENTS</w:t>
      </w:r>
      <w:bookmarkEnd w:id="12"/>
    </w:p>
    <w:p w:rsidR="00EB104F" w:rsidP="00EB104F" w:rsidRDefault="00EB104F" w14:paraId="17B409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07699" w:rsidP="00AC2BCA" w:rsidRDefault="00352ABF" w14:paraId="70E6CD22" w14:textId="3810E818">
      <w:pPr>
        <w:rPr>
          <w:sz w:val="22"/>
          <w:szCs w:val="22"/>
        </w:rPr>
      </w:pPr>
      <w:r w:rsidRPr="00352ABF">
        <w:rPr>
          <w:sz w:val="22"/>
          <w:szCs w:val="22"/>
        </w:rPr>
        <w:t xml:space="preserve">As we are asking </w:t>
      </w:r>
      <w:r w:rsidR="007E14B0">
        <w:rPr>
          <w:sz w:val="22"/>
          <w:szCs w:val="22"/>
        </w:rPr>
        <w:t xml:space="preserve">each participating </w:t>
      </w:r>
      <w:r w:rsidRPr="00352ABF">
        <w:rPr>
          <w:sz w:val="22"/>
          <w:szCs w:val="22"/>
        </w:rPr>
        <w:t>sc</w:t>
      </w:r>
      <w:r w:rsidR="007E14B0">
        <w:rPr>
          <w:sz w:val="22"/>
          <w:szCs w:val="22"/>
        </w:rPr>
        <w:t xml:space="preserve">hool to use classroom time in </w:t>
      </w:r>
      <w:r w:rsidR="00FC76FF">
        <w:rPr>
          <w:sz w:val="22"/>
          <w:szCs w:val="22"/>
        </w:rPr>
        <w:t xml:space="preserve">approximately one class from each of grades 9-12 </w:t>
      </w:r>
      <w:r w:rsidRPr="00352ABF">
        <w:rPr>
          <w:sz w:val="22"/>
          <w:szCs w:val="22"/>
        </w:rPr>
        <w:t>to administer the survey, at two separate times, we believe</w:t>
      </w:r>
      <w:r>
        <w:rPr>
          <w:sz w:val="22"/>
          <w:szCs w:val="22"/>
        </w:rPr>
        <w:t xml:space="preserve"> it is necessary to offer tokens of appreciation to encourage participation at both the school</w:t>
      </w:r>
      <w:r w:rsidR="001D3B97">
        <w:rPr>
          <w:sz w:val="22"/>
          <w:szCs w:val="22"/>
        </w:rPr>
        <w:t xml:space="preserve"> </w:t>
      </w:r>
      <w:r>
        <w:rPr>
          <w:sz w:val="22"/>
          <w:szCs w:val="22"/>
        </w:rPr>
        <w:t>level and the classroom</w:t>
      </w:r>
      <w:r w:rsidR="001D3B97">
        <w:rPr>
          <w:sz w:val="22"/>
          <w:szCs w:val="22"/>
        </w:rPr>
        <w:t xml:space="preserve"> </w:t>
      </w:r>
      <w:r>
        <w:rPr>
          <w:sz w:val="22"/>
          <w:szCs w:val="22"/>
        </w:rPr>
        <w:t>level.</w:t>
      </w:r>
      <w:r w:rsidR="007061E8">
        <w:rPr>
          <w:sz w:val="22"/>
          <w:szCs w:val="22"/>
        </w:rPr>
        <w:t xml:space="preserve"> </w:t>
      </w:r>
      <w:r w:rsidRPr="001011E0" w:rsidR="001011E0">
        <w:rPr>
          <w:sz w:val="22"/>
          <w:szCs w:val="22"/>
        </w:rPr>
        <w:t>Schools will be offered</w:t>
      </w:r>
      <w:r w:rsidR="009279A6">
        <w:rPr>
          <w:sz w:val="22"/>
          <w:szCs w:val="22"/>
        </w:rPr>
        <w:t xml:space="preserve"> a</w:t>
      </w:r>
      <w:r w:rsidRPr="001011E0" w:rsidR="001011E0">
        <w:rPr>
          <w:sz w:val="22"/>
          <w:szCs w:val="22"/>
        </w:rPr>
        <w:t xml:space="preserve"> $300</w:t>
      </w:r>
      <w:r w:rsidR="009279A6">
        <w:rPr>
          <w:sz w:val="22"/>
          <w:szCs w:val="22"/>
        </w:rPr>
        <w:t xml:space="preserve"> token of appreciation</w:t>
      </w:r>
      <w:r w:rsidRPr="001011E0" w:rsidR="001011E0">
        <w:rPr>
          <w:sz w:val="22"/>
          <w:szCs w:val="22"/>
        </w:rPr>
        <w:t xml:space="preserve"> for participating</w:t>
      </w:r>
      <w:r>
        <w:rPr>
          <w:sz w:val="22"/>
          <w:szCs w:val="22"/>
        </w:rPr>
        <w:t xml:space="preserve"> in the </w:t>
      </w:r>
      <w:r w:rsidR="008270A1">
        <w:rPr>
          <w:sz w:val="22"/>
          <w:szCs w:val="22"/>
        </w:rPr>
        <w:t xml:space="preserve">National </w:t>
      </w:r>
      <w:r>
        <w:rPr>
          <w:sz w:val="22"/>
          <w:szCs w:val="22"/>
        </w:rPr>
        <w:t>YRBS Test-Retest Reliability Study</w:t>
      </w:r>
      <w:r w:rsidRPr="001011E0" w:rsidR="001011E0">
        <w:rPr>
          <w:sz w:val="22"/>
          <w:szCs w:val="22"/>
        </w:rPr>
        <w:t xml:space="preserve">. The data collector will give the principal a check made out to the school upon return to the school for the Time 2 survey administration. </w:t>
      </w:r>
      <w:r w:rsidR="001011E0">
        <w:rPr>
          <w:sz w:val="22"/>
          <w:szCs w:val="22"/>
        </w:rPr>
        <w:t>Classroom teachers whose classes participate in both Time 1 and Time 2 surveys</w:t>
      </w:r>
      <w:r w:rsidRPr="001011E0" w:rsidR="001011E0">
        <w:rPr>
          <w:sz w:val="22"/>
          <w:szCs w:val="22"/>
        </w:rPr>
        <w:t xml:space="preserve"> will be provided a two-stage promised </w:t>
      </w:r>
      <w:r w:rsidR="009279A6">
        <w:rPr>
          <w:sz w:val="22"/>
          <w:szCs w:val="22"/>
        </w:rPr>
        <w:t>token of appreciation</w:t>
      </w:r>
      <w:r w:rsidR="001011E0">
        <w:rPr>
          <w:sz w:val="22"/>
          <w:szCs w:val="22"/>
        </w:rPr>
        <w:t xml:space="preserve"> totaling $50</w:t>
      </w:r>
      <w:r w:rsidRPr="001011E0" w:rsidR="001011E0">
        <w:rPr>
          <w:sz w:val="22"/>
          <w:szCs w:val="22"/>
        </w:rPr>
        <w:t>.</w:t>
      </w:r>
      <w:r w:rsidR="001011E0">
        <w:rPr>
          <w:sz w:val="22"/>
          <w:szCs w:val="22"/>
        </w:rPr>
        <w:t xml:space="preserve"> Providing</w:t>
      </w:r>
      <w:r w:rsidRPr="0024660F" w:rsidR="00E07699">
        <w:rPr>
          <w:sz w:val="22"/>
          <w:szCs w:val="22"/>
        </w:rPr>
        <w:t xml:space="preserve"> </w:t>
      </w:r>
      <w:r w:rsidR="00DD6F35">
        <w:rPr>
          <w:sz w:val="22"/>
          <w:szCs w:val="22"/>
        </w:rPr>
        <w:t>a partial</w:t>
      </w:r>
      <w:r w:rsidRPr="0024660F" w:rsidR="00E07699">
        <w:rPr>
          <w:sz w:val="22"/>
          <w:szCs w:val="22"/>
        </w:rPr>
        <w:t xml:space="preserve"> </w:t>
      </w:r>
      <w:r w:rsidR="006A1D75">
        <w:rPr>
          <w:sz w:val="22"/>
          <w:szCs w:val="22"/>
        </w:rPr>
        <w:t>token</w:t>
      </w:r>
      <w:r w:rsidRPr="0024660F" w:rsidR="00E07699">
        <w:rPr>
          <w:sz w:val="22"/>
          <w:szCs w:val="22"/>
        </w:rPr>
        <w:t xml:space="preserve"> </w:t>
      </w:r>
      <w:r w:rsidR="00A940CB">
        <w:rPr>
          <w:sz w:val="22"/>
          <w:szCs w:val="22"/>
        </w:rPr>
        <w:t xml:space="preserve">of appreciation </w:t>
      </w:r>
      <w:r w:rsidR="001011E0">
        <w:rPr>
          <w:sz w:val="22"/>
          <w:szCs w:val="22"/>
        </w:rPr>
        <w:t>at the completion of</w:t>
      </w:r>
      <w:r w:rsidRPr="0024660F" w:rsidR="00E07699">
        <w:rPr>
          <w:sz w:val="22"/>
          <w:szCs w:val="22"/>
        </w:rPr>
        <w:t xml:space="preserve"> the Time </w:t>
      </w:r>
      <w:r w:rsidR="001011E0">
        <w:rPr>
          <w:sz w:val="22"/>
          <w:szCs w:val="22"/>
        </w:rPr>
        <w:t>1</w:t>
      </w:r>
      <w:r w:rsidRPr="0024660F" w:rsidR="00E07699">
        <w:rPr>
          <w:sz w:val="22"/>
          <w:szCs w:val="22"/>
        </w:rPr>
        <w:t xml:space="preserve"> survey </w:t>
      </w:r>
      <w:r w:rsidR="001011E0">
        <w:rPr>
          <w:sz w:val="22"/>
          <w:szCs w:val="22"/>
        </w:rPr>
        <w:t>will</w:t>
      </w:r>
      <w:r w:rsidRPr="0024660F" w:rsidR="00E07699">
        <w:rPr>
          <w:sz w:val="22"/>
          <w:szCs w:val="22"/>
        </w:rPr>
        <w:t xml:space="preserve"> help </w:t>
      </w:r>
      <w:r w:rsidR="00DD6F35">
        <w:rPr>
          <w:sz w:val="22"/>
          <w:szCs w:val="22"/>
        </w:rPr>
        <w:t>retain</w:t>
      </w:r>
      <w:r w:rsidRPr="0024660F" w:rsidR="00E07699">
        <w:rPr>
          <w:sz w:val="22"/>
          <w:szCs w:val="22"/>
        </w:rPr>
        <w:t xml:space="preserve"> </w:t>
      </w:r>
      <w:r w:rsidR="00DD6F35">
        <w:rPr>
          <w:sz w:val="22"/>
          <w:szCs w:val="22"/>
        </w:rPr>
        <w:t>classroom teachers’ interest in participating in the Time 2 survey administration</w:t>
      </w:r>
      <w:r w:rsidRPr="0024660F" w:rsidR="00E07699">
        <w:rPr>
          <w:sz w:val="22"/>
          <w:szCs w:val="22"/>
        </w:rPr>
        <w:t>.</w:t>
      </w:r>
      <w:r w:rsidR="007061E8">
        <w:rPr>
          <w:sz w:val="22"/>
          <w:szCs w:val="22"/>
        </w:rPr>
        <w:t xml:space="preserve"> </w:t>
      </w:r>
    </w:p>
    <w:p w:rsidRPr="0091687C" w:rsidR="00542B00" w:rsidP="00AC2BCA" w:rsidRDefault="00542B00" w14:paraId="32937A99" w14:textId="5EB7468A">
      <w:pPr>
        <w:rPr>
          <w:sz w:val="22"/>
          <w:szCs w:val="22"/>
        </w:rPr>
      </w:pPr>
    </w:p>
    <w:p w:rsidR="00542B00" w:rsidP="00AC2BCA" w:rsidRDefault="006C228F" w14:paraId="3A8874C3" w14:textId="176843E3">
      <w:pPr>
        <w:rPr>
          <w:sz w:val="22"/>
          <w:szCs w:val="22"/>
        </w:rPr>
      </w:pPr>
      <w:r w:rsidRPr="00CF4114">
        <w:rPr>
          <w:sz w:val="22"/>
          <w:szCs w:val="22"/>
        </w:rPr>
        <w:t>In</w:t>
      </w:r>
      <w:r>
        <w:rPr>
          <w:sz w:val="22"/>
          <w:szCs w:val="22"/>
        </w:rPr>
        <w:t xml:space="preserve"> the </w:t>
      </w:r>
      <w:r w:rsidR="00A940CB">
        <w:rPr>
          <w:sz w:val="22"/>
          <w:szCs w:val="22"/>
        </w:rPr>
        <w:t xml:space="preserve">National </w:t>
      </w:r>
      <w:r w:rsidR="001011E0">
        <w:rPr>
          <w:bCs/>
          <w:sz w:val="22"/>
          <w:szCs w:val="22"/>
        </w:rPr>
        <w:t>YRBS</w:t>
      </w:r>
      <w:r w:rsidRPr="006C228F">
        <w:rPr>
          <w:bCs/>
          <w:sz w:val="22"/>
          <w:szCs w:val="22"/>
        </w:rPr>
        <w:t xml:space="preserve"> Test-Retest Reliability Study, we</w:t>
      </w:r>
      <w:r w:rsidRPr="006C228F">
        <w:rPr>
          <w:sz w:val="22"/>
          <w:szCs w:val="22"/>
        </w:rPr>
        <w:t xml:space="preserve"> </w:t>
      </w:r>
      <w:r w:rsidRPr="006C228F" w:rsidR="00542B00">
        <w:rPr>
          <w:sz w:val="22"/>
          <w:szCs w:val="22"/>
        </w:rPr>
        <w:t>expect the token of appreciation to</w:t>
      </w:r>
      <w:r w:rsidR="000C0B3C">
        <w:rPr>
          <w:sz w:val="22"/>
          <w:szCs w:val="22"/>
        </w:rPr>
        <w:t xml:space="preserve"> accomplish the following goals</w:t>
      </w:r>
      <w:r w:rsidRPr="006C228F" w:rsidR="00542B00">
        <w:rPr>
          <w:sz w:val="22"/>
          <w:szCs w:val="22"/>
        </w:rPr>
        <w:t>: in</w:t>
      </w:r>
      <w:r w:rsidRPr="0091687C" w:rsidR="00542B00">
        <w:rPr>
          <w:sz w:val="22"/>
          <w:szCs w:val="22"/>
        </w:rPr>
        <w:t xml:space="preserve">crease principal </w:t>
      </w:r>
      <w:r w:rsidR="001011E0">
        <w:rPr>
          <w:sz w:val="22"/>
          <w:szCs w:val="22"/>
        </w:rPr>
        <w:t xml:space="preserve">and teacher </w:t>
      </w:r>
      <w:r w:rsidRPr="0091687C" w:rsidR="00542B00">
        <w:rPr>
          <w:sz w:val="22"/>
          <w:szCs w:val="22"/>
        </w:rPr>
        <w:t>interest</w:t>
      </w:r>
      <w:r w:rsidR="007E14B0">
        <w:rPr>
          <w:sz w:val="22"/>
          <w:szCs w:val="22"/>
        </w:rPr>
        <w:t xml:space="preserve">; </w:t>
      </w:r>
      <w:r w:rsidRPr="0091687C" w:rsidR="00542B00">
        <w:rPr>
          <w:sz w:val="22"/>
          <w:szCs w:val="22"/>
        </w:rPr>
        <w:t xml:space="preserve">encourage </w:t>
      </w:r>
      <w:r w:rsidR="00352ABF">
        <w:rPr>
          <w:sz w:val="22"/>
          <w:szCs w:val="22"/>
        </w:rPr>
        <w:t>schools</w:t>
      </w:r>
      <w:r w:rsidR="007E14B0">
        <w:rPr>
          <w:sz w:val="22"/>
          <w:szCs w:val="22"/>
        </w:rPr>
        <w:t xml:space="preserve"> and teachers</w:t>
      </w:r>
      <w:r w:rsidRPr="0091687C" w:rsidR="00542B00">
        <w:rPr>
          <w:sz w:val="22"/>
          <w:szCs w:val="22"/>
        </w:rPr>
        <w:t xml:space="preserve"> to prioritize participation </w:t>
      </w:r>
      <w:r w:rsidR="001011E0">
        <w:rPr>
          <w:sz w:val="22"/>
          <w:szCs w:val="22"/>
        </w:rPr>
        <w:t xml:space="preserve">in this study </w:t>
      </w:r>
      <w:r w:rsidRPr="0091687C" w:rsidR="00542B00">
        <w:rPr>
          <w:sz w:val="22"/>
          <w:szCs w:val="22"/>
        </w:rPr>
        <w:t xml:space="preserve">over other </w:t>
      </w:r>
      <w:r w:rsidR="007E14B0">
        <w:rPr>
          <w:sz w:val="22"/>
          <w:szCs w:val="22"/>
        </w:rPr>
        <w:t xml:space="preserve">voluntary </w:t>
      </w:r>
      <w:r w:rsidRPr="0091687C" w:rsidR="00542B00">
        <w:rPr>
          <w:sz w:val="22"/>
          <w:szCs w:val="22"/>
        </w:rPr>
        <w:t xml:space="preserve">activities that do not provide a monetary reward; improve the quality of the data; increase the likelihood of </w:t>
      </w:r>
      <w:r w:rsidR="001011E0">
        <w:rPr>
          <w:sz w:val="22"/>
          <w:szCs w:val="22"/>
        </w:rPr>
        <w:t>classrooms</w:t>
      </w:r>
      <w:r w:rsidRPr="0091687C" w:rsidR="00542B00">
        <w:rPr>
          <w:sz w:val="22"/>
          <w:szCs w:val="22"/>
        </w:rPr>
        <w:t xml:space="preserve"> </w:t>
      </w:r>
      <w:r w:rsidR="001011E0">
        <w:rPr>
          <w:sz w:val="22"/>
          <w:szCs w:val="22"/>
        </w:rPr>
        <w:t>participating in</w:t>
      </w:r>
      <w:r w:rsidR="00352ABF">
        <w:rPr>
          <w:sz w:val="22"/>
          <w:szCs w:val="22"/>
        </w:rPr>
        <w:t xml:space="preserve"> both the </w:t>
      </w:r>
      <w:r w:rsidRPr="0091687C" w:rsidR="00542B00">
        <w:rPr>
          <w:sz w:val="22"/>
          <w:szCs w:val="22"/>
        </w:rPr>
        <w:t>Time 1 and Time 2 survey</w:t>
      </w:r>
      <w:r w:rsidR="00352ABF">
        <w:rPr>
          <w:sz w:val="22"/>
          <w:szCs w:val="22"/>
        </w:rPr>
        <w:t xml:space="preserve"> administrations</w:t>
      </w:r>
      <w:r w:rsidRPr="0091687C" w:rsidR="00542B00">
        <w:rPr>
          <w:sz w:val="22"/>
          <w:szCs w:val="22"/>
        </w:rPr>
        <w:t>; and partially compensate principals’</w:t>
      </w:r>
      <w:r w:rsidR="001011E0">
        <w:rPr>
          <w:sz w:val="22"/>
          <w:szCs w:val="22"/>
        </w:rPr>
        <w:t xml:space="preserve"> and teachers’</w:t>
      </w:r>
      <w:r w:rsidRPr="0091687C" w:rsidR="00542B00">
        <w:rPr>
          <w:sz w:val="22"/>
          <w:szCs w:val="22"/>
        </w:rPr>
        <w:t xml:space="preserve"> time and effort related to </w:t>
      </w:r>
      <w:r w:rsidR="001011E0">
        <w:rPr>
          <w:sz w:val="22"/>
          <w:szCs w:val="22"/>
        </w:rPr>
        <w:t>admin</w:t>
      </w:r>
      <w:r w:rsidR="00352ABF">
        <w:rPr>
          <w:sz w:val="22"/>
          <w:szCs w:val="22"/>
        </w:rPr>
        <w:t>i</w:t>
      </w:r>
      <w:r w:rsidR="001011E0">
        <w:rPr>
          <w:sz w:val="22"/>
          <w:szCs w:val="22"/>
        </w:rPr>
        <w:t>st</w:t>
      </w:r>
      <w:r w:rsidRPr="00DD6F35" w:rsidR="001011E0">
        <w:rPr>
          <w:sz w:val="22"/>
          <w:szCs w:val="22"/>
        </w:rPr>
        <w:t>ering</w:t>
      </w:r>
      <w:r w:rsidRPr="00DD6F35" w:rsidR="00542B00">
        <w:rPr>
          <w:sz w:val="22"/>
          <w:szCs w:val="22"/>
        </w:rPr>
        <w:t xml:space="preserve"> the surveys</w:t>
      </w:r>
      <w:r w:rsidRPr="00DD6F35" w:rsidR="00C10352">
        <w:rPr>
          <w:sz w:val="22"/>
          <w:szCs w:val="22"/>
        </w:rPr>
        <w:t>.</w:t>
      </w:r>
      <w:r w:rsidRPr="00DD6F35" w:rsidR="00AD26EB">
        <w:rPr>
          <w:sz w:val="22"/>
          <w:szCs w:val="22"/>
        </w:rPr>
        <w:t xml:space="preserve"> </w:t>
      </w:r>
      <w:r w:rsidR="00762C02">
        <w:rPr>
          <w:sz w:val="22"/>
          <w:szCs w:val="22"/>
        </w:rPr>
        <w:t xml:space="preserve">The </w:t>
      </w:r>
      <w:r w:rsidR="001D3B97">
        <w:rPr>
          <w:sz w:val="22"/>
          <w:szCs w:val="22"/>
        </w:rPr>
        <w:t>CDC has offered similar tokens of appreciation to schools participating in the national YRBS since 2001. For the 2017 and 2019 cycles, these tokens helped maintain school participation rates despite the growing number of competing demands placed on schools.</w:t>
      </w:r>
      <w:r w:rsidR="00F77A49">
        <w:rPr>
          <w:sz w:val="22"/>
          <w:szCs w:val="22"/>
        </w:rPr>
        <w:t xml:space="preserve"> </w:t>
      </w:r>
    </w:p>
    <w:p w:rsidR="00352ABF" w:rsidP="00AC2BCA" w:rsidRDefault="00352ABF" w14:paraId="56A08B57" w14:textId="17C1DE13">
      <w:pPr>
        <w:rPr>
          <w:sz w:val="22"/>
          <w:szCs w:val="22"/>
        </w:rPr>
      </w:pPr>
    </w:p>
    <w:p w:rsidRPr="0091687C" w:rsidR="00352ABF" w:rsidP="00AC2BCA" w:rsidRDefault="00352ABF" w14:paraId="03713B73" w14:textId="7B9479A3">
      <w:pPr>
        <w:rPr>
          <w:sz w:val="22"/>
          <w:szCs w:val="22"/>
        </w:rPr>
      </w:pPr>
      <w:r>
        <w:rPr>
          <w:sz w:val="22"/>
          <w:szCs w:val="22"/>
        </w:rPr>
        <w:t>Students will not be offered tokens of appreciation, but will be able to complete the survey during class time.</w:t>
      </w:r>
      <w:r w:rsidR="007061E8">
        <w:rPr>
          <w:sz w:val="22"/>
          <w:szCs w:val="22"/>
        </w:rPr>
        <w:t xml:space="preserve"> </w:t>
      </w:r>
      <w:r>
        <w:rPr>
          <w:sz w:val="22"/>
          <w:szCs w:val="22"/>
        </w:rPr>
        <w:t xml:space="preserve">This limits the burden on the students as they will not be asked to use </w:t>
      </w:r>
      <w:r w:rsidR="00D96952">
        <w:rPr>
          <w:sz w:val="22"/>
          <w:szCs w:val="22"/>
        </w:rPr>
        <w:t>non-school hours</w:t>
      </w:r>
      <w:r>
        <w:rPr>
          <w:sz w:val="22"/>
          <w:szCs w:val="22"/>
        </w:rPr>
        <w:t xml:space="preserve"> to complete the survey, or to schedule the survey during a free period during the day.</w:t>
      </w:r>
    </w:p>
    <w:p w:rsidR="00EB104F" w:rsidP="00EB104F" w:rsidRDefault="00EB104F" w14:paraId="61588F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DB012E" w:rsidR="00EB104F" w:rsidP="00AD26EB" w:rsidRDefault="00EB104F" w14:paraId="1D730ABB" w14:textId="32B6C246">
      <w:pPr>
        <w:pStyle w:val="ExhibitText"/>
        <w:ind w:left="630" w:hanging="630"/>
        <w:outlineLvl w:val="1"/>
        <w:rPr>
          <w:b/>
          <w:sz w:val="22"/>
          <w:szCs w:val="22"/>
        </w:rPr>
      </w:pPr>
      <w:bookmarkStart w:name="_Toc344295576" w:id="13"/>
      <w:r w:rsidRPr="009241F9">
        <w:rPr>
          <w:b/>
          <w:sz w:val="22"/>
          <w:szCs w:val="22"/>
        </w:rPr>
        <w:t>A.10</w:t>
      </w:r>
      <w:r w:rsidRPr="009241F9">
        <w:rPr>
          <w:b/>
          <w:sz w:val="22"/>
          <w:szCs w:val="22"/>
        </w:rPr>
        <w:tab/>
      </w:r>
      <w:r w:rsidRPr="009241F9" w:rsidR="00F73447">
        <w:rPr>
          <w:b/>
          <w:sz w:val="22"/>
          <w:szCs w:val="22"/>
        </w:rPr>
        <w:t>PROTECTION OF THE PRIVACY AND</w:t>
      </w:r>
      <w:r w:rsidRPr="009241F9">
        <w:rPr>
          <w:b/>
          <w:sz w:val="22"/>
          <w:szCs w:val="22"/>
        </w:rPr>
        <w:t xml:space="preserve"> CONFIDENTIALITY</w:t>
      </w:r>
      <w:r w:rsidRPr="009241F9" w:rsidR="00F73447">
        <w:rPr>
          <w:b/>
          <w:sz w:val="22"/>
          <w:szCs w:val="22"/>
        </w:rPr>
        <w:t xml:space="preserve"> OF INFORMATION</w:t>
      </w:r>
      <w:r w:rsidRPr="009241F9">
        <w:rPr>
          <w:b/>
          <w:sz w:val="22"/>
          <w:szCs w:val="22"/>
        </w:rPr>
        <w:t xml:space="preserve"> PROVIDED </w:t>
      </w:r>
      <w:r w:rsidRPr="009241F9" w:rsidR="00F73447">
        <w:rPr>
          <w:b/>
          <w:sz w:val="22"/>
          <w:szCs w:val="22"/>
        </w:rPr>
        <w:t>BY</w:t>
      </w:r>
      <w:r w:rsidRPr="009241F9">
        <w:rPr>
          <w:b/>
          <w:sz w:val="22"/>
          <w:szCs w:val="22"/>
        </w:rPr>
        <w:t xml:space="preserve"> RESPONDENTS</w:t>
      </w:r>
      <w:bookmarkEnd w:id="13"/>
    </w:p>
    <w:p w:rsidR="00EB104F" w:rsidP="00EB104F" w:rsidRDefault="00EB104F" w14:paraId="616F7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7946E7" w:rsidR="00C22655" w:rsidP="007946E7" w:rsidRDefault="00C22655" w14:paraId="6CCEF203" w14:textId="132A9A7F">
      <w:pPr>
        <w:widowControl/>
        <w:autoSpaceDE/>
        <w:autoSpaceDN/>
        <w:adjustRightInd/>
        <w:rPr>
          <w:rFonts w:ascii="Arial" w:hAnsi="Arial" w:eastAsia="SimSun" w:cs="Arial"/>
          <w:b/>
          <w:color w:val="000000"/>
          <w:sz w:val="22"/>
          <w:szCs w:val="22"/>
          <w:lang w:eastAsia="zh-CN"/>
        </w:rPr>
      </w:pPr>
      <w:r w:rsidRPr="007946E7">
        <w:rPr>
          <w:sz w:val="22"/>
          <w:szCs w:val="22"/>
        </w:rPr>
        <w:t xml:space="preserve">In review of this application, it has been determined that the Privacy Act </w:t>
      </w:r>
      <w:r w:rsidR="00C808E0">
        <w:rPr>
          <w:sz w:val="22"/>
          <w:szCs w:val="22"/>
        </w:rPr>
        <w:t>does not apply</w:t>
      </w:r>
      <w:r w:rsidRPr="007946E7">
        <w:rPr>
          <w:sz w:val="22"/>
          <w:szCs w:val="22"/>
        </w:rPr>
        <w:t xml:space="preserve"> to information collected through the </w:t>
      </w:r>
      <w:r w:rsidR="00731F81">
        <w:rPr>
          <w:sz w:val="22"/>
          <w:szCs w:val="22"/>
        </w:rPr>
        <w:t>YRBS</w:t>
      </w:r>
      <w:r w:rsidRPr="007946E7">
        <w:rPr>
          <w:sz w:val="22"/>
          <w:szCs w:val="22"/>
        </w:rPr>
        <w:t xml:space="preserve"> questionnaires.</w:t>
      </w:r>
      <w:r w:rsidR="00AD26EB">
        <w:rPr>
          <w:sz w:val="22"/>
          <w:szCs w:val="22"/>
        </w:rPr>
        <w:t xml:space="preserve"> </w:t>
      </w:r>
      <w:r w:rsidR="009241F9">
        <w:rPr>
          <w:sz w:val="22"/>
          <w:szCs w:val="22"/>
        </w:rPr>
        <w:t>No personally id</w:t>
      </w:r>
      <w:r w:rsidRPr="007946E7" w:rsidR="00632967">
        <w:rPr>
          <w:sz w:val="22"/>
          <w:szCs w:val="22"/>
        </w:rPr>
        <w:t xml:space="preserve">entifiable information (name, </w:t>
      </w:r>
      <w:r w:rsidR="009241F9">
        <w:rPr>
          <w:sz w:val="22"/>
          <w:szCs w:val="22"/>
        </w:rPr>
        <w:t xml:space="preserve">date of birth, </w:t>
      </w:r>
      <w:r w:rsidRPr="007946E7" w:rsidR="00632967">
        <w:rPr>
          <w:sz w:val="22"/>
          <w:szCs w:val="22"/>
        </w:rPr>
        <w:t>address, etc.) will be collected</w:t>
      </w:r>
      <w:r w:rsidR="009241F9">
        <w:rPr>
          <w:sz w:val="22"/>
          <w:szCs w:val="22"/>
        </w:rPr>
        <w:t xml:space="preserve"> </w:t>
      </w:r>
      <w:r w:rsidR="00EC2ECB">
        <w:rPr>
          <w:sz w:val="22"/>
          <w:szCs w:val="22"/>
        </w:rPr>
        <w:t>with the survey data</w:t>
      </w:r>
      <w:r w:rsidRPr="007946E7" w:rsidR="00632967">
        <w:rPr>
          <w:sz w:val="22"/>
          <w:szCs w:val="22"/>
        </w:rPr>
        <w:t>.</w:t>
      </w:r>
      <w:r w:rsidR="007061E8">
        <w:rPr>
          <w:sz w:val="22"/>
          <w:szCs w:val="22"/>
        </w:rPr>
        <w:t xml:space="preserve"> </w:t>
      </w:r>
      <w:r w:rsidR="009241F9">
        <w:rPr>
          <w:sz w:val="22"/>
          <w:szCs w:val="22"/>
        </w:rPr>
        <w:t xml:space="preserve">Although students </w:t>
      </w:r>
      <w:r w:rsidR="00731F81">
        <w:rPr>
          <w:sz w:val="22"/>
          <w:szCs w:val="22"/>
        </w:rPr>
        <w:t xml:space="preserve">will </w:t>
      </w:r>
      <w:r w:rsidR="009241F9">
        <w:rPr>
          <w:sz w:val="22"/>
          <w:szCs w:val="22"/>
        </w:rPr>
        <w:t xml:space="preserve">write their names </w:t>
      </w:r>
      <w:r w:rsidR="00731F81">
        <w:rPr>
          <w:sz w:val="22"/>
          <w:szCs w:val="22"/>
        </w:rPr>
        <w:t xml:space="preserve">on </w:t>
      </w:r>
      <w:r w:rsidR="009241F9">
        <w:rPr>
          <w:sz w:val="22"/>
          <w:szCs w:val="22"/>
        </w:rPr>
        <w:t>envelopes containing blank surveys</w:t>
      </w:r>
      <w:r w:rsidR="00EC2ECB">
        <w:rPr>
          <w:sz w:val="22"/>
          <w:szCs w:val="22"/>
        </w:rPr>
        <w:t xml:space="preserve"> for the purposes of administering the data collection</w:t>
      </w:r>
      <w:r w:rsidR="009241F9">
        <w:rPr>
          <w:sz w:val="22"/>
          <w:szCs w:val="22"/>
        </w:rPr>
        <w:t xml:space="preserve">, those envelopes </w:t>
      </w:r>
      <w:r w:rsidR="00731F81">
        <w:rPr>
          <w:sz w:val="22"/>
          <w:szCs w:val="22"/>
        </w:rPr>
        <w:lastRenderedPageBreak/>
        <w:t xml:space="preserve">will never </w:t>
      </w:r>
      <w:r w:rsidR="00EC2ECB">
        <w:rPr>
          <w:sz w:val="22"/>
          <w:szCs w:val="22"/>
        </w:rPr>
        <w:t xml:space="preserve">contain completed surveys or </w:t>
      </w:r>
      <w:r w:rsidR="00731F81">
        <w:rPr>
          <w:sz w:val="22"/>
          <w:szCs w:val="22"/>
        </w:rPr>
        <w:t>be linked to</w:t>
      </w:r>
      <w:r w:rsidR="009241F9">
        <w:rPr>
          <w:sz w:val="22"/>
          <w:szCs w:val="22"/>
        </w:rPr>
        <w:t xml:space="preserve"> a student’s completed survey</w:t>
      </w:r>
      <w:r w:rsidR="00EC2ECB">
        <w:rPr>
          <w:sz w:val="22"/>
          <w:szCs w:val="22"/>
        </w:rPr>
        <w:t>.</w:t>
      </w:r>
      <w:r w:rsidR="007061E8">
        <w:rPr>
          <w:sz w:val="22"/>
          <w:szCs w:val="22"/>
        </w:rPr>
        <w:t xml:space="preserve"> </w:t>
      </w:r>
      <w:r w:rsidR="00EC2ECB">
        <w:rPr>
          <w:sz w:val="22"/>
          <w:szCs w:val="22"/>
        </w:rPr>
        <w:t>Further, the envelopes will be</w:t>
      </w:r>
      <w:r w:rsidR="009241F9">
        <w:rPr>
          <w:sz w:val="22"/>
          <w:szCs w:val="22"/>
        </w:rPr>
        <w:t xml:space="preserve"> destroyed by the students themselves</w:t>
      </w:r>
      <w:r w:rsidR="00EC2ECB">
        <w:rPr>
          <w:sz w:val="22"/>
          <w:szCs w:val="22"/>
        </w:rPr>
        <w:t xml:space="preserve"> and not archived with the study materials</w:t>
      </w:r>
      <w:r w:rsidR="00731F81">
        <w:rPr>
          <w:sz w:val="22"/>
          <w:szCs w:val="22"/>
        </w:rPr>
        <w:t>.</w:t>
      </w:r>
      <w:r w:rsidR="007061E8">
        <w:rPr>
          <w:sz w:val="22"/>
          <w:szCs w:val="22"/>
        </w:rPr>
        <w:t xml:space="preserve"> </w:t>
      </w:r>
      <w:r w:rsidR="00731F81">
        <w:rPr>
          <w:sz w:val="22"/>
          <w:szCs w:val="22"/>
        </w:rPr>
        <w:t>No names or other personally identifying information will ever be</w:t>
      </w:r>
      <w:r w:rsidR="009241F9">
        <w:rPr>
          <w:sz w:val="22"/>
          <w:szCs w:val="22"/>
        </w:rPr>
        <w:t xml:space="preserve"> recorded by data collectors or retained </w:t>
      </w:r>
      <w:r w:rsidR="00731F81">
        <w:rPr>
          <w:sz w:val="22"/>
          <w:szCs w:val="22"/>
        </w:rPr>
        <w:t>with the</w:t>
      </w:r>
      <w:r w:rsidR="009241F9">
        <w:rPr>
          <w:sz w:val="22"/>
          <w:szCs w:val="22"/>
        </w:rPr>
        <w:t xml:space="preserve"> </w:t>
      </w:r>
      <w:r w:rsidR="00731F81">
        <w:rPr>
          <w:sz w:val="22"/>
          <w:szCs w:val="22"/>
        </w:rPr>
        <w:t>data</w:t>
      </w:r>
      <w:r w:rsidRPr="007946E7">
        <w:rPr>
          <w:sz w:val="22"/>
          <w:szCs w:val="22"/>
        </w:rPr>
        <w:t>.</w:t>
      </w:r>
      <w:r w:rsidR="00AD26EB">
        <w:rPr>
          <w:sz w:val="22"/>
          <w:szCs w:val="22"/>
        </w:rPr>
        <w:t xml:space="preserve"> </w:t>
      </w:r>
      <w:r w:rsidR="00731F81">
        <w:rPr>
          <w:sz w:val="22"/>
          <w:szCs w:val="22"/>
        </w:rPr>
        <w:t xml:space="preserve">In cases of active parental consent, consent forms will be </w:t>
      </w:r>
      <w:r w:rsidR="00EC2ECB">
        <w:rPr>
          <w:sz w:val="22"/>
          <w:szCs w:val="22"/>
        </w:rPr>
        <w:t>collected by teachers and transferred to the data collector to be sent back to the main office for storage separate</w:t>
      </w:r>
      <w:r w:rsidR="00731F81">
        <w:rPr>
          <w:sz w:val="22"/>
          <w:szCs w:val="22"/>
        </w:rPr>
        <w:t xml:space="preserve"> from all survey </w:t>
      </w:r>
      <w:r w:rsidR="00EC2ECB">
        <w:rPr>
          <w:sz w:val="22"/>
          <w:szCs w:val="22"/>
        </w:rPr>
        <w:t xml:space="preserve">response </w:t>
      </w:r>
      <w:r w:rsidR="00731F81">
        <w:rPr>
          <w:sz w:val="22"/>
          <w:szCs w:val="22"/>
        </w:rPr>
        <w:t>data</w:t>
      </w:r>
      <w:r w:rsidR="00EC2ECB">
        <w:rPr>
          <w:sz w:val="22"/>
          <w:szCs w:val="22"/>
        </w:rPr>
        <w:t>.</w:t>
      </w:r>
      <w:r w:rsidR="007061E8">
        <w:rPr>
          <w:sz w:val="22"/>
          <w:szCs w:val="22"/>
        </w:rPr>
        <w:t xml:space="preserve"> </w:t>
      </w:r>
      <w:r w:rsidR="00EC2ECB">
        <w:rPr>
          <w:sz w:val="22"/>
          <w:szCs w:val="22"/>
        </w:rPr>
        <w:t>N</w:t>
      </w:r>
      <w:r w:rsidR="00731F81">
        <w:rPr>
          <w:sz w:val="22"/>
          <w:szCs w:val="22"/>
        </w:rPr>
        <w:t>either the consent form nor the student name on the consent form will ever be linked to the unique identifier being used on the survey.</w:t>
      </w:r>
      <w:r w:rsidR="007061E8">
        <w:rPr>
          <w:sz w:val="22"/>
          <w:szCs w:val="22"/>
        </w:rPr>
        <w:t xml:space="preserve"> </w:t>
      </w:r>
      <w:r w:rsidR="00EC2ECB">
        <w:rPr>
          <w:sz w:val="22"/>
          <w:szCs w:val="22"/>
        </w:rPr>
        <w:t>It will never be possible to link survey response data to a name on a consent form.</w:t>
      </w:r>
      <w:r w:rsidR="007061E8">
        <w:rPr>
          <w:sz w:val="22"/>
          <w:szCs w:val="22"/>
        </w:rPr>
        <w:t xml:space="preserve"> </w:t>
      </w:r>
      <w:r w:rsidR="0024625C">
        <w:rPr>
          <w:sz w:val="22"/>
          <w:szCs w:val="22"/>
        </w:rPr>
        <w:t xml:space="preserve">Consent forms will be destroyed upon completion of the study. </w:t>
      </w:r>
    </w:p>
    <w:p w:rsidRPr="007946E7" w:rsidR="00C22655" w:rsidP="00EB104F" w:rsidRDefault="00C22655" w14:paraId="5A275CC4" w14:textId="77777777">
      <w:pPr>
        <w:ind w:firstLine="720"/>
        <w:rPr>
          <w:sz w:val="22"/>
          <w:szCs w:val="22"/>
          <w:highlight w:val="green"/>
        </w:rPr>
      </w:pPr>
    </w:p>
    <w:p w:rsidRPr="007946E7" w:rsidR="00E341B9" w:rsidP="00E341B9" w:rsidRDefault="00632967" w14:paraId="78ABD1A3" w14:textId="77777777">
      <w:pPr>
        <w:widowControl/>
        <w:tabs>
          <w:tab w:val="left" w:pos="720"/>
          <w:tab w:val="left" w:pos="2880"/>
        </w:tabs>
        <w:rPr>
          <w:sz w:val="22"/>
          <w:szCs w:val="22"/>
        </w:rPr>
      </w:pPr>
      <w:r w:rsidRPr="007946E7">
        <w:rPr>
          <w:sz w:val="22"/>
          <w:szCs w:val="22"/>
        </w:rPr>
        <w:t>The data collection contractor has several security procedures in place to safeguard data.</w:t>
      </w:r>
      <w:r w:rsidR="00AD26EB">
        <w:rPr>
          <w:sz w:val="22"/>
          <w:szCs w:val="22"/>
        </w:rPr>
        <w:t xml:space="preserve"> </w:t>
      </w:r>
      <w:r w:rsidRPr="007946E7">
        <w:rPr>
          <w:sz w:val="22"/>
          <w:szCs w:val="22"/>
        </w:rPr>
        <w:t>All electronic data will be stored on secured servers and will be accessible only to staff directly involved in the project.</w:t>
      </w:r>
      <w:r w:rsidR="00AD26EB">
        <w:rPr>
          <w:sz w:val="22"/>
          <w:szCs w:val="22"/>
        </w:rPr>
        <w:t xml:space="preserve"> </w:t>
      </w:r>
      <w:r w:rsidRPr="007946E7" w:rsidR="00E341B9">
        <w:rPr>
          <w:sz w:val="22"/>
          <w:szCs w:val="22"/>
        </w:rPr>
        <w:t xml:space="preserve">Also, all contractor staff involved with the project will be required to sign a </w:t>
      </w:r>
      <w:r w:rsidR="00E341B9">
        <w:rPr>
          <w:sz w:val="22"/>
          <w:szCs w:val="22"/>
        </w:rPr>
        <w:t>form related to safeguarding participant PII</w:t>
      </w:r>
      <w:r w:rsidRPr="007946E7" w:rsidR="00E341B9">
        <w:rPr>
          <w:sz w:val="22"/>
          <w:szCs w:val="22"/>
        </w:rPr>
        <w:t>, which is a statement of personal commitment to guard the of data.</w:t>
      </w:r>
      <w:r w:rsidR="00E341B9">
        <w:rPr>
          <w:sz w:val="22"/>
          <w:szCs w:val="22"/>
        </w:rPr>
        <w:t xml:space="preserve"> </w:t>
      </w:r>
    </w:p>
    <w:p w:rsidRPr="007946E7" w:rsidR="00632967" w:rsidP="007946E7" w:rsidRDefault="00632967" w14:paraId="331EB8D3" w14:textId="7296479B">
      <w:pPr>
        <w:widowControl/>
        <w:tabs>
          <w:tab w:val="left" w:pos="720"/>
          <w:tab w:val="left" w:pos="2880"/>
        </w:tabs>
        <w:rPr>
          <w:sz w:val="22"/>
          <w:szCs w:val="22"/>
        </w:rPr>
      </w:pPr>
    </w:p>
    <w:p w:rsidRPr="007946E7" w:rsidR="00EB104F" w:rsidP="007946E7" w:rsidRDefault="00EB104F" w14:paraId="2B8F74A6" w14:textId="32919BE6">
      <w:pPr>
        <w:rPr>
          <w:sz w:val="22"/>
          <w:szCs w:val="22"/>
        </w:rPr>
      </w:pPr>
      <w:r w:rsidRPr="007946E7">
        <w:rPr>
          <w:sz w:val="22"/>
          <w:szCs w:val="22"/>
        </w:rPr>
        <w:t>Provision of the information provided by respondents is voluntary and sample</w:t>
      </w:r>
      <w:r w:rsidR="0024660F">
        <w:rPr>
          <w:sz w:val="22"/>
          <w:szCs w:val="22"/>
        </w:rPr>
        <w:t>d</w:t>
      </w:r>
      <w:r w:rsidRPr="007946E7">
        <w:rPr>
          <w:sz w:val="22"/>
          <w:szCs w:val="22"/>
        </w:rPr>
        <w:t xml:space="preserve"> </w:t>
      </w:r>
      <w:r w:rsidR="0024660F">
        <w:rPr>
          <w:sz w:val="22"/>
          <w:szCs w:val="22"/>
        </w:rPr>
        <w:t>participants</w:t>
      </w:r>
      <w:r w:rsidRPr="007946E7" w:rsidR="0024660F">
        <w:rPr>
          <w:sz w:val="22"/>
          <w:szCs w:val="22"/>
        </w:rPr>
        <w:t xml:space="preserve"> </w:t>
      </w:r>
      <w:r w:rsidRPr="007946E7">
        <w:rPr>
          <w:sz w:val="22"/>
          <w:szCs w:val="22"/>
        </w:rPr>
        <w:t>will be assured that there is no penalty if they decide not to respond, either to the information collection as a whole or to any particular question.</w:t>
      </w:r>
      <w:r w:rsidR="00AD26EB">
        <w:rPr>
          <w:sz w:val="22"/>
          <w:szCs w:val="22"/>
        </w:rPr>
        <w:t xml:space="preserve"> </w:t>
      </w:r>
      <w:r w:rsidRPr="007946E7">
        <w:rPr>
          <w:sz w:val="22"/>
          <w:szCs w:val="22"/>
        </w:rPr>
        <w:t>All</w:t>
      </w:r>
      <w:r w:rsidRPr="007946E7" w:rsidR="00BC04F9">
        <w:rPr>
          <w:sz w:val="22"/>
          <w:szCs w:val="22"/>
        </w:rPr>
        <w:t xml:space="preserve"> </w:t>
      </w:r>
      <w:r w:rsidRPr="007946E7">
        <w:rPr>
          <w:sz w:val="22"/>
          <w:szCs w:val="22"/>
        </w:rPr>
        <w:t xml:space="preserve">respondents will be informed that </w:t>
      </w:r>
      <w:r w:rsidRPr="007946E7" w:rsidR="00BC04F9">
        <w:rPr>
          <w:sz w:val="22"/>
          <w:szCs w:val="22"/>
        </w:rPr>
        <w:t xml:space="preserve">security </w:t>
      </w:r>
      <w:r w:rsidRPr="007946E7">
        <w:rPr>
          <w:sz w:val="22"/>
          <w:szCs w:val="22"/>
        </w:rPr>
        <w:t xml:space="preserve">will be </w:t>
      </w:r>
      <w:r w:rsidRPr="004420E7">
        <w:rPr>
          <w:sz w:val="22"/>
          <w:szCs w:val="22"/>
        </w:rPr>
        <w:t xml:space="preserve">maintained throughout data collection (to the extent permitted by law), all data will be closely </w:t>
      </w:r>
      <w:r w:rsidRPr="004420E7" w:rsidR="00A32E69">
        <w:rPr>
          <w:sz w:val="22"/>
          <w:szCs w:val="22"/>
        </w:rPr>
        <w:t>safeguarded</w:t>
      </w:r>
      <w:r w:rsidRPr="004420E7">
        <w:rPr>
          <w:sz w:val="22"/>
          <w:szCs w:val="22"/>
        </w:rPr>
        <w:t xml:space="preserve"> and no institutional or individual identifiers will be used in study reports; only aggregated data will be reported.</w:t>
      </w:r>
    </w:p>
    <w:p w:rsidR="00EB104F" w:rsidP="00EB104F" w:rsidRDefault="00EB104F" w14:paraId="397AC259" w14:textId="77777777"/>
    <w:p w:rsidRPr="00DB012E" w:rsidR="00EB104F" w:rsidP="00AD26EB" w:rsidRDefault="00EB104F" w14:paraId="357E9318" w14:textId="2199B813">
      <w:pPr>
        <w:pStyle w:val="ExhibitText"/>
        <w:ind w:left="630" w:hanging="630"/>
        <w:outlineLvl w:val="1"/>
        <w:rPr>
          <w:b/>
          <w:sz w:val="22"/>
          <w:szCs w:val="22"/>
        </w:rPr>
      </w:pPr>
      <w:bookmarkStart w:name="_Toc344295578" w:id="14"/>
      <w:r w:rsidRPr="004C1B69">
        <w:rPr>
          <w:b/>
          <w:sz w:val="22"/>
          <w:szCs w:val="22"/>
        </w:rPr>
        <w:t>A.11</w:t>
      </w:r>
      <w:r w:rsidRPr="004C1B69">
        <w:rPr>
          <w:b/>
          <w:sz w:val="22"/>
          <w:szCs w:val="22"/>
        </w:rPr>
        <w:tab/>
      </w:r>
      <w:r w:rsidRPr="004C1B69" w:rsidR="00F73447">
        <w:rPr>
          <w:b/>
          <w:sz w:val="22"/>
          <w:szCs w:val="22"/>
        </w:rPr>
        <w:t xml:space="preserve">INSTITUTIONAL REVIEW BOARD (IRB) AND </w:t>
      </w:r>
      <w:r w:rsidRPr="004C1B69">
        <w:rPr>
          <w:b/>
          <w:sz w:val="22"/>
          <w:szCs w:val="22"/>
        </w:rPr>
        <w:t>JUSTIFICATION FOR SENSITIVE QUESTIONS</w:t>
      </w:r>
      <w:bookmarkEnd w:id="14"/>
    </w:p>
    <w:p w:rsidR="00EB104F" w:rsidP="00EB104F" w:rsidRDefault="00EB104F" w14:paraId="53DDD37D" w14:textId="77777777"/>
    <w:p w:rsidRPr="004068FD" w:rsidR="00F73447" w:rsidP="007946E7" w:rsidRDefault="00F73447" w14:paraId="3377A24A" w14:textId="77777777">
      <w:pPr>
        <w:rPr>
          <w:b/>
          <w:sz w:val="22"/>
          <w:szCs w:val="22"/>
        </w:rPr>
      </w:pPr>
      <w:r w:rsidRPr="004068FD">
        <w:rPr>
          <w:b/>
          <w:sz w:val="22"/>
          <w:szCs w:val="22"/>
        </w:rPr>
        <w:t>IRB Approval</w:t>
      </w:r>
    </w:p>
    <w:p w:rsidR="00F73447" w:rsidP="00F73447" w:rsidRDefault="00F73447" w14:paraId="48614D2C" w14:textId="77777777">
      <w:pPr>
        <w:rPr>
          <w:sz w:val="22"/>
          <w:szCs w:val="22"/>
        </w:rPr>
      </w:pPr>
    </w:p>
    <w:p w:rsidRPr="007946E7" w:rsidR="00F73447" w:rsidP="00F73447" w:rsidRDefault="00F73447" w14:paraId="58D009BE" w14:textId="0BDDFB23">
      <w:pPr>
        <w:rPr>
          <w:sz w:val="22"/>
          <w:szCs w:val="22"/>
        </w:rPr>
      </w:pPr>
      <w:r w:rsidRPr="00421A33">
        <w:rPr>
          <w:sz w:val="22"/>
          <w:szCs w:val="22"/>
        </w:rPr>
        <w:t xml:space="preserve">This data collection has received IRB approval from the Westat IRB and </w:t>
      </w:r>
      <w:r w:rsidRPr="00421A33" w:rsidR="003A2298">
        <w:rPr>
          <w:sz w:val="22"/>
          <w:szCs w:val="22"/>
        </w:rPr>
        <w:t xml:space="preserve">the </w:t>
      </w:r>
      <w:r w:rsidR="00762C02">
        <w:rPr>
          <w:sz w:val="22"/>
          <w:szCs w:val="22"/>
        </w:rPr>
        <w:t>CDC</w:t>
      </w:r>
      <w:r w:rsidRPr="00421A33" w:rsidDel="003A2298" w:rsidR="003A2298">
        <w:rPr>
          <w:sz w:val="22"/>
          <w:szCs w:val="22"/>
        </w:rPr>
        <w:t xml:space="preserve"> </w:t>
      </w:r>
      <w:r w:rsidRPr="00421A33">
        <w:rPr>
          <w:sz w:val="22"/>
          <w:szCs w:val="22"/>
        </w:rPr>
        <w:t>recognize</w:t>
      </w:r>
      <w:r w:rsidRPr="00421A33" w:rsidR="0042062B">
        <w:rPr>
          <w:sz w:val="22"/>
          <w:szCs w:val="22"/>
        </w:rPr>
        <w:t>s</w:t>
      </w:r>
      <w:r w:rsidRPr="00421A33">
        <w:rPr>
          <w:sz w:val="22"/>
          <w:szCs w:val="22"/>
        </w:rPr>
        <w:t xml:space="preserve"> the Westat IRB </w:t>
      </w:r>
      <w:r w:rsidRPr="00421A33" w:rsidR="004068FD">
        <w:rPr>
          <w:sz w:val="22"/>
          <w:szCs w:val="22"/>
        </w:rPr>
        <w:t>approval</w:t>
      </w:r>
      <w:r w:rsidRPr="00421A33">
        <w:rPr>
          <w:sz w:val="22"/>
          <w:szCs w:val="22"/>
        </w:rPr>
        <w:t xml:space="preserve">. The current IRB approval letter is </w:t>
      </w:r>
      <w:r w:rsidRPr="00391565">
        <w:rPr>
          <w:sz w:val="22"/>
          <w:szCs w:val="22"/>
        </w:rPr>
        <w:t xml:space="preserve">in </w:t>
      </w:r>
      <w:r w:rsidRPr="00391565" w:rsidR="002C3725">
        <w:rPr>
          <w:sz w:val="22"/>
          <w:szCs w:val="22"/>
        </w:rPr>
        <w:t xml:space="preserve">Attachment </w:t>
      </w:r>
      <w:r w:rsidR="001C4E8F">
        <w:rPr>
          <w:sz w:val="22"/>
          <w:szCs w:val="22"/>
        </w:rPr>
        <w:t>I</w:t>
      </w:r>
      <w:r w:rsidRPr="00391565" w:rsidR="00244C51">
        <w:rPr>
          <w:sz w:val="22"/>
          <w:szCs w:val="22"/>
        </w:rPr>
        <w:t>.</w:t>
      </w:r>
      <w:r w:rsidR="00AD26EB">
        <w:rPr>
          <w:sz w:val="22"/>
          <w:szCs w:val="22"/>
        </w:rPr>
        <w:t xml:space="preserve"> </w:t>
      </w:r>
    </w:p>
    <w:p w:rsidR="00F73447" w:rsidP="007946E7" w:rsidRDefault="00F73447" w14:paraId="18877DF4" w14:textId="77777777">
      <w:pPr>
        <w:rPr>
          <w:sz w:val="22"/>
          <w:szCs w:val="22"/>
        </w:rPr>
      </w:pPr>
    </w:p>
    <w:p w:rsidRPr="002E77A7" w:rsidR="00F73447" w:rsidP="007946E7" w:rsidRDefault="00F73447" w14:paraId="3C35AB6A" w14:textId="77777777">
      <w:pPr>
        <w:rPr>
          <w:b/>
          <w:sz w:val="22"/>
          <w:szCs w:val="22"/>
        </w:rPr>
      </w:pPr>
      <w:r w:rsidRPr="002E77A7">
        <w:rPr>
          <w:b/>
          <w:sz w:val="22"/>
          <w:szCs w:val="22"/>
        </w:rPr>
        <w:t>Sensitive Questions</w:t>
      </w:r>
    </w:p>
    <w:p w:rsidRPr="004C1B69" w:rsidR="00F73447" w:rsidP="007946E7" w:rsidRDefault="00F73447" w14:paraId="3302B4F0" w14:textId="0E24558A">
      <w:pPr>
        <w:rPr>
          <w:sz w:val="22"/>
          <w:szCs w:val="22"/>
          <w:highlight w:val="yellow"/>
        </w:rPr>
      </w:pPr>
    </w:p>
    <w:p w:rsidRPr="007F045A" w:rsidR="004333F5" w:rsidP="007946E7" w:rsidRDefault="007F045A" w14:paraId="080BDE38" w14:textId="64CCF660">
      <w:pPr>
        <w:rPr>
          <w:i/>
          <w:sz w:val="22"/>
          <w:szCs w:val="22"/>
        </w:rPr>
      </w:pPr>
      <w:r w:rsidRPr="007F045A">
        <w:rPr>
          <w:i/>
          <w:sz w:val="22"/>
          <w:szCs w:val="22"/>
        </w:rPr>
        <w:t>Justification for sensitive questions</w:t>
      </w:r>
    </w:p>
    <w:p w:rsidRPr="00D97D62" w:rsidR="00D97D62" w:rsidP="007946E7" w:rsidRDefault="00D97D62" w14:paraId="3C4D6B37" w14:textId="39186295">
      <w:pPr>
        <w:rPr>
          <w:b/>
          <w:sz w:val="22"/>
          <w:szCs w:val="22"/>
        </w:rPr>
      </w:pPr>
      <w:r w:rsidRPr="00D0484A">
        <w:rPr>
          <w:bCs/>
          <w:iCs/>
          <w:sz w:val="22"/>
          <w:szCs w:val="22"/>
        </w:rPr>
        <w:t>The YRBS assesses priority health-risk behaviors that are related to the major preventable causes of mortality, morbidity, and social problems among both youth and adults in the United States: behaviors that result in unintentional injuries and violence</w:t>
      </w:r>
      <w:r w:rsidR="00B02651">
        <w:rPr>
          <w:bCs/>
          <w:iCs/>
          <w:sz w:val="22"/>
          <w:szCs w:val="22"/>
        </w:rPr>
        <w:t>;</w:t>
      </w:r>
      <w:r w:rsidRPr="00D0484A">
        <w:rPr>
          <w:bCs/>
          <w:iCs/>
          <w:sz w:val="22"/>
          <w:szCs w:val="22"/>
        </w:rPr>
        <w:t xml:space="preserve"> tobacco use</w:t>
      </w:r>
      <w:r w:rsidR="00B02651">
        <w:rPr>
          <w:bCs/>
          <w:iCs/>
          <w:sz w:val="22"/>
          <w:szCs w:val="22"/>
        </w:rPr>
        <w:t>;</w:t>
      </w:r>
      <w:r w:rsidRPr="00D0484A">
        <w:rPr>
          <w:bCs/>
          <w:iCs/>
          <w:sz w:val="22"/>
          <w:szCs w:val="22"/>
        </w:rPr>
        <w:t xml:space="preserve"> alcohol and other drug use</w:t>
      </w:r>
      <w:r w:rsidR="00B02651">
        <w:rPr>
          <w:bCs/>
          <w:iCs/>
          <w:sz w:val="22"/>
          <w:szCs w:val="22"/>
        </w:rPr>
        <w:t>;</w:t>
      </w:r>
      <w:r w:rsidRPr="00D0484A">
        <w:rPr>
          <w:bCs/>
          <w:iCs/>
          <w:sz w:val="22"/>
          <w:szCs w:val="22"/>
        </w:rPr>
        <w:t xml:space="preserve"> sexual behaviors</w:t>
      </w:r>
      <w:r w:rsidR="00B02651">
        <w:rPr>
          <w:bCs/>
          <w:iCs/>
          <w:sz w:val="22"/>
          <w:szCs w:val="22"/>
        </w:rPr>
        <w:t xml:space="preserve"> that could result in HIV infection, other STIs, and unintended pregnancies;</w:t>
      </w:r>
      <w:r w:rsidRPr="00D0484A">
        <w:rPr>
          <w:bCs/>
          <w:iCs/>
          <w:sz w:val="22"/>
          <w:szCs w:val="22"/>
        </w:rPr>
        <w:t xml:space="preserve"> </w:t>
      </w:r>
      <w:r w:rsidR="00B02651">
        <w:rPr>
          <w:bCs/>
          <w:iCs/>
          <w:sz w:val="22"/>
          <w:szCs w:val="22"/>
        </w:rPr>
        <w:t xml:space="preserve">unhealthy </w:t>
      </w:r>
      <w:r w:rsidRPr="00D0484A">
        <w:rPr>
          <w:bCs/>
          <w:iCs/>
          <w:sz w:val="22"/>
          <w:szCs w:val="22"/>
        </w:rPr>
        <w:t>dietary behaviors</w:t>
      </w:r>
      <w:r w:rsidR="00B02651">
        <w:rPr>
          <w:bCs/>
          <w:iCs/>
          <w:sz w:val="22"/>
          <w:szCs w:val="22"/>
        </w:rPr>
        <w:t>; and</w:t>
      </w:r>
      <w:r w:rsidRPr="00D0484A">
        <w:rPr>
          <w:bCs/>
          <w:iCs/>
          <w:sz w:val="22"/>
          <w:szCs w:val="22"/>
        </w:rPr>
        <w:t xml:space="preserve"> physical </w:t>
      </w:r>
      <w:r w:rsidR="00B02651">
        <w:rPr>
          <w:bCs/>
          <w:iCs/>
          <w:sz w:val="22"/>
          <w:szCs w:val="22"/>
        </w:rPr>
        <w:t>in</w:t>
      </w:r>
      <w:r w:rsidRPr="00D0484A">
        <w:rPr>
          <w:bCs/>
          <w:iCs/>
          <w:sz w:val="22"/>
          <w:szCs w:val="22"/>
        </w:rPr>
        <w:t>activit</w:t>
      </w:r>
      <w:r w:rsidR="00B02651">
        <w:rPr>
          <w:bCs/>
          <w:iCs/>
          <w:sz w:val="22"/>
          <w:szCs w:val="22"/>
        </w:rPr>
        <w:t>y.</w:t>
      </w:r>
      <w:r w:rsidRPr="00D0484A">
        <w:rPr>
          <w:bCs/>
          <w:iCs/>
          <w:sz w:val="22"/>
          <w:szCs w:val="22"/>
        </w:rPr>
        <w:t xml:space="preserve"> These categories of behaviors frequently are interrelated and are often established during youth and extend into adulthood.</w:t>
      </w:r>
      <w:r w:rsidR="007061E8">
        <w:rPr>
          <w:bCs/>
          <w:iCs/>
          <w:sz w:val="22"/>
          <w:szCs w:val="22"/>
        </w:rPr>
        <w:t xml:space="preserve"> </w:t>
      </w:r>
      <w:r w:rsidRPr="00D0484A">
        <w:rPr>
          <w:bCs/>
          <w:iCs/>
          <w:sz w:val="22"/>
          <w:szCs w:val="22"/>
        </w:rPr>
        <w:t xml:space="preserve">Data on priority health-risk behaviors among high school students are needed to identify, justify, and support policies and programs that can effectively address the most important public health problems such as motor vehicle crashes, violence, suicide, unintended pregnancy, </w:t>
      </w:r>
      <w:r w:rsidRPr="00C829CC" w:rsidR="00DA341F">
        <w:rPr>
          <w:bCs/>
          <w:iCs/>
          <w:sz w:val="22"/>
          <w:szCs w:val="22"/>
        </w:rPr>
        <w:t>HIV infection</w:t>
      </w:r>
      <w:r w:rsidR="00DA341F">
        <w:rPr>
          <w:bCs/>
          <w:iCs/>
          <w:sz w:val="22"/>
          <w:szCs w:val="22"/>
        </w:rPr>
        <w:t>,</w:t>
      </w:r>
      <w:r w:rsidRPr="00DA341F" w:rsidR="00DA341F">
        <w:rPr>
          <w:bCs/>
          <w:iCs/>
          <w:sz w:val="22"/>
          <w:szCs w:val="22"/>
        </w:rPr>
        <w:t xml:space="preserve"> </w:t>
      </w:r>
      <w:r w:rsidR="00DA341F">
        <w:rPr>
          <w:bCs/>
          <w:iCs/>
          <w:sz w:val="22"/>
          <w:szCs w:val="22"/>
        </w:rPr>
        <w:t xml:space="preserve">other </w:t>
      </w:r>
      <w:r w:rsidRPr="00D0484A">
        <w:rPr>
          <w:bCs/>
          <w:iCs/>
          <w:sz w:val="22"/>
          <w:szCs w:val="22"/>
        </w:rPr>
        <w:t xml:space="preserve">sexually transmitted </w:t>
      </w:r>
      <w:r w:rsidR="00B02651">
        <w:rPr>
          <w:bCs/>
          <w:iCs/>
          <w:sz w:val="22"/>
          <w:szCs w:val="22"/>
        </w:rPr>
        <w:t>infections</w:t>
      </w:r>
      <w:r w:rsidRPr="00D0484A">
        <w:rPr>
          <w:bCs/>
          <w:iCs/>
          <w:sz w:val="22"/>
          <w:szCs w:val="22"/>
        </w:rPr>
        <w:t>, obesity, heart disease, and cancer.</w:t>
      </w:r>
      <w:r w:rsidR="007061E8">
        <w:rPr>
          <w:bCs/>
          <w:iCs/>
          <w:sz w:val="22"/>
          <w:szCs w:val="22"/>
        </w:rPr>
        <w:t xml:space="preserve"> </w:t>
      </w:r>
      <w:r w:rsidRPr="001A1C16" w:rsidR="001A1C16">
        <w:rPr>
          <w:bCs/>
          <w:iCs/>
          <w:sz w:val="22"/>
          <w:szCs w:val="22"/>
        </w:rPr>
        <w:t xml:space="preserve">To monitor such behaviors, </w:t>
      </w:r>
      <w:r w:rsidR="00762C02">
        <w:rPr>
          <w:bCs/>
          <w:iCs/>
          <w:sz w:val="22"/>
          <w:szCs w:val="22"/>
        </w:rPr>
        <w:t xml:space="preserve">the </w:t>
      </w:r>
      <w:r w:rsidRPr="001A1C16" w:rsidR="001A1C16">
        <w:rPr>
          <w:bCs/>
          <w:iCs/>
          <w:sz w:val="22"/>
          <w:szCs w:val="22"/>
        </w:rPr>
        <w:t xml:space="preserve">CDC must ask youth about their participation in them.  </w:t>
      </w:r>
      <w:r w:rsidRPr="00E7207E" w:rsidR="00E7207E">
        <w:rPr>
          <w:bCs/>
          <w:iCs/>
          <w:sz w:val="22"/>
          <w:szCs w:val="22"/>
        </w:rPr>
        <w:t>The questions were developed in close cooperation with representatives from school systems across the nation and are presented in a straightforward and sensitive manner.</w:t>
      </w:r>
      <w:r w:rsidR="00E7207E">
        <w:rPr>
          <w:bCs/>
          <w:iCs/>
          <w:sz w:val="22"/>
          <w:szCs w:val="22"/>
        </w:rPr>
        <w:t xml:space="preserve"> </w:t>
      </w:r>
      <w:r w:rsidRPr="00D0484A">
        <w:rPr>
          <w:bCs/>
          <w:iCs/>
          <w:sz w:val="22"/>
          <w:szCs w:val="22"/>
        </w:rPr>
        <w:t>No other high quality data source exists to cost-effectively provide this information among nationally representative samples of youth on an ongoing basis.</w:t>
      </w:r>
      <w:r w:rsidRPr="001A1C16" w:rsidR="001A1C16">
        <w:t xml:space="preserve"> </w:t>
      </w:r>
    </w:p>
    <w:p w:rsidR="0021756E" w:rsidP="007946E7" w:rsidRDefault="0021756E" w14:paraId="4192BE29" w14:textId="69A08DFB">
      <w:pPr>
        <w:rPr>
          <w:sz w:val="22"/>
          <w:szCs w:val="22"/>
        </w:rPr>
      </w:pPr>
    </w:p>
    <w:p w:rsidRPr="00D25182" w:rsidR="00D25182" w:rsidP="007946E7" w:rsidRDefault="00D25182" w14:paraId="0CDEDF9E" w14:textId="10103BD8">
      <w:pPr>
        <w:rPr>
          <w:i/>
          <w:sz w:val="22"/>
          <w:szCs w:val="22"/>
        </w:rPr>
      </w:pPr>
      <w:r>
        <w:rPr>
          <w:i/>
          <w:sz w:val="22"/>
          <w:szCs w:val="22"/>
        </w:rPr>
        <w:t>Explanation to participants</w:t>
      </w:r>
    </w:p>
    <w:p w:rsidR="00D25182" w:rsidP="007946E7" w:rsidRDefault="00D25182" w14:paraId="789F79E4" w14:textId="09B6B5F9">
      <w:pPr>
        <w:rPr>
          <w:sz w:val="22"/>
          <w:szCs w:val="22"/>
        </w:rPr>
      </w:pPr>
      <w:r>
        <w:rPr>
          <w:sz w:val="22"/>
          <w:szCs w:val="22"/>
        </w:rPr>
        <w:t xml:space="preserve">At the beginning of both the Time 1 and Time 2 data collections, students will be provided with </w:t>
      </w:r>
      <w:r w:rsidR="0096550B">
        <w:rPr>
          <w:sz w:val="22"/>
          <w:szCs w:val="22"/>
        </w:rPr>
        <w:t>a</w:t>
      </w:r>
      <w:r>
        <w:rPr>
          <w:sz w:val="22"/>
          <w:szCs w:val="22"/>
        </w:rPr>
        <w:t xml:space="preserve"> verbal explanation of the purpose of the survey</w:t>
      </w:r>
      <w:r w:rsidR="0096550B">
        <w:rPr>
          <w:sz w:val="22"/>
          <w:szCs w:val="22"/>
        </w:rPr>
        <w:t>.</w:t>
      </w:r>
      <w:r w:rsidR="007061E8">
        <w:rPr>
          <w:sz w:val="22"/>
          <w:szCs w:val="22"/>
        </w:rPr>
        <w:t xml:space="preserve"> </w:t>
      </w:r>
      <w:r w:rsidR="0096550B">
        <w:rPr>
          <w:sz w:val="22"/>
          <w:szCs w:val="22"/>
        </w:rPr>
        <w:t>They will be told that the p</w:t>
      </w:r>
      <w:r w:rsidRPr="00D25182">
        <w:rPr>
          <w:sz w:val="22"/>
          <w:szCs w:val="22"/>
        </w:rPr>
        <w:t xml:space="preserve">urpose of the study is to see if the data collected by the </w:t>
      </w:r>
      <w:r w:rsidR="0027737F">
        <w:rPr>
          <w:sz w:val="22"/>
          <w:szCs w:val="22"/>
        </w:rPr>
        <w:t>YRBS</w:t>
      </w:r>
      <w:r w:rsidR="0096550B">
        <w:rPr>
          <w:sz w:val="22"/>
          <w:szCs w:val="22"/>
        </w:rPr>
        <w:t xml:space="preserve"> is reliable, and to do</w:t>
      </w:r>
      <w:r w:rsidRPr="00D25182">
        <w:rPr>
          <w:sz w:val="22"/>
          <w:szCs w:val="22"/>
        </w:rPr>
        <w:t xml:space="preserve"> that, each student </w:t>
      </w:r>
      <w:r w:rsidR="0096550B">
        <w:rPr>
          <w:sz w:val="22"/>
          <w:szCs w:val="22"/>
        </w:rPr>
        <w:t xml:space="preserve">will </w:t>
      </w:r>
      <w:r w:rsidRPr="00D25182">
        <w:rPr>
          <w:sz w:val="22"/>
          <w:szCs w:val="22"/>
        </w:rPr>
        <w:t xml:space="preserve">take the survey two times so we can understand if students are answering questions the same way each time. </w:t>
      </w:r>
      <w:r w:rsidR="0096550B">
        <w:rPr>
          <w:sz w:val="22"/>
          <w:szCs w:val="22"/>
        </w:rPr>
        <w:t>Students are told that the</w:t>
      </w:r>
      <w:r w:rsidRPr="00D25182">
        <w:rPr>
          <w:sz w:val="22"/>
          <w:szCs w:val="22"/>
        </w:rPr>
        <w:t xml:space="preserve"> survey asks some sensitive questions about behaviors such as sexual behaviors, drug use, alcohol and tobacco use, physical activity, nutritional habits, and behaviors that may lead to unintentional injuries or </w:t>
      </w:r>
      <w:r w:rsidRPr="00D25182">
        <w:rPr>
          <w:sz w:val="22"/>
          <w:szCs w:val="22"/>
        </w:rPr>
        <w:lastRenderedPageBreak/>
        <w:t>violence. The</w:t>
      </w:r>
      <w:r w:rsidR="0096550B">
        <w:rPr>
          <w:sz w:val="22"/>
          <w:szCs w:val="22"/>
        </w:rPr>
        <w:t>y are told that the</w:t>
      </w:r>
      <w:r w:rsidRPr="00D25182">
        <w:rPr>
          <w:sz w:val="22"/>
          <w:szCs w:val="22"/>
        </w:rPr>
        <w:t xml:space="preserve"> results of the study will be used to develop better questionnaires to help measure the percentage of youth who engage in health-related behaviors. That information will be used to create school health programs to help reduce </w:t>
      </w:r>
      <w:r w:rsidR="00B46382">
        <w:rPr>
          <w:sz w:val="22"/>
          <w:szCs w:val="22"/>
        </w:rPr>
        <w:t>health risk</w:t>
      </w:r>
      <w:r w:rsidRPr="00D25182" w:rsidR="00B46382">
        <w:rPr>
          <w:sz w:val="22"/>
          <w:szCs w:val="22"/>
        </w:rPr>
        <w:t xml:space="preserve"> </w:t>
      </w:r>
      <w:r w:rsidRPr="00D25182">
        <w:rPr>
          <w:sz w:val="22"/>
          <w:szCs w:val="22"/>
        </w:rPr>
        <w:t>behaviors.</w:t>
      </w:r>
      <w:r w:rsidR="007061E8">
        <w:rPr>
          <w:sz w:val="22"/>
          <w:szCs w:val="22"/>
        </w:rPr>
        <w:t xml:space="preserve"> </w:t>
      </w:r>
    </w:p>
    <w:p w:rsidR="00D25182" w:rsidP="007946E7" w:rsidRDefault="00D25182" w14:paraId="4B0C098C" w14:textId="77777777">
      <w:pPr>
        <w:rPr>
          <w:sz w:val="22"/>
          <w:szCs w:val="22"/>
        </w:rPr>
      </w:pPr>
    </w:p>
    <w:p w:rsidRPr="0021756E" w:rsidR="0021756E" w:rsidP="007946E7" w:rsidRDefault="0096550B" w14:paraId="04CE7AC1" w14:textId="416FB9B2">
      <w:pPr>
        <w:rPr>
          <w:sz w:val="22"/>
          <w:szCs w:val="22"/>
        </w:rPr>
      </w:pPr>
      <w:r>
        <w:rPr>
          <w:sz w:val="22"/>
          <w:szCs w:val="22"/>
        </w:rPr>
        <w:t>As detailed below in the section on “Student Assent</w:t>
      </w:r>
      <w:r w:rsidR="00B46382">
        <w:rPr>
          <w:sz w:val="22"/>
          <w:szCs w:val="22"/>
        </w:rPr>
        <w:t>,</w:t>
      </w:r>
      <w:r>
        <w:rPr>
          <w:sz w:val="22"/>
          <w:szCs w:val="22"/>
        </w:rPr>
        <w:t>” s</w:t>
      </w:r>
      <w:r w:rsidRPr="0021756E" w:rsidR="0021756E">
        <w:rPr>
          <w:sz w:val="22"/>
          <w:szCs w:val="22"/>
        </w:rPr>
        <w:t>tudents are</w:t>
      </w:r>
      <w:r w:rsidR="00D25182">
        <w:rPr>
          <w:sz w:val="22"/>
          <w:szCs w:val="22"/>
        </w:rPr>
        <w:t xml:space="preserve"> also</w:t>
      </w:r>
      <w:r w:rsidR="0027737F">
        <w:rPr>
          <w:sz w:val="22"/>
          <w:szCs w:val="22"/>
        </w:rPr>
        <w:t xml:space="preserve"> told that the </w:t>
      </w:r>
      <w:r w:rsidRPr="0021756E" w:rsidR="0021756E">
        <w:rPr>
          <w:sz w:val="22"/>
          <w:szCs w:val="22"/>
        </w:rPr>
        <w:t>surveys are anonymous and that their answers or anything else they write on the booklet will never be shared with their parents, teachers, school administrators, or local authorities</w:t>
      </w:r>
      <w:r w:rsidR="0021756E">
        <w:rPr>
          <w:sz w:val="22"/>
          <w:szCs w:val="22"/>
        </w:rPr>
        <w:t>.</w:t>
      </w:r>
      <w:r>
        <w:rPr>
          <w:sz w:val="22"/>
          <w:szCs w:val="22"/>
        </w:rPr>
        <w:t xml:space="preserve"> They are also informed that they </w:t>
      </w:r>
      <w:r w:rsidRPr="0096550B">
        <w:rPr>
          <w:sz w:val="22"/>
          <w:szCs w:val="22"/>
        </w:rPr>
        <w:t xml:space="preserve">may skip any questions </w:t>
      </w:r>
      <w:r>
        <w:rPr>
          <w:sz w:val="22"/>
          <w:szCs w:val="22"/>
        </w:rPr>
        <w:t>they</w:t>
      </w:r>
      <w:r w:rsidRPr="0096550B">
        <w:rPr>
          <w:sz w:val="22"/>
          <w:szCs w:val="22"/>
        </w:rPr>
        <w:t xml:space="preserve"> do not wish to answer</w:t>
      </w:r>
      <w:r w:rsidR="00E7207E">
        <w:rPr>
          <w:sz w:val="22"/>
          <w:szCs w:val="22"/>
        </w:rPr>
        <w:t>.</w:t>
      </w:r>
      <w:r>
        <w:rPr>
          <w:sz w:val="22"/>
          <w:szCs w:val="22"/>
        </w:rPr>
        <w:t xml:space="preserve"> </w:t>
      </w:r>
    </w:p>
    <w:p w:rsidRPr="0021756E" w:rsidR="0021756E" w:rsidP="007946E7" w:rsidRDefault="0021756E" w14:paraId="72BED512" w14:textId="77777777">
      <w:pPr>
        <w:rPr>
          <w:b/>
          <w:sz w:val="22"/>
          <w:szCs w:val="22"/>
        </w:rPr>
      </w:pPr>
    </w:p>
    <w:p w:rsidRPr="0021756E" w:rsidR="0021756E" w:rsidP="0021756E" w:rsidRDefault="0021756E" w14:paraId="55E7CCCB" w14:textId="55B8A6F3">
      <w:pPr>
        <w:rPr>
          <w:i/>
          <w:sz w:val="22"/>
          <w:szCs w:val="22"/>
        </w:rPr>
      </w:pPr>
      <w:r w:rsidRPr="0021756E">
        <w:rPr>
          <w:i/>
          <w:sz w:val="22"/>
          <w:szCs w:val="22"/>
        </w:rPr>
        <w:t>Parental permission</w:t>
      </w:r>
      <w:r w:rsidR="0096550B">
        <w:rPr>
          <w:i/>
          <w:sz w:val="22"/>
          <w:szCs w:val="22"/>
        </w:rPr>
        <w:t xml:space="preserve"> </w:t>
      </w:r>
    </w:p>
    <w:p w:rsidRPr="00391565" w:rsidR="0021756E" w:rsidP="0021756E" w:rsidRDefault="0021756E" w14:paraId="14EA1031" w14:textId="125F61A9">
      <w:pPr>
        <w:rPr>
          <w:sz w:val="22"/>
          <w:szCs w:val="22"/>
        </w:rPr>
      </w:pPr>
      <w:r>
        <w:rPr>
          <w:sz w:val="22"/>
          <w:szCs w:val="22"/>
        </w:rPr>
        <w:t>The</w:t>
      </w:r>
      <w:r w:rsidRPr="0021756E">
        <w:rPr>
          <w:sz w:val="22"/>
          <w:szCs w:val="22"/>
        </w:rPr>
        <w:t xml:space="preserve"> test-</w:t>
      </w:r>
      <w:r>
        <w:rPr>
          <w:sz w:val="22"/>
          <w:szCs w:val="22"/>
        </w:rPr>
        <w:t>retest reliability study</w:t>
      </w:r>
      <w:r w:rsidRPr="0021756E">
        <w:rPr>
          <w:sz w:val="22"/>
          <w:szCs w:val="22"/>
        </w:rPr>
        <w:t xml:space="preserve"> will use the consent procedures </w:t>
      </w:r>
      <w:r w:rsidRPr="00391565">
        <w:rPr>
          <w:sz w:val="22"/>
          <w:szCs w:val="22"/>
        </w:rPr>
        <w:t>currently implemented for the National YRBS biennial data collection.</w:t>
      </w:r>
      <w:r w:rsidRPr="00391565" w:rsidR="007061E8">
        <w:rPr>
          <w:sz w:val="22"/>
          <w:szCs w:val="22"/>
        </w:rPr>
        <w:t xml:space="preserve"> </w:t>
      </w:r>
      <w:r w:rsidRPr="00391565">
        <w:rPr>
          <w:sz w:val="22"/>
          <w:szCs w:val="22"/>
        </w:rPr>
        <w:t>These procedures include adhering to state and local (district</w:t>
      </w:r>
      <w:r w:rsidR="00B46382">
        <w:rPr>
          <w:sz w:val="22"/>
          <w:szCs w:val="22"/>
        </w:rPr>
        <w:t xml:space="preserve"> or school</w:t>
      </w:r>
      <w:r w:rsidRPr="00391565">
        <w:rPr>
          <w:sz w:val="22"/>
          <w:szCs w:val="22"/>
        </w:rPr>
        <w:t>) parental permission requirements for either active or passive parental permission.</w:t>
      </w:r>
      <w:r w:rsidRPr="00391565" w:rsidR="007061E8">
        <w:rPr>
          <w:sz w:val="22"/>
          <w:szCs w:val="22"/>
        </w:rPr>
        <w:t xml:space="preserve"> </w:t>
      </w:r>
      <w:r w:rsidRPr="00391565">
        <w:rPr>
          <w:sz w:val="22"/>
          <w:szCs w:val="22"/>
        </w:rPr>
        <w:t xml:space="preserve">Teachers of participating classrooms will distribute </w:t>
      </w:r>
      <w:r w:rsidRPr="00391565" w:rsidR="00C25D58">
        <w:rPr>
          <w:sz w:val="22"/>
          <w:szCs w:val="22"/>
        </w:rPr>
        <w:t xml:space="preserve">either </w:t>
      </w:r>
      <w:r w:rsidRPr="00391565">
        <w:rPr>
          <w:sz w:val="22"/>
          <w:szCs w:val="22"/>
        </w:rPr>
        <w:t xml:space="preserve">the </w:t>
      </w:r>
      <w:r w:rsidRPr="00391565" w:rsidR="00C25D58">
        <w:rPr>
          <w:sz w:val="22"/>
          <w:szCs w:val="22"/>
        </w:rPr>
        <w:t>active parental permission form</w:t>
      </w:r>
      <w:r w:rsidRPr="00391565">
        <w:rPr>
          <w:sz w:val="22"/>
          <w:szCs w:val="22"/>
        </w:rPr>
        <w:t xml:space="preserve"> (see </w:t>
      </w:r>
      <w:r w:rsidRPr="00391565" w:rsidR="0096550B">
        <w:rPr>
          <w:sz w:val="22"/>
          <w:szCs w:val="22"/>
        </w:rPr>
        <w:t xml:space="preserve">Attachment </w:t>
      </w:r>
      <w:r w:rsidR="001C4E8F">
        <w:rPr>
          <w:sz w:val="22"/>
          <w:szCs w:val="22"/>
        </w:rPr>
        <w:t>J</w:t>
      </w:r>
      <w:r w:rsidRPr="00391565">
        <w:rPr>
          <w:sz w:val="22"/>
          <w:szCs w:val="22"/>
        </w:rPr>
        <w:t>)</w:t>
      </w:r>
      <w:r w:rsidRPr="00391565" w:rsidR="00C25D58">
        <w:rPr>
          <w:sz w:val="22"/>
          <w:szCs w:val="22"/>
        </w:rPr>
        <w:t xml:space="preserve"> or the passive parental permission form (see Attachment </w:t>
      </w:r>
      <w:r w:rsidR="001C4E8F">
        <w:rPr>
          <w:sz w:val="22"/>
          <w:szCs w:val="22"/>
        </w:rPr>
        <w:t>K</w:t>
      </w:r>
      <w:r w:rsidRPr="00391565" w:rsidR="00C25D58">
        <w:rPr>
          <w:sz w:val="22"/>
          <w:szCs w:val="22"/>
        </w:rPr>
        <w:t>)</w:t>
      </w:r>
      <w:r w:rsidRPr="00391565" w:rsidR="00573BD3">
        <w:rPr>
          <w:sz w:val="22"/>
          <w:szCs w:val="22"/>
        </w:rPr>
        <w:t xml:space="preserve"> to students approximately two weeks prior to the Time 1 data collection</w:t>
      </w:r>
      <w:r w:rsidRPr="00391565" w:rsidR="00C25D58">
        <w:rPr>
          <w:sz w:val="22"/>
          <w:szCs w:val="22"/>
        </w:rPr>
        <w:t>.</w:t>
      </w:r>
      <w:r w:rsidRPr="00391565" w:rsidR="007061E8">
        <w:rPr>
          <w:sz w:val="22"/>
          <w:szCs w:val="22"/>
        </w:rPr>
        <w:t xml:space="preserve"> </w:t>
      </w:r>
      <w:r w:rsidRPr="00391565" w:rsidR="00C25D58">
        <w:rPr>
          <w:sz w:val="22"/>
          <w:szCs w:val="22"/>
        </w:rPr>
        <w:t>Both permission forms will include a study</w:t>
      </w:r>
      <w:r w:rsidRPr="00391565" w:rsidR="00573BD3">
        <w:rPr>
          <w:sz w:val="22"/>
          <w:szCs w:val="22"/>
        </w:rPr>
        <w:t xml:space="preserve"> fact sheet on the reverse side </w:t>
      </w:r>
      <w:r w:rsidRPr="00391565">
        <w:rPr>
          <w:sz w:val="22"/>
          <w:szCs w:val="22"/>
        </w:rPr>
        <w:t xml:space="preserve">(see </w:t>
      </w:r>
      <w:r w:rsidRPr="00391565" w:rsidR="0096550B">
        <w:rPr>
          <w:sz w:val="22"/>
          <w:szCs w:val="22"/>
        </w:rPr>
        <w:t>Attachment</w:t>
      </w:r>
      <w:r w:rsidRPr="00391565">
        <w:rPr>
          <w:sz w:val="22"/>
          <w:szCs w:val="22"/>
        </w:rPr>
        <w:t xml:space="preserve"> </w:t>
      </w:r>
      <w:r w:rsidR="001C4E8F">
        <w:rPr>
          <w:sz w:val="22"/>
          <w:szCs w:val="22"/>
        </w:rPr>
        <w:t>L</w:t>
      </w:r>
      <w:r w:rsidRPr="00391565" w:rsidR="00573BD3">
        <w:rPr>
          <w:sz w:val="22"/>
          <w:szCs w:val="22"/>
        </w:rPr>
        <w:t>).</w:t>
      </w:r>
      <w:r w:rsidRPr="00391565" w:rsidR="007061E8">
        <w:rPr>
          <w:sz w:val="22"/>
          <w:szCs w:val="22"/>
        </w:rPr>
        <w:t xml:space="preserve"> </w:t>
      </w:r>
      <w:r w:rsidRPr="00391565">
        <w:rPr>
          <w:sz w:val="22"/>
          <w:szCs w:val="22"/>
        </w:rPr>
        <w:t>The permission form explains that the purpose of the test-retest reliability study is to establish the reliability of data collected by the YRBS by understanding if respondents answer</w:t>
      </w:r>
      <w:r w:rsidRPr="00391565" w:rsidR="0027737F">
        <w:rPr>
          <w:sz w:val="22"/>
          <w:szCs w:val="22"/>
        </w:rPr>
        <w:t xml:space="preserve"> questions the same way twice, so </w:t>
      </w:r>
      <w:r w:rsidRPr="00391565">
        <w:rPr>
          <w:sz w:val="22"/>
          <w:szCs w:val="22"/>
        </w:rPr>
        <w:t xml:space="preserve">that the </w:t>
      </w:r>
      <w:r w:rsidR="00762C02">
        <w:rPr>
          <w:sz w:val="22"/>
          <w:szCs w:val="22"/>
        </w:rPr>
        <w:t>CDC</w:t>
      </w:r>
      <w:r w:rsidRPr="00391565">
        <w:rPr>
          <w:sz w:val="22"/>
          <w:szCs w:val="22"/>
        </w:rPr>
        <w:t xml:space="preserve"> </w:t>
      </w:r>
      <w:r w:rsidRPr="00391565" w:rsidR="0027737F">
        <w:rPr>
          <w:sz w:val="22"/>
          <w:szCs w:val="22"/>
        </w:rPr>
        <w:t>may</w:t>
      </w:r>
      <w:r w:rsidRPr="00391565">
        <w:rPr>
          <w:sz w:val="22"/>
          <w:szCs w:val="22"/>
        </w:rPr>
        <w:t xml:space="preserve"> develop better questionnaires in the future. The permission form also explains that permission is being given once for both the Time 1 and Time 2 data collections.</w:t>
      </w:r>
      <w:r w:rsidRPr="00391565" w:rsidR="007061E8">
        <w:rPr>
          <w:sz w:val="22"/>
          <w:szCs w:val="22"/>
        </w:rPr>
        <w:t xml:space="preserve"> </w:t>
      </w:r>
      <w:r w:rsidRPr="00391565" w:rsidR="0027737F">
        <w:rPr>
          <w:sz w:val="22"/>
          <w:szCs w:val="22"/>
        </w:rPr>
        <w:t>Parents are informed that the survey will ask about behaviors related to nutrition, physical activity, injuries, violence, and tobacco, alcohol, and other drug use, as well as sexual behaviors that could lead to pregnancy and sexually transmitted diseases, including HIV.</w:t>
      </w:r>
    </w:p>
    <w:p w:rsidRPr="00391565" w:rsidR="0021756E" w:rsidP="0021756E" w:rsidRDefault="0021756E" w14:paraId="23F58284" w14:textId="77777777">
      <w:pPr>
        <w:rPr>
          <w:sz w:val="22"/>
          <w:szCs w:val="22"/>
        </w:rPr>
      </w:pPr>
    </w:p>
    <w:p w:rsidRPr="0021756E" w:rsidR="0021756E" w:rsidP="0021756E" w:rsidRDefault="0021756E" w14:paraId="3598D706" w14:textId="5C5AB842">
      <w:pPr>
        <w:rPr>
          <w:sz w:val="22"/>
          <w:szCs w:val="22"/>
        </w:rPr>
      </w:pPr>
      <w:r w:rsidRPr="00391565">
        <w:rPr>
          <w:sz w:val="22"/>
          <w:szCs w:val="22"/>
        </w:rPr>
        <w:t xml:space="preserve">Teachers in selected classrooms will follow a permission form distribution script (see </w:t>
      </w:r>
      <w:r w:rsidRPr="00391565" w:rsidR="0096550B">
        <w:rPr>
          <w:sz w:val="22"/>
          <w:szCs w:val="22"/>
        </w:rPr>
        <w:t xml:space="preserve">Attachment </w:t>
      </w:r>
      <w:r w:rsidR="001C4E8F">
        <w:rPr>
          <w:sz w:val="22"/>
          <w:szCs w:val="22"/>
        </w:rPr>
        <w:t>M</w:t>
      </w:r>
      <w:r w:rsidRPr="00391565">
        <w:rPr>
          <w:sz w:val="22"/>
          <w:szCs w:val="22"/>
        </w:rPr>
        <w:t>) that asks students to take the permission form home, have their parents complete it (if they do not wish their child to participate under passive parental permission procedures and if they do wish to have their child participate under active parental permission procedures), and return it to the teacher by the scheduled survey date.</w:t>
      </w:r>
      <w:r w:rsidRPr="00391565" w:rsidR="007061E8">
        <w:rPr>
          <w:sz w:val="22"/>
          <w:szCs w:val="22"/>
        </w:rPr>
        <w:t xml:space="preserve"> </w:t>
      </w:r>
      <w:r w:rsidRPr="00391565">
        <w:rPr>
          <w:sz w:val="22"/>
          <w:szCs w:val="22"/>
        </w:rPr>
        <w:t>The teacher will record that permission forms were distributed and track any completed opt-out forms on a data collection checklist</w:t>
      </w:r>
      <w:r w:rsidR="001C4E8F">
        <w:rPr>
          <w:sz w:val="22"/>
          <w:szCs w:val="22"/>
        </w:rPr>
        <w:t xml:space="preserve"> (see Attachment N)</w:t>
      </w:r>
      <w:r w:rsidRPr="00391565">
        <w:rPr>
          <w:sz w:val="22"/>
          <w:szCs w:val="22"/>
        </w:rPr>
        <w:t>.</w:t>
      </w:r>
      <w:r w:rsidRPr="00391565" w:rsidR="007061E8">
        <w:rPr>
          <w:sz w:val="22"/>
          <w:szCs w:val="22"/>
        </w:rPr>
        <w:t xml:space="preserve"> </w:t>
      </w:r>
      <w:r w:rsidRPr="00391565">
        <w:rPr>
          <w:sz w:val="22"/>
          <w:szCs w:val="22"/>
        </w:rPr>
        <w:t>Local parental permission procedures will be followed in each school in terms of whether the forms request either active or passive parental</w:t>
      </w:r>
      <w:r w:rsidRPr="0021756E">
        <w:rPr>
          <w:sz w:val="22"/>
          <w:szCs w:val="22"/>
        </w:rPr>
        <w:t xml:space="preserve"> </w:t>
      </w:r>
      <w:r w:rsidR="00EB76F5">
        <w:rPr>
          <w:sz w:val="22"/>
          <w:szCs w:val="22"/>
        </w:rPr>
        <w:t>permission</w:t>
      </w:r>
      <w:r w:rsidRPr="0021756E">
        <w:rPr>
          <w:sz w:val="22"/>
          <w:szCs w:val="22"/>
        </w:rPr>
        <w:t>. Because this study will sample students in grades 9-12, it is possible that some participants may be 18 years old and older.</w:t>
      </w:r>
      <w:r w:rsidR="007061E8">
        <w:rPr>
          <w:sz w:val="22"/>
          <w:szCs w:val="22"/>
        </w:rPr>
        <w:t xml:space="preserve"> </w:t>
      </w:r>
      <w:r w:rsidRPr="0021756E">
        <w:rPr>
          <w:sz w:val="22"/>
          <w:szCs w:val="22"/>
        </w:rPr>
        <w:t xml:space="preserve">In these cases, </w:t>
      </w:r>
      <w:r>
        <w:rPr>
          <w:sz w:val="22"/>
          <w:szCs w:val="22"/>
        </w:rPr>
        <w:t>the study will</w:t>
      </w:r>
      <w:r w:rsidRPr="0021756E">
        <w:rPr>
          <w:sz w:val="22"/>
          <w:szCs w:val="22"/>
        </w:rPr>
        <w:t xml:space="preserve"> continue to follow district rules regarding parental permission.</w:t>
      </w:r>
    </w:p>
    <w:p w:rsidRPr="0021756E" w:rsidR="0021756E" w:rsidP="0021756E" w:rsidRDefault="0021756E" w14:paraId="437DD865" w14:textId="77777777">
      <w:pPr>
        <w:rPr>
          <w:sz w:val="22"/>
          <w:szCs w:val="22"/>
        </w:rPr>
      </w:pPr>
    </w:p>
    <w:p w:rsidRPr="0021756E" w:rsidR="0021756E" w:rsidP="0021756E" w:rsidRDefault="0021756E" w14:paraId="4DE38504" w14:textId="77777777">
      <w:pPr>
        <w:rPr>
          <w:i/>
          <w:sz w:val="22"/>
          <w:szCs w:val="22"/>
        </w:rPr>
      </w:pPr>
      <w:r w:rsidRPr="0021756E">
        <w:rPr>
          <w:i/>
          <w:sz w:val="22"/>
          <w:szCs w:val="22"/>
        </w:rPr>
        <w:t>Student assent</w:t>
      </w:r>
    </w:p>
    <w:p w:rsidRPr="00391565" w:rsidR="0021756E" w:rsidP="0021756E" w:rsidRDefault="0021756E" w14:paraId="2C72BAA1" w14:textId="0EFB2178">
      <w:pPr>
        <w:rPr>
          <w:sz w:val="22"/>
          <w:szCs w:val="22"/>
        </w:rPr>
      </w:pPr>
      <w:r w:rsidRPr="0021756E">
        <w:rPr>
          <w:sz w:val="22"/>
          <w:szCs w:val="22"/>
        </w:rPr>
        <w:t xml:space="preserve">Similarly, </w:t>
      </w:r>
      <w:r>
        <w:rPr>
          <w:sz w:val="22"/>
          <w:szCs w:val="22"/>
        </w:rPr>
        <w:t>the study</w:t>
      </w:r>
      <w:r w:rsidRPr="0021756E">
        <w:rPr>
          <w:sz w:val="22"/>
          <w:szCs w:val="22"/>
        </w:rPr>
        <w:t xml:space="preserve"> will employ the same procedures used in the National YRBS for student assent in the test-retest reliability study.</w:t>
      </w:r>
      <w:r w:rsidR="007061E8">
        <w:rPr>
          <w:sz w:val="22"/>
          <w:szCs w:val="22"/>
        </w:rPr>
        <w:t xml:space="preserve"> </w:t>
      </w:r>
      <w:r>
        <w:rPr>
          <w:sz w:val="22"/>
          <w:szCs w:val="22"/>
        </w:rPr>
        <w:t>W</w:t>
      </w:r>
      <w:r w:rsidRPr="0021756E">
        <w:rPr>
          <w:sz w:val="22"/>
          <w:szCs w:val="22"/>
        </w:rPr>
        <w:t xml:space="preserve">ritten documentation of student assent </w:t>
      </w:r>
      <w:r>
        <w:rPr>
          <w:sz w:val="22"/>
          <w:szCs w:val="22"/>
        </w:rPr>
        <w:t xml:space="preserve">will not be obtained </w:t>
      </w:r>
      <w:r w:rsidRPr="0021756E">
        <w:rPr>
          <w:sz w:val="22"/>
          <w:szCs w:val="22"/>
        </w:rPr>
        <w:t xml:space="preserve">because some students may perceive </w:t>
      </w:r>
      <w:r w:rsidR="00E7207E">
        <w:rPr>
          <w:sz w:val="22"/>
          <w:szCs w:val="22"/>
        </w:rPr>
        <w:t>the survey is</w:t>
      </w:r>
      <w:r w:rsidRPr="0021756E">
        <w:rPr>
          <w:sz w:val="22"/>
          <w:szCs w:val="22"/>
        </w:rPr>
        <w:t xml:space="preserve"> not anonymous if they are required to provide stated assent and sign a consent/assent document.</w:t>
      </w:r>
      <w:r w:rsidR="007061E8">
        <w:rPr>
          <w:sz w:val="22"/>
          <w:szCs w:val="22"/>
        </w:rPr>
        <w:t xml:space="preserve"> </w:t>
      </w:r>
      <w:r w:rsidRPr="0021756E">
        <w:rPr>
          <w:sz w:val="22"/>
          <w:szCs w:val="22"/>
        </w:rPr>
        <w:t>Ensuring anonymity is critical for getting adolescents to respond honestly.</w:t>
      </w:r>
      <w:r w:rsidR="007061E8">
        <w:rPr>
          <w:sz w:val="22"/>
          <w:szCs w:val="22"/>
        </w:rPr>
        <w:t xml:space="preserve"> </w:t>
      </w:r>
      <w:r w:rsidRPr="0021756E">
        <w:rPr>
          <w:sz w:val="22"/>
          <w:szCs w:val="22"/>
        </w:rPr>
        <w:t xml:space="preserve">Student assent will be verified </w:t>
      </w:r>
      <w:r w:rsidRPr="00391565">
        <w:rPr>
          <w:sz w:val="22"/>
          <w:szCs w:val="22"/>
        </w:rPr>
        <w:t>while introducing the survey immediately prior to its administration using the following procedures.</w:t>
      </w:r>
      <w:r w:rsidRPr="00391565" w:rsidR="007061E8">
        <w:rPr>
          <w:sz w:val="22"/>
          <w:szCs w:val="22"/>
        </w:rPr>
        <w:t xml:space="preserve"> </w:t>
      </w:r>
      <w:r w:rsidRPr="00391565">
        <w:rPr>
          <w:sz w:val="22"/>
          <w:szCs w:val="22"/>
        </w:rPr>
        <w:t>These procedures have been used in all previous versions of the YRBS since its inception in 1991.</w:t>
      </w:r>
    </w:p>
    <w:p w:rsidRPr="00391565" w:rsidR="0021756E" w:rsidP="0021756E" w:rsidRDefault="0021756E" w14:paraId="486E739A" w14:textId="77777777">
      <w:pPr>
        <w:rPr>
          <w:sz w:val="22"/>
          <w:szCs w:val="22"/>
        </w:rPr>
      </w:pPr>
    </w:p>
    <w:p w:rsidR="000E6C8E" w:rsidP="0021756E" w:rsidRDefault="0021756E" w14:paraId="103F66A9" w14:textId="2F5A290B">
      <w:pPr>
        <w:rPr>
          <w:sz w:val="22"/>
          <w:szCs w:val="22"/>
        </w:rPr>
      </w:pPr>
      <w:r w:rsidRPr="00391565">
        <w:rPr>
          <w:sz w:val="22"/>
          <w:szCs w:val="22"/>
        </w:rPr>
        <w:t xml:space="preserve">To obtain </w:t>
      </w:r>
      <w:r w:rsidR="000E6C8E">
        <w:rPr>
          <w:sz w:val="22"/>
          <w:szCs w:val="22"/>
        </w:rPr>
        <w:t>assent</w:t>
      </w:r>
      <w:r w:rsidRPr="00391565">
        <w:rPr>
          <w:sz w:val="22"/>
          <w:szCs w:val="22"/>
        </w:rPr>
        <w:t xml:space="preserve"> from students, the data collector will read a script introducing the survey immediately prior to its administration (see </w:t>
      </w:r>
      <w:r w:rsidRPr="00391565" w:rsidR="0096550B">
        <w:rPr>
          <w:sz w:val="22"/>
          <w:szCs w:val="22"/>
        </w:rPr>
        <w:t xml:space="preserve">Attachment </w:t>
      </w:r>
      <w:r w:rsidR="001C4E8F">
        <w:rPr>
          <w:sz w:val="22"/>
          <w:szCs w:val="22"/>
        </w:rPr>
        <w:t>H</w:t>
      </w:r>
      <w:r w:rsidRPr="00391565">
        <w:rPr>
          <w:sz w:val="22"/>
          <w:szCs w:val="22"/>
        </w:rPr>
        <w:t>).</w:t>
      </w:r>
      <w:r w:rsidRPr="00391565" w:rsidR="007061E8">
        <w:rPr>
          <w:sz w:val="22"/>
          <w:szCs w:val="22"/>
        </w:rPr>
        <w:t xml:space="preserve"> </w:t>
      </w:r>
      <w:r w:rsidRPr="00391565">
        <w:rPr>
          <w:sz w:val="22"/>
          <w:szCs w:val="22"/>
        </w:rPr>
        <w:t>The script will explain the purpose of the study and the type of data collected.</w:t>
      </w:r>
      <w:r w:rsidRPr="00391565" w:rsidR="007061E8">
        <w:rPr>
          <w:sz w:val="22"/>
          <w:szCs w:val="22"/>
        </w:rPr>
        <w:t xml:space="preserve"> </w:t>
      </w:r>
      <w:r w:rsidRPr="00391565">
        <w:rPr>
          <w:sz w:val="22"/>
          <w:szCs w:val="22"/>
        </w:rPr>
        <w:t>Students will be told t</w:t>
      </w:r>
      <w:r w:rsidR="000E6C8E">
        <w:rPr>
          <w:sz w:val="22"/>
          <w:szCs w:val="22"/>
        </w:rPr>
        <w:t>he following:</w:t>
      </w:r>
    </w:p>
    <w:p w:rsidR="0024333D" w:rsidP="0021756E" w:rsidRDefault="0024333D" w14:paraId="30E56031" w14:textId="77777777">
      <w:pPr>
        <w:rPr>
          <w:sz w:val="22"/>
          <w:szCs w:val="22"/>
        </w:rPr>
      </w:pPr>
    </w:p>
    <w:p w:rsidR="000E6C8E" w:rsidP="0080668C" w:rsidRDefault="000E6C8E" w14:paraId="5956B308" w14:textId="77777777">
      <w:pPr>
        <w:pStyle w:val="ListParagraph"/>
        <w:numPr>
          <w:ilvl w:val="0"/>
          <w:numId w:val="16"/>
        </w:numPr>
        <w:rPr>
          <w:sz w:val="22"/>
          <w:szCs w:val="22"/>
        </w:rPr>
      </w:pPr>
      <w:r w:rsidRPr="000E6C8E">
        <w:rPr>
          <w:sz w:val="22"/>
          <w:szCs w:val="22"/>
        </w:rPr>
        <w:t>T</w:t>
      </w:r>
      <w:r>
        <w:rPr>
          <w:sz w:val="22"/>
          <w:szCs w:val="22"/>
        </w:rPr>
        <w:t>he survey is voluntary;</w:t>
      </w:r>
    </w:p>
    <w:p w:rsidR="000E6C8E" w:rsidP="0080668C" w:rsidRDefault="000E6C8E" w14:paraId="520ACDA5" w14:textId="77777777">
      <w:pPr>
        <w:pStyle w:val="ListParagraph"/>
        <w:numPr>
          <w:ilvl w:val="0"/>
          <w:numId w:val="16"/>
        </w:numPr>
        <w:rPr>
          <w:sz w:val="22"/>
          <w:szCs w:val="22"/>
        </w:rPr>
      </w:pPr>
      <w:r>
        <w:rPr>
          <w:sz w:val="22"/>
          <w:szCs w:val="22"/>
        </w:rPr>
        <w:t>T</w:t>
      </w:r>
      <w:r w:rsidRPr="000E6C8E" w:rsidR="0021756E">
        <w:rPr>
          <w:sz w:val="22"/>
          <w:szCs w:val="22"/>
        </w:rPr>
        <w:t>heir grade in the class is not affected by whether they complete the survey</w:t>
      </w:r>
      <w:r>
        <w:rPr>
          <w:sz w:val="22"/>
          <w:szCs w:val="22"/>
        </w:rPr>
        <w:t>;</w:t>
      </w:r>
    </w:p>
    <w:p w:rsidR="000E6C8E" w:rsidP="0080668C" w:rsidRDefault="000E6C8E" w14:paraId="1AEC7019" w14:textId="77777777">
      <w:pPr>
        <w:pStyle w:val="ListParagraph"/>
        <w:numPr>
          <w:ilvl w:val="0"/>
          <w:numId w:val="16"/>
        </w:numPr>
        <w:rPr>
          <w:sz w:val="22"/>
          <w:szCs w:val="22"/>
        </w:rPr>
      </w:pPr>
      <w:r>
        <w:rPr>
          <w:sz w:val="22"/>
          <w:szCs w:val="22"/>
        </w:rPr>
        <w:t>T</w:t>
      </w:r>
      <w:r w:rsidRPr="000E6C8E" w:rsidR="0021756E">
        <w:rPr>
          <w:sz w:val="22"/>
          <w:szCs w:val="22"/>
        </w:rPr>
        <w:t>hey can leave any or all questions blank if they</w:t>
      </w:r>
      <w:r>
        <w:rPr>
          <w:sz w:val="22"/>
          <w:szCs w:val="22"/>
        </w:rPr>
        <w:t xml:space="preserve"> are not comfortable answering;</w:t>
      </w:r>
    </w:p>
    <w:p w:rsidR="000E6C8E" w:rsidP="0080668C" w:rsidRDefault="000E6C8E" w14:paraId="1D3D02C9" w14:textId="379F10D5">
      <w:pPr>
        <w:pStyle w:val="ListParagraph"/>
        <w:numPr>
          <w:ilvl w:val="0"/>
          <w:numId w:val="16"/>
        </w:numPr>
        <w:rPr>
          <w:sz w:val="22"/>
          <w:szCs w:val="22"/>
        </w:rPr>
      </w:pPr>
      <w:r>
        <w:rPr>
          <w:sz w:val="22"/>
          <w:szCs w:val="22"/>
        </w:rPr>
        <w:t>A</w:t>
      </w:r>
      <w:r w:rsidRPr="000E6C8E" w:rsidR="0021756E">
        <w:rPr>
          <w:sz w:val="22"/>
          <w:szCs w:val="22"/>
        </w:rPr>
        <w:t xml:space="preserve">nswers and anything else they write on the surveys are private </w:t>
      </w:r>
      <w:r>
        <w:rPr>
          <w:sz w:val="22"/>
          <w:szCs w:val="22"/>
        </w:rPr>
        <w:t xml:space="preserve">and </w:t>
      </w:r>
      <w:r w:rsidRPr="000E6C8E" w:rsidR="0021756E">
        <w:rPr>
          <w:sz w:val="22"/>
          <w:szCs w:val="22"/>
        </w:rPr>
        <w:t>anonymous</w:t>
      </w:r>
      <w:r>
        <w:rPr>
          <w:sz w:val="22"/>
          <w:szCs w:val="22"/>
        </w:rPr>
        <w:t>;</w:t>
      </w:r>
    </w:p>
    <w:p w:rsidR="000E6C8E" w:rsidP="0080668C" w:rsidRDefault="000E6C8E" w14:paraId="640E8FFF" w14:textId="77777777">
      <w:pPr>
        <w:pStyle w:val="ListParagraph"/>
        <w:numPr>
          <w:ilvl w:val="0"/>
          <w:numId w:val="16"/>
        </w:numPr>
        <w:rPr>
          <w:sz w:val="22"/>
          <w:szCs w:val="22"/>
        </w:rPr>
      </w:pPr>
      <w:r>
        <w:rPr>
          <w:sz w:val="22"/>
          <w:szCs w:val="22"/>
        </w:rPr>
        <w:t>R</w:t>
      </w:r>
      <w:r w:rsidRPr="000E6C8E" w:rsidR="0021756E">
        <w:rPr>
          <w:sz w:val="22"/>
          <w:szCs w:val="22"/>
        </w:rPr>
        <w:t>esults will never be reported by name, class, or school</w:t>
      </w:r>
      <w:r w:rsidRPr="000E6C8E" w:rsidR="00B46382">
        <w:rPr>
          <w:sz w:val="22"/>
          <w:szCs w:val="22"/>
        </w:rPr>
        <w:t>,</w:t>
      </w:r>
      <w:r w:rsidRPr="000E6C8E" w:rsidR="0021756E">
        <w:rPr>
          <w:sz w:val="22"/>
          <w:szCs w:val="22"/>
        </w:rPr>
        <w:t xml:space="preserve"> nor shared with their parents, teachers, </w:t>
      </w:r>
      <w:r w:rsidRPr="000E6C8E" w:rsidR="0021756E">
        <w:rPr>
          <w:sz w:val="22"/>
          <w:szCs w:val="22"/>
        </w:rPr>
        <w:lastRenderedPageBreak/>
        <w:t>school administrators, or local authorities</w:t>
      </w:r>
      <w:r>
        <w:rPr>
          <w:sz w:val="22"/>
          <w:szCs w:val="22"/>
        </w:rPr>
        <w:t>; and</w:t>
      </w:r>
    </w:p>
    <w:p w:rsidR="000E6C8E" w:rsidP="000E6C8E" w:rsidRDefault="000E6C8E" w14:paraId="13E5BF37" w14:textId="1A04D764">
      <w:pPr>
        <w:pStyle w:val="ListParagraph"/>
        <w:numPr>
          <w:ilvl w:val="0"/>
          <w:numId w:val="16"/>
        </w:numPr>
        <w:rPr>
          <w:sz w:val="22"/>
          <w:szCs w:val="22"/>
        </w:rPr>
      </w:pPr>
      <w:r>
        <w:rPr>
          <w:sz w:val="22"/>
          <w:szCs w:val="22"/>
        </w:rPr>
        <w:t>N</w:t>
      </w:r>
      <w:r w:rsidRPr="000E6C8E" w:rsidR="0021756E">
        <w:rPr>
          <w:sz w:val="22"/>
          <w:szCs w:val="22"/>
        </w:rPr>
        <w:t xml:space="preserve">o action will be taken against them for </w:t>
      </w:r>
      <w:r w:rsidR="00C76447">
        <w:rPr>
          <w:sz w:val="22"/>
          <w:szCs w:val="22"/>
        </w:rPr>
        <w:t xml:space="preserve">not </w:t>
      </w:r>
      <w:r w:rsidRPr="000E6C8E" w:rsidR="0021756E">
        <w:rPr>
          <w:sz w:val="22"/>
          <w:szCs w:val="22"/>
        </w:rPr>
        <w:t>completing the questionnaire.</w:t>
      </w:r>
      <w:r w:rsidRPr="000E6C8E" w:rsidR="007061E8">
        <w:rPr>
          <w:sz w:val="22"/>
          <w:szCs w:val="22"/>
        </w:rPr>
        <w:t xml:space="preserve"> </w:t>
      </w:r>
      <w:r w:rsidRPr="000E6C8E" w:rsidR="0021756E">
        <w:rPr>
          <w:sz w:val="22"/>
          <w:szCs w:val="22"/>
        </w:rPr>
        <w:t xml:space="preserve"> </w:t>
      </w:r>
    </w:p>
    <w:p w:rsidR="0024333D" w:rsidP="000E6C8E" w:rsidRDefault="0024333D" w14:paraId="6B48195D" w14:textId="77777777">
      <w:pPr>
        <w:rPr>
          <w:sz w:val="22"/>
          <w:szCs w:val="22"/>
        </w:rPr>
      </w:pPr>
    </w:p>
    <w:p w:rsidRPr="000E6C8E" w:rsidR="0021756E" w:rsidP="000E6C8E" w:rsidRDefault="0021756E" w14:paraId="5055AEDD" w14:textId="5DE6689C">
      <w:pPr>
        <w:rPr>
          <w:sz w:val="22"/>
          <w:szCs w:val="22"/>
        </w:rPr>
      </w:pPr>
      <w:r w:rsidRPr="000E6C8E">
        <w:rPr>
          <w:sz w:val="22"/>
          <w:szCs w:val="22"/>
        </w:rPr>
        <w:t xml:space="preserve">The cover page of the questionnaire (see </w:t>
      </w:r>
      <w:r w:rsidRPr="000E6C8E" w:rsidR="0096550B">
        <w:rPr>
          <w:sz w:val="22"/>
          <w:szCs w:val="22"/>
        </w:rPr>
        <w:t>Attachment</w:t>
      </w:r>
      <w:r w:rsidRPr="000E6C8E">
        <w:rPr>
          <w:sz w:val="22"/>
          <w:szCs w:val="22"/>
        </w:rPr>
        <w:t xml:space="preserve"> </w:t>
      </w:r>
      <w:r w:rsidRPr="000E6C8E" w:rsidR="00573BD3">
        <w:rPr>
          <w:sz w:val="22"/>
          <w:szCs w:val="22"/>
        </w:rPr>
        <w:t>C</w:t>
      </w:r>
      <w:r w:rsidRPr="000E6C8E">
        <w:rPr>
          <w:sz w:val="22"/>
          <w:szCs w:val="22"/>
        </w:rPr>
        <w:t>) also states that no names will ever be reported nor will information be used to find out students’ names, that their answers will be kept private, that completing the survey is voluntary, that their grade will not be affected whether they an</w:t>
      </w:r>
      <w:r w:rsidRPr="000E6C8E" w:rsidR="00D25182">
        <w:rPr>
          <w:sz w:val="22"/>
          <w:szCs w:val="22"/>
        </w:rPr>
        <w:t>s</w:t>
      </w:r>
      <w:r w:rsidRPr="000E6C8E">
        <w:rPr>
          <w:sz w:val="22"/>
          <w:szCs w:val="22"/>
        </w:rPr>
        <w:t xml:space="preserve">wer the questions, and </w:t>
      </w:r>
      <w:r w:rsidRPr="000E6C8E" w:rsidR="00B46382">
        <w:rPr>
          <w:sz w:val="22"/>
          <w:szCs w:val="22"/>
        </w:rPr>
        <w:t xml:space="preserve">that they should </w:t>
      </w:r>
      <w:r w:rsidRPr="000E6C8E">
        <w:rPr>
          <w:sz w:val="22"/>
          <w:szCs w:val="22"/>
        </w:rPr>
        <w:t>leave a question blank if they do not want to answer it.</w:t>
      </w:r>
      <w:r w:rsidRPr="000E6C8E" w:rsidR="007061E8">
        <w:rPr>
          <w:sz w:val="22"/>
          <w:szCs w:val="22"/>
        </w:rPr>
        <w:t xml:space="preserve"> </w:t>
      </w:r>
      <w:r w:rsidRPr="000E6C8E">
        <w:rPr>
          <w:sz w:val="22"/>
          <w:szCs w:val="22"/>
        </w:rPr>
        <w:t xml:space="preserve">Students will be instructed to read this information before taking the survey. If students proceed with the survey, </w:t>
      </w:r>
      <w:r w:rsidRPr="000E6C8E" w:rsidR="000E6C8E">
        <w:rPr>
          <w:sz w:val="22"/>
          <w:szCs w:val="22"/>
        </w:rPr>
        <w:t>assent</w:t>
      </w:r>
      <w:r w:rsidRPr="000E6C8E">
        <w:rPr>
          <w:sz w:val="22"/>
          <w:szCs w:val="22"/>
        </w:rPr>
        <w:t xml:space="preserve"> is assumed. Teachers will be asked to ensure that nonparticipants are provided with an alternative activity during the survey administration period.</w:t>
      </w:r>
    </w:p>
    <w:p w:rsidRPr="0021756E" w:rsidR="0021756E" w:rsidP="0021756E" w:rsidRDefault="0021756E" w14:paraId="02223EEA" w14:textId="77777777">
      <w:pPr>
        <w:rPr>
          <w:sz w:val="22"/>
          <w:szCs w:val="22"/>
        </w:rPr>
      </w:pPr>
    </w:p>
    <w:p w:rsidR="0021756E" w:rsidP="0021756E" w:rsidRDefault="0021756E" w14:paraId="76D43653" w14:textId="1F5BA388">
      <w:pPr>
        <w:rPr>
          <w:sz w:val="22"/>
          <w:szCs w:val="22"/>
        </w:rPr>
      </w:pPr>
      <w:r w:rsidRPr="0021756E">
        <w:rPr>
          <w:sz w:val="22"/>
          <w:szCs w:val="22"/>
        </w:rPr>
        <w:t>A similar script will be read at the beginning of the Time 2 survey administration.</w:t>
      </w:r>
      <w:r w:rsidR="007061E8">
        <w:rPr>
          <w:sz w:val="22"/>
          <w:szCs w:val="22"/>
        </w:rPr>
        <w:t xml:space="preserve"> </w:t>
      </w:r>
      <w:r w:rsidRPr="0021756E">
        <w:rPr>
          <w:sz w:val="22"/>
          <w:szCs w:val="22"/>
        </w:rPr>
        <w:t>If students decide they do not want to participate in the Time 2 data collection, they will be instructed to do another activity.</w:t>
      </w:r>
      <w:r w:rsidR="007061E8">
        <w:rPr>
          <w:sz w:val="22"/>
          <w:szCs w:val="22"/>
        </w:rPr>
        <w:t xml:space="preserve"> </w:t>
      </w:r>
      <w:r w:rsidRPr="0021756E">
        <w:rPr>
          <w:sz w:val="22"/>
          <w:szCs w:val="22"/>
        </w:rPr>
        <w:t xml:space="preserve">Data collectors will </w:t>
      </w:r>
      <w:r w:rsidR="004B7605">
        <w:rPr>
          <w:sz w:val="22"/>
          <w:szCs w:val="22"/>
        </w:rPr>
        <w:t>have a count of</w:t>
      </w:r>
      <w:r w:rsidRPr="0021756E" w:rsidR="004B7605">
        <w:rPr>
          <w:sz w:val="22"/>
          <w:szCs w:val="22"/>
        </w:rPr>
        <w:t xml:space="preserve"> </w:t>
      </w:r>
      <w:r w:rsidR="00C76447">
        <w:rPr>
          <w:sz w:val="22"/>
          <w:szCs w:val="22"/>
        </w:rPr>
        <w:t xml:space="preserve">the number of </w:t>
      </w:r>
      <w:r w:rsidRPr="0021756E">
        <w:rPr>
          <w:sz w:val="22"/>
          <w:szCs w:val="22"/>
        </w:rPr>
        <w:t>student</w:t>
      </w:r>
      <w:r w:rsidR="00C76447">
        <w:rPr>
          <w:sz w:val="22"/>
          <w:szCs w:val="22"/>
        </w:rPr>
        <w:t>s</w:t>
      </w:r>
      <w:r w:rsidRPr="0021756E">
        <w:rPr>
          <w:sz w:val="22"/>
          <w:szCs w:val="22"/>
        </w:rPr>
        <w:t xml:space="preserve"> </w:t>
      </w:r>
      <w:r w:rsidR="00E7207E">
        <w:rPr>
          <w:sz w:val="22"/>
          <w:szCs w:val="22"/>
        </w:rPr>
        <w:t>who</w:t>
      </w:r>
      <w:r w:rsidRPr="0021756E" w:rsidR="00E7207E">
        <w:rPr>
          <w:sz w:val="22"/>
          <w:szCs w:val="22"/>
        </w:rPr>
        <w:t xml:space="preserve"> </w:t>
      </w:r>
      <w:r w:rsidRPr="0021756E">
        <w:rPr>
          <w:sz w:val="22"/>
          <w:szCs w:val="22"/>
        </w:rPr>
        <w:t xml:space="preserve">completed a Time 1 survey </w:t>
      </w:r>
      <w:r w:rsidR="00C76447">
        <w:rPr>
          <w:sz w:val="22"/>
          <w:szCs w:val="22"/>
        </w:rPr>
        <w:t xml:space="preserve">but </w:t>
      </w:r>
      <w:r w:rsidRPr="0021756E">
        <w:rPr>
          <w:sz w:val="22"/>
          <w:szCs w:val="22"/>
        </w:rPr>
        <w:t xml:space="preserve">did not complete a Time 2 survey </w:t>
      </w:r>
      <w:r w:rsidR="00C76447">
        <w:rPr>
          <w:sz w:val="22"/>
          <w:szCs w:val="22"/>
        </w:rPr>
        <w:t xml:space="preserve">due to refusal or because they were absent at Time 2. In those cases, </w:t>
      </w:r>
      <w:r w:rsidRPr="0021756E">
        <w:rPr>
          <w:sz w:val="22"/>
          <w:szCs w:val="22"/>
        </w:rPr>
        <w:t xml:space="preserve">Time 1 data will not be used. </w:t>
      </w:r>
    </w:p>
    <w:p w:rsidRPr="0021756E" w:rsidR="00E7207E" w:rsidP="0021756E" w:rsidRDefault="00E7207E" w14:paraId="7E4F7BC8" w14:textId="77777777">
      <w:pPr>
        <w:rPr>
          <w:sz w:val="22"/>
          <w:szCs w:val="22"/>
        </w:rPr>
      </w:pPr>
    </w:p>
    <w:p w:rsidRPr="00DB012E" w:rsidR="00EB104F" w:rsidP="00AD26EB" w:rsidRDefault="00EB104F" w14:paraId="4531D2F8" w14:textId="5381447B">
      <w:pPr>
        <w:pStyle w:val="ExhibitText"/>
        <w:ind w:left="630" w:hanging="630"/>
        <w:outlineLvl w:val="1"/>
        <w:rPr>
          <w:b/>
          <w:sz w:val="22"/>
          <w:szCs w:val="22"/>
        </w:rPr>
      </w:pPr>
      <w:bookmarkStart w:name="_Toc344295579" w:id="15"/>
      <w:r w:rsidRPr="00DB012E">
        <w:rPr>
          <w:b/>
          <w:sz w:val="22"/>
          <w:szCs w:val="22"/>
        </w:rPr>
        <w:t>A.12</w:t>
      </w:r>
      <w:r w:rsidRPr="00DB012E">
        <w:rPr>
          <w:b/>
          <w:sz w:val="22"/>
          <w:szCs w:val="22"/>
        </w:rPr>
        <w:tab/>
        <w:t>ESTIMATES OF ANNUALIZED BURDEN HOURS AND COSTS</w:t>
      </w:r>
      <w:bookmarkEnd w:id="15"/>
    </w:p>
    <w:p w:rsidR="00EB104F" w:rsidP="00EB104F" w:rsidRDefault="00EB104F" w14:paraId="23775E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7061E8" w:rsidR="00452BCB" w:rsidP="007061E8" w:rsidRDefault="008247EE" w14:paraId="35655F6F" w14:textId="694977A8">
      <w:pPr>
        <w:rPr>
          <w:sz w:val="22"/>
          <w:szCs w:val="22"/>
        </w:rPr>
      </w:pPr>
      <w:bookmarkStart w:name="_Toc344295580" w:id="16"/>
      <w:r w:rsidRPr="00B51901">
        <w:rPr>
          <w:sz w:val="22"/>
          <w:szCs w:val="22"/>
        </w:rPr>
        <w:t>A. Exhibit 1 below shows estimated burden hours for both preliminary activities and data collection activities.</w:t>
      </w:r>
      <w:r w:rsidRPr="00B51901" w:rsidR="00AD26EB">
        <w:rPr>
          <w:sz w:val="22"/>
          <w:szCs w:val="22"/>
        </w:rPr>
        <w:t xml:space="preserve"> </w:t>
      </w:r>
      <w:r w:rsidRPr="00B51901" w:rsidR="00452BCB">
        <w:rPr>
          <w:sz w:val="22"/>
          <w:szCs w:val="22"/>
        </w:rPr>
        <w:t>Preliminary activities include: (a) contacting and seeking research approvals from public school districts with an established research approval process (“special contact districts”), (b) notifying the superintendent</w:t>
      </w:r>
      <w:r w:rsidRPr="008D327D" w:rsidR="00452BCB">
        <w:t xml:space="preserve"> </w:t>
      </w:r>
      <w:r w:rsidRPr="007061E8" w:rsidR="00452BCB">
        <w:rPr>
          <w:sz w:val="22"/>
          <w:szCs w:val="22"/>
        </w:rPr>
        <w:t>of districts with samp</w:t>
      </w:r>
      <w:r w:rsidRPr="007061E8" w:rsidR="004333F5">
        <w:rPr>
          <w:sz w:val="22"/>
          <w:szCs w:val="22"/>
        </w:rPr>
        <w:t>led schools about the study,</w:t>
      </w:r>
      <w:r w:rsidRPr="007061E8" w:rsidR="00452BCB">
        <w:rPr>
          <w:sz w:val="22"/>
          <w:szCs w:val="22"/>
        </w:rPr>
        <w:t xml:space="preserve"> (c) notifying sampled schools of their selection for the survey</w:t>
      </w:r>
      <w:r w:rsidRPr="007061E8" w:rsidR="004333F5">
        <w:rPr>
          <w:sz w:val="22"/>
          <w:szCs w:val="22"/>
        </w:rPr>
        <w:t xml:space="preserve"> and coordinating the dates of data collection, and (d) teachers distributing and collecting parental consent forms</w:t>
      </w:r>
      <w:r w:rsidRPr="007061E8" w:rsidR="00452BCB">
        <w:rPr>
          <w:sz w:val="22"/>
          <w:szCs w:val="22"/>
        </w:rPr>
        <w:t xml:space="preserve">. </w:t>
      </w:r>
      <w:r w:rsidRPr="00E341B9" w:rsidR="00E341B9">
        <w:rPr>
          <w:sz w:val="22"/>
          <w:szCs w:val="22"/>
        </w:rPr>
        <w:t>The special contact districts are those known to require completion of a research application before they will allow schools under their jurisdiction to participate in a study.</w:t>
      </w:r>
    </w:p>
    <w:p w:rsidRPr="007061E8" w:rsidR="007061E8" w:rsidP="007061E8" w:rsidRDefault="007061E8" w14:paraId="225806F9" w14:textId="77777777">
      <w:pPr>
        <w:rPr>
          <w:sz w:val="22"/>
          <w:szCs w:val="22"/>
        </w:rPr>
      </w:pPr>
    </w:p>
    <w:p w:rsidRPr="00B51901" w:rsidR="00452BCB" w:rsidP="007061E8" w:rsidRDefault="00452BCB" w14:paraId="78117544" w14:textId="7D23072A">
      <w:pPr>
        <w:rPr>
          <w:sz w:val="22"/>
          <w:szCs w:val="22"/>
        </w:rPr>
      </w:pPr>
      <w:r w:rsidRPr="007061E8">
        <w:rPr>
          <w:sz w:val="22"/>
          <w:szCs w:val="22"/>
        </w:rPr>
        <w:t>The notification letter to district superintendents is not included in the burden estimates because the superintendents are not asked to take any action upon receiving the letter.</w:t>
      </w:r>
      <w:r w:rsidRPr="007061E8" w:rsidR="005875DD">
        <w:rPr>
          <w:sz w:val="22"/>
          <w:szCs w:val="22"/>
        </w:rPr>
        <w:t xml:space="preserve"> </w:t>
      </w:r>
      <w:r w:rsidR="00466662">
        <w:rPr>
          <w:sz w:val="22"/>
          <w:szCs w:val="22"/>
        </w:rPr>
        <w:t xml:space="preserve">Each superintendent will receive a recruitment call which is included in the burden estimates with an estimated time of 30 minutes. </w:t>
      </w:r>
      <w:r w:rsidRPr="007061E8" w:rsidR="005875DD">
        <w:rPr>
          <w:sz w:val="22"/>
          <w:szCs w:val="22"/>
        </w:rPr>
        <w:t>Each school p</w:t>
      </w:r>
      <w:r w:rsidRPr="007061E8" w:rsidR="009279A6">
        <w:rPr>
          <w:sz w:val="22"/>
          <w:szCs w:val="22"/>
        </w:rPr>
        <w:t>rincipal is</w:t>
      </w:r>
      <w:r w:rsidRPr="007061E8" w:rsidR="008A0F10">
        <w:rPr>
          <w:sz w:val="22"/>
          <w:szCs w:val="22"/>
        </w:rPr>
        <w:t xml:space="preserve"> estimated to spend </w:t>
      </w:r>
      <w:r w:rsidRPr="007061E8" w:rsidR="005875DD">
        <w:rPr>
          <w:sz w:val="22"/>
          <w:szCs w:val="22"/>
        </w:rPr>
        <w:t>60</w:t>
      </w:r>
      <w:r w:rsidRPr="007061E8" w:rsidR="008A0F10">
        <w:rPr>
          <w:sz w:val="22"/>
          <w:szCs w:val="22"/>
        </w:rPr>
        <w:t xml:space="preserve"> minutes</w:t>
      </w:r>
      <w:r w:rsidR="008A0F10">
        <w:t xml:space="preserve"> </w:t>
      </w:r>
      <w:r w:rsidRPr="00B51901" w:rsidR="008A0F10">
        <w:rPr>
          <w:sz w:val="22"/>
          <w:szCs w:val="22"/>
        </w:rPr>
        <w:t xml:space="preserve">coordinating the data collection at their school, and </w:t>
      </w:r>
      <w:r w:rsidRPr="00B51901" w:rsidR="005875DD">
        <w:rPr>
          <w:sz w:val="22"/>
          <w:szCs w:val="22"/>
        </w:rPr>
        <w:t xml:space="preserve">each </w:t>
      </w:r>
      <w:r w:rsidRPr="00B51901" w:rsidR="008A0F10">
        <w:rPr>
          <w:sz w:val="22"/>
          <w:szCs w:val="22"/>
        </w:rPr>
        <w:t>classroom teacher</w:t>
      </w:r>
      <w:r w:rsidRPr="00B51901" w:rsidR="005875DD">
        <w:rPr>
          <w:sz w:val="22"/>
          <w:szCs w:val="22"/>
        </w:rPr>
        <w:t xml:space="preserve"> is</w:t>
      </w:r>
      <w:r w:rsidRPr="00B51901" w:rsidR="008A0F10">
        <w:rPr>
          <w:sz w:val="22"/>
          <w:szCs w:val="22"/>
        </w:rPr>
        <w:t xml:space="preserve"> estimated to spend </w:t>
      </w:r>
      <w:r w:rsidRPr="00B51901" w:rsidR="005875DD">
        <w:rPr>
          <w:sz w:val="22"/>
          <w:szCs w:val="22"/>
        </w:rPr>
        <w:t>3</w:t>
      </w:r>
      <w:r w:rsidRPr="00B51901" w:rsidR="008A0F10">
        <w:rPr>
          <w:sz w:val="22"/>
          <w:szCs w:val="22"/>
        </w:rPr>
        <w:t>0 minutes distributing and collecting consent forms</w:t>
      </w:r>
      <w:r w:rsidRPr="00B51901" w:rsidR="005875DD">
        <w:rPr>
          <w:sz w:val="22"/>
          <w:szCs w:val="22"/>
        </w:rPr>
        <w:t xml:space="preserve"> for each participating classroom</w:t>
      </w:r>
      <w:r w:rsidRPr="00B51901" w:rsidR="008A0F10">
        <w:rPr>
          <w:sz w:val="22"/>
          <w:szCs w:val="22"/>
        </w:rPr>
        <w:t>.</w:t>
      </w:r>
    </w:p>
    <w:p w:rsidR="007061E8" w:rsidP="007061E8" w:rsidRDefault="007061E8" w14:paraId="7E102A43" w14:textId="77777777"/>
    <w:p w:rsidR="00FA5A19" w:rsidP="007061E8" w:rsidRDefault="008A0F10" w14:paraId="3D879374" w14:textId="00EC5A54">
      <w:pPr>
        <w:pStyle w:val="SL-FlLftSgl"/>
        <w:jc w:val="left"/>
      </w:pPr>
      <w:r>
        <w:t>We</w:t>
      </w:r>
      <w:r w:rsidRPr="0071243D" w:rsidR="00FA5A19">
        <w:t xml:space="preserve"> are requesting approval to </w:t>
      </w:r>
      <w:r w:rsidR="002101FC">
        <w:t xml:space="preserve">administer </w:t>
      </w:r>
      <w:r w:rsidRPr="0071243D" w:rsidR="00FA5A19">
        <w:t xml:space="preserve">the </w:t>
      </w:r>
      <w:r w:rsidR="00D64B90">
        <w:t xml:space="preserve">YRBS </w:t>
      </w:r>
      <w:r w:rsidR="002101FC">
        <w:t>q</w:t>
      </w:r>
      <w:r w:rsidR="00D64B90">
        <w:t>uestionnaire at Time 1 and Time 2</w:t>
      </w:r>
      <w:r w:rsidRPr="0071243D" w:rsidR="00FA5A19">
        <w:t>.</w:t>
      </w:r>
      <w:r w:rsidR="00AD26EB">
        <w:t xml:space="preserve"> </w:t>
      </w:r>
      <w:r w:rsidRPr="0038351F" w:rsidR="0038351F">
        <w:t xml:space="preserve">Based on </w:t>
      </w:r>
      <w:r w:rsidR="00542B00">
        <w:t xml:space="preserve">school </w:t>
      </w:r>
      <w:r w:rsidRPr="0038351F" w:rsidR="0038351F">
        <w:t xml:space="preserve">district </w:t>
      </w:r>
      <w:r w:rsidRPr="008A0F10" w:rsidR="0038351F">
        <w:t xml:space="preserve">experience administering the </w:t>
      </w:r>
      <w:r w:rsidRPr="008A0F10" w:rsidR="00D64B90">
        <w:t>YRBS</w:t>
      </w:r>
      <w:r w:rsidRPr="008A0F10" w:rsidR="0038351F">
        <w:t xml:space="preserve"> </w:t>
      </w:r>
      <w:r w:rsidR="002101FC">
        <w:t>q</w:t>
      </w:r>
      <w:r w:rsidRPr="008A0F10" w:rsidR="0038351F">
        <w:t xml:space="preserve">uestionnaire, </w:t>
      </w:r>
      <w:r w:rsidR="005875DD">
        <w:t>students are estimated to spend 45 minutes completing each survey</w:t>
      </w:r>
      <w:r w:rsidRPr="008A0F10" w:rsidR="008247EE">
        <w:t>.</w:t>
      </w:r>
      <w:r w:rsidR="00D64B90">
        <w:t xml:space="preserve"> </w:t>
      </w:r>
    </w:p>
    <w:p w:rsidR="0024333D" w:rsidP="001853D5" w:rsidRDefault="0024333D" w14:paraId="31EB6FBE" w14:textId="77777777">
      <w:pPr>
        <w:pStyle w:val="Heading3"/>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rsidRPr="00AD26EB" w:rsidR="00EE5139" w:rsidP="001853D5" w:rsidRDefault="006C4DD2" w14:paraId="5B325E84" w14:textId="052685E6">
      <w:pPr>
        <w:pStyle w:val="Heading3"/>
        <w:rPr>
          <w:rFonts w:ascii="Times New Roman" w:hAnsi="Times New Roman" w:cs="Times New Roman"/>
          <w:color w:val="000000" w:themeColor="text1"/>
          <w:sz w:val="22"/>
          <w:szCs w:val="22"/>
        </w:rPr>
      </w:pPr>
      <w:r w:rsidRPr="005875DD">
        <w:rPr>
          <w:rFonts w:ascii="Times New Roman" w:hAnsi="Times New Roman" w:cs="Times New Roman"/>
          <w:color w:val="000000" w:themeColor="text1"/>
          <w:sz w:val="22"/>
          <w:szCs w:val="22"/>
        </w:rPr>
        <w:lastRenderedPageBreak/>
        <w:t>Exhibit 1.</w:t>
      </w:r>
      <w:r w:rsidRPr="005875DD" w:rsidR="00AD26EB">
        <w:rPr>
          <w:rFonts w:ascii="Times New Roman" w:hAnsi="Times New Roman" w:cs="Times New Roman"/>
          <w:color w:val="000000" w:themeColor="text1"/>
          <w:sz w:val="22"/>
          <w:szCs w:val="22"/>
        </w:rPr>
        <w:t xml:space="preserve"> </w:t>
      </w:r>
      <w:r w:rsidRPr="005875DD" w:rsidR="00EE5139">
        <w:rPr>
          <w:rFonts w:ascii="Times New Roman" w:hAnsi="Times New Roman" w:cs="Times New Roman"/>
          <w:color w:val="000000" w:themeColor="text1"/>
          <w:sz w:val="22"/>
          <w:szCs w:val="22"/>
        </w:rPr>
        <w:t>Estimated Annualized Burden Hour</w:t>
      </w:r>
      <w:r w:rsidRPr="005875DD" w:rsidR="00EB104F">
        <w:rPr>
          <w:rFonts w:ascii="Times New Roman" w:hAnsi="Times New Roman" w:cs="Times New Roman"/>
          <w:color w:val="000000" w:themeColor="text1"/>
          <w:sz w:val="22"/>
          <w:szCs w:val="22"/>
        </w:rPr>
        <w:t>s</w:t>
      </w:r>
      <w:bookmarkEnd w:id="16"/>
    </w:p>
    <w:p w:rsidR="00EE5139" w:rsidP="00EE5139" w:rsidRDefault="00EE5139" w14:paraId="51490760" w14:textId="70DAC78B"/>
    <w:tbl>
      <w:tblPr>
        <w:tblStyle w:val="TableGrid"/>
        <w:tblW w:w="9355" w:type="dxa"/>
        <w:tblLook w:val="04A0" w:firstRow="1" w:lastRow="0" w:firstColumn="1" w:lastColumn="0" w:noHBand="0" w:noVBand="1"/>
      </w:tblPr>
      <w:tblGrid>
        <w:gridCol w:w="1795"/>
        <w:gridCol w:w="2348"/>
        <w:gridCol w:w="1574"/>
        <w:gridCol w:w="1228"/>
        <w:gridCol w:w="1150"/>
        <w:gridCol w:w="1260"/>
      </w:tblGrid>
      <w:tr w:rsidRPr="006D1E89" w:rsidR="00B925FF" w:rsidTr="00AD26EB" w14:paraId="367EACED" w14:textId="77777777">
        <w:tc>
          <w:tcPr>
            <w:tcW w:w="1795" w:type="dxa"/>
            <w:vAlign w:val="bottom"/>
          </w:tcPr>
          <w:p w:rsidRPr="006D1E89" w:rsidR="00B925FF" w:rsidDel="004420E7" w:rsidP="006D1E89" w:rsidRDefault="00B925FF" w14:paraId="01703093" w14:textId="77777777">
            <w:pPr>
              <w:widowControl/>
              <w:autoSpaceDE/>
              <w:autoSpaceDN/>
              <w:adjustRightInd/>
              <w:rPr>
                <w:sz w:val="18"/>
                <w:szCs w:val="18"/>
              </w:rPr>
            </w:pPr>
            <w:r w:rsidRPr="006D1E89">
              <w:rPr>
                <w:sz w:val="18"/>
                <w:szCs w:val="18"/>
              </w:rPr>
              <w:t>Respondent</w:t>
            </w:r>
          </w:p>
        </w:tc>
        <w:tc>
          <w:tcPr>
            <w:tcW w:w="2348" w:type="dxa"/>
            <w:vAlign w:val="bottom"/>
          </w:tcPr>
          <w:p w:rsidRPr="006D1E89" w:rsidR="00B925FF" w:rsidP="006D1E89" w:rsidRDefault="00B925FF" w14:paraId="480418F8" w14:textId="77777777">
            <w:pPr>
              <w:widowControl/>
              <w:autoSpaceDE/>
              <w:autoSpaceDN/>
              <w:adjustRightInd/>
              <w:rPr>
                <w:sz w:val="18"/>
                <w:szCs w:val="18"/>
              </w:rPr>
            </w:pPr>
            <w:r w:rsidRPr="006D1E89">
              <w:rPr>
                <w:sz w:val="18"/>
                <w:szCs w:val="18"/>
              </w:rPr>
              <w:t>Form Name</w:t>
            </w:r>
          </w:p>
        </w:tc>
        <w:tc>
          <w:tcPr>
            <w:tcW w:w="1574" w:type="dxa"/>
            <w:vAlign w:val="bottom"/>
          </w:tcPr>
          <w:p w:rsidRPr="006D1E89" w:rsidR="00B925FF" w:rsidP="006D1E89" w:rsidRDefault="00B925FF" w14:paraId="603ECA52" w14:textId="77777777">
            <w:pPr>
              <w:widowControl/>
              <w:autoSpaceDE/>
              <w:autoSpaceDN/>
              <w:adjustRightInd/>
              <w:rPr>
                <w:sz w:val="18"/>
                <w:szCs w:val="18"/>
              </w:rPr>
            </w:pPr>
            <w:r w:rsidRPr="006D1E89">
              <w:rPr>
                <w:sz w:val="18"/>
                <w:szCs w:val="18"/>
              </w:rPr>
              <w:t>Number of Respondents</w:t>
            </w:r>
          </w:p>
        </w:tc>
        <w:tc>
          <w:tcPr>
            <w:tcW w:w="1228" w:type="dxa"/>
            <w:vAlign w:val="bottom"/>
          </w:tcPr>
          <w:p w:rsidRPr="006D1E89" w:rsidR="00B925FF" w:rsidP="006D1E89" w:rsidRDefault="00B925FF" w14:paraId="63E48421" w14:textId="77777777">
            <w:pPr>
              <w:widowControl/>
              <w:autoSpaceDE/>
              <w:autoSpaceDN/>
              <w:adjustRightInd/>
              <w:rPr>
                <w:sz w:val="18"/>
                <w:szCs w:val="18"/>
              </w:rPr>
            </w:pPr>
            <w:r w:rsidRPr="006D1E89">
              <w:rPr>
                <w:sz w:val="18"/>
                <w:szCs w:val="18"/>
              </w:rPr>
              <w:t>Number of Responses per Respondent</w:t>
            </w:r>
          </w:p>
        </w:tc>
        <w:tc>
          <w:tcPr>
            <w:tcW w:w="1150" w:type="dxa"/>
            <w:vAlign w:val="bottom"/>
          </w:tcPr>
          <w:p w:rsidRPr="006D1E89" w:rsidR="00B925FF" w:rsidP="006D1E89" w:rsidRDefault="00B925FF" w14:paraId="50ADC5BF" w14:textId="77777777">
            <w:pPr>
              <w:widowControl/>
              <w:autoSpaceDE/>
              <w:autoSpaceDN/>
              <w:adjustRightInd/>
              <w:rPr>
                <w:sz w:val="18"/>
                <w:szCs w:val="18"/>
              </w:rPr>
            </w:pPr>
            <w:r w:rsidRPr="006D1E89">
              <w:rPr>
                <w:sz w:val="18"/>
                <w:szCs w:val="18"/>
              </w:rPr>
              <w:t>Average Burden per Response (in hours)</w:t>
            </w:r>
          </w:p>
        </w:tc>
        <w:tc>
          <w:tcPr>
            <w:tcW w:w="1260" w:type="dxa"/>
            <w:vAlign w:val="bottom"/>
          </w:tcPr>
          <w:p w:rsidRPr="006D1E89" w:rsidR="00B925FF" w:rsidP="006D1E89" w:rsidRDefault="00B925FF" w14:paraId="35880F79" w14:textId="77777777">
            <w:pPr>
              <w:widowControl/>
              <w:autoSpaceDE/>
              <w:autoSpaceDN/>
              <w:adjustRightInd/>
              <w:rPr>
                <w:sz w:val="18"/>
                <w:szCs w:val="18"/>
              </w:rPr>
            </w:pPr>
            <w:r w:rsidRPr="006D1E89">
              <w:rPr>
                <w:sz w:val="18"/>
                <w:szCs w:val="18"/>
              </w:rPr>
              <w:t>Total Burden (in hours)</w:t>
            </w:r>
          </w:p>
        </w:tc>
      </w:tr>
      <w:tr w:rsidRPr="006D1E89" w:rsidR="00FA5A19" w:rsidTr="00A037CD" w14:paraId="74BB4B41" w14:textId="77777777">
        <w:tc>
          <w:tcPr>
            <w:tcW w:w="9355" w:type="dxa"/>
            <w:gridSpan w:val="6"/>
            <w:shd w:val="clear" w:color="auto" w:fill="D9D9D9" w:themeFill="background1" w:themeFillShade="D9"/>
          </w:tcPr>
          <w:p w:rsidRPr="006D1E89" w:rsidR="00FA5A19" w:rsidP="006D1E89" w:rsidRDefault="00FA5A19" w14:paraId="2465E97E" w14:textId="27D0E954">
            <w:pPr>
              <w:widowControl/>
              <w:autoSpaceDE/>
              <w:autoSpaceDN/>
              <w:adjustRightInd/>
              <w:rPr>
                <w:sz w:val="18"/>
                <w:szCs w:val="18"/>
              </w:rPr>
            </w:pPr>
            <w:r w:rsidRPr="006D1E89">
              <w:rPr>
                <w:sz w:val="18"/>
                <w:szCs w:val="18"/>
              </w:rPr>
              <w:t>Preliminary Activities</w:t>
            </w:r>
          </w:p>
        </w:tc>
      </w:tr>
      <w:tr w:rsidRPr="006D1E89" w:rsidR="00970A3A" w:rsidDel="00E7207E" w:rsidTr="00B925FF" w14:paraId="16880E11" w14:textId="77777777">
        <w:tc>
          <w:tcPr>
            <w:tcW w:w="1795" w:type="dxa"/>
          </w:tcPr>
          <w:p w:rsidRPr="006D1E89" w:rsidR="00970A3A" w:rsidDel="00E7207E" w:rsidP="006D1E89" w:rsidRDefault="00970A3A" w14:paraId="615B34C2" w14:textId="7492C055">
            <w:pPr>
              <w:widowControl/>
              <w:autoSpaceDE/>
              <w:autoSpaceDN/>
              <w:adjustRightInd/>
              <w:rPr>
                <w:sz w:val="18"/>
                <w:szCs w:val="18"/>
              </w:rPr>
            </w:pPr>
            <w:r>
              <w:rPr>
                <w:sz w:val="18"/>
                <w:szCs w:val="18"/>
              </w:rPr>
              <w:t>District Administrators</w:t>
            </w:r>
          </w:p>
        </w:tc>
        <w:tc>
          <w:tcPr>
            <w:tcW w:w="2348" w:type="dxa"/>
          </w:tcPr>
          <w:p w:rsidRPr="0024333D" w:rsidR="00970A3A" w:rsidDel="00E7207E" w:rsidP="001C4E8F" w:rsidRDefault="00970A3A" w14:paraId="0303D56A" w14:textId="70B9F114">
            <w:pPr>
              <w:widowControl/>
              <w:autoSpaceDE/>
              <w:autoSpaceDN/>
              <w:adjustRightInd/>
              <w:rPr>
                <w:sz w:val="18"/>
                <w:szCs w:val="18"/>
              </w:rPr>
            </w:pPr>
            <w:r w:rsidRPr="0024333D">
              <w:rPr>
                <w:sz w:val="18"/>
                <w:szCs w:val="18"/>
              </w:rPr>
              <w:t xml:space="preserve">District-level recruitment script (Attachment </w:t>
            </w:r>
            <w:r w:rsidRPr="0024333D" w:rsidR="001C4E8F">
              <w:rPr>
                <w:sz w:val="18"/>
                <w:szCs w:val="18"/>
              </w:rPr>
              <w:t>E</w:t>
            </w:r>
            <w:r w:rsidRPr="0024333D">
              <w:rPr>
                <w:sz w:val="18"/>
                <w:szCs w:val="18"/>
              </w:rPr>
              <w:t>)</w:t>
            </w:r>
          </w:p>
        </w:tc>
        <w:tc>
          <w:tcPr>
            <w:tcW w:w="1574" w:type="dxa"/>
          </w:tcPr>
          <w:p w:rsidR="00970A3A" w:rsidDel="00E7207E" w:rsidP="006D1E89" w:rsidRDefault="002F1AF0" w14:paraId="451EFC4E" w14:textId="07F42C4C">
            <w:pPr>
              <w:widowControl/>
              <w:autoSpaceDE/>
              <w:autoSpaceDN/>
              <w:adjustRightInd/>
              <w:rPr>
                <w:sz w:val="18"/>
                <w:szCs w:val="18"/>
              </w:rPr>
            </w:pPr>
            <w:r>
              <w:rPr>
                <w:sz w:val="18"/>
                <w:szCs w:val="18"/>
              </w:rPr>
              <w:t>20</w:t>
            </w:r>
          </w:p>
        </w:tc>
        <w:tc>
          <w:tcPr>
            <w:tcW w:w="1228" w:type="dxa"/>
          </w:tcPr>
          <w:p w:rsidRPr="006D1E89" w:rsidR="00970A3A" w:rsidDel="00E7207E" w:rsidP="006D1E89" w:rsidRDefault="00970A3A" w14:paraId="50C20A0A" w14:textId="74A1B358">
            <w:pPr>
              <w:widowControl/>
              <w:autoSpaceDE/>
              <w:autoSpaceDN/>
              <w:adjustRightInd/>
              <w:rPr>
                <w:sz w:val="18"/>
                <w:szCs w:val="18"/>
              </w:rPr>
            </w:pPr>
            <w:r>
              <w:rPr>
                <w:sz w:val="18"/>
                <w:szCs w:val="18"/>
              </w:rPr>
              <w:t>1</w:t>
            </w:r>
          </w:p>
        </w:tc>
        <w:tc>
          <w:tcPr>
            <w:tcW w:w="1150" w:type="dxa"/>
          </w:tcPr>
          <w:p w:rsidRPr="006D1E89" w:rsidR="00970A3A" w:rsidDel="00E7207E" w:rsidP="006D1E89" w:rsidRDefault="002F1AF0" w14:paraId="3F07F9F9" w14:textId="1A1F137C">
            <w:pPr>
              <w:widowControl/>
              <w:autoSpaceDE/>
              <w:autoSpaceDN/>
              <w:adjustRightInd/>
              <w:rPr>
                <w:sz w:val="18"/>
                <w:szCs w:val="18"/>
              </w:rPr>
            </w:pPr>
            <w:r>
              <w:rPr>
                <w:sz w:val="18"/>
                <w:szCs w:val="18"/>
              </w:rPr>
              <w:t>30</w:t>
            </w:r>
            <w:r w:rsidR="00970A3A">
              <w:rPr>
                <w:sz w:val="18"/>
                <w:szCs w:val="18"/>
              </w:rPr>
              <w:t>/60</w:t>
            </w:r>
          </w:p>
        </w:tc>
        <w:tc>
          <w:tcPr>
            <w:tcW w:w="1260" w:type="dxa"/>
          </w:tcPr>
          <w:p w:rsidR="00970A3A" w:rsidDel="00E7207E" w:rsidP="006D1E89" w:rsidRDefault="002F1AF0" w14:paraId="300DA537" w14:textId="5F64C4F9">
            <w:pPr>
              <w:widowControl/>
              <w:autoSpaceDE/>
              <w:autoSpaceDN/>
              <w:adjustRightInd/>
              <w:rPr>
                <w:sz w:val="18"/>
                <w:szCs w:val="18"/>
              </w:rPr>
            </w:pPr>
            <w:r>
              <w:rPr>
                <w:sz w:val="18"/>
                <w:szCs w:val="18"/>
              </w:rPr>
              <w:t>10</w:t>
            </w:r>
          </w:p>
        </w:tc>
      </w:tr>
      <w:tr w:rsidRPr="006D1E89" w:rsidR="008A0F10" w:rsidTr="00AF29AD" w14:paraId="748EC94E" w14:textId="77777777">
        <w:tc>
          <w:tcPr>
            <w:tcW w:w="1795" w:type="dxa"/>
            <w:shd w:val="clear" w:color="auto" w:fill="auto"/>
          </w:tcPr>
          <w:p w:rsidRPr="006D1E89" w:rsidR="008A0F10" w:rsidP="006D1E89" w:rsidRDefault="006D1E89" w14:paraId="31299D56" w14:textId="44ACDE65">
            <w:pPr>
              <w:widowControl/>
              <w:autoSpaceDE/>
              <w:autoSpaceDN/>
              <w:adjustRightInd/>
              <w:rPr>
                <w:sz w:val="18"/>
                <w:szCs w:val="18"/>
              </w:rPr>
            </w:pPr>
            <w:r>
              <w:rPr>
                <w:sz w:val="18"/>
                <w:szCs w:val="18"/>
              </w:rPr>
              <w:t>School P</w:t>
            </w:r>
            <w:r w:rsidRPr="006D1E89" w:rsidR="008A0F10">
              <w:rPr>
                <w:sz w:val="18"/>
                <w:szCs w:val="18"/>
              </w:rPr>
              <w:t>rincipal</w:t>
            </w:r>
            <w:r w:rsidR="00970A3A">
              <w:rPr>
                <w:sz w:val="18"/>
                <w:szCs w:val="18"/>
              </w:rPr>
              <w:t>s</w:t>
            </w:r>
          </w:p>
        </w:tc>
        <w:tc>
          <w:tcPr>
            <w:tcW w:w="2348" w:type="dxa"/>
            <w:shd w:val="clear" w:color="auto" w:fill="auto"/>
          </w:tcPr>
          <w:p w:rsidRPr="0024333D" w:rsidR="008A0F10" w:rsidP="001C4E8F" w:rsidRDefault="00970A3A" w14:paraId="2485A890" w14:textId="28627671">
            <w:pPr>
              <w:widowControl/>
              <w:autoSpaceDE/>
              <w:autoSpaceDN/>
              <w:adjustRightInd/>
              <w:rPr>
                <w:sz w:val="18"/>
                <w:szCs w:val="18"/>
              </w:rPr>
            </w:pPr>
            <w:r w:rsidRPr="0024333D">
              <w:rPr>
                <w:sz w:val="18"/>
                <w:szCs w:val="18"/>
              </w:rPr>
              <w:t xml:space="preserve">School-level recruitment script (Attachment </w:t>
            </w:r>
            <w:r w:rsidRPr="0024333D" w:rsidR="001C4E8F">
              <w:rPr>
                <w:sz w:val="18"/>
                <w:szCs w:val="18"/>
              </w:rPr>
              <w:t>G</w:t>
            </w:r>
            <w:r w:rsidRPr="0024333D">
              <w:rPr>
                <w:sz w:val="18"/>
                <w:szCs w:val="18"/>
              </w:rPr>
              <w:t>)</w:t>
            </w:r>
          </w:p>
        </w:tc>
        <w:tc>
          <w:tcPr>
            <w:tcW w:w="1574" w:type="dxa"/>
            <w:shd w:val="clear" w:color="auto" w:fill="auto"/>
          </w:tcPr>
          <w:p w:rsidRPr="006D1E89" w:rsidR="008A0F10" w:rsidP="006D1E89" w:rsidRDefault="00DC29B5" w14:paraId="36A05842" w14:textId="4CA852F6">
            <w:pPr>
              <w:widowControl/>
              <w:autoSpaceDE/>
              <w:autoSpaceDN/>
              <w:adjustRightInd/>
              <w:rPr>
                <w:sz w:val="18"/>
                <w:szCs w:val="18"/>
              </w:rPr>
            </w:pPr>
            <w:r>
              <w:rPr>
                <w:sz w:val="18"/>
                <w:szCs w:val="18"/>
              </w:rPr>
              <w:t>20</w:t>
            </w:r>
          </w:p>
        </w:tc>
        <w:tc>
          <w:tcPr>
            <w:tcW w:w="1228" w:type="dxa"/>
            <w:shd w:val="clear" w:color="auto" w:fill="auto"/>
          </w:tcPr>
          <w:p w:rsidRPr="006D1E89" w:rsidR="008A0F10" w:rsidP="006D1E89" w:rsidRDefault="008A0F10" w14:paraId="40669B71" w14:textId="13736B5A">
            <w:pPr>
              <w:widowControl/>
              <w:autoSpaceDE/>
              <w:autoSpaceDN/>
              <w:adjustRightInd/>
              <w:rPr>
                <w:sz w:val="18"/>
                <w:szCs w:val="18"/>
              </w:rPr>
            </w:pPr>
            <w:r w:rsidRPr="006D1E89">
              <w:rPr>
                <w:sz w:val="18"/>
                <w:szCs w:val="18"/>
              </w:rPr>
              <w:t>1</w:t>
            </w:r>
          </w:p>
        </w:tc>
        <w:tc>
          <w:tcPr>
            <w:tcW w:w="1150" w:type="dxa"/>
            <w:shd w:val="clear" w:color="auto" w:fill="auto"/>
          </w:tcPr>
          <w:p w:rsidRPr="006D1E89" w:rsidR="008A0F10" w:rsidP="006D1E89" w:rsidRDefault="002F1AF0" w14:paraId="3B66121F" w14:textId="13FEE978">
            <w:pPr>
              <w:widowControl/>
              <w:autoSpaceDE/>
              <w:autoSpaceDN/>
              <w:adjustRightInd/>
              <w:rPr>
                <w:sz w:val="18"/>
                <w:szCs w:val="18"/>
              </w:rPr>
            </w:pPr>
            <w:r>
              <w:rPr>
                <w:sz w:val="18"/>
                <w:szCs w:val="18"/>
              </w:rPr>
              <w:t>30/60</w:t>
            </w:r>
          </w:p>
        </w:tc>
        <w:tc>
          <w:tcPr>
            <w:tcW w:w="1260" w:type="dxa"/>
            <w:shd w:val="clear" w:color="auto" w:fill="auto"/>
          </w:tcPr>
          <w:p w:rsidRPr="006D1E89" w:rsidR="008A0F10" w:rsidP="006D1E89" w:rsidRDefault="002F1AF0" w14:paraId="55D20175" w14:textId="08ADF6C7">
            <w:pPr>
              <w:widowControl/>
              <w:autoSpaceDE/>
              <w:autoSpaceDN/>
              <w:adjustRightInd/>
              <w:rPr>
                <w:sz w:val="18"/>
                <w:szCs w:val="18"/>
              </w:rPr>
            </w:pPr>
            <w:r>
              <w:rPr>
                <w:sz w:val="18"/>
                <w:szCs w:val="18"/>
              </w:rPr>
              <w:t>10</w:t>
            </w:r>
          </w:p>
        </w:tc>
      </w:tr>
      <w:tr w:rsidRPr="006D1E89" w:rsidR="00FA5A19" w:rsidTr="00A037CD" w14:paraId="7D8DC419" w14:textId="77777777">
        <w:tc>
          <w:tcPr>
            <w:tcW w:w="9355" w:type="dxa"/>
            <w:gridSpan w:val="6"/>
            <w:shd w:val="clear" w:color="auto" w:fill="D9D9D9" w:themeFill="background1" w:themeFillShade="D9"/>
          </w:tcPr>
          <w:p w:rsidRPr="006D1E89" w:rsidR="00FA5A19" w:rsidP="006D1E89" w:rsidRDefault="00FA5A19" w14:paraId="04BA63A8" w14:textId="7AA736D3">
            <w:pPr>
              <w:widowControl/>
              <w:autoSpaceDE/>
              <w:autoSpaceDN/>
              <w:adjustRightInd/>
              <w:rPr>
                <w:sz w:val="18"/>
                <w:szCs w:val="18"/>
              </w:rPr>
            </w:pPr>
            <w:r w:rsidRPr="006D1E89">
              <w:rPr>
                <w:sz w:val="18"/>
                <w:szCs w:val="18"/>
              </w:rPr>
              <w:t>Data Collection Activities</w:t>
            </w:r>
          </w:p>
        </w:tc>
      </w:tr>
      <w:tr w:rsidRPr="006D1E89" w:rsidR="00EA4DB4" w:rsidTr="00AF29AD" w14:paraId="05413E02" w14:textId="77777777">
        <w:tc>
          <w:tcPr>
            <w:tcW w:w="1795" w:type="dxa"/>
            <w:shd w:val="clear" w:color="auto" w:fill="auto"/>
          </w:tcPr>
          <w:p w:rsidRPr="006D1E89" w:rsidR="00EA4DB4" w:rsidP="0081121B" w:rsidRDefault="00EA4DB4" w14:paraId="71B42F69" w14:textId="7C83FE7E">
            <w:pPr>
              <w:widowControl/>
              <w:autoSpaceDE/>
              <w:autoSpaceDN/>
              <w:adjustRightInd/>
              <w:rPr>
                <w:sz w:val="18"/>
                <w:szCs w:val="18"/>
              </w:rPr>
            </w:pPr>
            <w:r w:rsidRPr="006D1E89">
              <w:rPr>
                <w:sz w:val="18"/>
                <w:szCs w:val="18"/>
              </w:rPr>
              <w:t xml:space="preserve">Classroom </w:t>
            </w:r>
            <w:r w:rsidR="0081121B">
              <w:rPr>
                <w:sz w:val="18"/>
                <w:szCs w:val="18"/>
              </w:rPr>
              <w:t>T</w:t>
            </w:r>
            <w:r w:rsidRPr="006D1E89" w:rsidR="0081121B">
              <w:rPr>
                <w:sz w:val="18"/>
                <w:szCs w:val="18"/>
              </w:rPr>
              <w:t>eachers</w:t>
            </w:r>
          </w:p>
        </w:tc>
        <w:tc>
          <w:tcPr>
            <w:tcW w:w="2348" w:type="dxa"/>
            <w:shd w:val="clear" w:color="auto" w:fill="auto"/>
            <w:vAlign w:val="center"/>
          </w:tcPr>
          <w:p w:rsidRPr="0024333D" w:rsidR="00EA4DB4" w:rsidP="001C4E8F" w:rsidRDefault="00970A3A" w14:paraId="288BC71B" w14:textId="64668F5C">
            <w:pPr>
              <w:widowControl/>
              <w:autoSpaceDE/>
              <w:autoSpaceDN/>
              <w:adjustRightInd/>
              <w:rPr>
                <w:sz w:val="18"/>
                <w:szCs w:val="18"/>
              </w:rPr>
            </w:pPr>
            <w:r w:rsidRPr="0024333D">
              <w:rPr>
                <w:sz w:val="18"/>
                <w:szCs w:val="18"/>
              </w:rPr>
              <w:t xml:space="preserve">Consent form checklist (Attachment </w:t>
            </w:r>
            <w:r w:rsidRPr="0024333D" w:rsidR="001C4E8F">
              <w:rPr>
                <w:sz w:val="18"/>
                <w:szCs w:val="18"/>
              </w:rPr>
              <w:t>N</w:t>
            </w:r>
            <w:r w:rsidRPr="0024333D">
              <w:rPr>
                <w:sz w:val="18"/>
                <w:szCs w:val="18"/>
              </w:rPr>
              <w:t>)</w:t>
            </w:r>
          </w:p>
        </w:tc>
        <w:tc>
          <w:tcPr>
            <w:tcW w:w="1574" w:type="dxa"/>
            <w:shd w:val="clear" w:color="auto" w:fill="auto"/>
          </w:tcPr>
          <w:p w:rsidRPr="006D1E89" w:rsidR="00EA4DB4" w:rsidP="006D1E89" w:rsidRDefault="00DC29B5" w14:paraId="1562294F" w14:textId="0D27D5DD">
            <w:pPr>
              <w:widowControl/>
              <w:autoSpaceDE/>
              <w:autoSpaceDN/>
              <w:adjustRightInd/>
              <w:rPr>
                <w:sz w:val="18"/>
                <w:szCs w:val="18"/>
              </w:rPr>
            </w:pPr>
            <w:r>
              <w:rPr>
                <w:sz w:val="18"/>
                <w:szCs w:val="18"/>
              </w:rPr>
              <w:t>80</w:t>
            </w:r>
          </w:p>
        </w:tc>
        <w:tc>
          <w:tcPr>
            <w:tcW w:w="1228" w:type="dxa"/>
            <w:shd w:val="clear" w:color="auto" w:fill="auto"/>
          </w:tcPr>
          <w:p w:rsidRPr="006D1E89" w:rsidR="00EA4DB4" w:rsidP="006D1E89" w:rsidRDefault="00EA4DB4" w14:paraId="71D76EA6" w14:textId="77777777">
            <w:pPr>
              <w:widowControl/>
              <w:autoSpaceDE/>
              <w:autoSpaceDN/>
              <w:adjustRightInd/>
              <w:rPr>
                <w:sz w:val="18"/>
                <w:szCs w:val="18"/>
              </w:rPr>
            </w:pPr>
            <w:r w:rsidRPr="006D1E89">
              <w:rPr>
                <w:sz w:val="18"/>
                <w:szCs w:val="18"/>
              </w:rPr>
              <w:t>1</w:t>
            </w:r>
          </w:p>
        </w:tc>
        <w:tc>
          <w:tcPr>
            <w:tcW w:w="1150" w:type="dxa"/>
            <w:shd w:val="clear" w:color="auto" w:fill="auto"/>
          </w:tcPr>
          <w:p w:rsidRPr="006D1E89" w:rsidR="00EA4DB4" w:rsidP="006D1E89" w:rsidRDefault="00134FF3" w14:paraId="70BCC3EC" w14:textId="4C8662CD">
            <w:pPr>
              <w:widowControl/>
              <w:autoSpaceDE/>
              <w:autoSpaceDN/>
              <w:adjustRightInd/>
              <w:rPr>
                <w:sz w:val="18"/>
                <w:szCs w:val="18"/>
              </w:rPr>
            </w:pPr>
            <w:r>
              <w:rPr>
                <w:sz w:val="18"/>
                <w:szCs w:val="18"/>
              </w:rPr>
              <w:t>15</w:t>
            </w:r>
            <w:r w:rsidRPr="006D1E89" w:rsidR="00EA4DB4">
              <w:rPr>
                <w:sz w:val="18"/>
                <w:szCs w:val="18"/>
              </w:rPr>
              <w:t>/60</w:t>
            </w:r>
          </w:p>
        </w:tc>
        <w:tc>
          <w:tcPr>
            <w:tcW w:w="1260" w:type="dxa"/>
            <w:shd w:val="clear" w:color="auto" w:fill="auto"/>
            <w:vAlign w:val="center"/>
          </w:tcPr>
          <w:p w:rsidRPr="006D1E89" w:rsidR="00EA4DB4" w:rsidP="006D1E89" w:rsidRDefault="00B84A19" w14:paraId="14B52B0D" w14:textId="56A390D8">
            <w:pPr>
              <w:widowControl/>
              <w:autoSpaceDE/>
              <w:autoSpaceDN/>
              <w:adjustRightInd/>
              <w:rPr>
                <w:sz w:val="18"/>
                <w:szCs w:val="18"/>
              </w:rPr>
            </w:pPr>
            <w:r>
              <w:rPr>
                <w:sz w:val="18"/>
                <w:szCs w:val="18"/>
              </w:rPr>
              <w:t>20</w:t>
            </w:r>
          </w:p>
        </w:tc>
      </w:tr>
      <w:tr w:rsidRPr="006D1E89" w:rsidR="00B925FF" w:rsidTr="00AF29AD" w14:paraId="67202585" w14:textId="77777777">
        <w:tc>
          <w:tcPr>
            <w:tcW w:w="1795" w:type="dxa"/>
            <w:shd w:val="clear" w:color="auto" w:fill="auto"/>
          </w:tcPr>
          <w:p w:rsidRPr="006D1E89" w:rsidR="00B925FF" w:rsidP="004333F5" w:rsidRDefault="00B925FF" w14:paraId="55777AEC" w14:textId="11CCADEB">
            <w:pPr>
              <w:widowControl/>
              <w:autoSpaceDE/>
              <w:autoSpaceDN/>
              <w:adjustRightInd/>
              <w:rPr>
                <w:sz w:val="18"/>
                <w:szCs w:val="18"/>
              </w:rPr>
            </w:pPr>
            <w:r w:rsidRPr="006D1E89">
              <w:rPr>
                <w:sz w:val="18"/>
                <w:szCs w:val="18"/>
              </w:rPr>
              <w:t>S</w:t>
            </w:r>
            <w:r w:rsidRPr="006D1E89" w:rsidR="004333F5">
              <w:rPr>
                <w:sz w:val="18"/>
                <w:szCs w:val="18"/>
              </w:rPr>
              <w:t>tudents</w:t>
            </w:r>
          </w:p>
        </w:tc>
        <w:tc>
          <w:tcPr>
            <w:tcW w:w="2348" w:type="dxa"/>
            <w:shd w:val="clear" w:color="auto" w:fill="auto"/>
            <w:vAlign w:val="center"/>
          </w:tcPr>
          <w:p w:rsidRPr="006D1E89" w:rsidR="00B925FF" w:rsidP="001B3922" w:rsidRDefault="004333F5" w14:paraId="63B3A5F8" w14:textId="11C3092D">
            <w:pPr>
              <w:rPr>
                <w:sz w:val="18"/>
                <w:szCs w:val="18"/>
              </w:rPr>
            </w:pPr>
            <w:r w:rsidRPr="006D1E89">
              <w:rPr>
                <w:sz w:val="18"/>
                <w:szCs w:val="18"/>
              </w:rPr>
              <w:t xml:space="preserve">YRBS </w:t>
            </w:r>
            <w:r w:rsidR="001B3922">
              <w:rPr>
                <w:sz w:val="18"/>
                <w:szCs w:val="18"/>
              </w:rPr>
              <w:t>Questionnaire</w:t>
            </w:r>
            <w:r w:rsidR="00F50390">
              <w:rPr>
                <w:sz w:val="18"/>
                <w:szCs w:val="18"/>
              </w:rPr>
              <w:t xml:space="preserve"> (Attachment C)</w:t>
            </w:r>
          </w:p>
        </w:tc>
        <w:tc>
          <w:tcPr>
            <w:tcW w:w="1574" w:type="dxa"/>
            <w:shd w:val="clear" w:color="auto" w:fill="auto"/>
          </w:tcPr>
          <w:p w:rsidRPr="006D1E89" w:rsidR="00B925FF" w:rsidP="006D1E89" w:rsidRDefault="00EA4DB4" w14:paraId="7DF30D0E" w14:textId="4CBA2475">
            <w:pPr>
              <w:widowControl/>
              <w:autoSpaceDE/>
              <w:autoSpaceDN/>
              <w:adjustRightInd/>
              <w:rPr>
                <w:sz w:val="18"/>
                <w:szCs w:val="18"/>
              </w:rPr>
            </w:pPr>
            <w:r w:rsidRPr="006D1E89">
              <w:rPr>
                <w:sz w:val="18"/>
                <w:szCs w:val="18"/>
              </w:rPr>
              <w:t>1,000</w:t>
            </w:r>
          </w:p>
        </w:tc>
        <w:tc>
          <w:tcPr>
            <w:tcW w:w="1228" w:type="dxa"/>
            <w:shd w:val="clear" w:color="auto" w:fill="auto"/>
          </w:tcPr>
          <w:p w:rsidRPr="006D1E89" w:rsidR="00B925FF" w:rsidP="006D1E89" w:rsidRDefault="004333F5" w14:paraId="7048DCDA" w14:textId="2847FDE7">
            <w:pPr>
              <w:widowControl/>
              <w:autoSpaceDE/>
              <w:autoSpaceDN/>
              <w:adjustRightInd/>
              <w:rPr>
                <w:sz w:val="18"/>
                <w:szCs w:val="18"/>
              </w:rPr>
            </w:pPr>
            <w:r w:rsidRPr="006D1E89">
              <w:rPr>
                <w:sz w:val="18"/>
                <w:szCs w:val="18"/>
              </w:rPr>
              <w:t>2</w:t>
            </w:r>
          </w:p>
        </w:tc>
        <w:tc>
          <w:tcPr>
            <w:tcW w:w="1150" w:type="dxa"/>
            <w:shd w:val="clear" w:color="auto" w:fill="auto"/>
          </w:tcPr>
          <w:p w:rsidRPr="006D1E89" w:rsidR="00B925FF" w:rsidP="006D1E89" w:rsidRDefault="00B925FF" w14:paraId="364D8052" w14:textId="77777777">
            <w:pPr>
              <w:widowControl/>
              <w:autoSpaceDE/>
              <w:autoSpaceDN/>
              <w:adjustRightInd/>
              <w:rPr>
                <w:sz w:val="18"/>
                <w:szCs w:val="18"/>
              </w:rPr>
            </w:pPr>
            <w:r w:rsidRPr="006D1E89">
              <w:rPr>
                <w:sz w:val="18"/>
                <w:szCs w:val="18"/>
              </w:rPr>
              <w:t>45/60</w:t>
            </w:r>
          </w:p>
        </w:tc>
        <w:tc>
          <w:tcPr>
            <w:tcW w:w="1260" w:type="dxa"/>
            <w:shd w:val="clear" w:color="auto" w:fill="auto"/>
            <w:vAlign w:val="center"/>
          </w:tcPr>
          <w:p w:rsidRPr="006D1E89" w:rsidR="00B925FF" w:rsidP="006D1E89" w:rsidRDefault="00EA4DB4" w14:paraId="56409DA2" w14:textId="2B258E21">
            <w:pPr>
              <w:widowControl/>
              <w:autoSpaceDE/>
              <w:autoSpaceDN/>
              <w:adjustRightInd/>
              <w:rPr>
                <w:sz w:val="18"/>
                <w:szCs w:val="18"/>
              </w:rPr>
            </w:pPr>
            <w:r w:rsidRPr="006D1E89">
              <w:rPr>
                <w:sz w:val="18"/>
                <w:szCs w:val="18"/>
              </w:rPr>
              <w:t>1,500</w:t>
            </w:r>
          </w:p>
        </w:tc>
      </w:tr>
      <w:tr w:rsidRPr="006D1E89" w:rsidR="00B925FF" w:rsidTr="00B925FF" w14:paraId="338A9F0C" w14:textId="77777777">
        <w:tc>
          <w:tcPr>
            <w:tcW w:w="1795" w:type="dxa"/>
          </w:tcPr>
          <w:p w:rsidRPr="006D1E89" w:rsidR="00B925FF" w:rsidP="006D1E89" w:rsidRDefault="003D663C" w14:paraId="196756CE" w14:textId="70EAF27E">
            <w:pPr>
              <w:widowControl/>
              <w:autoSpaceDE/>
              <w:autoSpaceDN/>
              <w:adjustRightInd/>
              <w:rPr>
                <w:sz w:val="18"/>
                <w:szCs w:val="18"/>
              </w:rPr>
            </w:pPr>
            <w:r w:rsidRPr="006D1E89">
              <w:rPr>
                <w:sz w:val="18"/>
                <w:szCs w:val="18"/>
              </w:rPr>
              <w:t>Total</w:t>
            </w:r>
          </w:p>
        </w:tc>
        <w:tc>
          <w:tcPr>
            <w:tcW w:w="2348" w:type="dxa"/>
          </w:tcPr>
          <w:p w:rsidRPr="006D1E89" w:rsidR="00B925FF" w:rsidP="006D1E89" w:rsidRDefault="00B925FF" w14:paraId="2C79D329" w14:textId="504C6919">
            <w:pPr>
              <w:widowControl/>
              <w:autoSpaceDE/>
              <w:autoSpaceDN/>
              <w:adjustRightInd/>
              <w:rPr>
                <w:sz w:val="18"/>
                <w:szCs w:val="18"/>
              </w:rPr>
            </w:pPr>
          </w:p>
        </w:tc>
        <w:tc>
          <w:tcPr>
            <w:tcW w:w="1574" w:type="dxa"/>
          </w:tcPr>
          <w:p w:rsidRPr="006D1E89" w:rsidR="00B925FF" w:rsidP="006D1E89" w:rsidRDefault="00B925FF" w14:paraId="58A699D2" w14:textId="72BBCF52">
            <w:pPr>
              <w:widowControl/>
              <w:autoSpaceDE/>
              <w:autoSpaceDN/>
              <w:adjustRightInd/>
              <w:rPr>
                <w:sz w:val="18"/>
                <w:szCs w:val="18"/>
              </w:rPr>
            </w:pPr>
          </w:p>
        </w:tc>
        <w:tc>
          <w:tcPr>
            <w:tcW w:w="1228" w:type="dxa"/>
          </w:tcPr>
          <w:p w:rsidRPr="006D1E89" w:rsidR="00B925FF" w:rsidP="006D1E89" w:rsidRDefault="00B925FF" w14:paraId="0A67E389" w14:textId="77777777">
            <w:pPr>
              <w:widowControl/>
              <w:autoSpaceDE/>
              <w:autoSpaceDN/>
              <w:adjustRightInd/>
              <w:rPr>
                <w:sz w:val="18"/>
                <w:szCs w:val="18"/>
              </w:rPr>
            </w:pPr>
          </w:p>
        </w:tc>
        <w:tc>
          <w:tcPr>
            <w:tcW w:w="1150" w:type="dxa"/>
          </w:tcPr>
          <w:p w:rsidRPr="006D1E89" w:rsidR="00B925FF" w:rsidP="006D1E89" w:rsidRDefault="00B925FF" w14:paraId="4E90B4DE" w14:textId="77777777">
            <w:pPr>
              <w:widowControl/>
              <w:autoSpaceDE/>
              <w:autoSpaceDN/>
              <w:adjustRightInd/>
              <w:rPr>
                <w:sz w:val="18"/>
                <w:szCs w:val="18"/>
              </w:rPr>
            </w:pPr>
          </w:p>
        </w:tc>
        <w:tc>
          <w:tcPr>
            <w:tcW w:w="1260" w:type="dxa"/>
          </w:tcPr>
          <w:p w:rsidRPr="006D1E89" w:rsidR="00B925FF" w:rsidP="00B84A19" w:rsidRDefault="00DC29B5" w14:paraId="20778809" w14:textId="64282E14">
            <w:pPr>
              <w:widowControl/>
              <w:autoSpaceDE/>
              <w:autoSpaceDN/>
              <w:adjustRightInd/>
              <w:rPr>
                <w:sz w:val="18"/>
                <w:szCs w:val="18"/>
              </w:rPr>
            </w:pPr>
            <w:r>
              <w:rPr>
                <w:sz w:val="18"/>
                <w:szCs w:val="18"/>
              </w:rPr>
              <w:t>1,</w:t>
            </w:r>
            <w:r w:rsidR="00B84A19">
              <w:rPr>
                <w:sz w:val="18"/>
                <w:szCs w:val="18"/>
              </w:rPr>
              <w:t>540</w:t>
            </w:r>
          </w:p>
        </w:tc>
      </w:tr>
    </w:tbl>
    <w:p w:rsidRPr="006D1E89" w:rsidR="009F5BE8" w:rsidP="006D1E89" w:rsidRDefault="009F5BE8" w14:paraId="7596EF57" w14:textId="77777777">
      <w:pPr>
        <w:widowControl/>
        <w:autoSpaceDE/>
        <w:autoSpaceDN/>
        <w:adjustRightInd/>
        <w:rPr>
          <w:sz w:val="18"/>
          <w:szCs w:val="18"/>
        </w:rPr>
      </w:pPr>
    </w:p>
    <w:p w:rsidR="0024333D" w:rsidP="000E6C8E" w:rsidRDefault="0024333D" w14:paraId="249884C5" w14:textId="77777777">
      <w:pPr>
        <w:widowControl/>
        <w:autoSpaceDE/>
        <w:autoSpaceDN/>
        <w:adjustRightInd/>
        <w:rPr>
          <w:sz w:val="22"/>
          <w:szCs w:val="22"/>
        </w:rPr>
      </w:pPr>
    </w:p>
    <w:p w:rsidRPr="000E6C8E" w:rsidR="00FA5A19" w:rsidP="000E6C8E" w:rsidRDefault="008247EE" w14:paraId="77415219" w14:textId="28822A2B">
      <w:pPr>
        <w:widowControl/>
        <w:autoSpaceDE/>
        <w:autoSpaceDN/>
        <w:adjustRightInd/>
        <w:rPr>
          <w:sz w:val="22"/>
          <w:szCs w:val="22"/>
        </w:rPr>
      </w:pPr>
      <w:r w:rsidRPr="000E6C8E">
        <w:rPr>
          <w:sz w:val="22"/>
          <w:szCs w:val="22"/>
        </w:rPr>
        <w:t>B.</w:t>
      </w:r>
      <w:r w:rsidRPr="000E6C8E" w:rsidR="00AD26EB">
        <w:rPr>
          <w:sz w:val="22"/>
          <w:szCs w:val="22"/>
        </w:rPr>
        <w:t xml:space="preserve"> </w:t>
      </w:r>
      <w:r w:rsidRPr="000E6C8E">
        <w:rPr>
          <w:sz w:val="22"/>
          <w:szCs w:val="22"/>
        </w:rPr>
        <w:t xml:space="preserve">Information about estimated costs for the </w:t>
      </w:r>
      <w:r w:rsidRPr="000E6C8E" w:rsidR="008A0F10">
        <w:rPr>
          <w:sz w:val="22"/>
          <w:szCs w:val="22"/>
        </w:rPr>
        <w:t xml:space="preserve">two </w:t>
      </w:r>
      <w:r w:rsidRPr="000E6C8E">
        <w:rPr>
          <w:sz w:val="22"/>
          <w:szCs w:val="22"/>
        </w:rPr>
        <w:t>data collections are summarized in Exhibit 2.</w:t>
      </w:r>
      <w:r w:rsidRPr="000E6C8E" w:rsidR="00AD26EB">
        <w:rPr>
          <w:sz w:val="22"/>
          <w:szCs w:val="22"/>
        </w:rPr>
        <w:t xml:space="preserve"> </w:t>
      </w:r>
      <w:r w:rsidRPr="000E6C8E" w:rsidR="00FA5A19">
        <w:rPr>
          <w:sz w:val="22"/>
          <w:szCs w:val="22"/>
        </w:rPr>
        <w:t>There are no direct costs to the respondents themselves or to participating schools and districts.</w:t>
      </w:r>
      <w:r w:rsidRPr="000E6C8E" w:rsidR="00AD26EB">
        <w:rPr>
          <w:sz w:val="22"/>
          <w:szCs w:val="22"/>
        </w:rPr>
        <w:t xml:space="preserve"> </w:t>
      </w:r>
      <w:r w:rsidRPr="000E6C8E" w:rsidR="00FA5A19">
        <w:rPr>
          <w:sz w:val="22"/>
          <w:szCs w:val="22"/>
        </w:rPr>
        <w:t xml:space="preserve">The costs may, however, be calculated in terms of the costs of time spent in </w:t>
      </w:r>
      <w:r w:rsidRPr="000E6C8E" w:rsidR="008A0F10">
        <w:rPr>
          <w:sz w:val="22"/>
          <w:szCs w:val="22"/>
        </w:rPr>
        <w:t>coordinating participation in the study</w:t>
      </w:r>
      <w:r w:rsidRPr="000E6C8E" w:rsidR="00DC29B5">
        <w:rPr>
          <w:sz w:val="22"/>
          <w:szCs w:val="22"/>
        </w:rPr>
        <w:t xml:space="preserve"> and completing the surveys</w:t>
      </w:r>
      <w:r w:rsidRPr="000E6C8E" w:rsidR="008A0F10">
        <w:rPr>
          <w:sz w:val="22"/>
          <w:szCs w:val="22"/>
        </w:rPr>
        <w:t>.</w:t>
      </w:r>
    </w:p>
    <w:p w:rsidRPr="000E6C8E" w:rsidR="00FA5A19" w:rsidP="00FA5A19" w:rsidRDefault="00FA5A19" w14:paraId="1FF78431" w14:textId="77777777">
      <w:pPr>
        <w:widowControl/>
        <w:autoSpaceDE/>
        <w:autoSpaceDN/>
        <w:adjustRightInd/>
        <w:rPr>
          <w:sz w:val="22"/>
          <w:szCs w:val="22"/>
        </w:rPr>
      </w:pPr>
    </w:p>
    <w:p w:rsidRPr="000E6C8E" w:rsidR="00FA5A19" w:rsidP="00FA5A19" w:rsidRDefault="0080481F" w14:paraId="2D41B9DC" w14:textId="5BDE008E">
      <w:pPr>
        <w:widowControl/>
        <w:autoSpaceDE/>
        <w:autoSpaceDN/>
        <w:adjustRightInd/>
        <w:rPr>
          <w:sz w:val="22"/>
          <w:szCs w:val="22"/>
        </w:rPr>
      </w:pPr>
      <w:r>
        <w:rPr>
          <w:sz w:val="22"/>
          <w:szCs w:val="22"/>
        </w:rPr>
        <w:t>Rounded to the nearest dollar, t</w:t>
      </w:r>
      <w:r w:rsidRPr="000E6C8E" w:rsidR="00FA5A19">
        <w:rPr>
          <w:sz w:val="22"/>
          <w:szCs w:val="22"/>
        </w:rPr>
        <w:t xml:space="preserve">he estimated average hourly earnings of secondary administrators are $47 and </w:t>
      </w:r>
      <w:r w:rsidRPr="000E6C8E" w:rsidR="00B16587">
        <w:rPr>
          <w:sz w:val="22"/>
          <w:szCs w:val="22"/>
        </w:rPr>
        <w:t>classroom</w:t>
      </w:r>
      <w:r w:rsidRPr="000E6C8E" w:rsidR="00FA5A19">
        <w:rPr>
          <w:sz w:val="22"/>
          <w:szCs w:val="22"/>
        </w:rPr>
        <w:t xml:space="preserve"> teachers are $3</w:t>
      </w:r>
      <w:r w:rsidR="00773720">
        <w:rPr>
          <w:sz w:val="22"/>
          <w:szCs w:val="22"/>
        </w:rPr>
        <w:t>1</w:t>
      </w:r>
      <w:r w:rsidRPr="000E6C8E" w:rsidR="007061E8">
        <w:rPr>
          <w:sz w:val="22"/>
          <w:szCs w:val="22"/>
        </w:rPr>
        <w:t>.</w:t>
      </w:r>
      <w:r w:rsidRPr="000E6C8E" w:rsidR="00FA5A19">
        <w:rPr>
          <w:rStyle w:val="FootnoteReference"/>
          <w:sz w:val="22"/>
          <w:szCs w:val="22"/>
          <w:vertAlign w:val="superscript"/>
        </w:rPr>
        <w:footnoteReference w:id="3"/>
      </w:r>
      <w:r w:rsidRPr="000E6C8E" w:rsidR="00FA5A19">
        <w:rPr>
          <w:sz w:val="22"/>
          <w:szCs w:val="22"/>
        </w:rPr>
        <w:t xml:space="preserve"> </w:t>
      </w:r>
      <w:r w:rsidRPr="000E6C8E" w:rsidR="00DC29B5">
        <w:rPr>
          <w:sz w:val="22"/>
          <w:szCs w:val="22"/>
        </w:rPr>
        <w:t xml:space="preserve">The </w:t>
      </w:r>
      <w:r>
        <w:rPr>
          <w:sz w:val="22"/>
          <w:szCs w:val="22"/>
        </w:rPr>
        <w:t xml:space="preserve">rounded </w:t>
      </w:r>
      <w:r w:rsidRPr="000E6C8E" w:rsidR="00DC29B5">
        <w:rPr>
          <w:sz w:val="22"/>
          <w:szCs w:val="22"/>
        </w:rPr>
        <w:t>federal minimum wage of $7 is used as the hourly rate for students.</w:t>
      </w:r>
      <w:r w:rsidRPr="000E6C8E" w:rsidR="007061E8">
        <w:rPr>
          <w:sz w:val="22"/>
          <w:szCs w:val="22"/>
        </w:rPr>
        <w:t xml:space="preserve"> </w:t>
      </w:r>
      <w:r w:rsidRPr="000E6C8E" w:rsidR="00FA5A19">
        <w:rPr>
          <w:sz w:val="22"/>
          <w:szCs w:val="22"/>
        </w:rPr>
        <w:t xml:space="preserve">Therefore, based on </w:t>
      </w:r>
      <w:r w:rsidR="00773720">
        <w:rPr>
          <w:sz w:val="22"/>
          <w:szCs w:val="22"/>
        </w:rPr>
        <w:t xml:space="preserve">1,540 </w:t>
      </w:r>
      <w:r w:rsidRPr="000E6C8E" w:rsidR="00FA5A19">
        <w:rPr>
          <w:sz w:val="22"/>
          <w:szCs w:val="22"/>
        </w:rPr>
        <w:t xml:space="preserve">total burden hours for the </w:t>
      </w:r>
      <w:r w:rsidRPr="000E6C8E" w:rsidR="00967DB6">
        <w:rPr>
          <w:sz w:val="22"/>
          <w:szCs w:val="22"/>
        </w:rPr>
        <w:t xml:space="preserve">National </w:t>
      </w:r>
      <w:r w:rsidRPr="000E6C8E" w:rsidR="00A037CD">
        <w:rPr>
          <w:sz w:val="22"/>
          <w:szCs w:val="22"/>
        </w:rPr>
        <w:t>YRBS</w:t>
      </w:r>
      <w:r w:rsidRPr="000E6C8E" w:rsidR="00FA5A19">
        <w:rPr>
          <w:sz w:val="22"/>
          <w:szCs w:val="22"/>
        </w:rPr>
        <w:t xml:space="preserve"> Test-Retest Reliability Study preliminary activities and survey data collection activities, the associated total estimated burden time cost to respondents is $</w:t>
      </w:r>
      <w:r w:rsidR="00773720">
        <w:rPr>
          <w:sz w:val="22"/>
          <w:szCs w:val="22"/>
        </w:rPr>
        <w:t>12,060</w:t>
      </w:r>
      <w:r w:rsidRPr="000E6C8E" w:rsidR="00FA5A19">
        <w:rPr>
          <w:sz w:val="22"/>
          <w:szCs w:val="22"/>
        </w:rPr>
        <w:t>.</w:t>
      </w:r>
    </w:p>
    <w:p w:rsidRPr="00AD26EB" w:rsidR="00EB104F" w:rsidP="001853D5" w:rsidRDefault="00EE5139" w14:paraId="15AA39DD" w14:textId="6337844E">
      <w:pPr>
        <w:pStyle w:val="Heading3"/>
        <w:rPr>
          <w:rFonts w:ascii="Times New Roman" w:hAnsi="Times New Roman" w:cs="Times New Roman"/>
          <w:color w:val="000000" w:themeColor="text1"/>
          <w:sz w:val="22"/>
          <w:szCs w:val="22"/>
        </w:rPr>
      </w:pPr>
      <w:r w:rsidRPr="009279A6">
        <w:rPr>
          <w:rFonts w:ascii="Times New Roman" w:hAnsi="Times New Roman" w:cs="Times New Roman"/>
          <w:color w:val="000000" w:themeColor="text1"/>
          <w:sz w:val="22"/>
          <w:szCs w:val="22"/>
        </w:rPr>
        <w:t>Exhibit 2.</w:t>
      </w:r>
      <w:r w:rsidR="007061E8">
        <w:rPr>
          <w:rFonts w:ascii="Times New Roman" w:hAnsi="Times New Roman" w:cs="Times New Roman"/>
          <w:color w:val="000000" w:themeColor="text1"/>
          <w:sz w:val="22"/>
          <w:szCs w:val="22"/>
        </w:rPr>
        <w:t xml:space="preserve"> </w:t>
      </w:r>
      <w:r w:rsidRPr="009279A6">
        <w:rPr>
          <w:rFonts w:ascii="Times New Roman" w:hAnsi="Times New Roman" w:cs="Times New Roman"/>
          <w:color w:val="000000" w:themeColor="text1"/>
          <w:sz w:val="22"/>
          <w:szCs w:val="22"/>
        </w:rPr>
        <w:t>Estimated Annualized Burden Costs</w:t>
      </w:r>
    </w:p>
    <w:p w:rsidR="000E4BC8" w:rsidP="000E4BC8" w:rsidRDefault="000E4BC8" w14:paraId="3E7A9D8A" w14:textId="77777777"/>
    <w:tbl>
      <w:tblPr>
        <w:tblStyle w:val="TableGrid"/>
        <w:tblW w:w="8795" w:type="dxa"/>
        <w:tblLook w:val="04A0" w:firstRow="1" w:lastRow="0" w:firstColumn="1" w:lastColumn="0" w:noHBand="0" w:noVBand="1"/>
      </w:tblPr>
      <w:tblGrid>
        <w:gridCol w:w="1641"/>
        <w:gridCol w:w="1576"/>
        <w:gridCol w:w="1197"/>
        <w:gridCol w:w="1216"/>
        <w:gridCol w:w="1071"/>
        <w:gridCol w:w="878"/>
        <w:gridCol w:w="1216"/>
      </w:tblGrid>
      <w:tr w:rsidRPr="00AD26EB" w:rsidR="00D244DE" w:rsidTr="00D244DE" w14:paraId="35282D25" w14:textId="77777777">
        <w:tc>
          <w:tcPr>
            <w:tcW w:w="1641" w:type="dxa"/>
            <w:vAlign w:val="bottom"/>
          </w:tcPr>
          <w:p w:rsidRPr="00AD26EB" w:rsidR="00D244DE" w:rsidDel="004420E7" w:rsidP="00AD26EB" w:rsidRDefault="00D244DE" w14:paraId="17FD2C92" w14:textId="133ED07C">
            <w:pPr>
              <w:rPr>
                <w:b/>
                <w:sz w:val="18"/>
                <w:szCs w:val="18"/>
              </w:rPr>
            </w:pPr>
            <w:r w:rsidRPr="00AD26EB">
              <w:rPr>
                <w:b/>
                <w:sz w:val="18"/>
                <w:szCs w:val="18"/>
              </w:rPr>
              <w:t>Respondent</w:t>
            </w:r>
          </w:p>
        </w:tc>
        <w:tc>
          <w:tcPr>
            <w:tcW w:w="1576" w:type="dxa"/>
            <w:vAlign w:val="bottom"/>
          </w:tcPr>
          <w:p w:rsidRPr="00AD26EB" w:rsidR="00D244DE" w:rsidP="00AD26EB" w:rsidRDefault="00D244DE" w14:paraId="00FA9133" w14:textId="5CDD4F6C">
            <w:pPr>
              <w:rPr>
                <w:b/>
                <w:sz w:val="18"/>
                <w:szCs w:val="18"/>
              </w:rPr>
            </w:pPr>
            <w:r w:rsidRPr="00AD26EB">
              <w:rPr>
                <w:b/>
                <w:sz w:val="18"/>
                <w:szCs w:val="18"/>
              </w:rPr>
              <w:t>Form Name</w:t>
            </w:r>
          </w:p>
        </w:tc>
        <w:tc>
          <w:tcPr>
            <w:tcW w:w="1197" w:type="dxa"/>
            <w:vAlign w:val="bottom"/>
          </w:tcPr>
          <w:p w:rsidRPr="00AD26EB" w:rsidR="00D244DE" w:rsidP="00AD26EB" w:rsidRDefault="00D244DE" w14:paraId="46749B47" w14:textId="65E63D91">
            <w:pPr>
              <w:jc w:val="right"/>
              <w:rPr>
                <w:b/>
                <w:sz w:val="18"/>
                <w:szCs w:val="18"/>
              </w:rPr>
            </w:pPr>
            <w:r w:rsidRPr="00AD26EB">
              <w:rPr>
                <w:b/>
                <w:sz w:val="18"/>
                <w:szCs w:val="18"/>
              </w:rPr>
              <w:t>Number of Respondents</w:t>
            </w:r>
          </w:p>
        </w:tc>
        <w:tc>
          <w:tcPr>
            <w:tcW w:w="1216" w:type="dxa"/>
            <w:vAlign w:val="bottom"/>
          </w:tcPr>
          <w:p w:rsidRPr="00AD26EB" w:rsidR="00D244DE" w:rsidP="00AD26EB" w:rsidRDefault="00D244DE" w14:paraId="793E79A0" w14:textId="464DA387">
            <w:pPr>
              <w:jc w:val="right"/>
              <w:rPr>
                <w:b/>
                <w:sz w:val="18"/>
                <w:szCs w:val="18"/>
              </w:rPr>
            </w:pPr>
            <w:r w:rsidRPr="00AD26EB">
              <w:rPr>
                <w:b/>
                <w:sz w:val="18"/>
                <w:szCs w:val="18"/>
              </w:rPr>
              <w:t>Number of Responses per Respondent</w:t>
            </w:r>
          </w:p>
        </w:tc>
        <w:tc>
          <w:tcPr>
            <w:tcW w:w="1071" w:type="dxa"/>
            <w:vAlign w:val="bottom"/>
          </w:tcPr>
          <w:p w:rsidRPr="00AD26EB" w:rsidR="00D244DE" w:rsidP="00AD26EB" w:rsidRDefault="00D244DE" w14:paraId="0275BE66" w14:textId="54C13FFF">
            <w:pPr>
              <w:jc w:val="right"/>
              <w:rPr>
                <w:b/>
                <w:sz w:val="18"/>
                <w:szCs w:val="18"/>
              </w:rPr>
            </w:pPr>
            <w:r w:rsidRPr="00AD26EB">
              <w:rPr>
                <w:b/>
                <w:sz w:val="18"/>
                <w:szCs w:val="18"/>
              </w:rPr>
              <w:t>Average Burden per Response (in hours)</w:t>
            </w:r>
          </w:p>
        </w:tc>
        <w:tc>
          <w:tcPr>
            <w:tcW w:w="878" w:type="dxa"/>
            <w:vAlign w:val="bottom"/>
          </w:tcPr>
          <w:p w:rsidRPr="00AD26EB" w:rsidR="00D244DE" w:rsidP="00AD26EB" w:rsidRDefault="00D244DE" w14:paraId="3B013AD9" w14:textId="6E98F701">
            <w:pPr>
              <w:jc w:val="right"/>
              <w:rPr>
                <w:b/>
                <w:sz w:val="18"/>
                <w:szCs w:val="18"/>
              </w:rPr>
            </w:pPr>
            <w:r w:rsidRPr="00AD26EB">
              <w:rPr>
                <w:b/>
                <w:sz w:val="18"/>
                <w:szCs w:val="18"/>
              </w:rPr>
              <w:t>Hourly Wage Rate</w:t>
            </w:r>
          </w:p>
        </w:tc>
        <w:tc>
          <w:tcPr>
            <w:tcW w:w="1216" w:type="dxa"/>
            <w:vAlign w:val="bottom"/>
          </w:tcPr>
          <w:p w:rsidRPr="00AD26EB" w:rsidR="00D244DE" w:rsidP="00AD26EB" w:rsidRDefault="00D244DE" w14:paraId="393B5B3E" w14:textId="78931974">
            <w:pPr>
              <w:jc w:val="right"/>
              <w:rPr>
                <w:b/>
                <w:sz w:val="18"/>
                <w:szCs w:val="18"/>
              </w:rPr>
            </w:pPr>
            <w:r w:rsidRPr="00AD26EB">
              <w:rPr>
                <w:b/>
                <w:sz w:val="18"/>
                <w:szCs w:val="18"/>
              </w:rPr>
              <w:t>Total Respondent Costs</w:t>
            </w:r>
          </w:p>
        </w:tc>
      </w:tr>
      <w:tr w:rsidRPr="00AD26EB" w:rsidR="00D244DE" w:rsidTr="00D244DE" w14:paraId="1E536EB6" w14:textId="77777777">
        <w:tc>
          <w:tcPr>
            <w:tcW w:w="1641" w:type="dxa"/>
          </w:tcPr>
          <w:p w:rsidRPr="00D244DE" w:rsidR="00D244DE" w:rsidP="0033557E" w:rsidRDefault="00D244DE" w14:paraId="2F196507" w14:textId="38EBA645">
            <w:pPr>
              <w:rPr>
                <w:b/>
                <w:bCs/>
                <w:sz w:val="18"/>
                <w:szCs w:val="18"/>
              </w:rPr>
            </w:pPr>
            <w:r w:rsidRPr="00D244DE">
              <w:rPr>
                <w:b/>
                <w:bCs/>
                <w:sz w:val="18"/>
                <w:szCs w:val="18"/>
              </w:rPr>
              <w:t>Preliminary Activities</w:t>
            </w:r>
          </w:p>
        </w:tc>
        <w:tc>
          <w:tcPr>
            <w:tcW w:w="1576" w:type="dxa"/>
          </w:tcPr>
          <w:p w:rsidRPr="00AD26EB" w:rsidR="00D244DE" w:rsidP="001C4E8F" w:rsidRDefault="00D244DE" w14:paraId="5ECAD4FF" w14:textId="6F8FA2F5">
            <w:pPr>
              <w:rPr>
                <w:sz w:val="18"/>
                <w:szCs w:val="18"/>
              </w:rPr>
            </w:pPr>
          </w:p>
        </w:tc>
        <w:tc>
          <w:tcPr>
            <w:tcW w:w="1197" w:type="dxa"/>
            <w:vAlign w:val="bottom"/>
          </w:tcPr>
          <w:p w:rsidRPr="00AD26EB" w:rsidR="00D244DE" w:rsidP="00AD26EB" w:rsidRDefault="00D244DE" w14:paraId="7FE008B0" w14:textId="48C603E1">
            <w:pPr>
              <w:jc w:val="right"/>
              <w:rPr>
                <w:sz w:val="18"/>
                <w:szCs w:val="18"/>
              </w:rPr>
            </w:pPr>
          </w:p>
        </w:tc>
        <w:tc>
          <w:tcPr>
            <w:tcW w:w="1216" w:type="dxa"/>
            <w:vAlign w:val="bottom"/>
          </w:tcPr>
          <w:p w:rsidRPr="00AD26EB" w:rsidR="00D244DE" w:rsidP="00AD26EB" w:rsidRDefault="00D244DE" w14:paraId="0B3E9FCD" w14:textId="6646E4D7">
            <w:pPr>
              <w:jc w:val="right"/>
              <w:rPr>
                <w:sz w:val="18"/>
                <w:szCs w:val="18"/>
              </w:rPr>
            </w:pPr>
          </w:p>
        </w:tc>
        <w:tc>
          <w:tcPr>
            <w:tcW w:w="1071" w:type="dxa"/>
            <w:vAlign w:val="bottom"/>
          </w:tcPr>
          <w:p w:rsidRPr="00AD26EB" w:rsidR="00D244DE" w:rsidP="00AD26EB" w:rsidRDefault="00D244DE" w14:paraId="50BA55A0" w14:textId="100D38C0">
            <w:pPr>
              <w:jc w:val="right"/>
              <w:rPr>
                <w:sz w:val="18"/>
                <w:szCs w:val="18"/>
              </w:rPr>
            </w:pPr>
          </w:p>
        </w:tc>
        <w:tc>
          <w:tcPr>
            <w:tcW w:w="878" w:type="dxa"/>
            <w:vAlign w:val="bottom"/>
          </w:tcPr>
          <w:p w:rsidRPr="00AD26EB" w:rsidR="00D244DE" w:rsidP="00AD26EB" w:rsidRDefault="00D244DE" w14:paraId="4FBB1954" w14:textId="00602553">
            <w:pPr>
              <w:jc w:val="right"/>
              <w:rPr>
                <w:sz w:val="18"/>
                <w:szCs w:val="18"/>
              </w:rPr>
            </w:pPr>
          </w:p>
        </w:tc>
        <w:tc>
          <w:tcPr>
            <w:tcW w:w="1216" w:type="dxa"/>
            <w:vAlign w:val="bottom"/>
          </w:tcPr>
          <w:p w:rsidRPr="00AD26EB" w:rsidR="00D244DE" w:rsidP="00AD26EB" w:rsidRDefault="00D244DE" w14:paraId="57C792B1" w14:textId="27444036">
            <w:pPr>
              <w:jc w:val="right"/>
              <w:rPr>
                <w:sz w:val="18"/>
                <w:szCs w:val="18"/>
              </w:rPr>
            </w:pPr>
          </w:p>
        </w:tc>
      </w:tr>
      <w:tr w:rsidRPr="00AD26EB" w:rsidR="00D244DE" w:rsidTr="00D244DE" w14:paraId="39465DDC" w14:textId="77777777">
        <w:tc>
          <w:tcPr>
            <w:tcW w:w="1641" w:type="dxa"/>
          </w:tcPr>
          <w:p w:rsidR="00D244DE" w:rsidP="00171F76" w:rsidRDefault="00D244DE" w14:paraId="3CC9C197" w14:textId="498F9AB0">
            <w:pPr>
              <w:rPr>
                <w:sz w:val="18"/>
                <w:szCs w:val="18"/>
              </w:rPr>
            </w:pPr>
            <w:r>
              <w:rPr>
                <w:sz w:val="18"/>
                <w:szCs w:val="18"/>
              </w:rPr>
              <w:t>District Administrators</w:t>
            </w:r>
            <w:r w:rsidRPr="00AD26EB">
              <w:rPr>
                <w:sz w:val="18"/>
                <w:szCs w:val="18"/>
              </w:rPr>
              <w:t xml:space="preserve"> </w:t>
            </w:r>
          </w:p>
        </w:tc>
        <w:tc>
          <w:tcPr>
            <w:tcW w:w="1576" w:type="dxa"/>
          </w:tcPr>
          <w:p w:rsidR="00D244DE" w:rsidP="00171F76" w:rsidRDefault="00D244DE" w14:paraId="231491ED" w14:textId="252E1E97">
            <w:pPr>
              <w:rPr>
                <w:sz w:val="18"/>
                <w:szCs w:val="18"/>
              </w:rPr>
            </w:pPr>
            <w:r>
              <w:rPr>
                <w:sz w:val="18"/>
                <w:szCs w:val="18"/>
              </w:rPr>
              <w:t>District-level recruitment script (Attachment E)</w:t>
            </w:r>
          </w:p>
        </w:tc>
        <w:tc>
          <w:tcPr>
            <w:tcW w:w="1197" w:type="dxa"/>
            <w:vAlign w:val="bottom"/>
          </w:tcPr>
          <w:p w:rsidR="00D244DE" w:rsidP="00171F76" w:rsidRDefault="00D244DE" w14:paraId="672F034B" w14:textId="755859B9">
            <w:pPr>
              <w:jc w:val="right"/>
              <w:rPr>
                <w:sz w:val="18"/>
                <w:szCs w:val="18"/>
              </w:rPr>
            </w:pPr>
            <w:r>
              <w:rPr>
                <w:sz w:val="18"/>
                <w:szCs w:val="18"/>
              </w:rPr>
              <w:t>20</w:t>
            </w:r>
          </w:p>
        </w:tc>
        <w:tc>
          <w:tcPr>
            <w:tcW w:w="1216" w:type="dxa"/>
            <w:vAlign w:val="bottom"/>
          </w:tcPr>
          <w:p w:rsidRPr="00AD26EB" w:rsidR="00D244DE" w:rsidP="00171F76" w:rsidRDefault="00D244DE" w14:paraId="119E380E" w14:textId="59770A5D">
            <w:pPr>
              <w:jc w:val="right"/>
              <w:rPr>
                <w:sz w:val="18"/>
                <w:szCs w:val="18"/>
              </w:rPr>
            </w:pPr>
            <w:r w:rsidRPr="00AD26EB">
              <w:rPr>
                <w:sz w:val="18"/>
                <w:szCs w:val="18"/>
              </w:rPr>
              <w:t>1</w:t>
            </w:r>
          </w:p>
        </w:tc>
        <w:tc>
          <w:tcPr>
            <w:tcW w:w="1071" w:type="dxa"/>
            <w:vAlign w:val="bottom"/>
          </w:tcPr>
          <w:p w:rsidR="00D244DE" w:rsidP="00171F76" w:rsidRDefault="00D244DE" w14:paraId="7DD92276" w14:textId="46D56AE0">
            <w:pPr>
              <w:jc w:val="right"/>
              <w:rPr>
                <w:sz w:val="18"/>
                <w:szCs w:val="18"/>
              </w:rPr>
            </w:pPr>
            <w:r>
              <w:rPr>
                <w:sz w:val="18"/>
                <w:szCs w:val="18"/>
              </w:rPr>
              <w:t>30/60</w:t>
            </w:r>
          </w:p>
        </w:tc>
        <w:tc>
          <w:tcPr>
            <w:tcW w:w="878" w:type="dxa"/>
            <w:vAlign w:val="bottom"/>
          </w:tcPr>
          <w:p w:rsidRPr="00AD26EB" w:rsidR="00D244DE" w:rsidP="00171F76" w:rsidRDefault="00D244DE" w14:paraId="7D0CFD25" w14:textId="217B0A98">
            <w:pPr>
              <w:jc w:val="right"/>
              <w:rPr>
                <w:sz w:val="18"/>
                <w:szCs w:val="18"/>
              </w:rPr>
            </w:pPr>
            <w:r w:rsidRPr="00AD26EB">
              <w:rPr>
                <w:sz w:val="18"/>
                <w:szCs w:val="18"/>
              </w:rPr>
              <w:t>$47</w:t>
            </w:r>
          </w:p>
        </w:tc>
        <w:tc>
          <w:tcPr>
            <w:tcW w:w="1216" w:type="dxa"/>
            <w:vAlign w:val="bottom"/>
          </w:tcPr>
          <w:p w:rsidR="00D244DE" w:rsidP="00171F76" w:rsidRDefault="00D244DE" w14:paraId="76586C79" w14:textId="085233B4">
            <w:pPr>
              <w:jc w:val="right"/>
              <w:rPr>
                <w:sz w:val="18"/>
                <w:szCs w:val="18"/>
              </w:rPr>
            </w:pPr>
            <w:r>
              <w:rPr>
                <w:sz w:val="18"/>
                <w:szCs w:val="18"/>
              </w:rPr>
              <w:t>$470</w:t>
            </w:r>
          </w:p>
        </w:tc>
      </w:tr>
      <w:tr w:rsidRPr="00AD26EB" w:rsidR="00D244DE" w:rsidTr="00D244DE" w14:paraId="2D18A466" w14:textId="77777777">
        <w:tc>
          <w:tcPr>
            <w:tcW w:w="1641" w:type="dxa"/>
            <w:vAlign w:val="bottom"/>
          </w:tcPr>
          <w:p w:rsidRPr="00AD26EB" w:rsidR="00D244DE" w:rsidP="00171F76" w:rsidRDefault="00D244DE" w14:paraId="126ED790" w14:textId="0560F858">
            <w:pPr>
              <w:rPr>
                <w:sz w:val="18"/>
                <w:szCs w:val="18"/>
              </w:rPr>
            </w:pPr>
            <w:r>
              <w:rPr>
                <w:sz w:val="18"/>
                <w:szCs w:val="18"/>
              </w:rPr>
              <w:t>School P</w:t>
            </w:r>
            <w:r w:rsidRPr="006D1E89">
              <w:rPr>
                <w:sz w:val="18"/>
                <w:szCs w:val="18"/>
              </w:rPr>
              <w:t>rincipal</w:t>
            </w:r>
            <w:r>
              <w:rPr>
                <w:sz w:val="18"/>
                <w:szCs w:val="18"/>
              </w:rPr>
              <w:t>s</w:t>
            </w:r>
          </w:p>
        </w:tc>
        <w:tc>
          <w:tcPr>
            <w:tcW w:w="1576" w:type="dxa"/>
            <w:vAlign w:val="bottom"/>
          </w:tcPr>
          <w:p w:rsidRPr="00AD26EB" w:rsidR="00D244DE" w:rsidP="00171F76" w:rsidRDefault="00D244DE" w14:paraId="01CB10DD" w14:textId="4CC191AB">
            <w:pPr>
              <w:rPr>
                <w:sz w:val="18"/>
                <w:szCs w:val="18"/>
              </w:rPr>
            </w:pPr>
            <w:r>
              <w:rPr>
                <w:sz w:val="18"/>
                <w:szCs w:val="18"/>
              </w:rPr>
              <w:t xml:space="preserve">School-level recruitment </w:t>
            </w:r>
            <w:r w:rsidRPr="0024333D">
              <w:rPr>
                <w:sz w:val="18"/>
                <w:szCs w:val="18"/>
              </w:rPr>
              <w:t>script (Attachment G)</w:t>
            </w:r>
          </w:p>
        </w:tc>
        <w:tc>
          <w:tcPr>
            <w:tcW w:w="1197" w:type="dxa"/>
            <w:vAlign w:val="bottom"/>
          </w:tcPr>
          <w:p w:rsidRPr="00AD26EB" w:rsidR="00D244DE" w:rsidP="00171F76" w:rsidRDefault="00D244DE" w14:paraId="3ED011EC" w14:textId="00611FC8">
            <w:pPr>
              <w:jc w:val="right"/>
              <w:rPr>
                <w:sz w:val="18"/>
                <w:szCs w:val="18"/>
              </w:rPr>
            </w:pPr>
            <w:r>
              <w:rPr>
                <w:sz w:val="18"/>
                <w:szCs w:val="18"/>
              </w:rPr>
              <w:t>20</w:t>
            </w:r>
          </w:p>
        </w:tc>
        <w:tc>
          <w:tcPr>
            <w:tcW w:w="1216" w:type="dxa"/>
            <w:vAlign w:val="bottom"/>
          </w:tcPr>
          <w:p w:rsidRPr="00AD26EB" w:rsidR="00D244DE" w:rsidP="00171F76" w:rsidRDefault="00D244DE" w14:paraId="1E105ED0" w14:textId="6E61927E">
            <w:pPr>
              <w:jc w:val="right"/>
              <w:rPr>
                <w:sz w:val="18"/>
                <w:szCs w:val="18"/>
              </w:rPr>
            </w:pPr>
            <w:r w:rsidRPr="006D1E89">
              <w:rPr>
                <w:sz w:val="18"/>
                <w:szCs w:val="18"/>
              </w:rPr>
              <w:t>1</w:t>
            </w:r>
          </w:p>
        </w:tc>
        <w:tc>
          <w:tcPr>
            <w:tcW w:w="1071" w:type="dxa"/>
            <w:vAlign w:val="bottom"/>
          </w:tcPr>
          <w:p w:rsidRPr="00AD26EB" w:rsidR="00D244DE" w:rsidP="00171F76" w:rsidRDefault="00D244DE" w14:paraId="4F4C6B9E" w14:textId="4DF25CD9">
            <w:pPr>
              <w:jc w:val="right"/>
              <w:rPr>
                <w:sz w:val="18"/>
                <w:szCs w:val="18"/>
              </w:rPr>
            </w:pPr>
            <w:r>
              <w:rPr>
                <w:sz w:val="18"/>
                <w:szCs w:val="18"/>
              </w:rPr>
              <w:t>30/60</w:t>
            </w:r>
          </w:p>
        </w:tc>
        <w:tc>
          <w:tcPr>
            <w:tcW w:w="878" w:type="dxa"/>
            <w:vAlign w:val="bottom"/>
          </w:tcPr>
          <w:p w:rsidRPr="00AD26EB" w:rsidR="00D244DE" w:rsidP="00171F76" w:rsidRDefault="00D244DE" w14:paraId="6597ED03" w14:textId="282F7C5F">
            <w:pPr>
              <w:jc w:val="right"/>
              <w:rPr>
                <w:sz w:val="18"/>
                <w:szCs w:val="18"/>
              </w:rPr>
            </w:pPr>
            <w:r w:rsidRPr="00AD26EB">
              <w:rPr>
                <w:sz w:val="18"/>
                <w:szCs w:val="18"/>
              </w:rPr>
              <w:t>$47</w:t>
            </w:r>
          </w:p>
        </w:tc>
        <w:tc>
          <w:tcPr>
            <w:tcW w:w="1216" w:type="dxa"/>
            <w:vAlign w:val="bottom"/>
          </w:tcPr>
          <w:p w:rsidRPr="00AD26EB" w:rsidR="00D244DE" w:rsidP="00171F76" w:rsidRDefault="00D244DE" w14:paraId="106C7D89" w14:textId="40C31517">
            <w:pPr>
              <w:jc w:val="right"/>
              <w:rPr>
                <w:sz w:val="18"/>
                <w:szCs w:val="18"/>
              </w:rPr>
            </w:pPr>
            <w:r>
              <w:rPr>
                <w:sz w:val="18"/>
                <w:szCs w:val="18"/>
              </w:rPr>
              <w:t>$470</w:t>
            </w:r>
          </w:p>
        </w:tc>
      </w:tr>
      <w:tr w:rsidRPr="00AD26EB" w:rsidR="00D244DE" w:rsidTr="00D244DE" w14:paraId="4076600A" w14:textId="77777777">
        <w:tc>
          <w:tcPr>
            <w:tcW w:w="1641" w:type="dxa"/>
            <w:shd w:val="clear" w:color="auto" w:fill="auto"/>
          </w:tcPr>
          <w:p w:rsidRPr="006D1E89" w:rsidR="00D244DE" w:rsidP="00171F76" w:rsidRDefault="00D244DE" w14:paraId="2DB0E10C" w14:textId="3E9A7188">
            <w:pPr>
              <w:widowControl/>
              <w:autoSpaceDE/>
              <w:autoSpaceDN/>
              <w:adjustRightInd/>
              <w:rPr>
                <w:sz w:val="18"/>
                <w:szCs w:val="18"/>
              </w:rPr>
            </w:pPr>
            <w:r>
              <w:rPr>
                <w:b/>
                <w:sz w:val="18"/>
                <w:szCs w:val="18"/>
              </w:rPr>
              <w:t>Data Collection Activities</w:t>
            </w:r>
          </w:p>
        </w:tc>
        <w:tc>
          <w:tcPr>
            <w:tcW w:w="1576" w:type="dxa"/>
            <w:shd w:val="clear" w:color="auto" w:fill="auto"/>
            <w:vAlign w:val="center"/>
          </w:tcPr>
          <w:p w:rsidRPr="006D1E89" w:rsidR="00D244DE" w:rsidP="00171F76" w:rsidRDefault="00D244DE" w14:paraId="044303E1" w14:textId="3CFB9338">
            <w:pPr>
              <w:widowControl/>
              <w:autoSpaceDE/>
              <w:autoSpaceDN/>
              <w:adjustRightInd/>
              <w:rPr>
                <w:sz w:val="18"/>
                <w:szCs w:val="18"/>
              </w:rPr>
            </w:pPr>
          </w:p>
        </w:tc>
        <w:tc>
          <w:tcPr>
            <w:tcW w:w="1197" w:type="dxa"/>
            <w:shd w:val="clear" w:color="auto" w:fill="auto"/>
            <w:vAlign w:val="bottom"/>
          </w:tcPr>
          <w:p w:rsidRPr="00AD26EB" w:rsidR="00D244DE" w:rsidP="00171F76" w:rsidRDefault="00D244DE" w14:paraId="23217AB2" w14:textId="4EDADA75">
            <w:pPr>
              <w:jc w:val="right"/>
              <w:rPr>
                <w:sz w:val="18"/>
                <w:szCs w:val="18"/>
              </w:rPr>
            </w:pPr>
          </w:p>
        </w:tc>
        <w:tc>
          <w:tcPr>
            <w:tcW w:w="1216" w:type="dxa"/>
            <w:shd w:val="clear" w:color="auto" w:fill="auto"/>
            <w:vAlign w:val="bottom"/>
          </w:tcPr>
          <w:p w:rsidRPr="00AD26EB" w:rsidR="00D244DE" w:rsidP="00171F76" w:rsidRDefault="00D244DE" w14:paraId="19D02278" w14:textId="18F374F7">
            <w:pPr>
              <w:jc w:val="right"/>
              <w:rPr>
                <w:sz w:val="18"/>
                <w:szCs w:val="18"/>
              </w:rPr>
            </w:pPr>
          </w:p>
        </w:tc>
        <w:tc>
          <w:tcPr>
            <w:tcW w:w="1071" w:type="dxa"/>
            <w:shd w:val="clear" w:color="auto" w:fill="auto"/>
            <w:vAlign w:val="bottom"/>
          </w:tcPr>
          <w:p w:rsidRPr="00AD26EB" w:rsidR="00D244DE" w:rsidP="00171F76" w:rsidRDefault="00D244DE" w14:paraId="566CCB17" w14:textId="6AE97326">
            <w:pPr>
              <w:jc w:val="right"/>
              <w:rPr>
                <w:sz w:val="18"/>
                <w:szCs w:val="18"/>
              </w:rPr>
            </w:pPr>
          </w:p>
        </w:tc>
        <w:tc>
          <w:tcPr>
            <w:tcW w:w="878" w:type="dxa"/>
            <w:shd w:val="clear" w:color="auto" w:fill="auto"/>
            <w:vAlign w:val="bottom"/>
          </w:tcPr>
          <w:p w:rsidRPr="00AD26EB" w:rsidR="00D244DE" w:rsidP="00171F76" w:rsidRDefault="00D244DE" w14:paraId="7F24BCBA" w14:textId="56438DBE">
            <w:pPr>
              <w:jc w:val="right"/>
              <w:rPr>
                <w:sz w:val="18"/>
                <w:szCs w:val="18"/>
              </w:rPr>
            </w:pPr>
          </w:p>
        </w:tc>
        <w:tc>
          <w:tcPr>
            <w:tcW w:w="1216" w:type="dxa"/>
            <w:shd w:val="clear" w:color="auto" w:fill="auto"/>
            <w:vAlign w:val="bottom"/>
          </w:tcPr>
          <w:p w:rsidRPr="00AD26EB" w:rsidR="00D244DE" w:rsidP="00171F76" w:rsidRDefault="00D244DE" w14:paraId="3F6929D3" w14:textId="572F8D10">
            <w:pPr>
              <w:jc w:val="right"/>
              <w:rPr>
                <w:sz w:val="18"/>
                <w:szCs w:val="18"/>
              </w:rPr>
            </w:pPr>
          </w:p>
        </w:tc>
      </w:tr>
      <w:tr w:rsidRPr="00AD26EB" w:rsidR="00D244DE" w:rsidTr="00D244DE" w14:paraId="69F5058A" w14:textId="77777777">
        <w:tc>
          <w:tcPr>
            <w:tcW w:w="1641" w:type="dxa"/>
            <w:shd w:val="clear" w:color="auto" w:fill="auto"/>
          </w:tcPr>
          <w:p w:rsidRPr="006D1E89" w:rsidR="00D244DE" w:rsidP="00171F76" w:rsidRDefault="00D244DE" w14:paraId="08336613" w14:textId="046CC287">
            <w:pPr>
              <w:widowControl/>
              <w:autoSpaceDE/>
              <w:autoSpaceDN/>
              <w:adjustRightInd/>
              <w:rPr>
                <w:sz w:val="18"/>
                <w:szCs w:val="18"/>
              </w:rPr>
            </w:pPr>
            <w:r w:rsidRPr="006D1E89">
              <w:rPr>
                <w:sz w:val="18"/>
                <w:szCs w:val="18"/>
              </w:rPr>
              <w:t>Classroom Teacher</w:t>
            </w:r>
            <w:r>
              <w:rPr>
                <w:sz w:val="18"/>
                <w:szCs w:val="18"/>
              </w:rPr>
              <w:t>s</w:t>
            </w:r>
          </w:p>
        </w:tc>
        <w:tc>
          <w:tcPr>
            <w:tcW w:w="1576" w:type="dxa"/>
            <w:shd w:val="clear" w:color="auto" w:fill="auto"/>
            <w:vAlign w:val="center"/>
          </w:tcPr>
          <w:p w:rsidR="00D244DE" w:rsidP="00171F76" w:rsidRDefault="00D244DE" w14:paraId="36DFA552" w14:textId="5B6F5EC7">
            <w:pPr>
              <w:widowControl/>
              <w:autoSpaceDE/>
              <w:autoSpaceDN/>
              <w:adjustRightInd/>
              <w:rPr>
                <w:sz w:val="18"/>
                <w:szCs w:val="18"/>
              </w:rPr>
            </w:pPr>
            <w:r>
              <w:rPr>
                <w:sz w:val="18"/>
                <w:szCs w:val="18"/>
              </w:rPr>
              <w:t xml:space="preserve">Consent form </w:t>
            </w:r>
            <w:r w:rsidRPr="0024333D">
              <w:rPr>
                <w:sz w:val="18"/>
                <w:szCs w:val="18"/>
              </w:rPr>
              <w:t>checklist (Attachment N)</w:t>
            </w:r>
          </w:p>
        </w:tc>
        <w:tc>
          <w:tcPr>
            <w:tcW w:w="1197" w:type="dxa"/>
            <w:shd w:val="clear" w:color="auto" w:fill="auto"/>
            <w:vAlign w:val="bottom"/>
          </w:tcPr>
          <w:p w:rsidR="00D244DE" w:rsidP="00171F76" w:rsidRDefault="00D244DE" w14:paraId="3CD5FA07" w14:textId="5A93E44C">
            <w:pPr>
              <w:jc w:val="right"/>
              <w:rPr>
                <w:sz w:val="18"/>
                <w:szCs w:val="18"/>
              </w:rPr>
            </w:pPr>
            <w:r>
              <w:rPr>
                <w:sz w:val="18"/>
                <w:szCs w:val="18"/>
              </w:rPr>
              <w:t>80</w:t>
            </w:r>
          </w:p>
        </w:tc>
        <w:tc>
          <w:tcPr>
            <w:tcW w:w="1216" w:type="dxa"/>
            <w:shd w:val="clear" w:color="auto" w:fill="auto"/>
            <w:vAlign w:val="bottom"/>
          </w:tcPr>
          <w:p w:rsidRPr="006D1E89" w:rsidR="00D244DE" w:rsidP="00171F76" w:rsidRDefault="00D244DE" w14:paraId="77E5C411" w14:textId="76AA16B1">
            <w:pPr>
              <w:jc w:val="right"/>
              <w:rPr>
                <w:sz w:val="18"/>
                <w:szCs w:val="18"/>
              </w:rPr>
            </w:pPr>
            <w:r w:rsidRPr="006D1E89">
              <w:rPr>
                <w:sz w:val="18"/>
                <w:szCs w:val="18"/>
              </w:rPr>
              <w:t>1</w:t>
            </w:r>
          </w:p>
        </w:tc>
        <w:tc>
          <w:tcPr>
            <w:tcW w:w="1071" w:type="dxa"/>
            <w:shd w:val="clear" w:color="auto" w:fill="auto"/>
            <w:vAlign w:val="bottom"/>
          </w:tcPr>
          <w:p w:rsidR="00D244DE" w:rsidP="00171F76" w:rsidRDefault="00D244DE" w14:paraId="449FC519" w14:textId="76357165">
            <w:pPr>
              <w:jc w:val="right"/>
              <w:rPr>
                <w:sz w:val="18"/>
                <w:szCs w:val="18"/>
              </w:rPr>
            </w:pPr>
            <w:r>
              <w:rPr>
                <w:sz w:val="18"/>
                <w:szCs w:val="18"/>
              </w:rPr>
              <w:t>15</w:t>
            </w:r>
            <w:r w:rsidRPr="006D1E89">
              <w:rPr>
                <w:sz w:val="18"/>
                <w:szCs w:val="18"/>
              </w:rPr>
              <w:t>/60</w:t>
            </w:r>
          </w:p>
        </w:tc>
        <w:tc>
          <w:tcPr>
            <w:tcW w:w="878" w:type="dxa"/>
            <w:shd w:val="clear" w:color="auto" w:fill="auto"/>
            <w:vAlign w:val="bottom"/>
          </w:tcPr>
          <w:p w:rsidRPr="00AD26EB" w:rsidR="00D244DE" w:rsidP="00171F76" w:rsidRDefault="00D244DE" w14:paraId="390304E3" w14:textId="31C8591E">
            <w:pPr>
              <w:jc w:val="right"/>
              <w:rPr>
                <w:sz w:val="18"/>
                <w:szCs w:val="18"/>
              </w:rPr>
            </w:pPr>
            <w:r w:rsidRPr="00AD26EB">
              <w:rPr>
                <w:sz w:val="18"/>
                <w:szCs w:val="18"/>
              </w:rPr>
              <w:t>$3</w:t>
            </w:r>
            <w:r>
              <w:rPr>
                <w:sz w:val="18"/>
                <w:szCs w:val="18"/>
              </w:rPr>
              <w:t>1</w:t>
            </w:r>
          </w:p>
        </w:tc>
        <w:tc>
          <w:tcPr>
            <w:tcW w:w="1216" w:type="dxa"/>
            <w:shd w:val="clear" w:color="auto" w:fill="auto"/>
            <w:vAlign w:val="bottom"/>
          </w:tcPr>
          <w:p w:rsidR="00D244DE" w:rsidP="00171F76" w:rsidRDefault="00D244DE" w14:paraId="43DF560D" w14:textId="6E0F965B">
            <w:pPr>
              <w:jc w:val="right"/>
              <w:rPr>
                <w:sz w:val="18"/>
                <w:szCs w:val="18"/>
              </w:rPr>
            </w:pPr>
            <w:r>
              <w:rPr>
                <w:sz w:val="18"/>
                <w:szCs w:val="18"/>
              </w:rPr>
              <w:t>$620</w:t>
            </w:r>
          </w:p>
        </w:tc>
      </w:tr>
      <w:tr w:rsidRPr="00AD26EB" w:rsidR="00D244DE" w:rsidTr="00D244DE" w14:paraId="4CEDA03F" w14:textId="77777777">
        <w:tc>
          <w:tcPr>
            <w:tcW w:w="1641" w:type="dxa"/>
            <w:shd w:val="clear" w:color="auto" w:fill="auto"/>
          </w:tcPr>
          <w:p w:rsidRPr="00AD26EB" w:rsidR="00D244DE" w:rsidP="00171F76" w:rsidRDefault="00D244DE" w14:paraId="572D1A57" w14:textId="29ED8FA1">
            <w:pPr>
              <w:widowControl/>
              <w:autoSpaceDE/>
              <w:autoSpaceDN/>
              <w:adjustRightInd/>
              <w:rPr>
                <w:color w:val="000000"/>
                <w:sz w:val="18"/>
                <w:szCs w:val="18"/>
              </w:rPr>
            </w:pPr>
            <w:r>
              <w:rPr>
                <w:color w:val="000000"/>
                <w:sz w:val="18"/>
                <w:szCs w:val="18"/>
              </w:rPr>
              <w:t>Students</w:t>
            </w:r>
          </w:p>
        </w:tc>
        <w:tc>
          <w:tcPr>
            <w:tcW w:w="1576" w:type="dxa"/>
            <w:shd w:val="clear" w:color="auto" w:fill="auto"/>
          </w:tcPr>
          <w:p w:rsidR="00D244DE" w:rsidP="00171F76" w:rsidRDefault="00D244DE" w14:paraId="605CC31A" w14:textId="77777777">
            <w:pPr>
              <w:widowControl/>
              <w:autoSpaceDE/>
              <w:autoSpaceDN/>
              <w:adjustRightInd/>
              <w:rPr>
                <w:sz w:val="18"/>
                <w:szCs w:val="18"/>
              </w:rPr>
            </w:pPr>
            <w:r w:rsidRPr="006D1E89">
              <w:rPr>
                <w:sz w:val="18"/>
                <w:szCs w:val="18"/>
              </w:rPr>
              <w:t xml:space="preserve">YRBS </w:t>
            </w:r>
            <w:r>
              <w:rPr>
                <w:sz w:val="18"/>
                <w:szCs w:val="18"/>
              </w:rPr>
              <w:t>Questionnaire</w:t>
            </w:r>
          </w:p>
          <w:p w:rsidRPr="00AD26EB" w:rsidR="00D244DE" w:rsidP="00171F76" w:rsidRDefault="00D244DE" w14:paraId="78586F5E" w14:textId="527DB1CA">
            <w:pPr>
              <w:widowControl/>
              <w:autoSpaceDE/>
              <w:autoSpaceDN/>
              <w:adjustRightInd/>
              <w:rPr>
                <w:color w:val="000000"/>
                <w:sz w:val="18"/>
                <w:szCs w:val="18"/>
              </w:rPr>
            </w:pPr>
            <w:r>
              <w:rPr>
                <w:sz w:val="18"/>
                <w:szCs w:val="18"/>
              </w:rPr>
              <w:t>(Attachment C)</w:t>
            </w:r>
          </w:p>
        </w:tc>
        <w:tc>
          <w:tcPr>
            <w:tcW w:w="1197" w:type="dxa"/>
            <w:shd w:val="clear" w:color="auto" w:fill="auto"/>
            <w:vAlign w:val="bottom"/>
          </w:tcPr>
          <w:p w:rsidRPr="00AD26EB" w:rsidR="00D244DE" w:rsidP="00171F76" w:rsidRDefault="00D244DE" w14:paraId="73B55B56" w14:textId="26275117">
            <w:pPr>
              <w:jc w:val="right"/>
              <w:rPr>
                <w:sz w:val="18"/>
                <w:szCs w:val="18"/>
              </w:rPr>
            </w:pPr>
            <w:r>
              <w:rPr>
                <w:sz w:val="18"/>
                <w:szCs w:val="18"/>
              </w:rPr>
              <w:t>1,000</w:t>
            </w:r>
          </w:p>
        </w:tc>
        <w:tc>
          <w:tcPr>
            <w:tcW w:w="1216" w:type="dxa"/>
            <w:shd w:val="clear" w:color="auto" w:fill="auto"/>
            <w:vAlign w:val="bottom"/>
          </w:tcPr>
          <w:p w:rsidRPr="00AD26EB" w:rsidR="00D244DE" w:rsidP="00171F76" w:rsidRDefault="00D244DE" w14:paraId="0F7DEB8E" w14:textId="77777777">
            <w:pPr>
              <w:jc w:val="right"/>
              <w:rPr>
                <w:sz w:val="18"/>
                <w:szCs w:val="18"/>
              </w:rPr>
            </w:pPr>
            <w:r>
              <w:rPr>
                <w:sz w:val="18"/>
                <w:szCs w:val="18"/>
              </w:rPr>
              <w:t>2</w:t>
            </w:r>
          </w:p>
        </w:tc>
        <w:tc>
          <w:tcPr>
            <w:tcW w:w="1071" w:type="dxa"/>
            <w:shd w:val="clear" w:color="auto" w:fill="auto"/>
            <w:vAlign w:val="bottom"/>
          </w:tcPr>
          <w:p w:rsidRPr="00AD26EB" w:rsidR="00D244DE" w:rsidP="00171F76" w:rsidRDefault="00D244DE" w14:paraId="6CC25D0E" w14:textId="2D0E7EBA">
            <w:pPr>
              <w:jc w:val="right"/>
              <w:rPr>
                <w:sz w:val="18"/>
                <w:szCs w:val="18"/>
              </w:rPr>
            </w:pPr>
            <w:r>
              <w:rPr>
                <w:sz w:val="18"/>
                <w:szCs w:val="18"/>
              </w:rPr>
              <w:t>45/60</w:t>
            </w:r>
          </w:p>
        </w:tc>
        <w:tc>
          <w:tcPr>
            <w:tcW w:w="878" w:type="dxa"/>
            <w:shd w:val="clear" w:color="auto" w:fill="auto"/>
            <w:vAlign w:val="bottom"/>
          </w:tcPr>
          <w:p w:rsidRPr="00AD26EB" w:rsidR="00D244DE" w:rsidP="00171F76" w:rsidRDefault="00D244DE" w14:paraId="73DB9F36" w14:textId="5580A7DC">
            <w:pPr>
              <w:jc w:val="right"/>
              <w:rPr>
                <w:sz w:val="18"/>
                <w:szCs w:val="18"/>
              </w:rPr>
            </w:pPr>
            <w:r>
              <w:rPr>
                <w:sz w:val="18"/>
                <w:szCs w:val="18"/>
              </w:rPr>
              <w:t>$7</w:t>
            </w:r>
          </w:p>
        </w:tc>
        <w:tc>
          <w:tcPr>
            <w:tcW w:w="1216" w:type="dxa"/>
            <w:shd w:val="clear" w:color="auto" w:fill="auto"/>
            <w:vAlign w:val="bottom"/>
          </w:tcPr>
          <w:p w:rsidRPr="00AD26EB" w:rsidR="00D244DE" w:rsidP="00171F76" w:rsidRDefault="00D244DE" w14:paraId="4B77C5D7" w14:textId="0233A7B3">
            <w:pPr>
              <w:jc w:val="right"/>
              <w:rPr>
                <w:sz w:val="18"/>
                <w:szCs w:val="18"/>
              </w:rPr>
            </w:pPr>
            <w:r>
              <w:rPr>
                <w:sz w:val="18"/>
                <w:szCs w:val="18"/>
              </w:rPr>
              <w:t>$10,500</w:t>
            </w:r>
          </w:p>
        </w:tc>
      </w:tr>
      <w:tr w:rsidRPr="00AD26EB" w:rsidR="00D244DE" w:rsidTr="00D244DE" w14:paraId="20291445" w14:textId="77777777">
        <w:tc>
          <w:tcPr>
            <w:tcW w:w="1641" w:type="dxa"/>
          </w:tcPr>
          <w:p w:rsidR="00D244DE" w:rsidP="00171F76" w:rsidRDefault="00D244DE" w14:paraId="16D41E13" w14:textId="4E9B2018">
            <w:pPr>
              <w:widowControl/>
              <w:autoSpaceDE/>
              <w:autoSpaceDN/>
              <w:adjustRightInd/>
              <w:rPr>
                <w:color w:val="000000"/>
                <w:sz w:val="18"/>
                <w:szCs w:val="18"/>
              </w:rPr>
            </w:pPr>
            <w:r w:rsidRPr="00AD26EB">
              <w:rPr>
                <w:b/>
                <w:sz w:val="18"/>
                <w:szCs w:val="18"/>
              </w:rPr>
              <w:t>Total</w:t>
            </w:r>
          </w:p>
        </w:tc>
        <w:tc>
          <w:tcPr>
            <w:tcW w:w="1576" w:type="dxa"/>
          </w:tcPr>
          <w:p w:rsidRPr="006D1E89" w:rsidR="00D244DE" w:rsidP="00171F76" w:rsidRDefault="00D244DE" w14:paraId="629287A8" w14:textId="77777777">
            <w:pPr>
              <w:widowControl/>
              <w:autoSpaceDE/>
              <w:autoSpaceDN/>
              <w:adjustRightInd/>
              <w:rPr>
                <w:sz w:val="18"/>
                <w:szCs w:val="18"/>
              </w:rPr>
            </w:pPr>
          </w:p>
        </w:tc>
        <w:tc>
          <w:tcPr>
            <w:tcW w:w="1197" w:type="dxa"/>
          </w:tcPr>
          <w:p w:rsidR="00D244DE" w:rsidP="00171F76" w:rsidRDefault="00D244DE" w14:paraId="2A6B202F" w14:textId="77777777">
            <w:pPr>
              <w:jc w:val="right"/>
              <w:rPr>
                <w:sz w:val="18"/>
                <w:szCs w:val="18"/>
              </w:rPr>
            </w:pPr>
          </w:p>
        </w:tc>
        <w:tc>
          <w:tcPr>
            <w:tcW w:w="1216" w:type="dxa"/>
          </w:tcPr>
          <w:p w:rsidR="00D244DE" w:rsidP="00171F76" w:rsidRDefault="00D244DE" w14:paraId="6ABE70FB" w14:textId="77777777">
            <w:pPr>
              <w:jc w:val="right"/>
              <w:rPr>
                <w:sz w:val="18"/>
                <w:szCs w:val="18"/>
              </w:rPr>
            </w:pPr>
          </w:p>
        </w:tc>
        <w:tc>
          <w:tcPr>
            <w:tcW w:w="1071" w:type="dxa"/>
          </w:tcPr>
          <w:p w:rsidR="00D244DE" w:rsidP="00171F76" w:rsidRDefault="00D244DE" w14:paraId="27013915" w14:textId="77777777">
            <w:pPr>
              <w:jc w:val="right"/>
              <w:rPr>
                <w:sz w:val="18"/>
                <w:szCs w:val="18"/>
              </w:rPr>
            </w:pPr>
          </w:p>
        </w:tc>
        <w:tc>
          <w:tcPr>
            <w:tcW w:w="878" w:type="dxa"/>
          </w:tcPr>
          <w:p w:rsidR="00D244DE" w:rsidP="00171F76" w:rsidRDefault="00D244DE" w14:paraId="5B4F4E3C" w14:textId="77777777">
            <w:pPr>
              <w:jc w:val="right"/>
              <w:rPr>
                <w:sz w:val="18"/>
                <w:szCs w:val="18"/>
              </w:rPr>
            </w:pPr>
          </w:p>
        </w:tc>
        <w:tc>
          <w:tcPr>
            <w:tcW w:w="1216" w:type="dxa"/>
          </w:tcPr>
          <w:p w:rsidR="00D244DE" w:rsidP="00171F76" w:rsidRDefault="00D244DE" w14:paraId="0C792FBD" w14:textId="12B53567">
            <w:pPr>
              <w:jc w:val="right"/>
              <w:rPr>
                <w:sz w:val="18"/>
                <w:szCs w:val="18"/>
              </w:rPr>
            </w:pPr>
            <w:r>
              <w:rPr>
                <w:sz w:val="18"/>
                <w:szCs w:val="18"/>
              </w:rPr>
              <w:t>$12,060</w:t>
            </w:r>
          </w:p>
        </w:tc>
      </w:tr>
    </w:tbl>
    <w:p w:rsidRPr="000E4BC8" w:rsidR="0053510E" w:rsidP="000E4BC8" w:rsidRDefault="0053510E" w14:paraId="67B6C386" w14:textId="77777777"/>
    <w:p w:rsidRPr="00DB012E" w:rsidR="00EB104F" w:rsidP="00AD26EB" w:rsidRDefault="00EB104F" w14:paraId="106AE473" w14:textId="77777777">
      <w:pPr>
        <w:pStyle w:val="ExhibitText"/>
        <w:ind w:left="720" w:hanging="720"/>
        <w:outlineLvl w:val="1"/>
        <w:rPr>
          <w:b/>
          <w:sz w:val="22"/>
          <w:szCs w:val="22"/>
        </w:rPr>
      </w:pPr>
      <w:bookmarkStart w:name="_Toc344295582" w:id="17"/>
      <w:r w:rsidRPr="00DB012E">
        <w:rPr>
          <w:b/>
          <w:sz w:val="22"/>
          <w:szCs w:val="22"/>
        </w:rPr>
        <w:t>A.13</w:t>
      </w:r>
      <w:r w:rsidRPr="00DB012E">
        <w:rPr>
          <w:b/>
          <w:sz w:val="22"/>
          <w:szCs w:val="22"/>
        </w:rPr>
        <w:tab/>
        <w:t>ESTIMATES OF OTHER TOTAL ANNUAL COST BURDEN TO RESPONDENTS AND RECORD</w:t>
      </w:r>
      <w:r w:rsidR="0008612F">
        <w:rPr>
          <w:b/>
          <w:sz w:val="22"/>
          <w:szCs w:val="22"/>
        </w:rPr>
        <w:t xml:space="preserve"> </w:t>
      </w:r>
      <w:r w:rsidRPr="00DB012E">
        <w:rPr>
          <w:b/>
          <w:sz w:val="22"/>
          <w:szCs w:val="22"/>
        </w:rPr>
        <w:t>KEEPERS</w:t>
      </w:r>
      <w:bookmarkEnd w:id="17"/>
    </w:p>
    <w:p w:rsidR="00EB104F" w:rsidP="00EB104F" w:rsidRDefault="00EB104F" w14:paraId="6FCADB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8247EE" w:rsidR="00EB104F" w:rsidP="007946E7" w:rsidRDefault="00EB104F" w14:paraId="544EFC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TUR" w:hAnsi="Times New Roman TUR" w:cs="Times New Roman TUR"/>
          <w:b/>
          <w:bCs/>
          <w:sz w:val="22"/>
          <w:szCs w:val="22"/>
        </w:rPr>
      </w:pPr>
      <w:r w:rsidRPr="008247EE">
        <w:rPr>
          <w:sz w:val="22"/>
          <w:szCs w:val="22"/>
        </w:rPr>
        <w:t>There will be no respondent capital and maintenance costs.</w:t>
      </w:r>
    </w:p>
    <w:p w:rsidR="00EB104F" w:rsidP="00EB104F" w:rsidRDefault="00EB104F" w14:paraId="753F08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Pr="00DB012E" w:rsidR="00EB104F" w:rsidP="00DB012E" w:rsidRDefault="00EB104F" w14:paraId="0E3DB52A" w14:textId="77777777">
      <w:pPr>
        <w:pStyle w:val="ExhibitText"/>
        <w:outlineLvl w:val="1"/>
        <w:rPr>
          <w:b/>
          <w:sz w:val="22"/>
          <w:szCs w:val="22"/>
        </w:rPr>
      </w:pPr>
      <w:bookmarkStart w:name="_Toc344295583" w:id="18"/>
      <w:r w:rsidRPr="007E14B0">
        <w:rPr>
          <w:b/>
          <w:sz w:val="22"/>
          <w:szCs w:val="22"/>
        </w:rPr>
        <w:t>A.14</w:t>
      </w:r>
      <w:r w:rsidRPr="007E14B0">
        <w:rPr>
          <w:b/>
          <w:sz w:val="22"/>
          <w:szCs w:val="22"/>
        </w:rPr>
        <w:tab/>
        <w:t xml:space="preserve">ANNUALIZED COSTS TO THE </w:t>
      </w:r>
      <w:r w:rsidRPr="007E14B0" w:rsidR="0008612F">
        <w:rPr>
          <w:b/>
          <w:sz w:val="22"/>
          <w:szCs w:val="22"/>
        </w:rPr>
        <w:t xml:space="preserve">FEDERAL </w:t>
      </w:r>
      <w:r w:rsidRPr="007E14B0">
        <w:rPr>
          <w:b/>
          <w:sz w:val="22"/>
          <w:szCs w:val="22"/>
        </w:rPr>
        <w:t>GOVERNMENT</w:t>
      </w:r>
      <w:bookmarkEnd w:id="18"/>
    </w:p>
    <w:p w:rsidRPr="008247EE" w:rsidR="00EB104F" w:rsidP="00EB104F" w:rsidRDefault="00EB104F" w14:paraId="705BC2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7F045A" w:rsidR="003310E2" w:rsidP="007946E7" w:rsidRDefault="00EB104F" w14:paraId="1BCE26C9" w14:textId="19F06DE2">
      <w:pPr>
        <w:spacing w:line="228" w:lineRule="auto"/>
        <w:rPr>
          <w:sz w:val="22"/>
          <w:szCs w:val="22"/>
        </w:rPr>
      </w:pPr>
      <w:r w:rsidRPr="007F045A">
        <w:rPr>
          <w:sz w:val="22"/>
          <w:szCs w:val="22"/>
        </w:rPr>
        <w:t xml:space="preserve">The survey is funded under Contract No. </w:t>
      </w:r>
      <w:r w:rsidRPr="007F045A" w:rsidR="00291924">
        <w:rPr>
          <w:sz w:val="22"/>
          <w:szCs w:val="22"/>
        </w:rPr>
        <w:t>200-2017-F-93487</w:t>
      </w:r>
      <w:r w:rsidRPr="007F045A" w:rsidR="00A76D8A">
        <w:rPr>
          <w:sz w:val="22"/>
          <w:szCs w:val="22"/>
        </w:rPr>
        <w:t xml:space="preserve"> which has a total award amount of </w:t>
      </w:r>
      <w:r w:rsidRPr="007F045A">
        <w:rPr>
          <w:sz w:val="22"/>
          <w:szCs w:val="22"/>
        </w:rPr>
        <w:t>$</w:t>
      </w:r>
      <w:r w:rsidRPr="007F045A" w:rsidR="00291924">
        <w:rPr>
          <w:sz w:val="22"/>
          <w:szCs w:val="22"/>
        </w:rPr>
        <w:t>379,603.00</w:t>
      </w:r>
      <w:r w:rsidRPr="002E77A7" w:rsidR="00C64CE2">
        <w:rPr>
          <w:sz w:val="22"/>
          <w:szCs w:val="22"/>
        </w:rPr>
        <w:t>.</w:t>
      </w:r>
      <w:r w:rsidRPr="002E77A7" w:rsidR="00AD26EB">
        <w:rPr>
          <w:sz w:val="22"/>
          <w:szCs w:val="22"/>
        </w:rPr>
        <w:t xml:space="preserve"> </w:t>
      </w:r>
      <w:r w:rsidRPr="002E77A7" w:rsidR="00E2717F">
        <w:rPr>
          <w:sz w:val="22"/>
          <w:szCs w:val="22"/>
        </w:rPr>
        <w:t>The contract amount for the</w:t>
      </w:r>
      <w:r w:rsidR="007D7400">
        <w:rPr>
          <w:sz w:val="22"/>
          <w:szCs w:val="22"/>
        </w:rPr>
        <w:t xml:space="preserve"> National</w:t>
      </w:r>
      <w:r w:rsidRPr="002E77A7" w:rsidR="00E2717F">
        <w:rPr>
          <w:sz w:val="22"/>
          <w:szCs w:val="22"/>
        </w:rPr>
        <w:t xml:space="preserve"> </w:t>
      </w:r>
      <w:r w:rsidRPr="002E77A7" w:rsidR="00D64B90">
        <w:rPr>
          <w:bCs/>
          <w:sz w:val="22"/>
          <w:szCs w:val="22"/>
        </w:rPr>
        <w:t>YRBS</w:t>
      </w:r>
      <w:r w:rsidRPr="002E77A7" w:rsidR="00E2717F">
        <w:rPr>
          <w:bCs/>
          <w:sz w:val="22"/>
          <w:szCs w:val="22"/>
        </w:rPr>
        <w:t xml:space="preserve"> Test-Retest Reliability Study is $</w:t>
      </w:r>
      <w:r w:rsidRPr="002E77A7" w:rsidR="00CF0C25">
        <w:rPr>
          <w:bCs/>
          <w:sz w:val="22"/>
          <w:szCs w:val="22"/>
        </w:rPr>
        <w:t>203</w:t>
      </w:r>
      <w:r w:rsidRPr="002E77A7" w:rsidR="007C03D1">
        <w:rPr>
          <w:bCs/>
          <w:sz w:val="22"/>
          <w:szCs w:val="22"/>
        </w:rPr>
        <w:t>,</w:t>
      </w:r>
      <w:r w:rsidRPr="002E77A7" w:rsidR="00CF0C25">
        <w:rPr>
          <w:bCs/>
          <w:sz w:val="22"/>
          <w:szCs w:val="22"/>
        </w:rPr>
        <w:t>247</w:t>
      </w:r>
      <w:r w:rsidRPr="002E77A7" w:rsidR="007C03D1">
        <w:rPr>
          <w:bCs/>
          <w:sz w:val="22"/>
          <w:szCs w:val="22"/>
        </w:rPr>
        <w:t>.00</w:t>
      </w:r>
      <w:r w:rsidRPr="002E77A7" w:rsidR="003310E2">
        <w:rPr>
          <w:bCs/>
          <w:sz w:val="22"/>
          <w:szCs w:val="22"/>
        </w:rPr>
        <w:t xml:space="preserve"> over a </w:t>
      </w:r>
      <w:r w:rsidRPr="002E77A7" w:rsidR="00BE3766">
        <w:rPr>
          <w:bCs/>
          <w:sz w:val="22"/>
          <w:szCs w:val="22"/>
        </w:rPr>
        <w:t>34</w:t>
      </w:r>
      <w:r w:rsidRPr="002E77A7" w:rsidR="003310E2">
        <w:rPr>
          <w:bCs/>
          <w:sz w:val="22"/>
          <w:szCs w:val="22"/>
        </w:rPr>
        <w:t>-month period</w:t>
      </w:r>
      <w:r w:rsidRPr="002E77A7" w:rsidR="00E2717F">
        <w:rPr>
          <w:bCs/>
          <w:sz w:val="22"/>
          <w:szCs w:val="22"/>
        </w:rPr>
        <w:t>.</w:t>
      </w:r>
      <w:r w:rsidRPr="002E77A7" w:rsidR="003310E2">
        <w:rPr>
          <w:bCs/>
          <w:sz w:val="22"/>
          <w:szCs w:val="22"/>
        </w:rPr>
        <w:t xml:space="preserve"> Thus, the annualized contract cost is approximately</w:t>
      </w:r>
      <w:r w:rsidRPr="002E77A7" w:rsidR="00BE3766">
        <w:rPr>
          <w:bCs/>
          <w:sz w:val="22"/>
          <w:szCs w:val="22"/>
        </w:rPr>
        <w:t xml:space="preserve"> $</w:t>
      </w:r>
      <w:r w:rsidRPr="002E77A7" w:rsidR="007676FA">
        <w:rPr>
          <w:bCs/>
          <w:sz w:val="22"/>
          <w:szCs w:val="22"/>
        </w:rPr>
        <w:t>71,734</w:t>
      </w:r>
      <w:r w:rsidRPr="002E77A7" w:rsidR="00BE3766">
        <w:rPr>
          <w:bCs/>
          <w:sz w:val="22"/>
          <w:szCs w:val="22"/>
        </w:rPr>
        <w:t>.2</w:t>
      </w:r>
      <w:r w:rsidRPr="002E77A7" w:rsidR="007676FA">
        <w:rPr>
          <w:bCs/>
          <w:sz w:val="22"/>
          <w:szCs w:val="22"/>
        </w:rPr>
        <w:t>4</w:t>
      </w:r>
      <w:r w:rsidRPr="002E77A7" w:rsidR="00834FF3">
        <w:rPr>
          <w:bCs/>
          <w:sz w:val="22"/>
          <w:szCs w:val="22"/>
        </w:rPr>
        <w:t>.</w:t>
      </w:r>
      <w:r w:rsidRPr="002E77A7" w:rsidR="00AD26EB">
        <w:rPr>
          <w:bCs/>
          <w:sz w:val="22"/>
          <w:szCs w:val="22"/>
        </w:rPr>
        <w:t xml:space="preserve"> </w:t>
      </w:r>
      <w:r w:rsidRPr="002E77A7">
        <w:rPr>
          <w:sz w:val="22"/>
          <w:szCs w:val="22"/>
        </w:rPr>
        <w:t xml:space="preserve">These costs cover the </w:t>
      </w:r>
      <w:r w:rsidRPr="002E77A7" w:rsidR="005457F3">
        <w:rPr>
          <w:sz w:val="22"/>
          <w:szCs w:val="22"/>
        </w:rPr>
        <w:t xml:space="preserve">expenses </w:t>
      </w:r>
      <w:r w:rsidRPr="002E77A7" w:rsidR="002E0224">
        <w:rPr>
          <w:sz w:val="22"/>
          <w:szCs w:val="22"/>
        </w:rPr>
        <w:t xml:space="preserve">listed in </w:t>
      </w:r>
      <w:r w:rsidRPr="002E77A7" w:rsidR="00AD7246">
        <w:rPr>
          <w:sz w:val="22"/>
          <w:szCs w:val="22"/>
        </w:rPr>
        <w:t xml:space="preserve">Exhibit </w:t>
      </w:r>
      <w:r w:rsidRPr="002E77A7" w:rsidR="00BE3766">
        <w:rPr>
          <w:sz w:val="22"/>
          <w:szCs w:val="22"/>
        </w:rPr>
        <w:t xml:space="preserve">3 </w:t>
      </w:r>
      <w:r w:rsidRPr="002E77A7" w:rsidR="002E0224">
        <w:rPr>
          <w:sz w:val="22"/>
          <w:szCs w:val="22"/>
        </w:rPr>
        <w:t>below.</w:t>
      </w:r>
      <w:r w:rsidRPr="007F045A" w:rsidR="00AD26EB">
        <w:rPr>
          <w:sz w:val="22"/>
          <w:szCs w:val="22"/>
        </w:rPr>
        <w:t xml:space="preserve"> </w:t>
      </w:r>
    </w:p>
    <w:p w:rsidRPr="002E77A7" w:rsidR="003310E2" w:rsidP="007946E7" w:rsidRDefault="003310E2" w14:paraId="37144AAE" w14:textId="77777777">
      <w:pPr>
        <w:spacing w:line="228" w:lineRule="auto"/>
        <w:rPr>
          <w:sz w:val="22"/>
          <w:szCs w:val="22"/>
        </w:rPr>
      </w:pPr>
    </w:p>
    <w:p w:rsidRPr="008247EE" w:rsidR="002E0224" w:rsidP="007946E7" w:rsidRDefault="002E0224" w14:paraId="0B4A5BCD" w14:textId="2FECBE14">
      <w:pPr>
        <w:spacing w:line="228" w:lineRule="auto"/>
        <w:rPr>
          <w:sz w:val="22"/>
          <w:szCs w:val="22"/>
        </w:rPr>
      </w:pPr>
      <w:bookmarkStart w:name="_Hlk26972546" w:id="19"/>
      <w:r w:rsidRPr="002E77A7">
        <w:rPr>
          <w:sz w:val="22"/>
          <w:szCs w:val="22"/>
        </w:rPr>
        <w:t xml:space="preserve">Additional costs will be incurred indirectly by the government in personnel costs of </w:t>
      </w:r>
      <w:r w:rsidR="00762C02">
        <w:rPr>
          <w:sz w:val="22"/>
          <w:szCs w:val="22"/>
        </w:rPr>
        <w:t>CDC</w:t>
      </w:r>
      <w:r w:rsidRPr="002E77A7" w:rsidDel="003A2298" w:rsidR="003A2298">
        <w:rPr>
          <w:sz w:val="22"/>
          <w:szCs w:val="22"/>
        </w:rPr>
        <w:t xml:space="preserve"> </w:t>
      </w:r>
      <w:r w:rsidRPr="002E77A7">
        <w:rPr>
          <w:sz w:val="22"/>
          <w:szCs w:val="22"/>
        </w:rPr>
        <w:t>staff involved in oversight of the survey and conduct of data analysis.</w:t>
      </w:r>
      <w:r w:rsidRPr="002E77A7" w:rsidR="00AD26EB">
        <w:rPr>
          <w:sz w:val="22"/>
          <w:szCs w:val="22"/>
        </w:rPr>
        <w:t xml:space="preserve"> </w:t>
      </w:r>
      <w:r w:rsidRPr="002E77A7" w:rsidR="001E4671">
        <w:rPr>
          <w:sz w:val="22"/>
          <w:szCs w:val="22"/>
        </w:rPr>
        <w:t xml:space="preserve">It is estimated that one </w:t>
      </w:r>
      <w:r w:rsidR="00762C02">
        <w:rPr>
          <w:sz w:val="22"/>
          <w:szCs w:val="22"/>
        </w:rPr>
        <w:t>CDC</w:t>
      </w:r>
      <w:r w:rsidRPr="002E77A7" w:rsidDel="003A2298" w:rsidR="003A2298">
        <w:rPr>
          <w:sz w:val="22"/>
          <w:szCs w:val="22"/>
        </w:rPr>
        <w:t xml:space="preserve"> </w:t>
      </w:r>
      <w:r w:rsidRPr="002E77A7" w:rsidR="001E4671">
        <w:rPr>
          <w:sz w:val="22"/>
          <w:szCs w:val="22"/>
        </w:rPr>
        <w:t xml:space="preserve">full-time equivalent employee will be involved for approximately </w:t>
      </w:r>
      <w:r w:rsidRPr="002E77A7" w:rsidR="00536A29">
        <w:rPr>
          <w:sz w:val="22"/>
          <w:szCs w:val="22"/>
        </w:rPr>
        <w:t>15</w:t>
      </w:r>
      <w:r w:rsidRPr="002E77A7" w:rsidR="001E4671">
        <w:rPr>
          <w:sz w:val="22"/>
          <w:szCs w:val="22"/>
        </w:rPr>
        <w:t>%</w:t>
      </w:r>
      <w:r w:rsidRPr="002E77A7" w:rsidR="0011701F">
        <w:rPr>
          <w:sz w:val="22"/>
          <w:szCs w:val="22"/>
        </w:rPr>
        <w:t xml:space="preserve"> </w:t>
      </w:r>
      <w:r w:rsidRPr="002E77A7" w:rsidR="001E4671">
        <w:rPr>
          <w:sz w:val="22"/>
          <w:szCs w:val="22"/>
        </w:rPr>
        <w:t>of her time (for federal personnel, 100% time = 2080 hours annually) at a salary of $</w:t>
      </w:r>
      <w:r w:rsidRPr="002E77A7" w:rsidR="00EA1058">
        <w:rPr>
          <w:sz w:val="22"/>
          <w:szCs w:val="22"/>
        </w:rPr>
        <w:t>68.67</w:t>
      </w:r>
      <w:r w:rsidRPr="002E77A7" w:rsidR="001E4671">
        <w:rPr>
          <w:sz w:val="22"/>
          <w:szCs w:val="22"/>
        </w:rPr>
        <w:t xml:space="preserve"> per hour. The direct annual costs in </w:t>
      </w:r>
      <w:r w:rsidR="00762C02">
        <w:rPr>
          <w:sz w:val="22"/>
          <w:szCs w:val="22"/>
        </w:rPr>
        <w:t>CDC</w:t>
      </w:r>
      <w:r w:rsidRPr="002E77A7" w:rsidDel="003A2298" w:rsidR="003A2298">
        <w:rPr>
          <w:sz w:val="22"/>
          <w:szCs w:val="22"/>
        </w:rPr>
        <w:t xml:space="preserve"> </w:t>
      </w:r>
      <w:r w:rsidRPr="002E77A7" w:rsidR="001E4671">
        <w:rPr>
          <w:sz w:val="22"/>
          <w:szCs w:val="22"/>
        </w:rPr>
        <w:t>staff time, therefore, will be approximately $</w:t>
      </w:r>
      <w:r w:rsidRPr="002E77A7" w:rsidR="00BD6A0A">
        <w:rPr>
          <w:sz w:val="22"/>
          <w:szCs w:val="22"/>
        </w:rPr>
        <w:t>21,425.04</w:t>
      </w:r>
      <w:r w:rsidRPr="002E77A7" w:rsidR="001E4671">
        <w:rPr>
          <w:sz w:val="22"/>
          <w:szCs w:val="22"/>
        </w:rPr>
        <w:t xml:space="preserve"> annually.</w:t>
      </w:r>
      <w:r w:rsidRPr="008247EE" w:rsidR="001E4671">
        <w:rPr>
          <w:sz w:val="22"/>
          <w:szCs w:val="22"/>
        </w:rPr>
        <w:t xml:space="preserve"> </w:t>
      </w:r>
    </w:p>
    <w:bookmarkEnd w:id="19"/>
    <w:p w:rsidRPr="008247EE" w:rsidR="00E2717F" w:rsidP="007946E7" w:rsidRDefault="00E2717F" w14:paraId="76F96C5B" w14:textId="0249F0CD">
      <w:pPr>
        <w:spacing w:line="228" w:lineRule="auto"/>
        <w:rPr>
          <w:sz w:val="22"/>
          <w:szCs w:val="22"/>
        </w:rPr>
      </w:pPr>
    </w:p>
    <w:p w:rsidRPr="008247EE" w:rsidR="003310E2" w:rsidP="007946E7" w:rsidRDefault="003310E2" w14:paraId="69A78CD0" w14:textId="43E35E48">
      <w:pPr>
        <w:spacing w:line="228" w:lineRule="auto"/>
        <w:rPr>
          <w:sz w:val="22"/>
          <w:szCs w:val="22"/>
        </w:rPr>
      </w:pPr>
      <w:r w:rsidRPr="002E77A7">
        <w:rPr>
          <w:sz w:val="22"/>
          <w:szCs w:val="22"/>
        </w:rPr>
        <w:t xml:space="preserve">The total cost for the study over a </w:t>
      </w:r>
      <w:r w:rsidRPr="002E77A7" w:rsidR="00BE3766">
        <w:rPr>
          <w:sz w:val="22"/>
          <w:szCs w:val="22"/>
        </w:rPr>
        <w:t>34</w:t>
      </w:r>
      <w:r w:rsidRPr="002E77A7">
        <w:rPr>
          <w:sz w:val="22"/>
          <w:szCs w:val="22"/>
        </w:rPr>
        <w:t>-month period, including the contract cost and federal government personnel cost is $</w:t>
      </w:r>
      <w:r w:rsidRPr="002E77A7" w:rsidR="009306AA">
        <w:rPr>
          <w:sz w:val="22"/>
          <w:szCs w:val="22"/>
        </w:rPr>
        <w:t>22</w:t>
      </w:r>
      <w:r w:rsidRPr="002E77A7" w:rsidR="000F54F5">
        <w:rPr>
          <w:sz w:val="22"/>
          <w:szCs w:val="22"/>
        </w:rPr>
        <w:t>4</w:t>
      </w:r>
      <w:r w:rsidRPr="002E77A7" w:rsidR="00BE3766">
        <w:rPr>
          <w:sz w:val="22"/>
          <w:szCs w:val="22"/>
        </w:rPr>
        <w:t>,</w:t>
      </w:r>
      <w:r w:rsidRPr="002E77A7" w:rsidR="000F54F5">
        <w:rPr>
          <w:sz w:val="22"/>
          <w:szCs w:val="22"/>
        </w:rPr>
        <w:t>6</w:t>
      </w:r>
      <w:r w:rsidRPr="002E77A7" w:rsidR="00BE3766">
        <w:rPr>
          <w:sz w:val="22"/>
          <w:szCs w:val="22"/>
        </w:rPr>
        <w:t>7</w:t>
      </w:r>
      <w:r w:rsidRPr="002E77A7" w:rsidR="000F54F5">
        <w:rPr>
          <w:sz w:val="22"/>
          <w:szCs w:val="22"/>
        </w:rPr>
        <w:t>2</w:t>
      </w:r>
      <w:r w:rsidRPr="002E77A7">
        <w:rPr>
          <w:sz w:val="22"/>
          <w:szCs w:val="22"/>
        </w:rPr>
        <w:t xml:space="preserve">. The annualized cost to the government for the study will be </w:t>
      </w:r>
      <w:r w:rsidRPr="002E77A7" w:rsidR="00C67041">
        <w:rPr>
          <w:sz w:val="22"/>
          <w:szCs w:val="22"/>
        </w:rPr>
        <w:t>$</w:t>
      </w:r>
      <w:r w:rsidRPr="002E77A7" w:rsidR="007C6B54">
        <w:rPr>
          <w:sz w:val="22"/>
          <w:szCs w:val="22"/>
        </w:rPr>
        <w:t>7</w:t>
      </w:r>
      <w:r w:rsidRPr="002E77A7" w:rsidR="00EA5345">
        <w:rPr>
          <w:sz w:val="22"/>
          <w:szCs w:val="22"/>
        </w:rPr>
        <w:t>9,</w:t>
      </w:r>
      <w:r w:rsidRPr="002E77A7" w:rsidR="005704DD">
        <w:rPr>
          <w:sz w:val="22"/>
          <w:szCs w:val="22"/>
        </w:rPr>
        <w:t>2</w:t>
      </w:r>
      <w:r w:rsidRPr="002E77A7" w:rsidR="007C6B54">
        <w:rPr>
          <w:sz w:val="22"/>
          <w:szCs w:val="22"/>
        </w:rPr>
        <w:t>9</w:t>
      </w:r>
      <w:r w:rsidRPr="002E77A7" w:rsidR="005704DD">
        <w:rPr>
          <w:sz w:val="22"/>
          <w:szCs w:val="22"/>
        </w:rPr>
        <w:t>6</w:t>
      </w:r>
      <w:r w:rsidRPr="002E77A7" w:rsidR="00C67041">
        <w:rPr>
          <w:sz w:val="22"/>
          <w:szCs w:val="22"/>
        </w:rPr>
        <w:t>.</w:t>
      </w:r>
    </w:p>
    <w:p w:rsidRPr="007F045A" w:rsidR="00E2717F" w:rsidP="00E2717F" w:rsidRDefault="00E2717F" w14:paraId="246BBD6B" w14:textId="0558AA44">
      <w:pPr>
        <w:pStyle w:val="Heading3"/>
        <w:rPr>
          <w:rFonts w:ascii="Times New Roman" w:hAnsi="Times New Roman" w:cs="Times New Roman"/>
          <w:color w:val="000000" w:themeColor="text1"/>
          <w:sz w:val="22"/>
          <w:szCs w:val="22"/>
        </w:rPr>
      </w:pPr>
      <w:r w:rsidRPr="007F045A">
        <w:rPr>
          <w:rFonts w:ascii="Times New Roman" w:hAnsi="Times New Roman" w:cs="Times New Roman"/>
          <w:color w:val="000000" w:themeColor="text1"/>
          <w:sz w:val="22"/>
          <w:szCs w:val="22"/>
        </w:rPr>
        <w:t xml:space="preserve">Exhibit </w:t>
      </w:r>
      <w:r w:rsidRPr="007F045A" w:rsidR="003F4E69">
        <w:rPr>
          <w:rFonts w:ascii="Times New Roman" w:hAnsi="Times New Roman" w:cs="Times New Roman"/>
          <w:color w:val="000000" w:themeColor="text1"/>
          <w:sz w:val="22"/>
          <w:szCs w:val="22"/>
        </w:rPr>
        <w:t>3</w:t>
      </w:r>
      <w:r w:rsidRPr="007F045A">
        <w:rPr>
          <w:rFonts w:ascii="Times New Roman" w:hAnsi="Times New Roman" w:cs="Times New Roman"/>
          <w:color w:val="000000" w:themeColor="text1"/>
          <w:sz w:val="22"/>
          <w:szCs w:val="22"/>
        </w:rPr>
        <w:t>.</w:t>
      </w:r>
      <w:r w:rsidRPr="007F045A" w:rsidR="00AD26EB">
        <w:rPr>
          <w:rFonts w:ascii="Times New Roman" w:hAnsi="Times New Roman" w:cs="Times New Roman"/>
          <w:color w:val="000000" w:themeColor="text1"/>
          <w:sz w:val="22"/>
          <w:szCs w:val="22"/>
        </w:rPr>
        <w:t xml:space="preserve"> </w:t>
      </w:r>
      <w:r w:rsidRPr="007F045A">
        <w:rPr>
          <w:rFonts w:ascii="Times New Roman" w:hAnsi="Times New Roman" w:cs="Times New Roman"/>
          <w:color w:val="000000" w:themeColor="text1"/>
          <w:sz w:val="22"/>
          <w:szCs w:val="22"/>
        </w:rPr>
        <w:t>Costs to the Federal Government</w:t>
      </w:r>
    </w:p>
    <w:p w:rsidRPr="007F045A" w:rsidR="00E2717F" w:rsidP="007946E7" w:rsidRDefault="00E2717F" w14:paraId="13E9C116" w14:textId="66F147CC">
      <w:pPr>
        <w:spacing w:line="228" w:lineRule="auto"/>
        <w:rPr>
          <w:rFonts w:ascii="Times New Roman TUR" w:hAnsi="Times New Roman TUR" w:cs="Times New Roman TUR"/>
        </w:rPr>
      </w:pPr>
    </w:p>
    <w:tbl>
      <w:tblPr>
        <w:tblW w:w="72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42"/>
        <w:gridCol w:w="1440"/>
      </w:tblGrid>
      <w:tr w:rsidRPr="007F045A" w:rsidR="00E2717F" w:rsidTr="00AD26EB" w14:paraId="02A2B1A6" w14:textId="77777777">
        <w:trPr>
          <w:trHeight w:val="285"/>
        </w:trPr>
        <w:tc>
          <w:tcPr>
            <w:tcW w:w="5842" w:type="dxa"/>
            <w:shd w:val="clear" w:color="auto" w:fill="auto"/>
            <w:vAlign w:val="bottom"/>
          </w:tcPr>
          <w:p w:rsidRPr="007F045A" w:rsidR="00E2717F" w:rsidP="001E4671" w:rsidRDefault="003F4E69" w14:paraId="1880D834" w14:textId="540AA943">
            <w:pPr>
              <w:rPr>
                <w:b/>
                <w:sz w:val="22"/>
                <w:szCs w:val="22"/>
              </w:rPr>
            </w:pPr>
            <w:r w:rsidRPr="007F045A">
              <w:rPr>
                <w:b/>
                <w:sz w:val="22"/>
                <w:szCs w:val="22"/>
              </w:rPr>
              <w:t>Cost Type</w:t>
            </w:r>
          </w:p>
        </w:tc>
        <w:tc>
          <w:tcPr>
            <w:tcW w:w="1440" w:type="dxa"/>
            <w:shd w:val="clear" w:color="auto" w:fill="auto"/>
            <w:vAlign w:val="bottom"/>
          </w:tcPr>
          <w:p w:rsidRPr="007F045A" w:rsidR="00E2717F" w:rsidP="00AD26EB" w:rsidRDefault="003F4E69" w14:paraId="21F3020F" w14:textId="61AE1DFA">
            <w:pPr>
              <w:jc w:val="right"/>
              <w:rPr>
                <w:b/>
                <w:sz w:val="22"/>
                <w:szCs w:val="22"/>
              </w:rPr>
            </w:pPr>
            <w:r w:rsidRPr="007F045A">
              <w:rPr>
                <w:b/>
                <w:sz w:val="22"/>
                <w:szCs w:val="22"/>
              </w:rPr>
              <w:t>Amount</w:t>
            </w:r>
          </w:p>
        </w:tc>
      </w:tr>
      <w:tr w:rsidRPr="007F045A" w:rsidR="003F4E69" w:rsidTr="00AD26EB" w14:paraId="33EC720A" w14:textId="77777777">
        <w:trPr>
          <w:trHeight w:val="285"/>
        </w:trPr>
        <w:tc>
          <w:tcPr>
            <w:tcW w:w="5842" w:type="dxa"/>
            <w:shd w:val="clear" w:color="auto" w:fill="auto"/>
            <w:vAlign w:val="bottom"/>
          </w:tcPr>
          <w:p w:rsidRPr="007F045A" w:rsidR="003F4E69" w:rsidP="003F4E69" w:rsidRDefault="003F4E69" w14:paraId="5319A5CC" w14:textId="2EBDBCE7">
            <w:pPr>
              <w:rPr>
                <w:sz w:val="22"/>
                <w:szCs w:val="22"/>
              </w:rPr>
            </w:pPr>
            <w:r w:rsidRPr="007F045A">
              <w:rPr>
                <w:sz w:val="22"/>
                <w:szCs w:val="22"/>
              </w:rPr>
              <w:t>Westat Personnel</w:t>
            </w:r>
          </w:p>
        </w:tc>
        <w:tc>
          <w:tcPr>
            <w:tcW w:w="1440" w:type="dxa"/>
            <w:shd w:val="clear" w:color="auto" w:fill="auto"/>
            <w:vAlign w:val="bottom"/>
          </w:tcPr>
          <w:p w:rsidRPr="007F045A" w:rsidR="003F4E69" w:rsidP="00930284" w:rsidRDefault="003F4E69" w14:paraId="19FA571B" w14:textId="40619B58">
            <w:pPr>
              <w:jc w:val="right"/>
              <w:rPr>
                <w:sz w:val="22"/>
                <w:szCs w:val="22"/>
              </w:rPr>
            </w:pPr>
            <w:r w:rsidRPr="007F045A">
              <w:rPr>
                <w:sz w:val="22"/>
                <w:szCs w:val="22"/>
              </w:rPr>
              <w:t>$1</w:t>
            </w:r>
            <w:r w:rsidRPr="007F045A" w:rsidR="00930284">
              <w:rPr>
                <w:sz w:val="22"/>
                <w:szCs w:val="22"/>
              </w:rPr>
              <w:t>82</w:t>
            </w:r>
            <w:r w:rsidRPr="007F045A">
              <w:rPr>
                <w:sz w:val="22"/>
                <w:szCs w:val="22"/>
              </w:rPr>
              <w:t>,</w:t>
            </w:r>
            <w:r w:rsidRPr="007F045A" w:rsidR="00930284">
              <w:rPr>
                <w:sz w:val="22"/>
                <w:szCs w:val="22"/>
              </w:rPr>
              <w:t>974</w:t>
            </w:r>
          </w:p>
        </w:tc>
      </w:tr>
      <w:tr w:rsidRPr="007F045A" w:rsidR="008247EE" w:rsidTr="00AD26EB" w14:paraId="1CDB554D" w14:textId="77777777">
        <w:trPr>
          <w:trHeight w:val="285"/>
        </w:trPr>
        <w:tc>
          <w:tcPr>
            <w:tcW w:w="5842" w:type="dxa"/>
            <w:shd w:val="clear" w:color="auto" w:fill="auto"/>
            <w:vAlign w:val="bottom"/>
          </w:tcPr>
          <w:p w:rsidRPr="007F045A" w:rsidR="008247EE" w:rsidP="008247EE" w:rsidRDefault="008247EE" w14:paraId="7B8C634E" w14:textId="0554F393">
            <w:pPr>
              <w:rPr>
                <w:sz w:val="22"/>
                <w:szCs w:val="22"/>
              </w:rPr>
            </w:pPr>
            <w:r w:rsidRPr="007F045A">
              <w:rPr>
                <w:sz w:val="22"/>
                <w:szCs w:val="22"/>
              </w:rPr>
              <w:t>Centers for Disease Control and Prevention</w:t>
            </w:r>
            <w:r w:rsidRPr="007F045A" w:rsidDel="003A2298">
              <w:rPr>
                <w:rFonts w:ascii="Times New Roman TUR" w:hAnsi="Times New Roman TUR" w:cs="Times New Roman TUR"/>
              </w:rPr>
              <w:t xml:space="preserve"> </w:t>
            </w:r>
            <w:r w:rsidRPr="007F045A">
              <w:rPr>
                <w:sz w:val="22"/>
                <w:szCs w:val="22"/>
              </w:rPr>
              <w:t>Personnel</w:t>
            </w:r>
          </w:p>
        </w:tc>
        <w:tc>
          <w:tcPr>
            <w:tcW w:w="1440" w:type="dxa"/>
            <w:shd w:val="clear" w:color="auto" w:fill="auto"/>
            <w:vAlign w:val="bottom"/>
          </w:tcPr>
          <w:p w:rsidRPr="007F045A" w:rsidR="008247EE" w:rsidP="00AD26EB" w:rsidRDefault="008247EE" w14:paraId="53CA8EF6" w14:textId="2711131D">
            <w:pPr>
              <w:jc w:val="right"/>
              <w:rPr>
                <w:sz w:val="22"/>
                <w:szCs w:val="22"/>
              </w:rPr>
            </w:pPr>
            <w:r w:rsidRPr="007F045A">
              <w:rPr>
                <w:sz w:val="22"/>
                <w:szCs w:val="22"/>
              </w:rPr>
              <w:t>$21,425</w:t>
            </w:r>
          </w:p>
        </w:tc>
      </w:tr>
      <w:tr w:rsidRPr="007F045A" w:rsidR="008247EE" w:rsidTr="00AD26EB" w14:paraId="1B70D9DC" w14:textId="77777777">
        <w:trPr>
          <w:trHeight w:val="285"/>
        </w:trPr>
        <w:tc>
          <w:tcPr>
            <w:tcW w:w="5842" w:type="dxa"/>
            <w:shd w:val="clear" w:color="auto" w:fill="auto"/>
            <w:vAlign w:val="bottom"/>
          </w:tcPr>
          <w:p w:rsidRPr="007F045A" w:rsidR="008247EE" w:rsidP="008247EE" w:rsidRDefault="008247EE" w14:paraId="19387FF6" w14:textId="6270584D">
            <w:pPr>
              <w:rPr>
                <w:sz w:val="22"/>
                <w:szCs w:val="22"/>
              </w:rPr>
            </w:pPr>
            <w:r w:rsidRPr="007F045A">
              <w:rPr>
                <w:sz w:val="22"/>
                <w:szCs w:val="22"/>
              </w:rPr>
              <w:t>Computing</w:t>
            </w:r>
          </w:p>
        </w:tc>
        <w:tc>
          <w:tcPr>
            <w:tcW w:w="1440" w:type="dxa"/>
            <w:shd w:val="clear" w:color="auto" w:fill="auto"/>
            <w:vAlign w:val="bottom"/>
          </w:tcPr>
          <w:p w:rsidRPr="007F045A" w:rsidR="008247EE" w:rsidP="00AD26EB" w:rsidRDefault="008247EE" w14:paraId="2791B245" w14:textId="4A5A180D">
            <w:pPr>
              <w:jc w:val="right"/>
              <w:rPr>
                <w:sz w:val="22"/>
                <w:szCs w:val="22"/>
              </w:rPr>
            </w:pPr>
            <w:r w:rsidRPr="007F045A">
              <w:rPr>
                <w:sz w:val="22"/>
                <w:szCs w:val="22"/>
              </w:rPr>
              <w:t>$1,3</w:t>
            </w:r>
            <w:r w:rsidRPr="007F045A" w:rsidR="00930284">
              <w:rPr>
                <w:sz w:val="22"/>
                <w:szCs w:val="22"/>
              </w:rPr>
              <w:t>63</w:t>
            </w:r>
          </w:p>
        </w:tc>
      </w:tr>
      <w:tr w:rsidRPr="007F045A" w:rsidR="008247EE" w:rsidTr="00AD26EB" w14:paraId="3BB4CCE5" w14:textId="77777777">
        <w:trPr>
          <w:trHeight w:val="285"/>
        </w:trPr>
        <w:tc>
          <w:tcPr>
            <w:tcW w:w="5842" w:type="dxa"/>
            <w:shd w:val="clear" w:color="auto" w:fill="auto"/>
            <w:vAlign w:val="bottom"/>
          </w:tcPr>
          <w:p w:rsidRPr="007F045A" w:rsidR="008247EE" w:rsidP="008247EE" w:rsidRDefault="008247EE" w14:paraId="08A14A10" w14:textId="03F7E803">
            <w:pPr>
              <w:rPr>
                <w:sz w:val="22"/>
                <w:szCs w:val="22"/>
              </w:rPr>
            </w:pPr>
            <w:r w:rsidRPr="007F045A">
              <w:rPr>
                <w:sz w:val="22"/>
                <w:szCs w:val="22"/>
              </w:rPr>
              <w:t>Participant Recruitment and Follow-up</w:t>
            </w:r>
          </w:p>
        </w:tc>
        <w:tc>
          <w:tcPr>
            <w:tcW w:w="1440" w:type="dxa"/>
            <w:shd w:val="clear" w:color="auto" w:fill="auto"/>
            <w:vAlign w:val="bottom"/>
          </w:tcPr>
          <w:p w:rsidRPr="007F045A" w:rsidR="008247EE" w:rsidP="00930284" w:rsidRDefault="008247EE" w14:paraId="2EA2EEED" w14:textId="30FB93F4">
            <w:pPr>
              <w:jc w:val="right"/>
              <w:rPr>
                <w:sz w:val="22"/>
                <w:szCs w:val="22"/>
              </w:rPr>
            </w:pPr>
            <w:r w:rsidRPr="007F045A">
              <w:rPr>
                <w:sz w:val="22"/>
                <w:szCs w:val="22"/>
              </w:rPr>
              <w:t>$</w:t>
            </w:r>
            <w:r w:rsidRPr="007F045A" w:rsidR="00930284">
              <w:rPr>
                <w:sz w:val="22"/>
                <w:szCs w:val="22"/>
              </w:rPr>
              <w:t>9</w:t>
            </w:r>
            <w:r w:rsidRPr="007F045A">
              <w:rPr>
                <w:sz w:val="22"/>
                <w:szCs w:val="22"/>
              </w:rPr>
              <w:t>,000</w:t>
            </w:r>
          </w:p>
        </w:tc>
      </w:tr>
      <w:tr w:rsidRPr="007F045A" w:rsidR="007F045A" w:rsidTr="00AD26EB" w14:paraId="0DE91240" w14:textId="77777777">
        <w:trPr>
          <w:trHeight w:val="285"/>
        </w:trPr>
        <w:tc>
          <w:tcPr>
            <w:tcW w:w="5842" w:type="dxa"/>
            <w:shd w:val="clear" w:color="auto" w:fill="auto"/>
            <w:vAlign w:val="bottom"/>
          </w:tcPr>
          <w:p w:rsidRPr="007F045A" w:rsidR="007F045A" w:rsidP="008247EE" w:rsidRDefault="007F045A" w14:paraId="5476192F" w14:textId="19E37448">
            <w:pPr>
              <w:rPr>
                <w:sz w:val="22"/>
                <w:szCs w:val="22"/>
              </w:rPr>
            </w:pPr>
            <w:r w:rsidRPr="007F045A">
              <w:rPr>
                <w:sz w:val="22"/>
                <w:szCs w:val="22"/>
              </w:rPr>
              <w:t>Field expenses</w:t>
            </w:r>
          </w:p>
        </w:tc>
        <w:tc>
          <w:tcPr>
            <w:tcW w:w="1440" w:type="dxa"/>
            <w:shd w:val="clear" w:color="auto" w:fill="auto"/>
            <w:vAlign w:val="bottom"/>
          </w:tcPr>
          <w:p w:rsidRPr="007F045A" w:rsidR="007F045A" w:rsidP="00930284" w:rsidRDefault="007F045A" w14:paraId="51B0FD0F" w14:textId="70A3438D">
            <w:pPr>
              <w:jc w:val="right"/>
              <w:rPr>
                <w:sz w:val="22"/>
                <w:szCs w:val="22"/>
              </w:rPr>
            </w:pPr>
            <w:r w:rsidRPr="007F045A">
              <w:rPr>
                <w:sz w:val="22"/>
                <w:szCs w:val="22"/>
              </w:rPr>
              <w:t>$3,381</w:t>
            </w:r>
          </w:p>
        </w:tc>
      </w:tr>
      <w:tr w:rsidRPr="007F045A" w:rsidR="007F045A" w:rsidTr="00AD26EB" w14:paraId="0D394458" w14:textId="77777777">
        <w:trPr>
          <w:trHeight w:val="285"/>
        </w:trPr>
        <w:tc>
          <w:tcPr>
            <w:tcW w:w="5842" w:type="dxa"/>
            <w:shd w:val="clear" w:color="auto" w:fill="auto"/>
            <w:vAlign w:val="bottom"/>
          </w:tcPr>
          <w:p w:rsidRPr="007F045A" w:rsidR="007F045A" w:rsidP="008247EE" w:rsidRDefault="007F045A" w14:paraId="396DF51D" w14:textId="36D5A886">
            <w:pPr>
              <w:rPr>
                <w:sz w:val="22"/>
                <w:szCs w:val="22"/>
              </w:rPr>
            </w:pPr>
            <w:r w:rsidRPr="007F045A">
              <w:rPr>
                <w:sz w:val="22"/>
                <w:szCs w:val="22"/>
              </w:rPr>
              <w:t>Travel</w:t>
            </w:r>
          </w:p>
        </w:tc>
        <w:tc>
          <w:tcPr>
            <w:tcW w:w="1440" w:type="dxa"/>
            <w:shd w:val="clear" w:color="auto" w:fill="auto"/>
            <w:vAlign w:val="bottom"/>
          </w:tcPr>
          <w:p w:rsidRPr="007F045A" w:rsidR="007F045A" w:rsidP="00930284" w:rsidRDefault="007F045A" w14:paraId="4A612E47" w14:textId="3A48F4EA">
            <w:pPr>
              <w:jc w:val="right"/>
              <w:rPr>
                <w:sz w:val="22"/>
                <w:szCs w:val="22"/>
              </w:rPr>
            </w:pPr>
            <w:r w:rsidRPr="007F045A">
              <w:rPr>
                <w:sz w:val="22"/>
                <w:szCs w:val="22"/>
              </w:rPr>
              <w:t>$3,480</w:t>
            </w:r>
          </w:p>
        </w:tc>
      </w:tr>
      <w:tr w:rsidRPr="007F045A" w:rsidR="008247EE" w:rsidTr="00AD26EB" w14:paraId="47263421" w14:textId="77777777">
        <w:trPr>
          <w:trHeight w:val="285"/>
        </w:trPr>
        <w:tc>
          <w:tcPr>
            <w:tcW w:w="5842" w:type="dxa"/>
            <w:shd w:val="clear" w:color="auto" w:fill="auto"/>
            <w:vAlign w:val="bottom"/>
          </w:tcPr>
          <w:p w:rsidRPr="007F045A" w:rsidR="008247EE" w:rsidP="008247EE" w:rsidRDefault="008247EE" w14:paraId="307DC12E" w14:textId="34FAB8DE">
            <w:pPr>
              <w:rPr>
                <w:sz w:val="22"/>
                <w:szCs w:val="22"/>
              </w:rPr>
            </w:pPr>
            <w:r w:rsidRPr="007F045A">
              <w:rPr>
                <w:sz w:val="22"/>
                <w:szCs w:val="22"/>
              </w:rPr>
              <w:t>Other Direct Costs</w:t>
            </w:r>
          </w:p>
        </w:tc>
        <w:tc>
          <w:tcPr>
            <w:tcW w:w="1440" w:type="dxa"/>
            <w:shd w:val="clear" w:color="auto" w:fill="auto"/>
            <w:vAlign w:val="bottom"/>
          </w:tcPr>
          <w:p w:rsidRPr="007F045A" w:rsidR="008247EE" w:rsidP="00930284" w:rsidRDefault="008247EE" w14:paraId="6368D0FC" w14:textId="6F0966E6">
            <w:pPr>
              <w:jc w:val="right"/>
              <w:rPr>
                <w:sz w:val="22"/>
                <w:szCs w:val="22"/>
              </w:rPr>
            </w:pPr>
            <w:r w:rsidRPr="007F045A">
              <w:rPr>
                <w:sz w:val="22"/>
                <w:szCs w:val="22"/>
              </w:rPr>
              <w:t>$</w:t>
            </w:r>
            <w:r w:rsidRPr="007F045A" w:rsidR="00930284">
              <w:rPr>
                <w:sz w:val="22"/>
                <w:szCs w:val="22"/>
              </w:rPr>
              <w:t>1</w:t>
            </w:r>
            <w:r w:rsidRPr="007F045A">
              <w:rPr>
                <w:sz w:val="22"/>
                <w:szCs w:val="22"/>
              </w:rPr>
              <w:t>,</w:t>
            </w:r>
            <w:r w:rsidRPr="007F045A" w:rsidR="00930284">
              <w:rPr>
                <w:sz w:val="22"/>
                <w:szCs w:val="22"/>
              </w:rPr>
              <w:t>729</w:t>
            </w:r>
          </w:p>
        </w:tc>
      </w:tr>
      <w:tr w:rsidRPr="007F045A" w:rsidR="008247EE" w:rsidTr="00AD26EB" w14:paraId="2F7F5CB5" w14:textId="77777777">
        <w:trPr>
          <w:trHeight w:val="285"/>
        </w:trPr>
        <w:tc>
          <w:tcPr>
            <w:tcW w:w="5842" w:type="dxa"/>
            <w:shd w:val="clear" w:color="auto" w:fill="auto"/>
            <w:vAlign w:val="bottom"/>
          </w:tcPr>
          <w:p w:rsidRPr="007F045A" w:rsidR="008247EE" w:rsidP="008247EE" w:rsidRDefault="008247EE" w14:paraId="322FA5D0" w14:textId="7516B13A">
            <w:pPr>
              <w:rPr>
                <w:sz w:val="22"/>
                <w:szCs w:val="22"/>
              </w:rPr>
            </w:pPr>
            <w:r w:rsidRPr="007F045A">
              <w:rPr>
                <w:sz w:val="22"/>
                <w:szCs w:val="22"/>
              </w:rPr>
              <w:t>G&amp;A</w:t>
            </w:r>
          </w:p>
        </w:tc>
        <w:tc>
          <w:tcPr>
            <w:tcW w:w="1440" w:type="dxa"/>
            <w:shd w:val="clear" w:color="auto" w:fill="auto"/>
            <w:vAlign w:val="bottom"/>
          </w:tcPr>
          <w:p w:rsidRPr="007F045A" w:rsidR="008247EE" w:rsidP="003B090A" w:rsidRDefault="008247EE" w14:paraId="68F8E53E" w14:textId="50102999">
            <w:pPr>
              <w:jc w:val="right"/>
              <w:rPr>
                <w:sz w:val="22"/>
                <w:szCs w:val="22"/>
              </w:rPr>
            </w:pPr>
            <w:r w:rsidRPr="007F045A">
              <w:rPr>
                <w:sz w:val="22"/>
                <w:szCs w:val="22"/>
              </w:rPr>
              <w:t>$</w:t>
            </w:r>
            <w:r w:rsidRPr="007F045A" w:rsidR="00930284">
              <w:rPr>
                <w:sz w:val="22"/>
                <w:szCs w:val="22"/>
              </w:rPr>
              <w:t>1</w:t>
            </w:r>
            <w:r w:rsidRPr="007F045A" w:rsidR="007F045A">
              <w:rPr>
                <w:sz w:val="22"/>
                <w:szCs w:val="22"/>
              </w:rPr>
              <w:t>,</w:t>
            </w:r>
            <w:r w:rsidRPr="007F045A" w:rsidR="003B090A">
              <w:rPr>
                <w:sz w:val="22"/>
                <w:szCs w:val="22"/>
              </w:rPr>
              <w:t>3</w:t>
            </w:r>
            <w:r w:rsidRPr="007F045A" w:rsidR="00930284">
              <w:rPr>
                <w:sz w:val="22"/>
                <w:szCs w:val="22"/>
              </w:rPr>
              <w:t>2</w:t>
            </w:r>
            <w:r w:rsidRPr="007F045A" w:rsidR="003B090A">
              <w:rPr>
                <w:sz w:val="22"/>
                <w:szCs w:val="22"/>
              </w:rPr>
              <w:t>0</w:t>
            </w:r>
          </w:p>
        </w:tc>
      </w:tr>
      <w:tr w:rsidRPr="00254E40" w:rsidR="008247EE" w:rsidTr="00AD26EB" w14:paraId="069830FF" w14:textId="77777777">
        <w:trPr>
          <w:trHeight w:val="285"/>
        </w:trPr>
        <w:tc>
          <w:tcPr>
            <w:tcW w:w="5842" w:type="dxa"/>
            <w:shd w:val="clear" w:color="auto" w:fill="auto"/>
            <w:vAlign w:val="bottom"/>
          </w:tcPr>
          <w:p w:rsidRPr="007F045A" w:rsidR="008247EE" w:rsidP="008247EE" w:rsidRDefault="008247EE" w14:paraId="3CC10722" w14:textId="1FD07A3C">
            <w:pPr>
              <w:rPr>
                <w:b/>
                <w:sz w:val="22"/>
                <w:szCs w:val="22"/>
              </w:rPr>
            </w:pPr>
            <w:r w:rsidRPr="007F045A">
              <w:rPr>
                <w:b/>
                <w:sz w:val="22"/>
                <w:szCs w:val="22"/>
              </w:rPr>
              <w:t>Total Costs</w:t>
            </w:r>
          </w:p>
        </w:tc>
        <w:tc>
          <w:tcPr>
            <w:tcW w:w="1440" w:type="dxa"/>
            <w:shd w:val="clear" w:color="auto" w:fill="auto"/>
            <w:vAlign w:val="bottom"/>
          </w:tcPr>
          <w:p w:rsidRPr="007F045A" w:rsidR="008247EE" w:rsidP="000F54F5" w:rsidRDefault="008247EE" w14:paraId="543B6B82" w14:textId="6253A3A5">
            <w:pPr>
              <w:jc w:val="right"/>
              <w:rPr>
                <w:b/>
                <w:sz w:val="22"/>
                <w:szCs w:val="22"/>
              </w:rPr>
            </w:pPr>
            <w:r w:rsidRPr="007F045A">
              <w:rPr>
                <w:b/>
                <w:sz w:val="22"/>
                <w:szCs w:val="22"/>
              </w:rPr>
              <w:t>$</w:t>
            </w:r>
            <w:r w:rsidRPr="007F045A" w:rsidR="009306AA">
              <w:rPr>
                <w:b/>
                <w:sz w:val="22"/>
                <w:szCs w:val="22"/>
              </w:rPr>
              <w:t>22</w:t>
            </w:r>
            <w:r w:rsidRPr="007F045A" w:rsidR="000F54F5">
              <w:rPr>
                <w:b/>
                <w:sz w:val="22"/>
                <w:szCs w:val="22"/>
              </w:rPr>
              <w:t>4</w:t>
            </w:r>
            <w:r w:rsidRPr="007F045A">
              <w:rPr>
                <w:b/>
                <w:sz w:val="22"/>
                <w:szCs w:val="22"/>
              </w:rPr>
              <w:t>,</w:t>
            </w:r>
            <w:r w:rsidRPr="007F045A" w:rsidR="000F54F5">
              <w:rPr>
                <w:b/>
                <w:sz w:val="22"/>
                <w:szCs w:val="22"/>
              </w:rPr>
              <w:t>6</w:t>
            </w:r>
            <w:r w:rsidRPr="007F045A" w:rsidR="009306AA">
              <w:rPr>
                <w:b/>
                <w:sz w:val="22"/>
                <w:szCs w:val="22"/>
              </w:rPr>
              <w:t>7</w:t>
            </w:r>
            <w:r w:rsidRPr="007F045A" w:rsidR="000F54F5">
              <w:rPr>
                <w:b/>
                <w:sz w:val="22"/>
                <w:szCs w:val="22"/>
              </w:rPr>
              <w:t>2</w:t>
            </w:r>
          </w:p>
        </w:tc>
      </w:tr>
    </w:tbl>
    <w:p w:rsidRPr="00254E40" w:rsidR="00E2717F" w:rsidP="007946E7" w:rsidRDefault="00E2717F" w14:paraId="515C4974" w14:textId="77777777">
      <w:pPr>
        <w:spacing w:line="228" w:lineRule="auto"/>
        <w:rPr>
          <w:rFonts w:ascii="Times New Roman TUR" w:hAnsi="Times New Roman TUR" w:cs="Times New Roman TUR"/>
          <w:b/>
        </w:rPr>
      </w:pPr>
    </w:p>
    <w:p w:rsidRPr="00DB012E" w:rsidR="00EB104F" w:rsidP="00DB012E" w:rsidRDefault="00EB104F" w14:paraId="27759AB7" w14:textId="77777777">
      <w:pPr>
        <w:pStyle w:val="ExhibitText"/>
        <w:outlineLvl w:val="1"/>
        <w:rPr>
          <w:b/>
          <w:sz w:val="22"/>
          <w:szCs w:val="22"/>
        </w:rPr>
      </w:pPr>
      <w:bookmarkStart w:name="_Toc344295585" w:id="20"/>
      <w:r w:rsidRPr="00DB012E">
        <w:rPr>
          <w:b/>
          <w:sz w:val="22"/>
          <w:szCs w:val="22"/>
        </w:rPr>
        <w:t>A.15</w:t>
      </w:r>
      <w:r w:rsidRPr="00DB012E">
        <w:rPr>
          <w:b/>
          <w:sz w:val="22"/>
          <w:szCs w:val="22"/>
        </w:rPr>
        <w:tab/>
        <w:t xml:space="preserve">EXPLANATION </w:t>
      </w:r>
      <w:r w:rsidR="0008612F">
        <w:rPr>
          <w:b/>
          <w:sz w:val="22"/>
          <w:szCs w:val="22"/>
        </w:rPr>
        <w:t>FOR</w:t>
      </w:r>
      <w:r w:rsidRPr="00DB012E">
        <w:rPr>
          <w:b/>
          <w:sz w:val="22"/>
          <w:szCs w:val="22"/>
        </w:rPr>
        <w:t xml:space="preserve"> PROGRAM CHANGES OR ADJUSTMENTS</w:t>
      </w:r>
      <w:bookmarkEnd w:id="20"/>
      <w:r w:rsidRPr="00DB012E">
        <w:rPr>
          <w:b/>
          <w:sz w:val="22"/>
          <w:szCs w:val="22"/>
        </w:rPr>
        <w:t xml:space="preserve"> </w:t>
      </w:r>
    </w:p>
    <w:p w:rsidR="00EB104F" w:rsidP="00EB104F" w:rsidRDefault="00EB104F" w14:paraId="65BD36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8247EE" w:rsidR="0046652C" w:rsidP="00024771" w:rsidRDefault="00E560F5" w14:paraId="26E17691" w14:textId="77777777">
      <w:pPr>
        <w:rPr>
          <w:sz w:val="22"/>
          <w:szCs w:val="22"/>
        </w:rPr>
      </w:pPr>
      <w:r w:rsidRPr="008247EE">
        <w:rPr>
          <w:sz w:val="22"/>
          <w:szCs w:val="22"/>
        </w:rPr>
        <w:t>As this is a new request, there are no program changes or adjustments.</w:t>
      </w:r>
    </w:p>
    <w:p w:rsidR="0046652C" w:rsidP="00EB104F" w:rsidRDefault="0046652C" w14:paraId="328E61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Pr="00DB012E" w:rsidR="00EB104F" w:rsidP="00DB012E" w:rsidRDefault="00EB104F" w14:paraId="15A416CA" w14:textId="77777777">
      <w:pPr>
        <w:pStyle w:val="ExhibitText"/>
        <w:outlineLvl w:val="1"/>
        <w:rPr>
          <w:b/>
          <w:sz w:val="22"/>
          <w:szCs w:val="22"/>
        </w:rPr>
      </w:pPr>
      <w:bookmarkStart w:name="_Toc344295586" w:id="21"/>
      <w:r w:rsidRPr="00DB012E">
        <w:rPr>
          <w:b/>
          <w:sz w:val="22"/>
          <w:szCs w:val="22"/>
        </w:rPr>
        <w:t>A.16</w:t>
      </w:r>
      <w:r w:rsidRPr="00DB012E">
        <w:rPr>
          <w:b/>
          <w:sz w:val="22"/>
          <w:szCs w:val="22"/>
        </w:rPr>
        <w:tab/>
        <w:t>PLANS FOR TABULATION AND PUBLICATION AND PROJECT TIME SCHEDULE</w:t>
      </w:r>
      <w:bookmarkEnd w:id="21"/>
    </w:p>
    <w:p w:rsidRPr="008247EE" w:rsidR="00EB104F" w:rsidP="00EB104F" w:rsidRDefault="00EB104F" w14:paraId="585EE3FA" w14:textId="0B477D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59E7076C" w14:textId="0437A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 xml:space="preserve">The </w:t>
      </w:r>
      <w:r w:rsidR="0020279B">
        <w:rPr>
          <w:sz w:val="22"/>
          <w:szCs w:val="22"/>
        </w:rPr>
        <w:t xml:space="preserve">National </w:t>
      </w:r>
      <w:r w:rsidR="00D64B90">
        <w:rPr>
          <w:sz w:val="22"/>
          <w:szCs w:val="22"/>
        </w:rPr>
        <w:t>YRBS</w:t>
      </w:r>
      <w:r w:rsidRPr="008247EE">
        <w:rPr>
          <w:sz w:val="22"/>
          <w:szCs w:val="22"/>
        </w:rPr>
        <w:t xml:space="preserve"> Test-Retest Reliability Study</w:t>
      </w:r>
      <w:r w:rsidRPr="008247EE" w:rsidR="00450A68">
        <w:rPr>
          <w:sz w:val="22"/>
          <w:szCs w:val="22"/>
        </w:rPr>
        <w:t>’s</w:t>
      </w:r>
      <w:r w:rsidRPr="008247EE">
        <w:rPr>
          <w:sz w:val="22"/>
          <w:szCs w:val="22"/>
        </w:rPr>
        <w:t xml:space="preserve"> primary purpose is to obtain data that can be used to establish the reliability of data collected by </w:t>
      </w:r>
      <w:r w:rsidR="00D64B90">
        <w:rPr>
          <w:sz w:val="22"/>
          <w:szCs w:val="22"/>
        </w:rPr>
        <w:t>YRBS</w:t>
      </w:r>
      <w:r w:rsidRPr="008247EE">
        <w:rPr>
          <w:sz w:val="22"/>
          <w:szCs w:val="22"/>
        </w:rPr>
        <w:t>.</w:t>
      </w:r>
      <w:r w:rsidR="00AD26EB">
        <w:rPr>
          <w:sz w:val="22"/>
          <w:szCs w:val="22"/>
        </w:rPr>
        <w:t xml:space="preserve"> </w:t>
      </w:r>
      <w:r w:rsidRPr="008247EE">
        <w:rPr>
          <w:sz w:val="22"/>
          <w:szCs w:val="22"/>
        </w:rPr>
        <w:t xml:space="preserve">The data will be used by </w:t>
      </w:r>
      <w:r w:rsidRPr="008247EE" w:rsidR="003A2298">
        <w:rPr>
          <w:sz w:val="22"/>
          <w:szCs w:val="22"/>
        </w:rPr>
        <w:t xml:space="preserve">the </w:t>
      </w:r>
      <w:r w:rsidR="00762C02">
        <w:rPr>
          <w:sz w:val="22"/>
          <w:szCs w:val="22"/>
        </w:rPr>
        <w:t>CDC</w:t>
      </w:r>
      <w:r w:rsidRPr="008247EE">
        <w:rPr>
          <w:sz w:val="22"/>
          <w:szCs w:val="22"/>
        </w:rPr>
        <w:t xml:space="preserve"> and analyzed for </w:t>
      </w:r>
      <w:r w:rsidRPr="008247EE" w:rsidR="00D244DE">
        <w:rPr>
          <w:sz w:val="22"/>
          <w:szCs w:val="22"/>
        </w:rPr>
        <w:t>methodological purposes</w:t>
      </w:r>
      <w:r w:rsidR="00D244DE">
        <w:rPr>
          <w:sz w:val="22"/>
          <w:szCs w:val="22"/>
        </w:rPr>
        <w:t xml:space="preserve"> and not combined with any state, tribal, territorial, or local Profiles data</w:t>
      </w:r>
      <w:r w:rsidRPr="008247EE" w:rsidR="00D244DE">
        <w:rPr>
          <w:sz w:val="22"/>
          <w:szCs w:val="22"/>
        </w:rPr>
        <w:t>.</w:t>
      </w:r>
    </w:p>
    <w:p w:rsidRPr="008247EE" w:rsidR="00F65844" w:rsidP="00F65844" w:rsidRDefault="00F65844" w14:paraId="23399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242E310E" w14:textId="6F54DD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The test-retest reliability data will be assessed in two ways. First, the extent of the agreement between Time 1 and Time 2 responses will be calculated.</w:t>
      </w:r>
      <w:r w:rsidRPr="008247EE" w:rsidR="00450A68">
        <w:rPr>
          <w:sz w:val="22"/>
          <w:szCs w:val="22"/>
        </w:rPr>
        <w:t xml:space="preserve"> Using Time 1 and Time 2 data, reliability will be estimated through Cohen’s kappa. Cohen’s kappa provides a measure of agreement that corrects for chance agreement.</w:t>
      </w:r>
      <w:r w:rsidR="00AD26EB">
        <w:rPr>
          <w:sz w:val="22"/>
          <w:szCs w:val="22"/>
        </w:rPr>
        <w:t xml:space="preserve"> </w:t>
      </w:r>
      <w:r w:rsidRPr="008247EE">
        <w:rPr>
          <w:sz w:val="22"/>
          <w:szCs w:val="22"/>
        </w:rPr>
        <w:t xml:space="preserve">Second, prevalence estimates obtained at Time 1 will be compared to those obtained at Time 2. Together, these analyses will provide information about the quality of each item in the </w:t>
      </w:r>
      <w:r w:rsidR="00D64B90">
        <w:rPr>
          <w:sz w:val="22"/>
          <w:szCs w:val="22"/>
        </w:rPr>
        <w:t>YR</w:t>
      </w:r>
      <w:r w:rsidR="005875DD">
        <w:rPr>
          <w:sz w:val="22"/>
          <w:szCs w:val="22"/>
        </w:rPr>
        <w:t>B</w:t>
      </w:r>
      <w:r w:rsidR="00D64B90">
        <w:rPr>
          <w:sz w:val="22"/>
          <w:szCs w:val="22"/>
        </w:rPr>
        <w:t>S questionnaire</w:t>
      </w:r>
      <w:r w:rsidRPr="008247EE">
        <w:rPr>
          <w:sz w:val="22"/>
          <w:szCs w:val="22"/>
        </w:rPr>
        <w:t>.</w:t>
      </w:r>
    </w:p>
    <w:p w:rsidRPr="008247EE" w:rsidR="00F65844" w:rsidP="00F65844" w:rsidRDefault="00F65844" w14:paraId="1B1CB1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50B29D75" w14:textId="41040A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 xml:space="preserve">The results of the </w:t>
      </w:r>
      <w:r w:rsidR="0020279B">
        <w:rPr>
          <w:sz w:val="22"/>
          <w:szCs w:val="22"/>
        </w:rPr>
        <w:t xml:space="preserve">National YRBS </w:t>
      </w:r>
      <w:r w:rsidRPr="008247EE">
        <w:rPr>
          <w:sz w:val="22"/>
          <w:szCs w:val="22"/>
        </w:rPr>
        <w:t xml:space="preserve">Test-Retest Reliability Study will be used to improve the questionnaire for future cycles. For example, questions that show poor reliability will be revised to clarify question wording. This will, in turn improve the quality of the data collected using the </w:t>
      </w:r>
      <w:r w:rsidR="0020279B">
        <w:rPr>
          <w:sz w:val="22"/>
          <w:szCs w:val="22"/>
        </w:rPr>
        <w:t>YRBS</w:t>
      </w:r>
      <w:r w:rsidRPr="008247EE" w:rsidR="0020279B">
        <w:rPr>
          <w:sz w:val="22"/>
          <w:szCs w:val="22"/>
        </w:rPr>
        <w:t xml:space="preserve"> </w:t>
      </w:r>
      <w:r w:rsidRPr="008247EE">
        <w:rPr>
          <w:sz w:val="22"/>
          <w:szCs w:val="22"/>
        </w:rPr>
        <w:t>questionnaire.</w:t>
      </w:r>
    </w:p>
    <w:p w:rsidRPr="008247EE" w:rsidR="003B377E" w:rsidP="00F65844" w:rsidRDefault="003B377E" w14:paraId="294B22A2" w14:textId="427C74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3B377E" w:rsidP="00F65844" w:rsidRDefault="003B377E" w14:paraId="3B819539" w14:textId="52918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A manuscript will be developed for submission to a journal such that the study findings are documented and publicly available.</w:t>
      </w:r>
      <w:r w:rsidR="00AD26EB">
        <w:rPr>
          <w:sz w:val="22"/>
          <w:szCs w:val="22"/>
        </w:rPr>
        <w:t xml:space="preserve"> </w:t>
      </w:r>
      <w:r w:rsidRPr="008247EE">
        <w:rPr>
          <w:sz w:val="22"/>
          <w:szCs w:val="22"/>
        </w:rPr>
        <w:t>The manuscript will describe the following: the study’s sampling strategy and design; the district and school clearance process; how data were collected at Time 1 and Time 2, including the ways in which respondent privacy was protected;</w:t>
      </w:r>
      <w:r w:rsidR="00AD26EB">
        <w:rPr>
          <w:sz w:val="22"/>
          <w:szCs w:val="22"/>
        </w:rPr>
        <w:t xml:space="preserve"> </w:t>
      </w:r>
      <w:r w:rsidRPr="008247EE">
        <w:rPr>
          <w:sz w:val="22"/>
          <w:szCs w:val="22"/>
        </w:rPr>
        <w:t xml:space="preserve">all statistical analyses conducted to examine Time 1 and Time 2 data; </w:t>
      </w:r>
      <w:r w:rsidRPr="008247EE" w:rsidR="003D6596">
        <w:rPr>
          <w:sz w:val="22"/>
          <w:szCs w:val="22"/>
        </w:rPr>
        <w:t xml:space="preserve">an aggregate description of the study participants; </w:t>
      </w:r>
      <w:r w:rsidRPr="008247EE" w:rsidR="00223620">
        <w:rPr>
          <w:sz w:val="22"/>
          <w:szCs w:val="22"/>
        </w:rPr>
        <w:t xml:space="preserve">the findings, including </w:t>
      </w:r>
      <w:r w:rsidRPr="008247EE" w:rsidR="003D6596">
        <w:rPr>
          <w:sz w:val="22"/>
          <w:szCs w:val="22"/>
        </w:rPr>
        <w:t xml:space="preserve">the Time 1 and Time 2 prevalence estimates and the Cohen’s kappa statistics; </w:t>
      </w:r>
      <w:r w:rsidRPr="008247EE">
        <w:rPr>
          <w:sz w:val="22"/>
          <w:szCs w:val="22"/>
        </w:rPr>
        <w:t xml:space="preserve">and conclusions about the study findings. </w:t>
      </w:r>
    </w:p>
    <w:p w:rsidRPr="008247EE" w:rsidR="00F65844" w:rsidP="00EB104F" w:rsidRDefault="00F65844" w14:paraId="54040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EB104F" w:rsidP="00EB104F" w:rsidRDefault="00EB104F" w14:paraId="4B5CD4D9" w14:textId="67012D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The following</w:t>
      </w:r>
      <w:r w:rsidRPr="008247EE" w:rsidR="00036488">
        <w:rPr>
          <w:sz w:val="22"/>
          <w:szCs w:val="22"/>
        </w:rPr>
        <w:t xml:space="preserve"> </w:t>
      </w:r>
      <w:r w:rsidRPr="008247EE" w:rsidR="00AE2620">
        <w:rPr>
          <w:sz w:val="22"/>
          <w:szCs w:val="22"/>
        </w:rPr>
        <w:t xml:space="preserve">assumes an OMB approval </w:t>
      </w:r>
      <w:r w:rsidRPr="002E77A7" w:rsidR="00AE2620">
        <w:rPr>
          <w:sz w:val="22"/>
          <w:szCs w:val="22"/>
        </w:rPr>
        <w:t xml:space="preserve">date of </w:t>
      </w:r>
      <w:r w:rsidRPr="002E77A7" w:rsidR="00CF0C25">
        <w:rPr>
          <w:sz w:val="22"/>
          <w:szCs w:val="22"/>
        </w:rPr>
        <w:t xml:space="preserve">March </w:t>
      </w:r>
      <w:r w:rsidRPr="002E77A7" w:rsidR="00AE2620">
        <w:rPr>
          <w:sz w:val="22"/>
          <w:szCs w:val="22"/>
        </w:rPr>
        <w:t>1, 202</w:t>
      </w:r>
      <w:r w:rsidRPr="002E77A7" w:rsidR="00CF0C25">
        <w:rPr>
          <w:sz w:val="22"/>
          <w:szCs w:val="22"/>
        </w:rPr>
        <w:t>1</w:t>
      </w:r>
      <w:r w:rsidRPr="002E77A7" w:rsidR="00AE2620">
        <w:rPr>
          <w:sz w:val="22"/>
          <w:szCs w:val="22"/>
        </w:rPr>
        <w:t>,</w:t>
      </w:r>
      <w:r w:rsidRPr="008247EE" w:rsidR="00AE2620">
        <w:rPr>
          <w:sz w:val="22"/>
          <w:szCs w:val="22"/>
        </w:rPr>
        <w:t xml:space="preserve"> and </w:t>
      </w:r>
      <w:r w:rsidRPr="008247EE">
        <w:rPr>
          <w:sz w:val="22"/>
          <w:szCs w:val="22"/>
        </w:rPr>
        <w:t>represents our proposed schedule of activities for</w:t>
      </w:r>
      <w:r w:rsidRPr="008247EE" w:rsidR="00EF1D93">
        <w:rPr>
          <w:sz w:val="22"/>
          <w:szCs w:val="22"/>
        </w:rPr>
        <w:t xml:space="preserve"> the</w:t>
      </w:r>
      <w:r w:rsidRPr="008247EE">
        <w:rPr>
          <w:sz w:val="22"/>
          <w:szCs w:val="22"/>
        </w:rPr>
        <w:t xml:space="preserve"> </w:t>
      </w:r>
      <w:r w:rsidR="0038310D">
        <w:rPr>
          <w:sz w:val="22"/>
          <w:szCs w:val="22"/>
        </w:rPr>
        <w:t xml:space="preserve">National </w:t>
      </w:r>
      <w:r w:rsidR="009A113A">
        <w:rPr>
          <w:bCs/>
          <w:sz w:val="22"/>
          <w:szCs w:val="22"/>
        </w:rPr>
        <w:t>YRBS</w:t>
      </w:r>
      <w:r w:rsidRPr="008247EE" w:rsidR="00EF1D93">
        <w:rPr>
          <w:bCs/>
          <w:sz w:val="22"/>
          <w:szCs w:val="22"/>
        </w:rPr>
        <w:t xml:space="preserve"> </w:t>
      </w:r>
      <w:r w:rsidRPr="008247EE" w:rsidR="003064FD">
        <w:rPr>
          <w:bCs/>
          <w:sz w:val="22"/>
          <w:szCs w:val="22"/>
        </w:rPr>
        <w:t xml:space="preserve">Test-Retest </w:t>
      </w:r>
      <w:r w:rsidRPr="008247EE" w:rsidR="00EF1D93">
        <w:rPr>
          <w:bCs/>
          <w:sz w:val="22"/>
          <w:szCs w:val="22"/>
        </w:rPr>
        <w:t>Reliability Study</w:t>
      </w:r>
      <w:r w:rsidRPr="008247EE">
        <w:rPr>
          <w:sz w:val="22"/>
          <w:szCs w:val="22"/>
        </w:rPr>
        <w:t>.</w:t>
      </w:r>
      <w:r w:rsidR="00AD26EB">
        <w:rPr>
          <w:sz w:val="22"/>
          <w:szCs w:val="22"/>
        </w:rPr>
        <w:t xml:space="preserve"> </w:t>
      </w:r>
    </w:p>
    <w:p w:rsidRPr="00AD26EB" w:rsidR="00EB104F" w:rsidP="00AD7246" w:rsidRDefault="00AD7246" w14:paraId="7C887EE5" w14:textId="079BC60F">
      <w:pPr>
        <w:pStyle w:val="Heading3"/>
        <w:rPr>
          <w:rFonts w:ascii="Times New Roman" w:hAnsi="Times New Roman" w:cs="Times New Roman"/>
          <w:color w:val="000000" w:themeColor="text1"/>
          <w:sz w:val="22"/>
          <w:szCs w:val="22"/>
        </w:rPr>
      </w:pPr>
      <w:r w:rsidRPr="002D4167">
        <w:rPr>
          <w:rFonts w:ascii="Times New Roman" w:hAnsi="Times New Roman" w:cs="Times New Roman"/>
          <w:color w:val="000000" w:themeColor="text1"/>
          <w:sz w:val="22"/>
          <w:szCs w:val="22"/>
        </w:rPr>
        <w:t xml:space="preserve">Exhibit </w:t>
      </w:r>
      <w:r w:rsidRPr="002D4167" w:rsidR="003F4E69">
        <w:rPr>
          <w:rFonts w:ascii="Times New Roman" w:hAnsi="Times New Roman" w:cs="Times New Roman"/>
          <w:color w:val="000000" w:themeColor="text1"/>
          <w:sz w:val="22"/>
          <w:szCs w:val="22"/>
        </w:rPr>
        <w:t>4</w:t>
      </w:r>
      <w:r w:rsidRPr="002D4167">
        <w:rPr>
          <w:rFonts w:ascii="Times New Roman" w:hAnsi="Times New Roman" w:cs="Times New Roman"/>
          <w:color w:val="000000" w:themeColor="text1"/>
          <w:sz w:val="22"/>
          <w:szCs w:val="22"/>
        </w:rPr>
        <w:t xml:space="preserve">. Time schedule for the </w:t>
      </w:r>
      <w:r w:rsidR="0091656F">
        <w:rPr>
          <w:rFonts w:ascii="Times New Roman" w:hAnsi="Times New Roman" w:cs="Times New Roman"/>
          <w:color w:val="000000" w:themeColor="text1"/>
          <w:sz w:val="22"/>
          <w:szCs w:val="22"/>
        </w:rPr>
        <w:t xml:space="preserve">National </w:t>
      </w:r>
      <w:r w:rsidR="002D4167">
        <w:rPr>
          <w:rFonts w:ascii="Times New Roman" w:hAnsi="Times New Roman" w:cs="Times New Roman"/>
          <w:color w:val="000000" w:themeColor="text1"/>
          <w:sz w:val="22"/>
          <w:szCs w:val="22"/>
        </w:rPr>
        <w:t>YRBS</w:t>
      </w:r>
      <w:r w:rsidRPr="002D4167">
        <w:rPr>
          <w:rFonts w:ascii="Times New Roman" w:hAnsi="Times New Roman" w:cs="Times New Roman"/>
          <w:color w:val="000000" w:themeColor="text1"/>
          <w:sz w:val="22"/>
          <w:szCs w:val="22"/>
        </w:rPr>
        <w:t xml:space="preserve"> </w:t>
      </w:r>
      <w:r w:rsidRPr="002D4167" w:rsidR="003064FD">
        <w:rPr>
          <w:rFonts w:ascii="Times New Roman" w:hAnsi="Times New Roman" w:cs="Times New Roman"/>
          <w:color w:val="000000" w:themeColor="text1"/>
          <w:sz w:val="22"/>
          <w:szCs w:val="22"/>
        </w:rPr>
        <w:t xml:space="preserve">Test-Retest </w:t>
      </w:r>
      <w:r w:rsidRPr="002D4167">
        <w:rPr>
          <w:rFonts w:ascii="Times New Roman" w:hAnsi="Times New Roman" w:cs="Times New Roman"/>
          <w:color w:val="000000" w:themeColor="text1"/>
          <w:sz w:val="22"/>
          <w:szCs w:val="22"/>
        </w:rPr>
        <w:t>Reliability Study</w:t>
      </w:r>
    </w:p>
    <w:p w:rsidR="00AD7246" w:rsidP="00EB104F" w:rsidRDefault="00AD7246" w14:paraId="65A26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tbl>
      <w:tblPr>
        <w:tblStyle w:val="TableGrid"/>
        <w:tblW w:w="0" w:type="auto"/>
        <w:tblLook w:val="04A0" w:firstRow="1" w:lastRow="0" w:firstColumn="1" w:lastColumn="0" w:noHBand="0" w:noVBand="1"/>
      </w:tblPr>
      <w:tblGrid>
        <w:gridCol w:w="4675"/>
        <w:gridCol w:w="4675"/>
      </w:tblGrid>
      <w:tr w:rsidR="000B7617" w:rsidTr="002D4167" w14:paraId="30DAC9D0" w14:textId="77777777">
        <w:trPr>
          <w:tblHeader/>
        </w:trPr>
        <w:tc>
          <w:tcPr>
            <w:tcW w:w="4675" w:type="dxa"/>
          </w:tcPr>
          <w:p w:rsidRPr="00300D68" w:rsidR="000B7617" w:rsidP="001E4671" w:rsidRDefault="000B7617" w14:paraId="22F29734" w14:textId="77777777">
            <w:pPr>
              <w:jc w:val="center"/>
              <w:rPr>
                <w:rFonts w:asciiTheme="minorHAnsi" w:hAnsiTheme="minorHAnsi" w:cstheme="minorHAnsi"/>
                <w:b/>
              </w:rPr>
            </w:pPr>
            <w:r w:rsidRPr="00300D68">
              <w:rPr>
                <w:rFonts w:asciiTheme="minorHAnsi" w:hAnsiTheme="minorHAnsi" w:cstheme="minorHAnsi"/>
                <w:b/>
              </w:rPr>
              <w:t>Task</w:t>
            </w:r>
          </w:p>
        </w:tc>
        <w:tc>
          <w:tcPr>
            <w:tcW w:w="4675" w:type="dxa"/>
          </w:tcPr>
          <w:p w:rsidRPr="00300D68" w:rsidR="000B7617" w:rsidP="001E4671" w:rsidRDefault="000B7617" w14:paraId="4F9F6461" w14:textId="77777777">
            <w:pPr>
              <w:jc w:val="center"/>
              <w:rPr>
                <w:rFonts w:asciiTheme="minorHAnsi" w:hAnsiTheme="minorHAnsi" w:cstheme="minorHAnsi"/>
                <w:b/>
              </w:rPr>
            </w:pPr>
            <w:r w:rsidRPr="00300D68">
              <w:rPr>
                <w:rFonts w:asciiTheme="minorHAnsi" w:hAnsiTheme="minorHAnsi" w:cstheme="minorHAnsi"/>
                <w:b/>
              </w:rPr>
              <w:t>Date</w:t>
            </w:r>
          </w:p>
        </w:tc>
      </w:tr>
      <w:tr w:rsidR="002D4167" w:rsidTr="002D4167" w14:paraId="5335ABAB" w14:textId="77777777">
        <w:trPr>
          <w:trHeight w:val="328"/>
        </w:trPr>
        <w:tc>
          <w:tcPr>
            <w:tcW w:w="4675" w:type="dxa"/>
          </w:tcPr>
          <w:p w:rsidRPr="00BC51C5" w:rsidR="002D4167" w:rsidP="006F2B9D" w:rsidRDefault="002D4167" w14:paraId="7B221D41" w14:textId="77777777">
            <w:pPr>
              <w:rPr>
                <w:rFonts w:asciiTheme="minorHAnsi" w:hAnsiTheme="minorHAnsi" w:cstheme="minorHAnsi"/>
                <w:i/>
              </w:rPr>
            </w:pPr>
            <w:r>
              <w:rPr>
                <w:rFonts w:asciiTheme="minorHAnsi" w:hAnsiTheme="minorHAnsi" w:cstheme="minorHAnsi"/>
                <w:i/>
              </w:rPr>
              <w:t>District</w:t>
            </w:r>
            <w:r w:rsidRPr="00BC51C5">
              <w:rPr>
                <w:rFonts w:asciiTheme="minorHAnsi" w:hAnsiTheme="minorHAnsi" w:cstheme="minorHAnsi"/>
                <w:i/>
              </w:rPr>
              <w:t xml:space="preserve"> Clearance Process</w:t>
            </w:r>
          </w:p>
        </w:tc>
        <w:tc>
          <w:tcPr>
            <w:tcW w:w="4675" w:type="dxa"/>
          </w:tcPr>
          <w:p w:rsidRPr="002D4167" w:rsidR="002D4167" w:rsidP="006F2B9D" w:rsidRDefault="002D4167" w14:paraId="66C94A56" w14:textId="77777777">
            <w:pPr>
              <w:jc w:val="center"/>
              <w:rPr>
                <w:rFonts w:asciiTheme="minorHAnsi" w:hAnsiTheme="minorHAnsi" w:cstheme="minorHAnsi"/>
                <w:highlight w:val="yellow"/>
              </w:rPr>
            </w:pPr>
          </w:p>
        </w:tc>
      </w:tr>
      <w:tr w:rsidR="002D4167" w:rsidTr="002D4167" w14:paraId="1EE56114" w14:textId="77777777">
        <w:trPr>
          <w:trHeight w:val="328"/>
        </w:trPr>
        <w:tc>
          <w:tcPr>
            <w:tcW w:w="4675" w:type="dxa"/>
          </w:tcPr>
          <w:p w:rsidR="002D4167" w:rsidP="002D4167" w:rsidRDefault="002D4167" w14:paraId="4D07A493" w14:textId="77777777">
            <w:pPr>
              <w:ind w:left="330"/>
              <w:rPr>
                <w:rFonts w:asciiTheme="minorHAnsi" w:hAnsiTheme="minorHAnsi" w:cstheme="minorHAnsi"/>
              </w:rPr>
            </w:pPr>
            <w:r>
              <w:rPr>
                <w:rFonts w:asciiTheme="minorHAnsi" w:hAnsiTheme="minorHAnsi" w:cstheme="minorHAnsi"/>
              </w:rPr>
              <w:t>Obtain District Clearance</w:t>
            </w:r>
          </w:p>
        </w:tc>
        <w:tc>
          <w:tcPr>
            <w:tcW w:w="4675" w:type="dxa"/>
          </w:tcPr>
          <w:p w:rsidRPr="002E77A7" w:rsidR="002D4167" w:rsidP="002D4167" w:rsidRDefault="00B5676A" w14:paraId="394172FF" w14:textId="332F98F4">
            <w:pPr>
              <w:jc w:val="center"/>
              <w:rPr>
                <w:rFonts w:asciiTheme="minorHAnsi" w:hAnsiTheme="minorHAnsi" w:cstheme="minorHAnsi"/>
              </w:rPr>
            </w:pPr>
            <w:r w:rsidRPr="002E77A7">
              <w:rPr>
                <w:rFonts w:asciiTheme="minorHAnsi" w:hAnsiTheme="minorHAnsi" w:cstheme="minorHAnsi"/>
              </w:rPr>
              <w:t>1-3 months following OMB approval</w:t>
            </w:r>
          </w:p>
        </w:tc>
      </w:tr>
      <w:tr w:rsidR="002D4167" w:rsidTr="002D4167" w14:paraId="04D7BB40" w14:textId="77777777">
        <w:trPr>
          <w:trHeight w:val="328"/>
        </w:trPr>
        <w:tc>
          <w:tcPr>
            <w:tcW w:w="4675" w:type="dxa"/>
          </w:tcPr>
          <w:p w:rsidR="002D4167" w:rsidP="002D4167" w:rsidRDefault="002D4167" w14:paraId="60C9F7D5" w14:textId="77777777">
            <w:pPr>
              <w:ind w:left="330"/>
              <w:rPr>
                <w:rFonts w:asciiTheme="minorHAnsi" w:hAnsiTheme="minorHAnsi" w:cstheme="minorHAnsi"/>
              </w:rPr>
            </w:pPr>
            <w:r>
              <w:rPr>
                <w:rFonts w:asciiTheme="minorHAnsi" w:hAnsiTheme="minorHAnsi" w:cstheme="minorHAnsi"/>
              </w:rPr>
              <w:t>Recruit Schools</w:t>
            </w:r>
          </w:p>
        </w:tc>
        <w:tc>
          <w:tcPr>
            <w:tcW w:w="4675" w:type="dxa"/>
          </w:tcPr>
          <w:p w:rsidRPr="002E77A7" w:rsidR="002D4167" w:rsidP="002D4167" w:rsidRDefault="00B5676A" w14:paraId="3F358FBA" w14:textId="440B8E8C">
            <w:pPr>
              <w:jc w:val="center"/>
              <w:rPr>
                <w:rFonts w:asciiTheme="minorHAnsi" w:hAnsiTheme="minorHAnsi" w:cstheme="minorHAnsi"/>
              </w:rPr>
            </w:pPr>
            <w:r w:rsidRPr="002E77A7">
              <w:rPr>
                <w:rFonts w:asciiTheme="minorHAnsi" w:hAnsiTheme="minorHAnsi" w:cstheme="minorHAnsi"/>
              </w:rPr>
              <w:t>5-6 months following OMB approval</w:t>
            </w:r>
          </w:p>
        </w:tc>
      </w:tr>
      <w:tr w:rsidR="002D4167" w:rsidTr="002D4167" w14:paraId="00A6A9CE" w14:textId="77777777">
        <w:trPr>
          <w:trHeight w:val="328"/>
        </w:trPr>
        <w:tc>
          <w:tcPr>
            <w:tcW w:w="4675" w:type="dxa"/>
          </w:tcPr>
          <w:p w:rsidR="002D4167" w:rsidP="002D4167" w:rsidRDefault="002D4167" w14:paraId="63373035" w14:textId="77777777">
            <w:pPr>
              <w:ind w:left="330"/>
              <w:rPr>
                <w:rFonts w:asciiTheme="minorHAnsi" w:hAnsiTheme="minorHAnsi" w:cstheme="minorHAnsi"/>
              </w:rPr>
            </w:pPr>
            <w:r>
              <w:rPr>
                <w:rFonts w:asciiTheme="minorHAnsi" w:hAnsiTheme="minorHAnsi" w:cstheme="minorHAnsi"/>
              </w:rPr>
              <w:t>Schedule Data Collection</w:t>
            </w:r>
          </w:p>
        </w:tc>
        <w:tc>
          <w:tcPr>
            <w:tcW w:w="4675" w:type="dxa"/>
          </w:tcPr>
          <w:p w:rsidRPr="002E77A7" w:rsidR="002D4167" w:rsidP="002D4167" w:rsidRDefault="00B5676A" w14:paraId="574156AA" w14:textId="0A687CC2">
            <w:pPr>
              <w:jc w:val="center"/>
              <w:rPr>
                <w:rFonts w:asciiTheme="minorHAnsi" w:hAnsiTheme="minorHAnsi" w:cstheme="minorHAnsi"/>
              </w:rPr>
            </w:pPr>
            <w:r w:rsidRPr="002E77A7">
              <w:rPr>
                <w:rFonts w:asciiTheme="minorHAnsi" w:hAnsiTheme="minorHAnsi" w:cstheme="minorHAnsi"/>
              </w:rPr>
              <w:t>5-8 months following OMB approval</w:t>
            </w:r>
          </w:p>
        </w:tc>
      </w:tr>
      <w:tr w:rsidR="002D4167" w:rsidTr="002D4167" w14:paraId="63B2C624" w14:textId="77777777">
        <w:trPr>
          <w:trHeight w:val="328"/>
        </w:trPr>
        <w:tc>
          <w:tcPr>
            <w:tcW w:w="4675" w:type="dxa"/>
          </w:tcPr>
          <w:p w:rsidRPr="00BC51C5" w:rsidR="002D4167" w:rsidP="002D4167" w:rsidRDefault="002D4167" w14:paraId="569E95D5" w14:textId="77777777">
            <w:pPr>
              <w:rPr>
                <w:rFonts w:asciiTheme="minorHAnsi" w:hAnsiTheme="minorHAnsi" w:cstheme="minorHAnsi"/>
                <w:i/>
              </w:rPr>
            </w:pPr>
            <w:r w:rsidRPr="00BC51C5">
              <w:rPr>
                <w:rFonts w:asciiTheme="minorHAnsi" w:hAnsiTheme="minorHAnsi" w:cstheme="minorHAnsi"/>
                <w:i/>
              </w:rPr>
              <w:t>Data Collection Time 1</w:t>
            </w:r>
          </w:p>
        </w:tc>
        <w:tc>
          <w:tcPr>
            <w:tcW w:w="4675" w:type="dxa"/>
          </w:tcPr>
          <w:p w:rsidRPr="002E77A7" w:rsidR="002D4167" w:rsidP="002D4167" w:rsidRDefault="00B5676A" w14:paraId="1CE6F787" w14:textId="6586E788">
            <w:pPr>
              <w:jc w:val="center"/>
              <w:rPr>
                <w:rFonts w:asciiTheme="minorHAnsi" w:hAnsiTheme="minorHAnsi" w:cstheme="minorHAnsi"/>
              </w:rPr>
            </w:pPr>
            <w:r w:rsidRPr="002E77A7">
              <w:rPr>
                <w:rFonts w:asciiTheme="minorHAnsi" w:hAnsiTheme="minorHAnsi" w:cstheme="minorHAnsi"/>
              </w:rPr>
              <w:t>6-9 months following OMB approval</w:t>
            </w:r>
          </w:p>
        </w:tc>
      </w:tr>
      <w:tr w:rsidR="002D4167" w:rsidTr="002D4167" w14:paraId="58F6BFB3" w14:textId="77777777">
        <w:trPr>
          <w:trHeight w:val="328"/>
        </w:trPr>
        <w:tc>
          <w:tcPr>
            <w:tcW w:w="4675" w:type="dxa"/>
          </w:tcPr>
          <w:p w:rsidRPr="00BC51C5" w:rsidR="002D4167" w:rsidP="002D4167" w:rsidRDefault="002D4167" w14:paraId="7CF28869" w14:textId="77777777">
            <w:pPr>
              <w:rPr>
                <w:rFonts w:asciiTheme="minorHAnsi" w:hAnsiTheme="minorHAnsi" w:cstheme="minorHAnsi"/>
                <w:i/>
              </w:rPr>
            </w:pPr>
            <w:r w:rsidRPr="00BC51C5">
              <w:rPr>
                <w:rFonts w:asciiTheme="minorHAnsi" w:hAnsiTheme="minorHAnsi" w:cstheme="minorHAnsi"/>
                <w:i/>
              </w:rPr>
              <w:t>Data Collection Time 2</w:t>
            </w:r>
          </w:p>
        </w:tc>
        <w:tc>
          <w:tcPr>
            <w:tcW w:w="4675" w:type="dxa"/>
          </w:tcPr>
          <w:p w:rsidRPr="002E77A7" w:rsidR="002D4167" w:rsidP="002D4167" w:rsidRDefault="00B5676A" w14:paraId="7F68223F" w14:textId="036D2A12">
            <w:pPr>
              <w:jc w:val="center"/>
              <w:rPr>
                <w:rFonts w:asciiTheme="minorHAnsi" w:hAnsiTheme="minorHAnsi" w:cstheme="minorHAnsi"/>
              </w:rPr>
            </w:pPr>
            <w:r w:rsidRPr="002E77A7">
              <w:rPr>
                <w:rFonts w:asciiTheme="minorHAnsi" w:hAnsiTheme="minorHAnsi" w:cstheme="minorHAnsi"/>
              </w:rPr>
              <w:t>6-9 months following OMB approval</w:t>
            </w:r>
          </w:p>
        </w:tc>
      </w:tr>
      <w:tr w:rsidR="00AE2620" w:rsidTr="002D4167" w14:paraId="6F4852B6" w14:textId="77777777">
        <w:trPr>
          <w:trHeight w:val="328"/>
        </w:trPr>
        <w:tc>
          <w:tcPr>
            <w:tcW w:w="4675" w:type="dxa"/>
          </w:tcPr>
          <w:p w:rsidRPr="00BC51C5" w:rsidR="00AE2620" w:rsidP="00AE2620" w:rsidRDefault="00AE2620" w14:paraId="01A95E1D" w14:textId="67451009">
            <w:pPr>
              <w:rPr>
                <w:rFonts w:asciiTheme="minorHAnsi" w:hAnsiTheme="minorHAnsi" w:cstheme="minorHAnsi"/>
                <w:i/>
              </w:rPr>
            </w:pPr>
            <w:r>
              <w:rPr>
                <w:rFonts w:asciiTheme="minorHAnsi" w:hAnsiTheme="minorHAnsi" w:cstheme="minorHAnsi"/>
                <w:i/>
              </w:rPr>
              <w:t xml:space="preserve">Data Set, </w:t>
            </w:r>
            <w:r w:rsidRPr="00BC51C5">
              <w:rPr>
                <w:rFonts w:asciiTheme="minorHAnsi" w:hAnsiTheme="minorHAnsi" w:cstheme="minorHAnsi"/>
                <w:i/>
              </w:rPr>
              <w:t>Documentation</w:t>
            </w:r>
            <w:r>
              <w:rPr>
                <w:rFonts w:asciiTheme="minorHAnsi" w:hAnsiTheme="minorHAnsi" w:cstheme="minorHAnsi"/>
                <w:i/>
              </w:rPr>
              <w:t>, &amp; Reporting</w:t>
            </w:r>
          </w:p>
        </w:tc>
        <w:tc>
          <w:tcPr>
            <w:tcW w:w="4675" w:type="dxa"/>
          </w:tcPr>
          <w:p w:rsidRPr="002E77A7" w:rsidR="00AE2620" w:rsidP="00AE2620" w:rsidRDefault="00AE2620" w14:paraId="598C1D2E" w14:textId="764A03C2">
            <w:pPr>
              <w:jc w:val="center"/>
              <w:rPr>
                <w:rFonts w:asciiTheme="minorHAnsi" w:hAnsiTheme="minorHAnsi" w:cstheme="minorHAnsi"/>
              </w:rPr>
            </w:pPr>
          </w:p>
        </w:tc>
      </w:tr>
      <w:tr w:rsidR="00AE2620" w:rsidTr="002D4167" w14:paraId="347768B7" w14:textId="77777777">
        <w:trPr>
          <w:trHeight w:val="328"/>
        </w:trPr>
        <w:tc>
          <w:tcPr>
            <w:tcW w:w="4675" w:type="dxa"/>
          </w:tcPr>
          <w:p w:rsidR="00AE2620" w:rsidP="00AE2620" w:rsidRDefault="00AE2620" w14:paraId="5379BCD0" w14:textId="575C1025">
            <w:pPr>
              <w:ind w:left="330"/>
              <w:rPr>
                <w:rFonts w:asciiTheme="minorHAnsi" w:hAnsiTheme="minorHAnsi" w:cstheme="minorHAnsi"/>
              </w:rPr>
            </w:pPr>
            <w:r>
              <w:rPr>
                <w:rFonts w:asciiTheme="minorHAnsi" w:hAnsiTheme="minorHAnsi" w:cstheme="minorHAnsi"/>
              </w:rPr>
              <w:t>Produce data file and documentation</w:t>
            </w:r>
          </w:p>
        </w:tc>
        <w:tc>
          <w:tcPr>
            <w:tcW w:w="4675" w:type="dxa"/>
          </w:tcPr>
          <w:p w:rsidRPr="002E77A7" w:rsidR="00AE2620" w:rsidP="00AE2620" w:rsidRDefault="00B5676A" w14:paraId="004D670F" w14:textId="0DF3A9F7">
            <w:pPr>
              <w:jc w:val="center"/>
              <w:rPr>
                <w:rFonts w:asciiTheme="minorHAnsi" w:hAnsiTheme="minorHAnsi" w:cstheme="minorHAnsi"/>
              </w:rPr>
            </w:pPr>
            <w:r w:rsidRPr="002E77A7">
              <w:rPr>
                <w:rFonts w:asciiTheme="minorHAnsi" w:hAnsiTheme="minorHAnsi" w:cstheme="minorHAnsi"/>
              </w:rPr>
              <w:t>12 months following OMB approval</w:t>
            </w:r>
          </w:p>
        </w:tc>
      </w:tr>
      <w:tr w:rsidR="00AE2620" w:rsidTr="002D4167" w14:paraId="1B8F9D4E" w14:textId="77777777">
        <w:trPr>
          <w:trHeight w:val="328"/>
        </w:trPr>
        <w:tc>
          <w:tcPr>
            <w:tcW w:w="4675" w:type="dxa"/>
          </w:tcPr>
          <w:p w:rsidRPr="004068FD" w:rsidR="00AE2620" w:rsidP="00AE2620" w:rsidRDefault="00AE2620" w14:paraId="0FADEF4E" w14:textId="1240F26B">
            <w:pPr>
              <w:ind w:left="330"/>
              <w:rPr>
                <w:rFonts w:asciiTheme="minorHAnsi" w:hAnsiTheme="minorHAnsi" w:cstheme="minorHAnsi"/>
              </w:rPr>
            </w:pPr>
            <w:r w:rsidRPr="004068FD">
              <w:rPr>
                <w:rFonts w:asciiTheme="minorHAnsi" w:hAnsiTheme="minorHAnsi" w:cstheme="minorHAnsi"/>
              </w:rPr>
              <w:t>Analyze data</w:t>
            </w:r>
          </w:p>
        </w:tc>
        <w:tc>
          <w:tcPr>
            <w:tcW w:w="4675" w:type="dxa"/>
          </w:tcPr>
          <w:p w:rsidRPr="004068FD" w:rsidR="00AE2620" w:rsidP="00AE2620" w:rsidRDefault="00B5676A" w14:paraId="1EC2359D" w14:textId="09850710">
            <w:pPr>
              <w:jc w:val="center"/>
              <w:rPr>
                <w:rFonts w:asciiTheme="minorHAnsi" w:hAnsiTheme="minorHAnsi" w:cstheme="minorHAnsi"/>
              </w:rPr>
            </w:pPr>
            <w:r>
              <w:rPr>
                <w:rFonts w:asciiTheme="minorHAnsi" w:hAnsiTheme="minorHAnsi" w:cstheme="minorHAnsi"/>
              </w:rPr>
              <w:t>13 months following OMB approval</w:t>
            </w:r>
          </w:p>
        </w:tc>
      </w:tr>
      <w:tr w:rsidR="00AE2620" w:rsidTr="002D4167" w14:paraId="06B167C2" w14:textId="77777777">
        <w:trPr>
          <w:trHeight w:val="328"/>
        </w:trPr>
        <w:tc>
          <w:tcPr>
            <w:tcW w:w="4675" w:type="dxa"/>
          </w:tcPr>
          <w:p w:rsidRPr="00F65844" w:rsidR="00AE2620" w:rsidP="00AE2620" w:rsidRDefault="00AE2620" w14:paraId="3EA03378" w14:textId="10A72D8E">
            <w:pPr>
              <w:ind w:left="330"/>
              <w:rPr>
                <w:rFonts w:asciiTheme="minorHAnsi" w:hAnsiTheme="minorHAnsi" w:cstheme="minorHAnsi"/>
              </w:rPr>
            </w:pPr>
            <w:r>
              <w:rPr>
                <w:rFonts w:asciiTheme="minorHAnsi" w:hAnsiTheme="minorHAnsi" w:cstheme="minorHAnsi"/>
              </w:rPr>
              <w:t>Submit to a journal for publication</w:t>
            </w:r>
          </w:p>
        </w:tc>
        <w:tc>
          <w:tcPr>
            <w:tcW w:w="4675" w:type="dxa"/>
          </w:tcPr>
          <w:p w:rsidRPr="00F65844" w:rsidR="00AE2620" w:rsidP="00AE2620" w:rsidRDefault="00964FED" w14:paraId="22E357F0" w14:textId="2493026F">
            <w:pPr>
              <w:jc w:val="center"/>
              <w:rPr>
                <w:rFonts w:asciiTheme="minorHAnsi" w:hAnsiTheme="minorHAnsi" w:cstheme="minorHAnsi"/>
              </w:rPr>
            </w:pPr>
            <w:r>
              <w:rPr>
                <w:rFonts w:asciiTheme="minorHAnsi" w:hAnsiTheme="minorHAnsi" w:cstheme="minorHAnsi"/>
              </w:rPr>
              <w:t>18 months following OMB approval</w:t>
            </w:r>
          </w:p>
        </w:tc>
      </w:tr>
      <w:tr w:rsidR="00AE2620" w:rsidTr="002D4167" w14:paraId="38E3489B" w14:textId="77777777">
        <w:trPr>
          <w:trHeight w:val="328"/>
        </w:trPr>
        <w:tc>
          <w:tcPr>
            <w:tcW w:w="4675" w:type="dxa"/>
          </w:tcPr>
          <w:p w:rsidRPr="004068FD" w:rsidR="00AE2620" w:rsidP="00AE2620" w:rsidRDefault="00AE2620" w14:paraId="6F9287EF" w14:textId="2FAB4677">
            <w:pPr>
              <w:ind w:left="330"/>
              <w:rPr>
                <w:rFonts w:asciiTheme="minorHAnsi" w:hAnsiTheme="minorHAnsi" w:cstheme="minorHAnsi"/>
              </w:rPr>
            </w:pPr>
            <w:r w:rsidRPr="004068FD">
              <w:rPr>
                <w:rFonts w:asciiTheme="minorHAnsi" w:hAnsiTheme="minorHAnsi" w:cstheme="minorHAnsi"/>
              </w:rPr>
              <w:t>Publish results</w:t>
            </w:r>
          </w:p>
        </w:tc>
        <w:tc>
          <w:tcPr>
            <w:tcW w:w="4675" w:type="dxa"/>
          </w:tcPr>
          <w:p w:rsidRPr="004068FD" w:rsidR="00AE2620" w:rsidP="00AE2620" w:rsidRDefault="00964FED" w14:paraId="6375CA6B" w14:textId="0DA4E4D1">
            <w:pPr>
              <w:jc w:val="center"/>
              <w:rPr>
                <w:rFonts w:asciiTheme="minorHAnsi" w:hAnsiTheme="minorHAnsi" w:cstheme="minorHAnsi"/>
              </w:rPr>
            </w:pPr>
            <w:r>
              <w:rPr>
                <w:rFonts w:asciiTheme="minorHAnsi" w:hAnsiTheme="minorHAnsi" w:cstheme="minorHAnsi"/>
              </w:rPr>
              <w:t>32 months following OMB approval</w:t>
            </w:r>
          </w:p>
        </w:tc>
      </w:tr>
    </w:tbl>
    <w:p w:rsidR="000B7617" w:rsidP="00EB104F" w:rsidRDefault="000B7617" w14:paraId="2F6E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DB012E" w:rsidR="00EB104F" w:rsidP="00DB012E" w:rsidRDefault="00EB104F" w14:paraId="0F3892CE" w14:textId="77777777">
      <w:pPr>
        <w:pStyle w:val="ExhibitText"/>
        <w:outlineLvl w:val="1"/>
        <w:rPr>
          <w:b/>
          <w:sz w:val="22"/>
          <w:szCs w:val="22"/>
        </w:rPr>
      </w:pPr>
      <w:bookmarkStart w:name="_Toc344295590" w:id="22"/>
      <w:r w:rsidRPr="00DB012E">
        <w:rPr>
          <w:b/>
          <w:sz w:val="22"/>
          <w:szCs w:val="22"/>
        </w:rPr>
        <w:t>A.17</w:t>
      </w:r>
      <w:r w:rsidRPr="00DB012E">
        <w:rPr>
          <w:b/>
          <w:sz w:val="22"/>
          <w:szCs w:val="22"/>
        </w:rPr>
        <w:tab/>
        <w:t>REASON(S) DISPLAY OF OMB EXPIRATION DATE IS INAPPROPRIATE</w:t>
      </w:r>
      <w:bookmarkEnd w:id="22"/>
    </w:p>
    <w:p w:rsidR="00EB104F" w:rsidP="00EB104F" w:rsidRDefault="00EB104F" w14:paraId="08649A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C67041" w:rsidR="00EB104F" w:rsidP="002B19EE" w:rsidRDefault="00CD621B" w14:paraId="1696DD32" w14:textId="7AE0C883">
      <w:pPr>
        <w:rPr>
          <w:sz w:val="22"/>
          <w:szCs w:val="22"/>
        </w:rPr>
      </w:pPr>
      <w:r w:rsidRPr="00C67041">
        <w:rPr>
          <w:sz w:val="22"/>
          <w:szCs w:val="22"/>
        </w:rPr>
        <w:t xml:space="preserve">The OMB expiration date will be </w:t>
      </w:r>
      <w:r w:rsidRPr="00C67041" w:rsidR="00374449">
        <w:rPr>
          <w:sz w:val="22"/>
          <w:szCs w:val="22"/>
        </w:rPr>
        <w:t xml:space="preserve">displayed on all paper </w:t>
      </w:r>
      <w:r w:rsidR="00970A3A">
        <w:rPr>
          <w:sz w:val="22"/>
          <w:szCs w:val="22"/>
        </w:rPr>
        <w:t>forms</w:t>
      </w:r>
      <w:r w:rsidRPr="00C67041" w:rsidR="00374449">
        <w:rPr>
          <w:sz w:val="22"/>
          <w:szCs w:val="22"/>
        </w:rPr>
        <w:t xml:space="preserve">. </w:t>
      </w:r>
    </w:p>
    <w:p w:rsidR="00EB104F" w:rsidP="00EB104F" w:rsidRDefault="00EB104F" w14:paraId="34B07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Pr="00DB012E" w:rsidR="00EB104F" w:rsidP="00AD26EB" w:rsidRDefault="00EB104F" w14:paraId="7188D54F" w14:textId="77777777">
      <w:pPr>
        <w:pStyle w:val="ExhibitText"/>
        <w:ind w:left="720" w:hanging="720"/>
        <w:outlineLvl w:val="1"/>
        <w:rPr>
          <w:b/>
          <w:sz w:val="22"/>
          <w:szCs w:val="22"/>
        </w:rPr>
      </w:pPr>
      <w:bookmarkStart w:name="_Toc344295591" w:id="23"/>
      <w:r w:rsidRPr="00DB012E">
        <w:rPr>
          <w:b/>
          <w:sz w:val="22"/>
          <w:szCs w:val="22"/>
        </w:rPr>
        <w:t>A.18</w:t>
      </w:r>
      <w:r w:rsidRPr="00DB012E">
        <w:rPr>
          <w:b/>
          <w:sz w:val="22"/>
          <w:szCs w:val="22"/>
        </w:rPr>
        <w:tab/>
        <w:t>EXCEPTIONS TO CERTIFICATION FOR PAPERWORK REDUCTION ACT SUBMISSIONS</w:t>
      </w:r>
      <w:bookmarkEnd w:id="23"/>
    </w:p>
    <w:p w:rsidR="00EB104F" w:rsidP="00EB104F" w:rsidRDefault="00EB104F" w14:paraId="296C20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8448E1" w:rsidP="00A11ABE" w:rsidRDefault="00EB104F" w14:paraId="0FAD0920" w14:textId="467691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C67041">
        <w:rPr>
          <w:sz w:val="22"/>
          <w:szCs w:val="22"/>
        </w:rPr>
        <w:t>No exemptions from the certification statement are being sought.</w:t>
      </w:r>
      <w:r w:rsidR="00A11ABE">
        <w:t xml:space="preserve"> </w:t>
      </w:r>
    </w:p>
    <w:sectPr w:rsidR="008448E1" w:rsidSect="009265A0">
      <w:footerReference w:type="default" r:id="rId11"/>
      <w:endnotePr>
        <w:numFmt w:val="decimal"/>
      </w:endnotePr>
      <w:pgSz w:w="12240" w:h="15840"/>
      <w:pgMar w:top="1440" w:right="1440" w:bottom="720" w:left="1440" w:header="108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88E7" w14:textId="77777777" w:rsidR="000B3157" w:rsidRDefault="000B3157">
      <w:r>
        <w:separator/>
      </w:r>
    </w:p>
  </w:endnote>
  <w:endnote w:type="continuationSeparator" w:id="0">
    <w:p w14:paraId="3D615D43" w14:textId="77777777" w:rsidR="000B3157" w:rsidRDefault="000B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3FC9" w14:textId="77777777" w:rsidR="0080481F" w:rsidRDefault="00804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C8AF4BB" w14:textId="77777777" w:rsidR="0080481F" w:rsidRDefault="00804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CC40" w14:textId="4248FF1A" w:rsidR="0080481F" w:rsidRDefault="0080481F">
    <w:pPr>
      <w:pStyle w:val="Footer"/>
      <w:jc w:val="center"/>
    </w:pPr>
    <w:r>
      <w:fldChar w:fldCharType="begin"/>
    </w:r>
    <w:r>
      <w:instrText xml:space="preserve"> PAGE   \* MERGEFORMAT </w:instrText>
    </w:r>
    <w:r>
      <w:fldChar w:fldCharType="separate"/>
    </w:r>
    <w:r w:rsidR="00C632D3">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841" w14:textId="726A4A7B" w:rsidR="0080481F" w:rsidRDefault="0080481F" w:rsidP="00AD26EB">
    <w:pPr>
      <w:pStyle w:val="Footer"/>
      <w:jc w:val="center"/>
    </w:pPr>
    <w:r>
      <w:fldChar w:fldCharType="begin"/>
    </w:r>
    <w:r>
      <w:instrText xml:space="preserve"> PAGE   \* MERGEFORMAT </w:instrText>
    </w:r>
    <w:r>
      <w:fldChar w:fldCharType="separate"/>
    </w:r>
    <w:r w:rsidR="00C632D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AF2D" w14:textId="77777777" w:rsidR="000B3157" w:rsidRDefault="000B3157">
      <w:r>
        <w:separator/>
      </w:r>
    </w:p>
  </w:footnote>
  <w:footnote w:type="continuationSeparator" w:id="0">
    <w:p w14:paraId="6585BBEB" w14:textId="77777777" w:rsidR="000B3157" w:rsidRDefault="000B3157">
      <w:r>
        <w:continuationSeparator/>
      </w:r>
    </w:p>
  </w:footnote>
  <w:footnote w:id="1">
    <w:p w14:paraId="14168052" w14:textId="1CA95E55" w:rsidR="0080481F" w:rsidRPr="004C1B69" w:rsidRDefault="0080481F">
      <w:pPr>
        <w:pStyle w:val="FootnoteText"/>
        <w:rPr>
          <w:sz w:val="18"/>
          <w:szCs w:val="18"/>
        </w:rPr>
      </w:pPr>
      <w:r w:rsidRPr="007061E8">
        <w:rPr>
          <w:rStyle w:val="FootnoteReference"/>
          <w:vertAlign w:val="superscript"/>
        </w:rPr>
        <w:footnoteRef/>
      </w:r>
      <w:r>
        <w:t xml:space="preserve"> </w:t>
      </w:r>
      <w:r w:rsidRPr="004C1B69">
        <w:rPr>
          <w:rFonts w:eastAsia="Calibri"/>
          <w:color w:val="000000"/>
          <w:sz w:val="18"/>
          <w:szCs w:val="18"/>
        </w:rPr>
        <w:t>Brener, N. D., Collins, J. L., Kann, L., Warren, C. W., &amp; Williams, B. I. (1995). Reliability of the youth risk behavior survey questionnaire. American journal of epidemiology, 141(6), 575-580.</w:t>
      </w:r>
    </w:p>
  </w:footnote>
  <w:footnote w:id="2">
    <w:p w14:paraId="66896058" w14:textId="22D54B1B" w:rsidR="0080481F" w:rsidRDefault="0080481F">
      <w:pPr>
        <w:pStyle w:val="FootnoteText"/>
      </w:pPr>
      <w:r w:rsidRPr="007061E8">
        <w:rPr>
          <w:rStyle w:val="FootnoteReference"/>
          <w:vertAlign w:val="superscript"/>
        </w:rPr>
        <w:footnoteRef/>
      </w:r>
      <w:r>
        <w:t xml:space="preserve"> </w:t>
      </w:r>
      <w:r w:rsidRPr="004C1B69">
        <w:rPr>
          <w:color w:val="222222"/>
          <w:sz w:val="18"/>
          <w:szCs w:val="18"/>
          <w:shd w:val="clear" w:color="auto" w:fill="FFFFFF"/>
        </w:rPr>
        <w:t>Brener, N. D., Kann, L., McManus, T., Kinchen, S. A., Sundberg, E. C., &amp; Ross, J. G. (2002). Reliability of the 1999 youth risk behavior survey questionnaire. </w:t>
      </w:r>
      <w:r w:rsidRPr="004C1B69">
        <w:rPr>
          <w:i/>
          <w:iCs/>
          <w:color w:val="222222"/>
          <w:sz w:val="18"/>
          <w:szCs w:val="18"/>
          <w:shd w:val="clear" w:color="auto" w:fill="FFFFFF"/>
        </w:rPr>
        <w:t>Journal of adolescent health</w:t>
      </w:r>
      <w:r w:rsidRPr="004C1B69">
        <w:rPr>
          <w:color w:val="222222"/>
          <w:sz w:val="18"/>
          <w:szCs w:val="18"/>
          <w:shd w:val="clear" w:color="auto" w:fill="FFFFFF"/>
        </w:rPr>
        <w:t>, </w:t>
      </w:r>
      <w:r w:rsidRPr="004C1B69">
        <w:rPr>
          <w:i/>
          <w:iCs/>
          <w:color w:val="222222"/>
          <w:sz w:val="18"/>
          <w:szCs w:val="18"/>
          <w:shd w:val="clear" w:color="auto" w:fill="FFFFFF"/>
        </w:rPr>
        <w:t>31</w:t>
      </w:r>
      <w:r w:rsidRPr="004C1B69">
        <w:rPr>
          <w:color w:val="222222"/>
          <w:sz w:val="18"/>
          <w:szCs w:val="18"/>
          <w:shd w:val="clear" w:color="auto" w:fill="FFFFFF"/>
        </w:rPr>
        <w:t>(4), 336-342.</w:t>
      </w:r>
    </w:p>
  </w:footnote>
  <w:footnote w:id="3">
    <w:p w14:paraId="7A700E46" w14:textId="0E0F722E" w:rsidR="0080481F" w:rsidRDefault="0080481F" w:rsidP="00FA5A19">
      <w:pPr>
        <w:pStyle w:val="FootnoteText"/>
      </w:pPr>
      <w:r w:rsidRPr="00684EEE">
        <w:rPr>
          <w:rStyle w:val="FootnoteReference"/>
          <w:vertAlign w:val="superscript"/>
        </w:rPr>
        <w:footnoteRef/>
      </w:r>
      <w:r w:rsidRPr="00684EEE">
        <w:rPr>
          <w:vertAlign w:val="superscript"/>
        </w:rPr>
        <w:t xml:space="preserve"> </w:t>
      </w:r>
      <w:r w:rsidRPr="00F619A7">
        <w:rPr>
          <w:sz w:val="18"/>
          <w:szCs w:val="18"/>
        </w:rPr>
        <w:t xml:space="preserve">The time cost to respondents is the hourly earnings of elementary and secondary administrators </w:t>
      </w:r>
      <w:r>
        <w:rPr>
          <w:sz w:val="18"/>
          <w:szCs w:val="18"/>
        </w:rPr>
        <w:t xml:space="preserve">and </w:t>
      </w:r>
      <w:r w:rsidRPr="00F619A7">
        <w:rPr>
          <w:sz w:val="18"/>
          <w:szCs w:val="18"/>
        </w:rPr>
        <w:t xml:space="preserve">school </w:t>
      </w:r>
      <w:r>
        <w:rPr>
          <w:sz w:val="18"/>
          <w:szCs w:val="18"/>
        </w:rPr>
        <w:t xml:space="preserve">teachers </w:t>
      </w:r>
      <w:r w:rsidRPr="00F619A7">
        <w:rPr>
          <w:sz w:val="18"/>
          <w:szCs w:val="18"/>
        </w:rPr>
        <w:t>as reported in the May 201</w:t>
      </w:r>
      <w:r>
        <w:rPr>
          <w:sz w:val="18"/>
          <w:szCs w:val="18"/>
        </w:rPr>
        <w:t>8</w:t>
      </w:r>
      <w:r w:rsidRPr="00F619A7">
        <w:rPr>
          <w:sz w:val="18"/>
          <w:szCs w:val="18"/>
        </w:rPr>
        <w:t xml:space="preserve"> Bureau of Labor Statistics (BLS) Occupational Employment Statistics. The mean hourly wage was computed assuming 2,080 hours per year. Source: BLS Occupational Employment Statistics, </w:t>
      </w:r>
      <w:hyperlink r:id="rId1" w:anchor="25-0000" w:history="1">
        <w:r w:rsidRPr="00A31772">
          <w:rPr>
            <w:rStyle w:val="Hyperlink"/>
            <w:sz w:val="18"/>
            <w:szCs w:val="18"/>
          </w:rPr>
          <w:t>https://www.bls.gov/oes/current/oes_nat.htm#25-0000</w:t>
        </w:r>
      </w:hyperlink>
      <w:r w:rsidRPr="00F619A7">
        <w:rPr>
          <w:sz w:val="18"/>
          <w:szCs w:val="18"/>
        </w:rPr>
        <w:t>, Occupation code</w:t>
      </w:r>
      <w:r>
        <w:rPr>
          <w:sz w:val="18"/>
          <w:szCs w:val="18"/>
        </w:rPr>
        <w:t>s</w:t>
      </w:r>
      <w:r w:rsidRPr="00F619A7">
        <w:rPr>
          <w:sz w:val="18"/>
          <w:szCs w:val="18"/>
        </w:rPr>
        <w:t>:</w:t>
      </w:r>
      <w:r>
        <w:rPr>
          <w:sz w:val="18"/>
          <w:szCs w:val="18"/>
        </w:rPr>
        <w:t xml:space="preserve"> </w:t>
      </w:r>
      <w:r w:rsidRPr="00F619A7">
        <w:rPr>
          <w:sz w:val="18"/>
          <w:szCs w:val="18"/>
        </w:rPr>
        <w:t>Education Administrators, Elementary and Secondary School (11-9032</w:t>
      </w:r>
      <w:r>
        <w:rPr>
          <w:sz w:val="18"/>
          <w:szCs w:val="18"/>
        </w:rPr>
        <w:t xml:space="preserve">), and Secondary School Teachers (25-2030), </w:t>
      </w:r>
      <w:r w:rsidRPr="00F619A7">
        <w:rPr>
          <w:sz w:val="18"/>
          <w:szCs w:val="18"/>
        </w:rPr>
        <w:t xml:space="preserve">accessed on </w:t>
      </w:r>
      <w:r>
        <w:rPr>
          <w:sz w:val="18"/>
          <w:szCs w:val="18"/>
        </w:rPr>
        <w:t>February 17, 2020</w:t>
      </w:r>
      <w:r w:rsidRPr="00F619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276"/>
    <w:multiLevelType w:val="hybridMultilevel"/>
    <w:tmpl w:val="8FDEBAF6"/>
    <w:lvl w:ilvl="0" w:tplc="ECC4D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D6A99"/>
    <w:multiLevelType w:val="hybridMultilevel"/>
    <w:tmpl w:val="6DA839CC"/>
    <w:lvl w:ilvl="0" w:tplc="C972AF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3397E"/>
    <w:multiLevelType w:val="hybridMultilevel"/>
    <w:tmpl w:val="89C0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20BEB"/>
    <w:multiLevelType w:val="hybridMultilevel"/>
    <w:tmpl w:val="E202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6" w15:restartNumberingAfterBreak="0">
    <w:nsid w:val="629F3308"/>
    <w:multiLevelType w:val="hybridMultilevel"/>
    <w:tmpl w:val="1274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C6476"/>
    <w:multiLevelType w:val="hybridMultilevel"/>
    <w:tmpl w:val="8B7A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C052E"/>
    <w:multiLevelType w:val="hybridMultilevel"/>
    <w:tmpl w:val="E42A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30424"/>
    <w:multiLevelType w:val="hybridMultilevel"/>
    <w:tmpl w:val="34D4F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626C9"/>
    <w:multiLevelType w:val="hybridMultilevel"/>
    <w:tmpl w:val="4C20FEB6"/>
    <w:lvl w:ilvl="0" w:tplc="602A99D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5866819"/>
    <w:multiLevelType w:val="hybridMultilevel"/>
    <w:tmpl w:val="8354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2"/>
  </w:num>
  <w:num w:numId="6">
    <w:abstractNumId w:val="6"/>
  </w:num>
  <w:num w:numId="7">
    <w:abstractNumId w:val="13"/>
  </w:num>
  <w:num w:numId="8">
    <w:abstractNumId w:val="1"/>
  </w:num>
  <w:num w:numId="9">
    <w:abstractNumId w:val="0"/>
  </w:num>
  <w:num w:numId="10">
    <w:abstractNumId w:val="1"/>
  </w:num>
  <w:num w:numId="11">
    <w:abstractNumId w:val="0"/>
    <w:lvlOverride w:ilvl="0">
      <w:startOverride w:val="1"/>
    </w:lvlOverride>
  </w:num>
  <w:num w:numId="12">
    <w:abstractNumId w:val="11"/>
  </w:num>
  <w:num w:numId="13">
    <w:abstractNumId w:val="12"/>
  </w:num>
  <w:num w:numId="14">
    <w:abstractNumId w:val="3"/>
  </w:num>
  <w:num w:numId="15">
    <w:abstractNumId w:val="9"/>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4F"/>
    <w:rsid w:val="00005F94"/>
    <w:rsid w:val="000067AB"/>
    <w:rsid w:val="00006EDA"/>
    <w:rsid w:val="00007991"/>
    <w:rsid w:val="00011F82"/>
    <w:rsid w:val="00014F1C"/>
    <w:rsid w:val="00016CDE"/>
    <w:rsid w:val="00024771"/>
    <w:rsid w:val="00026296"/>
    <w:rsid w:val="00027490"/>
    <w:rsid w:val="00030434"/>
    <w:rsid w:val="00032281"/>
    <w:rsid w:val="00036488"/>
    <w:rsid w:val="00040514"/>
    <w:rsid w:val="00052911"/>
    <w:rsid w:val="00052C33"/>
    <w:rsid w:val="000531C4"/>
    <w:rsid w:val="000548F3"/>
    <w:rsid w:val="00054E11"/>
    <w:rsid w:val="00056817"/>
    <w:rsid w:val="00056EE8"/>
    <w:rsid w:val="00060866"/>
    <w:rsid w:val="00062F2C"/>
    <w:rsid w:val="000641EC"/>
    <w:rsid w:val="00064236"/>
    <w:rsid w:val="000654A7"/>
    <w:rsid w:val="000734C1"/>
    <w:rsid w:val="00074A57"/>
    <w:rsid w:val="00076E55"/>
    <w:rsid w:val="00080460"/>
    <w:rsid w:val="000820A1"/>
    <w:rsid w:val="0008612F"/>
    <w:rsid w:val="0009077D"/>
    <w:rsid w:val="00094498"/>
    <w:rsid w:val="000A0CB5"/>
    <w:rsid w:val="000A1574"/>
    <w:rsid w:val="000A3CAE"/>
    <w:rsid w:val="000A67B4"/>
    <w:rsid w:val="000B3157"/>
    <w:rsid w:val="000B7608"/>
    <w:rsid w:val="000B7617"/>
    <w:rsid w:val="000B7957"/>
    <w:rsid w:val="000C0029"/>
    <w:rsid w:val="000C0B3C"/>
    <w:rsid w:val="000C3AEB"/>
    <w:rsid w:val="000C401B"/>
    <w:rsid w:val="000C6B27"/>
    <w:rsid w:val="000C6E95"/>
    <w:rsid w:val="000D2C86"/>
    <w:rsid w:val="000D4B62"/>
    <w:rsid w:val="000E0568"/>
    <w:rsid w:val="000E1F3F"/>
    <w:rsid w:val="000E3DFF"/>
    <w:rsid w:val="000E4BC8"/>
    <w:rsid w:val="000E4C50"/>
    <w:rsid w:val="000E4C60"/>
    <w:rsid w:val="000E6C8E"/>
    <w:rsid w:val="000E787D"/>
    <w:rsid w:val="000F00D2"/>
    <w:rsid w:val="000F0100"/>
    <w:rsid w:val="000F07C2"/>
    <w:rsid w:val="000F0931"/>
    <w:rsid w:val="000F0D6B"/>
    <w:rsid w:val="000F2AD2"/>
    <w:rsid w:val="000F54F5"/>
    <w:rsid w:val="000F6583"/>
    <w:rsid w:val="00100F1F"/>
    <w:rsid w:val="001011E0"/>
    <w:rsid w:val="001043F7"/>
    <w:rsid w:val="00104BEA"/>
    <w:rsid w:val="001053E7"/>
    <w:rsid w:val="00106012"/>
    <w:rsid w:val="00110B1B"/>
    <w:rsid w:val="001126CE"/>
    <w:rsid w:val="00112815"/>
    <w:rsid w:val="00114875"/>
    <w:rsid w:val="001169B9"/>
    <w:rsid w:val="00116FB5"/>
    <w:rsid w:val="0011701F"/>
    <w:rsid w:val="00121280"/>
    <w:rsid w:val="0012135E"/>
    <w:rsid w:val="001276E9"/>
    <w:rsid w:val="00134FF3"/>
    <w:rsid w:val="00135212"/>
    <w:rsid w:val="001375EE"/>
    <w:rsid w:val="001403B7"/>
    <w:rsid w:val="00142EC7"/>
    <w:rsid w:val="00147FF8"/>
    <w:rsid w:val="001512C9"/>
    <w:rsid w:val="00153212"/>
    <w:rsid w:val="00160B29"/>
    <w:rsid w:val="00161717"/>
    <w:rsid w:val="00161740"/>
    <w:rsid w:val="00171F76"/>
    <w:rsid w:val="00172D6F"/>
    <w:rsid w:val="001747F7"/>
    <w:rsid w:val="00174C9E"/>
    <w:rsid w:val="001825F4"/>
    <w:rsid w:val="00182C2C"/>
    <w:rsid w:val="00183EF2"/>
    <w:rsid w:val="00184BC8"/>
    <w:rsid w:val="001853D5"/>
    <w:rsid w:val="00185C26"/>
    <w:rsid w:val="00192263"/>
    <w:rsid w:val="001927C2"/>
    <w:rsid w:val="00192E89"/>
    <w:rsid w:val="00193432"/>
    <w:rsid w:val="001A0808"/>
    <w:rsid w:val="001A1C16"/>
    <w:rsid w:val="001A6E60"/>
    <w:rsid w:val="001A75FD"/>
    <w:rsid w:val="001B0570"/>
    <w:rsid w:val="001B1519"/>
    <w:rsid w:val="001B1C18"/>
    <w:rsid w:val="001B1E5E"/>
    <w:rsid w:val="001B3334"/>
    <w:rsid w:val="001B337F"/>
    <w:rsid w:val="001B3922"/>
    <w:rsid w:val="001B71FB"/>
    <w:rsid w:val="001B7B75"/>
    <w:rsid w:val="001C0AE9"/>
    <w:rsid w:val="001C14E2"/>
    <w:rsid w:val="001C23DF"/>
    <w:rsid w:val="001C4E8F"/>
    <w:rsid w:val="001D3B97"/>
    <w:rsid w:val="001D6F53"/>
    <w:rsid w:val="001D781C"/>
    <w:rsid w:val="001E2FB7"/>
    <w:rsid w:val="001E4671"/>
    <w:rsid w:val="001E665A"/>
    <w:rsid w:val="001F0E7E"/>
    <w:rsid w:val="001F16D0"/>
    <w:rsid w:val="001F3285"/>
    <w:rsid w:val="00201513"/>
    <w:rsid w:val="0020279B"/>
    <w:rsid w:val="00206B1F"/>
    <w:rsid w:val="002101FC"/>
    <w:rsid w:val="00214102"/>
    <w:rsid w:val="00214327"/>
    <w:rsid w:val="002153CD"/>
    <w:rsid w:val="0021756E"/>
    <w:rsid w:val="00217EF8"/>
    <w:rsid w:val="00220834"/>
    <w:rsid w:val="00220C7A"/>
    <w:rsid w:val="0022270E"/>
    <w:rsid w:val="00223620"/>
    <w:rsid w:val="00223A90"/>
    <w:rsid w:val="00227B30"/>
    <w:rsid w:val="00232ACA"/>
    <w:rsid w:val="00232C68"/>
    <w:rsid w:val="002402EC"/>
    <w:rsid w:val="0024333D"/>
    <w:rsid w:val="00243FA4"/>
    <w:rsid w:val="00244C51"/>
    <w:rsid w:val="0024511E"/>
    <w:rsid w:val="0024625C"/>
    <w:rsid w:val="00246379"/>
    <w:rsid w:val="0024660F"/>
    <w:rsid w:val="00251B88"/>
    <w:rsid w:val="00251C61"/>
    <w:rsid w:val="00254E40"/>
    <w:rsid w:val="00256384"/>
    <w:rsid w:val="002577CB"/>
    <w:rsid w:val="0027143B"/>
    <w:rsid w:val="00275BE3"/>
    <w:rsid w:val="0027737F"/>
    <w:rsid w:val="00281A5A"/>
    <w:rsid w:val="00281ABB"/>
    <w:rsid w:val="00282255"/>
    <w:rsid w:val="0028341D"/>
    <w:rsid w:val="00285A59"/>
    <w:rsid w:val="00287015"/>
    <w:rsid w:val="00287AB7"/>
    <w:rsid w:val="0029172C"/>
    <w:rsid w:val="00291924"/>
    <w:rsid w:val="0029210C"/>
    <w:rsid w:val="00292217"/>
    <w:rsid w:val="002925EB"/>
    <w:rsid w:val="00292D86"/>
    <w:rsid w:val="002933D2"/>
    <w:rsid w:val="00294B40"/>
    <w:rsid w:val="0029754E"/>
    <w:rsid w:val="0029780B"/>
    <w:rsid w:val="00297C4E"/>
    <w:rsid w:val="002A0EC0"/>
    <w:rsid w:val="002A2DA2"/>
    <w:rsid w:val="002A7B23"/>
    <w:rsid w:val="002B1594"/>
    <w:rsid w:val="002B19EE"/>
    <w:rsid w:val="002B2C19"/>
    <w:rsid w:val="002B3291"/>
    <w:rsid w:val="002C1A8C"/>
    <w:rsid w:val="002C3725"/>
    <w:rsid w:val="002C3EF3"/>
    <w:rsid w:val="002C532E"/>
    <w:rsid w:val="002C582F"/>
    <w:rsid w:val="002D4167"/>
    <w:rsid w:val="002E0224"/>
    <w:rsid w:val="002E0C8A"/>
    <w:rsid w:val="002E3D8B"/>
    <w:rsid w:val="002E418B"/>
    <w:rsid w:val="002E7777"/>
    <w:rsid w:val="002E77A7"/>
    <w:rsid w:val="002F1AF0"/>
    <w:rsid w:val="002F287B"/>
    <w:rsid w:val="002F355D"/>
    <w:rsid w:val="002F67BA"/>
    <w:rsid w:val="00301532"/>
    <w:rsid w:val="003064FD"/>
    <w:rsid w:val="00310BC4"/>
    <w:rsid w:val="0031131F"/>
    <w:rsid w:val="003118D2"/>
    <w:rsid w:val="00314053"/>
    <w:rsid w:val="003209BE"/>
    <w:rsid w:val="00320DFE"/>
    <w:rsid w:val="00321135"/>
    <w:rsid w:val="00323B78"/>
    <w:rsid w:val="00323C16"/>
    <w:rsid w:val="00324D47"/>
    <w:rsid w:val="003257E8"/>
    <w:rsid w:val="00327522"/>
    <w:rsid w:val="0033007D"/>
    <w:rsid w:val="003310E2"/>
    <w:rsid w:val="0033192C"/>
    <w:rsid w:val="00332C1D"/>
    <w:rsid w:val="003353FC"/>
    <w:rsid w:val="0033557E"/>
    <w:rsid w:val="00337601"/>
    <w:rsid w:val="003377E5"/>
    <w:rsid w:val="00337EB9"/>
    <w:rsid w:val="003503AC"/>
    <w:rsid w:val="00352ABF"/>
    <w:rsid w:val="003536D7"/>
    <w:rsid w:val="00353C65"/>
    <w:rsid w:val="00354DDA"/>
    <w:rsid w:val="0035572A"/>
    <w:rsid w:val="00360FAC"/>
    <w:rsid w:val="00364F2A"/>
    <w:rsid w:val="00365727"/>
    <w:rsid w:val="00372F10"/>
    <w:rsid w:val="00373EEE"/>
    <w:rsid w:val="00374449"/>
    <w:rsid w:val="00377F72"/>
    <w:rsid w:val="00380A5E"/>
    <w:rsid w:val="0038310D"/>
    <w:rsid w:val="0038351F"/>
    <w:rsid w:val="00391565"/>
    <w:rsid w:val="003940F1"/>
    <w:rsid w:val="00394EBE"/>
    <w:rsid w:val="003A2298"/>
    <w:rsid w:val="003A36D8"/>
    <w:rsid w:val="003A56AF"/>
    <w:rsid w:val="003B090A"/>
    <w:rsid w:val="003B3173"/>
    <w:rsid w:val="003B377E"/>
    <w:rsid w:val="003B663F"/>
    <w:rsid w:val="003C1670"/>
    <w:rsid w:val="003C2899"/>
    <w:rsid w:val="003D2F05"/>
    <w:rsid w:val="003D6596"/>
    <w:rsid w:val="003D663C"/>
    <w:rsid w:val="003D7069"/>
    <w:rsid w:val="003D7F0F"/>
    <w:rsid w:val="003E0A42"/>
    <w:rsid w:val="003E2B4B"/>
    <w:rsid w:val="003E3765"/>
    <w:rsid w:val="003E62D4"/>
    <w:rsid w:val="003E763F"/>
    <w:rsid w:val="003F1AD0"/>
    <w:rsid w:val="003F4A8B"/>
    <w:rsid w:val="003F4E69"/>
    <w:rsid w:val="003F7022"/>
    <w:rsid w:val="003F747F"/>
    <w:rsid w:val="00400128"/>
    <w:rsid w:val="0040058B"/>
    <w:rsid w:val="00401A17"/>
    <w:rsid w:val="00402BE9"/>
    <w:rsid w:val="00402DD2"/>
    <w:rsid w:val="00405D56"/>
    <w:rsid w:val="004068FD"/>
    <w:rsid w:val="00410304"/>
    <w:rsid w:val="00415FCA"/>
    <w:rsid w:val="00416EF2"/>
    <w:rsid w:val="0042062B"/>
    <w:rsid w:val="00421A33"/>
    <w:rsid w:val="00423A63"/>
    <w:rsid w:val="004279C3"/>
    <w:rsid w:val="004304EF"/>
    <w:rsid w:val="004333F5"/>
    <w:rsid w:val="00437915"/>
    <w:rsid w:val="004420E7"/>
    <w:rsid w:val="0044238F"/>
    <w:rsid w:val="004438FE"/>
    <w:rsid w:val="00446FEF"/>
    <w:rsid w:val="00446FF7"/>
    <w:rsid w:val="00447407"/>
    <w:rsid w:val="00450A68"/>
    <w:rsid w:val="00450D28"/>
    <w:rsid w:val="004525D6"/>
    <w:rsid w:val="00452BCB"/>
    <w:rsid w:val="00456ACF"/>
    <w:rsid w:val="00457B10"/>
    <w:rsid w:val="00460357"/>
    <w:rsid w:val="00461B69"/>
    <w:rsid w:val="00466375"/>
    <w:rsid w:val="0046652C"/>
    <w:rsid w:val="00466662"/>
    <w:rsid w:val="00466A0B"/>
    <w:rsid w:val="00466C8F"/>
    <w:rsid w:val="004706B2"/>
    <w:rsid w:val="00473D01"/>
    <w:rsid w:val="004747E7"/>
    <w:rsid w:val="00474FF8"/>
    <w:rsid w:val="004772C8"/>
    <w:rsid w:val="00480FAD"/>
    <w:rsid w:val="004838CE"/>
    <w:rsid w:val="00484287"/>
    <w:rsid w:val="0048548F"/>
    <w:rsid w:val="00485DB8"/>
    <w:rsid w:val="0048664B"/>
    <w:rsid w:val="004976A0"/>
    <w:rsid w:val="004A15D5"/>
    <w:rsid w:val="004A2057"/>
    <w:rsid w:val="004A310B"/>
    <w:rsid w:val="004A3251"/>
    <w:rsid w:val="004B6B1F"/>
    <w:rsid w:val="004B7605"/>
    <w:rsid w:val="004C1B69"/>
    <w:rsid w:val="004C2D9A"/>
    <w:rsid w:val="004C5360"/>
    <w:rsid w:val="004C697B"/>
    <w:rsid w:val="004C79F4"/>
    <w:rsid w:val="004D22C1"/>
    <w:rsid w:val="004D55D8"/>
    <w:rsid w:val="004D7570"/>
    <w:rsid w:val="004E12C2"/>
    <w:rsid w:val="004E38D0"/>
    <w:rsid w:val="004E4CEF"/>
    <w:rsid w:val="004F5C0A"/>
    <w:rsid w:val="005035A9"/>
    <w:rsid w:val="00504AD6"/>
    <w:rsid w:val="0050557C"/>
    <w:rsid w:val="00510094"/>
    <w:rsid w:val="0051269D"/>
    <w:rsid w:val="0051467B"/>
    <w:rsid w:val="00514F43"/>
    <w:rsid w:val="005222E5"/>
    <w:rsid w:val="00525E5F"/>
    <w:rsid w:val="005305CD"/>
    <w:rsid w:val="0053243D"/>
    <w:rsid w:val="0053510E"/>
    <w:rsid w:val="0053687C"/>
    <w:rsid w:val="00536A29"/>
    <w:rsid w:val="005410EF"/>
    <w:rsid w:val="005411F2"/>
    <w:rsid w:val="00542B00"/>
    <w:rsid w:val="0054339E"/>
    <w:rsid w:val="00544968"/>
    <w:rsid w:val="00544B98"/>
    <w:rsid w:val="005457F3"/>
    <w:rsid w:val="00545DDA"/>
    <w:rsid w:val="00550815"/>
    <w:rsid w:val="005519CD"/>
    <w:rsid w:val="0055236B"/>
    <w:rsid w:val="005548BE"/>
    <w:rsid w:val="00557115"/>
    <w:rsid w:val="00557478"/>
    <w:rsid w:val="005614D1"/>
    <w:rsid w:val="00561C03"/>
    <w:rsid w:val="005700CF"/>
    <w:rsid w:val="005704DD"/>
    <w:rsid w:val="00573BD3"/>
    <w:rsid w:val="0057558E"/>
    <w:rsid w:val="00580A1F"/>
    <w:rsid w:val="00581DBC"/>
    <w:rsid w:val="00581FCB"/>
    <w:rsid w:val="00582D95"/>
    <w:rsid w:val="005875DD"/>
    <w:rsid w:val="00595AEB"/>
    <w:rsid w:val="005A005D"/>
    <w:rsid w:val="005A0C64"/>
    <w:rsid w:val="005A0D6D"/>
    <w:rsid w:val="005A1FB5"/>
    <w:rsid w:val="005A25D4"/>
    <w:rsid w:val="005A2E74"/>
    <w:rsid w:val="005A3704"/>
    <w:rsid w:val="005A43AC"/>
    <w:rsid w:val="005A6F58"/>
    <w:rsid w:val="005B22BA"/>
    <w:rsid w:val="005B4B40"/>
    <w:rsid w:val="005B59D4"/>
    <w:rsid w:val="005C247A"/>
    <w:rsid w:val="005C694E"/>
    <w:rsid w:val="005C7265"/>
    <w:rsid w:val="005C72A5"/>
    <w:rsid w:val="005D093F"/>
    <w:rsid w:val="005D148F"/>
    <w:rsid w:val="005E0CDD"/>
    <w:rsid w:val="005E25DB"/>
    <w:rsid w:val="005E2DBC"/>
    <w:rsid w:val="005E48FB"/>
    <w:rsid w:val="005E5239"/>
    <w:rsid w:val="005F1A4F"/>
    <w:rsid w:val="005F4C0C"/>
    <w:rsid w:val="005F5CAE"/>
    <w:rsid w:val="005F7DC4"/>
    <w:rsid w:val="00603BAF"/>
    <w:rsid w:val="00612A9A"/>
    <w:rsid w:val="00612F6E"/>
    <w:rsid w:val="00613929"/>
    <w:rsid w:val="006140EB"/>
    <w:rsid w:val="00614F16"/>
    <w:rsid w:val="0062144C"/>
    <w:rsid w:val="0062372D"/>
    <w:rsid w:val="006250AD"/>
    <w:rsid w:val="00627854"/>
    <w:rsid w:val="00631DCD"/>
    <w:rsid w:val="00632967"/>
    <w:rsid w:val="00636692"/>
    <w:rsid w:val="00636846"/>
    <w:rsid w:val="00645CEE"/>
    <w:rsid w:val="006460AB"/>
    <w:rsid w:val="00646189"/>
    <w:rsid w:val="00662C56"/>
    <w:rsid w:val="00665D57"/>
    <w:rsid w:val="0066642D"/>
    <w:rsid w:val="00666B5F"/>
    <w:rsid w:val="00667398"/>
    <w:rsid w:val="00680B8E"/>
    <w:rsid w:val="00684458"/>
    <w:rsid w:val="00684EEE"/>
    <w:rsid w:val="006869BF"/>
    <w:rsid w:val="00687122"/>
    <w:rsid w:val="00690A88"/>
    <w:rsid w:val="00692DDC"/>
    <w:rsid w:val="006A1D75"/>
    <w:rsid w:val="006A246A"/>
    <w:rsid w:val="006A7513"/>
    <w:rsid w:val="006B5530"/>
    <w:rsid w:val="006B6EFB"/>
    <w:rsid w:val="006C228F"/>
    <w:rsid w:val="006C4633"/>
    <w:rsid w:val="006C493D"/>
    <w:rsid w:val="006C4DD2"/>
    <w:rsid w:val="006C56DE"/>
    <w:rsid w:val="006D1E89"/>
    <w:rsid w:val="006D3E0D"/>
    <w:rsid w:val="006D5B34"/>
    <w:rsid w:val="006D6B40"/>
    <w:rsid w:val="006D6B92"/>
    <w:rsid w:val="006E109F"/>
    <w:rsid w:val="006E4414"/>
    <w:rsid w:val="006E5C59"/>
    <w:rsid w:val="006E7FD1"/>
    <w:rsid w:val="006F0C03"/>
    <w:rsid w:val="006F1633"/>
    <w:rsid w:val="006F1B3E"/>
    <w:rsid w:val="006F1C3E"/>
    <w:rsid w:val="006F2B9D"/>
    <w:rsid w:val="006F6A56"/>
    <w:rsid w:val="00701828"/>
    <w:rsid w:val="00701D2A"/>
    <w:rsid w:val="00702161"/>
    <w:rsid w:val="007038F2"/>
    <w:rsid w:val="00704899"/>
    <w:rsid w:val="00705727"/>
    <w:rsid w:val="00705947"/>
    <w:rsid w:val="00706183"/>
    <w:rsid w:val="007061E8"/>
    <w:rsid w:val="00706AA0"/>
    <w:rsid w:val="007111E2"/>
    <w:rsid w:val="00711BB4"/>
    <w:rsid w:val="00711D9C"/>
    <w:rsid w:val="0071216A"/>
    <w:rsid w:val="007123C1"/>
    <w:rsid w:val="0071243D"/>
    <w:rsid w:val="007127D3"/>
    <w:rsid w:val="00714833"/>
    <w:rsid w:val="0072014A"/>
    <w:rsid w:val="00722A01"/>
    <w:rsid w:val="007253EE"/>
    <w:rsid w:val="0072555C"/>
    <w:rsid w:val="00731F81"/>
    <w:rsid w:val="00732556"/>
    <w:rsid w:val="00733064"/>
    <w:rsid w:val="00736DA8"/>
    <w:rsid w:val="00736F68"/>
    <w:rsid w:val="00737837"/>
    <w:rsid w:val="00741019"/>
    <w:rsid w:val="007410FC"/>
    <w:rsid w:val="00743749"/>
    <w:rsid w:val="00744781"/>
    <w:rsid w:val="00746AC5"/>
    <w:rsid w:val="00751306"/>
    <w:rsid w:val="007521FE"/>
    <w:rsid w:val="0075278A"/>
    <w:rsid w:val="00752A36"/>
    <w:rsid w:val="00753415"/>
    <w:rsid w:val="0075725B"/>
    <w:rsid w:val="00761345"/>
    <w:rsid w:val="00762C02"/>
    <w:rsid w:val="0076480C"/>
    <w:rsid w:val="00766037"/>
    <w:rsid w:val="007676FA"/>
    <w:rsid w:val="00767F05"/>
    <w:rsid w:val="00767F33"/>
    <w:rsid w:val="00771229"/>
    <w:rsid w:val="00773720"/>
    <w:rsid w:val="007741B5"/>
    <w:rsid w:val="00774380"/>
    <w:rsid w:val="00775D5D"/>
    <w:rsid w:val="00776BE3"/>
    <w:rsid w:val="00780612"/>
    <w:rsid w:val="00780834"/>
    <w:rsid w:val="0078196C"/>
    <w:rsid w:val="00781A67"/>
    <w:rsid w:val="007822AE"/>
    <w:rsid w:val="00783903"/>
    <w:rsid w:val="007843E8"/>
    <w:rsid w:val="00785AFB"/>
    <w:rsid w:val="007867F6"/>
    <w:rsid w:val="0078742A"/>
    <w:rsid w:val="0079155B"/>
    <w:rsid w:val="00793F75"/>
    <w:rsid w:val="007946E7"/>
    <w:rsid w:val="00794AE7"/>
    <w:rsid w:val="00795889"/>
    <w:rsid w:val="007964A0"/>
    <w:rsid w:val="007A242D"/>
    <w:rsid w:val="007A4871"/>
    <w:rsid w:val="007A7FA1"/>
    <w:rsid w:val="007B026A"/>
    <w:rsid w:val="007B289A"/>
    <w:rsid w:val="007B2D83"/>
    <w:rsid w:val="007B4F77"/>
    <w:rsid w:val="007B7493"/>
    <w:rsid w:val="007B75E6"/>
    <w:rsid w:val="007C03D1"/>
    <w:rsid w:val="007C12E8"/>
    <w:rsid w:val="007C1D0B"/>
    <w:rsid w:val="007C2733"/>
    <w:rsid w:val="007C45F3"/>
    <w:rsid w:val="007C567C"/>
    <w:rsid w:val="007C5727"/>
    <w:rsid w:val="007C6B54"/>
    <w:rsid w:val="007C7287"/>
    <w:rsid w:val="007D04CC"/>
    <w:rsid w:val="007D0E37"/>
    <w:rsid w:val="007D58A3"/>
    <w:rsid w:val="007D6DEF"/>
    <w:rsid w:val="007D7400"/>
    <w:rsid w:val="007E03F4"/>
    <w:rsid w:val="007E14B0"/>
    <w:rsid w:val="007E1C43"/>
    <w:rsid w:val="007E2249"/>
    <w:rsid w:val="007E3D0A"/>
    <w:rsid w:val="007E4461"/>
    <w:rsid w:val="007F045A"/>
    <w:rsid w:val="007F39D2"/>
    <w:rsid w:val="007F3D2E"/>
    <w:rsid w:val="007F502D"/>
    <w:rsid w:val="007F523A"/>
    <w:rsid w:val="007F58D9"/>
    <w:rsid w:val="007F5EB3"/>
    <w:rsid w:val="00801012"/>
    <w:rsid w:val="00802EA0"/>
    <w:rsid w:val="008044B0"/>
    <w:rsid w:val="0080481F"/>
    <w:rsid w:val="008061EC"/>
    <w:rsid w:val="0080668C"/>
    <w:rsid w:val="00810658"/>
    <w:rsid w:val="0081121B"/>
    <w:rsid w:val="00811D49"/>
    <w:rsid w:val="00813A52"/>
    <w:rsid w:val="00813C4B"/>
    <w:rsid w:val="0081448C"/>
    <w:rsid w:val="00814539"/>
    <w:rsid w:val="0081551A"/>
    <w:rsid w:val="00815EC0"/>
    <w:rsid w:val="00816CAA"/>
    <w:rsid w:val="00821588"/>
    <w:rsid w:val="00821BE2"/>
    <w:rsid w:val="0082243C"/>
    <w:rsid w:val="008247EE"/>
    <w:rsid w:val="008254B5"/>
    <w:rsid w:val="00825D43"/>
    <w:rsid w:val="008270A1"/>
    <w:rsid w:val="0082784A"/>
    <w:rsid w:val="00827BD5"/>
    <w:rsid w:val="00834FF3"/>
    <w:rsid w:val="008365A1"/>
    <w:rsid w:val="00837CB0"/>
    <w:rsid w:val="00840F04"/>
    <w:rsid w:val="00841CD9"/>
    <w:rsid w:val="008444E9"/>
    <w:rsid w:val="008448E1"/>
    <w:rsid w:val="008458F2"/>
    <w:rsid w:val="008519EA"/>
    <w:rsid w:val="00851D76"/>
    <w:rsid w:val="00851DB0"/>
    <w:rsid w:val="00853740"/>
    <w:rsid w:val="00856C19"/>
    <w:rsid w:val="00856E34"/>
    <w:rsid w:val="00857BBD"/>
    <w:rsid w:val="0086243D"/>
    <w:rsid w:val="00864694"/>
    <w:rsid w:val="00865F6A"/>
    <w:rsid w:val="00867D5F"/>
    <w:rsid w:val="00870F60"/>
    <w:rsid w:val="00872AE1"/>
    <w:rsid w:val="0087521E"/>
    <w:rsid w:val="008752F4"/>
    <w:rsid w:val="008769B4"/>
    <w:rsid w:val="00877376"/>
    <w:rsid w:val="00880860"/>
    <w:rsid w:val="00884606"/>
    <w:rsid w:val="0088768C"/>
    <w:rsid w:val="008876EB"/>
    <w:rsid w:val="00890CF9"/>
    <w:rsid w:val="00892A66"/>
    <w:rsid w:val="0089655C"/>
    <w:rsid w:val="008968BA"/>
    <w:rsid w:val="0089706B"/>
    <w:rsid w:val="008A0F10"/>
    <w:rsid w:val="008A4FEA"/>
    <w:rsid w:val="008A565B"/>
    <w:rsid w:val="008A5ADB"/>
    <w:rsid w:val="008A68DC"/>
    <w:rsid w:val="008B0594"/>
    <w:rsid w:val="008B3D5A"/>
    <w:rsid w:val="008B54BC"/>
    <w:rsid w:val="008B7516"/>
    <w:rsid w:val="008C0F11"/>
    <w:rsid w:val="008C3FCE"/>
    <w:rsid w:val="008C4EC9"/>
    <w:rsid w:val="008C6922"/>
    <w:rsid w:val="008C729D"/>
    <w:rsid w:val="008D1BEB"/>
    <w:rsid w:val="008D4748"/>
    <w:rsid w:val="008F15E5"/>
    <w:rsid w:val="008F58AD"/>
    <w:rsid w:val="008F6A31"/>
    <w:rsid w:val="008F781A"/>
    <w:rsid w:val="00903182"/>
    <w:rsid w:val="00905AFA"/>
    <w:rsid w:val="009105E2"/>
    <w:rsid w:val="009113C8"/>
    <w:rsid w:val="00914157"/>
    <w:rsid w:val="009151B0"/>
    <w:rsid w:val="0091656F"/>
    <w:rsid w:val="0091687C"/>
    <w:rsid w:val="00917FE6"/>
    <w:rsid w:val="00922157"/>
    <w:rsid w:val="00922189"/>
    <w:rsid w:val="009221C2"/>
    <w:rsid w:val="009241F9"/>
    <w:rsid w:val="009242CF"/>
    <w:rsid w:val="00925177"/>
    <w:rsid w:val="009265A0"/>
    <w:rsid w:val="0092795B"/>
    <w:rsid w:val="009279A6"/>
    <w:rsid w:val="00930284"/>
    <w:rsid w:val="009306AA"/>
    <w:rsid w:val="00930B0A"/>
    <w:rsid w:val="009323C0"/>
    <w:rsid w:val="00932487"/>
    <w:rsid w:val="00932B05"/>
    <w:rsid w:val="00933730"/>
    <w:rsid w:val="00937043"/>
    <w:rsid w:val="009400CF"/>
    <w:rsid w:val="0094114B"/>
    <w:rsid w:val="00943061"/>
    <w:rsid w:val="00944082"/>
    <w:rsid w:val="00944CBB"/>
    <w:rsid w:val="009456FB"/>
    <w:rsid w:val="00953B57"/>
    <w:rsid w:val="009541FC"/>
    <w:rsid w:val="009556FB"/>
    <w:rsid w:val="00956B9E"/>
    <w:rsid w:val="00957D8A"/>
    <w:rsid w:val="00960168"/>
    <w:rsid w:val="00964FED"/>
    <w:rsid w:val="0096538F"/>
    <w:rsid w:val="0096550B"/>
    <w:rsid w:val="009676D6"/>
    <w:rsid w:val="00967DB6"/>
    <w:rsid w:val="00970A3A"/>
    <w:rsid w:val="00973770"/>
    <w:rsid w:val="00975B9F"/>
    <w:rsid w:val="00977C0E"/>
    <w:rsid w:val="009828C0"/>
    <w:rsid w:val="00997D95"/>
    <w:rsid w:val="009A113A"/>
    <w:rsid w:val="009A18D0"/>
    <w:rsid w:val="009A39E3"/>
    <w:rsid w:val="009A7108"/>
    <w:rsid w:val="009A7326"/>
    <w:rsid w:val="009B0801"/>
    <w:rsid w:val="009B226F"/>
    <w:rsid w:val="009B5983"/>
    <w:rsid w:val="009C0C5A"/>
    <w:rsid w:val="009C1C10"/>
    <w:rsid w:val="009D2B4A"/>
    <w:rsid w:val="009D2C41"/>
    <w:rsid w:val="009D5105"/>
    <w:rsid w:val="009D5609"/>
    <w:rsid w:val="009D573B"/>
    <w:rsid w:val="009E139E"/>
    <w:rsid w:val="009E1D97"/>
    <w:rsid w:val="009E5153"/>
    <w:rsid w:val="009F0AF5"/>
    <w:rsid w:val="009F1627"/>
    <w:rsid w:val="009F5BE8"/>
    <w:rsid w:val="009F73DD"/>
    <w:rsid w:val="00A0074A"/>
    <w:rsid w:val="00A0142D"/>
    <w:rsid w:val="00A037CD"/>
    <w:rsid w:val="00A03A7B"/>
    <w:rsid w:val="00A03B3D"/>
    <w:rsid w:val="00A04DA5"/>
    <w:rsid w:val="00A06C62"/>
    <w:rsid w:val="00A0712C"/>
    <w:rsid w:val="00A071F0"/>
    <w:rsid w:val="00A102AF"/>
    <w:rsid w:val="00A10A04"/>
    <w:rsid w:val="00A11098"/>
    <w:rsid w:val="00A111CB"/>
    <w:rsid w:val="00A11ABE"/>
    <w:rsid w:val="00A1480A"/>
    <w:rsid w:val="00A16046"/>
    <w:rsid w:val="00A208E0"/>
    <w:rsid w:val="00A20F32"/>
    <w:rsid w:val="00A21416"/>
    <w:rsid w:val="00A219E0"/>
    <w:rsid w:val="00A2396D"/>
    <w:rsid w:val="00A25B9D"/>
    <w:rsid w:val="00A3105E"/>
    <w:rsid w:val="00A32E69"/>
    <w:rsid w:val="00A35D20"/>
    <w:rsid w:val="00A4195B"/>
    <w:rsid w:val="00A41E2F"/>
    <w:rsid w:val="00A429F9"/>
    <w:rsid w:val="00A4318B"/>
    <w:rsid w:val="00A454EB"/>
    <w:rsid w:val="00A45FCE"/>
    <w:rsid w:val="00A475F2"/>
    <w:rsid w:val="00A510E8"/>
    <w:rsid w:val="00A532A3"/>
    <w:rsid w:val="00A56F5D"/>
    <w:rsid w:val="00A60392"/>
    <w:rsid w:val="00A618EB"/>
    <w:rsid w:val="00A66229"/>
    <w:rsid w:val="00A70577"/>
    <w:rsid w:val="00A717FE"/>
    <w:rsid w:val="00A73711"/>
    <w:rsid w:val="00A73C1D"/>
    <w:rsid w:val="00A74B80"/>
    <w:rsid w:val="00A75947"/>
    <w:rsid w:val="00A75E2D"/>
    <w:rsid w:val="00A76D8A"/>
    <w:rsid w:val="00A77036"/>
    <w:rsid w:val="00A80035"/>
    <w:rsid w:val="00A83B1D"/>
    <w:rsid w:val="00A85CB7"/>
    <w:rsid w:val="00A85D4B"/>
    <w:rsid w:val="00A91E98"/>
    <w:rsid w:val="00A93F89"/>
    <w:rsid w:val="00A940CB"/>
    <w:rsid w:val="00AA1859"/>
    <w:rsid w:val="00AA2528"/>
    <w:rsid w:val="00AA5D6B"/>
    <w:rsid w:val="00AA7BC0"/>
    <w:rsid w:val="00AB074E"/>
    <w:rsid w:val="00AB575B"/>
    <w:rsid w:val="00AB5CC8"/>
    <w:rsid w:val="00AB6DE2"/>
    <w:rsid w:val="00AB735D"/>
    <w:rsid w:val="00AC2BCA"/>
    <w:rsid w:val="00AC3209"/>
    <w:rsid w:val="00AD0EB3"/>
    <w:rsid w:val="00AD0F10"/>
    <w:rsid w:val="00AD17C5"/>
    <w:rsid w:val="00AD1D10"/>
    <w:rsid w:val="00AD1F7C"/>
    <w:rsid w:val="00AD26EB"/>
    <w:rsid w:val="00AD2945"/>
    <w:rsid w:val="00AD2A89"/>
    <w:rsid w:val="00AD2C9F"/>
    <w:rsid w:val="00AD7246"/>
    <w:rsid w:val="00AE2620"/>
    <w:rsid w:val="00AE681B"/>
    <w:rsid w:val="00AF0499"/>
    <w:rsid w:val="00AF2249"/>
    <w:rsid w:val="00AF29AD"/>
    <w:rsid w:val="00AF3354"/>
    <w:rsid w:val="00AF4867"/>
    <w:rsid w:val="00AF729E"/>
    <w:rsid w:val="00B012C2"/>
    <w:rsid w:val="00B02651"/>
    <w:rsid w:val="00B02BB3"/>
    <w:rsid w:val="00B0621F"/>
    <w:rsid w:val="00B0633B"/>
    <w:rsid w:val="00B10948"/>
    <w:rsid w:val="00B11B2B"/>
    <w:rsid w:val="00B13F8C"/>
    <w:rsid w:val="00B143A3"/>
    <w:rsid w:val="00B15452"/>
    <w:rsid w:val="00B16587"/>
    <w:rsid w:val="00B16CB7"/>
    <w:rsid w:val="00B24FC4"/>
    <w:rsid w:val="00B25117"/>
    <w:rsid w:val="00B267C9"/>
    <w:rsid w:val="00B337BA"/>
    <w:rsid w:val="00B3468E"/>
    <w:rsid w:val="00B34AD7"/>
    <w:rsid w:val="00B3539C"/>
    <w:rsid w:val="00B41B1A"/>
    <w:rsid w:val="00B44468"/>
    <w:rsid w:val="00B46382"/>
    <w:rsid w:val="00B47544"/>
    <w:rsid w:val="00B504D5"/>
    <w:rsid w:val="00B50BBF"/>
    <w:rsid w:val="00B51901"/>
    <w:rsid w:val="00B530E2"/>
    <w:rsid w:val="00B54D6C"/>
    <w:rsid w:val="00B5676A"/>
    <w:rsid w:val="00B574DC"/>
    <w:rsid w:val="00B611C1"/>
    <w:rsid w:val="00B64D53"/>
    <w:rsid w:val="00B657A6"/>
    <w:rsid w:val="00B66567"/>
    <w:rsid w:val="00B67F9C"/>
    <w:rsid w:val="00B71BA3"/>
    <w:rsid w:val="00B7739A"/>
    <w:rsid w:val="00B77813"/>
    <w:rsid w:val="00B80818"/>
    <w:rsid w:val="00B826C3"/>
    <w:rsid w:val="00B834ED"/>
    <w:rsid w:val="00B84379"/>
    <w:rsid w:val="00B84A19"/>
    <w:rsid w:val="00B87AB9"/>
    <w:rsid w:val="00B91076"/>
    <w:rsid w:val="00B925FF"/>
    <w:rsid w:val="00B94868"/>
    <w:rsid w:val="00BA0572"/>
    <w:rsid w:val="00BA589C"/>
    <w:rsid w:val="00BA63A4"/>
    <w:rsid w:val="00BA6B98"/>
    <w:rsid w:val="00BB0B0A"/>
    <w:rsid w:val="00BB0B0F"/>
    <w:rsid w:val="00BB0D8F"/>
    <w:rsid w:val="00BB1266"/>
    <w:rsid w:val="00BB1FBE"/>
    <w:rsid w:val="00BB235A"/>
    <w:rsid w:val="00BB32D0"/>
    <w:rsid w:val="00BB374C"/>
    <w:rsid w:val="00BB4276"/>
    <w:rsid w:val="00BB7F42"/>
    <w:rsid w:val="00BC04F9"/>
    <w:rsid w:val="00BC219C"/>
    <w:rsid w:val="00BC2656"/>
    <w:rsid w:val="00BC3A59"/>
    <w:rsid w:val="00BC45F3"/>
    <w:rsid w:val="00BC465E"/>
    <w:rsid w:val="00BC5A0C"/>
    <w:rsid w:val="00BC7D8A"/>
    <w:rsid w:val="00BD0E1A"/>
    <w:rsid w:val="00BD5BB1"/>
    <w:rsid w:val="00BD6A0A"/>
    <w:rsid w:val="00BE0C44"/>
    <w:rsid w:val="00BE3766"/>
    <w:rsid w:val="00BF1C8A"/>
    <w:rsid w:val="00BF770E"/>
    <w:rsid w:val="00C01693"/>
    <w:rsid w:val="00C03F50"/>
    <w:rsid w:val="00C0602B"/>
    <w:rsid w:val="00C07C64"/>
    <w:rsid w:val="00C07F73"/>
    <w:rsid w:val="00C10352"/>
    <w:rsid w:val="00C10F38"/>
    <w:rsid w:val="00C116BD"/>
    <w:rsid w:val="00C12189"/>
    <w:rsid w:val="00C12385"/>
    <w:rsid w:val="00C12ED6"/>
    <w:rsid w:val="00C15CB2"/>
    <w:rsid w:val="00C22655"/>
    <w:rsid w:val="00C25D58"/>
    <w:rsid w:val="00C271B3"/>
    <w:rsid w:val="00C2735D"/>
    <w:rsid w:val="00C27CD2"/>
    <w:rsid w:val="00C27FE2"/>
    <w:rsid w:val="00C3289A"/>
    <w:rsid w:val="00C33D5E"/>
    <w:rsid w:val="00C34B57"/>
    <w:rsid w:val="00C36EF6"/>
    <w:rsid w:val="00C3743E"/>
    <w:rsid w:val="00C42017"/>
    <w:rsid w:val="00C42D57"/>
    <w:rsid w:val="00C43B74"/>
    <w:rsid w:val="00C44CB2"/>
    <w:rsid w:val="00C45697"/>
    <w:rsid w:val="00C50798"/>
    <w:rsid w:val="00C528AF"/>
    <w:rsid w:val="00C53B90"/>
    <w:rsid w:val="00C56D72"/>
    <w:rsid w:val="00C575B0"/>
    <w:rsid w:val="00C621C6"/>
    <w:rsid w:val="00C62A52"/>
    <w:rsid w:val="00C632D2"/>
    <w:rsid w:val="00C632D3"/>
    <w:rsid w:val="00C639AC"/>
    <w:rsid w:val="00C63C05"/>
    <w:rsid w:val="00C63D23"/>
    <w:rsid w:val="00C64016"/>
    <w:rsid w:val="00C64BC8"/>
    <w:rsid w:val="00C64CE2"/>
    <w:rsid w:val="00C67041"/>
    <w:rsid w:val="00C70FAB"/>
    <w:rsid w:val="00C748CC"/>
    <w:rsid w:val="00C76447"/>
    <w:rsid w:val="00C76D76"/>
    <w:rsid w:val="00C77435"/>
    <w:rsid w:val="00C808E0"/>
    <w:rsid w:val="00C808E8"/>
    <w:rsid w:val="00C81E56"/>
    <w:rsid w:val="00C84FFF"/>
    <w:rsid w:val="00C90A7C"/>
    <w:rsid w:val="00C929B3"/>
    <w:rsid w:val="00C95864"/>
    <w:rsid w:val="00C97511"/>
    <w:rsid w:val="00C97CA7"/>
    <w:rsid w:val="00CA163C"/>
    <w:rsid w:val="00CA284B"/>
    <w:rsid w:val="00CA34B3"/>
    <w:rsid w:val="00CA551D"/>
    <w:rsid w:val="00CA7040"/>
    <w:rsid w:val="00CA798D"/>
    <w:rsid w:val="00CB2AE2"/>
    <w:rsid w:val="00CB46F4"/>
    <w:rsid w:val="00CB4DDB"/>
    <w:rsid w:val="00CB6BC3"/>
    <w:rsid w:val="00CC0033"/>
    <w:rsid w:val="00CC0F54"/>
    <w:rsid w:val="00CC41FA"/>
    <w:rsid w:val="00CC5F8F"/>
    <w:rsid w:val="00CD14A1"/>
    <w:rsid w:val="00CD2C5F"/>
    <w:rsid w:val="00CD31D9"/>
    <w:rsid w:val="00CD3726"/>
    <w:rsid w:val="00CD3AEB"/>
    <w:rsid w:val="00CD4AF9"/>
    <w:rsid w:val="00CD5DC6"/>
    <w:rsid w:val="00CD5EF2"/>
    <w:rsid w:val="00CD621B"/>
    <w:rsid w:val="00CD71F9"/>
    <w:rsid w:val="00CD7302"/>
    <w:rsid w:val="00CD75A2"/>
    <w:rsid w:val="00CE2401"/>
    <w:rsid w:val="00CE262E"/>
    <w:rsid w:val="00CE2D41"/>
    <w:rsid w:val="00CE4FFF"/>
    <w:rsid w:val="00CE5EEE"/>
    <w:rsid w:val="00CE6081"/>
    <w:rsid w:val="00CF0C25"/>
    <w:rsid w:val="00CF12F7"/>
    <w:rsid w:val="00CF1E1B"/>
    <w:rsid w:val="00CF21DB"/>
    <w:rsid w:val="00CF4114"/>
    <w:rsid w:val="00CF7528"/>
    <w:rsid w:val="00CF7CBB"/>
    <w:rsid w:val="00D002D7"/>
    <w:rsid w:val="00D02FF3"/>
    <w:rsid w:val="00D0484A"/>
    <w:rsid w:val="00D05535"/>
    <w:rsid w:val="00D10D5D"/>
    <w:rsid w:val="00D11F79"/>
    <w:rsid w:val="00D15EE8"/>
    <w:rsid w:val="00D171AF"/>
    <w:rsid w:val="00D20F4D"/>
    <w:rsid w:val="00D20F8E"/>
    <w:rsid w:val="00D2398E"/>
    <w:rsid w:val="00D244DE"/>
    <w:rsid w:val="00D25182"/>
    <w:rsid w:val="00D264A7"/>
    <w:rsid w:val="00D337CA"/>
    <w:rsid w:val="00D3442C"/>
    <w:rsid w:val="00D35D82"/>
    <w:rsid w:val="00D369F6"/>
    <w:rsid w:val="00D37C19"/>
    <w:rsid w:val="00D45AB3"/>
    <w:rsid w:val="00D519FA"/>
    <w:rsid w:val="00D53598"/>
    <w:rsid w:val="00D54006"/>
    <w:rsid w:val="00D601D0"/>
    <w:rsid w:val="00D62214"/>
    <w:rsid w:val="00D62C33"/>
    <w:rsid w:val="00D64B90"/>
    <w:rsid w:val="00D70906"/>
    <w:rsid w:val="00D7434D"/>
    <w:rsid w:val="00D7711A"/>
    <w:rsid w:val="00D77CDE"/>
    <w:rsid w:val="00D874E9"/>
    <w:rsid w:val="00D94052"/>
    <w:rsid w:val="00D96952"/>
    <w:rsid w:val="00D977EB"/>
    <w:rsid w:val="00D97D62"/>
    <w:rsid w:val="00DA101B"/>
    <w:rsid w:val="00DA28D5"/>
    <w:rsid w:val="00DA341F"/>
    <w:rsid w:val="00DA74CD"/>
    <w:rsid w:val="00DB012E"/>
    <w:rsid w:val="00DB3334"/>
    <w:rsid w:val="00DB69CC"/>
    <w:rsid w:val="00DC08E8"/>
    <w:rsid w:val="00DC0FD2"/>
    <w:rsid w:val="00DC29B5"/>
    <w:rsid w:val="00DC43D0"/>
    <w:rsid w:val="00DC51F7"/>
    <w:rsid w:val="00DC5846"/>
    <w:rsid w:val="00DC6604"/>
    <w:rsid w:val="00DC7DCC"/>
    <w:rsid w:val="00DD0B41"/>
    <w:rsid w:val="00DD1AFC"/>
    <w:rsid w:val="00DD2859"/>
    <w:rsid w:val="00DD31DB"/>
    <w:rsid w:val="00DD324A"/>
    <w:rsid w:val="00DD6F35"/>
    <w:rsid w:val="00DE1DAA"/>
    <w:rsid w:val="00DE354C"/>
    <w:rsid w:val="00DE3A7F"/>
    <w:rsid w:val="00DE4C1B"/>
    <w:rsid w:val="00DE6D8A"/>
    <w:rsid w:val="00DF2287"/>
    <w:rsid w:val="00DF3F7C"/>
    <w:rsid w:val="00DF4DDB"/>
    <w:rsid w:val="00DF617C"/>
    <w:rsid w:val="00DF617E"/>
    <w:rsid w:val="00DF654E"/>
    <w:rsid w:val="00E00BF4"/>
    <w:rsid w:val="00E04A5C"/>
    <w:rsid w:val="00E07699"/>
    <w:rsid w:val="00E07BFB"/>
    <w:rsid w:val="00E133F8"/>
    <w:rsid w:val="00E14F7C"/>
    <w:rsid w:val="00E15DF4"/>
    <w:rsid w:val="00E17757"/>
    <w:rsid w:val="00E2360F"/>
    <w:rsid w:val="00E24142"/>
    <w:rsid w:val="00E26084"/>
    <w:rsid w:val="00E2717F"/>
    <w:rsid w:val="00E33904"/>
    <w:rsid w:val="00E341B9"/>
    <w:rsid w:val="00E34293"/>
    <w:rsid w:val="00E37661"/>
    <w:rsid w:val="00E429C1"/>
    <w:rsid w:val="00E43BF0"/>
    <w:rsid w:val="00E43FED"/>
    <w:rsid w:val="00E44ACA"/>
    <w:rsid w:val="00E4558D"/>
    <w:rsid w:val="00E517EA"/>
    <w:rsid w:val="00E5586C"/>
    <w:rsid w:val="00E55B39"/>
    <w:rsid w:val="00E560F5"/>
    <w:rsid w:val="00E56377"/>
    <w:rsid w:val="00E56837"/>
    <w:rsid w:val="00E60424"/>
    <w:rsid w:val="00E65207"/>
    <w:rsid w:val="00E65ADF"/>
    <w:rsid w:val="00E67395"/>
    <w:rsid w:val="00E67E03"/>
    <w:rsid w:val="00E7207E"/>
    <w:rsid w:val="00E73397"/>
    <w:rsid w:val="00E75158"/>
    <w:rsid w:val="00E76566"/>
    <w:rsid w:val="00E77CCB"/>
    <w:rsid w:val="00E80724"/>
    <w:rsid w:val="00E80927"/>
    <w:rsid w:val="00E80B89"/>
    <w:rsid w:val="00E82512"/>
    <w:rsid w:val="00E8466E"/>
    <w:rsid w:val="00E87318"/>
    <w:rsid w:val="00E87AF6"/>
    <w:rsid w:val="00E91DD1"/>
    <w:rsid w:val="00E94924"/>
    <w:rsid w:val="00E9515A"/>
    <w:rsid w:val="00E95957"/>
    <w:rsid w:val="00EA1058"/>
    <w:rsid w:val="00EA2CBC"/>
    <w:rsid w:val="00EA4DB4"/>
    <w:rsid w:val="00EA5345"/>
    <w:rsid w:val="00EA64CB"/>
    <w:rsid w:val="00EB104F"/>
    <w:rsid w:val="00EB592E"/>
    <w:rsid w:val="00EB754A"/>
    <w:rsid w:val="00EB76F5"/>
    <w:rsid w:val="00EC1543"/>
    <w:rsid w:val="00EC2AD1"/>
    <w:rsid w:val="00EC2ECB"/>
    <w:rsid w:val="00EC44B4"/>
    <w:rsid w:val="00EC4EB2"/>
    <w:rsid w:val="00EC5246"/>
    <w:rsid w:val="00EC61BC"/>
    <w:rsid w:val="00ED3960"/>
    <w:rsid w:val="00ED3C64"/>
    <w:rsid w:val="00ED3DB5"/>
    <w:rsid w:val="00ED41B2"/>
    <w:rsid w:val="00ED4C62"/>
    <w:rsid w:val="00ED5B5B"/>
    <w:rsid w:val="00EE5139"/>
    <w:rsid w:val="00EF0112"/>
    <w:rsid w:val="00EF0B1F"/>
    <w:rsid w:val="00EF1922"/>
    <w:rsid w:val="00EF1D93"/>
    <w:rsid w:val="00EF4306"/>
    <w:rsid w:val="00EF43C4"/>
    <w:rsid w:val="00EF43E1"/>
    <w:rsid w:val="00EF5026"/>
    <w:rsid w:val="00EF656B"/>
    <w:rsid w:val="00F00F04"/>
    <w:rsid w:val="00F1160B"/>
    <w:rsid w:val="00F12396"/>
    <w:rsid w:val="00F15A26"/>
    <w:rsid w:val="00F207A4"/>
    <w:rsid w:val="00F20D44"/>
    <w:rsid w:val="00F225A4"/>
    <w:rsid w:val="00F250B4"/>
    <w:rsid w:val="00F36E58"/>
    <w:rsid w:val="00F41FF5"/>
    <w:rsid w:val="00F424E9"/>
    <w:rsid w:val="00F42B32"/>
    <w:rsid w:val="00F43F63"/>
    <w:rsid w:val="00F44EC7"/>
    <w:rsid w:val="00F4645C"/>
    <w:rsid w:val="00F50209"/>
    <w:rsid w:val="00F50390"/>
    <w:rsid w:val="00F5142C"/>
    <w:rsid w:val="00F53645"/>
    <w:rsid w:val="00F5444F"/>
    <w:rsid w:val="00F550AA"/>
    <w:rsid w:val="00F55AF7"/>
    <w:rsid w:val="00F5635D"/>
    <w:rsid w:val="00F56402"/>
    <w:rsid w:val="00F643BF"/>
    <w:rsid w:val="00F64B3D"/>
    <w:rsid w:val="00F65844"/>
    <w:rsid w:val="00F724E7"/>
    <w:rsid w:val="00F73447"/>
    <w:rsid w:val="00F7403C"/>
    <w:rsid w:val="00F756D0"/>
    <w:rsid w:val="00F77A49"/>
    <w:rsid w:val="00F77C9E"/>
    <w:rsid w:val="00F81398"/>
    <w:rsid w:val="00F81A0A"/>
    <w:rsid w:val="00F83B51"/>
    <w:rsid w:val="00F84BE1"/>
    <w:rsid w:val="00F85559"/>
    <w:rsid w:val="00F96C0C"/>
    <w:rsid w:val="00F96CF3"/>
    <w:rsid w:val="00F97356"/>
    <w:rsid w:val="00FA1637"/>
    <w:rsid w:val="00FA3071"/>
    <w:rsid w:val="00FA5A19"/>
    <w:rsid w:val="00FA630A"/>
    <w:rsid w:val="00FA67D1"/>
    <w:rsid w:val="00FA757C"/>
    <w:rsid w:val="00FB55BB"/>
    <w:rsid w:val="00FB657C"/>
    <w:rsid w:val="00FC04B2"/>
    <w:rsid w:val="00FC1BC5"/>
    <w:rsid w:val="00FC2C93"/>
    <w:rsid w:val="00FC4E4A"/>
    <w:rsid w:val="00FC4EF6"/>
    <w:rsid w:val="00FC76FF"/>
    <w:rsid w:val="00FE427F"/>
    <w:rsid w:val="00FE561A"/>
    <w:rsid w:val="00FE59EC"/>
    <w:rsid w:val="00FE5EA8"/>
    <w:rsid w:val="00FE63F3"/>
    <w:rsid w:val="00FF720C"/>
    <w:rsid w:val="00FF73AE"/>
    <w:rsid w:val="00FF79FE"/>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341"/>
  <w15:docId w15:val="{0B8B1B2C-8625-4318-A354-5708325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uiPriority w:val="99"/>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uiPriority w:val="99"/>
    <w:semiHidden/>
    <w:rsid w:val="00EB104F"/>
    <w:rPr>
      <w:sz w:val="16"/>
      <w:szCs w:val="16"/>
    </w:rPr>
  </w:style>
  <w:style w:type="paragraph" w:styleId="CommentText">
    <w:name w:val="annotation text"/>
    <w:basedOn w:val="Normal"/>
    <w:link w:val="CommentTextChar"/>
    <w:uiPriority w:val="99"/>
    <w:semiHidden/>
    <w:rsid w:val="00EB104F"/>
    <w:rPr>
      <w:sz w:val="20"/>
      <w:szCs w:val="20"/>
    </w:rPr>
  </w:style>
  <w:style w:type="character" w:customStyle="1" w:styleId="CommentTextChar">
    <w:name w:val="Comment Text Char"/>
    <w:basedOn w:val="DefaultParagraphFont"/>
    <w:link w:val="CommentText"/>
    <w:uiPriority w:val="99"/>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aliases w:val="F1"/>
    <w:basedOn w:val="Normal"/>
    <w:link w:val="FootnoteTextChar"/>
    <w:uiPriority w:val="99"/>
    <w:semiHidden/>
    <w:rsid w:val="00EB104F"/>
    <w:rPr>
      <w:sz w:val="20"/>
      <w:szCs w:val="20"/>
    </w:rPr>
  </w:style>
  <w:style w:type="character" w:customStyle="1" w:styleId="FootnoteTextChar">
    <w:name w:val="Footnote Text Char"/>
    <w:aliases w:val="F1 Char"/>
    <w:basedOn w:val="DefaultParagraphFont"/>
    <w:link w:val="FootnoteText"/>
    <w:uiPriority w:val="99"/>
    <w:semiHidden/>
    <w:rsid w:val="00EB104F"/>
    <w:rPr>
      <w:rFonts w:ascii="Times New Roman" w:eastAsia="Times New Roman" w:hAnsi="Times New Roman" w:cs="Times New Roman"/>
      <w:sz w:val="20"/>
      <w:szCs w:val="20"/>
    </w:rPr>
  </w:style>
  <w:style w:type="table" w:styleId="TableGrid">
    <w:name w:val="Table Grid"/>
    <w:basedOn w:val="TableNormal"/>
    <w:uiPriority w:val="59"/>
    <w:rsid w:val="00EB104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767F05"/>
    <w:pPr>
      <w:widowControl/>
      <w:tabs>
        <w:tab w:val="left" w:pos="880"/>
        <w:tab w:val="right" w:leader="dot" w:pos="9350"/>
      </w:tabs>
      <w:autoSpaceDE/>
      <w:autoSpaceDN/>
      <w:adjustRightInd/>
      <w:spacing w:after="100" w:line="276" w:lineRule="auto"/>
      <w:ind w:left="1400" w:hanging="680"/>
    </w:pPr>
    <w:rPr>
      <w:noProof/>
      <w:sz w:val="22"/>
      <w:szCs w:val="22"/>
    </w:rPr>
  </w:style>
  <w:style w:type="paragraph" w:styleId="TOC1">
    <w:name w:val="toc 1"/>
    <w:basedOn w:val="Normal"/>
    <w:next w:val="Normal"/>
    <w:autoRedefine/>
    <w:uiPriority w:val="39"/>
    <w:unhideWhenUsed/>
    <w:qFormat/>
    <w:rsid w:val="00767F05"/>
    <w:pPr>
      <w:widowControl/>
      <w:tabs>
        <w:tab w:val="right" w:leader="dot" w:pos="9350"/>
      </w:tabs>
      <w:autoSpaceDE/>
      <w:autoSpaceDN/>
      <w:adjustRightInd/>
      <w:spacing w:after="100" w:line="276" w:lineRule="auto"/>
      <w:ind w:left="720" w:hanging="450"/>
    </w:pPr>
    <w:rPr>
      <w:b/>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 w:type="paragraph" w:customStyle="1" w:styleId="Default">
    <w:name w:val="Default"/>
    <w:rsid w:val="00456ACF"/>
    <w:pPr>
      <w:autoSpaceDE w:val="0"/>
      <w:autoSpaceDN w:val="0"/>
      <w:adjustRightInd w:val="0"/>
    </w:pPr>
    <w:rPr>
      <w:rFonts w:ascii="Times New Roman" w:hAnsi="Times New Roman"/>
      <w:color w:val="000000"/>
      <w:sz w:val="24"/>
      <w:szCs w:val="24"/>
    </w:rPr>
  </w:style>
  <w:style w:type="paragraph" w:customStyle="1" w:styleId="SL-FlLftSgl">
    <w:name w:val="SL-Fl Lft Sgl"/>
    <w:rsid w:val="00452BCB"/>
    <w:pPr>
      <w:overflowPunct w:val="0"/>
      <w:autoSpaceDE w:val="0"/>
      <w:autoSpaceDN w:val="0"/>
      <w:adjustRightInd w:val="0"/>
      <w:spacing w:line="240" w:lineRule="atLeast"/>
      <w:jc w:val="both"/>
      <w:textAlignment w:val="baseline"/>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6716">
      <w:bodyDiv w:val="1"/>
      <w:marLeft w:val="0"/>
      <w:marRight w:val="0"/>
      <w:marTop w:val="0"/>
      <w:marBottom w:val="0"/>
      <w:divBdr>
        <w:top w:val="none" w:sz="0" w:space="0" w:color="auto"/>
        <w:left w:val="none" w:sz="0" w:space="0" w:color="auto"/>
        <w:bottom w:val="none" w:sz="0" w:space="0" w:color="auto"/>
        <w:right w:val="none" w:sz="0" w:space="0" w:color="auto"/>
      </w:divBdr>
    </w:div>
    <w:div w:id="103815278">
      <w:bodyDiv w:val="1"/>
      <w:marLeft w:val="0"/>
      <w:marRight w:val="0"/>
      <w:marTop w:val="0"/>
      <w:marBottom w:val="0"/>
      <w:divBdr>
        <w:top w:val="none" w:sz="0" w:space="0" w:color="auto"/>
        <w:left w:val="none" w:sz="0" w:space="0" w:color="auto"/>
        <w:bottom w:val="none" w:sz="0" w:space="0" w:color="auto"/>
        <w:right w:val="none" w:sz="0" w:space="0" w:color="auto"/>
      </w:divBdr>
    </w:div>
    <w:div w:id="130365186">
      <w:bodyDiv w:val="1"/>
      <w:marLeft w:val="0"/>
      <w:marRight w:val="0"/>
      <w:marTop w:val="0"/>
      <w:marBottom w:val="0"/>
      <w:divBdr>
        <w:top w:val="none" w:sz="0" w:space="0" w:color="auto"/>
        <w:left w:val="none" w:sz="0" w:space="0" w:color="auto"/>
        <w:bottom w:val="none" w:sz="0" w:space="0" w:color="auto"/>
        <w:right w:val="none" w:sz="0" w:space="0" w:color="auto"/>
      </w:divBdr>
    </w:div>
    <w:div w:id="373236691">
      <w:bodyDiv w:val="1"/>
      <w:marLeft w:val="0"/>
      <w:marRight w:val="0"/>
      <w:marTop w:val="0"/>
      <w:marBottom w:val="0"/>
      <w:divBdr>
        <w:top w:val="none" w:sz="0" w:space="0" w:color="auto"/>
        <w:left w:val="none" w:sz="0" w:space="0" w:color="auto"/>
        <w:bottom w:val="none" w:sz="0" w:space="0" w:color="auto"/>
        <w:right w:val="none" w:sz="0" w:space="0" w:color="auto"/>
      </w:divBdr>
    </w:div>
    <w:div w:id="406921990">
      <w:bodyDiv w:val="1"/>
      <w:marLeft w:val="0"/>
      <w:marRight w:val="0"/>
      <w:marTop w:val="0"/>
      <w:marBottom w:val="0"/>
      <w:divBdr>
        <w:top w:val="none" w:sz="0" w:space="0" w:color="auto"/>
        <w:left w:val="none" w:sz="0" w:space="0" w:color="auto"/>
        <w:bottom w:val="none" w:sz="0" w:space="0" w:color="auto"/>
        <w:right w:val="none" w:sz="0" w:space="0" w:color="auto"/>
      </w:divBdr>
    </w:div>
    <w:div w:id="527304563">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16750220">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0469903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233276480">
      <w:bodyDiv w:val="1"/>
      <w:marLeft w:val="0"/>
      <w:marRight w:val="0"/>
      <w:marTop w:val="0"/>
      <w:marBottom w:val="0"/>
      <w:divBdr>
        <w:top w:val="none" w:sz="0" w:space="0" w:color="auto"/>
        <w:left w:val="none" w:sz="0" w:space="0" w:color="auto"/>
        <w:bottom w:val="none" w:sz="0" w:space="0" w:color="auto"/>
        <w:right w:val="none" w:sz="0" w:space="0" w:color="auto"/>
      </w:divBdr>
    </w:div>
    <w:div w:id="1270893505">
      <w:bodyDiv w:val="1"/>
      <w:marLeft w:val="0"/>
      <w:marRight w:val="0"/>
      <w:marTop w:val="0"/>
      <w:marBottom w:val="0"/>
      <w:divBdr>
        <w:top w:val="none" w:sz="0" w:space="0" w:color="auto"/>
        <w:left w:val="none" w:sz="0" w:space="0" w:color="auto"/>
        <w:bottom w:val="none" w:sz="0" w:space="0" w:color="auto"/>
        <w:right w:val="none" w:sz="0" w:space="0" w:color="auto"/>
      </w:divBdr>
    </w:div>
    <w:div w:id="1333218921">
      <w:bodyDiv w:val="1"/>
      <w:marLeft w:val="0"/>
      <w:marRight w:val="0"/>
      <w:marTop w:val="0"/>
      <w:marBottom w:val="0"/>
      <w:divBdr>
        <w:top w:val="none" w:sz="0" w:space="0" w:color="auto"/>
        <w:left w:val="none" w:sz="0" w:space="0" w:color="auto"/>
        <w:bottom w:val="none" w:sz="0" w:space="0" w:color="auto"/>
        <w:right w:val="none" w:sz="0" w:space="0" w:color="auto"/>
      </w:divBdr>
      <w:divsChild>
        <w:div w:id="130906338">
          <w:marLeft w:val="0"/>
          <w:marRight w:val="0"/>
          <w:marTop w:val="0"/>
          <w:marBottom w:val="0"/>
          <w:divBdr>
            <w:top w:val="none" w:sz="0" w:space="0" w:color="auto"/>
            <w:left w:val="none" w:sz="0" w:space="0" w:color="auto"/>
            <w:bottom w:val="none" w:sz="0" w:space="0" w:color="auto"/>
            <w:right w:val="none" w:sz="0" w:space="0" w:color="auto"/>
          </w:divBdr>
        </w:div>
        <w:div w:id="141191793">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34583910">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 w:id="2060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sce2@cdc.gov"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A28D-6BA1-451A-ACE3-D11FC89B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34585</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alice.m.roberts</dc:creator>
  <cp:lastModifiedBy>Bonds, Constance (CDC/DDID/NCHHSTP/OD)</cp:lastModifiedBy>
  <cp:revision>3</cp:revision>
  <cp:lastPrinted>2020-02-20T19:19:00Z</cp:lastPrinted>
  <dcterms:created xsi:type="dcterms:W3CDTF">2020-08-28T16:00:00Z</dcterms:created>
  <dcterms:modified xsi:type="dcterms:W3CDTF">2020-10-02T16:30:00Z</dcterms:modified>
</cp:coreProperties>
</file>