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08E1" w:rsidR="00C77DF4" w:rsidP="00AD7DB8" w:rsidRDefault="00C77DF4" w14:paraId="10EB0476" w14:textId="77777777">
      <w:pPr>
        <w:keepNext/>
        <w:keepLines/>
        <w:spacing w:line="276" w:lineRule="auto"/>
        <w:jc w:val="center"/>
        <w:outlineLvl w:val="6"/>
        <w:rPr>
          <w:rFonts w:asciiTheme="minorHAnsi" w:hAnsiTheme="minorHAnsi" w:cstheme="minorHAnsi"/>
          <w:b/>
          <w:i/>
          <w:iCs/>
          <w:color w:val="404040"/>
        </w:rPr>
      </w:pPr>
    </w:p>
    <w:p w:rsidRPr="00E308E1" w:rsidR="00C77DF4" w:rsidP="00AD7DB8" w:rsidRDefault="00C77DF4" w14:paraId="2316D838" w14:textId="77777777">
      <w:pPr>
        <w:keepNext/>
        <w:keepLines/>
        <w:spacing w:line="276" w:lineRule="auto"/>
        <w:jc w:val="center"/>
        <w:outlineLvl w:val="6"/>
        <w:rPr>
          <w:rFonts w:asciiTheme="minorHAnsi" w:hAnsiTheme="minorHAnsi" w:cstheme="minorHAnsi"/>
          <w:b/>
          <w:i/>
          <w:iCs/>
          <w:color w:val="404040"/>
        </w:rPr>
      </w:pPr>
    </w:p>
    <w:p w:rsidRPr="00E308E1" w:rsidR="00C77DF4" w:rsidP="00AD7DB8" w:rsidRDefault="00C77DF4" w14:paraId="3E719C68" w14:textId="77777777">
      <w:pPr>
        <w:keepNext/>
        <w:keepLines/>
        <w:spacing w:line="276" w:lineRule="auto"/>
        <w:jc w:val="center"/>
        <w:outlineLvl w:val="6"/>
        <w:rPr>
          <w:rFonts w:asciiTheme="minorHAnsi" w:hAnsiTheme="minorHAnsi" w:cstheme="minorHAnsi"/>
          <w:b/>
          <w:i/>
          <w:iCs/>
          <w:color w:val="404040"/>
        </w:rPr>
      </w:pPr>
    </w:p>
    <w:p w:rsidRPr="00E308E1" w:rsidR="00C77DF4" w:rsidP="00AD7DB8" w:rsidRDefault="00C77DF4" w14:paraId="278A273C" w14:textId="308FCFEB">
      <w:pPr>
        <w:keepNext/>
        <w:keepLines/>
        <w:spacing w:line="276" w:lineRule="auto"/>
        <w:jc w:val="center"/>
        <w:outlineLvl w:val="6"/>
        <w:rPr>
          <w:rFonts w:asciiTheme="minorHAnsi" w:hAnsiTheme="minorHAnsi" w:cstheme="minorHAnsi"/>
          <w:i/>
          <w:iCs/>
          <w:color w:val="404040"/>
        </w:rPr>
      </w:pPr>
      <w:r w:rsidRPr="00E308E1">
        <w:rPr>
          <w:rFonts w:asciiTheme="minorHAnsi" w:hAnsiTheme="minorHAnsi" w:cstheme="minorHAnsi"/>
          <w:b/>
          <w:i/>
          <w:iCs/>
          <w:color w:val="404040"/>
        </w:rPr>
        <w:t>SUPPORTING STATEMENT:  PART A</w:t>
      </w:r>
      <w:r w:rsidR="009E5600">
        <w:rPr>
          <w:rFonts w:asciiTheme="minorHAnsi" w:hAnsiTheme="minorHAnsi" w:cstheme="minorHAnsi"/>
          <w:b/>
          <w:i/>
          <w:iCs/>
          <w:color w:val="404040"/>
        </w:rPr>
        <w:t xml:space="preserve"> </w:t>
      </w:r>
    </w:p>
    <w:p w:rsidRPr="00E308E1" w:rsidR="00C77DF4" w:rsidP="00AD7DB8" w:rsidRDefault="00C77DF4" w14:paraId="7A100063" w14:textId="77777777">
      <w:pPr>
        <w:autoSpaceDE w:val="0"/>
        <w:autoSpaceDN w:val="0"/>
        <w:adjustRightInd w:val="0"/>
        <w:spacing w:line="276" w:lineRule="auto"/>
        <w:ind w:left="720"/>
        <w:jc w:val="center"/>
        <w:rPr>
          <w:rFonts w:asciiTheme="minorHAnsi" w:hAnsiTheme="minorHAnsi" w:cstheme="minorHAnsi"/>
          <w:b/>
          <w:bCs/>
        </w:rPr>
      </w:pPr>
    </w:p>
    <w:p w:rsidRPr="00E308E1" w:rsidR="00C77DF4" w:rsidP="00AD7DB8" w:rsidRDefault="00C77DF4" w14:paraId="52EBBCC4" w14:textId="77777777">
      <w:pPr>
        <w:autoSpaceDE w:val="0"/>
        <w:autoSpaceDN w:val="0"/>
        <w:adjustRightInd w:val="0"/>
        <w:spacing w:line="276" w:lineRule="auto"/>
        <w:ind w:left="720"/>
        <w:jc w:val="center"/>
        <w:rPr>
          <w:rFonts w:asciiTheme="minorHAnsi" w:hAnsiTheme="minorHAnsi" w:cstheme="minorHAnsi"/>
          <w:b/>
          <w:bCs/>
        </w:rPr>
      </w:pPr>
    </w:p>
    <w:p w:rsidRPr="00E308E1" w:rsidR="00C77DF4" w:rsidP="00AD7DB8" w:rsidRDefault="00C77DF4" w14:paraId="38B58D23" w14:textId="77777777">
      <w:pPr>
        <w:autoSpaceDE w:val="0"/>
        <w:autoSpaceDN w:val="0"/>
        <w:adjustRightInd w:val="0"/>
        <w:spacing w:line="276" w:lineRule="auto"/>
        <w:ind w:left="720"/>
        <w:jc w:val="center"/>
        <w:rPr>
          <w:rFonts w:asciiTheme="minorHAnsi" w:hAnsiTheme="minorHAnsi" w:cstheme="minorHAnsi"/>
          <w:b/>
          <w:bCs/>
        </w:rPr>
      </w:pPr>
    </w:p>
    <w:p w:rsidRPr="00E308E1" w:rsidR="00C77DF4" w:rsidP="00AD7DB8" w:rsidRDefault="00C77DF4" w14:paraId="27F43AB4" w14:textId="77777777">
      <w:pPr>
        <w:pStyle w:val="BalloonText"/>
        <w:spacing w:line="276" w:lineRule="auto"/>
        <w:jc w:val="center"/>
        <w:rPr>
          <w:rFonts w:asciiTheme="minorHAnsi" w:hAnsiTheme="minorHAnsi" w:cstheme="minorHAnsi"/>
          <w:sz w:val="24"/>
          <w:szCs w:val="24"/>
        </w:rPr>
      </w:pPr>
    </w:p>
    <w:p w:rsidRPr="00E308E1" w:rsidR="00C77DF4" w:rsidP="00AD7DB8" w:rsidRDefault="00C77DF4" w14:paraId="5F7CCDB3" w14:textId="77777777">
      <w:pPr>
        <w:autoSpaceDE w:val="0"/>
        <w:autoSpaceDN w:val="0"/>
        <w:adjustRightInd w:val="0"/>
        <w:spacing w:line="276" w:lineRule="auto"/>
        <w:jc w:val="center"/>
        <w:rPr>
          <w:rFonts w:asciiTheme="minorHAnsi" w:hAnsiTheme="minorHAnsi" w:cstheme="minorHAnsi"/>
          <w:b/>
          <w:bCs/>
        </w:rPr>
      </w:pPr>
    </w:p>
    <w:p w:rsidRPr="00E308E1" w:rsidR="00C77DF4" w:rsidP="00AD7DB8" w:rsidRDefault="00C77DF4" w14:paraId="51EC42B7" w14:textId="16902F0C">
      <w:pPr>
        <w:spacing w:line="276" w:lineRule="auto"/>
        <w:jc w:val="center"/>
        <w:rPr>
          <w:rFonts w:asciiTheme="minorHAnsi" w:hAnsiTheme="minorHAnsi" w:cstheme="minorHAnsi"/>
          <w:b/>
        </w:rPr>
      </w:pPr>
      <w:r w:rsidRPr="00E66E00">
        <w:rPr>
          <w:rFonts w:asciiTheme="minorHAnsi" w:hAnsiTheme="minorHAnsi" w:cstheme="minorHAnsi"/>
          <w:b/>
        </w:rPr>
        <w:t>OMB#</w:t>
      </w:r>
      <w:r w:rsidRPr="00E308E1">
        <w:rPr>
          <w:rFonts w:asciiTheme="minorHAnsi" w:hAnsiTheme="minorHAnsi" w:cstheme="minorHAnsi"/>
          <w:b/>
        </w:rPr>
        <w:t xml:space="preserve"> </w:t>
      </w:r>
      <w:r w:rsidR="00121910">
        <w:rPr>
          <w:rFonts w:asciiTheme="minorHAnsi" w:hAnsiTheme="minorHAnsi" w:cstheme="minorHAnsi"/>
          <w:b/>
        </w:rPr>
        <w:t xml:space="preserve">  </w:t>
      </w:r>
    </w:p>
    <w:p w:rsidRPr="00E308E1" w:rsidR="00C77DF4" w:rsidP="00AD7DB8" w:rsidRDefault="00C77DF4" w14:paraId="6FC83587" w14:textId="77777777">
      <w:pPr>
        <w:spacing w:line="276" w:lineRule="auto"/>
        <w:jc w:val="center"/>
        <w:rPr>
          <w:rFonts w:asciiTheme="minorHAnsi" w:hAnsiTheme="minorHAnsi" w:cstheme="minorHAnsi"/>
          <w:b/>
        </w:rPr>
      </w:pPr>
    </w:p>
    <w:p w:rsidRPr="00E308E1" w:rsidR="00C77DF4" w:rsidP="00AD7DB8" w:rsidRDefault="00266091" w14:paraId="6EBA6E15" w14:textId="26E7FA00">
      <w:pPr>
        <w:autoSpaceDE w:val="0"/>
        <w:autoSpaceDN w:val="0"/>
        <w:adjustRightInd w:val="0"/>
        <w:spacing w:line="276" w:lineRule="auto"/>
        <w:ind w:left="720"/>
        <w:jc w:val="center"/>
        <w:rPr>
          <w:rFonts w:asciiTheme="minorHAnsi" w:hAnsiTheme="minorHAnsi" w:cstheme="minorHAnsi"/>
          <w:b/>
          <w:bCs/>
        </w:rPr>
      </w:pPr>
      <w:r w:rsidRPr="00E308E1">
        <w:rPr>
          <w:rFonts w:asciiTheme="minorHAnsi" w:hAnsiTheme="minorHAnsi" w:cstheme="minorHAnsi"/>
          <w:b/>
          <w:bCs/>
        </w:rPr>
        <w:t>Pilot Implementation of the Violence Against Children and Youth Survey (VACS) in the U</w:t>
      </w:r>
      <w:r w:rsidR="005D2084">
        <w:rPr>
          <w:rFonts w:asciiTheme="minorHAnsi" w:hAnsiTheme="minorHAnsi" w:cstheme="minorHAnsi"/>
          <w:b/>
          <w:bCs/>
        </w:rPr>
        <w:t>S</w:t>
      </w:r>
    </w:p>
    <w:p w:rsidRPr="00E308E1" w:rsidR="00C77DF4" w:rsidP="00AD7DB8" w:rsidRDefault="00C77DF4" w14:paraId="011E0728" w14:textId="77777777">
      <w:pPr>
        <w:spacing w:line="276" w:lineRule="auto"/>
        <w:jc w:val="center"/>
        <w:rPr>
          <w:rFonts w:asciiTheme="minorHAnsi" w:hAnsiTheme="minorHAnsi" w:cstheme="minorHAnsi"/>
          <w:b/>
        </w:rPr>
      </w:pPr>
    </w:p>
    <w:p w:rsidRPr="00E308E1" w:rsidR="00C77DF4" w:rsidP="00AD7DB8" w:rsidRDefault="00C77DF4" w14:paraId="78052FD1" w14:textId="77777777">
      <w:pPr>
        <w:spacing w:line="276" w:lineRule="auto"/>
        <w:jc w:val="center"/>
        <w:rPr>
          <w:rFonts w:asciiTheme="minorHAnsi" w:hAnsiTheme="minorHAnsi" w:cstheme="minorHAnsi"/>
        </w:rPr>
      </w:pPr>
    </w:p>
    <w:p w:rsidRPr="00E308E1" w:rsidR="00C77DF4" w:rsidP="00AD7DB8" w:rsidRDefault="00C77DF4" w14:paraId="7A085E28" w14:textId="77777777">
      <w:pPr>
        <w:spacing w:line="276" w:lineRule="auto"/>
        <w:jc w:val="center"/>
        <w:rPr>
          <w:rFonts w:asciiTheme="minorHAnsi" w:hAnsiTheme="minorHAnsi" w:cstheme="minorHAnsi"/>
        </w:rPr>
      </w:pPr>
    </w:p>
    <w:p w:rsidRPr="00E308E1" w:rsidR="00C77DF4" w:rsidP="00AD7DB8" w:rsidRDefault="00C77DF4" w14:paraId="2E112C3A" w14:textId="77777777">
      <w:pPr>
        <w:spacing w:line="276" w:lineRule="auto"/>
        <w:jc w:val="center"/>
        <w:rPr>
          <w:rFonts w:asciiTheme="minorHAnsi" w:hAnsiTheme="minorHAnsi" w:cstheme="minorHAnsi"/>
        </w:rPr>
      </w:pPr>
    </w:p>
    <w:p w:rsidRPr="00E308E1" w:rsidR="00C77DF4" w:rsidP="00AD7DB8" w:rsidRDefault="00C77DF4" w14:paraId="63DA851C" w14:textId="77777777">
      <w:pPr>
        <w:spacing w:line="276" w:lineRule="auto"/>
        <w:jc w:val="center"/>
        <w:rPr>
          <w:rFonts w:asciiTheme="minorHAnsi" w:hAnsiTheme="minorHAnsi" w:cstheme="minorHAnsi"/>
        </w:rPr>
      </w:pPr>
    </w:p>
    <w:p w:rsidRPr="00E308E1" w:rsidR="00C77DF4" w:rsidP="00AD7DB8" w:rsidRDefault="00C77DF4" w14:paraId="51316D6B" w14:textId="77777777">
      <w:pPr>
        <w:spacing w:line="276" w:lineRule="auto"/>
        <w:jc w:val="center"/>
        <w:rPr>
          <w:rFonts w:asciiTheme="minorHAnsi" w:hAnsiTheme="minorHAnsi" w:cstheme="minorHAnsi"/>
          <w:color w:val="FF0000"/>
        </w:rPr>
      </w:pPr>
    </w:p>
    <w:p w:rsidRPr="00E308E1" w:rsidR="00C77DF4" w:rsidP="00AD7DB8" w:rsidRDefault="00DB62BE" w14:paraId="703F9170" w14:textId="3E43758F">
      <w:pPr>
        <w:spacing w:line="276" w:lineRule="auto"/>
        <w:jc w:val="center"/>
        <w:rPr>
          <w:rFonts w:asciiTheme="minorHAnsi" w:hAnsiTheme="minorHAnsi" w:cstheme="minorHAnsi"/>
        </w:rPr>
      </w:pPr>
      <w:r>
        <w:rPr>
          <w:rFonts w:asciiTheme="minorHAnsi" w:hAnsiTheme="minorHAnsi" w:cstheme="minorHAnsi"/>
          <w:b/>
        </w:rPr>
        <w:t>December 14</w:t>
      </w:r>
      <w:r w:rsidR="005D2084">
        <w:rPr>
          <w:rFonts w:asciiTheme="minorHAnsi" w:hAnsiTheme="minorHAnsi" w:cstheme="minorHAnsi"/>
          <w:b/>
        </w:rPr>
        <w:t>, 2020</w:t>
      </w:r>
    </w:p>
    <w:p w:rsidRPr="00E308E1" w:rsidR="00C77DF4" w:rsidP="00AD7DB8" w:rsidRDefault="00C77DF4" w14:paraId="51BB6149" w14:textId="77777777">
      <w:pPr>
        <w:spacing w:line="276" w:lineRule="auto"/>
        <w:jc w:val="center"/>
        <w:rPr>
          <w:rFonts w:asciiTheme="minorHAnsi" w:hAnsiTheme="minorHAnsi" w:cstheme="minorHAnsi"/>
        </w:rPr>
      </w:pPr>
    </w:p>
    <w:p w:rsidRPr="00E308E1" w:rsidR="00FC70C6" w:rsidP="00AD7DB8" w:rsidRDefault="00FC70C6" w14:paraId="1C900111" w14:textId="77777777">
      <w:pPr>
        <w:spacing w:line="276" w:lineRule="auto"/>
        <w:rPr>
          <w:rFonts w:asciiTheme="minorHAnsi" w:hAnsiTheme="minorHAnsi" w:cstheme="minorHAnsi"/>
        </w:rPr>
      </w:pPr>
    </w:p>
    <w:p w:rsidRPr="00E308E1" w:rsidR="00C77DF4" w:rsidP="00AD7DB8" w:rsidRDefault="00C77DF4" w14:paraId="5B85B0F5" w14:textId="77777777">
      <w:pPr>
        <w:spacing w:line="276" w:lineRule="auto"/>
        <w:rPr>
          <w:rFonts w:asciiTheme="minorHAnsi" w:hAnsiTheme="minorHAnsi" w:cstheme="minorHAnsi"/>
        </w:rPr>
      </w:pPr>
    </w:p>
    <w:p w:rsidRPr="00E308E1" w:rsidR="00C77DF4" w:rsidP="00AD7DB8" w:rsidRDefault="00C77DF4" w14:paraId="32E2814B" w14:textId="77777777">
      <w:pPr>
        <w:spacing w:line="276" w:lineRule="auto"/>
        <w:rPr>
          <w:rFonts w:asciiTheme="minorHAnsi" w:hAnsiTheme="minorHAnsi" w:cstheme="minorHAnsi"/>
        </w:rPr>
      </w:pPr>
    </w:p>
    <w:p w:rsidRPr="00E308E1" w:rsidR="00C77DF4" w:rsidP="00AD7DB8" w:rsidRDefault="00C77DF4" w14:paraId="3686EF5E" w14:textId="77777777">
      <w:pPr>
        <w:spacing w:line="276" w:lineRule="auto"/>
        <w:rPr>
          <w:rFonts w:asciiTheme="minorHAnsi" w:hAnsiTheme="minorHAnsi" w:cstheme="minorHAnsi"/>
        </w:rPr>
      </w:pPr>
    </w:p>
    <w:p w:rsidRPr="00E308E1" w:rsidR="00C77DF4" w:rsidP="00AD7DB8" w:rsidRDefault="00C77DF4" w14:paraId="7199A9CF" w14:textId="77777777">
      <w:pPr>
        <w:spacing w:line="276" w:lineRule="auto"/>
        <w:rPr>
          <w:rFonts w:asciiTheme="minorHAnsi" w:hAnsiTheme="minorHAnsi" w:cstheme="minorHAnsi"/>
        </w:rPr>
      </w:pPr>
    </w:p>
    <w:p w:rsidRPr="00E308E1" w:rsidR="00C77DF4" w:rsidP="00AD7DB8" w:rsidRDefault="00C77DF4" w14:paraId="2F146109" w14:textId="77777777">
      <w:pPr>
        <w:spacing w:line="276" w:lineRule="auto"/>
        <w:jc w:val="center"/>
        <w:rPr>
          <w:rFonts w:asciiTheme="minorHAnsi" w:hAnsiTheme="minorHAnsi" w:cstheme="minorHAnsi"/>
          <w:b/>
        </w:rPr>
      </w:pPr>
      <w:r w:rsidRPr="00E308E1">
        <w:rPr>
          <w:rFonts w:asciiTheme="minorHAnsi" w:hAnsiTheme="minorHAnsi" w:cstheme="minorHAnsi"/>
          <w:b/>
        </w:rPr>
        <w:t>Point of Contact:</w:t>
      </w:r>
    </w:p>
    <w:p w:rsidRPr="00E308E1" w:rsidR="00C77DF4" w:rsidP="00AD7DB8" w:rsidRDefault="00266091" w14:paraId="6CE72E27" w14:textId="0A76717C">
      <w:pPr>
        <w:spacing w:line="276" w:lineRule="auto"/>
        <w:jc w:val="center"/>
        <w:rPr>
          <w:rFonts w:asciiTheme="minorHAnsi" w:hAnsiTheme="minorHAnsi" w:cstheme="minorHAnsi"/>
        </w:rPr>
      </w:pPr>
      <w:r w:rsidRPr="00E308E1">
        <w:rPr>
          <w:rFonts w:asciiTheme="minorHAnsi" w:hAnsiTheme="minorHAnsi" w:cstheme="minorHAnsi"/>
        </w:rPr>
        <w:t>Leah Gilbert, MD, MSPH</w:t>
      </w:r>
    </w:p>
    <w:p w:rsidRPr="00E308E1" w:rsidR="00266091" w:rsidP="00AD7DB8" w:rsidRDefault="00266091" w14:paraId="47AB1CA3" w14:textId="7CEC5478">
      <w:pPr>
        <w:spacing w:line="276" w:lineRule="auto"/>
        <w:jc w:val="center"/>
        <w:rPr>
          <w:rFonts w:asciiTheme="minorHAnsi" w:hAnsiTheme="minorHAnsi" w:cstheme="minorHAnsi"/>
        </w:rPr>
      </w:pPr>
      <w:r w:rsidRPr="00E308E1">
        <w:rPr>
          <w:rFonts w:asciiTheme="minorHAnsi" w:hAnsiTheme="minorHAnsi" w:cstheme="minorHAnsi"/>
        </w:rPr>
        <w:t>Medical Officer</w:t>
      </w:r>
    </w:p>
    <w:p w:rsidRPr="00E308E1" w:rsidR="007620E0" w:rsidP="00AD7DB8" w:rsidRDefault="007620E0" w14:paraId="7BE2720B" w14:textId="77777777">
      <w:pPr>
        <w:spacing w:line="276" w:lineRule="auto"/>
        <w:jc w:val="center"/>
        <w:rPr>
          <w:rFonts w:asciiTheme="minorHAnsi" w:hAnsiTheme="minorHAnsi" w:cstheme="minorHAnsi"/>
        </w:rPr>
      </w:pPr>
    </w:p>
    <w:p w:rsidRPr="00E308E1" w:rsidR="00C77DF4" w:rsidP="00AD7DB8" w:rsidRDefault="00C77DF4" w14:paraId="393E1525" w14:textId="77777777">
      <w:pPr>
        <w:spacing w:line="276" w:lineRule="auto"/>
        <w:jc w:val="center"/>
        <w:rPr>
          <w:rFonts w:asciiTheme="minorHAnsi" w:hAnsiTheme="minorHAnsi" w:cstheme="minorHAnsi"/>
        </w:rPr>
      </w:pPr>
      <w:r w:rsidRPr="00E308E1">
        <w:rPr>
          <w:rFonts w:asciiTheme="minorHAnsi" w:hAnsiTheme="minorHAnsi" w:cstheme="minorHAnsi"/>
        </w:rPr>
        <w:t>Contact Information:</w:t>
      </w:r>
    </w:p>
    <w:p w:rsidRPr="00E308E1" w:rsidR="00C77DF4" w:rsidP="00AD7DB8" w:rsidRDefault="00C77DF4" w14:paraId="1DBDFDBE" w14:textId="77777777">
      <w:pPr>
        <w:pStyle w:val="E-mailSignature"/>
        <w:spacing w:line="276" w:lineRule="auto"/>
        <w:jc w:val="center"/>
        <w:rPr>
          <w:rFonts w:asciiTheme="minorHAnsi" w:hAnsiTheme="minorHAnsi" w:cstheme="minorHAnsi"/>
          <w:noProof/>
        </w:rPr>
      </w:pPr>
      <w:bookmarkStart w:name="_MailAutoSig" w:id="0"/>
      <w:r w:rsidRPr="00E308E1">
        <w:rPr>
          <w:rFonts w:asciiTheme="minorHAnsi" w:hAnsiTheme="minorHAnsi" w:cstheme="minorHAnsi"/>
          <w:noProof/>
        </w:rPr>
        <w:t>Centers for Disease Control and Prevention</w:t>
      </w:r>
    </w:p>
    <w:p w:rsidRPr="00E308E1" w:rsidR="00C77DF4" w:rsidP="00AD7DB8" w:rsidRDefault="00C77DF4" w14:paraId="1CBC1893" w14:textId="77777777">
      <w:pPr>
        <w:pStyle w:val="E-mailSignature"/>
        <w:spacing w:line="276" w:lineRule="auto"/>
        <w:jc w:val="center"/>
        <w:rPr>
          <w:rFonts w:asciiTheme="minorHAnsi" w:hAnsiTheme="minorHAnsi" w:cstheme="minorHAnsi"/>
          <w:noProof/>
        </w:rPr>
      </w:pPr>
      <w:r w:rsidRPr="00E308E1">
        <w:rPr>
          <w:rFonts w:asciiTheme="minorHAnsi" w:hAnsiTheme="minorHAnsi" w:cstheme="minorHAnsi"/>
          <w:noProof/>
        </w:rPr>
        <w:t>National Center for Injury Prevention and Control</w:t>
      </w:r>
    </w:p>
    <w:p w:rsidRPr="00E308E1" w:rsidR="00C77DF4" w:rsidP="00AD7DB8" w:rsidRDefault="00C77DF4" w14:paraId="77077BDE" w14:textId="6E914142">
      <w:pPr>
        <w:pStyle w:val="E-mailSignature"/>
        <w:spacing w:line="276" w:lineRule="auto"/>
        <w:jc w:val="center"/>
        <w:rPr>
          <w:rFonts w:asciiTheme="minorHAnsi" w:hAnsiTheme="minorHAnsi" w:cstheme="minorHAnsi"/>
          <w:noProof/>
        </w:rPr>
      </w:pPr>
      <w:r w:rsidRPr="00E308E1">
        <w:rPr>
          <w:rFonts w:asciiTheme="minorHAnsi" w:hAnsiTheme="minorHAnsi" w:cstheme="minorHAnsi"/>
          <w:noProof/>
        </w:rPr>
        <w:t>4770 Buford Highway NE</w:t>
      </w:r>
      <w:r w:rsidRPr="00E308E1" w:rsidR="00ED5BFF">
        <w:rPr>
          <w:rFonts w:asciiTheme="minorHAnsi" w:hAnsiTheme="minorHAnsi" w:cstheme="minorHAnsi"/>
          <w:noProof/>
        </w:rPr>
        <w:t xml:space="preserve">, </w:t>
      </w:r>
      <w:r w:rsidRPr="00E308E1">
        <w:rPr>
          <w:rFonts w:asciiTheme="minorHAnsi" w:hAnsiTheme="minorHAnsi" w:cstheme="minorHAnsi"/>
          <w:noProof/>
        </w:rPr>
        <w:t xml:space="preserve">MS </w:t>
      </w:r>
      <w:r w:rsidRPr="00E308E1" w:rsidR="00ED5BFF">
        <w:rPr>
          <w:rFonts w:asciiTheme="minorHAnsi" w:hAnsiTheme="minorHAnsi" w:cstheme="minorHAnsi"/>
          <w:noProof/>
        </w:rPr>
        <w:t>S106-10</w:t>
      </w:r>
    </w:p>
    <w:p w:rsidRPr="00E308E1" w:rsidR="00C77DF4" w:rsidP="00AD7DB8" w:rsidRDefault="00C77DF4" w14:paraId="7527E3E3" w14:textId="77777777">
      <w:pPr>
        <w:pStyle w:val="E-mailSignature"/>
        <w:spacing w:line="276" w:lineRule="auto"/>
        <w:jc w:val="center"/>
        <w:rPr>
          <w:rFonts w:asciiTheme="minorHAnsi" w:hAnsiTheme="minorHAnsi" w:cstheme="minorHAnsi"/>
          <w:noProof/>
        </w:rPr>
      </w:pPr>
      <w:r w:rsidRPr="00E308E1">
        <w:rPr>
          <w:rFonts w:asciiTheme="minorHAnsi" w:hAnsiTheme="minorHAnsi" w:cstheme="minorHAnsi"/>
          <w:noProof/>
        </w:rPr>
        <w:t>Atlanta, GA 30341-3724</w:t>
      </w:r>
    </w:p>
    <w:p w:rsidRPr="00E308E1" w:rsidR="00C77DF4" w:rsidP="00AD7DB8" w:rsidRDefault="00C77DF4" w14:paraId="165E7F91" w14:textId="2DEB5946">
      <w:pPr>
        <w:pStyle w:val="E-mailSignature"/>
        <w:spacing w:line="276" w:lineRule="auto"/>
        <w:jc w:val="center"/>
        <w:rPr>
          <w:rFonts w:asciiTheme="minorHAnsi" w:hAnsiTheme="minorHAnsi" w:cstheme="minorHAnsi"/>
          <w:noProof/>
        </w:rPr>
      </w:pPr>
      <w:r w:rsidRPr="00E308E1">
        <w:rPr>
          <w:rFonts w:asciiTheme="minorHAnsi" w:hAnsiTheme="minorHAnsi" w:cstheme="minorHAnsi"/>
          <w:noProof/>
        </w:rPr>
        <w:t xml:space="preserve">phone: </w:t>
      </w:r>
      <w:r w:rsidRPr="00E308E1" w:rsidR="00266091">
        <w:rPr>
          <w:rFonts w:asciiTheme="minorHAnsi" w:hAnsiTheme="minorHAnsi" w:cstheme="minorHAnsi"/>
        </w:rPr>
        <w:t>770-488-1572</w:t>
      </w:r>
    </w:p>
    <w:p w:rsidRPr="00E308E1" w:rsidR="00C77DF4" w:rsidP="00AD7DB8" w:rsidRDefault="00C77DF4" w14:paraId="42509A25" w14:textId="00E13462">
      <w:pPr>
        <w:pStyle w:val="E-mailSignature"/>
        <w:spacing w:line="276" w:lineRule="auto"/>
        <w:jc w:val="center"/>
        <w:rPr>
          <w:rFonts w:asciiTheme="minorHAnsi" w:hAnsiTheme="minorHAnsi" w:cstheme="minorHAnsi"/>
          <w:noProof/>
        </w:rPr>
      </w:pPr>
      <w:r w:rsidRPr="00E308E1">
        <w:rPr>
          <w:rFonts w:asciiTheme="minorHAnsi" w:hAnsiTheme="minorHAnsi" w:cstheme="minorHAnsi"/>
          <w:noProof/>
        </w:rPr>
        <w:t xml:space="preserve">email: </w:t>
      </w:r>
      <w:r w:rsidRPr="00E308E1" w:rsidR="00266091">
        <w:rPr>
          <w:rFonts w:asciiTheme="minorHAnsi" w:hAnsiTheme="minorHAnsi" w:cstheme="minorHAnsi"/>
          <w:noProof/>
        </w:rPr>
        <w:t>wij4</w:t>
      </w:r>
      <w:r w:rsidRPr="00E308E1">
        <w:rPr>
          <w:rFonts w:asciiTheme="minorHAnsi" w:hAnsiTheme="minorHAnsi" w:cstheme="minorHAnsi"/>
          <w:noProof/>
        </w:rPr>
        <w:t>@cdc.gov</w:t>
      </w:r>
    </w:p>
    <w:bookmarkEnd w:id="0"/>
    <w:p w:rsidRPr="00E308E1" w:rsidR="00C77DF4" w:rsidP="00AD7DB8" w:rsidRDefault="00C77DF4" w14:paraId="29364753" w14:textId="77777777">
      <w:pPr>
        <w:spacing w:after="160" w:line="276" w:lineRule="auto"/>
        <w:rPr>
          <w:rFonts w:asciiTheme="minorHAnsi" w:hAnsiTheme="minorHAnsi" w:cstheme="minorHAnsi"/>
        </w:rPr>
      </w:pPr>
      <w:r w:rsidRPr="00E308E1">
        <w:rPr>
          <w:rFonts w:asciiTheme="minorHAnsi" w:hAnsiTheme="minorHAnsi" w:cstheme="minorHAnsi"/>
        </w:rPr>
        <w:br w:type="page"/>
      </w:r>
    </w:p>
    <w:p w:rsidRPr="00E308E1" w:rsidR="00C77DF4" w:rsidP="00AD7DB8" w:rsidRDefault="00C77DF4" w14:paraId="225AF260" w14:textId="77777777">
      <w:pPr>
        <w:spacing w:line="276" w:lineRule="auto"/>
        <w:ind w:firstLine="720"/>
        <w:jc w:val="center"/>
        <w:rPr>
          <w:rFonts w:asciiTheme="minorHAnsi" w:hAnsiTheme="minorHAnsi" w:cstheme="minorHAnsi"/>
          <w:b/>
          <w:bCs/>
          <w:noProof/>
        </w:rPr>
      </w:pPr>
      <w:r w:rsidRPr="00E308E1">
        <w:rPr>
          <w:rFonts w:asciiTheme="minorHAnsi" w:hAnsiTheme="minorHAnsi" w:cstheme="minorHAnsi"/>
          <w:b/>
          <w:bCs/>
        </w:rPr>
        <w:lastRenderedPageBreak/>
        <w:t>CONTE</w:t>
      </w:r>
      <w:r w:rsidRPr="00E308E1">
        <w:rPr>
          <w:rFonts w:asciiTheme="minorHAnsi" w:hAnsiTheme="minorHAnsi" w:cstheme="minorHAnsi"/>
          <w:b/>
          <w:bCs/>
          <w:noProof/>
        </w:rPr>
        <w:t>NTS</w:t>
      </w:r>
    </w:p>
    <w:p w:rsidRPr="00E308E1" w:rsidR="00C77DF4" w:rsidP="00AD7DB8" w:rsidRDefault="00C77DF4" w14:paraId="161121B2" w14:textId="77777777">
      <w:pPr>
        <w:pStyle w:val="T0-ChapPgHd"/>
        <w:spacing w:line="276" w:lineRule="auto"/>
        <w:jc w:val="left"/>
        <w:rPr>
          <w:rFonts w:asciiTheme="minorHAnsi" w:hAnsiTheme="minorHAnsi" w:cstheme="minorHAnsi"/>
          <w:noProof/>
        </w:rPr>
      </w:pPr>
      <w:r w:rsidRPr="00E308E1">
        <w:rPr>
          <w:rFonts w:asciiTheme="minorHAnsi" w:hAnsiTheme="minorHAnsi" w:cstheme="minorHAnsi"/>
          <w:noProof/>
        </w:rPr>
        <w:t>Section</w:t>
      </w:r>
      <w:r w:rsidRPr="00E308E1">
        <w:rPr>
          <w:rFonts w:asciiTheme="minorHAnsi" w:hAnsiTheme="minorHAnsi" w:cstheme="minorHAnsi"/>
          <w:noProof/>
        </w:rPr>
        <w:tab/>
        <w:t>Page</w:t>
      </w:r>
    </w:p>
    <w:p w:rsidRPr="00E308E1" w:rsidR="00C77DF4" w:rsidP="00AD7DB8" w:rsidRDefault="00C77DF4" w14:paraId="6BFC56E1" w14:textId="2A4FB24D">
      <w:pPr>
        <w:pStyle w:val="TOC1"/>
        <w:spacing w:line="276" w:lineRule="auto"/>
        <w:rPr>
          <w:rFonts w:asciiTheme="minorHAnsi" w:hAnsiTheme="minorHAnsi" w:cstheme="minorHAnsi"/>
          <w:noProof/>
        </w:rPr>
      </w:pPr>
      <w:r w:rsidRPr="00E308E1">
        <w:rPr>
          <w:rFonts w:asciiTheme="minorHAnsi" w:hAnsiTheme="minorHAnsi" w:cstheme="minorHAnsi"/>
          <w:noProof/>
        </w:rPr>
        <w:t>Summary table</w:t>
      </w:r>
      <w:r w:rsidRPr="00E308E1">
        <w:rPr>
          <w:rFonts w:asciiTheme="minorHAnsi" w:hAnsiTheme="minorHAnsi" w:cstheme="minorHAnsi"/>
          <w:noProof/>
        </w:rPr>
        <w:tab/>
      </w:r>
      <w:r w:rsidRPr="00E308E1" w:rsidR="00E4105A">
        <w:rPr>
          <w:rFonts w:asciiTheme="minorHAnsi" w:hAnsiTheme="minorHAnsi" w:cstheme="minorHAnsi"/>
          <w:noProof/>
        </w:rPr>
        <w:tab/>
      </w:r>
      <w:r w:rsidRPr="00E308E1" w:rsidR="002561AF">
        <w:rPr>
          <w:rFonts w:asciiTheme="minorHAnsi" w:hAnsiTheme="minorHAnsi" w:cstheme="minorHAnsi"/>
          <w:noProof/>
        </w:rPr>
        <w:t xml:space="preserve">   </w:t>
      </w:r>
      <w:r w:rsidRPr="00E308E1" w:rsidR="00E4105A">
        <w:rPr>
          <w:rFonts w:asciiTheme="minorHAnsi" w:hAnsiTheme="minorHAnsi" w:cstheme="minorHAnsi"/>
          <w:noProof/>
        </w:rPr>
        <w:t>3</w:t>
      </w:r>
      <w:r w:rsidRPr="00E308E1">
        <w:rPr>
          <w:rFonts w:asciiTheme="minorHAnsi" w:hAnsiTheme="minorHAnsi" w:cstheme="minorHAnsi"/>
          <w:noProof/>
        </w:rPr>
        <w:tab/>
      </w:r>
    </w:p>
    <w:p w:rsidRPr="00E308E1" w:rsidR="00C77DF4" w:rsidP="004A34FA" w:rsidRDefault="00C77DF4" w14:paraId="29302D74" w14:textId="3AC06E82">
      <w:pPr>
        <w:pStyle w:val="TOC1"/>
        <w:spacing w:line="276" w:lineRule="auto"/>
        <w:rPr>
          <w:rFonts w:asciiTheme="minorHAnsi" w:hAnsiTheme="minorHAnsi" w:cstheme="minorHAnsi"/>
          <w:noProof/>
        </w:rPr>
      </w:pPr>
      <w:r w:rsidRPr="00E308E1">
        <w:rPr>
          <w:rFonts w:asciiTheme="minorHAnsi" w:hAnsiTheme="minorHAnsi" w:cstheme="minorHAnsi"/>
          <w:noProof/>
        </w:rPr>
        <w:tab/>
        <w:t>Justification</w:t>
      </w:r>
      <w:r w:rsidRPr="00E308E1">
        <w:rPr>
          <w:rFonts w:asciiTheme="minorHAnsi" w:hAnsiTheme="minorHAnsi" w:cstheme="minorHAnsi"/>
          <w:noProof/>
        </w:rPr>
        <w:tab/>
      </w:r>
      <w:r w:rsidRPr="00E308E1" w:rsidR="00E4105A">
        <w:rPr>
          <w:rFonts w:asciiTheme="minorHAnsi" w:hAnsiTheme="minorHAnsi" w:cstheme="minorHAnsi"/>
          <w:noProof/>
        </w:rPr>
        <w:tab/>
      </w:r>
      <w:r w:rsidRPr="00E308E1" w:rsidR="002561AF">
        <w:rPr>
          <w:rFonts w:asciiTheme="minorHAnsi" w:hAnsiTheme="minorHAnsi" w:cstheme="minorHAnsi"/>
          <w:noProof/>
        </w:rPr>
        <w:t xml:space="preserve">   </w:t>
      </w:r>
      <w:r w:rsidRPr="00E308E1" w:rsidR="00B33621">
        <w:rPr>
          <w:rFonts w:asciiTheme="minorHAnsi" w:hAnsiTheme="minorHAnsi" w:cstheme="minorHAnsi"/>
          <w:noProof/>
        </w:rPr>
        <w:t>4</w:t>
      </w:r>
      <w:r w:rsidRPr="00E308E1">
        <w:rPr>
          <w:rFonts w:asciiTheme="minorHAnsi" w:hAnsiTheme="minorHAnsi" w:cstheme="minorHAnsi"/>
          <w:noProof/>
        </w:rPr>
        <w:tab/>
      </w:r>
    </w:p>
    <w:p w:rsidRPr="00E308E1" w:rsidR="00C77DF4" w:rsidP="00AD7DB8" w:rsidRDefault="00C77DF4" w14:paraId="6BDF9FA8" w14:textId="3D6E1656">
      <w:pPr>
        <w:pStyle w:val="TOC2"/>
        <w:spacing w:line="276" w:lineRule="auto"/>
        <w:rPr>
          <w:rFonts w:asciiTheme="minorHAnsi" w:hAnsiTheme="minorHAnsi" w:cstheme="minorHAnsi"/>
          <w:noProof/>
        </w:rPr>
      </w:pPr>
      <w:r w:rsidRPr="00E308E1">
        <w:rPr>
          <w:rFonts w:asciiTheme="minorHAnsi" w:hAnsiTheme="minorHAnsi" w:cstheme="minorHAnsi"/>
          <w:noProof/>
        </w:rPr>
        <w:t>A.1.</w:t>
      </w:r>
      <w:r w:rsidRPr="00E308E1">
        <w:rPr>
          <w:rFonts w:asciiTheme="minorHAnsi" w:hAnsiTheme="minorHAnsi" w:cstheme="minorHAnsi"/>
          <w:noProof/>
        </w:rPr>
        <w:tab/>
        <w:t>Circumstances Making the Collection of Information Necessary</w:t>
      </w:r>
      <w:r w:rsidRPr="00E308E1" w:rsidR="00E4105A">
        <w:rPr>
          <w:rFonts w:asciiTheme="minorHAnsi" w:hAnsiTheme="minorHAnsi" w:cstheme="minorHAnsi"/>
          <w:noProof/>
        </w:rPr>
        <w:tab/>
      </w:r>
      <w:r w:rsidRPr="00E308E1" w:rsidR="002561AF">
        <w:rPr>
          <w:rFonts w:asciiTheme="minorHAnsi" w:hAnsiTheme="minorHAnsi" w:cstheme="minorHAnsi"/>
          <w:noProof/>
        </w:rPr>
        <w:t xml:space="preserve">   </w:t>
      </w:r>
      <w:r w:rsidRPr="00E308E1" w:rsidR="00B33621">
        <w:rPr>
          <w:rFonts w:asciiTheme="minorHAnsi" w:hAnsiTheme="minorHAnsi" w:cstheme="minorHAnsi"/>
          <w:noProof/>
        </w:rPr>
        <w:t>4</w:t>
      </w:r>
      <w:r w:rsidRPr="00E308E1">
        <w:rPr>
          <w:rFonts w:asciiTheme="minorHAnsi" w:hAnsiTheme="minorHAnsi" w:cstheme="minorHAnsi"/>
          <w:noProof/>
        </w:rPr>
        <w:tab/>
      </w:r>
    </w:p>
    <w:p w:rsidRPr="00E308E1" w:rsidR="00C77DF4" w:rsidP="00AD7DB8" w:rsidRDefault="00C77DF4" w14:paraId="7CFCE1C5" w14:textId="1344E960">
      <w:pPr>
        <w:pStyle w:val="TOC2"/>
        <w:spacing w:line="276" w:lineRule="auto"/>
        <w:rPr>
          <w:rFonts w:asciiTheme="minorHAnsi" w:hAnsiTheme="minorHAnsi" w:cstheme="minorHAnsi"/>
          <w:noProof/>
        </w:rPr>
      </w:pPr>
      <w:r w:rsidRPr="00E308E1">
        <w:rPr>
          <w:rFonts w:asciiTheme="minorHAnsi" w:hAnsiTheme="minorHAnsi" w:cstheme="minorHAnsi"/>
          <w:noProof/>
        </w:rPr>
        <w:t>A.2.</w:t>
      </w:r>
      <w:r w:rsidRPr="00E308E1">
        <w:rPr>
          <w:rFonts w:asciiTheme="minorHAnsi" w:hAnsiTheme="minorHAnsi" w:cstheme="minorHAnsi"/>
          <w:noProof/>
        </w:rPr>
        <w:tab/>
        <w:t>Purpose and Use of Information Collection</w:t>
      </w:r>
      <w:r w:rsidRPr="00E308E1">
        <w:rPr>
          <w:rFonts w:asciiTheme="minorHAnsi" w:hAnsiTheme="minorHAnsi" w:cstheme="minorHAnsi"/>
          <w:noProof/>
        </w:rPr>
        <w:tab/>
      </w:r>
      <w:r w:rsidRPr="00E308E1" w:rsidR="00E4105A">
        <w:rPr>
          <w:rFonts w:asciiTheme="minorHAnsi" w:hAnsiTheme="minorHAnsi" w:cstheme="minorHAnsi"/>
          <w:noProof/>
        </w:rPr>
        <w:tab/>
      </w:r>
      <w:r w:rsidRPr="00E308E1" w:rsidR="002561AF">
        <w:rPr>
          <w:rFonts w:asciiTheme="minorHAnsi" w:hAnsiTheme="minorHAnsi" w:cstheme="minorHAnsi"/>
          <w:noProof/>
        </w:rPr>
        <w:t xml:space="preserve">   6</w:t>
      </w:r>
      <w:r w:rsidRPr="00E308E1" w:rsidR="00E4105A">
        <w:rPr>
          <w:rFonts w:asciiTheme="minorHAnsi" w:hAnsiTheme="minorHAnsi" w:cstheme="minorHAnsi"/>
          <w:noProof/>
        </w:rPr>
        <w:tab/>
      </w:r>
      <w:r w:rsidRPr="00E308E1">
        <w:rPr>
          <w:rFonts w:asciiTheme="minorHAnsi" w:hAnsiTheme="minorHAnsi" w:cstheme="minorHAnsi"/>
          <w:noProof/>
        </w:rPr>
        <w:tab/>
      </w:r>
    </w:p>
    <w:p w:rsidRPr="00E308E1" w:rsidR="00C77DF4" w:rsidP="00AD7DB8" w:rsidRDefault="00C77DF4" w14:paraId="0C6E3895" w14:textId="27D3C22D">
      <w:pPr>
        <w:pStyle w:val="TOC2"/>
        <w:spacing w:line="276" w:lineRule="auto"/>
        <w:rPr>
          <w:rFonts w:asciiTheme="minorHAnsi" w:hAnsiTheme="minorHAnsi" w:cstheme="minorHAnsi"/>
          <w:noProof/>
        </w:rPr>
      </w:pPr>
      <w:r w:rsidRPr="00E308E1">
        <w:rPr>
          <w:rFonts w:asciiTheme="minorHAnsi" w:hAnsiTheme="minorHAnsi" w:cstheme="minorHAnsi"/>
          <w:noProof/>
        </w:rPr>
        <w:t>A.3.</w:t>
      </w:r>
      <w:r w:rsidRPr="00E308E1">
        <w:rPr>
          <w:rFonts w:asciiTheme="minorHAnsi" w:hAnsiTheme="minorHAnsi" w:cstheme="minorHAnsi"/>
          <w:noProof/>
        </w:rPr>
        <w:tab/>
        <w:t>Use of Improved Information Technology and Burden Reduction</w:t>
      </w:r>
      <w:r w:rsidRPr="00E308E1" w:rsidR="002561AF">
        <w:rPr>
          <w:rFonts w:asciiTheme="minorHAnsi" w:hAnsiTheme="minorHAnsi" w:cstheme="minorHAnsi"/>
          <w:noProof/>
        </w:rPr>
        <w:tab/>
        <w:t xml:space="preserve">   6</w:t>
      </w:r>
      <w:r w:rsidRPr="00E308E1">
        <w:rPr>
          <w:rFonts w:asciiTheme="minorHAnsi" w:hAnsiTheme="minorHAnsi" w:cstheme="minorHAnsi"/>
          <w:noProof/>
        </w:rPr>
        <w:tab/>
      </w:r>
    </w:p>
    <w:p w:rsidRPr="00E308E1" w:rsidR="00C77DF4" w:rsidP="00AD7DB8" w:rsidRDefault="00C77DF4" w14:paraId="7B7D62E6" w14:textId="032EAD23">
      <w:pPr>
        <w:pStyle w:val="TOC2"/>
        <w:spacing w:line="276" w:lineRule="auto"/>
        <w:rPr>
          <w:rFonts w:asciiTheme="minorHAnsi" w:hAnsiTheme="minorHAnsi" w:cstheme="minorHAnsi"/>
          <w:noProof/>
        </w:rPr>
      </w:pPr>
      <w:r w:rsidRPr="00E308E1">
        <w:rPr>
          <w:rFonts w:asciiTheme="minorHAnsi" w:hAnsiTheme="minorHAnsi" w:cstheme="minorHAnsi"/>
          <w:noProof/>
        </w:rPr>
        <w:t>A.4.</w:t>
      </w:r>
      <w:r w:rsidRPr="00E308E1">
        <w:rPr>
          <w:rFonts w:asciiTheme="minorHAnsi" w:hAnsiTheme="minorHAnsi" w:cstheme="minorHAnsi"/>
          <w:noProof/>
        </w:rPr>
        <w:tab/>
        <w:t>Efforts to Identify Duplication and Use of Similar Information</w:t>
      </w:r>
      <w:r w:rsidRPr="00E308E1" w:rsidR="002561AF">
        <w:rPr>
          <w:rFonts w:asciiTheme="minorHAnsi" w:hAnsiTheme="minorHAnsi" w:cstheme="minorHAnsi"/>
          <w:noProof/>
        </w:rPr>
        <w:tab/>
      </w:r>
      <w:r w:rsidRPr="00E308E1" w:rsidR="002561AF">
        <w:rPr>
          <w:rFonts w:asciiTheme="minorHAnsi" w:hAnsiTheme="minorHAnsi" w:cstheme="minorHAnsi"/>
          <w:noProof/>
        </w:rPr>
        <w:tab/>
        <w:t xml:space="preserve">   7</w:t>
      </w:r>
      <w:r w:rsidRPr="00E308E1">
        <w:rPr>
          <w:rFonts w:asciiTheme="minorHAnsi" w:hAnsiTheme="minorHAnsi" w:cstheme="minorHAnsi"/>
          <w:noProof/>
        </w:rPr>
        <w:tab/>
      </w:r>
      <w:r w:rsidRPr="00E308E1">
        <w:rPr>
          <w:rFonts w:asciiTheme="minorHAnsi" w:hAnsiTheme="minorHAnsi" w:cstheme="minorHAnsi"/>
          <w:noProof/>
        </w:rPr>
        <w:tab/>
      </w:r>
    </w:p>
    <w:p w:rsidRPr="00E308E1" w:rsidR="00C77DF4" w:rsidP="00AD7DB8" w:rsidRDefault="00C77DF4" w14:paraId="1448094B" w14:textId="6D6399AE">
      <w:pPr>
        <w:pStyle w:val="TOC2"/>
        <w:spacing w:line="276" w:lineRule="auto"/>
        <w:rPr>
          <w:rFonts w:asciiTheme="minorHAnsi" w:hAnsiTheme="minorHAnsi" w:cstheme="minorHAnsi"/>
          <w:noProof/>
        </w:rPr>
      </w:pPr>
      <w:r w:rsidRPr="00E308E1">
        <w:rPr>
          <w:rFonts w:asciiTheme="minorHAnsi" w:hAnsiTheme="minorHAnsi" w:cstheme="minorHAnsi"/>
          <w:noProof/>
        </w:rPr>
        <w:t>A.5.</w:t>
      </w:r>
      <w:r w:rsidRPr="00E308E1">
        <w:rPr>
          <w:rFonts w:asciiTheme="minorHAnsi" w:hAnsiTheme="minorHAnsi" w:cstheme="minorHAnsi"/>
          <w:noProof/>
        </w:rPr>
        <w:tab/>
        <w:t>Impact on Small Businesses or Other Small Entities</w:t>
      </w:r>
      <w:r w:rsidRPr="00E308E1">
        <w:rPr>
          <w:rFonts w:asciiTheme="minorHAnsi" w:hAnsiTheme="minorHAnsi" w:cstheme="minorHAnsi"/>
          <w:noProof/>
        </w:rPr>
        <w:tab/>
      </w:r>
      <w:r w:rsidRPr="00E308E1" w:rsidR="002561AF">
        <w:rPr>
          <w:rFonts w:asciiTheme="minorHAnsi" w:hAnsiTheme="minorHAnsi" w:cstheme="minorHAnsi"/>
          <w:noProof/>
        </w:rPr>
        <w:tab/>
        <w:t xml:space="preserve">   9</w:t>
      </w:r>
      <w:r w:rsidRPr="00E308E1">
        <w:rPr>
          <w:rFonts w:asciiTheme="minorHAnsi" w:hAnsiTheme="minorHAnsi" w:cstheme="minorHAnsi"/>
          <w:noProof/>
        </w:rPr>
        <w:tab/>
      </w:r>
    </w:p>
    <w:p w:rsidRPr="00E308E1" w:rsidR="00C77DF4" w:rsidP="00AD7DB8" w:rsidRDefault="00C77DF4" w14:paraId="2A993FEA" w14:textId="2144EE90">
      <w:pPr>
        <w:pStyle w:val="TOC2"/>
        <w:spacing w:line="276" w:lineRule="auto"/>
        <w:rPr>
          <w:rFonts w:asciiTheme="minorHAnsi" w:hAnsiTheme="minorHAnsi" w:cstheme="minorHAnsi"/>
          <w:noProof/>
        </w:rPr>
      </w:pPr>
      <w:r w:rsidRPr="00E308E1">
        <w:rPr>
          <w:rFonts w:asciiTheme="minorHAnsi" w:hAnsiTheme="minorHAnsi" w:cstheme="minorHAnsi"/>
          <w:noProof/>
        </w:rPr>
        <w:t>A.6.</w:t>
      </w:r>
      <w:r w:rsidRPr="00E308E1">
        <w:rPr>
          <w:rFonts w:asciiTheme="minorHAnsi" w:hAnsiTheme="minorHAnsi" w:cstheme="minorHAnsi"/>
          <w:noProof/>
        </w:rPr>
        <w:tab/>
        <w:t>Consequences of Collecting the Information Less Frequently</w:t>
      </w:r>
      <w:r w:rsidRPr="00E308E1">
        <w:rPr>
          <w:rFonts w:asciiTheme="minorHAnsi" w:hAnsiTheme="minorHAnsi" w:cstheme="minorHAnsi"/>
          <w:noProof/>
        </w:rPr>
        <w:tab/>
      </w:r>
      <w:r w:rsidRPr="00E308E1" w:rsidR="002561AF">
        <w:rPr>
          <w:rFonts w:asciiTheme="minorHAnsi" w:hAnsiTheme="minorHAnsi" w:cstheme="minorHAnsi"/>
          <w:noProof/>
        </w:rPr>
        <w:tab/>
        <w:t xml:space="preserve">   9 </w:t>
      </w:r>
      <w:r w:rsidRPr="00E308E1">
        <w:rPr>
          <w:rFonts w:asciiTheme="minorHAnsi" w:hAnsiTheme="minorHAnsi" w:cstheme="minorHAnsi"/>
          <w:noProof/>
        </w:rPr>
        <w:tab/>
      </w:r>
    </w:p>
    <w:p w:rsidRPr="00E308E1" w:rsidR="00C77DF4" w:rsidP="00AD7DB8" w:rsidRDefault="00C77DF4" w14:paraId="5435BA4A" w14:textId="77777777">
      <w:pPr>
        <w:pStyle w:val="TOC2"/>
        <w:spacing w:line="276" w:lineRule="auto"/>
        <w:rPr>
          <w:rFonts w:asciiTheme="minorHAnsi" w:hAnsiTheme="minorHAnsi" w:cstheme="minorHAnsi"/>
          <w:noProof/>
        </w:rPr>
      </w:pPr>
      <w:r w:rsidRPr="00E308E1">
        <w:rPr>
          <w:rFonts w:asciiTheme="minorHAnsi" w:hAnsiTheme="minorHAnsi" w:cstheme="minorHAnsi"/>
          <w:noProof/>
        </w:rPr>
        <w:t>A.7.</w:t>
      </w:r>
      <w:r w:rsidRPr="00E308E1">
        <w:rPr>
          <w:rFonts w:asciiTheme="minorHAnsi" w:hAnsiTheme="minorHAnsi" w:cstheme="minorHAnsi"/>
          <w:noProof/>
        </w:rPr>
        <w:tab/>
        <w:t xml:space="preserve">Special Circumstances Relating to the Guidelines of </w:t>
      </w:r>
    </w:p>
    <w:p w:rsidRPr="00E308E1" w:rsidR="00C77DF4" w:rsidP="00AD7DB8" w:rsidRDefault="00C77DF4" w14:paraId="2C389142" w14:textId="0972FE50">
      <w:pPr>
        <w:pStyle w:val="TOC2"/>
        <w:spacing w:line="276" w:lineRule="auto"/>
        <w:rPr>
          <w:rFonts w:asciiTheme="minorHAnsi" w:hAnsiTheme="minorHAnsi" w:cstheme="minorHAnsi"/>
          <w:noProof/>
        </w:rPr>
      </w:pPr>
      <w:r w:rsidRPr="00E308E1">
        <w:rPr>
          <w:rFonts w:asciiTheme="minorHAnsi" w:hAnsiTheme="minorHAnsi" w:cstheme="minorHAnsi"/>
          <w:noProof/>
        </w:rPr>
        <w:tab/>
        <w:t>5 CFR 1320.5(d)2</w:t>
      </w:r>
      <w:r w:rsidRPr="00E308E1">
        <w:rPr>
          <w:rFonts w:asciiTheme="minorHAnsi" w:hAnsiTheme="minorHAnsi" w:cstheme="minorHAnsi"/>
          <w:noProof/>
        </w:rPr>
        <w:tab/>
      </w:r>
      <w:r w:rsidRPr="00E308E1" w:rsidR="002561AF">
        <w:rPr>
          <w:rFonts w:asciiTheme="minorHAnsi" w:hAnsiTheme="minorHAnsi" w:cstheme="minorHAnsi"/>
          <w:noProof/>
        </w:rPr>
        <w:tab/>
        <w:t xml:space="preserve">   9</w:t>
      </w:r>
      <w:r w:rsidRPr="00E308E1">
        <w:rPr>
          <w:rFonts w:asciiTheme="minorHAnsi" w:hAnsiTheme="minorHAnsi" w:cstheme="minorHAnsi"/>
          <w:noProof/>
        </w:rPr>
        <w:tab/>
      </w:r>
    </w:p>
    <w:p w:rsidRPr="00E308E1" w:rsidR="00C77DF4" w:rsidP="00AD7DB8" w:rsidRDefault="00C77DF4" w14:paraId="11296BCB" w14:textId="77777777">
      <w:pPr>
        <w:pStyle w:val="TOC2"/>
        <w:spacing w:line="276" w:lineRule="auto"/>
        <w:rPr>
          <w:rFonts w:asciiTheme="minorHAnsi" w:hAnsiTheme="minorHAnsi" w:cstheme="minorHAnsi"/>
          <w:noProof/>
        </w:rPr>
      </w:pPr>
      <w:r w:rsidRPr="00E308E1">
        <w:rPr>
          <w:rFonts w:asciiTheme="minorHAnsi" w:hAnsiTheme="minorHAnsi" w:cstheme="minorHAnsi"/>
          <w:noProof/>
        </w:rPr>
        <w:t>A.8.</w:t>
      </w:r>
      <w:r w:rsidRPr="00E308E1">
        <w:rPr>
          <w:rFonts w:asciiTheme="minorHAnsi" w:hAnsiTheme="minorHAnsi" w:cstheme="minorHAnsi"/>
          <w:noProof/>
        </w:rPr>
        <w:tab/>
        <w:t xml:space="preserve">Comments in Response to the Federal Register Notice and </w:t>
      </w:r>
    </w:p>
    <w:p w:rsidRPr="00E308E1" w:rsidR="00C77DF4" w:rsidP="00AD7DB8" w:rsidRDefault="00C77DF4" w14:paraId="7D1903EA" w14:textId="5765901D">
      <w:pPr>
        <w:pStyle w:val="TOC2"/>
        <w:spacing w:line="276" w:lineRule="auto"/>
        <w:rPr>
          <w:rFonts w:asciiTheme="minorHAnsi" w:hAnsiTheme="minorHAnsi" w:cstheme="minorHAnsi"/>
          <w:noProof/>
        </w:rPr>
      </w:pPr>
      <w:r w:rsidRPr="00E308E1">
        <w:rPr>
          <w:rFonts w:asciiTheme="minorHAnsi" w:hAnsiTheme="minorHAnsi" w:cstheme="minorHAnsi"/>
          <w:noProof/>
        </w:rPr>
        <w:tab/>
        <w:t>Efforts to Consult Outside the Agency</w:t>
      </w:r>
      <w:r w:rsidRPr="00E308E1">
        <w:rPr>
          <w:rFonts w:asciiTheme="minorHAnsi" w:hAnsiTheme="minorHAnsi" w:cstheme="minorHAnsi"/>
          <w:noProof/>
        </w:rPr>
        <w:tab/>
      </w:r>
      <w:r w:rsidRPr="00E308E1" w:rsidR="002561AF">
        <w:rPr>
          <w:rFonts w:asciiTheme="minorHAnsi" w:hAnsiTheme="minorHAnsi" w:cstheme="minorHAnsi"/>
          <w:noProof/>
        </w:rPr>
        <w:tab/>
        <w:t xml:space="preserve">   9</w:t>
      </w:r>
      <w:r w:rsidRPr="00E308E1">
        <w:rPr>
          <w:rFonts w:asciiTheme="minorHAnsi" w:hAnsiTheme="minorHAnsi" w:cstheme="minorHAnsi"/>
          <w:noProof/>
        </w:rPr>
        <w:tab/>
      </w:r>
    </w:p>
    <w:p w:rsidRPr="00E308E1" w:rsidR="00C77DF4" w:rsidP="00AD7DB8" w:rsidRDefault="00C77DF4" w14:paraId="43B8188D" w14:textId="38621E52">
      <w:pPr>
        <w:pStyle w:val="TOC2"/>
        <w:spacing w:line="276" w:lineRule="auto"/>
        <w:rPr>
          <w:rFonts w:asciiTheme="minorHAnsi" w:hAnsiTheme="minorHAnsi" w:cstheme="minorHAnsi"/>
          <w:noProof/>
        </w:rPr>
      </w:pPr>
      <w:r w:rsidRPr="00E308E1">
        <w:rPr>
          <w:rFonts w:asciiTheme="minorHAnsi" w:hAnsiTheme="minorHAnsi" w:cstheme="minorHAnsi"/>
          <w:noProof/>
        </w:rPr>
        <w:t>A.9.</w:t>
      </w:r>
      <w:r w:rsidRPr="00E308E1">
        <w:rPr>
          <w:rFonts w:asciiTheme="minorHAnsi" w:hAnsiTheme="minorHAnsi" w:cstheme="minorHAnsi"/>
          <w:noProof/>
        </w:rPr>
        <w:tab/>
        <w:t>Explanation of Any Payment or Gift to Respondents</w:t>
      </w:r>
      <w:r w:rsidRPr="00E308E1">
        <w:rPr>
          <w:rFonts w:asciiTheme="minorHAnsi" w:hAnsiTheme="minorHAnsi" w:cstheme="minorHAnsi"/>
          <w:noProof/>
        </w:rPr>
        <w:tab/>
      </w:r>
      <w:r w:rsidRPr="00E308E1" w:rsidR="002561AF">
        <w:rPr>
          <w:rFonts w:asciiTheme="minorHAnsi" w:hAnsiTheme="minorHAnsi" w:cstheme="minorHAnsi"/>
          <w:noProof/>
        </w:rPr>
        <w:tab/>
        <w:t xml:space="preserve"> 11</w:t>
      </w:r>
      <w:r w:rsidRPr="00E308E1">
        <w:rPr>
          <w:rFonts w:asciiTheme="minorHAnsi" w:hAnsiTheme="minorHAnsi" w:cstheme="minorHAnsi"/>
          <w:noProof/>
        </w:rPr>
        <w:tab/>
      </w:r>
    </w:p>
    <w:p w:rsidRPr="00E308E1" w:rsidR="00C77DF4" w:rsidP="00AD7DB8" w:rsidRDefault="00C77DF4" w14:paraId="0892AC79" w14:textId="77777777">
      <w:pPr>
        <w:pStyle w:val="TOC2"/>
        <w:spacing w:line="276" w:lineRule="auto"/>
        <w:rPr>
          <w:rFonts w:asciiTheme="minorHAnsi" w:hAnsiTheme="minorHAnsi" w:cstheme="minorHAnsi"/>
          <w:noProof/>
        </w:rPr>
      </w:pPr>
      <w:r w:rsidRPr="00E308E1">
        <w:rPr>
          <w:rFonts w:asciiTheme="minorHAnsi" w:hAnsiTheme="minorHAnsi" w:cstheme="minorHAnsi"/>
          <w:noProof/>
        </w:rPr>
        <w:t>A.10.</w:t>
      </w:r>
      <w:r w:rsidRPr="00E308E1">
        <w:rPr>
          <w:rFonts w:asciiTheme="minorHAnsi" w:hAnsiTheme="minorHAnsi" w:cstheme="minorHAnsi"/>
          <w:noProof/>
        </w:rPr>
        <w:tab/>
        <w:t xml:space="preserve">Protection of the Privacy  and Confidentiality of Information </w:t>
      </w:r>
    </w:p>
    <w:p w:rsidRPr="00E308E1" w:rsidR="00C77DF4" w:rsidP="00AD7DB8" w:rsidRDefault="00C77DF4" w14:paraId="7DEF49DD" w14:textId="7FFA4AE3">
      <w:pPr>
        <w:pStyle w:val="TOC2"/>
        <w:spacing w:line="276" w:lineRule="auto"/>
        <w:rPr>
          <w:rFonts w:asciiTheme="minorHAnsi" w:hAnsiTheme="minorHAnsi" w:cstheme="minorHAnsi"/>
          <w:noProof/>
        </w:rPr>
      </w:pPr>
      <w:r w:rsidRPr="00E308E1">
        <w:rPr>
          <w:rFonts w:asciiTheme="minorHAnsi" w:hAnsiTheme="minorHAnsi" w:cstheme="minorHAnsi"/>
          <w:noProof/>
        </w:rPr>
        <w:tab/>
        <w:t>Provided by Respondents</w:t>
      </w:r>
      <w:r w:rsidRPr="00E308E1">
        <w:rPr>
          <w:rFonts w:asciiTheme="minorHAnsi" w:hAnsiTheme="minorHAnsi" w:cstheme="minorHAnsi"/>
          <w:noProof/>
        </w:rPr>
        <w:tab/>
      </w:r>
      <w:r w:rsidRPr="00E308E1" w:rsidR="002561AF">
        <w:rPr>
          <w:rFonts w:asciiTheme="minorHAnsi" w:hAnsiTheme="minorHAnsi" w:cstheme="minorHAnsi"/>
          <w:noProof/>
        </w:rPr>
        <w:tab/>
        <w:t xml:space="preserve"> 15</w:t>
      </w:r>
      <w:r w:rsidRPr="00E308E1">
        <w:rPr>
          <w:rFonts w:asciiTheme="minorHAnsi" w:hAnsiTheme="minorHAnsi" w:cstheme="minorHAnsi"/>
          <w:noProof/>
        </w:rPr>
        <w:tab/>
      </w:r>
    </w:p>
    <w:p w:rsidRPr="00E308E1" w:rsidR="00C77DF4" w:rsidP="00AD7DB8" w:rsidRDefault="00C77DF4" w14:paraId="5FF18E0E" w14:textId="77777777">
      <w:pPr>
        <w:pStyle w:val="TOC2"/>
        <w:spacing w:line="276" w:lineRule="auto"/>
        <w:rPr>
          <w:rFonts w:asciiTheme="minorHAnsi" w:hAnsiTheme="minorHAnsi" w:cstheme="minorHAnsi"/>
          <w:noProof/>
        </w:rPr>
      </w:pPr>
      <w:r w:rsidRPr="00E308E1">
        <w:rPr>
          <w:rFonts w:asciiTheme="minorHAnsi" w:hAnsiTheme="minorHAnsi" w:cstheme="minorHAnsi"/>
          <w:noProof/>
        </w:rPr>
        <w:t>A.11.</w:t>
      </w:r>
      <w:r w:rsidRPr="00E308E1">
        <w:rPr>
          <w:rFonts w:asciiTheme="minorHAnsi" w:hAnsiTheme="minorHAnsi" w:cstheme="minorHAnsi"/>
          <w:noProof/>
        </w:rPr>
        <w:tab/>
        <w:t xml:space="preserve">Institutional Review Board (IRB) and Justification for Sensitive </w:t>
      </w:r>
    </w:p>
    <w:p w:rsidRPr="00E308E1" w:rsidR="00C77DF4" w:rsidP="00AD7DB8" w:rsidRDefault="00C77DF4" w14:paraId="50E3A925" w14:textId="4B0B9F40">
      <w:pPr>
        <w:pStyle w:val="TOC2"/>
        <w:spacing w:line="276" w:lineRule="auto"/>
        <w:rPr>
          <w:rFonts w:asciiTheme="minorHAnsi" w:hAnsiTheme="minorHAnsi" w:cstheme="minorHAnsi"/>
          <w:noProof/>
        </w:rPr>
      </w:pPr>
      <w:r w:rsidRPr="00E308E1">
        <w:rPr>
          <w:rFonts w:asciiTheme="minorHAnsi" w:hAnsiTheme="minorHAnsi" w:cstheme="minorHAnsi"/>
          <w:noProof/>
        </w:rPr>
        <w:tab/>
        <w:t>Questions</w:t>
      </w:r>
      <w:r w:rsidRPr="00E308E1">
        <w:rPr>
          <w:rFonts w:asciiTheme="minorHAnsi" w:hAnsiTheme="minorHAnsi" w:cstheme="minorHAnsi"/>
          <w:noProof/>
        </w:rPr>
        <w:tab/>
      </w:r>
      <w:r w:rsidRPr="00E308E1" w:rsidR="002561AF">
        <w:rPr>
          <w:rFonts w:asciiTheme="minorHAnsi" w:hAnsiTheme="minorHAnsi" w:cstheme="minorHAnsi"/>
          <w:noProof/>
        </w:rPr>
        <w:tab/>
        <w:t xml:space="preserve"> 16</w:t>
      </w:r>
      <w:r w:rsidRPr="00E308E1">
        <w:rPr>
          <w:rFonts w:asciiTheme="minorHAnsi" w:hAnsiTheme="minorHAnsi" w:cstheme="minorHAnsi"/>
          <w:noProof/>
        </w:rPr>
        <w:tab/>
      </w:r>
    </w:p>
    <w:p w:rsidRPr="00E308E1" w:rsidR="00C77DF4" w:rsidP="00AD7DB8" w:rsidRDefault="00C77DF4" w14:paraId="48DCC629" w14:textId="04A0D594">
      <w:pPr>
        <w:pStyle w:val="TOC2"/>
        <w:spacing w:line="276" w:lineRule="auto"/>
        <w:rPr>
          <w:rFonts w:asciiTheme="minorHAnsi" w:hAnsiTheme="minorHAnsi" w:cstheme="minorHAnsi"/>
          <w:noProof/>
        </w:rPr>
      </w:pPr>
      <w:r w:rsidRPr="00E308E1">
        <w:rPr>
          <w:rFonts w:asciiTheme="minorHAnsi" w:hAnsiTheme="minorHAnsi" w:cstheme="minorHAnsi"/>
          <w:noProof/>
        </w:rPr>
        <w:t>A.12.</w:t>
      </w:r>
      <w:r w:rsidRPr="00E308E1">
        <w:rPr>
          <w:rFonts w:asciiTheme="minorHAnsi" w:hAnsiTheme="minorHAnsi" w:cstheme="minorHAnsi"/>
          <w:noProof/>
        </w:rPr>
        <w:tab/>
        <w:t>Estimates of Annualized Burden Hours and Costs</w:t>
      </w:r>
      <w:r w:rsidRPr="00E308E1">
        <w:rPr>
          <w:rFonts w:asciiTheme="minorHAnsi" w:hAnsiTheme="minorHAnsi" w:cstheme="minorHAnsi"/>
          <w:noProof/>
        </w:rPr>
        <w:tab/>
      </w:r>
      <w:r w:rsidRPr="00E308E1" w:rsidR="002561AF">
        <w:rPr>
          <w:rFonts w:asciiTheme="minorHAnsi" w:hAnsiTheme="minorHAnsi" w:cstheme="minorHAnsi"/>
          <w:noProof/>
        </w:rPr>
        <w:tab/>
        <w:t xml:space="preserve"> 16</w:t>
      </w:r>
      <w:r w:rsidRPr="00E308E1">
        <w:rPr>
          <w:rFonts w:asciiTheme="minorHAnsi" w:hAnsiTheme="minorHAnsi" w:cstheme="minorHAnsi"/>
          <w:noProof/>
        </w:rPr>
        <w:tab/>
      </w:r>
    </w:p>
    <w:p w:rsidRPr="00E308E1" w:rsidR="00C77DF4" w:rsidP="00AD7DB8" w:rsidRDefault="00C77DF4" w14:paraId="58AAE4F1" w14:textId="77777777">
      <w:pPr>
        <w:pStyle w:val="TOC2"/>
        <w:spacing w:line="276" w:lineRule="auto"/>
        <w:rPr>
          <w:rFonts w:asciiTheme="minorHAnsi" w:hAnsiTheme="minorHAnsi" w:cstheme="minorHAnsi"/>
          <w:noProof/>
        </w:rPr>
      </w:pPr>
      <w:r w:rsidRPr="00E308E1">
        <w:rPr>
          <w:rFonts w:asciiTheme="minorHAnsi" w:hAnsiTheme="minorHAnsi" w:cstheme="minorHAnsi"/>
          <w:noProof/>
        </w:rPr>
        <w:t>A.13.</w:t>
      </w:r>
      <w:r w:rsidRPr="00E308E1">
        <w:rPr>
          <w:rFonts w:asciiTheme="minorHAnsi" w:hAnsiTheme="minorHAnsi" w:cstheme="minorHAnsi"/>
          <w:noProof/>
        </w:rPr>
        <w:tab/>
        <w:t xml:space="preserve">Estimates of Other Total Annual Cost Burden to Respondents </w:t>
      </w:r>
    </w:p>
    <w:p w:rsidRPr="00E308E1" w:rsidR="00C77DF4" w:rsidP="00AD7DB8" w:rsidRDefault="00C77DF4" w14:paraId="2F1DC76C" w14:textId="084F0819">
      <w:pPr>
        <w:pStyle w:val="TOC2"/>
        <w:spacing w:line="276" w:lineRule="auto"/>
        <w:rPr>
          <w:rFonts w:asciiTheme="minorHAnsi" w:hAnsiTheme="minorHAnsi" w:cstheme="minorHAnsi"/>
          <w:noProof/>
        </w:rPr>
      </w:pPr>
      <w:r w:rsidRPr="00E308E1">
        <w:rPr>
          <w:rFonts w:asciiTheme="minorHAnsi" w:hAnsiTheme="minorHAnsi" w:cstheme="minorHAnsi"/>
          <w:noProof/>
        </w:rPr>
        <w:tab/>
        <w:t>or Record Keepers</w:t>
      </w:r>
      <w:r w:rsidRPr="00E308E1">
        <w:rPr>
          <w:rFonts w:asciiTheme="minorHAnsi" w:hAnsiTheme="minorHAnsi" w:cstheme="minorHAnsi"/>
          <w:noProof/>
        </w:rPr>
        <w:tab/>
      </w:r>
      <w:r w:rsidRPr="00E308E1">
        <w:rPr>
          <w:rFonts w:asciiTheme="minorHAnsi" w:hAnsiTheme="minorHAnsi" w:cstheme="minorHAnsi"/>
          <w:noProof/>
        </w:rPr>
        <w:tab/>
      </w:r>
      <w:r w:rsidRPr="00E308E1" w:rsidR="002561AF">
        <w:rPr>
          <w:rFonts w:asciiTheme="minorHAnsi" w:hAnsiTheme="minorHAnsi" w:cstheme="minorHAnsi"/>
          <w:noProof/>
        </w:rPr>
        <w:t xml:space="preserve"> 18</w:t>
      </w:r>
    </w:p>
    <w:p w:rsidRPr="00E308E1" w:rsidR="00C77DF4" w:rsidP="00AD7DB8" w:rsidRDefault="00C77DF4" w14:paraId="247833DB" w14:textId="72643A3C">
      <w:pPr>
        <w:pStyle w:val="TOC2"/>
        <w:spacing w:line="276" w:lineRule="auto"/>
        <w:rPr>
          <w:rFonts w:asciiTheme="minorHAnsi" w:hAnsiTheme="minorHAnsi" w:cstheme="minorHAnsi"/>
          <w:noProof/>
        </w:rPr>
      </w:pPr>
      <w:r w:rsidRPr="00E308E1">
        <w:rPr>
          <w:rFonts w:asciiTheme="minorHAnsi" w:hAnsiTheme="minorHAnsi" w:cstheme="minorHAnsi"/>
          <w:noProof/>
        </w:rPr>
        <w:t>A.14.</w:t>
      </w:r>
      <w:r w:rsidRPr="00E308E1">
        <w:rPr>
          <w:rFonts w:asciiTheme="minorHAnsi" w:hAnsiTheme="minorHAnsi" w:cstheme="minorHAnsi"/>
          <w:noProof/>
        </w:rPr>
        <w:tab/>
        <w:t>Annualized Cost to the Government</w:t>
      </w:r>
      <w:r w:rsidRPr="00E308E1">
        <w:rPr>
          <w:rFonts w:asciiTheme="minorHAnsi" w:hAnsiTheme="minorHAnsi" w:cstheme="minorHAnsi"/>
          <w:noProof/>
        </w:rPr>
        <w:tab/>
      </w:r>
      <w:r w:rsidRPr="00E308E1">
        <w:rPr>
          <w:rFonts w:asciiTheme="minorHAnsi" w:hAnsiTheme="minorHAnsi" w:cstheme="minorHAnsi"/>
          <w:noProof/>
        </w:rPr>
        <w:tab/>
      </w:r>
      <w:r w:rsidRPr="00E308E1" w:rsidR="002561AF">
        <w:rPr>
          <w:rFonts w:asciiTheme="minorHAnsi" w:hAnsiTheme="minorHAnsi" w:cstheme="minorHAnsi"/>
          <w:noProof/>
        </w:rPr>
        <w:t xml:space="preserve"> 18</w:t>
      </w:r>
    </w:p>
    <w:p w:rsidRPr="00E308E1" w:rsidR="00C77DF4" w:rsidP="00AD7DB8" w:rsidRDefault="00C77DF4" w14:paraId="326A262F" w14:textId="2902FD06">
      <w:pPr>
        <w:pStyle w:val="TOC2"/>
        <w:spacing w:line="276" w:lineRule="auto"/>
        <w:rPr>
          <w:rFonts w:asciiTheme="minorHAnsi" w:hAnsiTheme="minorHAnsi" w:cstheme="minorHAnsi"/>
          <w:noProof/>
        </w:rPr>
      </w:pPr>
      <w:r w:rsidRPr="00E308E1">
        <w:rPr>
          <w:rFonts w:asciiTheme="minorHAnsi" w:hAnsiTheme="minorHAnsi" w:cstheme="minorHAnsi"/>
          <w:noProof/>
        </w:rPr>
        <w:t>A.15.</w:t>
      </w:r>
      <w:r w:rsidRPr="00E308E1">
        <w:rPr>
          <w:rFonts w:asciiTheme="minorHAnsi" w:hAnsiTheme="minorHAnsi" w:cstheme="minorHAnsi"/>
          <w:noProof/>
        </w:rPr>
        <w:tab/>
        <w:t>Explanation for Program Changes or Adjustments</w:t>
      </w:r>
      <w:r w:rsidRPr="00E308E1">
        <w:rPr>
          <w:rFonts w:asciiTheme="minorHAnsi" w:hAnsiTheme="minorHAnsi" w:cstheme="minorHAnsi"/>
          <w:noProof/>
        </w:rPr>
        <w:tab/>
      </w:r>
      <w:r w:rsidRPr="00E308E1">
        <w:rPr>
          <w:rFonts w:asciiTheme="minorHAnsi" w:hAnsiTheme="minorHAnsi" w:cstheme="minorHAnsi"/>
          <w:noProof/>
        </w:rPr>
        <w:tab/>
      </w:r>
      <w:r w:rsidRPr="00E308E1" w:rsidR="002561AF">
        <w:rPr>
          <w:rFonts w:asciiTheme="minorHAnsi" w:hAnsiTheme="minorHAnsi" w:cstheme="minorHAnsi"/>
          <w:noProof/>
        </w:rPr>
        <w:t xml:space="preserve"> 20</w:t>
      </w:r>
    </w:p>
    <w:p w:rsidRPr="00E308E1" w:rsidR="00C77DF4" w:rsidP="00AD7DB8" w:rsidRDefault="00C77DF4" w14:paraId="2D47B9CF" w14:textId="34C98012">
      <w:pPr>
        <w:pStyle w:val="TOC2"/>
        <w:spacing w:line="276" w:lineRule="auto"/>
        <w:rPr>
          <w:rFonts w:asciiTheme="minorHAnsi" w:hAnsiTheme="minorHAnsi" w:cstheme="minorHAnsi"/>
          <w:noProof/>
        </w:rPr>
      </w:pPr>
      <w:r w:rsidRPr="00E308E1">
        <w:rPr>
          <w:rFonts w:asciiTheme="minorHAnsi" w:hAnsiTheme="minorHAnsi" w:cstheme="minorHAnsi"/>
          <w:noProof/>
        </w:rPr>
        <w:t>A.16.</w:t>
      </w:r>
      <w:r w:rsidRPr="00E308E1">
        <w:rPr>
          <w:rFonts w:asciiTheme="minorHAnsi" w:hAnsiTheme="minorHAnsi" w:cstheme="minorHAnsi"/>
          <w:noProof/>
        </w:rPr>
        <w:tab/>
        <w:t>Plans for Tabulation and Publication and Project Time Schedule</w:t>
      </w:r>
      <w:r w:rsidRPr="00E308E1">
        <w:rPr>
          <w:rFonts w:asciiTheme="minorHAnsi" w:hAnsiTheme="minorHAnsi" w:cstheme="minorHAnsi"/>
          <w:noProof/>
        </w:rPr>
        <w:tab/>
      </w:r>
      <w:r w:rsidRPr="00E308E1" w:rsidR="002561AF">
        <w:rPr>
          <w:rFonts w:asciiTheme="minorHAnsi" w:hAnsiTheme="minorHAnsi" w:cstheme="minorHAnsi"/>
          <w:noProof/>
        </w:rPr>
        <w:t xml:space="preserve"> 20</w:t>
      </w:r>
    </w:p>
    <w:p w:rsidRPr="00E308E1" w:rsidR="00C77DF4" w:rsidP="00AD7DB8" w:rsidRDefault="00C77DF4" w14:paraId="33B000C8" w14:textId="5A25683F">
      <w:pPr>
        <w:pStyle w:val="TOC2"/>
        <w:spacing w:line="276" w:lineRule="auto"/>
        <w:rPr>
          <w:rFonts w:asciiTheme="minorHAnsi" w:hAnsiTheme="minorHAnsi" w:cstheme="minorHAnsi"/>
          <w:noProof/>
        </w:rPr>
      </w:pPr>
      <w:r w:rsidRPr="00E308E1">
        <w:rPr>
          <w:rFonts w:asciiTheme="minorHAnsi" w:hAnsiTheme="minorHAnsi" w:cstheme="minorHAnsi"/>
          <w:noProof/>
        </w:rPr>
        <w:t>A.17.</w:t>
      </w:r>
      <w:r w:rsidRPr="00E308E1">
        <w:rPr>
          <w:rFonts w:asciiTheme="minorHAnsi" w:hAnsiTheme="minorHAnsi" w:cstheme="minorHAnsi"/>
          <w:noProof/>
        </w:rPr>
        <w:tab/>
        <w:t>Reason(s) Display of OMB Expiration Date is Inappropriate</w:t>
      </w:r>
      <w:r w:rsidRPr="00E308E1">
        <w:rPr>
          <w:rFonts w:asciiTheme="minorHAnsi" w:hAnsiTheme="minorHAnsi" w:cstheme="minorHAnsi"/>
          <w:noProof/>
        </w:rPr>
        <w:tab/>
      </w:r>
      <w:r w:rsidRPr="00E308E1">
        <w:rPr>
          <w:rFonts w:asciiTheme="minorHAnsi" w:hAnsiTheme="minorHAnsi" w:cstheme="minorHAnsi"/>
          <w:noProof/>
        </w:rPr>
        <w:tab/>
      </w:r>
      <w:r w:rsidRPr="00E308E1" w:rsidR="002561AF">
        <w:rPr>
          <w:rFonts w:asciiTheme="minorHAnsi" w:hAnsiTheme="minorHAnsi" w:cstheme="minorHAnsi"/>
          <w:noProof/>
        </w:rPr>
        <w:t xml:space="preserve"> 22</w:t>
      </w:r>
    </w:p>
    <w:p w:rsidRPr="00E308E1" w:rsidR="00C77DF4" w:rsidP="00AD7DB8" w:rsidRDefault="00C77DF4" w14:paraId="021AD68C" w14:textId="77777777">
      <w:pPr>
        <w:pStyle w:val="TOC2"/>
        <w:spacing w:line="276" w:lineRule="auto"/>
        <w:rPr>
          <w:rFonts w:asciiTheme="minorHAnsi" w:hAnsiTheme="minorHAnsi" w:cstheme="minorHAnsi"/>
          <w:noProof/>
        </w:rPr>
      </w:pPr>
      <w:r w:rsidRPr="00E308E1">
        <w:rPr>
          <w:rFonts w:asciiTheme="minorHAnsi" w:hAnsiTheme="minorHAnsi" w:cstheme="minorHAnsi"/>
          <w:noProof/>
        </w:rPr>
        <w:t>A.18.</w:t>
      </w:r>
      <w:r w:rsidRPr="00E308E1">
        <w:rPr>
          <w:rFonts w:asciiTheme="minorHAnsi" w:hAnsiTheme="minorHAnsi" w:cstheme="minorHAnsi"/>
          <w:noProof/>
        </w:rPr>
        <w:tab/>
        <w:t xml:space="preserve">Exceptions to Certification for Paperwork Reducation Act </w:t>
      </w:r>
    </w:p>
    <w:p w:rsidRPr="00E308E1" w:rsidR="00C77DF4" w:rsidP="00AD7DB8" w:rsidRDefault="00C77DF4" w14:paraId="5AA55CD3" w14:textId="2BFED951">
      <w:pPr>
        <w:pStyle w:val="TOC2"/>
        <w:spacing w:line="276" w:lineRule="auto"/>
        <w:rPr>
          <w:rFonts w:asciiTheme="minorHAnsi" w:hAnsiTheme="minorHAnsi" w:cstheme="minorHAnsi"/>
          <w:noProof/>
        </w:rPr>
      </w:pPr>
      <w:r w:rsidRPr="00E308E1">
        <w:rPr>
          <w:rFonts w:asciiTheme="minorHAnsi" w:hAnsiTheme="minorHAnsi" w:cstheme="minorHAnsi"/>
          <w:noProof/>
        </w:rPr>
        <w:tab/>
        <w:t>Submissions</w:t>
      </w:r>
      <w:r w:rsidRPr="00E308E1">
        <w:rPr>
          <w:rFonts w:asciiTheme="minorHAnsi" w:hAnsiTheme="minorHAnsi" w:cstheme="minorHAnsi"/>
          <w:noProof/>
        </w:rPr>
        <w:tab/>
      </w:r>
      <w:r w:rsidRPr="00E308E1">
        <w:rPr>
          <w:rFonts w:asciiTheme="minorHAnsi" w:hAnsiTheme="minorHAnsi" w:cstheme="minorHAnsi"/>
          <w:noProof/>
        </w:rPr>
        <w:tab/>
      </w:r>
      <w:r w:rsidRPr="00E308E1" w:rsidR="002561AF">
        <w:rPr>
          <w:rFonts w:asciiTheme="minorHAnsi" w:hAnsiTheme="minorHAnsi" w:cstheme="minorHAnsi"/>
          <w:noProof/>
        </w:rPr>
        <w:t xml:space="preserve"> 22</w:t>
      </w:r>
    </w:p>
    <w:p w:rsidR="00B3511E" w:rsidP="00B3511E" w:rsidRDefault="00C77DF4" w14:paraId="0CD884E0" w14:textId="77777777">
      <w:pPr>
        <w:pStyle w:val="C2-CtrSglSp"/>
        <w:spacing w:after="100" w:afterAutospacing="1" w:line="276" w:lineRule="auto"/>
        <w:jc w:val="left"/>
        <w:rPr>
          <w:rFonts w:asciiTheme="minorHAnsi" w:hAnsiTheme="minorHAnsi" w:cstheme="minorHAnsi"/>
        </w:rPr>
      </w:pPr>
      <w:r w:rsidRPr="00E308E1">
        <w:rPr>
          <w:rFonts w:asciiTheme="minorHAnsi" w:hAnsiTheme="minorHAnsi" w:cstheme="minorHAnsi"/>
        </w:rPr>
        <w:t>Attachments</w:t>
      </w:r>
    </w:p>
    <w:p w:rsidR="00B3511E" w:rsidP="00B3511E" w:rsidRDefault="00C77DF4" w14:paraId="1863A90A" w14:textId="77777777">
      <w:pPr>
        <w:pStyle w:val="C2-CtrSglSp"/>
        <w:spacing w:line="240" w:lineRule="auto"/>
        <w:ind w:firstLine="720"/>
        <w:jc w:val="left"/>
        <w:rPr>
          <w:rFonts w:asciiTheme="minorHAnsi" w:hAnsiTheme="minorHAnsi" w:cstheme="minorHAnsi"/>
        </w:rPr>
      </w:pPr>
      <w:r w:rsidRPr="00E308E1">
        <w:rPr>
          <w:rFonts w:asciiTheme="minorHAnsi" w:hAnsiTheme="minorHAnsi" w:cstheme="minorHAnsi"/>
        </w:rPr>
        <w:t>A</w:t>
      </w:r>
      <w:r w:rsidRPr="00E308E1">
        <w:rPr>
          <w:rFonts w:asciiTheme="minorHAnsi" w:hAnsiTheme="minorHAnsi" w:cstheme="minorHAnsi"/>
        </w:rPr>
        <w:tab/>
      </w:r>
      <w:r w:rsidRPr="00E308E1" w:rsidR="00E266CA">
        <w:rPr>
          <w:rFonts w:asciiTheme="minorHAnsi" w:hAnsiTheme="minorHAnsi" w:cstheme="minorHAnsi"/>
        </w:rPr>
        <w:tab/>
      </w:r>
      <w:r w:rsidRPr="00E308E1">
        <w:rPr>
          <w:rFonts w:asciiTheme="minorHAnsi" w:hAnsiTheme="minorHAnsi" w:cstheme="minorHAnsi"/>
        </w:rPr>
        <w:t>Authorizing Legislation: Public Health Service Act</w:t>
      </w:r>
    </w:p>
    <w:p w:rsidRPr="00E308E1" w:rsidR="00C77DF4" w:rsidP="00B3511E" w:rsidRDefault="00C77DF4" w14:paraId="03AB279C" w14:textId="43CFDD25">
      <w:pPr>
        <w:pStyle w:val="C2-CtrSglSp"/>
        <w:spacing w:line="240" w:lineRule="auto"/>
        <w:ind w:firstLine="720"/>
        <w:jc w:val="left"/>
        <w:rPr>
          <w:rFonts w:asciiTheme="minorHAnsi" w:hAnsiTheme="minorHAnsi" w:cstheme="minorHAnsi"/>
        </w:rPr>
      </w:pPr>
      <w:r w:rsidRPr="00E308E1">
        <w:rPr>
          <w:rFonts w:asciiTheme="minorHAnsi" w:hAnsiTheme="minorHAnsi" w:cstheme="minorHAnsi"/>
        </w:rPr>
        <w:t>B</w:t>
      </w:r>
      <w:r w:rsidRPr="00E308E1">
        <w:rPr>
          <w:rFonts w:asciiTheme="minorHAnsi" w:hAnsiTheme="minorHAnsi" w:cstheme="minorHAnsi"/>
        </w:rPr>
        <w:tab/>
      </w:r>
      <w:r w:rsidRPr="00E308E1" w:rsidR="00E266CA">
        <w:rPr>
          <w:rFonts w:asciiTheme="minorHAnsi" w:hAnsiTheme="minorHAnsi" w:cstheme="minorHAnsi"/>
        </w:rPr>
        <w:tab/>
      </w:r>
      <w:r w:rsidRPr="00E308E1">
        <w:rPr>
          <w:rFonts w:asciiTheme="minorHAnsi" w:hAnsiTheme="minorHAnsi" w:cstheme="minorHAnsi"/>
        </w:rPr>
        <w:t>Published 60-Day Federal Register Notice</w:t>
      </w:r>
    </w:p>
    <w:p w:rsidRPr="00E308E1" w:rsidR="00C77DF4" w:rsidP="00B3511E" w:rsidRDefault="00C77DF4" w14:paraId="26587D3D" w14:textId="33D76B45">
      <w:pPr>
        <w:rPr>
          <w:rFonts w:asciiTheme="minorHAnsi" w:hAnsiTheme="minorHAnsi" w:cstheme="minorHAnsi"/>
        </w:rPr>
      </w:pPr>
      <w:r w:rsidRPr="00E308E1">
        <w:rPr>
          <w:rFonts w:asciiTheme="minorHAnsi" w:hAnsiTheme="minorHAnsi" w:cstheme="minorHAnsi"/>
        </w:rPr>
        <w:t xml:space="preserve">      </w:t>
      </w:r>
      <w:r w:rsidRPr="00E308E1">
        <w:rPr>
          <w:rFonts w:asciiTheme="minorHAnsi" w:hAnsiTheme="minorHAnsi" w:cstheme="minorHAnsi"/>
        </w:rPr>
        <w:tab/>
        <w:t>C</w:t>
      </w:r>
      <w:r w:rsidRPr="00E308E1">
        <w:rPr>
          <w:rFonts w:asciiTheme="minorHAnsi" w:hAnsiTheme="minorHAnsi" w:cstheme="minorHAnsi"/>
        </w:rPr>
        <w:tab/>
      </w:r>
      <w:r w:rsidRPr="00E308E1" w:rsidR="00E266CA">
        <w:rPr>
          <w:rFonts w:asciiTheme="minorHAnsi" w:hAnsiTheme="minorHAnsi" w:cstheme="minorHAnsi"/>
        </w:rPr>
        <w:tab/>
      </w:r>
      <w:r w:rsidRPr="00E308E1" w:rsidR="00C93158">
        <w:rPr>
          <w:rFonts w:asciiTheme="minorHAnsi" w:hAnsiTheme="minorHAnsi" w:cstheme="minorHAnsi"/>
        </w:rPr>
        <w:t xml:space="preserve">Privacy Impact Assessment (PIA) </w:t>
      </w:r>
      <w:r w:rsidRPr="00E308E1">
        <w:rPr>
          <w:rFonts w:asciiTheme="minorHAnsi" w:hAnsiTheme="minorHAnsi" w:cstheme="minorHAnsi"/>
        </w:rPr>
        <w:tab/>
      </w:r>
    </w:p>
    <w:p w:rsidR="00312C9D" w:rsidP="00B3511E" w:rsidRDefault="00C77DF4" w14:paraId="5C399DF9" w14:textId="6AF83C6D">
      <w:pPr>
        <w:ind w:firstLine="720"/>
        <w:rPr>
          <w:rFonts w:asciiTheme="minorHAnsi" w:hAnsiTheme="minorHAnsi" w:cstheme="minorHAnsi"/>
        </w:rPr>
      </w:pPr>
      <w:r w:rsidRPr="00E308E1">
        <w:rPr>
          <w:rFonts w:asciiTheme="minorHAnsi" w:hAnsiTheme="minorHAnsi" w:cstheme="minorHAnsi"/>
        </w:rPr>
        <w:t>D</w:t>
      </w:r>
      <w:r w:rsidRPr="00E308E1">
        <w:rPr>
          <w:rFonts w:asciiTheme="minorHAnsi" w:hAnsiTheme="minorHAnsi" w:cstheme="minorHAnsi"/>
        </w:rPr>
        <w:tab/>
      </w:r>
      <w:r w:rsidR="00312C9D">
        <w:rPr>
          <w:rFonts w:asciiTheme="minorHAnsi" w:hAnsiTheme="minorHAnsi" w:cstheme="minorHAnsi"/>
        </w:rPr>
        <w:tab/>
        <w:t>Domestic VACS Head of Household Consent Form</w:t>
      </w:r>
      <w:r w:rsidR="006E2882">
        <w:rPr>
          <w:rFonts w:asciiTheme="minorHAnsi" w:hAnsiTheme="minorHAnsi" w:cstheme="minorHAnsi"/>
        </w:rPr>
        <w:t xml:space="preserve"> </w:t>
      </w:r>
    </w:p>
    <w:p w:rsidR="00012339" w:rsidP="00B3511E" w:rsidRDefault="00AA390C" w14:paraId="3388BF36" w14:textId="503DB9EA">
      <w:pPr>
        <w:ind w:firstLine="720"/>
        <w:rPr>
          <w:rFonts w:asciiTheme="minorHAnsi" w:hAnsiTheme="minorHAnsi" w:cstheme="minorHAnsi"/>
        </w:rPr>
      </w:pPr>
      <w:r>
        <w:rPr>
          <w:rFonts w:asciiTheme="minorHAnsi" w:hAnsiTheme="minorHAnsi" w:cstheme="minorHAnsi"/>
        </w:rPr>
        <w:t>E</w:t>
      </w:r>
      <w:r w:rsidR="006E2882">
        <w:rPr>
          <w:rFonts w:asciiTheme="minorHAnsi" w:hAnsiTheme="minorHAnsi" w:cstheme="minorHAnsi"/>
        </w:rPr>
        <w:tab/>
      </w:r>
      <w:r w:rsidR="006E2882">
        <w:rPr>
          <w:rFonts w:asciiTheme="minorHAnsi" w:hAnsiTheme="minorHAnsi" w:cstheme="minorHAnsi"/>
        </w:rPr>
        <w:tab/>
      </w:r>
      <w:r w:rsidR="00312C9D">
        <w:rPr>
          <w:rFonts w:asciiTheme="minorHAnsi" w:hAnsiTheme="minorHAnsi" w:cstheme="minorHAnsi"/>
        </w:rPr>
        <w:t>Domestic VACS Head of Household Questionnaire</w:t>
      </w:r>
      <w:r w:rsidR="00C41F23">
        <w:rPr>
          <w:rFonts w:asciiTheme="minorHAnsi" w:hAnsiTheme="minorHAnsi" w:cstheme="minorHAnsi"/>
        </w:rPr>
        <w:t xml:space="preserve"> </w:t>
      </w:r>
    </w:p>
    <w:p w:rsidR="006A7620" w:rsidP="00B3511E" w:rsidRDefault="00F43DEC" w14:paraId="0787BF25" w14:textId="32F7A703">
      <w:pPr>
        <w:ind w:firstLine="720"/>
        <w:rPr>
          <w:rFonts w:asciiTheme="minorHAnsi" w:hAnsiTheme="minorHAnsi" w:cstheme="minorHAnsi"/>
        </w:rPr>
      </w:pPr>
      <w:r>
        <w:rPr>
          <w:rFonts w:asciiTheme="minorHAnsi" w:hAnsiTheme="minorHAnsi" w:cstheme="minorHAnsi"/>
        </w:rPr>
        <w:t>F</w:t>
      </w:r>
      <w:r w:rsidR="00012339">
        <w:rPr>
          <w:rFonts w:asciiTheme="minorHAnsi" w:hAnsiTheme="minorHAnsi" w:cstheme="minorHAnsi"/>
        </w:rPr>
        <w:tab/>
      </w:r>
      <w:r w:rsidR="00012339">
        <w:rPr>
          <w:rFonts w:asciiTheme="minorHAnsi" w:hAnsiTheme="minorHAnsi" w:cstheme="minorHAnsi"/>
        </w:rPr>
        <w:tab/>
        <w:t>VACS Participant Initial Information</w:t>
      </w:r>
      <w:r>
        <w:rPr>
          <w:rFonts w:asciiTheme="minorHAnsi" w:hAnsiTheme="minorHAnsi" w:cstheme="minorHAnsi"/>
        </w:rPr>
        <w:t xml:space="preserve"> and Consent</w:t>
      </w:r>
      <w:r w:rsidR="00012339">
        <w:rPr>
          <w:rFonts w:asciiTheme="minorHAnsi" w:hAnsiTheme="minorHAnsi" w:cstheme="minorHAnsi"/>
        </w:rPr>
        <w:t xml:space="preserve"> Form </w:t>
      </w:r>
    </w:p>
    <w:p w:rsidR="006A7620" w:rsidP="00B3511E" w:rsidRDefault="00F43DEC" w14:paraId="45E969CD" w14:textId="196DA1E5">
      <w:pPr>
        <w:ind w:firstLine="720"/>
        <w:rPr>
          <w:rFonts w:asciiTheme="minorHAnsi" w:hAnsiTheme="minorHAnsi" w:cstheme="minorHAnsi"/>
        </w:rPr>
      </w:pPr>
      <w:bookmarkStart w:name="_Hlk53758482" w:id="1"/>
      <w:r>
        <w:rPr>
          <w:rFonts w:asciiTheme="minorHAnsi" w:hAnsiTheme="minorHAnsi" w:cstheme="minorHAnsi"/>
        </w:rPr>
        <w:t>G</w:t>
      </w:r>
      <w:r w:rsidR="00D31B24">
        <w:rPr>
          <w:rFonts w:asciiTheme="minorHAnsi" w:hAnsiTheme="minorHAnsi" w:cstheme="minorHAnsi"/>
        </w:rPr>
        <w:tab/>
      </w:r>
      <w:r w:rsidR="00D31B24">
        <w:rPr>
          <w:rFonts w:asciiTheme="minorHAnsi" w:hAnsiTheme="minorHAnsi" w:cstheme="minorHAnsi"/>
        </w:rPr>
        <w:tab/>
      </w:r>
      <w:r w:rsidRPr="00E308E1" w:rsidR="00C77DF4">
        <w:rPr>
          <w:rFonts w:asciiTheme="minorHAnsi" w:hAnsiTheme="minorHAnsi" w:cstheme="minorHAnsi"/>
        </w:rPr>
        <w:t>Institutional Review Board (IRB) Approval</w:t>
      </w:r>
      <w:r w:rsidR="00C91138">
        <w:rPr>
          <w:rFonts w:asciiTheme="minorHAnsi" w:hAnsiTheme="minorHAnsi" w:cstheme="minorHAnsi"/>
        </w:rPr>
        <w:t xml:space="preserve"> </w:t>
      </w:r>
    </w:p>
    <w:bookmarkEnd w:id="1"/>
    <w:p w:rsidR="008E7D28" w:rsidP="00B3511E" w:rsidRDefault="008E7D28" w14:paraId="22454CAC" w14:textId="77777777">
      <w:pPr>
        <w:ind w:firstLine="720"/>
        <w:rPr>
          <w:rFonts w:asciiTheme="minorHAnsi" w:hAnsiTheme="minorHAnsi" w:cstheme="minorHAnsi"/>
        </w:rPr>
      </w:pPr>
      <w:r>
        <w:rPr>
          <w:rFonts w:asciiTheme="minorHAnsi" w:hAnsiTheme="minorHAnsi" w:cstheme="minorHAnsi"/>
        </w:rPr>
        <w:t>H</w:t>
      </w:r>
      <w:r>
        <w:rPr>
          <w:rFonts w:asciiTheme="minorHAnsi" w:hAnsiTheme="minorHAnsi" w:cstheme="minorHAnsi"/>
        </w:rPr>
        <w:tab/>
      </w:r>
      <w:r>
        <w:rPr>
          <w:rFonts w:asciiTheme="minorHAnsi" w:hAnsiTheme="minorHAnsi" w:cstheme="minorHAnsi"/>
        </w:rPr>
        <w:tab/>
        <w:t>Household Invitation Letter</w:t>
      </w:r>
    </w:p>
    <w:p w:rsidR="008E7D28" w:rsidP="008E7D28" w:rsidRDefault="008E7D28" w14:paraId="579B343B" w14:textId="77777777">
      <w:pPr>
        <w:spacing w:line="276" w:lineRule="auto"/>
        <w:ind w:firstLine="720"/>
        <w:rPr>
          <w:rFonts w:asciiTheme="minorHAnsi" w:hAnsiTheme="minorHAnsi" w:cstheme="minorHAnsi"/>
        </w:rPr>
      </w:pPr>
      <w:r>
        <w:rPr>
          <w:rFonts w:asciiTheme="minorHAnsi" w:hAnsiTheme="minorHAnsi" w:cstheme="minorHAnsi"/>
        </w:rPr>
        <w:t>I</w:t>
      </w:r>
      <w:r>
        <w:rPr>
          <w:rFonts w:asciiTheme="minorHAnsi" w:hAnsiTheme="minorHAnsi" w:cstheme="minorHAnsi"/>
        </w:rPr>
        <w:tab/>
      </w:r>
      <w:r>
        <w:rPr>
          <w:rFonts w:asciiTheme="minorHAnsi" w:hAnsiTheme="minorHAnsi" w:cstheme="minorHAnsi"/>
        </w:rPr>
        <w:tab/>
        <w:t>Screener Questionnaire</w:t>
      </w:r>
    </w:p>
    <w:p w:rsidR="002C2BFB" w:rsidP="00AD7DB8" w:rsidRDefault="008E7D28" w14:paraId="1D35053A" w14:textId="3FD96D6E">
      <w:pPr>
        <w:spacing w:line="276" w:lineRule="auto"/>
        <w:ind w:firstLine="720"/>
        <w:rPr>
          <w:rFonts w:asciiTheme="minorHAnsi" w:hAnsiTheme="minorHAnsi" w:cstheme="minorHAnsi"/>
        </w:rPr>
      </w:pPr>
      <w:r>
        <w:rPr>
          <w:rFonts w:asciiTheme="minorHAnsi" w:hAnsiTheme="minorHAnsi" w:cstheme="minorHAnsi"/>
        </w:rPr>
        <w:t>J</w:t>
      </w:r>
      <w:r w:rsidR="006A7620">
        <w:rPr>
          <w:rFonts w:asciiTheme="minorHAnsi" w:hAnsiTheme="minorHAnsi" w:cstheme="minorHAnsi"/>
        </w:rPr>
        <w:tab/>
      </w:r>
      <w:r w:rsidR="006A7620">
        <w:rPr>
          <w:rFonts w:asciiTheme="minorHAnsi" w:hAnsiTheme="minorHAnsi" w:cstheme="minorHAnsi"/>
        </w:rPr>
        <w:tab/>
      </w:r>
      <w:r>
        <w:rPr>
          <w:rFonts w:asciiTheme="minorHAnsi" w:hAnsiTheme="minorHAnsi" w:cstheme="minorHAnsi"/>
        </w:rPr>
        <w:t xml:space="preserve">VACS </w:t>
      </w:r>
      <w:r w:rsidR="006A7620">
        <w:rPr>
          <w:rFonts w:asciiTheme="minorHAnsi" w:hAnsiTheme="minorHAnsi" w:cstheme="minorHAnsi"/>
        </w:rPr>
        <w:t xml:space="preserve">Core </w:t>
      </w:r>
      <w:r>
        <w:rPr>
          <w:rFonts w:asciiTheme="minorHAnsi" w:hAnsiTheme="minorHAnsi" w:cstheme="minorHAnsi"/>
        </w:rPr>
        <w:t xml:space="preserve">Youth Participant </w:t>
      </w:r>
      <w:r w:rsidR="006A7620">
        <w:rPr>
          <w:rFonts w:asciiTheme="minorHAnsi" w:hAnsiTheme="minorHAnsi" w:cstheme="minorHAnsi"/>
        </w:rPr>
        <w:t>Questionnaire</w:t>
      </w:r>
    </w:p>
    <w:p w:rsidR="00AA1DA6" w:rsidP="00AA1DA6" w:rsidRDefault="00B3511E" w14:paraId="6FF4A560" w14:textId="77777777">
      <w:pPr>
        <w:spacing w:line="276" w:lineRule="auto"/>
        <w:ind w:firstLine="720"/>
        <w:rPr>
          <w:rFonts w:asciiTheme="minorHAnsi" w:hAnsiTheme="minorHAnsi" w:cstheme="minorHAnsi"/>
        </w:rPr>
      </w:pPr>
      <w:r>
        <w:rPr>
          <w:rFonts w:asciiTheme="minorHAnsi" w:hAnsiTheme="minorHAnsi" w:cstheme="minorHAnsi"/>
        </w:rPr>
        <w:t>K</w:t>
      </w:r>
      <w:r>
        <w:rPr>
          <w:rFonts w:asciiTheme="minorHAnsi" w:hAnsiTheme="minorHAnsi" w:cstheme="minorHAnsi"/>
        </w:rPr>
        <w:tab/>
      </w:r>
      <w:r>
        <w:rPr>
          <w:rFonts w:asciiTheme="minorHAnsi" w:hAnsiTheme="minorHAnsi" w:cstheme="minorHAnsi"/>
        </w:rPr>
        <w:tab/>
        <w:t>Screenshots</w:t>
      </w:r>
    </w:p>
    <w:p w:rsidRPr="00AA1DA6" w:rsidR="00960423" w:rsidP="00AA1DA6" w:rsidRDefault="00960423" w14:paraId="48A73419" w14:textId="77F793F9">
      <w:pPr>
        <w:spacing w:line="276" w:lineRule="auto"/>
        <w:rPr>
          <w:rFonts w:asciiTheme="minorHAnsi" w:hAnsiTheme="minorHAnsi" w:cstheme="minorHAnsi"/>
        </w:rPr>
      </w:pPr>
      <w:r w:rsidRPr="00E308E1">
        <w:rPr>
          <w:rFonts w:asciiTheme="minorHAnsi" w:hAnsiTheme="minorHAnsi" w:cstheme="minorHAnsi"/>
          <w:b/>
        </w:rPr>
        <w:lastRenderedPageBreak/>
        <w:t>SUMMARY TABLE</w:t>
      </w:r>
    </w:p>
    <w:p w:rsidR="00A47B11" w:rsidP="00AD7DB8" w:rsidRDefault="00A47B11" w14:paraId="6CAC6A2A" w14:textId="51867547">
      <w:pPr>
        <w:spacing w:line="276" w:lineRule="auto"/>
        <w:rPr>
          <w:rFonts w:asciiTheme="minorHAnsi" w:hAnsiTheme="minorHAnsi" w:cstheme="minorHAnsi"/>
          <w:b/>
          <w:bCs/>
        </w:rPr>
      </w:pPr>
      <w:r w:rsidRPr="00E308E1">
        <w:rPr>
          <w:rFonts w:asciiTheme="minorHAnsi" w:hAnsiTheme="minorHAnsi" w:cstheme="minorHAnsi"/>
          <w:noProof/>
        </w:rPr>
        <mc:AlternateContent>
          <mc:Choice Requires="wps">
            <w:drawing>
              <wp:anchor distT="0" distB="0" distL="114300" distR="114300" simplePos="0" relativeHeight="251659264" behindDoc="0" locked="0" layoutInCell="1" allowOverlap="1" wp14:editId="09CBAFDD" wp14:anchorId="5DDE31D5">
                <wp:simplePos x="0" y="0"/>
                <wp:positionH relativeFrom="margin">
                  <wp:posOffset>-88265</wp:posOffset>
                </wp:positionH>
                <wp:positionV relativeFrom="margin">
                  <wp:posOffset>598805</wp:posOffset>
                </wp:positionV>
                <wp:extent cx="6240780" cy="7496810"/>
                <wp:effectExtent l="0" t="0" r="26670"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7496810"/>
                        </a:xfrm>
                        <a:prstGeom prst="rect">
                          <a:avLst/>
                        </a:prstGeom>
                        <a:solidFill>
                          <a:srgbClr val="FFFFFF"/>
                        </a:solidFill>
                        <a:ln w="9525">
                          <a:solidFill>
                            <a:srgbClr val="000000"/>
                          </a:solidFill>
                          <a:miter lim="800000"/>
                          <a:headEnd/>
                          <a:tailEnd/>
                        </a:ln>
                      </wps:spPr>
                      <wps:txbx>
                        <w:txbxContent>
                          <w:p w:rsidRPr="002B139A" w:rsidR="008437FD" w:rsidP="00E35A86" w:rsidRDefault="008437FD" w14:paraId="4135CF38" w14:textId="76EFDEA4">
                            <w:pPr>
                              <w:rPr>
                                <w:sz w:val="22"/>
                                <w:szCs w:val="22"/>
                              </w:rPr>
                            </w:pPr>
                            <w:r w:rsidRPr="002B139A">
                              <w:rPr>
                                <w:sz w:val="22"/>
                                <w:szCs w:val="22"/>
                              </w:rPr>
                              <w:t>This request de</w:t>
                            </w:r>
                            <w:r>
                              <w:rPr>
                                <w:sz w:val="22"/>
                                <w:szCs w:val="22"/>
                              </w:rPr>
                              <w:t>scribes the Pilot Implementation of the Violence Against Children and Youth Survey (VACS) in the United States, which CDC has conducted in 24 countries globally and has adapted for a domestic context.</w:t>
                            </w:r>
                            <w:r w:rsidRPr="002B139A">
                              <w:rPr>
                                <w:sz w:val="22"/>
                                <w:szCs w:val="22"/>
                              </w:rPr>
                              <w:t xml:space="preserve"> More specifically, this request details </w:t>
                            </w:r>
                            <w:r>
                              <w:rPr>
                                <w:sz w:val="22"/>
                                <w:szCs w:val="22"/>
                              </w:rPr>
                              <w:t>the adaptations to the survey and methods for piloting the survey in one urban and one rural area of the United States.</w:t>
                            </w:r>
                          </w:p>
                          <w:p w:rsidRPr="002B139A" w:rsidR="008437FD" w:rsidP="00E35A86" w:rsidRDefault="008437FD" w14:paraId="485B7DB2" w14:textId="77777777">
                            <w:pPr>
                              <w:rPr>
                                <w:b/>
                                <w:sz w:val="22"/>
                                <w:szCs w:val="22"/>
                              </w:rPr>
                            </w:pPr>
                          </w:p>
                          <w:p w:rsidRPr="002B139A" w:rsidR="008437FD" w:rsidP="00E35A86" w:rsidRDefault="008437FD" w14:paraId="78F1F425" w14:textId="598E7FC4">
                            <w:pPr>
                              <w:rPr>
                                <w:b/>
                                <w:sz w:val="22"/>
                                <w:szCs w:val="22"/>
                              </w:rPr>
                            </w:pPr>
                            <w:r w:rsidRPr="002B139A">
                              <w:rPr>
                                <w:b/>
                                <w:sz w:val="22"/>
                                <w:szCs w:val="22"/>
                              </w:rPr>
                              <w:t xml:space="preserve">Goals of the </w:t>
                            </w:r>
                            <w:r>
                              <w:rPr>
                                <w:b/>
                                <w:sz w:val="22"/>
                                <w:szCs w:val="22"/>
                              </w:rPr>
                              <w:t>Pilot Test</w:t>
                            </w:r>
                            <w:r w:rsidRPr="002B139A">
                              <w:rPr>
                                <w:b/>
                                <w:sz w:val="22"/>
                                <w:szCs w:val="22"/>
                              </w:rPr>
                              <w:t xml:space="preserve">: </w:t>
                            </w:r>
                          </w:p>
                          <w:p w:rsidR="008437FD" w:rsidP="00C70415" w:rsidRDefault="008437FD" w14:paraId="56F605C9" w14:textId="0023FB33">
                            <w:pPr>
                              <w:numPr>
                                <w:ilvl w:val="0"/>
                                <w:numId w:val="29"/>
                              </w:numPr>
                              <w:ind w:left="714" w:hanging="357"/>
                              <w:rPr>
                                <w:sz w:val="22"/>
                                <w:szCs w:val="22"/>
                              </w:rPr>
                            </w:pPr>
                            <w:r w:rsidRPr="00C70415">
                              <w:rPr>
                                <w:sz w:val="22"/>
                                <w:szCs w:val="22"/>
                              </w:rPr>
                              <w:t>Adapt the Violence Against Children Surveys (VACS) methodolog</w:t>
                            </w:r>
                            <w:r>
                              <w:rPr>
                                <w:sz w:val="22"/>
                                <w:szCs w:val="22"/>
                              </w:rPr>
                              <w:t>y for implementation in the U.S.</w:t>
                            </w:r>
                          </w:p>
                          <w:p w:rsidRPr="00C70415" w:rsidR="008437FD" w:rsidP="00C70415" w:rsidRDefault="008437FD" w14:paraId="0963E456" w14:textId="2E8DB564">
                            <w:pPr>
                              <w:numPr>
                                <w:ilvl w:val="0"/>
                                <w:numId w:val="29"/>
                              </w:numPr>
                              <w:ind w:left="714" w:hanging="357"/>
                              <w:rPr>
                                <w:sz w:val="22"/>
                                <w:szCs w:val="22"/>
                              </w:rPr>
                            </w:pPr>
                            <w:r w:rsidRPr="00C70415">
                              <w:rPr>
                                <w:sz w:val="22"/>
                                <w:szCs w:val="22"/>
                              </w:rPr>
                              <w:t xml:space="preserve">Pilot the adapted VACS methodology in Baltimore </w:t>
                            </w:r>
                            <w:r>
                              <w:rPr>
                                <w:sz w:val="22"/>
                                <w:szCs w:val="22"/>
                              </w:rPr>
                              <w:t xml:space="preserve">using a representative sample of youth ages 13-24 </w:t>
                            </w:r>
                            <w:r w:rsidRPr="00C70415">
                              <w:rPr>
                                <w:sz w:val="22"/>
                                <w:szCs w:val="22"/>
                              </w:rPr>
                              <w:t xml:space="preserve">that yields results that are representative of the Baltimore youth population and collect pilot data </w:t>
                            </w:r>
                            <w:r>
                              <w:rPr>
                                <w:sz w:val="22"/>
                                <w:szCs w:val="22"/>
                              </w:rPr>
                              <w:t xml:space="preserve">with a convenience sample </w:t>
                            </w:r>
                            <w:r w:rsidRPr="00C70415">
                              <w:rPr>
                                <w:sz w:val="22"/>
                                <w:szCs w:val="22"/>
                              </w:rPr>
                              <w:t xml:space="preserve">in rural </w:t>
                            </w:r>
                            <w:r>
                              <w:rPr>
                                <w:sz w:val="22"/>
                                <w:szCs w:val="22"/>
                              </w:rPr>
                              <w:t>Garrett C</w:t>
                            </w:r>
                            <w:r w:rsidRPr="00C70415">
                              <w:rPr>
                                <w:sz w:val="22"/>
                                <w:szCs w:val="22"/>
                              </w:rPr>
                              <w:t>ounty in Maryland</w:t>
                            </w:r>
                            <w:r>
                              <w:rPr>
                                <w:sz w:val="22"/>
                                <w:szCs w:val="22"/>
                              </w:rPr>
                              <w:t xml:space="preserve"> </w:t>
                            </w:r>
                            <w:r w:rsidRPr="00161E58">
                              <w:rPr>
                                <w:sz w:val="22"/>
                                <w:szCs w:val="22"/>
                              </w:rPr>
                              <w:t>to test the VACS in-person methodology in a rural location</w:t>
                            </w:r>
                            <w:r w:rsidRPr="00C70415">
                              <w:rPr>
                                <w:sz w:val="22"/>
                                <w:szCs w:val="22"/>
                              </w:rPr>
                              <w:t>.</w:t>
                            </w:r>
                          </w:p>
                          <w:p w:rsidRPr="00C70415" w:rsidR="008437FD" w:rsidP="00C70415" w:rsidRDefault="008437FD" w14:paraId="7A1DEAA7" w14:textId="5E9DE9E8">
                            <w:pPr>
                              <w:numPr>
                                <w:ilvl w:val="0"/>
                                <w:numId w:val="29"/>
                              </w:numPr>
                              <w:ind w:left="714" w:hanging="357"/>
                              <w:rPr>
                                <w:sz w:val="22"/>
                                <w:szCs w:val="22"/>
                              </w:rPr>
                            </w:pPr>
                            <w:r w:rsidRPr="00C70415">
                              <w:rPr>
                                <w:sz w:val="22"/>
                                <w:szCs w:val="22"/>
                              </w:rPr>
                              <w:t xml:space="preserve">Estimate the prevalence of physical, emotional and sexual violence perpetrated </w:t>
                            </w:r>
                            <w:r>
                              <w:rPr>
                                <w:sz w:val="22"/>
                                <w:szCs w:val="22"/>
                              </w:rPr>
                              <w:t>against youth in Baltimore.</w:t>
                            </w:r>
                          </w:p>
                          <w:p w:rsidRPr="00C70415" w:rsidR="008437FD" w:rsidP="00C70415" w:rsidRDefault="008437FD" w14:paraId="68BFF2D7" w14:textId="77777777">
                            <w:pPr>
                              <w:numPr>
                                <w:ilvl w:val="0"/>
                                <w:numId w:val="29"/>
                              </w:numPr>
                              <w:ind w:left="714" w:hanging="357"/>
                              <w:rPr>
                                <w:sz w:val="22"/>
                                <w:szCs w:val="22"/>
                              </w:rPr>
                            </w:pPr>
                            <w:r w:rsidRPr="00C70415">
                              <w:rPr>
                                <w:sz w:val="22"/>
                                <w:szCs w:val="22"/>
                              </w:rPr>
                              <w:t>Identify risk and protective factors for physical, emotional and sexual violence against children to inform stakeholders and guide prevention efforts.</w:t>
                            </w:r>
                          </w:p>
                          <w:p w:rsidRPr="00C70415" w:rsidR="008437FD" w:rsidP="00C70415" w:rsidRDefault="008437FD" w14:paraId="26D40AC8" w14:textId="77777777">
                            <w:pPr>
                              <w:numPr>
                                <w:ilvl w:val="0"/>
                                <w:numId w:val="29"/>
                              </w:numPr>
                              <w:ind w:left="714" w:hanging="357"/>
                              <w:rPr>
                                <w:sz w:val="22"/>
                                <w:szCs w:val="22"/>
                              </w:rPr>
                            </w:pPr>
                            <w:r w:rsidRPr="00C70415">
                              <w:rPr>
                                <w:sz w:val="22"/>
                                <w:szCs w:val="22"/>
                              </w:rPr>
                              <w:t>Identify the health and social consequences associated with violence against children.</w:t>
                            </w:r>
                          </w:p>
                          <w:p w:rsidRPr="00C70415" w:rsidR="008437FD" w:rsidP="00C70415" w:rsidRDefault="008437FD" w14:paraId="2FAE6AFB" w14:textId="77777777">
                            <w:pPr>
                              <w:numPr>
                                <w:ilvl w:val="0"/>
                                <w:numId w:val="29"/>
                              </w:numPr>
                              <w:ind w:left="714" w:hanging="357"/>
                              <w:rPr>
                                <w:sz w:val="22"/>
                                <w:szCs w:val="22"/>
                              </w:rPr>
                            </w:pPr>
                            <w:r w:rsidRPr="00C70415">
                              <w:rPr>
                                <w:sz w:val="22"/>
                                <w:szCs w:val="22"/>
                              </w:rPr>
                              <w:t>Assess the knowledge and use of medical, psychosocial, legal, and protective services available for children who have experienced sexual, emotional and physical violence.</w:t>
                            </w:r>
                          </w:p>
                          <w:p w:rsidRPr="00C70415" w:rsidR="008437FD" w:rsidP="00C70415" w:rsidRDefault="008437FD" w14:paraId="514AEE3B" w14:textId="4D43E378">
                            <w:pPr>
                              <w:numPr>
                                <w:ilvl w:val="0"/>
                                <w:numId w:val="29"/>
                              </w:numPr>
                              <w:ind w:left="714" w:hanging="357"/>
                              <w:rPr>
                                <w:sz w:val="22"/>
                                <w:szCs w:val="22"/>
                              </w:rPr>
                            </w:pPr>
                            <w:r w:rsidRPr="00C70415">
                              <w:rPr>
                                <w:sz w:val="22"/>
                                <w:szCs w:val="22"/>
                              </w:rPr>
                              <w:t xml:space="preserve">Identify </w:t>
                            </w:r>
                            <w:r>
                              <w:rPr>
                                <w:sz w:val="22"/>
                                <w:szCs w:val="22"/>
                              </w:rPr>
                              <w:t xml:space="preserve">substantive </w:t>
                            </w:r>
                            <w:r w:rsidRPr="00C70415">
                              <w:rPr>
                                <w:sz w:val="22"/>
                                <w:szCs w:val="22"/>
                              </w:rPr>
                              <w:t>areas for further research.</w:t>
                            </w:r>
                          </w:p>
                          <w:p w:rsidRPr="00C70415" w:rsidR="008437FD" w:rsidP="00C70415" w:rsidRDefault="008437FD" w14:paraId="42A23F7A" w14:textId="77777777">
                            <w:pPr>
                              <w:pStyle w:val="ColorfulList-Accent11"/>
                              <w:numPr>
                                <w:ilvl w:val="0"/>
                                <w:numId w:val="29"/>
                              </w:numPr>
                              <w:spacing w:after="0" w:line="240" w:lineRule="auto"/>
                              <w:rPr>
                                <w:rFonts w:ascii="Times New Roman" w:hAnsi="Times New Roman"/>
                                <w:b/>
                                <w:bCs/>
                                <w:color w:val="000000"/>
                              </w:rPr>
                            </w:pPr>
                            <w:r w:rsidRPr="00C70415">
                              <w:rPr>
                                <w:rFonts w:ascii="Times New Roman" w:hAnsi="Times New Roman"/>
                                <w:color w:val="000000"/>
                              </w:rPr>
                              <w:t>Make recommendations to relevant organizations in Baltimore (and similar cities in the US) on developing, improving and enhancing prevention and response strategies to address violence against children as part of a larger, comprehensive, multi-sectoral approach to child protection.</w:t>
                            </w:r>
                          </w:p>
                          <w:p w:rsidRPr="00C70415" w:rsidR="008437FD" w:rsidP="00C70415" w:rsidRDefault="008437FD" w14:paraId="1A69D55E" w14:textId="77777777">
                            <w:pPr>
                              <w:ind w:left="720"/>
                              <w:contextualSpacing/>
                              <w:rPr>
                                <w:rFonts w:eastAsia="Calibri"/>
                                <w:sz w:val="22"/>
                                <w:szCs w:val="22"/>
                              </w:rPr>
                            </w:pPr>
                          </w:p>
                          <w:p w:rsidRPr="00C70415" w:rsidR="008437FD" w:rsidP="00C70415" w:rsidRDefault="008437FD" w14:paraId="692B2E5F" w14:textId="77777777">
                            <w:pPr>
                              <w:rPr>
                                <w:b/>
                                <w:sz w:val="22"/>
                                <w:szCs w:val="22"/>
                              </w:rPr>
                            </w:pPr>
                            <w:r w:rsidRPr="00C70415">
                              <w:rPr>
                                <w:b/>
                                <w:sz w:val="22"/>
                                <w:szCs w:val="22"/>
                              </w:rPr>
                              <w:t>Intended use of the resulting data.</w:t>
                            </w:r>
                          </w:p>
                          <w:p w:rsidR="008437FD" w:rsidP="00E35A86" w:rsidRDefault="008437FD" w14:paraId="41C44B54" w14:textId="5B48294C">
                            <w:pPr>
                              <w:ind w:left="720"/>
                              <w:rPr>
                                <w:sz w:val="22"/>
                                <w:szCs w:val="22"/>
                              </w:rPr>
                            </w:pPr>
                            <w:r w:rsidRPr="00BB70D0">
                              <w:rPr>
                                <w:sz w:val="22"/>
                                <w:szCs w:val="22"/>
                              </w:rPr>
                              <w:t xml:space="preserve">The findings from this pilot study will be used primarily to better understand the feasibility and effectiveness of implementing VACS in the U.S., which will ultimately inform </w:t>
                            </w:r>
                            <w:r>
                              <w:rPr>
                                <w:sz w:val="22"/>
                                <w:szCs w:val="22"/>
                              </w:rPr>
                              <w:t xml:space="preserve">CDC’s understanding of </w:t>
                            </w:r>
                            <w:r w:rsidRPr="00BB70D0">
                              <w:rPr>
                                <w:sz w:val="22"/>
                                <w:szCs w:val="22"/>
                              </w:rPr>
                              <w:t xml:space="preserve">the magnitude of violence against children, including sexual violence, and its underlying risk and protective factors in order to make recommendations to national and international agencies and non-governmental organizations on developing strategies to identify, treat and prevent violence against children. The CDC will be using the results of this survey to inform its violence prevention efforts and refine practices related to the protection of children. </w:t>
                            </w:r>
                          </w:p>
                          <w:p w:rsidRPr="002B139A" w:rsidR="008437FD" w:rsidP="00E35A86" w:rsidRDefault="008437FD" w14:paraId="73BAE43E" w14:textId="77777777">
                            <w:pPr>
                              <w:ind w:left="720"/>
                              <w:rPr>
                                <w:sz w:val="22"/>
                                <w:szCs w:val="22"/>
                              </w:rPr>
                            </w:pPr>
                          </w:p>
                          <w:p w:rsidRPr="002B139A" w:rsidR="008437FD" w:rsidP="00E35A86" w:rsidRDefault="008437FD" w14:paraId="228AB74D" w14:textId="77777777">
                            <w:pPr>
                              <w:rPr>
                                <w:b/>
                                <w:sz w:val="22"/>
                                <w:szCs w:val="22"/>
                              </w:rPr>
                            </w:pPr>
                            <w:r w:rsidRPr="002B139A">
                              <w:rPr>
                                <w:b/>
                                <w:sz w:val="22"/>
                                <w:szCs w:val="22"/>
                              </w:rPr>
                              <w:t>Methods to be used to collect data.</w:t>
                            </w:r>
                          </w:p>
                          <w:p w:rsidRPr="002B139A" w:rsidR="008437FD" w:rsidP="00E35A86" w:rsidRDefault="008437FD" w14:paraId="3EA6BA06" w14:textId="0AD55398">
                            <w:pPr>
                              <w:ind w:left="720"/>
                              <w:rPr>
                                <w:sz w:val="22"/>
                                <w:szCs w:val="22"/>
                              </w:rPr>
                            </w:pPr>
                            <w:r>
                              <w:rPr>
                                <w:sz w:val="22"/>
                                <w:szCs w:val="22"/>
                              </w:rPr>
                              <w:t xml:space="preserve">Data will be collected through in-person probability-based household surveys, which will be conducted using a combination of interviewer-administration and Audio Computer-Assisted Self-Interview (ACASI) Software on tablets. </w:t>
                            </w:r>
                          </w:p>
                          <w:p w:rsidRPr="002B139A" w:rsidR="008437FD" w:rsidP="00E35A86" w:rsidRDefault="008437FD" w14:paraId="1D3B42BC" w14:textId="77777777">
                            <w:pPr>
                              <w:ind w:left="720"/>
                              <w:rPr>
                                <w:sz w:val="22"/>
                                <w:szCs w:val="22"/>
                              </w:rPr>
                            </w:pPr>
                          </w:p>
                          <w:p w:rsidRPr="002B139A" w:rsidR="008437FD" w:rsidP="00E35A86" w:rsidRDefault="008437FD" w14:paraId="057BF5E0" w14:textId="77777777">
                            <w:pPr>
                              <w:rPr>
                                <w:b/>
                                <w:sz w:val="22"/>
                                <w:szCs w:val="22"/>
                              </w:rPr>
                            </w:pPr>
                            <w:r w:rsidRPr="002B139A">
                              <w:rPr>
                                <w:b/>
                                <w:sz w:val="22"/>
                                <w:szCs w:val="22"/>
                              </w:rPr>
                              <w:t>The subpopulation to be studied.</w:t>
                            </w:r>
                          </w:p>
                          <w:p w:rsidRPr="002B139A" w:rsidR="008437FD" w:rsidP="00E35A86" w:rsidRDefault="008437FD" w14:paraId="7F94421A" w14:textId="43F6BEAD">
                            <w:pPr>
                              <w:ind w:left="720"/>
                              <w:rPr>
                                <w:sz w:val="22"/>
                                <w:szCs w:val="22"/>
                              </w:rPr>
                            </w:pPr>
                            <w:r>
                              <w:rPr>
                                <w:sz w:val="22"/>
                                <w:szCs w:val="22"/>
                              </w:rPr>
                              <w:t xml:space="preserve">Youth ages 13-24 in urban Baltimore or rural Garrett County, Maryland who speak English. </w:t>
                            </w:r>
                          </w:p>
                          <w:p w:rsidRPr="002B139A" w:rsidR="008437FD" w:rsidP="00E35A86" w:rsidRDefault="008437FD" w14:paraId="75B8D455" w14:textId="77777777">
                            <w:pPr>
                              <w:ind w:left="720"/>
                              <w:rPr>
                                <w:sz w:val="22"/>
                                <w:szCs w:val="22"/>
                              </w:rPr>
                            </w:pPr>
                            <w:r w:rsidRPr="002B139A">
                              <w:rPr>
                                <w:sz w:val="22"/>
                                <w:szCs w:val="22"/>
                              </w:rPr>
                              <w:t xml:space="preserve"> </w:t>
                            </w:r>
                          </w:p>
                          <w:p w:rsidRPr="002B139A" w:rsidR="008437FD" w:rsidP="00E35A86" w:rsidRDefault="008437FD" w14:paraId="4EB6A881" w14:textId="77777777">
                            <w:pPr>
                              <w:rPr>
                                <w:b/>
                                <w:sz w:val="22"/>
                                <w:szCs w:val="22"/>
                              </w:rPr>
                            </w:pPr>
                            <w:r w:rsidRPr="002B139A">
                              <w:rPr>
                                <w:b/>
                                <w:sz w:val="22"/>
                                <w:szCs w:val="22"/>
                              </w:rPr>
                              <w:t xml:space="preserve">How data will be analyzed. </w:t>
                            </w:r>
                          </w:p>
                          <w:p w:rsidRPr="002B139A" w:rsidR="008437FD" w:rsidP="00E35A86" w:rsidRDefault="008437FD" w14:paraId="506B3ECB" w14:textId="71A676E4">
                            <w:pPr>
                              <w:ind w:left="720"/>
                              <w:rPr>
                                <w:sz w:val="22"/>
                                <w:szCs w:val="22"/>
                              </w:rPr>
                            </w:pPr>
                            <w:r w:rsidRPr="002B139A">
                              <w:rPr>
                                <w:sz w:val="22"/>
                                <w:szCs w:val="22"/>
                              </w:rPr>
                              <w:t xml:space="preserve">Data </w:t>
                            </w:r>
                            <w:r>
                              <w:rPr>
                                <w:sz w:val="22"/>
                                <w:szCs w:val="22"/>
                              </w:rPr>
                              <w:t xml:space="preserve">will be </w:t>
                            </w:r>
                            <w:r w:rsidRPr="002B139A">
                              <w:rPr>
                                <w:sz w:val="22"/>
                                <w:szCs w:val="22"/>
                              </w:rPr>
                              <w:t xml:space="preserve">analyzed using appropriate statistical software to account for the complexity of the survey design to compute weighted counts, percentages, and confidence intervals using </w:t>
                            </w:r>
                            <w:r>
                              <w:rPr>
                                <w:sz w:val="22"/>
                                <w:szCs w:val="22"/>
                              </w:rPr>
                              <w:t xml:space="preserve">probability-based survey </w:t>
                            </w:r>
                            <w:r w:rsidRPr="002B139A">
                              <w:rPr>
                                <w:sz w:val="22"/>
                                <w:szCs w:val="22"/>
                              </w:rPr>
                              <w:t>data</w:t>
                            </w:r>
                            <w:r>
                              <w:rPr>
                                <w:sz w:val="22"/>
                                <w:szCs w:val="22"/>
                              </w:rPr>
                              <w:t xml:space="preserve"> at the local level</w:t>
                            </w:r>
                            <w:r w:rsidRPr="002B139A">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DE31D5">
                <v:stroke joinstyle="miter"/>
                <v:path gradientshapeok="t" o:connecttype="rect"/>
              </v:shapetype>
              <v:shape id="Text Box 2" style="position:absolute;margin-left:-6.95pt;margin-top:47.15pt;width:491.4pt;height:59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">
                <v:textbox>
                  <w:txbxContent>
                    <w:p w:rsidRPr="002B139A" w:rsidR="008437FD" w:rsidP="00E35A86" w:rsidRDefault="008437FD" w14:paraId="4135CF38" w14:textId="76EFDEA4">
                      <w:pPr>
                        <w:rPr>
                          <w:sz w:val="22"/>
                          <w:szCs w:val="22"/>
                        </w:rPr>
                      </w:pPr>
                      <w:r w:rsidRPr="002B139A">
                        <w:rPr>
                          <w:sz w:val="22"/>
                          <w:szCs w:val="22"/>
                        </w:rPr>
                        <w:t>This request de</w:t>
                      </w:r>
                      <w:r>
                        <w:rPr>
                          <w:sz w:val="22"/>
                          <w:szCs w:val="22"/>
                        </w:rPr>
                        <w:t>scribes the Pilot Implementation of the Violence Against Children and Youth Survey (VACS) in the United States, which CDC has conducted in 24 countries globally and has adapted for a domestic context.</w:t>
                      </w:r>
                      <w:r w:rsidRPr="002B139A">
                        <w:rPr>
                          <w:sz w:val="22"/>
                          <w:szCs w:val="22"/>
                        </w:rPr>
                        <w:t xml:space="preserve"> More specifically, this request details </w:t>
                      </w:r>
                      <w:r>
                        <w:rPr>
                          <w:sz w:val="22"/>
                          <w:szCs w:val="22"/>
                        </w:rPr>
                        <w:t>the adaptations to the survey and methods for piloting the survey in one urban and one rural area of the United States.</w:t>
                      </w:r>
                    </w:p>
                    <w:p w:rsidRPr="002B139A" w:rsidR="008437FD" w:rsidP="00E35A86" w:rsidRDefault="008437FD" w14:paraId="485B7DB2" w14:textId="77777777">
                      <w:pPr>
                        <w:rPr>
                          <w:b/>
                          <w:sz w:val="22"/>
                          <w:szCs w:val="22"/>
                        </w:rPr>
                      </w:pPr>
                    </w:p>
                    <w:p w:rsidRPr="002B139A" w:rsidR="008437FD" w:rsidP="00E35A86" w:rsidRDefault="008437FD" w14:paraId="78F1F425" w14:textId="598E7FC4">
                      <w:pPr>
                        <w:rPr>
                          <w:b/>
                          <w:sz w:val="22"/>
                          <w:szCs w:val="22"/>
                        </w:rPr>
                      </w:pPr>
                      <w:r w:rsidRPr="002B139A">
                        <w:rPr>
                          <w:b/>
                          <w:sz w:val="22"/>
                          <w:szCs w:val="22"/>
                        </w:rPr>
                        <w:t xml:space="preserve">Goals of the </w:t>
                      </w:r>
                      <w:r>
                        <w:rPr>
                          <w:b/>
                          <w:sz w:val="22"/>
                          <w:szCs w:val="22"/>
                        </w:rPr>
                        <w:t>Pilot Test</w:t>
                      </w:r>
                      <w:r w:rsidRPr="002B139A">
                        <w:rPr>
                          <w:b/>
                          <w:sz w:val="22"/>
                          <w:szCs w:val="22"/>
                        </w:rPr>
                        <w:t xml:space="preserve">: </w:t>
                      </w:r>
                    </w:p>
                    <w:p w:rsidR="008437FD" w:rsidP="00C70415" w:rsidRDefault="008437FD" w14:paraId="56F605C9" w14:textId="0023FB33">
                      <w:pPr>
                        <w:numPr>
                          <w:ilvl w:val="0"/>
                          <w:numId w:val="29"/>
                        </w:numPr>
                        <w:ind w:left="714" w:hanging="357"/>
                        <w:rPr>
                          <w:sz w:val="22"/>
                          <w:szCs w:val="22"/>
                        </w:rPr>
                      </w:pPr>
                      <w:r w:rsidRPr="00C70415">
                        <w:rPr>
                          <w:sz w:val="22"/>
                          <w:szCs w:val="22"/>
                        </w:rPr>
                        <w:t>Adapt the Violence Against Children Surveys (VACS) methodolog</w:t>
                      </w:r>
                      <w:r>
                        <w:rPr>
                          <w:sz w:val="22"/>
                          <w:szCs w:val="22"/>
                        </w:rPr>
                        <w:t>y for implementation in the U.S.</w:t>
                      </w:r>
                    </w:p>
                    <w:p w:rsidRPr="00C70415" w:rsidR="008437FD" w:rsidP="00C70415" w:rsidRDefault="008437FD" w14:paraId="0963E456" w14:textId="2E8DB564">
                      <w:pPr>
                        <w:numPr>
                          <w:ilvl w:val="0"/>
                          <w:numId w:val="29"/>
                        </w:numPr>
                        <w:ind w:left="714" w:hanging="357"/>
                        <w:rPr>
                          <w:sz w:val="22"/>
                          <w:szCs w:val="22"/>
                        </w:rPr>
                      </w:pPr>
                      <w:r w:rsidRPr="00C70415">
                        <w:rPr>
                          <w:sz w:val="22"/>
                          <w:szCs w:val="22"/>
                        </w:rPr>
                        <w:t xml:space="preserve">Pilot the adapted VACS methodology in Baltimore </w:t>
                      </w:r>
                      <w:r>
                        <w:rPr>
                          <w:sz w:val="22"/>
                          <w:szCs w:val="22"/>
                        </w:rPr>
                        <w:t xml:space="preserve">using a representative sample of youth ages 13-24 </w:t>
                      </w:r>
                      <w:r w:rsidRPr="00C70415">
                        <w:rPr>
                          <w:sz w:val="22"/>
                          <w:szCs w:val="22"/>
                        </w:rPr>
                        <w:t xml:space="preserve">that yields results that are representative of the Baltimore youth population and collect pilot data </w:t>
                      </w:r>
                      <w:r>
                        <w:rPr>
                          <w:sz w:val="22"/>
                          <w:szCs w:val="22"/>
                        </w:rPr>
                        <w:t xml:space="preserve">with a convenience sample </w:t>
                      </w:r>
                      <w:r w:rsidRPr="00C70415">
                        <w:rPr>
                          <w:sz w:val="22"/>
                          <w:szCs w:val="22"/>
                        </w:rPr>
                        <w:t xml:space="preserve">in rural </w:t>
                      </w:r>
                      <w:r>
                        <w:rPr>
                          <w:sz w:val="22"/>
                          <w:szCs w:val="22"/>
                        </w:rPr>
                        <w:t>Garrett C</w:t>
                      </w:r>
                      <w:r w:rsidRPr="00C70415">
                        <w:rPr>
                          <w:sz w:val="22"/>
                          <w:szCs w:val="22"/>
                        </w:rPr>
                        <w:t>ounty in Maryland</w:t>
                      </w:r>
                      <w:r>
                        <w:rPr>
                          <w:sz w:val="22"/>
                          <w:szCs w:val="22"/>
                        </w:rPr>
                        <w:t xml:space="preserve"> </w:t>
                      </w:r>
                      <w:r w:rsidRPr="00161E58">
                        <w:rPr>
                          <w:sz w:val="22"/>
                          <w:szCs w:val="22"/>
                        </w:rPr>
                        <w:t>to test the VACS in-person methodology in a rural location</w:t>
                      </w:r>
                      <w:r w:rsidRPr="00C70415">
                        <w:rPr>
                          <w:sz w:val="22"/>
                          <w:szCs w:val="22"/>
                        </w:rPr>
                        <w:t>.</w:t>
                      </w:r>
                    </w:p>
                    <w:p w:rsidRPr="00C70415" w:rsidR="008437FD" w:rsidP="00C70415" w:rsidRDefault="008437FD" w14:paraId="7A1DEAA7" w14:textId="5E9DE9E8">
                      <w:pPr>
                        <w:numPr>
                          <w:ilvl w:val="0"/>
                          <w:numId w:val="29"/>
                        </w:numPr>
                        <w:ind w:left="714" w:hanging="357"/>
                        <w:rPr>
                          <w:sz w:val="22"/>
                          <w:szCs w:val="22"/>
                        </w:rPr>
                      </w:pPr>
                      <w:r w:rsidRPr="00C70415">
                        <w:rPr>
                          <w:sz w:val="22"/>
                          <w:szCs w:val="22"/>
                        </w:rPr>
                        <w:t xml:space="preserve">Estimate the prevalence of physical, emotional and sexual violence perpetrated </w:t>
                      </w:r>
                      <w:r>
                        <w:rPr>
                          <w:sz w:val="22"/>
                          <w:szCs w:val="22"/>
                        </w:rPr>
                        <w:t>against youth in Baltimore.</w:t>
                      </w:r>
                    </w:p>
                    <w:p w:rsidRPr="00C70415" w:rsidR="008437FD" w:rsidP="00C70415" w:rsidRDefault="008437FD" w14:paraId="68BFF2D7" w14:textId="77777777">
                      <w:pPr>
                        <w:numPr>
                          <w:ilvl w:val="0"/>
                          <w:numId w:val="29"/>
                        </w:numPr>
                        <w:ind w:left="714" w:hanging="357"/>
                        <w:rPr>
                          <w:sz w:val="22"/>
                          <w:szCs w:val="22"/>
                        </w:rPr>
                      </w:pPr>
                      <w:r w:rsidRPr="00C70415">
                        <w:rPr>
                          <w:sz w:val="22"/>
                          <w:szCs w:val="22"/>
                        </w:rPr>
                        <w:t>Identify risk and protective factors for physical, emotional and sexual violence against children to inform stakeholders and guide prevention efforts.</w:t>
                      </w:r>
                    </w:p>
                    <w:p w:rsidRPr="00C70415" w:rsidR="008437FD" w:rsidP="00C70415" w:rsidRDefault="008437FD" w14:paraId="26D40AC8" w14:textId="77777777">
                      <w:pPr>
                        <w:numPr>
                          <w:ilvl w:val="0"/>
                          <w:numId w:val="29"/>
                        </w:numPr>
                        <w:ind w:left="714" w:hanging="357"/>
                        <w:rPr>
                          <w:sz w:val="22"/>
                          <w:szCs w:val="22"/>
                        </w:rPr>
                      </w:pPr>
                      <w:r w:rsidRPr="00C70415">
                        <w:rPr>
                          <w:sz w:val="22"/>
                          <w:szCs w:val="22"/>
                        </w:rPr>
                        <w:t>Identify the health and social consequences associated with violence against children.</w:t>
                      </w:r>
                    </w:p>
                    <w:p w:rsidRPr="00C70415" w:rsidR="008437FD" w:rsidP="00C70415" w:rsidRDefault="008437FD" w14:paraId="2FAE6AFB" w14:textId="77777777">
                      <w:pPr>
                        <w:numPr>
                          <w:ilvl w:val="0"/>
                          <w:numId w:val="29"/>
                        </w:numPr>
                        <w:ind w:left="714" w:hanging="357"/>
                        <w:rPr>
                          <w:sz w:val="22"/>
                          <w:szCs w:val="22"/>
                        </w:rPr>
                      </w:pPr>
                      <w:r w:rsidRPr="00C70415">
                        <w:rPr>
                          <w:sz w:val="22"/>
                          <w:szCs w:val="22"/>
                        </w:rPr>
                        <w:t>Assess the knowledge and use of medical, psychosocial, legal, and protective services available for children who have experienced sexual, emotional and physical violence.</w:t>
                      </w:r>
                    </w:p>
                    <w:p w:rsidRPr="00C70415" w:rsidR="008437FD" w:rsidP="00C70415" w:rsidRDefault="008437FD" w14:paraId="514AEE3B" w14:textId="4D43E378">
                      <w:pPr>
                        <w:numPr>
                          <w:ilvl w:val="0"/>
                          <w:numId w:val="29"/>
                        </w:numPr>
                        <w:ind w:left="714" w:hanging="357"/>
                        <w:rPr>
                          <w:sz w:val="22"/>
                          <w:szCs w:val="22"/>
                        </w:rPr>
                      </w:pPr>
                      <w:r w:rsidRPr="00C70415">
                        <w:rPr>
                          <w:sz w:val="22"/>
                          <w:szCs w:val="22"/>
                        </w:rPr>
                        <w:t xml:space="preserve">Identify </w:t>
                      </w:r>
                      <w:r>
                        <w:rPr>
                          <w:sz w:val="22"/>
                          <w:szCs w:val="22"/>
                        </w:rPr>
                        <w:t xml:space="preserve">substantive </w:t>
                      </w:r>
                      <w:r w:rsidRPr="00C70415">
                        <w:rPr>
                          <w:sz w:val="22"/>
                          <w:szCs w:val="22"/>
                        </w:rPr>
                        <w:t>areas for further research.</w:t>
                      </w:r>
                    </w:p>
                    <w:p w:rsidRPr="00C70415" w:rsidR="008437FD" w:rsidP="00C70415" w:rsidRDefault="008437FD" w14:paraId="42A23F7A" w14:textId="77777777">
                      <w:pPr>
                        <w:pStyle w:val="ColorfulList-Accent11"/>
                        <w:numPr>
                          <w:ilvl w:val="0"/>
                          <w:numId w:val="29"/>
                        </w:numPr>
                        <w:spacing w:after="0" w:line="240" w:lineRule="auto"/>
                        <w:rPr>
                          <w:rFonts w:ascii="Times New Roman" w:hAnsi="Times New Roman"/>
                          <w:b/>
                          <w:bCs/>
                          <w:color w:val="000000"/>
                        </w:rPr>
                      </w:pPr>
                      <w:r w:rsidRPr="00C70415">
                        <w:rPr>
                          <w:rFonts w:ascii="Times New Roman" w:hAnsi="Times New Roman"/>
                          <w:color w:val="000000"/>
                        </w:rPr>
                        <w:t>Make recommendations to relevant organizations in Baltimore (and similar cities in the US) on developing, improving and enhancing prevention and response strategies to address violence against children as part of a larger, comprehensive, multi-sectoral approach to child protection.</w:t>
                      </w:r>
                    </w:p>
                    <w:p w:rsidRPr="00C70415" w:rsidR="008437FD" w:rsidP="00C70415" w:rsidRDefault="008437FD" w14:paraId="1A69D55E" w14:textId="77777777">
                      <w:pPr>
                        <w:ind w:left="720"/>
                        <w:contextualSpacing/>
                        <w:rPr>
                          <w:rFonts w:eastAsia="Calibri"/>
                          <w:sz w:val="22"/>
                          <w:szCs w:val="22"/>
                        </w:rPr>
                      </w:pPr>
                    </w:p>
                    <w:p w:rsidRPr="00C70415" w:rsidR="008437FD" w:rsidP="00C70415" w:rsidRDefault="008437FD" w14:paraId="692B2E5F" w14:textId="77777777">
                      <w:pPr>
                        <w:rPr>
                          <w:b/>
                          <w:sz w:val="22"/>
                          <w:szCs w:val="22"/>
                        </w:rPr>
                      </w:pPr>
                      <w:r w:rsidRPr="00C70415">
                        <w:rPr>
                          <w:b/>
                          <w:sz w:val="22"/>
                          <w:szCs w:val="22"/>
                        </w:rPr>
                        <w:t>Intended use of the resulting data.</w:t>
                      </w:r>
                    </w:p>
                    <w:p w:rsidR="008437FD" w:rsidP="00E35A86" w:rsidRDefault="008437FD" w14:paraId="41C44B54" w14:textId="5B48294C">
                      <w:pPr>
                        <w:ind w:left="720"/>
                        <w:rPr>
                          <w:sz w:val="22"/>
                          <w:szCs w:val="22"/>
                        </w:rPr>
                      </w:pPr>
                      <w:r w:rsidRPr="00BB70D0">
                        <w:rPr>
                          <w:sz w:val="22"/>
                          <w:szCs w:val="22"/>
                        </w:rPr>
                        <w:t xml:space="preserve">The findings from this pilot study will be used primarily to better understand the feasibility and effectiveness of implementing VACS in the U.S., which will ultimately inform </w:t>
                      </w:r>
                      <w:r>
                        <w:rPr>
                          <w:sz w:val="22"/>
                          <w:szCs w:val="22"/>
                        </w:rPr>
                        <w:t xml:space="preserve">CDC’s understanding of </w:t>
                      </w:r>
                      <w:r w:rsidRPr="00BB70D0">
                        <w:rPr>
                          <w:sz w:val="22"/>
                          <w:szCs w:val="22"/>
                        </w:rPr>
                        <w:t xml:space="preserve">the magnitude of violence against children, including sexual violence, and its underlying risk and protective factors in order to make recommendations to national and international agencies and non-governmental organizations on developing strategies to identify, treat and prevent violence against children. The CDC will be using the results of this survey to inform its violence prevention efforts and refine practices related to the protection of children. </w:t>
                      </w:r>
                    </w:p>
                    <w:p w:rsidRPr="002B139A" w:rsidR="008437FD" w:rsidP="00E35A86" w:rsidRDefault="008437FD" w14:paraId="73BAE43E" w14:textId="77777777">
                      <w:pPr>
                        <w:ind w:left="720"/>
                        <w:rPr>
                          <w:sz w:val="22"/>
                          <w:szCs w:val="22"/>
                        </w:rPr>
                      </w:pPr>
                    </w:p>
                    <w:p w:rsidRPr="002B139A" w:rsidR="008437FD" w:rsidP="00E35A86" w:rsidRDefault="008437FD" w14:paraId="228AB74D" w14:textId="77777777">
                      <w:pPr>
                        <w:rPr>
                          <w:b/>
                          <w:sz w:val="22"/>
                          <w:szCs w:val="22"/>
                        </w:rPr>
                      </w:pPr>
                      <w:r w:rsidRPr="002B139A">
                        <w:rPr>
                          <w:b/>
                          <w:sz w:val="22"/>
                          <w:szCs w:val="22"/>
                        </w:rPr>
                        <w:t>Methods to be used to collect data.</w:t>
                      </w:r>
                    </w:p>
                    <w:p w:rsidRPr="002B139A" w:rsidR="008437FD" w:rsidP="00E35A86" w:rsidRDefault="008437FD" w14:paraId="3EA6BA06" w14:textId="0AD55398">
                      <w:pPr>
                        <w:ind w:left="720"/>
                        <w:rPr>
                          <w:sz w:val="22"/>
                          <w:szCs w:val="22"/>
                        </w:rPr>
                      </w:pPr>
                      <w:r>
                        <w:rPr>
                          <w:sz w:val="22"/>
                          <w:szCs w:val="22"/>
                        </w:rPr>
                        <w:t xml:space="preserve">Data will be collected through in-person probability-based household surveys, which will be conducted using a combination of interviewer-administration and Audio Computer-Assisted Self-Interview (ACASI) Software on tablets. </w:t>
                      </w:r>
                    </w:p>
                    <w:p w:rsidRPr="002B139A" w:rsidR="008437FD" w:rsidP="00E35A86" w:rsidRDefault="008437FD" w14:paraId="1D3B42BC" w14:textId="77777777">
                      <w:pPr>
                        <w:ind w:left="720"/>
                        <w:rPr>
                          <w:sz w:val="22"/>
                          <w:szCs w:val="22"/>
                        </w:rPr>
                      </w:pPr>
                    </w:p>
                    <w:p w:rsidRPr="002B139A" w:rsidR="008437FD" w:rsidP="00E35A86" w:rsidRDefault="008437FD" w14:paraId="057BF5E0" w14:textId="77777777">
                      <w:pPr>
                        <w:rPr>
                          <w:b/>
                          <w:sz w:val="22"/>
                          <w:szCs w:val="22"/>
                        </w:rPr>
                      </w:pPr>
                      <w:r w:rsidRPr="002B139A">
                        <w:rPr>
                          <w:b/>
                          <w:sz w:val="22"/>
                          <w:szCs w:val="22"/>
                        </w:rPr>
                        <w:t>The subpopulation to be studied.</w:t>
                      </w:r>
                    </w:p>
                    <w:p w:rsidRPr="002B139A" w:rsidR="008437FD" w:rsidP="00E35A86" w:rsidRDefault="008437FD" w14:paraId="7F94421A" w14:textId="43F6BEAD">
                      <w:pPr>
                        <w:ind w:left="720"/>
                        <w:rPr>
                          <w:sz w:val="22"/>
                          <w:szCs w:val="22"/>
                        </w:rPr>
                      </w:pPr>
                      <w:r>
                        <w:rPr>
                          <w:sz w:val="22"/>
                          <w:szCs w:val="22"/>
                        </w:rPr>
                        <w:t xml:space="preserve">Youth ages 13-24 in urban Baltimore or rural Garrett County, Maryland who speak English. </w:t>
                      </w:r>
                    </w:p>
                    <w:p w:rsidRPr="002B139A" w:rsidR="008437FD" w:rsidP="00E35A86" w:rsidRDefault="008437FD" w14:paraId="75B8D455" w14:textId="77777777">
                      <w:pPr>
                        <w:ind w:left="720"/>
                        <w:rPr>
                          <w:sz w:val="22"/>
                          <w:szCs w:val="22"/>
                        </w:rPr>
                      </w:pPr>
                      <w:r w:rsidRPr="002B139A">
                        <w:rPr>
                          <w:sz w:val="22"/>
                          <w:szCs w:val="22"/>
                        </w:rPr>
                        <w:t xml:space="preserve"> </w:t>
                      </w:r>
                    </w:p>
                    <w:p w:rsidRPr="002B139A" w:rsidR="008437FD" w:rsidP="00E35A86" w:rsidRDefault="008437FD" w14:paraId="4EB6A881" w14:textId="77777777">
                      <w:pPr>
                        <w:rPr>
                          <w:b/>
                          <w:sz w:val="22"/>
                          <w:szCs w:val="22"/>
                        </w:rPr>
                      </w:pPr>
                      <w:r w:rsidRPr="002B139A">
                        <w:rPr>
                          <w:b/>
                          <w:sz w:val="22"/>
                          <w:szCs w:val="22"/>
                        </w:rPr>
                        <w:t xml:space="preserve">How data will be analyzed. </w:t>
                      </w:r>
                    </w:p>
                    <w:p w:rsidRPr="002B139A" w:rsidR="008437FD" w:rsidP="00E35A86" w:rsidRDefault="008437FD" w14:paraId="506B3ECB" w14:textId="71A676E4">
                      <w:pPr>
                        <w:ind w:left="720"/>
                        <w:rPr>
                          <w:sz w:val="22"/>
                          <w:szCs w:val="22"/>
                        </w:rPr>
                      </w:pPr>
                      <w:r w:rsidRPr="002B139A">
                        <w:rPr>
                          <w:sz w:val="22"/>
                          <w:szCs w:val="22"/>
                        </w:rPr>
                        <w:t xml:space="preserve">Data </w:t>
                      </w:r>
                      <w:r>
                        <w:rPr>
                          <w:sz w:val="22"/>
                          <w:szCs w:val="22"/>
                        </w:rPr>
                        <w:t xml:space="preserve">will be </w:t>
                      </w:r>
                      <w:r w:rsidRPr="002B139A">
                        <w:rPr>
                          <w:sz w:val="22"/>
                          <w:szCs w:val="22"/>
                        </w:rPr>
                        <w:t xml:space="preserve">analyzed using appropriate statistical software to account for the complexity of the survey design to compute weighted counts, percentages, and confidence intervals using </w:t>
                      </w:r>
                      <w:r>
                        <w:rPr>
                          <w:sz w:val="22"/>
                          <w:szCs w:val="22"/>
                        </w:rPr>
                        <w:t xml:space="preserve">probability-based survey </w:t>
                      </w:r>
                      <w:r w:rsidRPr="002B139A">
                        <w:rPr>
                          <w:sz w:val="22"/>
                          <w:szCs w:val="22"/>
                        </w:rPr>
                        <w:t>data</w:t>
                      </w:r>
                      <w:r>
                        <w:rPr>
                          <w:sz w:val="22"/>
                          <w:szCs w:val="22"/>
                        </w:rPr>
                        <w:t xml:space="preserve"> at the local level</w:t>
                      </w:r>
                      <w:r w:rsidRPr="002B139A">
                        <w:rPr>
                          <w:sz w:val="22"/>
                          <w:szCs w:val="22"/>
                        </w:rPr>
                        <w:t>.</w:t>
                      </w:r>
                    </w:p>
                  </w:txbxContent>
                </v:textbox>
                <w10:wrap type="square" anchorx="margin" anchory="margin"/>
              </v:shape>
            </w:pict>
          </mc:Fallback>
        </mc:AlternateContent>
      </w:r>
    </w:p>
    <w:p w:rsidR="00960423" w:rsidP="00AD7DB8" w:rsidRDefault="00960423" w14:paraId="5ACD6FBC" w14:textId="77777777">
      <w:pPr>
        <w:spacing w:line="276" w:lineRule="auto"/>
        <w:rPr>
          <w:rFonts w:asciiTheme="minorHAnsi" w:hAnsiTheme="minorHAnsi" w:cstheme="minorHAnsi"/>
          <w:b/>
          <w:bCs/>
        </w:rPr>
      </w:pPr>
    </w:p>
    <w:p w:rsidR="00960423" w:rsidP="00AD7DB8" w:rsidRDefault="00960423" w14:paraId="16445A0A" w14:textId="77777777">
      <w:pPr>
        <w:spacing w:line="276" w:lineRule="auto"/>
        <w:rPr>
          <w:rFonts w:asciiTheme="minorHAnsi" w:hAnsiTheme="minorHAnsi" w:cstheme="minorHAnsi"/>
          <w:b/>
          <w:bCs/>
        </w:rPr>
      </w:pPr>
    </w:p>
    <w:p w:rsidRPr="00E308E1" w:rsidR="00C77DF4" w:rsidP="00AD7DB8" w:rsidRDefault="00C77DF4" w14:paraId="1DA74F8D" w14:textId="08CFE3D2">
      <w:pPr>
        <w:spacing w:line="276" w:lineRule="auto"/>
        <w:rPr>
          <w:rFonts w:asciiTheme="minorHAnsi" w:hAnsiTheme="minorHAnsi" w:cstheme="minorHAnsi"/>
          <w:b/>
          <w:bCs/>
        </w:rPr>
      </w:pPr>
      <w:r w:rsidRPr="00E308E1">
        <w:rPr>
          <w:rFonts w:asciiTheme="minorHAnsi" w:hAnsiTheme="minorHAnsi" w:cstheme="minorHAnsi"/>
          <w:b/>
          <w:bCs/>
        </w:rPr>
        <w:lastRenderedPageBreak/>
        <w:t xml:space="preserve">A.  JUSTIFICATION </w:t>
      </w:r>
    </w:p>
    <w:p w:rsidRPr="00E308E1" w:rsidR="00C77DF4" w:rsidP="00AD7DB8" w:rsidRDefault="00C77DF4" w14:paraId="36A39869" w14:textId="0C4D1B58">
      <w:pPr>
        <w:autoSpaceDE w:val="0"/>
        <w:autoSpaceDN w:val="0"/>
        <w:adjustRightInd w:val="0"/>
        <w:spacing w:line="276" w:lineRule="auto"/>
        <w:rPr>
          <w:rFonts w:asciiTheme="minorHAnsi" w:hAnsiTheme="minorHAnsi" w:cstheme="minorHAnsi"/>
          <w:b/>
          <w:bCs/>
        </w:rPr>
      </w:pPr>
    </w:p>
    <w:p w:rsidRPr="00E308E1" w:rsidR="00C77DF4" w:rsidP="00AD7DB8" w:rsidRDefault="00C77DF4" w14:paraId="3D1AB2DC" w14:textId="287CA182">
      <w:pPr>
        <w:tabs>
          <w:tab w:val="left" w:pos="360"/>
        </w:tabs>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A.1. </w:t>
      </w:r>
      <w:r w:rsidRPr="00E308E1">
        <w:rPr>
          <w:rFonts w:asciiTheme="minorHAnsi" w:hAnsiTheme="minorHAnsi" w:cstheme="minorHAnsi"/>
          <w:b/>
          <w:bCs/>
        </w:rPr>
        <w:tab/>
        <w:t>Circumstances Making the Collection of Information Necessary</w:t>
      </w:r>
    </w:p>
    <w:p w:rsidRPr="00E308E1" w:rsidR="00C77DF4" w:rsidP="00AD7DB8" w:rsidRDefault="00C77DF4" w14:paraId="444C7D09" w14:textId="5A9583BA">
      <w:pPr>
        <w:spacing w:line="276" w:lineRule="auto"/>
        <w:rPr>
          <w:rFonts w:asciiTheme="minorHAnsi" w:hAnsiTheme="minorHAnsi" w:cstheme="minorHAnsi"/>
          <w:b/>
        </w:rPr>
      </w:pPr>
    </w:p>
    <w:p w:rsidR="00B61BC8" w:rsidP="00445ECB" w:rsidRDefault="00B61BC8" w14:paraId="7953175B" w14:textId="31E1C115">
      <w:pPr>
        <w:spacing w:line="276" w:lineRule="auto"/>
        <w:ind w:firstLine="720"/>
        <w:rPr>
          <w:rFonts w:asciiTheme="minorHAnsi" w:hAnsiTheme="minorHAnsi" w:cstheme="minorHAnsi"/>
        </w:rPr>
      </w:pPr>
      <w:r w:rsidRPr="00E308E1">
        <w:rPr>
          <w:rFonts w:asciiTheme="minorHAnsi" w:hAnsiTheme="minorHAnsi" w:cstheme="minorHAnsi"/>
        </w:rPr>
        <w:t xml:space="preserve">The CDC seeks OMB approval for </w:t>
      </w:r>
      <w:r w:rsidR="00F4415D">
        <w:rPr>
          <w:rFonts w:asciiTheme="minorHAnsi" w:hAnsiTheme="minorHAnsi" w:cstheme="minorHAnsi"/>
        </w:rPr>
        <w:t>up to</w:t>
      </w:r>
      <w:r w:rsidR="00CE4C17">
        <w:rPr>
          <w:rFonts w:asciiTheme="minorHAnsi" w:hAnsiTheme="minorHAnsi" w:cstheme="minorHAnsi"/>
        </w:rPr>
        <w:t xml:space="preserve"> </w:t>
      </w:r>
      <w:r w:rsidR="00F4415D">
        <w:rPr>
          <w:rFonts w:asciiTheme="minorHAnsi" w:hAnsiTheme="minorHAnsi" w:cstheme="minorHAnsi"/>
        </w:rPr>
        <w:t>3 years</w:t>
      </w:r>
      <w:r w:rsidRPr="00E308E1">
        <w:rPr>
          <w:rFonts w:asciiTheme="minorHAnsi" w:hAnsiTheme="minorHAnsi" w:cstheme="minorHAnsi"/>
        </w:rPr>
        <w:t xml:space="preserve"> of data collection to conduct a pilot test of the Violence Against Children and Youth Surveys (VACS) in the United States, specifically in Baltimore and Garrett County, Maryland. In recent years, the Violence Against Children and Youth Surveys (VACS) have been implemented in 24 countries across Africa, Southeast Asia, Eastern Europe in Central and South America, yielding nationally representative and sub-national data on the burden, contexts, and consequences of violence against children and youth.</w:t>
      </w:r>
      <w:r w:rsidRPr="00E308E1">
        <w:rPr>
          <w:rStyle w:val="EndnoteReference"/>
          <w:rFonts w:asciiTheme="minorHAnsi" w:hAnsiTheme="minorHAnsi" w:cstheme="minorHAnsi"/>
        </w:rPr>
        <w:endnoteReference w:id="1"/>
      </w:r>
      <w:r w:rsidRPr="00E308E1">
        <w:rPr>
          <w:rFonts w:asciiTheme="minorHAnsi" w:hAnsiTheme="minorHAnsi" w:cstheme="minorHAnsi"/>
        </w:rPr>
        <w:t xml:space="preserve"> </w:t>
      </w:r>
    </w:p>
    <w:p w:rsidRPr="00E308E1" w:rsidR="00B61BC8" w:rsidP="00AD7DB8" w:rsidRDefault="00B61BC8" w14:paraId="2BB98BC7" w14:textId="77777777">
      <w:pPr>
        <w:spacing w:line="276" w:lineRule="auto"/>
        <w:rPr>
          <w:rFonts w:asciiTheme="minorHAnsi" w:hAnsiTheme="minorHAnsi" w:cstheme="minorHAnsi"/>
          <w:b/>
          <w:i/>
        </w:rPr>
      </w:pPr>
    </w:p>
    <w:p w:rsidRPr="00E308E1" w:rsidR="00F478D2" w:rsidP="00445ECB" w:rsidRDefault="00FA56F7" w14:paraId="7F34AEF5" w14:textId="60FFBF41">
      <w:pPr>
        <w:spacing w:after="200" w:line="276" w:lineRule="auto"/>
        <w:ind w:firstLine="720"/>
        <w:rPr>
          <w:rFonts w:asciiTheme="minorHAnsi" w:hAnsiTheme="minorHAnsi" w:eastAsiaTheme="minorHAnsi" w:cstheme="minorHAnsi"/>
        </w:rPr>
      </w:pPr>
      <w:r w:rsidRPr="00E308E1">
        <w:rPr>
          <w:rFonts w:asciiTheme="minorHAnsi" w:hAnsiTheme="minorHAnsi" w:eastAsiaTheme="minorHAnsi" w:cstheme="minorHAnsi"/>
          <w:color w:val="000000"/>
        </w:rPr>
        <w:t xml:space="preserve">Violence against children is a global human rights violation that spans every country worldwide and affects </w:t>
      </w:r>
      <w:r w:rsidR="00AF7727">
        <w:rPr>
          <w:rFonts w:asciiTheme="minorHAnsi" w:hAnsiTheme="minorHAnsi" w:eastAsiaTheme="minorHAnsi" w:cstheme="minorHAnsi"/>
          <w:color w:val="000000"/>
        </w:rPr>
        <w:t>a billion</w:t>
      </w:r>
      <w:r w:rsidRPr="00E308E1">
        <w:rPr>
          <w:rFonts w:asciiTheme="minorHAnsi" w:hAnsiTheme="minorHAnsi" w:eastAsiaTheme="minorHAnsi" w:cstheme="minorHAnsi"/>
          <w:color w:val="000000"/>
        </w:rPr>
        <w:t xml:space="preserve"> children each year.</w:t>
      </w:r>
      <w:r w:rsidR="00AF7727">
        <w:rPr>
          <w:rStyle w:val="EndnoteReference"/>
          <w:rFonts w:asciiTheme="minorHAnsi" w:hAnsiTheme="minorHAnsi" w:eastAsiaTheme="minorHAnsi" w:cstheme="minorHAnsi"/>
          <w:color w:val="000000"/>
        </w:rPr>
        <w:endnoteReference w:id="2"/>
      </w:r>
      <w:r w:rsidRPr="00E308E1">
        <w:rPr>
          <w:rFonts w:asciiTheme="minorHAnsi" w:hAnsiTheme="minorHAnsi" w:eastAsiaTheme="minorHAnsi" w:cstheme="minorHAnsi"/>
          <w:color w:val="000000"/>
        </w:rPr>
        <w:t xml:space="preserve"> </w:t>
      </w:r>
      <w:r w:rsidRPr="00E308E1">
        <w:rPr>
          <w:rFonts w:asciiTheme="minorHAnsi" w:hAnsiTheme="minorHAnsi" w:eastAsiaTheme="minorHAnsi" w:cstheme="minorHAnsi"/>
        </w:rPr>
        <w:t xml:space="preserve">In the US, a large number of </w:t>
      </w:r>
      <w:r w:rsidRPr="00E308E1" w:rsidR="00255E4A">
        <w:rPr>
          <w:rFonts w:asciiTheme="minorHAnsi" w:hAnsiTheme="minorHAnsi" w:eastAsiaTheme="minorHAnsi" w:cstheme="minorHAnsi"/>
        </w:rPr>
        <w:t>youths</w:t>
      </w:r>
      <w:r w:rsidRPr="00E308E1">
        <w:rPr>
          <w:rFonts w:asciiTheme="minorHAnsi" w:hAnsiTheme="minorHAnsi" w:eastAsiaTheme="minorHAnsi" w:cstheme="minorHAnsi"/>
        </w:rPr>
        <w:t xml:space="preserve"> are the victims of multiple forms of violence and abuse. </w:t>
      </w:r>
      <w:r w:rsidR="00AF7727">
        <w:rPr>
          <w:rFonts w:asciiTheme="minorHAnsi" w:hAnsiTheme="minorHAnsi" w:eastAsiaTheme="minorHAnsi" w:cstheme="minorHAnsi"/>
        </w:rPr>
        <w:t>An estimated 10 million</w:t>
      </w:r>
      <w:r w:rsidRPr="00E308E1">
        <w:rPr>
          <w:rFonts w:asciiTheme="minorHAnsi" w:hAnsiTheme="minorHAnsi" w:eastAsiaTheme="minorHAnsi" w:cstheme="minorHAnsi"/>
        </w:rPr>
        <w:t xml:space="preserve"> children in the US</w:t>
      </w:r>
      <w:r w:rsidR="007C77D7">
        <w:rPr>
          <w:rFonts w:asciiTheme="minorHAnsi" w:hAnsiTheme="minorHAnsi" w:eastAsiaTheme="minorHAnsi" w:cstheme="minorHAnsi"/>
        </w:rPr>
        <w:t xml:space="preserve"> </w:t>
      </w:r>
      <w:r w:rsidRPr="00E308E1">
        <w:rPr>
          <w:rFonts w:asciiTheme="minorHAnsi" w:hAnsiTheme="minorHAnsi" w:eastAsiaTheme="minorHAnsi" w:cstheme="minorHAnsi"/>
        </w:rPr>
        <w:t>have experienced child abuse and neglect (CAN)</w:t>
      </w:r>
      <w:r w:rsidR="00F478D2">
        <w:rPr>
          <w:rFonts w:asciiTheme="minorHAnsi" w:hAnsiTheme="minorHAnsi" w:eastAsiaTheme="minorHAnsi" w:cstheme="minorHAnsi"/>
        </w:rPr>
        <w:t>,</w:t>
      </w:r>
      <w:r w:rsidRPr="00AF7727" w:rsidR="00AF7727">
        <w:rPr>
          <w:rFonts w:asciiTheme="minorHAnsi" w:hAnsiTheme="minorHAnsi" w:eastAsiaTheme="minorHAnsi" w:cstheme="minorHAnsi"/>
          <w:vertAlign w:val="superscript"/>
        </w:rPr>
        <w:t xml:space="preserve"> </w:t>
      </w:r>
      <w:r w:rsidRPr="00E308E1" w:rsidR="00AF7727">
        <w:rPr>
          <w:rFonts w:asciiTheme="minorHAnsi" w:hAnsiTheme="minorHAnsi" w:eastAsiaTheme="minorHAnsi" w:cstheme="minorHAnsi"/>
          <w:vertAlign w:val="superscript"/>
        </w:rPr>
        <w:endnoteReference w:id="3"/>
      </w:r>
      <w:r w:rsidRPr="00E308E1" w:rsidR="00AF7727">
        <w:rPr>
          <w:rFonts w:asciiTheme="minorHAnsi" w:hAnsiTheme="minorHAnsi" w:eastAsiaTheme="minorHAnsi" w:cstheme="minorHAnsi"/>
        </w:rPr>
        <w:t xml:space="preserve"> </w:t>
      </w:r>
      <w:r w:rsidR="00AF7727">
        <w:rPr>
          <w:rStyle w:val="EndnoteReference"/>
          <w:rFonts w:asciiTheme="minorHAnsi" w:hAnsiTheme="minorHAnsi" w:eastAsiaTheme="minorHAnsi" w:cstheme="minorHAnsi"/>
        </w:rPr>
        <w:endnoteReference w:id="4"/>
      </w:r>
      <w:r w:rsidRPr="00E308E1">
        <w:rPr>
          <w:rFonts w:asciiTheme="minorHAnsi" w:hAnsiTheme="minorHAnsi" w:eastAsiaTheme="minorHAnsi" w:cstheme="minorHAnsi"/>
        </w:rPr>
        <w:t xml:space="preserve">  </w:t>
      </w:r>
      <w:r w:rsidR="00F478D2">
        <w:rPr>
          <w:rFonts w:asciiTheme="minorHAnsi" w:hAnsiTheme="minorHAnsi" w:eastAsiaTheme="minorHAnsi" w:cstheme="minorHAnsi"/>
        </w:rPr>
        <w:t>while approximately</w:t>
      </w:r>
      <w:r w:rsidRPr="00E308E1" w:rsidR="00F478D2">
        <w:rPr>
          <w:rFonts w:asciiTheme="minorHAnsi" w:hAnsiTheme="minorHAnsi" w:eastAsiaTheme="minorHAnsi" w:cstheme="minorHAnsi"/>
        </w:rPr>
        <w:t xml:space="preserve"> 676,000 victims of CAN were reported to child protective services in 2016.</w:t>
      </w:r>
      <w:r w:rsidR="003A5B3C">
        <w:rPr>
          <w:rStyle w:val="EndnoteReference"/>
          <w:rFonts w:cstheme="minorHAnsi"/>
        </w:rPr>
        <w:endnoteReference w:id="5"/>
      </w:r>
      <w:r w:rsidR="003A5B3C">
        <w:rPr>
          <w:rFonts w:asciiTheme="minorHAnsi" w:hAnsiTheme="minorHAnsi" w:eastAsiaTheme="minorHAnsi" w:cstheme="minorHAnsi"/>
        </w:rPr>
        <w:t xml:space="preserve"> </w:t>
      </w:r>
      <w:r w:rsidR="00F478D2">
        <w:rPr>
          <w:rFonts w:asciiTheme="minorHAnsi" w:hAnsiTheme="minorHAnsi" w:eastAsiaTheme="minorHAnsi" w:cstheme="minorHAnsi"/>
        </w:rPr>
        <w:t>E</w:t>
      </w:r>
      <w:r w:rsidRPr="00E308E1" w:rsidR="00F478D2">
        <w:rPr>
          <w:rFonts w:asciiTheme="minorHAnsi" w:hAnsiTheme="minorHAnsi" w:eastAsiaTheme="minorHAnsi" w:cstheme="minorHAnsi"/>
        </w:rPr>
        <w:t>ach day</w:t>
      </w:r>
      <w:r w:rsidR="00F478D2">
        <w:rPr>
          <w:rFonts w:asciiTheme="minorHAnsi" w:hAnsiTheme="minorHAnsi" w:eastAsiaTheme="minorHAnsi" w:cstheme="minorHAnsi"/>
        </w:rPr>
        <w:t>,</w:t>
      </w:r>
      <w:r w:rsidRPr="00E308E1" w:rsidR="00F478D2">
        <w:rPr>
          <w:rFonts w:asciiTheme="minorHAnsi" w:hAnsiTheme="minorHAnsi" w:eastAsiaTheme="minorHAnsi" w:cstheme="minorHAnsi"/>
        </w:rPr>
        <w:t xml:space="preserve"> about a dozen youth are victims of homicide</w:t>
      </w:r>
      <w:r w:rsidR="00F478D2">
        <w:rPr>
          <w:rFonts w:asciiTheme="minorHAnsi" w:hAnsiTheme="minorHAnsi" w:eastAsiaTheme="minorHAnsi" w:cstheme="minorHAnsi"/>
        </w:rPr>
        <w:t xml:space="preserve"> and</w:t>
      </w:r>
      <w:r w:rsidR="00815F54">
        <w:rPr>
          <w:rFonts w:asciiTheme="minorHAnsi" w:hAnsiTheme="minorHAnsi" w:eastAsiaTheme="minorHAnsi" w:cstheme="minorHAnsi"/>
        </w:rPr>
        <w:t xml:space="preserve"> </w:t>
      </w:r>
      <w:r w:rsidRPr="00E308E1" w:rsidR="00F478D2">
        <w:rPr>
          <w:rFonts w:asciiTheme="minorHAnsi" w:hAnsiTheme="minorHAnsi" w:eastAsiaTheme="minorHAnsi" w:cstheme="minorHAnsi"/>
        </w:rPr>
        <w:t>more than a 100 times that number (~1,400) are treated annually in emergency rooms for physical assault injuries.</w:t>
      </w:r>
      <w:r w:rsidRPr="00E308E1" w:rsidR="00F478D2">
        <w:rPr>
          <w:rFonts w:asciiTheme="minorHAnsi" w:hAnsiTheme="minorHAnsi" w:eastAsiaTheme="minorHAnsi" w:cstheme="minorHAnsi"/>
          <w:vertAlign w:val="superscript"/>
        </w:rPr>
        <w:endnoteReference w:id="6"/>
      </w:r>
      <w:r w:rsidRPr="00E308E1" w:rsidR="00F478D2">
        <w:rPr>
          <w:rFonts w:asciiTheme="minorHAnsi" w:hAnsiTheme="minorHAnsi" w:eastAsiaTheme="minorHAnsi" w:cstheme="minorHAnsi"/>
        </w:rPr>
        <w:t xml:space="preserve"> Youth are also involved in high levels of peer violence, which is one of the leading causes of death for people ages 10-24.</w:t>
      </w:r>
      <w:r w:rsidR="00F478D2">
        <w:rPr>
          <w:rStyle w:val="EndnoteReference"/>
          <w:rFonts w:asciiTheme="minorHAnsi" w:hAnsiTheme="minorHAnsi" w:eastAsiaTheme="minorHAnsi" w:cstheme="minorHAnsi"/>
        </w:rPr>
        <w:endnoteReference w:id="7"/>
      </w:r>
      <w:r w:rsidRPr="00E308E1" w:rsidR="00F478D2">
        <w:rPr>
          <w:rFonts w:asciiTheme="minorHAnsi" w:hAnsiTheme="minorHAnsi" w:eastAsiaTheme="minorHAnsi" w:cstheme="minorHAnsi"/>
        </w:rPr>
        <w:t xml:space="preserve">  Among U.S. high school students, YRBS data indicate that past-year prevalence of physical fighting (23.6%), school bullying (19.0%), electronic bullying (14.9%), physical dating violence (8.0%), sexual violence (9.7%), attempted suicide (7.4%), and lifetime prevalence of forced sexual intercourse (7.4%) demonstrate that violence is common among youth in the US.</w:t>
      </w:r>
      <w:r w:rsidRPr="00E308E1" w:rsidR="00F478D2">
        <w:rPr>
          <w:rFonts w:asciiTheme="minorHAnsi" w:hAnsiTheme="minorHAnsi" w:eastAsiaTheme="minorHAnsi" w:cstheme="minorHAnsi"/>
          <w:vertAlign w:val="superscript"/>
        </w:rPr>
        <w:endnoteReference w:id="8"/>
      </w:r>
      <w:r w:rsidRPr="00E308E1" w:rsidR="00F478D2">
        <w:rPr>
          <w:rFonts w:asciiTheme="minorHAnsi" w:hAnsiTheme="minorHAnsi" w:eastAsiaTheme="minorHAnsi" w:cstheme="minorHAnsi"/>
        </w:rPr>
        <w:t xml:space="preserve"> </w:t>
      </w:r>
    </w:p>
    <w:p w:rsidRPr="005C27A8" w:rsidR="002153E0" w:rsidP="00AD7DB8" w:rsidRDefault="00035936" w14:paraId="71E14BE4" w14:textId="70222818">
      <w:pPr>
        <w:spacing w:after="200" w:line="276" w:lineRule="auto"/>
        <w:rPr>
          <w:rFonts w:asciiTheme="minorHAnsi" w:hAnsiTheme="minorHAnsi" w:eastAsiaTheme="minorHAnsi" w:cstheme="minorHAnsi"/>
        </w:rPr>
      </w:pPr>
      <w:r>
        <w:rPr>
          <w:rFonts w:asciiTheme="minorHAnsi" w:hAnsiTheme="minorHAnsi" w:eastAsiaTheme="minorHAnsi" w:cstheme="minorHAnsi"/>
        </w:rPr>
        <w:t xml:space="preserve"> </w:t>
      </w:r>
      <w:r w:rsidR="00445ECB">
        <w:rPr>
          <w:rFonts w:asciiTheme="minorHAnsi" w:hAnsiTheme="minorHAnsi" w:eastAsiaTheme="minorHAnsi" w:cstheme="minorHAnsi"/>
        </w:rPr>
        <w:tab/>
      </w:r>
      <w:r w:rsidRPr="00E308E1" w:rsidR="00FA56F7">
        <w:rPr>
          <w:rFonts w:asciiTheme="minorHAnsi" w:hAnsiTheme="minorHAnsi" w:eastAsiaTheme="minorHAnsi" w:cstheme="minorHAnsi"/>
        </w:rPr>
        <w:t>A body of research has shown that t</w:t>
      </w:r>
      <w:r w:rsidRPr="00E308E1" w:rsidR="00FA56F7">
        <w:rPr>
          <w:rFonts w:asciiTheme="minorHAnsi" w:hAnsiTheme="minorHAnsi" w:eastAsiaTheme="minorHAnsi" w:cstheme="minorHAnsi"/>
          <w:color w:val="000000"/>
        </w:rPr>
        <w:t>he impact of violence against children goes far beyond the initial incident, and that those who have experienced emotional, physical, and sexual violence can experience severe short to long-term health and social consequences.</w:t>
      </w:r>
      <w:r w:rsidRPr="00E308E1" w:rsidR="00FA56F7">
        <w:rPr>
          <w:rFonts w:asciiTheme="minorHAnsi" w:hAnsiTheme="minorHAnsi" w:eastAsiaTheme="minorHAnsi" w:cstheme="minorHAnsi"/>
          <w:color w:val="000000"/>
          <w:vertAlign w:val="superscript"/>
        </w:rPr>
        <w:endnoteReference w:id="9"/>
      </w:r>
      <w:r w:rsidRPr="00E308E1" w:rsidR="00FA56F7">
        <w:rPr>
          <w:rFonts w:asciiTheme="minorHAnsi" w:hAnsiTheme="minorHAnsi" w:eastAsiaTheme="minorHAnsi" w:cstheme="minorHAnsi"/>
          <w:color w:val="000000"/>
        </w:rPr>
        <w:t xml:space="preserve"> </w:t>
      </w:r>
      <w:r w:rsidRPr="00E308E1" w:rsidR="00F478D2">
        <w:rPr>
          <w:rFonts w:asciiTheme="minorHAnsi" w:hAnsiTheme="minorHAnsi" w:eastAsiaTheme="minorHAnsi" w:cstheme="minorHAnsi"/>
        </w:rPr>
        <w:t>CAN has serious negative physical health effects and is associated with a variety of chronic diseases as adults.</w:t>
      </w:r>
      <w:r w:rsidRPr="00E308E1" w:rsidR="00F478D2">
        <w:rPr>
          <w:rFonts w:asciiTheme="minorHAnsi" w:hAnsiTheme="minorHAnsi" w:eastAsiaTheme="minorHAnsi" w:cstheme="minorHAnsi"/>
          <w:vertAlign w:val="superscript"/>
        </w:rPr>
        <w:endnoteReference w:id="10"/>
      </w:r>
      <w:r w:rsidRPr="00E308E1" w:rsidR="00F478D2">
        <w:rPr>
          <w:rFonts w:asciiTheme="minorHAnsi" w:hAnsiTheme="minorHAnsi" w:eastAsiaTheme="minorHAnsi" w:cstheme="minorHAnsi"/>
        </w:rPr>
        <w:t xml:space="preserve">  Victims of CAN also suffer from negative psychological sequelae</w:t>
      </w:r>
      <w:r w:rsidRPr="00E308E1" w:rsidR="00F478D2">
        <w:rPr>
          <w:rFonts w:asciiTheme="minorHAnsi" w:hAnsiTheme="minorHAnsi" w:eastAsiaTheme="minorHAnsi" w:cstheme="minorHAnsi"/>
          <w:vertAlign w:val="superscript"/>
        </w:rPr>
        <w:endnoteReference w:id="11"/>
      </w:r>
      <w:r w:rsidRPr="00E308E1" w:rsidR="00F478D2">
        <w:rPr>
          <w:rFonts w:asciiTheme="minorHAnsi" w:hAnsiTheme="minorHAnsi" w:eastAsiaTheme="minorHAnsi" w:cstheme="minorHAnsi"/>
        </w:rPr>
        <w:t xml:space="preserve"> and increased risk for smoking, alcoholism, and drug abuse.</w:t>
      </w:r>
      <w:r w:rsidRPr="00E308E1" w:rsidR="00F478D2">
        <w:rPr>
          <w:rFonts w:asciiTheme="minorHAnsi" w:hAnsiTheme="minorHAnsi" w:eastAsiaTheme="minorHAnsi" w:cstheme="minorHAnsi"/>
          <w:vertAlign w:val="superscript"/>
        </w:rPr>
        <w:endnoteReference w:id="12"/>
      </w:r>
      <w:r w:rsidRPr="00E308E1" w:rsidR="00F478D2">
        <w:rPr>
          <w:rFonts w:asciiTheme="minorHAnsi" w:hAnsiTheme="minorHAnsi" w:eastAsiaTheme="minorHAnsi" w:cstheme="minorHAnsi"/>
        </w:rPr>
        <w:t xml:space="preserve"> </w:t>
      </w:r>
      <w:r w:rsidRPr="00E308E1" w:rsidR="00F478D2">
        <w:rPr>
          <w:rFonts w:asciiTheme="minorHAnsi" w:hAnsiTheme="minorHAnsi" w:eastAsiaTheme="minorHAnsi" w:cstheme="minorHAnsi"/>
          <w:color w:val="000000"/>
        </w:rPr>
        <w:t>Neurobiological and behavioral research indicates that early childhood exposure to violence can affect brain development and thereby increase the child’s susceptibility to a range of mental and physical health problems that can span into adulthood including anxiety or depressive disorders, cardiovascular health problems, and diabetes.</w:t>
      </w:r>
      <w:r w:rsidRPr="00E308E1" w:rsidR="00F478D2">
        <w:rPr>
          <w:rFonts w:asciiTheme="minorHAnsi" w:hAnsiTheme="minorHAnsi" w:eastAsiaTheme="minorHAnsi" w:cstheme="minorHAnsi"/>
          <w:color w:val="000000"/>
          <w:vertAlign w:val="superscript"/>
        </w:rPr>
        <w:endnoteReference w:id="13"/>
      </w:r>
      <w:r w:rsidRPr="00E308E1" w:rsidR="00F478D2">
        <w:rPr>
          <w:rFonts w:asciiTheme="minorHAnsi" w:hAnsiTheme="minorHAnsi" w:eastAsiaTheme="minorHAnsi" w:cstheme="minorHAnsi"/>
          <w:color w:val="000000"/>
          <w:vertAlign w:val="superscript"/>
        </w:rPr>
        <w:t>,</w:t>
      </w:r>
      <w:r w:rsidRPr="00E308E1" w:rsidR="00F478D2">
        <w:rPr>
          <w:rFonts w:asciiTheme="minorHAnsi" w:hAnsiTheme="minorHAnsi" w:eastAsiaTheme="minorHAnsi" w:cstheme="minorHAnsi"/>
          <w:color w:val="000000"/>
          <w:vertAlign w:val="superscript"/>
        </w:rPr>
        <w:endnoteReference w:id="14"/>
      </w:r>
      <w:r w:rsidRPr="00E308E1" w:rsidR="00F478D2">
        <w:rPr>
          <w:rFonts w:asciiTheme="minorHAnsi" w:hAnsiTheme="minorHAnsi" w:eastAsiaTheme="minorHAnsi" w:cstheme="minorHAnsi"/>
          <w:color w:val="000000"/>
          <w:vertAlign w:val="superscript"/>
        </w:rPr>
        <w:t>,</w:t>
      </w:r>
      <w:r w:rsidRPr="00E308E1" w:rsidR="00F478D2">
        <w:rPr>
          <w:rFonts w:asciiTheme="minorHAnsi" w:hAnsiTheme="minorHAnsi" w:eastAsiaTheme="minorHAnsi" w:cstheme="minorHAnsi"/>
          <w:color w:val="000000"/>
          <w:vertAlign w:val="superscript"/>
        </w:rPr>
        <w:endnoteReference w:id="15"/>
      </w:r>
      <w:r w:rsidR="005C27A8">
        <w:rPr>
          <w:rFonts w:asciiTheme="minorHAnsi" w:hAnsiTheme="minorHAnsi" w:eastAsiaTheme="minorHAnsi" w:cstheme="minorHAnsi"/>
        </w:rPr>
        <w:t xml:space="preserve"> </w:t>
      </w:r>
      <w:r w:rsidRPr="00F4415D" w:rsidR="002153E0">
        <w:rPr>
          <w:rFonts w:asciiTheme="minorHAnsi" w:hAnsiTheme="minorHAnsi" w:eastAsiaTheme="minorHAnsi" w:cstheme="minorHAnsi"/>
        </w:rPr>
        <w:t>Youth violence is associated with poorer academic performanc</w:t>
      </w:r>
      <w:r w:rsidRPr="00FA56F7" w:rsidR="002153E0">
        <w:rPr>
          <w:rFonts w:asciiTheme="minorHAnsi" w:hAnsiTheme="minorHAnsi" w:eastAsiaTheme="minorHAnsi" w:cstheme="minorHAnsi"/>
          <w:sz w:val="22"/>
          <w:szCs w:val="22"/>
        </w:rPr>
        <w:t>e,</w:t>
      </w:r>
      <w:r w:rsidRPr="00FA56F7" w:rsidR="002153E0">
        <w:rPr>
          <w:rFonts w:asciiTheme="minorHAnsi" w:hAnsiTheme="minorHAnsi" w:eastAsiaTheme="minorHAnsi" w:cstheme="minorHAnsi"/>
          <w:sz w:val="22"/>
          <w:szCs w:val="22"/>
          <w:vertAlign w:val="superscript"/>
        </w:rPr>
        <w:endnoteReference w:id="16"/>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17"/>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18"/>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19"/>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20"/>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21"/>
      </w:r>
      <w:r w:rsidRPr="00FA56F7" w:rsidR="002153E0">
        <w:rPr>
          <w:rFonts w:asciiTheme="minorHAnsi" w:hAnsiTheme="minorHAnsi" w:eastAsiaTheme="minorHAnsi" w:cstheme="minorHAnsi"/>
          <w:sz w:val="22"/>
          <w:szCs w:val="22"/>
        </w:rPr>
        <w:t xml:space="preserve"> </w:t>
      </w:r>
      <w:r w:rsidRPr="00F4415D" w:rsidR="002153E0">
        <w:rPr>
          <w:rFonts w:asciiTheme="minorHAnsi" w:hAnsiTheme="minorHAnsi" w:eastAsiaTheme="minorHAnsi" w:cstheme="minorHAnsi"/>
        </w:rPr>
        <w:t>suspension, unexcused absences</w:t>
      </w:r>
      <w:r w:rsidRPr="00FA56F7" w:rsidR="002153E0">
        <w:rPr>
          <w:rFonts w:asciiTheme="minorHAnsi" w:hAnsiTheme="minorHAnsi" w:eastAsiaTheme="minorHAnsi" w:cstheme="minorHAnsi"/>
          <w:sz w:val="22"/>
          <w:szCs w:val="22"/>
        </w:rPr>
        <w:t>,</w:t>
      </w:r>
      <w:r w:rsidRPr="00FA56F7" w:rsidR="002153E0">
        <w:rPr>
          <w:rFonts w:asciiTheme="minorHAnsi" w:hAnsiTheme="minorHAnsi" w:eastAsiaTheme="minorHAnsi" w:cstheme="minorHAnsi"/>
          <w:sz w:val="22"/>
          <w:szCs w:val="22"/>
          <w:vertAlign w:val="superscript"/>
        </w:rPr>
        <w:endnoteReference w:id="22"/>
      </w:r>
      <w:r w:rsidRPr="00FA56F7" w:rsidR="002153E0">
        <w:rPr>
          <w:rFonts w:asciiTheme="minorHAnsi" w:hAnsiTheme="minorHAnsi" w:eastAsiaTheme="minorHAnsi" w:cstheme="minorHAnsi"/>
          <w:sz w:val="22"/>
          <w:szCs w:val="22"/>
        </w:rPr>
        <w:t xml:space="preserve"> </w:t>
      </w:r>
      <w:r w:rsidRPr="00F4415D" w:rsidR="002153E0">
        <w:rPr>
          <w:rFonts w:asciiTheme="minorHAnsi" w:hAnsiTheme="minorHAnsi" w:eastAsiaTheme="minorHAnsi" w:cstheme="minorHAnsi"/>
        </w:rPr>
        <w:t>higher dropout rates</w:t>
      </w:r>
      <w:r w:rsidRPr="00FA56F7" w:rsidR="002153E0">
        <w:rPr>
          <w:rFonts w:asciiTheme="minorHAnsi" w:hAnsiTheme="minorHAnsi" w:eastAsiaTheme="minorHAnsi" w:cstheme="minorHAnsi"/>
          <w:sz w:val="22"/>
          <w:szCs w:val="22"/>
        </w:rPr>
        <w:t>,</w:t>
      </w:r>
      <w:r w:rsidRPr="00FA56F7" w:rsidR="002153E0">
        <w:rPr>
          <w:rFonts w:asciiTheme="minorHAnsi" w:hAnsiTheme="minorHAnsi" w:eastAsiaTheme="minorHAnsi" w:cstheme="minorHAnsi"/>
          <w:sz w:val="22"/>
          <w:szCs w:val="22"/>
          <w:vertAlign w:val="superscript"/>
        </w:rPr>
        <w:endnoteReference w:id="23"/>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24"/>
      </w:r>
      <w:r w:rsidRPr="00FA56F7" w:rsidR="002153E0">
        <w:rPr>
          <w:rFonts w:asciiTheme="minorHAnsi" w:hAnsiTheme="minorHAnsi" w:eastAsiaTheme="minorHAnsi" w:cstheme="minorHAnsi"/>
          <w:sz w:val="22"/>
          <w:szCs w:val="22"/>
        </w:rPr>
        <w:t xml:space="preserve"> </w:t>
      </w:r>
      <w:r w:rsidRPr="00F4415D" w:rsidR="002153E0">
        <w:rPr>
          <w:rFonts w:asciiTheme="minorHAnsi" w:hAnsiTheme="minorHAnsi" w:eastAsiaTheme="minorHAnsi" w:cstheme="minorHAnsi"/>
        </w:rPr>
        <w:t>and delinquency for its victims.</w:t>
      </w:r>
      <w:r w:rsidRPr="00FA56F7" w:rsidR="002153E0">
        <w:rPr>
          <w:rFonts w:asciiTheme="minorHAnsi" w:hAnsiTheme="minorHAnsi" w:eastAsiaTheme="minorHAnsi" w:cstheme="minorHAnsi"/>
          <w:sz w:val="22"/>
          <w:szCs w:val="22"/>
          <w:vertAlign w:val="superscript"/>
        </w:rPr>
        <w:endnoteReference w:id="25"/>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26"/>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27"/>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28"/>
      </w:r>
      <w:r w:rsidRPr="00FA56F7" w:rsidR="002153E0">
        <w:rPr>
          <w:rFonts w:asciiTheme="minorHAnsi" w:hAnsiTheme="minorHAnsi" w:eastAsiaTheme="minorHAnsi" w:cstheme="minorHAnsi"/>
          <w:sz w:val="22"/>
          <w:szCs w:val="22"/>
        </w:rPr>
        <w:t xml:space="preserve"> </w:t>
      </w:r>
      <w:r w:rsidRPr="00F4415D" w:rsidR="002153E0">
        <w:rPr>
          <w:rFonts w:asciiTheme="minorHAnsi" w:hAnsiTheme="minorHAnsi" w:eastAsiaTheme="minorHAnsi" w:cstheme="minorHAnsi"/>
        </w:rPr>
        <w:t>Similar deleterious outcomes are found for violent victimization by dating partners in adolescence,</w:t>
      </w:r>
      <w:r w:rsidRPr="00FA56F7" w:rsidR="002153E0">
        <w:rPr>
          <w:rFonts w:asciiTheme="minorHAnsi" w:hAnsiTheme="minorHAnsi" w:eastAsiaTheme="minorHAnsi" w:cstheme="minorHAnsi"/>
          <w:sz w:val="22"/>
          <w:szCs w:val="22"/>
          <w:vertAlign w:val="superscript"/>
        </w:rPr>
        <w:endnoteReference w:id="29"/>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30"/>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31"/>
      </w:r>
      <w:r w:rsidRPr="00FA56F7" w:rsidR="002153E0">
        <w:rPr>
          <w:rFonts w:asciiTheme="minorHAnsi" w:hAnsiTheme="minorHAnsi" w:eastAsiaTheme="minorHAnsi" w:cstheme="minorHAnsi"/>
          <w:sz w:val="22"/>
          <w:szCs w:val="22"/>
          <w:vertAlign w:val="superscript"/>
        </w:rPr>
        <w:t>,</w:t>
      </w:r>
      <w:r w:rsidRPr="00FA56F7" w:rsidR="002153E0">
        <w:rPr>
          <w:rFonts w:asciiTheme="minorHAnsi" w:hAnsiTheme="minorHAnsi" w:eastAsiaTheme="minorHAnsi" w:cstheme="minorHAnsi"/>
          <w:sz w:val="22"/>
          <w:szCs w:val="22"/>
          <w:vertAlign w:val="superscript"/>
        </w:rPr>
        <w:endnoteReference w:id="32"/>
      </w:r>
      <w:r w:rsidRPr="00FA56F7" w:rsidR="002153E0">
        <w:rPr>
          <w:rFonts w:asciiTheme="minorHAnsi" w:hAnsiTheme="minorHAnsi" w:eastAsiaTheme="minorHAnsi" w:cstheme="minorHAnsi"/>
          <w:sz w:val="22"/>
          <w:szCs w:val="22"/>
        </w:rPr>
        <w:t xml:space="preserve"> </w:t>
      </w:r>
      <w:r w:rsidRPr="00F4415D" w:rsidR="002153E0">
        <w:rPr>
          <w:rFonts w:asciiTheme="minorHAnsi" w:hAnsiTheme="minorHAnsi" w:eastAsiaTheme="minorHAnsi" w:cstheme="minorHAnsi"/>
        </w:rPr>
        <w:t>with nearly one in five youth reporting sexual or physical victimization by a partner</w:t>
      </w:r>
      <w:r w:rsidRPr="00FA56F7" w:rsidR="002153E0">
        <w:rPr>
          <w:rFonts w:asciiTheme="minorHAnsi" w:hAnsiTheme="minorHAnsi" w:eastAsiaTheme="minorHAnsi" w:cstheme="minorHAnsi"/>
          <w:sz w:val="22"/>
          <w:szCs w:val="22"/>
        </w:rPr>
        <w:t>.</w:t>
      </w:r>
      <w:r w:rsidRPr="00FA56F7" w:rsidR="002153E0">
        <w:rPr>
          <w:rFonts w:asciiTheme="minorHAnsi" w:hAnsiTheme="minorHAnsi" w:eastAsiaTheme="minorHAnsi" w:cstheme="minorHAnsi"/>
          <w:sz w:val="22"/>
          <w:szCs w:val="22"/>
          <w:vertAlign w:val="superscript"/>
        </w:rPr>
        <w:endnoteReference w:id="33"/>
      </w:r>
      <w:r w:rsidRPr="00FA56F7" w:rsidR="002153E0">
        <w:rPr>
          <w:rFonts w:asciiTheme="minorHAnsi" w:hAnsiTheme="minorHAnsi" w:eastAsiaTheme="minorHAnsi" w:cstheme="minorBidi"/>
          <w:sz w:val="22"/>
          <w:szCs w:val="22"/>
        </w:rPr>
        <w:t xml:space="preserve"> </w:t>
      </w:r>
      <w:r w:rsidR="002153E0">
        <w:rPr>
          <w:rFonts w:asciiTheme="minorHAnsi" w:hAnsiTheme="minorHAnsi" w:eastAsiaTheme="minorHAnsi" w:cstheme="minorBidi"/>
          <w:sz w:val="22"/>
          <w:szCs w:val="22"/>
        </w:rPr>
        <w:t xml:space="preserve"> </w:t>
      </w:r>
    </w:p>
    <w:p w:rsidR="00D81ECD" w:rsidP="00445ECB" w:rsidRDefault="00FA56F7" w14:paraId="50238937" w14:textId="1706B59D">
      <w:pPr>
        <w:spacing w:after="200" w:line="276" w:lineRule="auto"/>
        <w:ind w:firstLine="720"/>
      </w:pPr>
      <w:r w:rsidRPr="00E308E1">
        <w:rPr>
          <w:rFonts w:asciiTheme="minorHAnsi" w:hAnsiTheme="minorHAnsi" w:eastAsiaTheme="minorHAnsi" w:cstheme="minorHAnsi"/>
          <w:color w:val="000000"/>
        </w:rPr>
        <w:t xml:space="preserve">Given the serious and lasting impact on children, it is critical to understand the magnitude and nature of violence against children in order to develop effective prevention and response strategies. </w:t>
      </w:r>
      <w:r w:rsidRPr="00E308E1" w:rsidR="000B5080">
        <w:rPr>
          <w:rFonts w:asciiTheme="minorHAnsi" w:hAnsiTheme="minorHAnsi" w:cstheme="minorHAnsi"/>
          <w:color w:val="000000"/>
        </w:rPr>
        <w:t xml:space="preserve">Currently, data to guide state and local violence prevention and response efforts in the US are quite </w:t>
      </w:r>
      <w:r w:rsidRPr="00E308E1" w:rsidR="000B5080">
        <w:rPr>
          <w:rFonts w:asciiTheme="minorHAnsi" w:hAnsiTheme="minorHAnsi" w:cstheme="minorHAnsi"/>
          <w:color w:val="000000"/>
        </w:rPr>
        <w:lastRenderedPageBreak/>
        <w:t xml:space="preserve">limited. </w:t>
      </w:r>
      <w:r w:rsidRPr="00E308E1" w:rsidR="004130AD">
        <w:rPr>
          <w:rFonts w:asciiTheme="minorHAnsi" w:hAnsiTheme="minorHAnsi" w:cstheme="minorHAnsi"/>
        </w:rPr>
        <w:t>While some studies have provided information on the risks and impact on violence against children, they are mostly limited in scale and cannot be generalized to the scope of violence against youth across the US or for specific regions.</w:t>
      </w:r>
      <w:r w:rsidRPr="00E308E1" w:rsidR="004130AD">
        <w:rPr>
          <w:rStyle w:val="EndnoteReference"/>
          <w:rFonts w:asciiTheme="minorHAnsi" w:hAnsiTheme="minorHAnsi" w:cstheme="minorHAnsi"/>
        </w:rPr>
        <w:endnoteReference w:id="34"/>
      </w:r>
      <w:r w:rsidRPr="00E308E1" w:rsidR="004130AD">
        <w:rPr>
          <w:rFonts w:asciiTheme="minorHAnsi" w:hAnsiTheme="minorHAnsi" w:cstheme="minorHAnsi"/>
          <w:vertAlign w:val="superscript"/>
        </w:rPr>
        <w:t>,</w:t>
      </w:r>
      <w:r w:rsidRPr="00E308E1" w:rsidR="004130AD">
        <w:rPr>
          <w:rStyle w:val="EndnoteReference"/>
          <w:rFonts w:asciiTheme="minorHAnsi" w:hAnsiTheme="minorHAnsi" w:cstheme="minorHAnsi"/>
        </w:rPr>
        <w:endnoteReference w:id="35"/>
      </w:r>
      <w:r w:rsidRPr="00E308E1" w:rsidR="004130AD">
        <w:rPr>
          <w:rFonts w:asciiTheme="minorHAnsi" w:hAnsiTheme="minorHAnsi" w:cstheme="minorHAnsi"/>
        </w:rPr>
        <w:t xml:space="preserve"> </w:t>
      </w:r>
      <w:r w:rsidR="00D81ECD">
        <w:rPr>
          <w:rFonts w:asciiTheme="minorHAnsi" w:hAnsiTheme="minorHAnsi" w:cstheme="minorHAnsi"/>
        </w:rPr>
        <w:t>Existing estimates of violence against youth in the United States</w:t>
      </w:r>
      <w:r w:rsidR="000634CD">
        <w:rPr>
          <w:rFonts w:asciiTheme="minorHAnsi" w:hAnsiTheme="minorHAnsi" w:cstheme="minorHAnsi"/>
        </w:rPr>
        <w:t xml:space="preserve"> are based on telephone studies, such at the National Survey of Children’s Exposure to Violence, which </w:t>
      </w:r>
      <w:r w:rsidR="00BC74AF">
        <w:rPr>
          <w:rFonts w:asciiTheme="minorHAnsi" w:hAnsiTheme="minorHAnsi" w:cstheme="minorHAnsi"/>
        </w:rPr>
        <w:t>includes caregiver respondents for young children. Disclosure of violence in this study therefore may be lower, as parents do not know or wish to reveal the full extent of their child’s exposure to violence and youth participants may not have the privacy needed to feel comfortable disclosing.</w:t>
      </w:r>
      <w:r w:rsidR="00BC74AF">
        <w:rPr>
          <w:rStyle w:val="EndnoteReference"/>
          <w:rFonts w:asciiTheme="minorHAnsi" w:hAnsiTheme="minorHAnsi" w:cstheme="minorHAnsi"/>
        </w:rPr>
        <w:endnoteReference w:id="36"/>
      </w:r>
      <w:r w:rsidR="00BC74AF">
        <w:rPr>
          <w:rFonts w:asciiTheme="minorHAnsi" w:hAnsiTheme="minorHAnsi" w:cstheme="minorHAnsi"/>
        </w:rPr>
        <w:t xml:space="preserve"> In addition, the existing national </w:t>
      </w:r>
      <w:r w:rsidR="00C15198">
        <w:rPr>
          <w:rFonts w:asciiTheme="minorHAnsi" w:hAnsiTheme="minorHAnsi" w:cstheme="minorHAnsi"/>
        </w:rPr>
        <w:t xml:space="preserve">studies </w:t>
      </w:r>
      <w:r w:rsidR="00BC74AF">
        <w:rPr>
          <w:rFonts w:asciiTheme="minorHAnsi" w:hAnsiTheme="minorHAnsi" w:cstheme="minorHAnsi"/>
        </w:rPr>
        <w:t xml:space="preserve">cannot </w:t>
      </w:r>
      <w:r w:rsidR="00C15198">
        <w:rPr>
          <w:rFonts w:asciiTheme="minorHAnsi" w:hAnsiTheme="minorHAnsi" w:cstheme="minorHAnsi"/>
        </w:rPr>
        <w:t xml:space="preserve">yield estimates at the </w:t>
      </w:r>
      <w:r w:rsidR="00BC74AF">
        <w:rPr>
          <w:rFonts w:asciiTheme="minorHAnsi" w:hAnsiTheme="minorHAnsi" w:cstheme="minorHAnsi"/>
        </w:rPr>
        <w:t xml:space="preserve">state </w:t>
      </w:r>
      <w:r w:rsidR="00C15198">
        <w:rPr>
          <w:rFonts w:asciiTheme="minorHAnsi" w:hAnsiTheme="minorHAnsi" w:cstheme="minorHAnsi"/>
        </w:rPr>
        <w:t>and</w:t>
      </w:r>
      <w:r w:rsidR="00BC74AF">
        <w:rPr>
          <w:rFonts w:asciiTheme="minorHAnsi" w:hAnsiTheme="minorHAnsi" w:cstheme="minorHAnsi"/>
        </w:rPr>
        <w:t xml:space="preserve"> local</w:t>
      </w:r>
      <w:r w:rsidR="00C15198">
        <w:rPr>
          <w:rFonts w:asciiTheme="minorHAnsi" w:hAnsiTheme="minorHAnsi" w:cstheme="minorHAnsi"/>
        </w:rPr>
        <w:t xml:space="preserve"> levels</w:t>
      </w:r>
      <w:r w:rsidR="00BC74AF">
        <w:rPr>
          <w:rFonts w:asciiTheme="minorHAnsi" w:hAnsiTheme="minorHAnsi" w:cstheme="minorHAnsi"/>
        </w:rPr>
        <w:t xml:space="preserve">, making the data less actionable at these levels. </w:t>
      </w:r>
      <w:r w:rsidR="00F37EEF">
        <w:rPr>
          <w:rFonts w:asciiTheme="minorHAnsi" w:hAnsiTheme="minorHAnsi" w:cstheme="minorHAnsi"/>
        </w:rPr>
        <w:t xml:space="preserve">These studies also often have </w:t>
      </w:r>
      <w:r w:rsidR="00F37EEF">
        <w:t>lower response rates.</w:t>
      </w:r>
    </w:p>
    <w:p w:rsidR="000A5948" w:rsidP="00445ECB" w:rsidRDefault="00C36ED1" w14:paraId="6CAC35B4" w14:textId="78FCDB06">
      <w:pPr>
        <w:spacing w:after="200" w:line="276" w:lineRule="auto"/>
        <w:ind w:firstLine="720"/>
        <w:rPr>
          <w:rFonts w:asciiTheme="minorHAnsi" w:hAnsiTheme="minorHAnsi" w:cstheme="minorHAnsi"/>
        </w:rPr>
      </w:pPr>
      <w:r>
        <w:rPr>
          <w:rFonts w:asciiTheme="minorHAnsi" w:hAnsiTheme="minorHAnsi" w:cstheme="minorHAnsi"/>
        </w:rPr>
        <w:t>Another well-known data system</w:t>
      </w:r>
      <w:r w:rsidRPr="00043404">
        <w:rPr>
          <w:rFonts w:asciiTheme="minorHAnsi" w:hAnsiTheme="minorHAnsi" w:cstheme="minorHAnsi"/>
        </w:rPr>
        <w:t xml:space="preserve"> </w:t>
      </w:r>
      <w:r>
        <w:rPr>
          <w:rFonts w:asciiTheme="minorHAnsi" w:hAnsiTheme="minorHAnsi" w:cstheme="minorHAnsi"/>
        </w:rPr>
        <w:t xml:space="preserve">that measures child abuse is the </w:t>
      </w:r>
      <w:r w:rsidRPr="00043404">
        <w:rPr>
          <w:rFonts w:asciiTheme="minorHAnsi" w:hAnsiTheme="minorHAnsi" w:cstheme="minorHAnsi"/>
        </w:rPr>
        <w:t>National Child Abuse and Neglect Data System (NCANDS)</w:t>
      </w:r>
      <w:r>
        <w:rPr>
          <w:rFonts w:asciiTheme="minorHAnsi" w:hAnsiTheme="minorHAnsi" w:cstheme="minorHAnsi"/>
        </w:rPr>
        <w:t xml:space="preserve">, </w:t>
      </w:r>
      <w:r w:rsidRPr="00043404">
        <w:rPr>
          <w:rFonts w:asciiTheme="minorHAnsi" w:hAnsiTheme="minorHAnsi" w:cstheme="minorHAnsi"/>
        </w:rPr>
        <w:t>a voluntary data collection system that gathers information from all 50 states, the District of Columbia, and Puerto Rico about reports of child abuse and neglect.</w:t>
      </w:r>
      <w:r>
        <w:rPr>
          <w:rFonts w:asciiTheme="minorHAnsi" w:hAnsiTheme="minorHAnsi" w:cstheme="minorHAnsi"/>
        </w:rPr>
        <w:t xml:space="preserve">  However, this system is limited to official reports of child abuse and neglect.  </w:t>
      </w:r>
      <w:r w:rsidRPr="000A5948">
        <w:rPr>
          <w:rFonts w:asciiTheme="minorHAnsi" w:hAnsiTheme="minorHAnsi" w:cstheme="minorHAnsi"/>
        </w:rPr>
        <w:t xml:space="preserve">While large, the </w:t>
      </w:r>
      <w:r>
        <w:rPr>
          <w:rFonts w:asciiTheme="minorHAnsi" w:hAnsiTheme="minorHAnsi" w:cstheme="minorHAnsi"/>
        </w:rPr>
        <w:t xml:space="preserve">NCANDS is also not </w:t>
      </w:r>
      <w:r w:rsidRPr="000A5948">
        <w:rPr>
          <w:rFonts w:asciiTheme="minorHAnsi" w:hAnsiTheme="minorHAnsi" w:cstheme="minorHAnsi"/>
        </w:rPr>
        <w:t>nationally representative and</w:t>
      </w:r>
      <w:r>
        <w:rPr>
          <w:rFonts w:asciiTheme="minorHAnsi" w:hAnsiTheme="minorHAnsi" w:cstheme="minorHAnsi"/>
        </w:rPr>
        <w:t xml:space="preserve"> </w:t>
      </w:r>
      <w:r w:rsidRPr="000A5948">
        <w:rPr>
          <w:rFonts w:asciiTheme="minorHAnsi" w:hAnsiTheme="minorHAnsi" w:cstheme="minorHAnsi"/>
        </w:rPr>
        <w:t xml:space="preserve">analyses cannot be extrapolated to the entire U.S. population of children </w:t>
      </w:r>
      <w:r>
        <w:rPr>
          <w:rFonts w:asciiTheme="minorHAnsi" w:hAnsiTheme="minorHAnsi" w:cstheme="minorHAnsi"/>
        </w:rPr>
        <w:t>abused.</w:t>
      </w:r>
    </w:p>
    <w:p w:rsidRPr="00E308E1" w:rsidR="004130AD" w:rsidP="00445ECB" w:rsidRDefault="004130AD" w14:paraId="7DC1C7C2" w14:textId="6170BC23">
      <w:pPr>
        <w:spacing w:after="200" w:line="276" w:lineRule="auto"/>
        <w:ind w:firstLine="720"/>
        <w:rPr>
          <w:rFonts w:asciiTheme="minorHAnsi" w:hAnsiTheme="minorHAnsi" w:cstheme="minorHAnsi"/>
        </w:rPr>
      </w:pPr>
      <w:r w:rsidRPr="00E308E1">
        <w:rPr>
          <w:rFonts w:asciiTheme="minorHAnsi" w:hAnsiTheme="minorHAnsi" w:cstheme="minorHAnsi"/>
        </w:rPr>
        <w:t xml:space="preserve">Furthermore, less focus has been given to understanding protective factors for violence against children. Consequently, this study will assess potential risk and protective factors for violence against children and include risk and protective factors that have been associated with violence in other countries. For example, </w:t>
      </w:r>
      <w:r w:rsidRPr="00E308E1" w:rsidR="007661E1">
        <w:rPr>
          <w:rFonts w:asciiTheme="minorHAnsi" w:hAnsiTheme="minorHAnsi" w:cstheme="minorHAnsi"/>
        </w:rPr>
        <w:t>th</w:t>
      </w:r>
      <w:r w:rsidR="007661E1">
        <w:rPr>
          <w:rFonts w:asciiTheme="minorHAnsi" w:hAnsiTheme="minorHAnsi" w:cstheme="minorHAnsi"/>
        </w:rPr>
        <w:t>is</w:t>
      </w:r>
      <w:r w:rsidRPr="00E308E1" w:rsidR="007661E1">
        <w:rPr>
          <w:rFonts w:asciiTheme="minorHAnsi" w:hAnsiTheme="minorHAnsi" w:cstheme="minorHAnsi"/>
        </w:rPr>
        <w:t xml:space="preserve"> </w:t>
      </w:r>
      <w:r w:rsidRPr="00E308E1">
        <w:rPr>
          <w:rFonts w:asciiTheme="minorHAnsi" w:hAnsiTheme="minorHAnsi" w:cstheme="minorHAnsi"/>
        </w:rPr>
        <w:t xml:space="preserve">study will examine a number of factors related to degree of parental involvement and will ask respondents about whether a parent has died, how long a respondent lived with each biological parent, reasons why they may no longer be living with a parent, parent education level, relationship quality with parents, and perceived family and social support. Although some of these factors are not readily modifiable, these associations would have implications for identifying those at highest risk for violence and therefore help to determine how best to identify and allocate available prevention resources. CDC anticipates that a greater understanding of the risk and protective factors influencing violence against children could guide the development of prevention strategies designed to buffer against these risks and bolster facets of protection. </w:t>
      </w:r>
      <w:r w:rsidR="00B35A7E">
        <w:rPr>
          <w:rFonts w:asciiTheme="minorHAnsi" w:hAnsiTheme="minorHAnsi" w:cstheme="minorHAnsi"/>
        </w:rPr>
        <w:t xml:space="preserve">  </w:t>
      </w:r>
    </w:p>
    <w:p w:rsidRPr="00E308E1" w:rsidR="000B5080" w:rsidP="00445ECB" w:rsidRDefault="000B5080" w14:paraId="06EC5EFF" w14:textId="77777777">
      <w:pPr>
        <w:spacing w:after="200" w:line="276" w:lineRule="auto"/>
        <w:ind w:firstLine="720"/>
        <w:rPr>
          <w:rFonts w:asciiTheme="minorHAnsi" w:hAnsiTheme="minorHAnsi" w:cstheme="minorHAnsi"/>
          <w:color w:val="000000"/>
        </w:rPr>
      </w:pPr>
      <w:r w:rsidRPr="00E308E1">
        <w:rPr>
          <w:rFonts w:asciiTheme="minorHAnsi" w:hAnsiTheme="minorHAnsi" w:cstheme="minorHAnsi"/>
          <w:color w:val="000000"/>
        </w:rPr>
        <w:t>Without integrative research into the breadth and depth of the problem and investigation into why violence is so highly stigmatized and hidden, current response options may be ineffective, leaving children with limited access to services and protection.</w:t>
      </w:r>
      <w:r w:rsidRPr="00E308E1">
        <w:rPr>
          <w:rFonts w:asciiTheme="minorHAnsi" w:hAnsiTheme="minorHAnsi" w:cstheme="minorHAnsi"/>
        </w:rPr>
        <w:t xml:space="preserve"> </w:t>
      </w:r>
      <w:r w:rsidRPr="00E308E1">
        <w:rPr>
          <w:rFonts w:asciiTheme="minorHAnsi" w:hAnsiTheme="minorHAnsi" w:cstheme="minorHAnsi"/>
          <w:color w:val="000000"/>
        </w:rPr>
        <w:t>Moreover, there are gaps in what data is available at the state and local level, which make it difficult to determine how many children are exposed to violence and to characterize the circumstances and contexts in which such violence occurs. There is a need for data that are representative of the entire spectrum of violence against children and youth and are comprehensive in terms of describing multiple types of violence (physical, sexual, and emotional) as well as the contexts of violence victimization, and its risk and protective factors. Population-based, comprehensive data are essential to effectively planning, implementing, and assessing the impact of programs addressing violence against children and youth.</w:t>
      </w:r>
    </w:p>
    <w:p w:rsidRPr="00E308E1" w:rsidR="000E5F69" w:rsidP="00AD7DB8" w:rsidRDefault="000E5F69" w14:paraId="7E5191B6" w14:textId="77777777">
      <w:pPr>
        <w:spacing w:after="120" w:line="276" w:lineRule="auto"/>
        <w:rPr>
          <w:rFonts w:asciiTheme="minorHAnsi" w:hAnsiTheme="minorHAnsi" w:cstheme="minorHAnsi"/>
          <w:b/>
          <w:i/>
        </w:rPr>
      </w:pPr>
      <w:r w:rsidRPr="00E308E1">
        <w:rPr>
          <w:rFonts w:asciiTheme="minorHAnsi" w:hAnsiTheme="minorHAnsi" w:cstheme="minorHAnsi"/>
          <w:b/>
          <w:i/>
        </w:rPr>
        <w:lastRenderedPageBreak/>
        <w:t>Current Request</w:t>
      </w:r>
    </w:p>
    <w:p w:rsidR="00161E58" w:rsidP="00445ECB" w:rsidRDefault="000B5080" w14:paraId="081210DD" w14:textId="37DCB6A3">
      <w:pPr>
        <w:spacing w:after="200" w:line="276" w:lineRule="auto"/>
        <w:ind w:firstLine="720"/>
        <w:rPr>
          <w:rFonts w:asciiTheme="minorHAnsi" w:hAnsiTheme="minorHAnsi" w:cstheme="minorHAnsi"/>
        </w:rPr>
      </w:pPr>
      <w:r w:rsidRPr="00E308E1">
        <w:rPr>
          <w:rFonts w:asciiTheme="minorHAnsi" w:hAnsiTheme="minorHAnsi" w:cstheme="minorHAnsi"/>
        </w:rPr>
        <w:t xml:space="preserve">VACS measure the magnitude of physical, sexual, and emotional violence against children as well as associated risk and protective factors. </w:t>
      </w:r>
      <w:r w:rsidRPr="00E308E1" w:rsidR="0066295F">
        <w:rPr>
          <w:rFonts w:asciiTheme="minorHAnsi" w:hAnsiTheme="minorHAnsi" w:cstheme="minorHAnsi"/>
        </w:rPr>
        <w:t xml:space="preserve">VACS </w:t>
      </w:r>
      <w:r w:rsidRPr="00E308E1" w:rsidR="007661E1">
        <w:rPr>
          <w:rFonts w:asciiTheme="minorHAnsi" w:hAnsiTheme="minorHAnsi" w:cstheme="minorHAnsi"/>
        </w:rPr>
        <w:t>ha</w:t>
      </w:r>
      <w:r w:rsidR="007661E1">
        <w:rPr>
          <w:rFonts w:asciiTheme="minorHAnsi" w:hAnsiTheme="minorHAnsi" w:cstheme="minorHAnsi"/>
        </w:rPr>
        <w:t>ve</w:t>
      </w:r>
      <w:r w:rsidRPr="00E308E1" w:rsidR="007661E1">
        <w:rPr>
          <w:rFonts w:asciiTheme="minorHAnsi" w:hAnsiTheme="minorHAnsi" w:cstheme="minorHAnsi"/>
        </w:rPr>
        <w:t xml:space="preserve"> </w:t>
      </w:r>
      <w:r w:rsidRPr="00E308E1" w:rsidR="0066295F">
        <w:rPr>
          <w:rFonts w:asciiTheme="minorHAnsi" w:hAnsiTheme="minorHAnsi" w:cstheme="minorHAnsi"/>
        </w:rPr>
        <w:t xml:space="preserve">contributed to research throughout the world, demonstrating the high prevalence of violence against children in a variety of countries and cultures, and </w:t>
      </w:r>
      <w:r w:rsidRPr="00E308E1">
        <w:rPr>
          <w:rFonts w:asciiTheme="minorHAnsi" w:hAnsiTheme="minorHAnsi" w:cstheme="minorHAnsi"/>
        </w:rPr>
        <w:t xml:space="preserve">have proven to be critical tools that can fill data gaps in ways that are vital to informing strategic planning and evidence-based public health efforts in many countries. </w:t>
      </w:r>
      <w:r w:rsidRPr="00E308E1" w:rsidR="009D346C">
        <w:rPr>
          <w:rFonts w:asciiTheme="minorHAnsi" w:hAnsiTheme="minorHAnsi" w:cstheme="minorHAnsi"/>
        </w:rPr>
        <w:t xml:space="preserve">However, VACS </w:t>
      </w:r>
      <w:r w:rsidRPr="00E308E1" w:rsidR="007661E1">
        <w:rPr>
          <w:rFonts w:asciiTheme="minorHAnsi" w:hAnsiTheme="minorHAnsi" w:cstheme="minorHAnsi"/>
        </w:rPr>
        <w:t>ha</w:t>
      </w:r>
      <w:r w:rsidR="007661E1">
        <w:rPr>
          <w:rFonts w:asciiTheme="minorHAnsi" w:hAnsiTheme="minorHAnsi" w:cstheme="minorHAnsi"/>
        </w:rPr>
        <w:t>ve</w:t>
      </w:r>
      <w:r w:rsidRPr="00E308E1" w:rsidR="007661E1">
        <w:rPr>
          <w:rFonts w:asciiTheme="minorHAnsi" w:hAnsiTheme="minorHAnsi" w:cstheme="minorHAnsi"/>
        </w:rPr>
        <w:t xml:space="preserve"> </w:t>
      </w:r>
      <w:r w:rsidRPr="00E308E1" w:rsidR="009D346C">
        <w:rPr>
          <w:rFonts w:asciiTheme="minorHAnsi" w:hAnsiTheme="minorHAnsi" w:cstheme="minorHAnsi"/>
        </w:rPr>
        <w:t xml:space="preserve">not been implemented in the U.S., and </w:t>
      </w:r>
      <w:r w:rsidR="00BC74AF">
        <w:rPr>
          <w:rFonts w:asciiTheme="minorHAnsi" w:hAnsiTheme="minorHAnsi" w:cstheme="minorHAnsi"/>
        </w:rPr>
        <w:t>the</w:t>
      </w:r>
      <w:r w:rsidRPr="00E308E1" w:rsidR="009D346C">
        <w:rPr>
          <w:rFonts w:asciiTheme="minorHAnsi" w:hAnsiTheme="minorHAnsi" w:cstheme="minorHAnsi"/>
        </w:rPr>
        <w:t xml:space="preserve"> </w:t>
      </w:r>
      <w:r w:rsidR="00BC74AF">
        <w:rPr>
          <w:rFonts w:asciiTheme="minorHAnsi" w:hAnsiTheme="minorHAnsi" w:cstheme="minorHAnsi"/>
        </w:rPr>
        <w:t xml:space="preserve">existing </w:t>
      </w:r>
      <w:r w:rsidR="00F4415D">
        <w:rPr>
          <w:rFonts w:asciiTheme="minorHAnsi" w:hAnsiTheme="minorHAnsi" w:cstheme="minorHAnsi"/>
        </w:rPr>
        <w:t>r</w:t>
      </w:r>
      <w:r w:rsidRPr="00E308E1" w:rsidR="009D346C">
        <w:rPr>
          <w:rFonts w:asciiTheme="minorHAnsi" w:hAnsiTheme="minorHAnsi" w:cstheme="minorHAnsi"/>
        </w:rPr>
        <w:t>epresentative dataset</w:t>
      </w:r>
      <w:r w:rsidR="00BC74AF">
        <w:rPr>
          <w:rFonts w:asciiTheme="minorHAnsi" w:hAnsiTheme="minorHAnsi" w:cstheme="minorHAnsi"/>
        </w:rPr>
        <w:t>s</w:t>
      </w:r>
      <w:r w:rsidRPr="00E308E1" w:rsidR="009D346C">
        <w:rPr>
          <w:rFonts w:asciiTheme="minorHAnsi" w:hAnsiTheme="minorHAnsi" w:cstheme="minorHAnsi"/>
        </w:rPr>
        <w:t xml:space="preserve"> of violence against youth </w:t>
      </w:r>
      <w:r w:rsidR="00BC74AF">
        <w:rPr>
          <w:rFonts w:asciiTheme="minorHAnsi" w:hAnsiTheme="minorHAnsi" w:cstheme="minorHAnsi"/>
        </w:rPr>
        <w:t>in the U.S. have significant limitations that prevent the data from being actionable</w:t>
      </w:r>
      <w:r w:rsidR="00587BC8">
        <w:rPr>
          <w:rFonts w:asciiTheme="minorHAnsi" w:hAnsiTheme="minorHAnsi" w:cstheme="minorHAnsi"/>
        </w:rPr>
        <w:t xml:space="preserve"> for prevention planning </w:t>
      </w:r>
      <w:r w:rsidR="00000B5C">
        <w:rPr>
          <w:rFonts w:asciiTheme="minorHAnsi" w:hAnsiTheme="minorHAnsi" w:cstheme="minorHAnsi"/>
        </w:rPr>
        <w:t xml:space="preserve">by public health departments </w:t>
      </w:r>
      <w:r w:rsidR="00587BC8">
        <w:rPr>
          <w:rFonts w:asciiTheme="minorHAnsi" w:hAnsiTheme="minorHAnsi" w:cstheme="minorHAnsi"/>
        </w:rPr>
        <w:t>at the local level</w:t>
      </w:r>
      <w:r w:rsidRPr="00E308E1" w:rsidR="009D346C">
        <w:rPr>
          <w:rFonts w:asciiTheme="minorHAnsi" w:hAnsiTheme="minorHAnsi" w:cstheme="minorHAnsi"/>
        </w:rPr>
        <w:t>.</w:t>
      </w:r>
      <w:r w:rsidRPr="00E308E1" w:rsidR="005047AF">
        <w:rPr>
          <w:rFonts w:asciiTheme="minorHAnsi" w:hAnsiTheme="minorHAnsi" w:cstheme="minorHAnsi"/>
        </w:rPr>
        <w:t xml:space="preserve"> VACS in the U.S will help fill this gap with rigorous probability-based estimates of the problem of youth violence combined with an internationally tested approach to embed the VACS survey into the local strategic planning process of local public health partners. </w:t>
      </w:r>
      <w:r w:rsidRPr="00E308E1" w:rsidR="009D346C">
        <w:rPr>
          <w:rFonts w:asciiTheme="minorHAnsi" w:hAnsiTheme="minorHAnsi" w:cstheme="minorHAnsi"/>
        </w:rPr>
        <w:t xml:space="preserve">Since the U.S. is a much different context than the countries that have previously conducted VACS, this request is for pilot testing the adapted survey and methodology in two contexts: (1) a representative sample of 13-24 year old youth in Baltimore and (2) a convenience sample of 13-24 year old youth in </w:t>
      </w:r>
      <w:r w:rsidR="00C412E7">
        <w:rPr>
          <w:rFonts w:asciiTheme="minorHAnsi" w:hAnsiTheme="minorHAnsi" w:cstheme="minorHAnsi"/>
        </w:rPr>
        <w:t>rural Garrett County, Maryland</w:t>
      </w:r>
      <w:r w:rsidR="00161E58">
        <w:rPr>
          <w:rFonts w:asciiTheme="minorHAnsi" w:hAnsiTheme="minorHAnsi" w:cstheme="minorHAnsi"/>
        </w:rPr>
        <w:t xml:space="preserve"> to test the VACS in-person methodology in a rural location</w:t>
      </w:r>
      <w:r w:rsidR="00C412E7">
        <w:rPr>
          <w:rFonts w:asciiTheme="minorHAnsi" w:hAnsiTheme="minorHAnsi" w:cstheme="minorHAnsi"/>
        </w:rPr>
        <w:t xml:space="preserve">. </w:t>
      </w:r>
      <w:r w:rsidR="00C80C49">
        <w:rPr>
          <w:rFonts w:asciiTheme="minorHAnsi" w:hAnsiTheme="minorHAnsi" w:cstheme="minorHAnsi"/>
        </w:rPr>
        <w:t>CDC will also conduct two pre-tests</w:t>
      </w:r>
      <w:r w:rsidR="00E32D00">
        <w:rPr>
          <w:rFonts w:asciiTheme="minorHAnsi" w:hAnsiTheme="minorHAnsi" w:cstheme="minorHAnsi"/>
        </w:rPr>
        <w:t xml:space="preserve"> prior to the fill pilot implementation</w:t>
      </w:r>
      <w:r w:rsidR="00C80C49">
        <w:rPr>
          <w:rFonts w:asciiTheme="minorHAnsi" w:hAnsiTheme="minorHAnsi" w:cstheme="minorHAnsi"/>
        </w:rPr>
        <w:t>: Pre-test 1 will include interviewing nine participants to detect problems with the instrument</w:t>
      </w:r>
      <w:r w:rsidR="00E32D00">
        <w:rPr>
          <w:rFonts w:asciiTheme="minorHAnsi" w:hAnsiTheme="minorHAnsi" w:cstheme="minorHAnsi"/>
        </w:rPr>
        <w:t xml:space="preserve"> and allow time to fix those problems</w:t>
      </w:r>
      <w:r w:rsidR="00BB39A2">
        <w:rPr>
          <w:rFonts w:asciiTheme="minorHAnsi" w:hAnsiTheme="minorHAnsi" w:cstheme="minorHAnsi"/>
        </w:rPr>
        <w:t xml:space="preserve"> (not included in</w:t>
      </w:r>
      <w:r w:rsidR="00CF0711">
        <w:rPr>
          <w:rFonts w:asciiTheme="minorHAnsi" w:hAnsiTheme="minorHAnsi" w:cstheme="minorHAnsi"/>
        </w:rPr>
        <w:t xml:space="preserve"> the b</w:t>
      </w:r>
      <w:r w:rsidR="00BB39A2">
        <w:rPr>
          <w:rFonts w:asciiTheme="minorHAnsi" w:hAnsiTheme="minorHAnsi" w:cstheme="minorHAnsi"/>
        </w:rPr>
        <w:t>urden estimate because it is below the nine case OMB threshold)</w:t>
      </w:r>
      <w:r w:rsidR="00E32D00">
        <w:rPr>
          <w:rFonts w:asciiTheme="minorHAnsi" w:hAnsiTheme="minorHAnsi" w:cstheme="minorHAnsi"/>
        </w:rPr>
        <w:t>; Pre-test 2 will include 60 participants to test the final instrument and all study protocols in the field</w:t>
      </w:r>
      <w:r w:rsidR="00CF0711">
        <w:rPr>
          <w:rFonts w:asciiTheme="minorHAnsi" w:hAnsiTheme="minorHAnsi" w:cstheme="minorHAnsi"/>
        </w:rPr>
        <w:t xml:space="preserve"> and is included in the burden for this collection. </w:t>
      </w:r>
    </w:p>
    <w:p w:rsidR="00161E58" w:rsidP="00445ECB" w:rsidRDefault="00161E58" w14:paraId="51076FE5" w14:textId="67312426">
      <w:pPr>
        <w:spacing w:after="200" w:line="276" w:lineRule="auto"/>
        <w:ind w:firstLine="720"/>
        <w:rPr>
          <w:rFonts w:asciiTheme="minorHAnsi" w:hAnsiTheme="minorHAnsi" w:cstheme="minorHAnsi"/>
        </w:rPr>
      </w:pPr>
      <w:r>
        <w:rPr>
          <w:rFonts w:asciiTheme="minorHAnsi" w:hAnsiTheme="minorHAnsi" w:cstheme="minorHAnsi"/>
        </w:rPr>
        <w:t xml:space="preserve">The use of probability-based sampling in Baltimore is based on the need to develop scientific estimates of violence against children in a standard urban area where the VACS in-person methodology has proven to be successful in other countries.  More formative/methodological research is necessary in a rural area in the U.S. to assess </w:t>
      </w:r>
      <w:r w:rsidR="00DC7CE4">
        <w:rPr>
          <w:rFonts w:asciiTheme="minorHAnsi" w:hAnsiTheme="minorHAnsi" w:cstheme="minorHAnsi"/>
        </w:rPr>
        <w:t xml:space="preserve">first </w:t>
      </w:r>
      <w:r>
        <w:rPr>
          <w:rFonts w:asciiTheme="minorHAnsi" w:hAnsiTheme="minorHAnsi" w:cstheme="minorHAnsi"/>
        </w:rPr>
        <w:t xml:space="preserve">the suitability of the in-person VACS methodology.  There are </w:t>
      </w:r>
      <w:r w:rsidR="00DC7CE4">
        <w:rPr>
          <w:rFonts w:asciiTheme="minorHAnsi" w:hAnsiTheme="minorHAnsi" w:cstheme="minorHAnsi"/>
        </w:rPr>
        <w:t xml:space="preserve">no </w:t>
      </w:r>
      <w:r>
        <w:rPr>
          <w:rFonts w:asciiTheme="minorHAnsi" w:hAnsiTheme="minorHAnsi" w:cstheme="minorHAnsi"/>
        </w:rPr>
        <w:t>instances of violence against children data being collected in-person in rural areas in the U.S. to move directly to producing scientific estimates of violence against children.</w:t>
      </w:r>
      <w:r w:rsidR="00DC7CE4">
        <w:rPr>
          <w:rFonts w:asciiTheme="minorHAnsi" w:hAnsiTheme="minorHAnsi" w:cstheme="minorHAnsi"/>
        </w:rPr>
        <w:t xml:space="preserve"> Once the in-person VACS methodology is shown to work with a convenience sample in a rural area, as proposed in this study, CDC will be positioned in the future to create scientific estimates of violence against children with large samples of rural locales.</w:t>
      </w:r>
      <w:r>
        <w:rPr>
          <w:rFonts w:asciiTheme="minorHAnsi" w:hAnsiTheme="minorHAnsi" w:cstheme="minorHAnsi"/>
        </w:rPr>
        <w:t xml:space="preserve"> </w:t>
      </w:r>
    </w:p>
    <w:p w:rsidRPr="00E308E1" w:rsidR="000E5F69" w:rsidP="00445ECB" w:rsidRDefault="00544DA0" w14:paraId="15375414" w14:textId="381D9998">
      <w:pPr>
        <w:spacing w:after="200" w:line="276" w:lineRule="auto"/>
        <w:ind w:firstLine="720"/>
        <w:rPr>
          <w:rFonts w:asciiTheme="minorHAnsi" w:hAnsiTheme="minorHAnsi" w:cstheme="minorHAnsi"/>
        </w:rPr>
      </w:pPr>
      <w:r w:rsidRPr="00E308E1">
        <w:rPr>
          <w:rFonts w:asciiTheme="minorHAnsi" w:hAnsiTheme="minorHAnsi" w:cstheme="minorHAnsi"/>
        </w:rPr>
        <w:t>Authority for CDC’s National Center for Injury Prevention and Control to collect these data is granted by Section 301 of the Public Health Service Act (42 U.S.C. 241) (Attachment A). This act gives Federal health agencies, such as CDC, broad authority to collect data and carry out other public health activities, including this type of study.</w:t>
      </w:r>
    </w:p>
    <w:p w:rsidRPr="00E308E1" w:rsidR="00F21003" w:rsidP="00AD7DB8" w:rsidRDefault="00F21003" w14:paraId="3478F0E4" w14:textId="77777777">
      <w:pPr>
        <w:spacing w:line="276" w:lineRule="auto"/>
        <w:rPr>
          <w:rFonts w:asciiTheme="minorHAnsi" w:hAnsiTheme="minorHAnsi" w:cstheme="minorHAnsi"/>
        </w:rPr>
      </w:pPr>
    </w:p>
    <w:p w:rsidRPr="00E308E1" w:rsidR="00FB7D77" w:rsidP="00AD7DB8" w:rsidRDefault="00FB7D77" w14:paraId="1EBE330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E308E1">
        <w:rPr>
          <w:rFonts w:asciiTheme="minorHAnsi" w:hAnsiTheme="minorHAnsi" w:cstheme="minorHAnsi"/>
          <w:b/>
          <w:bCs/>
        </w:rPr>
        <w:t xml:space="preserve">A.2. Purpose and Use of Information Collection </w:t>
      </w:r>
    </w:p>
    <w:p w:rsidRPr="00E308E1" w:rsidR="00A605B5" w:rsidP="00AD7DB8" w:rsidRDefault="00A605B5" w14:paraId="0732E7E5" w14:textId="77777777">
      <w:pPr>
        <w:autoSpaceDE w:val="0"/>
        <w:autoSpaceDN w:val="0"/>
        <w:adjustRightInd w:val="0"/>
        <w:spacing w:line="276" w:lineRule="auto"/>
        <w:rPr>
          <w:rFonts w:asciiTheme="minorHAnsi" w:hAnsiTheme="minorHAnsi" w:cstheme="minorHAnsi"/>
        </w:rPr>
      </w:pPr>
    </w:p>
    <w:p w:rsidRPr="00E308E1" w:rsidR="00A605B5" w:rsidP="00445ECB" w:rsidRDefault="00A605B5" w14:paraId="1A5463EE" w14:textId="64F924FE">
      <w:pPr>
        <w:autoSpaceDE w:val="0"/>
        <w:autoSpaceDN w:val="0"/>
        <w:adjustRightInd w:val="0"/>
        <w:spacing w:line="276" w:lineRule="auto"/>
        <w:ind w:firstLine="360"/>
        <w:rPr>
          <w:rFonts w:asciiTheme="minorHAnsi" w:hAnsiTheme="minorHAnsi" w:cstheme="minorHAnsi"/>
        </w:rPr>
      </w:pPr>
      <w:r w:rsidRPr="00E308E1">
        <w:rPr>
          <w:rFonts w:asciiTheme="minorHAnsi" w:hAnsiTheme="minorHAnsi" w:cstheme="minorHAnsi"/>
        </w:rPr>
        <w:t xml:space="preserve">This research initiative seeks to provide comparable, population-based estimates, which describe the magnitude and nature of the problem, as well as the epidemiologic patterns of risk and protective </w:t>
      </w:r>
      <w:r w:rsidRPr="00E308E1">
        <w:rPr>
          <w:rFonts w:asciiTheme="minorHAnsi" w:hAnsiTheme="minorHAnsi" w:cstheme="minorHAnsi"/>
        </w:rPr>
        <w:lastRenderedPageBreak/>
        <w:t>factors of violence experienced by children in Baltimore</w:t>
      </w:r>
      <w:r w:rsidR="00C82749">
        <w:rPr>
          <w:rFonts w:asciiTheme="minorHAnsi" w:hAnsiTheme="minorHAnsi" w:cstheme="minorHAnsi"/>
        </w:rPr>
        <w:t xml:space="preserve"> </w:t>
      </w:r>
      <w:r w:rsidRPr="00E308E1">
        <w:rPr>
          <w:rFonts w:asciiTheme="minorHAnsi" w:hAnsiTheme="minorHAnsi" w:cstheme="minorHAnsi"/>
        </w:rPr>
        <w:t>for the purpose of informing VACS implementation in the U</w:t>
      </w:r>
      <w:r w:rsidR="007661E1">
        <w:rPr>
          <w:rFonts w:asciiTheme="minorHAnsi" w:hAnsiTheme="minorHAnsi" w:cstheme="minorHAnsi"/>
        </w:rPr>
        <w:t>.</w:t>
      </w:r>
      <w:r w:rsidRPr="00E308E1">
        <w:rPr>
          <w:rFonts w:asciiTheme="minorHAnsi" w:hAnsiTheme="minorHAnsi" w:cstheme="minorHAnsi"/>
        </w:rPr>
        <w:t>S</w:t>
      </w:r>
      <w:r w:rsidR="007661E1">
        <w:rPr>
          <w:rFonts w:asciiTheme="minorHAnsi" w:hAnsiTheme="minorHAnsi" w:cstheme="minorHAnsi"/>
        </w:rPr>
        <w:t>.</w:t>
      </w:r>
      <w:r w:rsidRPr="00E308E1">
        <w:rPr>
          <w:rFonts w:asciiTheme="minorHAnsi" w:hAnsiTheme="minorHAnsi" w:cstheme="minorHAnsi"/>
        </w:rPr>
        <w:t>, as well as developing and implementing effective prevention strategies.</w:t>
      </w:r>
      <w:r w:rsidRPr="00E308E1" w:rsidR="0066295F">
        <w:rPr>
          <w:rFonts w:asciiTheme="minorHAnsi" w:hAnsiTheme="minorHAnsi" w:cstheme="minorHAnsi"/>
        </w:rPr>
        <w:t xml:space="preserve"> </w:t>
      </w:r>
      <w:r w:rsidRPr="00E308E1">
        <w:rPr>
          <w:rFonts w:asciiTheme="minorHAnsi" w:hAnsiTheme="minorHAnsi" w:cstheme="minorHAnsi"/>
        </w:rPr>
        <w:t xml:space="preserve">The information collection is focused around the following goals: </w:t>
      </w:r>
    </w:p>
    <w:p w:rsidRPr="00E308E1" w:rsidR="00A605B5" w:rsidP="00AD7DB8" w:rsidRDefault="00A605B5" w14:paraId="5B791639" w14:textId="450D017C">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Adapt the Violence Against Children Surveys (VACS) methodology for implementation in the U</w:t>
      </w:r>
      <w:r w:rsidR="007661E1">
        <w:rPr>
          <w:rFonts w:asciiTheme="minorHAnsi" w:hAnsiTheme="minorHAnsi" w:cstheme="minorHAnsi"/>
        </w:rPr>
        <w:t>.</w:t>
      </w:r>
      <w:r w:rsidRPr="00E308E1">
        <w:rPr>
          <w:rFonts w:asciiTheme="minorHAnsi" w:hAnsiTheme="minorHAnsi" w:cstheme="minorHAnsi"/>
        </w:rPr>
        <w:t>S. The pilot VACS implementation will use a representative sample of youth ages 13-24 and conduct in-person data collection using in-person household survey methods.</w:t>
      </w:r>
    </w:p>
    <w:p w:rsidRPr="00E308E1" w:rsidR="00A605B5" w:rsidP="00AD7DB8" w:rsidRDefault="00A605B5" w14:paraId="4F566EAF" w14:textId="168C76DC">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 xml:space="preserve">Pilot the adapted VACS methodology in Baltimore that yields results that are representative of the Baltimore </w:t>
      </w:r>
      <w:r w:rsidR="00151A06">
        <w:rPr>
          <w:rFonts w:asciiTheme="minorHAnsi" w:hAnsiTheme="minorHAnsi" w:cstheme="minorHAnsi"/>
        </w:rPr>
        <w:t>C</w:t>
      </w:r>
      <w:r w:rsidRPr="00E308E1">
        <w:rPr>
          <w:rFonts w:asciiTheme="minorHAnsi" w:hAnsiTheme="minorHAnsi" w:cstheme="minorHAnsi"/>
        </w:rPr>
        <w:t>ity youth population and collect pilot data in a rural county in Maryland.</w:t>
      </w:r>
    </w:p>
    <w:p w:rsidRPr="00E308E1" w:rsidR="00A605B5" w:rsidP="00AD7DB8" w:rsidRDefault="00A605B5" w14:paraId="41E11195" w14:textId="77777777">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Test minor variations in the methodology to determine which yield the best response rates.</w:t>
      </w:r>
    </w:p>
    <w:p w:rsidRPr="00E308E1" w:rsidR="00A605B5" w:rsidP="00AD7DB8" w:rsidRDefault="00A605B5" w14:paraId="726C4B15" w14:textId="77777777">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Estimate the prevalence of physical, emotional and sexual violence perpetrated against boys and girls, including sexual touching without permission, attempted sexual intercourse, physically forced sexual intercourse, and pressured sexual intercourse perpetrated against boys and girls.</w:t>
      </w:r>
    </w:p>
    <w:p w:rsidRPr="00E308E1" w:rsidR="00A605B5" w:rsidP="00AD7DB8" w:rsidRDefault="00A605B5" w14:paraId="3F89492F" w14:textId="77777777">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Identify risk and protective factors for physical, emotional and sexual violence against children to inform stakeholders and guide prevention efforts.</w:t>
      </w:r>
    </w:p>
    <w:p w:rsidRPr="00E308E1" w:rsidR="00A605B5" w:rsidP="00AD7DB8" w:rsidRDefault="00A605B5" w14:paraId="10C960ED" w14:textId="77777777">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Identify the health and social consequences associated with violence against children.</w:t>
      </w:r>
    </w:p>
    <w:p w:rsidRPr="00E308E1" w:rsidR="00A605B5" w:rsidP="00AD7DB8" w:rsidRDefault="00A605B5" w14:paraId="18981734" w14:textId="77777777">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Assess the knowledge and use of medical, psychosocial, legal, and protective services available for children who have experienced sexual, emotional and physical violence.</w:t>
      </w:r>
    </w:p>
    <w:p w:rsidRPr="00E308E1" w:rsidR="00A605B5" w:rsidP="00AD7DB8" w:rsidRDefault="00A605B5" w14:paraId="1DBED4B9" w14:textId="77777777">
      <w:pPr>
        <w:numPr>
          <w:ilvl w:val="0"/>
          <w:numId w:val="29"/>
        </w:numPr>
        <w:autoSpaceDE w:val="0"/>
        <w:autoSpaceDN w:val="0"/>
        <w:adjustRightInd w:val="0"/>
        <w:spacing w:line="276" w:lineRule="auto"/>
        <w:rPr>
          <w:rFonts w:asciiTheme="minorHAnsi" w:hAnsiTheme="minorHAnsi" w:cstheme="minorHAnsi"/>
        </w:rPr>
      </w:pPr>
      <w:r w:rsidRPr="00E308E1">
        <w:rPr>
          <w:rFonts w:asciiTheme="minorHAnsi" w:hAnsiTheme="minorHAnsi" w:cstheme="minorHAnsi"/>
        </w:rPr>
        <w:t>Identify areas for further research.</w:t>
      </w:r>
    </w:p>
    <w:p w:rsidRPr="00E308E1" w:rsidR="00A605B5" w:rsidP="00AD7DB8" w:rsidRDefault="00A605B5" w14:paraId="3CF384D7" w14:textId="04CC4DE3">
      <w:pPr>
        <w:numPr>
          <w:ilvl w:val="0"/>
          <w:numId w:val="29"/>
        </w:num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rPr>
        <w:t>Make recommendations to relevant organizations in Baltimore</w:t>
      </w:r>
      <w:r w:rsidR="00C82749">
        <w:rPr>
          <w:rFonts w:asciiTheme="minorHAnsi" w:hAnsiTheme="minorHAnsi" w:cstheme="minorHAnsi"/>
        </w:rPr>
        <w:t xml:space="preserve"> </w:t>
      </w:r>
      <w:r w:rsidRPr="00E308E1">
        <w:rPr>
          <w:rFonts w:asciiTheme="minorHAnsi" w:hAnsiTheme="minorHAnsi" w:cstheme="minorHAnsi"/>
        </w:rPr>
        <w:t>(and similar cities in the U</w:t>
      </w:r>
      <w:r w:rsidR="007D41E5">
        <w:rPr>
          <w:rFonts w:asciiTheme="minorHAnsi" w:hAnsiTheme="minorHAnsi" w:cstheme="minorHAnsi"/>
        </w:rPr>
        <w:t>.</w:t>
      </w:r>
      <w:r w:rsidRPr="00E308E1">
        <w:rPr>
          <w:rFonts w:asciiTheme="minorHAnsi" w:hAnsiTheme="minorHAnsi" w:cstheme="minorHAnsi"/>
        </w:rPr>
        <w:t>S</w:t>
      </w:r>
      <w:r w:rsidR="007D41E5">
        <w:rPr>
          <w:rFonts w:asciiTheme="minorHAnsi" w:hAnsiTheme="minorHAnsi" w:cstheme="minorHAnsi"/>
        </w:rPr>
        <w:t>.</w:t>
      </w:r>
      <w:r w:rsidRPr="00E308E1">
        <w:rPr>
          <w:rFonts w:asciiTheme="minorHAnsi" w:hAnsiTheme="minorHAnsi" w:cstheme="minorHAnsi"/>
        </w:rPr>
        <w:t>) on developing, improving and enhancing prevention and response strategies to address violence against children as part of a larger, comprehensive, multi-sectoral approach to child protection.</w:t>
      </w:r>
    </w:p>
    <w:p w:rsidRPr="00E308E1" w:rsidR="00A605B5" w:rsidP="00AD7DB8" w:rsidRDefault="00A605B5" w14:paraId="5E07AB13" w14:textId="77777777">
      <w:pPr>
        <w:autoSpaceDE w:val="0"/>
        <w:autoSpaceDN w:val="0"/>
        <w:adjustRightInd w:val="0"/>
        <w:spacing w:line="276" w:lineRule="auto"/>
        <w:rPr>
          <w:rFonts w:asciiTheme="minorHAnsi" w:hAnsiTheme="minorHAnsi" w:cstheme="minorHAnsi"/>
        </w:rPr>
      </w:pPr>
    </w:p>
    <w:p w:rsidR="003B6C37" w:rsidP="00445ECB" w:rsidRDefault="00A605B5" w14:paraId="53DBC2C9" w14:textId="77777777">
      <w:pPr>
        <w:autoSpaceDE w:val="0"/>
        <w:autoSpaceDN w:val="0"/>
        <w:adjustRightInd w:val="0"/>
        <w:spacing w:line="276" w:lineRule="auto"/>
        <w:ind w:firstLine="360"/>
        <w:rPr>
          <w:rFonts w:asciiTheme="minorHAnsi" w:hAnsiTheme="minorHAnsi" w:cstheme="minorHAnsi"/>
        </w:rPr>
      </w:pPr>
      <w:r w:rsidRPr="00E308E1">
        <w:rPr>
          <w:rFonts w:asciiTheme="minorHAnsi" w:hAnsiTheme="minorHAnsi" w:cstheme="minorHAnsi"/>
        </w:rPr>
        <w:t>The findings from this pilot study will be used primarily to better understand the feasibility and effectiveness of implementing VACS in the U.S., which will ultimately inform</w:t>
      </w:r>
      <w:r w:rsidR="009434AD">
        <w:rPr>
          <w:rFonts w:asciiTheme="minorHAnsi" w:hAnsiTheme="minorHAnsi" w:cstheme="minorHAnsi"/>
        </w:rPr>
        <w:t xml:space="preserve"> CDC’s understanding of</w:t>
      </w:r>
      <w:r w:rsidRPr="00E308E1">
        <w:rPr>
          <w:rFonts w:asciiTheme="minorHAnsi" w:hAnsiTheme="minorHAnsi" w:cstheme="minorHAnsi"/>
        </w:rPr>
        <w:t xml:space="preserve"> the magnitude of violence against children</w:t>
      </w:r>
      <w:r w:rsidR="00C221EF">
        <w:rPr>
          <w:rFonts w:asciiTheme="minorHAnsi" w:hAnsiTheme="minorHAnsi" w:cstheme="minorHAnsi"/>
        </w:rPr>
        <w:t xml:space="preserve"> and</w:t>
      </w:r>
      <w:r w:rsidRPr="00E308E1">
        <w:rPr>
          <w:rFonts w:asciiTheme="minorHAnsi" w:hAnsiTheme="minorHAnsi" w:cstheme="minorHAnsi"/>
        </w:rPr>
        <w:t xml:space="preserve"> underlying risk and protective factors in order to make recommendations to national and international agencies and non-governmental organizations on developing strategies to identify, treat and prevent violence against children. If successful, VACS could be scaled up and ultimately provide decision makers with state or city-level data on the magnitude and nature of violence against children</w:t>
      </w:r>
      <w:r w:rsidR="00E308E1">
        <w:rPr>
          <w:rFonts w:asciiTheme="minorHAnsi" w:hAnsiTheme="minorHAnsi" w:cstheme="minorHAnsi"/>
        </w:rPr>
        <w:t xml:space="preserve"> in the US</w:t>
      </w:r>
      <w:r w:rsidRPr="00E308E1">
        <w:rPr>
          <w:rFonts w:asciiTheme="minorHAnsi" w:hAnsiTheme="minorHAnsi" w:cstheme="minorHAnsi"/>
        </w:rPr>
        <w:t xml:space="preserve">. The CDC </w:t>
      </w:r>
      <w:r w:rsidRPr="00E308E1" w:rsidR="00A102F0">
        <w:rPr>
          <w:rFonts w:asciiTheme="minorHAnsi" w:hAnsiTheme="minorHAnsi" w:cstheme="minorHAnsi"/>
        </w:rPr>
        <w:t>will</w:t>
      </w:r>
      <w:r w:rsidRPr="00E308E1">
        <w:rPr>
          <w:rFonts w:asciiTheme="minorHAnsi" w:hAnsiTheme="minorHAnsi" w:cstheme="minorHAnsi"/>
        </w:rPr>
        <w:t xml:space="preserve"> be using the results of this survey to inform its violence prevention efforts and refine practices related to the protection of children. In addition to the primary use mentioned above, the findings of the survey will also serve as a foundation for enhancing and developing strategies focused on youth violence prevention in the City of Baltimore. </w:t>
      </w:r>
      <w:r w:rsidR="00943510">
        <w:rPr>
          <w:rFonts w:asciiTheme="minorHAnsi" w:hAnsiTheme="minorHAnsi" w:cstheme="minorHAnsi"/>
        </w:rPr>
        <w:t xml:space="preserve"> </w:t>
      </w:r>
    </w:p>
    <w:p w:rsidR="003B6C37" w:rsidP="00445ECB" w:rsidRDefault="003B6C37" w14:paraId="2D56BF7E" w14:textId="77777777">
      <w:pPr>
        <w:autoSpaceDE w:val="0"/>
        <w:autoSpaceDN w:val="0"/>
        <w:adjustRightInd w:val="0"/>
        <w:spacing w:line="276" w:lineRule="auto"/>
        <w:ind w:firstLine="360"/>
        <w:rPr>
          <w:rFonts w:asciiTheme="minorHAnsi" w:hAnsiTheme="minorHAnsi" w:cstheme="minorHAnsi"/>
        </w:rPr>
      </w:pPr>
    </w:p>
    <w:p w:rsidR="00A605B5" w:rsidP="000A5D0C" w:rsidRDefault="00943510" w14:paraId="248841E3" w14:textId="6F8CB436">
      <w:pPr>
        <w:autoSpaceDE w:val="0"/>
        <w:autoSpaceDN w:val="0"/>
        <w:adjustRightInd w:val="0"/>
        <w:spacing w:line="276" w:lineRule="auto"/>
        <w:ind w:firstLine="360"/>
        <w:rPr>
          <w:rFonts w:asciiTheme="minorHAnsi" w:hAnsiTheme="minorHAnsi" w:cstheme="minorHAnsi"/>
        </w:rPr>
      </w:pPr>
      <w:r w:rsidRPr="00510887">
        <w:rPr>
          <w:rFonts w:asciiTheme="minorHAnsi" w:hAnsiTheme="minorHAnsi" w:cstheme="minorHAnsi"/>
        </w:rPr>
        <w:t xml:space="preserve">Following COVID-19 guidance, at the time of the interview, social distancing and </w:t>
      </w:r>
      <w:r w:rsidRPr="00510887" w:rsidR="00FB24A2">
        <w:rPr>
          <w:rFonts w:asciiTheme="minorHAnsi" w:hAnsiTheme="minorHAnsi" w:cstheme="minorHAnsi"/>
        </w:rPr>
        <w:t xml:space="preserve">other </w:t>
      </w:r>
      <w:r w:rsidRPr="00510887">
        <w:rPr>
          <w:rFonts w:asciiTheme="minorHAnsi" w:hAnsiTheme="minorHAnsi" w:cstheme="minorHAnsi"/>
        </w:rPr>
        <w:t>public health safety measure</w:t>
      </w:r>
      <w:r w:rsidRPr="00510887" w:rsidR="00FB24A2">
        <w:rPr>
          <w:rFonts w:asciiTheme="minorHAnsi" w:hAnsiTheme="minorHAnsi" w:cstheme="minorHAnsi"/>
        </w:rPr>
        <w:t>s</w:t>
      </w:r>
      <w:r w:rsidRPr="00510887">
        <w:rPr>
          <w:rFonts w:asciiTheme="minorHAnsi" w:hAnsiTheme="minorHAnsi" w:cstheme="minorHAnsi"/>
        </w:rPr>
        <w:t xml:space="preserve"> will be implemented</w:t>
      </w:r>
      <w:r w:rsidR="00C66D8D">
        <w:rPr>
          <w:rFonts w:asciiTheme="minorHAnsi" w:hAnsiTheme="minorHAnsi" w:cstheme="minorHAnsi"/>
        </w:rPr>
        <w:t xml:space="preserve"> as necessary when data collection begins in October 2021</w:t>
      </w:r>
      <w:r w:rsidRPr="00510887">
        <w:rPr>
          <w:rFonts w:asciiTheme="minorHAnsi" w:hAnsiTheme="minorHAnsi" w:cstheme="minorHAnsi"/>
        </w:rPr>
        <w:t>.</w:t>
      </w:r>
      <w:r w:rsidR="003B6C37">
        <w:rPr>
          <w:rFonts w:asciiTheme="minorHAnsi" w:hAnsiTheme="minorHAnsi" w:cstheme="minorHAnsi"/>
        </w:rPr>
        <w:t xml:space="preserve"> </w:t>
      </w:r>
      <w:r w:rsidR="00C126F7">
        <w:rPr>
          <w:rFonts w:asciiTheme="minorHAnsi" w:hAnsiTheme="minorHAnsi" w:cstheme="minorHAnsi"/>
        </w:rPr>
        <w:t xml:space="preserve">CDC awarded </w:t>
      </w:r>
      <w:r w:rsidR="003B6C37">
        <w:rPr>
          <w:rFonts w:asciiTheme="minorHAnsi" w:hAnsiTheme="minorHAnsi" w:cstheme="minorHAnsi"/>
        </w:rPr>
        <w:t>NORC</w:t>
      </w:r>
      <w:r w:rsidR="00C126F7">
        <w:rPr>
          <w:rFonts w:asciiTheme="minorHAnsi" w:hAnsiTheme="minorHAnsi" w:cstheme="minorHAnsi"/>
        </w:rPr>
        <w:t xml:space="preserve"> at the University of Chicago a contract to provide scientific services to </w:t>
      </w:r>
      <w:r w:rsidRPr="00E308E1" w:rsidR="00C126F7">
        <w:rPr>
          <w:rFonts w:asciiTheme="minorHAnsi" w:hAnsiTheme="minorHAnsi" w:cstheme="minorHAnsi"/>
        </w:rPr>
        <w:t>adapt the VACS methodology for impl</w:t>
      </w:r>
      <w:r w:rsidR="00C126F7">
        <w:rPr>
          <w:rFonts w:asciiTheme="minorHAnsi" w:hAnsiTheme="minorHAnsi" w:cstheme="minorHAnsi"/>
        </w:rPr>
        <w:t>ementation in the United States. NORC’</w:t>
      </w:r>
      <w:r w:rsidR="0081058F">
        <w:rPr>
          <w:rFonts w:asciiTheme="minorHAnsi" w:hAnsiTheme="minorHAnsi" w:cstheme="minorHAnsi"/>
        </w:rPr>
        <w:t xml:space="preserve">s role includes managing and conducting the interviews in the field. NORC has developed a </w:t>
      </w:r>
      <w:r w:rsidR="0081058F">
        <w:rPr>
          <w:rFonts w:asciiTheme="minorHAnsi" w:hAnsiTheme="minorHAnsi" w:cstheme="minorHAnsi"/>
          <w:i/>
        </w:rPr>
        <w:t>Planning for In-Person Data Collection Task Force</w:t>
      </w:r>
      <w:r w:rsidR="0081058F">
        <w:rPr>
          <w:rFonts w:asciiTheme="minorHAnsi" w:hAnsiTheme="minorHAnsi" w:cstheme="minorHAnsi"/>
        </w:rPr>
        <w:t xml:space="preserve"> to </w:t>
      </w:r>
      <w:r w:rsidR="0081058F">
        <w:rPr>
          <w:rFonts w:asciiTheme="minorHAnsi" w:hAnsiTheme="minorHAnsi" w:cstheme="minorHAnsi"/>
        </w:rPr>
        <w:lastRenderedPageBreak/>
        <w:t xml:space="preserve">create a template for projects to reintroducing in-person data collection during the COVID-19 pandemic in such a way that is safe and accepted by interviewers and respondents, and ensures the quality of data collection. Protocols that have been developed to date include requirements for maintaining physical distance, requiring both the interviewer and respondents to wear masks </w:t>
      </w:r>
      <w:r w:rsidR="00957FA0">
        <w:rPr>
          <w:rFonts w:asciiTheme="minorHAnsi" w:hAnsiTheme="minorHAnsi" w:cstheme="minorHAnsi"/>
        </w:rPr>
        <w:t xml:space="preserve">(NORC staff will have extra masks with them to provide a mask to the respondent if they do not have one available to wear) </w:t>
      </w:r>
      <w:r w:rsidR="0081058F">
        <w:rPr>
          <w:rFonts w:asciiTheme="minorHAnsi" w:hAnsiTheme="minorHAnsi" w:cstheme="minorHAnsi"/>
        </w:rPr>
        <w:t>and other personal protective equipment</w:t>
      </w:r>
      <w:r w:rsidR="00957FA0">
        <w:rPr>
          <w:rFonts w:asciiTheme="minorHAnsi" w:hAnsiTheme="minorHAnsi" w:cstheme="minorHAnsi"/>
        </w:rPr>
        <w:t xml:space="preserve"> (i.e., facial shield and gloves)</w:t>
      </w:r>
      <w:r w:rsidR="0081058F">
        <w:rPr>
          <w:rFonts w:asciiTheme="minorHAnsi" w:hAnsiTheme="minorHAnsi" w:cstheme="minorHAnsi"/>
        </w:rPr>
        <w:t>,</w:t>
      </w:r>
      <w:r w:rsidR="0076533C">
        <w:rPr>
          <w:rFonts w:asciiTheme="minorHAnsi" w:hAnsiTheme="minorHAnsi" w:cstheme="minorHAnsi"/>
        </w:rPr>
        <w:t xml:space="preserve"> d</w:t>
      </w:r>
      <w:r w:rsidRPr="0076533C" w:rsidR="00F20AB8">
        <w:rPr>
          <w:rFonts w:asciiTheme="minorHAnsi" w:hAnsiTheme="minorHAnsi" w:cstheme="minorHAnsi"/>
        </w:rPr>
        <w:t>isinfecting wipes to be used after each interaction with materials and equipment</w:t>
      </w:r>
      <w:r w:rsidR="0076533C">
        <w:rPr>
          <w:rFonts w:asciiTheme="minorHAnsi" w:hAnsiTheme="minorHAnsi" w:cstheme="minorHAnsi"/>
        </w:rPr>
        <w:t xml:space="preserve">, </w:t>
      </w:r>
      <w:r w:rsidR="0081058F">
        <w:rPr>
          <w:rFonts w:asciiTheme="minorHAnsi" w:hAnsiTheme="minorHAnsi" w:cstheme="minorHAnsi"/>
        </w:rPr>
        <w:t>and interviewing outdoors when possible</w:t>
      </w:r>
      <w:r w:rsidR="000A5D0C">
        <w:rPr>
          <w:rFonts w:asciiTheme="minorHAnsi" w:hAnsiTheme="minorHAnsi" w:cstheme="minorHAnsi"/>
        </w:rPr>
        <w:t xml:space="preserve"> or siting in an </w:t>
      </w:r>
      <w:r w:rsidR="00E505E0">
        <w:rPr>
          <w:rFonts w:asciiTheme="minorHAnsi" w:hAnsiTheme="minorHAnsi" w:cstheme="minorHAnsi"/>
        </w:rPr>
        <w:t xml:space="preserve">indoor </w:t>
      </w:r>
      <w:r w:rsidR="000A5D0C">
        <w:rPr>
          <w:rFonts w:asciiTheme="minorHAnsi" w:hAnsiTheme="minorHAnsi" w:cstheme="minorHAnsi"/>
        </w:rPr>
        <w:t>area</w:t>
      </w:r>
      <w:r w:rsidR="00E505E0">
        <w:rPr>
          <w:rFonts w:asciiTheme="minorHAnsi" w:hAnsiTheme="minorHAnsi" w:cstheme="minorHAnsi"/>
        </w:rPr>
        <w:t xml:space="preserve"> </w:t>
      </w:r>
      <w:r w:rsidR="000A5D0C">
        <w:rPr>
          <w:rFonts w:asciiTheme="minorHAnsi" w:hAnsiTheme="minorHAnsi" w:cstheme="minorHAnsi"/>
        </w:rPr>
        <w:t xml:space="preserve">with </w:t>
      </w:r>
      <w:r w:rsidR="00E505E0">
        <w:rPr>
          <w:rFonts w:asciiTheme="minorHAnsi" w:hAnsiTheme="minorHAnsi" w:cstheme="minorHAnsi"/>
        </w:rPr>
        <w:t xml:space="preserve">adequate </w:t>
      </w:r>
      <w:r w:rsidRPr="000A5D0C" w:rsidR="000A5D0C">
        <w:rPr>
          <w:rFonts w:asciiTheme="minorHAnsi" w:hAnsiTheme="minorHAnsi" w:cstheme="minorHAnsi"/>
        </w:rPr>
        <w:t>ventilation</w:t>
      </w:r>
      <w:r w:rsidR="0081058F">
        <w:rPr>
          <w:rFonts w:asciiTheme="minorHAnsi" w:hAnsiTheme="minorHAnsi" w:cstheme="minorHAnsi"/>
        </w:rPr>
        <w:t xml:space="preserve">. As the situation evolves, the task force will continue updating protocols to ensure the safety of participants and interview staff. All interviewers and field managers will be trained on all protocols prior to entering the field. </w:t>
      </w:r>
      <w:r w:rsidR="000E2B37">
        <w:rPr>
          <w:rFonts w:asciiTheme="minorHAnsi" w:hAnsiTheme="minorHAnsi" w:cstheme="minorHAnsi"/>
        </w:rPr>
        <w:t xml:space="preserve">We will adhere to the most up to date CDC guidelines on testing, quarantine, and other mitigation efforts. </w:t>
      </w:r>
      <w:r w:rsidR="00C66D8D">
        <w:rPr>
          <w:rFonts w:asciiTheme="minorHAnsi" w:hAnsiTheme="minorHAnsi" w:cstheme="minorHAnsi"/>
        </w:rPr>
        <w:t>In addition to following guidance developed by the NORC task force, the study team will follow the example of other federal research organizations, such as the U.S. Census Bureau, and train our interviewers on adhering to public health guidelines</w:t>
      </w:r>
      <w:r w:rsidR="000A5D0C">
        <w:rPr>
          <w:rFonts w:asciiTheme="minorHAnsi" w:hAnsiTheme="minorHAnsi" w:cstheme="minorHAnsi"/>
        </w:rPr>
        <w:t xml:space="preserve"> and </w:t>
      </w:r>
      <w:r w:rsidRPr="000A5D0C" w:rsidR="000A5D0C">
        <w:rPr>
          <w:rFonts w:asciiTheme="minorHAnsi" w:hAnsiTheme="minorHAnsi" w:cstheme="minorHAnsi"/>
        </w:rPr>
        <w:t>applicable state and local orders</w:t>
      </w:r>
      <w:r w:rsidR="000A5D0C">
        <w:rPr>
          <w:rFonts w:asciiTheme="minorHAnsi" w:hAnsiTheme="minorHAnsi" w:cstheme="minorHAnsi"/>
        </w:rPr>
        <w:t xml:space="preserve"> </w:t>
      </w:r>
      <w:r w:rsidR="00C66D8D">
        <w:rPr>
          <w:rFonts w:asciiTheme="minorHAnsi" w:hAnsiTheme="minorHAnsi" w:cstheme="minorHAnsi"/>
        </w:rPr>
        <w:t xml:space="preserve">within Maryland. </w:t>
      </w:r>
    </w:p>
    <w:p w:rsidR="00CF0711" w:rsidP="000A5D0C" w:rsidRDefault="00CF0711" w14:paraId="171D6F29" w14:textId="77777777">
      <w:pPr>
        <w:autoSpaceDE w:val="0"/>
        <w:autoSpaceDN w:val="0"/>
        <w:adjustRightInd w:val="0"/>
        <w:spacing w:line="276" w:lineRule="auto"/>
        <w:ind w:firstLine="360"/>
        <w:rPr>
          <w:rFonts w:asciiTheme="minorHAnsi" w:hAnsiTheme="minorHAnsi" w:cstheme="minorHAnsi"/>
        </w:rPr>
      </w:pPr>
    </w:p>
    <w:p w:rsidRPr="00AC1300" w:rsidR="00DE6565" w:rsidP="00DE6565" w:rsidRDefault="00C8053A" w14:paraId="0490749A" w14:textId="6321393A">
      <w:pPr>
        <w:autoSpaceDE w:val="0"/>
        <w:autoSpaceDN w:val="0"/>
        <w:adjustRightInd w:val="0"/>
        <w:spacing w:line="276" w:lineRule="auto"/>
        <w:ind w:firstLine="360"/>
        <w:rPr>
          <w:rFonts w:asciiTheme="minorHAnsi" w:hAnsiTheme="minorHAnsi" w:cstheme="minorHAnsi"/>
        </w:rPr>
      </w:pPr>
      <w:r>
        <w:rPr>
          <w:rFonts w:asciiTheme="minorHAnsi" w:hAnsiTheme="minorHAnsi" w:cstheme="minorHAnsi"/>
        </w:rPr>
        <w:t>The in-person data collection methodology is essential for this research for several reasons</w:t>
      </w:r>
      <w:r w:rsidR="00DE6565">
        <w:rPr>
          <w:rFonts w:asciiTheme="minorHAnsi" w:hAnsiTheme="minorHAnsi" w:cstheme="minorHAnsi"/>
        </w:rPr>
        <w:t>. First, given the sensitivity of the questionnaire, in-person data collection will help ensure the privacy and safety of the participant. Interviewers will be trained to secure a private space within the home so that other household mem</w:t>
      </w:r>
      <w:r w:rsidR="00F03C89">
        <w:rPr>
          <w:rFonts w:asciiTheme="minorHAnsi" w:hAnsiTheme="minorHAnsi" w:cstheme="minorHAnsi"/>
        </w:rPr>
        <w:t>bers do not see or overhear sensitive questionnaire items</w:t>
      </w:r>
      <w:r w:rsidR="007B172C">
        <w:rPr>
          <w:rFonts w:asciiTheme="minorHAnsi" w:hAnsiTheme="minorHAnsi" w:cstheme="minorHAnsi"/>
        </w:rPr>
        <w:t xml:space="preserve"> (see section A.10</w:t>
      </w:r>
      <w:r w:rsidR="001403EE">
        <w:rPr>
          <w:rFonts w:asciiTheme="minorHAnsi" w:hAnsiTheme="minorHAnsi" w:cstheme="minorHAnsi"/>
        </w:rPr>
        <w:t>.</w:t>
      </w:r>
      <w:r w:rsidR="007B172C">
        <w:rPr>
          <w:rFonts w:asciiTheme="minorHAnsi" w:hAnsiTheme="minorHAnsi" w:cstheme="minorHAnsi"/>
        </w:rPr>
        <w:t>)</w:t>
      </w:r>
      <w:r w:rsidR="00F03C89">
        <w:rPr>
          <w:rFonts w:asciiTheme="minorHAnsi" w:hAnsiTheme="minorHAnsi" w:cstheme="minorHAnsi"/>
        </w:rPr>
        <w:t xml:space="preserve">. </w:t>
      </w:r>
      <w:r w:rsidR="00AC1300">
        <w:rPr>
          <w:rFonts w:asciiTheme="minorHAnsi" w:hAnsiTheme="minorHAnsi" w:cstheme="minorHAnsi"/>
        </w:rPr>
        <w:t>I</w:t>
      </w:r>
      <w:r w:rsidR="00F03C89">
        <w:rPr>
          <w:rFonts w:asciiTheme="minorHAnsi" w:hAnsiTheme="minorHAnsi" w:cstheme="minorHAnsi"/>
        </w:rPr>
        <w:t xml:space="preserve">nterviewers will </w:t>
      </w:r>
      <w:r w:rsidR="00AC1300">
        <w:rPr>
          <w:rFonts w:asciiTheme="minorHAnsi" w:hAnsiTheme="minorHAnsi" w:cstheme="minorHAnsi"/>
        </w:rPr>
        <w:t xml:space="preserve">also </w:t>
      </w:r>
      <w:r w:rsidR="00F03C89">
        <w:rPr>
          <w:rFonts w:asciiTheme="minorHAnsi" w:hAnsiTheme="minorHAnsi" w:cstheme="minorHAnsi"/>
        </w:rPr>
        <w:t xml:space="preserve">be trained to connect participants who have an adverse reaction to the survey with a social worker and/or other resources within the community. </w:t>
      </w:r>
      <w:r w:rsidR="00BB72DE">
        <w:rPr>
          <w:rFonts w:asciiTheme="minorHAnsi" w:hAnsiTheme="minorHAnsi" w:cstheme="minorHAnsi"/>
        </w:rPr>
        <w:t>Additionally, in-person data collection has been shown to yield higher response rates</w:t>
      </w:r>
      <w:r w:rsidR="00F83E82">
        <w:rPr>
          <w:rFonts w:asciiTheme="minorHAnsi" w:hAnsiTheme="minorHAnsi" w:cstheme="minorHAnsi"/>
        </w:rPr>
        <w:t xml:space="preserve"> compared to telephone or online survey methods.</w:t>
      </w:r>
      <w:r w:rsidR="00AC1300">
        <w:rPr>
          <w:rStyle w:val="EndnoteReference"/>
          <w:rFonts w:asciiTheme="minorHAnsi" w:hAnsiTheme="minorHAnsi" w:cstheme="minorHAnsi"/>
        </w:rPr>
        <w:endnoteReference w:id="37"/>
      </w:r>
      <w:r w:rsidR="00AC1300">
        <w:rPr>
          <w:rFonts w:asciiTheme="minorHAnsi" w:hAnsiTheme="minorHAnsi" w:cstheme="minorHAnsi"/>
        </w:rPr>
        <w:t xml:space="preserve"> </w:t>
      </w:r>
      <w:r w:rsidR="007B172C">
        <w:rPr>
          <w:rFonts w:asciiTheme="minorHAnsi" w:hAnsiTheme="minorHAnsi" w:cstheme="minorHAnsi"/>
        </w:rPr>
        <w:t xml:space="preserve">CDC has had success with implementing VACS in 24 countries using in-person data collection methodology. </w:t>
      </w:r>
      <w:r w:rsidR="00957FA0">
        <w:rPr>
          <w:rFonts w:asciiTheme="minorHAnsi" w:hAnsiTheme="minorHAnsi" w:cstheme="minorHAnsi"/>
        </w:rPr>
        <w:t xml:space="preserve">CDC hired NORC as a contractor to </w:t>
      </w:r>
      <w:r w:rsidR="007B172C">
        <w:rPr>
          <w:rFonts w:asciiTheme="minorHAnsi" w:hAnsiTheme="minorHAnsi" w:cstheme="minorHAnsi"/>
        </w:rPr>
        <w:t xml:space="preserve">pilot test the VACS questionnaire and methodology as an in-person household survey in the United States, with the purpose of determining the feasibility of implementing this study throughout the United States. </w:t>
      </w:r>
      <w:r w:rsidR="001403EE">
        <w:rPr>
          <w:rFonts w:asciiTheme="minorHAnsi" w:hAnsiTheme="minorHAnsi" w:cstheme="minorHAnsi"/>
        </w:rPr>
        <w:t xml:space="preserve">As outlined below in section A.4., the in-person methodology is essential for filling a gap in research on violence against children in the United States. </w:t>
      </w:r>
      <w:r w:rsidR="00E97339">
        <w:rPr>
          <w:rFonts w:asciiTheme="minorHAnsi" w:hAnsiTheme="minorHAnsi" w:cstheme="minorHAnsi"/>
        </w:rPr>
        <w:t>Should in-person data collection not be feasible in Fall 2021 as planned due to safety concerns related to the COVID-19 pandemic we will propose delaying data collection until it is safe to do so, based on public health protocols in Maryland.</w:t>
      </w:r>
      <w:r w:rsidR="00957FA0">
        <w:rPr>
          <w:rFonts w:asciiTheme="minorHAnsi" w:hAnsiTheme="minorHAnsi" w:cstheme="minorHAnsi"/>
        </w:rPr>
        <w:t xml:space="preserve">  With the recent news on the upcoming availability of multiple COVID-19 vaccines as early as Dec. 2020, we are encouraged that</w:t>
      </w:r>
      <w:r w:rsidR="000D05E0">
        <w:rPr>
          <w:rFonts w:asciiTheme="minorHAnsi" w:hAnsiTheme="minorHAnsi" w:cstheme="minorHAnsi"/>
        </w:rPr>
        <w:t xml:space="preserve"> the pandemic will gradually be brought under more control and</w:t>
      </w:r>
      <w:r w:rsidR="00957FA0">
        <w:rPr>
          <w:rFonts w:asciiTheme="minorHAnsi" w:hAnsiTheme="minorHAnsi" w:cstheme="minorHAnsi"/>
        </w:rPr>
        <w:t xml:space="preserve"> in-person data collection will be able to proceed using the above precautionary steps. </w:t>
      </w:r>
    </w:p>
    <w:p w:rsidR="00FB7D77" w:rsidP="00AD7DB8" w:rsidRDefault="00FB7D77" w14:paraId="2D6BF67C" w14:textId="5F3E2F44">
      <w:pPr>
        <w:autoSpaceDE w:val="0"/>
        <w:autoSpaceDN w:val="0"/>
        <w:adjustRightInd w:val="0"/>
        <w:spacing w:line="276" w:lineRule="auto"/>
        <w:rPr>
          <w:rFonts w:asciiTheme="minorHAnsi" w:hAnsiTheme="minorHAnsi" w:cstheme="minorHAnsi"/>
          <w:b/>
          <w:bCs/>
        </w:rPr>
      </w:pPr>
    </w:p>
    <w:p w:rsidR="00CF0711" w:rsidP="00AD7DB8" w:rsidRDefault="00CF0711" w14:paraId="6FA82675" w14:textId="20D83FC8">
      <w:pPr>
        <w:autoSpaceDE w:val="0"/>
        <w:autoSpaceDN w:val="0"/>
        <w:adjustRightInd w:val="0"/>
        <w:spacing w:line="276" w:lineRule="auto"/>
        <w:rPr>
          <w:rFonts w:asciiTheme="minorHAnsi" w:hAnsiTheme="minorHAnsi" w:cstheme="minorHAnsi"/>
          <w:b/>
          <w:bCs/>
        </w:rPr>
      </w:pPr>
    </w:p>
    <w:p w:rsidRPr="00E308E1" w:rsidR="00FB7D77" w:rsidP="00AD7DB8" w:rsidRDefault="00FB7D77" w14:paraId="21DBB031"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A.3. </w:t>
      </w:r>
      <w:r w:rsidRPr="00E308E1">
        <w:rPr>
          <w:rFonts w:asciiTheme="minorHAnsi" w:hAnsiTheme="minorHAnsi" w:cstheme="minorHAnsi"/>
          <w:b/>
          <w:bCs/>
        </w:rPr>
        <w:tab/>
        <w:t>Use of Improved Information Technology and Burden Reduction</w:t>
      </w:r>
    </w:p>
    <w:p w:rsidRPr="00E308E1" w:rsidR="00FB7D77" w:rsidP="00AD7DB8" w:rsidRDefault="00FB7D77" w14:paraId="040303AC" w14:textId="77777777">
      <w:pPr>
        <w:spacing w:line="276" w:lineRule="auto"/>
        <w:rPr>
          <w:rFonts w:asciiTheme="minorHAnsi" w:hAnsiTheme="minorHAnsi" w:cstheme="minorHAnsi"/>
        </w:rPr>
      </w:pPr>
    </w:p>
    <w:p w:rsidRPr="00E308E1" w:rsidR="00D02C3C" w:rsidP="00445ECB" w:rsidRDefault="00EA6274" w14:paraId="5776F6D4" w14:textId="708FD8B2">
      <w:pPr>
        <w:spacing w:after="200" w:line="276" w:lineRule="auto"/>
        <w:ind w:firstLine="720"/>
        <w:rPr>
          <w:rFonts w:asciiTheme="minorHAnsi" w:hAnsiTheme="minorHAnsi" w:cstheme="minorHAnsi"/>
        </w:rPr>
      </w:pPr>
      <w:r w:rsidRPr="00E308E1">
        <w:rPr>
          <w:rFonts w:asciiTheme="minorHAnsi" w:hAnsiTheme="minorHAnsi" w:cstheme="minorHAnsi"/>
        </w:rPr>
        <w:t xml:space="preserve">The </w:t>
      </w:r>
      <w:r w:rsidR="007D41E5">
        <w:rPr>
          <w:rFonts w:asciiTheme="minorHAnsi" w:hAnsiTheme="minorHAnsi" w:cstheme="minorHAnsi"/>
        </w:rPr>
        <w:t>p</w:t>
      </w:r>
      <w:r w:rsidRPr="00E308E1">
        <w:rPr>
          <w:rFonts w:asciiTheme="minorHAnsi" w:hAnsiTheme="minorHAnsi" w:cstheme="minorHAnsi"/>
        </w:rPr>
        <w:t xml:space="preserve">ilot </w:t>
      </w:r>
      <w:r w:rsidR="007D41E5">
        <w:rPr>
          <w:rFonts w:asciiTheme="minorHAnsi" w:hAnsiTheme="minorHAnsi" w:cstheme="minorHAnsi"/>
        </w:rPr>
        <w:t>i</w:t>
      </w:r>
      <w:r w:rsidRPr="00E308E1">
        <w:rPr>
          <w:rFonts w:asciiTheme="minorHAnsi" w:hAnsiTheme="minorHAnsi" w:cstheme="minorHAnsi"/>
        </w:rPr>
        <w:t xml:space="preserve">mplementation of VACS in the United States intends to use electronic data collection, </w:t>
      </w:r>
      <w:r w:rsidRPr="00E308E1" w:rsidR="00F43B15">
        <w:rPr>
          <w:rFonts w:asciiTheme="minorHAnsi" w:hAnsiTheme="minorHAnsi" w:cstheme="minorHAnsi"/>
        </w:rPr>
        <w:t xml:space="preserve">specifically tablets for interviewer-administered and Audio Computer-Assisted Self-Interview (ACASI) </w:t>
      </w:r>
      <w:r w:rsidRPr="00E308E1" w:rsidR="00F43B15">
        <w:rPr>
          <w:rFonts w:asciiTheme="minorHAnsi" w:hAnsiTheme="minorHAnsi" w:cstheme="minorHAnsi"/>
        </w:rPr>
        <w:lastRenderedPageBreak/>
        <w:t>Software survey items</w:t>
      </w:r>
      <w:r w:rsidRPr="00E308E1">
        <w:rPr>
          <w:rFonts w:asciiTheme="minorHAnsi" w:hAnsiTheme="minorHAnsi" w:cstheme="minorHAnsi"/>
        </w:rPr>
        <w:t>. This pilot study will be the first VACS study to use</w:t>
      </w:r>
      <w:r w:rsidRPr="00E308E1" w:rsidR="00F43B15">
        <w:rPr>
          <w:rFonts w:asciiTheme="minorHAnsi" w:hAnsiTheme="minorHAnsi" w:cstheme="minorHAnsi"/>
        </w:rPr>
        <w:t xml:space="preserve"> ACASI</w:t>
      </w:r>
      <w:r w:rsidRPr="00E308E1">
        <w:rPr>
          <w:rFonts w:asciiTheme="minorHAnsi" w:hAnsiTheme="minorHAnsi" w:cstheme="minorHAnsi"/>
        </w:rPr>
        <w:t xml:space="preserve">. </w:t>
      </w:r>
      <w:r w:rsidRPr="00E308E1" w:rsidR="00D02C3C">
        <w:rPr>
          <w:rFonts w:asciiTheme="minorHAnsi" w:hAnsiTheme="minorHAnsi" w:cstheme="minorHAnsi"/>
        </w:rPr>
        <w:t>This software capitalizes on the use of improved information technology, allowing participants to</w:t>
      </w:r>
      <w:r w:rsidRPr="00E308E1">
        <w:rPr>
          <w:rFonts w:asciiTheme="minorHAnsi" w:hAnsiTheme="minorHAnsi" w:cstheme="minorHAnsi"/>
        </w:rPr>
        <w:t xml:space="preserve"> be able to read, listen, and respond to questions on the tablet themselves, instead of responding to the interviewer. ACASI </w:t>
      </w:r>
      <w:r w:rsidR="00E308E1">
        <w:rPr>
          <w:rFonts w:asciiTheme="minorHAnsi" w:hAnsiTheme="minorHAnsi" w:cstheme="minorHAnsi"/>
        </w:rPr>
        <w:t xml:space="preserve">with a headset for working privately </w:t>
      </w:r>
      <w:r w:rsidRPr="00E308E1">
        <w:rPr>
          <w:rFonts w:asciiTheme="minorHAnsi" w:hAnsiTheme="minorHAnsi" w:cstheme="minorHAnsi"/>
        </w:rPr>
        <w:t>will be used because it allows for the collection of sensitive information</w:t>
      </w:r>
      <w:r w:rsidR="00151A06">
        <w:rPr>
          <w:rFonts w:asciiTheme="minorHAnsi" w:hAnsiTheme="minorHAnsi" w:cstheme="minorHAnsi"/>
        </w:rPr>
        <w:t xml:space="preserve"> in a way that maximizes participant comfort with disclosure, increasing the likelihood of </w:t>
      </w:r>
      <w:r w:rsidR="002C3383">
        <w:rPr>
          <w:rFonts w:asciiTheme="minorHAnsi" w:hAnsiTheme="minorHAnsi" w:cstheme="minorHAnsi"/>
        </w:rPr>
        <w:t>the collection of reliable and valid data on sensitive items</w:t>
      </w:r>
      <w:r w:rsidR="00F95F65">
        <w:rPr>
          <w:rFonts w:asciiTheme="minorHAnsi" w:hAnsiTheme="minorHAnsi" w:cstheme="minorHAnsi"/>
        </w:rPr>
        <w:t>.</w:t>
      </w:r>
      <w:r w:rsidRPr="00E308E1" w:rsidR="00841B9B">
        <w:rPr>
          <w:rFonts w:asciiTheme="minorHAnsi" w:hAnsiTheme="minorHAnsi" w:cstheme="minorHAnsi"/>
        </w:rPr>
        <w:t xml:space="preserve"> </w:t>
      </w:r>
    </w:p>
    <w:p w:rsidRPr="00E308E1" w:rsidR="00EA6274" w:rsidP="00AD7DB8" w:rsidRDefault="00EA6274" w14:paraId="468E0FE3" w14:textId="77777777">
      <w:pPr>
        <w:spacing w:line="276" w:lineRule="auto"/>
        <w:rPr>
          <w:rFonts w:asciiTheme="minorHAnsi" w:hAnsiTheme="minorHAnsi" w:cstheme="minorHAnsi"/>
        </w:rPr>
      </w:pPr>
    </w:p>
    <w:p w:rsidRPr="00E308E1" w:rsidR="00FB7D77" w:rsidP="00AD7DB8" w:rsidRDefault="00FB7D77" w14:paraId="42F4EC8A"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A.4. </w:t>
      </w:r>
      <w:r w:rsidRPr="00E308E1">
        <w:rPr>
          <w:rFonts w:asciiTheme="minorHAnsi" w:hAnsiTheme="minorHAnsi" w:cstheme="minorHAnsi"/>
          <w:b/>
          <w:bCs/>
        </w:rPr>
        <w:tab/>
        <w:t>Efforts to Identify Duplication and Use of Similar Information</w:t>
      </w:r>
    </w:p>
    <w:p w:rsidRPr="00E308E1" w:rsidR="00FB7D77" w:rsidP="00AD7DB8" w:rsidRDefault="00FB7D77" w14:paraId="49234518" w14:textId="77777777">
      <w:pPr>
        <w:autoSpaceDE w:val="0"/>
        <w:autoSpaceDN w:val="0"/>
        <w:adjustRightInd w:val="0"/>
        <w:spacing w:line="276" w:lineRule="auto"/>
        <w:rPr>
          <w:rFonts w:asciiTheme="minorHAnsi" w:hAnsiTheme="minorHAnsi" w:cstheme="minorHAnsi"/>
        </w:rPr>
      </w:pPr>
    </w:p>
    <w:p w:rsidRPr="00E308E1" w:rsidR="00A30B4A" w:rsidP="00445ECB" w:rsidRDefault="00BC692E" w14:paraId="3E84FA48" w14:textId="17F0D740">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 xml:space="preserve">The information to be collected from participants is not available from other sources. </w:t>
      </w:r>
      <w:r w:rsidRPr="00E308E1" w:rsidR="00BD016D">
        <w:rPr>
          <w:rFonts w:asciiTheme="minorHAnsi" w:hAnsiTheme="minorHAnsi" w:cstheme="minorHAnsi"/>
        </w:rPr>
        <w:t>As described above,</w:t>
      </w:r>
      <w:r w:rsidRPr="00E308E1" w:rsidR="005047AF">
        <w:rPr>
          <w:rFonts w:asciiTheme="minorHAnsi" w:hAnsiTheme="minorHAnsi" w:cstheme="minorHAnsi"/>
        </w:rPr>
        <w:t xml:space="preserve"> while VACS has been implemented in 24 countries globally, it</w:t>
      </w:r>
      <w:r w:rsidRPr="00E308E1" w:rsidR="00BD016D">
        <w:rPr>
          <w:rFonts w:asciiTheme="minorHAnsi" w:hAnsiTheme="minorHAnsi" w:cstheme="minorHAnsi"/>
        </w:rPr>
        <w:t xml:space="preserve"> has never been conducted in the United States, and therefore representative data </w:t>
      </w:r>
      <w:r w:rsidR="00B4335A">
        <w:rPr>
          <w:rFonts w:asciiTheme="minorHAnsi" w:hAnsiTheme="minorHAnsi" w:cstheme="minorHAnsi"/>
        </w:rPr>
        <w:t xml:space="preserve">collected in-person </w:t>
      </w:r>
      <w:r w:rsidRPr="00E308E1" w:rsidR="00BD016D">
        <w:rPr>
          <w:rFonts w:asciiTheme="minorHAnsi" w:hAnsiTheme="minorHAnsi" w:cstheme="minorHAnsi"/>
        </w:rPr>
        <w:t xml:space="preserve">on the </w:t>
      </w:r>
      <w:r w:rsidRPr="00E308E1" w:rsidR="005047AF">
        <w:rPr>
          <w:rFonts w:asciiTheme="minorHAnsi" w:hAnsiTheme="minorHAnsi" w:cstheme="minorHAnsi"/>
        </w:rPr>
        <w:t xml:space="preserve">prevalence, context, and risk and protective factors of violence against children does not exist. </w:t>
      </w:r>
    </w:p>
    <w:p w:rsidRPr="00E308E1" w:rsidR="00A30B4A" w:rsidP="00AD7DB8" w:rsidRDefault="00A30B4A" w14:paraId="523D90F8" w14:textId="77777777">
      <w:pPr>
        <w:autoSpaceDE w:val="0"/>
        <w:autoSpaceDN w:val="0"/>
        <w:adjustRightInd w:val="0"/>
        <w:spacing w:line="276" w:lineRule="auto"/>
        <w:rPr>
          <w:rFonts w:asciiTheme="minorHAnsi" w:hAnsiTheme="minorHAnsi" w:cstheme="minorHAnsi"/>
        </w:rPr>
      </w:pPr>
    </w:p>
    <w:p w:rsidRPr="00E308E1" w:rsidR="00A30B4A" w:rsidP="00445ECB" w:rsidRDefault="00A30B4A" w14:paraId="40067183" w14:textId="03ACAECE">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While developing the global VACS, CDC engaged international partners, including UNICEF, WHO, USAID, and Together for Girls to ensure that the information was both useful and unique. In the development of the domestic surveys, CDC met with two state public health departments and expert</w:t>
      </w:r>
      <w:r w:rsidR="00335804">
        <w:rPr>
          <w:rFonts w:asciiTheme="minorHAnsi" w:hAnsiTheme="minorHAnsi" w:cstheme="minorHAnsi"/>
        </w:rPr>
        <w:t xml:space="preserve">s </w:t>
      </w:r>
      <w:r w:rsidRPr="00E308E1">
        <w:rPr>
          <w:rFonts w:asciiTheme="minorHAnsi" w:hAnsiTheme="minorHAnsi" w:cstheme="minorHAnsi"/>
        </w:rPr>
        <w:t>from</w:t>
      </w:r>
      <w:r w:rsidRPr="00E308E1" w:rsidR="00D912E5">
        <w:rPr>
          <w:rFonts w:asciiTheme="minorHAnsi" w:hAnsiTheme="minorHAnsi" w:cstheme="minorHAnsi"/>
        </w:rPr>
        <w:t xml:space="preserve"> CDC, CDC Foundation, academia and non-profit organization partners to gather insight on important topics for inclusion in</w:t>
      </w:r>
      <w:r w:rsidRPr="00E308E1" w:rsidR="00F1595B">
        <w:rPr>
          <w:rFonts w:asciiTheme="minorHAnsi" w:hAnsiTheme="minorHAnsi" w:cstheme="minorHAnsi"/>
        </w:rPr>
        <w:t xml:space="preserve"> the questionnaire to gain a comprehensive understanding of violence against children in the U.S.</w:t>
      </w:r>
      <w:r w:rsidRPr="00E308E1" w:rsidR="00BA7264">
        <w:rPr>
          <w:rFonts w:asciiTheme="minorHAnsi" w:hAnsiTheme="minorHAnsi" w:cstheme="minorHAnsi"/>
        </w:rPr>
        <w:t xml:space="preserve"> Furthermore, while adapting the survey instrument for use in the pilot implementation in Baltimore, Maryland, CDC collaborated with</w:t>
      </w:r>
      <w:r w:rsidR="007D41E5">
        <w:rPr>
          <w:rFonts w:asciiTheme="minorHAnsi" w:hAnsiTheme="minorHAnsi" w:cstheme="minorHAnsi"/>
        </w:rPr>
        <w:t xml:space="preserve"> the</w:t>
      </w:r>
      <w:r w:rsidRPr="00E308E1" w:rsidR="00BA7264">
        <w:rPr>
          <w:rFonts w:asciiTheme="minorHAnsi" w:hAnsiTheme="minorHAnsi" w:cstheme="minorHAnsi"/>
        </w:rPr>
        <w:t xml:space="preserve"> Baltimore City Health Department (BCHD) to elicit their input on data needed to develop well-informed violence prevention programs within their community.</w:t>
      </w:r>
    </w:p>
    <w:p w:rsidRPr="00E308E1" w:rsidR="00F1595B" w:rsidP="00AD7DB8" w:rsidRDefault="00F1595B" w14:paraId="4E6038EA" w14:textId="77777777">
      <w:pPr>
        <w:autoSpaceDE w:val="0"/>
        <w:autoSpaceDN w:val="0"/>
        <w:adjustRightInd w:val="0"/>
        <w:spacing w:line="276" w:lineRule="auto"/>
        <w:rPr>
          <w:rFonts w:asciiTheme="minorHAnsi" w:hAnsiTheme="minorHAnsi" w:cstheme="minorHAnsi"/>
        </w:rPr>
      </w:pPr>
    </w:p>
    <w:p w:rsidR="00363917" w:rsidP="00445ECB" w:rsidRDefault="005047AF" w14:paraId="0D5D068D" w14:textId="215067D7">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color w:val="000000"/>
        </w:rPr>
        <w:t xml:space="preserve">The CDC acknowledges that a lack of comprehensive data on violence against children has been one of the challenges to plan, implement, monitor and evaluate appropriate policies and programing on child protection. </w:t>
      </w:r>
      <w:r w:rsidRPr="00E308E1">
        <w:rPr>
          <w:rFonts w:asciiTheme="minorHAnsi" w:hAnsiTheme="minorHAnsi" w:cstheme="minorHAnsi"/>
        </w:rPr>
        <w:t xml:space="preserve">While there are some sources of information related to violence </w:t>
      </w:r>
      <w:r w:rsidRPr="00E308E1" w:rsidR="00D912E5">
        <w:rPr>
          <w:rFonts w:asciiTheme="minorHAnsi" w:hAnsiTheme="minorHAnsi" w:cstheme="minorHAnsi"/>
        </w:rPr>
        <w:t>against youth, such as the Yout</w:t>
      </w:r>
      <w:r w:rsidRPr="00E308E1" w:rsidR="00F1595B">
        <w:rPr>
          <w:rFonts w:asciiTheme="minorHAnsi" w:hAnsiTheme="minorHAnsi" w:cstheme="minorHAnsi"/>
        </w:rPr>
        <w:t>h</w:t>
      </w:r>
      <w:r w:rsidRPr="00E308E1">
        <w:rPr>
          <w:rFonts w:asciiTheme="minorHAnsi" w:hAnsiTheme="minorHAnsi" w:cstheme="minorHAnsi"/>
        </w:rPr>
        <w:t xml:space="preserve"> Risk Behavior Survey (YRBS</w:t>
      </w:r>
      <w:r w:rsidR="00E6523D">
        <w:rPr>
          <w:rFonts w:asciiTheme="minorHAnsi" w:hAnsiTheme="minorHAnsi" w:cstheme="minorHAnsi"/>
        </w:rPr>
        <w:t xml:space="preserve">, </w:t>
      </w:r>
      <w:r w:rsidRPr="001403EE" w:rsidR="00E6523D">
        <w:rPr>
          <w:rFonts w:asciiTheme="minorHAnsi" w:hAnsiTheme="minorHAnsi" w:cstheme="minorHAnsi"/>
        </w:rPr>
        <w:t>OMB#</w:t>
      </w:r>
      <w:r w:rsidRPr="00C712BA" w:rsidR="00E6523D">
        <w:t xml:space="preserve"> </w:t>
      </w:r>
      <w:hyperlink w:history="1" r:id="rId11">
        <w:r w:rsidRPr="00DB3F9C" w:rsidR="00DB3F9C">
          <w:rPr>
            <w:rFonts w:asciiTheme="minorHAnsi" w:hAnsiTheme="minorHAnsi" w:cstheme="minorHAnsi"/>
            <w:color w:val="000000"/>
          </w:rPr>
          <w:t>0920-0493</w:t>
        </w:r>
      </w:hyperlink>
      <w:r w:rsidRPr="00DB3F9C" w:rsidR="00E6523D">
        <w:rPr>
          <w:rFonts w:asciiTheme="minorHAnsi" w:hAnsiTheme="minorHAnsi" w:cstheme="minorHAnsi"/>
          <w:color w:val="000000"/>
        </w:rPr>
        <w:t>)</w:t>
      </w:r>
      <w:r w:rsidRPr="00DB3F9C">
        <w:rPr>
          <w:rFonts w:asciiTheme="minorHAnsi" w:hAnsiTheme="minorHAnsi" w:cstheme="minorHAnsi"/>
          <w:color w:val="000000"/>
        </w:rPr>
        <w:t>,</w:t>
      </w:r>
      <w:r w:rsidRPr="00E308E1">
        <w:rPr>
          <w:rFonts w:asciiTheme="minorHAnsi" w:hAnsiTheme="minorHAnsi" w:cstheme="minorHAnsi"/>
        </w:rPr>
        <w:t xml:space="preserve"> </w:t>
      </w:r>
      <w:r w:rsidR="00B4335A">
        <w:rPr>
          <w:rFonts w:asciiTheme="minorHAnsi" w:hAnsiTheme="minorHAnsi" w:cstheme="minorHAnsi"/>
        </w:rPr>
        <w:t xml:space="preserve">and </w:t>
      </w:r>
      <w:r w:rsidRPr="00E308E1">
        <w:rPr>
          <w:rFonts w:asciiTheme="minorHAnsi" w:hAnsiTheme="minorHAnsi" w:cstheme="minorHAnsi"/>
        </w:rPr>
        <w:t>Behavioral Risk Factor Surveillance System (BRFSS</w:t>
      </w:r>
      <w:r w:rsidR="00E6523D">
        <w:rPr>
          <w:rFonts w:asciiTheme="minorHAnsi" w:hAnsiTheme="minorHAnsi" w:cstheme="minorHAnsi"/>
        </w:rPr>
        <w:t>,</w:t>
      </w:r>
      <w:r w:rsidRPr="00E6523D" w:rsidR="00E6523D">
        <w:rPr>
          <w:rFonts w:asciiTheme="minorHAnsi" w:hAnsiTheme="minorHAnsi" w:cstheme="minorHAnsi"/>
        </w:rPr>
        <w:t xml:space="preserve"> </w:t>
      </w:r>
      <w:r w:rsidRPr="00C712BA" w:rsidR="00E6523D">
        <w:t>OMB#</w:t>
      </w:r>
      <w:r w:rsidRPr="00DB3F9C" w:rsidR="00DB3F9C">
        <w:t xml:space="preserve"> 0920-1061</w:t>
      </w:r>
      <w:r w:rsidRPr="00C712BA" w:rsidR="00E6523D">
        <w:t xml:space="preserve"> )</w:t>
      </w:r>
      <w:r w:rsidRPr="00E308E1" w:rsidR="00E6523D">
        <w:rPr>
          <w:rFonts w:asciiTheme="minorHAnsi" w:hAnsiTheme="minorHAnsi" w:cstheme="minorHAnsi"/>
        </w:rPr>
        <w:t xml:space="preserve">, </w:t>
      </w:r>
      <w:r w:rsidRPr="00E308E1">
        <w:rPr>
          <w:rFonts w:asciiTheme="minorHAnsi" w:hAnsiTheme="minorHAnsi" w:cstheme="minorHAnsi"/>
        </w:rPr>
        <w:t xml:space="preserve"> these </w:t>
      </w:r>
      <w:r w:rsidRPr="0004695D">
        <w:rPr>
          <w:rFonts w:asciiTheme="minorHAnsi" w:hAnsiTheme="minorHAnsi" w:cstheme="minorHAnsi"/>
          <w:color w:val="000000"/>
        </w:rPr>
        <w:t>sources</w:t>
      </w:r>
      <w:r w:rsidR="00151A06">
        <w:rPr>
          <w:rFonts w:asciiTheme="minorHAnsi" w:hAnsiTheme="minorHAnsi" w:cstheme="minorHAnsi"/>
          <w:color w:val="000000"/>
        </w:rPr>
        <w:t xml:space="preserve"> are not violence-focused, and thus</w:t>
      </w:r>
      <w:r w:rsidRPr="0004695D">
        <w:rPr>
          <w:rFonts w:asciiTheme="minorHAnsi" w:hAnsiTheme="minorHAnsi" w:cstheme="minorHAnsi"/>
          <w:color w:val="000000"/>
        </w:rPr>
        <w:t xml:space="preserve"> do not capture local </w:t>
      </w:r>
      <w:r w:rsidR="00151A06">
        <w:rPr>
          <w:rFonts w:asciiTheme="minorHAnsi" w:hAnsiTheme="minorHAnsi" w:cstheme="minorHAnsi"/>
          <w:color w:val="000000"/>
        </w:rPr>
        <w:t>prevalence</w:t>
      </w:r>
      <w:r w:rsidRPr="0004695D" w:rsidR="00151A06">
        <w:rPr>
          <w:rFonts w:asciiTheme="minorHAnsi" w:hAnsiTheme="minorHAnsi" w:cstheme="minorHAnsi"/>
          <w:color w:val="000000"/>
        </w:rPr>
        <w:t xml:space="preserve"> </w:t>
      </w:r>
      <w:r w:rsidRPr="0004695D">
        <w:rPr>
          <w:rFonts w:asciiTheme="minorHAnsi" w:hAnsiTheme="minorHAnsi" w:cstheme="minorHAnsi"/>
          <w:color w:val="000000"/>
        </w:rPr>
        <w:t xml:space="preserve">and the </w:t>
      </w:r>
      <w:r w:rsidR="00151A06">
        <w:rPr>
          <w:rFonts w:asciiTheme="minorHAnsi" w:hAnsiTheme="minorHAnsi" w:cstheme="minorHAnsi"/>
          <w:color w:val="000000"/>
        </w:rPr>
        <w:t>comprehensive context</w:t>
      </w:r>
      <w:r w:rsidRPr="0004695D" w:rsidR="00151A06">
        <w:rPr>
          <w:rFonts w:asciiTheme="minorHAnsi" w:hAnsiTheme="minorHAnsi" w:cstheme="minorHAnsi"/>
          <w:color w:val="000000"/>
        </w:rPr>
        <w:t xml:space="preserve"> </w:t>
      </w:r>
      <w:r w:rsidRPr="0004695D">
        <w:rPr>
          <w:rFonts w:asciiTheme="minorHAnsi" w:hAnsiTheme="minorHAnsi" w:cstheme="minorHAnsi"/>
          <w:color w:val="000000"/>
        </w:rPr>
        <w:t xml:space="preserve">of youth violence </w:t>
      </w:r>
      <w:r w:rsidRPr="0004695D" w:rsidR="00B4335A">
        <w:rPr>
          <w:rFonts w:asciiTheme="minorHAnsi" w:hAnsiTheme="minorHAnsi" w:cstheme="minorHAnsi"/>
          <w:color w:val="000000"/>
        </w:rPr>
        <w:t xml:space="preserve">victimization and </w:t>
      </w:r>
      <w:r w:rsidRPr="008B4EEE" w:rsidR="00B4335A">
        <w:rPr>
          <w:rFonts w:asciiTheme="minorHAnsi" w:hAnsiTheme="minorHAnsi" w:cstheme="minorHAnsi"/>
        </w:rPr>
        <w:t xml:space="preserve">perpetration </w:t>
      </w:r>
      <w:r w:rsidRPr="008B4EEE">
        <w:rPr>
          <w:rFonts w:asciiTheme="minorHAnsi" w:hAnsiTheme="minorHAnsi" w:cstheme="minorHAnsi"/>
        </w:rPr>
        <w:t xml:space="preserve">across the U.S. </w:t>
      </w:r>
      <w:r w:rsidR="007216C0">
        <w:rPr>
          <w:rFonts w:asciiTheme="minorHAnsi" w:hAnsiTheme="minorHAnsi" w:cstheme="minorHAnsi"/>
        </w:rPr>
        <w:t>Furthermore, much ACEs data are focused</w:t>
      </w:r>
      <w:r w:rsidR="007D41E5">
        <w:rPr>
          <w:rFonts w:asciiTheme="minorHAnsi" w:hAnsiTheme="minorHAnsi" w:cstheme="minorHAnsi"/>
        </w:rPr>
        <w:t xml:space="preserve"> on</w:t>
      </w:r>
      <w:r w:rsidR="007216C0">
        <w:rPr>
          <w:rFonts w:asciiTheme="minorHAnsi" w:hAnsiTheme="minorHAnsi" w:cstheme="minorHAnsi"/>
        </w:rPr>
        <w:t xml:space="preserve"> adults, rather than youth populations.</w:t>
      </w:r>
      <w:r w:rsidRPr="008B4EEE" w:rsidR="00B4335A">
        <w:rPr>
          <w:rFonts w:asciiTheme="minorHAnsi" w:hAnsiTheme="minorHAnsi" w:cstheme="minorHAnsi"/>
        </w:rPr>
        <w:t xml:space="preserve"> Alternatively, there are other data systems that cover violence such as </w:t>
      </w:r>
      <w:r w:rsidRPr="008B4EEE" w:rsidR="00BC724D">
        <w:rPr>
          <w:rFonts w:asciiTheme="minorHAnsi" w:hAnsiTheme="minorHAnsi" w:cstheme="minorHAnsi"/>
        </w:rPr>
        <w:t xml:space="preserve">CDC’s </w:t>
      </w:r>
      <w:r w:rsidRPr="008B4EEE" w:rsidR="00B4335A">
        <w:rPr>
          <w:rFonts w:asciiTheme="minorHAnsi" w:hAnsiTheme="minorHAnsi" w:cstheme="minorHAnsi"/>
        </w:rPr>
        <w:t>National Intimate Partner and Sexual Violence Survey (NISVS</w:t>
      </w:r>
      <w:r w:rsidR="00E6523D">
        <w:rPr>
          <w:rFonts w:asciiTheme="minorHAnsi" w:hAnsiTheme="minorHAnsi" w:cstheme="minorHAnsi"/>
        </w:rPr>
        <w:t xml:space="preserve">,  </w:t>
      </w:r>
      <w:r w:rsidRPr="00C80C49" w:rsidR="00E6523D">
        <w:rPr>
          <w:rFonts w:asciiTheme="minorHAnsi" w:hAnsiTheme="minorHAnsi" w:cstheme="minorHAnsi"/>
        </w:rPr>
        <w:t xml:space="preserve">OMB# </w:t>
      </w:r>
      <w:r w:rsidRPr="00C80C49" w:rsidR="005728C2">
        <w:rPr>
          <w:rFonts w:asciiTheme="minorHAnsi" w:hAnsiTheme="minorHAnsi" w:cstheme="minorHAnsi"/>
        </w:rPr>
        <w:t>0920-0822</w:t>
      </w:r>
      <w:r w:rsidRPr="00C80C49" w:rsidR="00E6523D">
        <w:rPr>
          <w:rFonts w:asciiTheme="minorHAnsi" w:hAnsiTheme="minorHAnsi" w:cstheme="minorHAnsi"/>
        </w:rPr>
        <w:t>),</w:t>
      </w:r>
      <w:r w:rsidRPr="00C80C49" w:rsidR="008B4EEE">
        <w:rPr>
          <w:rFonts w:asciiTheme="minorHAnsi" w:hAnsiTheme="minorHAnsi" w:cstheme="minorHAnsi"/>
        </w:rPr>
        <w:t xml:space="preserve"> </w:t>
      </w:r>
      <w:r w:rsidRPr="008B4EEE" w:rsidR="00BC724D">
        <w:rPr>
          <w:rFonts w:asciiTheme="minorHAnsi" w:hAnsiTheme="minorHAnsi" w:cstheme="minorHAnsi"/>
        </w:rPr>
        <w:t>the National Crime Victimization Survey (NCVS</w:t>
      </w:r>
      <w:r w:rsidR="00222F92">
        <w:rPr>
          <w:rFonts w:asciiTheme="minorHAnsi" w:hAnsiTheme="minorHAnsi" w:cstheme="minorHAnsi"/>
        </w:rPr>
        <w:t>,</w:t>
      </w:r>
      <w:r w:rsidR="005728C2">
        <w:rPr>
          <w:rFonts w:asciiTheme="minorHAnsi" w:hAnsiTheme="minorHAnsi" w:cstheme="minorHAnsi"/>
        </w:rPr>
        <w:t xml:space="preserve"> OMB#</w:t>
      </w:r>
      <w:r w:rsidR="00222F92">
        <w:rPr>
          <w:rFonts w:asciiTheme="minorHAnsi" w:hAnsiTheme="minorHAnsi" w:cstheme="minorHAnsi"/>
        </w:rPr>
        <w:t xml:space="preserve"> </w:t>
      </w:r>
      <w:r w:rsidRPr="005728C2" w:rsidR="005728C2">
        <w:rPr>
          <w:rFonts w:asciiTheme="minorHAnsi" w:hAnsiTheme="minorHAnsi" w:cstheme="minorHAnsi"/>
        </w:rPr>
        <w:t>1121-0111</w:t>
      </w:r>
      <w:r w:rsidRPr="008B4EEE" w:rsidR="00BC724D">
        <w:rPr>
          <w:rFonts w:asciiTheme="minorHAnsi" w:hAnsiTheme="minorHAnsi" w:cstheme="minorHAnsi"/>
        </w:rPr>
        <w:t>) conducted by the Bureau of Justice Statistics</w:t>
      </w:r>
      <w:r w:rsidRPr="008B4EEE" w:rsidR="008B4EEE">
        <w:rPr>
          <w:rFonts w:asciiTheme="minorHAnsi" w:hAnsiTheme="minorHAnsi" w:cstheme="minorHAnsi"/>
        </w:rPr>
        <w:t>, and the National Survey of Children's Exposure to Violence (NatSCEV</w:t>
      </w:r>
      <w:r w:rsidR="008525B9">
        <w:rPr>
          <w:rFonts w:asciiTheme="minorHAnsi" w:hAnsiTheme="minorHAnsi" w:cstheme="minorHAnsi"/>
        </w:rPr>
        <w:t xml:space="preserve">) </w:t>
      </w:r>
      <w:r w:rsidRPr="008B4EEE" w:rsidR="008B4EEE">
        <w:rPr>
          <w:rFonts w:asciiTheme="minorHAnsi" w:hAnsiTheme="minorHAnsi" w:cstheme="minorHAnsi"/>
        </w:rPr>
        <w:t>funded in the past by the Office of Juvenile Justice and Delinquency Prevention.</w:t>
      </w:r>
      <w:r w:rsidR="008B4EEE">
        <w:rPr>
          <w:rFonts w:asciiTheme="minorHAnsi" w:hAnsiTheme="minorHAnsi" w:cstheme="minorHAnsi"/>
        </w:rPr>
        <w:t xml:space="preserve"> </w:t>
      </w:r>
      <w:r w:rsidR="007D41E5">
        <w:rPr>
          <w:rFonts w:asciiTheme="minorHAnsi" w:hAnsiTheme="minorHAnsi" w:cstheme="minorHAnsi"/>
        </w:rPr>
        <w:t>The NISVS</w:t>
      </w:r>
      <w:r w:rsidRPr="008B4EEE" w:rsidR="00BC724D">
        <w:rPr>
          <w:rFonts w:asciiTheme="minorHAnsi" w:hAnsiTheme="minorHAnsi" w:cstheme="minorHAnsi"/>
        </w:rPr>
        <w:t xml:space="preserve"> only includes </w:t>
      </w:r>
      <w:r w:rsidRPr="008B4EEE" w:rsidR="00B4335A">
        <w:rPr>
          <w:rFonts w:asciiTheme="minorHAnsi" w:hAnsiTheme="minorHAnsi" w:cstheme="minorHAnsi"/>
        </w:rPr>
        <w:t>adults aged 18 and older</w:t>
      </w:r>
      <w:r w:rsidRPr="008B4EEE" w:rsidR="00BC724D">
        <w:rPr>
          <w:rFonts w:asciiTheme="minorHAnsi" w:hAnsiTheme="minorHAnsi" w:cstheme="minorHAnsi"/>
        </w:rPr>
        <w:t xml:space="preserve"> (VACS targets youth ages 13-24)</w:t>
      </w:r>
      <w:r w:rsidRPr="008B4EEE" w:rsidR="00B4335A">
        <w:rPr>
          <w:rFonts w:asciiTheme="minorHAnsi" w:hAnsiTheme="minorHAnsi" w:cstheme="minorHAnsi"/>
        </w:rPr>
        <w:t>.</w:t>
      </w:r>
      <w:r w:rsidRPr="008B4EEE" w:rsidR="00BC724D">
        <w:rPr>
          <w:rFonts w:asciiTheme="minorHAnsi" w:hAnsiTheme="minorHAnsi" w:cstheme="minorHAnsi"/>
        </w:rPr>
        <w:t xml:space="preserve"> The NCVS includes U.S. households </w:t>
      </w:r>
      <w:r w:rsidR="00291706">
        <w:rPr>
          <w:rFonts w:asciiTheme="minorHAnsi" w:hAnsiTheme="minorHAnsi" w:cstheme="minorHAnsi"/>
        </w:rPr>
        <w:t xml:space="preserve">with occupants </w:t>
      </w:r>
      <w:r w:rsidRPr="008B4EEE" w:rsidR="00BC724D">
        <w:rPr>
          <w:rFonts w:asciiTheme="minorHAnsi" w:hAnsiTheme="minorHAnsi" w:cstheme="minorHAnsi"/>
        </w:rPr>
        <w:t>age 12 or older but only includes victimization, with no coverage of perpetration of violence.  Furthermore, the NCVS survey</w:t>
      </w:r>
      <w:r w:rsidRPr="008B4EEE" w:rsidR="00F71E3E">
        <w:rPr>
          <w:rFonts w:asciiTheme="minorHAnsi" w:hAnsiTheme="minorHAnsi" w:cstheme="minorHAnsi"/>
        </w:rPr>
        <w:t xml:space="preserve"> questions </w:t>
      </w:r>
      <w:r w:rsidRPr="008B4EEE" w:rsidR="00BC724D">
        <w:rPr>
          <w:rFonts w:asciiTheme="minorHAnsi" w:hAnsiTheme="minorHAnsi" w:cstheme="minorHAnsi"/>
        </w:rPr>
        <w:t>are couched within a crime context</w:t>
      </w:r>
      <w:r w:rsidRPr="008B4EEE" w:rsidR="00F71E3E">
        <w:rPr>
          <w:rFonts w:asciiTheme="minorHAnsi" w:hAnsiTheme="minorHAnsi" w:cstheme="minorHAnsi"/>
        </w:rPr>
        <w:t xml:space="preserve"> (querying participants about being a ‘crime’ victim)</w:t>
      </w:r>
      <w:r w:rsidRPr="008B4EEE" w:rsidR="00BC724D">
        <w:rPr>
          <w:rFonts w:asciiTheme="minorHAnsi" w:hAnsiTheme="minorHAnsi" w:cstheme="minorHAnsi"/>
        </w:rPr>
        <w:t xml:space="preserve">, but </w:t>
      </w:r>
      <w:r w:rsidRPr="008B4EEE" w:rsidR="00BC724D">
        <w:rPr>
          <w:rFonts w:asciiTheme="minorHAnsi" w:hAnsiTheme="minorHAnsi" w:cstheme="minorHAnsi"/>
        </w:rPr>
        <w:lastRenderedPageBreak/>
        <w:t>the VACS will ask behaviorally specific</w:t>
      </w:r>
      <w:r w:rsidRPr="008B4EEE" w:rsidR="00F71E3E">
        <w:rPr>
          <w:rFonts w:asciiTheme="minorHAnsi" w:hAnsiTheme="minorHAnsi" w:cstheme="minorHAnsi"/>
        </w:rPr>
        <w:t>/neutral</w:t>
      </w:r>
      <w:r w:rsidRPr="008B4EEE" w:rsidR="00BC724D">
        <w:rPr>
          <w:rFonts w:asciiTheme="minorHAnsi" w:hAnsiTheme="minorHAnsi" w:cstheme="minorHAnsi"/>
        </w:rPr>
        <w:t xml:space="preserve"> questions couched in a public health context which is associated with much higher levels of disclosure</w:t>
      </w:r>
      <w:r w:rsidRPr="008B4EEE" w:rsidR="0004695D">
        <w:rPr>
          <w:rFonts w:asciiTheme="minorHAnsi" w:hAnsiTheme="minorHAnsi" w:cstheme="minorHAnsi"/>
        </w:rPr>
        <w:t>.</w:t>
      </w:r>
      <w:r w:rsidR="00AD7DB8">
        <w:rPr>
          <w:rFonts w:asciiTheme="minorHAnsi" w:hAnsiTheme="minorHAnsi" w:cstheme="minorHAnsi"/>
        </w:rPr>
        <w:t xml:space="preserve"> Within a crime context, youth may not disclose violence because they do not equate violence by people they trust with crime.</w:t>
      </w:r>
      <w:r w:rsidR="008B4EEE">
        <w:rPr>
          <w:rFonts w:asciiTheme="minorHAnsi" w:hAnsiTheme="minorHAnsi" w:cstheme="minorHAnsi"/>
        </w:rPr>
        <w:t xml:space="preserve">  The NatSCEV is not actively collecting data (the last archived NatSCEV dataset was 2014) and </w:t>
      </w:r>
      <w:r w:rsidRPr="008B4EEE" w:rsidR="008B4EEE">
        <w:rPr>
          <w:rFonts w:asciiTheme="minorHAnsi" w:hAnsiTheme="minorHAnsi" w:cstheme="minorHAnsi"/>
        </w:rPr>
        <w:t xml:space="preserve">involved three rounds of data collection, NatSCEV I (baseline), NatSCEV II, and NatSCEV III. </w:t>
      </w:r>
      <w:r w:rsidR="008B4EEE">
        <w:rPr>
          <w:rFonts w:asciiTheme="minorHAnsi" w:hAnsiTheme="minorHAnsi" w:cstheme="minorHAnsi"/>
        </w:rPr>
        <w:t xml:space="preserve"> </w:t>
      </w:r>
      <w:r w:rsidRPr="008B4EEE" w:rsidR="008B4EEE">
        <w:rPr>
          <w:rFonts w:asciiTheme="minorHAnsi" w:hAnsiTheme="minorHAnsi" w:cstheme="minorHAnsi"/>
        </w:rPr>
        <w:t>The Nat</w:t>
      </w:r>
      <w:r w:rsidR="008B4EEE">
        <w:rPr>
          <w:rFonts w:asciiTheme="minorHAnsi" w:hAnsiTheme="minorHAnsi" w:cstheme="minorHAnsi"/>
        </w:rPr>
        <w:t xml:space="preserve">SCEV </w:t>
      </w:r>
      <w:r w:rsidRPr="008B4EEE" w:rsidR="008B4EEE">
        <w:rPr>
          <w:rFonts w:asciiTheme="minorHAnsi" w:hAnsiTheme="minorHAnsi" w:cstheme="minorHAnsi"/>
        </w:rPr>
        <w:t xml:space="preserve">was designed to obtain lifetime and one-year incidence estimates of a comprehensive range of childhood victimizations </w:t>
      </w:r>
      <w:r w:rsidR="008B4EEE">
        <w:rPr>
          <w:rFonts w:asciiTheme="minorHAnsi" w:hAnsiTheme="minorHAnsi" w:cstheme="minorHAnsi"/>
        </w:rPr>
        <w:t>(but perpetration</w:t>
      </w:r>
      <w:r w:rsidR="00363917">
        <w:rPr>
          <w:rFonts w:asciiTheme="minorHAnsi" w:hAnsiTheme="minorHAnsi" w:cstheme="minorHAnsi"/>
        </w:rPr>
        <w:t xml:space="preserve"> is not covered in </w:t>
      </w:r>
      <w:r w:rsidRPr="008B4EEE" w:rsidR="00363917">
        <w:rPr>
          <w:rFonts w:asciiTheme="minorHAnsi" w:hAnsiTheme="minorHAnsi" w:cstheme="minorHAnsi"/>
        </w:rPr>
        <w:t>Nat</w:t>
      </w:r>
      <w:r w:rsidR="00363917">
        <w:rPr>
          <w:rFonts w:asciiTheme="minorHAnsi" w:hAnsiTheme="minorHAnsi" w:cstheme="minorHAnsi"/>
        </w:rPr>
        <w:t>SCEV)</w:t>
      </w:r>
      <w:r w:rsidRPr="008B4EEE" w:rsidR="008B4EEE">
        <w:rPr>
          <w:rFonts w:asciiTheme="minorHAnsi" w:hAnsiTheme="minorHAnsi" w:cstheme="minorHAnsi"/>
        </w:rPr>
        <w:t>.</w:t>
      </w:r>
      <w:r w:rsidR="008B4EEE">
        <w:rPr>
          <w:rFonts w:asciiTheme="minorHAnsi" w:hAnsiTheme="minorHAnsi" w:cstheme="minorHAnsi"/>
        </w:rPr>
        <w:t xml:space="preserve">  </w:t>
      </w:r>
      <w:r w:rsidRPr="008B4EEE" w:rsidR="008B4EEE">
        <w:rPr>
          <w:rFonts w:asciiTheme="minorHAnsi" w:hAnsiTheme="minorHAnsi" w:cstheme="minorHAnsi"/>
        </w:rPr>
        <w:t>The Nat</w:t>
      </w:r>
      <w:r w:rsidR="008B4EEE">
        <w:rPr>
          <w:rFonts w:asciiTheme="minorHAnsi" w:hAnsiTheme="minorHAnsi" w:cstheme="minorHAnsi"/>
        </w:rPr>
        <w:t xml:space="preserve">SCEV is collected via phone interviewing and does not use the more rigorous in-person data collection methods used in VACS. </w:t>
      </w:r>
      <w:r w:rsidR="00AD7DB8">
        <w:rPr>
          <w:rFonts w:asciiTheme="minorHAnsi" w:hAnsiTheme="minorHAnsi" w:cstheme="minorHAnsi"/>
        </w:rPr>
        <w:t xml:space="preserve">Data collection via phone </w:t>
      </w:r>
      <w:r w:rsidR="00000B5C">
        <w:rPr>
          <w:rFonts w:asciiTheme="minorHAnsi" w:hAnsiTheme="minorHAnsi" w:cstheme="minorHAnsi"/>
        </w:rPr>
        <w:t xml:space="preserve">tends to </w:t>
      </w:r>
      <w:r w:rsidR="00AD7DB8">
        <w:rPr>
          <w:rFonts w:asciiTheme="minorHAnsi" w:hAnsiTheme="minorHAnsi" w:cstheme="minorHAnsi"/>
        </w:rPr>
        <w:t>yield lower response rates than in-person</w:t>
      </w:r>
      <w:r w:rsidR="00C24176">
        <w:rPr>
          <w:rStyle w:val="EndnoteReference"/>
          <w:rFonts w:asciiTheme="minorHAnsi" w:hAnsiTheme="minorHAnsi" w:cstheme="minorHAnsi"/>
        </w:rPr>
        <w:endnoteReference w:id="38"/>
      </w:r>
      <w:r w:rsidR="00AD7DB8">
        <w:rPr>
          <w:rFonts w:asciiTheme="minorHAnsi" w:hAnsiTheme="minorHAnsi" w:cstheme="minorHAnsi"/>
        </w:rPr>
        <w:t xml:space="preserve"> and cannot ensure participant privacy.</w:t>
      </w:r>
      <w:r w:rsidR="008B4EEE">
        <w:rPr>
          <w:rFonts w:asciiTheme="minorHAnsi" w:hAnsiTheme="minorHAnsi" w:cstheme="minorHAnsi"/>
        </w:rPr>
        <w:t xml:space="preserve"> Also, </w:t>
      </w:r>
      <w:r w:rsidRPr="008B4EEE" w:rsidR="008B4EEE">
        <w:rPr>
          <w:rFonts w:asciiTheme="minorHAnsi" w:hAnsiTheme="minorHAnsi" w:cstheme="minorHAnsi"/>
        </w:rPr>
        <w:t>Nat</w:t>
      </w:r>
      <w:r w:rsidR="008B4EEE">
        <w:rPr>
          <w:rFonts w:asciiTheme="minorHAnsi" w:hAnsiTheme="minorHAnsi" w:cstheme="minorHAnsi"/>
        </w:rPr>
        <w:t xml:space="preserve">SCEV includes in its </w:t>
      </w:r>
      <w:r w:rsidRPr="008B4EEE" w:rsidR="008B4EEE">
        <w:rPr>
          <w:rFonts w:asciiTheme="minorHAnsi" w:hAnsiTheme="minorHAnsi" w:cstheme="minorHAnsi"/>
        </w:rPr>
        <w:t xml:space="preserve">nationally representative sample of children </w:t>
      </w:r>
      <w:r w:rsidR="00363917">
        <w:rPr>
          <w:rFonts w:asciiTheme="minorHAnsi" w:hAnsiTheme="minorHAnsi" w:cstheme="minorHAnsi"/>
        </w:rPr>
        <w:t xml:space="preserve">only youth </w:t>
      </w:r>
      <w:r w:rsidRPr="008B4EEE" w:rsidR="008B4EEE">
        <w:rPr>
          <w:rFonts w:asciiTheme="minorHAnsi" w:hAnsiTheme="minorHAnsi" w:cstheme="minorHAnsi"/>
        </w:rPr>
        <w:t>less than 18 years of age</w:t>
      </w:r>
      <w:r w:rsidR="00363917">
        <w:rPr>
          <w:rFonts w:asciiTheme="minorHAnsi" w:hAnsiTheme="minorHAnsi" w:cstheme="minorHAnsi"/>
        </w:rPr>
        <w:t xml:space="preserve"> and does not use the more expansive definition of adolescents to include young people up to age 24 years old.</w:t>
      </w:r>
    </w:p>
    <w:p w:rsidRPr="00E308E1" w:rsidR="005047AF" w:rsidP="00AD7DB8" w:rsidRDefault="005047AF" w14:paraId="231C8236" w14:textId="77777777">
      <w:pPr>
        <w:autoSpaceDE w:val="0"/>
        <w:autoSpaceDN w:val="0"/>
        <w:adjustRightInd w:val="0"/>
        <w:spacing w:line="276" w:lineRule="auto"/>
        <w:rPr>
          <w:rFonts w:asciiTheme="minorHAnsi" w:hAnsiTheme="minorHAnsi" w:cstheme="minorHAnsi"/>
        </w:rPr>
      </w:pPr>
    </w:p>
    <w:p w:rsidRPr="00E308E1" w:rsidR="00FB7D77" w:rsidP="00AD7DB8" w:rsidRDefault="00FB7D77" w14:paraId="3B77A38E"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A.5. </w:t>
      </w:r>
      <w:r w:rsidRPr="00E308E1">
        <w:rPr>
          <w:rFonts w:asciiTheme="minorHAnsi" w:hAnsiTheme="minorHAnsi" w:cstheme="minorHAnsi"/>
          <w:b/>
          <w:bCs/>
        </w:rPr>
        <w:tab/>
        <w:t xml:space="preserve">Impact on Small Businesses or Other Small Entities </w:t>
      </w:r>
    </w:p>
    <w:p w:rsidRPr="00E308E1" w:rsidR="00FB7D77" w:rsidP="00AD7DB8" w:rsidRDefault="00FB7D77" w14:paraId="77CA4FE1" w14:textId="77777777">
      <w:pPr>
        <w:autoSpaceDE w:val="0"/>
        <w:autoSpaceDN w:val="0"/>
        <w:adjustRightInd w:val="0"/>
        <w:spacing w:line="276" w:lineRule="auto"/>
        <w:rPr>
          <w:rFonts w:asciiTheme="minorHAnsi" w:hAnsiTheme="minorHAnsi" w:cstheme="minorHAnsi"/>
          <w:b/>
          <w:bCs/>
        </w:rPr>
      </w:pPr>
    </w:p>
    <w:p w:rsidRPr="00E308E1" w:rsidR="00FB7D77" w:rsidP="002D753D" w:rsidRDefault="00FB7D77" w14:paraId="27676E04" w14:textId="77777777">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No small businesses will be involved in this data collection.</w:t>
      </w:r>
    </w:p>
    <w:p w:rsidRPr="00E308E1" w:rsidR="00FB7D77" w:rsidP="00AD7DB8" w:rsidRDefault="00FB7D77" w14:paraId="45F44BEC" w14:textId="77777777">
      <w:pPr>
        <w:autoSpaceDE w:val="0"/>
        <w:autoSpaceDN w:val="0"/>
        <w:adjustRightInd w:val="0"/>
        <w:spacing w:line="276" w:lineRule="auto"/>
        <w:rPr>
          <w:rFonts w:asciiTheme="minorHAnsi" w:hAnsiTheme="minorHAnsi" w:cstheme="minorHAnsi"/>
          <w:i/>
          <w:iCs/>
        </w:rPr>
      </w:pPr>
    </w:p>
    <w:p w:rsidRPr="00E308E1" w:rsidR="00FB7D77" w:rsidP="00AD7DB8" w:rsidRDefault="00FB7D77" w14:paraId="4811669D"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A.6. </w:t>
      </w:r>
      <w:r w:rsidRPr="00E308E1">
        <w:rPr>
          <w:rFonts w:asciiTheme="minorHAnsi" w:hAnsiTheme="minorHAnsi" w:cstheme="minorHAnsi"/>
          <w:b/>
          <w:bCs/>
        </w:rPr>
        <w:tab/>
        <w:t xml:space="preserve">Consequences of Collecting the Information Less Frequently </w:t>
      </w:r>
    </w:p>
    <w:p w:rsidRPr="00E308E1" w:rsidR="00FB7D77" w:rsidP="00AD7DB8" w:rsidRDefault="00FB7D77" w14:paraId="5E9A729E" w14:textId="77777777">
      <w:pPr>
        <w:autoSpaceDE w:val="0"/>
        <w:autoSpaceDN w:val="0"/>
        <w:adjustRightInd w:val="0"/>
        <w:spacing w:line="276" w:lineRule="auto"/>
        <w:rPr>
          <w:rFonts w:asciiTheme="minorHAnsi" w:hAnsiTheme="minorHAnsi" w:cstheme="minorHAnsi"/>
        </w:rPr>
      </w:pPr>
    </w:p>
    <w:p w:rsidRPr="00E308E1" w:rsidR="00943897" w:rsidP="00445ECB" w:rsidRDefault="00943897" w14:paraId="662C1294" w14:textId="74FA923A">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 xml:space="preserve">The primary consequence of collecting these data less frequently is that stakeholders would have less timely access to </w:t>
      </w:r>
      <w:r w:rsidRPr="00E308E1" w:rsidR="00BA7264">
        <w:rPr>
          <w:rFonts w:asciiTheme="minorHAnsi" w:hAnsiTheme="minorHAnsi" w:cstheme="minorHAnsi"/>
        </w:rPr>
        <w:t xml:space="preserve">city, state, and </w:t>
      </w:r>
      <w:r w:rsidRPr="00E308E1">
        <w:rPr>
          <w:rFonts w:asciiTheme="minorHAnsi" w:hAnsiTheme="minorHAnsi" w:cstheme="minorHAnsi"/>
        </w:rPr>
        <w:t xml:space="preserve">national prevalence estimates and other data on </w:t>
      </w:r>
      <w:r w:rsidRPr="00E308E1" w:rsidR="00BA7264">
        <w:rPr>
          <w:rFonts w:asciiTheme="minorHAnsi" w:hAnsiTheme="minorHAnsi" w:cstheme="minorHAnsi"/>
        </w:rPr>
        <w:t>violence against children</w:t>
      </w:r>
      <w:r w:rsidRPr="00E308E1">
        <w:rPr>
          <w:rFonts w:asciiTheme="minorHAnsi" w:hAnsiTheme="minorHAnsi" w:cstheme="minorHAnsi"/>
        </w:rPr>
        <w:t xml:space="preserve">. In order to generate state-level </w:t>
      </w:r>
      <w:r w:rsidRPr="00E308E1" w:rsidR="00BA7264">
        <w:rPr>
          <w:rFonts w:asciiTheme="minorHAnsi" w:hAnsiTheme="minorHAnsi" w:cstheme="minorHAnsi"/>
        </w:rPr>
        <w:t xml:space="preserve">or national-level </w:t>
      </w:r>
      <w:r w:rsidRPr="00E308E1">
        <w:rPr>
          <w:rFonts w:asciiTheme="minorHAnsi" w:hAnsiTheme="minorHAnsi" w:cstheme="minorHAnsi"/>
        </w:rPr>
        <w:t xml:space="preserve">estimates, </w:t>
      </w:r>
      <w:r w:rsidRPr="00E308E1" w:rsidR="00BA7264">
        <w:rPr>
          <w:rFonts w:asciiTheme="minorHAnsi" w:hAnsiTheme="minorHAnsi" w:cstheme="minorHAnsi"/>
        </w:rPr>
        <w:t>the VACS adapted for the U.S. context must be pilot tested</w:t>
      </w:r>
      <w:r w:rsidRPr="00E308E1">
        <w:rPr>
          <w:rFonts w:asciiTheme="minorHAnsi" w:hAnsiTheme="minorHAnsi" w:cstheme="minorHAnsi"/>
        </w:rPr>
        <w:t xml:space="preserve">. </w:t>
      </w:r>
      <w:r w:rsidRPr="00E308E1" w:rsidR="00DA4FE1">
        <w:rPr>
          <w:rFonts w:asciiTheme="minorHAnsi" w:hAnsiTheme="minorHAnsi" w:cstheme="minorHAnsi"/>
        </w:rPr>
        <w:t>Because no comprehensive</w:t>
      </w:r>
      <w:r w:rsidR="00483B45">
        <w:rPr>
          <w:rFonts w:asciiTheme="minorHAnsi" w:hAnsiTheme="minorHAnsi" w:cstheme="minorHAnsi"/>
        </w:rPr>
        <w:t>, ongoing</w:t>
      </w:r>
      <w:r w:rsidRPr="00E308E1" w:rsidR="00DA4FE1">
        <w:rPr>
          <w:rFonts w:asciiTheme="minorHAnsi" w:hAnsiTheme="minorHAnsi" w:cstheme="minorHAnsi"/>
        </w:rPr>
        <w:t xml:space="preserve"> and representative data on violence against children exist</w:t>
      </w:r>
      <w:r w:rsidR="00483B45">
        <w:rPr>
          <w:rFonts w:asciiTheme="minorHAnsi" w:hAnsiTheme="minorHAnsi" w:cstheme="minorHAnsi"/>
        </w:rPr>
        <w:t>s</w:t>
      </w:r>
      <w:r w:rsidRPr="00E308E1" w:rsidR="00DA4FE1">
        <w:rPr>
          <w:rFonts w:asciiTheme="minorHAnsi" w:hAnsiTheme="minorHAnsi" w:cstheme="minorHAnsi"/>
        </w:rPr>
        <w:t xml:space="preserve"> in the U.S., </w:t>
      </w:r>
      <w:r w:rsidRPr="00E308E1">
        <w:rPr>
          <w:rFonts w:asciiTheme="minorHAnsi" w:hAnsiTheme="minorHAnsi" w:cstheme="minorHAnsi"/>
        </w:rPr>
        <w:t xml:space="preserve">reducing the frequency of data collection </w:t>
      </w:r>
      <w:r w:rsidRPr="00E308E1" w:rsidR="00DA4FE1">
        <w:rPr>
          <w:rFonts w:asciiTheme="minorHAnsi" w:hAnsiTheme="minorHAnsi" w:cstheme="minorHAnsi"/>
        </w:rPr>
        <w:t xml:space="preserve">would </w:t>
      </w:r>
      <w:r w:rsidRPr="00E308E1">
        <w:rPr>
          <w:rFonts w:asciiTheme="minorHAnsi" w:hAnsiTheme="minorHAnsi" w:cstheme="minorHAnsi"/>
        </w:rPr>
        <w:t xml:space="preserve">greatly impact the </w:t>
      </w:r>
      <w:r w:rsidRPr="00E308E1" w:rsidR="00DA4FE1">
        <w:rPr>
          <w:rFonts w:asciiTheme="minorHAnsi" w:hAnsiTheme="minorHAnsi" w:cstheme="minorHAnsi"/>
        </w:rPr>
        <w:t xml:space="preserve">CDC’s ability to conduct future VACS </w:t>
      </w:r>
      <w:r w:rsidR="00483B45">
        <w:rPr>
          <w:rFonts w:asciiTheme="minorHAnsi" w:hAnsiTheme="minorHAnsi" w:cstheme="minorHAnsi"/>
        </w:rPr>
        <w:t xml:space="preserve">studies </w:t>
      </w:r>
      <w:r w:rsidRPr="00E308E1" w:rsidR="00DA4FE1">
        <w:rPr>
          <w:rFonts w:asciiTheme="minorHAnsi" w:hAnsiTheme="minorHAnsi" w:cstheme="minorHAnsi"/>
        </w:rPr>
        <w:t xml:space="preserve">to gain a comprehensive understanding of violence against children </w:t>
      </w:r>
      <w:r w:rsidRPr="00E308E1">
        <w:rPr>
          <w:rFonts w:asciiTheme="minorHAnsi" w:hAnsiTheme="minorHAnsi" w:cstheme="minorHAnsi"/>
        </w:rPr>
        <w:t xml:space="preserve">to therefore use to inform prevention efforts. </w:t>
      </w:r>
    </w:p>
    <w:p w:rsidRPr="00E308E1" w:rsidR="007620E0" w:rsidP="00AD7DB8" w:rsidRDefault="007620E0" w14:paraId="43D1A948" w14:textId="77777777">
      <w:pPr>
        <w:autoSpaceDE w:val="0"/>
        <w:autoSpaceDN w:val="0"/>
        <w:adjustRightInd w:val="0"/>
        <w:spacing w:line="276" w:lineRule="auto"/>
        <w:rPr>
          <w:rFonts w:asciiTheme="minorHAnsi" w:hAnsiTheme="minorHAnsi" w:cstheme="minorHAnsi"/>
          <w:b/>
          <w:bCs/>
        </w:rPr>
      </w:pPr>
    </w:p>
    <w:p w:rsidRPr="00E308E1" w:rsidR="00FB7D77" w:rsidP="00AD7DB8" w:rsidRDefault="00FB7D77" w14:paraId="5D58101D" w14:textId="77777777">
      <w:pPr>
        <w:autoSpaceDE w:val="0"/>
        <w:autoSpaceDN w:val="0"/>
        <w:adjustRightInd w:val="0"/>
        <w:spacing w:line="276" w:lineRule="auto"/>
        <w:rPr>
          <w:rFonts w:asciiTheme="minorHAnsi" w:hAnsiTheme="minorHAnsi" w:cstheme="minorHAnsi"/>
        </w:rPr>
      </w:pPr>
      <w:r w:rsidRPr="00E308E1">
        <w:rPr>
          <w:rFonts w:asciiTheme="minorHAnsi" w:hAnsiTheme="minorHAnsi" w:cstheme="minorHAnsi"/>
          <w:b/>
          <w:bCs/>
        </w:rPr>
        <w:t xml:space="preserve">A.7. </w:t>
      </w:r>
      <w:r w:rsidRPr="00E308E1">
        <w:rPr>
          <w:rFonts w:asciiTheme="minorHAnsi" w:hAnsiTheme="minorHAnsi" w:cstheme="minorHAnsi"/>
          <w:b/>
          <w:bCs/>
        </w:rPr>
        <w:tab/>
        <w:t>Special Circumstances Relating to the Guidelines of 5 CFR 1320.5</w:t>
      </w:r>
    </w:p>
    <w:p w:rsidRPr="00E308E1" w:rsidR="00FB7D77" w:rsidP="00AD7DB8" w:rsidRDefault="00FB7D77" w14:paraId="166F0407" w14:textId="77777777">
      <w:pPr>
        <w:autoSpaceDE w:val="0"/>
        <w:autoSpaceDN w:val="0"/>
        <w:adjustRightInd w:val="0"/>
        <w:spacing w:line="276" w:lineRule="auto"/>
        <w:rPr>
          <w:rFonts w:asciiTheme="minorHAnsi" w:hAnsiTheme="minorHAnsi" w:cstheme="minorHAnsi"/>
        </w:rPr>
      </w:pPr>
    </w:p>
    <w:p w:rsidRPr="00E308E1" w:rsidR="00FB7D77" w:rsidP="002D753D" w:rsidRDefault="00FB7D77" w14:paraId="3BFA2BB4" w14:textId="77777777">
      <w:pPr>
        <w:pStyle w:val="SL-FlLftSgl"/>
        <w:spacing w:line="276" w:lineRule="auto"/>
        <w:ind w:firstLine="720"/>
        <w:rPr>
          <w:rFonts w:asciiTheme="minorHAnsi" w:hAnsiTheme="minorHAnsi" w:cstheme="minorHAnsi"/>
        </w:rPr>
      </w:pPr>
      <w:r w:rsidRPr="00E308E1">
        <w:rPr>
          <w:rFonts w:asciiTheme="minorHAnsi" w:hAnsiTheme="minorHAnsi" w:cstheme="minorHAnsi"/>
        </w:rPr>
        <w:t xml:space="preserve">The request fully complies with the regulation 5 CFR 1320.5. </w:t>
      </w:r>
    </w:p>
    <w:p w:rsidRPr="00E308E1" w:rsidR="00FB7D77" w:rsidP="00AD7DB8" w:rsidRDefault="00FB7D77" w14:paraId="076B63D9" w14:textId="77777777">
      <w:pPr>
        <w:autoSpaceDE w:val="0"/>
        <w:autoSpaceDN w:val="0"/>
        <w:adjustRightInd w:val="0"/>
        <w:spacing w:line="276" w:lineRule="auto"/>
        <w:rPr>
          <w:rFonts w:asciiTheme="minorHAnsi" w:hAnsiTheme="minorHAnsi" w:cstheme="minorHAnsi"/>
        </w:rPr>
      </w:pPr>
    </w:p>
    <w:p w:rsidRPr="00E308E1" w:rsidR="00FB7D77" w:rsidP="00AD7DB8" w:rsidRDefault="00FB7D77" w14:paraId="3DE22BF0"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A.8. </w:t>
      </w:r>
      <w:r w:rsidRPr="00E308E1">
        <w:rPr>
          <w:rFonts w:asciiTheme="minorHAnsi" w:hAnsiTheme="minorHAnsi" w:cstheme="minorHAnsi"/>
          <w:b/>
          <w:bCs/>
        </w:rPr>
        <w:tab/>
        <w:t xml:space="preserve">Comments in Response to the Federal Register Notice and Efforts to Consult </w:t>
      </w:r>
      <w:r w:rsidRPr="00E308E1">
        <w:rPr>
          <w:rFonts w:asciiTheme="minorHAnsi" w:hAnsiTheme="minorHAnsi" w:cstheme="minorHAnsi"/>
          <w:b/>
          <w:bCs/>
        </w:rPr>
        <w:tab/>
      </w:r>
      <w:r w:rsidRPr="00E308E1">
        <w:rPr>
          <w:rFonts w:asciiTheme="minorHAnsi" w:hAnsiTheme="minorHAnsi" w:cstheme="minorHAnsi"/>
          <w:b/>
          <w:bCs/>
        </w:rPr>
        <w:tab/>
      </w:r>
      <w:r w:rsidRPr="00E308E1">
        <w:rPr>
          <w:rFonts w:asciiTheme="minorHAnsi" w:hAnsiTheme="minorHAnsi" w:cstheme="minorHAnsi"/>
          <w:b/>
          <w:bCs/>
        </w:rPr>
        <w:tab/>
        <w:t xml:space="preserve">Outside the Agency </w:t>
      </w:r>
    </w:p>
    <w:p w:rsidRPr="00E308E1" w:rsidR="00FB7D77" w:rsidP="00AD7DB8" w:rsidRDefault="00FB7D77" w14:paraId="28BC6131" w14:textId="77777777">
      <w:pPr>
        <w:autoSpaceDE w:val="0"/>
        <w:autoSpaceDN w:val="0"/>
        <w:adjustRightInd w:val="0"/>
        <w:spacing w:line="276" w:lineRule="auto"/>
        <w:rPr>
          <w:rFonts w:asciiTheme="minorHAnsi" w:hAnsiTheme="minorHAnsi" w:cstheme="minorHAnsi"/>
        </w:rPr>
      </w:pPr>
    </w:p>
    <w:p w:rsidRPr="00E308E1" w:rsidR="00FB7D77" w:rsidP="00AD7DB8" w:rsidRDefault="00FB7D77" w14:paraId="5DE967D2" w14:textId="77777777">
      <w:pPr>
        <w:spacing w:line="276" w:lineRule="auto"/>
        <w:rPr>
          <w:rFonts w:asciiTheme="minorHAnsi" w:hAnsiTheme="minorHAnsi" w:cstheme="minorHAnsi"/>
        </w:rPr>
      </w:pPr>
      <w:r w:rsidRPr="00E308E1">
        <w:rPr>
          <w:rFonts w:asciiTheme="minorHAnsi" w:hAnsiTheme="minorHAnsi" w:cstheme="minorHAnsi"/>
          <w:b/>
        </w:rPr>
        <w:t>A.8.a)</w:t>
      </w:r>
      <w:r w:rsidRPr="00E308E1">
        <w:rPr>
          <w:rFonts w:asciiTheme="minorHAnsi" w:hAnsiTheme="minorHAnsi" w:cstheme="minorHAnsi"/>
        </w:rPr>
        <w:tab/>
      </w:r>
      <w:r w:rsidRPr="00E308E1">
        <w:rPr>
          <w:rFonts w:asciiTheme="minorHAnsi" w:hAnsiTheme="minorHAnsi" w:cstheme="minorHAnsi"/>
          <w:noProof/>
        </w:rPr>
        <w:t>Federal Register Notice</w:t>
      </w:r>
    </w:p>
    <w:p w:rsidRPr="00E97339" w:rsidR="00EE7761" w:rsidP="00445ECB" w:rsidRDefault="00EE7761" w14:paraId="73309D9F" w14:textId="227301E7">
      <w:pPr>
        <w:pStyle w:val="NormalSS"/>
        <w:ind w:firstLine="720"/>
        <w:rPr>
          <w:rFonts w:asciiTheme="minorHAnsi" w:hAnsiTheme="minorHAnsi" w:cstheme="minorHAnsi"/>
        </w:rPr>
      </w:pPr>
      <w:r w:rsidRPr="00E97339">
        <w:rPr>
          <w:rFonts w:asciiTheme="minorHAnsi" w:hAnsiTheme="minorHAnsi" w:eastAsiaTheme="minorEastAsia" w:cstheme="minorHAnsi"/>
          <w:szCs w:val="24"/>
        </w:rPr>
        <w:t xml:space="preserve">A 60-day Federal Register Notice was published in the Federal Register on </w:t>
      </w:r>
      <w:r w:rsidRPr="00E97339" w:rsidR="00D614CC">
        <w:rPr>
          <w:rFonts w:asciiTheme="minorHAnsi" w:hAnsiTheme="minorHAnsi" w:cstheme="minorHAnsi"/>
          <w:szCs w:val="24"/>
        </w:rPr>
        <w:t>July</w:t>
      </w:r>
      <w:r w:rsidRPr="00E97339" w:rsidR="00F034F7">
        <w:rPr>
          <w:rFonts w:asciiTheme="minorHAnsi" w:hAnsiTheme="minorHAnsi" w:cstheme="minorHAnsi"/>
          <w:szCs w:val="24"/>
        </w:rPr>
        <w:t xml:space="preserve"> 28</w:t>
      </w:r>
      <w:r w:rsidRPr="00E97339">
        <w:rPr>
          <w:rFonts w:asciiTheme="minorHAnsi" w:hAnsiTheme="minorHAnsi" w:cstheme="minorHAnsi"/>
          <w:szCs w:val="24"/>
        </w:rPr>
        <w:t xml:space="preserve">, 2020 Volume </w:t>
      </w:r>
      <w:r w:rsidRPr="00E97339" w:rsidR="00F034F7">
        <w:rPr>
          <w:rFonts w:asciiTheme="minorHAnsi" w:hAnsiTheme="minorHAnsi" w:cstheme="minorHAnsi"/>
          <w:szCs w:val="24"/>
        </w:rPr>
        <w:t>85</w:t>
      </w:r>
      <w:r w:rsidRPr="00E97339">
        <w:rPr>
          <w:rFonts w:asciiTheme="minorHAnsi" w:hAnsiTheme="minorHAnsi" w:cstheme="minorHAnsi"/>
          <w:szCs w:val="24"/>
        </w:rPr>
        <w:t xml:space="preserve">, Number </w:t>
      </w:r>
      <w:r w:rsidRPr="00E97339" w:rsidR="00F034F7">
        <w:rPr>
          <w:rFonts w:asciiTheme="minorHAnsi" w:hAnsiTheme="minorHAnsi" w:cstheme="minorHAnsi"/>
          <w:szCs w:val="24"/>
        </w:rPr>
        <w:t>145</w:t>
      </w:r>
      <w:r w:rsidRPr="00E97339">
        <w:rPr>
          <w:rFonts w:asciiTheme="minorHAnsi" w:hAnsiTheme="minorHAnsi" w:cstheme="minorHAnsi"/>
          <w:szCs w:val="24"/>
        </w:rPr>
        <w:t xml:space="preserve">, pp </w:t>
      </w:r>
      <w:r w:rsidRPr="00E97339" w:rsidR="00F034F7">
        <w:rPr>
          <w:rFonts w:asciiTheme="minorHAnsi" w:hAnsiTheme="minorHAnsi" w:cstheme="minorHAnsi"/>
          <w:szCs w:val="24"/>
        </w:rPr>
        <w:t xml:space="preserve">45432 </w:t>
      </w:r>
      <w:r w:rsidRPr="00E97339">
        <w:rPr>
          <w:rFonts w:asciiTheme="minorHAnsi" w:hAnsiTheme="minorHAnsi" w:cstheme="minorHAnsi"/>
          <w:szCs w:val="24"/>
        </w:rPr>
        <w:t>(</w:t>
      </w:r>
      <w:r w:rsidRPr="00E97339">
        <w:rPr>
          <w:rFonts w:asciiTheme="minorHAnsi" w:hAnsiTheme="minorHAnsi" w:cstheme="minorHAnsi"/>
          <w:b/>
          <w:szCs w:val="24"/>
        </w:rPr>
        <w:t>Attachment B</w:t>
      </w:r>
      <w:r w:rsidRPr="00E97339">
        <w:rPr>
          <w:rFonts w:asciiTheme="minorHAnsi" w:hAnsiTheme="minorHAnsi" w:cstheme="minorHAnsi"/>
          <w:szCs w:val="24"/>
        </w:rPr>
        <w:t xml:space="preserve">). </w:t>
      </w:r>
      <w:r w:rsidRPr="00E97339">
        <w:rPr>
          <w:rFonts w:asciiTheme="minorHAnsi" w:hAnsiTheme="minorHAnsi" w:cstheme="minorHAnsi"/>
        </w:rPr>
        <w:t>CDC</w:t>
      </w:r>
      <w:r w:rsidRPr="00E97339" w:rsidR="00275F27">
        <w:rPr>
          <w:rFonts w:asciiTheme="minorHAnsi" w:hAnsiTheme="minorHAnsi" w:cstheme="minorHAnsi"/>
        </w:rPr>
        <w:t xml:space="preserve"> did </w:t>
      </w:r>
      <w:r w:rsidRPr="00E97339" w:rsidR="003B0C96">
        <w:rPr>
          <w:rFonts w:asciiTheme="minorHAnsi" w:hAnsiTheme="minorHAnsi" w:cstheme="minorHAnsi"/>
        </w:rPr>
        <w:t>not receive</w:t>
      </w:r>
      <w:r w:rsidRPr="00E97339">
        <w:rPr>
          <w:rFonts w:asciiTheme="minorHAnsi" w:hAnsiTheme="minorHAnsi" w:cstheme="minorHAnsi"/>
        </w:rPr>
        <w:t xml:space="preserve"> public comment</w:t>
      </w:r>
      <w:r w:rsidRPr="00E97339" w:rsidR="00275F27">
        <w:rPr>
          <w:rFonts w:asciiTheme="minorHAnsi" w:hAnsiTheme="minorHAnsi" w:cstheme="minorHAnsi"/>
        </w:rPr>
        <w:t>s.</w:t>
      </w:r>
      <w:r w:rsidRPr="00E97339">
        <w:rPr>
          <w:rFonts w:asciiTheme="minorHAnsi" w:hAnsiTheme="minorHAnsi" w:cstheme="minorHAnsi"/>
        </w:rPr>
        <w:t xml:space="preserve"> </w:t>
      </w:r>
      <w:r w:rsidRPr="00E97339" w:rsidDel="00206733">
        <w:rPr>
          <w:rFonts w:asciiTheme="minorHAnsi" w:hAnsiTheme="minorHAnsi" w:cstheme="minorHAnsi"/>
          <w:szCs w:val="24"/>
        </w:rPr>
        <w:t xml:space="preserve"> </w:t>
      </w:r>
    </w:p>
    <w:p w:rsidRPr="00E308E1" w:rsidR="00FB7D77" w:rsidP="00AD7DB8" w:rsidRDefault="00FB7D77" w14:paraId="3F38025A" w14:textId="77777777">
      <w:pPr>
        <w:spacing w:line="276" w:lineRule="auto"/>
        <w:rPr>
          <w:rFonts w:asciiTheme="minorHAnsi" w:hAnsiTheme="minorHAnsi" w:cstheme="minorHAnsi"/>
        </w:rPr>
      </w:pPr>
    </w:p>
    <w:p w:rsidRPr="00E308E1" w:rsidR="00FB7D77" w:rsidP="00AD7DB8" w:rsidRDefault="00FB7D77" w14:paraId="62BF1015" w14:textId="77777777">
      <w:pPr>
        <w:spacing w:line="276" w:lineRule="auto"/>
        <w:rPr>
          <w:rFonts w:asciiTheme="minorHAnsi" w:hAnsiTheme="minorHAnsi" w:cstheme="minorHAnsi"/>
        </w:rPr>
      </w:pPr>
      <w:r w:rsidRPr="00E308E1">
        <w:rPr>
          <w:rFonts w:asciiTheme="minorHAnsi" w:hAnsiTheme="minorHAnsi" w:cstheme="minorHAnsi"/>
          <w:b/>
        </w:rPr>
        <w:t>A.8.b)</w:t>
      </w:r>
      <w:r w:rsidRPr="00E308E1">
        <w:rPr>
          <w:rFonts w:asciiTheme="minorHAnsi" w:hAnsiTheme="minorHAnsi" w:cstheme="minorHAnsi"/>
        </w:rPr>
        <w:t xml:space="preserve"> </w:t>
      </w:r>
      <w:r w:rsidRPr="00E308E1">
        <w:rPr>
          <w:rFonts w:asciiTheme="minorHAnsi" w:hAnsiTheme="minorHAnsi" w:cstheme="minorHAnsi"/>
          <w:noProof/>
        </w:rPr>
        <w:t>Efforts to Consult Outside the Agency</w:t>
      </w:r>
    </w:p>
    <w:p w:rsidRPr="00E308E1" w:rsidR="00025ECB" w:rsidP="00AD7DB8" w:rsidRDefault="00445ECB" w14:paraId="68671601" w14:textId="4C22A0BE">
      <w:pPr>
        <w:tabs>
          <w:tab w:val="left" w:pos="0"/>
        </w:tabs>
        <w:spacing w:line="276" w:lineRule="auto"/>
        <w:rPr>
          <w:rFonts w:asciiTheme="minorHAnsi" w:hAnsiTheme="minorHAnsi" w:cstheme="minorHAnsi"/>
        </w:rPr>
      </w:pPr>
      <w:r>
        <w:rPr>
          <w:rFonts w:asciiTheme="minorHAnsi" w:hAnsiTheme="minorHAnsi" w:cstheme="minorHAnsi"/>
        </w:rPr>
        <w:lastRenderedPageBreak/>
        <w:tab/>
      </w:r>
      <w:r w:rsidRPr="00E308E1" w:rsidR="00DA4FE1">
        <w:rPr>
          <w:rFonts w:asciiTheme="minorHAnsi" w:hAnsiTheme="minorHAnsi" w:cstheme="minorHAnsi"/>
        </w:rPr>
        <w:t xml:space="preserve">CDC has consulted with several organizations outside the agency in the adaptation of the U.S. VACS. </w:t>
      </w:r>
      <w:r w:rsidR="0023449A">
        <w:rPr>
          <w:rFonts w:asciiTheme="minorHAnsi" w:hAnsiTheme="minorHAnsi" w:cstheme="minorHAnsi"/>
        </w:rPr>
        <w:t xml:space="preserve">CDC staff in </w:t>
      </w:r>
      <w:r w:rsidRPr="00E308E1" w:rsidR="00B35430">
        <w:rPr>
          <w:rFonts w:asciiTheme="minorHAnsi" w:hAnsiTheme="minorHAnsi" w:cstheme="minorHAnsi"/>
        </w:rPr>
        <w:t xml:space="preserve">NCIPC recruited a panel of experts to attend a meeting in July 2017 to begin discussions on the feasibility of adapting the VACS for the U.S. </w:t>
      </w:r>
      <w:r w:rsidRPr="00E308E1" w:rsidR="00025ECB">
        <w:rPr>
          <w:rFonts w:asciiTheme="minorHAnsi" w:hAnsiTheme="minorHAnsi" w:cstheme="minorHAnsi"/>
        </w:rPr>
        <w:t xml:space="preserve">Attendees included representatives from CDC, key partners of the global VACS projects, and experts in children and youth violence from academia and community organizations. </w:t>
      </w:r>
      <w:r w:rsidRPr="00E308E1" w:rsidR="00B35430">
        <w:rPr>
          <w:rFonts w:asciiTheme="minorHAnsi" w:hAnsiTheme="minorHAnsi" w:cstheme="minorHAnsi"/>
        </w:rPr>
        <w:t xml:space="preserve">The panel meeting discussed methodology modifications that would be necessary for the U.S., key ethical considerations, and survey adaptations to capture relevant and comprehensive data on violence against children in the U.S. </w:t>
      </w:r>
      <w:r w:rsidRPr="00E308E1" w:rsidR="00025ECB">
        <w:rPr>
          <w:rFonts w:asciiTheme="minorHAnsi" w:hAnsiTheme="minorHAnsi" w:cstheme="minorHAnsi"/>
        </w:rPr>
        <w:t xml:space="preserve">NORC and CDC held several preparatory meetings in September through November 2019 before holding an introductory workshop in Baltimore, with representatives from the Baltimore City Health Department, Baltimore’s steering committee, NORC, and the CDC VACS team. </w:t>
      </w:r>
    </w:p>
    <w:p w:rsidRPr="00E308E1" w:rsidR="00025ECB" w:rsidP="00AD7DB8" w:rsidRDefault="00025ECB" w14:paraId="4D42B369" w14:textId="77777777">
      <w:pPr>
        <w:tabs>
          <w:tab w:val="left" w:pos="0"/>
        </w:tabs>
        <w:spacing w:line="276" w:lineRule="auto"/>
        <w:rPr>
          <w:rFonts w:asciiTheme="minorHAnsi" w:hAnsiTheme="minorHAnsi" w:cstheme="minorHAnsi"/>
        </w:rPr>
      </w:pPr>
    </w:p>
    <w:p w:rsidRPr="00E308E1" w:rsidR="00025ECB" w:rsidP="00AD7DB8" w:rsidRDefault="00445ECB" w14:paraId="55C4234A" w14:textId="51080C10">
      <w:pPr>
        <w:tabs>
          <w:tab w:val="left" w:pos="0"/>
        </w:tabs>
        <w:spacing w:line="276" w:lineRule="auto"/>
        <w:rPr>
          <w:rFonts w:asciiTheme="minorHAnsi" w:hAnsiTheme="minorHAnsi" w:cstheme="minorHAnsi"/>
        </w:rPr>
      </w:pPr>
      <w:r>
        <w:rPr>
          <w:rFonts w:asciiTheme="minorHAnsi" w:hAnsiTheme="minorHAnsi" w:cstheme="minorHAnsi"/>
        </w:rPr>
        <w:tab/>
      </w:r>
      <w:r w:rsidRPr="00E308E1" w:rsidR="00025ECB">
        <w:rPr>
          <w:rFonts w:asciiTheme="minorHAnsi" w:hAnsiTheme="minorHAnsi" w:cstheme="minorHAnsi"/>
        </w:rPr>
        <w:t xml:space="preserve">Following the introductory/preparatory workshop on violence against children survey in December 2019, facilitated by </w:t>
      </w:r>
      <w:r w:rsidR="007D41E5">
        <w:rPr>
          <w:rFonts w:asciiTheme="minorHAnsi" w:hAnsiTheme="minorHAnsi" w:cstheme="minorHAnsi"/>
        </w:rPr>
        <w:t xml:space="preserve">the </w:t>
      </w:r>
      <w:r w:rsidRPr="00E308E1" w:rsidR="00025ECB">
        <w:rPr>
          <w:rFonts w:asciiTheme="minorHAnsi" w:hAnsiTheme="minorHAnsi" w:cstheme="minorHAnsi"/>
        </w:rPr>
        <w:t>Baltimore City Health Department (BCHD), NORC, and CDC, agreed to pursue the implementation of the survey and established the Baltimore Steering Committee on Violence against Children Survey. Baltimore</w:t>
      </w:r>
      <w:r w:rsidR="00C82749">
        <w:rPr>
          <w:rFonts w:asciiTheme="minorHAnsi" w:hAnsiTheme="minorHAnsi" w:cstheme="minorHAnsi"/>
        </w:rPr>
        <w:t xml:space="preserve"> </w:t>
      </w:r>
      <w:r w:rsidRPr="00E308E1" w:rsidR="00025ECB">
        <w:rPr>
          <w:rFonts w:asciiTheme="minorHAnsi" w:hAnsiTheme="minorHAnsi" w:cstheme="minorHAnsi"/>
        </w:rPr>
        <w:t>was selected for the pilot site due to high rates of violence in the city</w:t>
      </w:r>
      <w:r w:rsidRPr="00E308E1" w:rsidR="00025ECB">
        <w:rPr>
          <w:rStyle w:val="EndnoteReference"/>
          <w:rFonts w:asciiTheme="minorHAnsi" w:hAnsiTheme="minorHAnsi" w:cstheme="minorHAnsi"/>
        </w:rPr>
        <w:endnoteReference w:id="39"/>
      </w:r>
      <w:r w:rsidRPr="00E308E1" w:rsidR="00025ECB">
        <w:rPr>
          <w:rFonts w:asciiTheme="minorHAnsi" w:hAnsiTheme="minorHAnsi" w:cstheme="minorHAnsi"/>
        </w:rPr>
        <w:t xml:space="preserve"> and the city’s strong interest in designing prevention programs to combat youth violence.</w:t>
      </w:r>
      <w:r w:rsidRPr="00E308E1" w:rsidR="00025ECB">
        <w:rPr>
          <w:rStyle w:val="EndnoteReference"/>
          <w:rFonts w:asciiTheme="minorHAnsi" w:hAnsiTheme="minorHAnsi" w:cstheme="minorHAnsi"/>
        </w:rPr>
        <w:endnoteReference w:id="40"/>
      </w:r>
      <w:r w:rsidRPr="00E308E1" w:rsidR="00025ECB">
        <w:rPr>
          <w:rFonts w:asciiTheme="minorHAnsi" w:hAnsiTheme="minorHAnsi" w:cstheme="minorHAnsi"/>
        </w:rPr>
        <w:t xml:space="preserve"> The BCHD will serve as the coordinating agency for the project. </w:t>
      </w:r>
      <w:r w:rsidR="005E3365">
        <w:rPr>
          <w:rFonts w:asciiTheme="minorHAnsi" w:hAnsiTheme="minorHAnsi" w:cstheme="minorHAnsi"/>
        </w:rPr>
        <w:t xml:space="preserve">The </w:t>
      </w:r>
      <w:r w:rsidRPr="00E308E1" w:rsidR="00025ECB">
        <w:rPr>
          <w:rFonts w:asciiTheme="minorHAnsi" w:hAnsiTheme="minorHAnsi" w:cstheme="minorHAnsi"/>
        </w:rPr>
        <w:t>BCHD is a compelling option given this agency’s experience in both youth violence data collection and prevention program implementation, as well as their deep experience in leading stakeholder coalitions to address local public health challenges. The sampling will take place within urban (e.g., City of Baltimore) and rural areas (</w:t>
      </w:r>
      <w:r w:rsidR="008157A2">
        <w:rPr>
          <w:rFonts w:asciiTheme="minorHAnsi" w:hAnsiTheme="minorHAnsi" w:cstheme="minorHAnsi"/>
        </w:rPr>
        <w:t xml:space="preserve">i.e., through a separate agreement with the </w:t>
      </w:r>
      <w:r w:rsidR="0023449A">
        <w:rPr>
          <w:rFonts w:asciiTheme="minorHAnsi" w:hAnsiTheme="minorHAnsi" w:cstheme="minorHAnsi"/>
        </w:rPr>
        <w:t xml:space="preserve">Garrett </w:t>
      </w:r>
      <w:r w:rsidRPr="00E308E1" w:rsidR="00025ECB">
        <w:rPr>
          <w:rFonts w:asciiTheme="minorHAnsi" w:hAnsiTheme="minorHAnsi" w:cstheme="minorHAnsi"/>
        </w:rPr>
        <w:t>Count</w:t>
      </w:r>
      <w:r w:rsidR="0023449A">
        <w:rPr>
          <w:rFonts w:asciiTheme="minorHAnsi" w:hAnsiTheme="minorHAnsi" w:cstheme="minorHAnsi"/>
        </w:rPr>
        <w:t>y</w:t>
      </w:r>
      <w:r w:rsidR="008157A2">
        <w:rPr>
          <w:rFonts w:asciiTheme="minorHAnsi" w:hAnsiTheme="minorHAnsi" w:cstheme="minorHAnsi"/>
        </w:rPr>
        <w:t xml:space="preserve"> Public Health Department</w:t>
      </w:r>
      <w:r w:rsidRPr="00E308E1" w:rsidR="00025ECB">
        <w:rPr>
          <w:rFonts w:asciiTheme="minorHAnsi" w:hAnsiTheme="minorHAnsi" w:cstheme="minorHAnsi"/>
        </w:rPr>
        <w:t>).</w:t>
      </w:r>
    </w:p>
    <w:p w:rsidRPr="00E308E1" w:rsidR="000D5753" w:rsidP="00AD7DB8" w:rsidRDefault="000D5753" w14:paraId="6E9B8BB3" w14:textId="7494B085">
      <w:pPr>
        <w:tabs>
          <w:tab w:val="left" w:pos="6135"/>
        </w:tabs>
        <w:spacing w:line="276" w:lineRule="auto"/>
        <w:rPr>
          <w:rFonts w:asciiTheme="minorHAnsi" w:hAnsiTheme="minorHAnsi" w:cstheme="minorHAnsi"/>
        </w:rPr>
      </w:pPr>
    </w:p>
    <w:p w:rsidRPr="00E308E1" w:rsidR="006959DA" w:rsidP="00445ECB" w:rsidRDefault="006959DA" w14:paraId="7C96F794" w14:textId="11022FC1">
      <w:pPr>
        <w:spacing w:after="200" w:line="276" w:lineRule="auto"/>
        <w:ind w:firstLine="720"/>
        <w:rPr>
          <w:rFonts w:asciiTheme="minorHAnsi" w:hAnsiTheme="minorHAnsi" w:cstheme="minorHAnsi"/>
        </w:rPr>
      </w:pPr>
      <w:r w:rsidRPr="00E308E1">
        <w:rPr>
          <w:rFonts w:asciiTheme="minorHAnsi" w:hAnsiTheme="minorHAnsi" w:cstheme="minorHAnsi"/>
        </w:rPr>
        <w:t>Since September 2019, there has been regular contact between key partners participating in the U.S. pilot implementation on VACS and CDC to discuss survey materials, human subject protection planning, community entry protocols, survey sample size requirements and logistics, and other critical topics in the preparation for the U.S. pilot implementation of violence against children survey in Baltimore</w:t>
      </w:r>
      <w:r w:rsidR="00C82749">
        <w:rPr>
          <w:rFonts w:asciiTheme="minorHAnsi" w:hAnsiTheme="minorHAnsi" w:cstheme="minorHAnsi"/>
        </w:rPr>
        <w:t xml:space="preserve"> </w:t>
      </w:r>
      <w:r w:rsidRPr="00E308E1">
        <w:rPr>
          <w:rFonts w:asciiTheme="minorHAnsi" w:hAnsiTheme="minorHAnsi" w:cstheme="minorHAnsi"/>
        </w:rPr>
        <w:t xml:space="preserve">and Garrett County, MD. Such ongoing dialogue has succeeded in adapting the survey tool and survey procedures for the United States. </w:t>
      </w:r>
    </w:p>
    <w:p w:rsidR="00936EA9" w:rsidP="00445ECB" w:rsidRDefault="0020128F" w14:paraId="49F00F76" w14:textId="1478A674">
      <w:pPr>
        <w:spacing w:line="276" w:lineRule="auto"/>
        <w:ind w:firstLine="720"/>
        <w:rPr>
          <w:rFonts w:asciiTheme="minorHAnsi" w:hAnsiTheme="minorHAnsi" w:cstheme="minorHAnsi"/>
        </w:rPr>
      </w:pPr>
      <w:r w:rsidRPr="00E308E1">
        <w:rPr>
          <w:rFonts w:asciiTheme="minorHAnsi" w:hAnsiTheme="minorHAnsi" w:cstheme="minorHAnsi"/>
        </w:rPr>
        <w:t>Further</w:t>
      </w:r>
      <w:r w:rsidRPr="00E308E1" w:rsidR="000D5753">
        <w:rPr>
          <w:rFonts w:asciiTheme="minorHAnsi" w:hAnsiTheme="minorHAnsi" w:cstheme="minorHAnsi"/>
        </w:rPr>
        <w:t xml:space="preserve">, CDC has engaged </w:t>
      </w:r>
      <w:r w:rsidRPr="00E308E1" w:rsidR="00EE7761">
        <w:rPr>
          <w:rFonts w:asciiTheme="minorHAnsi" w:hAnsiTheme="minorHAnsi" w:cstheme="minorHAnsi"/>
        </w:rPr>
        <w:t>several</w:t>
      </w:r>
      <w:r w:rsidRPr="00E308E1" w:rsidR="000D5753">
        <w:rPr>
          <w:rFonts w:asciiTheme="minorHAnsi" w:hAnsiTheme="minorHAnsi" w:cstheme="minorHAnsi"/>
        </w:rPr>
        <w:t xml:space="preserve"> 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 has consulted with or referred to publications and work from other Federal and non-Federal partners (including BJS, CDC–BRFSS, CDC–National Survey of Family Growth (NSFG), CDC–National Health Information Survey (NHIS), National Highway Traffic Safety Administration (NHTSA), National Science Foundation (NSF), Census Bureau, National Center for Health Statistics (NCHS), American Association for Public Opinion Research (AAPOR), Office of Juvenile Justice and Delinquency Prevention’s redesign of the National Survey of Children’s Exposure to Violence, and Research Triangle Institute (RTI)) to learn more about studies that are currently in the field or pending and that could have implications for </w:t>
      </w:r>
      <w:r w:rsidRPr="00E308E1" w:rsidR="00025ECB">
        <w:rPr>
          <w:rFonts w:asciiTheme="minorHAnsi" w:hAnsiTheme="minorHAnsi" w:cstheme="minorHAnsi"/>
        </w:rPr>
        <w:t>VACS</w:t>
      </w:r>
      <w:r w:rsidR="00936EA9">
        <w:rPr>
          <w:rFonts w:asciiTheme="minorHAnsi" w:hAnsiTheme="minorHAnsi" w:cstheme="minorHAnsi"/>
        </w:rPr>
        <w:t>.</w:t>
      </w:r>
    </w:p>
    <w:p w:rsidRPr="00E308E1" w:rsidR="00FB7D77" w:rsidP="00AD7DB8" w:rsidRDefault="00FB7D77" w14:paraId="7035B666" w14:textId="77777777">
      <w:pPr>
        <w:spacing w:line="276" w:lineRule="auto"/>
        <w:rPr>
          <w:rFonts w:asciiTheme="minorHAnsi" w:hAnsiTheme="minorHAnsi" w:cstheme="minorHAnsi"/>
          <w:b/>
          <w:bCs/>
        </w:rPr>
      </w:pPr>
      <w:r w:rsidRPr="00E308E1">
        <w:rPr>
          <w:rFonts w:asciiTheme="minorHAnsi" w:hAnsiTheme="minorHAnsi" w:cstheme="minorHAnsi"/>
          <w:b/>
          <w:bCs/>
        </w:rPr>
        <w:lastRenderedPageBreak/>
        <w:t xml:space="preserve">A.9. </w:t>
      </w:r>
      <w:r w:rsidRPr="00E308E1">
        <w:rPr>
          <w:rFonts w:asciiTheme="minorHAnsi" w:hAnsiTheme="minorHAnsi" w:cstheme="minorHAnsi"/>
          <w:b/>
          <w:bCs/>
        </w:rPr>
        <w:tab/>
        <w:t xml:space="preserve">Explanation of Any Payment or Gift to Respondents </w:t>
      </w:r>
    </w:p>
    <w:p w:rsidRPr="00E308E1" w:rsidR="00FB7D77" w:rsidP="00AD7DB8" w:rsidRDefault="00FB7D77" w14:paraId="57A34FBA" w14:textId="77777777">
      <w:pPr>
        <w:autoSpaceDE w:val="0"/>
        <w:autoSpaceDN w:val="0"/>
        <w:adjustRightInd w:val="0"/>
        <w:spacing w:line="276" w:lineRule="auto"/>
        <w:rPr>
          <w:rFonts w:asciiTheme="minorHAnsi" w:hAnsiTheme="minorHAnsi" w:cstheme="minorHAnsi"/>
          <w:b/>
          <w:bCs/>
        </w:rPr>
      </w:pPr>
    </w:p>
    <w:p w:rsidRPr="00EF0906" w:rsidR="00EF0906" w:rsidP="00445ECB" w:rsidRDefault="00EF0906" w14:paraId="580060A8" w14:textId="4B07F236">
      <w:pPr>
        <w:spacing w:after="200" w:line="276" w:lineRule="auto"/>
        <w:ind w:firstLine="720"/>
        <w:rPr>
          <w:rFonts w:asciiTheme="minorHAnsi" w:hAnsiTheme="minorHAnsi" w:cstheme="minorHAnsi"/>
        </w:rPr>
      </w:pPr>
      <w:r>
        <w:rPr>
          <w:rFonts w:asciiTheme="minorHAnsi" w:hAnsiTheme="minorHAnsi" w:cstheme="minorHAnsi"/>
        </w:rPr>
        <w:t>I</w:t>
      </w:r>
      <w:r w:rsidRPr="00E308E1" w:rsidR="00273DB4">
        <w:rPr>
          <w:rFonts w:asciiTheme="minorHAnsi" w:hAnsiTheme="minorHAnsi" w:cstheme="minorHAnsi"/>
        </w:rPr>
        <w:t xml:space="preserve">ncentives are one of the most effective ways to </w:t>
      </w:r>
      <w:r w:rsidR="00936EA9">
        <w:rPr>
          <w:rFonts w:asciiTheme="minorHAnsi" w:hAnsiTheme="minorHAnsi" w:cstheme="minorHAnsi"/>
        </w:rPr>
        <w:t xml:space="preserve">decrease non-response bias </w:t>
      </w:r>
      <w:r>
        <w:rPr>
          <w:rFonts w:asciiTheme="minorHAnsi" w:hAnsiTheme="minorHAnsi" w:cstheme="minorHAnsi"/>
        </w:rPr>
        <w:t xml:space="preserve">in survey research. </w:t>
      </w:r>
      <w:r w:rsidRPr="00F6582B">
        <w:rPr>
          <w:rFonts w:asciiTheme="minorHAnsi" w:hAnsiTheme="minorHAnsi" w:cstheme="minorHAnsi"/>
        </w:rPr>
        <w:t xml:space="preserve">Nonresponse bias refers to the bias that exists when respondents to a survey are different from those who did not respond </w:t>
      </w:r>
      <w:r>
        <w:rPr>
          <w:rFonts w:asciiTheme="minorHAnsi" w:hAnsiTheme="minorHAnsi" w:cstheme="minorHAnsi"/>
        </w:rPr>
        <w:t xml:space="preserve">(e.g., </w:t>
      </w:r>
      <w:r w:rsidRPr="00F6582B">
        <w:rPr>
          <w:rFonts w:asciiTheme="minorHAnsi" w:hAnsiTheme="minorHAnsi" w:cstheme="minorHAnsi"/>
        </w:rPr>
        <w:t>in terms of demographic or attitudinal variables</w:t>
      </w:r>
      <w:r>
        <w:rPr>
          <w:rFonts w:asciiTheme="minorHAnsi" w:hAnsiTheme="minorHAnsi" w:cstheme="minorHAnsi"/>
        </w:rPr>
        <w:t xml:space="preserve">).  </w:t>
      </w:r>
      <w:r w:rsidRPr="004A09FA">
        <w:rPr>
          <w:rFonts w:asciiTheme="minorHAnsi" w:hAnsiTheme="minorHAnsi" w:cstheme="minorHAnsi"/>
        </w:rPr>
        <w:t>Nonresponse bias occurs when there is a connection between the likelihood of participation in the survey and the specif</w:t>
      </w:r>
      <w:r>
        <w:rPr>
          <w:rFonts w:asciiTheme="minorHAnsi" w:hAnsiTheme="minorHAnsi" w:cstheme="minorHAnsi"/>
        </w:rPr>
        <w:t xml:space="preserve">ic survey measure of interest. </w:t>
      </w:r>
      <w:r w:rsidRPr="00EF0906">
        <w:rPr>
          <w:rFonts w:asciiTheme="minorHAnsi" w:hAnsiTheme="minorHAnsi" w:cstheme="minorHAnsi"/>
        </w:rPr>
        <w:t xml:space="preserve">The degree to which sampled respondents differ from the survey </w:t>
      </w:r>
      <w:r w:rsidRPr="00EF0906" w:rsidR="00255E4A">
        <w:rPr>
          <w:rFonts w:asciiTheme="minorHAnsi" w:hAnsiTheme="minorHAnsi" w:cstheme="minorHAnsi"/>
        </w:rPr>
        <w:t>population</w:t>
      </w:r>
      <w:r w:rsidRPr="00EF0906">
        <w:rPr>
          <w:rFonts w:asciiTheme="minorHAnsi" w:hAnsiTheme="minorHAnsi" w:cstheme="minorHAnsi"/>
        </w:rPr>
        <w:t xml:space="preserve"> (i</w:t>
      </w:r>
      <w:r>
        <w:rPr>
          <w:rFonts w:asciiTheme="minorHAnsi" w:hAnsiTheme="minorHAnsi" w:cstheme="minorHAnsi"/>
        </w:rPr>
        <w:t>.</w:t>
      </w:r>
      <w:r w:rsidRPr="00EF0906">
        <w:rPr>
          <w:rFonts w:asciiTheme="minorHAnsi" w:hAnsiTheme="minorHAnsi" w:cstheme="minorHAnsi"/>
        </w:rPr>
        <w:t>e</w:t>
      </w:r>
      <w:r>
        <w:rPr>
          <w:rFonts w:asciiTheme="minorHAnsi" w:hAnsiTheme="minorHAnsi" w:cstheme="minorHAnsi"/>
        </w:rPr>
        <w:t>.</w:t>
      </w:r>
      <w:r w:rsidRPr="00EF0906">
        <w:rPr>
          <w:rFonts w:asciiTheme="minorHAnsi" w:hAnsiTheme="minorHAnsi" w:cstheme="minorHAnsi"/>
        </w:rPr>
        <w:t>, nonresponse bias) is central to evaluating the representativeness of a survey.</w:t>
      </w:r>
      <w:r>
        <w:rPr>
          <w:rStyle w:val="EndnoteReference"/>
          <w:rFonts w:asciiTheme="minorHAnsi" w:hAnsiTheme="minorHAnsi" w:cstheme="minorHAnsi"/>
        </w:rPr>
        <w:endnoteReference w:id="41"/>
      </w:r>
      <w:r>
        <w:rPr>
          <w:rFonts w:asciiTheme="minorHAnsi" w:hAnsiTheme="minorHAnsi" w:cstheme="minorHAnsi"/>
        </w:rPr>
        <w:t xml:space="preserve">  </w:t>
      </w:r>
      <w:r w:rsidRPr="00EF0906">
        <w:rPr>
          <w:rFonts w:asciiTheme="minorHAnsi" w:hAnsiTheme="minorHAnsi" w:cstheme="minorHAnsi"/>
        </w:rPr>
        <w:t>Nonresponse bias is a problem because it can lead to incorrect estimates that are inflated or deflated.  Our team will assess whether the process by which respondents participate in the VACS survey is associated with the outcomes the survey is designed to measure.</w:t>
      </w:r>
      <w:r>
        <w:rPr>
          <w:rStyle w:val="EndnoteReference"/>
          <w:rFonts w:asciiTheme="minorHAnsi" w:hAnsiTheme="minorHAnsi" w:cstheme="minorHAnsi"/>
        </w:rPr>
        <w:endnoteReference w:id="42"/>
      </w:r>
      <w:r w:rsidRPr="00EF0906">
        <w:rPr>
          <w:rFonts w:asciiTheme="minorHAnsi" w:hAnsiTheme="minorHAnsi" w:cstheme="minorHAnsi"/>
        </w:rPr>
        <w:t xml:space="preserve"> If a nonresponse variable is correlated with the phenomenon of interest in the research, the results will be biased.</w:t>
      </w:r>
      <w:r>
        <w:rPr>
          <w:rStyle w:val="EndnoteReference"/>
          <w:rFonts w:asciiTheme="minorHAnsi" w:hAnsiTheme="minorHAnsi" w:cstheme="minorHAnsi"/>
        </w:rPr>
        <w:endnoteReference w:id="43"/>
      </w:r>
      <w:r w:rsidRPr="00EF0906">
        <w:rPr>
          <w:rFonts w:asciiTheme="minorHAnsi" w:hAnsiTheme="minorHAnsi" w:cstheme="minorHAnsi"/>
        </w:rPr>
        <w:t xml:space="preserve"> </w:t>
      </w:r>
    </w:p>
    <w:p w:rsidRPr="003B0C96" w:rsidR="00AE061E" w:rsidP="00445ECB" w:rsidRDefault="00AE061E" w14:paraId="04398526" w14:textId="2032E78E">
      <w:pPr>
        <w:spacing w:line="276" w:lineRule="auto"/>
        <w:ind w:firstLine="720"/>
        <w:rPr>
          <w:rFonts w:asciiTheme="minorHAnsi" w:hAnsiTheme="minorHAnsi" w:cstheme="minorHAnsi"/>
        </w:rPr>
      </w:pPr>
      <w:r w:rsidRPr="003B0C96">
        <w:rPr>
          <w:rFonts w:asciiTheme="minorHAnsi" w:hAnsiTheme="minorHAnsi" w:cstheme="minorHAnsi"/>
        </w:rPr>
        <w:t>NORC and CDC have conducted a review of the incentive literature and found that w</w:t>
      </w:r>
      <w:r w:rsidRPr="00E006A8">
        <w:rPr>
          <w:rFonts w:asciiTheme="minorHAnsi" w:hAnsiTheme="minorHAnsi" w:cstheme="minorHAnsi"/>
        </w:rPr>
        <w:t xml:space="preserve">hile much of </w:t>
      </w:r>
      <w:r w:rsidRPr="00331701">
        <w:rPr>
          <w:rFonts w:asciiTheme="minorHAnsi" w:hAnsiTheme="minorHAnsi" w:cstheme="minorHAnsi"/>
        </w:rPr>
        <w:t xml:space="preserve">the literature suggests that the use </w:t>
      </w:r>
      <w:r w:rsidRPr="001F1CD8">
        <w:rPr>
          <w:rFonts w:asciiTheme="minorHAnsi" w:hAnsiTheme="minorHAnsi" w:cstheme="minorHAnsi"/>
        </w:rPr>
        <w:t xml:space="preserve">of </w:t>
      </w:r>
      <w:r w:rsidRPr="008209BB">
        <w:rPr>
          <w:rFonts w:asciiTheme="minorHAnsi" w:hAnsiTheme="minorHAnsi" w:cstheme="minorHAnsi"/>
        </w:rPr>
        <w:t>in</w:t>
      </w:r>
      <w:r w:rsidRPr="00E703DC">
        <w:rPr>
          <w:rFonts w:asciiTheme="minorHAnsi" w:hAnsiTheme="minorHAnsi" w:cstheme="minorHAnsi"/>
        </w:rPr>
        <w:t xml:space="preserve">centives has a positive effect on participant response rates, little research has examined the impact of their use specifically on nonresponse bias reduction among youth </w:t>
      </w:r>
      <w:r w:rsidRPr="00E703DC" w:rsidR="00C308E9">
        <w:rPr>
          <w:rFonts w:asciiTheme="minorHAnsi" w:hAnsiTheme="minorHAnsi" w:cstheme="minorHAnsi"/>
        </w:rPr>
        <w:t xml:space="preserve">surveyed in-person in a </w:t>
      </w:r>
      <w:r w:rsidRPr="00457F99">
        <w:rPr>
          <w:rFonts w:asciiTheme="minorHAnsi" w:hAnsiTheme="minorHAnsi" w:cstheme="minorHAnsi"/>
        </w:rPr>
        <w:t xml:space="preserve">household survey.  </w:t>
      </w:r>
      <w:r w:rsidRPr="00457F99" w:rsidR="00C308E9">
        <w:rPr>
          <w:rFonts w:asciiTheme="minorHAnsi" w:hAnsiTheme="minorHAnsi" w:cstheme="minorHAnsi"/>
        </w:rPr>
        <w:t xml:space="preserve">Among the few youth studies </w:t>
      </w:r>
      <w:r w:rsidRPr="00457F99" w:rsidR="00D161DE">
        <w:rPr>
          <w:rFonts w:asciiTheme="minorHAnsi" w:hAnsiTheme="minorHAnsi" w:cstheme="minorHAnsi"/>
        </w:rPr>
        <w:t xml:space="preserve">(either not in-person or not on violence) </w:t>
      </w:r>
      <w:r w:rsidRPr="00264976" w:rsidR="00C308E9">
        <w:rPr>
          <w:rFonts w:asciiTheme="minorHAnsi" w:hAnsiTheme="minorHAnsi" w:cstheme="minorHAnsi"/>
        </w:rPr>
        <w:t xml:space="preserve">done </w:t>
      </w:r>
      <w:r w:rsidRPr="00264976">
        <w:rPr>
          <w:rFonts w:asciiTheme="minorHAnsi" w:hAnsiTheme="minorHAnsi" w:cstheme="minorHAnsi"/>
        </w:rPr>
        <w:t xml:space="preserve">the effect of incentives, results were mixed.  One study </w:t>
      </w:r>
      <w:r w:rsidRPr="00264976" w:rsidR="00D161DE">
        <w:rPr>
          <w:rFonts w:asciiTheme="minorHAnsi" w:hAnsiTheme="minorHAnsi" w:cstheme="minorHAnsi"/>
        </w:rPr>
        <w:t xml:space="preserve">on youth and nutrition </w:t>
      </w:r>
      <w:r w:rsidRPr="00264976">
        <w:rPr>
          <w:rFonts w:asciiTheme="minorHAnsi" w:hAnsiTheme="minorHAnsi" w:cstheme="minorHAnsi"/>
        </w:rPr>
        <w:t>found that incentives were a main reason for participating</w:t>
      </w:r>
      <w:r w:rsidRPr="00286B09">
        <w:rPr>
          <w:rStyle w:val="EndnoteReference"/>
          <w:rFonts w:asciiTheme="minorHAnsi" w:hAnsiTheme="minorHAnsi" w:cstheme="minorHAnsi"/>
          <w:szCs w:val="22"/>
        </w:rPr>
        <w:endnoteReference w:id="44"/>
      </w:r>
      <w:r w:rsidRPr="003B0C96">
        <w:rPr>
          <w:rFonts w:asciiTheme="minorHAnsi" w:hAnsiTheme="minorHAnsi" w:cstheme="minorHAnsi"/>
        </w:rPr>
        <w:t xml:space="preserve"> while another </w:t>
      </w:r>
      <w:r w:rsidRPr="003B0C96" w:rsidR="00D161DE">
        <w:rPr>
          <w:rFonts w:asciiTheme="minorHAnsi" w:hAnsiTheme="minorHAnsi" w:cstheme="minorHAnsi"/>
        </w:rPr>
        <w:t xml:space="preserve">on youth and health care found </w:t>
      </w:r>
      <w:r w:rsidRPr="00E006A8">
        <w:rPr>
          <w:rFonts w:asciiTheme="minorHAnsi" w:hAnsiTheme="minorHAnsi" w:cstheme="minorHAnsi"/>
        </w:rPr>
        <w:t>that the incentive did not influen</w:t>
      </w:r>
      <w:r w:rsidRPr="00331701">
        <w:rPr>
          <w:rFonts w:asciiTheme="minorHAnsi" w:hAnsiTheme="minorHAnsi" w:cstheme="minorHAnsi"/>
        </w:rPr>
        <w:t xml:space="preserve">ce </w:t>
      </w:r>
      <w:r w:rsidRPr="001F1CD8">
        <w:rPr>
          <w:rFonts w:asciiTheme="minorHAnsi" w:hAnsiTheme="minorHAnsi" w:cstheme="minorHAnsi"/>
        </w:rPr>
        <w:t>th</w:t>
      </w:r>
      <w:r w:rsidRPr="008209BB">
        <w:rPr>
          <w:rFonts w:asciiTheme="minorHAnsi" w:hAnsiTheme="minorHAnsi" w:cstheme="minorHAnsi"/>
        </w:rPr>
        <w:t>e decision to participat</w:t>
      </w:r>
      <w:r w:rsidRPr="00E703DC">
        <w:rPr>
          <w:rFonts w:asciiTheme="minorHAnsi" w:hAnsiTheme="minorHAnsi" w:cstheme="minorHAnsi"/>
        </w:rPr>
        <w:t>e.</w:t>
      </w:r>
      <w:r w:rsidRPr="00286B09">
        <w:rPr>
          <w:rStyle w:val="EndnoteReference"/>
          <w:rFonts w:asciiTheme="minorHAnsi" w:hAnsiTheme="minorHAnsi" w:cstheme="minorHAnsi"/>
          <w:szCs w:val="22"/>
        </w:rPr>
        <w:endnoteReference w:id="45"/>
      </w:r>
      <w:r w:rsidRPr="003B0C96">
        <w:rPr>
          <w:rFonts w:asciiTheme="minorHAnsi" w:hAnsiTheme="minorHAnsi" w:cstheme="minorHAnsi"/>
        </w:rPr>
        <w:t xml:space="preserve">  </w:t>
      </w:r>
      <w:r w:rsidRPr="00E006A8">
        <w:rPr>
          <w:rFonts w:asciiTheme="minorHAnsi" w:hAnsiTheme="minorHAnsi" w:cstheme="minorHAnsi"/>
        </w:rPr>
        <w:t xml:space="preserve">Interestingly, one study </w:t>
      </w:r>
      <w:r w:rsidRPr="00331701">
        <w:rPr>
          <w:rFonts w:asciiTheme="minorHAnsi" w:hAnsiTheme="minorHAnsi" w:cstheme="minorHAnsi"/>
        </w:rPr>
        <w:t>with</w:t>
      </w:r>
      <w:r w:rsidRPr="001F1CD8">
        <w:rPr>
          <w:rFonts w:asciiTheme="minorHAnsi" w:hAnsiTheme="minorHAnsi" w:cstheme="minorHAnsi"/>
        </w:rPr>
        <w:t xml:space="preserve"> </w:t>
      </w:r>
      <w:r w:rsidRPr="008209BB" w:rsidR="00D161DE">
        <w:rPr>
          <w:rFonts w:asciiTheme="minorHAnsi" w:hAnsiTheme="minorHAnsi" w:cstheme="minorHAnsi"/>
        </w:rPr>
        <w:t xml:space="preserve">older </w:t>
      </w:r>
      <w:r w:rsidRPr="00E703DC">
        <w:rPr>
          <w:rFonts w:asciiTheme="minorHAnsi" w:hAnsiTheme="minorHAnsi" w:cstheme="minorHAnsi"/>
        </w:rPr>
        <w:t xml:space="preserve">university students </w:t>
      </w:r>
      <w:r w:rsidRPr="00E703DC" w:rsidR="00D161DE">
        <w:rPr>
          <w:rFonts w:asciiTheme="minorHAnsi" w:hAnsiTheme="minorHAnsi" w:cstheme="minorHAnsi"/>
        </w:rPr>
        <w:t xml:space="preserve">(not in-person) on sexual assault </w:t>
      </w:r>
      <w:r w:rsidRPr="00457F99">
        <w:rPr>
          <w:rFonts w:asciiTheme="minorHAnsi" w:hAnsiTheme="minorHAnsi" w:cstheme="minorHAnsi"/>
        </w:rPr>
        <w:t>found higher response rates with a $25 incentive compared to a $10 incentive, but no difference between $25 and $40.</w:t>
      </w:r>
      <w:r w:rsidRPr="00286B09" w:rsidR="00C308E9">
        <w:rPr>
          <w:rStyle w:val="EndnoteReference"/>
          <w:rFonts w:asciiTheme="minorHAnsi" w:hAnsiTheme="minorHAnsi" w:cstheme="minorHAnsi"/>
          <w:szCs w:val="22"/>
        </w:rPr>
        <w:endnoteReference w:id="46"/>
      </w:r>
      <w:r w:rsidRPr="003B0C96" w:rsidR="00C308E9">
        <w:rPr>
          <w:rFonts w:asciiTheme="minorHAnsi" w:hAnsiTheme="minorHAnsi" w:cstheme="minorHAnsi"/>
        </w:rPr>
        <w:t xml:space="preserve"> </w:t>
      </w:r>
      <w:r w:rsidRPr="003B0C96">
        <w:rPr>
          <w:rFonts w:asciiTheme="minorHAnsi" w:hAnsiTheme="minorHAnsi" w:cstheme="minorHAnsi"/>
        </w:rPr>
        <w:t xml:space="preserve"> In this same</w:t>
      </w:r>
      <w:r w:rsidRPr="00E006A8">
        <w:rPr>
          <w:rFonts w:asciiTheme="minorHAnsi" w:hAnsiTheme="minorHAnsi" w:cstheme="minorHAnsi"/>
        </w:rPr>
        <w:t xml:space="preserve"> su</w:t>
      </w:r>
      <w:r w:rsidRPr="00331701">
        <w:rPr>
          <w:rFonts w:asciiTheme="minorHAnsi" w:hAnsiTheme="minorHAnsi" w:cstheme="minorHAnsi"/>
        </w:rPr>
        <w:t>rv</w:t>
      </w:r>
      <w:r w:rsidRPr="001F1CD8">
        <w:rPr>
          <w:rFonts w:asciiTheme="minorHAnsi" w:hAnsiTheme="minorHAnsi" w:cstheme="minorHAnsi"/>
        </w:rPr>
        <w:t>ey, sexual victimization</w:t>
      </w:r>
      <w:r w:rsidRPr="008209BB">
        <w:rPr>
          <w:rFonts w:asciiTheme="minorHAnsi" w:hAnsiTheme="minorHAnsi" w:cstheme="minorHAnsi"/>
        </w:rPr>
        <w:t xml:space="preserve"> was higher in the $10 incentive group than the $25 incentive group, potentially suggesting that victims were more motivated to parti</w:t>
      </w:r>
      <w:r w:rsidRPr="00E703DC">
        <w:rPr>
          <w:rFonts w:asciiTheme="minorHAnsi" w:hAnsiTheme="minorHAnsi" w:cstheme="minorHAnsi"/>
        </w:rPr>
        <w:t>cipate even when a lower incentive was offered. However, the higher prevalence of victimization among those receiving the $40 compared to the $25 incentive may suggest that victims are susceptible to higher incentive offers.</w:t>
      </w:r>
      <w:r w:rsidRPr="00286B09">
        <w:rPr>
          <w:rStyle w:val="EndnoteReference"/>
          <w:rFonts w:asciiTheme="minorHAnsi" w:hAnsiTheme="minorHAnsi" w:cstheme="minorHAnsi"/>
          <w:szCs w:val="22"/>
        </w:rPr>
        <w:endnoteReference w:id="47"/>
      </w:r>
      <w:r w:rsidRPr="003B0C96">
        <w:rPr>
          <w:rFonts w:asciiTheme="minorHAnsi" w:hAnsiTheme="minorHAnsi" w:cstheme="minorHAnsi"/>
        </w:rPr>
        <w:t xml:space="preserve"> </w:t>
      </w:r>
    </w:p>
    <w:p w:rsidRPr="00E006A8" w:rsidR="00AE061E" w:rsidP="00286B09" w:rsidRDefault="00AE061E" w14:paraId="202AC14F" w14:textId="77777777">
      <w:pPr>
        <w:spacing w:line="276" w:lineRule="auto"/>
        <w:rPr>
          <w:rFonts w:asciiTheme="minorHAnsi" w:hAnsiTheme="minorHAnsi" w:cstheme="minorHAnsi"/>
        </w:rPr>
      </w:pPr>
    </w:p>
    <w:p w:rsidRPr="00E308E1" w:rsidR="00AE061E" w:rsidP="00445ECB" w:rsidRDefault="00D276D5" w14:paraId="3F0972F9" w14:textId="7BE371F1">
      <w:pPr>
        <w:spacing w:line="276" w:lineRule="auto"/>
        <w:ind w:firstLine="720"/>
        <w:rPr>
          <w:rFonts w:asciiTheme="minorHAnsi" w:hAnsiTheme="minorHAnsi" w:cstheme="minorHAnsi"/>
        </w:rPr>
      </w:pPr>
      <w:r w:rsidRPr="00331701">
        <w:rPr>
          <w:rFonts w:asciiTheme="minorHAnsi" w:hAnsiTheme="minorHAnsi" w:cstheme="minorHAnsi"/>
        </w:rPr>
        <w:t>Overall, r</w:t>
      </w:r>
      <w:r w:rsidRPr="00E308E1" w:rsidR="00AE061E">
        <w:rPr>
          <w:rFonts w:asciiTheme="minorHAnsi" w:hAnsiTheme="minorHAnsi" w:cstheme="minorHAnsi"/>
        </w:rPr>
        <w:t xml:space="preserve">esearch </w:t>
      </w:r>
      <w:r w:rsidR="00D161DE">
        <w:rPr>
          <w:rFonts w:asciiTheme="minorHAnsi" w:hAnsiTheme="minorHAnsi" w:cstheme="minorHAnsi"/>
        </w:rPr>
        <w:t xml:space="preserve">across the field of survey research (not specific to youth) </w:t>
      </w:r>
      <w:r>
        <w:rPr>
          <w:rFonts w:asciiTheme="minorHAnsi" w:hAnsiTheme="minorHAnsi" w:cstheme="minorHAnsi"/>
        </w:rPr>
        <w:t xml:space="preserve">suggests that </w:t>
      </w:r>
      <w:r w:rsidRPr="00E308E1" w:rsidR="00AE061E">
        <w:rPr>
          <w:rFonts w:asciiTheme="minorHAnsi" w:hAnsiTheme="minorHAnsi" w:cstheme="minorHAnsi"/>
        </w:rPr>
        <w:t>a $10 incentive significantly increases survey response rate</w:t>
      </w:r>
      <w:r w:rsidR="00AE061E">
        <w:rPr>
          <w:rFonts w:asciiTheme="minorHAnsi" w:hAnsiTheme="minorHAnsi" w:cstheme="minorHAnsi"/>
        </w:rPr>
        <w:t>s and reduces non-response bias</w:t>
      </w:r>
      <w:r w:rsidRPr="00E308E1" w:rsidR="00AE061E">
        <w:rPr>
          <w:rFonts w:asciiTheme="minorHAnsi" w:hAnsiTheme="minorHAnsi" w:cstheme="minorHAnsi"/>
        </w:rPr>
        <w:t>,</w:t>
      </w:r>
      <w:r w:rsidRPr="00286B09" w:rsidR="00AE061E">
        <w:rPr>
          <w:rFonts w:asciiTheme="minorHAnsi" w:hAnsiTheme="minorHAnsi" w:cstheme="minorHAnsi"/>
          <w:vertAlign w:val="superscript"/>
        </w:rPr>
        <w:endnoteReference w:id="48"/>
      </w:r>
      <w:r w:rsidRPr="00E308E1" w:rsidR="00AE061E">
        <w:rPr>
          <w:rFonts w:asciiTheme="minorHAnsi" w:hAnsiTheme="minorHAnsi" w:cstheme="minorHAnsi"/>
        </w:rPr>
        <w:t xml:space="preserve"> and that a $20 incentive increases response rate</w:t>
      </w:r>
      <w:r w:rsidR="00AE061E">
        <w:rPr>
          <w:rFonts w:asciiTheme="minorHAnsi" w:hAnsiTheme="minorHAnsi" w:cstheme="minorHAnsi"/>
        </w:rPr>
        <w:t>s</w:t>
      </w:r>
      <w:r w:rsidRPr="00E308E1" w:rsidR="00AE061E">
        <w:rPr>
          <w:rFonts w:asciiTheme="minorHAnsi" w:hAnsiTheme="minorHAnsi" w:cstheme="minorHAnsi"/>
        </w:rPr>
        <w:t xml:space="preserve"> over a $10 incentive.</w:t>
      </w:r>
      <w:r w:rsidRPr="00286B09" w:rsidR="00AE061E">
        <w:rPr>
          <w:rFonts w:asciiTheme="minorHAnsi" w:hAnsiTheme="minorHAnsi" w:cstheme="minorHAnsi"/>
          <w:vertAlign w:val="superscript"/>
        </w:rPr>
        <w:endnoteReference w:id="49"/>
      </w:r>
      <w:r w:rsidRPr="00E308E1" w:rsidR="00AE061E">
        <w:rPr>
          <w:rFonts w:asciiTheme="minorHAnsi" w:hAnsiTheme="minorHAnsi" w:cstheme="minorHAnsi"/>
        </w:rPr>
        <w:t xml:space="preserve"> Research has also shown that a $1 pre-incentive increases response rates by 6 percentage points</w:t>
      </w:r>
      <w:r w:rsidR="00AE061E">
        <w:rPr>
          <w:rFonts w:asciiTheme="minorHAnsi" w:hAnsiTheme="minorHAnsi" w:cstheme="minorHAnsi"/>
        </w:rPr>
        <w:t xml:space="preserve"> and also reduces non-response bias</w:t>
      </w:r>
      <w:r w:rsidRPr="00E308E1" w:rsidR="00AE061E">
        <w:rPr>
          <w:rFonts w:asciiTheme="minorHAnsi" w:hAnsiTheme="minorHAnsi" w:cstheme="minorHAnsi"/>
        </w:rPr>
        <w:t>.</w:t>
      </w:r>
      <w:r w:rsidRPr="00286B09" w:rsidR="00AE061E">
        <w:rPr>
          <w:rStyle w:val="EndnoteReference"/>
          <w:rFonts w:asciiTheme="minorHAnsi" w:hAnsiTheme="minorHAnsi" w:cstheme="minorHAnsi"/>
        </w:rPr>
        <w:endnoteReference w:id="50"/>
      </w:r>
      <w:r w:rsidR="00AE061E">
        <w:rPr>
          <w:rFonts w:asciiTheme="minorHAnsi" w:hAnsiTheme="minorHAnsi" w:cstheme="minorHAnsi"/>
        </w:rPr>
        <w:t xml:space="preserve"> </w:t>
      </w:r>
    </w:p>
    <w:p w:rsidRPr="003B0C96" w:rsidR="00AE061E" w:rsidP="00286B09" w:rsidRDefault="00AE061E" w14:paraId="685FFCD4" w14:textId="77777777">
      <w:pPr>
        <w:spacing w:line="276" w:lineRule="auto"/>
        <w:rPr>
          <w:rFonts w:asciiTheme="minorHAnsi" w:hAnsiTheme="minorHAnsi" w:cstheme="minorHAnsi"/>
        </w:rPr>
      </w:pPr>
    </w:p>
    <w:p w:rsidRPr="00457F99" w:rsidR="00D276D5" w:rsidP="00445ECB" w:rsidRDefault="00D276D5" w14:paraId="59444E64" w14:textId="77777777">
      <w:pPr>
        <w:spacing w:line="276" w:lineRule="auto"/>
        <w:ind w:firstLine="720"/>
        <w:rPr>
          <w:rFonts w:asciiTheme="minorHAnsi" w:hAnsiTheme="minorHAnsi" w:cstheme="minorHAnsi"/>
        </w:rPr>
      </w:pPr>
      <w:r w:rsidRPr="003B0C96">
        <w:rPr>
          <w:rFonts w:asciiTheme="minorHAnsi" w:hAnsiTheme="minorHAnsi" w:cstheme="minorHAnsi"/>
        </w:rPr>
        <w:t>NORC and CDC’</w:t>
      </w:r>
      <w:r w:rsidRPr="00E006A8">
        <w:rPr>
          <w:rFonts w:asciiTheme="minorHAnsi" w:hAnsiTheme="minorHAnsi" w:cstheme="minorHAnsi"/>
        </w:rPr>
        <w:t xml:space="preserve">s review of the </w:t>
      </w:r>
      <w:r w:rsidRPr="00331701" w:rsidR="00AE061E">
        <w:rPr>
          <w:rFonts w:asciiTheme="minorHAnsi" w:hAnsiTheme="minorHAnsi" w:cstheme="minorHAnsi"/>
        </w:rPr>
        <w:t>literature demon</w:t>
      </w:r>
      <w:r w:rsidRPr="001F1CD8" w:rsidR="00AE061E">
        <w:rPr>
          <w:rFonts w:asciiTheme="minorHAnsi" w:hAnsiTheme="minorHAnsi" w:cstheme="minorHAnsi"/>
        </w:rPr>
        <w:t xml:space="preserve">strates the need for further incentive experimentation with youth participants in household surveys. We do not have results from other </w:t>
      </w:r>
      <w:r w:rsidRPr="008209BB">
        <w:rPr>
          <w:rFonts w:asciiTheme="minorHAnsi" w:hAnsiTheme="minorHAnsi" w:cstheme="minorHAnsi"/>
        </w:rPr>
        <w:t>experiments</w:t>
      </w:r>
      <w:r w:rsidRPr="00E703DC">
        <w:rPr>
          <w:rFonts w:asciiTheme="minorHAnsi" w:hAnsiTheme="minorHAnsi" w:cstheme="minorHAnsi"/>
        </w:rPr>
        <w:t xml:space="preserve"> with youth</w:t>
      </w:r>
      <w:r w:rsidRPr="00E703DC" w:rsidR="00AE061E">
        <w:rPr>
          <w:rFonts w:asciiTheme="minorHAnsi" w:hAnsiTheme="minorHAnsi" w:cstheme="minorHAnsi"/>
        </w:rPr>
        <w:t xml:space="preserve"> that can be relied upon to address our pilot study questions about the best way to reduce non-response bias, especially in the context of an urban environment experiencing elevated rates of violence. </w:t>
      </w:r>
    </w:p>
    <w:p w:rsidRPr="00264976" w:rsidR="00D276D5" w:rsidP="00286B09" w:rsidRDefault="00D276D5" w14:paraId="74E3329F" w14:textId="77777777">
      <w:pPr>
        <w:spacing w:line="276" w:lineRule="auto"/>
        <w:rPr>
          <w:rFonts w:asciiTheme="minorHAnsi" w:hAnsiTheme="minorHAnsi" w:cstheme="minorHAnsi"/>
        </w:rPr>
      </w:pPr>
    </w:p>
    <w:p w:rsidRPr="00E006A8" w:rsidR="00C308E9" w:rsidP="00445ECB" w:rsidRDefault="00D276D5" w14:paraId="14D5D8CE" w14:textId="37E3BE5A">
      <w:pPr>
        <w:spacing w:line="276" w:lineRule="auto"/>
        <w:ind w:firstLine="720"/>
        <w:rPr>
          <w:rFonts w:asciiTheme="minorHAnsi" w:hAnsiTheme="minorHAnsi" w:cstheme="minorHAnsi"/>
        </w:rPr>
      </w:pPr>
      <w:r w:rsidRPr="00E308E1">
        <w:rPr>
          <w:rFonts w:asciiTheme="minorHAnsi" w:hAnsiTheme="minorHAnsi" w:cstheme="minorHAnsi"/>
        </w:rPr>
        <w:t xml:space="preserve">Therefore, </w:t>
      </w:r>
      <w:r>
        <w:rPr>
          <w:rFonts w:asciiTheme="minorHAnsi" w:hAnsiTheme="minorHAnsi" w:cstheme="minorHAnsi"/>
        </w:rPr>
        <w:t xml:space="preserve">CDC is planning to take the following approach to the use of incentives.  First, </w:t>
      </w:r>
      <w:r w:rsidRPr="00E308E1">
        <w:rPr>
          <w:rFonts w:asciiTheme="minorHAnsi" w:hAnsiTheme="minorHAnsi" w:cstheme="minorHAnsi"/>
        </w:rPr>
        <w:t xml:space="preserve">participants will receive a small incentive as a token of appreciation for their time. Households will be </w:t>
      </w:r>
      <w:r w:rsidRPr="00E308E1">
        <w:rPr>
          <w:rFonts w:asciiTheme="minorHAnsi" w:hAnsiTheme="minorHAnsi" w:cstheme="minorHAnsi"/>
        </w:rPr>
        <w:lastRenderedPageBreak/>
        <w:t xml:space="preserve">mailed a $1 pre-incentive to their homes to encourage participation in the screener component of the project.  Beyond that, because this is a pilot test, three incentive structures will be </w:t>
      </w:r>
      <w:r>
        <w:rPr>
          <w:rFonts w:asciiTheme="minorHAnsi" w:hAnsiTheme="minorHAnsi" w:cstheme="minorHAnsi"/>
        </w:rPr>
        <w:t xml:space="preserve">experimentally </w:t>
      </w:r>
      <w:r w:rsidRPr="00E308E1">
        <w:rPr>
          <w:rFonts w:asciiTheme="minorHAnsi" w:hAnsiTheme="minorHAnsi" w:cstheme="minorHAnsi"/>
        </w:rPr>
        <w:t xml:space="preserve">tested to determine the </w:t>
      </w:r>
      <w:r>
        <w:rPr>
          <w:rFonts w:asciiTheme="minorHAnsi" w:hAnsiTheme="minorHAnsi" w:cstheme="minorHAnsi"/>
        </w:rPr>
        <w:t xml:space="preserve">optimal </w:t>
      </w:r>
      <w:r w:rsidRPr="00E308E1">
        <w:rPr>
          <w:rFonts w:asciiTheme="minorHAnsi" w:hAnsiTheme="minorHAnsi" w:cstheme="minorHAnsi"/>
        </w:rPr>
        <w:t xml:space="preserve">amounts and structure for </w:t>
      </w:r>
      <w:r>
        <w:rPr>
          <w:rFonts w:asciiTheme="minorHAnsi" w:hAnsiTheme="minorHAnsi" w:cstheme="minorHAnsi"/>
        </w:rPr>
        <w:t xml:space="preserve">incentives for </w:t>
      </w:r>
      <w:r w:rsidRPr="00E308E1">
        <w:rPr>
          <w:rFonts w:asciiTheme="minorHAnsi" w:hAnsiTheme="minorHAnsi" w:cstheme="minorHAnsi"/>
        </w:rPr>
        <w:t>the VACS population</w:t>
      </w:r>
      <w:r w:rsidR="00C308E9">
        <w:rPr>
          <w:rFonts w:asciiTheme="minorHAnsi" w:hAnsiTheme="minorHAnsi" w:cstheme="minorHAnsi"/>
        </w:rPr>
        <w:t xml:space="preserve"> (see Table 1)</w:t>
      </w:r>
      <w:r w:rsidRPr="00E308E1">
        <w:rPr>
          <w:rFonts w:asciiTheme="minorHAnsi" w:hAnsiTheme="minorHAnsi" w:cstheme="minorHAnsi"/>
        </w:rPr>
        <w:t xml:space="preserve">: (1) a direct offer of $20 upon survey completion; (2) recruitment offering $40 early bird incentive if completed within two weeks after screening in, otherwise a $20 post-incentive upon completion; and (3) an initial offer of $20 upon survey completion, with additional communication to non-responders later in the field period with an escalation offer of $40. All post-participation incentives will be distributed </w:t>
      </w:r>
      <w:r>
        <w:rPr>
          <w:rFonts w:asciiTheme="minorHAnsi" w:hAnsiTheme="minorHAnsi" w:cstheme="minorHAnsi"/>
        </w:rPr>
        <w:t>to the youth participant in the form of a g</w:t>
      </w:r>
      <w:r w:rsidRPr="00E308E1">
        <w:rPr>
          <w:rFonts w:asciiTheme="minorHAnsi" w:hAnsiTheme="minorHAnsi" w:cstheme="minorHAnsi"/>
        </w:rPr>
        <w:t xml:space="preserve">ift card by the field interviewer at completion of the interview. </w:t>
      </w:r>
      <w:r w:rsidRPr="003B0C96" w:rsidR="00C308E9">
        <w:rPr>
          <w:rFonts w:asciiTheme="minorHAnsi" w:hAnsiTheme="minorHAnsi" w:cstheme="minorHAnsi"/>
        </w:rPr>
        <w:t xml:space="preserve">In sum, an incentive experiment is necessary </w:t>
      </w:r>
      <w:r w:rsidRPr="00E308E1">
        <w:rPr>
          <w:rFonts w:asciiTheme="minorHAnsi" w:hAnsiTheme="minorHAnsi" w:cstheme="minorHAnsi"/>
        </w:rPr>
        <w:t xml:space="preserve">to determine the total dollar values and timing of incentive offers that will yield the </w:t>
      </w:r>
      <w:r>
        <w:rPr>
          <w:rFonts w:asciiTheme="minorHAnsi" w:hAnsiTheme="minorHAnsi" w:cstheme="minorHAnsi"/>
        </w:rPr>
        <w:t>greatest reductions in non-response bias</w:t>
      </w:r>
      <w:r w:rsidRPr="00E308E1">
        <w:rPr>
          <w:rFonts w:asciiTheme="minorHAnsi" w:hAnsiTheme="minorHAnsi" w:cstheme="minorHAnsi"/>
        </w:rPr>
        <w:t>, which can ultimately save resources in future VACS studies in the U.S.</w:t>
      </w:r>
      <w:r w:rsidR="00C308E9">
        <w:rPr>
          <w:rFonts w:asciiTheme="minorHAnsi" w:hAnsiTheme="minorHAnsi" w:cstheme="minorHAnsi"/>
        </w:rPr>
        <w:t xml:space="preserve"> and </w:t>
      </w:r>
      <w:r w:rsidRPr="003B0C96" w:rsidR="00C308E9">
        <w:rPr>
          <w:rFonts w:asciiTheme="minorHAnsi" w:hAnsiTheme="minorHAnsi" w:cstheme="minorHAnsi"/>
        </w:rPr>
        <w:t>produce the highest q</w:t>
      </w:r>
      <w:r w:rsidRPr="003B0C96" w:rsidR="00AE061E">
        <w:rPr>
          <w:rFonts w:asciiTheme="minorHAnsi" w:hAnsiTheme="minorHAnsi" w:cstheme="minorHAnsi"/>
        </w:rPr>
        <w:t xml:space="preserve">uality </w:t>
      </w:r>
      <w:r w:rsidRPr="003B0C96" w:rsidR="00C308E9">
        <w:rPr>
          <w:rFonts w:asciiTheme="minorHAnsi" w:hAnsiTheme="minorHAnsi" w:cstheme="minorHAnsi"/>
        </w:rPr>
        <w:t>data.</w:t>
      </w:r>
      <w:r w:rsidRPr="00E006A8" w:rsidR="00623BCC">
        <w:rPr>
          <w:rFonts w:asciiTheme="minorHAnsi" w:hAnsiTheme="minorHAnsi" w:cstheme="minorHAnsi"/>
        </w:rPr>
        <w:t xml:space="preserve">  </w:t>
      </w:r>
    </w:p>
    <w:p w:rsidRPr="00286B09" w:rsidR="00C308E9" w:rsidP="003B0C96" w:rsidRDefault="00C308E9" w14:paraId="4C3CBA32" w14:textId="77777777">
      <w:pPr>
        <w:pStyle w:val="L1-FlLSp12"/>
        <w:spacing w:after="0" w:line="276" w:lineRule="auto"/>
        <w:jc w:val="center"/>
        <w:rPr>
          <w:rFonts w:asciiTheme="minorHAnsi" w:hAnsiTheme="minorHAnsi" w:cstheme="minorHAnsi"/>
          <w:szCs w:val="24"/>
        </w:rPr>
      </w:pPr>
    </w:p>
    <w:p w:rsidRPr="00F6582B" w:rsidR="001C7C9E" w:rsidP="00AD7DB8" w:rsidRDefault="001C7C9E" w14:paraId="3598C2BC" w14:textId="55C5C7C8">
      <w:pPr>
        <w:pStyle w:val="L1-FlLSp12"/>
        <w:spacing w:after="0" w:line="276" w:lineRule="auto"/>
        <w:jc w:val="center"/>
        <w:rPr>
          <w:rFonts w:asciiTheme="minorHAnsi" w:hAnsiTheme="minorHAnsi" w:cstheme="minorHAnsi"/>
          <w:b/>
          <w:i/>
          <w:szCs w:val="24"/>
        </w:rPr>
      </w:pPr>
      <w:r w:rsidRPr="00F6582B">
        <w:rPr>
          <w:rFonts w:asciiTheme="minorHAnsi" w:hAnsiTheme="minorHAnsi" w:cstheme="minorHAnsi"/>
          <w:b/>
          <w:i/>
          <w:szCs w:val="24"/>
        </w:rPr>
        <w:t xml:space="preserve">Table 1.  Use of Incentives for the </w:t>
      </w:r>
      <w:r w:rsidRPr="00F6582B" w:rsidR="00E86911">
        <w:rPr>
          <w:rFonts w:asciiTheme="minorHAnsi" w:hAnsiTheme="minorHAnsi" w:cstheme="minorHAnsi"/>
          <w:b/>
          <w:i/>
          <w:szCs w:val="24"/>
        </w:rPr>
        <w:t>Domestic VACS Pilot Implementation Study</w:t>
      </w:r>
    </w:p>
    <w:tbl>
      <w:tblPr>
        <w:tblW w:w="8360" w:type="dxa"/>
        <w:jc w:val="center"/>
        <w:tblLook w:val="04A0" w:firstRow="1" w:lastRow="0" w:firstColumn="1" w:lastColumn="0" w:noHBand="0" w:noVBand="1"/>
      </w:tblPr>
      <w:tblGrid>
        <w:gridCol w:w="5720"/>
        <w:gridCol w:w="2640"/>
      </w:tblGrid>
      <w:tr w:rsidRPr="00B02072" w:rsidR="001C7C9E" w:rsidTr="00A83F34" w14:paraId="0939E81B" w14:textId="77777777">
        <w:trPr>
          <w:trHeight w:val="223"/>
          <w:jc w:val="center"/>
        </w:trPr>
        <w:tc>
          <w:tcPr>
            <w:tcW w:w="5720" w:type="dxa"/>
            <w:tcBorders>
              <w:top w:val="single" w:color="auto" w:sz="8" w:space="0"/>
              <w:left w:val="single" w:color="auto" w:sz="8" w:space="0"/>
              <w:bottom w:val="single" w:color="auto" w:sz="4" w:space="0"/>
              <w:right w:val="nil"/>
            </w:tcBorders>
            <w:shd w:val="clear" w:color="auto" w:fill="auto"/>
            <w:noWrap/>
            <w:hideMark/>
          </w:tcPr>
          <w:p w:rsidRPr="00B02072" w:rsidR="001C7C9E" w:rsidP="00AD7DB8" w:rsidRDefault="001C7C9E" w14:paraId="40737A24" w14:textId="77777777">
            <w:pPr>
              <w:spacing w:line="276" w:lineRule="auto"/>
              <w:jc w:val="center"/>
              <w:rPr>
                <w:rFonts w:ascii="Cambria Math" w:hAnsi="Cambria Math" w:cstheme="minorHAnsi"/>
                <w:b/>
                <w:color w:val="000000"/>
              </w:rPr>
            </w:pPr>
            <w:r w:rsidRPr="00B02072">
              <w:rPr>
                <w:rFonts w:ascii="Cambria Math" w:hAnsi="Cambria Math" w:cstheme="minorHAnsi"/>
                <w:b/>
                <w:color w:val="000000"/>
              </w:rPr>
              <w:t>Incentive groups by sample frame</w:t>
            </w:r>
          </w:p>
        </w:tc>
        <w:tc>
          <w:tcPr>
            <w:tcW w:w="2640" w:type="dxa"/>
            <w:tcBorders>
              <w:top w:val="single" w:color="auto" w:sz="8" w:space="0"/>
              <w:left w:val="single" w:color="auto" w:sz="4" w:space="0"/>
              <w:bottom w:val="single" w:color="auto" w:sz="4" w:space="0"/>
              <w:right w:val="single" w:color="auto" w:sz="8" w:space="0"/>
            </w:tcBorders>
            <w:shd w:val="clear" w:color="auto" w:fill="auto"/>
            <w:vAlign w:val="bottom"/>
            <w:hideMark/>
          </w:tcPr>
          <w:p w:rsidRPr="00B02072" w:rsidR="001C7C9E" w:rsidP="00AD7DB8" w:rsidRDefault="001C7C9E" w14:paraId="29219ABC" w14:textId="77777777">
            <w:pPr>
              <w:spacing w:line="276" w:lineRule="auto"/>
              <w:jc w:val="center"/>
              <w:rPr>
                <w:rFonts w:ascii="Cambria Math" w:hAnsi="Cambria Math" w:cstheme="minorHAnsi"/>
                <w:b/>
                <w:color w:val="000000"/>
              </w:rPr>
            </w:pPr>
            <w:r w:rsidRPr="00B02072">
              <w:rPr>
                <w:rFonts w:ascii="Cambria Math" w:hAnsi="Cambria Math" w:cstheme="minorHAnsi"/>
                <w:b/>
                <w:color w:val="000000"/>
              </w:rPr>
              <w:t>Sample size per group*</w:t>
            </w:r>
          </w:p>
        </w:tc>
      </w:tr>
      <w:tr w:rsidRPr="00B02072" w:rsidR="001C7C9E" w:rsidTr="00A83F34" w14:paraId="353860E5" w14:textId="77777777">
        <w:trPr>
          <w:trHeight w:val="312"/>
          <w:jc w:val="center"/>
        </w:trPr>
        <w:tc>
          <w:tcPr>
            <w:tcW w:w="5720" w:type="dxa"/>
            <w:tcBorders>
              <w:top w:val="nil"/>
              <w:left w:val="single" w:color="auto" w:sz="8" w:space="0"/>
              <w:bottom w:val="nil"/>
              <w:right w:val="nil"/>
            </w:tcBorders>
            <w:shd w:val="clear" w:color="auto" w:fill="auto"/>
            <w:noWrap/>
            <w:vAlign w:val="bottom"/>
            <w:hideMark/>
          </w:tcPr>
          <w:p w:rsidRPr="00B02072" w:rsidR="001C7C9E" w:rsidP="00AD7DB8" w:rsidRDefault="001C7C9E" w14:paraId="0D8A0411" w14:textId="3853055B">
            <w:pPr>
              <w:spacing w:line="276" w:lineRule="auto"/>
              <w:rPr>
                <w:rFonts w:ascii="Cambria Math" w:hAnsi="Cambria Math" w:cstheme="minorHAnsi"/>
                <w:color w:val="000000"/>
              </w:rPr>
            </w:pPr>
          </w:p>
        </w:tc>
        <w:tc>
          <w:tcPr>
            <w:tcW w:w="2640" w:type="dxa"/>
            <w:tcBorders>
              <w:top w:val="nil"/>
              <w:left w:val="single" w:color="auto" w:sz="4" w:space="0"/>
              <w:bottom w:val="nil"/>
              <w:right w:val="single" w:color="auto" w:sz="8" w:space="0"/>
            </w:tcBorders>
            <w:shd w:val="clear" w:color="auto" w:fill="auto"/>
            <w:noWrap/>
            <w:vAlign w:val="bottom"/>
            <w:hideMark/>
          </w:tcPr>
          <w:p w:rsidRPr="00B02072" w:rsidR="001C7C9E" w:rsidP="00AD7DB8" w:rsidRDefault="001C7C9E" w14:paraId="02CAB2C2" w14:textId="77777777">
            <w:pPr>
              <w:spacing w:line="276" w:lineRule="auto"/>
              <w:jc w:val="center"/>
              <w:rPr>
                <w:rFonts w:ascii="Cambria Math" w:hAnsi="Cambria Math" w:cstheme="minorHAnsi"/>
                <w:color w:val="000000"/>
              </w:rPr>
            </w:pPr>
            <w:r w:rsidRPr="00B02072">
              <w:rPr>
                <w:rFonts w:ascii="Cambria Math" w:hAnsi="Cambria Math" w:cstheme="minorHAnsi"/>
                <w:color w:val="000000"/>
              </w:rPr>
              <w:t> </w:t>
            </w:r>
          </w:p>
        </w:tc>
      </w:tr>
      <w:tr w:rsidRPr="00B02072" w:rsidR="001C7C9E" w:rsidTr="00A83F34" w14:paraId="1A618AE9" w14:textId="77777777">
        <w:trPr>
          <w:trHeight w:val="312"/>
          <w:jc w:val="center"/>
        </w:trPr>
        <w:tc>
          <w:tcPr>
            <w:tcW w:w="5720" w:type="dxa"/>
            <w:tcBorders>
              <w:top w:val="nil"/>
              <w:left w:val="single" w:color="auto" w:sz="8" w:space="0"/>
              <w:bottom w:val="nil"/>
              <w:right w:val="nil"/>
            </w:tcBorders>
            <w:shd w:val="clear" w:color="auto" w:fill="auto"/>
            <w:noWrap/>
            <w:vAlign w:val="bottom"/>
            <w:hideMark/>
          </w:tcPr>
          <w:p w:rsidRPr="00B02072" w:rsidR="001C7C9E" w:rsidP="00AD7DB8" w:rsidRDefault="001C7C9E" w14:paraId="4EE9EF4F" w14:textId="640139D1">
            <w:pPr>
              <w:spacing w:line="276" w:lineRule="auto"/>
              <w:rPr>
                <w:rFonts w:ascii="Cambria Math" w:hAnsi="Cambria Math" w:cstheme="minorHAnsi"/>
                <w:color w:val="000000"/>
              </w:rPr>
            </w:pPr>
            <w:r w:rsidRPr="00B02072">
              <w:rPr>
                <w:rFonts w:ascii="Cambria Math" w:hAnsi="Cambria Math" w:cstheme="minorHAnsi"/>
                <w:color w:val="000000"/>
              </w:rPr>
              <w:t xml:space="preserve">  Pre-paid Incentive with letter to households</w:t>
            </w:r>
          </w:p>
        </w:tc>
        <w:tc>
          <w:tcPr>
            <w:tcW w:w="2640" w:type="dxa"/>
            <w:tcBorders>
              <w:top w:val="nil"/>
              <w:left w:val="single" w:color="auto" w:sz="4" w:space="0"/>
              <w:bottom w:val="nil"/>
              <w:right w:val="single" w:color="auto" w:sz="8" w:space="0"/>
            </w:tcBorders>
            <w:shd w:val="clear" w:color="auto" w:fill="auto"/>
            <w:noWrap/>
            <w:vAlign w:val="bottom"/>
            <w:hideMark/>
          </w:tcPr>
          <w:p w:rsidRPr="00B02072" w:rsidR="001C7C9E" w:rsidP="00AD7DB8" w:rsidRDefault="001C7C9E" w14:paraId="7F8E8A6E" w14:textId="77777777">
            <w:pPr>
              <w:spacing w:line="276" w:lineRule="auto"/>
              <w:jc w:val="center"/>
              <w:rPr>
                <w:rFonts w:ascii="Cambria Math" w:hAnsi="Cambria Math" w:cstheme="minorHAnsi"/>
                <w:color w:val="000000"/>
              </w:rPr>
            </w:pPr>
            <w:r w:rsidRPr="00B02072">
              <w:rPr>
                <w:rFonts w:ascii="Cambria Math" w:hAnsi="Cambria Math" w:cstheme="minorHAnsi"/>
                <w:color w:val="000000"/>
              </w:rPr>
              <w:t> </w:t>
            </w:r>
          </w:p>
        </w:tc>
      </w:tr>
      <w:tr w:rsidRPr="00B02072" w:rsidR="001C7C9E" w:rsidTr="00A83F34" w14:paraId="7F347216" w14:textId="77777777">
        <w:trPr>
          <w:trHeight w:val="312"/>
          <w:jc w:val="center"/>
        </w:trPr>
        <w:tc>
          <w:tcPr>
            <w:tcW w:w="5720" w:type="dxa"/>
            <w:tcBorders>
              <w:top w:val="nil"/>
              <w:left w:val="single" w:color="auto" w:sz="8" w:space="0"/>
              <w:bottom w:val="single" w:color="auto" w:sz="4" w:space="0"/>
              <w:right w:val="nil"/>
            </w:tcBorders>
            <w:shd w:val="clear" w:color="auto" w:fill="auto"/>
            <w:noWrap/>
            <w:vAlign w:val="bottom"/>
            <w:hideMark/>
          </w:tcPr>
          <w:p w:rsidRPr="00B02072" w:rsidR="001C7C9E" w:rsidP="00AD7DB8" w:rsidRDefault="008F7C0D" w14:paraId="2B1AC451" w14:textId="0FE2E758">
            <w:pPr>
              <w:spacing w:line="276" w:lineRule="auto"/>
              <w:rPr>
                <w:rFonts w:ascii="Cambria Math" w:hAnsi="Cambria Math" w:cstheme="minorHAnsi"/>
                <w:color w:val="000000"/>
              </w:rPr>
            </w:pPr>
            <w:r w:rsidRPr="00B02072">
              <w:rPr>
                <w:rFonts w:ascii="Cambria Math" w:hAnsi="Cambria Math" w:cstheme="minorHAnsi"/>
                <w:color w:val="000000"/>
              </w:rPr>
              <w:t xml:space="preserve">       </w:t>
            </w:r>
            <w:r w:rsidRPr="00B02072" w:rsidR="001C7C9E">
              <w:rPr>
                <w:rFonts w:ascii="Cambria Math" w:hAnsi="Cambria Math" w:cstheme="minorHAnsi"/>
                <w:color w:val="000000"/>
              </w:rPr>
              <w:t>$</w:t>
            </w:r>
            <w:r w:rsidRPr="00B02072" w:rsidR="00E86911">
              <w:rPr>
                <w:rFonts w:ascii="Cambria Math" w:hAnsi="Cambria Math" w:cstheme="minorHAnsi"/>
                <w:color w:val="000000"/>
              </w:rPr>
              <w:t>1</w:t>
            </w:r>
          </w:p>
        </w:tc>
        <w:tc>
          <w:tcPr>
            <w:tcW w:w="2640" w:type="dxa"/>
            <w:tcBorders>
              <w:top w:val="nil"/>
              <w:left w:val="single" w:color="auto" w:sz="4" w:space="0"/>
              <w:bottom w:val="single" w:color="auto" w:sz="4" w:space="0"/>
              <w:right w:val="single" w:color="auto" w:sz="8" w:space="0"/>
            </w:tcBorders>
            <w:shd w:val="clear" w:color="auto" w:fill="auto"/>
            <w:noWrap/>
            <w:vAlign w:val="bottom"/>
            <w:hideMark/>
          </w:tcPr>
          <w:p w:rsidRPr="00B02072" w:rsidR="001C7C9E" w:rsidP="00B02072" w:rsidRDefault="00E86911" w14:paraId="3CEA2FB1" w14:textId="7C40A9C2">
            <w:pPr>
              <w:spacing w:line="276" w:lineRule="auto"/>
              <w:jc w:val="right"/>
              <w:rPr>
                <w:rFonts w:ascii="Cambria Math" w:hAnsi="Cambria Math" w:cstheme="minorHAnsi"/>
                <w:color w:val="000000"/>
              </w:rPr>
            </w:pPr>
            <w:r w:rsidRPr="00B02072">
              <w:rPr>
                <w:rFonts w:ascii="Cambria Math" w:hAnsi="Cambria Math" w:cstheme="minorHAnsi"/>
                <w:color w:val="000000"/>
              </w:rPr>
              <w:t>7,083</w:t>
            </w:r>
          </w:p>
        </w:tc>
      </w:tr>
      <w:tr w:rsidRPr="00B02072" w:rsidR="001C7C9E" w:rsidTr="00A83F34" w14:paraId="34A73877" w14:textId="77777777">
        <w:trPr>
          <w:trHeight w:val="330"/>
          <w:jc w:val="center"/>
        </w:trPr>
        <w:tc>
          <w:tcPr>
            <w:tcW w:w="5720" w:type="dxa"/>
            <w:tcBorders>
              <w:top w:val="single" w:color="auto" w:sz="4" w:space="0"/>
              <w:left w:val="single" w:color="auto" w:sz="8" w:space="0"/>
              <w:bottom w:val="nil"/>
              <w:right w:val="nil"/>
            </w:tcBorders>
            <w:shd w:val="clear" w:color="auto" w:fill="auto"/>
            <w:vAlign w:val="bottom"/>
            <w:hideMark/>
          </w:tcPr>
          <w:p w:rsidRPr="00B02072" w:rsidR="001C7C9E" w:rsidP="00AD7DB8" w:rsidRDefault="00E86911" w14:paraId="1A09BF90" w14:textId="57BD7AC0">
            <w:pPr>
              <w:spacing w:line="276" w:lineRule="auto"/>
              <w:rPr>
                <w:rFonts w:ascii="Cambria Math" w:hAnsi="Cambria Math" w:cstheme="minorHAnsi"/>
                <w:color w:val="000000"/>
              </w:rPr>
            </w:pPr>
            <w:r w:rsidRPr="00B02072">
              <w:rPr>
                <w:rFonts w:ascii="Cambria Math" w:hAnsi="Cambria Math" w:cstheme="minorHAnsi"/>
                <w:color w:val="000000"/>
              </w:rPr>
              <w:t>Direct offer of $20 upon completion</w:t>
            </w:r>
          </w:p>
        </w:tc>
        <w:tc>
          <w:tcPr>
            <w:tcW w:w="2640" w:type="dxa"/>
            <w:tcBorders>
              <w:top w:val="single" w:color="auto" w:sz="4" w:space="0"/>
              <w:left w:val="single" w:color="auto" w:sz="4" w:space="0"/>
              <w:bottom w:val="nil"/>
              <w:right w:val="single" w:color="auto" w:sz="8" w:space="0"/>
            </w:tcBorders>
            <w:shd w:val="clear" w:color="auto" w:fill="auto"/>
            <w:noWrap/>
            <w:vAlign w:val="bottom"/>
            <w:hideMark/>
          </w:tcPr>
          <w:p w:rsidRPr="00B02072" w:rsidR="001C7C9E" w:rsidP="00B02072" w:rsidRDefault="001C7C9E" w14:paraId="0306BDAD" w14:textId="77777777">
            <w:pPr>
              <w:spacing w:line="276" w:lineRule="auto"/>
              <w:jc w:val="right"/>
              <w:rPr>
                <w:rFonts w:ascii="Cambria Math" w:hAnsi="Cambria Math" w:cstheme="minorHAnsi"/>
                <w:color w:val="000000"/>
              </w:rPr>
            </w:pPr>
            <w:r w:rsidRPr="00B02072">
              <w:rPr>
                <w:rFonts w:ascii="Cambria Math" w:hAnsi="Cambria Math" w:cstheme="minorHAnsi"/>
                <w:color w:val="000000"/>
              </w:rPr>
              <w:t> </w:t>
            </w:r>
          </w:p>
        </w:tc>
      </w:tr>
      <w:tr w:rsidRPr="00B02072" w:rsidR="001C7C9E" w:rsidTr="00A83F34" w14:paraId="7F837CE4" w14:textId="77777777">
        <w:trPr>
          <w:trHeight w:val="312"/>
          <w:jc w:val="center"/>
        </w:trPr>
        <w:tc>
          <w:tcPr>
            <w:tcW w:w="5720" w:type="dxa"/>
            <w:tcBorders>
              <w:top w:val="nil"/>
              <w:left w:val="single" w:color="auto" w:sz="8" w:space="0"/>
              <w:bottom w:val="nil"/>
              <w:right w:val="nil"/>
            </w:tcBorders>
            <w:shd w:val="clear" w:color="auto" w:fill="auto"/>
            <w:noWrap/>
            <w:vAlign w:val="bottom"/>
            <w:hideMark/>
          </w:tcPr>
          <w:p w:rsidRPr="00B02072" w:rsidR="001C7C9E" w:rsidP="00AD7DB8" w:rsidRDefault="001C7C9E" w14:paraId="0E2E03EE" w14:textId="1B1AFA95">
            <w:pPr>
              <w:spacing w:line="276" w:lineRule="auto"/>
              <w:rPr>
                <w:rFonts w:ascii="Cambria Math" w:hAnsi="Cambria Math" w:cstheme="minorHAnsi"/>
                <w:color w:val="000000"/>
              </w:rPr>
            </w:pPr>
            <w:r w:rsidRPr="00B02072">
              <w:rPr>
                <w:rFonts w:ascii="Cambria Math" w:hAnsi="Cambria Math" w:cstheme="minorHAnsi"/>
                <w:color w:val="000000"/>
              </w:rPr>
              <w:t xml:space="preserve">      </w:t>
            </w:r>
            <w:r w:rsidRPr="00B02072" w:rsidR="00E86911">
              <w:rPr>
                <w:rFonts w:ascii="Cambria Math" w:hAnsi="Cambria Math" w:cstheme="minorHAnsi"/>
                <w:color w:val="000000"/>
              </w:rPr>
              <w:t>$20</w:t>
            </w:r>
          </w:p>
        </w:tc>
        <w:tc>
          <w:tcPr>
            <w:tcW w:w="2640" w:type="dxa"/>
            <w:tcBorders>
              <w:top w:val="nil"/>
              <w:left w:val="single" w:color="auto" w:sz="4" w:space="0"/>
              <w:bottom w:val="nil"/>
              <w:right w:val="single" w:color="auto" w:sz="8" w:space="0"/>
            </w:tcBorders>
            <w:shd w:val="clear" w:color="auto" w:fill="auto"/>
            <w:noWrap/>
            <w:vAlign w:val="bottom"/>
            <w:hideMark/>
          </w:tcPr>
          <w:p w:rsidRPr="00B02072" w:rsidR="001C7C9E" w:rsidP="00B02072" w:rsidRDefault="001C7C9E" w14:paraId="16596BA6" w14:textId="5D7CB543">
            <w:pPr>
              <w:spacing w:line="276" w:lineRule="auto"/>
              <w:jc w:val="right"/>
              <w:rPr>
                <w:rFonts w:ascii="Cambria Math" w:hAnsi="Cambria Math" w:cstheme="minorHAnsi"/>
                <w:color w:val="000000"/>
              </w:rPr>
            </w:pPr>
            <w:r w:rsidRPr="00B02072">
              <w:rPr>
                <w:rFonts w:ascii="Cambria Math" w:hAnsi="Cambria Math" w:cstheme="minorHAnsi"/>
                <w:color w:val="000000"/>
              </w:rPr>
              <w:t> </w:t>
            </w:r>
            <w:r w:rsidRPr="00B02072" w:rsidR="00E86911">
              <w:rPr>
                <w:rFonts w:ascii="Cambria Math" w:hAnsi="Cambria Math" w:cstheme="minorHAnsi"/>
                <w:color w:val="000000"/>
              </w:rPr>
              <w:t>340</w:t>
            </w:r>
          </w:p>
        </w:tc>
      </w:tr>
      <w:tr w:rsidRPr="00B02072" w:rsidR="001C7C9E" w:rsidTr="00A83F34" w14:paraId="3D83E4D3" w14:textId="77777777">
        <w:trPr>
          <w:trHeight w:val="312"/>
          <w:jc w:val="center"/>
        </w:trPr>
        <w:tc>
          <w:tcPr>
            <w:tcW w:w="5720" w:type="dxa"/>
            <w:tcBorders>
              <w:top w:val="nil"/>
              <w:left w:val="single" w:color="auto" w:sz="8" w:space="0"/>
              <w:bottom w:val="single" w:color="auto" w:sz="4" w:space="0"/>
              <w:right w:val="nil"/>
            </w:tcBorders>
            <w:shd w:val="clear" w:color="auto" w:fill="auto"/>
            <w:noWrap/>
            <w:vAlign w:val="bottom"/>
            <w:hideMark/>
          </w:tcPr>
          <w:p w:rsidRPr="00B02072" w:rsidR="001C7C9E" w:rsidP="00AD7DB8" w:rsidRDefault="001C7C9E" w14:paraId="725B42DE" w14:textId="29AC83F5">
            <w:pPr>
              <w:spacing w:line="276" w:lineRule="auto"/>
              <w:rPr>
                <w:rFonts w:ascii="Cambria Math" w:hAnsi="Cambria Math" w:cstheme="minorHAnsi"/>
                <w:color w:val="000000"/>
              </w:rPr>
            </w:pPr>
          </w:p>
        </w:tc>
        <w:tc>
          <w:tcPr>
            <w:tcW w:w="2640" w:type="dxa"/>
            <w:tcBorders>
              <w:top w:val="nil"/>
              <w:left w:val="single" w:color="auto" w:sz="4" w:space="0"/>
              <w:bottom w:val="single" w:color="auto" w:sz="4" w:space="0"/>
              <w:right w:val="single" w:color="auto" w:sz="8" w:space="0"/>
            </w:tcBorders>
            <w:shd w:val="clear" w:color="auto" w:fill="auto"/>
            <w:noWrap/>
            <w:vAlign w:val="bottom"/>
            <w:hideMark/>
          </w:tcPr>
          <w:p w:rsidRPr="00B02072" w:rsidR="001C7C9E" w:rsidP="00B02072" w:rsidRDefault="001C7C9E" w14:paraId="32212B39" w14:textId="5A4F2020">
            <w:pPr>
              <w:spacing w:line="276" w:lineRule="auto"/>
              <w:jc w:val="right"/>
              <w:rPr>
                <w:rFonts w:ascii="Cambria Math" w:hAnsi="Cambria Math" w:cstheme="minorHAnsi"/>
                <w:color w:val="000000"/>
              </w:rPr>
            </w:pPr>
          </w:p>
        </w:tc>
      </w:tr>
      <w:tr w:rsidRPr="00B02072" w:rsidR="001C7C9E" w:rsidTr="00A83F34" w14:paraId="60B23A33" w14:textId="77777777">
        <w:trPr>
          <w:trHeight w:val="312"/>
          <w:jc w:val="center"/>
        </w:trPr>
        <w:tc>
          <w:tcPr>
            <w:tcW w:w="5720" w:type="dxa"/>
            <w:tcBorders>
              <w:top w:val="single" w:color="auto" w:sz="4" w:space="0"/>
              <w:left w:val="single" w:color="auto" w:sz="8" w:space="0"/>
              <w:right w:val="nil"/>
            </w:tcBorders>
            <w:shd w:val="clear" w:color="auto" w:fill="auto"/>
            <w:noWrap/>
            <w:vAlign w:val="bottom"/>
            <w:hideMark/>
          </w:tcPr>
          <w:p w:rsidRPr="00B02072" w:rsidR="001C7C9E" w:rsidP="00AD7DB8" w:rsidRDefault="00E86911" w14:paraId="07EE588F" w14:textId="28904877">
            <w:pPr>
              <w:spacing w:line="276" w:lineRule="auto"/>
              <w:rPr>
                <w:rFonts w:ascii="Cambria Math" w:hAnsi="Cambria Math" w:cstheme="minorHAnsi"/>
                <w:color w:val="000000"/>
              </w:rPr>
            </w:pPr>
            <w:r w:rsidRPr="00B02072">
              <w:rPr>
                <w:rFonts w:ascii="Cambria Math" w:hAnsi="Cambria Math" w:cstheme="minorHAnsi"/>
                <w:color w:val="000000"/>
              </w:rPr>
              <w:t>Early bird incentive</w:t>
            </w:r>
          </w:p>
        </w:tc>
        <w:tc>
          <w:tcPr>
            <w:tcW w:w="2640" w:type="dxa"/>
            <w:tcBorders>
              <w:top w:val="single" w:color="auto" w:sz="4" w:space="0"/>
              <w:left w:val="single" w:color="auto" w:sz="4" w:space="0"/>
              <w:right w:val="single" w:color="auto" w:sz="8" w:space="0"/>
            </w:tcBorders>
            <w:shd w:val="clear" w:color="auto" w:fill="auto"/>
            <w:noWrap/>
            <w:vAlign w:val="bottom"/>
            <w:hideMark/>
          </w:tcPr>
          <w:p w:rsidRPr="00B02072" w:rsidR="001C7C9E" w:rsidP="00B02072" w:rsidRDefault="001C7C9E" w14:paraId="5DC81A9F" w14:textId="4D7E5FFC">
            <w:pPr>
              <w:spacing w:line="276" w:lineRule="auto"/>
              <w:jc w:val="right"/>
              <w:rPr>
                <w:rFonts w:ascii="Cambria Math" w:hAnsi="Cambria Math" w:cstheme="minorHAnsi"/>
                <w:color w:val="000000"/>
              </w:rPr>
            </w:pPr>
          </w:p>
        </w:tc>
      </w:tr>
      <w:tr w:rsidRPr="00B02072" w:rsidR="001C7C9E" w:rsidTr="00A83F34" w14:paraId="27ADB51E" w14:textId="77777777">
        <w:trPr>
          <w:trHeight w:val="312"/>
          <w:jc w:val="center"/>
        </w:trPr>
        <w:tc>
          <w:tcPr>
            <w:tcW w:w="5720" w:type="dxa"/>
            <w:tcBorders>
              <w:left w:val="single" w:color="auto" w:sz="4" w:space="0"/>
              <w:bottom w:val="nil"/>
              <w:right w:val="single" w:color="auto" w:sz="4" w:space="0"/>
            </w:tcBorders>
            <w:shd w:val="clear" w:color="auto" w:fill="auto"/>
            <w:noWrap/>
            <w:vAlign w:val="bottom"/>
          </w:tcPr>
          <w:p w:rsidRPr="00B02072" w:rsidR="001C7C9E" w:rsidP="00AD7DB8" w:rsidRDefault="008F7C0D" w14:paraId="1DC1B96C" w14:textId="0ED1C6F4">
            <w:pPr>
              <w:spacing w:line="276" w:lineRule="auto"/>
              <w:rPr>
                <w:rFonts w:ascii="Cambria Math" w:hAnsi="Cambria Math" w:cstheme="minorHAnsi"/>
                <w:color w:val="000000"/>
              </w:rPr>
            </w:pPr>
            <w:r w:rsidRPr="00B02072">
              <w:rPr>
                <w:rFonts w:ascii="Cambria Math" w:hAnsi="Cambria Math" w:cstheme="minorHAnsi"/>
                <w:color w:val="000000"/>
              </w:rPr>
              <w:t xml:space="preserve"> </w:t>
            </w:r>
            <w:r w:rsidRPr="00B02072" w:rsidR="00E86911">
              <w:rPr>
                <w:rFonts w:ascii="Cambria Math" w:hAnsi="Cambria Math" w:cstheme="minorHAnsi"/>
                <w:color w:val="000000"/>
              </w:rPr>
              <w:t xml:space="preserve">     $40</w:t>
            </w:r>
          </w:p>
        </w:tc>
        <w:tc>
          <w:tcPr>
            <w:tcW w:w="2640" w:type="dxa"/>
            <w:tcBorders>
              <w:left w:val="single" w:color="auto" w:sz="4" w:space="0"/>
              <w:bottom w:val="nil"/>
              <w:right w:val="single" w:color="auto" w:sz="4" w:space="0"/>
            </w:tcBorders>
            <w:shd w:val="clear" w:color="auto" w:fill="auto"/>
            <w:noWrap/>
            <w:vAlign w:val="bottom"/>
          </w:tcPr>
          <w:p w:rsidRPr="00B02072" w:rsidR="001C7C9E" w:rsidP="00B02072" w:rsidRDefault="00E86911" w14:paraId="2BF3165D" w14:textId="142D7DF0">
            <w:pPr>
              <w:spacing w:line="276" w:lineRule="auto"/>
              <w:jc w:val="right"/>
              <w:rPr>
                <w:rFonts w:ascii="Cambria Math" w:hAnsi="Cambria Math" w:cstheme="minorHAnsi"/>
                <w:color w:val="000000"/>
              </w:rPr>
            </w:pPr>
            <w:r w:rsidRPr="00B02072">
              <w:rPr>
                <w:rFonts w:ascii="Cambria Math" w:hAnsi="Cambria Math" w:cstheme="minorHAnsi"/>
                <w:color w:val="000000"/>
              </w:rPr>
              <w:t>340</w:t>
            </w:r>
          </w:p>
        </w:tc>
      </w:tr>
      <w:tr w:rsidRPr="00B02072" w:rsidR="001C7C9E" w:rsidTr="00A83F34" w14:paraId="3AC5BFA4" w14:textId="77777777">
        <w:trPr>
          <w:trHeight w:val="312"/>
          <w:jc w:val="center"/>
        </w:trPr>
        <w:tc>
          <w:tcPr>
            <w:tcW w:w="5720" w:type="dxa"/>
            <w:tcBorders>
              <w:top w:val="nil"/>
              <w:left w:val="single" w:color="auto" w:sz="8" w:space="0"/>
              <w:bottom w:val="single" w:color="auto" w:sz="4" w:space="0"/>
              <w:right w:val="nil"/>
            </w:tcBorders>
            <w:shd w:val="clear" w:color="auto" w:fill="auto"/>
            <w:noWrap/>
            <w:vAlign w:val="bottom"/>
          </w:tcPr>
          <w:p w:rsidRPr="00B02072" w:rsidR="001C7C9E" w:rsidP="00AD7DB8" w:rsidRDefault="001C7C9E" w14:paraId="4E0A16BD" w14:textId="30451709">
            <w:pPr>
              <w:spacing w:line="276" w:lineRule="auto"/>
              <w:rPr>
                <w:rFonts w:ascii="Cambria Math" w:hAnsi="Cambria Math" w:cstheme="minorHAnsi"/>
                <w:color w:val="000000"/>
              </w:rPr>
            </w:pPr>
          </w:p>
        </w:tc>
        <w:tc>
          <w:tcPr>
            <w:tcW w:w="2640" w:type="dxa"/>
            <w:tcBorders>
              <w:top w:val="nil"/>
              <w:left w:val="single" w:color="auto" w:sz="4" w:space="0"/>
              <w:bottom w:val="single" w:color="auto" w:sz="4" w:space="0"/>
              <w:right w:val="single" w:color="auto" w:sz="8" w:space="0"/>
            </w:tcBorders>
            <w:shd w:val="clear" w:color="auto" w:fill="auto"/>
            <w:noWrap/>
            <w:vAlign w:val="bottom"/>
          </w:tcPr>
          <w:p w:rsidRPr="00B02072" w:rsidR="001C7C9E" w:rsidP="00B02072" w:rsidRDefault="001C7C9E" w14:paraId="74173E81" w14:textId="65918C9C">
            <w:pPr>
              <w:spacing w:line="276" w:lineRule="auto"/>
              <w:rPr>
                <w:rFonts w:ascii="Cambria Math" w:hAnsi="Cambria Math" w:cstheme="minorHAnsi"/>
                <w:color w:val="000000"/>
              </w:rPr>
            </w:pPr>
          </w:p>
        </w:tc>
      </w:tr>
      <w:tr w:rsidRPr="00B02072" w:rsidR="001C7C9E" w:rsidTr="00A83F34" w14:paraId="215E8A9D" w14:textId="77777777">
        <w:trPr>
          <w:trHeight w:val="312"/>
          <w:jc w:val="center"/>
        </w:trPr>
        <w:tc>
          <w:tcPr>
            <w:tcW w:w="5720" w:type="dxa"/>
            <w:tcBorders>
              <w:top w:val="single" w:color="auto" w:sz="4" w:space="0"/>
              <w:left w:val="single" w:color="auto" w:sz="8" w:space="0"/>
              <w:bottom w:val="nil"/>
              <w:right w:val="nil"/>
            </w:tcBorders>
            <w:shd w:val="clear" w:color="auto" w:fill="auto"/>
            <w:noWrap/>
            <w:vAlign w:val="bottom"/>
          </w:tcPr>
          <w:p w:rsidRPr="00B02072" w:rsidR="001C7C9E" w:rsidP="00AD7DB8" w:rsidRDefault="00E86911" w14:paraId="4F55DC41" w14:textId="1BCC1C6F">
            <w:pPr>
              <w:spacing w:line="276" w:lineRule="auto"/>
              <w:rPr>
                <w:rFonts w:ascii="Cambria Math" w:hAnsi="Cambria Math" w:cstheme="minorHAnsi"/>
                <w:color w:val="000000"/>
              </w:rPr>
            </w:pPr>
            <w:r w:rsidRPr="00B02072">
              <w:rPr>
                <w:rFonts w:ascii="Cambria Math" w:hAnsi="Cambria Math" w:cstheme="minorHAnsi"/>
                <w:color w:val="000000"/>
              </w:rPr>
              <w:t>Follow-up $40 for non-respondents</w:t>
            </w:r>
          </w:p>
        </w:tc>
        <w:tc>
          <w:tcPr>
            <w:tcW w:w="2640" w:type="dxa"/>
            <w:tcBorders>
              <w:top w:val="single" w:color="auto" w:sz="4" w:space="0"/>
              <w:left w:val="single" w:color="auto" w:sz="4" w:space="0"/>
              <w:bottom w:val="nil"/>
              <w:right w:val="single" w:color="auto" w:sz="8" w:space="0"/>
            </w:tcBorders>
            <w:shd w:val="clear" w:color="auto" w:fill="auto"/>
            <w:noWrap/>
            <w:vAlign w:val="bottom"/>
          </w:tcPr>
          <w:p w:rsidRPr="00B02072" w:rsidR="001C7C9E" w:rsidP="00B02072" w:rsidRDefault="001C7C9E" w14:paraId="2BEF961C" w14:textId="006B870D">
            <w:pPr>
              <w:spacing w:line="276" w:lineRule="auto"/>
              <w:jc w:val="right"/>
              <w:rPr>
                <w:rFonts w:ascii="Cambria Math" w:hAnsi="Cambria Math" w:cstheme="minorHAnsi"/>
                <w:color w:val="000000"/>
              </w:rPr>
            </w:pPr>
          </w:p>
        </w:tc>
      </w:tr>
      <w:tr w:rsidRPr="00B02072" w:rsidR="001C7C9E" w:rsidTr="00A83F34" w14:paraId="57B3C748" w14:textId="77777777">
        <w:trPr>
          <w:trHeight w:val="312"/>
          <w:jc w:val="center"/>
        </w:trPr>
        <w:tc>
          <w:tcPr>
            <w:tcW w:w="5720" w:type="dxa"/>
            <w:tcBorders>
              <w:top w:val="nil"/>
              <w:left w:val="single" w:color="auto" w:sz="8" w:space="0"/>
              <w:bottom w:val="nil"/>
              <w:right w:val="nil"/>
            </w:tcBorders>
            <w:shd w:val="clear" w:color="auto" w:fill="auto"/>
            <w:noWrap/>
            <w:vAlign w:val="bottom"/>
          </w:tcPr>
          <w:p w:rsidRPr="00B02072" w:rsidR="001C7C9E" w:rsidP="00AD7DB8" w:rsidRDefault="00E86911" w14:paraId="42F865BA" w14:textId="20CA4A05">
            <w:pPr>
              <w:spacing w:line="276" w:lineRule="auto"/>
              <w:rPr>
                <w:rFonts w:ascii="Cambria Math" w:hAnsi="Cambria Math" w:cstheme="minorHAnsi"/>
                <w:color w:val="000000"/>
              </w:rPr>
            </w:pPr>
            <w:r w:rsidRPr="00B02072">
              <w:rPr>
                <w:rFonts w:ascii="Cambria Math" w:hAnsi="Cambria Math" w:cstheme="minorHAnsi"/>
                <w:color w:val="000000"/>
              </w:rPr>
              <w:t xml:space="preserve"> </w:t>
            </w:r>
            <w:r w:rsidRPr="00B02072" w:rsidR="008F7C0D">
              <w:rPr>
                <w:rFonts w:ascii="Cambria Math" w:hAnsi="Cambria Math" w:cstheme="minorHAnsi"/>
                <w:color w:val="000000"/>
              </w:rPr>
              <w:t xml:space="preserve"> </w:t>
            </w:r>
            <w:r w:rsidRPr="00B02072">
              <w:rPr>
                <w:rFonts w:ascii="Cambria Math" w:hAnsi="Cambria Math" w:cstheme="minorHAnsi"/>
                <w:color w:val="000000"/>
              </w:rPr>
              <w:t xml:space="preserve">    $40</w:t>
            </w:r>
          </w:p>
        </w:tc>
        <w:tc>
          <w:tcPr>
            <w:tcW w:w="2640" w:type="dxa"/>
            <w:tcBorders>
              <w:top w:val="nil"/>
              <w:left w:val="single" w:color="auto" w:sz="4" w:space="0"/>
              <w:bottom w:val="nil"/>
              <w:right w:val="single" w:color="auto" w:sz="8" w:space="0"/>
            </w:tcBorders>
            <w:shd w:val="clear" w:color="auto" w:fill="auto"/>
            <w:noWrap/>
            <w:vAlign w:val="bottom"/>
          </w:tcPr>
          <w:p w:rsidRPr="00B02072" w:rsidR="001C7C9E" w:rsidP="00B02072" w:rsidRDefault="00E86911" w14:paraId="4E636F5B" w14:textId="6325721A">
            <w:pPr>
              <w:spacing w:line="276" w:lineRule="auto"/>
              <w:jc w:val="right"/>
              <w:rPr>
                <w:rFonts w:ascii="Cambria Math" w:hAnsi="Cambria Math" w:cstheme="minorHAnsi"/>
                <w:color w:val="000000"/>
              </w:rPr>
            </w:pPr>
            <w:r w:rsidRPr="00B02072">
              <w:rPr>
                <w:rFonts w:ascii="Cambria Math" w:hAnsi="Cambria Math" w:cstheme="minorHAnsi"/>
                <w:color w:val="000000"/>
              </w:rPr>
              <w:t>340</w:t>
            </w:r>
          </w:p>
        </w:tc>
      </w:tr>
      <w:tr w:rsidRPr="00B02072" w:rsidR="001C7C9E" w:rsidTr="00A83F34" w14:paraId="2E65F3C7" w14:textId="77777777">
        <w:trPr>
          <w:trHeight w:val="312"/>
          <w:jc w:val="center"/>
        </w:trPr>
        <w:tc>
          <w:tcPr>
            <w:tcW w:w="5720" w:type="dxa"/>
            <w:tcBorders>
              <w:top w:val="nil"/>
              <w:left w:val="single" w:color="auto" w:sz="8" w:space="0"/>
              <w:bottom w:val="nil"/>
              <w:right w:val="nil"/>
            </w:tcBorders>
            <w:shd w:val="clear" w:color="auto" w:fill="auto"/>
            <w:noWrap/>
            <w:vAlign w:val="bottom"/>
          </w:tcPr>
          <w:p w:rsidRPr="00B02072" w:rsidR="001C7C9E" w:rsidP="00AD7DB8" w:rsidRDefault="001C7C9E" w14:paraId="26F0EB1A" w14:textId="2E974083">
            <w:pPr>
              <w:spacing w:line="276" w:lineRule="auto"/>
              <w:rPr>
                <w:rFonts w:ascii="Cambria Math" w:hAnsi="Cambria Math" w:cstheme="minorHAnsi"/>
                <w:color w:val="000000"/>
              </w:rPr>
            </w:pPr>
          </w:p>
        </w:tc>
        <w:tc>
          <w:tcPr>
            <w:tcW w:w="2640" w:type="dxa"/>
            <w:tcBorders>
              <w:top w:val="nil"/>
              <w:left w:val="single" w:color="auto" w:sz="4" w:space="0"/>
              <w:bottom w:val="nil"/>
              <w:right w:val="single" w:color="auto" w:sz="8" w:space="0"/>
            </w:tcBorders>
            <w:shd w:val="clear" w:color="auto" w:fill="auto"/>
            <w:noWrap/>
            <w:vAlign w:val="bottom"/>
          </w:tcPr>
          <w:p w:rsidRPr="00B02072" w:rsidR="001C7C9E" w:rsidP="00B02072" w:rsidRDefault="001C7C9E" w14:paraId="0378050A" w14:textId="7B92BF19">
            <w:pPr>
              <w:spacing w:line="276" w:lineRule="auto"/>
              <w:jc w:val="right"/>
              <w:rPr>
                <w:rFonts w:ascii="Cambria Math" w:hAnsi="Cambria Math" w:cstheme="minorHAnsi"/>
                <w:color w:val="000000"/>
              </w:rPr>
            </w:pPr>
          </w:p>
        </w:tc>
      </w:tr>
      <w:tr w:rsidRPr="00B02072" w:rsidR="001C7C9E" w:rsidTr="00A83F34" w14:paraId="60239F17" w14:textId="77777777">
        <w:trPr>
          <w:trHeight w:val="525"/>
          <w:jc w:val="center"/>
        </w:trPr>
        <w:tc>
          <w:tcPr>
            <w:tcW w:w="8360" w:type="dxa"/>
            <w:gridSpan w:val="2"/>
            <w:tcBorders>
              <w:top w:val="single" w:color="auto" w:sz="8" w:space="0"/>
              <w:left w:val="nil"/>
              <w:bottom w:val="nil"/>
              <w:right w:val="nil"/>
            </w:tcBorders>
            <w:shd w:val="clear" w:color="auto" w:fill="auto"/>
            <w:vAlign w:val="bottom"/>
            <w:hideMark/>
          </w:tcPr>
          <w:p w:rsidRPr="00B02072" w:rsidR="001C7C9E" w:rsidP="00AD7DB8" w:rsidRDefault="001C7C9E" w14:paraId="0CD19A93" w14:textId="77777777">
            <w:pPr>
              <w:spacing w:line="276" w:lineRule="auto"/>
              <w:rPr>
                <w:rFonts w:ascii="Cambria Math" w:hAnsi="Cambria Math" w:cstheme="minorHAnsi"/>
                <w:color w:val="000000"/>
              </w:rPr>
            </w:pPr>
            <w:r w:rsidRPr="00B02072">
              <w:rPr>
                <w:rFonts w:ascii="Cambria Math" w:hAnsi="Cambria Math" w:cstheme="minorHAnsi"/>
                <w:color w:val="000000"/>
              </w:rPr>
              <w:t>* Number of eligible sampled persons who are offered the incentive.  Estimate contingent on response rates assumed in the sample design.</w:t>
            </w:r>
          </w:p>
        </w:tc>
      </w:tr>
    </w:tbl>
    <w:p w:rsidRPr="00E308E1" w:rsidR="001C7C9E" w:rsidP="00AD7DB8" w:rsidRDefault="001C7C9E" w14:paraId="2EFCA457" w14:textId="2BDA4E1E">
      <w:pPr>
        <w:spacing w:after="160" w:line="276" w:lineRule="auto"/>
        <w:rPr>
          <w:rFonts w:asciiTheme="minorHAnsi" w:hAnsiTheme="minorHAnsi" w:cstheme="minorHAnsi"/>
        </w:rPr>
      </w:pPr>
    </w:p>
    <w:p w:rsidRPr="00E308E1" w:rsidR="00FB7D77" w:rsidP="00AD7DB8" w:rsidRDefault="00FB7D77" w14:paraId="640D4918" w14:textId="332D9236">
      <w:pPr>
        <w:autoSpaceDE w:val="0"/>
        <w:autoSpaceDN w:val="0"/>
        <w:adjustRightInd w:val="0"/>
        <w:spacing w:line="276" w:lineRule="auto"/>
        <w:ind w:left="720" w:hanging="720"/>
        <w:rPr>
          <w:rFonts w:asciiTheme="minorHAnsi" w:hAnsiTheme="minorHAnsi" w:cstheme="minorHAnsi"/>
          <w:b/>
          <w:bCs/>
        </w:rPr>
      </w:pPr>
      <w:r w:rsidRPr="00E308E1">
        <w:rPr>
          <w:rFonts w:asciiTheme="minorHAnsi" w:hAnsiTheme="minorHAnsi" w:cstheme="minorHAnsi"/>
          <w:b/>
          <w:bCs/>
        </w:rPr>
        <w:t xml:space="preserve">A.10. </w:t>
      </w:r>
      <w:r w:rsidRPr="00E308E1">
        <w:rPr>
          <w:rFonts w:asciiTheme="minorHAnsi" w:hAnsiTheme="minorHAnsi" w:cstheme="minorHAnsi"/>
          <w:b/>
          <w:bCs/>
        </w:rPr>
        <w:tab/>
        <w:t>Protection of the Privacy and Confidentiality of Information Provided by Respondents</w:t>
      </w:r>
      <w:r w:rsidRPr="00E308E1" w:rsidDel="00987BB5">
        <w:rPr>
          <w:rFonts w:asciiTheme="minorHAnsi" w:hAnsiTheme="minorHAnsi" w:cstheme="minorHAnsi"/>
          <w:b/>
          <w:bCs/>
        </w:rPr>
        <w:t xml:space="preserve"> </w:t>
      </w:r>
    </w:p>
    <w:p w:rsidRPr="00E308E1" w:rsidR="00FB7D77" w:rsidP="00AD7DB8" w:rsidRDefault="00FB7D77" w14:paraId="6CB9F7DB" w14:textId="77777777">
      <w:pPr>
        <w:spacing w:line="276" w:lineRule="auto"/>
        <w:rPr>
          <w:rFonts w:asciiTheme="minorHAnsi" w:hAnsiTheme="minorHAnsi" w:cstheme="minorHAnsi"/>
        </w:rPr>
      </w:pPr>
    </w:p>
    <w:p w:rsidRPr="00E308E1" w:rsidR="00B448A4" w:rsidP="00AD7DB8" w:rsidRDefault="00B448A4" w14:paraId="35667A1B" w14:textId="77777777">
      <w:pPr>
        <w:pStyle w:val="NoSpacing"/>
        <w:spacing w:line="276" w:lineRule="auto"/>
        <w:rPr>
          <w:rFonts w:asciiTheme="minorHAnsi" w:hAnsiTheme="minorHAnsi" w:cstheme="minorHAnsi"/>
          <w:b/>
          <w:i/>
          <w:sz w:val="24"/>
          <w:szCs w:val="24"/>
        </w:rPr>
      </w:pPr>
      <w:r w:rsidRPr="00E308E1">
        <w:rPr>
          <w:rFonts w:asciiTheme="minorHAnsi" w:hAnsiTheme="minorHAnsi" w:cstheme="minorHAnsi"/>
          <w:b/>
          <w:i/>
          <w:sz w:val="24"/>
          <w:szCs w:val="24"/>
        </w:rPr>
        <w:t>Privacy and Confidentiality</w:t>
      </w:r>
    </w:p>
    <w:p w:rsidRPr="00E308E1" w:rsidR="00B457FB" w:rsidP="00AD7DB8" w:rsidRDefault="00445ECB" w14:paraId="2D7FAC98" w14:textId="13F6206E">
      <w:pPr>
        <w:pStyle w:val="BasicText"/>
        <w:spacing w:line="276" w:lineRule="auto"/>
        <w:rPr>
          <w:rFonts w:asciiTheme="minorHAnsi" w:hAnsiTheme="minorHAnsi" w:cstheme="minorHAnsi"/>
          <w:sz w:val="24"/>
          <w:szCs w:val="24"/>
        </w:rPr>
      </w:pPr>
      <w:r>
        <w:rPr>
          <w:rFonts w:asciiTheme="minorHAnsi" w:hAnsiTheme="minorHAnsi" w:cstheme="minorHAnsi"/>
          <w:sz w:val="24"/>
          <w:szCs w:val="24"/>
        </w:rPr>
        <w:tab/>
      </w:r>
      <w:r w:rsidRPr="00E308E1" w:rsidR="00B63AF9">
        <w:rPr>
          <w:rFonts w:asciiTheme="minorHAnsi" w:hAnsiTheme="minorHAnsi" w:cstheme="minorHAnsi"/>
          <w:sz w:val="24"/>
          <w:szCs w:val="24"/>
        </w:rPr>
        <w:t xml:space="preserve">The CDC Office of the Chief Information Officer has determined that the Privacy Act does </w:t>
      </w:r>
      <w:r w:rsidR="00226C8F">
        <w:rPr>
          <w:rFonts w:asciiTheme="minorHAnsi" w:hAnsiTheme="minorHAnsi" w:cstheme="minorHAnsi"/>
          <w:sz w:val="24"/>
          <w:szCs w:val="24"/>
        </w:rPr>
        <w:t xml:space="preserve">not </w:t>
      </w:r>
      <w:r w:rsidRPr="00E308E1" w:rsidR="00B63AF9">
        <w:rPr>
          <w:rFonts w:asciiTheme="minorHAnsi" w:hAnsiTheme="minorHAnsi" w:cstheme="minorHAnsi"/>
          <w:sz w:val="24"/>
          <w:szCs w:val="24"/>
        </w:rPr>
        <w:t xml:space="preserve">apply.  </w:t>
      </w:r>
      <w:r w:rsidRPr="00226C8F" w:rsidR="00226C8F">
        <w:rPr>
          <w:rFonts w:asciiTheme="minorHAnsi" w:hAnsiTheme="minorHAnsi" w:cstheme="minorHAnsi"/>
          <w:sz w:val="24"/>
          <w:szCs w:val="24"/>
        </w:rPr>
        <w:t xml:space="preserve">No system of records will be created under the Privacy Act. The Privacy Impact Assessment (PIA) for this evaluation is attached. </w:t>
      </w:r>
      <w:r w:rsidRPr="00E308E1" w:rsidR="00B63AF9">
        <w:rPr>
          <w:rFonts w:asciiTheme="minorHAnsi" w:hAnsiTheme="minorHAnsi" w:cstheme="minorHAnsi"/>
          <w:sz w:val="24"/>
          <w:szCs w:val="24"/>
        </w:rPr>
        <w:t xml:space="preserve">(Attachment </w:t>
      </w:r>
      <w:r w:rsidR="00C93158">
        <w:rPr>
          <w:rFonts w:asciiTheme="minorHAnsi" w:hAnsiTheme="minorHAnsi" w:cstheme="minorHAnsi"/>
          <w:sz w:val="24"/>
          <w:szCs w:val="24"/>
        </w:rPr>
        <w:t>C</w:t>
      </w:r>
      <w:r w:rsidRPr="00E308E1" w:rsidR="00B63AF9">
        <w:rPr>
          <w:rFonts w:asciiTheme="minorHAnsi" w:hAnsiTheme="minorHAnsi" w:cstheme="minorHAnsi"/>
          <w:sz w:val="24"/>
          <w:szCs w:val="24"/>
        </w:rPr>
        <w:t xml:space="preserve">). </w:t>
      </w:r>
      <w:r w:rsidRPr="00E308E1" w:rsidR="00B457FB">
        <w:rPr>
          <w:rFonts w:asciiTheme="minorHAnsi" w:hAnsiTheme="minorHAnsi" w:cstheme="minorHAnsi"/>
          <w:sz w:val="24"/>
          <w:szCs w:val="24"/>
        </w:rPr>
        <w:t xml:space="preserve"> All persons working on the project will be required to protect confidentiality as stipulated in HHS regulations for the protection of human subjects in research (45 CFR 46), the Common Rule (45 CFR 46 Subpart A) and keep the study information private to the fullest extent allowable by law.</w:t>
      </w:r>
      <w:r w:rsidRPr="00E308E1" w:rsidR="00DA4A65">
        <w:rPr>
          <w:rFonts w:asciiTheme="minorHAnsi" w:hAnsiTheme="minorHAnsi" w:cstheme="minorHAnsi"/>
          <w:sz w:val="24"/>
          <w:szCs w:val="24"/>
        </w:rPr>
        <w:t xml:space="preserve"> All persons working on the project will be informed about and asked to maintain strict </w:t>
      </w:r>
      <w:r w:rsidRPr="00E308E1" w:rsidR="00DA4A65">
        <w:rPr>
          <w:rFonts w:asciiTheme="minorHAnsi" w:hAnsiTheme="minorHAnsi" w:cstheme="minorHAnsi"/>
          <w:sz w:val="24"/>
          <w:szCs w:val="24"/>
        </w:rPr>
        <w:lastRenderedPageBreak/>
        <w:t>confidentiality about the nature of the study and will sign a confidentiality agreement prior to fieldwork, and interviewers will be trained on measures for preserving the confidentiality of participants.</w:t>
      </w:r>
    </w:p>
    <w:p w:rsidRPr="00E308E1" w:rsidR="007E35FE" w:rsidP="00AD7DB8" w:rsidRDefault="00445ECB" w14:paraId="220BDE9F" w14:textId="35880634">
      <w:pPr>
        <w:pStyle w:val="L1-FlLSp12"/>
        <w:spacing w:line="276" w:lineRule="auto"/>
        <w:rPr>
          <w:rFonts w:asciiTheme="minorHAnsi" w:hAnsiTheme="minorHAnsi" w:cstheme="minorHAnsi"/>
          <w:szCs w:val="24"/>
        </w:rPr>
      </w:pPr>
      <w:r>
        <w:rPr>
          <w:rFonts w:asciiTheme="minorHAnsi" w:hAnsiTheme="minorHAnsi" w:cstheme="minorHAnsi"/>
          <w:szCs w:val="24"/>
        </w:rPr>
        <w:tab/>
      </w:r>
      <w:r w:rsidRPr="00E308E1" w:rsidR="00255E4A">
        <w:rPr>
          <w:rFonts w:asciiTheme="minorHAnsi" w:hAnsiTheme="minorHAnsi" w:cstheme="minorHAnsi"/>
          <w:szCs w:val="24"/>
        </w:rPr>
        <w:t>Several</w:t>
      </w:r>
      <w:r w:rsidRPr="00E308E1" w:rsidR="004F4D25">
        <w:rPr>
          <w:rFonts w:asciiTheme="minorHAnsi" w:hAnsiTheme="minorHAnsi" w:cstheme="minorHAnsi"/>
          <w:szCs w:val="24"/>
        </w:rPr>
        <w:t xml:space="preserve"> procedures will be used to maintain the privacy of the respondent.</w:t>
      </w:r>
      <w:r w:rsidRPr="00E308E1" w:rsidR="007E35FE">
        <w:rPr>
          <w:rFonts w:asciiTheme="minorHAnsi" w:hAnsiTheme="minorHAnsi" w:cstheme="minorHAnsi"/>
          <w:szCs w:val="24"/>
        </w:rPr>
        <w:t xml:space="preserve"> The interviewers will be instructed to identify a private space in consultation with the participant and head of household that is safe and private </w:t>
      </w:r>
      <w:r w:rsidR="00A65358">
        <w:rPr>
          <w:rFonts w:asciiTheme="minorHAnsi" w:hAnsiTheme="minorHAnsi" w:cstheme="minorHAnsi"/>
          <w:szCs w:val="24"/>
        </w:rPr>
        <w:t>within the home</w:t>
      </w:r>
      <w:r w:rsidRPr="00E308E1" w:rsidR="007E35FE">
        <w:rPr>
          <w:rFonts w:asciiTheme="minorHAnsi" w:hAnsiTheme="minorHAnsi" w:cstheme="minorHAnsi"/>
          <w:szCs w:val="24"/>
        </w:rPr>
        <w:t xml:space="preserve">, unless it is determined that a private space </w:t>
      </w:r>
      <w:r w:rsidR="00A65358">
        <w:rPr>
          <w:rFonts w:asciiTheme="minorHAnsi" w:hAnsiTheme="minorHAnsi" w:cstheme="minorHAnsi"/>
          <w:szCs w:val="24"/>
        </w:rPr>
        <w:t>outside the</w:t>
      </w:r>
      <w:r w:rsidRPr="00E308E1" w:rsidR="007E35FE">
        <w:rPr>
          <w:rFonts w:asciiTheme="minorHAnsi" w:hAnsiTheme="minorHAnsi" w:cstheme="minorHAnsi"/>
          <w:szCs w:val="24"/>
        </w:rPr>
        <w:t xml:space="preserve"> ho</w:t>
      </w:r>
      <w:r w:rsidR="00A65358">
        <w:rPr>
          <w:rFonts w:asciiTheme="minorHAnsi" w:hAnsiTheme="minorHAnsi" w:cstheme="minorHAnsi"/>
          <w:szCs w:val="24"/>
        </w:rPr>
        <w:t>m</w:t>
      </w:r>
      <w:r w:rsidRPr="00E308E1" w:rsidR="007E35FE">
        <w:rPr>
          <w:rFonts w:asciiTheme="minorHAnsi" w:hAnsiTheme="minorHAnsi" w:cstheme="minorHAnsi"/>
          <w:szCs w:val="24"/>
        </w:rPr>
        <w:t xml:space="preserve">e is safer and more appropriate. The interviewer will reschedule for another time if privacy cannot be ensured. Privacy and confidentiality during interviews will be further secured </w:t>
      </w:r>
      <w:r w:rsidRPr="00E308E1" w:rsidR="00255E4A">
        <w:rPr>
          <w:rFonts w:asciiTheme="minorHAnsi" w:hAnsiTheme="minorHAnsi" w:cstheme="minorHAnsi"/>
          <w:szCs w:val="24"/>
        </w:rPr>
        <w:t>using</w:t>
      </w:r>
      <w:r w:rsidRPr="00E308E1" w:rsidR="007E35FE">
        <w:rPr>
          <w:rFonts w:asciiTheme="minorHAnsi" w:hAnsiTheme="minorHAnsi" w:cstheme="minorHAnsi"/>
          <w:szCs w:val="24"/>
        </w:rPr>
        <w:t xml:space="preserve"> ACASI software, which will allow participants to answer sensitive questions via a tablet and headphones. With ACASI and headphones, the interviewers will not have to read violence-related questions aloud, reducing the risk of others in the household overhearing. </w:t>
      </w:r>
    </w:p>
    <w:p w:rsidRPr="00E308E1" w:rsidR="004F4D25" w:rsidP="00AD7DB8" w:rsidRDefault="00445ECB" w14:paraId="51B6D46C" w14:textId="397C401A">
      <w:pPr>
        <w:pStyle w:val="L1-FlLSp12"/>
        <w:spacing w:line="276" w:lineRule="auto"/>
        <w:rPr>
          <w:rFonts w:asciiTheme="minorHAnsi" w:hAnsiTheme="minorHAnsi" w:cstheme="minorHAnsi"/>
          <w:szCs w:val="24"/>
        </w:rPr>
      </w:pPr>
      <w:r>
        <w:rPr>
          <w:rFonts w:asciiTheme="minorHAnsi" w:hAnsiTheme="minorHAnsi" w:cstheme="minorHAnsi"/>
          <w:szCs w:val="24"/>
        </w:rPr>
        <w:tab/>
      </w:r>
      <w:r w:rsidRPr="00E308E1" w:rsidR="007E35FE">
        <w:rPr>
          <w:rFonts w:asciiTheme="minorHAnsi" w:hAnsiTheme="minorHAnsi" w:cstheme="minorHAnsi"/>
          <w:szCs w:val="24"/>
        </w:rPr>
        <w:t>Upon introducing the survey to the community, heads of households, parents, and potential survey participants, the information</w:t>
      </w:r>
      <w:r w:rsidRPr="00E308E1" w:rsidR="004F4D25">
        <w:rPr>
          <w:rFonts w:asciiTheme="minorHAnsi" w:hAnsiTheme="minorHAnsi" w:cstheme="minorHAnsi"/>
          <w:szCs w:val="24"/>
        </w:rPr>
        <w:t xml:space="preserve"> will describe the study as being on </w:t>
      </w:r>
      <w:r w:rsidRPr="00E308E1" w:rsidR="006737FE">
        <w:rPr>
          <w:rFonts w:asciiTheme="minorHAnsi" w:hAnsiTheme="minorHAnsi" w:cstheme="minorHAnsi"/>
          <w:szCs w:val="24"/>
        </w:rPr>
        <w:t>young people’s health, education, and life experiences</w:t>
      </w:r>
      <w:r w:rsidRPr="00E308E1" w:rsidR="007E35FE">
        <w:rPr>
          <w:rFonts w:asciiTheme="minorHAnsi" w:hAnsiTheme="minorHAnsi" w:cstheme="minorHAnsi"/>
          <w:szCs w:val="24"/>
        </w:rPr>
        <w:t>. Only those who complete the survey will know the ful</w:t>
      </w:r>
      <w:r w:rsidRPr="00E308E1" w:rsidR="00DA4A65">
        <w:rPr>
          <w:rFonts w:asciiTheme="minorHAnsi" w:hAnsiTheme="minorHAnsi" w:cstheme="minorHAnsi"/>
          <w:szCs w:val="24"/>
        </w:rPr>
        <w:t>l extent of the topics included as a precaution to protect the privacy of those who participate in the survey. Additionally, the survey design utilizes a split sample approach, such that the survey for females will be conducted in different segments</w:t>
      </w:r>
      <w:r w:rsidR="0009145B">
        <w:rPr>
          <w:rFonts w:asciiTheme="minorHAnsi" w:hAnsiTheme="minorHAnsi" w:cstheme="minorHAnsi"/>
          <w:szCs w:val="24"/>
        </w:rPr>
        <w:t xml:space="preserve">/enumeration areas </w:t>
      </w:r>
      <w:r w:rsidRPr="00E308E1" w:rsidR="00DA4A65">
        <w:rPr>
          <w:rFonts w:asciiTheme="minorHAnsi" w:hAnsiTheme="minorHAnsi" w:cstheme="minorHAnsi"/>
          <w:szCs w:val="24"/>
        </w:rPr>
        <w:t>than the survey for males. This approach serves to further protect the confidentiality of participants by eliminating the chance that opposite sex perpetrators will be interviewed in the same community, discover the purpose of the study, and possibly retaliate against participants. For instance, a male perpetrator of a sexual assault and the female who was the victim of his sexual assault in the same community would not both be interviewed. Similarly, the design eliminates the chance that a female perpetrator and a male victim of sexual violence from the same community would both be interviewed.</w:t>
      </w:r>
    </w:p>
    <w:p w:rsidRPr="00E308E1" w:rsidR="00DA4A65" w:rsidP="00AD7DB8" w:rsidRDefault="00445ECB" w14:paraId="53DA09BF" w14:textId="6EB4007B">
      <w:pPr>
        <w:pStyle w:val="BasicText"/>
        <w:spacing w:line="276" w:lineRule="auto"/>
        <w:rPr>
          <w:rFonts w:asciiTheme="minorHAnsi" w:hAnsiTheme="minorHAnsi" w:cstheme="minorHAnsi"/>
          <w:color w:val="000000"/>
          <w:sz w:val="24"/>
          <w:szCs w:val="24"/>
          <w:lang w:val="en-GB"/>
        </w:rPr>
      </w:pPr>
      <w:r>
        <w:rPr>
          <w:rFonts w:asciiTheme="minorHAnsi" w:hAnsiTheme="minorHAnsi" w:cstheme="minorHAnsi"/>
          <w:sz w:val="24"/>
          <w:szCs w:val="24"/>
        </w:rPr>
        <w:tab/>
      </w:r>
      <w:r w:rsidRPr="004511B7" w:rsidR="00835141">
        <w:rPr>
          <w:rFonts w:asciiTheme="minorHAnsi" w:hAnsiTheme="minorHAnsi" w:cstheme="minorHAnsi"/>
          <w:sz w:val="24"/>
          <w:szCs w:val="24"/>
        </w:rPr>
        <w:t>Participant personally identifiable information (PII) will be collected</w:t>
      </w:r>
      <w:r w:rsidRPr="004511B7" w:rsidR="00275EAC">
        <w:rPr>
          <w:rFonts w:asciiTheme="minorHAnsi" w:hAnsiTheme="minorHAnsi" w:cstheme="minorHAnsi"/>
          <w:sz w:val="24"/>
          <w:szCs w:val="24"/>
        </w:rPr>
        <w:t xml:space="preserve">, including addresses and phone numbers in order to </w:t>
      </w:r>
      <w:r w:rsidRPr="004511B7" w:rsidR="00255E4A">
        <w:rPr>
          <w:rFonts w:asciiTheme="minorHAnsi" w:hAnsiTheme="minorHAnsi" w:cstheme="minorHAnsi"/>
          <w:sz w:val="24"/>
          <w:szCs w:val="24"/>
        </w:rPr>
        <w:t>contact</w:t>
      </w:r>
      <w:r w:rsidRPr="004511B7" w:rsidR="00275EAC">
        <w:rPr>
          <w:rFonts w:asciiTheme="minorHAnsi" w:hAnsiTheme="minorHAnsi" w:cstheme="minorHAnsi"/>
          <w:sz w:val="24"/>
          <w:szCs w:val="24"/>
        </w:rPr>
        <w:t xml:space="preserve"> households for survey completion. These data will be collected separately from survey data, so a</w:t>
      </w:r>
      <w:r w:rsidRPr="004511B7" w:rsidR="00835141">
        <w:rPr>
          <w:rFonts w:asciiTheme="minorHAnsi" w:hAnsiTheme="minorHAnsi" w:cstheme="minorHAnsi"/>
          <w:sz w:val="24"/>
          <w:szCs w:val="24"/>
        </w:rPr>
        <w:t xml:space="preserve">ny names, addresses, phone numbers, e-mail addresses, will never be associated or directly linked with the survey data. </w:t>
      </w:r>
      <w:r w:rsidRPr="004511B7" w:rsidR="00275EAC">
        <w:rPr>
          <w:rFonts w:asciiTheme="minorHAnsi" w:hAnsiTheme="minorHAnsi" w:cstheme="minorHAnsi"/>
          <w:color w:val="000000"/>
          <w:sz w:val="24"/>
          <w:szCs w:val="24"/>
          <w:lang w:val="en-GB"/>
        </w:rPr>
        <w:t>Questionnaire data and personally identifiable information (PII), including addresses, names, and maps, will always be kept separately</w:t>
      </w:r>
      <w:r w:rsidR="004511B7">
        <w:rPr>
          <w:rFonts w:asciiTheme="minorHAnsi" w:hAnsiTheme="minorHAnsi" w:cstheme="minorHAnsi"/>
          <w:color w:val="000000"/>
          <w:sz w:val="24"/>
          <w:szCs w:val="24"/>
          <w:lang w:val="en-GB"/>
        </w:rPr>
        <w:t xml:space="preserve"> and never transmitted to CDC</w:t>
      </w:r>
      <w:r w:rsidRPr="00E308E1" w:rsidR="00DA4A65">
        <w:rPr>
          <w:rFonts w:asciiTheme="minorHAnsi" w:hAnsiTheme="minorHAnsi" w:cstheme="minorHAnsi"/>
          <w:color w:val="000000"/>
          <w:sz w:val="24"/>
          <w:szCs w:val="24"/>
          <w:lang w:val="en-GB"/>
        </w:rPr>
        <w:t>.</w:t>
      </w:r>
      <w:r w:rsidRPr="004511B7" w:rsidR="00275EAC">
        <w:rPr>
          <w:rFonts w:asciiTheme="minorHAnsi" w:hAnsiTheme="minorHAnsi" w:cstheme="minorHAnsi"/>
          <w:color w:val="000000"/>
          <w:sz w:val="24"/>
          <w:szCs w:val="24"/>
          <w:lang w:val="en-GB"/>
        </w:rPr>
        <w:t xml:space="preserve"> </w:t>
      </w:r>
    </w:p>
    <w:p w:rsidRPr="004511B7" w:rsidR="00275EAC" w:rsidP="00AD7DB8" w:rsidRDefault="00445ECB" w14:paraId="3DA1CB64" w14:textId="0A836320">
      <w:pPr>
        <w:pStyle w:val="BasicText"/>
        <w:spacing w:line="276" w:lineRule="auto"/>
        <w:rPr>
          <w:rFonts w:asciiTheme="minorHAnsi" w:hAnsiTheme="minorHAnsi" w:cstheme="minorHAnsi"/>
          <w:sz w:val="24"/>
          <w:szCs w:val="24"/>
        </w:rPr>
      </w:pPr>
      <w:r>
        <w:rPr>
          <w:rFonts w:asciiTheme="minorHAnsi" w:hAnsiTheme="minorHAnsi" w:cstheme="minorHAnsi"/>
          <w:color w:val="000000"/>
          <w:sz w:val="24"/>
          <w:szCs w:val="24"/>
          <w:lang w:val="en-GB"/>
        </w:rPr>
        <w:tab/>
      </w:r>
      <w:r w:rsidRPr="00E308E1" w:rsidR="00DA4A65">
        <w:rPr>
          <w:rFonts w:asciiTheme="minorHAnsi" w:hAnsiTheme="minorHAnsi" w:cstheme="minorHAnsi"/>
          <w:color w:val="000000"/>
          <w:sz w:val="24"/>
          <w:szCs w:val="24"/>
          <w:lang w:val="en-GB"/>
        </w:rPr>
        <w:t xml:space="preserve">Any PII collected will </w:t>
      </w:r>
      <w:r w:rsidR="000831FC">
        <w:rPr>
          <w:rFonts w:asciiTheme="minorHAnsi" w:hAnsiTheme="minorHAnsi" w:cstheme="minorHAnsi"/>
          <w:color w:val="000000"/>
          <w:sz w:val="24"/>
          <w:szCs w:val="24"/>
          <w:lang w:val="en-GB"/>
        </w:rPr>
        <w:t xml:space="preserve">be </w:t>
      </w:r>
      <w:r w:rsidRPr="00E308E1" w:rsidR="00DA4A65">
        <w:rPr>
          <w:rFonts w:asciiTheme="minorHAnsi" w:hAnsiTheme="minorHAnsi" w:cstheme="minorHAnsi"/>
          <w:color w:val="000000"/>
          <w:sz w:val="24"/>
          <w:szCs w:val="24"/>
          <w:lang w:val="en-GB"/>
        </w:rPr>
        <w:t xml:space="preserve">accessible only to authorized NORC </w:t>
      </w:r>
      <w:r w:rsidR="000831FC">
        <w:rPr>
          <w:rFonts w:asciiTheme="minorHAnsi" w:hAnsiTheme="minorHAnsi" w:cstheme="minorHAnsi"/>
          <w:color w:val="000000"/>
          <w:sz w:val="24"/>
          <w:szCs w:val="24"/>
          <w:lang w:val="en-GB"/>
        </w:rPr>
        <w:t xml:space="preserve">data collection </w:t>
      </w:r>
      <w:r w:rsidRPr="00E308E1" w:rsidR="00DA4A65">
        <w:rPr>
          <w:rFonts w:asciiTheme="minorHAnsi" w:hAnsiTheme="minorHAnsi" w:cstheme="minorHAnsi"/>
          <w:color w:val="000000"/>
          <w:sz w:val="24"/>
          <w:szCs w:val="24"/>
          <w:lang w:val="en-GB"/>
        </w:rPr>
        <w:t>staff</w:t>
      </w:r>
      <w:r w:rsidRPr="00E308E1" w:rsidR="00DA4A65">
        <w:rPr>
          <w:rFonts w:asciiTheme="minorHAnsi" w:hAnsiTheme="minorHAnsi" w:cstheme="minorHAnsi"/>
          <w:sz w:val="24"/>
          <w:szCs w:val="24"/>
        </w:rPr>
        <w:t>.</w:t>
      </w:r>
      <w:r w:rsidRPr="00E308E1" w:rsidR="00DA4A65">
        <w:rPr>
          <w:rFonts w:asciiTheme="minorHAnsi" w:hAnsiTheme="minorHAnsi" w:cstheme="minorHAnsi"/>
          <w:color w:val="000000"/>
          <w:sz w:val="24"/>
          <w:szCs w:val="24"/>
          <w:lang w:val="en-GB"/>
        </w:rPr>
        <w:t xml:space="preserve"> </w:t>
      </w:r>
      <w:r w:rsidRPr="00E308E1" w:rsidR="00DA4A65">
        <w:rPr>
          <w:rFonts w:asciiTheme="minorHAnsi" w:hAnsiTheme="minorHAnsi" w:cstheme="minorHAnsi"/>
          <w:sz w:val="24"/>
          <w:szCs w:val="24"/>
        </w:rPr>
        <w:t>A</w:t>
      </w:r>
      <w:r w:rsidRPr="004511B7" w:rsidR="00275EAC">
        <w:rPr>
          <w:rFonts w:asciiTheme="minorHAnsi" w:hAnsiTheme="minorHAnsi" w:cstheme="minorHAnsi"/>
          <w:sz w:val="24"/>
          <w:szCs w:val="24"/>
        </w:rPr>
        <w:t xml:space="preserve"> household identifier is assigned by NORC during fieldwork and is only known by the survey team while in the field and is </w:t>
      </w:r>
      <w:r w:rsidRPr="004511B7" w:rsidR="00275EAC">
        <w:rPr>
          <w:rFonts w:asciiTheme="minorHAnsi" w:hAnsiTheme="minorHAnsi" w:cstheme="minorHAnsi"/>
          <w:i/>
          <w:sz w:val="24"/>
          <w:szCs w:val="24"/>
        </w:rPr>
        <w:t>not</w:t>
      </w:r>
      <w:r w:rsidRPr="004511B7" w:rsidR="00275EAC">
        <w:rPr>
          <w:rFonts w:asciiTheme="minorHAnsi" w:hAnsiTheme="minorHAnsi" w:cstheme="minorHAnsi"/>
          <w:sz w:val="24"/>
          <w:szCs w:val="24"/>
        </w:rPr>
        <w:t xml:space="preserve"> connected to any person or any address and therefore cannot be linked to any individual or household. Since there is no personal identifier, participants cannot be linked to the data once they have completed the interview. NORC will take </w:t>
      </w:r>
      <w:r w:rsidRPr="004511B7" w:rsidR="00255E4A">
        <w:rPr>
          <w:rFonts w:asciiTheme="minorHAnsi" w:hAnsiTheme="minorHAnsi" w:cstheme="minorHAnsi"/>
          <w:sz w:val="24"/>
          <w:szCs w:val="24"/>
        </w:rPr>
        <w:t>several</w:t>
      </w:r>
      <w:r w:rsidRPr="004511B7" w:rsidR="00275EAC">
        <w:rPr>
          <w:rFonts w:asciiTheme="minorHAnsi" w:hAnsiTheme="minorHAnsi" w:cstheme="minorHAnsi"/>
          <w:sz w:val="24"/>
          <w:szCs w:val="24"/>
        </w:rPr>
        <w:t xml:space="preserve"> steps to ensure all data is protected and remains confidential. Specifically, upon receipt of tablets from CDC, NORC will password protect and encrypt the devices via AirWatch, a mobile management system that allows NORC IT system administrators to control device images and assign specific users. Tablets are further secured via Knox, which registers the device to the assigned interviewer and allows the device to be remotely locked down if lost or stolen. All data, including PII, is encrypted prior to being synced from tablets to NORC servers. Once data resides on </w:t>
      </w:r>
      <w:r w:rsidRPr="004511B7" w:rsidR="00275EAC">
        <w:rPr>
          <w:rFonts w:asciiTheme="minorHAnsi" w:hAnsiTheme="minorHAnsi" w:cstheme="minorHAnsi"/>
          <w:sz w:val="24"/>
          <w:szCs w:val="24"/>
        </w:rPr>
        <w:lastRenderedPageBreak/>
        <w:t xml:space="preserve">NORC servers, highly secure internal network storage protocols are used to prevent data loss, corruption, and unauthorized breach, as well as to administer least privilege, password-protected access rights. </w:t>
      </w:r>
    </w:p>
    <w:p w:rsidRPr="00E308E1" w:rsidR="00275EAC" w:rsidP="00AD7DB8" w:rsidRDefault="00445ECB" w14:paraId="03049120" w14:textId="6D7E8097">
      <w:pPr>
        <w:pStyle w:val="BasicText"/>
        <w:spacing w:line="276" w:lineRule="auto"/>
        <w:rPr>
          <w:rFonts w:asciiTheme="minorHAnsi" w:hAnsiTheme="minorHAnsi" w:cstheme="minorHAnsi"/>
          <w:sz w:val="24"/>
          <w:szCs w:val="24"/>
        </w:rPr>
      </w:pPr>
      <w:r>
        <w:rPr>
          <w:rFonts w:asciiTheme="minorHAnsi" w:hAnsiTheme="minorHAnsi" w:cstheme="minorHAnsi"/>
          <w:sz w:val="24"/>
          <w:szCs w:val="24"/>
        </w:rPr>
        <w:tab/>
      </w:r>
      <w:r w:rsidRPr="00E308E1" w:rsidR="00275EAC">
        <w:rPr>
          <w:rFonts w:asciiTheme="minorHAnsi" w:hAnsiTheme="minorHAnsi" w:cstheme="minorHAnsi"/>
          <w:sz w:val="24"/>
          <w:szCs w:val="24"/>
        </w:rPr>
        <w:t xml:space="preserve">All NORC system environments meet or exceed FISMA, HIPAA, and NIST 800-53 Revision 4 moderate-level framework compliance standards. Further, all remote access to internal NORC computing resources requires two-factor authentication and encrypted channels. Data access restriction is accomplished </w:t>
      </w:r>
      <w:r w:rsidRPr="00E308E1" w:rsidR="00255E4A">
        <w:rPr>
          <w:rFonts w:asciiTheme="minorHAnsi" w:hAnsiTheme="minorHAnsi" w:cstheme="minorHAnsi"/>
          <w:sz w:val="24"/>
          <w:szCs w:val="24"/>
        </w:rPr>
        <w:t>using</w:t>
      </w:r>
      <w:r w:rsidRPr="00E308E1" w:rsidR="00275EAC">
        <w:rPr>
          <w:rFonts w:asciiTheme="minorHAnsi" w:hAnsiTheme="minorHAnsi" w:cstheme="minorHAnsi"/>
          <w:sz w:val="24"/>
          <w:szCs w:val="24"/>
        </w:rPr>
        <w:t xml:space="preserve"> unique case identifiers that allow the database to create a partition between response data and other data that could be used to identify an individual. These security measures ensure that PII is never connected to questionnaire data and will never be delivered to CDC.</w:t>
      </w:r>
      <w:r w:rsidR="0011632F">
        <w:rPr>
          <w:rFonts w:asciiTheme="minorHAnsi" w:hAnsiTheme="minorHAnsi" w:cstheme="minorHAnsi"/>
          <w:sz w:val="24"/>
          <w:szCs w:val="24"/>
        </w:rPr>
        <w:t xml:space="preserve">  Once CDC has confirmed receipt of the data and consider the data final, NORC will delete all VACS related data from all NORC systems.</w:t>
      </w:r>
      <w:r w:rsidRPr="00E308E1" w:rsidR="00275EAC">
        <w:rPr>
          <w:rFonts w:asciiTheme="minorHAnsi" w:hAnsiTheme="minorHAnsi" w:cstheme="minorHAnsi"/>
          <w:sz w:val="24"/>
          <w:szCs w:val="24"/>
        </w:rPr>
        <w:t xml:space="preserve">    </w:t>
      </w:r>
    </w:p>
    <w:p w:rsidRPr="00E308E1" w:rsidR="00B448A4" w:rsidP="00E677E9" w:rsidRDefault="00B448A4" w14:paraId="613F30EF" w14:textId="77777777">
      <w:pPr>
        <w:pStyle w:val="L1-FlLSp12"/>
        <w:spacing w:after="0" w:line="276" w:lineRule="auto"/>
        <w:rPr>
          <w:rFonts w:asciiTheme="minorHAnsi" w:hAnsiTheme="minorHAnsi" w:cstheme="minorHAnsi"/>
          <w:b/>
          <w:i/>
          <w:szCs w:val="24"/>
        </w:rPr>
      </w:pPr>
      <w:r w:rsidRPr="00E308E1">
        <w:rPr>
          <w:rFonts w:asciiTheme="minorHAnsi" w:hAnsiTheme="minorHAnsi" w:cstheme="minorHAnsi"/>
          <w:b/>
          <w:i/>
          <w:szCs w:val="24"/>
        </w:rPr>
        <w:t>Informed Consent</w:t>
      </w:r>
    </w:p>
    <w:p w:rsidRPr="00E308E1" w:rsidR="00CF7A82" w:rsidP="00445ECB" w:rsidRDefault="001A5377" w14:paraId="300D2E17" w14:textId="217D63D0">
      <w:pPr>
        <w:spacing w:after="200" w:line="276" w:lineRule="auto"/>
        <w:ind w:firstLine="720"/>
        <w:rPr>
          <w:rFonts w:asciiTheme="minorHAnsi" w:hAnsiTheme="minorHAnsi" w:cstheme="minorHAnsi"/>
        </w:rPr>
      </w:pPr>
      <w:r w:rsidRPr="00E308E1">
        <w:rPr>
          <w:rFonts w:asciiTheme="minorHAnsi" w:hAnsiTheme="minorHAnsi" w:cstheme="minorHAnsi"/>
        </w:rPr>
        <w:t xml:space="preserve">The interviewer will first obtain consent </w:t>
      </w:r>
      <w:r w:rsidR="00C91138">
        <w:rPr>
          <w:rFonts w:asciiTheme="minorHAnsi" w:hAnsiTheme="minorHAnsi" w:cstheme="minorHAnsi"/>
        </w:rPr>
        <w:t xml:space="preserve">(Attachment D) </w:t>
      </w:r>
      <w:r w:rsidRPr="00E308E1">
        <w:rPr>
          <w:rFonts w:asciiTheme="minorHAnsi" w:hAnsiTheme="minorHAnsi" w:cstheme="minorHAnsi"/>
        </w:rPr>
        <w:t xml:space="preserve">from the head of household to participate in a short survey (approximately 15 minutes) about the household </w:t>
      </w:r>
      <w:r w:rsidRPr="00C91138">
        <w:rPr>
          <w:rFonts w:asciiTheme="minorHAnsi" w:hAnsiTheme="minorHAnsi" w:cstheme="minorHAnsi"/>
        </w:rPr>
        <w:t>(</w:t>
      </w:r>
      <w:r w:rsidRPr="00C91138" w:rsidR="0042658E">
        <w:rPr>
          <w:rFonts w:asciiTheme="minorHAnsi" w:hAnsiTheme="minorHAnsi" w:cstheme="minorHAnsi"/>
        </w:rPr>
        <w:t xml:space="preserve">Attachment </w:t>
      </w:r>
      <w:r w:rsidR="00AA390C">
        <w:rPr>
          <w:rFonts w:asciiTheme="minorHAnsi" w:hAnsiTheme="minorHAnsi" w:cstheme="minorHAnsi"/>
        </w:rPr>
        <w:t>E</w:t>
      </w:r>
      <w:r w:rsidR="006A7620">
        <w:rPr>
          <w:rFonts w:asciiTheme="minorHAnsi" w:hAnsiTheme="minorHAnsi" w:cstheme="minorHAnsi"/>
        </w:rPr>
        <w:t>,</w:t>
      </w:r>
      <w:r w:rsidRPr="00C91138" w:rsidR="0042658E">
        <w:rPr>
          <w:rFonts w:asciiTheme="minorHAnsi" w:hAnsiTheme="minorHAnsi" w:cstheme="minorHAnsi"/>
        </w:rPr>
        <w:t>)</w:t>
      </w:r>
      <w:r w:rsidRPr="00C91138">
        <w:rPr>
          <w:rFonts w:asciiTheme="minorHAnsi" w:hAnsiTheme="minorHAnsi" w:cstheme="minorHAnsi"/>
        </w:rPr>
        <w:t>.</w:t>
      </w:r>
      <w:r w:rsidRPr="00E308E1">
        <w:rPr>
          <w:rFonts w:asciiTheme="minorHAnsi" w:hAnsiTheme="minorHAnsi" w:cstheme="minorHAnsi"/>
        </w:rPr>
        <w:t xml:space="preserve"> For all selected eligible participants under 18 years of age, it will be necessary to first obtain the verbal consent </w:t>
      </w:r>
      <w:r w:rsidR="00D21BB1">
        <w:rPr>
          <w:rFonts w:asciiTheme="minorHAnsi" w:hAnsiTheme="minorHAnsi" w:cstheme="minorHAnsi"/>
        </w:rPr>
        <w:t>from</w:t>
      </w:r>
      <w:r w:rsidRPr="00E308E1">
        <w:rPr>
          <w:rFonts w:asciiTheme="minorHAnsi" w:hAnsiTheme="minorHAnsi" w:cstheme="minorHAnsi"/>
        </w:rPr>
        <w:t xml:space="preserve"> the parent/primary caregiver </w:t>
      </w:r>
      <w:r w:rsidR="00D21BB1">
        <w:rPr>
          <w:rFonts w:asciiTheme="minorHAnsi" w:hAnsiTheme="minorHAnsi" w:cstheme="minorHAnsi"/>
        </w:rPr>
        <w:t xml:space="preserve">of the youth </w:t>
      </w:r>
      <w:r w:rsidRPr="00E308E1">
        <w:rPr>
          <w:rFonts w:asciiTheme="minorHAnsi" w:hAnsiTheme="minorHAnsi" w:cstheme="minorHAnsi"/>
        </w:rPr>
        <w:t xml:space="preserve">for participation in the survey and to speak with the study participant (Attachment </w:t>
      </w:r>
      <w:r w:rsidR="00312C9D">
        <w:rPr>
          <w:rFonts w:asciiTheme="minorHAnsi" w:hAnsiTheme="minorHAnsi" w:cstheme="minorHAnsi"/>
        </w:rPr>
        <w:t>D</w:t>
      </w:r>
      <w:r w:rsidRPr="00E308E1">
        <w:rPr>
          <w:rFonts w:asciiTheme="minorHAnsi" w:hAnsiTheme="minorHAnsi" w:cstheme="minorHAnsi"/>
        </w:rPr>
        <w:t xml:space="preserve">). In the parental/primary caregiver “consent” form, the survey is described as an opportunity to learn more about the social welfare of young people in Maryland which includes health, educational, and life experiences and only mentions “community violence” as part of a list of broad topics, such as access to health services and education, that are included in the survey as a way to inform parents or primary caregivers about sensitive topics included in the survey but is careful not to make any reference to violence that may be occurring in the home or being perpetrated by the head of household or other household members. The interviewer will inform the parent/primary caregiver that the survey is both voluntary and confidential, and about incentive that will be given to the survey participant. The need to initially describe the study in general terms is critical for adhering to </w:t>
      </w:r>
      <w:r w:rsidR="00D21BB1">
        <w:rPr>
          <w:rFonts w:asciiTheme="minorHAnsi" w:hAnsiTheme="minorHAnsi" w:cstheme="minorHAnsi"/>
        </w:rPr>
        <w:t>World Health Organization (</w:t>
      </w:r>
      <w:r w:rsidRPr="00E308E1">
        <w:rPr>
          <w:rFonts w:asciiTheme="minorHAnsi" w:hAnsiTheme="minorHAnsi" w:cstheme="minorHAnsi"/>
        </w:rPr>
        <w:t>WHO</w:t>
      </w:r>
      <w:r w:rsidR="00D21BB1">
        <w:rPr>
          <w:rFonts w:asciiTheme="minorHAnsi" w:hAnsiTheme="minorHAnsi" w:cstheme="minorHAnsi"/>
        </w:rPr>
        <w:t>)</w:t>
      </w:r>
      <w:r w:rsidRPr="00E308E1">
        <w:rPr>
          <w:rFonts w:asciiTheme="minorHAnsi" w:hAnsiTheme="minorHAnsi" w:cstheme="minorHAnsi"/>
        </w:rPr>
        <w:t xml:space="preserve"> ethical and safety guidelines for research on domestic violence. Although the proposed survey is not specifically on domestic violence, we believe that these guidelines are relevant since a perpetrator of sexual, physical, or emotional violence may be a household member. More specifically, WHO ethical and safety recommendations will be followed regarding how to obtain informed consent for participation in a survey that contains questions on domestic violence in such a way that safety issues are taken into consideration for both the participant and the interviewer.</w:t>
      </w:r>
      <w:r w:rsidRPr="00E308E1" w:rsidR="00CF7A82">
        <w:rPr>
          <w:rStyle w:val="FootnoteReference"/>
          <w:rFonts w:asciiTheme="minorHAnsi" w:hAnsiTheme="minorHAnsi" w:cstheme="minorHAnsi"/>
        </w:rPr>
        <w:footnoteReference w:id="1"/>
      </w:r>
    </w:p>
    <w:p w:rsidRPr="00E308E1" w:rsidR="009F6091" w:rsidP="00445ECB" w:rsidRDefault="001A5377" w14:paraId="783B698D" w14:textId="2BDFE7BD">
      <w:pPr>
        <w:spacing w:after="200" w:line="276" w:lineRule="auto"/>
        <w:ind w:firstLine="720"/>
        <w:rPr>
          <w:rFonts w:asciiTheme="minorHAnsi" w:hAnsiTheme="minorHAnsi" w:cstheme="minorHAnsi"/>
        </w:rPr>
      </w:pPr>
      <w:r w:rsidRPr="00E308E1">
        <w:rPr>
          <w:rFonts w:asciiTheme="minorHAnsi" w:hAnsiTheme="minorHAnsi" w:cstheme="minorHAnsi"/>
        </w:rPr>
        <w:t xml:space="preserve">Once consent has been obtained from the head of household/parent, a trained interviewer will read an initial information form </w:t>
      </w:r>
      <w:r w:rsidRPr="00E308E1" w:rsidR="009F6091">
        <w:rPr>
          <w:rFonts w:asciiTheme="minorHAnsi" w:hAnsiTheme="minorHAnsi" w:cstheme="minorHAnsi"/>
        </w:rPr>
        <w:t xml:space="preserve">to the participant, </w:t>
      </w:r>
      <w:r w:rsidRPr="00E308E1">
        <w:rPr>
          <w:rFonts w:asciiTheme="minorHAnsi" w:hAnsiTheme="minorHAnsi" w:cstheme="minorHAnsi"/>
        </w:rPr>
        <w:t>which introduces the survey as an opportunity to learn more about young peoples’ health, educational, and life experiences (</w:t>
      </w:r>
      <w:r w:rsidRPr="00E308E1" w:rsidR="009F6091">
        <w:rPr>
          <w:rFonts w:asciiTheme="minorHAnsi" w:hAnsiTheme="minorHAnsi" w:cstheme="minorHAnsi"/>
        </w:rPr>
        <w:t>Attachment</w:t>
      </w:r>
      <w:r w:rsidR="006640DE">
        <w:rPr>
          <w:rFonts w:asciiTheme="minorHAnsi" w:hAnsiTheme="minorHAnsi" w:cstheme="minorHAnsi"/>
        </w:rPr>
        <w:t xml:space="preserve"> </w:t>
      </w:r>
      <w:r w:rsidR="00F43DEC">
        <w:rPr>
          <w:rFonts w:asciiTheme="minorHAnsi" w:hAnsiTheme="minorHAnsi" w:cstheme="minorHAnsi"/>
        </w:rPr>
        <w:t>F</w:t>
      </w:r>
      <w:r w:rsidR="00012339">
        <w:rPr>
          <w:rFonts w:asciiTheme="minorHAnsi" w:hAnsiTheme="minorHAnsi" w:cstheme="minorHAnsi"/>
        </w:rPr>
        <w:t>)</w:t>
      </w:r>
      <w:r w:rsidRPr="00E308E1">
        <w:rPr>
          <w:rFonts w:asciiTheme="minorHAnsi" w:hAnsiTheme="minorHAnsi" w:cstheme="minorHAnsi"/>
        </w:rPr>
        <w:t xml:space="preserve">. This initial </w:t>
      </w:r>
      <w:r w:rsidRPr="00E308E1">
        <w:rPr>
          <w:rFonts w:asciiTheme="minorHAnsi" w:hAnsiTheme="minorHAnsi" w:cstheme="minorHAnsi"/>
        </w:rPr>
        <w:lastRenderedPageBreak/>
        <w:t xml:space="preserve">information form indicates that participation is completely voluntary. </w:t>
      </w:r>
      <w:r w:rsidR="0006410E">
        <w:rPr>
          <w:rFonts w:asciiTheme="minorHAnsi" w:hAnsiTheme="minorHAnsi" w:cstheme="minorHAnsi"/>
        </w:rPr>
        <w:t xml:space="preserve">After obtaining parental/caregiver consent, the </w:t>
      </w:r>
      <w:r w:rsidRPr="00E308E1" w:rsidR="009F6091">
        <w:rPr>
          <w:rFonts w:asciiTheme="minorHAnsi" w:hAnsiTheme="minorHAnsi" w:cstheme="minorHAnsi"/>
        </w:rPr>
        <w:t xml:space="preserve">trained interviewer will </w:t>
      </w:r>
      <w:r w:rsidR="0006410E">
        <w:rPr>
          <w:rFonts w:asciiTheme="minorHAnsi" w:hAnsiTheme="minorHAnsi" w:cstheme="minorHAnsi"/>
        </w:rPr>
        <w:t xml:space="preserve">next </w:t>
      </w:r>
      <w:r w:rsidRPr="00E308E1" w:rsidR="009F6091">
        <w:rPr>
          <w:rFonts w:asciiTheme="minorHAnsi" w:hAnsiTheme="minorHAnsi" w:cstheme="minorHAnsi"/>
        </w:rPr>
        <w:t xml:space="preserve">obtain informed assent </w:t>
      </w:r>
      <w:r w:rsidR="0006410E">
        <w:rPr>
          <w:rFonts w:asciiTheme="minorHAnsi" w:hAnsiTheme="minorHAnsi" w:cstheme="minorHAnsi"/>
        </w:rPr>
        <w:t xml:space="preserve">from the minor </w:t>
      </w:r>
      <w:r w:rsidRPr="00E308E1" w:rsidR="009F6091">
        <w:rPr>
          <w:rFonts w:asciiTheme="minorHAnsi" w:hAnsiTheme="minorHAnsi" w:cstheme="minorHAnsi"/>
        </w:rPr>
        <w:t>participant (13-17 years old) (Attachment</w:t>
      </w:r>
      <w:r w:rsidR="006640DE">
        <w:rPr>
          <w:rFonts w:asciiTheme="minorHAnsi" w:hAnsiTheme="minorHAnsi" w:cstheme="minorHAnsi"/>
        </w:rPr>
        <w:t xml:space="preserve"> </w:t>
      </w:r>
      <w:r w:rsidR="00F43DEC">
        <w:rPr>
          <w:rFonts w:asciiTheme="minorHAnsi" w:hAnsiTheme="minorHAnsi" w:cstheme="minorHAnsi"/>
        </w:rPr>
        <w:t>F</w:t>
      </w:r>
      <w:r w:rsidRPr="00E308E1" w:rsidR="009F6091">
        <w:rPr>
          <w:rFonts w:asciiTheme="minorHAnsi" w:hAnsiTheme="minorHAnsi" w:cstheme="minorHAnsi"/>
        </w:rPr>
        <w:t xml:space="preserve">). Participants will be informed that the information they share is confidential and will not be shared with anyone. Informed verbal assent will be obtained from each participant at the end of the assent form. </w:t>
      </w:r>
    </w:p>
    <w:p w:rsidR="001A5377" w:rsidP="00445ECB" w:rsidRDefault="001A5377" w14:paraId="0FC50F48" w14:textId="75BE4C91">
      <w:pPr>
        <w:spacing w:after="200" w:line="276" w:lineRule="auto"/>
        <w:ind w:firstLine="720"/>
        <w:rPr>
          <w:rFonts w:asciiTheme="minorHAnsi" w:hAnsiTheme="minorHAnsi" w:cstheme="minorHAnsi"/>
        </w:rPr>
      </w:pPr>
      <w:r w:rsidRPr="00E308E1">
        <w:rPr>
          <w:rFonts w:asciiTheme="minorHAnsi" w:hAnsiTheme="minorHAnsi" w:cstheme="minorHAnsi"/>
        </w:rPr>
        <w:t xml:space="preserve">In households where the selected participant is an adult (18-24 years old) or emancipated minor by Maryland law, a similar consent process will be used as described above except that the parental/caregiver “consent” will not be necessary. These participants will still be administered the initial information form </w:t>
      </w:r>
      <w:r w:rsidRPr="00E308E1" w:rsidR="009F6091">
        <w:rPr>
          <w:rFonts w:asciiTheme="minorHAnsi" w:hAnsiTheme="minorHAnsi" w:cstheme="minorHAnsi"/>
        </w:rPr>
        <w:t>described above</w:t>
      </w:r>
      <w:r w:rsidRPr="00E308E1">
        <w:rPr>
          <w:rFonts w:asciiTheme="minorHAnsi" w:hAnsiTheme="minorHAnsi" w:cstheme="minorHAnsi"/>
        </w:rPr>
        <w:t xml:space="preserve">. Once the initial information form is read, verbal consent to provide more information about the study will be obtained from each participant. Once the interviewer and participant have privacy, the trained interviewer will read the contents of </w:t>
      </w:r>
      <w:r w:rsidRPr="00E308E1" w:rsidR="009F6091">
        <w:rPr>
          <w:rFonts w:asciiTheme="minorHAnsi" w:hAnsiTheme="minorHAnsi" w:cstheme="minorHAnsi"/>
        </w:rPr>
        <w:t>a verbal consent form</w:t>
      </w:r>
      <w:r w:rsidRPr="00E308E1">
        <w:rPr>
          <w:rFonts w:asciiTheme="minorHAnsi" w:hAnsiTheme="minorHAnsi" w:cstheme="minorHAnsi"/>
        </w:rPr>
        <w:t>.</w:t>
      </w:r>
    </w:p>
    <w:p w:rsidR="00285E40" w:rsidP="00AD7DB8" w:rsidRDefault="00285E40" w14:paraId="1FDD9831" w14:textId="77777777">
      <w:pPr>
        <w:spacing w:line="276" w:lineRule="auto"/>
        <w:rPr>
          <w:rFonts w:asciiTheme="minorHAnsi" w:hAnsiTheme="minorHAnsi" w:cstheme="minorHAnsi"/>
          <w:b/>
          <w:bCs/>
        </w:rPr>
      </w:pPr>
    </w:p>
    <w:p w:rsidRPr="00E308E1" w:rsidR="00FB7D77" w:rsidP="00AD7DB8" w:rsidRDefault="00FB7D77" w14:paraId="34619586" w14:textId="40448636">
      <w:pPr>
        <w:spacing w:line="276" w:lineRule="auto"/>
        <w:rPr>
          <w:rFonts w:asciiTheme="minorHAnsi" w:hAnsiTheme="minorHAnsi" w:cstheme="minorHAnsi"/>
          <w:b/>
          <w:bCs/>
        </w:rPr>
      </w:pPr>
      <w:r w:rsidRPr="00E308E1">
        <w:rPr>
          <w:rFonts w:asciiTheme="minorHAnsi" w:hAnsiTheme="minorHAnsi" w:cstheme="minorHAnsi"/>
          <w:b/>
          <w:bCs/>
        </w:rPr>
        <w:t>A.11.</w:t>
      </w:r>
      <w:r w:rsidRPr="00E308E1">
        <w:rPr>
          <w:rFonts w:asciiTheme="minorHAnsi" w:hAnsiTheme="minorHAnsi" w:cstheme="minorHAnsi"/>
          <w:b/>
          <w:bCs/>
        </w:rPr>
        <w:tab/>
        <w:t xml:space="preserve">Institutional Review Board (IRB) and Justification for Sensitive </w:t>
      </w:r>
    </w:p>
    <w:p w:rsidRPr="00E308E1" w:rsidR="00FB7D77" w:rsidP="00AD7DB8" w:rsidRDefault="00FB7D77" w14:paraId="1EB2040F" w14:textId="77777777">
      <w:pPr>
        <w:spacing w:line="276" w:lineRule="auto"/>
        <w:rPr>
          <w:rFonts w:asciiTheme="minorHAnsi" w:hAnsiTheme="minorHAnsi" w:cstheme="minorHAnsi"/>
          <w:b/>
          <w:bCs/>
        </w:rPr>
      </w:pPr>
      <w:r w:rsidRPr="00E308E1">
        <w:rPr>
          <w:rFonts w:asciiTheme="minorHAnsi" w:hAnsiTheme="minorHAnsi" w:cstheme="minorHAnsi"/>
          <w:b/>
          <w:bCs/>
        </w:rPr>
        <w:tab/>
        <w:t>Questions</w:t>
      </w:r>
    </w:p>
    <w:p w:rsidRPr="00E308E1" w:rsidR="00FB7D77" w:rsidP="00AD7DB8" w:rsidRDefault="00FB7D77" w14:paraId="2E5266C7" w14:textId="77777777">
      <w:pPr>
        <w:spacing w:line="276" w:lineRule="auto"/>
        <w:rPr>
          <w:rFonts w:asciiTheme="minorHAnsi" w:hAnsiTheme="minorHAnsi" w:cstheme="minorHAnsi"/>
          <w:b/>
        </w:rPr>
      </w:pPr>
    </w:p>
    <w:p w:rsidRPr="00E308E1" w:rsidR="00FB7D77" w:rsidP="00AD7DB8" w:rsidRDefault="00FB7D77" w14:paraId="2A3DA408" w14:textId="77777777">
      <w:pPr>
        <w:spacing w:line="276" w:lineRule="auto"/>
        <w:rPr>
          <w:rFonts w:asciiTheme="minorHAnsi" w:hAnsiTheme="minorHAnsi" w:cstheme="minorHAnsi"/>
          <w:b/>
          <w:i/>
        </w:rPr>
      </w:pPr>
      <w:r w:rsidRPr="00E308E1">
        <w:rPr>
          <w:rFonts w:asciiTheme="minorHAnsi" w:hAnsiTheme="minorHAnsi" w:cstheme="minorHAnsi"/>
          <w:b/>
          <w:i/>
        </w:rPr>
        <w:t>IRB Approval</w:t>
      </w:r>
    </w:p>
    <w:p w:rsidRPr="00E308E1" w:rsidR="00FB7D77" w:rsidP="00AD7DB8" w:rsidRDefault="00FB7D77" w14:paraId="19CA822D" w14:textId="77777777">
      <w:pPr>
        <w:spacing w:line="276" w:lineRule="auto"/>
        <w:rPr>
          <w:rFonts w:asciiTheme="minorHAnsi" w:hAnsiTheme="minorHAnsi" w:cstheme="minorHAnsi"/>
          <w:u w:val="single"/>
        </w:rPr>
      </w:pPr>
    </w:p>
    <w:p w:rsidR="001F1CD8" w:rsidP="00445ECB" w:rsidRDefault="005A53C7" w14:paraId="23CC800F" w14:textId="39DD0ADE">
      <w:pPr>
        <w:autoSpaceDE w:val="0"/>
        <w:autoSpaceDN w:val="0"/>
        <w:adjustRightInd w:val="0"/>
        <w:ind w:firstLine="720"/>
        <w:rPr>
          <w:rFonts w:ascii="Verdana" w:hAnsi="Verdana" w:cs="Verdana" w:eastAsiaTheme="minorHAnsi"/>
          <w:sz w:val="20"/>
          <w:szCs w:val="20"/>
        </w:rPr>
      </w:pPr>
      <w:r w:rsidRPr="00B02072">
        <w:rPr>
          <w:rFonts w:asciiTheme="minorHAnsi" w:hAnsiTheme="minorHAnsi" w:cstheme="minorHAnsi"/>
        </w:rPr>
        <w:t>The study protocol has been reviewed and approved by</w:t>
      </w:r>
      <w:r w:rsidR="001F1CD8">
        <w:rPr>
          <w:rFonts w:ascii="Verdana" w:hAnsi="Verdana" w:cs="Verdana" w:eastAsiaTheme="minorHAnsi"/>
          <w:sz w:val="20"/>
          <w:szCs w:val="20"/>
        </w:rPr>
        <w:t xml:space="preserve"> the NORC Institutional Review</w:t>
      </w:r>
    </w:p>
    <w:p w:rsidRPr="00B02072" w:rsidR="00FB7D77" w:rsidP="001F1CD8" w:rsidRDefault="001F1CD8" w14:paraId="08F0C5D4" w14:textId="6FF6AA28">
      <w:pPr>
        <w:spacing w:line="276" w:lineRule="auto"/>
        <w:rPr>
          <w:rFonts w:asciiTheme="minorHAnsi" w:hAnsiTheme="minorHAnsi" w:cstheme="minorHAnsi"/>
          <w:b/>
          <w:bCs/>
        </w:rPr>
      </w:pPr>
      <w:r>
        <w:rPr>
          <w:rFonts w:ascii="Verdana" w:hAnsi="Verdana" w:cs="Verdana" w:eastAsiaTheme="minorHAnsi"/>
          <w:sz w:val="20"/>
          <w:szCs w:val="20"/>
        </w:rPr>
        <w:t>Board (FWA00000142)</w:t>
      </w:r>
      <w:r w:rsidRPr="00B02072" w:rsidR="005A53C7">
        <w:rPr>
          <w:rFonts w:asciiTheme="minorHAnsi" w:hAnsiTheme="minorHAnsi" w:cstheme="minorHAnsi"/>
        </w:rPr>
        <w:t xml:space="preserve">. A copy of the approval letter is provided </w:t>
      </w:r>
      <w:r>
        <w:rPr>
          <w:rFonts w:asciiTheme="minorHAnsi" w:hAnsiTheme="minorHAnsi" w:cstheme="minorHAnsi"/>
        </w:rPr>
        <w:t>(</w:t>
      </w:r>
      <w:r w:rsidRPr="00B02072" w:rsidR="005A53C7">
        <w:rPr>
          <w:rFonts w:asciiTheme="minorHAnsi" w:hAnsiTheme="minorHAnsi" w:cstheme="minorHAnsi"/>
        </w:rPr>
        <w:t xml:space="preserve">Attachment </w:t>
      </w:r>
      <w:r w:rsidR="00F43DEC">
        <w:rPr>
          <w:rFonts w:asciiTheme="minorHAnsi" w:hAnsiTheme="minorHAnsi" w:cstheme="minorHAnsi"/>
        </w:rPr>
        <w:t>G</w:t>
      </w:r>
      <w:r>
        <w:rPr>
          <w:rFonts w:asciiTheme="minorHAnsi" w:hAnsiTheme="minorHAnsi" w:cstheme="minorHAnsi"/>
        </w:rPr>
        <w:t>)</w:t>
      </w:r>
      <w:r w:rsidRPr="00B02072" w:rsidR="005A53C7">
        <w:rPr>
          <w:rFonts w:asciiTheme="minorHAnsi" w:hAnsiTheme="minorHAnsi" w:cstheme="minorHAnsi"/>
        </w:rPr>
        <w:t>.</w:t>
      </w:r>
      <w:r w:rsidRPr="00B02072" w:rsidR="005A53C7">
        <w:rPr>
          <w:rFonts w:asciiTheme="minorHAnsi" w:hAnsiTheme="minorHAnsi" w:cstheme="minorHAnsi"/>
          <w:b/>
          <w:bCs/>
        </w:rPr>
        <w:t xml:space="preserve"> </w:t>
      </w:r>
    </w:p>
    <w:p w:rsidRPr="00E308E1" w:rsidR="00FB7D77" w:rsidP="00AD7DB8" w:rsidRDefault="00FB7D77" w14:paraId="17E20273" w14:textId="77777777">
      <w:pPr>
        <w:spacing w:line="276" w:lineRule="auto"/>
        <w:rPr>
          <w:rFonts w:asciiTheme="minorHAnsi" w:hAnsiTheme="minorHAnsi" w:cstheme="minorHAnsi"/>
          <w:b/>
          <w:bCs/>
        </w:rPr>
      </w:pPr>
    </w:p>
    <w:p w:rsidRPr="00E308E1" w:rsidR="00FB7D77" w:rsidP="00AD7DB8" w:rsidRDefault="00FB7D77" w14:paraId="5484C49A" w14:textId="77777777">
      <w:pPr>
        <w:spacing w:line="276" w:lineRule="auto"/>
        <w:rPr>
          <w:rFonts w:asciiTheme="minorHAnsi" w:hAnsiTheme="minorHAnsi" w:cstheme="minorHAnsi"/>
          <w:b/>
          <w:bCs/>
          <w:i/>
        </w:rPr>
      </w:pPr>
      <w:r w:rsidRPr="00E308E1">
        <w:rPr>
          <w:rFonts w:asciiTheme="minorHAnsi" w:hAnsiTheme="minorHAnsi" w:cstheme="minorHAnsi"/>
          <w:b/>
          <w:bCs/>
          <w:i/>
        </w:rPr>
        <w:t>Justification for Sensitive Questions</w:t>
      </w:r>
      <w:r w:rsidRPr="00E308E1">
        <w:rPr>
          <w:rFonts w:asciiTheme="minorHAnsi" w:hAnsiTheme="minorHAnsi" w:cstheme="minorHAnsi"/>
          <w:b/>
          <w:bCs/>
          <w:i/>
        </w:rPr>
        <w:tab/>
      </w:r>
    </w:p>
    <w:p w:rsidR="0093437B" w:rsidP="0093437B" w:rsidRDefault="00445ECB" w14:paraId="4C11E1F5" w14:textId="29180303">
      <w:pPr>
        <w:pStyle w:val="L1-FlLSp12"/>
        <w:spacing w:line="276" w:lineRule="auto"/>
        <w:rPr>
          <w:rFonts w:asciiTheme="minorHAnsi" w:hAnsiTheme="minorHAnsi" w:cstheme="minorHAnsi"/>
          <w:szCs w:val="24"/>
        </w:rPr>
      </w:pPr>
      <w:r>
        <w:rPr>
          <w:rFonts w:asciiTheme="minorHAnsi" w:hAnsiTheme="minorHAnsi" w:cstheme="minorHAnsi"/>
          <w:szCs w:val="24"/>
        </w:rPr>
        <w:tab/>
      </w:r>
      <w:r w:rsidR="0093437B">
        <w:rPr>
          <w:rFonts w:asciiTheme="minorHAnsi" w:hAnsiTheme="minorHAnsi" w:cstheme="minorHAnsi"/>
          <w:szCs w:val="24"/>
        </w:rPr>
        <w:t xml:space="preserve">The team will receive a Certificate of Confidentiality </w:t>
      </w:r>
      <w:r w:rsidRPr="00D365A7" w:rsidR="0093437B">
        <w:rPr>
          <w:rFonts w:asciiTheme="minorHAnsi" w:hAnsiTheme="minorHAnsi" w:cstheme="minorHAnsi"/>
          <w:szCs w:val="24"/>
        </w:rPr>
        <w:t>(C</w:t>
      </w:r>
      <w:r w:rsidR="004B64EC">
        <w:rPr>
          <w:rFonts w:asciiTheme="minorHAnsi" w:hAnsiTheme="minorHAnsi" w:cstheme="minorHAnsi"/>
          <w:szCs w:val="24"/>
        </w:rPr>
        <w:t>O</w:t>
      </w:r>
      <w:r w:rsidRPr="00D365A7" w:rsidR="0093437B">
        <w:rPr>
          <w:rFonts w:asciiTheme="minorHAnsi" w:hAnsiTheme="minorHAnsi" w:cstheme="minorHAnsi"/>
          <w:szCs w:val="24"/>
        </w:rPr>
        <w:t>Cs) as part of the project.  The COC protects the privacy of research subjects by prohibiting disclosure of identifiable, sensitive research information to anyone not connected to the research except when the subject consents or in a few other specific situations.</w:t>
      </w:r>
      <w:r w:rsidR="0093437B">
        <w:rPr>
          <w:rFonts w:asciiTheme="minorHAnsi" w:hAnsiTheme="minorHAnsi" w:cstheme="minorHAnsi"/>
          <w:szCs w:val="24"/>
        </w:rPr>
        <w:t xml:space="preserve">  </w:t>
      </w:r>
      <w:r w:rsidRPr="00472740" w:rsidR="0093437B">
        <w:rPr>
          <w:rFonts w:asciiTheme="minorHAnsi" w:hAnsiTheme="minorHAnsi" w:cstheme="minorHAnsi"/>
          <w:szCs w:val="24"/>
        </w:rPr>
        <w:t xml:space="preserve">COCs are now automatically issued by HHS agencies to </w:t>
      </w:r>
      <w:r w:rsidR="0093437B">
        <w:rPr>
          <w:rFonts w:asciiTheme="minorHAnsi" w:hAnsiTheme="minorHAnsi" w:cstheme="minorHAnsi"/>
          <w:szCs w:val="24"/>
        </w:rPr>
        <w:t xml:space="preserve">HHS funded projects to </w:t>
      </w:r>
      <w:r w:rsidRPr="00472740" w:rsidR="0093437B">
        <w:rPr>
          <w:rFonts w:asciiTheme="minorHAnsi" w:hAnsiTheme="minorHAnsi" w:cstheme="minorHAnsi"/>
          <w:szCs w:val="24"/>
        </w:rPr>
        <w:t>protect identifiable research information from forced disclosure.</w:t>
      </w:r>
    </w:p>
    <w:p w:rsidRPr="00E308E1" w:rsidR="00FF3E4B" w:rsidP="00445ECB" w:rsidRDefault="00FF3E4B" w14:paraId="04CDA75F" w14:textId="7B34FF98">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color w:val="000000"/>
          <w:lang w:val="en-GB" w:eastAsia="en-GB"/>
        </w:rPr>
        <w:t>In order to conduct a</w:t>
      </w:r>
      <w:r w:rsidR="00657960">
        <w:rPr>
          <w:rFonts w:asciiTheme="minorHAnsi" w:hAnsiTheme="minorHAnsi" w:cstheme="minorHAnsi"/>
          <w:color w:val="000000"/>
          <w:lang w:val="en-GB" w:eastAsia="en-GB"/>
        </w:rPr>
        <w:t xml:space="preserve">n effective </w:t>
      </w:r>
      <w:r w:rsidRPr="00E308E1">
        <w:rPr>
          <w:rFonts w:asciiTheme="minorHAnsi" w:hAnsiTheme="minorHAnsi" w:cstheme="minorHAnsi"/>
          <w:color w:val="000000"/>
          <w:lang w:val="en-GB" w:eastAsia="en-GB"/>
        </w:rPr>
        <w:t>study to better understand violence against children for the purposes of prevention, it is important to collect data that will yield useful results. Very few people, including children, report sexual, emotional, or physical violence</w:t>
      </w:r>
      <w:r w:rsidR="0006410E">
        <w:rPr>
          <w:rFonts w:asciiTheme="minorHAnsi" w:hAnsiTheme="minorHAnsi" w:cstheme="minorHAnsi"/>
          <w:color w:val="000000"/>
          <w:lang w:val="en-GB" w:eastAsia="en-GB"/>
        </w:rPr>
        <w:t xml:space="preserve"> to the police or other authorities</w:t>
      </w:r>
      <w:r w:rsidRPr="00E308E1">
        <w:rPr>
          <w:rFonts w:asciiTheme="minorHAnsi" w:hAnsiTheme="minorHAnsi" w:cstheme="minorHAnsi"/>
          <w:color w:val="000000"/>
          <w:lang w:val="en-GB" w:eastAsia="en-GB"/>
        </w:rPr>
        <w:t xml:space="preserve">; therefore, survey data provide the best source of information regarding its prevalence. </w:t>
      </w:r>
      <w:r w:rsidRPr="00E308E1">
        <w:rPr>
          <w:rFonts w:asciiTheme="minorHAnsi" w:hAnsiTheme="minorHAnsi" w:cstheme="minorHAnsi"/>
          <w:color w:val="000000"/>
          <w:lang w:eastAsia="en-GB"/>
        </w:rPr>
        <w:t>In the U</w:t>
      </w:r>
      <w:r w:rsidR="00866561">
        <w:rPr>
          <w:rFonts w:asciiTheme="minorHAnsi" w:hAnsiTheme="minorHAnsi" w:cstheme="minorHAnsi"/>
          <w:color w:val="000000"/>
          <w:lang w:eastAsia="en-GB"/>
        </w:rPr>
        <w:t>.</w:t>
      </w:r>
      <w:r w:rsidRPr="00E308E1">
        <w:rPr>
          <w:rFonts w:asciiTheme="minorHAnsi" w:hAnsiTheme="minorHAnsi" w:cstheme="minorHAnsi"/>
          <w:color w:val="000000"/>
          <w:lang w:eastAsia="en-GB"/>
        </w:rPr>
        <w:t>S</w:t>
      </w:r>
      <w:r w:rsidR="00866561">
        <w:rPr>
          <w:rFonts w:asciiTheme="minorHAnsi" w:hAnsiTheme="minorHAnsi" w:cstheme="minorHAnsi"/>
          <w:color w:val="000000"/>
          <w:lang w:eastAsia="en-GB"/>
        </w:rPr>
        <w:t>.</w:t>
      </w:r>
      <w:r w:rsidRPr="00E308E1">
        <w:rPr>
          <w:rFonts w:asciiTheme="minorHAnsi" w:hAnsiTheme="minorHAnsi" w:cstheme="minorHAnsi"/>
          <w:color w:val="000000"/>
          <w:lang w:eastAsia="en-GB"/>
        </w:rPr>
        <w:t>, there have been studies in which children as young as 10 years of age have been interviewed about sexual violence, and the data from these studies have been extremely effective in mobilizing key entities into taking action to prevent violence against children.</w:t>
      </w:r>
      <w:r w:rsidR="0095108B">
        <w:rPr>
          <w:rStyle w:val="EndnoteReference"/>
          <w:rFonts w:asciiTheme="minorHAnsi" w:hAnsiTheme="minorHAnsi" w:cstheme="minorHAnsi"/>
          <w:color w:val="000000"/>
          <w:lang w:eastAsia="en-GB"/>
        </w:rPr>
        <w:endnoteReference w:id="51"/>
      </w:r>
      <w:r w:rsidRPr="00E308E1" w:rsidR="00CF7A82">
        <w:rPr>
          <w:rFonts w:asciiTheme="minorHAnsi" w:hAnsiTheme="minorHAnsi" w:cstheme="minorHAnsi"/>
          <w:color w:val="000000"/>
          <w:lang w:eastAsia="en-GB"/>
        </w:rPr>
        <w:t xml:space="preserve"> </w:t>
      </w:r>
      <w:r w:rsidRPr="00E308E1">
        <w:rPr>
          <w:rFonts w:asciiTheme="minorHAnsi" w:hAnsiTheme="minorHAnsi" w:cstheme="minorHAnsi"/>
          <w:color w:val="000000"/>
          <w:lang w:eastAsia="en-GB"/>
        </w:rPr>
        <w:t>As no comprehensive, representative data on violence against children exists in the U.S., this data collection is necessary</w:t>
      </w:r>
      <w:r w:rsidR="00A26978">
        <w:rPr>
          <w:rFonts w:asciiTheme="minorHAnsi" w:hAnsiTheme="minorHAnsi" w:cstheme="minorHAnsi"/>
          <w:color w:val="000000"/>
          <w:lang w:eastAsia="en-GB"/>
        </w:rPr>
        <w:t xml:space="preserve">. </w:t>
      </w:r>
    </w:p>
    <w:p w:rsidR="00FB7D77" w:rsidP="00AD7DB8" w:rsidRDefault="00FB7D77" w14:paraId="4D73C708" w14:textId="77777777">
      <w:pPr>
        <w:spacing w:line="276" w:lineRule="auto"/>
        <w:rPr>
          <w:rFonts w:asciiTheme="minorHAnsi" w:hAnsiTheme="minorHAnsi" w:cstheme="minorHAnsi"/>
        </w:rPr>
      </w:pPr>
    </w:p>
    <w:p w:rsidR="00B632FA" w:rsidP="00AD7DB8" w:rsidRDefault="00B632FA" w14:paraId="23A32837" w14:textId="77777777">
      <w:pPr>
        <w:autoSpaceDE w:val="0"/>
        <w:autoSpaceDN w:val="0"/>
        <w:adjustRightInd w:val="0"/>
        <w:spacing w:line="276" w:lineRule="auto"/>
        <w:rPr>
          <w:rFonts w:asciiTheme="minorHAnsi" w:hAnsiTheme="minorHAnsi" w:cstheme="minorHAnsi"/>
          <w:b/>
          <w:bCs/>
        </w:rPr>
      </w:pPr>
    </w:p>
    <w:p w:rsidR="00B632FA" w:rsidP="00AD7DB8" w:rsidRDefault="00B632FA" w14:paraId="58BA25CA" w14:textId="77777777">
      <w:pPr>
        <w:autoSpaceDE w:val="0"/>
        <w:autoSpaceDN w:val="0"/>
        <w:adjustRightInd w:val="0"/>
        <w:spacing w:line="276" w:lineRule="auto"/>
        <w:rPr>
          <w:rFonts w:asciiTheme="minorHAnsi" w:hAnsiTheme="minorHAnsi" w:cstheme="minorHAnsi"/>
          <w:b/>
          <w:bCs/>
        </w:rPr>
      </w:pPr>
    </w:p>
    <w:p w:rsidRPr="00E308E1" w:rsidR="00FB7D77" w:rsidP="00AD7DB8" w:rsidRDefault="00FB7D77" w14:paraId="6DA757F8" w14:textId="454A916F">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lastRenderedPageBreak/>
        <w:t xml:space="preserve">A.12. </w:t>
      </w:r>
      <w:r w:rsidRPr="00E308E1">
        <w:rPr>
          <w:rFonts w:asciiTheme="minorHAnsi" w:hAnsiTheme="minorHAnsi" w:cstheme="minorHAnsi"/>
          <w:b/>
          <w:bCs/>
        </w:rPr>
        <w:tab/>
        <w:t xml:space="preserve">Estimates of Annualized Burden Hours </w:t>
      </w:r>
      <w:r w:rsidR="00EC3BA0">
        <w:rPr>
          <w:rFonts w:asciiTheme="minorHAnsi" w:hAnsiTheme="minorHAnsi" w:cstheme="minorHAnsi"/>
          <w:b/>
          <w:bCs/>
        </w:rPr>
        <w:t>and</w:t>
      </w:r>
      <w:r w:rsidRPr="00E308E1" w:rsidR="00EC3BA0">
        <w:rPr>
          <w:rFonts w:asciiTheme="minorHAnsi" w:hAnsiTheme="minorHAnsi" w:cstheme="minorHAnsi"/>
          <w:b/>
          <w:bCs/>
        </w:rPr>
        <w:t xml:space="preserve"> Costs</w:t>
      </w:r>
    </w:p>
    <w:p w:rsidRPr="00E308E1" w:rsidR="003051F1" w:rsidP="00AD7DB8" w:rsidRDefault="003051F1" w14:paraId="2171F83D" w14:textId="77777777">
      <w:pPr>
        <w:spacing w:line="276" w:lineRule="auto"/>
        <w:rPr>
          <w:rFonts w:asciiTheme="minorHAnsi" w:hAnsiTheme="minorHAnsi" w:cstheme="minorHAnsi"/>
          <w:b/>
          <w:bCs/>
          <w:i/>
        </w:rPr>
      </w:pPr>
    </w:p>
    <w:p w:rsidRPr="00E308E1" w:rsidR="00D42C00" w:rsidP="00503294" w:rsidRDefault="003051F1" w14:paraId="609604E8" w14:textId="757035C2">
      <w:pPr>
        <w:pStyle w:val="Bulleted"/>
      </w:pPr>
      <w:r w:rsidRPr="00E308E1">
        <w:t>Estimates of Annualized Burden Hours</w:t>
      </w:r>
      <w:r w:rsidRPr="00E308E1" w:rsidR="00D42C00">
        <w:t>.</w:t>
      </w:r>
    </w:p>
    <w:p w:rsidRPr="00EE4EE7" w:rsidR="00F424F5" w:rsidP="005100E8" w:rsidRDefault="008D2617" w14:paraId="5B3C4966" w14:textId="5C09E337">
      <w:pPr>
        <w:pStyle w:val="SL-FlLftSgl"/>
        <w:spacing w:line="276" w:lineRule="auto"/>
        <w:ind w:firstLine="720"/>
        <w:rPr>
          <w:rFonts w:asciiTheme="minorHAnsi" w:hAnsiTheme="minorHAnsi" w:cstheme="minorHAnsi"/>
        </w:rPr>
      </w:pPr>
      <w:r w:rsidRPr="00EE4EE7">
        <w:rPr>
          <w:rFonts w:asciiTheme="minorHAnsi" w:hAnsiTheme="minorHAnsi" w:cstheme="minorHAnsi"/>
        </w:rPr>
        <w:t>The total estimated respondent burden and costs</w:t>
      </w:r>
      <w:r w:rsidR="00235640">
        <w:rPr>
          <w:rFonts w:asciiTheme="minorHAnsi" w:hAnsiTheme="minorHAnsi" w:cstheme="minorHAnsi"/>
        </w:rPr>
        <w:t xml:space="preserve"> for </w:t>
      </w:r>
      <w:r w:rsidR="008437FD">
        <w:rPr>
          <w:rFonts w:asciiTheme="minorHAnsi" w:hAnsiTheme="minorHAnsi" w:cstheme="minorHAnsi"/>
        </w:rPr>
        <w:t>this 3</w:t>
      </w:r>
      <w:r w:rsidR="00235640">
        <w:rPr>
          <w:rFonts w:asciiTheme="minorHAnsi" w:hAnsiTheme="minorHAnsi" w:cstheme="minorHAnsi"/>
        </w:rPr>
        <w:t xml:space="preserve"> years collection </w:t>
      </w:r>
      <w:r w:rsidR="008437FD">
        <w:rPr>
          <w:rFonts w:asciiTheme="minorHAnsi" w:hAnsiTheme="minorHAnsi" w:cstheme="minorHAnsi"/>
        </w:rPr>
        <w:t xml:space="preserve">is </w:t>
      </w:r>
      <w:r w:rsidRPr="00EE4EE7">
        <w:rPr>
          <w:rFonts w:asciiTheme="minorHAnsi" w:hAnsiTheme="minorHAnsi" w:cstheme="minorHAnsi"/>
        </w:rPr>
        <w:t xml:space="preserve"> calculated below.</w:t>
      </w:r>
      <w:r w:rsidRPr="00EE4EE7" w:rsidR="00EC3BA0">
        <w:rPr>
          <w:rFonts w:asciiTheme="minorHAnsi" w:hAnsiTheme="minorHAnsi" w:cstheme="minorHAnsi"/>
        </w:rPr>
        <w:t xml:space="preserve">  </w:t>
      </w:r>
      <w:r w:rsidRPr="00EE4EE7" w:rsidR="00C21E3E">
        <w:rPr>
          <w:rFonts w:asciiTheme="minorHAnsi" w:hAnsiTheme="minorHAnsi" w:cstheme="minorHAnsi"/>
        </w:rPr>
        <w:t>Th</w:t>
      </w:r>
      <w:r w:rsidRPr="00EE4EE7" w:rsidR="00BC2A8B">
        <w:rPr>
          <w:rFonts w:asciiTheme="minorHAnsi" w:hAnsiTheme="minorHAnsi" w:cstheme="minorHAnsi"/>
        </w:rPr>
        <w:t>e</w:t>
      </w:r>
      <w:r w:rsidRPr="00EE4EE7" w:rsidR="00C21E3E">
        <w:rPr>
          <w:rFonts w:asciiTheme="minorHAnsi" w:hAnsiTheme="minorHAnsi" w:cstheme="minorHAnsi"/>
        </w:rPr>
        <w:t xml:space="preserve"> burden was derived by using </w:t>
      </w:r>
      <w:r w:rsidR="006807D0">
        <w:rPr>
          <w:rFonts w:asciiTheme="minorHAnsi" w:hAnsiTheme="minorHAnsi" w:cstheme="minorHAnsi"/>
        </w:rPr>
        <w:t>9,363</w:t>
      </w:r>
      <w:r w:rsidRPr="00EE4EE7" w:rsidR="00C21E3E">
        <w:rPr>
          <w:rFonts w:asciiTheme="minorHAnsi" w:hAnsiTheme="minorHAnsi" w:cstheme="minorHAnsi"/>
        </w:rPr>
        <w:t xml:space="preserve"> as the expected number of households </w:t>
      </w:r>
      <w:r w:rsidRPr="00EE4EE7" w:rsidR="007F05F1">
        <w:rPr>
          <w:rFonts w:asciiTheme="minorHAnsi" w:hAnsiTheme="minorHAnsi" w:cstheme="minorHAnsi"/>
        </w:rPr>
        <w:t>contacted</w:t>
      </w:r>
      <w:r w:rsidRPr="00EE4EE7" w:rsidR="00C21E3E">
        <w:rPr>
          <w:rFonts w:asciiTheme="minorHAnsi" w:hAnsiTheme="minorHAnsi" w:cstheme="minorHAnsi"/>
        </w:rPr>
        <w:t>,</w:t>
      </w:r>
      <w:r w:rsidRPr="00EE4EE7" w:rsidR="00720E6D">
        <w:rPr>
          <w:rFonts w:asciiTheme="minorHAnsi" w:hAnsiTheme="minorHAnsi" w:cstheme="minorHAnsi"/>
        </w:rPr>
        <w:t xml:space="preserve"> a 90% response rate for </w:t>
      </w:r>
      <w:r w:rsidR="006807D0">
        <w:rPr>
          <w:rFonts w:asciiTheme="minorHAnsi" w:hAnsiTheme="minorHAnsi" w:cstheme="minorHAnsi"/>
        </w:rPr>
        <w:t>8,424</w:t>
      </w:r>
      <w:r w:rsidRPr="00EE4EE7" w:rsidR="006807D0">
        <w:rPr>
          <w:rFonts w:asciiTheme="minorHAnsi" w:hAnsiTheme="minorHAnsi" w:cstheme="minorHAnsi"/>
        </w:rPr>
        <w:t xml:space="preserve"> </w:t>
      </w:r>
      <w:r w:rsidRPr="00EE4EE7" w:rsidR="00720E6D">
        <w:rPr>
          <w:rFonts w:asciiTheme="minorHAnsi" w:hAnsiTheme="minorHAnsi" w:cstheme="minorHAnsi"/>
        </w:rPr>
        <w:t xml:space="preserve">completed screeners, a 25% eligibility rate for </w:t>
      </w:r>
      <w:r w:rsidR="00E85DC9">
        <w:rPr>
          <w:rFonts w:asciiTheme="minorHAnsi" w:hAnsiTheme="minorHAnsi" w:cstheme="minorHAnsi"/>
        </w:rPr>
        <w:t>2,106</w:t>
      </w:r>
      <w:r w:rsidRPr="00EE4EE7" w:rsidR="00E85DC9">
        <w:rPr>
          <w:rFonts w:asciiTheme="minorHAnsi" w:hAnsiTheme="minorHAnsi" w:cstheme="minorHAnsi"/>
        </w:rPr>
        <w:t xml:space="preserve"> </w:t>
      </w:r>
      <w:r w:rsidRPr="00EE4EE7" w:rsidR="00720E6D">
        <w:rPr>
          <w:rFonts w:asciiTheme="minorHAnsi" w:hAnsiTheme="minorHAnsi" w:cstheme="minorHAnsi"/>
        </w:rPr>
        <w:t>households consented, a 90% consent completion rate for</w:t>
      </w:r>
      <w:r w:rsidRPr="00EE4EE7" w:rsidR="00C21E3E">
        <w:rPr>
          <w:rFonts w:asciiTheme="minorHAnsi" w:hAnsiTheme="minorHAnsi" w:cstheme="minorHAnsi"/>
        </w:rPr>
        <w:t xml:space="preserve"> </w:t>
      </w:r>
      <w:r w:rsidR="00E85DC9">
        <w:rPr>
          <w:rFonts w:asciiTheme="minorHAnsi" w:hAnsiTheme="minorHAnsi" w:cstheme="minorHAnsi"/>
        </w:rPr>
        <w:t>1,896</w:t>
      </w:r>
      <w:r w:rsidRPr="00EE4EE7" w:rsidR="00C21E3E">
        <w:rPr>
          <w:rFonts w:asciiTheme="minorHAnsi" w:hAnsiTheme="minorHAnsi" w:cstheme="minorHAnsi"/>
        </w:rPr>
        <w:t xml:space="preserve"> completed head of household questionnaires, and </w:t>
      </w:r>
      <w:r w:rsidR="00E85DC9">
        <w:rPr>
          <w:rFonts w:asciiTheme="minorHAnsi" w:hAnsiTheme="minorHAnsi" w:cstheme="minorHAnsi"/>
        </w:rPr>
        <w:t>1,131</w:t>
      </w:r>
      <w:r w:rsidRPr="00EE4EE7" w:rsidR="00C21E3E">
        <w:rPr>
          <w:rFonts w:asciiTheme="minorHAnsi" w:hAnsiTheme="minorHAnsi" w:cstheme="minorHAnsi"/>
        </w:rPr>
        <w:t xml:space="preserve"> completed core </w:t>
      </w:r>
      <w:r w:rsidRPr="00EE4EE7" w:rsidR="00255E4A">
        <w:rPr>
          <w:rFonts w:asciiTheme="minorHAnsi" w:hAnsiTheme="minorHAnsi" w:cstheme="minorHAnsi"/>
        </w:rPr>
        <w:t>questionnaires.</w:t>
      </w:r>
      <w:r w:rsidRPr="00EE4EE7" w:rsidR="001A35B0">
        <w:rPr>
          <w:rFonts w:asciiTheme="minorHAnsi" w:hAnsiTheme="minorHAnsi" w:cstheme="minorHAnsi"/>
        </w:rPr>
        <w:t xml:space="preserve"> This number </w:t>
      </w:r>
      <w:r w:rsidRPr="00EE4EE7" w:rsidR="00EE4EE7">
        <w:rPr>
          <w:rFonts w:asciiTheme="minorHAnsi" w:hAnsiTheme="minorHAnsi" w:cstheme="minorHAnsi"/>
        </w:rPr>
        <w:t>considers</w:t>
      </w:r>
      <w:r w:rsidRPr="00EE4EE7" w:rsidR="001A35B0">
        <w:rPr>
          <w:rFonts w:asciiTheme="minorHAnsi" w:hAnsiTheme="minorHAnsi" w:cstheme="minorHAnsi"/>
        </w:rPr>
        <w:t xml:space="preserve"> a response rate of 65% for females and 55% for males.</w:t>
      </w:r>
      <w:r w:rsidRPr="00EE4EE7" w:rsidR="00C21E3E">
        <w:rPr>
          <w:rFonts w:asciiTheme="minorHAnsi" w:hAnsiTheme="minorHAnsi" w:cstheme="minorHAnsi"/>
        </w:rPr>
        <w:t xml:space="preserve"> </w:t>
      </w:r>
      <w:r w:rsidRPr="00EE4EE7" w:rsidR="005D4D88">
        <w:rPr>
          <w:rFonts w:asciiTheme="minorHAnsi" w:hAnsiTheme="minorHAnsi" w:cstheme="minorHAnsi"/>
        </w:rPr>
        <w:t xml:space="preserve">CDC will also </w:t>
      </w:r>
      <w:r w:rsidRPr="00EE4EE7" w:rsidR="00BC2A8B">
        <w:rPr>
          <w:rFonts w:asciiTheme="minorHAnsi" w:hAnsiTheme="minorHAnsi" w:cstheme="minorHAnsi"/>
        </w:rPr>
        <w:t>use 60 cases</w:t>
      </w:r>
      <w:r w:rsidR="00313616">
        <w:rPr>
          <w:rFonts w:asciiTheme="minorHAnsi" w:hAnsiTheme="minorHAnsi" w:cstheme="minorHAnsi"/>
        </w:rPr>
        <w:t xml:space="preserve"> for Pre-test 2</w:t>
      </w:r>
      <w:r w:rsidRPr="00EE4EE7" w:rsidR="00BC2A8B">
        <w:rPr>
          <w:rFonts w:asciiTheme="minorHAnsi" w:hAnsiTheme="minorHAnsi" w:cstheme="minorHAnsi"/>
        </w:rPr>
        <w:t xml:space="preserve"> to </w:t>
      </w:r>
      <w:r w:rsidRPr="00EE4EE7" w:rsidR="005D4D88">
        <w:rPr>
          <w:rFonts w:asciiTheme="minorHAnsi" w:hAnsiTheme="minorHAnsi" w:cstheme="minorHAnsi"/>
        </w:rPr>
        <w:t xml:space="preserve">pre-test adaptations to the core survey with youth in the target age group. </w:t>
      </w:r>
      <w:r w:rsidR="00D830E1">
        <w:rPr>
          <w:rFonts w:asciiTheme="minorHAnsi" w:hAnsiTheme="minorHAnsi" w:cstheme="minorHAnsi"/>
        </w:rPr>
        <w:t>There</w:t>
      </w:r>
      <w:r w:rsidR="00DD3655">
        <w:rPr>
          <w:rFonts w:asciiTheme="minorHAnsi" w:hAnsiTheme="minorHAnsi" w:cstheme="minorHAnsi"/>
        </w:rPr>
        <w:t>fore</w:t>
      </w:r>
      <w:r w:rsidR="005100E8">
        <w:rPr>
          <w:rFonts w:asciiTheme="minorHAnsi" w:hAnsiTheme="minorHAnsi" w:cstheme="minorHAnsi"/>
        </w:rPr>
        <w:t xml:space="preserve"> </w:t>
      </w:r>
      <w:r w:rsidR="00D830E1">
        <w:rPr>
          <w:rFonts w:asciiTheme="minorHAnsi" w:hAnsiTheme="minorHAnsi" w:cstheme="minorHAnsi"/>
        </w:rPr>
        <w:t>the annualized numbers</w:t>
      </w:r>
      <w:r w:rsidR="005100E8">
        <w:rPr>
          <w:rFonts w:asciiTheme="minorHAnsi" w:hAnsiTheme="minorHAnsi" w:cstheme="minorHAnsi"/>
        </w:rPr>
        <w:t xml:space="preserve"> are </w:t>
      </w:r>
      <w:r w:rsidR="00D830E1">
        <w:rPr>
          <w:rFonts w:asciiTheme="minorHAnsi" w:hAnsiTheme="minorHAnsi" w:cstheme="minorHAnsi"/>
        </w:rPr>
        <w:t>3,121 households contacted with an invitation letter, 2,808 completed screeners, 702 households consented, 632 completed head of household questionnaires</w:t>
      </w:r>
      <w:r w:rsidR="00BE6D92">
        <w:rPr>
          <w:rFonts w:asciiTheme="minorHAnsi" w:hAnsiTheme="minorHAnsi" w:cstheme="minorHAnsi"/>
        </w:rPr>
        <w:t xml:space="preserve">, and 377 completed core questionnaires </w:t>
      </w:r>
      <w:r w:rsidR="005100E8">
        <w:rPr>
          <w:rFonts w:asciiTheme="minorHAnsi" w:hAnsiTheme="minorHAnsi" w:cstheme="minorHAnsi"/>
        </w:rPr>
        <w:t>including the Pre-test 2</w:t>
      </w:r>
      <w:r w:rsidR="00DD3655">
        <w:rPr>
          <w:rFonts w:asciiTheme="minorHAnsi" w:hAnsiTheme="minorHAnsi" w:cstheme="minorHAnsi"/>
        </w:rPr>
        <w:t xml:space="preserve"> (20/year)</w:t>
      </w:r>
      <w:r w:rsidR="005100E8">
        <w:rPr>
          <w:rFonts w:asciiTheme="minorHAnsi" w:hAnsiTheme="minorHAnsi" w:cstheme="minorHAnsi"/>
        </w:rPr>
        <w:t>.</w:t>
      </w:r>
      <w:r w:rsidR="00BE6D92">
        <w:rPr>
          <w:rFonts w:asciiTheme="minorHAnsi" w:hAnsiTheme="minorHAnsi" w:cstheme="minorHAnsi"/>
        </w:rPr>
        <w:t xml:space="preserve"> </w:t>
      </w:r>
    </w:p>
    <w:p w:rsidR="00445ECB" w:rsidP="00445ECB" w:rsidRDefault="00445ECB" w14:paraId="22D9CB5E" w14:textId="185B9A63">
      <w:pPr>
        <w:pStyle w:val="SL-FlLftSgl"/>
        <w:spacing w:line="276" w:lineRule="auto"/>
        <w:ind w:firstLine="720"/>
        <w:rPr>
          <w:rFonts w:asciiTheme="minorHAnsi" w:hAnsiTheme="minorHAnsi" w:cstheme="minorHAnsi"/>
        </w:rPr>
      </w:pPr>
    </w:p>
    <w:p w:rsidR="0093437B" w:rsidP="00AD7DB8" w:rsidRDefault="00D73B66" w14:paraId="798D0479" w14:textId="40A97CB3">
      <w:pPr>
        <w:pStyle w:val="SL-FlLftSgl"/>
        <w:spacing w:line="276" w:lineRule="auto"/>
        <w:rPr>
          <w:rFonts w:asciiTheme="minorHAnsi" w:hAnsiTheme="minorHAnsi" w:cstheme="minorHAnsi"/>
        </w:rPr>
      </w:pPr>
      <w:r w:rsidRPr="00EF1F17">
        <w:rPr>
          <w:b/>
          <w:bCs/>
        </w:rPr>
        <w:t xml:space="preserve">Table </w:t>
      </w:r>
      <w:r>
        <w:rPr>
          <w:b/>
          <w:bCs/>
        </w:rPr>
        <w:t>2</w:t>
      </w:r>
      <w:r w:rsidRPr="00EF1F17">
        <w:rPr>
          <w:b/>
          <w:bCs/>
        </w:rPr>
        <w:t>.  Estimated Annualized Burden Hours</w:t>
      </w:r>
    </w:p>
    <w:tbl>
      <w:tblPr>
        <w:tblpPr w:leftFromText="180" w:rightFromText="180" w:vertAnchor="text" w:horzAnchor="margin" w:tblpY="160"/>
        <w:tblW w:w="9350" w:type="dxa"/>
        <w:tblCellMar>
          <w:left w:w="0" w:type="dxa"/>
          <w:right w:w="0" w:type="dxa"/>
        </w:tblCellMar>
        <w:tblLook w:val="04A0" w:firstRow="1" w:lastRow="0" w:firstColumn="1" w:lastColumn="0" w:noHBand="0" w:noVBand="1"/>
      </w:tblPr>
      <w:tblGrid>
        <w:gridCol w:w="1439"/>
        <w:gridCol w:w="2146"/>
        <w:gridCol w:w="2331"/>
        <w:gridCol w:w="1348"/>
        <w:gridCol w:w="1129"/>
        <w:gridCol w:w="957"/>
      </w:tblGrid>
      <w:tr w:rsidRPr="007F292E" w:rsidR="00627418" w:rsidTr="005C5DE2" w14:paraId="3D598FB0" w14:textId="77777777">
        <w:trPr>
          <w:trHeight w:val="1070"/>
        </w:trPr>
        <w:tc>
          <w:tcPr>
            <w:tcW w:w="1439" w:type="dxa"/>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7F292E" w:rsidR="00627418" w:rsidP="00627418" w:rsidRDefault="00627418" w14:paraId="312B7BB5" w14:textId="77777777">
            <w:pPr>
              <w:rPr>
                <w:rFonts w:ascii="Cambria Math" w:hAnsi="Cambria Math"/>
                <w:sz w:val="22"/>
                <w:szCs w:val="22"/>
              </w:rPr>
            </w:pPr>
            <w:r w:rsidRPr="007F292E">
              <w:rPr>
                <w:rFonts w:ascii="Cambria Math" w:hAnsi="Cambria Math"/>
                <w:sz w:val="22"/>
                <w:szCs w:val="22"/>
              </w:rPr>
              <w:t>Type of Respondents</w:t>
            </w:r>
          </w:p>
        </w:tc>
        <w:tc>
          <w:tcPr>
            <w:tcW w:w="2146"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7F292E" w:rsidR="00627418" w:rsidP="00627418" w:rsidRDefault="00627418" w14:paraId="6C35AC7D" w14:textId="77777777">
            <w:pPr>
              <w:rPr>
                <w:rFonts w:ascii="Cambria Math" w:hAnsi="Cambria Math"/>
                <w:sz w:val="22"/>
                <w:szCs w:val="22"/>
              </w:rPr>
            </w:pPr>
            <w:r w:rsidRPr="007F292E">
              <w:rPr>
                <w:rFonts w:ascii="Cambria Math" w:hAnsi="Cambria Math"/>
                <w:sz w:val="22"/>
                <w:szCs w:val="22"/>
              </w:rPr>
              <w:t> </w:t>
            </w:r>
          </w:p>
          <w:p w:rsidR="00B87856" w:rsidP="00B87856" w:rsidRDefault="00B87856" w14:paraId="1143A8C4" w14:textId="77777777">
            <w:pPr>
              <w:jc w:val="center"/>
              <w:rPr>
                <w:rFonts w:ascii="Cambria Math" w:hAnsi="Cambria Math"/>
                <w:color w:val="000000"/>
                <w:sz w:val="22"/>
                <w:szCs w:val="22"/>
              </w:rPr>
            </w:pPr>
          </w:p>
          <w:p w:rsidRPr="007F292E" w:rsidR="00627418" w:rsidP="00B87856" w:rsidRDefault="00627418" w14:paraId="62271A2A" w14:textId="02C9C2D2">
            <w:pPr>
              <w:jc w:val="center"/>
              <w:rPr>
                <w:rFonts w:ascii="Cambria Math" w:hAnsi="Cambria Math"/>
                <w:sz w:val="22"/>
                <w:szCs w:val="22"/>
              </w:rPr>
            </w:pPr>
            <w:r w:rsidRPr="007F292E">
              <w:rPr>
                <w:rFonts w:ascii="Cambria Math" w:hAnsi="Cambria Math"/>
                <w:color w:val="000000"/>
                <w:sz w:val="22"/>
                <w:szCs w:val="22"/>
              </w:rPr>
              <w:t>Data Collection</w:t>
            </w:r>
          </w:p>
        </w:tc>
        <w:tc>
          <w:tcPr>
            <w:tcW w:w="2331"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7F292E" w:rsidR="00627418" w:rsidP="00627418" w:rsidRDefault="00627418" w14:paraId="1123A6AF" w14:textId="77777777">
            <w:pPr>
              <w:rPr>
                <w:rFonts w:ascii="Cambria Math" w:hAnsi="Cambria Math"/>
                <w:sz w:val="22"/>
                <w:szCs w:val="22"/>
              </w:rPr>
            </w:pPr>
            <w:r w:rsidRPr="007F292E">
              <w:rPr>
                <w:rFonts w:ascii="Cambria Math" w:hAnsi="Cambria Math"/>
                <w:color w:val="000000"/>
                <w:sz w:val="22"/>
                <w:szCs w:val="22"/>
              </w:rPr>
              <w:t>Number of Respondents</w:t>
            </w:r>
          </w:p>
        </w:tc>
        <w:tc>
          <w:tcPr>
            <w:tcW w:w="1348"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7F292E" w:rsidR="00627418" w:rsidP="00627418" w:rsidRDefault="00627418" w14:paraId="1FBE50DB" w14:textId="77777777">
            <w:pPr>
              <w:rPr>
                <w:rFonts w:ascii="Cambria Math" w:hAnsi="Cambria Math"/>
                <w:sz w:val="22"/>
                <w:szCs w:val="22"/>
              </w:rPr>
            </w:pPr>
            <w:r w:rsidRPr="007F292E">
              <w:rPr>
                <w:rFonts w:ascii="Cambria Math" w:hAnsi="Cambria Math"/>
                <w:color w:val="000000"/>
                <w:sz w:val="22"/>
                <w:szCs w:val="22"/>
              </w:rPr>
              <w:t>Number of Responses per Respondent</w:t>
            </w:r>
          </w:p>
        </w:tc>
        <w:tc>
          <w:tcPr>
            <w:tcW w:w="1129"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7F292E" w:rsidR="00627418" w:rsidP="00627418" w:rsidRDefault="00627418" w14:paraId="6330ADC2" w14:textId="77777777">
            <w:pPr>
              <w:rPr>
                <w:rFonts w:ascii="Cambria Math" w:hAnsi="Cambria Math"/>
                <w:sz w:val="22"/>
                <w:szCs w:val="22"/>
              </w:rPr>
            </w:pPr>
            <w:r w:rsidRPr="007F292E">
              <w:rPr>
                <w:rFonts w:ascii="Cambria Math" w:hAnsi="Cambria Math"/>
                <w:color w:val="000000"/>
                <w:sz w:val="22"/>
                <w:szCs w:val="22"/>
              </w:rPr>
              <w:t>Average Burden per Response</w:t>
            </w:r>
          </w:p>
          <w:p w:rsidRPr="007F292E" w:rsidR="00627418" w:rsidP="00627418" w:rsidRDefault="00627418" w14:paraId="5D86E143" w14:textId="77777777">
            <w:pPr>
              <w:rPr>
                <w:rFonts w:ascii="Cambria Math" w:hAnsi="Cambria Math"/>
                <w:sz w:val="22"/>
                <w:szCs w:val="22"/>
              </w:rPr>
            </w:pPr>
            <w:r w:rsidRPr="007F292E">
              <w:rPr>
                <w:rFonts w:ascii="Cambria Math" w:hAnsi="Cambria Math"/>
                <w:color w:val="000000"/>
                <w:sz w:val="22"/>
                <w:szCs w:val="22"/>
              </w:rPr>
              <w:t>(in hours)</w:t>
            </w:r>
          </w:p>
        </w:tc>
        <w:tc>
          <w:tcPr>
            <w:tcW w:w="957"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7F292E" w:rsidR="00627418" w:rsidP="00627418" w:rsidRDefault="00627418" w14:paraId="1A7CB5DD" w14:textId="77777777">
            <w:pPr>
              <w:rPr>
                <w:rFonts w:ascii="Cambria Math" w:hAnsi="Cambria Math"/>
                <w:sz w:val="22"/>
                <w:szCs w:val="22"/>
              </w:rPr>
            </w:pPr>
            <w:r w:rsidRPr="007F292E">
              <w:rPr>
                <w:rFonts w:ascii="Cambria Math" w:hAnsi="Cambria Math"/>
                <w:color w:val="000000"/>
                <w:sz w:val="22"/>
                <w:szCs w:val="22"/>
              </w:rPr>
              <w:t>Total Burden (in hours)</w:t>
            </w:r>
          </w:p>
        </w:tc>
      </w:tr>
      <w:tr w:rsidRPr="007F292E" w:rsidR="00627418" w:rsidTr="005C5DE2" w14:paraId="5F6C0666" w14:textId="77777777">
        <w:trPr>
          <w:trHeight w:val="864"/>
        </w:trPr>
        <w:tc>
          <w:tcPr>
            <w:tcW w:w="1439" w:type="dxa"/>
            <w:vMerge w:val="restart"/>
            <w:tcBorders>
              <w:top w:val="nil"/>
              <w:left w:val="single" w:color="auto" w:sz="8" w:space="0"/>
              <w:right w:val="single" w:color="auto" w:sz="8" w:space="0"/>
            </w:tcBorders>
            <w:tcMar>
              <w:top w:w="0" w:type="dxa"/>
              <w:left w:w="108" w:type="dxa"/>
              <w:bottom w:w="0" w:type="dxa"/>
              <w:right w:w="108" w:type="dxa"/>
            </w:tcMar>
          </w:tcPr>
          <w:p w:rsidRPr="007F292E" w:rsidR="00627418" w:rsidP="00627418" w:rsidRDefault="00627418" w14:paraId="2FEA39D1" w14:textId="77777777">
            <w:pPr>
              <w:rPr>
                <w:rFonts w:ascii="Cambria Math" w:hAnsi="Cambria Math" w:cstheme="minorHAnsi"/>
                <w:sz w:val="22"/>
                <w:szCs w:val="22"/>
              </w:rPr>
            </w:pPr>
            <w:r w:rsidRPr="007F292E">
              <w:rPr>
                <w:rFonts w:ascii="Cambria Math" w:hAnsi="Cambria Math" w:cstheme="minorHAnsi"/>
                <w:sz w:val="22"/>
                <w:szCs w:val="22"/>
              </w:rPr>
              <w:t>Head of Household</w:t>
            </w:r>
          </w:p>
        </w:tc>
        <w:tc>
          <w:tcPr>
            <w:tcW w:w="2146" w:type="dxa"/>
            <w:tcBorders>
              <w:top w:val="nil"/>
              <w:left w:val="nil"/>
              <w:bottom w:val="single" w:color="auto" w:sz="4" w:space="0"/>
              <w:right w:val="single" w:color="auto" w:sz="8" w:space="0"/>
            </w:tcBorders>
            <w:tcMar>
              <w:top w:w="0" w:type="dxa"/>
              <w:left w:w="108" w:type="dxa"/>
              <w:bottom w:w="0" w:type="dxa"/>
              <w:right w:w="108" w:type="dxa"/>
            </w:tcMar>
          </w:tcPr>
          <w:p w:rsidRPr="007F292E" w:rsidR="00627418" w:rsidP="007E2EDB" w:rsidRDefault="00627418" w14:paraId="3CDBAEFC" w14:textId="77777777">
            <w:pPr>
              <w:rPr>
                <w:rFonts w:ascii="Cambria Math" w:hAnsi="Cambria Math" w:cstheme="minorHAnsi"/>
                <w:sz w:val="22"/>
                <w:szCs w:val="22"/>
              </w:rPr>
            </w:pPr>
            <w:r w:rsidRPr="007F292E">
              <w:rPr>
                <w:rFonts w:ascii="Cambria Math" w:hAnsi="Cambria Math" w:cstheme="minorHAnsi"/>
                <w:sz w:val="22"/>
                <w:szCs w:val="22"/>
              </w:rPr>
              <w:t>Invitation letter</w:t>
            </w:r>
            <w:r w:rsidRPr="007F292E" w:rsidR="008724BD">
              <w:rPr>
                <w:rFonts w:ascii="Cambria Math" w:hAnsi="Cambria Math" w:cstheme="minorHAnsi"/>
                <w:sz w:val="22"/>
                <w:szCs w:val="22"/>
              </w:rPr>
              <w:t xml:space="preserve"> </w:t>
            </w:r>
          </w:p>
          <w:p w:rsidRPr="007F292E" w:rsidR="008720A8" w:rsidP="007E2EDB" w:rsidRDefault="008720A8" w14:paraId="17159919" w14:textId="2B526547">
            <w:pPr>
              <w:rPr>
                <w:rFonts w:ascii="Cambria Math" w:hAnsi="Cambria Math" w:cstheme="minorHAnsi"/>
                <w:sz w:val="22"/>
                <w:szCs w:val="22"/>
              </w:rPr>
            </w:pPr>
            <w:r w:rsidRPr="007F292E">
              <w:rPr>
                <w:rFonts w:ascii="Cambria Math" w:hAnsi="Cambria Math" w:cstheme="minorHAnsi"/>
                <w:sz w:val="22"/>
                <w:szCs w:val="22"/>
              </w:rPr>
              <w:t xml:space="preserve">(Attachment </w:t>
            </w:r>
            <w:r w:rsidR="00F43DEC">
              <w:rPr>
                <w:rFonts w:ascii="Cambria Math" w:hAnsi="Cambria Math" w:cstheme="minorHAnsi"/>
                <w:sz w:val="22"/>
                <w:szCs w:val="22"/>
              </w:rPr>
              <w:t>H</w:t>
            </w:r>
            <w:r w:rsidRPr="007F292E">
              <w:rPr>
                <w:rFonts w:ascii="Cambria Math" w:hAnsi="Cambria Math" w:cstheme="minorHAnsi"/>
                <w:sz w:val="22"/>
                <w:szCs w:val="22"/>
              </w:rPr>
              <w:t>)</w:t>
            </w:r>
          </w:p>
        </w:tc>
        <w:tc>
          <w:tcPr>
            <w:tcW w:w="2331" w:type="dxa"/>
            <w:tcBorders>
              <w:top w:val="nil"/>
              <w:left w:val="nil"/>
              <w:bottom w:val="single" w:color="auto" w:sz="4" w:space="0"/>
              <w:right w:val="single" w:color="auto" w:sz="8" w:space="0"/>
            </w:tcBorders>
            <w:tcMar>
              <w:top w:w="0" w:type="dxa"/>
              <w:left w:w="108" w:type="dxa"/>
              <w:bottom w:w="0" w:type="dxa"/>
              <w:right w:w="108" w:type="dxa"/>
            </w:tcMar>
          </w:tcPr>
          <w:p w:rsidRPr="007F292E" w:rsidR="00627418" w:rsidP="0012527C" w:rsidRDefault="00D830E1" w14:paraId="1C39505F" w14:textId="0FCB2964">
            <w:pPr>
              <w:jc w:val="right"/>
              <w:rPr>
                <w:rFonts w:ascii="Cambria Math" w:hAnsi="Cambria Math" w:cstheme="minorHAnsi"/>
                <w:sz w:val="22"/>
                <w:szCs w:val="22"/>
              </w:rPr>
            </w:pPr>
            <w:r>
              <w:rPr>
                <w:rFonts w:ascii="Cambria Math" w:hAnsi="Cambria Math" w:cstheme="minorHAnsi"/>
                <w:sz w:val="22"/>
                <w:szCs w:val="22"/>
              </w:rPr>
              <w:t>3,121</w:t>
            </w:r>
          </w:p>
        </w:tc>
        <w:tc>
          <w:tcPr>
            <w:tcW w:w="1348" w:type="dxa"/>
            <w:tcBorders>
              <w:top w:val="nil"/>
              <w:left w:val="nil"/>
              <w:bottom w:val="single" w:color="auto" w:sz="4" w:space="0"/>
              <w:right w:val="single" w:color="auto" w:sz="8" w:space="0"/>
            </w:tcBorders>
            <w:tcMar>
              <w:top w:w="0" w:type="dxa"/>
              <w:left w:w="108" w:type="dxa"/>
              <w:bottom w:w="0" w:type="dxa"/>
              <w:right w:w="108" w:type="dxa"/>
            </w:tcMar>
          </w:tcPr>
          <w:p w:rsidRPr="007F292E" w:rsidR="00627418" w:rsidP="0012527C" w:rsidRDefault="00627418" w14:paraId="5DCD06F4" w14:textId="77777777">
            <w:pPr>
              <w:jc w:val="right"/>
              <w:rPr>
                <w:rFonts w:ascii="Cambria Math" w:hAnsi="Cambria Math"/>
                <w:sz w:val="22"/>
                <w:szCs w:val="22"/>
              </w:rPr>
            </w:pPr>
            <w:r w:rsidRPr="007F292E">
              <w:rPr>
                <w:rFonts w:ascii="Cambria Math" w:hAnsi="Cambria Math"/>
                <w:sz w:val="22"/>
                <w:szCs w:val="22"/>
              </w:rPr>
              <w:t>1</w:t>
            </w:r>
          </w:p>
        </w:tc>
        <w:tc>
          <w:tcPr>
            <w:tcW w:w="1129" w:type="dxa"/>
            <w:tcBorders>
              <w:top w:val="nil"/>
              <w:left w:val="nil"/>
              <w:bottom w:val="single" w:color="auto" w:sz="4" w:space="0"/>
              <w:right w:val="single" w:color="auto" w:sz="8" w:space="0"/>
            </w:tcBorders>
            <w:tcMar>
              <w:top w:w="0" w:type="dxa"/>
              <w:left w:w="108" w:type="dxa"/>
              <w:bottom w:w="0" w:type="dxa"/>
              <w:right w:w="108" w:type="dxa"/>
            </w:tcMar>
          </w:tcPr>
          <w:p w:rsidRPr="007F292E" w:rsidR="00627418" w:rsidP="0012527C" w:rsidRDefault="00627418" w14:paraId="1D90B28F" w14:textId="77777777">
            <w:pPr>
              <w:jc w:val="right"/>
              <w:rPr>
                <w:rFonts w:ascii="Cambria Math" w:hAnsi="Cambria Math"/>
                <w:sz w:val="22"/>
                <w:szCs w:val="22"/>
              </w:rPr>
            </w:pPr>
            <w:r w:rsidRPr="007F292E">
              <w:rPr>
                <w:rFonts w:ascii="Cambria Math" w:hAnsi="Cambria Math"/>
                <w:sz w:val="22"/>
                <w:szCs w:val="22"/>
              </w:rPr>
              <w:t>2/60</w:t>
            </w:r>
          </w:p>
        </w:tc>
        <w:tc>
          <w:tcPr>
            <w:tcW w:w="957" w:type="dxa"/>
            <w:tcBorders>
              <w:top w:val="nil"/>
              <w:left w:val="nil"/>
              <w:bottom w:val="single" w:color="auto" w:sz="4" w:space="0"/>
              <w:right w:val="single" w:color="auto" w:sz="8" w:space="0"/>
            </w:tcBorders>
            <w:tcMar>
              <w:top w:w="0" w:type="dxa"/>
              <w:left w:w="108" w:type="dxa"/>
              <w:bottom w:w="0" w:type="dxa"/>
              <w:right w:w="108" w:type="dxa"/>
            </w:tcMar>
          </w:tcPr>
          <w:p w:rsidRPr="007F292E" w:rsidR="00627418" w:rsidP="0012527C" w:rsidRDefault="00206FE3" w14:paraId="531ECB59" w14:textId="7FFF9254">
            <w:pPr>
              <w:jc w:val="right"/>
              <w:rPr>
                <w:rFonts w:ascii="Cambria Math" w:hAnsi="Cambria Math"/>
                <w:sz w:val="22"/>
                <w:szCs w:val="22"/>
              </w:rPr>
            </w:pPr>
            <w:r>
              <w:rPr>
                <w:rFonts w:ascii="Cambria Math" w:hAnsi="Cambria Math"/>
                <w:sz w:val="22"/>
                <w:szCs w:val="22"/>
              </w:rPr>
              <w:t>10</w:t>
            </w:r>
            <w:r w:rsidR="00D830E1">
              <w:rPr>
                <w:rFonts w:ascii="Cambria Math" w:hAnsi="Cambria Math"/>
                <w:sz w:val="22"/>
                <w:szCs w:val="22"/>
              </w:rPr>
              <w:t>4</w:t>
            </w:r>
          </w:p>
        </w:tc>
      </w:tr>
      <w:tr w:rsidRPr="007F292E" w:rsidR="00627418" w:rsidTr="005C5DE2" w14:paraId="3BE1D88A" w14:textId="77777777">
        <w:trPr>
          <w:trHeight w:val="950"/>
        </w:trPr>
        <w:tc>
          <w:tcPr>
            <w:tcW w:w="1439" w:type="dxa"/>
            <w:vMerge/>
            <w:tcBorders>
              <w:left w:val="single" w:color="auto" w:sz="8" w:space="0"/>
              <w:right w:val="single" w:color="auto" w:sz="8" w:space="0"/>
            </w:tcBorders>
            <w:tcMar>
              <w:top w:w="0" w:type="dxa"/>
              <w:left w:w="108" w:type="dxa"/>
              <w:bottom w:w="0" w:type="dxa"/>
              <w:right w:w="108" w:type="dxa"/>
            </w:tcMar>
          </w:tcPr>
          <w:p w:rsidRPr="007F292E" w:rsidR="00627418" w:rsidP="00627418" w:rsidRDefault="00627418" w14:paraId="4E3E5491" w14:textId="77777777">
            <w:pPr>
              <w:rPr>
                <w:rFonts w:ascii="Cambria Math" w:hAnsi="Cambria Math"/>
                <w:sz w:val="22"/>
                <w:szCs w:val="22"/>
              </w:rPr>
            </w:pPr>
          </w:p>
        </w:tc>
        <w:tc>
          <w:tcPr>
            <w:tcW w:w="2146"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6A7620" w:rsidRDefault="00627418" w14:paraId="483F0C87" w14:textId="13041828">
            <w:pPr>
              <w:rPr>
                <w:rFonts w:ascii="Cambria Math" w:hAnsi="Cambria Math" w:cstheme="minorHAnsi"/>
                <w:sz w:val="22"/>
                <w:szCs w:val="22"/>
              </w:rPr>
            </w:pPr>
            <w:r w:rsidRPr="00FB0E46">
              <w:rPr>
                <w:rFonts w:ascii="Cambria Math" w:hAnsi="Cambria Math" w:cstheme="minorHAnsi"/>
                <w:sz w:val="22"/>
                <w:szCs w:val="22"/>
              </w:rPr>
              <w:t xml:space="preserve">Screener Questionnaire </w:t>
            </w:r>
            <w:r w:rsidRPr="00FB0E46">
              <w:rPr>
                <w:rFonts w:ascii="Cambria Math" w:hAnsi="Cambria Math"/>
                <w:sz w:val="22"/>
                <w:szCs w:val="22"/>
              </w:rPr>
              <w:t xml:space="preserve">(Attachment </w:t>
            </w:r>
            <w:r w:rsidR="00F43DEC">
              <w:rPr>
                <w:rFonts w:ascii="Cambria Math" w:hAnsi="Cambria Math"/>
                <w:sz w:val="22"/>
                <w:szCs w:val="22"/>
              </w:rPr>
              <w:t>I</w:t>
            </w:r>
            <w:r w:rsidRPr="00FB0E46">
              <w:rPr>
                <w:rFonts w:ascii="Cambria Math" w:hAnsi="Cambria Math"/>
                <w:sz w:val="22"/>
                <w:szCs w:val="22"/>
              </w:rPr>
              <w:t>)</w:t>
            </w:r>
          </w:p>
        </w:tc>
        <w:tc>
          <w:tcPr>
            <w:tcW w:w="2331"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2A4878" w:rsidRDefault="00BE6D92" w14:paraId="16F21203" w14:textId="0A9D98C7">
            <w:pPr>
              <w:jc w:val="right"/>
              <w:rPr>
                <w:rFonts w:ascii="Cambria Math" w:hAnsi="Cambria Math" w:cstheme="minorHAnsi"/>
                <w:sz w:val="22"/>
                <w:szCs w:val="22"/>
              </w:rPr>
            </w:pPr>
            <w:r>
              <w:rPr>
                <w:rFonts w:ascii="Cambria Math" w:hAnsi="Cambria Math" w:cstheme="minorHAnsi"/>
                <w:sz w:val="22"/>
                <w:szCs w:val="22"/>
              </w:rPr>
              <w:t>2,808</w:t>
            </w:r>
          </w:p>
        </w:tc>
        <w:tc>
          <w:tcPr>
            <w:tcW w:w="1348"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2A4878" w:rsidRDefault="00627418" w14:paraId="5FA9B5BC" w14:textId="77777777">
            <w:pPr>
              <w:jc w:val="right"/>
              <w:rPr>
                <w:rFonts w:ascii="Cambria Math" w:hAnsi="Cambria Math"/>
                <w:sz w:val="22"/>
                <w:szCs w:val="22"/>
              </w:rPr>
            </w:pPr>
            <w:r w:rsidRPr="00FB0E46">
              <w:rPr>
                <w:rFonts w:ascii="Cambria Math" w:hAnsi="Cambria Math"/>
                <w:sz w:val="22"/>
                <w:szCs w:val="22"/>
              </w:rPr>
              <w:t>1</w:t>
            </w:r>
          </w:p>
        </w:tc>
        <w:tc>
          <w:tcPr>
            <w:tcW w:w="1129"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2A4878" w:rsidRDefault="00627418" w14:paraId="0CADD36D" w14:textId="77777777">
            <w:pPr>
              <w:jc w:val="right"/>
              <w:rPr>
                <w:rFonts w:ascii="Cambria Math" w:hAnsi="Cambria Math"/>
                <w:sz w:val="22"/>
                <w:szCs w:val="22"/>
              </w:rPr>
            </w:pPr>
            <w:r w:rsidRPr="00FB0E46">
              <w:rPr>
                <w:rFonts w:ascii="Cambria Math" w:hAnsi="Cambria Math"/>
                <w:sz w:val="22"/>
                <w:szCs w:val="22"/>
              </w:rPr>
              <w:t> 3/60</w:t>
            </w:r>
          </w:p>
        </w:tc>
        <w:tc>
          <w:tcPr>
            <w:tcW w:w="957"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2A4878" w:rsidRDefault="00BE6D92" w14:paraId="7D83946B" w14:textId="59265397">
            <w:pPr>
              <w:jc w:val="right"/>
              <w:rPr>
                <w:rFonts w:ascii="Cambria Math" w:hAnsi="Cambria Math"/>
                <w:sz w:val="22"/>
                <w:szCs w:val="22"/>
              </w:rPr>
            </w:pPr>
            <w:r>
              <w:rPr>
                <w:rFonts w:ascii="Cambria Math" w:hAnsi="Cambria Math"/>
                <w:sz w:val="22"/>
                <w:szCs w:val="22"/>
              </w:rPr>
              <w:t>140</w:t>
            </w:r>
          </w:p>
        </w:tc>
      </w:tr>
      <w:tr w:rsidRPr="007F292E" w:rsidR="00627418" w:rsidTr="005C5DE2" w14:paraId="629D3633" w14:textId="77777777">
        <w:trPr>
          <w:trHeight w:val="864"/>
        </w:trPr>
        <w:tc>
          <w:tcPr>
            <w:tcW w:w="1439" w:type="dxa"/>
            <w:vMerge/>
            <w:tcBorders>
              <w:left w:val="single" w:color="auto" w:sz="8" w:space="0"/>
              <w:right w:val="single" w:color="auto" w:sz="8" w:space="0"/>
            </w:tcBorders>
            <w:tcMar>
              <w:top w:w="0" w:type="dxa"/>
              <w:left w:w="108" w:type="dxa"/>
              <w:bottom w:w="0" w:type="dxa"/>
              <w:right w:w="108" w:type="dxa"/>
            </w:tcMar>
          </w:tcPr>
          <w:p w:rsidRPr="007F292E" w:rsidR="00627418" w:rsidP="00627418" w:rsidRDefault="00627418" w14:paraId="623CEFC9" w14:textId="77777777">
            <w:pPr>
              <w:rPr>
                <w:rFonts w:ascii="Cambria Math" w:hAnsi="Cambria Math"/>
                <w:sz w:val="22"/>
                <w:szCs w:val="22"/>
              </w:rPr>
            </w:pPr>
          </w:p>
        </w:tc>
        <w:tc>
          <w:tcPr>
            <w:tcW w:w="2146"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627418" w:rsidRDefault="00627418" w14:paraId="56C7E110" w14:textId="06E903FD">
            <w:pPr>
              <w:rPr>
                <w:rFonts w:ascii="Cambria Math" w:hAnsi="Cambria Math" w:cstheme="minorHAnsi"/>
                <w:sz w:val="22"/>
                <w:szCs w:val="22"/>
              </w:rPr>
            </w:pPr>
            <w:r w:rsidRPr="00FB0E46">
              <w:rPr>
                <w:rFonts w:ascii="Cambria Math" w:hAnsi="Cambria Math" w:cstheme="minorHAnsi"/>
                <w:sz w:val="22"/>
                <w:szCs w:val="22"/>
              </w:rPr>
              <w:t xml:space="preserve">Head of Household Consent (Attachment </w:t>
            </w:r>
            <w:r w:rsidRPr="00FB0E46" w:rsidR="008F3F36">
              <w:rPr>
                <w:rFonts w:ascii="Cambria Math" w:hAnsi="Cambria Math" w:cstheme="minorHAnsi"/>
                <w:sz w:val="22"/>
                <w:szCs w:val="22"/>
              </w:rPr>
              <w:t>D</w:t>
            </w:r>
            <w:r w:rsidRPr="00FB0E46">
              <w:rPr>
                <w:rFonts w:ascii="Cambria Math" w:hAnsi="Cambria Math" w:cstheme="minorHAnsi"/>
                <w:sz w:val="22"/>
                <w:szCs w:val="22"/>
              </w:rPr>
              <w:t>)</w:t>
            </w:r>
          </w:p>
        </w:tc>
        <w:tc>
          <w:tcPr>
            <w:tcW w:w="2331"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BE6D92" w14:paraId="4D1203FE" w14:textId="2E61B002">
            <w:pPr>
              <w:jc w:val="right"/>
              <w:rPr>
                <w:rFonts w:ascii="Cambria Math" w:hAnsi="Cambria Math" w:cstheme="minorHAnsi"/>
                <w:sz w:val="22"/>
                <w:szCs w:val="22"/>
              </w:rPr>
            </w:pPr>
            <w:r>
              <w:rPr>
                <w:rFonts w:ascii="Cambria Math" w:hAnsi="Cambria Math" w:cstheme="minorHAnsi"/>
                <w:sz w:val="22"/>
                <w:szCs w:val="22"/>
              </w:rPr>
              <w:t>702</w:t>
            </w:r>
          </w:p>
        </w:tc>
        <w:tc>
          <w:tcPr>
            <w:tcW w:w="1348"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627418" w14:paraId="473017AA" w14:textId="77777777">
            <w:pPr>
              <w:jc w:val="right"/>
              <w:rPr>
                <w:rFonts w:ascii="Cambria Math" w:hAnsi="Cambria Math"/>
                <w:sz w:val="22"/>
                <w:szCs w:val="22"/>
              </w:rPr>
            </w:pPr>
            <w:r w:rsidRPr="00FB0E46">
              <w:rPr>
                <w:rFonts w:ascii="Cambria Math" w:hAnsi="Cambria Math"/>
                <w:sz w:val="22"/>
                <w:szCs w:val="22"/>
              </w:rPr>
              <w:t>1</w:t>
            </w:r>
          </w:p>
        </w:tc>
        <w:tc>
          <w:tcPr>
            <w:tcW w:w="1129"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627418" w14:paraId="1B08C048" w14:textId="77777777">
            <w:pPr>
              <w:jc w:val="right"/>
              <w:rPr>
                <w:rFonts w:ascii="Cambria Math" w:hAnsi="Cambria Math"/>
                <w:sz w:val="22"/>
                <w:szCs w:val="22"/>
              </w:rPr>
            </w:pPr>
            <w:r w:rsidRPr="00FB0E46">
              <w:rPr>
                <w:rFonts w:ascii="Cambria Math" w:hAnsi="Cambria Math"/>
                <w:sz w:val="22"/>
                <w:szCs w:val="22"/>
              </w:rPr>
              <w:t>2/60</w:t>
            </w:r>
          </w:p>
        </w:tc>
        <w:tc>
          <w:tcPr>
            <w:tcW w:w="957"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BE6D92" w14:paraId="39C556BC" w14:textId="74AA02A2">
            <w:pPr>
              <w:jc w:val="right"/>
              <w:rPr>
                <w:rFonts w:ascii="Cambria Math" w:hAnsi="Cambria Math"/>
                <w:sz w:val="22"/>
                <w:szCs w:val="22"/>
              </w:rPr>
            </w:pPr>
            <w:r>
              <w:rPr>
                <w:rFonts w:ascii="Cambria Math" w:hAnsi="Cambria Math"/>
                <w:sz w:val="22"/>
                <w:szCs w:val="22"/>
              </w:rPr>
              <w:t>23</w:t>
            </w:r>
          </w:p>
        </w:tc>
      </w:tr>
      <w:tr w:rsidRPr="007F292E" w:rsidR="00627418" w:rsidTr="005C5DE2" w14:paraId="5E1C3030" w14:textId="77777777">
        <w:trPr>
          <w:trHeight w:val="864"/>
        </w:trPr>
        <w:tc>
          <w:tcPr>
            <w:tcW w:w="1439" w:type="dxa"/>
            <w:tcBorders>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627418" w:rsidRDefault="00627418" w14:paraId="44351C71" w14:textId="77777777">
            <w:pPr>
              <w:rPr>
                <w:rFonts w:ascii="Cambria Math" w:hAnsi="Cambria Math" w:cstheme="minorHAnsi"/>
                <w:sz w:val="22"/>
                <w:szCs w:val="22"/>
              </w:rPr>
            </w:pPr>
          </w:p>
        </w:tc>
        <w:tc>
          <w:tcPr>
            <w:tcW w:w="2146"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Pr="00FB0E46" w:rsidR="00627418" w:rsidP="00627418" w:rsidRDefault="00627418" w14:paraId="4490F3B1" w14:textId="35AFE94B">
            <w:pPr>
              <w:rPr>
                <w:rFonts w:ascii="Cambria Math" w:hAnsi="Cambria Math" w:cstheme="minorHAnsi"/>
                <w:sz w:val="22"/>
                <w:szCs w:val="22"/>
              </w:rPr>
            </w:pPr>
            <w:r w:rsidRPr="00FB0E46">
              <w:rPr>
                <w:rFonts w:ascii="Cambria Math" w:hAnsi="Cambria Math" w:cstheme="minorHAnsi"/>
                <w:sz w:val="22"/>
                <w:szCs w:val="22"/>
              </w:rPr>
              <w:t>Head of Household Questionnaire</w:t>
            </w:r>
          </w:p>
          <w:p w:rsidRPr="00FB0E46" w:rsidR="00627418" w:rsidP="00627418" w:rsidRDefault="00627418" w14:paraId="07E1A293" w14:textId="1F1F7553">
            <w:pPr>
              <w:rPr>
                <w:rFonts w:ascii="Cambria Math" w:hAnsi="Cambria Math" w:cstheme="minorHAnsi"/>
                <w:sz w:val="22"/>
                <w:szCs w:val="22"/>
              </w:rPr>
            </w:pPr>
            <w:r w:rsidRPr="00FB0E46">
              <w:rPr>
                <w:rFonts w:ascii="Cambria Math" w:hAnsi="Cambria Math"/>
                <w:sz w:val="22"/>
                <w:szCs w:val="22"/>
              </w:rPr>
              <w:t xml:space="preserve">(Attachment </w:t>
            </w:r>
            <w:r w:rsidR="00F43DEC">
              <w:rPr>
                <w:rFonts w:ascii="Cambria Math" w:hAnsi="Cambria Math"/>
                <w:sz w:val="22"/>
                <w:szCs w:val="22"/>
              </w:rPr>
              <w:t>E</w:t>
            </w:r>
            <w:r w:rsidRPr="00FB0E46">
              <w:rPr>
                <w:rFonts w:ascii="Cambria Math" w:hAnsi="Cambria Math"/>
                <w:sz w:val="22"/>
                <w:szCs w:val="22"/>
              </w:rPr>
              <w:t>)</w:t>
            </w:r>
          </w:p>
        </w:tc>
        <w:tc>
          <w:tcPr>
            <w:tcW w:w="2331"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BE6D92" w14:paraId="762689A3" w14:textId="3933ECC0">
            <w:pPr>
              <w:jc w:val="right"/>
              <w:rPr>
                <w:rFonts w:ascii="Cambria Math" w:hAnsi="Cambria Math" w:cstheme="minorHAnsi"/>
                <w:sz w:val="22"/>
                <w:szCs w:val="22"/>
              </w:rPr>
            </w:pPr>
            <w:r>
              <w:rPr>
                <w:rFonts w:ascii="Cambria Math" w:hAnsi="Cambria Math" w:cstheme="minorHAnsi"/>
                <w:sz w:val="22"/>
                <w:szCs w:val="22"/>
              </w:rPr>
              <w:t>632</w:t>
            </w:r>
          </w:p>
        </w:tc>
        <w:tc>
          <w:tcPr>
            <w:tcW w:w="1348"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627418" w14:paraId="3F7B20CF" w14:textId="77777777">
            <w:pPr>
              <w:jc w:val="right"/>
              <w:rPr>
                <w:rFonts w:ascii="Cambria Math" w:hAnsi="Cambria Math"/>
                <w:sz w:val="22"/>
                <w:szCs w:val="22"/>
              </w:rPr>
            </w:pPr>
            <w:r w:rsidRPr="00FB0E46">
              <w:rPr>
                <w:rFonts w:ascii="Cambria Math" w:hAnsi="Cambria Math"/>
                <w:sz w:val="22"/>
                <w:szCs w:val="22"/>
              </w:rPr>
              <w:t>1</w:t>
            </w:r>
          </w:p>
        </w:tc>
        <w:tc>
          <w:tcPr>
            <w:tcW w:w="1129"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627418" w14:paraId="71A682EF" w14:textId="77777777">
            <w:pPr>
              <w:jc w:val="right"/>
              <w:rPr>
                <w:rFonts w:ascii="Cambria Math" w:hAnsi="Cambria Math"/>
                <w:sz w:val="22"/>
                <w:szCs w:val="22"/>
              </w:rPr>
            </w:pPr>
            <w:r w:rsidRPr="00FB0E46">
              <w:rPr>
                <w:rFonts w:ascii="Cambria Math" w:hAnsi="Cambria Math"/>
                <w:sz w:val="22"/>
                <w:szCs w:val="22"/>
              </w:rPr>
              <w:t>15/60</w:t>
            </w:r>
          </w:p>
        </w:tc>
        <w:tc>
          <w:tcPr>
            <w:tcW w:w="957" w:type="dxa"/>
            <w:tcBorders>
              <w:top w:val="nil"/>
              <w:left w:val="nil"/>
              <w:bottom w:val="single" w:color="auto" w:sz="4" w:space="0"/>
              <w:right w:val="single" w:color="auto" w:sz="8" w:space="0"/>
            </w:tcBorders>
            <w:tcMar>
              <w:top w:w="0" w:type="dxa"/>
              <w:left w:w="108" w:type="dxa"/>
              <w:bottom w:w="0" w:type="dxa"/>
              <w:right w:w="108" w:type="dxa"/>
            </w:tcMar>
          </w:tcPr>
          <w:p w:rsidRPr="00FB0E46" w:rsidR="00627418" w:rsidP="000B4D33" w:rsidRDefault="00882DD7" w14:paraId="1BF9ED95" w14:textId="180E4ACF">
            <w:pPr>
              <w:jc w:val="right"/>
              <w:rPr>
                <w:rFonts w:ascii="Cambria Math" w:hAnsi="Cambria Math"/>
                <w:sz w:val="22"/>
                <w:szCs w:val="22"/>
              </w:rPr>
            </w:pPr>
            <w:r w:rsidRPr="00FB0E46">
              <w:rPr>
                <w:rFonts w:ascii="Cambria Math" w:hAnsi="Cambria Math"/>
                <w:sz w:val="22"/>
                <w:szCs w:val="22"/>
              </w:rPr>
              <w:t>15</w:t>
            </w:r>
            <w:r w:rsidR="00BE6D92">
              <w:rPr>
                <w:rFonts w:ascii="Cambria Math" w:hAnsi="Cambria Math"/>
                <w:sz w:val="22"/>
                <w:szCs w:val="22"/>
              </w:rPr>
              <w:t>8</w:t>
            </w:r>
          </w:p>
        </w:tc>
      </w:tr>
      <w:tr w:rsidRPr="007F292E" w:rsidR="00627418" w:rsidTr="005C5DE2" w14:paraId="11EF2E56" w14:textId="77777777">
        <w:trPr>
          <w:trHeight w:val="864"/>
        </w:trPr>
        <w:tc>
          <w:tcPr>
            <w:tcW w:w="1439" w:type="dxa"/>
            <w:vMerge w:val="restart"/>
            <w:tcBorders>
              <w:top w:val="single" w:color="auto" w:sz="4" w:space="0"/>
              <w:left w:val="single" w:color="auto" w:sz="8" w:space="0"/>
              <w:right w:val="single" w:color="auto" w:sz="4" w:space="0"/>
            </w:tcBorders>
            <w:tcMar>
              <w:top w:w="0" w:type="dxa"/>
              <w:left w:w="108" w:type="dxa"/>
              <w:bottom w:w="0" w:type="dxa"/>
              <w:right w:w="108" w:type="dxa"/>
            </w:tcMar>
          </w:tcPr>
          <w:p w:rsidRPr="007F292E" w:rsidR="00627418" w:rsidP="00627418" w:rsidRDefault="00627418" w14:paraId="7A719114" w14:textId="77777777">
            <w:pPr>
              <w:rPr>
                <w:rFonts w:ascii="Cambria Math" w:hAnsi="Cambria Math" w:cstheme="minorHAnsi"/>
                <w:sz w:val="22"/>
                <w:szCs w:val="22"/>
              </w:rPr>
            </w:pPr>
            <w:r w:rsidRPr="007F292E">
              <w:rPr>
                <w:rFonts w:ascii="Cambria Math" w:hAnsi="Cambria Math" w:cstheme="minorHAnsi"/>
                <w:sz w:val="22"/>
                <w:szCs w:val="22"/>
              </w:rPr>
              <w:t>Youth ages 13-24 in Baltimore or Garrett County, Maryland</w:t>
            </w:r>
            <w:r w:rsidRPr="007F292E">
              <w:rPr>
                <w:rFonts w:ascii="Cambria Math" w:hAnsi="Cambria Math"/>
                <w:sz w:val="22"/>
                <w:szCs w:val="22"/>
              </w:rPr>
              <w:t xml:space="preserve"> </w:t>
            </w:r>
            <w:r w:rsidRPr="007F292E">
              <w:rPr>
                <w:rFonts w:ascii="Cambria Math" w:hAnsi="Cambria Math" w:cs="Calibri"/>
                <w:sz w:val="22"/>
                <w:szCs w:val="22"/>
              </w:rPr>
              <w:t> </w:t>
            </w:r>
          </w:p>
        </w:tc>
        <w:tc>
          <w:tcPr>
            <w:tcW w:w="2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B0E46" w:rsidR="00627418" w:rsidP="00627418" w:rsidRDefault="00827A72" w14:paraId="71D79ED4" w14:textId="0009D4C7">
            <w:pPr>
              <w:rPr>
                <w:rFonts w:ascii="Cambria Math" w:hAnsi="Cambria Math" w:cstheme="minorHAnsi"/>
                <w:sz w:val="22"/>
                <w:szCs w:val="22"/>
              </w:rPr>
            </w:pPr>
            <w:r w:rsidRPr="00FB0E46">
              <w:rPr>
                <w:rFonts w:ascii="Cambria Math" w:hAnsi="Cambria Math" w:cstheme="minorHAnsi"/>
                <w:sz w:val="22"/>
                <w:szCs w:val="22"/>
              </w:rPr>
              <w:t>Y</w:t>
            </w:r>
            <w:r w:rsidRPr="00FB0E46" w:rsidR="00627418">
              <w:rPr>
                <w:rFonts w:ascii="Cambria Math" w:hAnsi="Cambria Math" w:cstheme="minorHAnsi"/>
                <w:sz w:val="22"/>
                <w:szCs w:val="22"/>
              </w:rPr>
              <w:t>outh participant consent/assent</w:t>
            </w:r>
          </w:p>
          <w:p w:rsidRPr="00FB0E46" w:rsidR="00627418" w:rsidP="00627418" w:rsidRDefault="00627418" w14:paraId="77F520E0" w14:textId="14E4ACE0">
            <w:pPr>
              <w:rPr>
                <w:rFonts w:ascii="Cambria Math" w:hAnsi="Cambria Math" w:cstheme="minorHAnsi"/>
                <w:sz w:val="22"/>
                <w:szCs w:val="22"/>
              </w:rPr>
            </w:pPr>
            <w:r w:rsidRPr="00FB0E46">
              <w:rPr>
                <w:rFonts w:ascii="Cambria Math" w:hAnsi="Cambria Math" w:cstheme="minorHAnsi"/>
                <w:sz w:val="22"/>
                <w:szCs w:val="22"/>
              </w:rPr>
              <w:t xml:space="preserve">(Attachment </w:t>
            </w:r>
            <w:r w:rsidR="008E7D28">
              <w:rPr>
                <w:rFonts w:ascii="Cambria Math" w:hAnsi="Cambria Math" w:cstheme="minorHAnsi"/>
                <w:sz w:val="22"/>
                <w:szCs w:val="22"/>
              </w:rPr>
              <w:t>F</w:t>
            </w:r>
            <w:r w:rsidRPr="00FB0E46">
              <w:rPr>
                <w:rFonts w:ascii="Cambria Math" w:hAnsi="Cambria Math" w:cstheme="minorHAnsi"/>
                <w:sz w:val="22"/>
                <w:szCs w:val="22"/>
              </w:rPr>
              <w:t>)</w:t>
            </w:r>
          </w:p>
        </w:tc>
        <w:tc>
          <w:tcPr>
            <w:tcW w:w="23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B0E46" w:rsidR="00627418" w:rsidP="000B4D33" w:rsidRDefault="00BE6D92" w14:paraId="11FB26F1" w14:textId="77589E7E">
            <w:pPr>
              <w:jc w:val="right"/>
              <w:rPr>
                <w:rFonts w:ascii="Cambria Math" w:hAnsi="Cambria Math"/>
                <w:sz w:val="22"/>
                <w:szCs w:val="22"/>
              </w:rPr>
            </w:pPr>
            <w:r>
              <w:rPr>
                <w:rFonts w:ascii="Cambria Math" w:hAnsi="Cambria Math"/>
                <w:sz w:val="22"/>
                <w:szCs w:val="22"/>
              </w:rPr>
              <w:t>632</w:t>
            </w:r>
          </w:p>
        </w:tc>
        <w:tc>
          <w:tcPr>
            <w:tcW w:w="13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B0E46" w:rsidR="00627418" w:rsidP="000B4D33" w:rsidRDefault="00627418" w14:paraId="6B119EE0" w14:textId="77777777">
            <w:pPr>
              <w:jc w:val="right"/>
              <w:rPr>
                <w:rFonts w:ascii="Cambria Math" w:hAnsi="Cambria Math"/>
                <w:sz w:val="22"/>
                <w:szCs w:val="22"/>
              </w:rPr>
            </w:pPr>
            <w:r w:rsidRPr="00FB0E46">
              <w:rPr>
                <w:rFonts w:ascii="Cambria Math" w:hAnsi="Cambria Math"/>
                <w:sz w:val="22"/>
                <w:szCs w:val="22"/>
              </w:rPr>
              <w:t>1</w:t>
            </w:r>
          </w:p>
        </w:tc>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B0E46" w:rsidR="00627418" w:rsidP="000B4D33" w:rsidRDefault="00627418" w14:paraId="1E08E17A" w14:textId="77777777">
            <w:pPr>
              <w:jc w:val="right"/>
              <w:rPr>
                <w:rFonts w:ascii="Cambria Math" w:hAnsi="Cambria Math"/>
                <w:sz w:val="22"/>
                <w:szCs w:val="22"/>
              </w:rPr>
            </w:pPr>
            <w:r w:rsidRPr="00FB0E46">
              <w:rPr>
                <w:rFonts w:ascii="Cambria Math" w:hAnsi="Cambria Math"/>
                <w:sz w:val="22"/>
                <w:szCs w:val="22"/>
              </w:rPr>
              <w:t>3/60</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B0E46" w:rsidR="00627418" w:rsidP="000B4D33" w:rsidRDefault="004E2A9D" w14:paraId="55BEC096" w14:textId="1DC549ED">
            <w:pPr>
              <w:jc w:val="right"/>
              <w:rPr>
                <w:rFonts w:ascii="Cambria Math" w:hAnsi="Cambria Math"/>
                <w:sz w:val="22"/>
                <w:szCs w:val="22"/>
              </w:rPr>
            </w:pPr>
            <w:r w:rsidRPr="00FB0E46">
              <w:rPr>
                <w:rFonts w:ascii="Cambria Math" w:hAnsi="Cambria Math"/>
                <w:sz w:val="22"/>
                <w:szCs w:val="22"/>
              </w:rPr>
              <w:t>3</w:t>
            </w:r>
            <w:r w:rsidR="00BE6D92">
              <w:rPr>
                <w:rFonts w:ascii="Cambria Math" w:hAnsi="Cambria Math"/>
                <w:sz w:val="22"/>
                <w:szCs w:val="22"/>
              </w:rPr>
              <w:t>2</w:t>
            </w:r>
          </w:p>
        </w:tc>
      </w:tr>
      <w:tr w:rsidRPr="007F292E" w:rsidR="00627418" w:rsidTr="005C5DE2" w14:paraId="078DA91B" w14:textId="77777777">
        <w:trPr>
          <w:trHeight w:val="864"/>
        </w:trPr>
        <w:tc>
          <w:tcPr>
            <w:tcW w:w="1439" w:type="dxa"/>
            <w:vMerge/>
            <w:tcBorders>
              <w:left w:val="single" w:color="auto" w:sz="8" w:space="0"/>
              <w:right w:val="single" w:color="auto" w:sz="4" w:space="0"/>
            </w:tcBorders>
            <w:tcMar>
              <w:top w:w="0" w:type="dxa"/>
              <w:left w:w="108" w:type="dxa"/>
              <w:bottom w:w="0" w:type="dxa"/>
              <w:right w:w="108" w:type="dxa"/>
            </w:tcMar>
            <w:hideMark/>
          </w:tcPr>
          <w:p w:rsidRPr="007F292E" w:rsidR="00627418" w:rsidP="00627418" w:rsidRDefault="00627418" w14:paraId="5FE3E2C1" w14:textId="77777777">
            <w:pPr>
              <w:rPr>
                <w:rFonts w:ascii="Cambria Math" w:hAnsi="Cambria Math" w:cs="Calibri"/>
                <w:sz w:val="22"/>
                <w:szCs w:val="22"/>
              </w:rPr>
            </w:pPr>
          </w:p>
        </w:tc>
        <w:tc>
          <w:tcPr>
            <w:tcW w:w="2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627418" w:rsidRDefault="00627418" w14:paraId="447EFFF2" w14:textId="23C8B7F0">
            <w:pPr>
              <w:rPr>
                <w:rFonts w:ascii="Cambria Math" w:hAnsi="Cambria Math" w:cstheme="minorHAnsi"/>
                <w:sz w:val="22"/>
                <w:szCs w:val="22"/>
              </w:rPr>
            </w:pPr>
            <w:r w:rsidRPr="007F292E">
              <w:rPr>
                <w:rFonts w:ascii="Cambria Math" w:hAnsi="Cambria Math" w:cstheme="minorHAnsi"/>
                <w:sz w:val="22"/>
                <w:szCs w:val="22"/>
              </w:rPr>
              <w:t xml:space="preserve">Core Youth Participant Questionnaire </w:t>
            </w:r>
          </w:p>
          <w:p w:rsidRPr="007F292E" w:rsidR="00627418" w:rsidP="008E7D28" w:rsidRDefault="00627418" w14:paraId="572DCE17" w14:textId="66452C41">
            <w:pPr>
              <w:rPr>
                <w:rFonts w:ascii="Cambria Math" w:hAnsi="Cambria Math"/>
                <w:sz w:val="22"/>
                <w:szCs w:val="22"/>
              </w:rPr>
            </w:pPr>
            <w:r w:rsidRPr="007F292E">
              <w:rPr>
                <w:rFonts w:ascii="Cambria Math" w:hAnsi="Cambria Math"/>
                <w:sz w:val="22"/>
                <w:szCs w:val="22"/>
              </w:rPr>
              <w:t xml:space="preserve">(Attachment </w:t>
            </w:r>
            <w:r w:rsidR="008E7D28">
              <w:rPr>
                <w:rFonts w:ascii="Cambria Math" w:hAnsi="Cambria Math"/>
                <w:sz w:val="22"/>
                <w:szCs w:val="22"/>
              </w:rPr>
              <w:t>J</w:t>
            </w:r>
            <w:r w:rsidRPr="007F292E">
              <w:rPr>
                <w:rFonts w:ascii="Cambria Math" w:hAnsi="Cambria Math"/>
                <w:sz w:val="22"/>
                <w:szCs w:val="22"/>
              </w:rPr>
              <w:t>)</w:t>
            </w:r>
          </w:p>
        </w:tc>
        <w:tc>
          <w:tcPr>
            <w:tcW w:w="23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0B4D33" w:rsidRDefault="00BE6D92" w14:paraId="134826C5" w14:textId="34B1D035">
            <w:pPr>
              <w:jc w:val="right"/>
              <w:rPr>
                <w:rFonts w:ascii="Cambria Math" w:hAnsi="Cambria Math"/>
                <w:sz w:val="22"/>
                <w:szCs w:val="22"/>
              </w:rPr>
            </w:pPr>
            <w:r>
              <w:rPr>
                <w:rFonts w:ascii="Cambria Math" w:hAnsi="Cambria Math"/>
                <w:sz w:val="22"/>
                <w:szCs w:val="22"/>
              </w:rPr>
              <w:t>377</w:t>
            </w:r>
          </w:p>
        </w:tc>
        <w:tc>
          <w:tcPr>
            <w:tcW w:w="13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0B4D33" w:rsidRDefault="00627418" w14:paraId="520401F2" w14:textId="77777777">
            <w:pPr>
              <w:jc w:val="right"/>
              <w:rPr>
                <w:rFonts w:ascii="Cambria Math" w:hAnsi="Cambria Math"/>
                <w:sz w:val="22"/>
                <w:szCs w:val="22"/>
              </w:rPr>
            </w:pPr>
            <w:r w:rsidRPr="007F292E">
              <w:rPr>
                <w:rFonts w:ascii="Cambria Math" w:hAnsi="Cambria Math"/>
                <w:sz w:val="22"/>
                <w:szCs w:val="22"/>
              </w:rPr>
              <w:t>1</w:t>
            </w:r>
          </w:p>
        </w:tc>
        <w:tc>
          <w:tcPr>
            <w:tcW w:w="11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0B4D33" w:rsidRDefault="00627418" w14:paraId="7ECB8B75" w14:textId="77777777">
            <w:pPr>
              <w:jc w:val="right"/>
              <w:rPr>
                <w:rFonts w:ascii="Cambria Math" w:hAnsi="Cambria Math"/>
                <w:sz w:val="22"/>
                <w:szCs w:val="22"/>
              </w:rPr>
            </w:pPr>
            <w:r w:rsidRPr="007F292E">
              <w:rPr>
                <w:rFonts w:ascii="Cambria Math" w:hAnsi="Cambria Math"/>
                <w:sz w:val="22"/>
                <w:szCs w:val="22"/>
              </w:rPr>
              <w:t>1</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0B4D33" w:rsidRDefault="00BE6D92" w14:paraId="61B212F2" w14:textId="248D4331">
            <w:pPr>
              <w:jc w:val="right"/>
              <w:rPr>
                <w:rFonts w:ascii="Cambria Math" w:hAnsi="Cambria Math"/>
                <w:sz w:val="22"/>
                <w:szCs w:val="22"/>
              </w:rPr>
            </w:pPr>
            <w:r>
              <w:rPr>
                <w:rFonts w:ascii="Cambria Math" w:hAnsi="Cambria Math"/>
                <w:sz w:val="22"/>
                <w:szCs w:val="22"/>
              </w:rPr>
              <w:t>377</w:t>
            </w:r>
          </w:p>
        </w:tc>
      </w:tr>
      <w:tr w:rsidRPr="007F292E" w:rsidR="00627418" w:rsidTr="000400CD" w14:paraId="253CD636" w14:textId="77777777">
        <w:trPr>
          <w:trHeight w:val="335"/>
        </w:trPr>
        <w:tc>
          <w:tcPr>
            <w:tcW w:w="9350"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F292E" w:rsidR="00627418" w:rsidP="00BE6D92" w:rsidRDefault="00627418" w14:paraId="006E5EF0" w14:textId="6A3BD798">
            <w:pPr>
              <w:jc w:val="right"/>
              <w:rPr>
                <w:rFonts w:ascii="Cambria Math" w:hAnsi="Cambria Math"/>
                <w:sz w:val="22"/>
                <w:szCs w:val="22"/>
              </w:rPr>
            </w:pPr>
            <w:r w:rsidRPr="007F292E">
              <w:rPr>
                <w:rFonts w:ascii="Cambria Math" w:hAnsi="Cambria Math"/>
                <w:sz w:val="22"/>
                <w:szCs w:val="22"/>
              </w:rPr>
              <w:t xml:space="preserve"> Total: </w:t>
            </w:r>
            <w:r w:rsidR="00BE6D92">
              <w:rPr>
                <w:rFonts w:ascii="Cambria Math" w:hAnsi="Cambria Math"/>
                <w:sz w:val="22"/>
                <w:szCs w:val="22"/>
              </w:rPr>
              <w:t>834</w:t>
            </w:r>
            <w:r w:rsidRPr="007F292E" w:rsidR="00BE6D92">
              <w:rPr>
                <w:rFonts w:ascii="Cambria Math" w:hAnsi="Cambria Math"/>
                <w:sz w:val="22"/>
                <w:szCs w:val="22"/>
              </w:rPr>
              <w:t xml:space="preserve"> </w:t>
            </w:r>
          </w:p>
        </w:tc>
      </w:tr>
    </w:tbl>
    <w:p w:rsidR="0093437B" w:rsidP="00AD7DB8" w:rsidRDefault="0093437B" w14:paraId="0700FA00" w14:textId="479DA1DB">
      <w:pPr>
        <w:pStyle w:val="SL-FlLftSgl"/>
        <w:spacing w:line="276" w:lineRule="auto"/>
        <w:rPr>
          <w:rFonts w:asciiTheme="minorHAnsi" w:hAnsiTheme="minorHAnsi" w:cstheme="minorHAnsi"/>
        </w:rPr>
      </w:pPr>
    </w:p>
    <w:p w:rsidR="00D73B66" w:rsidP="00AD7DB8" w:rsidRDefault="00D73B66" w14:paraId="055733CA" w14:textId="63BE70F1">
      <w:pPr>
        <w:pStyle w:val="SL-FlLftSgl"/>
        <w:spacing w:line="276" w:lineRule="auto"/>
        <w:rPr>
          <w:rFonts w:asciiTheme="minorHAnsi" w:hAnsiTheme="minorHAnsi" w:cstheme="minorHAnsi"/>
        </w:rPr>
      </w:pPr>
    </w:p>
    <w:p w:rsidR="00D73B66" w:rsidP="00AD7DB8" w:rsidRDefault="00D73B66" w14:paraId="1BFFB7E0" w14:textId="3C3DDC8D">
      <w:pPr>
        <w:pStyle w:val="SL-FlLftSgl"/>
        <w:spacing w:line="276" w:lineRule="auto"/>
        <w:rPr>
          <w:rFonts w:asciiTheme="minorHAnsi" w:hAnsiTheme="minorHAnsi" w:cstheme="minorHAnsi"/>
        </w:rPr>
      </w:pPr>
    </w:p>
    <w:p w:rsidR="00D73B66" w:rsidP="00AD7DB8" w:rsidRDefault="00D73B66" w14:paraId="2C42CE56" w14:textId="19F28D2A">
      <w:pPr>
        <w:pStyle w:val="SL-FlLftSgl"/>
        <w:spacing w:line="276" w:lineRule="auto"/>
        <w:rPr>
          <w:rFonts w:asciiTheme="minorHAnsi" w:hAnsiTheme="minorHAnsi" w:cstheme="minorHAnsi"/>
        </w:rPr>
      </w:pPr>
    </w:p>
    <w:p w:rsidR="00D73B66" w:rsidP="00AD7DB8" w:rsidRDefault="00D73B66" w14:paraId="091E4885" w14:textId="61DBC8A2">
      <w:pPr>
        <w:pStyle w:val="SL-FlLftSgl"/>
        <w:spacing w:line="276" w:lineRule="auto"/>
        <w:rPr>
          <w:rFonts w:asciiTheme="minorHAnsi" w:hAnsiTheme="minorHAnsi" w:cstheme="minorHAnsi"/>
        </w:rPr>
      </w:pPr>
    </w:p>
    <w:p w:rsidR="00975BDC" w:rsidP="00503294" w:rsidRDefault="00975BDC" w14:paraId="1A461F31" w14:textId="77777777">
      <w:pPr>
        <w:pStyle w:val="Bulleted"/>
      </w:pPr>
    </w:p>
    <w:p w:rsidR="007578EA" w:rsidP="00503294" w:rsidRDefault="007578EA" w14:paraId="40E4EFDD" w14:textId="29D2CBF3">
      <w:pPr>
        <w:pStyle w:val="Bulleted"/>
      </w:pPr>
    </w:p>
    <w:p w:rsidR="007578EA" w:rsidP="00503294" w:rsidRDefault="007578EA" w14:paraId="16E6FAE1" w14:textId="77777777">
      <w:pPr>
        <w:pStyle w:val="Bulleted"/>
      </w:pPr>
    </w:p>
    <w:p w:rsidR="007578EA" w:rsidP="00503294" w:rsidRDefault="007578EA" w14:paraId="65A3A574" w14:textId="77777777">
      <w:pPr>
        <w:pStyle w:val="Bulleted"/>
      </w:pPr>
    </w:p>
    <w:p w:rsidR="007578EA" w:rsidP="00503294" w:rsidRDefault="007578EA" w14:paraId="2ED2619A" w14:textId="77777777">
      <w:pPr>
        <w:pStyle w:val="Bulleted"/>
      </w:pPr>
    </w:p>
    <w:p w:rsidR="007578EA" w:rsidP="00503294" w:rsidRDefault="007578EA" w14:paraId="3E96252F" w14:textId="77777777">
      <w:pPr>
        <w:pStyle w:val="Bulleted"/>
      </w:pPr>
    </w:p>
    <w:p w:rsidR="007578EA" w:rsidP="00503294" w:rsidRDefault="007578EA" w14:paraId="7F784C87" w14:textId="77777777">
      <w:pPr>
        <w:pStyle w:val="Bulleted"/>
      </w:pPr>
    </w:p>
    <w:p w:rsidR="007578EA" w:rsidP="00503294" w:rsidRDefault="007578EA" w14:paraId="7D18CD76" w14:textId="77777777">
      <w:pPr>
        <w:pStyle w:val="Bulleted"/>
      </w:pPr>
    </w:p>
    <w:p w:rsidR="007578EA" w:rsidP="00503294" w:rsidRDefault="007578EA" w14:paraId="7F291F09" w14:textId="77777777">
      <w:pPr>
        <w:pStyle w:val="Bulleted"/>
      </w:pPr>
    </w:p>
    <w:p w:rsidR="007578EA" w:rsidP="00503294" w:rsidRDefault="007578EA" w14:paraId="665E2CC4" w14:textId="77777777">
      <w:pPr>
        <w:pStyle w:val="Bulleted"/>
      </w:pPr>
    </w:p>
    <w:p w:rsidR="007578EA" w:rsidP="00503294" w:rsidRDefault="007578EA" w14:paraId="7B80B38C" w14:textId="77777777">
      <w:pPr>
        <w:pStyle w:val="Bulleted"/>
      </w:pPr>
    </w:p>
    <w:p w:rsidR="007578EA" w:rsidP="00503294" w:rsidRDefault="007578EA" w14:paraId="0BC5C703" w14:textId="77777777">
      <w:pPr>
        <w:pStyle w:val="Bulleted"/>
      </w:pPr>
    </w:p>
    <w:p w:rsidR="007578EA" w:rsidP="00503294" w:rsidRDefault="007578EA" w14:paraId="1F682657" w14:textId="77777777">
      <w:pPr>
        <w:pStyle w:val="Bulleted"/>
      </w:pPr>
    </w:p>
    <w:p w:rsidR="007578EA" w:rsidP="00503294" w:rsidRDefault="007578EA" w14:paraId="2D6DC93E" w14:textId="77777777">
      <w:pPr>
        <w:pStyle w:val="Bulleted"/>
      </w:pPr>
    </w:p>
    <w:p w:rsidR="007578EA" w:rsidP="00503294" w:rsidRDefault="007578EA" w14:paraId="6624DF5C" w14:textId="77777777">
      <w:pPr>
        <w:pStyle w:val="Bulleted"/>
      </w:pPr>
    </w:p>
    <w:p w:rsidR="007578EA" w:rsidP="00503294" w:rsidRDefault="007578EA" w14:paraId="3601D933" w14:textId="77777777">
      <w:pPr>
        <w:pStyle w:val="Bulleted"/>
      </w:pPr>
    </w:p>
    <w:p w:rsidR="00B632FA" w:rsidP="00503294" w:rsidRDefault="00B632FA" w14:paraId="165843C6" w14:textId="77777777">
      <w:pPr>
        <w:pStyle w:val="Bulleted"/>
      </w:pPr>
    </w:p>
    <w:p w:rsidR="00B632FA" w:rsidP="00503294" w:rsidRDefault="00B632FA" w14:paraId="76D9F461" w14:textId="77777777">
      <w:pPr>
        <w:pStyle w:val="Bulleted"/>
      </w:pPr>
    </w:p>
    <w:p w:rsidR="00B632FA" w:rsidP="00503294" w:rsidRDefault="00B632FA" w14:paraId="4F9F6679" w14:textId="77777777">
      <w:pPr>
        <w:pStyle w:val="Bulleted"/>
      </w:pPr>
    </w:p>
    <w:p w:rsidR="00B632FA" w:rsidP="00503294" w:rsidRDefault="00B632FA" w14:paraId="59661CD3" w14:textId="77777777">
      <w:pPr>
        <w:pStyle w:val="Bulleted"/>
      </w:pPr>
    </w:p>
    <w:p w:rsidR="00B632FA" w:rsidP="00503294" w:rsidRDefault="00B632FA" w14:paraId="0F9B3D29" w14:textId="77777777">
      <w:pPr>
        <w:pStyle w:val="Bulleted"/>
      </w:pPr>
    </w:p>
    <w:p w:rsidRPr="00E308E1" w:rsidR="001528E5" w:rsidP="00503294" w:rsidRDefault="001528E5" w14:paraId="147E19D1" w14:textId="3D6CBCFE">
      <w:pPr>
        <w:pStyle w:val="Bulleted"/>
      </w:pPr>
      <w:r w:rsidRPr="00E308E1">
        <w:lastRenderedPageBreak/>
        <w:t>Estimate</w:t>
      </w:r>
      <w:r w:rsidRPr="00E308E1" w:rsidR="00647B1F">
        <w:t xml:space="preserve">s of </w:t>
      </w:r>
      <w:r w:rsidRPr="00E308E1" w:rsidR="006513AF">
        <w:t xml:space="preserve">Annualized </w:t>
      </w:r>
      <w:r w:rsidRPr="00E308E1">
        <w:t xml:space="preserve">Burden Cost </w:t>
      </w:r>
    </w:p>
    <w:p w:rsidRPr="00E308E1" w:rsidR="001528E5" w:rsidP="00445ECB" w:rsidRDefault="006164AA" w14:paraId="00A214D5" w14:textId="2B3391C5">
      <w:pPr>
        <w:pStyle w:val="SL-FlLftSgl"/>
        <w:spacing w:line="276" w:lineRule="auto"/>
        <w:ind w:firstLine="720"/>
        <w:rPr>
          <w:rFonts w:asciiTheme="minorHAnsi" w:hAnsiTheme="minorHAnsi" w:cstheme="minorHAnsi"/>
        </w:rPr>
      </w:pPr>
      <w:r>
        <w:rPr>
          <w:rFonts w:asciiTheme="minorHAnsi" w:hAnsiTheme="minorHAnsi" w:cstheme="minorHAnsi"/>
        </w:rPr>
        <w:t>T</w:t>
      </w:r>
      <w:r w:rsidRPr="00E308E1" w:rsidR="001528E5">
        <w:rPr>
          <w:rFonts w:asciiTheme="minorHAnsi" w:hAnsiTheme="minorHAnsi" w:cstheme="minorHAnsi"/>
        </w:rPr>
        <w:t xml:space="preserve">he annual burden cost will be </w:t>
      </w:r>
      <w:r w:rsidRPr="00E308E1" w:rsidR="00546AFC">
        <w:rPr>
          <w:rFonts w:eastAsia="Batang" w:asciiTheme="minorHAnsi" w:hAnsiTheme="minorHAnsi" w:cstheme="minorHAnsi"/>
        </w:rPr>
        <w:t>$</w:t>
      </w:r>
      <w:r w:rsidR="002F73CB">
        <w:rPr>
          <w:rFonts w:eastAsia="Batang" w:asciiTheme="minorHAnsi" w:hAnsiTheme="minorHAnsi" w:cstheme="minorHAnsi"/>
        </w:rPr>
        <w:t>22,</w:t>
      </w:r>
      <w:r w:rsidR="00050D4B">
        <w:rPr>
          <w:rFonts w:eastAsia="Batang" w:asciiTheme="minorHAnsi" w:hAnsiTheme="minorHAnsi" w:cstheme="minorHAnsi"/>
        </w:rPr>
        <w:t>627</w:t>
      </w:r>
      <w:r w:rsidR="001254F2">
        <w:rPr>
          <w:rFonts w:eastAsia="Batang" w:asciiTheme="minorHAnsi" w:hAnsiTheme="minorHAnsi" w:cstheme="minorHAnsi"/>
        </w:rPr>
        <w:t xml:space="preserve"> </w:t>
      </w:r>
      <w:r w:rsidRPr="00E308E1" w:rsidR="001528E5">
        <w:rPr>
          <w:rFonts w:eastAsia="Batang" w:asciiTheme="minorHAnsi" w:hAnsiTheme="minorHAnsi" w:cstheme="minorHAnsi"/>
        </w:rPr>
        <w:t xml:space="preserve">(Table </w:t>
      </w:r>
      <w:r w:rsidR="00C26139">
        <w:rPr>
          <w:rFonts w:eastAsia="Batang" w:asciiTheme="minorHAnsi" w:hAnsiTheme="minorHAnsi" w:cstheme="minorHAnsi"/>
        </w:rPr>
        <w:t>3</w:t>
      </w:r>
      <w:r w:rsidRPr="00E308E1" w:rsidR="001528E5">
        <w:rPr>
          <w:rFonts w:eastAsia="Batang" w:asciiTheme="minorHAnsi" w:hAnsiTheme="minorHAnsi" w:cstheme="minorHAnsi"/>
        </w:rPr>
        <w:t>)</w:t>
      </w:r>
      <w:r w:rsidRPr="00E308E1" w:rsidR="001528E5">
        <w:rPr>
          <w:rFonts w:asciiTheme="minorHAnsi" w:hAnsiTheme="minorHAnsi" w:cstheme="minorHAnsi"/>
        </w:rPr>
        <w:t>.</w:t>
      </w:r>
      <w:r w:rsidR="00561FEE">
        <w:rPr>
          <w:rFonts w:asciiTheme="minorHAnsi" w:hAnsiTheme="minorHAnsi" w:cstheme="minorHAnsi"/>
        </w:rPr>
        <w:t xml:space="preserve"> The total cost for the </w:t>
      </w:r>
      <w:r w:rsidR="00975BDC">
        <w:rPr>
          <w:rFonts w:asciiTheme="minorHAnsi" w:hAnsiTheme="minorHAnsi" w:cstheme="minorHAnsi"/>
        </w:rPr>
        <w:t>three-year</w:t>
      </w:r>
      <w:r w:rsidR="00561FEE">
        <w:rPr>
          <w:rFonts w:asciiTheme="minorHAnsi" w:hAnsiTheme="minorHAnsi" w:cstheme="minorHAnsi"/>
        </w:rPr>
        <w:t xml:space="preserve"> project will be $6</w:t>
      </w:r>
      <w:r w:rsidR="00050D4B">
        <w:rPr>
          <w:rFonts w:asciiTheme="minorHAnsi" w:hAnsiTheme="minorHAnsi" w:cstheme="minorHAnsi"/>
        </w:rPr>
        <w:t>7</w:t>
      </w:r>
      <w:r w:rsidR="00561FEE">
        <w:rPr>
          <w:rFonts w:asciiTheme="minorHAnsi" w:hAnsiTheme="minorHAnsi" w:cstheme="minorHAnsi"/>
        </w:rPr>
        <w:t>,</w:t>
      </w:r>
      <w:r w:rsidR="00050D4B">
        <w:rPr>
          <w:rFonts w:asciiTheme="minorHAnsi" w:hAnsiTheme="minorHAnsi" w:cstheme="minorHAnsi"/>
        </w:rPr>
        <w:t>881</w:t>
      </w:r>
      <w:r w:rsidR="00561FEE">
        <w:rPr>
          <w:rFonts w:asciiTheme="minorHAnsi" w:hAnsiTheme="minorHAnsi" w:cstheme="minorHAnsi"/>
        </w:rPr>
        <w:t>.</w:t>
      </w:r>
      <w:r w:rsidRPr="00E308E1" w:rsidR="001528E5">
        <w:rPr>
          <w:rFonts w:asciiTheme="minorHAnsi" w:hAnsiTheme="minorHAnsi" w:cstheme="minorHAnsi"/>
        </w:rPr>
        <w:t xml:space="preserve"> </w:t>
      </w:r>
      <w:r w:rsidRPr="00E308E1" w:rsidR="00A852C7">
        <w:rPr>
          <w:rFonts w:asciiTheme="minorHAnsi" w:hAnsiTheme="minorHAnsi" w:cstheme="minorHAnsi"/>
        </w:rPr>
        <w:t>The estimated costs to respondents is based on the Bureau of Labor Statistics (BLS) data from May 2019. The mean hourly wage for all occupations in Baltimore</w:t>
      </w:r>
      <w:r w:rsidR="00C82749">
        <w:rPr>
          <w:rFonts w:asciiTheme="minorHAnsi" w:hAnsiTheme="minorHAnsi" w:cstheme="minorHAnsi"/>
        </w:rPr>
        <w:t xml:space="preserve"> i</w:t>
      </w:r>
      <w:r w:rsidRPr="00E308E1" w:rsidR="00A852C7">
        <w:rPr>
          <w:rFonts w:asciiTheme="minorHAnsi" w:hAnsiTheme="minorHAnsi" w:cstheme="minorHAnsi"/>
        </w:rPr>
        <w:t xml:space="preserve">s $28.49. </w:t>
      </w:r>
    </w:p>
    <w:p w:rsidRPr="00E308E1" w:rsidR="006513AF" w:rsidP="00AD7DB8" w:rsidRDefault="006513AF" w14:paraId="6BC501F0" w14:textId="77777777">
      <w:pPr>
        <w:pStyle w:val="SL-FlLftSgl"/>
        <w:spacing w:line="276" w:lineRule="auto"/>
        <w:rPr>
          <w:rFonts w:asciiTheme="minorHAnsi" w:hAnsiTheme="minorHAnsi" w:cstheme="minorHAnsi"/>
        </w:rPr>
      </w:pPr>
    </w:p>
    <w:p w:rsidRPr="00E308E1" w:rsidR="001528E5" w:rsidP="00445ECB" w:rsidRDefault="001528E5" w14:paraId="6505E912" w14:textId="0D3CF2B6">
      <w:pPr>
        <w:pStyle w:val="SL-FlLftSgl"/>
        <w:spacing w:line="276" w:lineRule="auto"/>
        <w:ind w:firstLine="720"/>
        <w:rPr>
          <w:rFonts w:asciiTheme="minorHAnsi" w:hAnsiTheme="minorHAnsi" w:cstheme="minorHAnsi"/>
        </w:rPr>
      </w:pPr>
      <w:r w:rsidRPr="00E308E1">
        <w:rPr>
          <w:rFonts w:asciiTheme="minorHAnsi" w:hAnsiTheme="minorHAnsi" w:cstheme="minorHAnsi"/>
        </w:rPr>
        <w:t xml:space="preserve">The estimates of individual annualized costs are based on the number of respondents interviewed and the amount of time required from individuals who were reached </w:t>
      </w:r>
      <w:r w:rsidRPr="00E308E1" w:rsidR="00A852C7">
        <w:rPr>
          <w:rFonts w:asciiTheme="minorHAnsi" w:hAnsiTheme="minorHAnsi" w:cstheme="minorHAnsi"/>
        </w:rPr>
        <w:t>and completed the one-time screener, head of household, and core questionnaires</w:t>
      </w:r>
      <w:r w:rsidRPr="00E308E1">
        <w:rPr>
          <w:rFonts w:asciiTheme="minorHAnsi" w:hAnsiTheme="minorHAnsi" w:cstheme="minorHAnsi"/>
        </w:rPr>
        <w:t xml:space="preserve">. The </w:t>
      </w:r>
      <w:r w:rsidRPr="00E308E1" w:rsidR="00385D5B">
        <w:rPr>
          <w:rFonts w:asciiTheme="minorHAnsi" w:hAnsiTheme="minorHAnsi" w:cstheme="minorHAnsi"/>
        </w:rPr>
        <w:t>screener will take</w:t>
      </w:r>
      <w:r w:rsidRPr="00E308E1">
        <w:rPr>
          <w:rFonts w:asciiTheme="minorHAnsi" w:hAnsiTheme="minorHAnsi" w:cstheme="minorHAnsi"/>
        </w:rPr>
        <w:t xml:space="preserve"> up to 3 minutes to determine whether a household is eligible. For those who agree to participate, the </w:t>
      </w:r>
      <w:r w:rsidRPr="00E308E1" w:rsidR="00385D5B">
        <w:rPr>
          <w:rFonts w:asciiTheme="minorHAnsi" w:hAnsiTheme="minorHAnsi" w:cstheme="minorHAnsi"/>
        </w:rPr>
        <w:t xml:space="preserve">head of household survey </w:t>
      </w:r>
      <w:r w:rsidRPr="00E308E1" w:rsidR="00FF3E4B">
        <w:rPr>
          <w:rFonts w:asciiTheme="minorHAnsi" w:hAnsiTheme="minorHAnsi" w:cstheme="minorHAnsi"/>
        </w:rPr>
        <w:t>will take up to</w:t>
      </w:r>
      <w:r w:rsidRPr="00E308E1" w:rsidR="00385D5B">
        <w:rPr>
          <w:rFonts w:asciiTheme="minorHAnsi" w:hAnsiTheme="minorHAnsi" w:cstheme="minorHAnsi"/>
        </w:rPr>
        <w:t xml:space="preserve"> 15 minutes to complete</w:t>
      </w:r>
      <w:r w:rsidRPr="00E308E1">
        <w:rPr>
          <w:rFonts w:asciiTheme="minorHAnsi" w:hAnsiTheme="minorHAnsi" w:cstheme="minorHAnsi"/>
        </w:rPr>
        <w:t xml:space="preserve">, including screening and verbal informed consent. </w:t>
      </w:r>
      <w:r w:rsidRPr="00E308E1" w:rsidR="00385D5B">
        <w:rPr>
          <w:rFonts w:asciiTheme="minorHAnsi" w:hAnsiTheme="minorHAnsi" w:cstheme="minorHAnsi"/>
        </w:rPr>
        <w:t xml:space="preserve">For those who agree to participate in the core survey, it </w:t>
      </w:r>
      <w:r w:rsidRPr="00E308E1" w:rsidR="00FF3E4B">
        <w:rPr>
          <w:rFonts w:asciiTheme="minorHAnsi" w:hAnsiTheme="minorHAnsi" w:cstheme="minorHAnsi"/>
        </w:rPr>
        <w:t xml:space="preserve">will take up to </w:t>
      </w:r>
      <w:r w:rsidRPr="00E308E1" w:rsidR="00385D5B">
        <w:rPr>
          <w:rFonts w:asciiTheme="minorHAnsi" w:hAnsiTheme="minorHAnsi" w:cstheme="minorHAnsi"/>
        </w:rPr>
        <w:t xml:space="preserve">60 minutes, including verbal informed consent. </w:t>
      </w:r>
    </w:p>
    <w:p w:rsidR="00E677E9" w:rsidP="00AD7DB8" w:rsidRDefault="00E677E9" w14:paraId="64DF1537" w14:textId="77777777">
      <w:pPr>
        <w:pStyle w:val="a"/>
        <w:tabs>
          <w:tab w:val="left" w:pos="-1440"/>
        </w:tabs>
        <w:spacing w:line="276" w:lineRule="auto"/>
        <w:ind w:left="0" w:firstLine="0"/>
        <w:rPr>
          <w:rFonts w:asciiTheme="minorHAnsi" w:hAnsiTheme="minorHAnsi" w:cstheme="minorHAnsi"/>
          <w:b/>
        </w:rPr>
      </w:pPr>
    </w:p>
    <w:p w:rsidRPr="00C712BA" w:rsidR="00402ADD" w:rsidP="00402ADD" w:rsidRDefault="00402ADD" w14:paraId="244E90A4" w14:textId="7082B77C">
      <w:pPr>
        <w:rPr>
          <w:b/>
        </w:rPr>
      </w:pPr>
      <w:r w:rsidRPr="003F19CD">
        <w:rPr>
          <w:b/>
        </w:rPr>
        <w:t xml:space="preserve">Table </w:t>
      </w:r>
      <w:r>
        <w:rPr>
          <w:b/>
        </w:rPr>
        <w:t>3</w:t>
      </w:r>
      <w:r w:rsidRPr="003F19CD">
        <w:rPr>
          <w:b/>
        </w:rPr>
        <w:t xml:space="preserve">. </w:t>
      </w:r>
      <w:r w:rsidRPr="00C712BA">
        <w:rPr>
          <w:b/>
        </w:rPr>
        <w:t xml:space="preserve">Estimated Annualized Burden Costs </w:t>
      </w:r>
    </w:p>
    <w:tbl>
      <w:tblPr>
        <w:tblpPr w:leftFromText="180" w:rightFromText="180" w:vertAnchor="text" w:horzAnchor="margin" w:tblpXSpec="center" w:tblpY="349"/>
        <w:tblW w:w="10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800"/>
        <w:gridCol w:w="1440"/>
        <w:gridCol w:w="2070"/>
        <w:gridCol w:w="1440"/>
        <w:gridCol w:w="1170"/>
        <w:gridCol w:w="1350"/>
      </w:tblGrid>
      <w:tr w:rsidRPr="00E7527F" w:rsidR="005B139D" w:rsidTr="00E677E9" w14:paraId="4309E294" w14:textId="77777777">
        <w:tc>
          <w:tcPr>
            <w:tcW w:w="1615" w:type="dxa"/>
            <w:shd w:val="clear" w:color="auto" w:fill="E7E6E6" w:themeFill="background2"/>
          </w:tcPr>
          <w:p w:rsidRPr="00E7527F" w:rsidR="005B139D" w:rsidP="00C201FC" w:rsidRDefault="005B139D" w14:paraId="619CD67E" w14:textId="77777777">
            <w:pPr>
              <w:spacing w:line="276" w:lineRule="auto"/>
              <w:rPr>
                <w:rFonts w:ascii="Cambria Math" w:hAnsi="Cambria Math" w:eastAsia="Batang"/>
                <w:sz w:val="22"/>
                <w:szCs w:val="22"/>
              </w:rPr>
            </w:pPr>
          </w:p>
          <w:p w:rsidRPr="00E7527F" w:rsidR="005B139D" w:rsidP="00C201FC" w:rsidRDefault="005B139D" w14:paraId="58DD97CF" w14:textId="77777777">
            <w:pPr>
              <w:spacing w:line="276" w:lineRule="auto"/>
              <w:jc w:val="center"/>
              <w:rPr>
                <w:rFonts w:ascii="Cambria Math" w:hAnsi="Cambria Math" w:eastAsia="Batang"/>
                <w:sz w:val="22"/>
                <w:szCs w:val="22"/>
              </w:rPr>
            </w:pPr>
            <w:r w:rsidRPr="00E7527F">
              <w:rPr>
                <w:rFonts w:ascii="Cambria Math" w:hAnsi="Cambria Math" w:eastAsia="Batang"/>
                <w:sz w:val="22"/>
                <w:szCs w:val="22"/>
              </w:rPr>
              <w:t>Type of Respondent</w:t>
            </w:r>
          </w:p>
        </w:tc>
        <w:tc>
          <w:tcPr>
            <w:tcW w:w="1800" w:type="dxa"/>
            <w:shd w:val="clear" w:color="auto" w:fill="E7E6E6" w:themeFill="background2"/>
          </w:tcPr>
          <w:p w:rsidRPr="00E7527F" w:rsidR="005B139D" w:rsidP="00C201FC" w:rsidRDefault="005B139D" w14:paraId="4815B997" w14:textId="77777777">
            <w:pPr>
              <w:spacing w:line="276" w:lineRule="auto"/>
              <w:rPr>
                <w:rFonts w:ascii="Cambria Math" w:hAnsi="Cambria Math" w:eastAsia="Batang"/>
                <w:sz w:val="22"/>
                <w:szCs w:val="22"/>
              </w:rPr>
            </w:pPr>
          </w:p>
          <w:p w:rsidRPr="00E7527F" w:rsidR="005B139D" w:rsidP="00C201FC" w:rsidRDefault="005B139D" w14:paraId="047DA416" w14:textId="77777777">
            <w:pPr>
              <w:spacing w:line="276" w:lineRule="auto"/>
              <w:rPr>
                <w:rFonts w:ascii="Cambria Math" w:hAnsi="Cambria Math" w:eastAsia="Batang"/>
                <w:sz w:val="22"/>
                <w:szCs w:val="22"/>
              </w:rPr>
            </w:pPr>
            <w:r w:rsidRPr="00E7527F">
              <w:rPr>
                <w:rFonts w:ascii="Cambria Math" w:hAnsi="Cambria Math" w:eastAsia="Batang"/>
                <w:sz w:val="22"/>
                <w:szCs w:val="22"/>
              </w:rPr>
              <w:t>Data Collection</w:t>
            </w:r>
          </w:p>
        </w:tc>
        <w:tc>
          <w:tcPr>
            <w:tcW w:w="1440" w:type="dxa"/>
            <w:shd w:val="clear" w:color="auto" w:fill="E7E6E6" w:themeFill="background2"/>
            <w:vAlign w:val="center"/>
          </w:tcPr>
          <w:p w:rsidRPr="00E7527F" w:rsidR="005B139D" w:rsidP="00C201FC" w:rsidRDefault="005B139D" w14:paraId="630C8561" w14:textId="2D1FFFA6">
            <w:pPr>
              <w:spacing w:line="276" w:lineRule="auto"/>
              <w:rPr>
                <w:rFonts w:ascii="Cambria Math" w:hAnsi="Cambria Math" w:eastAsia="Batang"/>
                <w:sz w:val="22"/>
                <w:szCs w:val="22"/>
              </w:rPr>
            </w:pPr>
            <w:r w:rsidRPr="00E7527F">
              <w:rPr>
                <w:rFonts w:ascii="Cambria Math" w:hAnsi="Cambria Math" w:eastAsia="Batang"/>
                <w:sz w:val="22"/>
                <w:szCs w:val="22"/>
              </w:rPr>
              <w:t>Number of Respondents</w:t>
            </w:r>
          </w:p>
        </w:tc>
        <w:tc>
          <w:tcPr>
            <w:tcW w:w="2070" w:type="dxa"/>
            <w:shd w:val="clear" w:color="auto" w:fill="E7E6E6" w:themeFill="background2"/>
            <w:vAlign w:val="center"/>
          </w:tcPr>
          <w:p w:rsidRPr="00E7527F" w:rsidR="005B139D" w:rsidP="00C201FC" w:rsidRDefault="005B139D" w14:paraId="7265CC93" w14:textId="11482114">
            <w:pPr>
              <w:spacing w:line="276" w:lineRule="auto"/>
              <w:jc w:val="center"/>
              <w:rPr>
                <w:rFonts w:ascii="Cambria Math" w:hAnsi="Cambria Math" w:eastAsia="Batang"/>
                <w:sz w:val="22"/>
                <w:szCs w:val="22"/>
              </w:rPr>
            </w:pPr>
            <w:r w:rsidRPr="00E7527F">
              <w:rPr>
                <w:rFonts w:ascii="Cambria Math" w:hAnsi="Cambria Math" w:eastAsia="Batang"/>
                <w:sz w:val="22"/>
                <w:szCs w:val="22"/>
              </w:rPr>
              <w:t>Number of Responses per Respondent</w:t>
            </w:r>
          </w:p>
        </w:tc>
        <w:tc>
          <w:tcPr>
            <w:tcW w:w="1440" w:type="dxa"/>
            <w:shd w:val="clear" w:color="auto" w:fill="E7E6E6" w:themeFill="background2"/>
            <w:vAlign w:val="center"/>
          </w:tcPr>
          <w:p w:rsidRPr="00E7527F" w:rsidR="005B139D" w:rsidP="00C201FC" w:rsidRDefault="00E3445E" w14:paraId="46662AA6" w14:textId="6EA3B5DA">
            <w:pPr>
              <w:spacing w:line="276" w:lineRule="auto"/>
              <w:jc w:val="center"/>
              <w:rPr>
                <w:rFonts w:ascii="Cambria Math" w:hAnsi="Cambria Math" w:eastAsia="Batang"/>
                <w:sz w:val="22"/>
                <w:szCs w:val="22"/>
              </w:rPr>
            </w:pPr>
            <w:r w:rsidRPr="00E7527F">
              <w:rPr>
                <w:rFonts w:ascii="Cambria Math" w:hAnsi="Cambria Math" w:eastAsia="Batang"/>
                <w:sz w:val="22"/>
                <w:szCs w:val="22"/>
              </w:rPr>
              <w:t>Total burden</w:t>
            </w:r>
            <w:r w:rsidRPr="00E7527F" w:rsidR="005B139D">
              <w:rPr>
                <w:rFonts w:ascii="Cambria Math" w:hAnsi="Cambria Math" w:eastAsia="Batang"/>
                <w:sz w:val="22"/>
                <w:szCs w:val="22"/>
              </w:rPr>
              <w:t xml:space="preserve"> </w:t>
            </w:r>
          </w:p>
        </w:tc>
        <w:tc>
          <w:tcPr>
            <w:tcW w:w="1170" w:type="dxa"/>
            <w:shd w:val="clear" w:color="auto" w:fill="E7E6E6" w:themeFill="background2"/>
            <w:vAlign w:val="center"/>
          </w:tcPr>
          <w:p w:rsidRPr="00E7527F" w:rsidR="005B139D" w:rsidP="00C201FC" w:rsidRDefault="005B139D" w14:paraId="587EF6E6" w14:textId="77777777">
            <w:pPr>
              <w:spacing w:line="276" w:lineRule="auto"/>
              <w:jc w:val="center"/>
              <w:rPr>
                <w:rFonts w:ascii="Cambria Math" w:hAnsi="Cambria Math" w:eastAsia="Batang"/>
                <w:sz w:val="22"/>
                <w:szCs w:val="22"/>
              </w:rPr>
            </w:pPr>
            <w:r w:rsidRPr="00E7527F">
              <w:rPr>
                <w:rFonts w:ascii="Cambria Math" w:hAnsi="Cambria Math" w:eastAsia="Batang"/>
                <w:sz w:val="22"/>
                <w:szCs w:val="22"/>
              </w:rPr>
              <w:t>Average Hourly Wage Rate (in dollars)</w:t>
            </w:r>
          </w:p>
        </w:tc>
        <w:tc>
          <w:tcPr>
            <w:tcW w:w="1350" w:type="dxa"/>
            <w:shd w:val="clear" w:color="auto" w:fill="E7E6E6" w:themeFill="background2"/>
            <w:vAlign w:val="center"/>
          </w:tcPr>
          <w:p w:rsidRPr="00E7527F" w:rsidR="005B139D" w:rsidP="00C201FC" w:rsidRDefault="005B139D" w14:paraId="19D2B22B" w14:textId="77777777">
            <w:pPr>
              <w:spacing w:line="276" w:lineRule="auto"/>
              <w:jc w:val="center"/>
              <w:rPr>
                <w:rFonts w:ascii="Cambria Math" w:hAnsi="Cambria Math" w:eastAsia="Batang"/>
                <w:sz w:val="22"/>
                <w:szCs w:val="22"/>
              </w:rPr>
            </w:pPr>
            <w:r w:rsidRPr="00E7527F">
              <w:rPr>
                <w:rFonts w:ascii="Cambria Math" w:hAnsi="Cambria Math" w:eastAsia="Batang"/>
                <w:sz w:val="22"/>
                <w:szCs w:val="22"/>
              </w:rPr>
              <w:t>Total Respondent Cost</w:t>
            </w:r>
          </w:p>
        </w:tc>
      </w:tr>
      <w:tr w:rsidRPr="00E7527F" w:rsidR="00B55FA7" w:rsidTr="00E677E9" w14:paraId="6D02B7A4" w14:textId="77777777">
        <w:tc>
          <w:tcPr>
            <w:tcW w:w="1615" w:type="dxa"/>
            <w:vMerge w:val="restart"/>
          </w:tcPr>
          <w:p w:rsidRPr="00E7527F" w:rsidR="00B55FA7" w:rsidP="00E3445E" w:rsidRDefault="00B55FA7" w14:paraId="6D462220" w14:textId="7B8EDB5B">
            <w:pPr>
              <w:rPr>
                <w:rFonts w:ascii="Cambria Math" w:hAnsi="Cambria Math"/>
                <w:sz w:val="22"/>
                <w:szCs w:val="22"/>
              </w:rPr>
            </w:pPr>
            <w:r w:rsidRPr="00E7527F">
              <w:rPr>
                <w:rFonts w:ascii="Cambria Math" w:hAnsi="Cambria Math" w:cstheme="minorHAnsi"/>
                <w:color w:val="000000"/>
                <w:sz w:val="22"/>
                <w:szCs w:val="22"/>
              </w:rPr>
              <w:t>Head of Household</w:t>
            </w:r>
          </w:p>
        </w:tc>
        <w:tc>
          <w:tcPr>
            <w:tcW w:w="1800" w:type="dxa"/>
          </w:tcPr>
          <w:p w:rsidRPr="00E7527F" w:rsidR="00B55FA7" w:rsidP="00E3445E" w:rsidRDefault="00B55FA7" w14:paraId="3750C5E5" w14:textId="68F687C7">
            <w:pPr>
              <w:spacing w:line="276" w:lineRule="auto"/>
              <w:rPr>
                <w:rFonts w:ascii="Cambria Math" w:hAnsi="Cambria Math" w:cstheme="minorHAnsi"/>
                <w:color w:val="000000"/>
                <w:sz w:val="22"/>
                <w:szCs w:val="22"/>
              </w:rPr>
            </w:pPr>
          </w:p>
          <w:p w:rsidRPr="00E7527F" w:rsidR="00B55FA7" w:rsidP="00E3445E" w:rsidRDefault="00B55FA7" w14:paraId="36982813" w14:textId="30C4B510">
            <w:pPr>
              <w:spacing w:line="276" w:lineRule="auto"/>
              <w:rPr>
                <w:rFonts w:ascii="Cambria Math" w:hAnsi="Cambria Math" w:eastAsia="Batang"/>
                <w:sz w:val="22"/>
                <w:szCs w:val="22"/>
              </w:rPr>
            </w:pPr>
            <w:r w:rsidRPr="00E7527F">
              <w:rPr>
                <w:rFonts w:ascii="Cambria Math" w:hAnsi="Cambria Math" w:cstheme="minorHAnsi"/>
                <w:color w:val="000000"/>
                <w:sz w:val="22"/>
                <w:szCs w:val="22"/>
              </w:rPr>
              <w:t>Invitation Letter</w:t>
            </w:r>
          </w:p>
        </w:tc>
        <w:tc>
          <w:tcPr>
            <w:tcW w:w="1440" w:type="dxa"/>
            <w:vAlign w:val="bottom"/>
          </w:tcPr>
          <w:p w:rsidRPr="00E7527F" w:rsidR="00B55FA7" w:rsidP="00E15544" w:rsidRDefault="00B55FA7" w14:paraId="21DAA389" w14:textId="54C3C345">
            <w:pPr>
              <w:jc w:val="right"/>
              <w:rPr>
                <w:rFonts w:ascii="Cambria Math" w:hAnsi="Cambria Math" w:cstheme="minorHAnsi"/>
                <w:color w:val="000000"/>
                <w:sz w:val="22"/>
                <w:szCs w:val="22"/>
              </w:rPr>
            </w:pPr>
          </w:p>
          <w:p w:rsidRPr="00E7527F" w:rsidR="00B55FA7" w:rsidP="00E15544" w:rsidRDefault="00BE6D92" w14:paraId="50A70CEB" w14:textId="746C01C3">
            <w:pPr>
              <w:jc w:val="right"/>
              <w:rPr>
                <w:rFonts w:ascii="Cambria Math" w:hAnsi="Cambria Math"/>
                <w:sz w:val="22"/>
                <w:szCs w:val="22"/>
              </w:rPr>
            </w:pPr>
            <w:r>
              <w:rPr>
                <w:rFonts w:ascii="Cambria Math" w:hAnsi="Cambria Math" w:cstheme="minorHAnsi"/>
                <w:color w:val="000000"/>
                <w:sz w:val="22"/>
                <w:szCs w:val="22"/>
              </w:rPr>
              <w:t>3,121</w:t>
            </w:r>
          </w:p>
        </w:tc>
        <w:tc>
          <w:tcPr>
            <w:tcW w:w="2070" w:type="dxa"/>
            <w:vAlign w:val="bottom"/>
          </w:tcPr>
          <w:p w:rsidRPr="00E7527F" w:rsidR="00B55FA7" w:rsidP="00E15544" w:rsidRDefault="00B55FA7" w14:paraId="33A768B7" w14:textId="75271012">
            <w:pPr>
              <w:spacing w:line="276" w:lineRule="auto"/>
              <w:jc w:val="right"/>
              <w:rPr>
                <w:rFonts w:ascii="Cambria Math" w:hAnsi="Cambria Math" w:eastAsia="Batang"/>
                <w:sz w:val="22"/>
                <w:szCs w:val="22"/>
              </w:rPr>
            </w:pPr>
            <w:r w:rsidRPr="00E7527F">
              <w:rPr>
                <w:rFonts w:ascii="Cambria Math" w:hAnsi="Cambria Math" w:eastAsia="Batang"/>
                <w:sz w:val="22"/>
                <w:szCs w:val="22"/>
              </w:rPr>
              <w:t>1</w:t>
            </w:r>
          </w:p>
        </w:tc>
        <w:tc>
          <w:tcPr>
            <w:tcW w:w="1440" w:type="dxa"/>
            <w:vAlign w:val="bottom"/>
          </w:tcPr>
          <w:p w:rsidRPr="00E7527F" w:rsidR="00B55FA7" w:rsidP="00E15544" w:rsidRDefault="00BE6D92" w14:paraId="38690A0D" w14:textId="6E8C95D1">
            <w:pPr>
              <w:spacing w:line="276" w:lineRule="auto"/>
              <w:jc w:val="right"/>
              <w:rPr>
                <w:rFonts w:ascii="Cambria Math" w:hAnsi="Cambria Math" w:eastAsia="Batang"/>
                <w:sz w:val="22"/>
                <w:szCs w:val="22"/>
              </w:rPr>
            </w:pPr>
            <w:r>
              <w:rPr>
                <w:rFonts w:ascii="Cambria Math" w:hAnsi="Cambria Math" w:cstheme="minorHAnsi"/>
                <w:color w:val="000000"/>
                <w:sz w:val="22"/>
                <w:szCs w:val="22"/>
              </w:rPr>
              <w:t>104</w:t>
            </w:r>
          </w:p>
        </w:tc>
        <w:tc>
          <w:tcPr>
            <w:tcW w:w="1170" w:type="dxa"/>
            <w:vAlign w:val="bottom"/>
          </w:tcPr>
          <w:p w:rsidRPr="00E7527F" w:rsidR="00B55FA7" w:rsidP="00E15544" w:rsidRDefault="00B55FA7" w14:paraId="30B358D5" w14:textId="36C5D020">
            <w:pPr>
              <w:spacing w:line="276" w:lineRule="auto"/>
              <w:jc w:val="right"/>
              <w:rPr>
                <w:rFonts w:ascii="Cambria Math" w:hAnsi="Cambria Math" w:eastAsia="Batang"/>
                <w:sz w:val="22"/>
                <w:szCs w:val="22"/>
              </w:rPr>
            </w:pPr>
            <w:r w:rsidRPr="00E7527F">
              <w:rPr>
                <w:rFonts w:ascii="Cambria Math" w:hAnsi="Cambria Math" w:cstheme="minorHAnsi"/>
                <w:color w:val="000000"/>
                <w:sz w:val="22"/>
                <w:szCs w:val="22"/>
              </w:rPr>
              <w:t>$28.49</w:t>
            </w:r>
          </w:p>
        </w:tc>
        <w:tc>
          <w:tcPr>
            <w:tcW w:w="1350" w:type="dxa"/>
            <w:vAlign w:val="bottom"/>
          </w:tcPr>
          <w:p w:rsidRPr="00E7527F" w:rsidR="00B55FA7" w:rsidP="00E15544" w:rsidRDefault="00B55FA7" w14:paraId="01954662" w14:textId="04632031">
            <w:pPr>
              <w:spacing w:line="276" w:lineRule="auto"/>
              <w:jc w:val="right"/>
              <w:rPr>
                <w:rFonts w:ascii="Cambria Math" w:hAnsi="Cambria Math" w:cstheme="minorHAnsi"/>
                <w:color w:val="000000"/>
                <w:sz w:val="22"/>
                <w:szCs w:val="22"/>
              </w:rPr>
            </w:pPr>
          </w:p>
          <w:p w:rsidRPr="00E7527F" w:rsidR="00B55FA7" w:rsidP="008E298C" w:rsidRDefault="00B55FA7" w14:paraId="6B63C17D" w14:textId="4B5E3CEA">
            <w:pPr>
              <w:spacing w:line="276" w:lineRule="auto"/>
              <w:jc w:val="right"/>
              <w:rPr>
                <w:rFonts w:ascii="Cambria Math" w:hAnsi="Cambria Math" w:eastAsia="Batang"/>
                <w:sz w:val="22"/>
                <w:szCs w:val="22"/>
              </w:rPr>
            </w:pPr>
            <w:r w:rsidRPr="00E7527F">
              <w:rPr>
                <w:rFonts w:ascii="Cambria Math" w:hAnsi="Cambria Math" w:cstheme="minorHAnsi"/>
                <w:color w:val="000000"/>
                <w:sz w:val="22"/>
                <w:szCs w:val="22"/>
              </w:rPr>
              <w:t>$</w:t>
            </w:r>
            <w:r w:rsidR="008E298C">
              <w:rPr>
                <w:rFonts w:ascii="Cambria Math" w:hAnsi="Cambria Math" w:cstheme="minorHAnsi"/>
                <w:color w:val="000000"/>
                <w:sz w:val="22"/>
                <w:szCs w:val="22"/>
              </w:rPr>
              <w:t>2,963</w:t>
            </w:r>
          </w:p>
        </w:tc>
      </w:tr>
      <w:tr w:rsidRPr="00E7527F" w:rsidR="00B55FA7" w:rsidTr="00E677E9" w14:paraId="44FC4B98" w14:textId="77777777">
        <w:tc>
          <w:tcPr>
            <w:tcW w:w="1615" w:type="dxa"/>
            <w:vMerge/>
          </w:tcPr>
          <w:p w:rsidRPr="00E7527F" w:rsidR="00B55FA7" w:rsidP="00E3445E" w:rsidRDefault="00B55FA7" w14:paraId="4F282768" w14:textId="77777777">
            <w:pPr>
              <w:rPr>
                <w:rFonts w:ascii="Cambria Math" w:hAnsi="Cambria Math" w:cstheme="minorHAnsi"/>
                <w:color w:val="000000"/>
                <w:sz w:val="22"/>
                <w:szCs w:val="22"/>
              </w:rPr>
            </w:pPr>
          </w:p>
        </w:tc>
        <w:tc>
          <w:tcPr>
            <w:tcW w:w="1800" w:type="dxa"/>
          </w:tcPr>
          <w:p w:rsidRPr="00E7527F" w:rsidR="00B55FA7" w:rsidP="00E3445E" w:rsidRDefault="00B55FA7" w14:paraId="527C979F" w14:textId="40C63CE4">
            <w:pPr>
              <w:spacing w:line="276" w:lineRule="auto"/>
              <w:rPr>
                <w:rFonts w:ascii="Cambria Math" w:hAnsi="Cambria Math" w:cstheme="minorHAnsi"/>
                <w:color w:val="000000"/>
                <w:sz w:val="22"/>
                <w:szCs w:val="22"/>
              </w:rPr>
            </w:pPr>
            <w:r w:rsidRPr="00E7527F">
              <w:rPr>
                <w:rFonts w:ascii="Cambria Math" w:hAnsi="Cambria Math" w:cstheme="minorHAnsi"/>
                <w:color w:val="000000"/>
                <w:sz w:val="22"/>
                <w:szCs w:val="22"/>
              </w:rPr>
              <w:t>Screener</w:t>
            </w:r>
          </w:p>
        </w:tc>
        <w:tc>
          <w:tcPr>
            <w:tcW w:w="1440" w:type="dxa"/>
            <w:vAlign w:val="bottom"/>
          </w:tcPr>
          <w:p w:rsidRPr="00E7527F" w:rsidR="00B55FA7" w:rsidP="00E15544" w:rsidRDefault="00BE6D92" w14:paraId="10D19C9C" w14:textId="1ABD1E77">
            <w:pPr>
              <w:jc w:val="right"/>
              <w:rPr>
                <w:rFonts w:ascii="Cambria Math" w:hAnsi="Cambria Math" w:cstheme="minorHAnsi"/>
                <w:color w:val="000000"/>
                <w:sz w:val="22"/>
                <w:szCs w:val="22"/>
              </w:rPr>
            </w:pPr>
            <w:r>
              <w:rPr>
                <w:rFonts w:ascii="Cambria Math" w:hAnsi="Cambria Math" w:cstheme="minorHAnsi"/>
                <w:sz w:val="22"/>
                <w:szCs w:val="22"/>
              </w:rPr>
              <w:t>2,808</w:t>
            </w:r>
          </w:p>
        </w:tc>
        <w:tc>
          <w:tcPr>
            <w:tcW w:w="2070" w:type="dxa"/>
            <w:vAlign w:val="bottom"/>
          </w:tcPr>
          <w:p w:rsidRPr="00E7527F" w:rsidR="00B55FA7" w:rsidP="00E15544" w:rsidRDefault="00B55FA7" w14:paraId="5471CB16" w14:textId="11A707AD">
            <w:pPr>
              <w:spacing w:line="276" w:lineRule="auto"/>
              <w:jc w:val="right"/>
              <w:rPr>
                <w:rFonts w:ascii="Cambria Math" w:hAnsi="Cambria Math" w:eastAsia="Batang"/>
                <w:sz w:val="22"/>
                <w:szCs w:val="22"/>
              </w:rPr>
            </w:pPr>
            <w:r w:rsidRPr="00E7527F">
              <w:rPr>
                <w:rFonts w:ascii="Cambria Math" w:hAnsi="Cambria Math" w:eastAsia="Batang"/>
                <w:sz w:val="22"/>
                <w:szCs w:val="22"/>
              </w:rPr>
              <w:t>1</w:t>
            </w:r>
          </w:p>
        </w:tc>
        <w:tc>
          <w:tcPr>
            <w:tcW w:w="1440" w:type="dxa"/>
            <w:vAlign w:val="bottom"/>
          </w:tcPr>
          <w:p w:rsidRPr="00E7527F" w:rsidR="00B55FA7" w:rsidP="00E15544" w:rsidRDefault="008E298C" w14:paraId="2C88F099" w14:textId="7E931618">
            <w:pPr>
              <w:spacing w:line="276" w:lineRule="auto"/>
              <w:jc w:val="right"/>
              <w:rPr>
                <w:rFonts w:ascii="Cambria Math" w:hAnsi="Cambria Math" w:cstheme="minorHAnsi"/>
                <w:color w:val="000000"/>
                <w:sz w:val="22"/>
                <w:szCs w:val="22"/>
              </w:rPr>
            </w:pPr>
            <w:r>
              <w:rPr>
                <w:rFonts w:ascii="Cambria Math" w:hAnsi="Cambria Math" w:cstheme="minorHAnsi"/>
                <w:color w:val="000000"/>
                <w:sz w:val="22"/>
                <w:szCs w:val="22"/>
              </w:rPr>
              <w:t>140</w:t>
            </w:r>
          </w:p>
        </w:tc>
        <w:tc>
          <w:tcPr>
            <w:tcW w:w="1170" w:type="dxa"/>
            <w:vAlign w:val="bottom"/>
          </w:tcPr>
          <w:p w:rsidRPr="00E7527F" w:rsidR="00B55FA7" w:rsidP="00E15544" w:rsidRDefault="00B55FA7" w14:paraId="1C82DCC0" w14:textId="3790A05F">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$28.49</w:t>
            </w:r>
          </w:p>
        </w:tc>
        <w:tc>
          <w:tcPr>
            <w:tcW w:w="1350" w:type="dxa"/>
            <w:vAlign w:val="bottom"/>
          </w:tcPr>
          <w:p w:rsidRPr="00E7527F" w:rsidR="00B55FA7" w:rsidP="008E298C" w:rsidRDefault="00B55FA7" w14:paraId="635B69F2" w14:textId="472BC861">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w:t>
            </w:r>
            <w:r w:rsidR="008E298C">
              <w:rPr>
                <w:rFonts w:ascii="Cambria Math" w:hAnsi="Cambria Math" w:cstheme="minorHAnsi"/>
                <w:color w:val="000000"/>
                <w:sz w:val="22"/>
                <w:szCs w:val="22"/>
              </w:rPr>
              <w:t>3,989</w:t>
            </w:r>
          </w:p>
        </w:tc>
      </w:tr>
      <w:tr w:rsidRPr="00E7527F" w:rsidR="00B55FA7" w:rsidTr="00E677E9" w14:paraId="01AF441C" w14:textId="77777777">
        <w:tc>
          <w:tcPr>
            <w:tcW w:w="1615" w:type="dxa"/>
            <w:vMerge/>
          </w:tcPr>
          <w:p w:rsidRPr="00E7527F" w:rsidR="00B55FA7" w:rsidP="00E3445E" w:rsidRDefault="00B55FA7" w14:paraId="0B5E7C99" w14:textId="77777777">
            <w:pPr>
              <w:rPr>
                <w:rFonts w:ascii="Cambria Math" w:hAnsi="Cambria Math" w:cstheme="minorHAnsi"/>
                <w:color w:val="000000"/>
                <w:sz w:val="22"/>
                <w:szCs w:val="22"/>
              </w:rPr>
            </w:pPr>
          </w:p>
        </w:tc>
        <w:tc>
          <w:tcPr>
            <w:tcW w:w="1800" w:type="dxa"/>
          </w:tcPr>
          <w:p w:rsidRPr="00E7527F" w:rsidR="00B55FA7" w:rsidP="00E3445E" w:rsidRDefault="00B55FA7" w14:paraId="42DEA304" w14:textId="7F611A98">
            <w:pPr>
              <w:spacing w:line="276" w:lineRule="auto"/>
              <w:rPr>
                <w:rFonts w:ascii="Cambria Math" w:hAnsi="Cambria Math" w:cstheme="minorHAnsi"/>
                <w:color w:val="000000"/>
                <w:sz w:val="22"/>
                <w:szCs w:val="22"/>
              </w:rPr>
            </w:pPr>
            <w:r w:rsidRPr="00E7527F">
              <w:rPr>
                <w:rFonts w:ascii="Cambria Math" w:hAnsi="Cambria Math" w:cstheme="minorHAnsi"/>
                <w:color w:val="000000"/>
                <w:sz w:val="22"/>
                <w:szCs w:val="22"/>
              </w:rPr>
              <w:t>Consent</w:t>
            </w:r>
          </w:p>
        </w:tc>
        <w:tc>
          <w:tcPr>
            <w:tcW w:w="1440" w:type="dxa"/>
            <w:vAlign w:val="bottom"/>
          </w:tcPr>
          <w:p w:rsidRPr="00E7527F" w:rsidR="00B55FA7" w:rsidP="00E15544" w:rsidRDefault="00BE6D92" w14:paraId="7220BB73" w14:textId="73B3ADCB">
            <w:pPr>
              <w:jc w:val="right"/>
              <w:rPr>
                <w:rFonts w:ascii="Cambria Math" w:hAnsi="Cambria Math" w:cstheme="minorHAnsi"/>
                <w:color w:val="000000"/>
                <w:sz w:val="22"/>
                <w:szCs w:val="22"/>
              </w:rPr>
            </w:pPr>
            <w:r>
              <w:rPr>
                <w:rFonts w:ascii="Cambria Math" w:hAnsi="Cambria Math" w:cstheme="minorHAnsi"/>
                <w:sz w:val="22"/>
                <w:szCs w:val="22"/>
              </w:rPr>
              <w:t>702</w:t>
            </w:r>
          </w:p>
        </w:tc>
        <w:tc>
          <w:tcPr>
            <w:tcW w:w="2070" w:type="dxa"/>
            <w:vAlign w:val="bottom"/>
          </w:tcPr>
          <w:p w:rsidRPr="00E7527F" w:rsidR="00B55FA7" w:rsidP="00E15544" w:rsidRDefault="00B55FA7" w14:paraId="6CC4134D" w14:textId="1C1F7801">
            <w:pPr>
              <w:spacing w:line="276" w:lineRule="auto"/>
              <w:jc w:val="right"/>
              <w:rPr>
                <w:rFonts w:ascii="Cambria Math" w:hAnsi="Cambria Math" w:eastAsia="Batang"/>
                <w:sz w:val="22"/>
                <w:szCs w:val="22"/>
              </w:rPr>
            </w:pPr>
            <w:r w:rsidRPr="00E7527F">
              <w:rPr>
                <w:rFonts w:ascii="Cambria Math" w:hAnsi="Cambria Math" w:eastAsia="Batang"/>
                <w:sz w:val="22"/>
                <w:szCs w:val="22"/>
              </w:rPr>
              <w:t>1</w:t>
            </w:r>
          </w:p>
        </w:tc>
        <w:tc>
          <w:tcPr>
            <w:tcW w:w="1440" w:type="dxa"/>
            <w:vAlign w:val="bottom"/>
          </w:tcPr>
          <w:p w:rsidRPr="00E7527F" w:rsidR="00B55FA7" w:rsidP="00E15544" w:rsidRDefault="00B55FA7" w14:paraId="392559CC" w14:textId="5FE7B80C">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2</w:t>
            </w:r>
            <w:r>
              <w:rPr>
                <w:rFonts w:ascii="Cambria Math" w:hAnsi="Cambria Math" w:cstheme="minorHAnsi"/>
                <w:color w:val="000000"/>
                <w:sz w:val="22"/>
                <w:szCs w:val="22"/>
              </w:rPr>
              <w:t>3</w:t>
            </w:r>
          </w:p>
        </w:tc>
        <w:tc>
          <w:tcPr>
            <w:tcW w:w="1170" w:type="dxa"/>
            <w:vAlign w:val="bottom"/>
          </w:tcPr>
          <w:p w:rsidRPr="00E7527F" w:rsidR="00B55FA7" w:rsidP="00E15544" w:rsidRDefault="00B55FA7" w14:paraId="68F2C571" w14:textId="7E4B8F82">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$28.49</w:t>
            </w:r>
          </w:p>
        </w:tc>
        <w:tc>
          <w:tcPr>
            <w:tcW w:w="1350" w:type="dxa"/>
            <w:vAlign w:val="bottom"/>
          </w:tcPr>
          <w:p w:rsidRPr="00E7527F" w:rsidR="00B55FA7" w:rsidP="00E15544" w:rsidRDefault="00B55FA7" w14:paraId="448D7431" w14:textId="578CA04A">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w:t>
            </w:r>
            <w:r>
              <w:rPr>
                <w:rFonts w:ascii="Cambria Math" w:hAnsi="Cambria Math" w:cstheme="minorHAnsi"/>
                <w:color w:val="000000"/>
                <w:sz w:val="22"/>
                <w:szCs w:val="22"/>
              </w:rPr>
              <w:t>656</w:t>
            </w:r>
          </w:p>
        </w:tc>
      </w:tr>
      <w:tr w:rsidRPr="00E7527F" w:rsidR="00B55FA7" w:rsidTr="00E677E9" w14:paraId="49F91257" w14:textId="77777777">
        <w:tc>
          <w:tcPr>
            <w:tcW w:w="1615" w:type="dxa"/>
            <w:vMerge/>
          </w:tcPr>
          <w:p w:rsidRPr="00E7527F" w:rsidR="00B55FA7" w:rsidP="003A3172" w:rsidRDefault="00B55FA7" w14:paraId="2E5B84F3" w14:textId="77777777">
            <w:pPr>
              <w:rPr>
                <w:rFonts w:ascii="Cambria Math" w:hAnsi="Cambria Math" w:cstheme="minorHAnsi"/>
                <w:color w:val="000000"/>
                <w:sz w:val="22"/>
                <w:szCs w:val="22"/>
              </w:rPr>
            </w:pPr>
          </w:p>
        </w:tc>
        <w:tc>
          <w:tcPr>
            <w:tcW w:w="1800" w:type="dxa"/>
          </w:tcPr>
          <w:p w:rsidRPr="00E7527F" w:rsidR="00B55FA7" w:rsidP="003A3172" w:rsidRDefault="00B55FA7" w14:paraId="08082FF4" w14:textId="72827E2A">
            <w:pPr>
              <w:spacing w:line="276" w:lineRule="auto"/>
              <w:rPr>
                <w:rFonts w:ascii="Cambria Math" w:hAnsi="Cambria Math" w:cstheme="minorHAnsi"/>
                <w:color w:val="000000"/>
                <w:sz w:val="22"/>
                <w:szCs w:val="22"/>
              </w:rPr>
            </w:pPr>
            <w:r w:rsidRPr="00E7527F">
              <w:rPr>
                <w:rFonts w:ascii="Cambria Math" w:hAnsi="Cambria Math" w:cstheme="minorHAnsi"/>
                <w:color w:val="000000"/>
                <w:sz w:val="22"/>
                <w:szCs w:val="22"/>
              </w:rPr>
              <w:t>Questionnaire</w:t>
            </w:r>
          </w:p>
        </w:tc>
        <w:tc>
          <w:tcPr>
            <w:tcW w:w="1440" w:type="dxa"/>
            <w:vAlign w:val="bottom"/>
          </w:tcPr>
          <w:p w:rsidRPr="00E7527F" w:rsidR="00B55FA7" w:rsidP="00E15544" w:rsidRDefault="00BE6D92" w14:paraId="3D2456AB" w14:textId="4F1F36DC">
            <w:pPr>
              <w:jc w:val="right"/>
              <w:rPr>
                <w:rFonts w:ascii="Cambria Math" w:hAnsi="Cambria Math" w:cstheme="minorHAnsi"/>
                <w:color w:val="000000"/>
                <w:sz w:val="22"/>
                <w:szCs w:val="22"/>
              </w:rPr>
            </w:pPr>
            <w:r>
              <w:rPr>
                <w:rFonts w:ascii="Cambria Math" w:hAnsi="Cambria Math" w:cstheme="minorHAnsi"/>
                <w:sz w:val="22"/>
                <w:szCs w:val="22"/>
              </w:rPr>
              <w:t>632</w:t>
            </w:r>
          </w:p>
        </w:tc>
        <w:tc>
          <w:tcPr>
            <w:tcW w:w="2070" w:type="dxa"/>
            <w:vAlign w:val="bottom"/>
          </w:tcPr>
          <w:p w:rsidRPr="00E7527F" w:rsidR="00B55FA7" w:rsidP="00E15544" w:rsidRDefault="00B55FA7" w14:paraId="361DAC59" w14:textId="21BE3132">
            <w:pPr>
              <w:spacing w:line="276" w:lineRule="auto"/>
              <w:jc w:val="right"/>
              <w:rPr>
                <w:rFonts w:ascii="Cambria Math" w:hAnsi="Cambria Math" w:eastAsia="Batang"/>
                <w:sz w:val="22"/>
                <w:szCs w:val="22"/>
              </w:rPr>
            </w:pPr>
            <w:r w:rsidRPr="00E7527F">
              <w:rPr>
                <w:rFonts w:ascii="Cambria Math" w:hAnsi="Cambria Math" w:eastAsia="Batang"/>
                <w:sz w:val="22"/>
                <w:szCs w:val="22"/>
              </w:rPr>
              <w:t>1</w:t>
            </w:r>
          </w:p>
        </w:tc>
        <w:tc>
          <w:tcPr>
            <w:tcW w:w="1440" w:type="dxa"/>
            <w:vAlign w:val="bottom"/>
          </w:tcPr>
          <w:p w:rsidRPr="00E7527F" w:rsidR="00B55FA7" w:rsidP="00E15544" w:rsidRDefault="008E298C" w14:paraId="2B699E16" w14:textId="3FE33318">
            <w:pPr>
              <w:spacing w:line="276" w:lineRule="auto"/>
              <w:jc w:val="right"/>
              <w:rPr>
                <w:rFonts w:ascii="Cambria Math" w:hAnsi="Cambria Math" w:cstheme="minorHAnsi"/>
                <w:color w:val="000000"/>
                <w:sz w:val="22"/>
                <w:szCs w:val="22"/>
              </w:rPr>
            </w:pPr>
            <w:r>
              <w:rPr>
                <w:rFonts w:ascii="Cambria Math" w:hAnsi="Cambria Math" w:cstheme="minorHAnsi"/>
                <w:color w:val="000000"/>
                <w:sz w:val="22"/>
                <w:szCs w:val="22"/>
              </w:rPr>
              <w:t>158</w:t>
            </w:r>
          </w:p>
        </w:tc>
        <w:tc>
          <w:tcPr>
            <w:tcW w:w="1170" w:type="dxa"/>
            <w:vAlign w:val="bottom"/>
          </w:tcPr>
          <w:p w:rsidRPr="00E7527F" w:rsidR="00B55FA7" w:rsidP="00E15544" w:rsidRDefault="00B55FA7" w14:paraId="0DE27DF9" w14:textId="080E858C">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$28.49</w:t>
            </w:r>
          </w:p>
        </w:tc>
        <w:tc>
          <w:tcPr>
            <w:tcW w:w="1350" w:type="dxa"/>
            <w:vAlign w:val="bottom"/>
          </w:tcPr>
          <w:p w:rsidRPr="00E7527F" w:rsidR="00B55FA7" w:rsidP="008E298C" w:rsidRDefault="00B55FA7" w14:paraId="450773FA" w14:textId="0A2BF045">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w:t>
            </w:r>
            <w:r w:rsidR="008E298C">
              <w:rPr>
                <w:rFonts w:ascii="Cambria Math" w:hAnsi="Cambria Math" w:cstheme="minorHAnsi"/>
                <w:color w:val="000000"/>
                <w:sz w:val="22"/>
                <w:szCs w:val="22"/>
              </w:rPr>
              <w:t>4,501</w:t>
            </w:r>
          </w:p>
        </w:tc>
      </w:tr>
      <w:tr w:rsidRPr="00E7527F" w:rsidR="00B55FA7" w:rsidTr="00E677E9" w14:paraId="059CD044" w14:textId="77777777">
        <w:tc>
          <w:tcPr>
            <w:tcW w:w="1615" w:type="dxa"/>
            <w:vMerge w:val="restart"/>
          </w:tcPr>
          <w:p w:rsidRPr="00E7527F" w:rsidR="00B55FA7" w:rsidP="003A3172" w:rsidRDefault="00B55FA7" w14:paraId="6EFBAC94" w14:textId="3CAA44B4">
            <w:pPr>
              <w:rPr>
                <w:rFonts w:ascii="Cambria Math" w:hAnsi="Cambria Math" w:cstheme="minorHAnsi"/>
                <w:color w:val="000000"/>
                <w:sz w:val="22"/>
                <w:szCs w:val="22"/>
              </w:rPr>
            </w:pPr>
            <w:r w:rsidRPr="00E7527F">
              <w:rPr>
                <w:rFonts w:ascii="Cambria Math" w:hAnsi="Cambria Math" w:cstheme="minorHAnsi"/>
                <w:color w:val="000000"/>
                <w:sz w:val="22"/>
                <w:szCs w:val="22"/>
              </w:rPr>
              <w:t>Youth ages 13-24 Participant</w:t>
            </w:r>
          </w:p>
        </w:tc>
        <w:tc>
          <w:tcPr>
            <w:tcW w:w="1800" w:type="dxa"/>
          </w:tcPr>
          <w:p w:rsidRPr="00E7527F" w:rsidR="00B55FA7" w:rsidP="003A3172" w:rsidRDefault="00B55FA7" w14:paraId="4818907E" w14:textId="108CA44E">
            <w:pPr>
              <w:spacing w:line="276" w:lineRule="auto"/>
              <w:rPr>
                <w:rFonts w:ascii="Cambria Math" w:hAnsi="Cambria Math" w:cstheme="minorHAnsi"/>
                <w:color w:val="000000"/>
                <w:sz w:val="22"/>
                <w:szCs w:val="22"/>
              </w:rPr>
            </w:pPr>
            <w:r w:rsidRPr="00E7527F">
              <w:rPr>
                <w:rFonts w:ascii="Cambria Math" w:hAnsi="Cambria Math" w:cstheme="minorHAnsi"/>
                <w:color w:val="000000"/>
                <w:sz w:val="22"/>
                <w:szCs w:val="22"/>
              </w:rPr>
              <w:t>Consent/Assent</w:t>
            </w:r>
          </w:p>
        </w:tc>
        <w:tc>
          <w:tcPr>
            <w:tcW w:w="1440" w:type="dxa"/>
            <w:vAlign w:val="bottom"/>
          </w:tcPr>
          <w:p w:rsidRPr="00E7527F" w:rsidR="00B55FA7" w:rsidP="00E15544" w:rsidRDefault="00BE6D92" w14:paraId="716C0CCF" w14:textId="52AD44A8">
            <w:pPr>
              <w:jc w:val="right"/>
              <w:rPr>
                <w:rFonts w:ascii="Cambria Math" w:hAnsi="Cambria Math" w:cstheme="minorHAnsi"/>
                <w:color w:val="000000"/>
                <w:sz w:val="22"/>
                <w:szCs w:val="22"/>
              </w:rPr>
            </w:pPr>
            <w:r>
              <w:rPr>
                <w:rFonts w:ascii="Cambria Math" w:hAnsi="Cambria Math" w:cstheme="minorHAnsi"/>
                <w:sz w:val="22"/>
                <w:szCs w:val="22"/>
              </w:rPr>
              <w:t>632</w:t>
            </w:r>
          </w:p>
        </w:tc>
        <w:tc>
          <w:tcPr>
            <w:tcW w:w="2070" w:type="dxa"/>
            <w:vAlign w:val="bottom"/>
          </w:tcPr>
          <w:p w:rsidRPr="00E7527F" w:rsidR="00B55FA7" w:rsidP="00E15544" w:rsidRDefault="00B55FA7" w14:paraId="593455A3" w14:textId="77D26352">
            <w:pPr>
              <w:spacing w:line="276" w:lineRule="auto"/>
              <w:jc w:val="right"/>
              <w:rPr>
                <w:rFonts w:ascii="Cambria Math" w:hAnsi="Cambria Math" w:eastAsia="Batang"/>
                <w:sz w:val="22"/>
                <w:szCs w:val="22"/>
              </w:rPr>
            </w:pPr>
            <w:r w:rsidRPr="00E7527F">
              <w:rPr>
                <w:rFonts w:ascii="Cambria Math" w:hAnsi="Cambria Math" w:eastAsia="Batang"/>
                <w:sz w:val="22"/>
                <w:szCs w:val="22"/>
              </w:rPr>
              <w:t>1</w:t>
            </w:r>
          </w:p>
        </w:tc>
        <w:tc>
          <w:tcPr>
            <w:tcW w:w="1440" w:type="dxa"/>
            <w:vAlign w:val="bottom"/>
          </w:tcPr>
          <w:p w:rsidRPr="00E7527F" w:rsidR="00B55FA7" w:rsidP="00E15544" w:rsidRDefault="008E298C" w14:paraId="47C6328B" w14:textId="2FE6FA40">
            <w:pPr>
              <w:spacing w:line="276" w:lineRule="auto"/>
              <w:jc w:val="right"/>
              <w:rPr>
                <w:rFonts w:ascii="Cambria Math" w:hAnsi="Cambria Math" w:cstheme="minorHAnsi"/>
                <w:color w:val="000000"/>
                <w:sz w:val="22"/>
                <w:szCs w:val="22"/>
              </w:rPr>
            </w:pPr>
            <w:r>
              <w:rPr>
                <w:rFonts w:ascii="Cambria Math" w:hAnsi="Cambria Math" w:cstheme="minorHAnsi"/>
                <w:color w:val="000000"/>
                <w:sz w:val="22"/>
                <w:szCs w:val="22"/>
              </w:rPr>
              <w:t>32</w:t>
            </w:r>
          </w:p>
        </w:tc>
        <w:tc>
          <w:tcPr>
            <w:tcW w:w="1170" w:type="dxa"/>
            <w:vAlign w:val="bottom"/>
          </w:tcPr>
          <w:p w:rsidRPr="00E7527F" w:rsidR="00B55FA7" w:rsidP="00E15544" w:rsidRDefault="00B55FA7" w14:paraId="198DE0A8" w14:textId="6E174FA4">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$28.49</w:t>
            </w:r>
          </w:p>
        </w:tc>
        <w:tc>
          <w:tcPr>
            <w:tcW w:w="1350" w:type="dxa"/>
            <w:vAlign w:val="bottom"/>
          </w:tcPr>
          <w:p w:rsidRPr="00E7527F" w:rsidR="00B55FA7" w:rsidP="008E298C" w:rsidRDefault="00B55FA7" w14:paraId="72F03E8E" w14:textId="4B1B43B0">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w:t>
            </w:r>
            <w:r w:rsidR="008E298C">
              <w:rPr>
                <w:rFonts w:ascii="Cambria Math" w:hAnsi="Cambria Math" w:cstheme="minorHAnsi"/>
                <w:color w:val="000000"/>
                <w:sz w:val="22"/>
                <w:szCs w:val="22"/>
              </w:rPr>
              <w:t>912</w:t>
            </w:r>
          </w:p>
        </w:tc>
      </w:tr>
      <w:tr w:rsidRPr="00E7527F" w:rsidR="00B55FA7" w:rsidTr="00E677E9" w14:paraId="36963CE1" w14:textId="77777777">
        <w:tc>
          <w:tcPr>
            <w:tcW w:w="1615" w:type="dxa"/>
            <w:vMerge/>
          </w:tcPr>
          <w:p w:rsidRPr="00E7527F" w:rsidR="00B55FA7" w:rsidP="00E15544" w:rsidRDefault="00B55FA7" w14:paraId="279A1A64" w14:textId="77777777">
            <w:pPr>
              <w:jc w:val="right"/>
              <w:rPr>
                <w:rFonts w:ascii="Cambria Math" w:hAnsi="Cambria Math" w:cstheme="minorHAnsi"/>
                <w:color w:val="000000"/>
                <w:sz w:val="22"/>
                <w:szCs w:val="22"/>
              </w:rPr>
            </w:pPr>
          </w:p>
        </w:tc>
        <w:tc>
          <w:tcPr>
            <w:tcW w:w="1800" w:type="dxa"/>
          </w:tcPr>
          <w:p w:rsidRPr="00E7527F" w:rsidR="00B55FA7" w:rsidP="00F83E82" w:rsidRDefault="00B55FA7" w14:paraId="5DF3447F" w14:textId="6220840E">
            <w:pPr>
              <w:spacing w:line="276" w:lineRule="auto"/>
              <w:rPr>
                <w:rFonts w:ascii="Cambria Math" w:hAnsi="Cambria Math" w:cstheme="minorHAnsi"/>
                <w:color w:val="000000"/>
                <w:sz w:val="22"/>
                <w:szCs w:val="22"/>
              </w:rPr>
            </w:pPr>
            <w:r>
              <w:rPr>
                <w:rFonts w:ascii="Cambria Math" w:hAnsi="Cambria Math" w:cstheme="minorHAnsi"/>
                <w:color w:val="000000"/>
                <w:sz w:val="22"/>
                <w:szCs w:val="22"/>
              </w:rPr>
              <w:t>C</w:t>
            </w:r>
            <w:r w:rsidRPr="00E7527F">
              <w:rPr>
                <w:rFonts w:ascii="Cambria Math" w:hAnsi="Cambria Math" w:cstheme="minorHAnsi"/>
                <w:color w:val="000000"/>
                <w:sz w:val="22"/>
                <w:szCs w:val="22"/>
              </w:rPr>
              <w:t xml:space="preserve">ore questionnaire </w:t>
            </w:r>
          </w:p>
        </w:tc>
        <w:tc>
          <w:tcPr>
            <w:tcW w:w="1440" w:type="dxa"/>
            <w:vAlign w:val="bottom"/>
          </w:tcPr>
          <w:p w:rsidRPr="00E7527F" w:rsidR="00B55FA7" w:rsidP="00BE6D92" w:rsidRDefault="00F83E82" w14:paraId="589791A1" w14:textId="34FDF04C">
            <w:pPr>
              <w:jc w:val="right"/>
              <w:rPr>
                <w:rFonts w:ascii="Cambria Math" w:hAnsi="Cambria Math" w:cstheme="minorHAnsi"/>
                <w:color w:val="000000"/>
                <w:sz w:val="22"/>
                <w:szCs w:val="22"/>
              </w:rPr>
            </w:pPr>
            <w:r>
              <w:rPr>
                <w:rFonts w:ascii="Cambria Math" w:hAnsi="Cambria Math" w:cstheme="minorHAnsi"/>
                <w:color w:val="000000"/>
                <w:sz w:val="22"/>
                <w:szCs w:val="22"/>
              </w:rPr>
              <w:t>3</w:t>
            </w:r>
            <w:r w:rsidR="00BE6D92">
              <w:rPr>
                <w:rFonts w:ascii="Cambria Math" w:hAnsi="Cambria Math" w:cstheme="minorHAnsi"/>
                <w:color w:val="000000"/>
                <w:sz w:val="22"/>
                <w:szCs w:val="22"/>
              </w:rPr>
              <w:t>77</w:t>
            </w:r>
          </w:p>
        </w:tc>
        <w:tc>
          <w:tcPr>
            <w:tcW w:w="2070" w:type="dxa"/>
            <w:vAlign w:val="bottom"/>
          </w:tcPr>
          <w:p w:rsidRPr="00E7527F" w:rsidR="00B55FA7" w:rsidP="00E15544" w:rsidRDefault="00B55FA7" w14:paraId="49BAB0FE" w14:textId="2F8A711C">
            <w:pPr>
              <w:spacing w:line="276" w:lineRule="auto"/>
              <w:jc w:val="right"/>
              <w:rPr>
                <w:rFonts w:ascii="Cambria Math" w:hAnsi="Cambria Math" w:eastAsia="Batang"/>
                <w:sz w:val="22"/>
                <w:szCs w:val="22"/>
              </w:rPr>
            </w:pPr>
            <w:r w:rsidRPr="00E7527F">
              <w:rPr>
                <w:rFonts w:ascii="Cambria Math" w:hAnsi="Cambria Math" w:eastAsia="Batang"/>
                <w:sz w:val="22"/>
                <w:szCs w:val="22"/>
              </w:rPr>
              <w:t>1</w:t>
            </w:r>
          </w:p>
        </w:tc>
        <w:tc>
          <w:tcPr>
            <w:tcW w:w="1440" w:type="dxa"/>
            <w:vAlign w:val="bottom"/>
          </w:tcPr>
          <w:p w:rsidRPr="00E7527F" w:rsidR="00B55FA7" w:rsidP="00BE6D92" w:rsidRDefault="00F83E82" w14:paraId="1A24E282" w14:textId="32E496EE">
            <w:pPr>
              <w:spacing w:line="276" w:lineRule="auto"/>
              <w:jc w:val="right"/>
              <w:rPr>
                <w:rFonts w:ascii="Cambria Math" w:hAnsi="Cambria Math" w:cstheme="minorHAnsi"/>
                <w:color w:val="000000"/>
                <w:sz w:val="22"/>
                <w:szCs w:val="22"/>
              </w:rPr>
            </w:pPr>
            <w:r>
              <w:rPr>
                <w:rFonts w:ascii="Cambria Math" w:hAnsi="Cambria Math" w:cstheme="minorHAnsi"/>
                <w:color w:val="000000"/>
                <w:sz w:val="22"/>
                <w:szCs w:val="22"/>
              </w:rPr>
              <w:t>3</w:t>
            </w:r>
            <w:r w:rsidR="00BE6D92">
              <w:rPr>
                <w:rFonts w:ascii="Cambria Math" w:hAnsi="Cambria Math" w:cstheme="minorHAnsi"/>
                <w:color w:val="000000"/>
                <w:sz w:val="22"/>
                <w:szCs w:val="22"/>
              </w:rPr>
              <w:t>77</w:t>
            </w:r>
          </w:p>
        </w:tc>
        <w:tc>
          <w:tcPr>
            <w:tcW w:w="1170" w:type="dxa"/>
            <w:vAlign w:val="bottom"/>
          </w:tcPr>
          <w:p w:rsidRPr="00E7527F" w:rsidR="00B55FA7" w:rsidP="00E15544" w:rsidRDefault="00B55FA7" w14:paraId="14124DBA" w14:textId="4C1F5821">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$28.49</w:t>
            </w:r>
          </w:p>
        </w:tc>
        <w:tc>
          <w:tcPr>
            <w:tcW w:w="1350" w:type="dxa"/>
            <w:vAlign w:val="bottom"/>
          </w:tcPr>
          <w:p w:rsidRPr="00E7527F" w:rsidR="00B55FA7" w:rsidP="008E298C" w:rsidRDefault="00B55FA7" w14:paraId="1D3C8A66" w14:textId="067F060D">
            <w:pPr>
              <w:spacing w:line="276" w:lineRule="auto"/>
              <w:jc w:val="right"/>
              <w:rPr>
                <w:rFonts w:ascii="Cambria Math" w:hAnsi="Cambria Math" w:cstheme="minorHAnsi"/>
                <w:color w:val="000000"/>
                <w:sz w:val="22"/>
                <w:szCs w:val="22"/>
              </w:rPr>
            </w:pPr>
            <w:r w:rsidRPr="00E7527F">
              <w:rPr>
                <w:rFonts w:ascii="Cambria Math" w:hAnsi="Cambria Math" w:cstheme="minorHAnsi"/>
                <w:color w:val="000000"/>
                <w:sz w:val="22"/>
                <w:szCs w:val="22"/>
              </w:rPr>
              <w:t>$</w:t>
            </w:r>
            <w:r w:rsidR="008E298C">
              <w:rPr>
                <w:rFonts w:ascii="Cambria Math" w:hAnsi="Cambria Math" w:cstheme="minorHAnsi"/>
                <w:color w:val="000000"/>
                <w:sz w:val="22"/>
                <w:szCs w:val="22"/>
              </w:rPr>
              <w:t>10,741</w:t>
            </w:r>
          </w:p>
        </w:tc>
      </w:tr>
      <w:tr w:rsidRPr="00E7527F" w:rsidR="00B55FA7" w:rsidTr="00E677E9" w14:paraId="4983C45F" w14:textId="77777777">
        <w:tc>
          <w:tcPr>
            <w:tcW w:w="1615" w:type="dxa"/>
            <w:vMerge/>
          </w:tcPr>
          <w:p w:rsidRPr="00E7527F" w:rsidR="00B55FA7" w:rsidP="00E15544" w:rsidRDefault="00B55FA7" w14:paraId="327D5AC3" w14:textId="77777777">
            <w:pPr>
              <w:jc w:val="right"/>
              <w:rPr>
                <w:rFonts w:ascii="Cambria Math" w:hAnsi="Cambria Math" w:cstheme="minorHAnsi"/>
                <w:color w:val="000000"/>
                <w:sz w:val="22"/>
                <w:szCs w:val="22"/>
              </w:rPr>
            </w:pPr>
          </w:p>
        </w:tc>
        <w:tc>
          <w:tcPr>
            <w:tcW w:w="1800" w:type="dxa"/>
          </w:tcPr>
          <w:p w:rsidRPr="00E7527F" w:rsidR="00B55FA7" w:rsidP="00F83E82" w:rsidRDefault="00B55FA7" w14:paraId="0E0FB89E" w14:textId="74B42D6B">
            <w:pPr>
              <w:spacing w:line="276" w:lineRule="auto"/>
              <w:rPr>
                <w:rFonts w:ascii="Cambria Math" w:hAnsi="Cambria Math" w:cstheme="minorHAnsi"/>
                <w:color w:val="000000"/>
                <w:sz w:val="22"/>
                <w:szCs w:val="22"/>
              </w:rPr>
            </w:pPr>
          </w:p>
        </w:tc>
        <w:tc>
          <w:tcPr>
            <w:tcW w:w="1440" w:type="dxa"/>
            <w:vAlign w:val="bottom"/>
          </w:tcPr>
          <w:p w:rsidRPr="00E7527F" w:rsidR="00B55FA7" w:rsidP="00E15544" w:rsidRDefault="00B55FA7" w14:paraId="0C2A4DB5" w14:textId="79949368">
            <w:pPr>
              <w:jc w:val="right"/>
              <w:rPr>
                <w:rFonts w:ascii="Cambria Math" w:hAnsi="Cambria Math" w:cstheme="minorHAnsi"/>
                <w:color w:val="000000"/>
                <w:sz w:val="22"/>
                <w:szCs w:val="22"/>
              </w:rPr>
            </w:pPr>
          </w:p>
        </w:tc>
        <w:tc>
          <w:tcPr>
            <w:tcW w:w="2070" w:type="dxa"/>
            <w:vAlign w:val="bottom"/>
          </w:tcPr>
          <w:p w:rsidRPr="00E7527F" w:rsidR="00B55FA7" w:rsidP="00E15544" w:rsidRDefault="00B55FA7" w14:paraId="4DF3D718" w14:textId="53E80201">
            <w:pPr>
              <w:spacing w:line="276" w:lineRule="auto"/>
              <w:jc w:val="right"/>
              <w:rPr>
                <w:rFonts w:ascii="Cambria Math" w:hAnsi="Cambria Math" w:eastAsia="Batang"/>
                <w:sz w:val="22"/>
                <w:szCs w:val="22"/>
              </w:rPr>
            </w:pPr>
          </w:p>
        </w:tc>
        <w:tc>
          <w:tcPr>
            <w:tcW w:w="1440" w:type="dxa"/>
            <w:vAlign w:val="bottom"/>
          </w:tcPr>
          <w:p w:rsidRPr="00E7527F" w:rsidR="00B55FA7" w:rsidP="00E15544" w:rsidRDefault="00B55FA7" w14:paraId="1E8F925B" w14:textId="0537B127">
            <w:pPr>
              <w:spacing w:line="276" w:lineRule="auto"/>
              <w:jc w:val="right"/>
              <w:rPr>
                <w:rFonts w:ascii="Cambria Math" w:hAnsi="Cambria Math" w:cstheme="minorHAnsi"/>
                <w:color w:val="000000"/>
                <w:sz w:val="22"/>
                <w:szCs w:val="22"/>
              </w:rPr>
            </w:pPr>
          </w:p>
        </w:tc>
        <w:tc>
          <w:tcPr>
            <w:tcW w:w="1170" w:type="dxa"/>
            <w:vAlign w:val="bottom"/>
          </w:tcPr>
          <w:p w:rsidRPr="00E7527F" w:rsidR="00B55FA7" w:rsidP="00E15544" w:rsidRDefault="00B55FA7" w14:paraId="04EE7059" w14:textId="4493DDE4">
            <w:pPr>
              <w:spacing w:line="276" w:lineRule="auto"/>
              <w:jc w:val="right"/>
              <w:rPr>
                <w:rFonts w:ascii="Cambria Math" w:hAnsi="Cambria Math" w:cstheme="minorHAnsi"/>
                <w:color w:val="000000"/>
                <w:sz w:val="22"/>
                <w:szCs w:val="22"/>
              </w:rPr>
            </w:pPr>
          </w:p>
        </w:tc>
        <w:tc>
          <w:tcPr>
            <w:tcW w:w="1350" w:type="dxa"/>
            <w:vAlign w:val="bottom"/>
          </w:tcPr>
          <w:p w:rsidRPr="00E7527F" w:rsidR="00B55FA7" w:rsidP="00E15544" w:rsidRDefault="00B55FA7" w14:paraId="4A58BE27" w14:textId="58376BC5">
            <w:pPr>
              <w:spacing w:line="276" w:lineRule="auto"/>
              <w:jc w:val="right"/>
              <w:rPr>
                <w:rFonts w:ascii="Cambria Math" w:hAnsi="Cambria Math" w:cstheme="minorHAnsi"/>
                <w:color w:val="000000"/>
                <w:sz w:val="22"/>
                <w:szCs w:val="22"/>
              </w:rPr>
            </w:pPr>
          </w:p>
        </w:tc>
      </w:tr>
      <w:tr w:rsidRPr="00E7527F" w:rsidR="00C16898" w:rsidTr="00E677E9" w14:paraId="772A1FC0" w14:textId="77777777">
        <w:tc>
          <w:tcPr>
            <w:tcW w:w="9535" w:type="dxa"/>
            <w:gridSpan w:val="6"/>
          </w:tcPr>
          <w:p w:rsidRPr="00E7527F" w:rsidR="00C16898" w:rsidP="000449E2" w:rsidRDefault="00C16898" w14:paraId="0DC29038" w14:textId="4695D9F6">
            <w:pPr>
              <w:spacing w:line="276" w:lineRule="auto"/>
              <w:rPr>
                <w:rFonts w:ascii="Cambria Math" w:hAnsi="Cambria Math" w:cstheme="minorHAnsi"/>
                <w:b/>
                <w:color w:val="000000"/>
                <w:sz w:val="22"/>
                <w:szCs w:val="22"/>
              </w:rPr>
            </w:pPr>
            <w:r w:rsidRPr="00E7527F">
              <w:rPr>
                <w:rFonts w:ascii="Cambria Math" w:hAnsi="Cambria Math" w:cstheme="minorHAnsi"/>
                <w:b/>
                <w:color w:val="000000"/>
                <w:sz w:val="22"/>
                <w:szCs w:val="22"/>
              </w:rPr>
              <w:t>Total Annualized Burden Cost</w:t>
            </w:r>
          </w:p>
        </w:tc>
        <w:tc>
          <w:tcPr>
            <w:tcW w:w="1350" w:type="dxa"/>
          </w:tcPr>
          <w:p w:rsidRPr="00E7527F" w:rsidR="00C16898" w:rsidP="008E298C" w:rsidRDefault="00C16898" w14:paraId="7C23741B" w14:textId="4850541B">
            <w:pPr>
              <w:spacing w:line="276" w:lineRule="auto"/>
              <w:jc w:val="right"/>
              <w:rPr>
                <w:rFonts w:ascii="Cambria Math" w:hAnsi="Cambria Math" w:cstheme="minorHAnsi"/>
                <w:b/>
                <w:color w:val="000000"/>
                <w:sz w:val="22"/>
                <w:szCs w:val="22"/>
              </w:rPr>
            </w:pPr>
            <w:r w:rsidRPr="00E7527F">
              <w:rPr>
                <w:rFonts w:ascii="Cambria Math" w:hAnsi="Cambria Math" w:cstheme="minorHAnsi"/>
                <w:b/>
                <w:color w:val="000000"/>
                <w:sz w:val="22"/>
                <w:szCs w:val="22"/>
              </w:rPr>
              <w:t>$</w:t>
            </w:r>
            <w:r w:rsidR="008E298C">
              <w:rPr>
                <w:rFonts w:ascii="Cambria Math" w:hAnsi="Cambria Math" w:cstheme="minorHAnsi"/>
                <w:b/>
                <w:color w:val="000000"/>
                <w:sz w:val="22"/>
                <w:szCs w:val="22"/>
              </w:rPr>
              <w:t>23,762</w:t>
            </w:r>
          </w:p>
        </w:tc>
      </w:tr>
    </w:tbl>
    <w:p w:rsidR="002C2BFB" w:rsidP="00AD7DB8" w:rsidRDefault="002C2BFB" w14:paraId="65B4CC96" w14:textId="77777777">
      <w:pPr>
        <w:spacing w:line="276" w:lineRule="auto"/>
        <w:rPr>
          <w:rFonts w:asciiTheme="minorHAnsi" w:hAnsiTheme="minorHAnsi" w:cstheme="minorHAnsi"/>
          <w:b/>
        </w:rPr>
      </w:pPr>
    </w:p>
    <w:p w:rsidR="009C24E7" w:rsidP="00AD7DB8" w:rsidRDefault="009C24E7" w14:paraId="28BFD24A" w14:textId="77777777">
      <w:pPr>
        <w:spacing w:line="276" w:lineRule="auto"/>
        <w:rPr>
          <w:rFonts w:asciiTheme="minorHAnsi" w:hAnsiTheme="minorHAnsi" w:cstheme="minorHAnsi"/>
          <w:b/>
        </w:rPr>
      </w:pPr>
    </w:p>
    <w:p w:rsidR="009C24E7" w:rsidP="00AD7DB8" w:rsidRDefault="009C24E7" w14:paraId="473849E2" w14:textId="77777777">
      <w:pPr>
        <w:spacing w:line="276" w:lineRule="auto"/>
        <w:rPr>
          <w:rFonts w:asciiTheme="minorHAnsi" w:hAnsiTheme="minorHAnsi" w:cstheme="minorHAnsi"/>
          <w:b/>
        </w:rPr>
      </w:pPr>
    </w:p>
    <w:p w:rsidR="009C24E7" w:rsidP="00AD7DB8" w:rsidRDefault="009C24E7" w14:paraId="5C8BE2A6" w14:textId="77777777">
      <w:pPr>
        <w:spacing w:line="276" w:lineRule="auto"/>
        <w:rPr>
          <w:rFonts w:asciiTheme="minorHAnsi" w:hAnsiTheme="minorHAnsi" w:cstheme="minorHAnsi"/>
          <w:b/>
        </w:rPr>
      </w:pPr>
    </w:p>
    <w:p w:rsidR="009C24E7" w:rsidP="00AD7DB8" w:rsidRDefault="009C24E7" w14:paraId="22643AD6" w14:textId="77777777">
      <w:pPr>
        <w:spacing w:line="276" w:lineRule="auto"/>
        <w:rPr>
          <w:rFonts w:asciiTheme="minorHAnsi" w:hAnsiTheme="minorHAnsi" w:cstheme="minorHAnsi"/>
          <w:b/>
        </w:rPr>
      </w:pPr>
    </w:p>
    <w:p w:rsidR="009C24E7" w:rsidP="00AD7DB8" w:rsidRDefault="009C24E7" w14:paraId="6639C415" w14:textId="77777777">
      <w:pPr>
        <w:spacing w:line="276" w:lineRule="auto"/>
        <w:rPr>
          <w:rFonts w:asciiTheme="minorHAnsi" w:hAnsiTheme="minorHAnsi" w:cstheme="minorHAnsi"/>
          <w:b/>
        </w:rPr>
      </w:pPr>
    </w:p>
    <w:p w:rsidRPr="00E308E1" w:rsidR="00FB7D77" w:rsidP="00AD7DB8" w:rsidRDefault="00FB7D77" w14:paraId="7BE0A693" w14:textId="7A31DEB5">
      <w:pPr>
        <w:spacing w:line="276" w:lineRule="auto"/>
        <w:rPr>
          <w:rFonts w:asciiTheme="minorHAnsi" w:hAnsiTheme="minorHAnsi" w:cstheme="minorHAnsi"/>
          <w:b/>
        </w:rPr>
      </w:pPr>
      <w:r w:rsidRPr="00E308E1">
        <w:rPr>
          <w:rFonts w:asciiTheme="minorHAnsi" w:hAnsiTheme="minorHAnsi" w:cstheme="minorHAnsi"/>
          <w:b/>
        </w:rPr>
        <w:t xml:space="preserve">A.13. </w:t>
      </w:r>
      <w:r w:rsidRPr="00E308E1">
        <w:rPr>
          <w:rFonts w:asciiTheme="minorHAnsi" w:hAnsiTheme="minorHAnsi" w:cstheme="minorHAnsi"/>
          <w:b/>
        </w:rPr>
        <w:tab/>
        <w:t>Estimates of Other Total Annual Cost Burden to Respondents or Record Keepers</w:t>
      </w:r>
    </w:p>
    <w:p w:rsidR="00445ECB" w:rsidP="00AD7DB8" w:rsidRDefault="00445ECB" w14:paraId="3BB2CA4E" w14:textId="77777777">
      <w:pPr>
        <w:pStyle w:val="SL-FlLftSgl"/>
        <w:spacing w:line="276" w:lineRule="auto"/>
        <w:rPr>
          <w:rFonts w:asciiTheme="minorHAnsi" w:hAnsiTheme="minorHAnsi" w:cstheme="minorHAnsi"/>
          <w:bCs/>
        </w:rPr>
      </w:pPr>
    </w:p>
    <w:p w:rsidRPr="00E308E1" w:rsidR="00C50F4F" w:rsidP="00445ECB" w:rsidRDefault="00C50F4F" w14:paraId="2749D22A" w14:textId="0D136267">
      <w:pPr>
        <w:pStyle w:val="SL-FlLftSgl"/>
        <w:spacing w:line="276" w:lineRule="auto"/>
        <w:ind w:firstLine="720"/>
        <w:rPr>
          <w:rFonts w:asciiTheme="minorHAnsi" w:hAnsiTheme="minorHAnsi" w:cstheme="minorHAnsi"/>
        </w:rPr>
      </w:pPr>
      <w:r w:rsidRPr="000449E2">
        <w:rPr>
          <w:rFonts w:asciiTheme="minorHAnsi" w:hAnsiTheme="minorHAnsi" w:cstheme="minorHAnsi"/>
          <w:bCs/>
        </w:rPr>
        <w:t>There will be no direct costs to the respondents other than their time to participate in the data collection. CDC does not anticipate providing capital or start up or other related costs to private entities</w:t>
      </w:r>
    </w:p>
    <w:p w:rsidRPr="00E308E1" w:rsidR="009E5028" w:rsidP="00AD7DB8" w:rsidRDefault="009E5028" w14:paraId="6826FEA1" w14:textId="77777777">
      <w:pPr>
        <w:pStyle w:val="SL-FlLftSgl"/>
        <w:spacing w:line="276" w:lineRule="auto"/>
        <w:rPr>
          <w:rFonts w:asciiTheme="minorHAnsi" w:hAnsiTheme="minorHAnsi" w:cstheme="minorHAnsi"/>
          <w:strike/>
        </w:rPr>
      </w:pPr>
    </w:p>
    <w:p w:rsidR="00445ECB" w:rsidP="00AD7DB8" w:rsidRDefault="00445ECB" w14:paraId="2DB6F81B" w14:textId="77777777">
      <w:pPr>
        <w:autoSpaceDE w:val="0"/>
        <w:autoSpaceDN w:val="0"/>
        <w:adjustRightInd w:val="0"/>
        <w:spacing w:line="276" w:lineRule="auto"/>
        <w:rPr>
          <w:rFonts w:asciiTheme="minorHAnsi" w:hAnsiTheme="minorHAnsi" w:cstheme="minorHAnsi"/>
          <w:b/>
          <w:bCs/>
        </w:rPr>
      </w:pPr>
    </w:p>
    <w:p w:rsidRPr="00E308E1" w:rsidR="00FB7D77" w:rsidP="00AD7DB8" w:rsidRDefault="00FB7D77" w14:paraId="238993EF" w14:textId="5F58E85E">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A.14. </w:t>
      </w:r>
      <w:r w:rsidRPr="00E308E1">
        <w:rPr>
          <w:rFonts w:asciiTheme="minorHAnsi" w:hAnsiTheme="minorHAnsi" w:cstheme="minorHAnsi"/>
          <w:b/>
          <w:bCs/>
        </w:rPr>
        <w:tab/>
        <w:t xml:space="preserve">Annualized Cost to the Government </w:t>
      </w:r>
    </w:p>
    <w:p w:rsidR="00445ECB" w:rsidP="00AD7DB8" w:rsidRDefault="00445ECB" w14:paraId="683CE654" w14:textId="77777777">
      <w:pPr>
        <w:autoSpaceDE w:val="0"/>
        <w:autoSpaceDN w:val="0"/>
        <w:adjustRightInd w:val="0"/>
        <w:spacing w:line="276" w:lineRule="auto"/>
        <w:rPr>
          <w:rFonts w:asciiTheme="minorHAnsi" w:hAnsiTheme="minorHAnsi" w:cstheme="minorHAnsi"/>
        </w:rPr>
      </w:pPr>
    </w:p>
    <w:p w:rsidRPr="00E308E1" w:rsidR="00FB7D77" w:rsidP="00445ECB" w:rsidRDefault="00FB7D77" w14:paraId="593CC835" w14:textId="0CB3C944">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 xml:space="preserve">The contract to conduct the </w:t>
      </w:r>
      <w:r w:rsidRPr="00E308E1" w:rsidR="006B2D0A">
        <w:rPr>
          <w:rFonts w:asciiTheme="minorHAnsi" w:hAnsiTheme="minorHAnsi" w:cstheme="minorHAnsi"/>
        </w:rPr>
        <w:t>study</w:t>
      </w:r>
      <w:r w:rsidRPr="00E308E1">
        <w:rPr>
          <w:rFonts w:asciiTheme="minorHAnsi" w:hAnsiTheme="minorHAnsi" w:cstheme="minorHAnsi"/>
        </w:rPr>
        <w:t xml:space="preserve"> was awarded </w:t>
      </w:r>
      <w:r w:rsidRPr="00E308E1" w:rsidR="00FF2D04">
        <w:rPr>
          <w:rFonts w:asciiTheme="minorHAnsi" w:hAnsiTheme="minorHAnsi" w:cstheme="minorHAnsi"/>
        </w:rPr>
        <w:t xml:space="preserve">to </w:t>
      </w:r>
      <w:r w:rsidRPr="00E308E1" w:rsidR="008D1DCF">
        <w:rPr>
          <w:rFonts w:asciiTheme="minorHAnsi" w:hAnsiTheme="minorHAnsi" w:cstheme="minorHAnsi"/>
        </w:rPr>
        <w:t xml:space="preserve">NORC at the University of Chicago </w:t>
      </w:r>
      <w:r w:rsidRPr="00E308E1">
        <w:rPr>
          <w:rFonts w:asciiTheme="minorHAnsi" w:hAnsiTheme="minorHAnsi" w:cstheme="minorHAnsi"/>
        </w:rPr>
        <w:t xml:space="preserve">through competitive bid in </w:t>
      </w:r>
      <w:r w:rsidRPr="00EE4EE7" w:rsidR="006B2D0A">
        <w:rPr>
          <w:rFonts w:asciiTheme="minorHAnsi" w:hAnsiTheme="minorHAnsi" w:cstheme="minorHAnsi"/>
        </w:rPr>
        <w:t>September</w:t>
      </w:r>
      <w:r w:rsidRPr="00EE4EE7">
        <w:rPr>
          <w:rFonts w:asciiTheme="minorHAnsi" w:hAnsiTheme="minorHAnsi" w:cstheme="minorHAnsi"/>
        </w:rPr>
        <w:t xml:space="preserve"> of 201</w:t>
      </w:r>
      <w:r w:rsidRPr="00EE4EE7" w:rsidR="008D1DCF">
        <w:rPr>
          <w:rFonts w:asciiTheme="minorHAnsi" w:hAnsiTheme="minorHAnsi" w:cstheme="minorHAnsi"/>
        </w:rPr>
        <w:t>9</w:t>
      </w:r>
      <w:r w:rsidRPr="00EE4EE7">
        <w:rPr>
          <w:rFonts w:asciiTheme="minorHAnsi" w:hAnsiTheme="minorHAnsi" w:cstheme="minorHAnsi"/>
        </w:rPr>
        <w:t xml:space="preserve">. The total cost for the data collection is </w:t>
      </w:r>
      <w:r w:rsidRPr="00EE4EE7" w:rsidR="00C16898">
        <w:rPr>
          <w:rFonts w:asciiTheme="minorHAnsi" w:hAnsiTheme="minorHAnsi" w:cstheme="minorHAnsi"/>
        </w:rPr>
        <w:t>$5,882,602</w:t>
      </w:r>
      <w:r w:rsidRPr="00EE4EE7">
        <w:rPr>
          <w:rFonts w:asciiTheme="minorHAnsi" w:hAnsiTheme="minorHAnsi" w:cstheme="minorHAnsi"/>
          <w:bCs/>
        </w:rPr>
        <w:t>,</w:t>
      </w:r>
      <w:r w:rsidRPr="00EE4EE7">
        <w:rPr>
          <w:rFonts w:asciiTheme="minorHAnsi" w:hAnsiTheme="minorHAnsi" w:cstheme="minorHAnsi"/>
        </w:rPr>
        <w:t xml:space="preserve"> including </w:t>
      </w:r>
      <w:r w:rsidRPr="00EE4EE7" w:rsidR="006B2D0A">
        <w:rPr>
          <w:rFonts w:asciiTheme="minorHAnsi" w:hAnsiTheme="minorHAnsi" w:cstheme="minorHAnsi"/>
        </w:rPr>
        <w:t>$2,</w:t>
      </w:r>
      <w:r w:rsidRPr="00EE4EE7" w:rsidR="008D1DCF">
        <w:rPr>
          <w:rFonts w:asciiTheme="minorHAnsi" w:hAnsiTheme="minorHAnsi" w:cstheme="minorHAnsi"/>
        </w:rPr>
        <w:t>501,446</w:t>
      </w:r>
      <w:r w:rsidRPr="00EE4EE7" w:rsidR="006B2D0A">
        <w:rPr>
          <w:rFonts w:asciiTheme="minorHAnsi" w:hAnsiTheme="minorHAnsi" w:cstheme="minorHAnsi"/>
        </w:rPr>
        <w:t xml:space="preserve"> </w:t>
      </w:r>
      <w:r w:rsidRPr="00EE4EE7">
        <w:rPr>
          <w:rFonts w:asciiTheme="minorHAnsi" w:hAnsiTheme="minorHAnsi" w:cstheme="minorHAnsi"/>
        </w:rPr>
        <w:t xml:space="preserve">in contractor costs and </w:t>
      </w:r>
      <w:r w:rsidRPr="00EE4EE7" w:rsidR="00C16898">
        <w:rPr>
          <w:rFonts w:asciiTheme="minorHAnsi" w:hAnsiTheme="minorHAnsi" w:cstheme="minorHAnsi"/>
        </w:rPr>
        <w:t>$3,381,156</w:t>
      </w:r>
      <w:r w:rsidRPr="00EE4EE7">
        <w:rPr>
          <w:rFonts w:asciiTheme="minorHAnsi" w:hAnsiTheme="minorHAnsi" w:cstheme="minorHAnsi"/>
        </w:rPr>
        <w:t xml:space="preserve"> in costs</w:t>
      </w:r>
      <w:r w:rsidRPr="00E308E1">
        <w:rPr>
          <w:rFonts w:asciiTheme="minorHAnsi" w:hAnsiTheme="minorHAnsi" w:cstheme="minorHAnsi"/>
        </w:rPr>
        <w:t xml:space="preserve"> incurred directly by the federal government (Table </w:t>
      </w:r>
      <w:r w:rsidR="00C26139">
        <w:rPr>
          <w:rFonts w:asciiTheme="minorHAnsi" w:hAnsiTheme="minorHAnsi" w:cstheme="minorHAnsi"/>
        </w:rPr>
        <w:t>4</w:t>
      </w:r>
      <w:r w:rsidRPr="00E308E1">
        <w:rPr>
          <w:rFonts w:asciiTheme="minorHAnsi" w:hAnsiTheme="minorHAnsi" w:cstheme="minorHAnsi"/>
        </w:rPr>
        <w:t xml:space="preserve">). </w:t>
      </w:r>
      <w:r w:rsidR="00B50D9D">
        <w:rPr>
          <w:rFonts w:asciiTheme="minorHAnsi" w:hAnsiTheme="minorHAnsi" w:cstheme="minorHAnsi"/>
        </w:rPr>
        <w:t>These total costs are annualized in Table 4.</w:t>
      </w:r>
    </w:p>
    <w:p w:rsidRPr="00E308E1" w:rsidR="00FB7D77" w:rsidP="00AD7DB8" w:rsidRDefault="00FB7D77" w14:paraId="0BD976B1" w14:textId="77777777">
      <w:pPr>
        <w:autoSpaceDE w:val="0"/>
        <w:autoSpaceDN w:val="0"/>
        <w:adjustRightInd w:val="0"/>
        <w:spacing w:line="276" w:lineRule="auto"/>
        <w:rPr>
          <w:rFonts w:asciiTheme="minorHAnsi" w:hAnsiTheme="minorHAnsi" w:cstheme="minorHAnsi"/>
        </w:rPr>
      </w:pPr>
    </w:p>
    <w:p w:rsidRPr="00E308E1" w:rsidR="00FB7D77" w:rsidP="00445ECB" w:rsidRDefault="00FB7D77" w14:paraId="30AB2B2F" w14:textId="71CB8C55">
      <w:pPr>
        <w:pStyle w:val="SL-FlLftSgl"/>
        <w:spacing w:line="276" w:lineRule="auto"/>
        <w:ind w:firstLine="720"/>
        <w:rPr>
          <w:rFonts w:asciiTheme="minorHAnsi" w:hAnsiTheme="minorHAnsi" w:cstheme="minorHAnsi"/>
        </w:rPr>
      </w:pPr>
      <w:r w:rsidRPr="00E308E1">
        <w:rPr>
          <w:rFonts w:asciiTheme="minorHAnsi" w:hAnsiTheme="minorHAnsi" w:cstheme="minorHAnsi"/>
        </w:rPr>
        <w:t xml:space="preserve">Costs for this study include personnel for designing the study, developing, programming, and testing the survey instrument; drawing the sample; training the recruiters/interviewers; collecting and analyzing the data; and reporting the study results.  The government costs include personnel costs for federal staff involved in the oversight, study design, and analysis, as presented in detail in Table </w:t>
      </w:r>
      <w:r w:rsidRPr="00E308E1" w:rsidR="00BA5F73">
        <w:rPr>
          <w:rFonts w:asciiTheme="minorHAnsi" w:hAnsiTheme="minorHAnsi" w:cstheme="minorHAnsi"/>
        </w:rPr>
        <w:t>4</w:t>
      </w:r>
      <w:r w:rsidRPr="00E308E1">
        <w:rPr>
          <w:rFonts w:asciiTheme="minorHAnsi" w:hAnsiTheme="minorHAnsi" w:cstheme="minorHAnsi"/>
        </w:rPr>
        <w:t xml:space="preserve">. </w:t>
      </w:r>
    </w:p>
    <w:p w:rsidR="00145ACC" w:rsidP="00AD7DB8" w:rsidRDefault="00145ACC" w14:paraId="648EE571" w14:textId="190F3B22">
      <w:pPr>
        <w:pStyle w:val="SL-FlLftSgl"/>
        <w:spacing w:line="276" w:lineRule="auto"/>
        <w:rPr>
          <w:rFonts w:asciiTheme="minorHAnsi" w:hAnsiTheme="minorHAnsi" w:cstheme="minorHAnsi"/>
        </w:rPr>
      </w:pPr>
    </w:p>
    <w:p w:rsidR="006A503E" w:rsidP="00AD7DB8" w:rsidRDefault="006A503E" w14:paraId="785C45D7" w14:textId="77777777">
      <w:pPr>
        <w:pStyle w:val="SL-FlLftSgl"/>
        <w:spacing w:line="276" w:lineRule="auto"/>
        <w:rPr>
          <w:rFonts w:asciiTheme="minorHAnsi" w:hAnsiTheme="minorHAnsi" w:cstheme="minorHAnsi"/>
        </w:rPr>
      </w:pPr>
    </w:p>
    <w:p w:rsidR="00503294" w:rsidP="00503294" w:rsidRDefault="00FB7D77" w14:paraId="57906DFF" w14:textId="0576811E">
      <w:pPr>
        <w:pStyle w:val="Bulleted"/>
      </w:pPr>
      <w:r w:rsidRPr="00E308E1">
        <w:t xml:space="preserve">Table </w:t>
      </w:r>
      <w:r w:rsidR="00C26139">
        <w:t>4</w:t>
      </w:r>
      <w:r w:rsidRPr="00E308E1">
        <w:t xml:space="preserve">.  </w:t>
      </w:r>
      <w:r w:rsidRPr="00C712BA" w:rsidR="00503294">
        <w:rPr>
          <w:bCs/>
          <w:color w:val="000000"/>
        </w:rPr>
        <w:t>Estimated Annualized Cost to the Government</w:t>
      </w:r>
      <w:r w:rsidRPr="00E308E1" w:rsidDel="00503294" w:rsidR="00503294">
        <w:t xml:space="preserve"> </w:t>
      </w:r>
    </w:p>
    <w:p w:rsidR="00503294" w:rsidP="00503294" w:rsidRDefault="00503294" w14:paraId="3DF2AC8A" w14:textId="25FB5019">
      <w:pPr>
        <w:pStyle w:val="Bulleted"/>
      </w:pP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67"/>
        <w:gridCol w:w="2183"/>
      </w:tblGrid>
      <w:tr w:rsidRPr="005F029B" w:rsidR="00503294" w:rsidTr="00503294" w14:paraId="4B3F13EA" w14:textId="77777777">
        <w:trPr>
          <w:trHeight w:val="288"/>
        </w:trPr>
        <w:tc>
          <w:tcPr>
            <w:tcW w:w="7267" w:type="dxa"/>
            <w:shd w:val="clear" w:color="auto" w:fill="E7E6E6" w:themeFill="background2"/>
            <w:vAlign w:val="center"/>
          </w:tcPr>
          <w:p w:rsidRPr="005F029B" w:rsidR="00503294" w:rsidP="00503294" w:rsidRDefault="00503294" w14:paraId="1293DC46" w14:textId="77777777">
            <w:pPr>
              <w:rPr>
                <w:rFonts w:ascii="Cambria Math" w:hAnsi="Cambria Math"/>
              </w:rPr>
            </w:pPr>
            <w:r w:rsidRPr="005F029B">
              <w:rPr>
                <w:rFonts w:ascii="Cambria Math" w:hAnsi="Cambria Math"/>
              </w:rPr>
              <w:t>Labor</w:t>
            </w:r>
          </w:p>
        </w:tc>
        <w:tc>
          <w:tcPr>
            <w:tcW w:w="2183" w:type="dxa"/>
            <w:shd w:val="clear" w:color="auto" w:fill="E7E6E6" w:themeFill="background2"/>
          </w:tcPr>
          <w:p w:rsidRPr="005F029B" w:rsidR="00503294" w:rsidP="005F029B" w:rsidRDefault="00503294" w14:paraId="4D763794" w14:textId="77777777">
            <w:pPr>
              <w:jc w:val="right"/>
              <w:rPr>
                <w:rFonts w:ascii="Cambria Math" w:hAnsi="Cambria Math"/>
              </w:rPr>
            </w:pPr>
            <w:r w:rsidRPr="005F029B">
              <w:rPr>
                <w:rFonts w:ascii="Cambria Math" w:hAnsi="Cambria Math"/>
              </w:rPr>
              <w:t>Cost</w:t>
            </w:r>
          </w:p>
        </w:tc>
      </w:tr>
      <w:tr w:rsidRPr="005F029B" w:rsidR="00503294" w:rsidTr="00503294" w14:paraId="413B920A" w14:textId="77777777">
        <w:trPr>
          <w:trHeight w:val="864"/>
        </w:trPr>
        <w:tc>
          <w:tcPr>
            <w:tcW w:w="7267" w:type="dxa"/>
          </w:tcPr>
          <w:p w:rsidRPr="005F029B" w:rsidR="00503294" w:rsidP="00503294" w:rsidRDefault="00503294" w14:paraId="4DEBC81B" w14:textId="77777777">
            <w:pPr>
              <w:rPr>
                <w:rFonts w:ascii="Cambria Math" w:hAnsi="Cambria Math"/>
                <w:color w:val="000000"/>
              </w:rPr>
            </w:pPr>
            <w:r w:rsidRPr="005F029B">
              <w:rPr>
                <w:rFonts w:ascii="Cambria Math" w:hAnsi="Cambria Math"/>
              </w:rPr>
              <w:t xml:space="preserve">CDC </w:t>
            </w:r>
            <w:r w:rsidRPr="005F029B">
              <w:rPr>
                <w:rFonts w:ascii="Cambria Math" w:hAnsi="Cambria Math"/>
                <w:color w:val="000000"/>
              </w:rPr>
              <w:t>personnel for project oversight (1</w:t>
            </w:r>
            <w:r w:rsidRPr="005F029B">
              <w:rPr>
                <w:rFonts w:ascii="Cambria Math" w:hAnsi="Cambria Math"/>
              </w:rPr>
              <w:t>5</w:t>
            </w:r>
            <w:r w:rsidRPr="005F029B">
              <w:rPr>
                <w:rFonts w:ascii="Cambria Math" w:hAnsi="Cambria Math"/>
                <w:color w:val="000000"/>
              </w:rPr>
              <w:t>% GS-13 scientist)</w:t>
            </w:r>
          </w:p>
          <w:p w:rsidRPr="005F029B" w:rsidR="00503294" w:rsidP="00503294" w:rsidRDefault="00503294" w14:paraId="69689450" w14:textId="77777777">
            <w:pPr>
              <w:rPr>
                <w:rFonts w:ascii="Cambria Math" w:hAnsi="Cambria Math"/>
              </w:rPr>
            </w:pPr>
          </w:p>
        </w:tc>
        <w:tc>
          <w:tcPr>
            <w:tcW w:w="2183" w:type="dxa"/>
          </w:tcPr>
          <w:p w:rsidRPr="005F029B" w:rsidR="00503294" w:rsidP="005F029B" w:rsidRDefault="00C16898" w14:paraId="0CD4227B" w14:textId="1BD13704">
            <w:pPr>
              <w:contextualSpacing/>
              <w:jc w:val="right"/>
              <w:rPr>
                <w:rFonts w:ascii="Cambria Math" w:hAnsi="Cambria Math"/>
              </w:rPr>
            </w:pPr>
            <w:r w:rsidRPr="005F029B">
              <w:rPr>
                <w:rFonts w:ascii="Cambria Math" w:hAnsi="Cambria Math" w:cstheme="minorHAnsi"/>
                <w:color w:val="000000"/>
              </w:rPr>
              <w:t>$1,127,052</w:t>
            </w:r>
          </w:p>
        </w:tc>
      </w:tr>
      <w:tr w:rsidRPr="005F029B" w:rsidR="00503294" w:rsidTr="00503294" w14:paraId="521E53A4" w14:textId="77777777">
        <w:trPr>
          <w:trHeight w:val="864"/>
        </w:trPr>
        <w:tc>
          <w:tcPr>
            <w:tcW w:w="7267" w:type="dxa"/>
          </w:tcPr>
          <w:p w:rsidRPr="005F029B" w:rsidR="00503294" w:rsidP="00503294" w:rsidRDefault="00503294" w14:paraId="255E5CCE" w14:textId="77777777">
            <w:pPr>
              <w:pStyle w:val="default0"/>
              <w:spacing w:before="0" w:beforeAutospacing="0" w:after="0" w:afterAutospacing="0" w:line="252" w:lineRule="atLeast"/>
              <w:rPr>
                <w:rFonts w:ascii="Cambria Math" w:hAnsi="Cambria Math"/>
                <w:color w:val="000000"/>
              </w:rPr>
            </w:pPr>
            <w:r w:rsidRPr="005F029B">
              <w:rPr>
                <w:rFonts w:ascii="Cambria Math" w:hAnsi="Cambria Math"/>
                <w:color w:val="000000"/>
              </w:rPr>
              <w:t>Contract labor for planning and design, development of study protocols, recruitment of respondents, data collection, data preparation, data analysis, report writing, and dissemination of findings</w:t>
            </w:r>
            <w:r w:rsidRPr="005F029B">
              <w:rPr>
                <w:rStyle w:val="apple-converted-space"/>
                <w:rFonts w:ascii="Cambria Math" w:hAnsi="Cambria Math"/>
                <w:color w:val="000000"/>
              </w:rPr>
              <w:t> </w:t>
            </w:r>
          </w:p>
          <w:p w:rsidRPr="005F029B" w:rsidR="00503294" w:rsidP="00503294" w:rsidRDefault="00503294" w14:paraId="301B1624" w14:textId="77777777">
            <w:pPr>
              <w:rPr>
                <w:rFonts w:ascii="Cambria Math" w:hAnsi="Cambria Math"/>
              </w:rPr>
            </w:pPr>
          </w:p>
        </w:tc>
        <w:tc>
          <w:tcPr>
            <w:tcW w:w="2183" w:type="dxa"/>
          </w:tcPr>
          <w:p w:rsidRPr="005F029B" w:rsidR="00503294" w:rsidP="005F029B" w:rsidRDefault="00977552" w14:paraId="51EED2EB" w14:textId="240C58A7">
            <w:pPr>
              <w:pStyle w:val="NoSpacing"/>
              <w:contextualSpacing/>
              <w:jc w:val="right"/>
              <w:rPr>
                <w:rFonts w:ascii="Cambria Math" w:hAnsi="Cambria Math"/>
              </w:rPr>
            </w:pPr>
            <w:r w:rsidRPr="005F029B">
              <w:rPr>
                <w:rFonts w:ascii="Cambria Math" w:hAnsi="Cambria Math"/>
              </w:rPr>
              <w:t>$</w:t>
            </w:r>
            <w:r w:rsidRPr="005F029B" w:rsidR="00C16898">
              <w:rPr>
                <w:rFonts w:ascii="Cambria Math" w:hAnsi="Cambria Math"/>
              </w:rPr>
              <w:t>833,815</w:t>
            </w:r>
          </w:p>
        </w:tc>
      </w:tr>
      <w:tr w:rsidRPr="005F029B" w:rsidR="00503294" w:rsidTr="00503294" w14:paraId="561A8784" w14:textId="77777777">
        <w:trPr>
          <w:trHeight w:val="864"/>
        </w:trPr>
        <w:tc>
          <w:tcPr>
            <w:tcW w:w="7267" w:type="dxa"/>
          </w:tcPr>
          <w:p w:rsidRPr="005F029B" w:rsidR="00503294" w:rsidP="00503294" w:rsidRDefault="00503294" w14:paraId="707BA559" w14:textId="08B1C242">
            <w:pPr>
              <w:pStyle w:val="default0"/>
              <w:spacing w:before="0" w:beforeAutospacing="0" w:after="0" w:afterAutospacing="0" w:line="252" w:lineRule="atLeast"/>
              <w:rPr>
                <w:rFonts w:ascii="Cambria Math" w:hAnsi="Cambria Math"/>
                <w:color w:val="000000"/>
              </w:rPr>
            </w:pPr>
            <w:r w:rsidRPr="005F029B">
              <w:rPr>
                <w:rFonts w:ascii="Cambria Math" w:hAnsi="Cambria Math"/>
                <w:color w:val="000000"/>
              </w:rPr>
              <w:t xml:space="preserve">Total estimated </w:t>
            </w:r>
            <w:r w:rsidRPr="005F029B" w:rsidR="00C16898">
              <w:rPr>
                <w:rFonts w:ascii="Cambria Math" w:hAnsi="Cambria Math"/>
                <w:color w:val="000000"/>
              </w:rPr>
              <w:t xml:space="preserve">annualized </w:t>
            </w:r>
            <w:r w:rsidRPr="005F029B">
              <w:rPr>
                <w:rFonts w:ascii="Cambria Math" w:hAnsi="Cambria Math"/>
                <w:color w:val="000000"/>
              </w:rPr>
              <w:t>government costs</w:t>
            </w:r>
          </w:p>
          <w:p w:rsidRPr="005F029B" w:rsidR="00503294" w:rsidP="00503294" w:rsidRDefault="00503294" w14:paraId="52834151" w14:textId="77777777">
            <w:pPr>
              <w:rPr>
                <w:rFonts w:ascii="Cambria Math" w:hAnsi="Cambria Math"/>
              </w:rPr>
            </w:pPr>
            <w:r w:rsidRPr="005F029B">
              <w:rPr>
                <w:rFonts w:ascii="Cambria Math" w:hAnsi="Cambria Math"/>
              </w:rPr>
              <w:t> </w:t>
            </w:r>
          </w:p>
        </w:tc>
        <w:tc>
          <w:tcPr>
            <w:tcW w:w="2183" w:type="dxa"/>
          </w:tcPr>
          <w:p w:rsidRPr="005F029B" w:rsidR="00503294" w:rsidP="005F029B" w:rsidRDefault="00C16898" w14:paraId="106D8F2E" w14:textId="199CAB6B">
            <w:pPr>
              <w:jc w:val="right"/>
              <w:rPr>
                <w:rFonts w:ascii="Cambria Math" w:hAnsi="Cambria Math"/>
              </w:rPr>
            </w:pPr>
            <w:r w:rsidRPr="005F029B">
              <w:rPr>
                <w:rFonts w:ascii="Cambria Math" w:hAnsi="Cambria Math"/>
              </w:rPr>
              <w:t>$1,960,867</w:t>
            </w:r>
          </w:p>
        </w:tc>
      </w:tr>
    </w:tbl>
    <w:p w:rsidR="00503294" w:rsidP="00503294" w:rsidRDefault="00503294" w14:paraId="353CA387" w14:textId="725A40B7">
      <w:pPr>
        <w:pStyle w:val="Bulleted"/>
      </w:pPr>
    </w:p>
    <w:p w:rsidRPr="00E308E1" w:rsidR="00FB7D77" w:rsidP="00AD7DB8" w:rsidRDefault="00FB7D77" w14:paraId="0A600529"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A.15. </w:t>
      </w:r>
      <w:r w:rsidRPr="00E308E1">
        <w:rPr>
          <w:rFonts w:asciiTheme="minorHAnsi" w:hAnsiTheme="minorHAnsi" w:cstheme="minorHAnsi"/>
          <w:b/>
          <w:bCs/>
        </w:rPr>
        <w:tab/>
        <w:t xml:space="preserve">Explanation for Program Changes or Adjustments </w:t>
      </w:r>
    </w:p>
    <w:p w:rsidRPr="00E308E1" w:rsidR="00FB7D77" w:rsidP="00AD7DB8" w:rsidRDefault="00FB7D77" w14:paraId="20B2997D" w14:textId="77777777">
      <w:pPr>
        <w:autoSpaceDE w:val="0"/>
        <w:autoSpaceDN w:val="0"/>
        <w:adjustRightInd w:val="0"/>
        <w:spacing w:line="276" w:lineRule="auto"/>
        <w:rPr>
          <w:rFonts w:asciiTheme="minorHAnsi" w:hAnsiTheme="minorHAnsi" w:cstheme="minorHAnsi"/>
          <w:b/>
          <w:bCs/>
        </w:rPr>
      </w:pPr>
    </w:p>
    <w:p w:rsidR="00F02151" w:rsidP="00445ECB" w:rsidRDefault="00F02151" w14:paraId="0D1827C4" w14:textId="51243D0F">
      <w:pPr>
        <w:autoSpaceDE w:val="0"/>
        <w:autoSpaceDN w:val="0"/>
        <w:adjustRightInd w:val="0"/>
        <w:ind w:firstLine="720"/>
        <w:rPr>
          <w:rFonts w:asciiTheme="minorHAnsi" w:hAnsiTheme="minorHAnsi" w:cstheme="minorHAnsi"/>
        </w:rPr>
      </w:pPr>
      <w:r w:rsidRPr="000449E2">
        <w:rPr>
          <w:rFonts w:asciiTheme="minorHAnsi" w:hAnsiTheme="minorHAnsi" w:cstheme="minorHAnsi"/>
        </w:rPr>
        <w:t>This is a new information collection.</w:t>
      </w:r>
    </w:p>
    <w:p w:rsidR="009C24E7" w:rsidP="00445ECB" w:rsidRDefault="009C24E7" w14:paraId="764743B5" w14:textId="26FD8019">
      <w:pPr>
        <w:autoSpaceDE w:val="0"/>
        <w:autoSpaceDN w:val="0"/>
        <w:adjustRightInd w:val="0"/>
        <w:ind w:firstLine="720"/>
        <w:rPr>
          <w:rFonts w:asciiTheme="minorHAnsi" w:hAnsiTheme="minorHAnsi" w:cstheme="minorHAnsi"/>
        </w:rPr>
      </w:pPr>
    </w:p>
    <w:p w:rsidR="009C24E7" w:rsidP="00445ECB" w:rsidRDefault="009C24E7" w14:paraId="662816F9" w14:textId="2B062AC5">
      <w:pPr>
        <w:autoSpaceDE w:val="0"/>
        <w:autoSpaceDN w:val="0"/>
        <w:adjustRightInd w:val="0"/>
        <w:ind w:firstLine="720"/>
        <w:rPr>
          <w:rFonts w:asciiTheme="minorHAnsi" w:hAnsiTheme="minorHAnsi" w:cstheme="minorHAnsi"/>
        </w:rPr>
      </w:pPr>
    </w:p>
    <w:p w:rsidRPr="00E308E1" w:rsidR="00FB7D77" w:rsidP="00AD7DB8" w:rsidRDefault="00FB7D77" w14:paraId="0E4D87AF" w14:textId="77777777">
      <w:pPr>
        <w:autoSpaceDE w:val="0"/>
        <w:autoSpaceDN w:val="0"/>
        <w:adjustRightInd w:val="0"/>
        <w:spacing w:line="276" w:lineRule="auto"/>
        <w:rPr>
          <w:rFonts w:asciiTheme="minorHAnsi" w:hAnsiTheme="minorHAnsi" w:cstheme="minorHAnsi"/>
        </w:rPr>
      </w:pPr>
      <w:r w:rsidRPr="00E308E1">
        <w:rPr>
          <w:rFonts w:asciiTheme="minorHAnsi" w:hAnsiTheme="minorHAnsi" w:cstheme="minorHAnsi"/>
          <w:b/>
          <w:bCs/>
        </w:rPr>
        <w:t>A.16. Plans for Tabulation and Publication, and Project Time Schedule</w:t>
      </w:r>
      <w:r w:rsidRPr="00E308E1">
        <w:rPr>
          <w:rFonts w:asciiTheme="minorHAnsi" w:hAnsiTheme="minorHAnsi" w:cstheme="minorHAnsi"/>
        </w:rPr>
        <w:t xml:space="preserve"> </w:t>
      </w:r>
    </w:p>
    <w:p w:rsidRPr="00E308E1" w:rsidR="00341E0F" w:rsidP="00AD7DB8" w:rsidRDefault="00341E0F" w14:paraId="4F5AF20E" w14:textId="77777777">
      <w:pPr>
        <w:autoSpaceDE w:val="0"/>
        <w:autoSpaceDN w:val="0"/>
        <w:adjustRightInd w:val="0"/>
        <w:spacing w:line="276" w:lineRule="auto"/>
        <w:rPr>
          <w:rFonts w:asciiTheme="minorHAnsi" w:hAnsiTheme="minorHAnsi" w:cstheme="minorHAnsi"/>
        </w:rPr>
      </w:pPr>
    </w:p>
    <w:p w:rsidRPr="00E308E1" w:rsidR="00844153" w:rsidP="00445ECB" w:rsidRDefault="00844153" w14:paraId="6F04E6BD" w14:textId="0BFE31CB">
      <w:pPr>
        <w:spacing w:line="276" w:lineRule="auto"/>
        <w:ind w:firstLine="720"/>
        <w:rPr>
          <w:rFonts w:asciiTheme="minorHAnsi" w:hAnsiTheme="minorHAnsi" w:cstheme="minorHAnsi"/>
        </w:rPr>
      </w:pPr>
      <w:r w:rsidRPr="00E308E1">
        <w:rPr>
          <w:rFonts w:asciiTheme="minorHAnsi" w:hAnsiTheme="minorHAnsi" w:cstheme="minorHAnsi"/>
        </w:rPr>
        <w:t xml:space="preserve">The schedule for data collection, analysis, and reporting is shown in Table </w:t>
      </w:r>
      <w:r w:rsidRPr="00E308E1" w:rsidR="00BA5F73">
        <w:rPr>
          <w:rFonts w:asciiTheme="minorHAnsi" w:hAnsiTheme="minorHAnsi" w:cstheme="minorHAnsi"/>
        </w:rPr>
        <w:t>5</w:t>
      </w:r>
      <w:r w:rsidRPr="00E308E1">
        <w:rPr>
          <w:rFonts w:asciiTheme="minorHAnsi" w:hAnsiTheme="minorHAnsi" w:cstheme="minorHAnsi"/>
        </w:rPr>
        <w:t xml:space="preserve"> below. Data from each phase of data collection will be stored in password-protected files.  Results will be developed for publication and dissemination to stakeholders and other federal agencies. </w:t>
      </w:r>
    </w:p>
    <w:p w:rsidRPr="00E308E1" w:rsidR="00BA5F73" w:rsidP="00AD7DB8" w:rsidRDefault="00BA5F73" w14:paraId="75622473" w14:textId="511D5826">
      <w:pPr>
        <w:spacing w:line="276" w:lineRule="auto"/>
        <w:rPr>
          <w:rFonts w:asciiTheme="minorHAnsi" w:hAnsiTheme="minorHAnsi" w:cstheme="minorHAnsi"/>
        </w:rPr>
      </w:pPr>
    </w:p>
    <w:p w:rsidR="00B632FA" w:rsidP="000449E2" w:rsidRDefault="00B632FA" w14:paraId="1C23545E" w14:textId="77777777">
      <w:pPr>
        <w:autoSpaceDE w:val="0"/>
        <w:autoSpaceDN w:val="0"/>
        <w:adjustRightInd w:val="0"/>
        <w:spacing w:line="276" w:lineRule="auto"/>
        <w:rPr>
          <w:rFonts w:asciiTheme="minorHAnsi" w:hAnsiTheme="minorHAnsi" w:cstheme="minorHAnsi"/>
          <w:b/>
          <w:bCs/>
          <w:i/>
        </w:rPr>
      </w:pPr>
    </w:p>
    <w:p w:rsidR="00B632FA" w:rsidP="000449E2" w:rsidRDefault="00B632FA" w14:paraId="4A003C0F" w14:textId="77777777">
      <w:pPr>
        <w:autoSpaceDE w:val="0"/>
        <w:autoSpaceDN w:val="0"/>
        <w:adjustRightInd w:val="0"/>
        <w:spacing w:line="276" w:lineRule="auto"/>
        <w:rPr>
          <w:rFonts w:asciiTheme="minorHAnsi" w:hAnsiTheme="minorHAnsi" w:cstheme="minorHAnsi"/>
          <w:b/>
          <w:bCs/>
          <w:i/>
        </w:rPr>
      </w:pPr>
    </w:p>
    <w:p w:rsidRPr="00C26139" w:rsidR="00BA5F73" w:rsidP="000449E2" w:rsidRDefault="00BA5F73" w14:paraId="349A1633" w14:textId="1268653B">
      <w:pPr>
        <w:autoSpaceDE w:val="0"/>
        <w:autoSpaceDN w:val="0"/>
        <w:adjustRightInd w:val="0"/>
        <w:spacing w:line="276" w:lineRule="auto"/>
        <w:rPr>
          <w:rFonts w:asciiTheme="minorHAnsi" w:hAnsiTheme="minorHAnsi" w:cstheme="minorHAnsi"/>
          <w:b/>
          <w:bCs/>
          <w:i/>
        </w:rPr>
      </w:pPr>
      <w:r w:rsidRPr="00C26139">
        <w:rPr>
          <w:rFonts w:asciiTheme="minorHAnsi" w:hAnsiTheme="minorHAnsi" w:cstheme="minorHAnsi"/>
          <w:b/>
          <w:bCs/>
          <w:i/>
        </w:rPr>
        <w:lastRenderedPageBreak/>
        <w:t>Table 5</w:t>
      </w:r>
      <w:r w:rsidRPr="00100233">
        <w:rPr>
          <w:rFonts w:asciiTheme="minorHAnsi" w:hAnsiTheme="minorHAnsi" w:cstheme="minorHAnsi"/>
          <w:b/>
          <w:bCs/>
          <w:i/>
        </w:rPr>
        <w:t xml:space="preserve">. </w:t>
      </w:r>
      <w:r w:rsidRPr="000449E2" w:rsidR="00100233">
        <w:rPr>
          <w:rFonts w:asciiTheme="minorHAnsi" w:hAnsiTheme="minorHAnsi" w:cstheme="minorHAnsi"/>
          <w:b/>
          <w:bCs/>
        </w:rPr>
        <w:t>Project Time Schedule</w:t>
      </w:r>
      <w:r w:rsidRPr="00C26139" w:rsidDel="00100233" w:rsidR="00100233">
        <w:rPr>
          <w:rFonts w:asciiTheme="minorHAnsi" w:hAnsiTheme="minorHAnsi" w:cstheme="minorHAnsi"/>
          <w:b/>
          <w:bCs/>
          <w:i/>
        </w:rPr>
        <w:t xml:space="preserve"> </w:t>
      </w:r>
    </w:p>
    <w:p w:rsidRPr="00E308E1" w:rsidR="00BA5F73" w:rsidP="00AD7DB8" w:rsidRDefault="00BA5F73" w14:paraId="16527015" w14:textId="77777777">
      <w:pPr>
        <w:spacing w:line="276" w:lineRule="auto"/>
        <w:rPr>
          <w:rFonts w:asciiTheme="minorHAnsi" w:hAnsiTheme="minorHAnsi" w:cstheme="minorHAnsi"/>
        </w:rPr>
      </w:pPr>
    </w:p>
    <w:tbl>
      <w:tblPr>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54"/>
        <w:gridCol w:w="4444"/>
      </w:tblGrid>
      <w:tr w:rsidRPr="005F029B" w:rsidR="009C24E7" w:rsidTr="00B632FA" w14:paraId="556E90CB" w14:textId="7BED538F">
        <w:trPr>
          <w:trHeight w:val="291"/>
          <w:jc w:val="center"/>
        </w:trPr>
        <w:tc>
          <w:tcPr>
            <w:tcW w:w="3754" w:type="dxa"/>
          </w:tcPr>
          <w:p w:rsidRPr="005F029B" w:rsidR="009C24E7" w:rsidP="00AD7DB8" w:rsidRDefault="009C24E7" w14:paraId="3D6FC29C" w14:textId="47965F4B">
            <w:pPr>
              <w:autoSpaceDE w:val="0"/>
              <w:autoSpaceDN w:val="0"/>
              <w:adjustRightInd w:val="0"/>
              <w:spacing w:line="276" w:lineRule="auto"/>
              <w:jc w:val="center"/>
              <w:rPr>
                <w:rFonts w:ascii="Cambria Math" w:hAnsi="Cambria Math" w:cstheme="minorHAnsi"/>
                <w:b/>
                <w:bCs/>
              </w:rPr>
            </w:pPr>
            <w:r w:rsidRPr="005F029B">
              <w:rPr>
                <w:rFonts w:ascii="Cambria Math" w:hAnsi="Cambria Math" w:cstheme="minorHAnsi"/>
                <w:b/>
                <w:bCs/>
              </w:rPr>
              <w:t>Activities</w:t>
            </w:r>
          </w:p>
        </w:tc>
        <w:tc>
          <w:tcPr>
            <w:tcW w:w="4444" w:type="dxa"/>
          </w:tcPr>
          <w:p w:rsidRPr="005F029B" w:rsidR="009C24E7" w:rsidP="00AD7DB8" w:rsidRDefault="009C24E7" w14:paraId="5AAB9FF1" w14:textId="7FF65443">
            <w:pPr>
              <w:autoSpaceDE w:val="0"/>
              <w:autoSpaceDN w:val="0"/>
              <w:adjustRightInd w:val="0"/>
              <w:spacing w:line="276" w:lineRule="auto"/>
              <w:jc w:val="center"/>
              <w:rPr>
                <w:rFonts w:ascii="Cambria Math" w:hAnsi="Cambria Math" w:cstheme="minorHAnsi"/>
                <w:b/>
                <w:bCs/>
              </w:rPr>
            </w:pPr>
            <w:r>
              <w:rPr>
                <w:rFonts w:ascii="Cambria Math" w:hAnsi="Cambria Math" w:cstheme="minorHAnsi"/>
                <w:b/>
                <w:bCs/>
              </w:rPr>
              <w:t>Time Schedule</w:t>
            </w:r>
          </w:p>
        </w:tc>
      </w:tr>
      <w:tr w:rsidRPr="005F029B" w:rsidR="009C24E7" w:rsidTr="00B632FA" w14:paraId="5C6B579A" w14:textId="0523B84C">
        <w:trPr>
          <w:trHeight w:val="291"/>
          <w:jc w:val="center"/>
        </w:trPr>
        <w:tc>
          <w:tcPr>
            <w:tcW w:w="3754" w:type="dxa"/>
          </w:tcPr>
          <w:p w:rsidRPr="005F029B" w:rsidR="009C24E7" w:rsidP="00AD7DB8" w:rsidRDefault="009C24E7" w14:paraId="0DC4C44D" w14:textId="04CCFF7C">
            <w:pPr>
              <w:autoSpaceDE w:val="0"/>
              <w:autoSpaceDN w:val="0"/>
              <w:adjustRightInd w:val="0"/>
              <w:spacing w:line="276" w:lineRule="auto"/>
              <w:rPr>
                <w:rFonts w:ascii="Cambria Math" w:hAnsi="Cambria Math" w:cstheme="minorHAnsi"/>
              </w:rPr>
            </w:pPr>
            <w:r w:rsidRPr="005F029B">
              <w:rPr>
                <w:rFonts w:ascii="Cambria Math" w:hAnsi="Cambria Math" w:cstheme="minorHAnsi"/>
              </w:rPr>
              <w:t xml:space="preserve">Primary sampling unit selection </w:t>
            </w:r>
          </w:p>
        </w:tc>
        <w:tc>
          <w:tcPr>
            <w:tcW w:w="4444" w:type="dxa"/>
          </w:tcPr>
          <w:p w:rsidRPr="005F029B" w:rsidR="009C24E7" w:rsidP="00FD4D80" w:rsidRDefault="009C24E7" w14:paraId="4661E39F" w14:textId="6B1281CC">
            <w:pPr>
              <w:autoSpaceDE w:val="0"/>
              <w:autoSpaceDN w:val="0"/>
              <w:adjustRightInd w:val="0"/>
              <w:spacing w:line="276" w:lineRule="auto"/>
              <w:rPr>
                <w:rFonts w:ascii="Cambria Math" w:hAnsi="Cambria Math"/>
              </w:rPr>
            </w:pPr>
            <w:r>
              <w:rPr>
                <w:rFonts w:ascii="Cambria Math" w:hAnsi="Cambria Math"/>
              </w:rPr>
              <w:t xml:space="preserve">Within 2 months of OMB approval </w:t>
            </w:r>
          </w:p>
        </w:tc>
      </w:tr>
      <w:tr w:rsidRPr="005F029B" w:rsidR="009C24E7" w:rsidTr="00B632FA" w14:paraId="7B583068" w14:textId="34662474">
        <w:trPr>
          <w:trHeight w:val="304"/>
          <w:jc w:val="center"/>
        </w:trPr>
        <w:tc>
          <w:tcPr>
            <w:tcW w:w="3754" w:type="dxa"/>
          </w:tcPr>
          <w:p w:rsidRPr="005F029B" w:rsidR="009C24E7" w:rsidP="00AD7DB8" w:rsidRDefault="002158EE" w14:paraId="08802F50" w14:textId="6655FDED">
            <w:pPr>
              <w:autoSpaceDE w:val="0"/>
              <w:autoSpaceDN w:val="0"/>
              <w:adjustRightInd w:val="0"/>
              <w:spacing w:line="276" w:lineRule="auto"/>
              <w:rPr>
                <w:rFonts w:ascii="Cambria Math" w:hAnsi="Cambria Math" w:cstheme="minorHAnsi"/>
              </w:rPr>
            </w:pPr>
            <w:r>
              <w:rPr>
                <w:rFonts w:ascii="Cambria Math" w:hAnsi="Cambria Math" w:cstheme="minorHAnsi"/>
              </w:rPr>
              <w:t>Pre -</w:t>
            </w:r>
            <w:r w:rsidRPr="005F029B">
              <w:rPr>
                <w:rFonts w:ascii="Cambria Math" w:hAnsi="Cambria Math" w:cstheme="minorHAnsi"/>
              </w:rPr>
              <w:t xml:space="preserve"> </w:t>
            </w:r>
            <w:r w:rsidRPr="005F029B" w:rsidR="009C24E7">
              <w:rPr>
                <w:rFonts w:ascii="Cambria Math" w:hAnsi="Cambria Math" w:cstheme="minorHAnsi"/>
              </w:rPr>
              <w:t>testing</w:t>
            </w:r>
          </w:p>
        </w:tc>
        <w:tc>
          <w:tcPr>
            <w:tcW w:w="4444" w:type="dxa"/>
          </w:tcPr>
          <w:p w:rsidRPr="005F029B" w:rsidR="009C24E7" w:rsidP="00AD7DB8" w:rsidRDefault="009C24E7" w14:paraId="4D9139E0" w14:textId="76309954">
            <w:pPr>
              <w:autoSpaceDE w:val="0"/>
              <w:autoSpaceDN w:val="0"/>
              <w:adjustRightInd w:val="0"/>
              <w:spacing w:line="276" w:lineRule="auto"/>
              <w:rPr>
                <w:rFonts w:ascii="Cambria Math" w:hAnsi="Cambria Math"/>
              </w:rPr>
            </w:pPr>
            <w:r>
              <w:rPr>
                <w:rFonts w:ascii="Cambria Math" w:hAnsi="Cambria Math"/>
              </w:rPr>
              <w:t>Within 2 months of OMB approval</w:t>
            </w:r>
          </w:p>
        </w:tc>
      </w:tr>
      <w:tr w:rsidRPr="005F029B" w:rsidR="009C24E7" w:rsidTr="00B632FA" w14:paraId="718C09B7" w14:textId="57662801">
        <w:trPr>
          <w:trHeight w:val="304"/>
          <w:jc w:val="center"/>
        </w:trPr>
        <w:tc>
          <w:tcPr>
            <w:tcW w:w="3754" w:type="dxa"/>
          </w:tcPr>
          <w:p w:rsidRPr="005F029B" w:rsidR="009C24E7" w:rsidP="00AD7DB8" w:rsidRDefault="009C24E7" w14:paraId="77DBD538" w14:textId="79BBDDD1">
            <w:pPr>
              <w:autoSpaceDE w:val="0"/>
              <w:autoSpaceDN w:val="0"/>
              <w:adjustRightInd w:val="0"/>
              <w:spacing w:line="276" w:lineRule="auto"/>
              <w:rPr>
                <w:rFonts w:ascii="Cambria Math" w:hAnsi="Cambria Math" w:cstheme="minorHAnsi"/>
              </w:rPr>
            </w:pPr>
            <w:r w:rsidRPr="005F029B">
              <w:rPr>
                <w:rFonts w:ascii="Cambria Math" w:hAnsi="Cambria Math" w:cstheme="minorHAnsi"/>
              </w:rPr>
              <w:t>Data collection in Baltimore</w:t>
            </w:r>
          </w:p>
        </w:tc>
        <w:tc>
          <w:tcPr>
            <w:tcW w:w="4444" w:type="dxa"/>
          </w:tcPr>
          <w:p w:rsidRPr="005F029B" w:rsidR="009C24E7" w:rsidP="00AD7DB8" w:rsidRDefault="002D639A" w14:paraId="0519A235" w14:textId="721C8A0A">
            <w:pPr>
              <w:autoSpaceDE w:val="0"/>
              <w:autoSpaceDN w:val="0"/>
              <w:adjustRightInd w:val="0"/>
              <w:spacing w:line="276" w:lineRule="auto"/>
              <w:rPr>
                <w:rFonts w:ascii="Cambria Math" w:hAnsi="Cambria Math"/>
              </w:rPr>
            </w:pPr>
            <w:r>
              <w:rPr>
                <w:rFonts w:ascii="Cambria Math" w:hAnsi="Cambria Math"/>
              </w:rPr>
              <w:t xml:space="preserve">Starting October 2021.  Within </w:t>
            </w:r>
            <w:r w:rsidR="002158EE">
              <w:rPr>
                <w:rFonts w:ascii="Cambria Math" w:hAnsi="Cambria Math"/>
              </w:rPr>
              <w:t>2</w:t>
            </w:r>
            <w:r>
              <w:rPr>
                <w:rFonts w:ascii="Cambria Math" w:hAnsi="Cambria Math"/>
              </w:rPr>
              <w:t xml:space="preserve"> </w:t>
            </w:r>
            <w:r w:rsidR="00DC40B2">
              <w:rPr>
                <w:rFonts w:ascii="Cambria Math" w:hAnsi="Cambria Math"/>
              </w:rPr>
              <w:t>-</w:t>
            </w:r>
            <w:r>
              <w:rPr>
                <w:rFonts w:ascii="Cambria Math" w:hAnsi="Cambria Math"/>
              </w:rPr>
              <w:t xml:space="preserve"> 36 months of OMB approval</w:t>
            </w:r>
          </w:p>
        </w:tc>
      </w:tr>
      <w:tr w:rsidRPr="005F029B" w:rsidR="009C24E7" w:rsidTr="00B632FA" w14:paraId="72FFBBB0" w14:textId="437077B0">
        <w:trPr>
          <w:trHeight w:val="304"/>
          <w:jc w:val="center"/>
        </w:trPr>
        <w:tc>
          <w:tcPr>
            <w:tcW w:w="3754" w:type="dxa"/>
            <w:shd w:val="clear" w:color="auto" w:fill="FFFFFF" w:themeFill="background1"/>
          </w:tcPr>
          <w:p w:rsidRPr="005F029B" w:rsidR="009C24E7" w:rsidP="00C82749" w:rsidRDefault="009C24E7" w14:paraId="369399A2" w14:textId="3E251600">
            <w:pPr>
              <w:autoSpaceDE w:val="0"/>
              <w:autoSpaceDN w:val="0"/>
              <w:adjustRightInd w:val="0"/>
              <w:spacing w:line="276" w:lineRule="auto"/>
              <w:rPr>
                <w:rFonts w:ascii="Cambria Math" w:hAnsi="Cambria Math" w:cstheme="minorHAnsi"/>
              </w:rPr>
            </w:pPr>
            <w:r w:rsidRPr="005F029B">
              <w:rPr>
                <w:rFonts w:ascii="Cambria Math" w:hAnsi="Cambria Math" w:cstheme="minorHAnsi"/>
              </w:rPr>
              <w:t>Data collection in Garrett County</w:t>
            </w:r>
          </w:p>
        </w:tc>
        <w:tc>
          <w:tcPr>
            <w:tcW w:w="4444" w:type="dxa"/>
            <w:shd w:val="clear" w:color="auto" w:fill="FFFFFF" w:themeFill="background1"/>
          </w:tcPr>
          <w:p w:rsidRPr="005F029B" w:rsidR="009C24E7" w:rsidP="004B0A64" w:rsidRDefault="002D639A" w14:paraId="4CAC69C3" w14:textId="56A218B9">
            <w:pPr>
              <w:autoSpaceDE w:val="0"/>
              <w:autoSpaceDN w:val="0"/>
              <w:adjustRightInd w:val="0"/>
              <w:spacing w:line="276" w:lineRule="auto"/>
              <w:rPr>
                <w:rFonts w:ascii="Cambria Math" w:hAnsi="Cambria Math"/>
              </w:rPr>
            </w:pPr>
            <w:r>
              <w:rPr>
                <w:rFonts w:ascii="Cambria Math" w:hAnsi="Cambria Math"/>
              </w:rPr>
              <w:t xml:space="preserve">Starting October 2021.  Within </w:t>
            </w:r>
            <w:r w:rsidR="002158EE">
              <w:rPr>
                <w:rFonts w:ascii="Cambria Math" w:hAnsi="Cambria Math"/>
              </w:rPr>
              <w:t>2</w:t>
            </w:r>
            <w:r>
              <w:rPr>
                <w:rFonts w:ascii="Cambria Math" w:hAnsi="Cambria Math"/>
              </w:rPr>
              <w:t xml:space="preserve"> - 36 months of OMB approval</w:t>
            </w:r>
            <w:r w:rsidDel="002D639A">
              <w:rPr>
                <w:rFonts w:ascii="Cambria Math" w:hAnsi="Cambria Math"/>
              </w:rPr>
              <w:t xml:space="preserve"> </w:t>
            </w:r>
          </w:p>
        </w:tc>
      </w:tr>
      <w:tr w:rsidRPr="005F029B" w:rsidR="009C24E7" w:rsidTr="00B632FA" w14:paraId="3961A8D5" w14:textId="0D623AFB">
        <w:trPr>
          <w:trHeight w:val="304"/>
          <w:jc w:val="center"/>
        </w:trPr>
        <w:tc>
          <w:tcPr>
            <w:tcW w:w="3754" w:type="dxa"/>
            <w:shd w:val="clear" w:color="auto" w:fill="FFFFFF" w:themeFill="background1"/>
          </w:tcPr>
          <w:p w:rsidRPr="005F029B" w:rsidR="009C24E7" w:rsidP="00AD7DB8" w:rsidRDefault="009C24E7" w14:paraId="69207BCC" w14:textId="45399818">
            <w:pPr>
              <w:autoSpaceDE w:val="0"/>
              <w:autoSpaceDN w:val="0"/>
              <w:adjustRightInd w:val="0"/>
              <w:spacing w:line="276" w:lineRule="auto"/>
              <w:rPr>
                <w:rFonts w:ascii="Cambria Math" w:hAnsi="Cambria Math" w:cstheme="minorHAnsi"/>
              </w:rPr>
            </w:pPr>
            <w:r w:rsidRPr="005F029B">
              <w:rPr>
                <w:rFonts w:ascii="Cambria Math" w:hAnsi="Cambria Math" w:cstheme="minorHAnsi"/>
              </w:rPr>
              <w:t>Clean, edit, and analyze dataset</w:t>
            </w:r>
          </w:p>
        </w:tc>
        <w:tc>
          <w:tcPr>
            <w:tcW w:w="4444" w:type="dxa"/>
            <w:shd w:val="clear" w:color="auto" w:fill="FFFFFF" w:themeFill="background1"/>
          </w:tcPr>
          <w:p w:rsidRPr="005F029B" w:rsidR="009C24E7" w:rsidP="004B0A64" w:rsidRDefault="009C24E7" w14:paraId="0C7D5A32" w14:textId="0BFB54F4">
            <w:pPr>
              <w:autoSpaceDE w:val="0"/>
              <w:autoSpaceDN w:val="0"/>
              <w:adjustRightInd w:val="0"/>
              <w:spacing w:line="276" w:lineRule="auto"/>
              <w:rPr>
                <w:rFonts w:ascii="Cambria Math" w:hAnsi="Cambria Math"/>
              </w:rPr>
            </w:pPr>
            <w:r>
              <w:rPr>
                <w:rFonts w:ascii="Cambria Math" w:hAnsi="Cambria Math"/>
              </w:rPr>
              <w:t xml:space="preserve">Within 11 </w:t>
            </w:r>
            <w:r w:rsidR="00DC40B2">
              <w:rPr>
                <w:rFonts w:ascii="Cambria Math" w:hAnsi="Cambria Math"/>
              </w:rPr>
              <w:t>-</w:t>
            </w:r>
            <w:r>
              <w:rPr>
                <w:rFonts w:ascii="Cambria Math" w:hAnsi="Cambria Math"/>
              </w:rPr>
              <w:t xml:space="preserve"> </w:t>
            </w:r>
            <w:r w:rsidR="002D639A">
              <w:rPr>
                <w:rFonts w:ascii="Cambria Math" w:hAnsi="Cambria Math"/>
              </w:rPr>
              <w:t>36</w:t>
            </w:r>
            <w:r>
              <w:rPr>
                <w:rFonts w:ascii="Cambria Math" w:hAnsi="Cambria Math"/>
              </w:rPr>
              <w:t xml:space="preserve"> months of OMB approval</w:t>
            </w:r>
          </w:p>
        </w:tc>
      </w:tr>
      <w:tr w:rsidRPr="005F029B" w:rsidR="009C24E7" w:rsidTr="00B632FA" w14:paraId="23C3A1CA" w14:textId="3FF9EDAE">
        <w:trPr>
          <w:trHeight w:val="304"/>
          <w:jc w:val="center"/>
        </w:trPr>
        <w:tc>
          <w:tcPr>
            <w:tcW w:w="3754" w:type="dxa"/>
            <w:shd w:val="clear" w:color="auto" w:fill="FFFFFF"/>
          </w:tcPr>
          <w:p w:rsidRPr="005F029B" w:rsidR="009C24E7" w:rsidDel="00054634" w:rsidP="00AD7DB8" w:rsidRDefault="009C24E7" w14:paraId="6228CF8C" w14:textId="467EACD1">
            <w:pPr>
              <w:autoSpaceDE w:val="0"/>
              <w:autoSpaceDN w:val="0"/>
              <w:adjustRightInd w:val="0"/>
              <w:spacing w:line="276" w:lineRule="auto"/>
              <w:rPr>
                <w:rFonts w:ascii="Cambria Math" w:hAnsi="Cambria Math" w:cstheme="minorHAnsi"/>
              </w:rPr>
            </w:pPr>
            <w:r w:rsidRPr="005F029B">
              <w:rPr>
                <w:rFonts w:ascii="Cambria Math" w:hAnsi="Cambria Math" w:cstheme="minorHAnsi"/>
              </w:rPr>
              <w:t>Complete report documenting results and methodology recommendations related to implementation of VACS in the U.S.</w:t>
            </w:r>
          </w:p>
        </w:tc>
        <w:tc>
          <w:tcPr>
            <w:tcW w:w="4444" w:type="dxa"/>
            <w:shd w:val="clear" w:color="auto" w:fill="FFFFFF" w:themeFill="background1"/>
          </w:tcPr>
          <w:p w:rsidRPr="005F029B" w:rsidR="009C24E7" w:rsidP="00AD7DB8" w:rsidRDefault="009C24E7" w14:paraId="72200AEB" w14:textId="5E375E84">
            <w:pPr>
              <w:autoSpaceDE w:val="0"/>
              <w:autoSpaceDN w:val="0"/>
              <w:adjustRightInd w:val="0"/>
              <w:spacing w:line="276" w:lineRule="auto"/>
              <w:rPr>
                <w:rFonts w:ascii="Cambria Math" w:hAnsi="Cambria Math"/>
              </w:rPr>
            </w:pPr>
            <w:r>
              <w:rPr>
                <w:rFonts w:ascii="Cambria Math" w:hAnsi="Cambria Math"/>
              </w:rPr>
              <w:t>Within 12 -</w:t>
            </w:r>
            <w:r w:rsidR="002D639A">
              <w:rPr>
                <w:rFonts w:ascii="Cambria Math" w:hAnsi="Cambria Math"/>
              </w:rPr>
              <w:t xml:space="preserve"> </w:t>
            </w:r>
            <w:r>
              <w:rPr>
                <w:rFonts w:ascii="Cambria Math" w:hAnsi="Cambria Math"/>
              </w:rPr>
              <w:t>3</w:t>
            </w:r>
            <w:r w:rsidR="002D639A">
              <w:rPr>
                <w:rFonts w:ascii="Cambria Math" w:hAnsi="Cambria Math"/>
              </w:rPr>
              <w:t>6</w:t>
            </w:r>
            <w:r>
              <w:rPr>
                <w:rFonts w:ascii="Cambria Math" w:hAnsi="Cambria Math"/>
              </w:rPr>
              <w:t xml:space="preserve"> months of OMB approval</w:t>
            </w:r>
          </w:p>
        </w:tc>
      </w:tr>
    </w:tbl>
    <w:p w:rsidRPr="00E308E1" w:rsidR="00C81BDC" w:rsidP="00AD7DB8" w:rsidRDefault="00C81BDC" w14:paraId="17AE7D23" w14:textId="77777777">
      <w:pPr>
        <w:pStyle w:val="L1-FlLSp12"/>
        <w:spacing w:after="0" w:line="276" w:lineRule="auto"/>
        <w:ind w:left="576"/>
        <w:rPr>
          <w:rFonts w:asciiTheme="minorHAnsi" w:hAnsiTheme="minorHAnsi" w:cstheme="minorHAnsi"/>
          <w:szCs w:val="24"/>
        </w:rPr>
      </w:pPr>
    </w:p>
    <w:p w:rsidRPr="00E308E1" w:rsidR="00FB7D77" w:rsidP="00AD7DB8" w:rsidRDefault="00FB7D77" w14:paraId="5F89CE69" w14:textId="11292613">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A.17. Reason(s) Display of OMB Expiration Date is Inappropriate </w:t>
      </w:r>
    </w:p>
    <w:p w:rsidRPr="00E308E1" w:rsidR="00FB7D77" w:rsidP="00AD7DB8" w:rsidRDefault="00FB7D77" w14:paraId="44C076C6" w14:textId="77777777">
      <w:pPr>
        <w:autoSpaceDE w:val="0"/>
        <w:autoSpaceDN w:val="0"/>
        <w:adjustRightInd w:val="0"/>
        <w:spacing w:line="276" w:lineRule="auto"/>
        <w:rPr>
          <w:rFonts w:asciiTheme="minorHAnsi" w:hAnsiTheme="minorHAnsi" w:cstheme="minorHAnsi"/>
          <w:b/>
          <w:bCs/>
        </w:rPr>
      </w:pPr>
    </w:p>
    <w:p w:rsidRPr="00E308E1" w:rsidR="00FB7D77" w:rsidP="00445ECB" w:rsidRDefault="00FB7D77" w14:paraId="26996199" w14:textId="77777777">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The display of the OMB expiration date is not inappropriate.</w:t>
      </w:r>
    </w:p>
    <w:p w:rsidRPr="00E308E1" w:rsidR="00FB7D77" w:rsidP="00AD7DB8" w:rsidRDefault="00FB7D77" w14:paraId="6541F1FD" w14:textId="77777777">
      <w:pPr>
        <w:autoSpaceDE w:val="0"/>
        <w:autoSpaceDN w:val="0"/>
        <w:adjustRightInd w:val="0"/>
        <w:spacing w:line="276" w:lineRule="auto"/>
        <w:rPr>
          <w:rFonts w:asciiTheme="minorHAnsi" w:hAnsiTheme="minorHAnsi" w:cstheme="minorHAnsi"/>
        </w:rPr>
      </w:pPr>
    </w:p>
    <w:p w:rsidRPr="00E308E1" w:rsidR="00FB7D77" w:rsidP="00AD7DB8" w:rsidRDefault="00FB7D77" w14:paraId="2DED54B9" w14:textId="77777777">
      <w:pPr>
        <w:autoSpaceDE w:val="0"/>
        <w:autoSpaceDN w:val="0"/>
        <w:adjustRightInd w:val="0"/>
        <w:spacing w:line="276" w:lineRule="auto"/>
        <w:rPr>
          <w:rFonts w:asciiTheme="minorHAnsi" w:hAnsiTheme="minorHAnsi" w:cstheme="minorHAnsi"/>
          <w:b/>
          <w:bCs/>
        </w:rPr>
      </w:pPr>
      <w:r w:rsidRPr="00E308E1">
        <w:rPr>
          <w:rFonts w:asciiTheme="minorHAnsi" w:hAnsiTheme="minorHAnsi" w:cstheme="minorHAnsi"/>
          <w:b/>
          <w:bCs/>
        </w:rPr>
        <w:t xml:space="preserve">A.18. Exceptions to Certification for Paperwork Reduction Act Submissions </w:t>
      </w:r>
    </w:p>
    <w:p w:rsidRPr="00E308E1" w:rsidR="00FB7D77" w:rsidP="00AD7DB8" w:rsidRDefault="00FB7D77" w14:paraId="04D80092" w14:textId="77777777">
      <w:pPr>
        <w:autoSpaceDE w:val="0"/>
        <w:autoSpaceDN w:val="0"/>
        <w:adjustRightInd w:val="0"/>
        <w:spacing w:line="276" w:lineRule="auto"/>
        <w:rPr>
          <w:rFonts w:asciiTheme="minorHAnsi" w:hAnsiTheme="minorHAnsi" w:cstheme="minorHAnsi"/>
          <w:b/>
          <w:bCs/>
        </w:rPr>
      </w:pPr>
    </w:p>
    <w:p w:rsidRPr="00E308E1" w:rsidR="00FB7D77" w:rsidP="00445ECB" w:rsidRDefault="00FB7D77" w14:paraId="6D9A9FD4" w14:textId="76E7AE68">
      <w:pPr>
        <w:autoSpaceDE w:val="0"/>
        <w:autoSpaceDN w:val="0"/>
        <w:adjustRightInd w:val="0"/>
        <w:spacing w:line="276" w:lineRule="auto"/>
        <w:ind w:firstLine="720"/>
        <w:rPr>
          <w:rFonts w:asciiTheme="minorHAnsi" w:hAnsiTheme="minorHAnsi" w:cstheme="minorHAnsi"/>
        </w:rPr>
      </w:pPr>
      <w:r w:rsidRPr="00E308E1">
        <w:rPr>
          <w:rFonts w:asciiTheme="minorHAnsi" w:hAnsiTheme="minorHAnsi" w:cstheme="minorHAnsi"/>
        </w:rPr>
        <w:t>There are no exceptions to the certification.</w:t>
      </w:r>
      <w:r w:rsidR="00B50D9D">
        <w:rPr>
          <w:rFonts w:asciiTheme="minorHAnsi" w:hAnsiTheme="minorHAnsi" w:cstheme="minorHAnsi"/>
        </w:rPr>
        <w:t xml:space="preserve">  </w:t>
      </w:r>
    </w:p>
    <w:p w:rsidRPr="00E308E1" w:rsidR="00FB7D77" w:rsidP="00AD7DB8" w:rsidRDefault="00FB7D77" w14:paraId="5FF26A18" w14:textId="77777777">
      <w:pPr>
        <w:autoSpaceDE w:val="0"/>
        <w:autoSpaceDN w:val="0"/>
        <w:adjustRightInd w:val="0"/>
        <w:spacing w:line="276" w:lineRule="auto"/>
        <w:jc w:val="center"/>
        <w:rPr>
          <w:rFonts w:asciiTheme="minorHAnsi" w:hAnsiTheme="minorHAnsi" w:cstheme="minorHAnsi"/>
          <w:b/>
          <w:bCs/>
        </w:rPr>
      </w:pPr>
    </w:p>
    <w:p w:rsidR="00B70BDB" w:rsidP="00AD7DB8" w:rsidRDefault="00B70BDB" w14:paraId="239FA044" w14:textId="741C7EF1">
      <w:pPr>
        <w:spacing w:after="160" w:line="276" w:lineRule="auto"/>
        <w:rPr>
          <w:rFonts w:asciiTheme="minorHAnsi" w:hAnsiTheme="minorHAnsi" w:cstheme="minorHAnsi"/>
          <w:b/>
          <w:bCs/>
        </w:rPr>
      </w:pPr>
    </w:p>
    <w:p w:rsidRPr="00E308E1" w:rsidR="00FB7D77" w:rsidP="00AD7DB8" w:rsidRDefault="00A83F34" w14:paraId="2FE4214C" w14:textId="08422F96">
      <w:pPr>
        <w:spacing w:line="276" w:lineRule="auto"/>
        <w:rPr>
          <w:rFonts w:asciiTheme="minorHAnsi" w:hAnsiTheme="minorHAnsi" w:cstheme="minorHAnsi"/>
          <w:b/>
        </w:rPr>
      </w:pPr>
      <w:bookmarkStart w:name="_GoBack" w:id="2"/>
      <w:bookmarkEnd w:id="2"/>
      <w:r>
        <w:rPr>
          <w:rFonts w:asciiTheme="minorHAnsi" w:hAnsiTheme="minorHAnsi" w:cstheme="minorHAnsi"/>
          <w:b/>
        </w:rPr>
        <w:t>References: Endnotes</w:t>
      </w:r>
    </w:p>
    <w:sectPr w:rsidRPr="00E308E1" w:rsidR="00FB7D77" w:rsidSect="00D26908">
      <w:headerReference w:type="even" r:id="rId12"/>
      <w:headerReference w:type="default" r:id="rId13"/>
      <w:footerReference w:type="even" r:id="rId14"/>
      <w:footerReference w:type="default" r:id="rId15"/>
      <w:headerReference w:type="first" r:id="rId16"/>
      <w:footerReference w:type="first" r:id="rId17"/>
      <w:footnotePr>
        <w:numFmt w:val="chicago"/>
        <w:numRestart w:val="eachPage"/>
      </w:foot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C842C" w14:textId="77777777" w:rsidR="008437FD" w:rsidRDefault="008437FD" w:rsidP="009667E4">
      <w:r>
        <w:separator/>
      </w:r>
    </w:p>
  </w:endnote>
  <w:endnote w:type="continuationSeparator" w:id="0">
    <w:p w14:paraId="2699E729" w14:textId="77777777" w:rsidR="008437FD" w:rsidRDefault="008437FD" w:rsidP="009667E4">
      <w:r>
        <w:continuationSeparator/>
      </w:r>
    </w:p>
  </w:endnote>
  <w:endnote w:id="1">
    <w:p w14:paraId="26AAEC37" w14:textId="77777777" w:rsidR="008437FD" w:rsidRDefault="008437FD" w:rsidP="00B61BC8">
      <w:pPr>
        <w:pStyle w:val="EndnoteText"/>
        <w:rPr>
          <w:rFonts w:asciiTheme="minorHAnsi" w:hAnsiTheme="minorHAnsi" w:cstheme="minorHAnsi"/>
          <w:sz w:val="24"/>
          <w:szCs w:val="24"/>
        </w:rPr>
      </w:pPr>
    </w:p>
    <w:p w14:paraId="0634B81A" w14:textId="77777777" w:rsidR="008437FD" w:rsidRPr="00DF1F4E" w:rsidRDefault="008437FD" w:rsidP="00B61BC8">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Centers for Disease Control and Prevention. Violence against Children Surveys: Towards a Violence-Free Generation. </w:t>
      </w:r>
      <w:hyperlink r:id="rId1" w:history="1">
        <w:r w:rsidRPr="00DF1F4E">
          <w:rPr>
            <w:rStyle w:val="Hyperlink"/>
            <w:rFonts w:asciiTheme="minorHAnsi" w:hAnsiTheme="minorHAnsi" w:cstheme="minorHAnsi"/>
            <w:sz w:val="24"/>
            <w:szCs w:val="24"/>
          </w:rPr>
          <w:t>https://www.cdc.gov/violenceprevention/childabuseandneglect/vacs/</w:t>
        </w:r>
      </w:hyperlink>
      <w:r w:rsidRPr="00DF1F4E">
        <w:rPr>
          <w:rFonts w:asciiTheme="minorHAnsi" w:hAnsiTheme="minorHAnsi" w:cstheme="minorHAnsi"/>
          <w:sz w:val="24"/>
          <w:szCs w:val="24"/>
        </w:rPr>
        <w:t xml:space="preserve"> (Retrieved February 29, 2020). 2017.</w:t>
      </w:r>
    </w:p>
  </w:endnote>
  <w:endnote w:id="2">
    <w:p w14:paraId="7F0B251F" w14:textId="12C11B00" w:rsidR="008437FD" w:rsidRDefault="008437FD">
      <w:pPr>
        <w:pStyle w:val="EndnoteText"/>
      </w:pPr>
      <w:r>
        <w:rPr>
          <w:rStyle w:val="EndnoteReference"/>
        </w:rPr>
        <w:endnoteRef/>
      </w:r>
      <w:r>
        <w:t xml:space="preserve"> </w:t>
      </w:r>
      <w:r w:rsidRPr="00AF7727">
        <w:t>Hillis, S., Mercy, J., Amobi, A., &amp; Kress, H. (2016). Global prevalence of past-year violence against children: a systematic review and minimum estimates. Pediatrics, 137(3), e20154079.</w:t>
      </w:r>
    </w:p>
  </w:endnote>
  <w:endnote w:id="3">
    <w:p w14:paraId="79AEF34A" w14:textId="77777777" w:rsidR="008437FD" w:rsidRDefault="008437FD" w:rsidP="00AF7727">
      <w:pPr>
        <w:spacing w:after="15" w:line="248" w:lineRule="auto"/>
        <w:ind w:right="15"/>
        <w:rPr>
          <w:rFonts w:cstheme="minorHAnsi"/>
        </w:rPr>
      </w:pPr>
    </w:p>
    <w:p w14:paraId="562DD81F" w14:textId="1F906C4A" w:rsidR="008437FD" w:rsidRPr="00DF1F4E" w:rsidRDefault="008437FD" w:rsidP="00AF7727">
      <w:pPr>
        <w:spacing w:after="15" w:line="248" w:lineRule="auto"/>
        <w:ind w:right="15"/>
        <w:rPr>
          <w:rFonts w:asciiTheme="minorHAnsi" w:hAnsiTheme="minorHAnsi" w:cstheme="minorHAnsi"/>
        </w:rPr>
      </w:pPr>
      <w:r w:rsidRPr="00F30FF2">
        <w:rPr>
          <w:rStyle w:val="EndnoteReference"/>
          <w:rFonts w:cstheme="minorHAnsi"/>
        </w:rPr>
        <w:endnoteRef/>
      </w:r>
      <w:r w:rsidRPr="00F30FF2">
        <w:rPr>
          <w:rFonts w:cstheme="minorHAnsi"/>
        </w:rPr>
        <w:t xml:space="preserve"> </w:t>
      </w:r>
      <w:r w:rsidRPr="00DF1F4E">
        <w:rPr>
          <w:rFonts w:asciiTheme="minorHAnsi" w:hAnsiTheme="minorHAnsi" w:cstheme="minorHAnsi"/>
        </w:rPr>
        <w:t xml:space="preserve">Finkelhor, D., Turner, HA., Shattuck, A., Hamby, SL. Prevalence of childhood exposure to violence, crime, and abuse: Results from the national survey of children’s exposure to violence. </w:t>
      </w:r>
      <w:r w:rsidRPr="00DF1F4E">
        <w:rPr>
          <w:rFonts w:asciiTheme="minorHAnsi" w:hAnsiTheme="minorHAnsi" w:cstheme="minorHAnsi"/>
          <w:i/>
        </w:rPr>
        <w:t xml:space="preserve">JAMA pediatrics. </w:t>
      </w:r>
      <w:r w:rsidRPr="00DF1F4E">
        <w:rPr>
          <w:rFonts w:asciiTheme="minorHAnsi" w:hAnsiTheme="minorHAnsi" w:cstheme="minorHAnsi"/>
        </w:rPr>
        <w:t xml:space="preserve">2015;169(8):746-754. </w:t>
      </w:r>
    </w:p>
  </w:endnote>
  <w:endnote w:id="4">
    <w:p w14:paraId="234A6FC7" w14:textId="77777777" w:rsidR="008437FD" w:rsidRDefault="008437FD">
      <w:pPr>
        <w:pStyle w:val="EndnoteText"/>
      </w:pPr>
    </w:p>
    <w:p w14:paraId="510A7FE1" w14:textId="78072AD4" w:rsidR="008437FD" w:rsidRDefault="008437FD">
      <w:pPr>
        <w:pStyle w:val="EndnoteText"/>
      </w:pPr>
      <w:r>
        <w:rPr>
          <w:rStyle w:val="EndnoteReference"/>
        </w:rPr>
        <w:endnoteRef/>
      </w:r>
      <w:r>
        <w:t xml:space="preserve"> U.S. Census Bureau. An Aging Nation: Projected Number of Children and Older Adults. 2018. Retrieved from: </w:t>
      </w:r>
      <w:hyperlink r:id="rId2" w:history="1">
        <w:r>
          <w:rPr>
            <w:rStyle w:val="Hyperlink"/>
          </w:rPr>
          <w:t>https://www.census.gov/library/visualizations/2018/comm/historic-first.html</w:t>
        </w:r>
      </w:hyperlink>
      <w:r>
        <w:t xml:space="preserve"> </w:t>
      </w:r>
    </w:p>
  </w:endnote>
  <w:endnote w:id="5">
    <w:p w14:paraId="52A1D724" w14:textId="77777777" w:rsidR="008437FD" w:rsidRDefault="008437FD" w:rsidP="003A5B3C">
      <w:pPr>
        <w:spacing w:after="15" w:line="248" w:lineRule="auto"/>
        <w:ind w:right="15"/>
      </w:pPr>
      <w:r w:rsidRPr="00F30FF2">
        <w:rPr>
          <w:rStyle w:val="EndnoteReference"/>
          <w:rFonts w:cstheme="minorHAnsi"/>
        </w:rPr>
        <w:endnoteRef/>
      </w:r>
      <w:r w:rsidRPr="00F30FF2">
        <w:rPr>
          <w:rFonts w:cstheme="minorHAnsi"/>
        </w:rPr>
        <w:t xml:space="preserve"> Centers for Disease Control and Prevention. </w:t>
      </w:r>
      <w:r w:rsidRPr="00F30FF2">
        <w:rPr>
          <w:rFonts w:cstheme="minorHAnsi"/>
          <w:i/>
        </w:rPr>
        <w:t>Chil</w:t>
      </w:r>
      <w:r>
        <w:rPr>
          <w:rFonts w:cstheme="minorHAnsi"/>
          <w:i/>
        </w:rPr>
        <w:t xml:space="preserve">d Abuse and Neglect Prevention. </w:t>
      </w:r>
      <w:hyperlink r:id="rId3">
        <w:r w:rsidRPr="00F30FF2">
          <w:rPr>
            <w:rFonts w:cstheme="minorHAnsi"/>
            <w:i/>
          </w:rPr>
          <w:t>h</w:t>
        </w:r>
      </w:hyperlink>
      <w:hyperlink r:id="rId4">
        <w:r w:rsidRPr="00F30FF2">
          <w:rPr>
            <w:rFonts w:cstheme="minorHAnsi"/>
            <w:b/>
            <w:i/>
            <w:color w:val="00816D"/>
            <w:u w:val="single" w:color="00816D"/>
          </w:rPr>
          <w:t>ttps://www.cdc.gov/violenceprevention/childabuseandneglect/index.html.</w:t>
        </w:r>
      </w:hyperlink>
      <w:hyperlink r:id="rId5">
        <w:r w:rsidRPr="00F30FF2">
          <w:rPr>
            <w:rFonts w:cstheme="minorHAnsi"/>
            <w:i/>
          </w:rPr>
          <w:t xml:space="preserve"> </w:t>
        </w:r>
      </w:hyperlink>
      <w:r w:rsidRPr="00F30FF2">
        <w:rPr>
          <w:rFonts w:cstheme="minorHAnsi"/>
          <w:i/>
        </w:rPr>
        <w:t xml:space="preserve"> (Retrieved July 24, 2018). </w:t>
      </w:r>
      <w:r w:rsidRPr="00F30FF2">
        <w:rPr>
          <w:rFonts w:cstheme="minorHAnsi"/>
        </w:rPr>
        <w:t xml:space="preserve">2016. </w:t>
      </w:r>
    </w:p>
  </w:endnote>
  <w:endnote w:id="6">
    <w:p w14:paraId="6A4990F1" w14:textId="77777777" w:rsidR="008437FD" w:rsidRDefault="008437FD" w:rsidP="00F478D2">
      <w:pPr>
        <w:pStyle w:val="EndnoteText"/>
        <w:tabs>
          <w:tab w:val="left" w:pos="9900"/>
        </w:tabs>
        <w:rPr>
          <w:rFonts w:asciiTheme="minorHAnsi" w:hAnsiTheme="minorHAnsi" w:cstheme="minorHAnsi"/>
          <w:sz w:val="24"/>
          <w:szCs w:val="24"/>
        </w:rPr>
      </w:pPr>
    </w:p>
    <w:p w14:paraId="70F24405" w14:textId="7B34370B" w:rsidR="008437FD" w:rsidRPr="00DF1F4E" w:rsidRDefault="008437FD" w:rsidP="00F478D2">
      <w:pPr>
        <w:pStyle w:val="EndnoteText"/>
        <w:tabs>
          <w:tab w:val="left" w:pos="9900"/>
        </w:tabs>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David-Ferdon C, Vivolo-Kantor AM, Dahlberg LL, Marshall KJ, Rainford N, Hall JE. </w:t>
      </w:r>
      <w:r w:rsidRPr="00DF1F4E">
        <w:rPr>
          <w:rFonts w:asciiTheme="minorHAnsi" w:hAnsiTheme="minorHAnsi" w:cstheme="minorHAnsi"/>
          <w:i/>
          <w:sz w:val="24"/>
          <w:szCs w:val="24"/>
        </w:rPr>
        <w:t xml:space="preserve">A comprehensive technical package for the prevention of youth violence and associated risk behaviors.  Atlanta, GA: National Center for Injury Prevention and Control, Centers for Disease Control and Prevention. </w:t>
      </w:r>
      <w:r>
        <w:rPr>
          <w:rFonts w:asciiTheme="minorHAnsi" w:hAnsiTheme="minorHAnsi" w:cstheme="minorHAnsi"/>
          <w:sz w:val="24"/>
          <w:szCs w:val="24"/>
        </w:rPr>
        <w:t>2016.</w:t>
      </w:r>
    </w:p>
  </w:endnote>
  <w:endnote w:id="7">
    <w:p w14:paraId="1D308ACD" w14:textId="77777777" w:rsidR="008437FD" w:rsidRDefault="008437FD" w:rsidP="00F478D2">
      <w:pPr>
        <w:pStyle w:val="EndnoteText"/>
      </w:pPr>
    </w:p>
    <w:p w14:paraId="00D44A1A" w14:textId="77777777" w:rsidR="008437FD" w:rsidRDefault="008437FD" w:rsidP="00F478D2">
      <w:pPr>
        <w:pStyle w:val="EndnoteText"/>
      </w:pPr>
      <w:r>
        <w:rPr>
          <w:rStyle w:val="EndnoteReference"/>
        </w:rPr>
        <w:endnoteRef/>
      </w:r>
      <w:r>
        <w:t xml:space="preserve"> </w:t>
      </w:r>
      <w:r w:rsidRPr="008462F6">
        <w:rPr>
          <w:rFonts w:asciiTheme="minorHAnsi" w:hAnsiTheme="minorHAnsi" w:cstheme="minorHAnsi"/>
          <w:sz w:val="22"/>
          <w:szCs w:val="22"/>
        </w:rPr>
        <w:t>Centers for Disease Control and Prevention.</w:t>
      </w:r>
      <w:r w:rsidRPr="008462F6">
        <w:rPr>
          <w:rFonts w:asciiTheme="minorHAnsi" w:hAnsiTheme="minorHAnsi" w:cstheme="minorHAnsi"/>
          <w:i/>
          <w:sz w:val="22"/>
          <w:szCs w:val="22"/>
        </w:rPr>
        <w:t xml:space="preserve"> Web-based Injury Statistics Query and Reporting System (WISQARS). Retrieved July 24, 2018 from </w:t>
      </w:r>
      <w:hyperlink r:id="rId6">
        <w:r w:rsidRPr="008462F6">
          <w:rPr>
            <w:rFonts w:asciiTheme="minorHAnsi" w:hAnsiTheme="minorHAnsi" w:cstheme="minorHAnsi"/>
            <w:i/>
            <w:sz w:val="22"/>
            <w:szCs w:val="22"/>
          </w:rPr>
          <w:t>h</w:t>
        </w:r>
      </w:hyperlink>
      <w:hyperlink r:id="rId7">
        <w:r w:rsidRPr="008462F6">
          <w:rPr>
            <w:rFonts w:asciiTheme="minorHAnsi" w:hAnsiTheme="minorHAnsi" w:cstheme="minorHAnsi"/>
            <w:b/>
            <w:i/>
            <w:color w:val="00816D"/>
            <w:sz w:val="22"/>
            <w:szCs w:val="22"/>
            <w:u w:val="single" w:color="00816D"/>
          </w:rPr>
          <w:t>ttp://www.cdc.gov/injury/wisqars/.</w:t>
        </w:r>
      </w:hyperlink>
      <w:hyperlink r:id="rId8">
        <w:r w:rsidRPr="008462F6">
          <w:rPr>
            <w:rFonts w:asciiTheme="minorHAnsi" w:hAnsiTheme="minorHAnsi" w:cstheme="minorHAnsi"/>
            <w:i/>
            <w:sz w:val="22"/>
            <w:szCs w:val="22"/>
          </w:rPr>
          <w:t xml:space="preserve"> </w:t>
        </w:r>
      </w:hyperlink>
      <w:r w:rsidRPr="008462F6">
        <w:rPr>
          <w:rFonts w:asciiTheme="minorHAnsi" w:hAnsiTheme="minorHAnsi" w:cstheme="minorHAnsi"/>
          <w:sz w:val="22"/>
          <w:szCs w:val="22"/>
        </w:rPr>
        <w:t xml:space="preserve">2016. </w:t>
      </w:r>
    </w:p>
    <w:p w14:paraId="6B2B7885" w14:textId="77777777" w:rsidR="008437FD" w:rsidRDefault="008437FD" w:rsidP="00F478D2">
      <w:pPr>
        <w:pStyle w:val="EndnoteText"/>
      </w:pPr>
    </w:p>
  </w:endnote>
  <w:endnote w:id="8">
    <w:p w14:paraId="7DBB858B" w14:textId="77777777" w:rsidR="008437FD" w:rsidRPr="00DF1F4E" w:rsidRDefault="008437FD" w:rsidP="00F478D2">
      <w:pPr>
        <w:pStyle w:val="EndnoteText"/>
        <w:tabs>
          <w:tab w:val="left" w:pos="9900"/>
        </w:tabs>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Centers for Disease Control and Prevention. Youth Risk Behavior Surveillance-United States, 2017. </w:t>
      </w:r>
      <w:r w:rsidRPr="00DF1F4E">
        <w:rPr>
          <w:rFonts w:asciiTheme="minorHAnsi" w:hAnsiTheme="minorHAnsi" w:cstheme="minorHAnsi"/>
          <w:i/>
          <w:sz w:val="24"/>
          <w:szCs w:val="24"/>
        </w:rPr>
        <w:t xml:space="preserve">Morbidity and Mortality Weekly Report. </w:t>
      </w:r>
      <w:r w:rsidRPr="00DF1F4E">
        <w:rPr>
          <w:rFonts w:asciiTheme="minorHAnsi" w:hAnsiTheme="minorHAnsi" w:cstheme="minorHAnsi"/>
          <w:sz w:val="24"/>
          <w:szCs w:val="24"/>
        </w:rPr>
        <w:t>2018:67(8). https://www.cdc.gov/healthyyouth/data/yrbs/pdf/2017/ss6708.pdf</w:t>
      </w:r>
    </w:p>
  </w:endnote>
  <w:endnote w:id="9">
    <w:p w14:paraId="63DA14E6" w14:textId="77777777" w:rsidR="008437FD" w:rsidRDefault="008437FD" w:rsidP="00FA56F7">
      <w:pPr>
        <w:pStyle w:val="EndnoteText"/>
        <w:rPr>
          <w:rFonts w:asciiTheme="minorHAnsi" w:hAnsiTheme="minorHAnsi" w:cstheme="minorHAnsi"/>
          <w:sz w:val="24"/>
          <w:szCs w:val="24"/>
        </w:rPr>
      </w:pPr>
    </w:p>
    <w:p w14:paraId="6A05E336" w14:textId="77777777" w:rsidR="008437FD" w:rsidRPr="00DF1F4E" w:rsidRDefault="008437FD" w:rsidP="00FA56F7">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w:t>
      </w:r>
      <w:r w:rsidRPr="00DF1F4E">
        <w:rPr>
          <w:rFonts w:asciiTheme="minorHAnsi" w:hAnsiTheme="minorHAnsi" w:cstheme="minorHAnsi"/>
          <w:i/>
          <w:noProof/>
          <w:sz w:val="24"/>
          <w:szCs w:val="24"/>
        </w:rPr>
        <w:t>United Nations' Secretary General Study on Violence Against Children</w:t>
      </w:r>
      <w:r w:rsidRPr="00DF1F4E">
        <w:rPr>
          <w:rFonts w:asciiTheme="minorHAnsi" w:hAnsiTheme="minorHAnsi" w:cstheme="minorHAnsi"/>
          <w:noProof/>
          <w:sz w:val="24"/>
          <w:szCs w:val="24"/>
        </w:rPr>
        <w:t xml:space="preserve">. Available from: </w:t>
      </w:r>
      <w:hyperlink r:id="rId9" w:history="1">
        <w:r w:rsidRPr="00DF1F4E">
          <w:rPr>
            <w:rStyle w:val="Hyperlink"/>
            <w:rFonts w:asciiTheme="minorHAnsi" w:hAnsiTheme="minorHAnsi" w:cstheme="minorHAnsi"/>
            <w:noProof/>
            <w:sz w:val="24"/>
            <w:szCs w:val="24"/>
          </w:rPr>
          <w:t>http://www.unicef.org/violencestudy/presskits/2%20Study%20findings_Press%20kit%20EN.pdf</w:t>
        </w:r>
      </w:hyperlink>
    </w:p>
  </w:endnote>
  <w:endnote w:id="10">
    <w:p w14:paraId="4060A4E7" w14:textId="77777777" w:rsidR="008437FD" w:rsidRDefault="008437FD" w:rsidP="00F478D2">
      <w:pPr>
        <w:pStyle w:val="EndnoteText"/>
        <w:rPr>
          <w:rFonts w:asciiTheme="minorHAnsi" w:hAnsiTheme="minorHAnsi" w:cstheme="minorHAnsi"/>
          <w:sz w:val="24"/>
          <w:szCs w:val="24"/>
        </w:rPr>
      </w:pPr>
    </w:p>
    <w:p w14:paraId="6B84E922" w14:textId="77777777" w:rsidR="008437FD" w:rsidRPr="00DF1F4E" w:rsidRDefault="008437FD" w:rsidP="00F478D2">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Felitti VJ, Anda RF, Nordenberg D, et al. Relationship of childhood abuse and household dysfunction to many of the leading causes of death in adults: The Adverse Childhood Experiences (ACE) Study. </w:t>
      </w:r>
      <w:r w:rsidRPr="00DF1F4E">
        <w:rPr>
          <w:rFonts w:asciiTheme="minorHAnsi" w:hAnsiTheme="minorHAnsi" w:cstheme="minorHAnsi"/>
          <w:i/>
          <w:sz w:val="24"/>
          <w:szCs w:val="24"/>
        </w:rPr>
        <w:t xml:space="preserve">American journal of preventive medicine. </w:t>
      </w:r>
      <w:r w:rsidRPr="00DF1F4E">
        <w:rPr>
          <w:rFonts w:asciiTheme="minorHAnsi" w:hAnsiTheme="minorHAnsi" w:cstheme="minorHAnsi"/>
          <w:sz w:val="24"/>
          <w:szCs w:val="24"/>
        </w:rPr>
        <w:t xml:space="preserve">1998;14(4):245258. </w:t>
      </w:r>
    </w:p>
    <w:p w14:paraId="64F0AB32" w14:textId="77777777" w:rsidR="008437FD" w:rsidRPr="00DF1F4E" w:rsidRDefault="008437FD" w:rsidP="00F478D2">
      <w:pPr>
        <w:spacing w:after="15" w:line="248" w:lineRule="auto"/>
        <w:ind w:right="15"/>
        <w:rPr>
          <w:rFonts w:asciiTheme="minorHAnsi" w:hAnsiTheme="minorHAnsi" w:cstheme="minorHAnsi"/>
        </w:rPr>
      </w:pPr>
    </w:p>
    <w:p w14:paraId="7FE48217" w14:textId="77777777" w:rsidR="008437FD" w:rsidRPr="00DF1F4E" w:rsidRDefault="008437FD" w:rsidP="00F478D2">
      <w:pPr>
        <w:spacing w:after="15" w:line="248" w:lineRule="auto"/>
        <w:ind w:right="15"/>
        <w:rPr>
          <w:rFonts w:asciiTheme="minorHAnsi" w:hAnsiTheme="minorHAnsi" w:cstheme="minorHAnsi"/>
        </w:rPr>
      </w:pPr>
      <w:r w:rsidRPr="00DF1F4E">
        <w:rPr>
          <w:rFonts w:asciiTheme="minorHAnsi" w:hAnsiTheme="minorHAnsi" w:cstheme="minorHAnsi"/>
        </w:rPr>
        <w:t xml:space="preserve">Danese A, Moffitt TE, Harrington H, et al. Adverse childhood experiences and adult risk factors for age-related disease: depression, inflammation, and clustering of metabolic risk markers. </w:t>
      </w:r>
      <w:r w:rsidRPr="00DF1F4E">
        <w:rPr>
          <w:rFonts w:asciiTheme="minorHAnsi" w:hAnsiTheme="minorHAnsi" w:cstheme="minorHAnsi"/>
          <w:i/>
        </w:rPr>
        <w:t xml:space="preserve">Archives of pediatrics &amp; adolescent medicine. </w:t>
      </w:r>
      <w:r w:rsidRPr="00DF1F4E">
        <w:rPr>
          <w:rFonts w:asciiTheme="minorHAnsi" w:hAnsiTheme="minorHAnsi" w:cstheme="minorHAnsi"/>
        </w:rPr>
        <w:t xml:space="preserve">2009;163(12):1135-1143. </w:t>
      </w:r>
    </w:p>
    <w:p w14:paraId="7C5F9FE4" w14:textId="77777777" w:rsidR="008437FD" w:rsidRPr="00DF1F4E" w:rsidRDefault="008437FD" w:rsidP="00F478D2">
      <w:pPr>
        <w:spacing w:after="15" w:line="248" w:lineRule="auto"/>
        <w:ind w:right="15"/>
        <w:rPr>
          <w:rFonts w:asciiTheme="minorHAnsi" w:hAnsiTheme="minorHAnsi" w:cstheme="minorHAnsi"/>
        </w:rPr>
      </w:pPr>
    </w:p>
    <w:p w14:paraId="7B85F1A0" w14:textId="77777777" w:rsidR="008437FD" w:rsidRDefault="008437FD" w:rsidP="00F478D2">
      <w:pPr>
        <w:spacing w:after="15" w:line="248" w:lineRule="auto"/>
        <w:ind w:right="15"/>
        <w:rPr>
          <w:rFonts w:asciiTheme="minorHAnsi" w:hAnsiTheme="minorHAnsi" w:cstheme="minorHAnsi"/>
        </w:rPr>
      </w:pPr>
      <w:r w:rsidRPr="00DF1F4E">
        <w:rPr>
          <w:rFonts w:asciiTheme="minorHAnsi" w:hAnsiTheme="minorHAnsi" w:cstheme="minorHAnsi"/>
        </w:rPr>
        <w:t xml:space="preserve">Gilbert LK, Breiding MJ, Merrick MT, et al. Childhood adversity and adult chronic disease: an update from ten states and the District of Columbia, 2010. </w:t>
      </w:r>
      <w:r w:rsidRPr="00DF1F4E">
        <w:rPr>
          <w:rFonts w:asciiTheme="minorHAnsi" w:hAnsiTheme="minorHAnsi" w:cstheme="minorHAnsi"/>
          <w:i/>
        </w:rPr>
        <w:t xml:space="preserve">American journal of preventive medicine. </w:t>
      </w:r>
      <w:r w:rsidRPr="00DF1F4E">
        <w:rPr>
          <w:rFonts w:asciiTheme="minorHAnsi" w:hAnsiTheme="minorHAnsi" w:cstheme="minorHAnsi"/>
        </w:rPr>
        <w:t xml:space="preserve">2015;48(3):345-349. </w:t>
      </w:r>
    </w:p>
    <w:p w14:paraId="5C937472" w14:textId="77777777" w:rsidR="008437FD" w:rsidRPr="00DF1F4E" w:rsidRDefault="008437FD" w:rsidP="00F478D2">
      <w:pPr>
        <w:spacing w:after="15" w:line="248" w:lineRule="auto"/>
        <w:ind w:right="15"/>
        <w:rPr>
          <w:rFonts w:asciiTheme="minorHAnsi" w:hAnsiTheme="minorHAnsi" w:cstheme="minorHAnsi"/>
        </w:rPr>
      </w:pPr>
    </w:p>
  </w:endnote>
  <w:endnote w:id="11">
    <w:p w14:paraId="1FE713DB" w14:textId="77777777" w:rsidR="008437FD" w:rsidRPr="00DF1F4E" w:rsidRDefault="008437FD" w:rsidP="00F478D2">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Silverman AB, Reinherz HZ, Giaconia RM. The long-term sequelae of child and adolescent abuse: A longitudinal community study. </w:t>
      </w:r>
      <w:r w:rsidRPr="00DF1F4E">
        <w:rPr>
          <w:rFonts w:asciiTheme="minorHAnsi" w:hAnsiTheme="minorHAnsi" w:cstheme="minorHAnsi"/>
          <w:i/>
          <w:sz w:val="24"/>
          <w:szCs w:val="24"/>
        </w:rPr>
        <w:t xml:space="preserve">Child abuse &amp; neglect. </w:t>
      </w:r>
      <w:r w:rsidRPr="00DF1F4E">
        <w:rPr>
          <w:rFonts w:asciiTheme="minorHAnsi" w:hAnsiTheme="minorHAnsi" w:cstheme="minorHAnsi"/>
          <w:sz w:val="24"/>
          <w:szCs w:val="24"/>
        </w:rPr>
        <w:t xml:space="preserve">1996;20(8):709-723. </w:t>
      </w:r>
    </w:p>
    <w:p w14:paraId="7EF1753F" w14:textId="77777777" w:rsidR="008437FD" w:rsidRPr="00DF1F4E" w:rsidRDefault="008437FD" w:rsidP="00F478D2">
      <w:pPr>
        <w:spacing w:after="15" w:line="248" w:lineRule="auto"/>
        <w:ind w:right="15"/>
        <w:rPr>
          <w:rFonts w:asciiTheme="minorHAnsi" w:hAnsiTheme="minorHAnsi" w:cstheme="minorHAnsi"/>
        </w:rPr>
      </w:pPr>
    </w:p>
    <w:p w14:paraId="102BF70A" w14:textId="77777777" w:rsidR="008437FD" w:rsidRPr="00DF1F4E" w:rsidRDefault="008437FD" w:rsidP="00F478D2">
      <w:pPr>
        <w:spacing w:after="15" w:line="248" w:lineRule="auto"/>
        <w:ind w:right="15"/>
        <w:rPr>
          <w:rFonts w:asciiTheme="minorHAnsi" w:hAnsiTheme="minorHAnsi" w:cstheme="minorHAnsi"/>
        </w:rPr>
      </w:pPr>
      <w:r w:rsidRPr="00DF1F4E">
        <w:rPr>
          <w:rFonts w:asciiTheme="minorHAnsi" w:hAnsiTheme="minorHAnsi" w:cstheme="minorHAnsi"/>
        </w:rPr>
        <w:t xml:space="preserve">Perry BD. The neurodevelopmental impact of violence in childhood. In: Schetky D., Benedek E., eds. </w:t>
      </w:r>
      <w:r w:rsidRPr="00DF1F4E">
        <w:rPr>
          <w:rFonts w:asciiTheme="minorHAnsi" w:hAnsiTheme="minorHAnsi" w:cstheme="minorHAnsi"/>
          <w:i/>
        </w:rPr>
        <w:t>Textbook of child and adolescent forensic psychiatry.</w:t>
      </w:r>
      <w:r w:rsidRPr="00DF1F4E">
        <w:rPr>
          <w:rFonts w:asciiTheme="minorHAnsi" w:hAnsiTheme="minorHAnsi" w:cstheme="minorHAnsi"/>
        </w:rPr>
        <w:t xml:space="preserve"> Washington (DC): American Psychiatric Press; 2001. p. 221–238.2001. </w:t>
      </w:r>
    </w:p>
  </w:endnote>
  <w:endnote w:id="12">
    <w:p w14:paraId="01B0E592" w14:textId="77777777" w:rsidR="008437FD" w:rsidRDefault="008437FD" w:rsidP="00F478D2">
      <w:pPr>
        <w:pStyle w:val="EndnoteText"/>
        <w:tabs>
          <w:tab w:val="left" w:pos="9900"/>
        </w:tabs>
        <w:rPr>
          <w:rFonts w:asciiTheme="minorHAnsi" w:hAnsiTheme="minorHAnsi" w:cstheme="minorHAnsi"/>
          <w:sz w:val="24"/>
          <w:szCs w:val="24"/>
        </w:rPr>
      </w:pPr>
    </w:p>
    <w:p w14:paraId="7A63C895" w14:textId="77777777" w:rsidR="008437FD" w:rsidRPr="00DF1F4E" w:rsidRDefault="008437FD" w:rsidP="00F478D2">
      <w:pPr>
        <w:pStyle w:val="EndnoteText"/>
        <w:tabs>
          <w:tab w:val="left" w:pos="9900"/>
        </w:tabs>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Spatz Widom C, Marmorstein NR, Raskin White H. Childhood victimization and illicit drug use in middle adulthood. </w:t>
      </w:r>
      <w:r w:rsidRPr="00DF1F4E">
        <w:rPr>
          <w:rFonts w:asciiTheme="minorHAnsi" w:hAnsiTheme="minorHAnsi" w:cstheme="minorHAnsi"/>
          <w:i/>
          <w:sz w:val="24"/>
          <w:szCs w:val="24"/>
        </w:rPr>
        <w:t xml:space="preserve">Psychology of Addictive Behaviors. </w:t>
      </w:r>
      <w:r w:rsidRPr="00DF1F4E">
        <w:rPr>
          <w:rFonts w:asciiTheme="minorHAnsi" w:hAnsiTheme="minorHAnsi" w:cstheme="minorHAnsi"/>
          <w:sz w:val="24"/>
          <w:szCs w:val="24"/>
        </w:rPr>
        <w:t xml:space="preserve">2006;20(4):394-403. </w:t>
      </w:r>
    </w:p>
  </w:endnote>
  <w:endnote w:id="13">
    <w:p w14:paraId="5683A343" w14:textId="77777777" w:rsidR="008437FD" w:rsidRDefault="008437FD" w:rsidP="00F478D2">
      <w:pPr>
        <w:pStyle w:val="EndnoteText"/>
        <w:rPr>
          <w:rFonts w:asciiTheme="minorHAnsi" w:hAnsiTheme="minorHAnsi" w:cstheme="minorHAnsi"/>
          <w:sz w:val="24"/>
          <w:szCs w:val="24"/>
        </w:rPr>
      </w:pPr>
    </w:p>
    <w:p w14:paraId="131B18C9" w14:textId="77777777" w:rsidR="008437FD" w:rsidRPr="00DF1F4E" w:rsidRDefault="008437FD" w:rsidP="00F478D2">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National Research Council and Institude of Medicine. </w:t>
      </w:r>
      <w:r w:rsidRPr="00DF1F4E">
        <w:rPr>
          <w:rFonts w:asciiTheme="minorHAnsi" w:hAnsiTheme="minorHAnsi" w:cstheme="minorHAnsi"/>
          <w:i/>
          <w:sz w:val="24"/>
          <w:szCs w:val="24"/>
        </w:rPr>
        <w:t>From neurons to neighborhoods: the science of early childhood development</w:t>
      </w:r>
      <w:r w:rsidRPr="00DF1F4E">
        <w:rPr>
          <w:rFonts w:asciiTheme="minorHAnsi" w:hAnsiTheme="minorHAnsi" w:cstheme="minorHAnsi"/>
          <w:sz w:val="24"/>
          <w:szCs w:val="24"/>
        </w:rPr>
        <w:t xml:space="preserve">. in </w:t>
      </w:r>
      <w:r w:rsidRPr="00DF1F4E">
        <w:rPr>
          <w:rFonts w:asciiTheme="minorHAnsi" w:hAnsiTheme="minorHAnsi" w:cstheme="minorHAnsi"/>
          <w:i/>
          <w:sz w:val="24"/>
          <w:szCs w:val="24"/>
        </w:rPr>
        <w:t>Committee on Integrating the Science of Early Childhood Development. Board on Children, Youth, and Famillies, Commission on Behavioral and Social Sciences and Education</w:t>
      </w:r>
      <w:r w:rsidRPr="00DF1F4E">
        <w:rPr>
          <w:rFonts w:asciiTheme="minorHAnsi" w:hAnsiTheme="minorHAnsi" w:cstheme="minorHAnsi"/>
          <w:sz w:val="24"/>
          <w:szCs w:val="24"/>
        </w:rPr>
        <w:t>. 2000. Washington, DC: National Academy Press.</w:t>
      </w:r>
    </w:p>
  </w:endnote>
  <w:endnote w:id="14">
    <w:p w14:paraId="11928986" w14:textId="77777777" w:rsidR="008437FD" w:rsidRDefault="008437FD" w:rsidP="00F478D2">
      <w:pPr>
        <w:pStyle w:val="EndnoteText"/>
        <w:rPr>
          <w:rFonts w:asciiTheme="minorHAnsi" w:hAnsiTheme="minorHAnsi" w:cstheme="minorHAnsi"/>
          <w:sz w:val="24"/>
          <w:szCs w:val="24"/>
        </w:rPr>
      </w:pPr>
    </w:p>
    <w:p w14:paraId="3DB29D7E" w14:textId="77777777" w:rsidR="008437FD" w:rsidRPr="00DF1F4E" w:rsidRDefault="008437FD" w:rsidP="00F478D2">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Felitti, V., et al., </w:t>
      </w:r>
      <w:r w:rsidRPr="00DF1F4E">
        <w:rPr>
          <w:rFonts w:asciiTheme="minorHAnsi" w:hAnsiTheme="minorHAnsi" w:cstheme="minorHAnsi"/>
          <w:i/>
          <w:sz w:val="24"/>
          <w:szCs w:val="24"/>
        </w:rPr>
        <w:t>The relationship of adult health status to childhood abuse and household dysfunction.</w:t>
      </w:r>
      <w:r w:rsidRPr="00DF1F4E">
        <w:rPr>
          <w:rFonts w:asciiTheme="minorHAnsi" w:hAnsiTheme="minorHAnsi" w:cstheme="minorHAnsi"/>
          <w:sz w:val="24"/>
          <w:szCs w:val="24"/>
        </w:rPr>
        <w:t xml:space="preserve"> American Journal of Preventative Medicine, 1998. 14: p. 245-58.</w:t>
      </w:r>
    </w:p>
  </w:endnote>
  <w:endnote w:id="15">
    <w:p w14:paraId="0850AD04" w14:textId="77777777" w:rsidR="008437FD" w:rsidRDefault="008437FD" w:rsidP="00F478D2">
      <w:pPr>
        <w:pStyle w:val="EndnoteText"/>
        <w:rPr>
          <w:rFonts w:asciiTheme="minorHAnsi" w:hAnsiTheme="minorHAnsi" w:cstheme="minorHAnsi"/>
          <w:sz w:val="24"/>
          <w:szCs w:val="24"/>
        </w:rPr>
      </w:pPr>
    </w:p>
    <w:p w14:paraId="1A0A1573" w14:textId="77777777" w:rsidR="008437FD" w:rsidRPr="00DF1F4E" w:rsidRDefault="008437FD" w:rsidP="00F478D2">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Kendall-Tackett, K., </w:t>
      </w:r>
      <w:r w:rsidRPr="00DF1F4E">
        <w:rPr>
          <w:rFonts w:asciiTheme="minorHAnsi" w:hAnsiTheme="minorHAnsi" w:cstheme="minorHAnsi"/>
          <w:i/>
          <w:sz w:val="24"/>
          <w:szCs w:val="24"/>
        </w:rPr>
        <w:t>Treating the lifetime health effects of childhood victimization</w:t>
      </w:r>
      <w:r w:rsidRPr="00DF1F4E">
        <w:rPr>
          <w:rFonts w:asciiTheme="minorHAnsi" w:hAnsiTheme="minorHAnsi" w:cstheme="minorHAnsi"/>
          <w:sz w:val="24"/>
          <w:szCs w:val="24"/>
        </w:rPr>
        <w:t>, 2003, Civic Research Institute, Inc: Kingston.</w:t>
      </w:r>
    </w:p>
  </w:endnote>
  <w:endnote w:id="16">
    <w:p w14:paraId="1EC82744" w14:textId="77777777" w:rsidR="008437FD" w:rsidRDefault="008437FD" w:rsidP="002153E0">
      <w:pPr>
        <w:pStyle w:val="EndnoteText"/>
        <w:rPr>
          <w:rFonts w:asciiTheme="minorHAnsi" w:hAnsiTheme="minorHAnsi" w:cstheme="minorHAnsi"/>
          <w:sz w:val="22"/>
          <w:szCs w:val="22"/>
        </w:rPr>
      </w:pPr>
    </w:p>
    <w:p w14:paraId="5DB94C2A"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Hurt H, Malmud E, Brodsky NL, Giannetta J. Exposure to violence: Psychological and academic correlates in child witnesses. Archives of pediatrics &amp; adolescent medicine. 2001;155(12):1351-1356.</w:t>
      </w:r>
    </w:p>
  </w:endnote>
  <w:endnote w:id="17">
    <w:p w14:paraId="7F9710AD" w14:textId="77777777" w:rsidR="008437FD" w:rsidRDefault="008437FD" w:rsidP="002153E0">
      <w:pPr>
        <w:pStyle w:val="EndnoteText"/>
        <w:rPr>
          <w:rFonts w:asciiTheme="minorHAnsi" w:hAnsiTheme="minorHAnsi" w:cstheme="minorHAnsi"/>
          <w:sz w:val="22"/>
          <w:szCs w:val="22"/>
        </w:rPr>
      </w:pPr>
    </w:p>
    <w:p w14:paraId="28ABDC73"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Bowen NK, Bowen GL. Effects of Crime and Violence in Neighborhoods and Schools on the School Behavior and Performance of Adolescents. Journal of Adolescent Research. 1999;14(3):319-342.</w:t>
      </w:r>
    </w:p>
    <w:p w14:paraId="6434DE8C" w14:textId="77777777" w:rsidR="008437FD" w:rsidRPr="00F30FF2" w:rsidRDefault="008437FD" w:rsidP="002153E0">
      <w:pPr>
        <w:pStyle w:val="EndnoteText"/>
        <w:rPr>
          <w:rFonts w:asciiTheme="minorHAnsi" w:hAnsiTheme="minorHAnsi" w:cstheme="minorHAnsi"/>
          <w:sz w:val="22"/>
          <w:szCs w:val="22"/>
        </w:rPr>
      </w:pPr>
    </w:p>
  </w:endnote>
  <w:endnote w:id="18">
    <w:p w14:paraId="5B4A9898"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Peek-Asa C, Maxwell L, Stromquist A, Whitten P, Limbos MA, Merchant J. Does Parental Physical Violence Reduce Children's Standardized Test Score Performance? Annals of Epidemiology. 2007;17(11):847-853.</w:t>
      </w:r>
    </w:p>
  </w:endnote>
  <w:endnote w:id="19">
    <w:p w14:paraId="6167A6CB" w14:textId="77777777" w:rsidR="008437FD" w:rsidRDefault="008437FD" w:rsidP="002153E0">
      <w:pPr>
        <w:pStyle w:val="EndnoteText"/>
        <w:rPr>
          <w:rFonts w:asciiTheme="minorHAnsi" w:hAnsiTheme="minorHAnsi" w:cstheme="minorHAnsi"/>
          <w:sz w:val="22"/>
          <w:szCs w:val="22"/>
        </w:rPr>
      </w:pPr>
    </w:p>
    <w:p w14:paraId="57CCE319"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Borowsky IW, Ireland M, Resnick MD. Violence Risk and Protective Factors Among Youth Held Back in School. </w:t>
      </w:r>
      <w:r w:rsidRPr="00F30FF2">
        <w:rPr>
          <w:rFonts w:asciiTheme="minorHAnsi" w:hAnsiTheme="minorHAnsi" w:cstheme="minorHAnsi"/>
          <w:i/>
          <w:sz w:val="22"/>
          <w:szCs w:val="22"/>
        </w:rPr>
        <w:t xml:space="preserve">Ambulatory Pediatrics. </w:t>
      </w:r>
      <w:r w:rsidRPr="00F30FF2">
        <w:rPr>
          <w:rFonts w:asciiTheme="minorHAnsi" w:hAnsiTheme="minorHAnsi" w:cstheme="minorHAnsi"/>
          <w:sz w:val="22"/>
          <w:szCs w:val="22"/>
        </w:rPr>
        <w:t>2002;2(6):475-484.</w:t>
      </w:r>
    </w:p>
  </w:endnote>
  <w:endnote w:id="20">
    <w:p w14:paraId="6076B3F4" w14:textId="77777777" w:rsidR="008437FD" w:rsidRDefault="008437FD" w:rsidP="002153E0">
      <w:pPr>
        <w:pStyle w:val="EndnoteText"/>
        <w:rPr>
          <w:rFonts w:asciiTheme="minorHAnsi" w:hAnsiTheme="minorHAnsi" w:cstheme="minorHAnsi"/>
          <w:sz w:val="22"/>
          <w:szCs w:val="22"/>
        </w:rPr>
      </w:pPr>
    </w:p>
    <w:p w14:paraId="6A3114CA"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Ramirez M, Wu Y, Kataoka S, et al. Youth Violence across Multiple Dimensions: A Study of Violence, Absenteeism, and Suspensions among Middle School Children. The Journal of pediatrics. 2012;161(3):542-546.e542.</w:t>
      </w:r>
    </w:p>
  </w:endnote>
  <w:endnote w:id="21">
    <w:p w14:paraId="44E27B4C" w14:textId="77777777" w:rsidR="008437FD" w:rsidRDefault="008437FD" w:rsidP="002153E0">
      <w:pPr>
        <w:pStyle w:val="EndnoteText"/>
        <w:rPr>
          <w:rFonts w:asciiTheme="minorHAnsi" w:hAnsiTheme="minorHAnsi" w:cstheme="minorHAnsi"/>
          <w:sz w:val="22"/>
          <w:szCs w:val="22"/>
        </w:rPr>
      </w:pPr>
    </w:p>
    <w:p w14:paraId="77F779FF"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Macmillan R, Hagan J. Violence in the Transition to Adulthood: Adolescent Victimization, Education, and Socioeconomic Attainment in Later Life. </w:t>
      </w:r>
      <w:r w:rsidRPr="00F30FF2">
        <w:rPr>
          <w:rFonts w:asciiTheme="minorHAnsi" w:hAnsiTheme="minorHAnsi" w:cstheme="minorHAnsi"/>
          <w:i/>
          <w:sz w:val="22"/>
          <w:szCs w:val="22"/>
        </w:rPr>
        <w:t xml:space="preserve">Journal of Research on Adolescence. </w:t>
      </w:r>
      <w:r w:rsidRPr="00F30FF2">
        <w:rPr>
          <w:rFonts w:asciiTheme="minorHAnsi" w:hAnsiTheme="minorHAnsi" w:cstheme="minorHAnsi"/>
          <w:sz w:val="22"/>
          <w:szCs w:val="22"/>
        </w:rPr>
        <w:t>2004;14(2):127-158.</w:t>
      </w:r>
    </w:p>
  </w:endnote>
  <w:endnote w:id="22">
    <w:p w14:paraId="3FA0DC6A" w14:textId="77777777" w:rsidR="008437FD" w:rsidRDefault="008437FD" w:rsidP="002153E0">
      <w:pPr>
        <w:pStyle w:val="EndnoteText"/>
        <w:rPr>
          <w:rFonts w:asciiTheme="minorHAnsi" w:hAnsiTheme="minorHAnsi" w:cstheme="minorHAnsi"/>
          <w:sz w:val="22"/>
          <w:szCs w:val="22"/>
        </w:rPr>
      </w:pPr>
    </w:p>
    <w:p w14:paraId="6C102C10"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Ramirez M, Wu Y, Kataoka S, et al. Youth Violence across Multiple Dimensions: A Study of Violence, Absenteeism, and Suspensions among Middle School Children. </w:t>
      </w:r>
      <w:r w:rsidRPr="00F30FF2">
        <w:rPr>
          <w:rFonts w:asciiTheme="minorHAnsi" w:hAnsiTheme="minorHAnsi" w:cstheme="minorHAnsi"/>
          <w:i/>
          <w:sz w:val="22"/>
          <w:szCs w:val="22"/>
        </w:rPr>
        <w:t xml:space="preserve">The Journal of pediatrics. </w:t>
      </w:r>
      <w:r w:rsidRPr="00F30FF2">
        <w:rPr>
          <w:rFonts w:asciiTheme="minorHAnsi" w:hAnsiTheme="minorHAnsi" w:cstheme="minorHAnsi"/>
          <w:sz w:val="22"/>
          <w:szCs w:val="22"/>
        </w:rPr>
        <w:t>2012;161(3):542-546.e542.</w:t>
      </w:r>
    </w:p>
  </w:endnote>
  <w:endnote w:id="23">
    <w:p w14:paraId="1934A521" w14:textId="77777777" w:rsidR="008437FD" w:rsidRDefault="008437FD" w:rsidP="002153E0">
      <w:pPr>
        <w:pStyle w:val="EndnoteText"/>
        <w:rPr>
          <w:rFonts w:asciiTheme="minorHAnsi" w:hAnsiTheme="minorHAnsi" w:cstheme="minorHAnsi"/>
          <w:sz w:val="22"/>
          <w:szCs w:val="22"/>
        </w:rPr>
      </w:pPr>
    </w:p>
    <w:p w14:paraId="4377488A"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Peguero AA. Violence, Schools, and Dropping Out: Racial and Ethnic Disparities in the Educational Consequence of Student Victimization. </w:t>
      </w:r>
      <w:r w:rsidRPr="00F30FF2">
        <w:rPr>
          <w:rFonts w:asciiTheme="minorHAnsi" w:hAnsiTheme="minorHAnsi" w:cstheme="minorHAnsi"/>
          <w:i/>
          <w:sz w:val="22"/>
          <w:szCs w:val="22"/>
        </w:rPr>
        <w:t xml:space="preserve">Journal of Interpersonal Violence. </w:t>
      </w:r>
      <w:r w:rsidRPr="00F30FF2">
        <w:rPr>
          <w:rFonts w:asciiTheme="minorHAnsi" w:hAnsiTheme="minorHAnsi" w:cstheme="minorHAnsi"/>
          <w:sz w:val="22"/>
          <w:szCs w:val="22"/>
        </w:rPr>
        <w:t>2011;26(18):3753-3772.</w:t>
      </w:r>
    </w:p>
  </w:endnote>
  <w:endnote w:id="24">
    <w:p w14:paraId="13AF9591" w14:textId="77777777" w:rsidR="008437FD" w:rsidRDefault="008437FD" w:rsidP="002153E0">
      <w:pPr>
        <w:pStyle w:val="EndnoteText"/>
        <w:rPr>
          <w:rFonts w:asciiTheme="minorHAnsi" w:hAnsiTheme="minorHAnsi" w:cstheme="minorHAnsi"/>
          <w:sz w:val="22"/>
          <w:szCs w:val="22"/>
        </w:rPr>
      </w:pPr>
    </w:p>
    <w:p w14:paraId="5226B12B"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Staff J, Kreager DA. Too Cool for School? Violence, Peer Status and High School Dropout. Social Forces. 2008;87(1):445-471.</w:t>
      </w:r>
    </w:p>
  </w:endnote>
  <w:endnote w:id="25">
    <w:p w14:paraId="5209A674" w14:textId="77777777" w:rsidR="008437FD" w:rsidRDefault="008437FD" w:rsidP="002153E0">
      <w:pPr>
        <w:pStyle w:val="EndnoteText"/>
        <w:rPr>
          <w:rFonts w:asciiTheme="minorHAnsi" w:hAnsiTheme="minorHAnsi" w:cstheme="minorHAnsi"/>
          <w:sz w:val="22"/>
          <w:szCs w:val="22"/>
        </w:rPr>
      </w:pPr>
    </w:p>
    <w:p w14:paraId="3167B310"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Begle AM, Hanson RF, Danielson CK, et al. Longitudinal pathways of victimization, substance use, and delinquency: Findings from the National Survey of Adolescents. </w:t>
      </w:r>
      <w:r w:rsidRPr="00F30FF2">
        <w:rPr>
          <w:rFonts w:asciiTheme="minorHAnsi" w:hAnsiTheme="minorHAnsi" w:cstheme="minorHAnsi"/>
          <w:i/>
          <w:sz w:val="22"/>
          <w:szCs w:val="22"/>
        </w:rPr>
        <w:t xml:space="preserve">Addictive Behaviors. </w:t>
      </w:r>
      <w:r w:rsidRPr="00F30FF2">
        <w:rPr>
          <w:rFonts w:asciiTheme="minorHAnsi" w:hAnsiTheme="minorHAnsi" w:cstheme="minorHAnsi"/>
          <w:sz w:val="22"/>
          <w:szCs w:val="22"/>
        </w:rPr>
        <w:t>2011;36(7):682-689.</w:t>
      </w:r>
    </w:p>
  </w:endnote>
  <w:endnote w:id="26">
    <w:p w14:paraId="5743949E" w14:textId="77777777" w:rsidR="008437FD" w:rsidRDefault="008437FD" w:rsidP="002153E0">
      <w:pPr>
        <w:pStyle w:val="EndnoteText"/>
        <w:rPr>
          <w:rFonts w:asciiTheme="minorHAnsi" w:hAnsiTheme="minorHAnsi" w:cstheme="minorHAnsi"/>
          <w:sz w:val="22"/>
          <w:szCs w:val="22"/>
        </w:rPr>
      </w:pPr>
    </w:p>
    <w:p w14:paraId="724D2AA0"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Cullen FT, Unnever JD, Hartman JL, Turner MG, Agnew R. Gender, Bullying Victimization, and Juvenile Delinquency: A Test of General Strain Theory. </w:t>
      </w:r>
      <w:r w:rsidRPr="00F30FF2">
        <w:rPr>
          <w:rFonts w:asciiTheme="minorHAnsi" w:hAnsiTheme="minorHAnsi" w:cstheme="minorHAnsi"/>
          <w:i/>
          <w:sz w:val="22"/>
          <w:szCs w:val="22"/>
        </w:rPr>
        <w:t xml:space="preserve">Victims &amp; Offenders. </w:t>
      </w:r>
      <w:r w:rsidRPr="00F30FF2">
        <w:rPr>
          <w:rFonts w:asciiTheme="minorHAnsi" w:hAnsiTheme="minorHAnsi" w:cstheme="minorHAnsi"/>
          <w:sz w:val="22"/>
          <w:szCs w:val="22"/>
        </w:rPr>
        <w:t>2008;3(4):346-364.</w:t>
      </w:r>
    </w:p>
  </w:endnote>
  <w:endnote w:id="27">
    <w:p w14:paraId="56A9617D" w14:textId="77777777" w:rsidR="008437FD" w:rsidRDefault="008437FD" w:rsidP="002153E0">
      <w:pPr>
        <w:pStyle w:val="EndnoteText"/>
        <w:rPr>
          <w:rFonts w:asciiTheme="minorHAnsi" w:hAnsiTheme="minorHAnsi" w:cstheme="minorHAnsi"/>
          <w:sz w:val="22"/>
          <w:szCs w:val="22"/>
        </w:rPr>
      </w:pPr>
    </w:p>
    <w:p w14:paraId="156936B6"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Nansel TR, Overpeck MD, Haynie DL, Ruan W, Scheidt PC. Relationships between bullying and violence among us youth. </w:t>
      </w:r>
      <w:r w:rsidRPr="00F30FF2">
        <w:rPr>
          <w:rFonts w:asciiTheme="minorHAnsi" w:hAnsiTheme="minorHAnsi" w:cstheme="minorHAnsi"/>
          <w:i/>
          <w:sz w:val="22"/>
          <w:szCs w:val="22"/>
        </w:rPr>
        <w:t xml:space="preserve">Archives of pediatrics &amp; adolescent medicine. </w:t>
      </w:r>
      <w:r w:rsidRPr="00F30FF2">
        <w:rPr>
          <w:rFonts w:asciiTheme="minorHAnsi" w:hAnsiTheme="minorHAnsi" w:cstheme="minorHAnsi"/>
          <w:sz w:val="22"/>
          <w:szCs w:val="22"/>
        </w:rPr>
        <w:t>2003;157(4):348-353.</w:t>
      </w:r>
    </w:p>
  </w:endnote>
  <w:endnote w:id="28">
    <w:p w14:paraId="3B0DEE6C" w14:textId="77777777" w:rsidR="008437FD" w:rsidRDefault="008437FD" w:rsidP="002153E0">
      <w:pPr>
        <w:pStyle w:val="EndnoteText"/>
        <w:rPr>
          <w:rFonts w:asciiTheme="minorHAnsi" w:hAnsiTheme="minorHAnsi" w:cstheme="minorHAnsi"/>
          <w:sz w:val="22"/>
          <w:szCs w:val="22"/>
        </w:rPr>
      </w:pPr>
    </w:p>
    <w:p w14:paraId="00649DE4"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Carbone-Lopez K, Esbensen F-A, Brick BT. Correlates and Consequences of Peer Victimization: Gender Differences in Direct and Indirect Forms of Bullying. </w:t>
      </w:r>
      <w:r w:rsidRPr="00F30FF2">
        <w:rPr>
          <w:rFonts w:asciiTheme="minorHAnsi" w:hAnsiTheme="minorHAnsi" w:cstheme="minorHAnsi"/>
          <w:i/>
          <w:sz w:val="22"/>
          <w:szCs w:val="22"/>
        </w:rPr>
        <w:t xml:space="preserve">Youth Violence and Juvenile Justice. </w:t>
      </w:r>
      <w:r w:rsidRPr="00F30FF2">
        <w:rPr>
          <w:rFonts w:asciiTheme="minorHAnsi" w:hAnsiTheme="minorHAnsi" w:cstheme="minorHAnsi"/>
          <w:sz w:val="22"/>
          <w:szCs w:val="22"/>
        </w:rPr>
        <w:t>2010;8(4):332-350.</w:t>
      </w:r>
    </w:p>
  </w:endnote>
  <w:endnote w:id="29">
    <w:p w14:paraId="2080824C" w14:textId="77777777" w:rsidR="008437FD" w:rsidRDefault="008437FD" w:rsidP="002153E0">
      <w:pPr>
        <w:pStyle w:val="EndnoteText"/>
        <w:rPr>
          <w:rFonts w:asciiTheme="minorHAnsi" w:hAnsiTheme="minorHAnsi" w:cstheme="minorHAnsi"/>
          <w:sz w:val="22"/>
          <w:szCs w:val="22"/>
        </w:rPr>
      </w:pPr>
    </w:p>
    <w:p w14:paraId="2F09E907"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Gomez AM. Testing the Cycle of Violence Hypothesis: Child Abuse and Adolescent Dating Violence as Predictors of Intimate Partner Violence in Young Adulthood. </w:t>
      </w:r>
      <w:r w:rsidRPr="00F30FF2">
        <w:rPr>
          <w:rFonts w:asciiTheme="minorHAnsi" w:hAnsiTheme="minorHAnsi" w:cstheme="minorHAnsi"/>
          <w:i/>
          <w:sz w:val="22"/>
          <w:szCs w:val="22"/>
        </w:rPr>
        <w:t xml:space="preserve">Youth &amp; Society. </w:t>
      </w:r>
      <w:r w:rsidRPr="00F30FF2">
        <w:rPr>
          <w:rFonts w:asciiTheme="minorHAnsi" w:hAnsiTheme="minorHAnsi" w:cstheme="minorHAnsi"/>
          <w:sz w:val="22"/>
          <w:szCs w:val="22"/>
        </w:rPr>
        <w:t>2010;43(1):171-192.</w:t>
      </w:r>
    </w:p>
  </w:endnote>
  <w:endnote w:id="30">
    <w:p w14:paraId="7D136803" w14:textId="77777777" w:rsidR="008437FD" w:rsidRDefault="008437FD" w:rsidP="002153E0">
      <w:pPr>
        <w:pStyle w:val="EndnoteText"/>
        <w:rPr>
          <w:rFonts w:asciiTheme="minorHAnsi" w:hAnsiTheme="minorHAnsi" w:cstheme="minorHAnsi"/>
          <w:sz w:val="22"/>
          <w:szCs w:val="22"/>
        </w:rPr>
      </w:pPr>
    </w:p>
    <w:p w14:paraId="2A3D8A09"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Haynie DL, Farhat T, Brooks-Russell A, Wang J, Barbieri B, Iannotti RJ. Dating violence perpetration and victimization among US adolescents: prevalence, patterns, and associations with health complaints and substance use. Journal of Adolescent Health. 2013;53(2):194-201.</w:t>
      </w:r>
    </w:p>
  </w:endnote>
  <w:endnote w:id="31">
    <w:p w14:paraId="15E550FE"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Barter C, Stanley N. Inter-personal violence and abuse in adolescent intimate relationships: mental health impact and implications for practice. </w:t>
      </w:r>
      <w:r w:rsidRPr="00F30FF2">
        <w:rPr>
          <w:rFonts w:asciiTheme="minorHAnsi" w:hAnsiTheme="minorHAnsi" w:cstheme="minorHAnsi"/>
          <w:i/>
          <w:sz w:val="22"/>
          <w:szCs w:val="22"/>
        </w:rPr>
        <w:t xml:space="preserve">International Review of Psychiatry. </w:t>
      </w:r>
      <w:r w:rsidRPr="00F30FF2">
        <w:rPr>
          <w:rFonts w:asciiTheme="minorHAnsi" w:hAnsiTheme="minorHAnsi" w:cstheme="minorHAnsi"/>
          <w:sz w:val="22"/>
          <w:szCs w:val="22"/>
        </w:rPr>
        <w:t>2016;28(5):485-503.</w:t>
      </w:r>
    </w:p>
  </w:endnote>
  <w:endnote w:id="32">
    <w:p w14:paraId="6C8A2317" w14:textId="77777777" w:rsidR="008437FD" w:rsidRDefault="008437FD" w:rsidP="002153E0">
      <w:pPr>
        <w:pStyle w:val="EndnoteText"/>
        <w:rPr>
          <w:rFonts w:asciiTheme="minorHAnsi" w:hAnsiTheme="minorHAnsi" w:cstheme="minorHAnsi"/>
          <w:sz w:val="22"/>
          <w:szCs w:val="22"/>
        </w:rPr>
      </w:pPr>
    </w:p>
    <w:p w14:paraId="1960CBF6"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Orpinas P, Nahapetyan L, Truszczynski N. Low and Increasing Trajectories of Perpetration of Physical Dating Violence: 7-Year Associations with Suicidal Ideation, Weapons, and Substance Use. </w:t>
      </w:r>
      <w:r w:rsidRPr="00F30FF2">
        <w:rPr>
          <w:rFonts w:asciiTheme="minorHAnsi" w:hAnsiTheme="minorHAnsi" w:cstheme="minorHAnsi"/>
          <w:i/>
          <w:sz w:val="22"/>
          <w:szCs w:val="22"/>
        </w:rPr>
        <w:t xml:space="preserve">Journal of Youth and Adolescence. </w:t>
      </w:r>
      <w:r w:rsidRPr="00F30FF2">
        <w:rPr>
          <w:rFonts w:asciiTheme="minorHAnsi" w:hAnsiTheme="minorHAnsi" w:cstheme="minorHAnsi"/>
          <w:sz w:val="22"/>
          <w:szCs w:val="22"/>
        </w:rPr>
        <w:t>2017;46(5):970-981.</w:t>
      </w:r>
    </w:p>
  </w:endnote>
  <w:endnote w:id="33">
    <w:p w14:paraId="0A7107B2" w14:textId="77777777" w:rsidR="008437FD" w:rsidRDefault="008437FD" w:rsidP="002153E0">
      <w:pPr>
        <w:pStyle w:val="EndnoteText"/>
        <w:rPr>
          <w:rFonts w:asciiTheme="minorHAnsi" w:hAnsiTheme="minorHAnsi" w:cstheme="minorHAnsi"/>
          <w:sz w:val="22"/>
          <w:szCs w:val="22"/>
        </w:rPr>
      </w:pPr>
    </w:p>
    <w:p w14:paraId="317D4BDF" w14:textId="77777777" w:rsidR="008437FD" w:rsidRPr="00F30FF2" w:rsidRDefault="008437FD" w:rsidP="002153E0">
      <w:pPr>
        <w:pStyle w:val="EndnoteText"/>
        <w:rPr>
          <w:rFonts w:asciiTheme="minorHAnsi" w:hAnsiTheme="minorHAnsi" w:cstheme="minorHAnsi"/>
          <w:sz w:val="22"/>
          <w:szCs w:val="22"/>
        </w:rPr>
      </w:pPr>
      <w:r w:rsidRPr="00F30FF2">
        <w:rPr>
          <w:rStyle w:val="EndnoteReference"/>
          <w:rFonts w:asciiTheme="minorHAnsi" w:hAnsiTheme="minorHAnsi" w:cstheme="minorHAnsi"/>
          <w:sz w:val="22"/>
          <w:szCs w:val="22"/>
        </w:rPr>
        <w:endnoteRef/>
      </w:r>
      <w:r w:rsidRPr="00F30FF2">
        <w:rPr>
          <w:rFonts w:asciiTheme="minorHAnsi" w:hAnsiTheme="minorHAnsi" w:cstheme="minorHAnsi"/>
          <w:sz w:val="22"/>
          <w:szCs w:val="22"/>
        </w:rPr>
        <w:t xml:space="preserve"> Taylor B, Mumford E. A National Descriptive Portrait of Adolescent Relationship Abuse: Results From the National Survey on Teen Relationships and Intimate Violence. Journal of Interpersonal Violence. 2016;31(6):963-988.</w:t>
      </w:r>
    </w:p>
  </w:endnote>
  <w:endnote w:id="34">
    <w:p w14:paraId="5F1FD2DC" w14:textId="77777777" w:rsidR="008437FD" w:rsidRDefault="008437FD" w:rsidP="004130AD">
      <w:pPr>
        <w:pStyle w:val="EndnoteText"/>
        <w:rPr>
          <w:rFonts w:asciiTheme="minorHAnsi" w:hAnsiTheme="minorHAnsi" w:cstheme="minorHAnsi"/>
          <w:sz w:val="24"/>
          <w:szCs w:val="24"/>
        </w:rPr>
      </w:pPr>
    </w:p>
    <w:p w14:paraId="68430BEE" w14:textId="77777777" w:rsidR="008437FD" w:rsidRPr="00DF1F4E" w:rsidRDefault="008437FD" w:rsidP="004130AD">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Centers for Disease Control and Prevention. Risk and Protective Factors. </w:t>
      </w:r>
      <w:hyperlink r:id="rId10" w:history="1">
        <w:r w:rsidRPr="00DF1F4E">
          <w:rPr>
            <w:rStyle w:val="Hyperlink"/>
            <w:rFonts w:asciiTheme="minorHAnsi" w:hAnsiTheme="minorHAnsi" w:cstheme="minorHAnsi"/>
            <w:sz w:val="24"/>
            <w:szCs w:val="24"/>
          </w:rPr>
          <w:t>https://www.cdc.gov/violenceprevention/youthviolence/riskprotectivefactors.html</w:t>
        </w:r>
      </w:hyperlink>
      <w:r w:rsidRPr="00DF1F4E">
        <w:rPr>
          <w:rFonts w:asciiTheme="minorHAnsi" w:hAnsiTheme="minorHAnsi" w:cstheme="minorHAnsi"/>
          <w:sz w:val="24"/>
          <w:szCs w:val="24"/>
        </w:rPr>
        <w:t>. 2017</w:t>
      </w:r>
    </w:p>
  </w:endnote>
  <w:endnote w:id="35">
    <w:p w14:paraId="0B8C7400" w14:textId="77777777" w:rsidR="008437FD" w:rsidRDefault="008437FD" w:rsidP="004130AD">
      <w:pPr>
        <w:pStyle w:val="EndnoteText"/>
        <w:rPr>
          <w:rFonts w:asciiTheme="minorHAnsi" w:hAnsiTheme="minorHAnsi" w:cstheme="minorHAnsi"/>
          <w:sz w:val="24"/>
          <w:szCs w:val="24"/>
        </w:rPr>
      </w:pPr>
    </w:p>
    <w:p w14:paraId="6F2D8BFD" w14:textId="77777777" w:rsidR="008437FD" w:rsidRPr="00DF1F4E" w:rsidRDefault="008437FD" w:rsidP="004130AD">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Centers for Disease Control and Prevention. Youth Violence Resources: Data Sources. Available from: </w:t>
      </w:r>
      <w:hyperlink r:id="rId11" w:history="1">
        <w:r w:rsidRPr="00DF1F4E">
          <w:rPr>
            <w:rStyle w:val="Hyperlink"/>
            <w:rFonts w:asciiTheme="minorHAnsi" w:hAnsiTheme="minorHAnsi" w:cstheme="minorHAnsi"/>
            <w:sz w:val="24"/>
            <w:szCs w:val="24"/>
          </w:rPr>
          <w:t>https://www.cdc.gov/violenceprevention/youthviolence/resources.html</w:t>
        </w:r>
      </w:hyperlink>
      <w:r w:rsidRPr="00DF1F4E">
        <w:rPr>
          <w:rFonts w:asciiTheme="minorHAnsi" w:hAnsiTheme="minorHAnsi" w:cstheme="minorHAnsi"/>
          <w:sz w:val="24"/>
          <w:szCs w:val="24"/>
        </w:rPr>
        <w:t xml:space="preserve"> </w:t>
      </w:r>
    </w:p>
  </w:endnote>
  <w:endnote w:id="36">
    <w:p w14:paraId="264AE6D7" w14:textId="77777777" w:rsidR="008437FD" w:rsidRDefault="008437FD">
      <w:pPr>
        <w:pStyle w:val="EndnoteText"/>
      </w:pPr>
    </w:p>
    <w:p w14:paraId="424FF51B" w14:textId="64BF5883" w:rsidR="008437FD" w:rsidRDefault="008437FD">
      <w:pPr>
        <w:pStyle w:val="EndnoteText"/>
        <w:rPr>
          <w:rFonts w:asciiTheme="minorHAnsi" w:hAnsiTheme="minorHAnsi" w:cstheme="minorHAnsi"/>
        </w:rPr>
      </w:pPr>
      <w:r>
        <w:rPr>
          <w:rStyle w:val="EndnoteReference"/>
        </w:rPr>
        <w:endnoteRef/>
      </w:r>
      <w:r>
        <w:t xml:space="preserve"> </w:t>
      </w:r>
      <w:r w:rsidRPr="00DF1F4E">
        <w:rPr>
          <w:rFonts w:asciiTheme="minorHAnsi" w:hAnsiTheme="minorHAnsi" w:cstheme="minorHAnsi"/>
        </w:rPr>
        <w:t xml:space="preserve">Finkelhor, D., Turner, HA., Shattuck, A., Hamby, SL. Prevalence of childhood exposure to violence, crime, and abuse: Results from the national survey of children’s exposure to violence. </w:t>
      </w:r>
      <w:r w:rsidRPr="00DF1F4E">
        <w:rPr>
          <w:rFonts w:asciiTheme="minorHAnsi" w:hAnsiTheme="minorHAnsi" w:cstheme="minorHAnsi"/>
          <w:i/>
        </w:rPr>
        <w:t xml:space="preserve">JAMA pediatrics. </w:t>
      </w:r>
      <w:r w:rsidRPr="00DF1F4E">
        <w:rPr>
          <w:rFonts w:asciiTheme="minorHAnsi" w:hAnsiTheme="minorHAnsi" w:cstheme="minorHAnsi"/>
        </w:rPr>
        <w:t>2015;169(8):746-754.</w:t>
      </w:r>
    </w:p>
    <w:p w14:paraId="34C7D49D" w14:textId="77777777" w:rsidR="008437FD" w:rsidRDefault="008437FD">
      <w:pPr>
        <w:pStyle w:val="EndnoteText"/>
      </w:pPr>
    </w:p>
  </w:endnote>
  <w:endnote w:id="37">
    <w:p w14:paraId="745C595C" w14:textId="057BBA72" w:rsidR="008437FD" w:rsidRDefault="008437FD">
      <w:pPr>
        <w:pStyle w:val="EndnoteText"/>
      </w:pPr>
      <w:r>
        <w:rPr>
          <w:rStyle w:val="EndnoteReference"/>
        </w:rPr>
        <w:endnoteRef/>
      </w:r>
      <w:r>
        <w:t xml:space="preserve"> </w:t>
      </w:r>
      <w:r w:rsidRPr="00AC1300">
        <w:rPr>
          <w:rFonts w:asciiTheme="minorHAnsi" w:hAnsiTheme="minorHAnsi" w:cstheme="minorHAnsi"/>
          <w:sz w:val="22"/>
        </w:rPr>
        <w:t xml:space="preserve">Keeter, S., Hatley, N., Kennedy, C., &amp; Lau, A. (2017). What low response rates mean for telephone surveys. </w:t>
      </w:r>
      <w:r w:rsidRPr="00AC1300">
        <w:rPr>
          <w:rFonts w:asciiTheme="minorHAnsi" w:hAnsiTheme="minorHAnsi" w:cstheme="minorHAnsi"/>
          <w:i/>
          <w:sz w:val="22"/>
        </w:rPr>
        <w:t>Pew Research Center, 15,</w:t>
      </w:r>
      <w:r w:rsidRPr="00AC1300">
        <w:rPr>
          <w:rFonts w:asciiTheme="minorHAnsi" w:hAnsiTheme="minorHAnsi" w:cstheme="minorHAnsi"/>
          <w:sz w:val="22"/>
        </w:rPr>
        <w:t xml:space="preserve"> 1-39.</w:t>
      </w:r>
    </w:p>
  </w:endnote>
  <w:endnote w:id="38">
    <w:p w14:paraId="24894DE7" w14:textId="0715503D" w:rsidR="008437FD" w:rsidRPr="00C24176" w:rsidRDefault="008437FD">
      <w:pPr>
        <w:pStyle w:val="EndnoteText"/>
        <w:rPr>
          <w:rFonts w:asciiTheme="minorHAnsi" w:hAnsiTheme="minorHAnsi" w:cstheme="minorHAnsi"/>
          <w:sz w:val="24"/>
          <w:szCs w:val="24"/>
        </w:rPr>
      </w:pPr>
      <w:r w:rsidRPr="00C24176">
        <w:rPr>
          <w:rStyle w:val="EndnoteReference"/>
          <w:rFonts w:asciiTheme="minorHAnsi" w:hAnsiTheme="minorHAnsi" w:cstheme="minorHAnsi"/>
          <w:sz w:val="24"/>
          <w:szCs w:val="24"/>
        </w:rPr>
        <w:endnoteRef/>
      </w:r>
      <w:r w:rsidRPr="00C24176">
        <w:rPr>
          <w:rFonts w:asciiTheme="minorHAnsi" w:hAnsiTheme="minorHAnsi" w:cstheme="minorHAnsi"/>
          <w:sz w:val="24"/>
          <w:szCs w:val="24"/>
        </w:rPr>
        <w:t xml:space="preserve"> </w:t>
      </w:r>
      <w:r w:rsidRPr="00C24176">
        <w:rPr>
          <w:rFonts w:asciiTheme="minorHAnsi" w:hAnsiTheme="minorHAnsi" w:cstheme="minorHAnsi"/>
          <w:color w:val="222222"/>
          <w:sz w:val="24"/>
          <w:szCs w:val="24"/>
          <w:shd w:val="clear" w:color="auto" w:fill="FFFFFF"/>
        </w:rPr>
        <w:t>Keeter, S., Hatley, N., Kennedy, C., &amp; Lau, A. (2017). What low response rates mean for telephone surveys. </w:t>
      </w:r>
      <w:r w:rsidRPr="00C24176">
        <w:rPr>
          <w:rFonts w:asciiTheme="minorHAnsi" w:hAnsiTheme="minorHAnsi" w:cstheme="minorHAnsi"/>
          <w:i/>
          <w:iCs/>
          <w:color w:val="222222"/>
          <w:sz w:val="24"/>
          <w:szCs w:val="24"/>
          <w:shd w:val="clear" w:color="auto" w:fill="FFFFFF"/>
        </w:rPr>
        <w:t>Pew Research Center</w:t>
      </w:r>
      <w:r w:rsidRPr="00C24176">
        <w:rPr>
          <w:rFonts w:asciiTheme="minorHAnsi" w:hAnsiTheme="minorHAnsi" w:cstheme="minorHAnsi"/>
          <w:color w:val="222222"/>
          <w:sz w:val="24"/>
          <w:szCs w:val="24"/>
          <w:shd w:val="clear" w:color="auto" w:fill="FFFFFF"/>
        </w:rPr>
        <w:t>, </w:t>
      </w:r>
      <w:r w:rsidRPr="00C24176">
        <w:rPr>
          <w:rFonts w:asciiTheme="minorHAnsi" w:hAnsiTheme="minorHAnsi" w:cstheme="minorHAnsi"/>
          <w:i/>
          <w:iCs/>
          <w:color w:val="222222"/>
          <w:sz w:val="24"/>
          <w:szCs w:val="24"/>
          <w:shd w:val="clear" w:color="auto" w:fill="FFFFFF"/>
        </w:rPr>
        <w:t>15</w:t>
      </w:r>
      <w:r w:rsidRPr="00C24176">
        <w:rPr>
          <w:rFonts w:asciiTheme="minorHAnsi" w:hAnsiTheme="minorHAnsi" w:cstheme="minorHAnsi"/>
          <w:color w:val="222222"/>
          <w:sz w:val="24"/>
          <w:szCs w:val="24"/>
          <w:shd w:val="clear" w:color="auto" w:fill="FFFFFF"/>
        </w:rPr>
        <w:t>, 1-39.</w:t>
      </w:r>
    </w:p>
  </w:endnote>
  <w:endnote w:id="39">
    <w:p w14:paraId="62E9280D" w14:textId="77777777" w:rsidR="008437FD" w:rsidRDefault="008437FD" w:rsidP="00025ECB">
      <w:pPr>
        <w:pStyle w:val="EndnoteText"/>
        <w:rPr>
          <w:rFonts w:asciiTheme="minorHAnsi" w:hAnsiTheme="minorHAnsi" w:cstheme="minorHAnsi"/>
          <w:sz w:val="24"/>
          <w:szCs w:val="24"/>
        </w:rPr>
      </w:pPr>
    </w:p>
    <w:p w14:paraId="7704E6FB" w14:textId="77777777" w:rsidR="008437FD" w:rsidRPr="00DF1F4E" w:rsidRDefault="008437FD" w:rsidP="00025ECB">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U.S. Department of Justice, Federal Bureau of Investigation. </w:t>
      </w:r>
      <w:r w:rsidRPr="00DF1F4E">
        <w:rPr>
          <w:rFonts w:asciiTheme="minorHAnsi" w:hAnsiTheme="minorHAnsi" w:cstheme="minorHAnsi"/>
          <w:i/>
          <w:sz w:val="24"/>
          <w:szCs w:val="24"/>
        </w:rPr>
        <w:t>Maryland Offenses known to Law Enforcement, 2017</w:t>
      </w:r>
      <w:r w:rsidRPr="00DF1F4E">
        <w:rPr>
          <w:rFonts w:asciiTheme="minorHAnsi" w:hAnsiTheme="minorHAnsi" w:cstheme="minorHAnsi"/>
          <w:sz w:val="24"/>
          <w:szCs w:val="24"/>
        </w:rPr>
        <w:t xml:space="preserve">. Available from: </w:t>
      </w:r>
      <w:hyperlink r:id="rId12" w:history="1">
        <w:r w:rsidRPr="00DF1F4E">
          <w:rPr>
            <w:rStyle w:val="Hyperlink"/>
            <w:rFonts w:asciiTheme="minorHAnsi" w:hAnsiTheme="minorHAnsi" w:cstheme="minorHAnsi"/>
            <w:sz w:val="24"/>
            <w:szCs w:val="24"/>
          </w:rPr>
          <w:t>https://ucr.fbi.gov/crime-in-the-u.s/2017/crime-in-the-u.s.-2017/tables/table-8/table-8-state-cuts/maryland.xls</w:t>
        </w:r>
      </w:hyperlink>
      <w:r w:rsidRPr="00DF1F4E">
        <w:rPr>
          <w:rFonts w:asciiTheme="minorHAnsi" w:hAnsiTheme="minorHAnsi" w:cstheme="minorHAnsi"/>
          <w:sz w:val="24"/>
          <w:szCs w:val="24"/>
        </w:rPr>
        <w:t>.</w:t>
      </w:r>
    </w:p>
  </w:endnote>
  <w:endnote w:id="40">
    <w:p w14:paraId="25B25B4F" w14:textId="77777777" w:rsidR="008437FD" w:rsidRDefault="008437FD" w:rsidP="00025ECB">
      <w:pPr>
        <w:pStyle w:val="EndnoteText"/>
        <w:rPr>
          <w:rFonts w:asciiTheme="minorHAnsi" w:hAnsiTheme="minorHAnsi" w:cstheme="minorHAnsi"/>
          <w:sz w:val="24"/>
          <w:szCs w:val="24"/>
        </w:rPr>
      </w:pPr>
    </w:p>
    <w:p w14:paraId="121E32CF" w14:textId="77777777" w:rsidR="008437FD" w:rsidRPr="00DF1F4E" w:rsidRDefault="008437FD" w:rsidP="00025ECB">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Baltimore City Health Department. </w:t>
      </w:r>
      <w:r w:rsidRPr="00DF1F4E">
        <w:rPr>
          <w:rFonts w:asciiTheme="minorHAnsi" w:hAnsiTheme="minorHAnsi" w:cstheme="minorHAnsi"/>
          <w:i/>
          <w:sz w:val="24"/>
          <w:szCs w:val="24"/>
        </w:rPr>
        <w:t xml:space="preserve">Office of Youth and Trauma Services. </w:t>
      </w:r>
      <w:r w:rsidRPr="00DF1F4E">
        <w:rPr>
          <w:rFonts w:asciiTheme="minorHAnsi" w:hAnsiTheme="minorHAnsi" w:cstheme="minorHAnsi"/>
          <w:sz w:val="24"/>
          <w:szCs w:val="24"/>
        </w:rPr>
        <w:t xml:space="preserve">Accessible from: </w:t>
      </w:r>
      <w:hyperlink r:id="rId13" w:history="1">
        <w:r w:rsidRPr="00DF1F4E">
          <w:rPr>
            <w:rStyle w:val="Hyperlink"/>
            <w:rFonts w:asciiTheme="minorHAnsi" w:hAnsiTheme="minorHAnsi" w:cstheme="minorHAnsi"/>
            <w:sz w:val="24"/>
            <w:szCs w:val="24"/>
          </w:rPr>
          <w:t>https://health.baltimorecity.gov/programs/violence-prevention</w:t>
        </w:r>
      </w:hyperlink>
      <w:r w:rsidRPr="00DF1F4E">
        <w:rPr>
          <w:rFonts w:asciiTheme="minorHAnsi" w:hAnsiTheme="minorHAnsi" w:cstheme="minorHAnsi"/>
          <w:sz w:val="24"/>
          <w:szCs w:val="24"/>
        </w:rPr>
        <w:t>.</w:t>
      </w:r>
    </w:p>
  </w:endnote>
  <w:endnote w:id="41">
    <w:p w14:paraId="05D1436B" w14:textId="77777777" w:rsidR="008437FD" w:rsidRDefault="008437FD" w:rsidP="00EF0906">
      <w:pPr>
        <w:pStyle w:val="EndnoteText"/>
        <w:rPr>
          <w:rFonts w:asciiTheme="minorHAnsi" w:hAnsiTheme="minorHAnsi" w:cstheme="minorHAnsi"/>
          <w:sz w:val="24"/>
          <w:szCs w:val="24"/>
        </w:rPr>
      </w:pPr>
    </w:p>
    <w:p w14:paraId="2188ED17" w14:textId="77777777" w:rsidR="008437FD" w:rsidRPr="00DF1F4E" w:rsidRDefault="008437FD" w:rsidP="00EF0906">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w:t>
      </w:r>
      <w:r w:rsidRPr="00DF1F4E">
        <w:rPr>
          <w:rFonts w:asciiTheme="minorHAnsi" w:hAnsiTheme="minorHAnsi" w:cstheme="minorHAnsi"/>
          <w:color w:val="333333"/>
          <w:sz w:val="24"/>
          <w:szCs w:val="24"/>
        </w:rPr>
        <w:t xml:space="preserve">Johnson TP, Wislar JS. Response Rates and Nonresponse Errors in Surveys. </w:t>
      </w:r>
      <w:r w:rsidRPr="00DF1F4E">
        <w:rPr>
          <w:rFonts w:asciiTheme="minorHAnsi" w:hAnsiTheme="minorHAnsi" w:cstheme="minorHAnsi"/>
          <w:i/>
          <w:iCs/>
          <w:color w:val="333333"/>
          <w:sz w:val="24"/>
          <w:szCs w:val="24"/>
        </w:rPr>
        <w:t>JAMA.</w:t>
      </w:r>
      <w:r w:rsidRPr="00DF1F4E">
        <w:rPr>
          <w:rFonts w:asciiTheme="minorHAnsi" w:hAnsiTheme="minorHAnsi" w:cstheme="minorHAnsi"/>
          <w:color w:val="333333"/>
          <w:sz w:val="24"/>
          <w:szCs w:val="24"/>
        </w:rPr>
        <w:t xml:space="preserve"> 2012;307(17):1805–1806. doi:10.1001/jama.2012.3532</w:t>
      </w:r>
    </w:p>
  </w:endnote>
  <w:endnote w:id="42">
    <w:p w14:paraId="48140D5A" w14:textId="77777777" w:rsidR="008437FD" w:rsidRDefault="008437FD" w:rsidP="00EF0906">
      <w:pPr>
        <w:pStyle w:val="EndnoteText"/>
        <w:rPr>
          <w:rFonts w:asciiTheme="minorHAnsi" w:hAnsiTheme="minorHAnsi" w:cstheme="minorHAnsi"/>
          <w:sz w:val="24"/>
          <w:szCs w:val="24"/>
        </w:rPr>
      </w:pPr>
    </w:p>
    <w:p w14:paraId="1CFC5FF4" w14:textId="77777777" w:rsidR="008437FD" w:rsidRPr="00DF1F4E" w:rsidRDefault="008437FD" w:rsidP="00EF0906">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w:t>
      </w:r>
      <w:r w:rsidRPr="00DF1F4E">
        <w:rPr>
          <w:rFonts w:asciiTheme="minorHAnsi" w:hAnsiTheme="minorHAnsi" w:cstheme="minorHAnsi"/>
          <w:color w:val="333333"/>
          <w:sz w:val="24"/>
          <w:szCs w:val="24"/>
        </w:rPr>
        <w:t xml:space="preserve">Johnson TP, Wislar JS. Response Rates and Nonresponse Errors in Surveys. </w:t>
      </w:r>
      <w:r w:rsidRPr="00DF1F4E">
        <w:rPr>
          <w:rFonts w:asciiTheme="minorHAnsi" w:hAnsiTheme="minorHAnsi" w:cstheme="minorHAnsi"/>
          <w:i/>
          <w:iCs/>
          <w:color w:val="333333"/>
          <w:sz w:val="24"/>
          <w:szCs w:val="24"/>
        </w:rPr>
        <w:t>JAMA.</w:t>
      </w:r>
      <w:r w:rsidRPr="00DF1F4E">
        <w:rPr>
          <w:rFonts w:asciiTheme="minorHAnsi" w:hAnsiTheme="minorHAnsi" w:cstheme="minorHAnsi"/>
          <w:color w:val="333333"/>
          <w:sz w:val="24"/>
          <w:szCs w:val="24"/>
        </w:rPr>
        <w:t xml:space="preserve"> 2012;307(17):1805–1806. doi:10.1001/jama.2012.3532.</w:t>
      </w:r>
    </w:p>
  </w:endnote>
  <w:endnote w:id="43">
    <w:p w14:paraId="4451195A" w14:textId="77777777" w:rsidR="008437FD" w:rsidRDefault="008437FD" w:rsidP="00EF0906">
      <w:pPr>
        <w:pStyle w:val="EndnoteText"/>
        <w:rPr>
          <w:rFonts w:asciiTheme="minorHAnsi" w:hAnsiTheme="minorHAnsi" w:cstheme="minorHAnsi"/>
          <w:sz w:val="24"/>
          <w:szCs w:val="24"/>
        </w:rPr>
      </w:pPr>
    </w:p>
    <w:p w14:paraId="18F9C9E4" w14:textId="77777777" w:rsidR="008437FD" w:rsidRPr="00DF1F4E" w:rsidRDefault="008437FD" w:rsidP="00EF0906">
      <w:pPr>
        <w:pStyle w:val="EndnoteText"/>
        <w:rPr>
          <w:rFonts w:asciiTheme="minorHAnsi" w:hAnsiTheme="minorHAnsi" w:cstheme="minorHAnsi"/>
          <w:sz w:val="24"/>
          <w:szCs w:val="24"/>
        </w:rPr>
      </w:pPr>
      <w:r w:rsidRPr="00DF1F4E">
        <w:rPr>
          <w:rStyle w:val="EndnoteReference"/>
          <w:rFonts w:asciiTheme="minorHAnsi" w:hAnsiTheme="minorHAnsi" w:cstheme="minorHAnsi"/>
          <w:sz w:val="24"/>
          <w:szCs w:val="24"/>
        </w:rPr>
        <w:endnoteRef/>
      </w:r>
      <w:r w:rsidRPr="00DF1F4E">
        <w:rPr>
          <w:rFonts w:asciiTheme="minorHAnsi" w:hAnsiTheme="minorHAnsi" w:cstheme="minorHAnsi"/>
          <w:sz w:val="24"/>
          <w:szCs w:val="24"/>
        </w:rPr>
        <w:t xml:space="preserve"> </w:t>
      </w:r>
      <w:r w:rsidRPr="00DF1F4E">
        <w:rPr>
          <w:rFonts w:asciiTheme="minorHAnsi" w:hAnsiTheme="minorHAnsi" w:cstheme="minorHAnsi"/>
          <w:color w:val="333333"/>
          <w:sz w:val="24"/>
          <w:szCs w:val="24"/>
        </w:rPr>
        <w:t xml:space="preserve">Johnson TP, Wislar JS. Response Rates and Nonresponse Errors in Surveys. </w:t>
      </w:r>
      <w:r w:rsidRPr="00DF1F4E">
        <w:rPr>
          <w:rFonts w:asciiTheme="minorHAnsi" w:hAnsiTheme="minorHAnsi" w:cstheme="minorHAnsi"/>
          <w:i/>
          <w:iCs/>
          <w:color w:val="333333"/>
          <w:sz w:val="24"/>
          <w:szCs w:val="24"/>
        </w:rPr>
        <w:t>JAMA.</w:t>
      </w:r>
      <w:r w:rsidRPr="00DF1F4E">
        <w:rPr>
          <w:rFonts w:asciiTheme="minorHAnsi" w:hAnsiTheme="minorHAnsi" w:cstheme="minorHAnsi"/>
          <w:color w:val="333333"/>
          <w:sz w:val="24"/>
          <w:szCs w:val="24"/>
        </w:rPr>
        <w:t xml:space="preserve"> 2012;307(17):1805–1806. doi:10.1001/jama.2012.3532</w:t>
      </w:r>
    </w:p>
  </w:endnote>
  <w:endnote w:id="44">
    <w:p w14:paraId="5B041B49" w14:textId="77777777" w:rsidR="008437FD" w:rsidRPr="00CE11B3" w:rsidRDefault="008437FD" w:rsidP="00AE061E">
      <w:pPr>
        <w:pStyle w:val="EndnoteText"/>
        <w:ind w:left="450" w:hanging="360"/>
        <w:rPr>
          <w:rFonts w:asciiTheme="minorHAnsi" w:hAnsiTheme="minorHAnsi" w:cstheme="minorHAnsi"/>
          <w:sz w:val="24"/>
          <w:szCs w:val="24"/>
        </w:rPr>
      </w:pPr>
      <w:r w:rsidRPr="00CE11B3">
        <w:rPr>
          <w:rStyle w:val="EndnoteReference"/>
          <w:rFonts w:asciiTheme="minorHAnsi" w:hAnsiTheme="minorHAnsi" w:cstheme="minorHAnsi"/>
          <w:sz w:val="24"/>
          <w:szCs w:val="24"/>
        </w:rPr>
        <w:endnoteRef/>
      </w:r>
      <w:r w:rsidRPr="00CE11B3">
        <w:rPr>
          <w:rFonts w:asciiTheme="minorHAnsi" w:hAnsiTheme="minorHAnsi" w:cstheme="minorHAnsi"/>
          <w:sz w:val="24"/>
          <w:szCs w:val="24"/>
        </w:rPr>
        <w:t xml:space="preserve"> Kafka, T., Economos, C., Folta, S., and Sacheck, J. (2011). Children as Subjects in Nutrition Research: A Retrospective Look at Their Perceptions. Journal of Nurtirion Education and Behavior.  43(2):103-109. https://doi.org/10.1016/j.jneb.2010.03.002</w:t>
      </w:r>
    </w:p>
  </w:endnote>
  <w:endnote w:id="45">
    <w:p w14:paraId="1FCDF33E" w14:textId="77777777" w:rsidR="008437FD" w:rsidRPr="00CE11B3" w:rsidRDefault="008437FD" w:rsidP="00AE061E">
      <w:pPr>
        <w:pStyle w:val="EndnoteText"/>
        <w:ind w:left="450" w:hanging="360"/>
        <w:rPr>
          <w:rFonts w:asciiTheme="minorHAnsi" w:hAnsiTheme="minorHAnsi" w:cstheme="minorHAnsi"/>
          <w:sz w:val="24"/>
          <w:szCs w:val="24"/>
        </w:rPr>
      </w:pPr>
      <w:r w:rsidRPr="00CE11B3">
        <w:rPr>
          <w:rStyle w:val="EndnoteReference"/>
          <w:rFonts w:asciiTheme="minorHAnsi" w:hAnsiTheme="minorHAnsi" w:cstheme="minorHAnsi"/>
          <w:sz w:val="24"/>
          <w:szCs w:val="24"/>
        </w:rPr>
        <w:endnoteRef/>
      </w:r>
      <w:r w:rsidRPr="00CE11B3">
        <w:rPr>
          <w:rFonts w:asciiTheme="minorHAnsi" w:hAnsiTheme="minorHAnsi" w:cstheme="minorHAnsi"/>
          <w:sz w:val="24"/>
          <w:szCs w:val="24"/>
        </w:rPr>
        <w:t xml:space="preserve"> Smith, K.A., Macias, K., Bui, K., and Betz, C. L. (2015). Brief Report: Adolescents' Reasons for Participating in a Health Care Transition Intervention Study. Journal of Pediatric Nursing. 30(5):165-171. https://doi.org/10.1016/j.pedn.2015.05.007</w:t>
      </w:r>
    </w:p>
  </w:endnote>
  <w:endnote w:id="46">
    <w:p w14:paraId="56D33835" w14:textId="77777777" w:rsidR="008437FD" w:rsidRPr="00CE11B3" w:rsidRDefault="008437FD" w:rsidP="00C308E9">
      <w:pPr>
        <w:pStyle w:val="EndnoteText"/>
        <w:ind w:left="450" w:hanging="360"/>
        <w:rPr>
          <w:rFonts w:asciiTheme="minorHAnsi" w:hAnsiTheme="minorHAnsi" w:cstheme="minorHAnsi"/>
          <w:sz w:val="24"/>
          <w:szCs w:val="24"/>
        </w:rPr>
      </w:pPr>
      <w:r w:rsidRPr="00CE11B3">
        <w:rPr>
          <w:rStyle w:val="EndnoteReference"/>
          <w:rFonts w:asciiTheme="minorHAnsi" w:hAnsiTheme="minorHAnsi" w:cstheme="minorHAnsi"/>
          <w:sz w:val="24"/>
          <w:szCs w:val="24"/>
        </w:rPr>
        <w:endnoteRef/>
      </w:r>
      <w:r w:rsidRPr="00CE11B3">
        <w:rPr>
          <w:rFonts w:asciiTheme="minorHAnsi" w:hAnsiTheme="minorHAnsi" w:cstheme="minorHAnsi"/>
          <w:sz w:val="24"/>
          <w:szCs w:val="24"/>
        </w:rPr>
        <w:t xml:space="preserve"> Krebs, C.P., Lindquist, C.H., Richards, A., Shook-Sa, B.E., Marcus, Berzofsky, Peterson, K., Planty, M., Langton, L., &amp; Stroop, J. (2016). The Impact of Survey Incentive Amounts on Response Rates and Estimates of Sexual Assault Victimization.</w:t>
      </w:r>
    </w:p>
  </w:endnote>
  <w:endnote w:id="47">
    <w:p w14:paraId="3AF96465" w14:textId="77777777" w:rsidR="008437FD" w:rsidRPr="00CE11B3" w:rsidRDefault="008437FD" w:rsidP="00AE061E">
      <w:pPr>
        <w:pStyle w:val="EndnoteText"/>
        <w:ind w:left="450" w:hanging="360"/>
        <w:rPr>
          <w:rFonts w:asciiTheme="minorHAnsi" w:hAnsiTheme="minorHAnsi" w:cstheme="minorHAnsi"/>
          <w:sz w:val="24"/>
          <w:szCs w:val="24"/>
        </w:rPr>
      </w:pPr>
      <w:r w:rsidRPr="00CE11B3">
        <w:rPr>
          <w:rStyle w:val="EndnoteReference"/>
          <w:rFonts w:asciiTheme="minorHAnsi" w:hAnsiTheme="minorHAnsi" w:cstheme="minorHAnsi"/>
          <w:sz w:val="24"/>
          <w:szCs w:val="24"/>
        </w:rPr>
        <w:endnoteRef/>
      </w:r>
      <w:r w:rsidRPr="00CE11B3">
        <w:rPr>
          <w:rFonts w:asciiTheme="minorHAnsi" w:hAnsiTheme="minorHAnsi" w:cstheme="minorHAnsi"/>
          <w:sz w:val="24"/>
          <w:szCs w:val="24"/>
        </w:rPr>
        <w:t xml:space="preserve"> Krebs, C.P., Lindquist, C.H., Richards, A., Shook-Sa, B.E., Marcus, Berzofsky, Peterson, K., Planty, M., Langton, L., &amp; Stroop, J. (2016). The Impact of Survey Incentive Amounts on Response Rates and Estimates of Sexual Assault Victimization.</w:t>
      </w:r>
    </w:p>
  </w:endnote>
  <w:endnote w:id="48">
    <w:p w14:paraId="688C9352" w14:textId="77777777" w:rsidR="008437FD" w:rsidRDefault="008437FD" w:rsidP="00AE061E">
      <w:pPr>
        <w:pStyle w:val="footnotedescription"/>
        <w:spacing w:line="255" w:lineRule="auto"/>
        <w:ind w:right="421"/>
        <w:rPr>
          <w:rFonts w:asciiTheme="minorHAnsi" w:hAnsiTheme="minorHAnsi" w:cstheme="minorHAnsi"/>
          <w:sz w:val="24"/>
          <w:szCs w:val="24"/>
        </w:rPr>
      </w:pPr>
    </w:p>
    <w:p w14:paraId="73FC9AF6" w14:textId="77777777" w:rsidR="008437FD" w:rsidRPr="00DF1F4E" w:rsidRDefault="008437FD" w:rsidP="00AE061E">
      <w:pPr>
        <w:pStyle w:val="footnotedescription"/>
        <w:spacing w:line="255" w:lineRule="auto"/>
        <w:ind w:right="421"/>
        <w:rPr>
          <w:rFonts w:asciiTheme="minorHAnsi" w:hAnsiTheme="minorHAnsi" w:cstheme="minorHAnsi"/>
          <w:sz w:val="24"/>
          <w:szCs w:val="24"/>
        </w:rPr>
      </w:pPr>
      <w:r w:rsidRPr="00DF1F4E">
        <w:rPr>
          <w:rStyle w:val="footnotemark"/>
          <w:rFonts w:asciiTheme="minorHAnsi" w:hAnsiTheme="minorHAnsi" w:cstheme="minorHAnsi"/>
          <w:sz w:val="24"/>
          <w:szCs w:val="24"/>
        </w:rPr>
        <w:endnoteRef/>
      </w:r>
      <w:r w:rsidRPr="00DF1F4E">
        <w:rPr>
          <w:rFonts w:asciiTheme="minorHAnsi" w:hAnsiTheme="minorHAnsi" w:cstheme="minorHAnsi"/>
          <w:sz w:val="24"/>
          <w:szCs w:val="24"/>
        </w:rPr>
        <w:t xml:space="preserve"> Stern, MJ, Bilgen I, Wolter KM. 2014. Do Sequence and Mode of Contact Impact Response Rates for Web Only Surveys? Presented at the 69th Annual Conference of the American Association for Public Opinion Research </w:t>
      </w:r>
      <w:hyperlink r:id="rId14">
        <w:r w:rsidRPr="00DF1F4E">
          <w:rPr>
            <w:rFonts w:asciiTheme="minorHAnsi" w:hAnsiTheme="minorHAnsi" w:cstheme="minorHAnsi"/>
            <w:sz w:val="24"/>
            <w:szCs w:val="24"/>
          </w:rPr>
          <w:t>(AAPOR)</w:t>
        </w:r>
      </w:hyperlink>
      <w:r w:rsidRPr="00DF1F4E">
        <w:rPr>
          <w:rFonts w:asciiTheme="minorHAnsi" w:hAnsiTheme="minorHAnsi" w:cstheme="minorHAnsi"/>
          <w:sz w:val="24"/>
          <w:szCs w:val="24"/>
        </w:rPr>
        <w:t xml:space="preserve"> in Anaheim, CA. </w:t>
      </w:r>
    </w:p>
  </w:endnote>
  <w:endnote w:id="49">
    <w:p w14:paraId="3CD1B7F8" w14:textId="77777777" w:rsidR="008437FD" w:rsidRDefault="008437FD" w:rsidP="00AE061E">
      <w:pPr>
        <w:pStyle w:val="footnotedescription"/>
        <w:spacing w:line="273" w:lineRule="auto"/>
        <w:rPr>
          <w:rFonts w:asciiTheme="minorHAnsi" w:hAnsiTheme="minorHAnsi" w:cstheme="minorHAnsi"/>
          <w:sz w:val="24"/>
          <w:szCs w:val="24"/>
        </w:rPr>
      </w:pPr>
    </w:p>
    <w:p w14:paraId="548B6E73" w14:textId="77777777" w:rsidR="008437FD" w:rsidRPr="00DF1F4E" w:rsidRDefault="008437FD" w:rsidP="00AE061E">
      <w:pPr>
        <w:pStyle w:val="footnotedescription"/>
        <w:spacing w:line="273" w:lineRule="auto"/>
        <w:rPr>
          <w:rFonts w:asciiTheme="minorHAnsi" w:hAnsiTheme="minorHAnsi" w:cstheme="minorHAnsi"/>
          <w:sz w:val="24"/>
          <w:szCs w:val="24"/>
        </w:rPr>
      </w:pPr>
      <w:r w:rsidRPr="00DF1F4E">
        <w:rPr>
          <w:rStyle w:val="footnotemark"/>
          <w:rFonts w:asciiTheme="minorHAnsi" w:hAnsiTheme="minorHAnsi" w:cstheme="minorHAnsi"/>
          <w:sz w:val="24"/>
          <w:szCs w:val="24"/>
        </w:rPr>
        <w:endnoteRef/>
      </w:r>
      <w:r w:rsidRPr="00DF1F4E">
        <w:rPr>
          <w:rFonts w:asciiTheme="minorHAnsi" w:hAnsiTheme="minorHAnsi" w:cstheme="minorHAnsi"/>
          <w:sz w:val="24"/>
          <w:szCs w:val="24"/>
        </w:rPr>
        <w:t xml:space="preserve"> Lewis D, Creighton K. 2005. The Use of Monetary Incentives in the Survey of Income and Program Participation. The American Association for Public Opinion Research (AAPOR) 60th Annual Conference. </w:t>
      </w:r>
    </w:p>
  </w:endnote>
  <w:endnote w:id="50">
    <w:p w14:paraId="041904F4" w14:textId="77777777" w:rsidR="008437FD" w:rsidRDefault="008437FD" w:rsidP="00AE061E">
      <w:pPr>
        <w:pStyle w:val="N0-FlLftBullet"/>
        <w:rPr>
          <w:rFonts w:asciiTheme="minorHAnsi" w:hAnsiTheme="minorHAnsi" w:cstheme="minorHAnsi"/>
          <w:szCs w:val="24"/>
        </w:rPr>
      </w:pPr>
    </w:p>
    <w:p w14:paraId="4EDFA994" w14:textId="77777777" w:rsidR="008437FD" w:rsidRPr="00DF1F4E" w:rsidRDefault="008437FD" w:rsidP="00AE061E">
      <w:pPr>
        <w:pStyle w:val="N0-FlLftBullet"/>
        <w:rPr>
          <w:rFonts w:asciiTheme="minorHAnsi" w:hAnsiTheme="minorHAnsi" w:cstheme="minorHAnsi"/>
          <w:szCs w:val="24"/>
        </w:rPr>
      </w:pPr>
      <w:r w:rsidRPr="00DF1F4E">
        <w:rPr>
          <w:rStyle w:val="EndnoteReference"/>
          <w:rFonts w:asciiTheme="minorHAnsi" w:hAnsiTheme="minorHAnsi" w:cstheme="minorHAnsi"/>
          <w:szCs w:val="24"/>
        </w:rPr>
        <w:endnoteRef/>
      </w:r>
      <w:r w:rsidRPr="00DF1F4E">
        <w:rPr>
          <w:rFonts w:asciiTheme="minorHAnsi" w:hAnsiTheme="minorHAnsi" w:cstheme="minorHAnsi"/>
          <w:szCs w:val="24"/>
        </w:rPr>
        <w:t xml:space="preserve"> Mercer A, Caporaso A, Cantor D, and Townsend R. (2015). How much gets you how much? Monetary incentives and response rates in household surveys. </w:t>
      </w:r>
      <w:r w:rsidRPr="00DF1F4E">
        <w:rPr>
          <w:rFonts w:asciiTheme="minorHAnsi" w:hAnsiTheme="minorHAnsi" w:cstheme="minorHAnsi"/>
          <w:i/>
          <w:szCs w:val="24"/>
        </w:rPr>
        <w:t xml:space="preserve">Public Opinion Quarterly, </w:t>
      </w:r>
      <w:r w:rsidRPr="00DF1F4E">
        <w:rPr>
          <w:rFonts w:asciiTheme="minorHAnsi" w:hAnsiTheme="minorHAnsi" w:cstheme="minorHAnsi"/>
          <w:szCs w:val="24"/>
        </w:rPr>
        <w:t>79(1), 105–129.</w:t>
      </w:r>
    </w:p>
  </w:endnote>
  <w:endnote w:id="51">
    <w:p w14:paraId="1FC2615C" w14:textId="3402BDF8" w:rsidR="008437FD" w:rsidRDefault="008437FD">
      <w:pPr>
        <w:pStyle w:val="EndnoteText"/>
      </w:pPr>
      <w:r>
        <w:rPr>
          <w:rStyle w:val="EndnoteReference"/>
        </w:rPr>
        <w:endnoteRef/>
      </w:r>
      <w:r>
        <w:t xml:space="preserve"> </w:t>
      </w:r>
      <w:r w:rsidRPr="0095108B">
        <w:rPr>
          <w:rFonts w:asciiTheme="minorHAnsi" w:hAnsiTheme="minorHAnsi" w:cstheme="minorHAnsi"/>
          <w:sz w:val="22"/>
        </w:rPr>
        <w:t xml:space="preserve">Griffin, M.G., et al., </w:t>
      </w:r>
      <w:r w:rsidRPr="0095108B">
        <w:rPr>
          <w:rFonts w:asciiTheme="minorHAnsi" w:hAnsiTheme="minorHAnsi" w:cstheme="minorHAnsi"/>
          <w:i/>
          <w:sz w:val="22"/>
        </w:rPr>
        <w:t>Participation in trauma research: is there evidence of harm?</w:t>
      </w:r>
      <w:r w:rsidRPr="0095108B">
        <w:rPr>
          <w:rFonts w:asciiTheme="minorHAnsi" w:hAnsiTheme="minorHAnsi" w:cstheme="minorHAnsi"/>
          <w:sz w:val="22"/>
        </w:rPr>
        <w:t xml:space="preserve"> J Trauma Stress, 2003. 16(3): p. 221-7.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D636" w14:textId="77777777" w:rsidR="008437FD" w:rsidRDefault="00843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BDA8" w14:textId="77777777" w:rsidR="008437FD" w:rsidRDefault="00843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5542" w14:textId="77777777" w:rsidR="008437FD" w:rsidRDefault="0084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4B85E" w14:textId="77777777" w:rsidR="008437FD" w:rsidRDefault="008437FD" w:rsidP="009667E4">
      <w:r>
        <w:separator/>
      </w:r>
    </w:p>
  </w:footnote>
  <w:footnote w:type="continuationSeparator" w:id="0">
    <w:p w14:paraId="07CE341C" w14:textId="77777777" w:rsidR="008437FD" w:rsidRDefault="008437FD" w:rsidP="009667E4">
      <w:r>
        <w:continuationSeparator/>
      </w:r>
    </w:p>
  </w:footnote>
  <w:footnote w:id="1">
    <w:p w14:paraId="15E7EE3D" w14:textId="77777777" w:rsidR="008437FD" w:rsidRPr="00DF1F4E" w:rsidRDefault="008437FD" w:rsidP="001A5377">
      <w:pPr>
        <w:pStyle w:val="FootnoteText"/>
        <w:rPr>
          <w:rFonts w:asciiTheme="minorHAnsi" w:hAnsiTheme="minorHAnsi" w:cstheme="minorHAnsi"/>
        </w:rPr>
      </w:pPr>
      <w:r w:rsidRPr="00DF1F4E">
        <w:rPr>
          <w:rStyle w:val="FootnoteReference"/>
          <w:rFonts w:asciiTheme="minorHAnsi" w:hAnsiTheme="minorHAnsi" w:cstheme="minorHAnsi"/>
        </w:rPr>
        <w:footnoteRef/>
      </w:r>
      <w:r w:rsidRPr="00DF1F4E">
        <w:rPr>
          <w:rFonts w:asciiTheme="minorHAnsi" w:hAnsiTheme="minorHAnsi" w:cstheme="minorHAnsi"/>
        </w:rPr>
        <w:t xml:space="preserve"> World Health Organization, </w:t>
      </w:r>
      <w:r w:rsidRPr="00DF1F4E">
        <w:rPr>
          <w:rFonts w:asciiTheme="minorHAnsi" w:hAnsiTheme="minorHAnsi" w:cstheme="minorHAnsi"/>
          <w:i/>
        </w:rPr>
        <w:t>Putting Women First: Ethical and Safety Recommendations for Research on Domestic Violence Against Women</w:t>
      </w:r>
      <w:r w:rsidRPr="00DF1F4E">
        <w:rPr>
          <w:rFonts w:asciiTheme="minorHAnsi" w:hAnsiTheme="minorHAnsi" w:cstheme="minorHAnsi"/>
        </w:rPr>
        <w:t>, 2001, Department of Gender and Women's Health, World Health Organization: Geneva, Switzerland.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F233" w14:textId="77777777" w:rsidR="008437FD" w:rsidRDefault="0084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505631"/>
      <w:docPartObj>
        <w:docPartGallery w:val="Page Numbers (Top of Page)"/>
        <w:docPartUnique/>
      </w:docPartObj>
    </w:sdtPr>
    <w:sdtEndPr>
      <w:rPr>
        <w:noProof/>
      </w:rPr>
    </w:sdtEndPr>
    <w:sdtContent>
      <w:p w14:paraId="5C14F646" w14:textId="4DDFF461" w:rsidR="008437FD" w:rsidRDefault="008437F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B38C77A" w14:textId="77777777" w:rsidR="008437FD" w:rsidRDefault="00843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C565" w14:textId="77777777" w:rsidR="008437FD" w:rsidRDefault="00843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363E"/>
    <w:multiLevelType w:val="hybridMultilevel"/>
    <w:tmpl w:val="57665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1E2A"/>
    <w:multiLevelType w:val="hybridMultilevel"/>
    <w:tmpl w:val="C414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05E92"/>
    <w:multiLevelType w:val="hybridMultilevel"/>
    <w:tmpl w:val="938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E6B17"/>
    <w:multiLevelType w:val="hybridMultilevel"/>
    <w:tmpl w:val="FFE2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93EEAA16"/>
    <w:lvl w:ilvl="0" w:tplc="055E38F0">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140E0"/>
    <w:multiLevelType w:val="hybridMultilevel"/>
    <w:tmpl w:val="C414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83D69"/>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2C746D"/>
    <w:multiLevelType w:val="hybridMultilevel"/>
    <w:tmpl w:val="C3620DE4"/>
    <w:lvl w:ilvl="0" w:tplc="4B2C26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91DF8"/>
    <w:multiLevelType w:val="hybridMultilevel"/>
    <w:tmpl w:val="2674BC60"/>
    <w:lvl w:ilvl="0" w:tplc="4CCC7CB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6325FE"/>
    <w:multiLevelType w:val="hybridMultilevel"/>
    <w:tmpl w:val="C578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571FEE"/>
    <w:multiLevelType w:val="hybridMultilevel"/>
    <w:tmpl w:val="5858A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4" w15:restartNumberingAfterBreak="0">
    <w:nsid w:val="20121A5A"/>
    <w:multiLevelType w:val="hybridMultilevel"/>
    <w:tmpl w:val="59E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165B1"/>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7F65046"/>
    <w:multiLevelType w:val="hybridMultilevel"/>
    <w:tmpl w:val="B280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CD52205"/>
    <w:multiLevelType w:val="hybridMultilevel"/>
    <w:tmpl w:val="BE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7515B6"/>
    <w:multiLevelType w:val="hybridMultilevel"/>
    <w:tmpl w:val="49CA4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54F1A"/>
    <w:multiLevelType w:val="hybridMultilevel"/>
    <w:tmpl w:val="FAE0E9D6"/>
    <w:lvl w:ilvl="0" w:tplc="FC9E059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852B9"/>
    <w:multiLevelType w:val="hybridMultilevel"/>
    <w:tmpl w:val="8550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57234"/>
    <w:multiLevelType w:val="hybridMultilevel"/>
    <w:tmpl w:val="C414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33522"/>
    <w:multiLevelType w:val="hybridMultilevel"/>
    <w:tmpl w:val="7C4C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215DA"/>
    <w:multiLevelType w:val="hybridMultilevel"/>
    <w:tmpl w:val="A0AA1FF2"/>
    <w:lvl w:ilvl="0" w:tplc="B2109B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5EA4B95"/>
    <w:multiLevelType w:val="hybridMultilevel"/>
    <w:tmpl w:val="98546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A5A63"/>
    <w:multiLevelType w:val="hybridMultilevel"/>
    <w:tmpl w:val="55540E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D7E3B"/>
    <w:multiLevelType w:val="hybridMultilevel"/>
    <w:tmpl w:val="0368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4111E"/>
    <w:multiLevelType w:val="hybridMultilevel"/>
    <w:tmpl w:val="E49C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42601"/>
    <w:multiLevelType w:val="multilevel"/>
    <w:tmpl w:val="2BE69E74"/>
    <w:lvl w:ilvl="0">
      <w:start w:val="1"/>
      <w:numFmt w:val="decimal"/>
      <w:pStyle w:val="NL-1stNumberedBullet"/>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98C719A"/>
    <w:multiLevelType w:val="hybridMultilevel"/>
    <w:tmpl w:val="32429220"/>
    <w:lvl w:ilvl="0" w:tplc="A790F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993FC2"/>
    <w:multiLevelType w:val="hybridMultilevel"/>
    <w:tmpl w:val="9386113A"/>
    <w:lvl w:ilvl="0" w:tplc="48847890">
      <w:start w:val="1"/>
      <w:numFmt w:val="bullet"/>
      <w:lvlText w:val=""/>
      <w:lvlJc w:val="left"/>
      <w:pPr>
        <w:tabs>
          <w:tab w:val="num" w:pos="720"/>
        </w:tabs>
        <w:ind w:left="720" w:hanging="360"/>
      </w:pPr>
      <w:rPr>
        <w:rFonts w:ascii="Wingdings" w:hAnsi="Wingdings" w:hint="default"/>
      </w:rPr>
    </w:lvl>
    <w:lvl w:ilvl="1" w:tplc="A2B693F6" w:tentative="1">
      <w:start w:val="1"/>
      <w:numFmt w:val="bullet"/>
      <w:lvlText w:val=""/>
      <w:lvlJc w:val="left"/>
      <w:pPr>
        <w:tabs>
          <w:tab w:val="num" w:pos="1440"/>
        </w:tabs>
        <w:ind w:left="1440" w:hanging="360"/>
      </w:pPr>
      <w:rPr>
        <w:rFonts w:ascii="Wingdings" w:hAnsi="Wingdings" w:hint="default"/>
      </w:rPr>
    </w:lvl>
    <w:lvl w:ilvl="2" w:tplc="DCD8F266" w:tentative="1">
      <w:start w:val="1"/>
      <w:numFmt w:val="bullet"/>
      <w:lvlText w:val=""/>
      <w:lvlJc w:val="left"/>
      <w:pPr>
        <w:tabs>
          <w:tab w:val="num" w:pos="2160"/>
        </w:tabs>
        <w:ind w:left="2160" w:hanging="360"/>
      </w:pPr>
      <w:rPr>
        <w:rFonts w:ascii="Wingdings" w:hAnsi="Wingdings" w:hint="default"/>
      </w:rPr>
    </w:lvl>
    <w:lvl w:ilvl="3" w:tplc="BB2C27CE" w:tentative="1">
      <w:start w:val="1"/>
      <w:numFmt w:val="bullet"/>
      <w:lvlText w:val=""/>
      <w:lvlJc w:val="left"/>
      <w:pPr>
        <w:tabs>
          <w:tab w:val="num" w:pos="2880"/>
        </w:tabs>
        <w:ind w:left="2880" w:hanging="360"/>
      </w:pPr>
      <w:rPr>
        <w:rFonts w:ascii="Wingdings" w:hAnsi="Wingdings" w:hint="default"/>
      </w:rPr>
    </w:lvl>
    <w:lvl w:ilvl="4" w:tplc="5052E7F8" w:tentative="1">
      <w:start w:val="1"/>
      <w:numFmt w:val="bullet"/>
      <w:lvlText w:val=""/>
      <w:lvlJc w:val="left"/>
      <w:pPr>
        <w:tabs>
          <w:tab w:val="num" w:pos="3600"/>
        </w:tabs>
        <w:ind w:left="3600" w:hanging="360"/>
      </w:pPr>
      <w:rPr>
        <w:rFonts w:ascii="Wingdings" w:hAnsi="Wingdings" w:hint="default"/>
      </w:rPr>
    </w:lvl>
    <w:lvl w:ilvl="5" w:tplc="D8ACD900" w:tentative="1">
      <w:start w:val="1"/>
      <w:numFmt w:val="bullet"/>
      <w:lvlText w:val=""/>
      <w:lvlJc w:val="left"/>
      <w:pPr>
        <w:tabs>
          <w:tab w:val="num" w:pos="4320"/>
        </w:tabs>
        <w:ind w:left="4320" w:hanging="360"/>
      </w:pPr>
      <w:rPr>
        <w:rFonts w:ascii="Wingdings" w:hAnsi="Wingdings" w:hint="default"/>
      </w:rPr>
    </w:lvl>
    <w:lvl w:ilvl="6" w:tplc="8BF6DEEA" w:tentative="1">
      <w:start w:val="1"/>
      <w:numFmt w:val="bullet"/>
      <w:lvlText w:val=""/>
      <w:lvlJc w:val="left"/>
      <w:pPr>
        <w:tabs>
          <w:tab w:val="num" w:pos="5040"/>
        </w:tabs>
        <w:ind w:left="5040" w:hanging="360"/>
      </w:pPr>
      <w:rPr>
        <w:rFonts w:ascii="Wingdings" w:hAnsi="Wingdings" w:hint="default"/>
      </w:rPr>
    </w:lvl>
    <w:lvl w:ilvl="7" w:tplc="52E227CA" w:tentative="1">
      <w:start w:val="1"/>
      <w:numFmt w:val="bullet"/>
      <w:lvlText w:val=""/>
      <w:lvlJc w:val="left"/>
      <w:pPr>
        <w:tabs>
          <w:tab w:val="num" w:pos="5760"/>
        </w:tabs>
        <w:ind w:left="5760" w:hanging="360"/>
      </w:pPr>
      <w:rPr>
        <w:rFonts w:ascii="Wingdings" w:hAnsi="Wingdings" w:hint="default"/>
      </w:rPr>
    </w:lvl>
    <w:lvl w:ilvl="8" w:tplc="D010A1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A30EC"/>
    <w:multiLevelType w:val="hybridMultilevel"/>
    <w:tmpl w:val="3DA42722"/>
    <w:lvl w:ilvl="0" w:tplc="6BC4DC04">
      <w:start w:val="1"/>
      <w:numFmt w:val="lowerLetter"/>
      <w:lvlText w:val="%1."/>
      <w:lvlJc w:val="left"/>
      <w:pPr>
        <w:ind w:left="504" w:hanging="360"/>
      </w:pPr>
      <w:rPr>
        <w:rFonts w:hint="default"/>
      </w:rPr>
    </w:lvl>
    <w:lvl w:ilvl="1" w:tplc="0409001B">
      <w:start w:val="1"/>
      <w:numFmt w:val="lowerRoman"/>
      <w:lvlText w:val="%2."/>
      <w:lvlJc w:val="righ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740E7E2F"/>
    <w:multiLevelType w:val="hybridMultilevel"/>
    <w:tmpl w:val="5BA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80F56"/>
    <w:multiLevelType w:val="hybridMultilevel"/>
    <w:tmpl w:val="FE2EE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36" w15:restartNumberingAfterBreak="0">
    <w:nsid w:val="798A7B1A"/>
    <w:multiLevelType w:val="hybridMultilevel"/>
    <w:tmpl w:val="7C4C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E22595"/>
    <w:multiLevelType w:val="hybridMultilevel"/>
    <w:tmpl w:val="0E124116"/>
    <w:lvl w:ilvl="0" w:tplc="5066B876">
      <w:start w:val="1"/>
      <w:numFmt w:val="bullet"/>
      <w:lvlText w:val=""/>
      <w:lvlJc w:val="left"/>
      <w:pPr>
        <w:tabs>
          <w:tab w:val="num" w:pos="720"/>
        </w:tabs>
        <w:ind w:left="720" w:hanging="360"/>
      </w:pPr>
      <w:rPr>
        <w:rFonts w:ascii="Wingdings" w:hAnsi="Wingdings" w:hint="default"/>
      </w:rPr>
    </w:lvl>
    <w:lvl w:ilvl="1" w:tplc="3DA2DFF6" w:tentative="1">
      <w:start w:val="1"/>
      <w:numFmt w:val="bullet"/>
      <w:lvlText w:val=""/>
      <w:lvlJc w:val="left"/>
      <w:pPr>
        <w:tabs>
          <w:tab w:val="num" w:pos="1440"/>
        </w:tabs>
        <w:ind w:left="1440" w:hanging="360"/>
      </w:pPr>
      <w:rPr>
        <w:rFonts w:ascii="Wingdings" w:hAnsi="Wingdings" w:hint="default"/>
      </w:rPr>
    </w:lvl>
    <w:lvl w:ilvl="2" w:tplc="812E36E0" w:tentative="1">
      <w:start w:val="1"/>
      <w:numFmt w:val="bullet"/>
      <w:lvlText w:val=""/>
      <w:lvlJc w:val="left"/>
      <w:pPr>
        <w:tabs>
          <w:tab w:val="num" w:pos="2160"/>
        </w:tabs>
        <w:ind w:left="2160" w:hanging="360"/>
      </w:pPr>
      <w:rPr>
        <w:rFonts w:ascii="Wingdings" w:hAnsi="Wingdings" w:hint="default"/>
      </w:rPr>
    </w:lvl>
    <w:lvl w:ilvl="3" w:tplc="B7E68A6C" w:tentative="1">
      <w:start w:val="1"/>
      <w:numFmt w:val="bullet"/>
      <w:lvlText w:val=""/>
      <w:lvlJc w:val="left"/>
      <w:pPr>
        <w:tabs>
          <w:tab w:val="num" w:pos="2880"/>
        </w:tabs>
        <w:ind w:left="2880" w:hanging="360"/>
      </w:pPr>
      <w:rPr>
        <w:rFonts w:ascii="Wingdings" w:hAnsi="Wingdings" w:hint="default"/>
      </w:rPr>
    </w:lvl>
    <w:lvl w:ilvl="4" w:tplc="FD5083FE" w:tentative="1">
      <w:start w:val="1"/>
      <w:numFmt w:val="bullet"/>
      <w:lvlText w:val=""/>
      <w:lvlJc w:val="left"/>
      <w:pPr>
        <w:tabs>
          <w:tab w:val="num" w:pos="3600"/>
        </w:tabs>
        <w:ind w:left="3600" w:hanging="360"/>
      </w:pPr>
      <w:rPr>
        <w:rFonts w:ascii="Wingdings" w:hAnsi="Wingdings" w:hint="default"/>
      </w:rPr>
    </w:lvl>
    <w:lvl w:ilvl="5" w:tplc="355C5FAE" w:tentative="1">
      <w:start w:val="1"/>
      <w:numFmt w:val="bullet"/>
      <w:lvlText w:val=""/>
      <w:lvlJc w:val="left"/>
      <w:pPr>
        <w:tabs>
          <w:tab w:val="num" w:pos="4320"/>
        </w:tabs>
        <w:ind w:left="4320" w:hanging="360"/>
      </w:pPr>
      <w:rPr>
        <w:rFonts w:ascii="Wingdings" w:hAnsi="Wingdings" w:hint="default"/>
      </w:rPr>
    </w:lvl>
    <w:lvl w:ilvl="6" w:tplc="F2DEF2C2" w:tentative="1">
      <w:start w:val="1"/>
      <w:numFmt w:val="bullet"/>
      <w:lvlText w:val=""/>
      <w:lvlJc w:val="left"/>
      <w:pPr>
        <w:tabs>
          <w:tab w:val="num" w:pos="5040"/>
        </w:tabs>
        <w:ind w:left="5040" w:hanging="360"/>
      </w:pPr>
      <w:rPr>
        <w:rFonts w:ascii="Wingdings" w:hAnsi="Wingdings" w:hint="default"/>
      </w:rPr>
    </w:lvl>
    <w:lvl w:ilvl="7" w:tplc="895E7A48" w:tentative="1">
      <w:start w:val="1"/>
      <w:numFmt w:val="bullet"/>
      <w:lvlText w:val=""/>
      <w:lvlJc w:val="left"/>
      <w:pPr>
        <w:tabs>
          <w:tab w:val="num" w:pos="5760"/>
        </w:tabs>
        <w:ind w:left="5760" w:hanging="360"/>
      </w:pPr>
      <w:rPr>
        <w:rFonts w:ascii="Wingdings" w:hAnsi="Wingdings" w:hint="default"/>
      </w:rPr>
    </w:lvl>
    <w:lvl w:ilvl="8" w:tplc="ABE4BE7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F944A9"/>
    <w:multiLevelType w:val="hybridMultilevel"/>
    <w:tmpl w:val="F8CE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7"/>
  </w:num>
  <w:num w:numId="4">
    <w:abstractNumId w:val="10"/>
  </w:num>
  <w:num w:numId="5">
    <w:abstractNumId w:val="7"/>
  </w:num>
  <w:num w:numId="6">
    <w:abstractNumId w:val="35"/>
  </w:num>
  <w:num w:numId="7">
    <w:abstractNumId w:val="11"/>
  </w:num>
  <w:num w:numId="8">
    <w:abstractNumId w:val="13"/>
  </w:num>
  <w:num w:numId="9">
    <w:abstractNumId w:val="17"/>
  </w:num>
  <w:num w:numId="10">
    <w:abstractNumId w:val="32"/>
  </w:num>
  <w:num w:numId="11">
    <w:abstractNumId w:val="19"/>
  </w:num>
  <w:num w:numId="12">
    <w:abstractNumId w:val="2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
  </w:num>
  <w:num w:numId="17">
    <w:abstractNumId w:val="9"/>
  </w:num>
  <w:num w:numId="18">
    <w:abstractNumId w:val="38"/>
  </w:num>
  <w:num w:numId="19">
    <w:abstractNumId w:val="14"/>
  </w:num>
  <w:num w:numId="20">
    <w:abstractNumId w:val="33"/>
  </w:num>
  <w:num w:numId="21">
    <w:abstractNumId w:val="6"/>
  </w:num>
  <w:num w:numId="22">
    <w:abstractNumId w:val="15"/>
  </w:num>
  <w:num w:numId="23">
    <w:abstractNumId w:val="29"/>
  </w:num>
  <w:num w:numId="24">
    <w:abstractNumId w:val="28"/>
  </w:num>
  <w:num w:numId="25">
    <w:abstractNumId w:val="4"/>
  </w:num>
  <w:num w:numId="26">
    <w:abstractNumId w:val="25"/>
  </w:num>
  <w:num w:numId="27">
    <w:abstractNumId w:val="34"/>
  </w:num>
  <w:num w:numId="28">
    <w:abstractNumId w:val="8"/>
  </w:num>
  <w:num w:numId="29">
    <w:abstractNumId w:val="16"/>
  </w:num>
  <w:num w:numId="30">
    <w:abstractNumId w:val="30"/>
  </w:num>
  <w:num w:numId="31">
    <w:abstractNumId w:val="0"/>
  </w:num>
  <w:num w:numId="32">
    <w:abstractNumId w:val="23"/>
  </w:num>
  <w:num w:numId="33">
    <w:abstractNumId w:val="26"/>
  </w:num>
  <w:num w:numId="34">
    <w:abstractNumId w:val="36"/>
  </w:num>
  <w:num w:numId="35">
    <w:abstractNumId w:val="5"/>
  </w:num>
  <w:num w:numId="36">
    <w:abstractNumId w:val="1"/>
  </w:num>
  <w:num w:numId="37">
    <w:abstractNumId w:val="21"/>
  </w:num>
  <w:num w:numId="38">
    <w:abstractNumId w:val="22"/>
  </w:num>
  <w:num w:numId="39">
    <w:abstractNumId w:val="3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F4"/>
    <w:rsid w:val="00000B5C"/>
    <w:rsid w:val="00002EF3"/>
    <w:rsid w:val="0000758F"/>
    <w:rsid w:val="00012339"/>
    <w:rsid w:val="000222C0"/>
    <w:rsid w:val="00025ECB"/>
    <w:rsid w:val="000264E6"/>
    <w:rsid w:val="000300D1"/>
    <w:rsid w:val="000322CF"/>
    <w:rsid w:val="00035936"/>
    <w:rsid w:val="000400CD"/>
    <w:rsid w:val="00043404"/>
    <w:rsid w:val="000438B9"/>
    <w:rsid w:val="000449E2"/>
    <w:rsid w:val="0004566D"/>
    <w:rsid w:val="0004695D"/>
    <w:rsid w:val="00047360"/>
    <w:rsid w:val="00050D4B"/>
    <w:rsid w:val="00053BFD"/>
    <w:rsid w:val="00053CFF"/>
    <w:rsid w:val="00054634"/>
    <w:rsid w:val="00054673"/>
    <w:rsid w:val="0005652A"/>
    <w:rsid w:val="00056B19"/>
    <w:rsid w:val="00056FC7"/>
    <w:rsid w:val="000634CD"/>
    <w:rsid w:val="0006410E"/>
    <w:rsid w:val="00064725"/>
    <w:rsid w:val="00065BC3"/>
    <w:rsid w:val="000665D3"/>
    <w:rsid w:val="00067FAB"/>
    <w:rsid w:val="00072160"/>
    <w:rsid w:val="000728A4"/>
    <w:rsid w:val="00073F8B"/>
    <w:rsid w:val="000742F3"/>
    <w:rsid w:val="00074EC2"/>
    <w:rsid w:val="00076606"/>
    <w:rsid w:val="00076716"/>
    <w:rsid w:val="000831FC"/>
    <w:rsid w:val="00083F00"/>
    <w:rsid w:val="00085C82"/>
    <w:rsid w:val="00086489"/>
    <w:rsid w:val="00086FD5"/>
    <w:rsid w:val="00087DA3"/>
    <w:rsid w:val="0009145B"/>
    <w:rsid w:val="000A214A"/>
    <w:rsid w:val="000A5948"/>
    <w:rsid w:val="000A5D0C"/>
    <w:rsid w:val="000B219C"/>
    <w:rsid w:val="000B451E"/>
    <w:rsid w:val="000B4D33"/>
    <w:rsid w:val="000B5080"/>
    <w:rsid w:val="000C10E7"/>
    <w:rsid w:val="000C3185"/>
    <w:rsid w:val="000C461A"/>
    <w:rsid w:val="000C48E5"/>
    <w:rsid w:val="000C695B"/>
    <w:rsid w:val="000D05E0"/>
    <w:rsid w:val="000D304D"/>
    <w:rsid w:val="000D44D5"/>
    <w:rsid w:val="000D5753"/>
    <w:rsid w:val="000E0AF8"/>
    <w:rsid w:val="000E10ED"/>
    <w:rsid w:val="000E2B37"/>
    <w:rsid w:val="000E351B"/>
    <w:rsid w:val="000E5F69"/>
    <w:rsid w:val="000E5FEB"/>
    <w:rsid w:val="000F39E6"/>
    <w:rsid w:val="000F70DC"/>
    <w:rsid w:val="000F76C9"/>
    <w:rsid w:val="00100233"/>
    <w:rsid w:val="00104019"/>
    <w:rsid w:val="0010594E"/>
    <w:rsid w:val="00110F9D"/>
    <w:rsid w:val="001154FF"/>
    <w:rsid w:val="0011632F"/>
    <w:rsid w:val="00120AB2"/>
    <w:rsid w:val="00120CF9"/>
    <w:rsid w:val="00120DB2"/>
    <w:rsid w:val="0012179C"/>
    <w:rsid w:val="00121910"/>
    <w:rsid w:val="00124070"/>
    <w:rsid w:val="0012527C"/>
    <w:rsid w:val="001254F2"/>
    <w:rsid w:val="00126E29"/>
    <w:rsid w:val="00131F70"/>
    <w:rsid w:val="00132790"/>
    <w:rsid w:val="00133139"/>
    <w:rsid w:val="00134687"/>
    <w:rsid w:val="001403EE"/>
    <w:rsid w:val="00141362"/>
    <w:rsid w:val="001422AE"/>
    <w:rsid w:val="00143959"/>
    <w:rsid w:val="0014438A"/>
    <w:rsid w:val="00145ACC"/>
    <w:rsid w:val="001472AA"/>
    <w:rsid w:val="0015166C"/>
    <w:rsid w:val="00151A06"/>
    <w:rsid w:val="001528E5"/>
    <w:rsid w:val="00152C63"/>
    <w:rsid w:val="0015692E"/>
    <w:rsid w:val="001612E2"/>
    <w:rsid w:val="00161E58"/>
    <w:rsid w:val="00162C08"/>
    <w:rsid w:val="00163F61"/>
    <w:rsid w:val="00166ADE"/>
    <w:rsid w:val="00167D2B"/>
    <w:rsid w:val="00172110"/>
    <w:rsid w:val="001770FA"/>
    <w:rsid w:val="001772E1"/>
    <w:rsid w:val="00184771"/>
    <w:rsid w:val="00186D57"/>
    <w:rsid w:val="001A0821"/>
    <w:rsid w:val="001A131E"/>
    <w:rsid w:val="001A17AA"/>
    <w:rsid w:val="001A35B0"/>
    <w:rsid w:val="001A475E"/>
    <w:rsid w:val="001A5377"/>
    <w:rsid w:val="001A5ECA"/>
    <w:rsid w:val="001B0EE5"/>
    <w:rsid w:val="001B1045"/>
    <w:rsid w:val="001B23F2"/>
    <w:rsid w:val="001B5D71"/>
    <w:rsid w:val="001B6210"/>
    <w:rsid w:val="001B709C"/>
    <w:rsid w:val="001B78C3"/>
    <w:rsid w:val="001C1D4C"/>
    <w:rsid w:val="001C7C9E"/>
    <w:rsid w:val="001D2284"/>
    <w:rsid w:val="001E05FA"/>
    <w:rsid w:val="001E390B"/>
    <w:rsid w:val="001E3DA8"/>
    <w:rsid w:val="001E789C"/>
    <w:rsid w:val="001F063C"/>
    <w:rsid w:val="001F1CD8"/>
    <w:rsid w:val="001F41E0"/>
    <w:rsid w:val="001F727F"/>
    <w:rsid w:val="001F73F7"/>
    <w:rsid w:val="0020128F"/>
    <w:rsid w:val="002031D6"/>
    <w:rsid w:val="00206FE3"/>
    <w:rsid w:val="00210037"/>
    <w:rsid w:val="002153E0"/>
    <w:rsid w:val="002158EE"/>
    <w:rsid w:val="00217F68"/>
    <w:rsid w:val="00221073"/>
    <w:rsid w:val="00222F92"/>
    <w:rsid w:val="00225CF3"/>
    <w:rsid w:val="00226C8F"/>
    <w:rsid w:val="00230A6B"/>
    <w:rsid w:val="00231F0E"/>
    <w:rsid w:val="0023449A"/>
    <w:rsid w:val="0023497C"/>
    <w:rsid w:val="00234F25"/>
    <w:rsid w:val="00235640"/>
    <w:rsid w:val="002378E0"/>
    <w:rsid w:val="00244F78"/>
    <w:rsid w:val="0024637C"/>
    <w:rsid w:val="00250317"/>
    <w:rsid w:val="00255E0E"/>
    <w:rsid w:val="00255E4A"/>
    <w:rsid w:val="0025603C"/>
    <w:rsid w:val="002561AF"/>
    <w:rsid w:val="002575C1"/>
    <w:rsid w:val="002615EC"/>
    <w:rsid w:val="00262C14"/>
    <w:rsid w:val="00263189"/>
    <w:rsid w:val="00264976"/>
    <w:rsid w:val="00264DB4"/>
    <w:rsid w:val="00266091"/>
    <w:rsid w:val="00273DB4"/>
    <w:rsid w:val="00275EAC"/>
    <w:rsid w:val="00275F27"/>
    <w:rsid w:val="00276913"/>
    <w:rsid w:val="002806EB"/>
    <w:rsid w:val="00283CB8"/>
    <w:rsid w:val="00285E40"/>
    <w:rsid w:val="00286B09"/>
    <w:rsid w:val="00291706"/>
    <w:rsid w:val="00293811"/>
    <w:rsid w:val="00297CC8"/>
    <w:rsid w:val="002A2CB7"/>
    <w:rsid w:val="002A4878"/>
    <w:rsid w:val="002A4C0E"/>
    <w:rsid w:val="002A6FB8"/>
    <w:rsid w:val="002B083C"/>
    <w:rsid w:val="002B139A"/>
    <w:rsid w:val="002B1DB3"/>
    <w:rsid w:val="002B3107"/>
    <w:rsid w:val="002B511D"/>
    <w:rsid w:val="002B530E"/>
    <w:rsid w:val="002B7C63"/>
    <w:rsid w:val="002C2BFB"/>
    <w:rsid w:val="002C3383"/>
    <w:rsid w:val="002D3573"/>
    <w:rsid w:val="002D639A"/>
    <w:rsid w:val="002D753D"/>
    <w:rsid w:val="002E3CDD"/>
    <w:rsid w:val="002F08B4"/>
    <w:rsid w:val="002F47A9"/>
    <w:rsid w:val="002F5347"/>
    <w:rsid w:val="002F69F5"/>
    <w:rsid w:val="002F73CB"/>
    <w:rsid w:val="00302719"/>
    <w:rsid w:val="0030367E"/>
    <w:rsid w:val="00304FB2"/>
    <w:rsid w:val="003051F1"/>
    <w:rsid w:val="00306D74"/>
    <w:rsid w:val="00306FD9"/>
    <w:rsid w:val="00307264"/>
    <w:rsid w:val="00310D71"/>
    <w:rsid w:val="00312C9D"/>
    <w:rsid w:val="00313616"/>
    <w:rsid w:val="00314B9D"/>
    <w:rsid w:val="003207C5"/>
    <w:rsid w:val="00327514"/>
    <w:rsid w:val="00330E59"/>
    <w:rsid w:val="00331701"/>
    <w:rsid w:val="003319FC"/>
    <w:rsid w:val="0033574F"/>
    <w:rsid w:val="00335804"/>
    <w:rsid w:val="00341E0F"/>
    <w:rsid w:val="00342FB3"/>
    <w:rsid w:val="0034399D"/>
    <w:rsid w:val="003463A7"/>
    <w:rsid w:val="0035237B"/>
    <w:rsid w:val="00352E7D"/>
    <w:rsid w:val="00354F6C"/>
    <w:rsid w:val="003572B1"/>
    <w:rsid w:val="00360BC0"/>
    <w:rsid w:val="00362522"/>
    <w:rsid w:val="00363917"/>
    <w:rsid w:val="00367727"/>
    <w:rsid w:val="00367768"/>
    <w:rsid w:val="003679A7"/>
    <w:rsid w:val="00372160"/>
    <w:rsid w:val="003739C8"/>
    <w:rsid w:val="003804A7"/>
    <w:rsid w:val="00382D93"/>
    <w:rsid w:val="003832B9"/>
    <w:rsid w:val="00383A56"/>
    <w:rsid w:val="003858E1"/>
    <w:rsid w:val="00385D5B"/>
    <w:rsid w:val="00385E8A"/>
    <w:rsid w:val="003875BA"/>
    <w:rsid w:val="00391D9B"/>
    <w:rsid w:val="003921DE"/>
    <w:rsid w:val="0039334C"/>
    <w:rsid w:val="00393AB8"/>
    <w:rsid w:val="00395F83"/>
    <w:rsid w:val="003A12B1"/>
    <w:rsid w:val="003A2F57"/>
    <w:rsid w:val="003A2FCA"/>
    <w:rsid w:val="003A3172"/>
    <w:rsid w:val="003A5615"/>
    <w:rsid w:val="003A5883"/>
    <w:rsid w:val="003A5B3C"/>
    <w:rsid w:val="003A6474"/>
    <w:rsid w:val="003B0C96"/>
    <w:rsid w:val="003B3BC2"/>
    <w:rsid w:val="003B584F"/>
    <w:rsid w:val="003B6C37"/>
    <w:rsid w:val="003C0AC3"/>
    <w:rsid w:val="003C1CFD"/>
    <w:rsid w:val="003C3DA2"/>
    <w:rsid w:val="003C5613"/>
    <w:rsid w:val="003C6623"/>
    <w:rsid w:val="003C662C"/>
    <w:rsid w:val="003D03C8"/>
    <w:rsid w:val="003F0D37"/>
    <w:rsid w:val="00401CC3"/>
    <w:rsid w:val="00402ADD"/>
    <w:rsid w:val="00404A39"/>
    <w:rsid w:val="004110EB"/>
    <w:rsid w:val="004130AD"/>
    <w:rsid w:val="00413E1F"/>
    <w:rsid w:val="0041576D"/>
    <w:rsid w:val="004169A8"/>
    <w:rsid w:val="00416B3D"/>
    <w:rsid w:val="00422FCA"/>
    <w:rsid w:val="00424DA1"/>
    <w:rsid w:val="0042658E"/>
    <w:rsid w:val="004301EC"/>
    <w:rsid w:val="00431D08"/>
    <w:rsid w:val="0043276C"/>
    <w:rsid w:val="00434262"/>
    <w:rsid w:val="0043496B"/>
    <w:rsid w:val="00434D9F"/>
    <w:rsid w:val="00434E45"/>
    <w:rsid w:val="00435FBC"/>
    <w:rsid w:val="00437CDD"/>
    <w:rsid w:val="00441358"/>
    <w:rsid w:val="004425FE"/>
    <w:rsid w:val="004457CC"/>
    <w:rsid w:val="00445ECB"/>
    <w:rsid w:val="0044620D"/>
    <w:rsid w:val="004511B7"/>
    <w:rsid w:val="004531B1"/>
    <w:rsid w:val="00457EE3"/>
    <w:rsid w:val="00457F99"/>
    <w:rsid w:val="00462706"/>
    <w:rsid w:val="0046382D"/>
    <w:rsid w:val="00475F6E"/>
    <w:rsid w:val="00477688"/>
    <w:rsid w:val="004814BD"/>
    <w:rsid w:val="00481F41"/>
    <w:rsid w:val="00483B45"/>
    <w:rsid w:val="0049231F"/>
    <w:rsid w:val="004A09FA"/>
    <w:rsid w:val="004A11B1"/>
    <w:rsid w:val="004A34FA"/>
    <w:rsid w:val="004A58A1"/>
    <w:rsid w:val="004B0A64"/>
    <w:rsid w:val="004B3E62"/>
    <w:rsid w:val="004B4363"/>
    <w:rsid w:val="004B64EC"/>
    <w:rsid w:val="004C0B5E"/>
    <w:rsid w:val="004C1C9F"/>
    <w:rsid w:val="004C45C5"/>
    <w:rsid w:val="004C54CF"/>
    <w:rsid w:val="004C7C50"/>
    <w:rsid w:val="004D07DE"/>
    <w:rsid w:val="004D2EE8"/>
    <w:rsid w:val="004E2A9D"/>
    <w:rsid w:val="004F4D25"/>
    <w:rsid w:val="004F5F84"/>
    <w:rsid w:val="004F678B"/>
    <w:rsid w:val="00503294"/>
    <w:rsid w:val="0050473B"/>
    <w:rsid w:val="005047AF"/>
    <w:rsid w:val="005077A6"/>
    <w:rsid w:val="005100E8"/>
    <w:rsid w:val="005101A6"/>
    <w:rsid w:val="00510887"/>
    <w:rsid w:val="00515B70"/>
    <w:rsid w:val="00523575"/>
    <w:rsid w:val="00524D72"/>
    <w:rsid w:val="00526977"/>
    <w:rsid w:val="00532AB8"/>
    <w:rsid w:val="0053324C"/>
    <w:rsid w:val="0053767C"/>
    <w:rsid w:val="00544DA0"/>
    <w:rsid w:val="005450D4"/>
    <w:rsid w:val="00545A72"/>
    <w:rsid w:val="00546AFC"/>
    <w:rsid w:val="00547D57"/>
    <w:rsid w:val="0055216B"/>
    <w:rsid w:val="005529E8"/>
    <w:rsid w:val="005530D8"/>
    <w:rsid w:val="00554705"/>
    <w:rsid w:val="005619F1"/>
    <w:rsid w:val="00561FEE"/>
    <w:rsid w:val="00565AE0"/>
    <w:rsid w:val="005728C2"/>
    <w:rsid w:val="00574268"/>
    <w:rsid w:val="00583A4A"/>
    <w:rsid w:val="00587BC8"/>
    <w:rsid w:val="005A2879"/>
    <w:rsid w:val="005A39D3"/>
    <w:rsid w:val="005A3EAE"/>
    <w:rsid w:val="005A53C7"/>
    <w:rsid w:val="005A5D71"/>
    <w:rsid w:val="005A676C"/>
    <w:rsid w:val="005B139D"/>
    <w:rsid w:val="005B443F"/>
    <w:rsid w:val="005C188F"/>
    <w:rsid w:val="005C27A8"/>
    <w:rsid w:val="005C3CE0"/>
    <w:rsid w:val="005C3F2A"/>
    <w:rsid w:val="005C5DE2"/>
    <w:rsid w:val="005D1E38"/>
    <w:rsid w:val="005D2084"/>
    <w:rsid w:val="005D32CD"/>
    <w:rsid w:val="005D4703"/>
    <w:rsid w:val="005D4D88"/>
    <w:rsid w:val="005E100F"/>
    <w:rsid w:val="005E15E3"/>
    <w:rsid w:val="005E3365"/>
    <w:rsid w:val="005E4049"/>
    <w:rsid w:val="005E50F8"/>
    <w:rsid w:val="005E68FD"/>
    <w:rsid w:val="005E6A93"/>
    <w:rsid w:val="005F0192"/>
    <w:rsid w:val="005F029B"/>
    <w:rsid w:val="005F1257"/>
    <w:rsid w:val="006005B7"/>
    <w:rsid w:val="00601AFF"/>
    <w:rsid w:val="00610DB4"/>
    <w:rsid w:val="006137F2"/>
    <w:rsid w:val="006164AA"/>
    <w:rsid w:val="006200F0"/>
    <w:rsid w:val="0062122A"/>
    <w:rsid w:val="0062322A"/>
    <w:rsid w:val="00623BCC"/>
    <w:rsid w:val="00626E53"/>
    <w:rsid w:val="00627418"/>
    <w:rsid w:val="00636BAC"/>
    <w:rsid w:val="006411EB"/>
    <w:rsid w:val="00646C15"/>
    <w:rsid w:val="00647527"/>
    <w:rsid w:val="00647B1F"/>
    <w:rsid w:val="00650D75"/>
    <w:rsid w:val="006513AF"/>
    <w:rsid w:val="00656A4E"/>
    <w:rsid w:val="00657960"/>
    <w:rsid w:val="0066295F"/>
    <w:rsid w:val="006640DE"/>
    <w:rsid w:val="006659EF"/>
    <w:rsid w:val="00667FAE"/>
    <w:rsid w:val="00670066"/>
    <w:rsid w:val="006716F5"/>
    <w:rsid w:val="00671BB0"/>
    <w:rsid w:val="0067271E"/>
    <w:rsid w:val="006737FE"/>
    <w:rsid w:val="00676692"/>
    <w:rsid w:val="006807D0"/>
    <w:rsid w:val="00680FD2"/>
    <w:rsid w:val="0069109B"/>
    <w:rsid w:val="0069343F"/>
    <w:rsid w:val="006959DA"/>
    <w:rsid w:val="00697952"/>
    <w:rsid w:val="006A052D"/>
    <w:rsid w:val="006A3F9E"/>
    <w:rsid w:val="006A503E"/>
    <w:rsid w:val="006A739B"/>
    <w:rsid w:val="006A7456"/>
    <w:rsid w:val="006A7620"/>
    <w:rsid w:val="006B1A9C"/>
    <w:rsid w:val="006B2D0A"/>
    <w:rsid w:val="006B375D"/>
    <w:rsid w:val="006B7FB0"/>
    <w:rsid w:val="006C0435"/>
    <w:rsid w:val="006C3ACD"/>
    <w:rsid w:val="006D14D2"/>
    <w:rsid w:val="006D5D37"/>
    <w:rsid w:val="006D68B5"/>
    <w:rsid w:val="006D7A48"/>
    <w:rsid w:val="006E2882"/>
    <w:rsid w:val="006E5B51"/>
    <w:rsid w:val="006E7824"/>
    <w:rsid w:val="006F0805"/>
    <w:rsid w:val="006F1ECF"/>
    <w:rsid w:val="006F370F"/>
    <w:rsid w:val="007032B7"/>
    <w:rsid w:val="00704B7E"/>
    <w:rsid w:val="00705DD7"/>
    <w:rsid w:val="00706ABA"/>
    <w:rsid w:val="00710444"/>
    <w:rsid w:val="0071278A"/>
    <w:rsid w:val="007145B2"/>
    <w:rsid w:val="00715794"/>
    <w:rsid w:val="00715EA3"/>
    <w:rsid w:val="00720818"/>
    <w:rsid w:val="00720E6D"/>
    <w:rsid w:val="007216C0"/>
    <w:rsid w:val="00721B57"/>
    <w:rsid w:val="007242F6"/>
    <w:rsid w:val="00725778"/>
    <w:rsid w:val="00732408"/>
    <w:rsid w:val="007405D4"/>
    <w:rsid w:val="00742CD8"/>
    <w:rsid w:val="00743451"/>
    <w:rsid w:val="00747B61"/>
    <w:rsid w:val="00752A96"/>
    <w:rsid w:val="0075323F"/>
    <w:rsid w:val="007578EA"/>
    <w:rsid w:val="007606A8"/>
    <w:rsid w:val="007620E0"/>
    <w:rsid w:val="007621F9"/>
    <w:rsid w:val="0076533C"/>
    <w:rsid w:val="007661E1"/>
    <w:rsid w:val="007701C4"/>
    <w:rsid w:val="007751F7"/>
    <w:rsid w:val="0077611F"/>
    <w:rsid w:val="007762DB"/>
    <w:rsid w:val="00782787"/>
    <w:rsid w:val="00782D77"/>
    <w:rsid w:val="007848B3"/>
    <w:rsid w:val="0079513B"/>
    <w:rsid w:val="007956D4"/>
    <w:rsid w:val="00797035"/>
    <w:rsid w:val="007A7C88"/>
    <w:rsid w:val="007A7C90"/>
    <w:rsid w:val="007B172C"/>
    <w:rsid w:val="007C0674"/>
    <w:rsid w:val="007C77D7"/>
    <w:rsid w:val="007C7A7F"/>
    <w:rsid w:val="007D14D3"/>
    <w:rsid w:val="007D2D44"/>
    <w:rsid w:val="007D41E5"/>
    <w:rsid w:val="007D6974"/>
    <w:rsid w:val="007E2EDB"/>
    <w:rsid w:val="007E35FE"/>
    <w:rsid w:val="007F05F1"/>
    <w:rsid w:val="007F292E"/>
    <w:rsid w:val="0081058F"/>
    <w:rsid w:val="00810916"/>
    <w:rsid w:val="00811070"/>
    <w:rsid w:val="008157A2"/>
    <w:rsid w:val="00815F54"/>
    <w:rsid w:val="00817B03"/>
    <w:rsid w:val="008209BB"/>
    <w:rsid w:val="008219B5"/>
    <w:rsid w:val="00825B8A"/>
    <w:rsid w:val="00827A72"/>
    <w:rsid w:val="00827CDA"/>
    <w:rsid w:val="00835141"/>
    <w:rsid w:val="00835E12"/>
    <w:rsid w:val="008418CF"/>
    <w:rsid w:val="00841B9B"/>
    <w:rsid w:val="008437FD"/>
    <w:rsid w:val="00844153"/>
    <w:rsid w:val="00847DD3"/>
    <w:rsid w:val="008511AD"/>
    <w:rsid w:val="008525B9"/>
    <w:rsid w:val="00866561"/>
    <w:rsid w:val="00870C3D"/>
    <w:rsid w:val="00870F2E"/>
    <w:rsid w:val="008720A8"/>
    <w:rsid w:val="008724BD"/>
    <w:rsid w:val="00872A64"/>
    <w:rsid w:val="00882DD7"/>
    <w:rsid w:val="00884A48"/>
    <w:rsid w:val="00886DF7"/>
    <w:rsid w:val="00891D4F"/>
    <w:rsid w:val="00895891"/>
    <w:rsid w:val="00897AF7"/>
    <w:rsid w:val="008A2D2E"/>
    <w:rsid w:val="008A42A7"/>
    <w:rsid w:val="008B08EB"/>
    <w:rsid w:val="008B2D9C"/>
    <w:rsid w:val="008B39B3"/>
    <w:rsid w:val="008B4A7D"/>
    <w:rsid w:val="008B4EEE"/>
    <w:rsid w:val="008B65D8"/>
    <w:rsid w:val="008D0568"/>
    <w:rsid w:val="008D0868"/>
    <w:rsid w:val="008D1DCF"/>
    <w:rsid w:val="008D2617"/>
    <w:rsid w:val="008E055F"/>
    <w:rsid w:val="008E0A4D"/>
    <w:rsid w:val="008E2606"/>
    <w:rsid w:val="008E298C"/>
    <w:rsid w:val="008E74A2"/>
    <w:rsid w:val="008E7D28"/>
    <w:rsid w:val="008F3F36"/>
    <w:rsid w:val="008F46EA"/>
    <w:rsid w:val="008F5915"/>
    <w:rsid w:val="008F73E2"/>
    <w:rsid w:val="008F7C0D"/>
    <w:rsid w:val="00907A4C"/>
    <w:rsid w:val="009122FE"/>
    <w:rsid w:val="00913D59"/>
    <w:rsid w:val="009142EF"/>
    <w:rsid w:val="00917DC4"/>
    <w:rsid w:val="00922176"/>
    <w:rsid w:val="00926555"/>
    <w:rsid w:val="0093437B"/>
    <w:rsid w:val="0093557D"/>
    <w:rsid w:val="00936EA9"/>
    <w:rsid w:val="00941DBD"/>
    <w:rsid w:val="009432BA"/>
    <w:rsid w:val="009434AD"/>
    <w:rsid w:val="00943510"/>
    <w:rsid w:val="00943897"/>
    <w:rsid w:val="00945C08"/>
    <w:rsid w:val="0095108B"/>
    <w:rsid w:val="00953ECD"/>
    <w:rsid w:val="00957FA0"/>
    <w:rsid w:val="00960423"/>
    <w:rsid w:val="00960599"/>
    <w:rsid w:val="0096146C"/>
    <w:rsid w:val="00965F3B"/>
    <w:rsid w:val="009667E4"/>
    <w:rsid w:val="00970238"/>
    <w:rsid w:val="00970765"/>
    <w:rsid w:val="0097113A"/>
    <w:rsid w:val="00972591"/>
    <w:rsid w:val="00975A75"/>
    <w:rsid w:val="00975BDC"/>
    <w:rsid w:val="00977552"/>
    <w:rsid w:val="009777DD"/>
    <w:rsid w:val="00980C94"/>
    <w:rsid w:val="0098736F"/>
    <w:rsid w:val="00993C81"/>
    <w:rsid w:val="009958EE"/>
    <w:rsid w:val="009A27E0"/>
    <w:rsid w:val="009B3CBB"/>
    <w:rsid w:val="009B47CE"/>
    <w:rsid w:val="009B7F37"/>
    <w:rsid w:val="009C24E7"/>
    <w:rsid w:val="009D1E72"/>
    <w:rsid w:val="009D346C"/>
    <w:rsid w:val="009E0D93"/>
    <w:rsid w:val="009E4379"/>
    <w:rsid w:val="009E5028"/>
    <w:rsid w:val="009E5600"/>
    <w:rsid w:val="009E5BFE"/>
    <w:rsid w:val="009F1885"/>
    <w:rsid w:val="009F6091"/>
    <w:rsid w:val="009F7556"/>
    <w:rsid w:val="009F7753"/>
    <w:rsid w:val="00A001EE"/>
    <w:rsid w:val="00A00FC6"/>
    <w:rsid w:val="00A02D4F"/>
    <w:rsid w:val="00A102F0"/>
    <w:rsid w:val="00A1132B"/>
    <w:rsid w:val="00A12BDC"/>
    <w:rsid w:val="00A1480B"/>
    <w:rsid w:val="00A17C66"/>
    <w:rsid w:val="00A21516"/>
    <w:rsid w:val="00A21F3B"/>
    <w:rsid w:val="00A23088"/>
    <w:rsid w:val="00A23332"/>
    <w:rsid w:val="00A26978"/>
    <w:rsid w:val="00A30230"/>
    <w:rsid w:val="00A30B4A"/>
    <w:rsid w:val="00A329B7"/>
    <w:rsid w:val="00A35FBF"/>
    <w:rsid w:val="00A47B11"/>
    <w:rsid w:val="00A52054"/>
    <w:rsid w:val="00A52253"/>
    <w:rsid w:val="00A53773"/>
    <w:rsid w:val="00A605B5"/>
    <w:rsid w:val="00A62459"/>
    <w:rsid w:val="00A65358"/>
    <w:rsid w:val="00A6623D"/>
    <w:rsid w:val="00A67C64"/>
    <w:rsid w:val="00A705BF"/>
    <w:rsid w:val="00A720BA"/>
    <w:rsid w:val="00A72C2E"/>
    <w:rsid w:val="00A72F51"/>
    <w:rsid w:val="00A75A2F"/>
    <w:rsid w:val="00A8062E"/>
    <w:rsid w:val="00A80FF8"/>
    <w:rsid w:val="00A81AAC"/>
    <w:rsid w:val="00A8238F"/>
    <w:rsid w:val="00A83D11"/>
    <w:rsid w:val="00A83F34"/>
    <w:rsid w:val="00A852C7"/>
    <w:rsid w:val="00A9032D"/>
    <w:rsid w:val="00A946B7"/>
    <w:rsid w:val="00A963F4"/>
    <w:rsid w:val="00AA1DA6"/>
    <w:rsid w:val="00AA390C"/>
    <w:rsid w:val="00AB3F87"/>
    <w:rsid w:val="00AB4334"/>
    <w:rsid w:val="00AB5020"/>
    <w:rsid w:val="00AB51C5"/>
    <w:rsid w:val="00AC0C49"/>
    <w:rsid w:val="00AC1300"/>
    <w:rsid w:val="00AC168B"/>
    <w:rsid w:val="00AC1A57"/>
    <w:rsid w:val="00AC299B"/>
    <w:rsid w:val="00AC309C"/>
    <w:rsid w:val="00AC7EAD"/>
    <w:rsid w:val="00AD0627"/>
    <w:rsid w:val="00AD12C3"/>
    <w:rsid w:val="00AD2B37"/>
    <w:rsid w:val="00AD2D00"/>
    <w:rsid w:val="00AD313D"/>
    <w:rsid w:val="00AD3EDC"/>
    <w:rsid w:val="00AD69C4"/>
    <w:rsid w:val="00AD7DB8"/>
    <w:rsid w:val="00AE061E"/>
    <w:rsid w:val="00AE22B9"/>
    <w:rsid w:val="00AE692F"/>
    <w:rsid w:val="00AE79E3"/>
    <w:rsid w:val="00AE7FD7"/>
    <w:rsid w:val="00AF52E7"/>
    <w:rsid w:val="00AF55E9"/>
    <w:rsid w:val="00AF7727"/>
    <w:rsid w:val="00B00495"/>
    <w:rsid w:val="00B007E5"/>
    <w:rsid w:val="00B00857"/>
    <w:rsid w:val="00B02072"/>
    <w:rsid w:val="00B044CF"/>
    <w:rsid w:val="00B0682E"/>
    <w:rsid w:val="00B22B4C"/>
    <w:rsid w:val="00B23623"/>
    <w:rsid w:val="00B30174"/>
    <w:rsid w:val="00B30386"/>
    <w:rsid w:val="00B33621"/>
    <w:rsid w:val="00B34D1F"/>
    <w:rsid w:val="00B3511E"/>
    <w:rsid w:val="00B35372"/>
    <w:rsid w:val="00B35430"/>
    <w:rsid w:val="00B35A7E"/>
    <w:rsid w:val="00B41135"/>
    <w:rsid w:val="00B4335A"/>
    <w:rsid w:val="00B43525"/>
    <w:rsid w:val="00B448A4"/>
    <w:rsid w:val="00B44C1C"/>
    <w:rsid w:val="00B457FB"/>
    <w:rsid w:val="00B45A53"/>
    <w:rsid w:val="00B45D12"/>
    <w:rsid w:val="00B50D9D"/>
    <w:rsid w:val="00B51A7B"/>
    <w:rsid w:val="00B5439A"/>
    <w:rsid w:val="00B55FA7"/>
    <w:rsid w:val="00B563AC"/>
    <w:rsid w:val="00B57E77"/>
    <w:rsid w:val="00B60119"/>
    <w:rsid w:val="00B61BC8"/>
    <w:rsid w:val="00B628E8"/>
    <w:rsid w:val="00B62AAF"/>
    <w:rsid w:val="00B632FA"/>
    <w:rsid w:val="00B63AF9"/>
    <w:rsid w:val="00B64D0D"/>
    <w:rsid w:val="00B709A1"/>
    <w:rsid w:val="00B70BDB"/>
    <w:rsid w:val="00B70D79"/>
    <w:rsid w:val="00B71B8E"/>
    <w:rsid w:val="00B814D9"/>
    <w:rsid w:val="00B816E7"/>
    <w:rsid w:val="00B87856"/>
    <w:rsid w:val="00B92F17"/>
    <w:rsid w:val="00B9420D"/>
    <w:rsid w:val="00B95FD4"/>
    <w:rsid w:val="00BA1763"/>
    <w:rsid w:val="00BA4647"/>
    <w:rsid w:val="00BA4DD3"/>
    <w:rsid w:val="00BA5F73"/>
    <w:rsid w:val="00BA7264"/>
    <w:rsid w:val="00BB0F6F"/>
    <w:rsid w:val="00BB188C"/>
    <w:rsid w:val="00BB2054"/>
    <w:rsid w:val="00BB2E52"/>
    <w:rsid w:val="00BB39A2"/>
    <w:rsid w:val="00BB6BE8"/>
    <w:rsid w:val="00BB70D0"/>
    <w:rsid w:val="00BB72DE"/>
    <w:rsid w:val="00BC1B2D"/>
    <w:rsid w:val="00BC25B1"/>
    <w:rsid w:val="00BC2A8B"/>
    <w:rsid w:val="00BC2BEA"/>
    <w:rsid w:val="00BC3018"/>
    <w:rsid w:val="00BC47B8"/>
    <w:rsid w:val="00BC4BE9"/>
    <w:rsid w:val="00BC605A"/>
    <w:rsid w:val="00BC692E"/>
    <w:rsid w:val="00BC724D"/>
    <w:rsid w:val="00BC74AF"/>
    <w:rsid w:val="00BD016D"/>
    <w:rsid w:val="00BD116A"/>
    <w:rsid w:val="00BD41F3"/>
    <w:rsid w:val="00BE06C1"/>
    <w:rsid w:val="00BE2A20"/>
    <w:rsid w:val="00BE6D92"/>
    <w:rsid w:val="00BF0128"/>
    <w:rsid w:val="00BF09A2"/>
    <w:rsid w:val="00BF11EE"/>
    <w:rsid w:val="00BF2C80"/>
    <w:rsid w:val="00BF5C78"/>
    <w:rsid w:val="00BF5E60"/>
    <w:rsid w:val="00BF757C"/>
    <w:rsid w:val="00C02120"/>
    <w:rsid w:val="00C126F7"/>
    <w:rsid w:val="00C15198"/>
    <w:rsid w:val="00C16898"/>
    <w:rsid w:val="00C201FC"/>
    <w:rsid w:val="00C20D0B"/>
    <w:rsid w:val="00C21E3E"/>
    <w:rsid w:val="00C221EF"/>
    <w:rsid w:val="00C24176"/>
    <w:rsid w:val="00C24AC8"/>
    <w:rsid w:val="00C24DBB"/>
    <w:rsid w:val="00C26139"/>
    <w:rsid w:val="00C308E9"/>
    <w:rsid w:val="00C318E7"/>
    <w:rsid w:val="00C34372"/>
    <w:rsid w:val="00C34683"/>
    <w:rsid w:val="00C34E14"/>
    <w:rsid w:val="00C3609F"/>
    <w:rsid w:val="00C36ED1"/>
    <w:rsid w:val="00C40A06"/>
    <w:rsid w:val="00C412E7"/>
    <w:rsid w:val="00C41F23"/>
    <w:rsid w:val="00C4227F"/>
    <w:rsid w:val="00C43626"/>
    <w:rsid w:val="00C46BF9"/>
    <w:rsid w:val="00C5055D"/>
    <w:rsid w:val="00C50A62"/>
    <w:rsid w:val="00C50F4F"/>
    <w:rsid w:val="00C5513D"/>
    <w:rsid w:val="00C610A5"/>
    <w:rsid w:val="00C613D1"/>
    <w:rsid w:val="00C66D8D"/>
    <w:rsid w:val="00C70415"/>
    <w:rsid w:val="00C714AC"/>
    <w:rsid w:val="00C73F14"/>
    <w:rsid w:val="00C77DF4"/>
    <w:rsid w:val="00C80384"/>
    <w:rsid w:val="00C8053A"/>
    <w:rsid w:val="00C806ED"/>
    <w:rsid w:val="00C80C49"/>
    <w:rsid w:val="00C81BDC"/>
    <w:rsid w:val="00C82749"/>
    <w:rsid w:val="00C86D94"/>
    <w:rsid w:val="00C87F74"/>
    <w:rsid w:val="00C91022"/>
    <w:rsid w:val="00C91138"/>
    <w:rsid w:val="00C9263D"/>
    <w:rsid w:val="00C93158"/>
    <w:rsid w:val="00C96234"/>
    <w:rsid w:val="00C970DA"/>
    <w:rsid w:val="00CA332F"/>
    <w:rsid w:val="00CB19C5"/>
    <w:rsid w:val="00CB2A76"/>
    <w:rsid w:val="00CB6206"/>
    <w:rsid w:val="00CC3507"/>
    <w:rsid w:val="00CC3EE9"/>
    <w:rsid w:val="00CC7ED1"/>
    <w:rsid w:val="00CD0CA0"/>
    <w:rsid w:val="00CD144B"/>
    <w:rsid w:val="00CD158C"/>
    <w:rsid w:val="00CD3056"/>
    <w:rsid w:val="00CD74A6"/>
    <w:rsid w:val="00CD7987"/>
    <w:rsid w:val="00CE4C17"/>
    <w:rsid w:val="00CE4E8B"/>
    <w:rsid w:val="00CE4F50"/>
    <w:rsid w:val="00CF05EF"/>
    <w:rsid w:val="00CF0711"/>
    <w:rsid w:val="00CF1F07"/>
    <w:rsid w:val="00CF7A82"/>
    <w:rsid w:val="00D00E65"/>
    <w:rsid w:val="00D0168B"/>
    <w:rsid w:val="00D02145"/>
    <w:rsid w:val="00D02C3C"/>
    <w:rsid w:val="00D055BD"/>
    <w:rsid w:val="00D161DE"/>
    <w:rsid w:val="00D20CD7"/>
    <w:rsid w:val="00D21A46"/>
    <w:rsid w:val="00D21BB1"/>
    <w:rsid w:val="00D21CC2"/>
    <w:rsid w:val="00D26908"/>
    <w:rsid w:val="00D276D5"/>
    <w:rsid w:val="00D3033C"/>
    <w:rsid w:val="00D31B24"/>
    <w:rsid w:val="00D365A7"/>
    <w:rsid w:val="00D37913"/>
    <w:rsid w:val="00D37DD9"/>
    <w:rsid w:val="00D42C00"/>
    <w:rsid w:val="00D46CAB"/>
    <w:rsid w:val="00D52637"/>
    <w:rsid w:val="00D53F01"/>
    <w:rsid w:val="00D60DBB"/>
    <w:rsid w:val="00D60F79"/>
    <w:rsid w:val="00D614CC"/>
    <w:rsid w:val="00D6173A"/>
    <w:rsid w:val="00D62D95"/>
    <w:rsid w:val="00D6685A"/>
    <w:rsid w:val="00D67807"/>
    <w:rsid w:val="00D725BD"/>
    <w:rsid w:val="00D73B66"/>
    <w:rsid w:val="00D74F63"/>
    <w:rsid w:val="00D765FA"/>
    <w:rsid w:val="00D81ECD"/>
    <w:rsid w:val="00D830E1"/>
    <w:rsid w:val="00D8629A"/>
    <w:rsid w:val="00D872A5"/>
    <w:rsid w:val="00D900B5"/>
    <w:rsid w:val="00D909F6"/>
    <w:rsid w:val="00D912E5"/>
    <w:rsid w:val="00D9138E"/>
    <w:rsid w:val="00D9379B"/>
    <w:rsid w:val="00DA40CE"/>
    <w:rsid w:val="00DA4924"/>
    <w:rsid w:val="00DA4A65"/>
    <w:rsid w:val="00DA4FE1"/>
    <w:rsid w:val="00DA73A9"/>
    <w:rsid w:val="00DA7FBA"/>
    <w:rsid w:val="00DB29BF"/>
    <w:rsid w:val="00DB2F01"/>
    <w:rsid w:val="00DB3AC0"/>
    <w:rsid w:val="00DB3F9C"/>
    <w:rsid w:val="00DB3FE7"/>
    <w:rsid w:val="00DB62BE"/>
    <w:rsid w:val="00DC00D2"/>
    <w:rsid w:val="00DC2D0F"/>
    <w:rsid w:val="00DC3DCF"/>
    <w:rsid w:val="00DC40B2"/>
    <w:rsid w:val="00DC436F"/>
    <w:rsid w:val="00DC5A4B"/>
    <w:rsid w:val="00DC616E"/>
    <w:rsid w:val="00DC72B0"/>
    <w:rsid w:val="00DC7CE4"/>
    <w:rsid w:val="00DD322B"/>
    <w:rsid w:val="00DD3655"/>
    <w:rsid w:val="00DD4EE5"/>
    <w:rsid w:val="00DD67C8"/>
    <w:rsid w:val="00DE0626"/>
    <w:rsid w:val="00DE262D"/>
    <w:rsid w:val="00DE499B"/>
    <w:rsid w:val="00DE6565"/>
    <w:rsid w:val="00DF1F4E"/>
    <w:rsid w:val="00DF3624"/>
    <w:rsid w:val="00DF569E"/>
    <w:rsid w:val="00E006A8"/>
    <w:rsid w:val="00E06CCF"/>
    <w:rsid w:val="00E074C3"/>
    <w:rsid w:val="00E15119"/>
    <w:rsid w:val="00E15544"/>
    <w:rsid w:val="00E166C4"/>
    <w:rsid w:val="00E2236E"/>
    <w:rsid w:val="00E24E48"/>
    <w:rsid w:val="00E2515E"/>
    <w:rsid w:val="00E25E5C"/>
    <w:rsid w:val="00E266CA"/>
    <w:rsid w:val="00E27DC6"/>
    <w:rsid w:val="00E308E1"/>
    <w:rsid w:val="00E32D00"/>
    <w:rsid w:val="00E3445E"/>
    <w:rsid w:val="00E35A86"/>
    <w:rsid w:val="00E4105A"/>
    <w:rsid w:val="00E435DA"/>
    <w:rsid w:val="00E4599C"/>
    <w:rsid w:val="00E505E0"/>
    <w:rsid w:val="00E60784"/>
    <w:rsid w:val="00E608BD"/>
    <w:rsid w:val="00E61059"/>
    <w:rsid w:val="00E6146C"/>
    <w:rsid w:val="00E61FDF"/>
    <w:rsid w:val="00E6523D"/>
    <w:rsid w:val="00E66E00"/>
    <w:rsid w:val="00E677E9"/>
    <w:rsid w:val="00E703DC"/>
    <w:rsid w:val="00E70F6C"/>
    <w:rsid w:val="00E71072"/>
    <w:rsid w:val="00E7491E"/>
    <w:rsid w:val="00E7527F"/>
    <w:rsid w:val="00E755ED"/>
    <w:rsid w:val="00E75A54"/>
    <w:rsid w:val="00E8004D"/>
    <w:rsid w:val="00E85DC9"/>
    <w:rsid w:val="00E86911"/>
    <w:rsid w:val="00E8711E"/>
    <w:rsid w:val="00E87EFD"/>
    <w:rsid w:val="00E95C72"/>
    <w:rsid w:val="00E97339"/>
    <w:rsid w:val="00EA4E1E"/>
    <w:rsid w:val="00EA5339"/>
    <w:rsid w:val="00EA6274"/>
    <w:rsid w:val="00EC2E6C"/>
    <w:rsid w:val="00EC3448"/>
    <w:rsid w:val="00EC3BA0"/>
    <w:rsid w:val="00EC3D59"/>
    <w:rsid w:val="00ED020B"/>
    <w:rsid w:val="00ED3A06"/>
    <w:rsid w:val="00ED5BFF"/>
    <w:rsid w:val="00ED7D9D"/>
    <w:rsid w:val="00ED7E09"/>
    <w:rsid w:val="00EE061D"/>
    <w:rsid w:val="00EE1A53"/>
    <w:rsid w:val="00EE3F00"/>
    <w:rsid w:val="00EE4EE7"/>
    <w:rsid w:val="00EE6038"/>
    <w:rsid w:val="00EE7761"/>
    <w:rsid w:val="00EF013F"/>
    <w:rsid w:val="00EF0906"/>
    <w:rsid w:val="00F003BA"/>
    <w:rsid w:val="00F01B16"/>
    <w:rsid w:val="00F02151"/>
    <w:rsid w:val="00F034F7"/>
    <w:rsid w:val="00F03C89"/>
    <w:rsid w:val="00F043EF"/>
    <w:rsid w:val="00F0462D"/>
    <w:rsid w:val="00F06DE4"/>
    <w:rsid w:val="00F13117"/>
    <w:rsid w:val="00F131B1"/>
    <w:rsid w:val="00F1595B"/>
    <w:rsid w:val="00F15E44"/>
    <w:rsid w:val="00F16ADB"/>
    <w:rsid w:val="00F16E23"/>
    <w:rsid w:val="00F20AB8"/>
    <w:rsid w:val="00F20FD5"/>
    <w:rsid w:val="00F21003"/>
    <w:rsid w:val="00F21509"/>
    <w:rsid w:val="00F260CF"/>
    <w:rsid w:val="00F27DE4"/>
    <w:rsid w:val="00F32036"/>
    <w:rsid w:val="00F32320"/>
    <w:rsid w:val="00F34705"/>
    <w:rsid w:val="00F37850"/>
    <w:rsid w:val="00F37EA4"/>
    <w:rsid w:val="00F37EEF"/>
    <w:rsid w:val="00F41FE9"/>
    <w:rsid w:val="00F424F5"/>
    <w:rsid w:val="00F43A1E"/>
    <w:rsid w:val="00F43B15"/>
    <w:rsid w:val="00F43DEC"/>
    <w:rsid w:val="00F4415D"/>
    <w:rsid w:val="00F478D2"/>
    <w:rsid w:val="00F510F7"/>
    <w:rsid w:val="00F51734"/>
    <w:rsid w:val="00F555A1"/>
    <w:rsid w:val="00F64931"/>
    <w:rsid w:val="00F6582B"/>
    <w:rsid w:val="00F66DE5"/>
    <w:rsid w:val="00F70C0E"/>
    <w:rsid w:val="00F71E3E"/>
    <w:rsid w:val="00F72231"/>
    <w:rsid w:val="00F75918"/>
    <w:rsid w:val="00F807CA"/>
    <w:rsid w:val="00F83E82"/>
    <w:rsid w:val="00F84669"/>
    <w:rsid w:val="00F85EE7"/>
    <w:rsid w:val="00F877B3"/>
    <w:rsid w:val="00F95F65"/>
    <w:rsid w:val="00FA390C"/>
    <w:rsid w:val="00FA56F7"/>
    <w:rsid w:val="00FA6DC3"/>
    <w:rsid w:val="00FB09E1"/>
    <w:rsid w:val="00FB0E46"/>
    <w:rsid w:val="00FB24A2"/>
    <w:rsid w:val="00FB6CBB"/>
    <w:rsid w:val="00FB7D77"/>
    <w:rsid w:val="00FC1D36"/>
    <w:rsid w:val="00FC3BB3"/>
    <w:rsid w:val="00FC425E"/>
    <w:rsid w:val="00FC70C6"/>
    <w:rsid w:val="00FD4437"/>
    <w:rsid w:val="00FD4D80"/>
    <w:rsid w:val="00FE0AD4"/>
    <w:rsid w:val="00FE5FDC"/>
    <w:rsid w:val="00FE75FF"/>
    <w:rsid w:val="00FF0888"/>
    <w:rsid w:val="00FF2D04"/>
    <w:rsid w:val="00FF33F5"/>
    <w:rsid w:val="00FF3E4B"/>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93F81"/>
  <w15:chartTrackingRefBased/>
  <w15:docId w15:val="{1C892C16-730A-4C71-BF66-16E7703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F4"/>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FB7D77"/>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FB7D77"/>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FB7D77"/>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FB7D77"/>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77DF4"/>
    <w:rPr>
      <w:sz w:val="16"/>
      <w:szCs w:val="2"/>
    </w:rPr>
  </w:style>
  <w:style w:type="character" w:customStyle="1" w:styleId="BalloonTextChar">
    <w:name w:val="Balloon Text Char"/>
    <w:basedOn w:val="DefaultParagraphFont"/>
    <w:link w:val="BalloonText"/>
    <w:rsid w:val="00C77DF4"/>
    <w:rPr>
      <w:rFonts w:ascii="Times New Roman" w:eastAsia="Times New Roman" w:hAnsi="Times New Roman" w:cs="Times New Roman"/>
      <w:sz w:val="16"/>
      <w:szCs w:val="2"/>
    </w:rPr>
  </w:style>
  <w:style w:type="paragraph" w:styleId="E-mailSignature">
    <w:name w:val="E-mail Signature"/>
    <w:basedOn w:val="Normal"/>
    <w:link w:val="E-mailSignatureChar"/>
    <w:rsid w:val="00C77DF4"/>
  </w:style>
  <w:style w:type="character" w:customStyle="1" w:styleId="E-mailSignatureChar">
    <w:name w:val="E-mail Signature Char"/>
    <w:basedOn w:val="DefaultParagraphFont"/>
    <w:link w:val="E-mailSignature"/>
    <w:rsid w:val="00C77DF4"/>
    <w:rPr>
      <w:rFonts w:ascii="Times New Roman" w:eastAsia="Times New Roman" w:hAnsi="Times New Roman" w:cs="Times New Roman"/>
      <w:sz w:val="24"/>
      <w:szCs w:val="24"/>
    </w:rPr>
  </w:style>
  <w:style w:type="paragraph" w:customStyle="1" w:styleId="C2-CtrSglSp">
    <w:name w:val="C2-Ctr Sgl Sp"/>
    <w:rsid w:val="00C77DF4"/>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C77DF4"/>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C77DF4"/>
    <w:pPr>
      <w:tabs>
        <w:tab w:val="left" w:pos="1440"/>
        <w:tab w:val="right" w:leader="dot" w:pos="8208"/>
        <w:tab w:val="left" w:pos="8640"/>
      </w:tabs>
      <w:spacing w:line="240" w:lineRule="atLeast"/>
      <w:ind w:left="288"/>
    </w:pPr>
    <w:rPr>
      <w:caps/>
    </w:rPr>
  </w:style>
  <w:style w:type="paragraph" w:styleId="TOC2">
    <w:name w:val="toc 2"/>
    <w:basedOn w:val="Normal"/>
    <w:autoRedefine/>
    <w:rsid w:val="00C77DF4"/>
    <w:pPr>
      <w:tabs>
        <w:tab w:val="left" w:pos="2160"/>
        <w:tab w:val="right" w:leader="dot" w:pos="8208"/>
        <w:tab w:val="left" w:pos="8640"/>
      </w:tabs>
      <w:spacing w:line="240" w:lineRule="atLeast"/>
      <w:ind w:left="2160" w:hanging="720"/>
    </w:pPr>
  </w:style>
  <w:style w:type="paragraph" w:styleId="ListParagraph">
    <w:name w:val="List Paragraph"/>
    <w:basedOn w:val="Normal"/>
    <w:uiPriority w:val="34"/>
    <w:qFormat/>
    <w:rsid w:val="00C77DF4"/>
    <w:pPr>
      <w:ind w:left="720"/>
      <w:contextualSpacing/>
    </w:pPr>
  </w:style>
  <w:style w:type="character" w:customStyle="1" w:styleId="Heading1Char">
    <w:name w:val="Heading 1 Char"/>
    <w:aliases w:val="H1-Sec.Head Char"/>
    <w:basedOn w:val="DefaultParagraphFont"/>
    <w:link w:val="Heading1"/>
    <w:rsid w:val="00FB7D77"/>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FB7D77"/>
    <w:rPr>
      <w:rFonts w:ascii="Cambria" w:eastAsia="Times New Roman" w:hAnsi="Cambria" w:cs="Cambria"/>
      <w:b/>
      <w:bCs/>
      <w:i/>
      <w:iCs/>
      <w:sz w:val="28"/>
      <w:szCs w:val="28"/>
    </w:rPr>
  </w:style>
  <w:style w:type="character" w:customStyle="1" w:styleId="Heading3Char">
    <w:name w:val="Heading 3 Char"/>
    <w:basedOn w:val="DefaultParagraphFont"/>
    <w:link w:val="Heading3"/>
    <w:rsid w:val="00FB7D77"/>
    <w:rPr>
      <w:rFonts w:ascii="Cambria" w:eastAsia="Times New Roman" w:hAnsi="Cambria" w:cs="Cambria"/>
      <w:b/>
      <w:bCs/>
      <w:sz w:val="26"/>
      <w:szCs w:val="26"/>
    </w:rPr>
  </w:style>
  <w:style w:type="character" w:customStyle="1" w:styleId="Heading6Char">
    <w:name w:val="Heading 6 Char"/>
    <w:basedOn w:val="DefaultParagraphFont"/>
    <w:link w:val="Heading6"/>
    <w:rsid w:val="00FB7D77"/>
    <w:rPr>
      <w:rFonts w:ascii="Calibri" w:eastAsia="Times New Roman" w:hAnsi="Calibri" w:cs="Calibri"/>
      <w:b/>
      <w:b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FB7D77"/>
    <w:pPr>
      <w:spacing w:after="160"/>
      <w:ind w:firstLine="720"/>
    </w:pPr>
    <w:rPr>
      <w:sz w:val="22"/>
      <w:szCs w:val="22"/>
    </w:rPr>
  </w:style>
  <w:style w:type="paragraph" w:customStyle="1" w:styleId="objective">
    <w:name w:val="objective"/>
    <w:basedOn w:val="Normal"/>
    <w:rsid w:val="00FB7D77"/>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link w:val="BodyText2Char"/>
    <w:rsid w:val="00FB7D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basedOn w:val="DefaultParagraphFont"/>
    <w:link w:val="BodyText2"/>
    <w:rsid w:val="00FB7D77"/>
    <w:rPr>
      <w:rFonts w:ascii="Times New Roman" w:eastAsia="Times New Roman" w:hAnsi="Times New Roman" w:cs="Times New Roman"/>
      <w:sz w:val="24"/>
      <w:szCs w:val="24"/>
    </w:rPr>
  </w:style>
  <w:style w:type="paragraph" w:customStyle="1" w:styleId="SL-FlLftSgl">
    <w:name w:val="SL-Fl Lft Sgl"/>
    <w:rsid w:val="00FB7D77"/>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FB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B7D77"/>
    <w:rPr>
      <w:rFonts w:ascii="Courier New" w:eastAsia="Times New Roman" w:hAnsi="Courier New" w:cs="Courier New"/>
      <w:sz w:val="24"/>
      <w:szCs w:val="24"/>
    </w:rPr>
  </w:style>
  <w:style w:type="paragraph" w:customStyle="1" w:styleId="E1-Equation">
    <w:name w:val="E1-Equation"/>
    <w:rsid w:val="00FB7D77"/>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FB7D77"/>
    <w:rPr>
      <w:sz w:val="16"/>
      <w:szCs w:val="16"/>
    </w:rPr>
  </w:style>
  <w:style w:type="paragraph" w:styleId="CommentText">
    <w:name w:val="annotation text"/>
    <w:basedOn w:val="Normal"/>
    <w:link w:val="CommentTextChar"/>
    <w:uiPriority w:val="99"/>
    <w:rsid w:val="00FB7D77"/>
  </w:style>
  <w:style w:type="character" w:customStyle="1" w:styleId="CommentTextChar">
    <w:name w:val="Comment Text Char"/>
    <w:basedOn w:val="DefaultParagraphFont"/>
    <w:link w:val="CommentText"/>
    <w:uiPriority w:val="99"/>
    <w:rsid w:val="00FB7D7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FB7D77"/>
    <w:rPr>
      <w:b/>
      <w:bCs/>
    </w:rPr>
  </w:style>
  <w:style w:type="character" w:customStyle="1" w:styleId="CommentSubjectChar">
    <w:name w:val="Comment Subject Char"/>
    <w:basedOn w:val="CommentTextChar"/>
    <w:link w:val="CommentSubject"/>
    <w:semiHidden/>
    <w:rsid w:val="00FB7D77"/>
    <w:rPr>
      <w:rFonts w:ascii="Times New Roman" w:eastAsia="Times New Roman" w:hAnsi="Times New Roman" w:cs="Times New Roman"/>
      <w:b/>
      <w:bCs/>
      <w:sz w:val="24"/>
      <w:szCs w:val="24"/>
    </w:rPr>
  </w:style>
  <w:style w:type="character" w:styleId="PageNumber">
    <w:name w:val="page number"/>
    <w:basedOn w:val="DefaultParagraphFont"/>
    <w:rsid w:val="00FB7D77"/>
  </w:style>
  <w:style w:type="paragraph" w:styleId="NormalWeb">
    <w:name w:val="Normal (Web)"/>
    <w:basedOn w:val="Normal"/>
    <w:uiPriority w:val="99"/>
    <w:rsid w:val="00FB7D77"/>
    <w:pPr>
      <w:spacing w:before="100" w:beforeAutospacing="1" w:after="100" w:afterAutospacing="1"/>
    </w:pPr>
    <w:rPr>
      <w:color w:val="000000"/>
    </w:rPr>
  </w:style>
  <w:style w:type="paragraph" w:styleId="FootnoteText">
    <w:name w:val="footnote text"/>
    <w:basedOn w:val="Normal"/>
    <w:link w:val="FootnoteTextChar"/>
    <w:semiHidden/>
    <w:rsid w:val="00FB7D77"/>
  </w:style>
  <w:style w:type="character" w:customStyle="1" w:styleId="FootnoteTextChar">
    <w:name w:val="Footnote Text Char"/>
    <w:basedOn w:val="DefaultParagraphFont"/>
    <w:link w:val="FootnoteText"/>
    <w:semiHidden/>
    <w:rsid w:val="00FB7D77"/>
    <w:rPr>
      <w:rFonts w:ascii="Times New Roman" w:eastAsia="Times New Roman" w:hAnsi="Times New Roman" w:cs="Times New Roman"/>
      <w:sz w:val="24"/>
      <w:szCs w:val="24"/>
    </w:rPr>
  </w:style>
  <w:style w:type="character" w:styleId="FootnoteReference">
    <w:name w:val="footnote reference"/>
    <w:semiHidden/>
    <w:rsid w:val="00FB7D77"/>
    <w:rPr>
      <w:vertAlign w:val="superscript"/>
    </w:rPr>
  </w:style>
  <w:style w:type="paragraph" w:customStyle="1" w:styleId="Level1">
    <w:name w:val="Level 1"/>
    <w:basedOn w:val="Normal"/>
    <w:rsid w:val="00FB7D77"/>
    <w:pPr>
      <w:widowControl w:val="0"/>
      <w:numPr>
        <w:numId w:val="5"/>
      </w:numPr>
      <w:tabs>
        <w:tab w:val="num" w:pos="780"/>
      </w:tabs>
      <w:autoSpaceDE w:val="0"/>
      <w:autoSpaceDN w:val="0"/>
      <w:adjustRightInd w:val="0"/>
      <w:ind w:left="780" w:hanging="720"/>
      <w:outlineLvl w:val="0"/>
    </w:pPr>
  </w:style>
  <w:style w:type="paragraph" w:customStyle="1" w:styleId="a">
    <w:name w:val="_"/>
    <w:basedOn w:val="Normal"/>
    <w:link w:val="Char"/>
    <w:rsid w:val="00FB7D77"/>
    <w:pPr>
      <w:widowControl w:val="0"/>
      <w:autoSpaceDE w:val="0"/>
      <w:autoSpaceDN w:val="0"/>
      <w:adjustRightInd w:val="0"/>
      <w:ind w:left="720" w:hanging="720"/>
    </w:pPr>
  </w:style>
  <w:style w:type="character" w:customStyle="1" w:styleId="Char">
    <w:name w:val="_ Char"/>
    <w:link w:val="a"/>
    <w:rsid w:val="00FB7D77"/>
    <w:rPr>
      <w:rFonts w:ascii="Times New Roman" w:eastAsia="Times New Roman" w:hAnsi="Times New Roman" w:cs="Times New Roman"/>
      <w:sz w:val="24"/>
      <w:szCs w:val="24"/>
    </w:rPr>
  </w:style>
  <w:style w:type="character" w:styleId="Hyperlink">
    <w:name w:val="Hyperlink"/>
    <w:uiPriority w:val="99"/>
    <w:rsid w:val="00FB7D77"/>
    <w:rPr>
      <w:color w:val="0000FF"/>
      <w:u w:val="single"/>
    </w:rPr>
  </w:style>
  <w:style w:type="paragraph" w:styleId="PlainText">
    <w:name w:val="Plain Text"/>
    <w:basedOn w:val="Normal"/>
    <w:link w:val="PlainTextChar"/>
    <w:rsid w:val="00FB7D77"/>
    <w:rPr>
      <w:rFonts w:ascii="Courier New" w:hAnsi="Courier New" w:cs="Courier New"/>
    </w:rPr>
  </w:style>
  <w:style w:type="character" w:customStyle="1" w:styleId="PlainTextChar">
    <w:name w:val="Plain Text Char"/>
    <w:basedOn w:val="DefaultParagraphFont"/>
    <w:link w:val="PlainText"/>
    <w:rsid w:val="00FB7D77"/>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FB7D77"/>
    <w:rPr>
      <w:sz w:val="24"/>
      <w:szCs w:val="24"/>
      <w:lang w:val="en-US" w:eastAsia="en-US"/>
    </w:rPr>
  </w:style>
  <w:style w:type="paragraph" w:styleId="Header">
    <w:name w:val="header"/>
    <w:basedOn w:val="Normal"/>
    <w:link w:val="HeaderChar1"/>
    <w:uiPriority w:val="99"/>
    <w:rsid w:val="00FB7D77"/>
    <w:pPr>
      <w:tabs>
        <w:tab w:val="center" w:pos="4320"/>
        <w:tab w:val="right" w:pos="8640"/>
      </w:tabs>
    </w:pPr>
  </w:style>
  <w:style w:type="character" w:customStyle="1" w:styleId="HeaderChar">
    <w:name w:val="Header Char"/>
    <w:basedOn w:val="DefaultParagraphFont"/>
    <w:uiPriority w:val="99"/>
    <w:rsid w:val="00FB7D77"/>
    <w:rPr>
      <w:rFonts w:ascii="Times New Roman" w:eastAsia="Times New Roman" w:hAnsi="Times New Roman" w:cs="Times New Roman"/>
      <w:sz w:val="24"/>
      <w:szCs w:val="24"/>
    </w:rPr>
  </w:style>
  <w:style w:type="character" w:customStyle="1" w:styleId="HeaderChar1">
    <w:name w:val="Header Char1"/>
    <w:link w:val="Header"/>
    <w:rsid w:val="00FB7D77"/>
    <w:rPr>
      <w:rFonts w:ascii="Times New Roman" w:eastAsia="Times New Roman" w:hAnsi="Times New Roman" w:cs="Times New Roman"/>
      <w:sz w:val="24"/>
      <w:szCs w:val="24"/>
    </w:rPr>
  </w:style>
  <w:style w:type="paragraph" w:styleId="Footer">
    <w:name w:val="footer"/>
    <w:basedOn w:val="Normal"/>
    <w:link w:val="FooterChar"/>
    <w:rsid w:val="00FB7D77"/>
    <w:pPr>
      <w:tabs>
        <w:tab w:val="center" w:pos="4320"/>
        <w:tab w:val="right" w:pos="8640"/>
      </w:tabs>
    </w:pPr>
  </w:style>
  <w:style w:type="character" w:customStyle="1" w:styleId="FooterChar">
    <w:name w:val="Footer Char"/>
    <w:basedOn w:val="DefaultParagraphFont"/>
    <w:link w:val="Footer"/>
    <w:rsid w:val="00FB7D77"/>
    <w:rPr>
      <w:rFonts w:ascii="Times New Roman" w:eastAsia="Times New Roman" w:hAnsi="Times New Roman" w:cs="Times New Roman"/>
      <w:sz w:val="24"/>
      <w:szCs w:val="24"/>
    </w:rPr>
  </w:style>
  <w:style w:type="paragraph" w:styleId="BodyTextIndent2">
    <w:name w:val="Body Text Indent 2"/>
    <w:basedOn w:val="Normal"/>
    <w:link w:val="BodyTextIndent2Char"/>
    <w:rsid w:val="00FB7D77"/>
    <w:pPr>
      <w:spacing w:after="120" w:line="480" w:lineRule="auto"/>
      <w:ind w:left="360"/>
    </w:pPr>
  </w:style>
  <w:style w:type="character" w:customStyle="1" w:styleId="BodyTextIndent2Char">
    <w:name w:val="Body Text Indent 2 Char"/>
    <w:basedOn w:val="DefaultParagraphFont"/>
    <w:link w:val="BodyTextIndent2"/>
    <w:rsid w:val="00FB7D77"/>
    <w:rPr>
      <w:rFonts w:ascii="Times New Roman" w:eastAsia="Times New Roman" w:hAnsi="Times New Roman" w:cs="Times New Roman"/>
      <w:sz w:val="24"/>
      <w:szCs w:val="24"/>
    </w:rPr>
  </w:style>
  <w:style w:type="paragraph" w:customStyle="1" w:styleId="level10">
    <w:name w:val="level1"/>
    <w:basedOn w:val="Normal"/>
    <w:rsid w:val="00FB7D77"/>
    <w:pPr>
      <w:spacing w:before="100" w:beforeAutospacing="1" w:after="100" w:afterAutospacing="1"/>
    </w:pPr>
  </w:style>
  <w:style w:type="paragraph" w:customStyle="1" w:styleId="Quicka">
    <w:name w:val="Quick a."/>
    <w:basedOn w:val="Normal"/>
    <w:rsid w:val="00FB7D77"/>
    <w:pPr>
      <w:widowControl w:val="0"/>
    </w:pPr>
  </w:style>
  <w:style w:type="paragraph" w:customStyle="1" w:styleId="Quick1">
    <w:name w:val="Quick 1."/>
    <w:basedOn w:val="Normal"/>
    <w:rsid w:val="00FB7D77"/>
    <w:pPr>
      <w:widowControl w:val="0"/>
    </w:pPr>
  </w:style>
  <w:style w:type="paragraph" w:customStyle="1" w:styleId="N2-2ndBullet">
    <w:name w:val="N2-2nd Bullet"/>
    <w:basedOn w:val="Normal"/>
    <w:rsid w:val="00FB7D77"/>
    <w:pPr>
      <w:numPr>
        <w:numId w:val="6"/>
      </w:numPr>
      <w:tabs>
        <w:tab w:val="left" w:pos="1728"/>
      </w:tabs>
      <w:spacing w:after="240" w:line="240" w:lineRule="atLeast"/>
      <w:jc w:val="both"/>
    </w:pPr>
  </w:style>
  <w:style w:type="paragraph" w:customStyle="1" w:styleId="C1-CtrBoldHd">
    <w:name w:val="C1-Ctr BoldHd"/>
    <w:rsid w:val="00FB7D77"/>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FB7D77"/>
    <w:rPr>
      <w:b/>
      <w:bCs/>
      <w:sz w:val="20"/>
      <w:szCs w:val="20"/>
    </w:rPr>
  </w:style>
  <w:style w:type="character" w:customStyle="1" w:styleId="label-2">
    <w:name w:val="label-2"/>
    <w:rsid w:val="00FB7D77"/>
    <w:rPr>
      <w:b/>
      <w:bCs/>
      <w:sz w:val="20"/>
      <w:szCs w:val="20"/>
    </w:rPr>
  </w:style>
  <w:style w:type="character" w:customStyle="1" w:styleId="label-3">
    <w:name w:val="label-3"/>
    <w:rsid w:val="00FB7D77"/>
    <w:rPr>
      <w:b/>
      <w:bCs/>
      <w:sz w:val="20"/>
      <w:szCs w:val="20"/>
    </w:rPr>
  </w:style>
  <w:style w:type="character" w:customStyle="1" w:styleId="label-4">
    <w:name w:val="label-4"/>
    <w:rsid w:val="00FB7D77"/>
    <w:rPr>
      <w:b/>
      <w:bCs/>
      <w:sz w:val="20"/>
      <w:szCs w:val="20"/>
    </w:rPr>
  </w:style>
  <w:style w:type="character" w:customStyle="1" w:styleId="label-5">
    <w:name w:val="label-5"/>
    <w:rsid w:val="00FB7D77"/>
    <w:rPr>
      <w:b/>
      <w:bCs/>
      <w:sz w:val="20"/>
      <w:szCs w:val="20"/>
    </w:rPr>
  </w:style>
  <w:style w:type="character" w:customStyle="1" w:styleId="labelhead-1">
    <w:name w:val="labelhead-1"/>
    <w:rsid w:val="00FB7D77"/>
    <w:rPr>
      <w:sz w:val="20"/>
      <w:szCs w:val="20"/>
    </w:rPr>
  </w:style>
  <w:style w:type="paragraph" w:styleId="TOC5">
    <w:name w:val="toc 5"/>
    <w:basedOn w:val="TOC1"/>
    <w:autoRedefine/>
    <w:semiHidden/>
    <w:rsid w:val="00FB7D77"/>
    <w:pPr>
      <w:jc w:val="center"/>
    </w:pPr>
    <w:rPr>
      <w:caps w:val="0"/>
    </w:rPr>
  </w:style>
  <w:style w:type="paragraph" w:customStyle="1" w:styleId="Bulleted">
    <w:name w:val="Bulleted"/>
    <w:basedOn w:val="Normal"/>
    <w:autoRedefine/>
    <w:rsid w:val="00503294"/>
    <w:pPr>
      <w:tabs>
        <w:tab w:val="left" w:pos="3330"/>
      </w:tabs>
      <w:spacing w:line="276" w:lineRule="auto"/>
    </w:pPr>
    <w:rPr>
      <w:rFonts w:asciiTheme="minorHAnsi" w:hAnsiTheme="minorHAnsi" w:cstheme="minorHAnsi"/>
      <w:b/>
      <w:i/>
    </w:rPr>
  </w:style>
  <w:style w:type="character" w:customStyle="1" w:styleId="bibrecord-highlight">
    <w:name w:val="bibrecord-highlight"/>
    <w:basedOn w:val="DefaultParagraphFont"/>
    <w:rsid w:val="00FB7D77"/>
  </w:style>
  <w:style w:type="paragraph" w:styleId="ListBullet">
    <w:name w:val="List Bullet"/>
    <w:basedOn w:val="Normal"/>
    <w:autoRedefine/>
    <w:rsid w:val="00FB7D77"/>
    <w:pPr>
      <w:numPr>
        <w:numId w:val="8"/>
      </w:numPr>
      <w:ind w:left="360"/>
    </w:pPr>
  </w:style>
  <w:style w:type="paragraph" w:customStyle="1" w:styleId="abodytext">
    <w:name w:val="a_body text"/>
    <w:basedOn w:val="Normal"/>
    <w:rsid w:val="00FB7D77"/>
    <w:pPr>
      <w:spacing w:before="120" w:after="120" w:line="360" w:lineRule="auto"/>
      <w:ind w:firstLine="720"/>
    </w:pPr>
  </w:style>
  <w:style w:type="paragraph" w:customStyle="1" w:styleId="aaftertextindent">
    <w:name w:val="a_after text indent"/>
    <w:basedOn w:val="Normal"/>
    <w:rsid w:val="00FB7D77"/>
    <w:pPr>
      <w:spacing w:before="240" w:after="120" w:line="360" w:lineRule="auto"/>
      <w:ind w:firstLine="720"/>
    </w:pPr>
  </w:style>
  <w:style w:type="paragraph" w:customStyle="1" w:styleId="TableTitle">
    <w:name w:val="Table Title"/>
    <w:basedOn w:val="Normal"/>
    <w:rsid w:val="00FB7D77"/>
    <w:pPr>
      <w:keepNext/>
      <w:keepLines/>
      <w:spacing w:after="120"/>
      <w:ind w:left="1440" w:hanging="1440"/>
    </w:pPr>
    <w:rPr>
      <w:rFonts w:ascii="Arial" w:hAnsi="Arial" w:cs="Arial"/>
      <w:b/>
      <w:bCs/>
      <w:sz w:val="22"/>
      <w:szCs w:val="22"/>
    </w:rPr>
  </w:style>
  <w:style w:type="paragraph" w:customStyle="1" w:styleId="aaftertext">
    <w:name w:val="a_after text"/>
    <w:basedOn w:val="Normal"/>
    <w:rsid w:val="00FB7D77"/>
    <w:pPr>
      <w:spacing w:before="240" w:after="120" w:line="360" w:lineRule="auto"/>
    </w:pPr>
  </w:style>
  <w:style w:type="character" w:styleId="Strong">
    <w:name w:val="Strong"/>
    <w:uiPriority w:val="22"/>
    <w:qFormat/>
    <w:rsid w:val="00FB7D77"/>
    <w:rPr>
      <w:b/>
      <w:bCs/>
    </w:rPr>
  </w:style>
  <w:style w:type="paragraph" w:customStyle="1" w:styleId="TableTitleContinued">
    <w:name w:val="Table Title Continued"/>
    <w:basedOn w:val="TableTitle"/>
    <w:rsid w:val="00FB7D77"/>
    <w:pPr>
      <w:ind w:left="1152" w:hanging="1152"/>
    </w:pPr>
  </w:style>
  <w:style w:type="paragraph" w:customStyle="1" w:styleId="bullets">
    <w:name w:val="bullets"/>
    <w:aliases w:val="bu"/>
    <w:basedOn w:val="Normal"/>
    <w:rsid w:val="00FB7D77"/>
    <w:pPr>
      <w:numPr>
        <w:numId w:val="9"/>
      </w:numPr>
    </w:pPr>
    <w:rPr>
      <w:rFonts w:eastAsia="SimSun"/>
    </w:rPr>
  </w:style>
  <w:style w:type="paragraph" w:customStyle="1" w:styleId="a2colbul">
    <w:name w:val="a2col_bul"/>
    <w:basedOn w:val="Normal"/>
    <w:rsid w:val="00FB7D77"/>
    <w:pPr>
      <w:numPr>
        <w:ilvl w:val="1"/>
        <w:numId w:val="9"/>
      </w:numPr>
      <w:tabs>
        <w:tab w:val="clear" w:pos="1440"/>
      </w:tabs>
      <w:spacing w:after="60" w:line="240" w:lineRule="exact"/>
      <w:ind w:left="260" w:hanging="274"/>
    </w:pPr>
    <w:rPr>
      <w:rFonts w:eastAsia="SimSun"/>
    </w:rPr>
  </w:style>
  <w:style w:type="character" w:customStyle="1" w:styleId="CharChar">
    <w:name w:val="Char Char"/>
    <w:rsid w:val="00FB7D77"/>
    <w:rPr>
      <w:rFonts w:eastAsia="SimSun"/>
      <w:lang w:val="en-US" w:eastAsia="en-US"/>
    </w:rPr>
  </w:style>
  <w:style w:type="paragraph" w:customStyle="1" w:styleId="biblio">
    <w:name w:val="biblio"/>
    <w:basedOn w:val="Normal"/>
    <w:rsid w:val="00FB7D77"/>
    <w:pPr>
      <w:keepLines/>
      <w:spacing w:after="240"/>
      <w:ind w:left="720" w:hanging="720"/>
    </w:pPr>
  </w:style>
  <w:style w:type="paragraph" w:styleId="DocumentMap">
    <w:name w:val="Document Map"/>
    <w:basedOn w:val="Normal"/>
    <w:link w:val="DocumentMapChar"/>
    <w:rsid w:val="00FB7D77"/>
    <w:rPr>
      <w:rFonts w:ascii="Tahoma" w:hAnsi="Tahoma" w:cs="Tahoma"/>
      <w:sz w:val="16"/>
      <w:szCs w:val="16"/>
    </w:rPr>
  </w:style>
  <w:style w:type="character" w:customStyle="1" w:styleId="DocumentMapChar">
    <w:name w:val="Document Map Char"/>
    <w:basedOn w:val="DefaultParagraphFont"/>
    <w:link w:val="DocumentMap"/>
    <w:rsid w:val="00FB7D77"/>
    <w:rPr>
      <w:rFonts w:ascii="Tahoma" w:eastAsia="Times New Roman" w:hAnsi="Tahoma" w:cs="Tahoma"/>
      <w:sz w:val="16"/>
      <w:szCs w:val="16"/>
    </w:rPr>
  </w:style>
  <w:style w:type="character" w:styleId="FollowedHyperlink">
    <w:name w:val="FollowedHyperlink"/>
    <w:rsid w:val="00FB7D77"/>
    <w:rPr>
      <w:color w:val="800080"/>
      <w:u w:val="single"/>
    </w:rPr>
  </w:style>
  <w:style w:type="character" w:customStyle="1" w:styleId="ChristineCrossland">
    <w:name w:val="Christine Crossland"/>
    <w:semiHidden/>
    <w:rsid w:val="00FB7D77"/>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customStyle="1" w:styleId="Default">
    <w:name w:val="Default"/>
    <w:rsid w:val="00FB7D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FB7D77"/>
    <w:pPr>
      <w:spacing w:after="0" w:line="240" w:lineRule="auto"/>
    </w:pPr>
    <w:rPr>
      <w:rFonts w:ascii="Times New Roman" w:eastAsia="Times New Roman" w:hAnsi="Times New Roman" w:cs="Times New Roman"/>
      <w:sz w:val="24"/>
      <w:szCs w:val="24"/>
    </w:rPr>
  </w:style>
  <w:style w:type="paragraph" w:customStyle="1" w:styleId="OMBbodytext">
    <w:name w:val="OMB body text"/>
    <w:basedOn w:val="Normal"/>
    <w:link w:val="OMBbodytextChar"/>
    <w:uiPriority w:val="99"/>
    <w:rsid w:val="00FB7D77"/>
    <w:pPr>
      <w:spacing w:after="240"/>
    </w:pPr>
    <w:rPr>
      <w:szCs w:val="20"/>
    </w:rPr>
  </w:style>
  <w:style w:type="character" w:customStyle="1" w:styleId="OMBbodytextChar">
    <w:name w:val="OMB body text Char"/>
    <w:link w:val="OMBbodytext"/>
    <w:uiPriority w:val="99"/>
    <w:locked/>
    <w:rsid w:val="00FB7D77"/>
    <w:rPr>
      <w:rFonts w:ascii="Times New Roman" w:eastAsia="Times New Roman" w:hAnsi="Times New Roman" w:cs="Times New Roman"/>
      <w:sz w:val="24"/>
      <w:szCs w:val="20"/>
    </w:rPr>
  </w:style>
  <w:style w:type="paragraph" w:customStyle="1" w:styleId="Bodycopy">
    <w:name w:val="Body copy"/>
    <w:basedOn w:val="Normal"/>
    <w:link w:val="BodycopyChar"/>
    <w:qFormat/>
    <w:rsid w:val="00FB7D77"/>
    <w:pPr>
      <w:spacing w:after="160" w:line="280" w:lineRule="exact"/>
    </w:pPr>
    <w:rPr>
      <w:rFonts w:eastAsia="Calibri"/>
      <w:sz w:val="22"/>
      <w:szCs w:val="22"/>
    </w:rPr>
  </w:style>
  <w:style w:type="character" w:customStyle="1" w:styleId="BodycopyChar">
    <w:name w:val="Body copy Char"/>
    <w:link w:val="Bodycopy"/>
    <w:rsid w:val="00FB7D77"/>
    <w:rPr>
      <w:rFonts w:ascii="Times New Roman" w:eastAsia="Calibri" w:hAnsi="Times New Roman" w:cs="Times New Roman"/>
    </w:rPr>
  </w:style>
  <w:style w:type="character" w:styleId="Emphasis">
    <w:name w:val="Emphasis"/>
    <w:uiPriority w:val="20"/>
    <w:qFormat/>
    <w:rsid w:val="00FB7D77"/>
    <w:rPr>
      <w:b/>
      <w:bCs/>
      <w:i w:val="0"/>
      <w:iCs w:val="0"/>
    </w:rPr>
  </w:style>
  <w:style w:type="character" w:customStyle="1" w:styleId="st">
    <w:name w:val="st"/>
    <w:rsid w:val="00FB7D77"/>
  </w:style>
  <w:style w:type="paragraph" w:styleId="NoSpacing">
    <w:name w:val="No Spacing"/>
    <w:uiPriority w:val="1"/>
    <w:qFormat/>
    <w:rsid w:val="00FB7D77"/>
    <w:pPr>
      <w:spacing w:after="0" w:line="240" w:lineRule="auto"/>
    </w:pPr>
    <w:rPr>
      <w:rFonts w:ascii="Arial" w:eastAsia="Times New Roman" w:hAnsi="Arial" w:cs="Times New Roman"/>
    </w:rPr>
  </w:style>
  <w:style w:type="character" w:customStyle="1" w:styleId="type1">
    <w:name w:val="type1"/>
    <w:basedOn w:val="DefaultParagraphFont"/>
    <w:rsid w:val="00FB7D77"/>
    <w:rPr>
      <w:b/>
      <w:bCs/>
    </w:rPr>
  </w:style>
  <w:style w:type="character" w:customStyle="1" w:styleId="email4">
    <w:name w:val="email4"/>
    <w:basedOn w:val="DefaultParagraphFont"/>
    <w:rsid w:val="00FB7D77"/>
  </w:style>
  <w:style w:type="paragraph" w:customStyle="1" w:styleId="Quick">
    <w:name w:val="Quick"/>
    <w:basedOn w:val="Normal"/>
    <w:rsid w:val="00FB7D77"/>
    <w:pPr>
      <w:widowControl w:val="0"/>
      <w:ind w:left="360" w:hanging="360"/>
    </w:pPr>
    <w:rPr>
      <w:rFonts w:ascii="CG Times" w:hAnsi="CG Times"/>
      <w:snapToGrid w:val="0"/>
      <w:szCs w:val="20"/>
    </w:rPr>
  </w:style>
  <w:style w:type="character" w:customStyle="1" w:styleId="st1">
    <w:name w:val="st1"/>
    <w:basedOn w:val="DefaultParagraphFont"/>
    <w:rsid w:val="00FB7D77"/>
  </w:style>
  <w:style w:type="table" w:styleId="TableGrid">
    <w:name w:val="Table Grid"/>
    <w:basedOn w:val="TableNormal"/>
    <w:rsid w:val="00C806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rsid w:val="00D21CC2"/>
    <w:pPr>
      <w:spacing w:after="0" w:line="240" w:lineRule="auto"/>
    </w:pPr>
    <w:rPr>
      <w:rFonts w:ascii="Franklin Gothic Medium" w:eastAsia="Times New Roman" w:hAnsi="Franklin Gothic Medium" w:cs="Times New Roman"/>
      <w:sz w:val="20"/>
      <w:szCs w:val="20"/>
    </w:rPr>
  </w:style>
  <w:style w:type="table" w:customStyle="1" w:styleId="TableWestatStandardFormat">
    <w:name w:val="Table Westat Standard Format"/>
    <w:basedOn w:val="TableNormal"/>
    <w:rsid w:val="00D21CC2"/>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T-TableTitle">
    <w:name w:val="TT-Table Title"/>
    <w:link w:val="TT-TableTitleChar"/>
    <w:rsid w:val="00DA73A9"/>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character" w:customStyle="1" w:styleId="TT-TableTitleChar">
    <w:name w:val="TT-Table Title Char"/>
    <w:link w:val="TT-TableTitle"/>
    <w:rsid w:val="00DA73A9"/>
    <w:rPr>
      <w:rFonts w:ascii="Franklin Gothic Medium" w:eastAsia="Times New Roman" w:hAnsi="Franklin Gothic Medium" w:cs="Times New Roman"/>
      <w:szCs w:val="20"/>
    </w:rPr>
  </w:style>
  <w:style w:type="paragraph" w:customStyle="1" w:styleId="L1-FlLSp12">
    <w:name w:val="L1-FlL Sp&amp;1/2"/>
    <w:basedOn w:val="Normal"/>
    <w:link w:val="L1-FlLSp12Char"/>
    <w:rsid w:val="00DF569E"/>
    <w:pPr>
      <w:tabs>
        <w:tab w:val="left" w:pos="1152"/>
      </w:tabs>
      <w:spacing w:after="240" w:line="360" w:lineRule="auto"/>
    </w:pPr>
    <w:rPr>
      <w:rFonts w:ascii="Garamond" w:hAnsi="Garamond"/>
      <w:szCs w:val="20"/>
    </w:rPr>
  </w:style>
  <w:style w:type="character" w:customStyle="1" w:styleId="L1-FlLSp12Char">
    <w:name w:val="L1-FlL Sp&amp;1/2 Char"/>
    <w:basedOn w:val="DefaultParagraphFont"/>
    <w:link w:val="L1-FlLSp12"/>
    <w:rsid w:val="00DF569E"/>
    <w:rPr>
      <w:rFonts w:ascii="Garamond" w:eastAsia="Times New Roman" w:hAnsi="Garamond" w:cs="Times New Roman"/>
      <w:sz w:val="24"/>
      <w:szCs w:val="20"/>
    </w:rPr>
  </w:style>
  <w:style w:type="paragraph" w:customStyle="1" w:styleId="NL-1stNumberedBullet">
    <w:name w:val="NL-1st Numbered Bullet"/>
    <w:qFormat/>
    <w:rsid w:val="00DF569E"/>
    <w:pPr>
      <w:numPr>
        <w:numId w:val="23"/>
      </w:numPr>
      <w:spacing w:after="240" w:line="240" w:lineRule="auto"/>
    </w:pPr>
    <w:rPr>
      <w:rFonts w:ascii="Garamond" w:eastAsia="Times New Roman" w:hAnsi="Garamond" w:cs="Times New Roman"/>
      <w:sz w:val="24"/>
      <w:szCs w:val="20"/>
    </w:rPr>
  </w:style>
  <w:style w:type="paragraph" w:customStyle="1" w:styleId="N1-1stBullet">
    <w:name w:val="N1-1st Bullet"/>
    <w:basedOn w:val="Normal"/>
    <w:rsid w:val="006716F5"/>
    <w:pPr>
      <w:numPr>
        <w:numId w:val="25"/>
      </w:numPr>
      <w:spacing w:after="240"/>
    </w:pPr>
    <w:rPr>
      <w:rFonts w:ascii="Garamond" w:hAnsi="Garamond"/>
      <w:szCs w:val="20"/>
    </w:rPr>
  </w:style>
  <w:style w:type="paragraph" w:customStyle="1" w:styleId="FT-FigureTItle">
    <w:name w:val="FT-Figure TItle"/>
    <w:basedOn w:val="TT-TableTitle"/>
    <w:rsid w:val="006716F5"/>
  </w:style>
  <w:style w:type="paragraph" w:customStyle="1" w:styleId="N0-FlLftBullet">
    <w:name w:val="N0-Fl Lft Bullet"/>
    <w:basedOn w:val="Normal"/>
    <w:rsid w:val="00230A6B"/>
    <w:pPr>
      <w:tabs>
        <w:tab w:val="left" w:pos="576"/>
      </w:tabs>
      <w:spacing w:after="240"/>
      <w:ind w:left="576" w:hanging="576"/>
    </w:pPr>
    <w:rPr>
      <w:rFonts w:ascii="Garamond" w:hAnsi="Garamond"/>
      <w:szCs w:val="20"/>
    </w:rPr>
  </w:style>
  <w:style w:type="character" w:customStyle="1" w:styleId="UnresolvedMention1">
    <w:name w:val="Unresolved Mention1"/>
    <w:basedOn w:val="DefaultParagraphFont"/>
    <w:uiPriority w:val="99"/>
    <w:semiHidden/>
    <w:unhideWhenUsed/>
    <w:rsid w:val="00B9420D"/>
    <w:rPr>
      <w:color w:val="605E5C"/>
      <w:shd w:val="clear" w:color="auto" w:fill="E1DFDD"/>
    </w:rPr>
  </w:style>
  <w:style w:type="paragraph" w:customStyle="1" w:styleId="ColorfulList-Accent11">
    <w:name w:val="Colorful List - Accent 11"/>
    <w:basedOn w:val="Normal"/>
    <w:uiPriority w:val="34"/>
    <w:qFormat/>
    <w:rsid w:val="00C70415"/>
    <w:pPr>
      <w:spacing w:after="200" w:line="276" w:lineRule="auto"/>
      <w:ind w:left="720"/>
      <w:contextualSpacing/>
    </w:pPr>
    <w:rPr>
      <w:rFonts w:ascii="Calibri" w:eastAsia="Calibri" w:hAnsi="Calibri"/>
      <w:sz w:val="22"/>
      <w:szCs w:val="22"/>
    </w:rPr>
  </w:style>
  <w:style w:type="paragraph" w:styleId="EndnoteText">
    <w:name w:val="endnote text"/>
    <w:basedOn w:val="Normal"/>
    <w:link w:val="EndnoteTextChar"/>
    <w:uiPriority w:val="99"/>
    <w:rsid w:val="00FA56F7"/>
    <w:rPr>
      <w:sz w:val="20"/>
      <w:szCs w:val="20"/>
    </w:rPr>
  </w:style>
  <w:style w:type="character" w:customStyle="1" w:styleId="EndnoteTextChar">
    <w:name w:val="Endnote Text Char"/>
    <w:basedOn w:val="DefaultParagraphFont"/>
    <w:link w:val="EndnoteText"/>
    <w:uiPriority w:val="99"/>
    <w:rsid w:val="00FA56F7"/>
    <w:rPr>
      <w:rFonts w:ascii="Times New Roman" w:eastAsia="Times New Roman" w:hAnsi="Times New Roman" w:cs="Times New Roman"/>
      <w:sz w:val="20"/>
      <w:szCs w:val="20"/>
    </w:rPr>
  </w:style>
  <w:style w:type="character" w:styleId="EndnoteReference">
    <w:name w:val="endnote reference"/>
    <w:uiPriority w:val="99"/>
    <w:rsid w:val="00FA56F7"/>
    <w:rPr>
      <w:vertAlign w:val="superscript"/>
    </w:rPr>
  </w:style>
  <w:style w:type="paragraph" w:customStyle="1" w:styleId="footnotedescription">
    <w:name w:val="footnote description"/>
    <w:next w:val="Normal"/>
    <w:link w:val="footnotedescriptionChar"/>
    <w:hidden/>
    <w:rsid w:val="006959DA"/>
    <w:pPr>
      <w:spacing w:after="0" w:line="265"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959DA"/>
    <w:rPr>
      <w:rFonts w:ascii="Times New Roman" w:eastAsia="Times New Roman" w:hAnsi="Times New Roman" w:cs="Times New Roman"/>
      <w:color w:val="000000"/>
      <w:sz w:val="18"/>
    </w:rPr>
  </w:style>
  <w:style w:type="character" w:customStyle="1" w:styleId="footnotemark">
    <w:name w:val="footnote mark"/>
    <w:hidden/>
    <w:rsid w:val="006959DA"/>
    <w:rPr>
      <w:rFonts w:ascii="Times New Roman" w:eastAsia="Times New Roman" w:hAnsi="Times New Roman" w:cs="Times New Roman"/>
      <w:color w:val="000000"/>
      <w:sz w:val="18"/>
      <w:vertAlign w:val="superscript"/>
    </w:rPr>
  </w:style>
  <w:style w:type="paragraph" w:customStyle="1" w:styleId="BasicText">
    <w:name w:val="BasicText"/>
    <w:basedOn w:val="BodyText"/>
    <w:link w:val="BasicTextChar"/>
    <w:qFormat/>
    <w:rsid w:val="00B457FB"/>
    <w:pPr>
      <w:tabs>
        <w:tab w:val="left" w:pos="432"/>
      </w:tabs>
      <w:spacing w:after="240" w:line="280" w:lineRule="exact"/>
    </w:pPr>
    <w:rPr>
      <w:rFonts w:ascii="Arial" w:eastAsia="MS Mincho" w:hAnsi="Arial"/>
      <w:spacing w:val="-2"/>
      <w:sz w:val="20"/>
      <w:szCs w:val="20"/>
    </w:rPr>
  </w:style>
  <w:style w:type="character" w:customStyle="1" w:styleId="BasicTextChar">
    <w:name w:val="BasicText Char"/>
    <w:link w:val="BasicText"/>
    <w:rsid w:val="00B457FB"/>
    <w:rPr>
      <w:rFonts w:ascii="Arial" w:eastAsia="MS Mincho" w:hAnsi="Arial" w:cs="Times New Roman"/>
      <w:spacing w:val="-2"/>
      <w:sz w:val="20"/>
      <w:szCs w:val="20"/>
    </w:rPr>
  </w:style>
  <w:style w:type="paragraph" w:styleId="BodyText">
    <w:name w:val="Body Text"/>
    <w:basedOn w:val="Normal"/>
    <w:link w:val="BodyTextChar"/>
    <w:uiPriority w:val="99"/>
    <w:semiHidden/>
    <w:unhideWhenUsed/>
    <w:rsid w:val="00B457FB"/>
    <w:pPr>
      <w:spacing w:after="120"/>
    </w:pPr>
  </w:style>
  <w:style w:type="character" w:customStyle="1" w:styleId="BodyTextChar">
    <w:name w:val="Body Text Char"/>
    <w:basedOn w:val="DefaultParagraphFont"/>
    <w:link w:val="BodyText"/>
    <w:uiPriority w:val="99"/>
    <w:semiHidden/>
    <w:rsid w:val="00B457FB"/>
    <w:rPr>
      <w:rFonts w:ascii="Times New Roman" w:eastAsia="Times New Roman" w:hAnsi="Times New Roman" w:cs="Times New Roman"/>
      <w:sz w:val="24"/>
      <w:szCs w:val="24"/>
    </w:rPr>
  </w:style>
  <w:style w:type="paragraph" w:customStyle="1" w:styleId="NormalSS">
    <w:name w:val="NormalSS"/>
    <w:basedOn w:val="Normal"/>
    <w:link w:val="NormalSSChar"/>
    <w:qFormat/>
    <w:rsid w:val="00EE7761"/>
    <w:pPr>
      <w:spacing w:after="240"/>
      <w:ind w:firstLine="432"/>
    </w:pPr>
    <w:rPr>
      <w:szCs w:val="20"/>
    </w:rPr>
  </w:style>
  <w:style w:type="character" w:customStyle="1" w:styleId="NormalSSChar">
    <w:name w:val="NormalSS Char"/>
    <w:link w:val="NormalSS"/>
    <w:locked/>
    <w:rsid w:val="00EE7761"/>
    <w:rPr>
      <w:rFonts w:ascii="Times New Roman" w:eastAsia="Times New Roman" w:hAnsi="Times New Roman" w:cs="Times New Roman"/>
      <w:sz w:val="24"/>
      <w:szCs w:val="20"/>
    </w:rPr>
  </w:style>
  <w:style w:type="character" w:customStyle="1" w:styleId="apple-converted-space">
    <w:name w:val="apple-converted-space"/>
    <w:basedOn w:val="DefaultParagraphFont"/>
    <w:rsid w:val="00503294"/>
  </w:style>
  <w:style w:type="paragraph" w:customStyle="1" w:styleId="default0">
    <w:name w:val="default"/>
    <w:basedOn w:val="Normal"/>
    <w:rsid w:val="005032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05449">
      <w:bodyDiv w:val="1"/>
      <w:marLeft w:val="0"/>
      <w:marRight w:val="0"/>
      <w:marTop w:val="0"/>
      <w:marBottom w:val="0"/>
      <w:divBdr>
        <w:top w:val="none" w:sz="0" w:space="0" w:color="auto"/>
        <w:left w:val="none" w:sz="0" w:space="0" w:color="auto"/>
        <w:bottom w:val="none" w:sz="0" w:space="0" w:color="auto"/>
        <w:right w:val="none" w:sz="0" w:space="0" w:color="auto"/>
      </w:divBdr>
    </w:div>
    <w:div w:id="547226832">
      <w:bodyDiv w:val="1"/>
      <w:marLeft w:val="0"/>
      <w:marRight w:val="0"/>
      <w:marTop w:val="0"/>
      <w:marBottom w:val="0"/>
      <w:divBdr>
        <w:top w:val="none" w:sz="0" w:space="0" w:color="auto"/>
        <w:left w:val="none" w:sz="0" w:space="0" w:color="auto"/>
        <w:bottom w:val="none" w:sz="0" w:space="0" w:color="auto"/>
        <w:right w:val="none" w:sz="0" w:space="0" w:color="auto"/>
      </w:divBdr>
    </w:div>
    <w:div w:id="582834527">
      <w:bodyDiv w:val="1"/>
      <w:marLeft w:val="0"/>
      <w:marRight w:val="0"/>
      <w:marTop w:val="0"/>
      <w:marBottom w:val="0"/>
      <w:divBdr>
        <w:top w:val="none" w:sz="0" w:space="0" w:color="auto"/>
        <w:left w:val="none" w:sz="0" w:space="0" w:color="auto"/>
        <w:bottom w:val="none" w:sz="0" w:space="0" w:color="auto"/>
        <w:right w:val="none" w:sz="0" w:space="0" w:color="auto"/>
      </w:divBdr>
    </w:div>
    <w:div w:id="590822859">
      <w:bodyDiv w:val="1"/>
      <w:marLeft w:val="0"/>
      <w:marRight w:val="0"/>
      <w:marTop w:val="0"/>
      <w:marBottom w:val="0"/>
      <w:divBdr>
        <w:top w:val="none" w:sz="0" w:space="0" w:color="auto"/>
        <w:left w:val="none" w:sz="0" w:space="0" w:color="auto"/>
        <w:bottom w:val="none" w:sz="0" w:space="0" w:color="auto"/>
        <w:right w:val="none" w:sz="0" w:space="0" w:color="auto"/>
      </w:divBdr>
    </w:div>
    <w:div w:id="781221057">
      <w:bodyDiv w:val="1"/>
      <w:marLeft w:val="0"/>
      <w:marRight w:val="0"/>
      <w:marTop w:val="0"/>
      <w:marBottom w:val="0"/>
      <w:divBdr>
        <w:top w:val="none" w:sz="0" w:space="0" w:color="auto"/>
        <w:left w:val="none" w:sz="0" w:space="0" w:color="auto"/>
        <w:bottom w:val="none" w:sz="0" w:space="0" w:color="auto"/>
        <w:right w:val="none" w:sz="0" w:space="0" w:color="auto"/>
      </w:divBdr>
      <w:divsChild>
        <w:div w:id="1004086856">
          <w:marLeft w:val="446"/>
          <w:marRight w:val="0"/>
          <w:marTop w:val="60"/>
          <w:marBottom w:val="160"/>
          <w:divBdr>
            <w:top w:val="none" w:sz="0" w:space="0" w:color="auto"/>
            <w:left w:val="none" w:sz="0" w:space="0" w:color="auto"/>
            <w:bottom w:val="none" w:sz="0" w:space="0" w:color="auto"/>
            <w:right w:val="none" w:sz="0" w:space="0" w:color="auto"/>
          </w:divBdr>
        </w:div>
      </w:divsChild>
    </w:div>
    <w:div w:id="870924400">
      <w:bodyDiv w:val="1"/>
      <w:marLeft w:val="0"/>
      <w:marRight w:val="0"/>
      <w:marTop w:val="0"/>
      <w:marBottom w:val="0"/>
      <w:divBdr>
        <w:top w:val="none" w:sz="0" w:space="0" w:color="auto"/>
        <w:left w:val="none" w:sz="0" w:space="0" w:color="auto"/>
        <w:bottom w:val="none" w:sz="0" w:space="0" w:color="auto"/>
        <w:right w:val="none" w:sz="0" w:space="0" w:color="auto"/>
      </w:divBdr>
    </w:div>
    <w:div w:id="1415590693">
      <w:bodyDiv w:val="1"/>
      <w:marLeft w:val="0"/>
      <w:marRight w:val="0"/>
      <w:marTop w:val="0"/>
      <w:marBottom w:val="0"/>
      <w:divBdr>
        <w:top w:val="none" w:sz="0" w:space="0" w:color="auto"/>
        <w:left w:val="none" w:sz="0" w:space="0" w:color="auto"/>
        <w:bottom w:val="none" w:sz="0" w:space="0" w:color="auto"/>
        <w:right w:val="none" w:sz="0" w:space="0" w:color="auto"/>
      </w:divBdr>
      <w:divsChild>
        <w:div w:id="217202951">
          <w:marLeft w:val="446"/>
          <w:marRight w:val="0"/>
          <w:marTop w:val="60"/>
          <w:marBottom w:val="160"/>
          <w:divBdr>
            <w:top w:val="none" w:sz="0" w:space="0" w:color="auto"/>
            <w:left w:val="none" w:sz="0" w:space="0" w:color="auto"/>
            <w:bottom w:val="none" w:sz="0" w:space="0" w:color="auto"/>
            <w:right w:val="none" w:sz="0" w:space="0" w:color="auto"/>
          </w:divBdr>
        </w:div>
      </w:divsChild>
    </w:div>
    <w:div w:id="1574049778">
      <w:bodyDiv w:val="1"/>
      <w:marLeft w:val="0"/>
      <w:marRight w:val="0"/>
      <w:marTop w:val="0"/>
      <w:marBottom w:val="0"/>
      <w:divBdr>
        <w:top w:val="none" w:sz="0" w:space="0" w:color="auto"/>
        <w:left w:val="none" w:sz="0" w:space="0" w:color="auto"/>
        <w:bottom w:val="none" w:sz="0" w:space="0" w:color="auto"/>
        <w:right w:val="none" w:sz="0" w:space="0" w:color="auto"/>
      </w:divBdr>
    </w:div>
    <w:div w:id="1744374069">
      <w:bodyDiv w:val="1"/>
      <w:marLeft w:val="0"/>
      <w:marRight w:val="0"/>
      <w:marTop w:val="0"/>
      <w:marBottom w:val="0"/>
      <w:divBdr>
        <w:top w:val="none" w:sz="0" w:space="0" w:color="auto"/>
        <w:left w:val="none" w:sz="0" w:space="0" w:color="auto"/>
        <w:bottom w:val="none" w:sz="0" w:space="0" w:color="auto"/>
        <w:right w:val="none" w:sz="0" w:space="0" w:color="auto"/>
      </w:divBdr>
    </w:div>
    <w:div w:id="21323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OMBHistory?ombControlNumber=0920-049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ttp://www.cdc.gov/injury/wisqars/" TargetMode="External"/><Relationship Id="rId13" Type="http://schemas.openxmlformats.org/officeDocument/2006/relationships/hyperlink" Target="https://health.baltimorecity.gov/programs/violence-prevention" TargetMode="External"/><Relationship Id="rId3" Type="http://schemas.openxmlformats.org/officeDocument/2006/relationships/hyperlink" Target="ttps://www.cdc.gov/violenceprevention/childabuseandneglect/index.html." TargetMode="External"/><Relationship Id="rId7" Type="http://schemas.openxmlformats.org/officeDocument/2006/relationships/hyperlink" Target="ttp://www.cdc.gov/injury/wisqars/" TargetMode="External"/><Relationship Id="rId12" Type="http://schemas.openxmlformats.org/officeDocument/2006/relationships/hyperlink" Target="https://ucr.fbi.gov/crime-in-the-u.s/2017/crime-in-the-u.s.-2017/tables/table-8/table-8-state-cuts/maryland.xls" TargetMode="External"/><Relationship Id="rId2" Type="http://schemas.openxmlformats.org/officeDocument/2006/relationships/hyperlink" Target="https://www.census.gov/library/visualizations/2018/comm/historic-first.html" TargetMode="External"/><Relationship Id="rId1" Type="http://schemas.openxmlformats.org/officeDocument/2006/relationships/hyperlink" Target="https://www.cdc.gov/violenceprevention/childabuseandneglect/vacs/" TargetMode="External"/><Relationship Id="rId6" Type="http://schemas.openxmlformats.org/officeDocument/2006/relationships/hyperlink" Target="ttp://www.cdc.gov/injury/wisqars/" TargetMode="External"/><Relationship Id="rId11" Type="http://schemas.openxmlformats.org/officeDocument/2006/relationships/hyperlink" Target="https://www.cdc.gov/violenceprevention/youthviolence/resources.html" TargetMode="External"/><Relationship Id="rId5" Type="http://schemas.openxmlformats.org/officeDocument/2006/relationships/hyperlink" Target="ttps://www.cdc.gov/violenceprevention/childabuseandneglect/index.html." TargetMode="External"/><Relationship Id="rId10" Type="http://schemas.openxmlformats.org/officeDocument/2006/relationships/hyperlink" Target="https://www.cdc.gov/violenceprevention/youthviolence/riskprotectivefactors.html" TargetMode="External"/><Relationship Id="rId4" Type="http://schemas.openxmlformats.org/officeDocument/2006/relationships/hyperlink" Target="ttps://www.cdc.gov/violenceprevention/childabuseandneglect/index.html." TargetMode="External"/><Relationship Id="rId9" Type="http://schemas.openxmlformats.org/officeDocument/2006/relationships/hyperlink" Target="http://www.unicef.org/violencestudy/presskits/2%20Study%20findings_Press%20kit%20EN.pdf" TargetMode="External"/><Relationship Id="rId14" Type="http://schemas.openxmlformats.org/officeDocument/2006/relationships/hyperlink" Target="http://www.aapor.org/Progra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2" ma:contentTypeDescription="Create a new document." ma:contentTypeScope="" ma:versionID="d7ca45f5494c0bf1e6afeaa8a736ad08">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11c344fee23aedd8ced713a7da7b473f"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2720-23EC-4805-85CB-06FC45A0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9B827-3529-47F4-B24A-9DA0DD044903}">
  <ds:schemaRefs>
    <ds:schemaRef ds:uri="http://schemas.microsoft.com/sharepoint/v3/contenttype/forms"/>
  </ds:schemaRefs>
</ds:datastoreItem>
</file>

<file path=customXml/itemProps3.xml><?xml version="1.0" encoding="utf-8"?>
<ds:datastoreItem xmlns:ds="http://schemas.openxmlformats.org/officeDocument/2006/customXml" ds:itemID="{2FA7AB0F-BA6E-4996-86A6-CE3B88710453}">
  <ds:schemaRefs>
    <ds:schemaRef ds:uri="0c96800b-b425-4f1f-a293-d10a6021442d"/>
    <ds:schemaRef ds:uri="http://schemas.microsoft.com/sharepoint/v3"/>
    <ds:schemaRef ds:uri="http://purl.org/dc/terms/"/>
    <ds:schemaRef ds:uri="e3b77f1f-da53-454b-89e0-50f1aaf16bd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E0BF5C3-4848-480F-B903-F20C50FC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7389</Words>
  <Characters>42119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(CDC/DDNID/NCIPC/DVP)</dc:creator>
  <cp:keywords/>
  <dc:description/>
  <cp:lastModifiedBy>Angel, Karen C. (CDC/DDNID/NCIPC/OD)</cp:lastModifiedBy>
  <cp:revision>3</cp:revision>
  <cp:lastPrinted>2020-07-02T18:01:00Z</cp:lastPrinted>
  <dcterms:created xsi:type="dcterms:W3CDTF">2020-12-14T20:05:00Z</dcterms:created>
  <dcterms:modified xsi:type="dcterms:W3CDTF">2020-12-14T20:07:00Z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Enabled">
    <vt:lpwstr>true</vt:lpwstr>
  </property>
  <property fmtid="{D5CDD505-2E9C-101B-9397-08002B2CF9AE}" pid="4" name="MSIP_Label_7b94a7b8-f06c-4dfe-bdcc-9b548fd58c31_SetDate">
    <vt:lpwstr>2020-12-08T19:16:51Z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1a766ae8-20ae-4d50-bb55-585618bb0d3c</vt:lpwstr>
  </property>
  <property fmtid="{D5CDD505-2E9C-101B-9397-08002B2CF9AE}" pid="9" name="MSIP_Label_7b94a7b8-f06c-4dfe-bdcc-9b548fd58c31_ContentBits">
    <vt:lpwstr>0</vt:lpwstr>
  </property>
</Properties>
</file>