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2E1" w:rsidP="00BF72E1" w:rsidRDefault="00BF72E1" w14:paraId="2D0C83EF" w14:textId="1A63EC63">
      <w:pPr>
        <w:keepNext/>
        <w:keepLines/>
        <w:jc w:val="center"/>
        <w:outlineLvl w:val="6"/>
        <w:rPr>
          <w:rFonts w:asciiTheme="majorHAnsi" w:hAnsiTheme="majorHAnsi" w:eastAsiaTheme="majorEastAsia" w:cstheme="majorBidi"/>
          <w:i/>
          <w:iCs/>
          <w:color w:val="404040" w:themeColor="text1" w:themeTint="BF"/>
          <w:sz w:val="28"/>
          <w:szCs w:val="28"/>
        </w:rPr>
      </w:pPr>
      <w:bookmarkStart w:name="_Toc67387400" w:id="0"/>
      <w:r>
        <w:rPr>
          <w:rFonts w:eastAsiaTheme="majorEastAsia"/>
          <w:b/>
          <w:i/>
          <w:iCs/>
          <w:color w:val="404040" w:themeColor="text1" w:themeTint="BF"/>
          <w:sz w:val="28"/>
          <w:szCs w:val="28"/>
        </w:rPr>
        <w:t xml:space="preserve">SUPPORTING STATEMENT:  </w:t>
      </w:r>
      <w:r>
        <w:rPr>
          <w:rFonts w:asciiTheme="majorHAnsi" w:hAnsiTheme="majorHAnsi" w:eastAsiaTheme="majorEastAsia" w:cstheme="majorBidi"/>
          <w:i/>
          <w:iCs/>
          <w:color w:val="404040" w:themeColor="text1" w:themeTint="BF"/>
          <w:sz w:val="28"/>
          <w:szCs w:val="28"/>
        </w:rPr>
        <w:t>PART B</w:t>
      </w:r>
    </w:p>
    <w:p w:rsidR="006B2EBD" w:rsidP="00BF72E1" w:rsidRDefault="006B2EBD" w14:paraId="06705D1F" w14:textId="1FB128DC">
      <w:pPr>
        <w:keepNext/>
        <w:keepLines/>
        <w:jc w:val="center"/>
        <w:outlineLvl w:val="6"/>
        <w:rPr>
          <w:rFonts w:asciiTheme="majorHAnsi" w:hAnsiTheme="majorHAnsi" w:eastAsiaTheme="majorEastAsia" w:cstheme="majorBidi"/>
          <w:i/>
          <w:iCs/>
          <w:color w:val="404040" w:themeColor="text1" w:themeTint="BF"/>
          <w:sz w:val="28"/>
          <w:szCs w:val="28"/>
        </w:rPr>
      </w:pPr>
    </w:p>
    <w:p w:rsidR="006B2EBD" w:rsidP="00BF72E1" w:rsidRDefault="006B2EBD" w14:paraId="6A79350B" w14:textId="46F4DEE2">
      <w:pPr>
        <w:keepNext/>
        <w:keepLines/>
        <w:jc w:val="center"/>
        <w:outlineLvl w:val="6"/>
        <w:rPr>
          <w:rFonts w:asciiTheme="majorHAnsi" w:hAnsiTheme="majorHAnsi" w:eastAsiaTheme="majorEastAsia" w:cstheme="majorBidi"/>
          <w:i/>
          <w:iCs/>
          <w:color w:val="404040" w:themeColor="text1" w:themeTint="BF"/>
          <w:sz w:val="28"/>
          <w:szCs w:val="28"/>
        </w:rPr>
      </w:pPr>
    </w:p>
    <w:p w:rsidR="006B2EBD" w:rsidP="00BF72E1" w:rsidRDefault="006B2EBD" w14:paraId="3B174F8E" w14:textId="0853D10F">
      <w:pPr>
        <w:keepNext/>
        <w:keepLines/>
        <w:jc w:val="center"/>
        <w:outlineLvl w:val="6"/>
        <w:rPr>
          <w:rFonts w:asciiTheme="majorHAnsi" w:hAnsiTheme="majorHAnsi" w:eastAsiaTheme="majorEastAsia" w:cstheme="majorBidi"/>
          <w:i/>
          <w:iCs/>
          <w:color w:val="404040" w:themeColor="text1" w:themeTint="BF"/>
          <w:sz w:val="28"/>
          <w:szCs w:val="28"/>
        </w:rPr>
      </w:pPr>
    </w:p>
    <w:p w:rsidR="006B2EBD" w:rsidP="00BF72E1" w:rsidRDefault="006B2EBD" w14:paraId="1287D118" w14:textId="77777777">
      <w:pPr>
        <w:keepNext/>
        <w:keepLines/>
        <w:jc w:val="center"/>
        <w:outlineLvl w:val="6"/>
        <w:rPr>
          <w:rFonts w:asciiTheme="majorHAnsi" w:hAnsiTheme="majorHAnsi" w:eastAsiaTheme="majorEastAsia" w:cstheme="majorBidi"/>
          <w:i/>
          <w:iCs/>
          <w:color w:val="404040" w:themeColor="text1" w:themeTint="BF"/>
          <w:sz w:val="28"/>
          <w:szCs w:val="28"/>
        </w:rPr>
      </w:pPr>
    </w:p>
    <w:p w:rsidR="00BF72E1" w:rsidP="00BF72E1" w:rsidRDefault="00BF72E1" w14:paraId="542E2677" w14:textId="77777777">
      <w:pPr>
        <w:keepNext/>
        <w:keepLines/>
        <w:jc w:val="center"/>
        <w:outlineLvl w:val="6"/>
        <w:rPr>
          <w:rFonts w:asciiTheme="majorHAnsi" w:hAnsiTheme="majorHAnsi" w:eastAsiaTheme="majorEastAsia" w:cstheme="majorBidi"/>
          <w:i/>
          <w:iCs/>
          <w:color w:val="404040" w:themeColor="text1" w:themeTint="BF"/>
          <w:sz w:val="28"/>
          <w:szCs w:val="28"/>
        </w:rPr>
      </w:pPr>
    </w:p>
    <w:p w:rsidR="00BF72E1" w:rsidP="00BF72E1" w:rsidRDefault="00BF72E1" w14:paraId="069E770B" w14:textId="0C9D39B7">
      <w:pPr>
        <w:autoSpaceDE w:val="0"/>
        <w:autoSpaceDN w:val="0"/>
        <w:adjustRightInd w:val="0"/>
        <w:ind w:left="720"/>
        <w:rPr>
          <w:b/>
          <w:bCs/>
        </w:rPr>
      </w:pPr>
      <w:r>
        <w:rPr>
          <w:b/>
          <w:color w:val="000000"/>
        </w:rPr>
        <w:t xml:space="preserve">Medication-Assisted Treatment (MAT) for Opioid </w:t>
      </w:r>
      <w:r w:rsidR="004C2450">
        <w:rPr>
          <w:b/>
          <w:color w:val="000000"/>
        </w:rPr>
        <w:t xml:space="preserve">Use Disorders Study </w:t>
      </w:r>
    </w:p>
    <w:p w:rsidR="00BF72E1" w:rsidP="00BF72E1" w:rsidRDefault="00BF72E1" w14:paraId="08499A52" w14:textId="77777777">
      <w:pPr>
        <w:jc w:val="center"/>
        <w:rPr>
          <w:b/>
        </w:rPr>
      </w:pPr>
    </w:p>
    <w:p w:rsidR="00BF72E1" w:rsidP="00BF72E1" w:rsidRDefault="00BF72E1" w14:paraId="0AB1ED8C" w14:textId="7F6D325F">
      <w:pPr>
        <w:jc w:val="center"/>
        <w:rPr>
          <w:b/>
        </w:rPr>
      </w:pPr>
    </w:p>
    <w:p w:rsidR="006B2EBD" w:rsidP="00BF72E1" w:rsidRDefault="006B2EBD" w14:paraId="1B32709B" w14:textId="7916BB27">
      <w:pPr>
        <w:jc w:val="center"/>
        <w:rPr>
          <w:b/>
        </w:rPr>
      </w:pPr>
    </w:p>
    <w:p w:rsidR="006B2EBD" w:rsidP="00BF72E1" w:rsidRDefault="006B2EBD" w14:paraId="7816C6FE" w14:textId="1CDCF9FC">
      <w:pPr>
        <w:jc w:val="center"/>
        <w:rPr>
          <w:b/>
        </w:rPr>
      </w:pPr>
    </w:p>
    <w:p w:rsidR="006B2EBD" w:rsidP="00BF72E1" w:rsidRDefault="006B2EBD" w14:paraId="646EE7D3" w14:textId="0DC07B19">
      <w:pPr>
        <w:jc w:val="center"/>
        <w:rPr>
          <w:b/>
        </w:rPr>
      </w:pPr>
    </w:p>
    <w:p w:rsidR="006B2EBD" w:rsidP="00BF72E1" w:rsidRDefault="006B2EBD" w14:paraId="2C3F21B6" w14:textId="0CFCFC5E">
      <w:pPr>
        <w:jc w:val="center"/>
        <w:rPr>
          <w:b/>
        </w:rPr>
      </w:pPr>
    </w:p>
    <w:p w:rsidR="006B2EBD" w:rsidP="00BF72E1" w:rsidRDefault="006B2EBD" w14:paraId="606A4CEE" w14:textId="69163BCC">
      <w:pPr>
        <w:jc w:val="center"/>
        <w:rPr>
          <w:b/>
        </w:rPr>
      </w:pPr>
    </w:p>
    <w:p w:rsidR="006B2EBD" w:rsidP="00BF72E1" w:rsidRDefault="006B2EBD" w14:paraId="1500EC2F" w14:textId="77777777">
      <w:pPr>
        <w:jc w:val="center"/>
        <w:rPr>
          <w:b/>
        </w:rPr>
      </w:pPr>
    </w:p>
    <w:p w:rsidR="00BF72E1" w:rsidP="00BF72E1" w:rsidRDefault="00BF72E1" w14:paraId="66F2B859" w14:textId="6CCB8D0A">
      <w:pPr>
        <w:jc w:val="center"/>
        <w:rPr>
          <w:b/>
        </w:rPr>
      </w:pPr>
      <w:r>
        <w:rPr>
          <w:b/>
        </w:rPr>
        <w:t>OMB# 0920-</w:t>
      </w:r>
      <w:r w:rsidR="009062D0">
        <w:rPr>
          <w:b/>
        </w:rPr>
        <w:t>1218</w:t>
      </w:r>
    </w:p>
    <w:p w:rsidR="00BF72E1" w:rsidP="00BF72E1" w:rsidRDefault="00BF72E1" w14:paraId="089719C8" w14:textId="77777777">
      <w:pPr>
        <w:jc w:val="center"/>
        <w:rPr>
          <w:b/>
        </w:rPr>
      </w:pPr>
    </w:p>
    <w:p w:rsidR="00BF72E1" w:rsidP="00BF72E1" w:rsidRDefault="00BF72E1" w14:paraId="27C4D344" w14:textId="77777777">
      <w:pPr>
        <w:jc w:val="center"/>
      </w:pPr>
    </w:p>
    <w:p w:rsidR="00BF72E1" w:rsidP="00BF72E1" w:rsidRDefault="006B2EBD" w14:paraId="44E9A7BA" w14:textId="5C9496F0">
      <w:pPr>
        <w:jc w:val="center"/>
        <w:rPr>
          <w:b/>
        </w:rPr>
      </w:pPr>
      <w:r>
        <w:rPr>
          <w:b/>
        </w:rPr>
        <w:t>November 18</w:t>
      </w:r>
      <w:r w:rsidR="001F4255">
        <w:rPr>
          <w:b/>
        </w:rPr>
        <w:t>, 2020</w:t>
      </w:r>
    </w:p>
    <w:p w:rsidR="00BF72E1" w:rsidP="00BF72E1" w:rsidRDefault="00BF72E1" w14:paraId="52D4641C" w14:textId="77777777">
      <w:pPr>
        <w:jc w:val="center"/>
        <w:rPr>
          <w:b/>
        </w:rPr>
      </w:pPr>
    </w:p>
    <w:p w:rsidR="00BF72E1" w:rsidP="00BF72E1" w:rsidRDefault="00BF72E1" w14:paraId="39116256" w14:textId="77777777">
      <w:pPr>
        <w:jc w:val="center"/>
      </w:pPr>
    </w:p>
    <w:p w:rsidR="00BF72E1" w:rsidP="00BF72E1" w:rsidRDefault="00BF72E1" w14:paraId="6AF640C0" w14:textId="77777777">
      <w:pPr>
        <w:jc w:val="center"/>
      </w:pPr>
    </w:p>
    <w:p w:rsidR="00BF72E1" w:rsidP="00BF72E1" w:rsidRDefault="00BF72E1" w14:paraId="041EF8D8" w14:textId="77777777">
      <w:pPr>
        <w:jc w:val="center"/>
      </w:pPr>
    </w:p>
    <w:p w:rsidR="00BF72E1" w:rsidP="00BF72E1" w:rsidRDefault="00BF72E1" w14:paraId="333D29F2" w14:textId="77777777">
      <w:pPr>
        <w:jc w:val="center"/>
      </w:pPr>
    </w:p>
    <w:p w:rsidR="00BF72E1" w:rsidP="00BF72E1" w:rsidRDefault="00BF72E1" w14:paraId="4C7EFA96" w14:textId="77777777">
      <w:pPr>
        <w:jc w:val="center"/>
      </w:pPr>
    </w:p>
    <w:p w:rsidR="00BF72E1" w:rsidP="00BF72E1" w:rsidRDefault="00BF72E1" w14:paraId="3E6025E2" w14:textId="77777777">
      <w:pPr>
        <w:jc w:val="center"/>
        <w:rPr>
          <w:noProof/>
        </w:rPr>
      </w:pPr>
      <w:r>
        <w:rPr>
          <w:noProof/>
        </w:rPr>
        <w:t>Point of Contact:</w:t>
      </w:r>
    </w:p>
    <w:p w:rsidR="00BF72E1" w:rsidP="00BF72E1" w:rsidRDefault="001F4255" w14:paraId="099A1D55" w14:textId="3441E2F5">
      <w:pPr>
        <w:jc w:val="center"/>
        <w:rPr>
          <w:noProof/>
        </w:rPr>
      </w:pPr>
      <w:r>
        <w:rPr>
          <w:noProof/>
        </w:rPr>
        <w:t>Bradley Biggers</w:t>
      </w:r>
    </w:p>
    <w:p w:rsidR="00BF72E1" w:rsidP="00BF72E1" w:rsidRDefault="00BF72E1" w14:paraId="7863EB44" w14:textId="77777777">
      <w:pPr>
        <w:jc w:val="center"/>
        <w:rPr>
          <w:noProof/>
        </w:rPr>
      </w:pPr>
      <w:r>
        <w:rPr>
          <w:noProof/>
        </w:rPr>
        <w:t>Contact Information:</w:t>
      </w:r>
    </w:p>
    <w:p w:rsidR="00BF72E1" w:rsidP="00BF72E1" w:rsidRDefault="00BF72E1" w14:paraId="2C45820C" w14:textId="77777777">
      <w:pPr>
        <w:pStyle w:val="E-mailSignature"/>
        <w:jc w:val="center"/>
        <w:rPr>
          <w:noProof/>
        </w:rPr>
      </w:pPr>
      <w:bookmarkStart w:name="_MailAutoSig" w:id="1"/>
      <w:r>
        <w:rPr>
          <w:noProof/>
        </w:rPr>
        <w:t>Centers for Disease Control and Prevention</w:t>
      </w:r>
    </w:p>
    <w:p w:rsidR="00BF72E1" w:rsidP="00BF72E1" w:rsidRDefault="00BF72E1" w14:paraId="019AC108" w14:textId="77777777">
      <w:pPr>
        <w:pStyle w:val="E-mailSignature"/>
        <w:jc w:val="center"/>
        <w:rPr>
          <w:noProof/>
        </w:rPr>
      </w:pPr>
      <w:r>
        <w:rPr>
          <w:noProof/>
        </w:rPr>
        <w:t>National Center for Injury Prevention and Control</w:t>
      </w:r>
    </w:p>
    <w:p w:rsidR="00BF72E1" w:rsidP="00BF72E1" w:rsidRDefault="00BF72E1" w14:paraId="28EC0C00" w14:textId="77777777">
      <w:pPr>
        <w:pStyle w:val="E-mailSignature"/>
        <w:jc w:val="center"/>
        <w:rPr>
          <w:noProof/>
        </w:rPr>
      </w:pPr>
      <w:r>
        <w:rPr>
          <w:noProof/>
        </w:rPr>
        <w:t xml:space="preserve">4770 Buford Highway NE </w:t>
      </w:r>
    </w:p>
    <w:p w:rsidR="00BF72E1" w:rsidP="00BF72E1" w:rsidRDefault="00BF72E1" w14:paraId="02952968" w14:textId="219F42EF">
      <w:pPr>
        <w:pStyle w:val="E-mailSignature"/>
        <w:jc w:val="center"/>
        <w:rPr>
          <w:noProof/>
        </w:rPr>
      </w:pPr>
      <w:r>
        <w:rPr>
          <w:noProof/>
        </w:rPr>
        <w:t xml:space="preserve">Atlanta, GA </w:t>
      </w:r>
      <w:r w:rsidR="008B450B">
        <w:rPr>
          <w:noProof/>
        </w:rPr>
        <w:t>30338</w:t>
      </w:r>
    </w:p>
    <w:p w:rsidR="00BF72E1" w:rsidP="00BF72E1" w:rsidRDefault="00BF72E1" w14:paraId="2F622BC0" w14:textId="5EAC9663">
      <w:pPr>
        <w:pStyle w:val="E-mailSignature"/>
        <w:jc w:val="center"/>
        <w:rPr>
          <w:noProof/>
        </w:rPr>
      </w:pPr>
      <w:r>
        <w:rPr>
          <w:noProof/>
        </w:rPr>
        <w:t xml:space="preserve">Phone: </w:t>
      </w:r>
      <w:r w:rsidR="008B450B">
        <w:rPr>
          <w:noProof/>
        </w:rPr>
        <w:t>770-488-</w:t>
      </w:r>
      <w:r w:rsidR="00963BD5">
        <w:rPr>
          <w:noProof/>
        </w:rPr>
        <w:t>0562</w:t>
      </w:r>
    </w:p>
    <w:p w:rsidR="00BF72E1" w:rsidP="00BF72E1" w:rsidRDefault="00BF72E1" w14:paraId="64351FFB" w14:textId="1E123573">
      <w:pPr>
        <w:pStyle w:val="E-mailSignature"/>
        <w:jc w:val="center"/>
        <w:rPr>
          <w:noProof/>
        </w:rPr>
      </w:pPr>
      <w:r>
        <w:rPr>
          <w:noProof/>
        </w:rPr>
        <w:t>Email:</w:t>
      </w:r>
      <w:r w:rsidR="008B450B">
        <w:rPr>
          <w:noProof/>
        </w:rPr>
        <w:t xml:space="preserve"> </w:t>
      </w:r>
      <w:r w:rsidR="002D1461">
        <w:rPr>
          <w:noProof/>
        </w:rPr>
        <w:t>wmp0</w:t>
      </w:r>
      <w:r w:rsidR="008B450B">
        <w:rPr>
          <w:noProof/>
        </w:rPr>
        <w:t>@cdc.gov</w:t>
      </w:r>
      <w:r>
        <w:rPr>
          <w:noProof/>
        </w:rPr>
        <w:t xml:space="preserve"> </w:t>
      </w:r>
    </w:p>
    <w:bookmarkEnd w:id="1"/>
    <w:p w:rsidR="00BF72E1" w:rsidP="00BF72E1" w:rsidRDefault="00BF72E1" w14:paraId="6518D45C" w14:textId="77777777">
      <w:pPr>
        <w:jc w:val="center"/>
      </w:pPr>
    </w:p>
    <w:p w:rsidR="00BF72E1" w:rsidP="00BF72E1" w:rsidRDefault="00BF72E1" w14:paraId="0497AC6F" w14:textId="77777777">
      <w:pPr>
        <w:jc w:val="center"/>
      </w:pPr>
    </w:p>
    <w:p w:rsidR="00BF72E1" w:rsidP="00BF72E1" w:rsidRDefault="00BF72E1" w14:paraId="49BEDE17" w14:textId="77777777">
      <w:pPr>
        <w:jc w:val="center"/>
      </w:pPr>
    </w:p>
    <w:p w:rsidR="00BF72E1" w:rsidP="00BF72E1" w:rsidRDefault="00BF72E1" w14:paraId="3A5AE1F0" w14:textId="77777777">
      <w:pPr>
        <w:jc w:val="center"/>
      </w:pPr>
    </w:p>
    <w:p w:rsidR="00BF72E1" w:rsidP="00BF72E1" w:rsidRDefault="00BF72E1" w14:paraId="4B9A75E6" w14:textId="77777777">
      <w:pPr>
        <w:jc w:val="center"/>
      </w:pPr>
    </w:p>
    <w:p w:rsidR="00BF72E1" w:rsidP="00BF72E1" w:rsidRDefault="0038401B" w14:paraId="657FA964" w14:textId="0E24DB25">
      <w:pPr>
        <w:jc w:val="center"/>
      </w:pPr>
      <w:r>
        <w:br w:type="page"/>
      </w:r>
    </w:p>
    <w:bookmarkEnd w:id="0"/>
    <w:p w:rsidRPr="0037320E" w:rsidR="00C65FD6" w:rsidP="00F72F56" w:rsidRDefault="00C65FD6" w14:paraId="7E6E066D" w14:textId="07F2C7F0">
      <w:pPr>
        <w:pStyle w:val="TOC0"/>
      </w:pPr>
      <w:r w:rsidRPr="0037320E">
        <w:rPr>
          <w:lang w:val="en-CA"/>
        </w:rPr>
        <w:lastRenderedPageBreak/>
        <w:fldChar w:fldCharType="begin"/>
      </w:r>
      <w:r w:rsidRPr="0037320E">
        <w:rPr>
          <w:lang w:val="en-CA"/>
        </w:rPr>
        <w:instrText xml:space="preserve"> SEQ CHAPTER \h \r 1</w:instrText>
      </w:r>
      <w:r w:rsidRPr="0037320E">
        <w:rPr>
          <w:lang w:val="en-CA"/>
        </w:rPr>
        <w:fldChar w:fldCharType="end"/>
      </w:r>
      <w:r w:rsidRPr="0037320E">
        <w:rPr>
          <w:bCs/>
        </w:rPr>
        <w:t>TABLE OF CONTENTS</w:t>
      </w:r>
    </w:p>
    <w:p w:rsidRPr="0037320E" w:rsidR="00C65FD6" w:rsidP="00AC6ACE" w:rsidRDefault="00AC6ACE" w14:paraId="5DF973C4" w14:textId="77777777">
      <w:pPr>
        <w:tabs>
          <w:tab w:val="right" w:pos="9360"/>
        </w:tabs>
        <w:rPr>
          <w:color w:val="000000"/>
        </w:rPr>
      </w:pPr>
      <w:r w:rsidRPr="0037320E">
        <w:rPr>
          <w:b/>
          <w:color w:val="000000"/>
        </w:rPr>
        <w:t>Section</w:t>
      </w:r>
      <w:r w:rsidRPr="0037320E">
        <w:rPr>
          <w:color w:val="000000"/>
        </w:rPr>
        <w:tab/>
      </w:r>
      <w:r w:rsidRPr="0037320E">
        <w:rPr>
          <w:b/>
          <w:color w:val="000000"/>
        </w:rPr>
        <w:t>Page</w:t>
      </w:r>
    </w:p>
    <w:p w:rsidR="00802300" w:rsidRDefault="00512F04" w14:paraId="34122A3F" w14:textId="60ADBE33">
      <w:pPr>
        <w:pStyle w:val="TOC1"/>
        <w:tabs>
          <w:tab w:val="left" w:pos="1350"/>
        </w:tabs>
        <w:rPr>
          <w:rFonts w:asciiTheme="minorHAnsi" w:hAnsiTheme="minorHAnsi" w:eastAsiaTheme="minorEastAsia" w:cstheme="minorBidi"/>
          <w:sz w:val="22"/>
          <w:szCs w:val="22"/>
        </w:rPr>
      </w:pPr>
      <w:r>
        <w:rPr>
          <w:b/>
          <w:bCs/>
          <w:caps/>
          <w:color w:val="000000"/>
        </w:rPr>
        <w:fldChar w:fldCharType="begin"/>
      </w:r>
      <w:r>
        <w:rPr>
          <w:b/>
          <w:bCs/>
          <w:caps/>
          <w:color w:val="000000"/>
        </w:rPr>
        <w:instrText xml:space="preserve"> TOC \o "1-3" \h \z \u </w:instrText>
      </w:r>
      <w:r>
        <w:rPr>
          <w:b/>
          <w:bCs/>
          <w:caps/>
          <w:color w:val="000000"/>
        </w:rPr>
        <w:fldChar w:fldCharType="separate"/>
      </w:r>
      <w:hyperlink w:history="1" w:anchor="_Toc46304228">
        <w:r w:rsidRPr="00A1286C" w:rsidR="00802300">
          <w:rPr>
            <w:rStyle w:val="Hyperlink"/>
          </w:rPr>
          <w:t>B.</w:t>
        </w:r>
        <w:r w:rsidR="00802300">
          <w:rPr>
            <w:rFonts w:asciiTheme="minorHAnsi" w:hAnsiTheme="minorHAnsi" w:eastAsiaTheme="minorEastAsia" w:cstheme="minorBidi"/>
            <w:sz w:val="22"/>
            <w:szCs w:val="22"/>
          </w:rPr>
          <w:tab/>
        </w:r>
        <w:r w:rsidRPr="00A1286C" w:rsidR="00802300">
          <w:rPr>
            <w:rStyle w:val="Hyperlink"/>
          </w:rPr>
          <w:t>Collection of Information Employing Statistical Methods</w:t>
        </w:r>
        <w:r w:rsidR="00802300">
          <w:rPr>
            <w:webHidden/>
          </w:rPr>
          <w:tab/>
        </w:r>
        <w:r w:rsidR="00802300">
          <w:rPr>
            <w:webHidden/>
          </w:rPr>
          <w:fldChar w:fldCharType="begin"/>
        </w:r>
        <w:r w:rsidR="00802300">
          <w:rPr>
            <w:webHidden/>
          </w:rPr>
          <w:instrText xml:space="preserve"> PAGEREF _Toc46304228 \h </w:instrText>
        </w:r>
        <w:r w:rsidR="00802300">
          <w:rPr>
            <w:webHidden/>
          </w:rPr>
        </w:r>
        <w:r w:rsidR="00802300">
          <w:rPr>
            <w:webHidden/>
          </w:rPr>
          <w:fldChar w:fldCharType="separate"/>
        </w:r>
        <w:r w:rsidR="00D9669A">
          <w:rPr>
            <w:webHidden/>
          </w:rPr>
          <w:t>1</w:t>
        </w:r>
        <w:r w:rsidR="00802300">
          <w:rPr>
            <w:webHidden/>
          </w:rPr>
          <w:fldChar w:fldCharType="end"/>
        </w:r>
      </w:hyperlink>
    </w:p>
    <w:p w:rsidR="00802300" w:rsidRDefault="00946DAE" w14:paraId="37EB7C51" w14:textId="77DFD175">
      <w:pPr>
        <w:pStyle w:val="TOC2"/>
        <w:tabs>
          <w:tab w:val="left" w:pos="1350"/>
        </w:tabs>
        <w:rPr>
          <w:rFonts w:asciiTheme="minorHAnsi" w:hAnsiTheme="minorHAnsi" w:eastAsiaTheme="minorEastAsia" w:cstheme="minorBidi"/>
          <w:sz w:val="22"/>
          <w:szCs w:val="22"/>
        </w:rPr>
      </w:pPr>
      <w:hyperlink w:history="1" w:anchor="_Toc46304229">
        <w:r w:rsidRPr="00A1286C" w:rsidR="00802300">
          <w:rPr>
            <w:rStyle w:val="Hyperlink"/>
          </w:rPr>
          <w:t>B.1</w:t>
        </w:r>
        <w:r w:rsidR="00802300">
          <w:rPr>
            <w:rFonts w:asciiTheme="minorHAnsi" w:hAnsiTheme="minorHAnsi" w:eastAsiaTheme="minorEastAsia" w:cstheme="minorBidi"/>
            <w:sz w:val="22"/>
            <w:szCs w:val="22"/>
          </w:rPr>
          <w:tab/>
        </w:r>
        <w:r w:rsidRPr="00A1286C" w:rsidR="00802300">
          <w:rPr>
            <w:rStyle w:val="Hyperlink"/>
          </w:rPr>
          <w:t>Respondent Universe and Sampling Methods</w:t>
        </w:r>
        <w:r w:rsidR="00802300">
          <w:rPr>
            <w:webHidden/>
          </w:rPr>
          <w:tab/>
        </w:r>
        <w:r w:rsidR="00802300">
          <w:rPr>
            <w:webHidden/>
          </w:rPr>
          <w:fldChar w:fldCharType="begin"/>
        </w:r>
        <w:r w:rsidR="00802300">
          <w:rPr>
            <w:webHidden/>
          </w:rPr>
          <w:instrText xml:space="preserve"> PAGEREF _Toc46304229 \h </w:instrText>
        </w:r>
        <w:r w:rsidR="00802300">
          <w:rPr>
            <w:webHidden/>
          </w:rPr>
        </w:r>
        <w:r w:rsidR="00802300">
          <w:rPr>
            <w:webHidden/>
          </w:rPr>
          <w:fldChar w:fldCharType="separate"/>
        </w:r>
        <w:r w:rsidR="00D9669A">
          <w:rPr>
            <w:webHidden/>
          </w:rPr>
          <w:t>1</w:t>
        </w:r>
        <w:r w:rsidR="00802300">
          <w:rPr>
            <w:webHidden/>
          </w:rPr>
          <w:fldChar w:fldCharType="end"/>
        </w:r>
      </w:hyperlink>
    </w:p>
    <w:p w:rsidR="00802300" w:rsidRDefault="00946DAE" w14:paraId="600D0990" w14:textId="0A85C369">
      <w:pPr>
        <w:pStyle w:val="TOC3"/>
        <w:tabs>
          <w:tab w:val="left" w:pos="2340"/>
        </w:tabs>
        <w:rPr>
          <w:rFonts w:asciiTheme="minorHAnsi" w:hAnsiTheme="minorHAnsi" w:eastAsiaTheme="minorEastAsia" w:cstheme="minorBidi"/>
          <w:sz w:val="22"/>
          <w:szCs w:val="22"/>
        </w:rPr>
      </w:pPr>
      <w:hyperlink w:history="1" w:anchor="_Toc46304230">
        <w:r w:rsidRPr="00A1286C" w:rsidR="00802300">
          <w:rPr>
            <w:rStyle w:val="Hyperlink"/>
          </w:rPr>
          <w:t>B.1.1</w:t>
        </w:r>
        <w:r w:rsidR="00802300">
          <w:rPr>
            <w:rFonts w:asciiTheme="minorHAnsi" w:hAnsiTheme="minorHAnsi" w:eastAsiaTheme="minorEastAsia" w:cstheme="minorBidi"/>
            <w:sz w:val="22"/>
            <w:szCs w:val="22"/>
          </w:rPr>
          <w:tab/>
        </w:r>
        <w:r w:rsidRPr="00A1286C" w:rsidR="00802300">
          <w:rPr>
            <w:rStyle w:val="Hyperlink"/>
          </w:rPr>
          <w:t>Site Selection</w:t>
        </w:r>
        <w:r w:rsidR="00802300">
          <w:rPr>
            <w:webHidden/>
          </w:rPr>
          <w:tab/>
        </w:r>
        <w:r w:rsidR="00802300">
          <w:rPr>
            <w:webHidden/>
          </w:rPr>
          <w:fldChar w:fldCharType="begin"/>
        </w:r>
        <w:r w:rsidR="00802300">
          <w:rPr>
            <w:webHidden/>
          </w:rPr>
          <w:instrText xml:space="preserve"> PAGEREF _Toc46304230 \h </w:instrText>
        </w:r>
        <w:r w:rsidR="00802300">
          <w:rPr>
            <w:webHidden/>
          </w:rPr>
        </w:r>
        <w:r w:rsidR="00802300">
          <w:rPr>
            <w:webHidden/>
          </w:rPr>
          <w:fldChar w:fldCharType="separate"/>
        </w:r>
        <w:r w:rsidR="00D9669A">
          <w:rPr>
            <w:webHidden/>
          </w:rPr>
          <w:t>1</w:t>
        </w:r>
        <w:r w:rsidR="00802300">
          <w:rPr>
            <w:webHidden/>
          </w:rPr>
          <w:fldChar w:fldCharType="end"/>
        </w:r>
      </w:hyperlink>
    </w:p>
    <w:p w:rsidR="00802300" w:rsidRDefault="00946DAE" w14:paraId="6F34C6DB" w14:textId="111D1A82">
      <w:pPr>
        <w:pStyle w:val="TOC3"/>
        <w:tabs>
          <w:tab w:val="left" w:pos="2340"/>
        </w:tabs>
        <w:rPr>
          <w:rFonts w:asciiTheme="minorHAnsi" w:hAnsiTheme="minorHAnsi" w:eastAsiaTheme="minorEastAsia" w:cstheme="minorBidi"/>
          <w:sz w:val="22"/>
          <w:szCs w:val="22"/>
        </w:rPr>
      </w:pPr>
      <w:hyperlink w:history="1" w:anchor="_Toc46304231">
        <w:r w:rsidRPr="00A1286C" w:rsidR="00802300">
          <w:rPr>
            <w:rStyle w:val="Hyperlink"/>
          </w:rPr>
          <w:t>B.1.2</w:t>
        </w:r>
        <w:r w:rsidR="00802300">
          <w:rPr>
            <w:rFonts w:asciiTheme="minorHAnsi" w:hAnsiTheme="minorHAnsi" w:eastAsiaTheme="minorEastAsia" w:cstheme="minorBidi"/>
            <w:sz w:val="22"/>
            <w:szCs w:val="22"/>
          </w:rPr>
          <w:tab/>
        </w:r>
        <w:r w:rsidRPr="00A1286C" w:rsidR="00802300">
          <w:rPr>
            <w:rStyle w:val="Hyperlink"/>
          </w:rPr>
          <w:t>Patient Selection within Site</w:t>
        </w:r>
        <w:r w:rsidR="00802300">
          <w:rPr>
            <w:webHidden/>
          </w:rPr>
          <w:tab/>
        </w:r>
        <w:r w:rsidR="00802300">
          <w:rPr>
            <w:webHidden/>
          </w:rPr>
          <w:fldChar w:fldCharType="begin"/>
        </w:r>
        <w:r w:rsidR="00802300">
          <w:rPr>
            <w:webHidden/>
          </w:rPr>
          <w:instrText xml:space="preserve"> PAGEREF _Toc46304231 \h </w:instrText>
        </w:r>
        <w:r w:rsidR="00802300">
          <w:rPr>
            <w:webHidden/>
          </w:rPr>
        </w:r>
        <w:r w:rsidR="00802300">
          <w:rPr>
            <w:webHidden/>
          </w:rPr>
          <w:fldChar w:fldCharType="separate"/>
        </w:r>
        <w:r w:rsidR="00D9669A">
          <w:rPr>
            <w:webHidden/>
          </w:rPr>
          <w:t>2</w:t>
        </w:r>
        <w:r w:rsidR="00802300">
          <w:rPr>
            <w:webHidden/>
          </w:rPr>
          <w:fldChar w:fldCharType="end"/>
        </w:r>
      </w:hyperlink>
    </w:p>
    <w:p w:rsidR="00802300" w:rsidRDefault="00946DAE" w14:paraId="56BDAED3" w14:textId="3A5CE162">
      <w:pPr>
        <w:pStyle w:val="TOC2"/>
        <w:tabs>
          <w:tab w:val="left" w:pos="1350"/>
        </w:tabs>
        <w:rPr>
          <w:rFonts w:asciiTheme="minorHAnsi" w:hAnsiTheme="minorHAnsi" w:eastAsiaTheme="minorEastAsia" w:cstheme="minorBidi"/>
          <w:sz w:val="22"/>
          <w:szCs w:val="22"/>
        </w:rPr>
      </w:pPr>
      <w:hyperlink w:history="1" w:anchor="_Toc46304232">
        <w:r w:rsidRPr="00A1286C" w:rsidR="00802300">
          <w:rPr>
            <w:rStyle w:val="Hyperlink"/>
          </w:rPr>
          <w:t>B.2</w:t>
        </w:r>
        <w:r w:rsidR="00802300">
          <w:rPr>
            <w:rFonts w:asciiTheme="minorHAnsi" w:hAnsiTheme="minorHAnsi" w:eastAsiaTheme="minorEastAsia" w:cstheme="minorBidi"/>
            <w:sz w:val="22"/>
            <w:szCs w:val="22"/>
          </w:rPr>
          <w:tab/>
        </w:r>
        <w:r w:rsidRPr="00A1286C" w:rsidR="00802300">
          <w:rPr>
            <w:rStyle w:val="Hyperlink"/>
          </w:rPr>
          <w:t>Procedures for the Collection of Information</w:t>
        </w:r>
        <w:r w:rsidR="00802300">
          <w:rPr>
            <w:webHidden/>
          </w:rPr>
          <w:tab/>
        </w:r>
        <w:r w:rsidR="00802300">
          <w:rPr>
            <w:webHidden/>
          </w:rPr>
          <w:fldChar w:fldCharType="begin"/>
        </w:r>
        <w:r w:rsidR="00802300">
          <w:rPr>
            <w:webHidden/>
          </w:rPr>
          <w:instrText xml:space="preserve"> PAGEREF _Toc46304232 \h </w:instrText>
        </w:r>
        <w:r w:rsidR="00802300">
          <w:rPr>
            <w:webHidden/>
          </w:rPr>
        </w:r>
        <w:r w:rsidR="00802300">
          <w:rPr>
            <w:webHidden/>
          </w:rPr>
          <w:fldChar w:fldCharType="separate"/>
        </w:r>
        <w:r w:rsidR="00D9669A">
          <w:rPr>
            <w:webHidden/>
          </w:rPr>
          <w:t>6</w:t>
        </w:r>
        <w:r w:rsidR="00802300">
          <w:rPr>
            <w:webHidden/>
          </w:rPr>
          <w:fldChar w:fldCharType="end"/>
        </w:r>
      </w:hyperlink>
    </w:p>
    <w:p w:rsidR="00802300" w:rsidRDefault="00946DAE" w14:paraId="45E8CAD0" w14:textId="183F3236">
      <w:pPr>
        <w:pStyle w:val="TOC2"/>
        <w:tabs>
          <w:tab w:val="left" w:pos="1350"/>
        </w:tabs>
        <w:rPr>
          <w:rFonts w:asciiTheme="minorHAnsi" w:hAnsiTheme="minorHAnsi" w:eastAsiaTheme="minorEastAsia" w:cstheme="minorBidi"/>
          <w:sz w:val="22"/>
          <w:szCs w:val="22"/>
        </w:rPr>
      </w:pPr>
      <w:hyperlink w:history="1" w:anchor="_Toc46304233">
        <w:r w:rsidRPr="00A1286C" w:rsidR="00802300">
          <w:rPr>
            <w:rStyle w:val="Hyperlink"/>
          </w:rPr>
          <w:t>B.3</w:t>
        </w:r>
        <w:r w:rsidR="00802300">
          <w:rPr>
            <w:rFonts w:asciiTheme="minorHAnsi" w:hAnsiTheme="minorHAnsi" w:eastAsiaTheme="minorEastAsia" w:cstheme="minorBidi"/>
            <w:sz w:val="22"/>
            <w:szCs w:val="22"/>
          </w:rPr>
          <w:tab/>
        </w:r>
        <w:r w:rsidRPr="00A1286C" w:rsidR="00802300">
          <w:rPr>
            <w:rStyle w:val="Hyperlink"/>
          </w:rPr>
          <w:t>Methods to Maximize Participation Rates</w:t>
        </w:r>
        <w:r w:rsidR="00802300">
          <w:rPr>
            <w:webHidden/>
          </w:rPr>
          <w:tab/>
        </w:r>
        <w:r w:rsidR="00802300">
          <w:rPr>
            <w:webHidden/>
          </w:rPr>
          <w:fldChar w:fldCharType="begin"/>
        </w:r>
        <w:r w:rsidR="00802300">
          <w:rPr>
            <w:webHidden/>
          </w:rPr>
          <w:instrText xml:space="preserve"> PAGEREF _Toc46304233 \h </w:instrText>
        </w:r>
        <w:r w:rsidR="00802300">
          <w:rPr>
            <w:webHidden/>
          </w:rPr>
        </w:r>
        <w:r w:rsidR="00802300">
          <w:rPr>
            <w:webHidden/>
          </w:rPr>
          <w:fldChar w:fldCharType="separate"/>
        </w:r>
        <w:r w:rsidR="00D9669A">
          <w:rPr>
            <w:webHidden/>
          </w:rPr>
          <w:t>7</w:t>
        </w:r>
        <w:r w:rsidR="00802300">
          <w:rPr>
            <w:webHidden/>
          </w:rPr>
          <w:fldChar w:fldCharType="end"/>
        </w:r>
      </w:hyperlink>
    </w:p>
    <w:p w:rsidR="00802300" w:rsidRDefault="00946DAE" w14:paraId="0EB97890" w14:textId="4B7611A4">
      <w:pPr>
        <w:pStyle w:val="TOC3"/>
        <w:tabs>
          <w:tab w:val="left" w:pos="2340"/>
        </w:tabs>
        <w:rPr>
          <w:rFonts w:asciiTheme="minorHAnsi" w:hAnsiTheme="minorHAnsi" w:eastAsiaTheme="minorEastAsia" w:cstheme="minorBidi"/>
          <w:sz w:val="22"/>
          <w:szCs w:val="22"/>
        </w:rPr>
      </w:pPr>
      <w:hyperlink w:history="1" w:anchor="_Toc46304234">
        <w:r w:rsidRPr="00A1286C" w:rsidR="00802300">
          <w:rPr>
            <w:rStyle w:val="Hyperlink"/>
          </w:rPr>
          <w:t>B.3.1</w:t>
        </w:r>
        <w:r w:rsidR="00802300">
          <w:rPr>
            <w:rFonts w:asciiTheme="minorHAnsi" w:hAnsiTheme="minorHAnsi" w:eastAsiaTheme="minorEastAsia" w:cstheme="minorBidi"/>
            <w:sz w:val="22"/>
            <w:szCs w:val="22"/>
          </w:rPr>
          <w:tab/>
        </w:r>
        <w:r w:rsidRPr="00A1286C" w:rsidR="00802300">
          <w:rPr>
            <w:rStyle w:val="Hyperlink"/>
          </w:rPr>
          <w:t>Participation Rates</w:t>
        </w:r>
        <w:r w:rsidR="00802300">
          <w:rPr>
            <w:webHidden/>
          </w:rPr>
          <w:tab/>
        </w:r>
        <w:r w:rsidR="00802300">
          <w:rPr>
            <w:webHidden/>
          </w:rPr>
          <w:fldChar w:fldCharType="begin"/>
        </w:r>
        <w:r w:rsidR="00802300">
          <w:rPr>
            <w:webHidden/>
          </w:rPr>
          <w:instrText xml:space="preserve"> PAGEREF _Toc46304234 \h </w:instrText>
        </w:r>
        <w:r w:rsidR="00802300">
          <w:rPr>
            <w:webHidden/>
          </w:rPr>
        </w:r>
        <w:r w:rsidR="00802300">
          <w:rPr>
            <w:webHidden/>
          </w:rPr>
          <w:fldChar w:fldCharType="separate"/>
        </w:r>
        <w:r w:rsidR="00D9669A">
          <w:rPr>
            <w:webHidden/>
          </w:rPr>
          <w:t>7</w:t>
        </w:r>
        <w:r w:rsidR="00802300">
          <w:rPr>
            <w:webHidden/>
          </w:rPr>
          <w:fldChar w:fldCharType="end"/>
        </w:r>
      </w:hyperlink>
    </w:p>
    <w:p w:rsidR="00802300" w:rsidRDefault="00946DAE" w14:paraId="7C52EE79" w14:textId="0B8F9A1F">
      <w:pPr>
        <w:pStyle w:val="TOC3"/>
        <w:tabs>
          <w:tab w:val="left" w:pos="2340"/>
        </w:tabs>
        <w:rPr>
          <w:rFonts w:asciiTheme="minorHAnsi" w:hAnsiTheme="minorHAnsi" w:eastAsiaTheme="minorEastAsia" w:cstheme="minorBidi"/>
          <w:sz w:val="22"/>
          <w:szCs w:val="22"/>
        </w:rPr>
      </w:pPr>
      <w:hyperlink w:history="1" w:anchor="_Toc46304235">
        <w:r w:rsidRPr="00A1286C" w:rsidR="00802300">
          <w:rPr>
            <w:rStyle w:val="Hyperlink"/>
          </w:rPr>
          <w:t>B.3.2</w:t>
        </w:r>
        <w:r w:rsidR="00802300">
          <w:rPr>
            <w:rFonts w:asciiTheme="minorHAnsi" w:hAnsiTheme="minorHAnsi" w:eastAsiaTheme="minorEastAsia" w:cstheme="minorBidi"/>
            <w:sz w:val="22"/>
            <w:szCs w:val="22"/>
          </w:rPr>
          <w:tab/>
        </w:r>
        <w:r w:rsidRPr="00A1286C" w:rsidR="00802300">
          <w:rPr>
            <w:rStyle w:val="Hyperlink"/>
          </w:rPr>
          <w:t>Nonparticipation</w:t>
        </w:r>
        <w:r w:rsidR="00802300">
          <w:rPr>
            <w:webHidden/>
          </w:rPr>
          <w:tab/>
        </w:r>
        <w:r w:rsidR="00802300">
          <w:rPr>
            <w:webHidden/>
          </w:rPr>
          <w:fldChar w:fldCharType="begin"/>
        </w:r>
        <w:r w:rsidR="00802300">
          <w:rPr>
            <w:webHidden/>
          </w:rPr>
          <w:instrText xml:space="preserve"> PAGEREF _Toc46304235 \h </w:instrText>
        </w:r>
        <w:r w:rsidR="00802300">
          <w:rPr>
            <w:webHidden/>
          </w:rPr>
        </w:r>
        <w:r w:rsidR="00802300">
          <w:rPr>
            <w:webHidden/>
          </w:rPr>
          <w:fldChar w:fldCharType="separate"/>
        </w:r>
        <w:r w:rsidR="00D9669A">
          <w:rPr>
            <w:webHidden/>
          </w:rPr>
          <w:t>8</w:t>
        </w:r>
        <w:r w:rsidR="00802300">
          <w:rPr>
            <w:webHidden/>
          </w:rPr>
          <w:fldChar w:fldCharType="end"/>
        </w:r>
      </w:hyperlink>
    </w:p>
    <w:p w:rsidR="00802300" w:rsidRDefault="00946DAE" w14:paraId="149380B6" w14:textId="42181263">
      <w:pPr>
        <w:pStyle w:val="TOC3"/>
        <w:rPr>
          <w:rFonts w:asciiTheme="minorHAnsi" w:hAnsiTheme="minorHAnsi" w:eastAsiaTheme="minorEastAsia" w:cstheme="minorBidi"/>
          <w:sz w:val="22"/>
          <w:szCs w:val="22"/>
        </w:rPr>
      </w:pPr>
      <w:hyperlink w:history="1" w:anchor="_Toc46304236">
        <w:r w:rsidRPr="00A1286C" w:rsidR="00802300">
          <w:rPr>
            <w:rStyle w:val="Hyperlink"/>
          </w:rPr>
          <w:t>B.3.3 Analysis</w:t>
        </w:r>
        <w:r w:rsidR="00802300">
          <w:rPr>
            <w:webHidden/>
          </w:rPr>
          <w:tab/>
        </w:r>
        <w:r w:rsidR="00802300">
          <w:rPr>
            <w:webHidden/>
          </w:rPr>
          <w:fldChar w:fldCharType="begin"/>
        </w:r>
        <w:r w:rsidR="00802300">
          <w:rPr>
            <w:webHidden/>
          </w:rPr>
          <w:instrText xml:space="preserve"> PAGEREF _Toc46304236 \h </w:instrText>
        </w:r>
        <w:r w:rsidR="00802300">
          <w:rPr>
            <w:webHidden/>
          </w:rPr>
        </w:r>
        <w:r w:rsidR="00802300">
          <w:rPr>
            <w:webHidden/>
          </w:rPr>
          <w:fldChar w:fldCharType="separate"/>
        </w:r>
        <w:r w:rsidR="00D9669A">
          <w:rPr>
            <w:webHidden/>
          </w:rPr>
          <w:t>8</w:t>
        </w:r>
        <w:r w:rsidR="00802300">
          <w:rPr>
            <w:webHidden/>
          </w:rPr>
          <w:fldChar w:fldCharType="end"/>
        </w:r>
      </w:hyperlink>
    </w:p>
    <w:p w:rsidR="00802300" w:rsidRDefault="00946DAE" w14:paraId="79BD7731" w14:textId="16EA891B">
      <w:pPr>
        <w:pStyle w:val="TOC2"/>
        <w:tabs>
          <w:tab w:val="left" w:pos="1350"/>
        </w:tabs>
        <w:rPr>
          <w:rFonts w:asciiTheme="minorHAnsi" w:hAnsiTheme="minorHAnsi" w:eastAsiaTheme="minorEastAsia" w:cstheme="minorBidi"/>
          <w:sz w:val="22"/>
          <w:szCs w:val="22"/>
        </w:rPr>
      </w:pPr>
      <w:hyperlink w:history="1" w:anchor="_Toc46304237">
        <w:r w:rsidRPr="00A1286C" w:rsidR="00802300">
          <w:rPr>
            <w:rStyle w:val="Hyperlink"/>
          </w:rPr>
          <w:t>B.4</w:t>
        </w:r>
        <w:r w:rsidR="00802300">
          <w:rPr>
            <w:rFonts w:asciiTheme="minorHAnsi" w:hAnsiTheme="minorHAnsi" w:eastAsiaTheme="minorEastAsia" w:cstheme="minorBidi"/>
            <w:sz w:val="22"/>
            <w:szCs w:val="22"/>
          </w:rPr>
          <w:tab/>
        </w:r>
        <w:r w:rsidRPr="00A1286C" w:rsidR="00802300">
          <w:rPr>
            <w:rStyle w:val="Hyperlink"/>
          </w:rPr>
          <w:t>Justification for Target Sample Sizes</w:t>
        </w:r>
        <w:r w:rsidR="00802300">
          <w:rPr>
            <w:webHidden/>
          </w:rPr>
          <w:tab/>
        </w:r>
        <w:r w:rsidR="00802300">
          <w:rPr>
            <w:webHidden/>
          </w:rPr>
          <w:fldChar w:fldCharType="begin"/>
        </w:r>
        <w:r w:rsidR="00802300">
          <w:rPr>
            <w:webHidden/>
          </w:rPr>
          <w:instrText xml:space="preserve"> PAGEREF _Toc46304237 \h </w:instrText>
        </w:r>
        <w:r w:rsidR="00802300">
          <w:rPr>
            <w:webHidden/>
          </w:rPr>
        </w:r>
        <w:r w:rsidR="00802300">
          <w:rPr>
            <w:webHidden/>
          </w:rPr>
          <w:fldChar w:fldCharType="separate"/>
        </w:r>
        <w:r w:rsidR="00D9669A">
          <w:rPr>
            <w:webHidden/>
          </w:rPr>
          <w:t>10</w:t>
        </w:r>
        <w:r w:rsidR="00802300">
          <w:rPr>
            <w:webHidden/>
          </w:rPr>
          <w:fldChar w:fldCharType="end"/>
        </w:r>
      </w:hyperlink>
    </w:p>
    <w:p w:rsidR="00802300" w:rsidRDefault="00946DAE" w14:paraId="74929207" w14:textId="7546C390">
      <w:pPr>
        <w:pStyle w:val="TOC2"/>
        <w:tabs>
          <w:tab w:val="left" w:pos="1350"/>
        </w:tabs>
        <w:rPr>
          <w:rFonts w:asciiTheme="minorHAnsi" w:hAnsiTheme="minorHAnsi" w:eastAsiaTheme="minorEastAsia" w:cstheme="minorBidi"/>
          <w:sz w:val="22"/>
          <w:szCs w:val="22"/>
        </w:rPr>
      </w:pPr>
      <w:hyperlink w:history="1" w:anchor="_Toc46304238">
        <w:r w:rsidRPr="00A1286C" w:rsidR="00802300">
          <w:rPr>
            <w:rStyle w:val="Hyperlink"/>
          </w:rPr>
          <w:t>B.5</w:t>
        </w:r>
        <w:r w:rsidR="00802300">
          <w:rPr>
            <w:rFonts w:asciiTheme="minorHAnsi" w:hAnsiTheme="minorHAnsi" w:eastAsiaTheme="minorEastAsia" w:cstheme="minorBidi"/>
            <w:sz w:val="22"/>
            <w:szCs w:val="22"/>
          </w:rPr>
          <w:tab/>
        </w:r>
        <w:r w:rsidRPr="00A1286C" w:rsidR="00802300">
          <w:rPr>
            <w:rStyle w:val="Hyperlink"/>
          </w:rPr>
          <w:t>Test of Procedures or Methods to Be Undertaken</w:t>
        </w:r>
        <w:r w:rsidR="00802300">
          <w:rPr>
            <w:webHidden/>
          </w:rPr>
          <w:tab/>
        </w:r>
        <w:r w:rsidR="00802300">
          <w:rPr>
            <w:webHidden/>
          </w:rPr>
          <w:fldChar w:fldCharType="begin"/>
        </w:r>
        <w:r w:rsidR="00802300">
          <w:rPr>
            <w:webHidden/>
          </w:rPr>
          <w:instrText xml:space="preserve"> PAGEREF _Toc46304238 \h </w:instrText>
        </w:r>
        <w:r w:rsidR="00802300">
          <w:rPr>
            <w:webHidden/>
          </w:rPr>
        </w:r>
        <w:r w:rsidR="00802300">
          <w:rPr>
            <w:webHidden/>
          </w:rPr>
          <w:fldChar w:fldCharType="separate"/>
        </w:r>
        <w:r w:rsidR="00D9669A">
          <w:rPr>
            <w:webHidden/>
          </w:rPr>
          <w:t>11</w:t>
        </w:r>
        <w:r w:rsidR="00802300">
          <w:rPr>
            <w:webHidden/>
          </w:rPr>
          <w:fldChar w:fldCharType="end"/>
        </w:r>
      </w:hyperlink>
    </w:p>
    <w:p w:rsidR="00802300" w:rsidRDefault="00946DAE" w14:paraId="35F900DE" w14:textId="6E319454">
      <w:pPr>
        <w:pStyle w:val="TOC2"/>
        <w:tabs>
          <w:tab w:val="left" w:pos="1350"/>
        </w:tabs>
        <w:rPr>
          <w:rFonts w:asciiTheme="minorHAnsi" w:hAnsiTheme="minorHAnsi" w:eastAsiaTheme="minorEastAsia" w:cstheme="minorBidi"/>
          <w:sz w:val="22"/>
          <w:szCs w:val="22"/>
        </w:rPr>
      </w:pPr>
      <w:hyperlink w:history="1" w:anchor="_Toc46304239">
        <w:r w:rsidRPr="00A1286C" w:rsidR="00802300">
          <w:rPr>
            <w:rStyle w:val="Hyperlink"/>
          </w:rPr>
          <w:t>B.6</w:t>
        </w:r>
        <w:r w:rsidR="00802300">
          <w:rPr>
            <w:rFonts w:asciiTheme="minorHAnsi" w:hAnsiTheme="minorHAnsi" w:eastAsiaTheme="minorEastAsia" w:cstheme="minorBidi"/>
            <w:sz w:val="22"/>
            <w:szCs w:val="22"/>
          </w:rPr>
          <w:tab/>
        </w:r>
        <w:r w:rsidRPr="00A1286C" w:rsidR="00802300">
          <w:rPr>
            <w:rStyle w:val="Hyperlink"/>
          </w:rPr>
          <w:t>Individuals Consulted on Statistical Aspects and/or Analyzing Data</w:t>
        </w:r>
        <w:r w:rsidR="00802300">
          <w:rPr>
            <w:webHidden/>
          </w:rPr>
          <w:tab/>
        </w:r>
        <w:r w:rsidR="00802300">
          <w:rPr>
            <w:webHidden/>
          </w:rPr>
          <w:fldChar w:fldCharType="begin"/>
        </w:r>
        <w:r w:rsidR="00802300">
          <w:rPr>
            <w:webHidden/>
          </w:rPr>
          <w:instrText xml:space="preserve"> PAGEREF _Toc46304239 \h </w:instrText>
        </w:r>
        <w:r w:rsidR="00802300">
          <w:rPr>
            <w:webHidden/>
          </w:rPr>
        </w:r>
        <w:r w:rsidR="00802300">
          <w:rPr>
            <w:webHidden/>
          </w:rPr>
          <w:fldChar w:fldCharType="separate"/>
        </w:r>
        <w:r w:rsidR="00D9669A">
          <w:rPr>
            <w:webHidden/>
          </w:rPr>
          <w:t>11</w:t>
        </w:r>
        <w:r w:rsidR="00802300">
          <w:rPr>
            <w:webHidden/>
          </w:rPr>
          <w:fldChar w:fldCharType="end"/>
        </w:r>
      </w:hyperlink>
    </w:p>
    <w:p w:rsidR="00802300" w:rsidRDefault="00946DAE" w14:paraId="2CA314E6" w14:textId="32B5865E">
      <w:pPr>
        <w:pStyle w:val="TOC1"/>
        <w:rPr>
          <w:rFonts w:asciiTheme="minorHAnsi" w:hAnsiTheme="minorHAnsi" w:eastAsiaTheme="minorEastAsia" w:cstheme="minorBidi"/>
          <w:sz w:val="22"/>
          <w:szCs w:val="22"/>
        </w:rPr>
      </w:pPr>
      <w:hyperlink w:history="1" w:anchor="_Toc46304240">
        <w:r w:rsidRPr="00A1286C" w:rsidR="00802300">
          <w:rPr>
            <w:rStyle w:val="Hyperlink"/>
          </w:rPr>
          <w:t>References</w:t>
        </w:r>
        <w:r w:rsidR="00802300">
          <w:rPr>
            <w:webHidden/>
          </w:rPr>
          <w:tab/>
        </w:r>
        <w:r w:rsidR="00802300">
          <w:rPr>
            <w:webHidden/>
          </w:rPr>
          <w:fldChar w:fldCharType="begin"/>
        </w:r>
        <w:r w:rsidR="00802300">
          <w:rPr>
            <w:webHidden/>
          </w:rPr>
          <w:instrText xml:space="preserve"> PAGEREF _Toc46304240 \h </w:instrText>
        </w:r>
        <w:r w:rsidR="00802300">
          <w:rPr>
            <w:webHidden/>
          </w:rPr>
        </w:r>
        <w:r w:rsidR="00802300">
          <w:rPr>
            <w:webHidden/>
          </w:rPr>
          <w:fldChar w:fldCharType="separate"/>
        </w:r>
        <w:r w:rsidR="00D9669A">
          <w:rPr>
            <w:webHidden/>
          </w:rPr>
          <w:t>13</w:t>
        </w:r>
        <w:r w:rsidR="00802300">
          <w:rPr>
            <w:webHidden/>
          </w:rPr>
          <w:fldChar w:fldCharType="end"/>
        </w:r>
      </w:hyperlink>
    </w:p>
    <w:p w:rsidR="00F72F56" w:rsidP="00A935D1" w:rsidRDefault="00512F04" w14:paraId="29FC1013" w14:textId="0451A94C">
      <w:pPr>
        <w:rPr>
          <w:noProof/>
        </w:rPr>
      </w:pPr>
      <w:r>
        <w:rPr>
          <w:noProof/>
        </w:rPr>
        <w:fldChar w:fldCharType="end"/>
      </w:r>
      <w:bookmarkStart w:name="_Toc79980788" w:id="2"/>
    </w:p>
    <w:p w:rsidRPr="00A935D1" w:rsidR="00A935D1" w:rsidP="00A935D1" w:rsidRDefault="00A935D1" w14:paraId="460164EB" w14:textId="77777777"/>
    <w:p w:rsidRPr="00F72F56" w:rsidR="00451757" w:rsidP="00451757" w:rsidRDefault="00451757" w14:paraId="4716D6AC" w14:textId="3E6ED98C"/>
    <w:p w:rsidR="00F72F56" w:rsidP="00F72F56" w:rsidRDefault="00F72F56" w14:paraId="523669F0" w14:textId="77777777">
      <w:pPr>
        <w:rPr>
          <w:noProof/>
        </w:rPr>
      </w:pPr>
    </w:p>
    <w:p w:rsidRPr="009B1505" w:rsidR="00697F76" w:rsidP="00697F76" w:rsidRDefault="00697F76" w14:paraId="64753633" w14:textId="77777777">
      <w:pPr>
        <w:pStyle w:val="TOC0"/>
      </w:pPr>
      <w:r w:rsidRPr="009B1505">
        <w:t>LIST OF ATTACHMENTS</w:t>
      </w:r>
    </w:p>
    <w:p w:rsidRPr="009B1505" w:rsidR="00697F76" w:rsidP="00697F76" w:rsidRDefault="00697F76" w14:paraId="7FAD41C1" w14:textId="77777777">
      <w:pPr>
        <w:tabs>
          <w:tab w:val="left" w:pos="-1200"/>
          <w:tab w:val="left" w:pos="-720"/>
        </w:tabs>
        <w:ind w:left="2160" w:hanging="2160"/>
      </w:pPr>
    </w:p>
    <w:p w:rsidR="00697F76" w:rsidP="00697F76" w:rsidRDefault="00697F76" w14:paraId="34C0734A" w14:textId="77777777">
      <w:pPr>
        <w:pStyle w:val="NoSpacing"/>
        <w:jc w:val="both"/>
        <w:rPr>
          <w:rFonts w:eastAsia="Batang"/>
        </w:rPr>
      </w:pPr>
      <w:r>
        <w:rPr>
          <w:rFonts w:eastAsia="Batang"/>
        </w:rPr>
        <w:t xml:space="preserve">Attachment 1: </w:t>
      </w:r>
      <w:r w:rsidRPr="00CE423D">
        <w:rPr>
          <w:rFonts w:eastAsia="Batang"/>
        </w:rPr>
        <w:t>Authorizing Legislation</w:t>
      </w:r>
    </w:p>
    <w:p w:rsidR="00697F76" w:rsidP="00697F76" w:rsidRDefault="00697F76" w14:paraId="5613A031" w14:textId="77777777">
      <w:pPr>
        <w:pStyle w:val="NoSpacing"/>
        <w:jc w:val="both"/>
        <w:rPr>
          <w:rFonts w:eastAsia="Batang"/>
        </w:rPr>
      </w:pPr>
      <w:r w:rsidRPr="009B1505">
        <w:rPr>
          <w:rFonts w:eastAsia="Batang"/>
        </w:rPr>
        <w:t xml:space="preserve">Attachment </w:t>
      </w:r>
      <w:r>
        <w:rPr>
          <w:rFonts w:eastAsia="Batang"/>
        </w:rPr>
        <w:t>2</w:t>
      </w:r>
      <w:r w:rsidRPr="009B1505">
        <w:rPr>
          <w:rFonts w:eastAsia="Batang"/>
        </w:rPr>
        <w:t xml:space="preserve">: </w:t>
      </w:r>
      <w:r>
        <w:rPr>
          <w:rFonts w:eastAsia="Batang"/>
        </w:rPr>
        <w:t>60 Day Federal Register Notice</w:t>
      </w:r>
    </w:p>
    <w:p w:rsidR="00697F76" w:rsidP="00697F76" w:rsidRDefault="00697F76" w14:paraId="49F56E7D" w14:textId="77777777">
      <w:pPr>
        <w:pStyle w:val="NoSpacing"/>
        <w:jc w:val="both"/>
        <w:rPr>
          <w:rFonts w:eastAsia="Batang"/>
        </w:rPr>
      </w:pPr>
      <w:r w:rsidRPr="009B1505">
        <w:rPr>
          <w:rFonts w:eastAsia="Batang"/>
        </w:rPr>
        <w:t xml:space="preserve">Attachment </w:t>
      </w:r>
      <w:r>
        <w:rPr>
          <w:rFonts w:eastAsia="Batang"/>
        </w:rPr>
        <w:t>3</w:t>
      </w:r>
      <w:r w:rsidRPr="009B1505">
        <w:rPr>
          <w:rFonts w:eastAsia="Batang"/>
        </w:rPr>
        <w:t xml:space="preserve">: </w:t>
      </w:r>
      <w:r>
        <w:rPr>
          <w:rFonts w:eastAsia="Batang"/>
        </w:rPr>
        <w:t>Public Comments</w:t>
      </w:r>
    </w:p>
    <w:p w:rsidR="00697F76" w:rsidP="00697F76" w:rsidRDefault="00697F76" w14:paraId="679C8075" w14:textId="77777777">
      <w:pPr>
        <w:pStyle w:val="NoSpacing"/>
        <w:jc w:val="both"/>
        <w:rPr>
          <w:rFonts w:eastAsia="Batang"/>
        </w:rPr>
      </w:pPr>
      <w:r w:rsidRPr="009B1505">
        <w:rPr>
          <w:rFonts w:eastAsia="Batang"/>
        </w:rPr>
        <w:t xml:space="preserve">Attachment </w:t>
      </w:r>
      <w:r>
        <w:rPr>
          <w:rFonts w:eastAsia="Batang"/>
        </w:rPr>
        <w:t>4</w:t>
      </w:r>
      <w:r w:rsidRPr="009B1505">
        <w:rPr>
          <w:rFonts w:eastAsia="Batang"/>
        </w:rPr>
        <w:t>: Client Questionnaire</w:t>
      </w:r>
      <w:r>
        <w:rPr>
          <w:rFonts w:eastAsia="Batang"/>
        </w:rPr>
        <w:t>, Baseline, 12-Month, and 18-Month Follow-up</w:t>
      </w:r>
      <w:r w:rsidRPr="009B1505">
        <w:rPr>
          <w:rFonts w:eastAsia="Batang"/>
        </w:rPr>
        <w:t xml:space="preserve"> </w:t>
      </w:r>
    </w:p>
    <w:p w:rsidR="00697F76" w:rsidP="00697F76" w:rsidRDefault="00697F76" w14:paraId="79F8FA8B" w14:textId="77777777">
      <w:pPr>
        <w:pStyle w:val="NoSpacing"/>
        <w:jc w:val="both"/>
        <w:rPr>
          <w:rFonts w:eastAsia="Batang"/>
        </w:rPr>
      </w:pPr>
      <w:r>
        <w:rPr>
          <w:rFonts w:eastAsia="Batang"/>
        </w:rPr>
        <w:t xml:space="preserve">Attachment 5: Privacy Impact Assessment </w:t>
      </w:r>
    </w:p>
    <w:p w:rsidR="00697F76" w:rsidP="00697F76" w:rsidRDefault="00697F76" w14:paraId="5FB091DE" w14:textId="77777777">
      <w:pPr>
        <w:pStyle w:val="NoSpacing"/>
        <w:jc w:val="both"/>
        <w:rPr>
          <w:rFonts w:eastAsia="Batang"/>
        </w:rPr>
      </w:pPr>
      <w:r>
        <w:rPr>
          <w:rFonts w:eastAsia="Batang"/>
        </w:rPr>
        <w:t>Attachment 6: IRB Documents</w:t>
      </w:r>
    </w:p>
    <w:p w:rsidRPr="009B1505" w:rsidR="00697F76" w:rsidP="00697F76" w:rsidRDefault="00697F76" w14:paraId="13D8D6BB" w14:textId="77777777">
      <w:pPr>
        <w:pStyle w:val="NoSpacing"/>
        <w:jc w:val="both"/>
        <w:rPr>
          <w:rFonts w:eastAsia="Batang"/>
        </w:rPr>
      </w:pPr>
      <w:r>
        <w:rPr>
          <w:rFonts w:eastAsia="Batang"/>
        </w:rPr>
        <w:t>Attachment 7</w:t>
      </w:r>
      <w:r w:rsidRPr="009B1505">
        <w:rPr>
          <w:rFonts w:eastAsia="Batang"/>
        </w:rPr>
        <w:t xml:space="preserve">: Informed Consent </w:t>
      </w:r>
    </w:p>
    <w:p w:rsidR="00697F76" w:rsidP="00697F76" w:rsidRDefault="00697F76" w14:paraId="00B278B0" w14:textId="77777777">
      <w:pPr>
        <w:pStyle w:val="NoSpacing"/>
        <w:jc w:val="both"/>
      </w:pPr>
      <w:r>
        <w:rPr>
          <w:rFonts w:eastAsia="Batang"/>
        </w:rPr>
        <w:t>Attachment 8</w:t>
      </w:r>
      <w:r w:rsidRPr="00E170E6">
        <w:rPr>
          <w:rFonts w:eastAsia="Batang"/>
        </w:rPr>
        <w:t xml:space="preserve">: </w:t>
      </w:r>
      <w:r w:rsidRPr="00E170E6">
        <w:t>Certificate of Confidentiality</w:t>
      </w:r>
    </w:p>
    <w:p w:rsidRPr="00697F76" w:rsidR="00697F76" w:rsidP="00697F76" w:rsidRDefault="00697F76" w14:paraId="3630B7E1" w14:textId="4D228BBB">
      <w:pPr>
        <w:pStyle w:val="NoSpacing"/>
        <w:jc w:val="both"/>
        <w:rPr>
          <w:rFonts w:eastAsia="Batang"/>
        </w:rPr>
      </w:pPr>
      <w:r>
        <w:rPr>
          <w:rFonts w:eastAsia="Batang"/>
        </w:rPr>
        <w:t>Attachment 9</w:t>
      </w:r>
      <w:r w:rsidRPr="00E170E6">
        <w:rPr>
          <w:rFonts w:eastAsia="Batang"/>
        </w:rPr>
        <w:t xml:space="preserve">: </w:t>
      </w:r>
      <w:r>
        <w:t>Power Calculations</w:t>
      </w:r>
      <w:bookmarkStart w:name="_Toc8007688" w:id="3"/>
      <w:bookmarkStart w:name="_Toc88033485" w:id="4"/>
      <w:bookmarkStart w:name="_Toc46304228" w:id="5"/>
      <w:bookmarkEnd w:id="2"/>
    </w:p>
    <w:p w:rsidR="00697F76" w:rsidP="00495ADF" w:rsidRDefault="00697F76" w14:paraId="5AECE538" w14:textId="77777777">
      <w:pPr>
        <w:pStyle w:val="Heading1"/>
      </w:pPr>
    </w:p>
    <w:p w:rsidR="000613D2" w:rsidP="00495ADF" w:rsidRDefault="000613D2" w14:paraId="191B59F5" w14:textId="77777777">
      <w:pPr>
        <w:pStyle w:val="Heading1"/>
      </w:pPr>
    </w:p>
    <w:p w:rsidR="00752DD1" w:rsidP="00752DD1" w:rsidRDefault="00752DD1" w14:paraId="00F7906C" w14:textId="77777777">
      <w:pPr>
        <w:pStyle w:val="Heading1"/>
        <w:spacing w:before="0" w:after="0"/>
      </w:pPr>
    </w:p>
    <w:p w:rsidR="00752DD1" w:rsidP="00752DD1" w:rsidRDefault="00752DD1" w14:paraId="3646DD44" w14:textId="77777777">
      <w:pPr>
        <w:pStyle w:val="Heading1"/>
        <w:spacing w:before="0" w:after="0"/>
      </w:pPr>
    </w:p>
    <w:p w:rsidR="00752DD1" w:rsidP="00752DD1" w:rsidRDefault="00752DD1" w14:paraId="2D129C5D" w14:textId="77777777">
      <w:pPr>
        <w:pStyle w:val="Heading1"/>
        <w:spacing w:before="0" w:after="0"/>
      </w:pPr>
    </w:p>
    <w:p w:rsidR="00752DD1" w:rsidP="00752DD1" w:rsidRDefault="00752DD1" w14:paraId="71929766" w14:textId="77777777">
      <w:pPr>
        <w:pStyle w:val="Heading1"/>
        <w:spacing w:before="0" w:after="0"/>
      </w:pPr>
    </w:p>
    <w:p w:rsidR="00752DD1" w:rsidP="00752DD1" w:rsidRDefault="00752DD1" w14:paraId="349BD72D" w14:textId="77777777"/>
    <w:p w:rsidRPr="00752DD1" w:rsidR="00495ADF" w:rsidP="00752DD1" w:rsidRDefault="006E2440" w14:paraId="49B70018" w14:textId="1FC71C77">
      <w:pPr>
        <w:pStyle w:val="Heading6"/>
        <w:jc w:val="left"/>
      </w:pPr>
      <w:r w:rsidRPr="00752DD1">
        <w:lastRenderedPageBreak/>
        <w:t>B.</w:t>
      </w:r>
      <w:r w:rsidRPr="00752DD1">
        <w:tab/>
      </w:r>
      <w:r w:rsidRPr="00752DD1" w:rsidR="00495ADF">
        <w:t>Collection of Information Employing Statistical Methods</w:t>
      </w:r>
      <w:bookmarkEnd w:id="3"/>
      <w:bookmarkEnd w:id="4"/>
      <w:bookmarkEnd w:id="5"/>
    </w:p>
    <w:p w:rsidRPr="00264825" w:rsidR="006B2EBD" w:rsidP="00264825" w:rsidRDefault="006B2EBD" w14:paraId="00BCE0FE" w14:textId="77777777"/>
    <w:p w:rsidR="00495ADF" w:rsidP="006E2440" w:rsidRDefault="00495ADF" w14:paraId="0C8B7AA7" w14:textId="69103056">
      <w:pPr>
        <w:pStyle w:val="Heading2"/>
      </w:pPr>
      <w:bookmarkStart w:name="_Toc8007689" w:id="6"/>
      <w:bookmarkStart w:name="_Toc88033486" w:id="7"/>
      <w:bookmarkStart w:name="_Toc46304229" w:id="8"/>
      <w:r>
        <w:t>B.1</w:t>
      </w:r>
      <w:r>
        <w:tab/>
      </w:r>
      <w:bookmarkEnd w:id="6"/>
      <w:bookmarkEnd w:id="7"/>
      <w:r w:rsidRPr="00E04321">
        <w:t>Respondent Universe and Sampling Methods</w:t>
      </w:r>
      <w:bookmarkEnd w:id="8"/>
    </w:p>
    <w:p w:rsidRPr="00264825" w:rsidR="006B2EBD" w:rsidP="00264825" w:rsidRDefault="006B2EBD" w14:paraId="2D1B38B3" w14:textId="77777777"/>
    <w:p w:rsidR="009D33E3" w:rsidP="00A92395" w:rsidRDefault="00034A27" w14:paraId="5DED1BA7" w14:textId="06D96237">
      <w:pPr>
        <w:pStyle w:val="BodyText1"/>
      </w:pPr>
      <w:r>
        <w:t xml:space="preserve">Broadly, the respondent universe </w:t>
      </w:r>
      <w:r w:rsidR="00306F6E">
        <w:t>includes</w:t>
      </w:r>
      <w:r>
        <w:t xml:space="preserve"> individuals in the United States who receive some form of </w:t>
      </w:r>
      <w:r w:rsidR="00EE48B4">
        <w:t>opioid use disorder (</w:t>
      </w:r>
      <w:r>
        <w:t>OUD</w:t>
      </w:r>
      <w:r w:rsidR="00EE48B4">
        <w:t>)</w:t>
      </w:r>
      <w:r>
        <w:t xml:space="preserve"> treatment. The sample from this broad universe </w:t>
      </w:r>
      <w:r w:rsidR="006616A3">
        <w:t xml:space="preserve">has </w:t>
      </w:r>
      <w:r>
        <w:t>be</w:t>
      </w:r>
      <w:r w:rsidR="006616A3">
        <w:t>en</w:t>
      </w:r>
      <w:r>
        <w:t xml:space="preserve"> operationalized by selecting </w:t>
      </w:r>
      <w:r w:rsidR="00225272">
        <w:t>1</w:t>
      </w:r>
      <w:r w:rsidR="002D1461">
        <w:t>4</w:t>
      </w:r>
      <w:r w:rsidR="00225272">
        <w:t xml:space="preserve"> </w:t>
      </w:r>
      <w:r w:rsidR="00651D86">
        <w:t xml:space="preserve">metropolitan statistical </w:t>
      </w:r>
      <w:r w:rsidR="00695829">
        <w:t>areas</w:t>
      </w:r>
      <w:r w:rsidR="00651D86">
        <w:t xml:space="preserve"> (MSAs)</w:t>
      </w:r>
      <w:r w:rsidR="006616A3">
        <w:t xml:space="preserve"> and</w:t>
      </w:r>
      <w:r>
        <w:t xml:space="preserve"> recruiting </w:t>
      </w:r>
      <w:r w:rsidR="00D92133">
        <w:t>four to five</w:t>
      </w:r>
      <w:r>
        <w:t xml:space="preserve"> OUD treatment </w:t>
      </w:r>
      <w:r w:rsidR="007367F8">
        <w:t xml:space="preserve">facilities </w:t>
      </w:r>
      <w:r>
        <w:t xml:space="preserve">per </w:t>
      </w:r>
      <w:r w:rsidR="00695829">
        <w:t>area</w:t>
      </w:r>
      <w:r w:rsidR="006616A3">
        <w:t xml:space="preserve">. </w:t>
      </w:r>
      <w:r w:rsidR="005127DA">
        <w:t>Study recruitment has ended, and t</w:t>
      </w:r>
      <w:r w:rsidR="006616A3">
        <w:t xml:space="preserve">he study </w:t>
      </w:r>
      <w:r w:rsidR="00BF4800">
        <w:t xml:space="preserve">has enrolled </w:t>
      </w:r>
      <w:r w:rsidR="000F6B76">
        <w:t xml:space="preserve">a total of </w:t>
      </w:r>
      <w:r w:rsidR="006E490F">
        <w:t>1,975</w:t>
      </w:r>
      <w:r>
        <w:t xml:space="preserve"> participants </w:t>
      </w:r>
      <w:r w:rsidR="000F6B76">
        <w:t>across</w:t>
      </w:r>
      <w:r w:rsidR="00505A91">
        <w:t xml:space="preserve"> 4 treatment groups</w:t>
      </w:r>
      <w:r w:rsidR="00AD6036">
        <w:t xml:space="preserve">.  All participants have </w:t>
      </w:r>
      <w:r w:rsidR="0023479E">
        <w:t>been screened</w:t>
      </w:r>
      <w:r w:rsidR="00E65C2F">
        <w:t xml:space="preserve"> for inclusion and exclusion criteria</w:t>
      </w:r>
      <w:r w:rsidR="0023479E">
        <w:t>, signed an approved consent form, and</w:t>
      </w:r>
      <w:r w:rsidR="00E65C2F">
        <w:t xml:space="preserve"> completed </w:t>
      </w:r>
      <w:r w:rsidR="00BC36AB">
        <w:t>a Baseline Patient Questionnaire.</w:t>
      </w:r>
      <w:r w:rsidR="004704E2">
        <w:t xml:space="preserve">  </w:t>
      </w:r>
      <w:r w:rsidR="002022A4">
        <w:t>T</w:t>
      </w:r>
      <w:r w:rsidR="00802723">
        <w:t xml:space="preserve">o </w:t>
      </w:r>
      <w:r w:rsidR="00184572">
        <w:t>achieve the desir</w:t>
      </w:r>
      <w:bookmarkStart w:name="_GoBack" w:id="9"/>
      <w:bookmarkEnd w:id="9"/>
      <w:r w:rsidR="00184572">
        <w:t>ed statistical power, t</w:t>
      </w:r>
      <w:r w:rsidR="002022A4">
        <w:t xml:space="preserve">he study sought to enroll </w:t>
      </w:r>
      <w:r w:rsidR="004C4001">
        <w:t xml:space="preserve">a </w:t>
      </w:r>
      <w:r w:rsidR="00D447A5">
        <w:t>target</w:t>
      </w:r>
      <w:r w:rsidR="004C4001">
        <w:t xml:space="preserve"> of 594 participants in each </w:t>
      </w:r>
      <w:r w:rsidR="00D447A5">
        <w:t>of the 4 treatment groups,</w:t>
      </w:r>
      <w:r w:rsidR="00184572">
        <w:t xml:space="preserve"> for a total of 2,</w:t>
      </w:r>
      <w:r w:rsidR="00805371">
        <w:t>376 participants,</w:t>
      </w:r>
      <w:r w:rsidR="00D447A5">
        <w:t xml:space="preserve"> however the target was </w:t>
      </w:r>
      <w:r w:rsidR="00CF48D3">
        <w:t>not</w:t>
      </w:r>
      <w:r w:rsidR="00D447A5">
        <w:t xml:space="preserve"> achieved in two of the 4 groups</w:t>
      </w:r>
      <w:r w:rsidR="006B390F">
        <w:t xml:space="preserve"> (</w:t>
      </w:r>
      <w:r w:rsidR="00B56C2A">
        <w:t>n</w:t>
      </w:r>
      <w:r w:rsidR="00CF48D3">
        <w:t>altrexone</w:t>
      </w:r>
      <w:r w:rsidR="006B390F">
        <w:t xml:space="preserve"> and</w:t>
      </w:r>
      <w:r w:rsidR="00CF48D3">
        <w:t xml:space="preserve"> </w:t>
      </w:r>
      <w:r w:rsidR="00B56C2A">
        <w:t>c</w:t>
      </w:r>
      <w:r w:rsidR="00CF48D3">
        <w:t xml:space="preserve">ounseling without </w:t>
      </w:r>
      <w:r w:rsidR="00B56C2A">
        <w:t>m</w:t>
      </w:r>
      <w:r w:rsidR="00CF48D3">
        <w:t>edication</w:t>
      </w:r>
      <w:r w:rsidR="006B390F">
        <w:t>)</w:t>
      </w:r>
      <w:r w:rsidR="006905FD">
        <w:t xml:space="preserve">.  Therefore, </w:t>
      </w:r>
      <w:r w:rsidR="00405A47">
        <w:t>comparisons will primarily be made</w:t>
      </w:r>
      <w:r w:rsidR="00384F5E">
        <w:t xml:space="preserve"> between the two groups </w:t>
      </w:r>
      <w:r w:rsidR="00E918E1">
        <w:t>that exceeded the target</w:t>
      </w:r>
      <w:r w:rsidR="00B56C2A">
        <w:t xml:space="preserve"> (buprenorphine and methadone)</w:t>
      </w:r>
      <w:r w:rsidR="002B3C55">
        <w:t xml:space="preserve"> </w:t>
      </w:r>
      <w:r w:rsidR="001C522B">
        <w:t>(discussed in section A.15 of the SSA)</w:t>
      </w:r>
      <w:r w:rsidR="002B3C55">
        <w:t xml:space="preserve">. </w:t>
      </w:r>
      <w:r w:rsidR="00B56C77">
        <w:t xml:space="preserve"> </w:t>
      </w:r>
      <w:r w:rsidR="00506A2E">
        <w:t>This will be explained in more detail in section B.4</w:t>
      </w:r>
      <w:r w:rsidR="00212946">
        <w:t>.</w:t>
      </w:r>
      <w:r>
        <w:t xml:space="preserve"> </w:t>
      </w:r>
      <w:r w:rsidR="00695829">
        <w:t xml:space="preserve">Study area is defined as the combination of metropolitan statistical area plus, in some instances, surrounding cities </w:t>
      </w:r>
      <w:r w:rsidR="00821BF9">
        <w:t>or corresponding larger cities within the same state.</w:t>
      </w:r>
    </w:p>
    <w:p w:rsidR="007C780C" w:rsidP="009E2854" w:rsidRDefault="007C780C" w14:paraId="191BECE6" w14:textId="4C97A03B">
      <w:pPr>
        <w:pStyle w:val="Heading3"/>
      </w:pPr>
      <w:bookmarkStart w:name="_Toc46304230" w:id="10"/>
      <w:r>
        <w:t>B.1.1</w:t>
      </w:r>
      <w:r>
        <w:tab/>
        <w:t>Site Selection</w:t>
      </w:r>
      <w:bookmarkEnd w:id="10"/>
    </w:p>
    <w:p w:rsidR="009051AA" w:rsidP="00A92395" w:rsidRDefault="009D33E3" w14:paraId="2604B363" w14:textId="43106BF4">
      <w:pPr>
        <w:pStyle w:val="BodyText1"/>
      </w:pPr>
      <w:r w:rsidRPr="00061658">
        <w:t xml:space="preserve">Within each </w:t>
      </w:r>
      <w:r w:rsidR="00695829">
        <w:t>are</w:t>
      </w:r>
      <w:r w:rsidR="00314407">
        <w:t>a</w:t>
      </w:r>
      <w:r w:rsidRPr="00061658">
        <w:t>,</w:t>
      </w:r>
      <w:r>
        <w:t xml:space="preserve"> the study team </w:t>
      </w:r>
      <w:r w:rsidR="006616A3">
        <w:t>began</w:t>
      </w:r>
      <w:r w:rsidRPr="00466AB9">
        <w:t xml:space="preserve"> </w:t>
      </w:r>
      <w:r>
        <w:t xml:space="preserve">by building a list of </w:t>
      </w:r>
      <w:r w:rsidR="004F4DEA">
        <w:t xml:space="preserve">treatment facilities </w:t>
      </w:r>
      <w:r>
        <w:t xml:space="preserve">that includes information on sampling criteria and contact information for recruitment. </w:t>
      </w:r>
      <w:r w:rsidR="005F0EAD">
        <w:t>N</w:t>
      </w:r>
      <w:r>
        <w:t xml:space="preserve">o single list of </w:t>
      </w:r>
      <w:r w:rsidR="005F0EAD">
        <w:t xml:space="preserve">U.S. </w:t>
      </w:r>
      <w:r>
        <w:t>health facilities</w:t>
      </w:r>
      <w:r w:rsidR="005F0EAD">
        <w:t xml:space="preserve"> or </w:t>
      </w:r>
      <w:r>
        <w:t xml:space="preserve">practices that offer OUD treatment </w:t>
      </w:r>
      <w:r w:rsidR="00874B4A">
        <w:t xml:space="preserve">specifies </w:t>
      </w:r>
      <w:r>
        <w:t xml:space="preserve">the type of OUD treatments offered and the </w:t>
      </w:r>
      <w:r w:rsidR="00F2057C">
        <w:t xml:space="preserve">patient </w:t>
      </w:r>
      <w:r>
        <w:t xml:space="preserve">load. </w:t>
      </w:r>
      <w:r w:rsidR="00BA5E5B">
        <w:t>Therefore, t</w:t>
      </w:r>
      <w:r>
        <w:t xml:space="preserve">he sampling frame for </w:t>
      </w:r>
      <w:r w:rsidR="004F4DEA">
        <w:t xml:space="preserve">treatment facilities </w:t>
      </w:r>
      <w:r w:rsidR="006616A3">
        <w:t>was</w:t>
      </w:r>
      <w:r>
        <w:t xml:space="preserve"> built by triangulating a variety of sources (e.g., </w:t>
      </w:r>
      <w:r w:rsidRPr="001A140A" w:rsidR="001A140A">
        <w:t>National Survey of Substance Abuse Treatment Services</w:t>
      </w:r>
      <w:r w:rsidR="001A140A">
        <w:t>, Substance Abuse and Mental Health Services Administration</w:t>
      </w:r>
      <w:r>
        <w:t>, D</w:t>
      </w:r>
      <w:r w:rsidR="001A140A">
        <w:t xml:space="preserve">rug </w:t>
      </w:r>
      <w:r>
        <w:t>E</w:t>
      </w:r>
      <w:r w:rsidR="001A140A">
        <w:t>nforcement Agency</w:t>
      </w:r>
      <w:r>
        <w:t xml:space="preserve"> list of </w:t>
      </w:r>
      <w:r w:rsidR="001A140A">
        <w:t>buprenorphine</w:t>
      </w:r>
      <w:r w:rsidR="005F0EAD">
        <w:t xml:space="preserve"> </w:t>
      </w:r>
      <w:r>
        <w:t xml:space="preserve">providers, National Provider Index) to identify eligible </w:t>
      </w:r>
      <w:r w:rsidR="004F4DEA">
        <w:t xml:space="preserve">facilities </w:t>
      </w:r>
      <w:r>
        <w:t xml:space="preserve">in the </w:t>
      </w:r>
      <w:r w:rsidR="00225272">
        <w:t>1</w:t>
      </w:r>
      <w:r w:rsidR="00B639C3">
        <w:t>4</w:t>
      </w:r>
      <w:r w:rsidR="00225272">
        <w:t xml:space="preserve"> </w:t>
      </w:r>
      <w:r w:rsidR="00821BF9">
        <w:t xml:space="preserve">study areas </w:t>
      </w:r>
      <w:r w:rsidR="00432E63">
        <w:t xml:space="preserve">and facility contact </w:t>
      </w:r>
      <w:r w:rsidR="00C634F2">
        <w:t>information (</w:t>
      </w:r>
      <w:r>
        <w:t xml:space="preserve">e.g., address, phone number, clinic director or proprietor, treatments offered, </w:t>
      </w:r>
      <w:r w:rsidR="00F2057C">
        <w:t xml:space="preserve">patient </w:t>
      </w:r>
      <w:r>
        <w:t xml:space="preserve">load). </w:t>
      </w:r>
      <w:r w:rsidR="00786946">
        <w:t>The study team aim</w:t>
      </w:r>
      <w:r w:rsidR="006616A3">
        <w:t>ed</w:t>
      </w:r>
      <w:r w:rsidR="00786946">
        <w:t xml:space="preserve"> to create </w:t>
      </w:r>
      <w:r w:rsidR="005A1566">
        <w:t>a list</w:t>
      </w:r>
      <w:r>
        <w:t xml:space="preserve"> of</w:t>
      </w:r>
      <w:r w:rsidR="007E095A">
        <w:t xml:space="preserve"> up to</w:t>
      </w:r>
      <w:r>
        <w:t xml:space="preserve"> 20 OUD </w:t>
      </w:r>
      <w:r w:rsidR="00432E63">
        <w:t>treatment facilities</w:t>
      </w:r>
      <w:r>
        <w:t xml:space="preserve"> </w:t>
      </w:r>
      <w:r w:rsidR="007367F8">
        <w:t xml:space="preserve">(sites) </w:t>
      </w:r>
      <w:r>
        <w:t xml:space="preserve">per </w:t>
      </w:r>
      <w:r w:rsidR="00821BF9">
        <w:t xml:space="preserve">study area </w:t>
      </w:r>
      <w:r>
        <w:t xml:space="preserve">from which </w:t>
      </w:r>
      <w:r w:rsidR="007E095A">
        <w:t xml:space="preserve">five to </w:t>
      </w:r>
      <w:r w:rsidR="00C634F2">
        <w:t xml:space="preserve">six </w:t>
      </w:r>
      <w:r w:rsidRPr="00061658" w:rsidR="00C634F2">
        <w:t>OUD</w:t>
      </w:r>
      <w:r w:rsidRPr="00061658">
        <w:t xml:space="preserve"> </w:t>
      </w:r>
      <w:r w:rsidR="00D2145A">
        <w:t>treatment facilit</w:t>
      </w:r>
      <w:r w:rsidR="0021669A">
        <w:t>ies</w:t>
      </w:r>
      <w:r w:rsidRPr="00061658" w:rsidR="00D2145A">
        <w:t xml:space="preserve"> </w:t>
      </w:r>
      <w:r w:rsidR="00DC5F73">
        <w:t>were</w:t>
      </w:r>
      <w:r w:rsidRPr="00061658">
        <w:t xml:space="preserve"> selected.</w:t>
      </w:r>
      <w:r>
        <w:t xml:space="preserve"> </w:t>
      </w:r>
      <w:r w:rsidR="009051AA">
        <w:t xml:space="preserve">The following criteria </w:t>
      </w:r>
      <w:r w:rsidR="006616A3">
        <w:t>are being</w:t>
      </w:r>
      <w:r w:rsidR="009051AA">
        <w:t xml:space="preserve"> used to determine site inclusion:</w:t>
      </w:r>
    </w:p>
    <w:p w:rsidR="009051AA" w:rsidP="001110FB" w:rsidRDefault="009051AA" w14:paraId="0B125D7D" w14:textId="44F97709">
      <w:pPr>
        <w:pStyle w:val="BodyText1"/>
        <w:numPr>
          <w:ilvl w:val="0"/>
          <w:numId w:val="9"/>
        </w:numPr>
      </w:pPr>
      <w:r>
        <w:lastRenderedPageBreak/>
        <w:t>S</w:t>
      </w:r>
      <w:r w:rsidRPr="00061658" w:rsidR="009D33E3">
        <w:t xml:space="preserve">ufficient </w:t>
      </w:r>
      <w:r w:rsidR="00F2057C">
        <w:t>patient</w:t>
      </w:r>
      <w:r w:rsidRPr="00061658" w:rsidR="00F2057C">
        <w:t xml:space="preserve"> </w:t>
      </w:r>
      <w:r w:rsidRPr="00061658" w:rsidR="009D33E3">
        <w:t xml:space="preserve">flow, about </w:t>
      </w:r>
      <w:r w:rsidR="00D2145A">
        <w:t xml:space="preserve">10 </w:t>
      </w:r>
      <w:r w:rsidRPr="00061658" w:rsidR="009D33E3">
        <w:t xml:space="preserve">new </w:t>
      </w:r>
      <w:r w:rsidR="00F2057C">
        <w:t>patient</w:t>
      </w:r>
      <w:r w:rsidRPr="00061658" w:rsidR="00F2057C">
        <w:t xml:space="preserve">s </w:t>
      </w:r>
      <w:r w:rsidRPr="00061658" w:rsidR="009D33E3">
        <w:t xml:space="preserve">per month, to reach </w:t>
      </w:r>
      <w:r w:rsidR="00432E63">
        <w:t>the approximate</w:t>
      </w:r>
      <w:r w:rsidRPr="00061658" w:rsidR="00432E63">
        <w:t xml:space="preserve"> </w:t>
      </w:r>
      <w:r w:rsidR="007367F8">
        <w:t xml:space="preserve">enrollment target of </w:t>
      </w:r>
      <w:r w:rsidR="00D2145A">
        <w:t>66</w:t>
      </w:r>
      <w:r w:rsidR="007367F8">
        <w:t xml:space="preserve"> participants</w:t>
      </w:r>
      <w:r w:rsidR="00D2145A">
        <w:t xml:space="preserve"> per treatment facility</w:t>
      </w:r>
      <w:r w:rsidRPr="00061658" w:rsidR="009D33E3">
        <w:t>.</w:t>
      </w:r>
    </w:p>
    <w:p w:rsidR="009051AA" w:rsidP="008D460B" w:rsidRDefault="009051AA" w14:paraId="1D48CE39" w14:textId="77777777">
      <w:pPr>
        <w:pStyle w:val="BodyText1"/>
        <w:numPr>
          <w:ilvl w:val="0"/>
          <w:numId w:val="9"/>
        </w:numPr>
      </w:pPr>
      <w:r>
        <w:t>Site diversity related to:</w:t>
      </w:r>
    </w:p>
    <w:p w:rsidR="009051AA" w:rsidP="008D460B" w:rsidRDefault="009051AA" w14:paraId="40614E08" w14:textId="0C30B0F7">
      <w:pPr>
        <w:pStyle w:val="BodyText1"/>
        <w:numPr>
          <w:ilvl w:val="1"/>
          <w:numId w:val="9"/>
        </w:numPr>
      </w:pPr>
      <w:r>
        <w:t>O</w:t>
      </w:r>
      <w:r w:rsidRPr="00061658" w:rsidR="009D33E3">
        <w:t>rganizational structure (e.g., clinic, group practice)</w:t>
      </w:r>
    </w:p>
    <w:p w:rsidR="009051AA" w:rsidP="008D460B" w:rsidRDefault="009051AA" w14:paraId="26382BDB" w14:textId="2BC04757">
      <w:pPr>
        <w:pStyle w:val="BodyText1"/>
        <w:numPr>
          <w:ilvl w:val="1"/>
          <w:numId w:val="9"/>
        </w:numPr>
      </w:pPr>
      <w:r>
        <w:t>M</w:t>
      </w:r>
      <w:r w:rsidRPr="00061658" w:rsidR="009D33E3">
        <w:t>anagement structure</w:t>
      </w:r>
    </w:p>
    <w:p w:rsidR="009051AA" w:rsidP="008D460B" w:rsidRDefault="009051AA" w14:paraId="13CA46CC" w14:textId="4BBD85C0">
      <w:pPr>
        <w:pStyle w:val="BodyText1"/>
        <w:numPr>
          <w:ilvl w:val="1"/>
          <w:numId w:val="9"/>
        </w:numPr>
      </w:pPr>
      <w:r>
        <w:t>F</w:t>
      </w:r>
      <w:r w:rsidRPr="00061658" w:rsidR="009D33E3">
        <w:t>acility operations and locations</w:t>
      </w:r>
    </w:p>
    <w:p w:rsidR="0035337E" w:rsidP="008D460B" w:rsidRDefault="0035337E" w14:paraId="3EEE861E" w14:textId="00A07CD8">
      <w:pPr>
        <w:pStyle w:val="BodyText1"/>
        <w:numPr>
          <w:ilvl w:val="1"/>
          <w:numId w:val="9"/>
        </w:numPr>
      </w:pPr>
      <w:r>
        <w:t>N</w:t>
      </w:r>
      <w:r w:rsidRPr="00061658" w:rsidR="009D33E3">
        <w:t>umber</w:t>
      </w:r>
      <w:r w:rsidR="004E573F">
        <w:t>s</w:t>
      </w:r>
      <w:r w:rsidRPr="00061658" w:rsidR="009D33E3">
        <w:t xml:space="preserve"> and type</w:t>
      </w:r>
      <w:r w:rsidR="005F11AA">
        <w:t>s</w:t>
      </w:r>
      <w:r w:rsidRPr="00061658" w:rsidR="009D33E3">
        <w:t xml:space="preserve"> of providers </w:t>
      </w:r>
    </w:p>
    <w:p w:rsidRPr="00061658" w:rsidR="009D33E3" w:rsidP="008D460B" w:rsidRDefault="007367F8" w14:paraId="6C4ABE57" w14:textId="7D92A8DD">
      <w:pPr>
        <w:pStyle w:val="BodyText1"/>
        <w:numPr>
          <w:ilvl w:val="1"/>
          <w:numId w:val="9"/>
        </w:numPr>
      </w:pPr>
      <w:r>
        <w:t>Patient</w:t>
      </w:r>
      <w:r w:rsidRPr="00061658" w:rsidR="009D33E3">
        <w:t xml:space="preserve"> characteristics </w:t>
      </w:r>
      <w:r w:rsidR="008D460B">
        <w:t>such as a</w:t>
      </w:r>
      <w:r w:rsidR="00CA0C55">
        <w:t xml:space="preserve">ge, </w:t>
      </w:r>
      <w:r w:rsidRPr="00061658" w:rsidR="009D33E3">
        <w:t>gender, race</w:t>
      </w:r>
      <w:r w:rsidR="003D5746">
        <w:t xml:space="preserve"> or </w:t>
      </w:r>
      <w:r w:rsidRPr="00061658" w:rsidR="009D33E3">
        <w:t>ethnicity</w:t>
      </w:r>
      <w:r w:rsidR="003D5746">
        <w:t>,</w:t>
      </w:r>
      <w:r w:rsidRPr="00061658" w:rsidR="009D33E3">
        <w:t xml:space="preserve"> residence (urban</w:t>
      </w:r>
      <w:r w:rsidR="003D5746">
        <w:t xml:space="preserve"> or </w:t>
      </w:r>
      <w:r w:rsidRPr="00061658" w:rsidR="009D33E3">
        <w:t>rural)</w:t>
      </w:r>
      <w:r w:rsidR="00A177C0">
        <w:t>,</w:t>
      </w:r>
      <w:r w:rsidR="00CA0C55">
        <w:t xml:space="preserve"> and OUD </w:t>
      </w:r>
      <w:r>
        <w:t xml:space="preserve">treatment </w:t>
      </w:r>
      <w:r w:rsidR="00CA0C55">
        <w:t>characteristics</w:t>
      </w:r>
      <w:r w:rsidRPr="00061658" w:rsidR="009D33E3">
        <w:t xml:space="preserve">. </w:t>
      </w:r>
    </w:p>
    <w:p w:rsidR="007C780C" w:rsidP="007C780C" w:rsidRDefault="007C780C" w14:paraId="2519C75F" w14:textId="07EFCC84">
      <w:pPr>
        <w:pStyle w:val="Heading3"/>
      </w:pPr>
      <w:bookmarkStart w:name="_Toc46304231" w:id="11"/>
      <w:bookmarkStart w:name="_Hlk505493581" w:id="12"/>
      <w:r>
        <w:t>B.1.2</w:t>
      </w:r>
      <w:r>
        <w:tab/>
        <w:t>Patient Selection within Site</w:t>
      </w:r>
      <w:bookmarkEnd w:id="11"/>
    </w:p>
    <w:bookmarkEnd w:id="12"/>
    <w:p w:rsidR="009D33E3" w:rsidP="009E2854" w:rsidRDefault="009D33E3" w14:paraId="0A75064C" w14:textId="5C999F63">
      <w:pPr>
        <w:pStyle w:val="BodyText1"/>
      </w:pPr>
      <w:r>
        <w:t xml:space="preserve">Once a </w:t>
      </w:r>
      <w:r w:rsidR="00492EA5">
        <w:t xml:space="preserve">treatment facility </w:t>
      </w:r>
      <w:r>
        <w:t>agreed to participate</w:t>
      </w:r>
      <w:r w:rsidR="006A70D3">
        <w:t xml:space="preserve">, </w:t>
      </w:r>
      <w:r w:rsidR="00D8693B">
        <w:t>potential participants</w:t>
      </w:r>
      <w:r w:rsidR="00174D1D">
        <w:t xml:space="preserve"> who initiating a new treatment episode for OUD</w:t>
      </w:r>
      <w:r w:rsidR="00D8693B">
        <w:t xml:space="preserve"> </w:t>
      </w:r>
      <w:r w:rsidR="00392FA5">
        <w:t>were identified</w:t>
      </w:r>
      <w:r w:rsidR="000D7F7A">
        <w:t xml:space="preserve">. </w:t>
      </w:r>
      <w:r w:rsidR="00CC2390">
        <w:t xml:space="preserve">Prospective participants </w:t>
      </w:r>
      <w:r w:rsidR="00DF3432">
        <w:t>were</w:t>
      </w:r>
      <w:r w:rsidR="00CC2390">
        <w:t xml:space="preserve"> eligible if they </w:t>
      </w:r>
      <w:r w:rsidR="00392FA5">
        <w:t>were</w:t>
      </w:r>
      <w:r w:rsidR="00CC2390">
        <w:t xml:space="preserve"> 18 years of age </w:t>
      </w:r>
      <w:r w:rsidR="0058517E">
        <w:t xml:space="preserve">or older </w:t>
      </w:r>
      <w:r w:rsidR="00CC2390">
        <w:t>and initiating one of four primary treatments for OUD: methadone maintenance treatment (MMT), buprenorphine (BUP), naltrexone (NTX), or counseling treatment without medication (COUN).</w:t>
      </w:r>
      <w:r w:rsidRPr="00692036" w:rsidR="00CC2390">
        <w:rPr>
          <w:rStyle w:val="FootnoteReference"/>
          <w:vertAlign w:val="superscript"/>
        </w:rPr>
        <w:footnoteReference w:id="1"/>
      </w:r>
      <w:r w:rsidR="00CC2390">
        <w:t xml:space="preserve"> Client referral information </w:t>
      </w:r>
      <w:r w:rsidR="000E1A11">
        <w:t>are</w:t>
      </w:r>
      <w:r w:rsidR="00CC2390">
        <w:t xml:space="preserve"> maintained within a secure server environment for retrieval by approved RTI field staff (see Section</w:t>
      </w:r>
      <w:r w:rsidR="00BE50F7">
        <w:t>s</w:t>
      </w:r>
      <w:r w:rsidR="00CC2390">
        <w:t xml:space="preserve"> A.10</w:t>
      </w:r>
      <w:r w:rsidR="00BE50F7">
        <w:t xml:space="preserve"> and B.2</w:t>
      </w:r>
      <w:r w:rsidR="00CC2390">
        <w:t xml:space="preserve"> for further information). </w:t>
      </w:r>
      <w:r w:rsidRPr="004A07AB" w:rsidR="00CC2390">
        <w:rPr>
          <w:b/>
          <w:i/>
        </w:rPr>
        <w:t>Exhibit 1</w:t>
      </w:r>
      <w:r w:rsidRPr="004A07AB" w:rsidR="00CC2390">
        <w:rPr>
          <w:i/>
        </w:rPr>
        <w:t xml:space="preserve"> </w:t>
      </w:r>
      <w:r w:rsidR="00CC2390">
        <w:t xml:space="preserve">summarizes the selected </w:t>
      </w:r>
      <w:r w:rsidR="00821BF9">
        <w:t xml:space="preserve">study areas </w:t>
      </w:r>
      <w:r w:rsidR="00CC2390">
        <w:t xml:space="preserve">and number of sites and patients </w:t>
      </w:r>
      <w:r w:rsidR="00226D19">
        <w:t>participating in this study</w:t>
      </w:r>
      <w:r w:rsidR="00CC2390">
        <w:t>.</w:t>
      </w:r>
    </w:p>
    <w:p w:rsidR="00392FA5" w:rsidP="009E2854" w:rsidRDefault="00392FA5" w14:paraId="24FB705D" w14:textId="0349BF6E">
      <w:pPr>
        <w:pStyle w:val="BodyText1"/>
      </w:pPr>
    </w:p>
    <w:p w:rsidR="00392FA5" w:rsidP="009E2854" w:rsidRDefault="00392FA5" w14:paraId="3F418626" w14:textId="25BBAED5">
      <w:pPr>
        <w:pStyle w:val="BodyText1"/>
      </w:pPr>
    </w:p>
    <w:p w:rsidR="00392FA5" w:rsidP="009E2854" w:rsidRDefault="00392FA5" w14:paraId="2C2EF00E" w14:textId="2B19357C">
      <w:pPr>
        <w:pStyle w:val="BodyText1"/>
      </w:pPr>
    </w:p>
    <w:p w:rsidR="00392FA5" w:rsidP="009E2854" w:rsidRDefault="00392FA5" w14:paraId="01259571" w14:textId="5D3176F5">
      <w:pPr>
        <w:pStyle w:val="BodyText1"/>
      </w:pPr>
    </w:p>
    <w:p w:rsidR="00392FA5" w:rsidP="009E2854" w:rsidRDefault="00392FA5" w14:paraId="4DAD7EEA" w14:textId="217F245F">
      <w:pPr>
        <w:pStyle w:val="BodyText1"/>
      </w:pPr>
    </w:p>
    <w:p w:rsidRPr="004923F0" w:rsidR="00977A46" w:rsidP="00802D38" w:rsidRDefault="002A2F8B" w14:paraId="3923B4EB" w14:textId="74F0E1C2">
      <w:pPr>
        <w:pStyle w:val="FigureTitle"/>
        <w:rPr>
          <w:rFonts w:eastAsia="MS Mincho"/>
        </w:rPr>
      </w:pPr>
      <w:bookmarkStart w:name="_Toc475451157" w:id="13"/>
      <w:bookmarkStart w:name="_Toc52326697" w:id="14"/>
      <w:r>
        <w:rPr>
          <w:rFonts w:eastAsia="MS Mincho"/>
        </w:rPr>
        <w:lastRenderedPageBreak/>
        <w:t xml:space="preserve">Exhibit </w:t>
      </w:r>
      <w:r w:rsidR="00977A46">
        <w:rPr>
          <w:rFonts w:eastAsia="MS Mincho"/>
        </w:rPr>
        <w:t>1</w:t>
      </w:r>
      <w:r w:rsidRPr="004923F0" w:rsidR="00977A46">
        <w:rPr>
          <w:rFonts w:eastAsia="MS Mincho"/>
        </w:rPr>
        <w:t>.</w:t>
      </w:r>
      <w:r w:rsidRPr="004923F0" w:rsidR="00977A46">
        <w:rPr>
          <w:rFonts w:eastAsia="MS Mincho"/>
        </w:rPr>
        <w:tab/>
        <w:t>Sampling Stages for MAT</w:t>
      </w:r>
      <w:bookmarkEnd w:id="13"/>
      <w:r w:rsidR="005A1566">
        <w:rPr>
          <w:rFonts w:eastAsia="MS Mincho"/>
        </w:rPr>
        <w:t xml:space="preserve"> Study</w:t>
      </w:r>
      <w:bookmarkEnd w:id="14"/>
    </w:p>
    <w:tbl>
      <w:tblPr>
        <w:tblW w:w="9180" w:type="dxa"/>
        <w:tblBorders>
          <w:top w:val="single" w:color="auto" w:sz="12" w:space="0"/>
          <w:bottom w:val="single" w:color="auto" w:sz="12" w:space="0"/>
        </w:tblBorders>
        <w:tblLayout w:type="fixed"/>
        <w:tblLook w:val="04A0" w:firstRow="1" w:lastRow="0" w:firstColumn="1" w:lastColumn="0" w:noHBand="0" w:noVBand="1"/>
      </w:tblPr>
      <w:tblGrid>
        <w:gridCol w:w="4950"/>
        <w:gridCol w:w="4230"/>
      </w:tblGrid>
      <w:tr w:rsidRPr="00A71DDD" w:rsidR="00977A46" w:rsidTr="009A7920" w14:paraId="1F9C3138" w14:textId="77777777">
        <w:tc>
          <w:tcPr>
            <w:tcW w:w="9180" w:type="dxa"/>
            <w:gridSpan w:val="2"/>
            <w:tcBorders>
              <w:top w:val="single" w:color="auto" w:sz="12" w:space="0"/>
              <w:bottom w:val="single" w:color="auto" w:sz="4" w:space="0"/>
            </w:tcBorders>
          </w:tcPr>
          <w:p w:rsidRPr="00A71DDD" w:rsidR="00977A46" w:rsidP="00802D38" w:rsidRDefault="00977A46" w14:paraId="29E05EA9" w14:textId="77777777">
            <w:pPr>
              <w:pStyle w:val="TableHeaders"/>
              <w:rPr>
                <w:sz w:val="22"/>
                <w:szCs w:val="22"/>
              </w:rPr>
            </w:pPr>
            <w:r w:rsidRPr="00A71DDD">
              <w:rPr>
                <w:sz w:val="22"/>
                <w:szCs w:val="22"/>
              </w:rPr>
              <w:t>Sample Unit Description</w:t>
            </w:r>
          </w:p>
        </w:tc>
      </w:tr>
      <w:tr w:rsidRPr="00A71DDD" w:rsidR="00802D38" w:rsidTr="009A7920" w14:paraId="122734D5" w14:textId="77777777">
        <w:tc>
          <w:tcPr>
            <w:tcW w:w="9180" w:type="dxa"/>
            <w:gridSpan w:val="2"/>
            <w:tcBorders>
              <w:top w:val="single" w:color="auto" w:sz="4" w:space="0"/>
              <w:bottom w:val="nil"/>
            </w:tcBorders>
          </w:tcPr>
          <w:p w:rsidRPr="00A71DDD" w:rsidR="00802D38" w:rsidP="00802D38" w:rsidRDefault="00802D38" w14:paraId="0F06C7AF" w14:textId="31C875F9">
            <w:pPr>
              <w:spacing w:line="276" w:lineRule="auto"/>
              <w:contextualSpacing/>
              <w:rPr>
                <w:rFonts w:eastAsia="MS Mincho"/>
                <w:b/>
                <w:sz w:val="22"/>
                <w:szCs w:val="22"/>
                <w:u w:val="single"/>
              </w:rPr>
            </w:pPr>
            <w:r w:rsidRPr="00A71DDD">
              <w:rPr>
                <w:rFonts w:eastAsia="MS Mincho"/>
                <w:b/>
                <w:sz w:val="22"/>
                <w:szCs w:val="22"/>
                <w:u w:val="single"/>
              </w:rPr>
              <w:t>1</w:t>
            </w:r>
            <w:r w:rsidR="00872F62">
              <w:rPr>
                <w:rFonts w:eastAsia="MS Mincho"/>
                <w:b/>
                <w:sz w:val="22"/>
                <w:szCs w:val="22"/>
                <w:u w:val="single"/>
              </w:rPr>
              <w:t>4</w:t>
            </w:r>
            <w:r w:rsidRPr="00A71DDD">
              <w:rPr>
                <w:rFonts w:eastAsia="MS Mincho"/>
                <w:b/>
                <w:sz w:val="22"/>
                <w:szCs w:val="22"/>
                <w:u w:val="single"/>
              </w:rPr>
              <w:t xml:space="preserve"> geographic areas</w:t>
            </w:r>
          </w:p>
        </w:tc>
      </w:tr>
      <w:tr w:rsidRPr="00A71DDD" w:rsidR="00802D38" w:rsidTr="002E343A" w14:paraId="6AE47B5F" w14:textId="77777777">
        <w:trPr>
          <w:trHeight w:val="270"/>
        </w:trPr>
        <w:tc>
          <w:tcPr>
            <w:tcW w:w="4950" w:type="dxa"/>
            <w:tcBorders>
              <w:top w:val="nil"/>
              <w:bottom w:val="nil"/>
            </w:tcBorders>
          </w:tcPr>
          <w:p w:rsidRPr="00A71DDD" w:rsidR="00802D38" w:rsidP="00802D38" w:rsidRDefault="00802D38" w14:paraId="1E0C35AD" w14:textId="73B3F6CA">
            <w:pPr>
              <w:pStyle w:val="TableText"/>
              <w:rPr>
                <w:rFonts w:eastAsia="MS Mincho"/>
                <w:b/>
                <w:sz w:val="22"/>
                <w:szCs w:val="22"/>
                <w:u w:val="single"/>
              </w:rPr>
            </w:pPr>
            <w:r w:rsidRPr="00A71DDD">
              <w:rPr>
                <w:sz w:val="22"/>
                <w:szCs w:val="22"/>
              </w:rPr>
              <w:t>Alabama (Birmingham)</w:t>
            </w:r>
          </w:p>
        </w:tc>
        <w:tc>
          <w:tcPr>
            <w:tcW w:w="4230" w:type="dxa"/>
            <w:tcBorders>
              <w:top w:val="nil"/>
              <w:bottom w:val="nil"/>
            </w:tcBorders>
          </w:tcPr>
          <w:p w:rsidRPr="00A71DDD" w:rsidR="00802D38" w:rsidP="00B36FC5" w:rsidRDefault="000C35B9" w14:paraId="6C17DF75" w14:textId="379AC575">
            <w:pPr>
              <w:pStyle w:val="TableText"/>
              <w:ind w:left="252"/>
              <w:rPr>
                <w:rFonts w:eastAsia="MS Mincho"/>
                <w:b/>
                <w:sz w:val="22"/>
                <w:szCs w:val="22"/>
                <w:u w:val="single"/>
              </w:rPr>
            </w:pPr>
            <w:r>
              <w:rPr>
                <w:sz w:val="22"/>
                <w:szCs w:val="22"/>
              </w:rPr>
              <w:t>Massachusetts (Boston)</w:t>
            </w:r>
          </w:p>
        </w:tc>
      </w:tr>
      <w:tr w:rsidRPr="00A71DDD" w:rsidR="00802D38" w:rsidTr="002E343A" w14:paraId="6D8AD0BB" w14:textId="77777777">
        <w:tc>
          <w:tcPr>
            <w:tcW w:w="4950" w:type="dxa"/>
            <w:tcBorders>
              <w:top w:val="nil"/>
              <w:bottom w:val="nil"/>
            </w:tcBorders>
          </w:tcPr>
          <w:p w:rsidRPr="00A71DDD" w:rsidR="00802D38" w:rsidP="00802D38" w:rsidRDefault="00802D38" w14:paraId="1D543B80" w14:textId="1465F275">
            <w:pPr>
              <w:pStyle w:val="TableText"/>
              <w:rPr>
                <w:sz w:val="22"/>
                <w:szCs w:val="22"/>
              </w:rPr>
            </w:pPr>
            <w:r w:rsidRPr="00A71DDD">
              <w:rPr>
                <w:sz w:val="22"/>
                <w:szCs w:val="22"/>
              </w:rPr>
              <w:t>Arizona (Phoenix)</w:t>
            </w:r>
          </w:p>
        </w:tc>
        <w:tc>
          <w:tcPr>
            <w:tcW w:w="4230" w:type="dxa"/>
            <w:tcBorders>
              <w:top w:val="nil"/>
              <w:bottom w:val="nil"/>
            </w:tcBorders>
          </w:tcPr>
          <w:p w:rsidRPr="00A71DDD" w:rsidR="00802D38" w:rsidP="00B36FC5" w:rsidRDefault="00872F62" w14:paraId="437B5579" w14:textId="78290434">
            <w:pPr>
              <w:pStyle w:val="TableText"/>
              <w:ind w:left="252"/>
              <w:rPr>
                <w:sz w:val="22"/>
                <w:szCs w:val="22"/>
              </w:rPr>
            </w:pPr>
            <w:r>
              <w:rPr>
                <w:sz w:val="22"/>
                <w:szCs w:val="22"/>
              </w:rPr>
              <w:t>North Carolina (</w:t>
            </w:r>
            <w:r w:rsidR="00A330BE">
              <w:rPr>
                <w:sz w:val="22"/>
                <w:szCs w:val="22"/>
              </w:rPr>
              <w:t>Raleigh</w:t>
            </w:r>
            <w:r>
              <w:rPr>
                <w:sz w:val="22"/>
                <w:szCs w:val="22"/>
              </w:rPr>
              <w:t>, Durham)</w:t>
            </w:r>
          </w:p>
        </w:tc>
      </w:tr>
      <w:tr w:rsidRPr="00A71DDD" w:rsidR="000C35B9" w:rsidTr="002E343A" w14:paraId="636766C8" w14:textId="77777777">
        <w:tc>
          <w:tcPr>
            <w:tcW w:w="4950" w:type="dxa"/>
            <w:tcBorders>
              <w:top w:val="nil"/>
              <w:bottom w:val="nil"/>
            </w:tcBorders>
          </w:tcPr>
          <w:p w:rsidRPr="00A71DDD" w:rsidR="000C35B9" w:rsidP="00B36FC5" w:rsidRDefault="000C35B9" w14:paraId="3075D1F9" w14:textId="1DE4AC40">
            <w:pPr>
              <w:pStyle w:val="TableText"/>
              <w:rPr>
                <w:sz w:val="22"/>
                <w:szCs w:val="22"/>
              </w:rPr>
            </w:pPr>
            <w:r>
              <w:rPr>
                <w:sz w:val="22"/>
                <w:szCs w:val="22"/>
              </w:rPr>
              <w:t>Colorado (Denver)</w:t>
            </w:r>
          </w:p>
        </w:tc>
        <w:tc>
          <w:tcPr>
            <w:tcW w:w="4230" w:type="dxa"/>
            <w:tcBorders>
              <w:top w:val="nil"/>
              <w:bottom w:val="nil"/>
            </w:tcBorders>
          </w:tcPr>
          <w:p w:rsidRPr="00A71DDD" w:rsidR="000C35B9" w:rsidP="000C35B9" w:rsidRDefault="000C35B9" w14:paraId="33050A42" w14:textId="5B161E3C">
            <w:pPr>
              <w:pStyle w:val="TableText"/>
              <w:ind w:left="252"/>
              <w:rPr>
                <w:sz w:val="22"/>
                <w:szCs w:val="22"/>
              </w:rPr>
            </w:pPr>
            <w:r w:rsidRPr="00A71DDD">
              <w:rPr>
                <w:sz w:val="22"/>
                <w:szCs w:val="22"/>
              </w:rPr>
              <w:t>New York (New York City)</w:t>
            </w:r>
          </w:p>
        </w:tc>
      </w:tr>
      <w:tr w:rsidRPr="00A71DDD" w:rsidR="000C35B9" w:rsidTr="002E343A" w14:paraId="6DF2BBF1" w14:textId="77777777">
        <w:tc>
          <w:tcPr>
            <w:tcW w:w="4950" w:type="dxa"/>
            <w:tcBorders>
              <w:top w:val="nil"/>
              <w:bottom w:val="nil"/>
            </w:tcBorders>
          </w:tcPr>
          <w:p w:rsidR="000C35B9" w:rsidP="000C35B9" w:rsidRDefault="000C35B9" w14:paraId="4A26F02F" w14:textId="34BB72A6">
            <w:pPr>
              <w:pStyle w:val="TableText"/>
              <w:rPr>
                <w:sz w:val="22"/>
                <w:szCs w:val="22"/>
              </w:rPr>
            </w:pPr>
            <w:r w:rsidRPr="00A71DDD">
              <w:rPr>
                <w:sz w:val="22"/>
                <w:szCs w:val="22"/>
              </w:rPr>
              <w:t>California (San Francisco</w:t>
            </w:r>
            <w:r>
              <w:rPr>
                <w:sz w:val="22"/>
                <w:szCs w:val="22"/>
              </w:rPr>
              <w:t>, Los Angeles</w:t>
            </w:r>
            <w:r w:rsidRPr="00A71DDD">
              <w:rPr>
                <w:sz w:val="22"/>
                <w:szCs w:val="22"/>
              </w:rPr>
              <w:t>)</w:t>
            </w:r>
          </w:p>
        </w:tc>
        <w:tc>
          <w:tcPr>
            <w:tcW w:w="4230" w:type="dxa"/>
            <w:tcBorders>
              <w:top w:val="nil"/>
              <w:bottom w:val="nil"/>
            </w:tcBorders>
          </w:tcPr>
          <w:p w:rsidRPr="00A71DDD" w:rsidR="000C35B9" w:rsidP="000C35B9" w:rsidRDefault="000C35B9" w14:paraId="52D91B22" w14:textId="2B27E18D">
            <w:pPr>
              <w:pStyle w:val="TableText"/>
              <w:ind w:left="252"/>
              <w:rPr>
                <w:sz w:val="22"/>
                <w:szCs w:val="22"/>
              </w:rPr>
            </w:pPr>
            <w:r w:rsidRPr="00A71DDD">
              <w:rPr>
                <w:sz w:val="22"/>
                <w:szCs w:val="22"/>
              </w:rPr>
              <w:t>Ohio (</w:t>
            </w:r>
            <w:r>
              <w:rPr>
                <w:sz w:val="22"/>
                <w:szCs w:val="22"/>
              </w:rPr>
              <w:t>Cincinnati</w:t>
            </w:r>
            <w:r w:rsidRPr="00A71DDD">
              <w:rPr>
                <w:sz w:val="22"/>
                <w:szCs w:val="22"/>
              </w:rPr>
              <w:t>)</w:t>
            </w:r>
          </w:p>
        </w:tc>
      </w:tr>
      <w:tr w:rsidRPr="00A71DDD" w:rsidR="000C35B9" w:rsidTr="002E343A" w14:paraId="5FAD2602" w14:textId="77777777">
        <w:tc>
          <w:tcPr>
            <w:tcW w:w="4950" w:type="dxa"/>
            <w:tcBorders>
              <w:top w:val="nil"/>
              <w:bottom w:val="nil"/>
            </w:tcBorders>
          </w:tcPr>
          <w:p w:rsidRPr="00A71DDD" w:rsidR="000C35B9" w:rsidP="000C35B9" w:rsidRDefault="000C35B9" w14:paraId="4C9B2790" w14:textId="3404B524">
            <w:pPr>
              <w:pStyle w:val="TableText"/>
              <w:rPr>
                <w:sz w:val="22"/>
                <w:szCs w:val="22"/>
              </w:rPr>
            </w:pPr>
            <w:r w:rsidRPr="009E2854">
              <w:rPr>
                <w:sz w:val="22"/>
                <w:szCs w:val="22"/>
              </w:rPr>
              <w:t>Illinois (Chicago)</w:t>
            </w:r>
          </w:p>
        </w:tc>
        <w:tc>
          <w:tcPr>
            <w:tcW w:w="4230" w:type="dxa"/>
            <w:tcBorders>
              <w:top w:val="nil"/>
              <w:bottom w:val="nil"/>
            </w:tcBorders>
          </w:tcPr>
          <w:p w:rsidRPr="00A71DDD" w:rsidR="000C35B9" w:rsidP="000C35B9" w:rsidRDefault="000C35B9" w14:paraId="7749A789" w14:textId="72C02973">
            <w:pPr>
              <w:pStyle w:val="TableText"/>
              <w:ind w:left="252"/>
              <w:rPr>
                <w:sz w:val="22"/>
                <w:szCs w:val="22"/>
              </w:rPr>
            </w:pPr>
            <w:r>
              <w:rPr>
                <w:sz w:val="22"/>
                <w:szCs w:val="22"/>
              </w:rPr>
              <w:t>Texas (Dallas)</w:t>
            </w:r>
          </w:p>
        </w:tc>
      </w:tr>
      <w:tr w:rsidRPr="00A71DDD" w:rsidR="000C35B9" w:rsidTr="002E343A" w14:paraId="325DBB95" w14:textId="77777777">
        <w:tc>
          <w:tcPr>
            <w:tcW w:w="4950" w:type="dxa"/>
            <w:tcBorders>
              <w:top w:val="nil"/>
              <w:bottom w:val="nil"/>
            </w:tcBorders>
          </w:tcPr>
          <w:p w:rsidRPr="009E2854" w:rsidR="000C35B9" w:rsidP="000C35B9" w:rsidRDefault="000C35B9" w14:paraId="487320CD" w14:textId="510326F9">
            <w:pPr>
              <w:pStyle w:val="TableText"/>
              <w:rPr>
                <w:sz w:val="22"/>
                <w:szCs w:val="22"/>
              </w:rPr>
            </w:pPr>
            <w:r w:rsidRPr="009E2854">
              <w:rPr>
                <w:sz w:val="22"/>
                <w:szCs w:val="22"/>
              </w:rPr>
              <w:t xml:space="preserve">Washington DC Metro Area </w:t>
            </w:r>
          </w:p>
        </w:tc>
        <w:tc>
          <w:tcPr>
            <w:tcW w:w="4230" w:type="dxa"/>
            <w:tcBorders>
              <w:top w:val="nil"/>
              <w:bottom w:val="nil"/>
            </w:tcBorders>
          </w:tcPr>
          <w:p w:rsidRPr="009E2854" w:rsidR="000C35B9" w:rsidP="000C35B9" w:rsidRDefault="000C35B9" w14:paraId="03BE30AB" w14:textId="00FB0497">
            <w:pPr>
              <w:pStyle w:val="TableText"/>
              <w:ind w:left="252"/>
              <w:rPr>
                <w:sz w:val="22"/>
                <w:szCs w:val="22"/>
              </w:rPr>
            </w:pPr>
            <w:r>
              <w:rPr>
                <w:sz w:val="22"/>
                <w:szCs w:val="22"/>
              </w:rPr>
              <w:t>Utah (Salt Lake City)</w:t>
            </w:r>
          </w:p>
        </w:tc>
      </w:tr>
      <w:tr w:rsidRPr="00A71DDD" w:rsidR="000C35B9" w:rsidTr="002E343A" w14:paraId="557BD1AE" w14:textId="77777777">
        <w:tc>
          <w:tcPr>
            <w:tcW w:w="4950" w:type="dxa"/>
            <w:tcBorders>
              <w:top w:val="nil"/>
              <w:bottom w:val="nil"/>
            </w:tcBorders>
          </w:tcPr>
          <w:p w:rsidRPr="009E2854" w:rsidR="000C35B9" w:rsidP="000C35B9" w:rsidRDefault="000C35B9" w14:paraId="42CC3B38" w14:textId="38EBB813">
            <w:pPr>
              <w:pStyle w:val="TableText"/>
              <w:rPr>
                <w:sz w:val="22"/>
                <w:szCs w:val="22"/>
              </w:rPr>
            </w:pPr>
            <w:r w:rsidRPr="00A71DDD">
              <w:rPr>
                <w:sz w:val="22"/>
                <w:szCs w:val="22"/>
              </w:rPr>
              <w:t>Kentucky/West Virginia (Huntington, Ashland)</w:t>
            </w:r>
          </w:p>
        </w:tc>
        <w:tc>
          <w:tcPr>
            <w:tcW w:w="4230" w:type="dxa"/>
            <w:tcBorders>
              <w:top w:val="nil"/>
              <w:bottom w:val="nil"/>
            </w:tcBorders>
          </w:tcPr>
          <w:p w:rsidRPr="009E2854" w:rsidR="000C35B9" w:rsidP="000C35B9" w:rsidRDefault="000C35B9" w14:paraId="30089D00" w14:textId="266CD2C4">
            <w:pPr>
              <w:pStyle w:val="TableText"/>
              <w:ind w:left="252"/>
              <w:rPr>
                <w:sz w:val="22"/>
                <w:szCs w:val="22"/>
              </w:rPr>
            </w:pPr>
            <w:r w:rsidRPr="009E2854">
              <w:rPr>
                <w:sz w:val="22"/>
                <w:szCs w:val="22"/>
              </w:rPr>
              <w:t>Washington (Seattle)</w:t>
            </w:r>
          </w:p>
        </w:tc>
      </w:tr>
      <w:tr w:rsidRPr="00A71DDD" w:rsidR="00FA51A1" w:rsidTr="00392FA5" w14:paraId="7C3E59F5" w14:textId="77777777">
        <w:tc>
          <w:tcPr>
            <w:tcW w:w="9180" w:type="dxa"/>
            <w:gridSpan w:val="2"/>
            <w:tcBorders>
              <w:top w:val="nil"/>
            </w:tcBorders>
          </w:tcPr>
          <w:p w:rsidRPr="009E2854" w:rsidR="00FA51A1" w:rsidP="000C35B9" w:rsidRDefault="00FA51A1" w14:paraId="4C2A3F36" w14:textId="2E421E70">
            <w:pPr>
              <w:keepNext/>
              <w:keepLines/>
              <w:spacing w:line="276" w:lineRule="auto"/>
              <w:contextualSpacing/>
              <w:rPr>
                <w:b/>
                <w:sz w:val="22"/>
                <w:szCs w:val="22"/>
                <w:u w:val="single"/>
              </w:rPr>
            </w:pPr>
            <w:r w:rsidRPr="009E2854">
              <w:rPr>
                <w:b/>
                <w:sz w:val="22"/>
                <w:szCs w:val="22"/>
                <w:u w:val="single"/>
              </w:rPr>
              <w:t>6</w:t>
            </w:r>
            <w:r>
              <w:rPr>
                <w:b/>
                <w:sz w:val="22"/>
                <w:szCs w:val="22"/>
                <w:u w:val="single"/>
              </w:rPr>
              <w:t>2</w:t>
            </w:r>
            <w:r w:rsidRPr="009E2854">
              <w:rPr>
                <w:b/>
                <w:sz w:val="22"/>
                <w:szCs w:val="22"/>
                <w:u w:val="single"/>
              </w:rPr>
              <w:t xml:space="preserve"> treatment sites</w:t>
            </w:r>
          </w:p>
          <w:p w:rsidRPr="009E2854" w:rsidR="00FA51A1" w:rsidP="000C35B9" w:rsidRDefault="00FA51A1" w14:paraId="41FC0450" w14:textId="399689A7">
            <w:pPr>
              <w:pStyle w:val="TableText"/>
              <w:ind w:left="252"/>
              <w:rPr>
                <w:sz w:val="22"/>
                <w:szCs w:val="22"/>
              </w:rPr>
            </w:pPr>
            <w:r w:rsidRPr="009E2854">
              <w:rPr>
                <w:sz w:val="22"/>
                <w:szCs w:val="22"/>
              </w:rPr>
              <w:t>F</w:t>
            </w:r>
            <w:r>
              <w:rPr>
                <w:sz w:val="22"/>
                <w:szCs w:val="22"/>
              </w:rPr>
              <w:t>our to f</w:t>
            </w:r>
            <w:r w:rsidRPr="009E2854">
              <w:rPr>
                <w:sz w:val="22"/>
                <w:szCs w:val="22"/>
              </w:rPr>
              <w:t xml:space="preserve">ive sites per </w:t>
            </w:r>
            <w:r>
              <w:rPr>
                <w:sz w:val="22"/>
                <w:szCs w:val="22"/>
              </w:rPr>
              <w:t>study area on average</w:t>
            </w:r>
          </w:p>
        </w:tc>
      </w:tr>
      <w:tr w:rsidRPr="00A71DDD" w:rsidR="000C35B9" w:rsidTr="00BC1F78" w14:paraId="7CD4D8FB" w14:textId="77777777">
        <w:tc>
          <w:tcPr>
            <w:tcW w:w="9180" w:type="dxa"/>
            <w:gridSpan w:val="2"/>
          </w:tcPr>
          <w:p w:rsidRPr="009E2854" w:rsidR="000C35B9" w:rsidP="000C35B9" w:rsidRDefault="00FA51A1" w14:paraId="49953F9B" w14:textId="0C8476C7">
            <w:pPr>
              <w:keepNext/>
              <w:keepLines/>
              <w:spacing w:line="276" w:lineRule="auto"/>
              <w:contextualSpacing/>
              <w:rPr>
                <w:b/>
                <w:sz w:val="22"/>
                <w:szCs w:val="22"/>
                <w:u w:val="single"/>
              </w:rPr>
            </w:pPr>
            <w:r>
              <w:rPr>
                <w:b/>
                <w:sz w:val="22"/>
                <w:szCs w:val="22"/>
                <w:u w:val="single"/>
              </w:rPr>
              <w:t>1,9</w:t>
            </w:r>
            <w:r w:rsidR="003E6EEF">
              <w:rPr>
                <w:b/>
                <w:sz w:val="22"/>
                <w:szCs w:val="22"/>
                <w:u w:val="single"/>
              </w:rPr>
              <w:t>75</w:t>
            </w:r>
            <w:r w:rsidRPr="009E2854" w:rsidR="000C35B9">
              <w:rPr>
                <w:b/>
                <w:sz w:val="22"/>
                <w:szCs w:val="22"/>
                <w:u w:val="single"/>
              </w:rPr>
              <w:t xml:space="preserve"> completed Patient Baseline Questionnaires</w:t>
            </w:r>
          </w:p>
          <w:p w:rsidRPr="009E2854" w:rsidR="000C35B9" w:rsidP="000C35B9" w:rsidRDefault="000C35B9" w14:paraId="7DB5FA37" w14:textId="25AA9E3B">
            <w:pPr>
              <w:pStyle w:val="TableText"/>
              <w:rPr>
                <w:sz w:val="22"/>
                <w:szCs w:val="22"/>
              </w:rPr>
            </w:pPr>
            <w:r w:rsidRPr="009E2854">
              <w:rPr>
                <w:sz w:val="22"/>
                <w:szCs w:val="22"/>
              </w:rPr>
              <w:t xml:space="preserve">Average of </w:t>
            </w:r>
            <w:r w:rsidR="00C5327F">
              <w:rPr>
                <w:sz w:val="22"/>
                <w:szCs w:val="22"/>
              </w:rPr>
              <w:t>31</w:t>
            </w:r>
            <w:r w:rsidRPr="009E2854">
              <w:rPr>
                <w:sz w:val="22"/>
                <w:szCs w:val="22"/>
              </w:rPr>
              <w:t xml:space="preserve"> participants per site within each </w:t>
            </w:r>
            <w:r>
              <w:rPr>
                <w:sz w:val="22"/>
                <w:szCs w:val="22"/>
              </w:rPr>
              <w:t>study area</w:t>
            </w:r>
          </w:p>
          <w:p w:rsidRPr="009E2854" w:rsidR="000C35B9" w:rsidP="000C35B9" w:rsidRDefault="000C35B9" w14:paraId="015389A9" w14:textId="1D851148">
            <w:pPr>
              <w:pStyle w:val="TableText"/>
              <w:ind w:left="525"/>
              <w:rPr>
                <w:sz w:val="22"/>
                <w:szCs w:val="22"/>
              </w:rPr>
            </w:pPr>
            <w:r w:rsidRPr="009E2854">
              <w:rPr>
                <w:sz w:val="22"/>
                <w:szCs w:val="22"/>
              </w:rPr>
              <w:t xml:space="preserve">Average of </w:t>
            </w:r>
            <w:r w:rsidR="00800266">
              <w:rPr>
                <w:sz w:val="22"/>
                <w:szCs w:val="22"/>
              </w:rPr>
              <w:t>138</w:t>
            </w:r>
            <w:r w:rsidRPr="009E2854" w:rsidR="00800266">
              <w:rPr>
                <w:sz w:val="22"/>
                <w:szCs w:val="22"/>
              </w:rPr>
              <w:t xml:space="preserve"> </w:t>
            </w:r>
            <w:r w:rsidRPr="009E2854">
              <w:rPr>
                <w:sz w:val="22"/>
                <w:szCs w:val="22"/>
              </w:rPr>
              <w:t xml:space="preserve">participants with each </w:t>
            </w:r>
            <w:r>
              <w:rPr>
                <w:sz w:val="22"/>
                <w:szCs w:val="22"/>
              </w:rPr>
              <w:t>study area</w:t>
            </w:r>
          </w:p>
        </w:tc>
      </w:tr>
    </w:tbl>
    <w:p w:rsidR="00D25293" w:rsidP="00192C30" w:rsidRDefault="00D25293" w14:paraId="6AD0747E" w14:textId="74E6ED01">
      <w:pPr>
        <w:pStyle w:val="exhibitsource"/>
        <w:rPr>
          <w:rFonts w:eastAsia="MS Mincho"/>
          <w:snapToGrid w:val="0"/>
        </w:rPr>
      </w:pPr>
      <w:r w:rsidRPr="00AD5D12">
        <w:rPr>
          <w:rFonts w:eastAsia="MS Mincho"/>
          <w:snapToGrid w:val="0"/>
        </w:rPr>
        <w:t>MAT</w:t>
      </w:r>
      <w:r>
        <w:rPr>
          <w:rFonts w:eastAsia="MS Mincho"/>
          <w:snapToGrid w:val="0"/>
        </w:rPr>
        <w:t xml:space="preserve"> Study</w:t>
      </w:r>
      <w:r w:rsidRPr="00AD5D12">
        <w:rPr>
          <w:rFonts w:eastAsia="MS Mincho"/>
          <w:snapToGrid w:val="0"/>
        </w:rPr>
        <w:t xml:space="preserve"> = Medication</w:t>
      </w:r>
      <w:r>
        <w:rPr>
          <w:rFonts w:eastAsia="MS Mincho"/>
          <w:snapToGrid w:val="0"/>
        </w:rPr>
        <w:t>-</w:t>
      </w:r>
      <w:r w:rsidRPr="00AD5D12">
        <w:rPr>
          <w:rFonts w:eastAsia="MS Mincho"/>
          <w:snapToGrid w:val="0"/>
        </w:rPr>
        <w:t>Assisted Treatment Study; OUD = opioid use disorder.</w:t>
      </w:r>
    </w:p>
    <w:p w:rsidRPr="00AD5D12" w:rsidR="00977A46" w:rsidP="00192C30" w:rsidRDefault="00977A46" w14:paraId="0A7B923C" w14:textId="1ADF9F33">
      <w:pPr>
        <w:pStyle w:val="exhibitsource"/>
        <w:rPr>
          <w:rFonts w:eastAsia="MS Mincho"/>
          <w:snapToGrid w:val="0"/>
        </w:rPr>
      </w:pPr>
    </w:p>
    <w:p w:rsidR="0082657F" w:rsidP="00EB7EA4" w:rsidRDefault="00203444" w14:paraId="677D584F" w14:textId="4AC121F7">
      <w:pPr>
        <w:pStyle w:val="BodyText1"/>
        <w:rPr>
          <w:b/>
        </w:rPr>
      </w:pPr>
      <w:r>
        <w:t>T</w:t>
      </w:r>
      <w:r w:rsidR="00786946">
        <w:t>he study team receiv</w:t>
      </w:r>
      <w:r w:rsidR="00D61E64">
        <w:t>ed</w:t>
      </w:r>
      <w:r w:rsidR="00786946">
        <w:t xml:space="preserve"> </w:t>
      </w:r>
      <w:r w:rsidR="00FA5019">
        <w:t xml:space="preserve">3,536 </w:t>
      </w:r>
      <w:r>
        <w:t xml:space="preserve">patient referrals </w:t>
      </w:r>
      <w:r w:rsidR="00786946">
        <w:t xml:space="preserve">of which </w:t>
      </w:r>
      <w:r w:rsidR="00B046CE">
        <w:t>1,975 were</w:t>
      </w:r>
      <w:r>
        <w:t xml:space="preserve"> confirmed </w:t>
      </w:r>
      <w:r w:rsidR="00EB7EA4">
        <w:t xml:space="preserve">to </w:t>
      </w:r>
      <w:r w:rsidR="00786946">
        <w:t>be eligible and agree</w:t>
      </w:r>
      <w:r w:rsidR="001251DB">
        <w:t>d</w:t>
      </w:r>
      <w:r w:rsidR="00786946">
        <w:t xml:space="preserve"> to participate</w:t>
      </w:r>
      <w:r w:rsidR="00117177">
        <w:t>.</w:t>
      </w:r>
      <w:r w:rsidR="003311F0">
        <w:t xml:space="preserve"> </w:t>
      </w:r>
      <w:r w:rsidR="00117177">
        <w:t xml:space="preserve">The </w:t>
      </w:r>
      <w:r w:rsidR="00F042E2">
        <w:t>3-month</w:t>
      </w:r>
      <w:r w:rsidR="00EE2BB1">
        <w:t xml:space="preserve"> and 6-month</w:t>
      </w:r>
      <w:r w:rsidR="00F042E2">
        <w:t xml:space="preserve"> </w:t>
      </w:r>
      <w:r w:rsidR="00497034">
        <w:t xml:space="preserve">Study </w:t>
      </w:r>
      <w:r w:rsidR="00117177">
        <w:t>Check-In</w:t>
      </w:r>
      <w:r w:rsidR="00EE2BB1">
        <w:t>s</w:t>
      </w:r>
      <w:r w:rsidR="00117177">
        <w:t xml:space="preserve"> </w:t>
      </w:r>
      <w:r w:rsidR="0094121A">
        <w:t>w</w:t>
      </w:r>
      <w:r w:rsidR="00EE2BB1">
        <w:t>ere</w:t>
      </w:r>
      <w:r w:rsidR="0094121A">
        <w:t xml:space="preserve"> </w:t>
      </w:r>
      <w:r w:rsidR="00117177">
        <w:t xml:space="preserve">completed by </w:t>
      </w:r>
      <w:r w:rsidR="00DF34A7">
        <w:t>1,414 patients</w:t>
      </w:r>
      <w:r w:rsidR="00DE5269">
        <w:t xml:space="preserve"> and 1,341 patients respectively</w:t>
      </w:r>
      <w:r w:rsidR="00DF34A7">
        <w:t xml:space="preserve">, or </w:t>
      </w:r>
      <w:r w:rsidR="00461A89">
        <w:t>71.6</w:t>
      </w:r>
      <w:r w:rsidR="00117177">
        <w:t>%</w:t>
      </w:r>
      <w:r w:rsidR="00DE5269">
        <w:t xml:space="preserve"> and 67.9%</w:t>
      </w:r>
      <w:r w:rsidR="00117177">
        <w:t xml:space="preserve"> of the </w:t>
      </w:r>
      <w:r w:rsidR="00881B1D">
        <w:t>1,975</w:t>
      </w:r>
      <w:r w:rsidR="005D0E83">
        <w:t xml:space="preserve"> </w:t>
      </w:r>
      <w:r w:rsidR="006E78C6">
        <w:t xml:space="preserve">Baseline </w:t>
      </w:r>
      <w:r w:rsidR="007367F8">
        <w:t>Patient</w:t>
      </w:r>
      <w:r w:rsidR="00117177">
        <w:t xml:space="preserve"> Questionnaire respondents. Finally, expected </w:t>
      </w:r>
      <w:r w:rsidR="00A97E97">
        <w:t xml:space="preserve">participation </w:t>
      </w:r>
      <w:r w:rsidR="00117177">
        <w:t xml:space="preserve">rates for the </w:t>
      </w:r>
      <w:r w:rsidR="00FB7318">
        <w:t xml:space="preserve">baseline and 12- and </w:t>
      </w:r>
      <w:r w:rsidR="00882B97">
        <w:t>18</w:t>
      </w:r>
      <w:r w:rsidR="00FB7318">
        <w:t xml:space="preserve">-month follow-up </w:t>
      </w:r>
      <w:r w:rsidR="007367F8">
        <w:t>Patient</w:t>
      </w:r>
      <w:r w:rsidR="00117177">
        <w:t xml:space="preserve"> Questionnaire</w:t>
      </w:r>
      <w:r w:rsidR="00FB7318">
        <w:t>s</w:t>
      </w:r>
      <w:r w:rsidR="00117177">
        <w:t xml:space="preserve"> are shown in </w:t>
      </w:r>
      <w:r w:rsidRPr="00B81ADC" w:rsidR="00117177">
        <w:rPr>
          <w:b/>
          <w:i/>
        </w:rPr>
        <w:t xml:space="preserve">Exhibit </w:t>
      </w:r>
      <w:r w:rsidR="00BA1428">
        <w:rPr>
          <w:b/>
          <w:i/>
        </w:rPr>
        <w:t>2</w:t>
      </w:r>
      <w:r w:rsidR="00117177">
        <w:rPr>
          <w:b/>
        </w:rPr>
        <w:t>.</w:t>
      </w:r>
      <w:r w:rsidR="003D506D">
        <w:rPr>
          <w:b/>
        </w:rPr>
        <w:t xml:space="preserve"> </w:t>
      </w:r>
    </w:p>
    <w:p w:rsidR="00520DE7" w:rsidP="00411AB2" w:rsidRDefault="00F631C6" w14:paraId="1B76E6CB" w14:textId="517BC026">
      <w:pPr>
        <w:pStyle w:val="BodyText1"/>
      </w:pPr>
      <w:r>
        <w:t xml:space="preserve">Of the 4 </w:t>
      </w:r>
      <w:r w:rsidR="00B657CD">
        <w:t xml:space="preserve">OUD treatment groups, two of the groups (NTX and COUN) failed to </w:t>
      </w:r>
      <w:r w:rsidR="00746729">
        <w:t xml:space="preserve">reach the </w:t>
      </w:r>
      <w:r w:rsidR="0039497C">
        <w:t>target</w:t>
      </w:r>
      <w:r w:rsidR="00746729">
        <w:t xml:space="preserve"> </w:t>
      </w:r>
      <w:r w:rsidR="0039497C">
        <w:t xml:space="preserve">of 594 patients </w:t>
      </w:r>
      <w:r w:rsidR="00746729">
        <w:t xml:space="preserve">needed to </w:t>
      </w:r>
      <w:r w:rsidR="00BB69B8">
        <w:t>ensure adequate statistical power</w:t>
      </w:r>
      <w:r w:rsidR="0039497C">
        <w:t xml:space="preserve">. </w:t>
      </w:r>
      <w:r w:rsidR="00DB278E">
        <w:t>Preliminary data collected in the focus groups indicates</w:t>
      </w:r>
      <w:r w:rsidR="007123CF">
        <w:t xml:space="preserve"> a number of reasons for this. C</w:t>
      </w:r>
      <w:r w:rsidR="00506A2E">
        <w:t xml:space="preserve">linicians and patients in our focus groups </w:t>
      </w:r>
      <w:r w:rsidR="00D43171">
        <w:t>reported</w:t>
      </w:r>
      <w:r w:rsidR="00506A2E">
        <w:t xml:space="preserve"> that they viewed c</w:t>
      </w:r>
      <w:r w:rsidR="007123CF">
        <w:t>ounseling without MAT</w:t>
      </w:r>
      <w:r w:rsidR="00671F3A">
        <w:t xml:space="preserve"> </w:t>
      </w:r>
      <w:r w:rsidR="00506A2E">
        <w:t>as</w:t>
      </w:r>
      <w:r w:rsidR="00671F3A">
        <w:t xml:space="preserve"> a suboptimal course of treatment, </w:t>
      </w:r>
      <w:r w:rsidR="00506A2E">
        <w:t>explaining our observation of most opting</w:t>
      </w:r>
      <w:r w:rsidR="00CF00AC">
        <w:t xml:space="preserve"> for </w:t>
      </w:r>
      <w:r w:rsidR="00710C1E">
        <w:t xml:space="preserve">treatment that includes MAT. Naltrexone </w:t>
      </w:r>
      <w:r w:rsidR="006D7667">
        <w:t xml:space="preserve">is more commonly used in inpatient settings </w:t>
      </w:r>
      <w:r w:rsidR="00B331FA">
        <w:t xml:space="preserve">and within the criminal justice healthcare </w:t>
      </w:r>
      <w:r w:rsidR="000028FA">
        <w:t>system and</w:t>
      </w:r>
      <w:r w:rsidR="00520DE7">
        <w:t xml:space="preserve"> is less commonly chosen for outpatient settings such as MAT Study sites.  Because this </w:t>
      </w:r>
      <w:r w:rsidR="00641F2B">
        <w:t xml:space="preserve">study </w:t>
      </w:r>
      <w:r w:rsidR="00FE2D1A">
        <w:t xml:space="preserve">design relied on non-random assignment to each </w:t>
      </w:r>
      <w:r w:rsidR="005262FC">
        <w:t>treatment group, we were unable to overcome these recruiting challenges</w:t>
      </w:r>
      <w:r w:rsidR="00C549E2">
        <w:t>.</w:t>
      </w:r>
    </w:p>
    <w:p w:rsidR="00411AB2" w:rsidP="00411AB2" w:rsidRDefault="003D506D" w14:paraId="400B5B09" w14:textId="6E40EEA6">
      <w:pPr>
        <w:pStyle w:val="BodyText1"/>
      </w:pPr>
      <w:r>
        <w:t xml:space="preserve">The data collection approach outlined in </w:t>
      </w:r>
      <w:r w:rsidRPr="0043394F">
        <w:t>Section B.</w:t>
      </w:r>
      <w:r w:rsidRPr="0043394F" w:rsidR="00D95ECA">
        <w:t>3</w:t>
      </w:r>
      <w:r w:rsidRPr="0043394F">
        <w:t xml:space="preserve"> will support the expected </w:t>
      </w:r>
      <w:r w:rsidR="0082657F">
        <w:t>participation</w:t>
      </w:r>
      <w:r w:rsidRPr="0043394F" w:rsidR="00497034">
        <w:t xml:space="preserve"> </w:t>
      </w:r>
      <w:r w:rsidRPr="0043394F">
        <w:t>rate</w:t>
      </w:r>
      <w:r w:rsidR="00497034">
        <w:t xml:space="preserve">s shown in </w:t>
      </w:r>
      <w:r w:rsidR="009F6D65">
        <w:t xml:space="preserve">Exhibit </w:t>
      </w:r>
      <w:r w:rsidR="00B70FBC">
        <w:t>2</w:t>
      </w:r>
      <w:r w:rsidR="0082657F">
        <w:t>.</w:t>
      </w:r>
      <w:r w:rsidR="00A97E97">
        <w:t xml:space="preserve">  Participation rates instead of response rates are used in acknowledgment of the nonprobability sample design and of standard definitions recommended </w:t>
      </w:r>
      <w:r w:rsidR="00A97E97">
        <w:lastRenderedPageBreak/>
        <w:t xml:space="preserve">by The American Association for Public Opinion Research (AAPOR, 2016; </w:t>
      </w:r>
      <w:r w:rsidR="004D652E">
        <w:t xml:space="preserve">Baker et al., 2013). </w:t>
      </w:r>
      <w:r w:rsidR="0082657F">
        <w:t xml:space="preserve"> T</w:t>
      </w:r>
      <w:r w:rsidR="00497034">
        <w:t xml:space="preserve">hese rates are </w:t>
      </w:r>
      <w:r w:rsidRPr="00497034" w:rsidR="00497034">
        <w:t xml:space="preserve">based on past studies </w:t>
      </w:r>
      <w:r w:rsidR="00497034">
        <w:t xml:space="preserve">such as </w:t>
      </w:r>
      <w:proofErr w:type="spellStart"/>
      <w:r w:rsidR="00411AB2">
        <w:t>Hser</w:t>
      </w:r>
      <w:proofErr w:type="spellEnd"/>
      <w:r w:rsidRPr="00497034" w:rsidR="00411AB2">
        <w:t xml:space="preserve"> </w:t>
      </w:r>
      <w:r w:rsidRPr="00497034" w:rsidR="00497034">
        <w:t>et al. (2015), and Desmond et al. (1995)</w:t>
      </w:r>
      <w:r w:rsidR="00411AB2">
        <w:t xml:space="preserve">. For example, </w:t>
      </w:r>
      <w:proofErr w:type="spellStart"/>
      <w:r w:rsidR="00411AB2">
        <w:t>Hser</w:t>
      </w:r>
      <w:proofErr w:type="spellEnd"/>
      <w:r w:rsidR="00411AB2">
        <w:t xml:space="preserve"> et al (2015) conducted a long-term follow-up among patients initially randomized to receive buprenorphine or methadone. They found 89.4% of their targeted sample over an average 4.5-year follow-up period. In a case study of best practices for recruitment, Desmond et al studied illicit opioid users starting in MMT.  Overall, 12-month follow-up was obtained for 98% of the sample. Broken down, 100% of those in treatment were followed up and 96% of those discharged. Of those discharged, 80% were followed up within 2 months of the anniversary window. </w:t>
      </w:r>
    </w:p>
    <w:p w:rsidR="00802D38" w:rsidP="00802D38" w:rsidRDefault="00802D38" w14:paraId="3638CF1B" w14:textId="6E93D8A2">
      <w:pPr>
        <w:pStyle w:val="FigureTitle"/>
      </w:pPr>
      <w:bookmarkStart w:name="_Toc475451158" w:id="15"/>
      <w:bookmarkStart w:name="_Toc52326698" w:id="16"/>
      <w:r>
        <w:t xml:space="preserve">Exhibit </w:t>
      </w:r>
      <w:r w:rsidR="009F43E9">
        <w:t>2</w:t>
      </w:r>
      <w:r w:rsidRPr="00785152">
        <w:t>.</w:t>
      </w:r>
      <w:r w:rsidR="004A07AB">
        <w:tab/>
      </w:r>
      <w:r w:rsidR="007367F8">
        <w:t>Patient</w:t>
      </w:r>
      <w:r>
        <w:t xml:space="preserve"> </w:t>
      </w:r>
      <w:r w:rsidRPr="00785152">
        <w:t>Sampling for</w:t>
      </w:r>
      <w:r w:rsidR="00927953">
        <w:t xml:space="preserve"> the</w:t>
      </w:r>
      <w:r w:rsidRPr="00785152">
        <w:t xml:space="preserve"> </w:t>
      </w:r>
      <w:bookmarkEnd w:id="15"/>
      <w:r w:rsidR="00A3064C">
        <w:t xml:space="preserve">Medication-Assisted Treatment </w:t>
      </w:r>
      <w:r w:rsidR="000752EE">
        <w:t>Study</w:t>
      </w:r>
      <w:bookmarkEnd w:id="16"/>
    </w:p>
    <w:tbl>
      <w:tblPr>
        <w:tblStyle w:val="TableGrid"/>
        <w:tblW w:w="9757" w:type="dxa"/>
        <w:tblBorders>
          <w:top w:val="single" w:color="auto" w:sz="12" w:space="0"/>
          <w:left w:val="none" w:color="auto" w:sz="0" w:space="0"/>
          <w:bottom w:val="single" w:color="auto" w:sz="12" w:space="0"/>
          <w:right w:val="none" w:color="auto" w:sz="0" w:space="0"/>
          <w:insideH w:val="single" w:color="auto" w:sz="6" w:space="0"/>
          <w:insideV w:val="none" w:color="auto" w:sz="0" w:space="0"/>
        </w:tblBorders>
        <w:tblLook w:val="04A0" w:firstRow="1" w:lastRow="0" w:firstColumn="1" w:lastColumn="0" w:noHBand="0" w:noVBand="1"/>
      </w:tblPr>
      <w:tblGrid>
        <w:gridCol w:w="2984"/>
        <w:gridCol w:w="2247"/>
        <w:gridCol w:w="1879"/>
        <w:gridCol w:w="2647"/>
      </w:tblGrid>
      <w:tr w:rsidR="006577DB" w:rsidTr="002019DD" w14:paraId="418E2210" w14:textId="77777777">
        <w:tc>
          <w:tcPr>
            <w:tcW w:w="2984" w:type="dxa"/>
            <w:vMerge w:val="restart"/>
            <w:vAlign w:val="bottom"/>
          </w:tcPr>
          <w:p w:rsidR="006577DB" w:rsidP="00802D38" w:rsidRDefault="006577DB" w14:paraId="7C667A1A" w14:textId="5AE180D1">
            <w:pPr>
              <w:pStyle w:val="TableHeaders"/>
            </w:pPr>
            <w:bookmarkStart w:name="_Toc8007710" w:id="17"/>
            <w:bookmarkStart w:name="_Toc88033494" w:id="18"/>
            <w:bookmarkStart w:name="_Toc457852719" w:id="19"/>
            <w:r>
              <w:t xml:space="preserve">Patient Contact and </w:t>
            </w:r>
            <w:r w:rsidRPr="00802D38">
              <w:t>Questionnaire</w:t>
            </w:r>
          </w:p>
        </w:tc>
        <w:tc>
          <w:tcPr>
            <w:tcW w:w="2247" w:type="dxa"/>
            <w:vMerge w:val="restart"/>
            <w:vAlign w:val="bottom"/>
          </w:tcPr>
          <w:p w:rsidR="006577DB" w:rsidP="00802D38" w:rsidRDefault="006577DB" w14:paraId="02673794" w14:textId="2D5BA943">
            <w:pPr>
              <w:pStyle w:val="TableHeaders"/>
            </w:pPr>
            <w:r w:rsidRPr="00802D38">
              <w:t xml:space="preserve">Number </w:t>
            </w:r>
            <w:r w:rsidRPr="00802D38">
              <w:br/>
              <w:t xml:space="preserve">of </w:t>
            </w:r>
            <w:r w:rsidR="00B27BCB">
              <w:t xml:space="preserve">Completed </w:t>
            </w:r>
            <w:r w:rsidRPr="00802D38">
              <w:t>Interviews</w:t>
            </w:r>
          </w:p>
        </w:tc>
        <w:tc>
          <w:tcPr>
            <w:tcW w:w="4526" w:type="dxa"/>
            <w:gridSpan w:val="2"/>
            <w:tcBorders>
              <w:bottom w:val="single" w:color="auto" w:sz="6" w:space="0"/>
            </w:tcBorders>
          </w:tcPr>
          <w:p w:rsidR="006577DB" w:rsidP="00802D38" w:rsidRDefault="006577DB" w14:paraId="4CCBCD41" w14:textId="371BE557">
            <w:pPr>
              <w:pStyle w:val="TableHeaders"/>
            </w:pPr>
            <w:r>
              <w:t>Participation Rate</w:t>
            </w:r>
            <w:r w:rsidR="00554570">
              <w:t>s</w:t>
            </w:r>
          </w:p>
        </w:tc>
      </w:tr>
      <w:tr w:rsidR="004D652E" w:rsidTr="0047218F" w14:paraId="2F3410BC" w14:textId="77777777">
        <w:tc>
          <w:tcPr>
            <w:tcW w:w="2984" w:type="dxa"/>
            <w:vMerge/>
            <w:tcBorders>
              <w:bottom w:val="single" w:color="auto" w:sz="6" w:space="0"/>
            </w:tcBorders>
            <w:vAlign w:val="bottom"/>
          </w:tcPr>
          <w:p w:rsidRPr="00802D38" w:rsidR="006577DB" w:rsidDel="007367F8" w:rsidP="00802D38" w:rsidRDefault="006577DB" w14:paraId="116C28B7" w14:textId="77777777">
            <w:pPr>
              <w:pStyle w:val="TableHeaders"/>
            </w:pPr>
          </w:p>
        </w:tc>
        <w:tc>
          <w:tcPr>
            <w:tcW w:w="2247" w:type="dxa"/>
            <w:vMerge/>
            <w:tcBorders>
              <w:bottom w:val="single" w:color="auto" w:sz="6" w:space="0"/>
            </w:tcBorders>
            <w:vAlign w:val="bottom"/>
          </w:tcPr>
          <w:p w:rsidRPr="00802D38" w:rsidR="006577DB" w:rsidP="00802D38" w:rsidRDefault="006577DB" w14:paraId="7D62C194" w14:textId="77777777">
            <w:pPr>
              <w:pStyle w:val="TableHeaders"/>
            </w:pPr>
          </w:p>
        </w:tc>
        <w:tc>
          <w:tcPr>
            <w:tcW w:w="1879" w:type="dxa"/>
            <w:tcBorders>
              <w:bottom w:val="single" w:color="auto" w:sz="6" w:space="0"/>
            </w:tcBorders>
          </w:tcPr>
          <w:p w:rsidRPr="00802D38" w:rsidR="006577DB" w:rsidP="00802D38" w:rsidRDefault="006577DB" w14:paraId="50A94772" w14:textId="443A1E69">
            <w:pPr>
              <w:pStyle w:val="TableHeaders"/>
            </w:pPr>
            <w:r>
              <w:t>Referrals</w:t>
            </w:r>
            <w:r w:rsidR="00554570">
              <w:t xml:space="preserve"> (%)</w:t>
            </w:r>
            <w:r w:rsidR="00146CE2">
              <w:rPr>
                <w:b w:val="0"/>
                <w:vertAlign w:val="superscript"/>
              </w:rPr>
              <w:t>1</w:t>
            </w:r>
          </w:p>
        </w:tc>
        <w:tc>
          <w:tcPr>
            <w:tcW w:w="2647" w:type="dxa"/>
            <w:tcBorders>
              <w:bottom w:val="single" w:color="auto" w:sz="6" w:space="0"/>
            </w:tcBorders>
            <w:vAlign w:val="bottom"/>
          </w:tcPr>
          <w:p w:rsidRPr="00802D38" w:rsidR="006577DB" w:rsidP="00802D38" w:rsidRDefault="006577DB" w14:paraId="0926C3D9" w14:textId="04AD79E4">
            <w:pPr>
              <w:pStyle w:val="TableHeaders"/>
            </w:pPr>
            <w:r>
              <w:t>Baseline</w:t>
            </w:r>
            <w:r w:rsidR="00554570">
              <w:t xml:space="preserve"> (%)</w:t>
            </w:r>
            <w:r w:rsidR="00146CE2">
              <w:rPr>
                <w:b w:val="0"/>
                <w:vertAlign w:val="superscript"/>
              </w:rPr>
              <w:t>2</w:t>
            </w:r>
          </w:p>
        </w:tc>
      </w:tr>
      <w:tr w:rsidR="004D652E" w:rsidTr="0047218F" w14:paraId="42E6BB19" w14:textId="77777777">
        <w:tc>
          <w:tcPr>
            <w:tcW w:w="2984" w:type="dxa"/>
            <w:tcBorders>
              <w:top w:val="single" w:color="auto" w:sz="6" w:space="0"/>
              <w:bottom w:val="nil"/>
            </w:tcBorders>
            <w:vAlign w:val="bottom"/>
          </w:tcPr>
          <w:p w:rsidRPr="00802D38" w:rsidR="006577DB" w:rsidP="00554570" w:rsidRDefault="006577DB" w14:paraId="46486EE8" w14:textId="29CA1F7C">
            <w:pPr>
              <w:pStyle w:val="TableText"/>
              <w:spacing w:before="120"/>
              <w:ind w:left="0"/>
            </w:pPr>
            <w:r>
              <w:t>Patient referrals</w:t>
            </w:r>
          </w:p>
        </w:tc>
        <w:tc>
          <w:tcPr>
            <w:tcW w:w="2247" w:type="dxa"/>
            <w:tcBorders>
              <w:top w:val="single" w:color="auto" w:sz="6" w:space="0"/>
              <w:bottom w:val="nil"/>
            </w:tcBorders>
            <w:vAlign w:val="bottom"/>
          </w:tcPr>
          <w:p w:rsidRPr="00802D38" w:rsidR="006577DB" w:rsidP="00554570" w:rsidRDefault="00DD297C" w14:paraId="63D385CF" w14:textId="5BD12FF0">
            <w:pPr>
              <w:pStyle w:val="TableDecTab"/>
              <w:framePr w:wrap="around"/>
              <w:spacing w:before="120"/>
              <w:ind w:right="600"/>
              <w:jc w:val="right"/>
            </w:pPr>
            <w:r>
              <w:t>3,536</w:t>
            </w:r>
          </w:p>
        </w:tc>
        <w:tc>
          <w:tcPr>
            <w:tcW w:w="1879" w:type="dxa"/>
            <w:tcBorders>
              <w:top w:val="single" w:color="auto" w:sz="6" w:space="0"/>
              <w:bottom w:val="nil"/>
            </w:tcBorders>
            <w:vAlign w:val="bottom"/>
          </w:tcPr>
          <w:p w:rsidR="006577DB" w:rsidP="00554570" w:rsidRDefault="006577DB" w14:paraId="2B08192B" w14:textId="7505401E">
            <w:pPr>
              <w:pStyle w:val="TableDecTab"/>
              <w:framePr w:wrap="around"/>
              <w:tabs>
                <w:tab w:val="clear" w:pos="720"/>
                <w:tab w:val="left" w:pos="30"/>
              </w:tabs>
              <w:spacing w:before="120"/>
              <w:ind w:right="255"/>
              <w:jc w:val="right"/>
            </w:pPr>
            <w:r>
              <w:t>100.0</w:t>
            </w:r>
          </w:p>
        </w:tc>
        <w:tc>
          <w:tcPr>
            <w:tcW w:w="2647" w:type="dxa"/>
            <w:tcBorders>
              <w:top w:val="single" w:color="auto" w:sz="6" w:space="0"/>
              <w:bottom w:val="nil"/>
            </w:tcBorders>
            <w:vAlign w:val="bottom"/>
          </w:tcPr>
          <w:p w:rsidRPr="00802D38" w:rsidR="006577DB" w:rsidP="00554570" w:rsidRDefault="006577DB" w14:paraId="44C133A3" w14:textId="1AE82DE6">
            <w:pPr>
              <w:pStyle w:val="TableDecTab"/>
              <w:framePr w:wrap="around"/>
              <w:tabs>
                <w:tab w:val="clear" w:pos="720"/>
                <w:tab w:val="left" w:pos="255"/>
              </w:tabs>
              <w:spacing w:before="120"/>
              <w:ind w:right="750"/>
              <w:jc w:val="right"/>
            </w:pPr>
          </w:p>
        </w:tc>
      </w:tr>
      <w:tr w:rsidR="004D652E" w:rsidTr="0047218F" w14:paraId="2EBD9C4B" w14:textId="77777777">
        <w:tc>
          <w:tcPr>
            <w:tcW w:w="2984" w:type="dxa"/>
            <w:tcBorders>
              <w:top w:val="nil"/>
              <w:bottom w:val="nil"/>
            </w:tcBorders>
            <w:vAlign w:val="bottom"/>
          </w:tcPr>
          <w:p w:rsidR="006577DB" w:rsidP="00F577EE" w:rsidRDefault="006577DB" w14:paraId="4B095AAC" w14:textId="70DA3A71">
            <w:pPr>
              <w:pStyle w:val="TableText"/>
              <w:ind w:left="165"/>
            </w:pPr>
            <w:r>
              <w:t>Screened patients</w:t>
            </w:r>
          </w:p>
        </w:tc>
        <w:tc>
          <w:tcPr>
            <w:tcW w:w="2247" w:type="dxa"/>
            <w:tcBorders>
              <w:top w:val="nil"/>
              <w:bottom w:val="nil"/>
            </w:tcBorders>
            <w:vAlign w:val="bottom"/>
          </w:tcPr>
          <w:p w:rsidR="006577DB" w:rsidP="00554570" w:rsidRDefault="007073AA" w14:paraId="40E84EBA" w14:textId="41A22D34">
            <w:pPr>
              <w:pStyle w:val="TableDecTab"/>
              <w:framePr w:wrap="around"/>
              <w:ind w:right="600"/>
              <w:jc w:val="right"/>
            </w:pPr>
            <w:r>
              <w:t>2,</w:t>
            </w:r>
            <w:r w:rsidR="00332079">
              <w:t>338</w:t>
            </w:r>
          </w:p>
        </w:tc>
        <w:tc>
          <w:tcPr>
            <w:tcW w:w="1879" w:type="dxa"/>
            <w:tcBorders>
              <w:top w:val="nil"/>
              <w:bottom w:val="nil"/>
            </w:tcBorders>
            <w:vAlign w:val="bottom"/>
          </w:tcPr>
          <w:p w:rsidR="006577DB" w:rsidP="00554570" w:rsidRDefault="001034FC" w14:paraId="34E8F085" w14:textId="08E8C74B">
            <w:pPr>
              <w:pStyle w:val="TableDecTab"/>
              <w:framePr w:wrap="around"/>
              <w:tabs>
                <w:tab w:val="left" w:pos="30"/>
              </w:tabs>
              <w:ind w:right="255"/>
              <w:jc w:val="right"/>
            </w:pPr>
            <w:r>
              <w:t>66.1</w:t>
            </w:r>
          </w:p>
        </w:tc>
        <w:tc>
          <w:tcPr>
            <w:tcW w:w="2647" w:type="dxa"/>
            <w:tcBorders>
              <w:top w:val="nil"/>
              <w:bottom w:val="nil"/>
            </w:tcBorders>
            <w:vAlign w:val="bottom"/>
          </w:tcPr>
          <w:p w:rsidR="006577DB" w:rsidP="00554570" w:rsidRDefault="006577DB" w14:paraId="2B211209" w14:textId="583586A7">
            <w:pPr>
              <w:pStyle w:val="TableDecTab"/>
              <w:framePr w:wrap="around"/>
              <w:tabs>
                <w:tab w:val="clear" w:pos="720"/>
                <w:tab w:val="left" w:pos="255"/>
              </w:tabs>
              <w:ind w:right="750"/>
              <w:jc w:val="right"/>
            </w:pPr>
          </w:p>
        </w:tc>
      </w:tr>
      <w:tr w:rsidR="004D652E" w:rsidTr="0047218F" w14:paraId="1DA52396" w14:textId="77777777">
        <w:tc>
          <w:tcPr>
            <w:tcW w:w="2984" w:type="dxa"/>
            <w:tcBorders>
              <w:top w:val="nil"/>
              <w:bottom w:val="nil"/>
            </w:tcBorders>
            <w:vAlign w:val="bottom"/>
          </w:tcPr>
          <w:p w:rsidR="006577DB" w:rsidP="004A07AB" w:rsidRDefault="006577DB" w14:paraId="769A5DEC" w14:textId="3CC07D27">
            <w:pPr>
              <w:pStyle w:val="TableText"/>
              <w:ind w:left="342"/>
            </w:pPr>
            <w:r>
              <w:t>Study eligible</w:t>
            </w:r>
          </w:p>
        </w:tc>
        <w:tc>
          <w:tcPr>
            <w:tcW w:w="2247" w:type="dxa"/>
            <w:tcBorders>
              <w:top w:val="nil"/>
              <w:bottom w:val="nil"/>
            </w:tcBorders>
            <w:vAlign w:val="bottom"/>
          </w:tcPr>
          <w:p w:rsidR="006577DB" w:rsidP="00554570" w:rsidRDefault="003E72B9" w14:paraId="1B121BB3" w14:textId="292BE5B5">
            <w:pPr>
              <w:pStyle w:val="TableDecTab"/>
              <w:framePr w:wrap="around"/>
              <w:ind w:right="600"/>
              <w:jc w:val="right"/>
            </w:pPr>
            <w:r>
              <w:t>2,</w:t>
            </w:r>
            <w:r w:rsidR="00785001">
              <w:t>307</w:t>
            </w:r>
          </w:p>
        </w:tc>
        <w:tc>
          <w:tcPr>
            <w:tcW w:w="1879" w:type="dxa"/>
            <w:tcBorders>
              <w:top w:val="nil"/>
              <w:bottom w:val="nil"/>
            </w:tcBorders>
            <w:vAlign w:val="bottom"/>
          </w:tcPr>
          <w:p w:rsidR="006577DB" w:rsidP="00554570" w:rsidRDefault="00333C7F" w14:paraId="66D9F28C" w14:textId="08DD01ED">
            <w:pPr>
              <w:pStyle w:val="TableDecTab"/>
              <w:framePr w:wrap="around"/>
              <w:tabs>
                <w:tab w:val="left" w:pos="30"/>
              </w:tabs>
              <w:ind w:right="255"/>
              <w:jc w:val="right"/>
            </w:pPr>
            <w:r>
              <w:t>65.2</w:t>
            </w:r>
          </w:p>
        </w:tc>
        <w:tc>
          <w:tcPr>
            <w:tcW w:w="2647" w:type="dxa"/>
            <w:tcBorders>
              <w:top w:val="nil"/>
              <w:bottom w:val="nil"/>
            </w:tcBorders>
            <w:vAlign w:val="bottom"/>
          </w:tcPr>
          <w:p w:rsidR="006577DB" w:rsidP="00554570" w:rsidRDefault="006577DB" w14:paraId="20BD6A56" w14:textId="187B940E">
            <w:pPr>
              <w:pStyle w:val="TableDecTab"/>
              <w:framePr w:wrap="around"/>
              <w:tabs>
                <w:tab w:val="clear" w:pos="720"/>
                <w:tab w:val="left" w:pos="255"/>
              </w:tabs>
              <w:ind w:right="750"/>
              <w:jc w:val="right"/>
            </w:pPr>
          </w:p>
        </w:tc>
      </w:tr>
      <w:tr w:rsidR="004D652E" w:rsidTr="0047218F" w14:paraId="42F2E23C" w14:textId="77777777">
        <w:trPr>
          <w:trHeight w:val="378"/>
        </w:trPr>
        <w:tc>
          <w:tcPr>
            <w:tcW w:w="2984" w:type="dxa"/>
            <w:tcBorders>
              <w:top w:val="nil"/>
              <w:bottom w:val="nil"/>
            </w:tcBorders>
            <w:vAlign w:val="bottom"/>
          </w:tcPr>
          <w:p w:rsidR="006577DB" w:rsidP="00626FBE" w:rsidRDefault="006577DB" w14:paraId="064D2B18" w14:textId="423496EC">
            <w:pPr>
              <w:pStyle w:val="TableText"/>
            </w:pPr>
            <w:r>
              <w:t>Baseline</w:t>
            </w:r>
          </w:p>
        </w:tc>
        <w:tc>
          <w:tcPr>
            <w:tcW w:w="2247" w:type="dxa"/>
            <w:tcBorders>
              <w:top w:val="nil"/>
              <w:bottom w:val="nil"/>
            </w:tcBorders>
            <w:vAlign w:val="bottom"/>
          </w:tcPr>
          <w:p w:rsidR="006577DB" w:rsidP="00554570" w:rsidRDefault="00A00AC1" w14:paraId="597AFDA0" w14:textId="21A58E30">
            <w:pPr>
              <w:pStyle w:val="TableDecTab"/>
              <w:framePr w:hSpace="0" w:wrap="auto" w:hAnchor="text" w:vAnchor="margin" w:yAlign="inline"/>
              <w:ind w:right="600"/>
              <w:suppressOverlap w:val="0"/>
              <w:jc w:val="right"/>
            </w:pPr>
            <w:r>
              <w:t>1,975</w:t>
            </w:r>
          </w:p>
        </w:tc>
        <w:tc>
          <w:tcPr>
            <w:tcW w:w="1879" w:type="dxa"/>
            <w:tcBorders>
              <w:top w:val="nil"/>
              <w:bottom w:val="nil"/>
            </w:tcBorders>
            <w:vAlign w:val="bottom"/>
          </w:tcPr>
          <w:p w:rsidR="006577DB" w:rsidDel="006577DB" w:rsidP="00554570" w:rsidRDefault="00723730" w14:paraId="797DD6D6" w14:textId="171F58C0">
            <w:pPr>
              <w:pStyle w:val="TableDecTab"/>
              <w:framePr w:hSpace="0" w:wrap="auto" w:hAnchor="text" w:vAnchor="margin" w:yAlign="inline"/>
              <w:tabs>
                <w:tab w:val="left" w:pos="30"/>
              </w:tabs>
              <w:ind w:right="255"/>
              <w:suppressOverlap w:val="0"/>
              <w:jc w:val="right"/>
            </w:pPr>
            <w:r>
              <w:t>55.9</w:t>
            </w:r>
          </w:p>
        </w:tc>
        <w:tc>
          <w:tcPr>
            <w:tcW w:w="2647" w:type="dxa"/>
            <w:tcBorders>
              <w:top w:val="nil"/>
              <w:bottom w:val="nil"/>
            </w:tcBorders>
            <w:vAlign w:val="bottom"/>
          </w:tcPr>
          <w:p w:rsidR="006577DB" w:rsidP="00554570" w:rsidRDefault="006577DB" w14:paraId="5E60CF05" w14:textId="17AA0E66">
            <w:pPr>
              <w:pStyle w:val="TableDecTab"/>
              <w:framePr w:hSpace="0" w:wrap="auto" w:hAnchor="text" w:vAnchor="margin" w:yAlign="inline"/>
              <w:tabs>
                <w:tab w:val="clear" w:pos="720"/>
                <w:tab w:val="left" w:pos="255"/>
              </w:tabs>
              <w:ind w:right="750"/>
              <w:suppressOverlap w:val="0"/>
              <w:jc w:val="right"/>
            </w:pPr>
            <w:r>
              <w:t>100.0</w:t>
            </w:r>
          </w:p>
        </w:tc>
      </w:tr>
      <w:tr w:rsidR="00554570" w:rsidTr="0047218F" w14:paraId="34126395" w14:textId="77777777">
        <w:tc>
          <w:tcPr>
            <w:tcW w:w="2984" w:type="dxa"/>
            <w:tcBorders>
              <w:top w:val="nil"/>
              <w:bottom w:val="nil"/>
            </w:tcBorders>
            <w:vAlign w:val="bottom"/>
          </w:tcPr>
          <w:p w:rsidR="006577DB" w:rsidP="00700371" w:rsidRDefault="001A0FBB" w14:paraId="01119C47" w14:textId="73E45CCB">
            <w:pPr>
              <w:pStyle w:val="TableText"/>
            </w:pPr>
            <w:r>
              <w:t>3-month c</w:t>
            </w:r>
            <w:r w:rsidR="006577DB">
              <w:t>heck-</w:t>
            </w:r>
            <w:r>
              <w:t>i</w:t>
            </w:r>
            <w:r w:rsidR="006577DB">
              <w:t>n</w:t>
            </w:r>
          </w:p>
        </w:tc>
        <w:tc>
          <w:tcPr>
            <w:tcW w:w="2247" w:type="dxa"/>
            <w:tcBorders>
              <w:top w:val="nil"/>
              <w:bottom w:val="nil"/>
            </w:tcBorders>
            <w:vAlign w:val="bottom"/>
          </w:tcPr>
          <w:p w:rsidR="006577DB" w:rsidP="00554570" w:rsidRDefault="007C61A3" w14:paraId="1BA4F004" w14:textId="45017AE8">
            <w:pPr>
              <w:pStyle w:val="TableDecTab"/>
              <w:framePr w:hSpace="0" w:wrap="auto" w:hAnchor="text" w:vAnchor="margin" w:yAlign="inline"/>
              <w:ind w:right="600"/>
              <w:suppressOverlap w:val="0"/>
              <w:jc w:val="right"/>
            </w:pPr>
            <w:r>
              <w:t>1,</w:t>
            </w:r>
            <w:r w:rsidR="00C715C1">
              <w:t>414</w:t>
            </w:r>
          </w:p>
        </w:tc>
        <w:tc>
          <w:tcPr>
            <w:tcW w:w="1879" w:type="dxa"/>
            <w:tcBorders>
              <w:top w:val="nil"/>
              <w:bottom w:val="nil"/>
            </w:tcBorders>
            <w:vAlign w:val="bottom"/>
          </w:tcPr>
          <w:p w:rsidR="006577DB" w:rsidP="00554570" w:rsidRDefault="00083AF0" w14:paraId="1E5A5A40" w14:textId="1AC8C1D9">
            <w:pPr>
              <w:pStyle w:val="TableDecTab"/>
              <w:framePr w:hSpace="0" w:wrap="auto" w:hAnchor="text" w:vAnchor="margin" w:yAlign="inline"/>
              <w:tabs>
                <w:tab w:val="left" w:pos="30"/>
              </w:tabs>
              <w:ind w:right="255"/>
              <w:suppressOverlap w:val="0"/>
              <w:jc w:val="right"/>
            </w:pPr>
            <w:r>
              <w:t>40.0</w:t>
            </w:r>
          </w:p>
        </w:tc>
        <w:tc>
          <w:tcPr>
            <w:tcW w:w="2647" w:type="dxa"/>
            <w:tcBorders>
              <w:top w:val="nil"/>
              <w:bottom w:val="nil"/>
            </w:tcBorders>
            <w:vAlign w:val="bottom"/>
          </w:tcPr>
          <w:p w:rsidR="006577DB" w:rsidP="00554570" w:rsidRDefault="0011425E" w14:paraId="219880FA" w14:textId="64D4FF07">
            <w:pPr>
              <w:pStyle w:val="TableDecTab"/>
              <w:framePr w:hSpace="0" w:wrap="auto" w:hAnchor="text" w:vAnchor="margin" w:yAlign="inline"/>
              <w:tabs>
                <w:tab w:val="clear" w:pos="720"/>
                <w:tab w:val="left" w:pos="255"/>
              </w:tabs>
              <w:ind w:right="750"/>
              <w:suppressOverlap w:val="0"/>
              <w:jc w:val="right"/>
            </w:pPr>
            <w:r>
              <w:t>71.6</w:t>
            </w:r>
          </w:p>
        </w:tc>
      </w:tr>
      <w:tr w:rsidR="001A0FBB" w:rsidTr="0047218F" w14:paraId="168F4DBE" w14:textId="77777777">
        <w:tc>
          <w:tcPr>
            <w:tcW w:w="2984" w:type="dxa"/>
            <w:tcBorders>
              <w:top w:val="nil"/>
              <w:bottom w:val="nil"/>
            </w:tcBorders>
            <w:vAlign w:val="bottom"/>
          </w:tcPr>
          <w:p w:rsidR="001A0FBB" w:rsidP="00700371" w:rsidRDefault="001A0FBB" w14:paraId="4DDA4A3C" w14:textId="037D2E88">
            <w:pPr>
              <w:pStyle w:val="TableText"/>
            </w:pPr>
            <w:r>
              <w:t>6-month check-in</w:t>
            </w:r>
          </w:p>
        </w:tc>
        <w:tc>
          <w:tcPr>
            <w:tcW w:w="2247" w:type="dxa"/>
            <w:tcBorders>
              <w:top w:val="nil"/>
              <w:bottom w:val="nil"/>
            </w:tcBorders>
            <w:vAlign w:val="bottom"/>
          </w:tcPr>
          <w:p w:rsidR="001A0FBB" w:rsidP="00554570" w:rsidRDefault="001A0FBB" w14:paraId="4A5EC33A" w14:textId="002E1B4B">
            <w:pPr>
              <w:pStyle w:val="TableDecTab"/>
              <w:framePr w:hSpace="0" w:wrap="auto" w:hAnchor="text" w:vAnchor="margin" w:yAlign="inline"/>
              <w:ind w:right="600"/>
              <w:suppressOverlap w:val="0"/>
              <w:jc w:val="right"/>
            </w:pPr>
            <w:r>
              <w:t>1,341</w:t>
            </w:r>
          </w:p>
        </w:tc>
        <w:tc>
          <w:tcPr>
            <w:tcW w:w="1879" w:type="dxa"/>
            <w:tcBorders>
              <w:top w:val="nil"/>
              <w:bottom w:val="nil"/>
            </w:tcBorders>
            <w:vAlign w:val="bottom"/>
          </w:tcPr>
          <w:p w:rsidR="001A0FBB" w:rsidP="00554570" w:rsidRDefault="00CD3522" w14:paraId="30746356" w14:textId="0822CA9F">
            <w:pPr>
              <w:pStyle w:val="TableDecTab"/>
              <w:framePr w:hSpace="0" w:wrap="auto" w:hAnchor="text" w:vAnchor="margin" w:yAlign="inline"/>
              <w:tabs>
                <w:tab w:val="left" w:pos="30"/>
              </w:tabs>
              <w:ind w:right="255"/>
              <w:suppressOverlap w:val="0"/>
              <w:jc w:val="right"/>
            </w:pPr>
            <w:r>
              <w:t>37.9</w:t>
            </w:r>
          </w:p>
        </w:tc>
        <w:tc>
          <w:tcPr>
            <w:tcW w:w="2647" w:type="dxa"/>
            <w:tcBorders>
              <w:top w:val="nil"/>
              <w:bottom w:val="nil"/>
            </w:tcBorders>
            <w:vAlign w:val="bottom"/>
          </w:tcPr>
          <w:p w:rsidR="001A0FBB" w:rsidP="00554570" w:rsidRDefault="001A0FBB" w14:paraId="7C1396DB" w14:textId="6B1122AA">
            <w:pPr>
              <w:pStyle w:val="TableDecTab"/>
              <w:framePr w:hSpace="0" w:wrap="auto" w:hAnchor="text" w:vAnchor="margin" w:yAlign="inline"/>
              <w:tabs>
                <w:tab w:val="clear" w:pos="720"/>
                <w:tab w:val="left" w:pos="255"/>
              </w:tabs>
              <w:ind w:right="750"/>
              <w:suppressOverlap w:val="0"/>
              <w:jc w:val="right"/>
            </w:pPr>
            <w:r>
              <w:t>67.9</w:t>
            </w:r>
          </w:p>
        </w:tc>
      </w:tr>
      <w:tr w:rsidR="004D652E" w:rsidTr="0047218F" w14:paraId="2E13E902" w14:textId="77777777">
        <w:tc>
          <w:tcPr>
            <w:tcW w:w="2984" w:type="dxa"/>
            <w:tcBorders>
              <w:top w:val="nil"/>
              <w:bottom w:val="single" w:color="auto" w:sz="12" w:space="0"/>
            </w:tcBorders>
          </w:tcPr>
          <w:p w:rsidR="006577DB" w:rsidP="00700371" w:rsidRDefault="00E85474" w14:paraId="2F59E1D3" w14:textId="3535CF53">
            <w:pPr>
              <w:pStyle w:val="TableText"/>
              <w:spacing w:after="120"/>
            </w:pPr>
            <w:r>
              <w:t>18</w:t>
            </w:r>
            <w:r w:rsidR="006577DB">
              <w:t>-month follow-up</w:t>
            </w:r>
          </w:p>
        </w:tc>
        <w:tc>
          <w:tcPr>
            <w:tcW w:w="2247" w:type="dxa"/>
            <w:tcBorders>
              <w:top w:val="nil"/>
              <w:bottom w:val="single" w:color="auto" w:sz="12" w:space="0"/>
            </w:tcBorders>
          </w:tcPr>
          <w:p w:rsidR="006577DB" w:rsidP="00554570" w:rsidRDefault="009E3F99" w14:paraId="26391892" w14:textId="5927DF87">
            <w:pPr>
              <w:pStyle w:val="TableDecTab"/>
              <w:framePr w:hSpace="0" w:wrap="auto" w:hAnchor="text" w:vAnchor="margin" w:yAlign="inline"/>
              <w:spacing w:after="120"/>
              <w:ind w:right="600"/>
              <w:suppressOverlap w:val="0"/>
              <w:jc w:val="right"/>
            </w:pPr>
            <w:r>
              <w:t>324</w:t>
            </w:r>
            <w:r w:rsidR="00146CE2">
              <w:rPr>
                <w:vertAlign w:val="superscript"/>
              </w:rPr>
              <w:t>3</w:t>
            </w:r>
          </w:p>
        </w:tc>
        <w:tc>
          <w:tcPr>
            <w:tcW w:w="1879" w:type="dxa"/>
            <w:tcBorders>
              <w:top w:val="nil"/>
              <w:bottom w:val="single" w:color="auto" w:sz="12" w:space="0"/>
            </w:tcBorders>
          </w:tcPr>
          <w:p w:rsidR="006577DB" w:rsidP="00554570" w:rsidRDefault="00126D49" w14:paraId="2082CC6B" w14:textId="69B7334E">
            <w:pPr>
              <w:pStyle w:val="TableDecTab"/>
              <w:framePr w:hSpace="0" w:wrap="auto" w:hAnchor="text" w:vAnchor="margin" w:yAlign="inline"/>
              <w:tabs>
                <w:tab w:val="clear" w:pos="720"/>
                <w:tab w:val="clear" w:pos="1776"/>
                <w:tab w:val="clear" w:pos="4007"/>
              </w:tabs>
              <w:spacing w:after="120"/>
              <w:ind w:right="255"/>
              <w:suppressOverlap w:val="0"/>
              <w:jc w:val="right"/>
            </w:pPr>
            <w:r>
              <w:t>9.2</w:t>
            </w:r>
          </w:p>
        </w:tc>
        <w:tc>
          <w:tcPr>
            <w:tcW w:w="2647" w:type="dxa"/>
            <w:tcBorders>
              <w:top w:val="nil"/>
              <w:bottom w:val="single" w:color="auto" w:sz="12" w:space="0"/>
            </w:tcBorders>
          </w:tcPr>
          <w:p w:rsidR="006577DB" w:rsidP="002019DD" w:rsidRDefault="001D1E33" w14:paraId="7770665D" w14:textId="34381B71">
            <w:pPr>
              <w:pStyle w:val="TableDecTab"/>
              <w:framePr w:hSpace="0" w:wrap="auto" w:hAnchor="text" w:vAnchor="margin" w:yAlign="inline"/>
              <w:tabs>
                <w:tab w:val="clear" w:pos="720"/>
                <w:tab w:val="clear" w:pos="1776"/>
                <w:tab w:val="clear" w:pos="4007"/>
              </w:tabs>
              <w:spacing w:after="120"/>
              <w:ind w:right="750"/>
              <w:suppressOverlap w:val="0"/>
              <w:jc w:val="right"/>
            </w:pPr>
            <w:r>
              <w:t>16.4</w:t>
            </w:r>
          </w:p>
        </w:tc>
      </w:tr>
    </w:tbl>
    <w:p w:rsidR="00554570" w:rsidP="00554570" w:rsidRDefault="00554570" w14:paraId="23D107EF" w14:textId="68466772">
      <w:pPr>
        <w:pStyle w:val="exhibitsource"/>
        <w:ind w:left="180" w:hanging="180"/>
      </w:pPr>
      <w:r>
        <w:t>MAT Study = Medication-Assisted Treatment Study.</w:t>
      </w:r>
    </w:p>
    <w:p w:rsidR="004A07AB" w:rsidP="003311F0" w:rsidRDefault="00554570" w14:paraId="51F0CA42" w14:textId="781033D7">
      <w:pPr>
        <w:pStyle w:val="exhibitsource"/>
        <w:ind w:left="180" w:hanging="180"/>
      </w:pPr>
      <w:r>
        <w:rPr>
          <w:vertAlign w:val="superscript"/>
        </w:rPr>
        <w:t>2</w:t>
      </w:r>
      <w:r w:rsidR="003B1FA0">
        <w:rPr>
          <w:vertAlign w:val="superscript"/>
        </w:rPr>
        <w:t>1</w:t>
      </w:r>
      <w:r w:rsidR="006577DB">
        <w:t xml:space="preserve"> </w:t>
      </w:r>
      <w:r w:rsidR="004D06B2">
        <w:t>P</w:t>
      </w:r>
      <w:r w:rsidR="006577DB">
        <w:t xml:space="preserve">articipation rates </w:t>
      </w:r>
      <w:r>
        <w:t>based on</w:t>
      </w:r>
      <w:r w:rsidR="006577DB">
        <w:t xml:space="preserve"> the number of patient referrals.</w:t>
      </w:r>
    </w:p>
    <w:p w:rsidR="004A07AB" w:rsidP="003311F0" w:rsidRDefault="003B1FA0" w14:paraId="32C3B3CB" w14:textId="1EA79EBC">
      <w:pPr>
        <w:pStyle w:val="exhibitsource"/>
        <w:ind w:left="180" w:hanging="180"/>
      </w:pPr>
      <w:r>
        <w:rPr>
          <w:vertAlign w:val="superscript"/>
        </w:rPr>
        <w:t>2</w:t>
      </w:r>
      <w:r w:rsidR="006577DB">
        <w:t xml:space="preserve"> </w:t>
      </w:r>
      <w:r w:rsidR="002D51BF">
        <w:t>P</w:t>
      </w:r>
      <w:r w:rsidR="00554570">
        <w:t xml:space="preserve">articipation rates based on the number of baseline interviews.  Note that participants are retained in the study even if they are unable to complete an interview between baseline and the </w:t>
      </w:r>
      <w:r w:rsidR="00C908E8">
        <w:t>18</w:t>
      </w:r>
      <w:r w:rsidR="00554570">
        <w:t>-month follow-up</w:t>
      </w:r>
      <w:r w:rsidR="009437BC">
        <w:t>.</w:t>
      </w:r>
    </w:p>
    <w:p w:rsidR="00492BB1" w:rsidP="00492BB1" w:rsidRDefault="003B1FA0" w14:paraId="67140306" w14:textId="4C0EDDBD">
      <w:pPr>
        <w:pStyle w:val="exhibitsource"/>
      </w:pPr>
      <w:r>
        <w:rPr>
          <w:vertAlign w:val="superscript"/>
        </w:rPr>
        <w:t>3</w:t>
      </w:r>
      <w:r w:rsidR="00764138">
        <w:rPr>
          <w:vertAlign w:val="superscript"/>
        </w:rPr>
        <w:t xml:space="preserve"> </w:t>
      </w:r>
      <w:r w:rsidR="00EF2C79">
        <w:t xml:space="preserve">18-month follow-up data collection </w:t>
      </w:r>
      <w:r w:rsidR="002A10B9">
        <w:t>is</w:t>
      </w:r>
      <w:r w:rsidR="000A7035">
        <w:t xml:space="preserve"> ongoing</w:t>
      </w:r>
      <w:r w:rsidR="002A10B9">
        <w:t>.</w:t>
      </w:r>
      <w:r w:rsidR="000A7035">
        <w:t xml:space="preserve"> </w:t>
      </w:r>
      <w:r w:rsidR="002A10B9">
        <w:t>B</w:t>
      </w:r>
      <w:r w:rsidR="00764138">
        <w:t>ased o</w:t>
      </w:r>
      <w:r w:rsidR="002A10B9">
        <w:t xml:space="preserve">n prior experience plus findings and protocols discussed in </w:t>
      </w:r>
      <w:r w:rsidRPr="00662B53" w:rsidR="00492BB1">
        <w:t>for example, Novak et al.</w:t>
      </w:r>
      <w:r w:rsidR="00492BB1">
        <w:t xml:space="preserve"> (</w:t>
      </w:r>
      <w:r w:rsidRPr="00662B53" w:rsidR="00492BB1">
        <w:t>2015</w:t>
      </w:r>
      <w:r w:rsidR="00492BB1">
        <w:t xml:space="preserve">), </w:t>
      </w:r>
      <w:r w:rsidRPr="00662B53" w:rsidR="00492BB1">
        <w:t>Novak et al.</w:t>
      </w:r>
      <w:r w:rsidR="00492BB1">
        <w:t xml:space="preserve"> (</w:t>
      </w:r>
      <w:r w:rsidRPr="00662B53" w:rsidR="00492BB1">
        <w:t>2009</w:t>
      </w:r>
      <w:r w:rsidR="00492BB1">
        <w:t xml:space="preserve">), and </w:t>
      </w:r>
      <w:r w:rsidRPr="00662B53" w:rsidR="00492BB1">
        <w:t>Desmond et al. (1995)</w:t>
      </w:r>
      <w:r w:rsidR="00492BB1">
        <w:t xml:space="preserve">, we anticipate </w:t>
      </w:r>
      <w:r w:rsidR="00EE184A">
        <w:t xml:space="preserve">completing approximately </w:t>
      </w:r>
      <w:r w:rsidR="00CE5CD9">
        <w:t xml:space="preserve">674 </w:t>
      </w:r>
      <w:r w:rsidR="00F104E7">
        <w:t xml:space="preserve">18-month interviews by </w:t>
      </w:r>
      <w:r w:rsidR="000E3A76">
        <w:t xml:space="preserve">2/28/2021 and 987 18-month interviews by </w:t>
      </w:r>
      <w:r w:rsidR="0052273D">
        <w:t>5/31/2021</w:t>
      </w:r>
      <w:r w:rsidRPr="00662B53" w:rsidR="00492BB1">
        <w:t>. The rates are not assumed to vary significantly across treatment regimen.</w:t>
      </w:r>
    </w:p>
    <w:p w:rsidR="009916B9" w:rsidP="003311F0" w:rsidRDefault="009916B9" w14:paraId="28A03310" w14:textId="05C4DF57">
      <w:pPr>
        <w:pStyle w:val="exhibitsource"/>
        <w:ind w:left="180" w:hanging="180"/>
      </w:pPr>
    </w:p>
    <w:p w:rsidR="009D33E3" w:rsidP="009A7920" w:rsidRDefault="009D33E3" w14:paraId="303BCA5E" w14:textId="021C50A3">
      <w:pPr>
        <w:pStyle w:val="Heading2"/>
        <w:spacing w:before="480"/>
      </w:pPr>
      <w:bookmarkStart w:name="_Toc46304232" w:id="20"/>
      <w:r w:rsidRPr="005C43A1">
        <w:t>B.2</w:t>
      </w:r>
      <w:r w:rsidRPr="005C43A1">
        <w:tab/>
      </w:r>
      <w:bookmarkEnd w:id="17"/>
      <w:bookmarkEnd w:id="18"/>
      <w:r w:rsidRPr="005C43A1">
        <w:t>Procedures for the Collection of Information</w:t>
      </w:r>
      <w:bookmarkEnd w:id="19"/>
      <w:bookmarkEnd w:id="20"/>
    </w:p>
    <w:p w:rsidRPr="00E406DB" w:rsidR="00FA7BE8" w:rsidP="00C95609" w:rsidRDefault="003D1423" w14:paraId="336912BA" w14:textId="0CD78B96">
      <w:pPr>
        <w:pStyle w:val="BodyText1"/>
      </w:pPr>
      <w:r>
        <w:rPr>
          <w:lang w:val="en"/>
        </w:rPr>
        <w:t xml:space="preserve">Information </w:t>
      </w:r>
      <w:r w:rsidR="009F1D66">
        <w:rPr>
          <w:lang w:val="en"/>
        </w:rPr>
        <w:t xml:space="preserve">is collected and </w:t>
      </w:r>
      <w:r>
        <w:rPr>
          <w:lang w:val="en"/>
        </w:rPr>
        <w:t xml:space="preserve">stored on the </w:t>
      </w:r>
      <w:r w:rsidR="009F1D66">
        <w:rPr>
          <w:lang w:val="en"/>
        </w:rPr>
        <w:t xml:space="preserve">Management System and </w:t>
      </w:r>
      <w:r w:rsidR="007F114B">
        <w:rPr>
          <w:lang w:val="en"/>
        </w:rPr>
        <w:t xml:space="preserve">is </w:t>
      </w:r>
      <w:r>
        <w:rPr>
          <w:lang w:val="en"/>
        </w:rPr>
        <w:t xml:space="preserve">accessible to staff as needed. Identifying information </w:t>
      </w:r>
      <w:r w:rsidR="00D5163B">
        <w:rPr>
          <w:lang w:val="en"/>
        </w:rPr>
        <w:t xml:space="preserve">is </w:t>
      </w:r>
      <w:r>
        <w:rPr>
          <w:lang w:val="en"/>
        </w:rPr>
        <w:t xml:space="preserve">collected and stored separately from all other data collected, and a random ID </w:t>
      </w:r>
      <w:r w:rsidR="00D5163B">
        <w:rPr>
          <w:lang w:val="en"/>
        </w:rPr>
        <w:t>are</w:t>
      </w:r>
      <w:r>
        <w:rPr>
          <w:lang w:val="en"/>
        </w:rPr>
        <w:t xml:space="preserve"> used to identify </w:t>
      </w:r>
      <w:r w:rsidR="007367F8">
        <w:rPr>
          <w:lang w:val="en"/>
        </w:rPr>
        <w:t>patient</w:t>
      </w:r>
      <w:r>
        <w:rPr>
          <w:lang w:val="en"/>
        </w:rPr>
        <w:t xml:space="preserve"> records. </w:t>
      </w:r>
      <w:r w:rsidR="00F71A1A">
        <w:rPr>
          <w:lang w:val="en"/>
        </w:rPr>
        <w:t>The data</w:t>
      </w:r>
      <w:r w:rsidR="0043394F">
        <w:rPr>
          <w:lang w:val="en"/>
        </w:rPr>
        <w:t xml:space="preserve"> collection effort use</w:t>
      </w:r>
      <w:r w:rsidR="00E61FAB">
        <w:rPr>
          <w:lang w:val="en"/>
        </w:rPr>
        <w:t>s</w:t>
      </w:r>
      <w:r>
        <w:rPr>
          <w:lang w:val="en"/>
        </w:rPr>
        <w:t xml:space="preserve"> a </w:t>
      </w:r>
      <w:r>
        <w:rPr>
          <w:lang w:val="en"/>
        </w:rPr>
        <w:lastRenderedPageBreak/>
        <w:t xml:space="preserve">secure data collection </w:t>
      </w:r>
      <w:r w:rsidR="0043394F">
        <w:rPr>
          <w:lang w:val="en"/>
        </w:rPr>
        <w:t>web system</w:t>
      </w:r>
      <w:r>
        <w:rPr>
          <w:lang w:val="en"/>
        </w:rPr>
        <w:t xml:space="preserve">, </w:t>
      </w:r>
      <w:proofErr w:type="spellStart"/>
      <w:r>
        <w:rPr>
          <w:lang w:val="en"/>
        </w:rPr>
        <w:t>Voxco</w:t>
      </w:r>
      <w:proofErr w:type="spellEnd"/>
      <w:r>
        <w:rPr>
          <w:lang w:val="en"/>
        </w:rPr>
        <w:t xml:space="preserve">, hosted on Enhanced Security Network (ESN), which meets federal requirements for </w:t>
      </w:r>
      <w:r w:rsidRPr="00174D1D">
        <w:rPr>
          <w:lang w:val="en"/>
        </w:rPr>
        <w:t>high</w:t>
      </w:r>
      <w:r>
        <w:rPr>
          <w:lang w:val="en"/>
        </w:rPr>
        <w:t xml:space="preserve">-security risk data. Identifying information will only be hosted on the ESN. Non-identifying information </w:t>
      </w:r>
      <w:r w:rsidR="00E61FAB">
        <w:rPr>
          <w:lang w:val="en"/>
        </w:rPr>
        <w:t>are</w:t>
      </w:r>
      <w:r>
        <w:rPr>
          <w:lang w:val="en"/>
        </w:rPr>
        <w:t xml:space="preserve"> collected through a separate web-based tool, also developed using </w:t>
      </w:r>
      <w:proofErr w:type="spellStart"/>
      <w:r>
        <w:rPr>
          <w:lang w:val="en"/>
        </w:rPr>
        <w:t>Voxco</w:t>
      </w:r>
      <w:proofErr w:type="spellEnd"/>
      <w:r>
        <w:rPr>
          <w:lang w:val="en"/>
        </w:rPr>
        <w:t xml:space="preserve">, and a random </w:t>
      </w:r>
      <w:r w:rsidR="007367F8">
        <w:rPr>
          <w:lang w:val="en"/>
        </w:rPr>
        <w:t>patient</w:t>
      </w:r>
      <w:r>
        <w:rPr>
          <w:lang w:val="en"/>
        </w:rPr>
        <w:t xml:space="preserve"> ID </w:t>
      </w:r>
      <w:r w:rsidR="008B7E3C">
        <w:rPr>
          <w:lang w:val="en"/>
        </w:rPr>
        <w:t>is</w:t>
      </w:r>
      <w:r>
        <w:rPr>
          <w:lang w:val="en"/>
        </w:rPr>
        <w:t xml:space="preserve"> used to identify these records. </w:t>
      </w:r>
    </w:p>
    <w:p w:rsidR="009D33E3" w:rsidP="004A07AB" w:rsidRDefault="009D33E3" w14:paraId="5E046372" w14:textId="1FF7CC8C">
      <w:pPr>
        <w:pStyle w:val="Heading2"/>
      </w:pPr>
      <w:bookmarkStart w:name="_Toc8007720" w:id="21"/>
      <w:bookmarkStart w:name="_Toc88033501" w:id="22"/>
      <w:bookmarkStart w:name="_Toc457852720" w:id="23"/>
      <w:bookmarkStart w:name="_Toc46304233" w:id="24"/>
      <w:r w:rsidRPr="005C43A1">
        <w:t>B.3</w:t>
      </w:r>
      <w:r w:rsidRPr="005C43A1">
        <w:tab/>
      </w:r>
      <w:bookmarkEnd w:id="21"/>
      <w:bookmarkEnd w:id="22"/>
      <w:r w:rsidRPr="005C43A1">
        <w:t xml:space="preserve">Methods to Maximize </w:t>
      </w:r>
      <w:r w:rsidR="004D652E">
        <w:t>Participation</w:t>
      </w:r>
      <w:r w:rsidRPr="005C43A1" w:rsidR="004D652E">
        <w:t xml:space="preserve"> </w:t>
      </w:r>
      <w:r w:rsidRPr="005C43A1">
        <w:t>Rates</w:t>
      </w:r>
      <w:bookmarkEnd w:id="23"/>
      <w:bookmarkEnd w:id="24"/>
    </w:p>
    <w:p w:rsidRPr="004A07AB" w:rsidR="009D33E3" w:rsidP="004A07AB" w:rsidRDefault="00B864FD" w14:paraId="515544A8" w14:textId="0DC45037">
      <w:pPr>
        <w:pStyle w:val="Heading3"/>
      </w:pPr>
      <w:bookmarkStart w:name="_Toc46304234" w:id="25"/>
      <w:r>
        <w:t>B.3.1</w:t>
      </w:r>
      <w:r>
        <w:tab/>
      </w:r>
      <w:r w:rsidR="004D652E">
        <w:t>Participation</w:t>
      </w:r>
      <w:r w:rsidR="009D33E3">
        <w:t xml:space="preserve"> Rates</w:t>
      </w:r>
      <w:bookmarkEnd w:id="25"/>
    </w:p>
    <w:p w:rsidR="00FE4857" w:rsidP="009A7920" w:rsidRDefault="009D33E3" w14:paraId="2E4EB025" w14:textId="768575EE">
      <w:pPr>
        <w:pStyle w:val="BodyText1"/>
      </w:pPr>
      <w:r>
        <w:t xml:space="preserve">Various procedures </w:t>
      </w:r>
      <w:r w:rsidR="003D243F">
        <w:t xml:space="preserve">are </w:t>
      </w:r>
      <w:r>
        <w:t xml:space="preserve">used to help maximize </w:t>
      </w:r>
      <w:r w:rsidR="004D652E">
        <w:t xml:space="preserve">participation </w:t>
      </w:r>
      <w:r>
        <w:t>rates across the study</w:t>
      </w:r>
      <w:r w:rsidR="00FE4857">
        <w:t xml:space="preserve">; </w:t>
      </w:r>
      <w:r w:rsidR="003D243F">
        <w:t>t</w:t>
      </w:r>
      <w:r w:rsidR="00F455AE">
        <w:t>he procedures will help ensure</w:t>
      </w:r>
      <w:r w:rsidR="0006167C">
        <w:t xml:space="preserve"> a</w:t>
      </w:r>
      <w:r w:rsidR="00F455AE">
        <w:t xml:space="preserve"> </w:t>
      </w:r>
      <w:r w:rsidR="004D652E">
        <w:t>participation rate</w:t>
      </w:r>
      <w:r w:rsidR="0006167C">
        <w:t xml:space="preserve"> of </w:t>
      </w:r>
      <w:r w:rsidR="00530659">
        <w:t>50.0</w:t>
      </w:r>
      <w:r w:rsidR="004D652E">
        <w:t xml:space="preserve">% for the </w:t>
      </w:r>
      <w:r w:rsidR="00806F38">
        <w:t>18</w:t>
      </w:r>
      <w:r w:rsidR="00F455AE">
        <w:t>-</w:t>
      </w:r>
      <w:r w:rsidR="00563B57">
        <w:t>month follow</w:t>
      </w:r>
      <w:r w:rsidR="00F455AE">
        <w:t>-up</w:t>
      </w:r>
      <w:r w:rsidR="0006167C">
        <w:t xml:space="preserve"> questionnaire</w:t>
      </w:r>
      <w:r w:rsidR="00563B57">
        <w:t>.</w:t>
      </w:r>
      <w:r w:rsidR="002D20C1">
        <w:t xml:space="preserve"> Additionally, the analysis techniques used will </w:t>
      </w:r>
      <w:r w:rsidRPr="003B786B" w:rsidR="002D20C1">
        <w:t>incorporate methods to account for nonresponse; analysis approaches are discussed in B.3.3.</w:t>
      </w:r>
      <w:r w:rsidR="002D20C1">
        <w:t xml:space="preserve"> </w:t>
      </w:r>
      <w:r w:rsidR="00FE4857">
        <w:t xml:space="preserve">For </w:t>
      </w:r>
      <w:r w:rsidR="007367F8">
        <w:t>patient</w:t>
      </w:r>
      <w:r w:rsidR="00FE4857">
        <w:t>s, FI</w:t>
      </w:r>
      <w:r w:rsidR="00563B57">
        <w:t>s</w:t>
      </w:r>
      <w:r w:rsidR="00FE4857">
        <w:t xml:space="preserve"> will</w:t>
      </w:r>
    </w:p>
    <w:p w:rsidR="00FE4857" w:rsidP="004A07AB" w:rsidRDefault="00FE4857" w14:paraId="6C9C9DEF" w14:textId="0833AF3E">
      <w:pPr>
        <w:pStyle w:val="bullets"/>
      </w:pPr>
      <w:r>
        <w:t xml:space="preserve">build </w:t>
      </w:r>
      <w:r w:rsidR="006B4264">
        <w:t xml:space="preserve">and maintain </w:t>
      </w:r>
      <w:r>
        <w:t xml:space="preserve">a relationship through calls, emails, and </w:t>
      </w:r>
      <w:r w:rsidR="00AE67E7">
        <w:t xml:space="preserve">in person </w:t>
      </w:r>
      <w:r>
        <w:t>visits;</w:t>
      </w:r>
    </w:p>
    <w:p w:rsidR="00FE4857" w:rsidP="004A07AB" w:rsidRDefault="00FE4857" w14:paraId="41BEF22C" w14:textId="7088D171">
      <w:pPr>
        <w:pStyle w:val="bullets"/>
      </w:pPr>
      <w:r>
        <w:t xml:space="preserve">observe all other needed measures to protect </w:t>
      </w:r>
      <w:r w:rsidR="007367F8">
        <w:t>patient</w:t>
      </w:r>
      <w:r w:rsidR="007B0011">
        <w:t>s’</w:t>
      </w:r>
      <w:r>
        <w:t xml:space="preserve"> rights as research subjects, their privacy, and the confidentiality of their data;</w:t>
      </w:r>
    </w:p>
    <w:p w:rsidR="00FE4857" w:rsidP="004A07AB" w:rsidRDefault="00FE4857" w14:paraId="7B674A80" w14:textId="0637C46A">
      <w:pPr>
        <w:pStyle w:val="bullets"/>
      </w:pPr>
      <w:r>
        <w:t xml:space="preserve">respond appropriately to </w:t>
      </w:r>
      <w:r w:rsidR="007367F8">
        <w:t>patient</w:t>
      </w:r>
      <w:r>
        <w:t xml:space="preserve"> distress;</w:t>
      </w:r>
    </w:p>
    <w:p w:rsidR="00FE4857" w:rsidP="004A07AB" w:rsidRDefault="00FE4857" w14:paraId="44A204F0" w14:textId="5A38E178">
      <w:pPr>
        <w:pStyle w:val="bullets"/>
      </w:pPr>
      <w:r>
        <w:t xml:space="preserve">follow up with </w:t>
      </w:r>
      <w:r w:rsidR="007367F8">
        <w:t>patient</w:t>
      </w:r>
      <w:r>
        <w:t>s should they not respond to email requests to complete the</w:t>
      </w:r>
      <w:r w:rsidR="006B4264">
        <w:t xml:space="preserve"> 18-month</w:t>
      </w:r>
      <w:r>
        <w:t xml:space="preserve"> </w:t>
      </w:r>
      <w:r w:rsidR="0031398F">
        <w:t>follow-up</w:t>
      </w:r>
      <w:r>
        <w:t xml:space="preserve"> </w:t>
      </w:r>
      <w:r w:rsidR="007367F8">
        <w:t>Patient</w:t>
      </w:r>
      <w:r>
        <w:t xml:space="preserve"> Questionnaires; and</w:t>
      </w:r>
    </w:p>
    <w:p w:rsidR="00FE4857" w:rsidP="004A07AB" w:rsidRDefault="00FE4857" w14:paraId="16A44F85" w14:textId="532E8DF0">
      <w:pPr>
        <w:pStyle w:val="bullets"/>
        <w:spacing w:after="360"/>
      </w:pPr>
      <w:r>
        <w:t xml:space="preserve">be available to </w:t>
      </w:r>
      <w:r w:rsidR="007367F8">
        <w:t>patient</w:t>
      </w:r>
      <w:r>
        <w:t xml:space="preserve">s </w:t>
      </w:r>
      <w:r w:rsidR="0031398F">
        <w:t>via</w:t>
      </w:r>
      <w:r>
        <w:t xml:space="preserve"> phone should </w:t>
      </w:r>
      <w:r w:rsidR="006B4264">
        <w:t xml:space="preserve">patients </w:t>
      </w:r>
      <w:r>
        <w:t xml:space="preserve">have any questions. </w:t>
      </w:r>
    </w:p>
    <w:p w:rsidR="00FE4857" w:rsidP="00FE4857" w:rsidRDefault="00FE4857" w14:paraId="5F6AFFE4" w14:textId="790A19E7">
      <w:pPr>
        <w:pStyle w:val="BodyText1"/>
      </w:pPr>
      <w:r w:rsidRPr="00440242">
        <w:t xml:space="preserve">If </w:t>
      </w:r>
      <w:r w:rsidR="00AE67E7">
        <w:t>FIs</w:t>
      </w:r>
      <w:r w:rsidRPr="00440242" w:rsidR="00AE67E7">
        <w:t xml:space="preserve"> </w:t>
      </w:r>
      <w:r w:rsidRPr="00440242">
        <w:t xml:space="preserve">lose contact with a </w:t>
      </w:r>
      <w:r w:rsidR="007367F8">
        <w:t>patient</w:t>
      </w:r>
      <w:r w:rsidRPr="00440242">
        <w:t xml:space="preserve">, the </w:t>
      </w:r>
      <w:r w:rsidR="00AE67E7">
        <w:t>FI</w:t>
      </w:r>
      <w:r w:rsidRPr="00440242" w:rsidR="00AE67E7">
        <w:t xml:space="preserve"> </w:t>
      </w:r>
      <w:r w:rsidRPr="00440242">
        <w:t xml:space="preserve">will seek to locate the </w:t>
      </w:r>
      <w:r w:rsidR="007367F8">
        <w:t>patient</w:t>
      </w:r>
      <w:r w:rsidRPr="00440242">
        <w:t xml:space="preserve"> and reestablish contact. Methods </w:t>
      </w:r>
      <w:r>
        <w:t xml:space="preserve">used </w:t>
      </w:r>
      <w:r w:rsidRPr="00440242">
        <w:t xml:space="preserve">to locate subjects include reaching out to alternative contacts (e.g., parent, friend) obtained during enrollment; and checking local data sources (e.g., newspapers, court dockets). The </w:t>
      </w:r>
      <w:r w:rsidR="007367F8">
        <w:t>patient</w:t>
      </w:r>
      <w:r w:rsidRPr="00440242">
        <w:t xml:space="preserve"> will also be referred to </w:t>
      </w:r>
      <w:r w:rsidR="003D243F">
        <w:t>a</w:t>
      </w:r>
      <w:r w:rsidRPr="00440242" w:rsidR="003D243F">
        <w:t xml:space="preserve"> </w:t>
      </w:r>
      <w:r w:rsidRPr="00440242">
        <w:t xml:space="preserve">Tracing Unit, which conducts online searches (e.g., </w:t>
      </w:r>
      <w:r w:rsidRPr="00440242" w:rsidR="0031398F">
        <w:t>U</w:t>
      </w:r>
      <w:r w:rsidR="0031398F">
        <w:t>.S. Postal Service</w:t>
      </w:r>
      <w:r w:rsidRPr="00440242" w:rsidR="0031398F">
        <w:t xml:space="preserve"> </w:t>
      </w:r>
      <w:r w:rsidRPr="00440242">
        <w:t xml:space="preserve">change-of-address records, </w:t>
      </w:r>
      <w:r w:rsidR="0031398F">
        <w:t>Department of Motor Vehicles</w:t>
      </w:r>
      <w:r w:rsidRPr="00440242" w:rsidR="0031398F">
        <w:t xml:space="preserve"> </w:t>
      </w:r>
      <w:r w:rsidRPr="00440242">
        <w:t>records, credit reports). Tracking and tracing efforts have succeeded in retaining up to 10</w:t>
      </w:r>
      <w:r w:rsidR="0031398F">
        <w:t>%</w:t>
      </w:r>
      <w:r w:rsidRPr="00440242">
        <w:t xml:space="preserve"> of</w:t>
      </w:r>
      <w:r>
        <w:t xml:space="preserve"> subjects lost to follow-up</w:t>
      </w:r>
      <w:r w:rsidRPr="00440242">
        <w:t xml:space="preserve"> </w:t>
      </w:r>
      <w:r>
        <w:t>i</w:t>
      </w:r>
      <w:r w:rsidRPr="00440242">
        <w:t>n other similar studies.</w:t>
      </w:r>
    </w:p>
    <w:p w:rsidR="009D33E3" w:rsidP="00B864FD" w:rsidRDefault="00B864FD" w14:paraId="66338BCA" w14:textId="368B0255">
      <w:pPr>
        <w:pStyle w:val="Heading3"/>
      </w:pPr>
      <w:bookmarkStart w:name="_Toc46304235" w:id="26"/>
      <w:r>
        <w:t>B.3.2</w:t>
      </w:r>
      <w:r>
        <w:tab/>
      </w:r>
      <w:r w:rsidR="00F4278B">
        <w:t>Nonparticipation</w:t>
      </w:r>
      <w:bookmarkEnd w:id="26"/>
    </w:p>
    <w:p w:rsidR="009D33E3" w:rsidP="003A68ED" w:rsidRDefault="00B2468F" w14:paraId="279BCFC0" w14:textId="1390A93C">
      <w:pPr>
        <w:pStyle w:val="BodyText1"/>
      </w:pPr>
      <w:r>
        <w:t xml:space="preserve">The </w:t>
      </w:r>
      <w:r w:rsidR="00672146">
        <w:t xml:space="preserve">project team has been able to successfully recruit and retain </w:t>
      </w:r>
      <w:r w:rsidR="00CF2233">
        <w:t>sites</w:t>
      </w:r>
      <w:r w:rsidR="00DF683D">
        <w:t xml:space="preserve"> and patients, however due to nonparticipation it </w:t>
      </w:r>
      <w:r w:rsidR="00C52EC6">
        <w:t xml:space="preserve">has been necessary to make adjustments to the timeline, </w:t>
      </w:r>
      <w:r w:rsidR="00C52EC6">
        <w:lastRenderedPageBreak/>
        <w:t>inclusion criteria, statistical power calculations</w:t>
      </w:r>
      <w:r w:rsidR="008E6EB0">
        <w:t xml:space="preserve">, and follow-up schedule. </w:t>
      </w:r>
      <w:r w:rsidR="008D4E9B">
        <w:t xml:space="preserve">Two </w:t>
      </w:r>
      <w:r w:rsidR="00C533F4">
        <w:t>non-substantial change requests were submitted and approved to increase the</w:t>
      </w:r>
      <w:r w:rsidR="001568BD">
        <w:t xml:space="preserve"> number of MSAs included in the study from 11 to 14.</w:t>
      </w:r>
      <w:r w:rsidR="00C533F4">
        <w:t xml:space="preserve"> </w:t>
      </w:r>
      <w:r w:rsidR="003A2CB4">
        <w:t xml:space="preserve">The additional </w:t>
      </w:r>
      <w:r w:rsidR="00861844">
        <w:t xml:space="preserve">MSAs directly resulted in the addition of </w:t>
      </w:r>
      <w:r w:rsidR="00C37E97">
        <w:t xml:space="preserve">13 new treatment sites and the recruitment of </w:t>
      </w:r>
      <w:r w:rsidR="000C7D25">
        <w:t xml:space="preserve">667 additional patients. </w:t>
      </w:r>
      <w:r w:rsidR="007A0E71">
        <w:t xml:space="preserve">More information on these change requests </w:t>
      </w:r>
      <w:r w:rsidR="00402B53">
        <w:t xml:space="preserve">can be found in section </w:t>
      </w:r>
      <w:r w:rsidR="00EB2236">
        <w:t>A.</w:t>
      </w:r>
      <w:r w:rsidR="00D54038">
        <w:t>15 of the SSA.</w:t>
      </w:r>
      <w:r w:rsidR="00C533F4">
        <w:t xml:space="preserve"> </w:t>
      </w:r>
      <w:r w:rsidR="00AE15A5">
        <w:t>As a result of t</w:t>
      </w:r>
      <w:r w:rsidR="00705318">
        <w:t xml:space="preserve">hese </w:t>
      </w:r>
      <w:r w:rsidR="00214E37">
        <w:t>adjustments</w:t>
      </w:r>
      <w:r w:rsidR="00AE15A5">
        <w:t xml:space="preserve">, we recruited </w:t>
      </w:r>
      <w:r w:rsidR="00582F64">
        <w:t>1,210 patients into the MM</w:t>
      </w:r>
      <w:r w:rsidR="001A2B65">
        <w:t>T</w:t>
      </w:r>
      <w:r w:rsidR="00582F64">
        <w:t xml:space="preserve"> treatment group and </w:t>
      </w:r>
      <w:r w:rsidR="001A2B65">
        <w:t>632 patients into the BUP treatment group</w:t>
      </w:r>
      <w:r w:rsidR="0077368F">
        <w:t xml:space="preserve">, both of which are above the </w:t>
      </w:r>
      <w:r w:rsidR="005C1AEB">
        <w:t xml:space="preserve">594 target that we identified as </w:t>
      </w:r>
      <w:r w:rsidR="00D83866">
        <w:t xml:space="preserve">sufficient for a 10% detectable difference </w:t>
      </w:r>
      <w:r w:rsidR="00C14F09">
        <w:t>with at least 90% power</w:t>
      </w:r>
      <w:r w:rsidR="001A2B65">
        <w:t>.</w:t>
      </w:r>
      <w:r w:rsidR="00214E37">
        <w:t xml:space="preserve"> </w:t>
      </w:r>
      <w:r w:rsidR="00EF7CB9">
        <w:t xml:space="preserve">This target relies on </w:t>
      </w:r>
      <w:r w:rsidR="00713F77">
        <w:t xml:space="preserve">retaining </w:t>
      </w:r>
      <w:r w:rsidR="00EF7CB9">
        <w:t xml:space="preserve">no </w:t>
      </w:r>
      <w:r w:rsidR="00713F77">
        <w:t xml:space="preserve">less </w:t>
      </w:r>
      <w:r w:rsidR="00EF7CB9">
        <w:t xml:space="preserve">than 50% </w:t>
      </w:r>
      <w:r w:rsidR="00713F77">
        <w:t>of our patients</w:t>
      </w:r>
      <w:r w:rsidR="007E3A16">
        <w:t xml:space="preserve"> through the </w:t>
      </w:r>
      <w:r w:rsidR="002C3D5D">
        <w:t>18-month follow-up period, which is currently being exc</w:t>
      </w:r>
      <w:r w:rsidR="00D565F0">
        <w:t xml:space="preserve">eeded (61.6% of patients enrolled before January 2019 have completed their </w:t>
      </w:r>
      <w:r w:rsidR="00820992">
        <w:t xml:space="preserve">18-Month Patient Questionnaire).  </w:t>
      </w:r>
      <w:r w:rsidR="00C14F09">
        <w:t xml:space="preserve">However, </w:t>
      </w:r>
      <w:r w:rsidR="00F83AFF">
        <w:t xml:space="preserve">as </w:t>
      </w:r>
      <w:r w:rsidR="00744480">
        <w:t>discussed</w:t>
      </w:r>
      <w:r w:rsidR="00F83AFF">
        <w:t xml:space="preserve"> above in section B.1.2, </w:t>
      </w:r>
      <w:r w:rsidR="00250653">
        <w:t>two of the</w:t>
      </w:r>
      <w:r w:rsidR="00F83AFF">
        <w:t xml:space="preserve"> treatment groups </w:t>
      </w:r>
      <w:r w:rsidR="005C5322">
        <w:t xml:space="preserve">(NTX and COUN) </w:t>
      </w:r>
      <w:r w:rsidR="00F83AFF">
        <w:t xml:space="preserve">failed to </w:t>
      </w:r>
      <w:r w:rsidR="00164EDB">
        <w:t>reach the recruitment target</w:t>
      </w:r>
      <w:r w:rsidR="00F409B0">
        <w:t xml:space="preserve"> of 594 patients</w:t>
      </w:r>
      <w:r w:rsidR="00164EDB">
        <w:t>.  We consider this a valuable finding</w:t>
      </w:r>
      <w:r w:rsidR="00744480">
        <w:t>, as it</w:t>
      </w:r>
      <w:r w:rsidR="0047098F">
        <w:t xml:space="preserve"> </w:t>
      </w:r>
      <w:r w:rsidR="00B30426">
        <w:t xml:space="preserve">provides insight into </w:t>
      </w:r>
      <w:r w:rsidR="0047098F">
        <w:t xml:space="preserve">the </w:t>
      </w:r>
      <w:r w:rsidR="007A5C67">
        <w:t xml:space="preserve">choices being made by patients and clinicians when selecting </w:t>
      </w:r>
      <w:r w:rsidR="00321AC9">
        <w:t>between treatment options for opioid use disorder</w:t>
      </w:r>
      <w:r w:rsidR="004672FD">
        <w:t xml:space="preserve">.  Each treatment option offers </w:t>
      </w:r>
      <w:r w:rsidR="009337FD">
        <w:t>unique benefits, risks</w:t>
      </w:r>
      <w:r w:rsidR="00BD1D9A">
        <w:t xml:space="preserve">, and other factors, and we believe the findings of this study will provide insight into the </w:t>
      </w:r>
      <w:r w:rsidR="008B4FA1">
        <w:t>reasons for these disparities in recruitment</w:t>
      </w:r>
      <w:r w:rsidR="00F409B0">
        <w:t>.</w:t>
      </w:r>
      <w:r w:rsidR="00250653">
        <w:t xml:space="preserve"> </w:t>
      </w:r>
      <w:r w:rsidR="009D33E3">
        <w:t xml:space="preserve">For </w:t>
      </w:r>
      <w:r w:rsidR="00F4278B">
        <w:t>study participants</w:t>
      </w:r>
      <w:r w:rsidR="009D33E3">
        <w:t xml:space="preserve">, nonresponse will first be limited by the various </w:t>
      </w:r>
      <w:r w:rsidR="007367F8">
        <w:t>patient</w:t>
      </w:r>
      <w:r w:rsidR="009D33E3">
        <w:t xml:space="preserve"> retention strategies discussed </w:t>
      </w:r>
      <w:r w:rsidR="00F455AE">
        <w:t xml:space="preserve">in </w:t>
      </w:r>
      <w:r w:rsidRPr="00CF72D5" w:rsidR="00F455AE">
        <w:rPr>
          <w:i/>
        </w:rPr>
        <w:t>Section B.3.1</w:t>
      </w:r>
      <w:r w:rsidR="009D33E3">
        <w:t xml:space="preserve">. </w:t>
      </w:r>
      <w:r w:rsidR="003A68ED">
        <w:t xml:space="preserve">Negative effects linked to nonresponse will be examined through information collected in the Patient Screen former; if found, such characteristics will be included in the analytic models to mitigate any such biasing factors. In addition to unit nonresponse, imputation is another tool examined to address item nonresponse.  </w:t>
      </w:r>
      <w:r w:rsidRPr="00DA30DE" w:rsidR="009D33E3">
        <w:t>The RTI team will incorporate models for non</w:t>
      </w:r>
      <w:r w:rsidR="00D37AC9">
        <w:t>-random</w:t>
      </w:r>
      <w:r w:rsidRPr="00DA30DE" w:rsidR="009D33E3">
        <w:t xml:space="preserve"> missingness</w:t>
      </w:r>
      <w:r w:rsidR="009D33E3">
        <w:t xml:space="preserve"> </w:t>
      </w:r>
      <w:r w:rsidRPr="00DA30DE" w:rsidR="009D33E3">
        <w:t xml:space="preserve">into </w:t>
      </w:r>
      <w:r w:rsidR="009D33E3">
        <w:t>quantitative</w:t>
      </w:r>
      <w:r w:rsidRPr="00DA30DE" w:rsidR="009D33E3">
        <w:t xml:space="preserve"> analyses to assess sensitivity to different assumptions about missing data.</w:t>
      </w:r>
      <w:r w:rsidR="009D33E3">
        <w:t xml:space="preserve"> </w:t>
      </w:r>
      <w:r w:rsidR="007C41F8">
        <w:t>N</w:t>
      </w:r>
      <w:r w:rsidRPr="00DA30DE" w:rsidR="009D33E3">
        <w:t>on</w:t>
      </w:r>
      <w:r w:rsidR="00B35B2E">
        <w:t>-</w:t>
      </w:r>
      <w:r w:rsidRPr="00DA30DE" w:rsidR="009D33E3">
        <w:t>ignorable</w:t>
      </w:r>
      <w:r w:rsidR="008146EC">
        <w:t xml:space="preserve"> </w:t>
      </w:r>
      <w:r w:rsidRPr="00DA30DE" w:rsidR="009D33E3">
        <w:t>missing</w:t>
      </w:r>
      <w:r w:rsidR="009D33E3">
        <w:t xml:space="preserve"> at</w:t>
      </w:r>
      <w:r w:rsidR="008D70F9">
        <w:t xml:space="preserve"> </w:t>
      </w:r>
      <w:r w:rsidR="009D33E3">
        <w:t>random</w:t>
      </w:r>
      <w:r w:rsidRPr="00FA77B5" w:rsidR="009D33E3">
        <w:t xml:space="preserve"> methods generally fall under two </w:t>
      </w:r>
      <w:r w:rsidR="00106297">
        <w:t>categories</w:t>
      </w:r>
      <w:r w:rsidRPr="00FA77B5" w:rsidR="009D33E3">
        <w:t xml:space="preserve">: selection models (e.g., Heckman, </w:t>
      </w:r>
      <w:r w:rsidRPr="00FA77B5" w:rsidR="002750B6">
        <w:t>197</w:t>
      </w:r>
      <w:r w:rsidR="002750B6">
        <w:t>9</w:t>
      </w:r>
      <w:r w:rsidRPr="00FA77B5" w:rsidR="009D33E3">
        <w:t>) and pattern mixture m</w:t>
      </w:r>
      <w:r w:rsidR="00C95609">
        <w:t>odels (</w:t>
      </w:r>
      <w:proofErr w:type="spellStart"/>
      <w:r w:rsidR="00C95609">
        <w:t>Hedeker</w:t>
      </w:r>
      <w:proofErr w:type="spellEnd"/>
      <w:r w:rsidR="00C95609">
        <w:t xml:space="preserve"> &amp; Gibbons, 1997)</w:t>
      </w:r>
      <w:r w:rsidR="008D70F9">
        <w:t>,</w:t>
      </w:r>
      <w:r w:rsidR="00C95609">
        <w:t xml:space="preserve"> and both will be incorporated as appropriate during data analysis.</w:t>
      </w:r>
      <w:r w:rsidRPr="00FA77B5" w:rsidR="009D33E3">
        <w:t xml:space="preserve"> </w:t>
      </w:r>
    </w:p>
    <w:p w:rsidRPr="00CF72D5" w:rsidR="002D20C1" w:rsidP="00CF72D5" w:rsidRDefault="002D20C1" w14:paraId="06BE1A7E" w14:textId="670A1C04">
      <w:pPr>
        <w:pStyle w:val="Heading3"/>
      </w:pPr>
      <w:bookmarkStart w:name="_Toc46304236" w:id="27"/>
      <w:bookmarkStart w:name="_Toc275433780" w:id="28"/>
      <w:r w:rsidRPr="00CF72D5">
        <w:t>B.3.3 Analysis</w:t>
      </w:r>
      <w:bookmarkEnd w:id="27"/>
      <w:r w:rsidRPr="00CF72D5">
        <w:t xml:space="preserve"> </w:t>
      </w:r>
    </w:p>
    <w:p w:rsidRPr="002D20C1" w:rsidR="002D20C1" w:rsidP="00CF72D5" w:rsidRDefault="002D20C1" w14:paraId="4A1337FE" w14:textId="77777777"/>
    <w:p w:rsidRPr="00CF72D5" w:rsidR="002D20C1" w:rsidP="00665CF8" w:rsidRDefault="002D20C1" w14:paraId="460AF7AA" w14:textId="77777777">
      <w:pPr>
        <w:pStyle w:val="Heading4"/>
        <w:spacing w:after="120"/>
        <w:ind w:left="-86"/>
        <w:rPr>
          <w:rFonts w:ascii="Times New Roman" w:hAnsi="Times New Roman" w:cs="Times New Roman"/>
          <w:b w:val="0"/>
          <w:i/>
          <w:sz w:val="24"/>
          <w:szCs w:val="24"/>
        </w:rPr>
      </w:pPr>
      <w:r w:rsidRPr="00CF72D5">
        <w:rPr>
          <w:rFonts w:ascii="Times New Roman" w:hAnsi="Times New Roman" w:cs="Times New Roman"/>
          <w:b w:val="0"/>
          <w:i/>
          <w:sz w:val="24"/>
          <w:szCs w:val="24"/>
        </w:rPr>
        <w:t xml:space="preserve">Descriptive Statistics                                                                          </w:t>
      </w:r>
    </w:p>
    <w:p w:rsidRPr="009B1505" w:rsidR="002D20C1" w:rsidP="002D20C1" w:rsidRDefault="002D20C1" w14:paraId="2DCC0ED3" w14:textId="60569068">
      <w:pPr>
        <w:pStyle w:val="BodyText1"/>
        <w:rPr>
          <w:b/>
          <w:i/>
        </w:rPr>
      </w:pPr>
      <w:r w:rsidRPr="009B1505">
        <w:t>Our analyses will begin by examining descriptive statistics for key variables. Specifically, descriptive statistics will include frequencies (e.g., sample sizes)</w:t>
      </w:r>
      <w:r>
        <w:t>,</w:t>
      </w:r>
      <w:r w:rsidRPr="009B1505">
        <w:t xml:space="preserve"> measures of dispersion (e.g., standard deviation) and central tendency (e.g., mean, proportion), </w:t>
      </w:r>
      <w:r>
        <w:t xml:space="preserve">and an </w:t>
      </w:r>
      <w:r w:rsidRPr="009B1505">
        <w:lastRenderedPageBreak/>
        <w:t xml:space="preserve">assessment of </w:t>
      </w:r>
      <w:r w:rsidR="003E2E19">
        <w:t xml:space="preserve">the </w:t>
      </w:r>
      <w:r w:rsidRPr="009B1505">
        <w:t xml:space="preserve">variation </w:t>
      </w:r>
      <w:r w:rsidR="003E2E19">
        <w:t>within and among</w:t>
      </w:r>
      <w:r w:rsidRPr="009B1505" w:rsidR="003E2E19">
        <w:t xml:space="preserve"> </w:t>
      </w:r>
      <w:r w:rsidRPr="009B1505">
        <w:t xml:space="preserve">the </w:t>
      </w:r>
      <w:r>
        <w:t>treatment facilit</w:t>
      </w:r>
      <w:r w:rsidR="003E2E19">
        <w:t xml:space="preserve">ies </w:t>
      </w:r>
      <w:r w:rsidRPr="009B1505">
        <w:t>(</w:t>
      </w:r>
      <w:r>
        <w:t xml:space="preserve">e.g., </w:t>
      </w:r>
      <w:r w:rsidRPr="009B1505">
        <w:t xml:space="preserve">intraclass correlations). Key variables will include </w:t>
      </w:r>
      <w:r w:rsidR="007367F8">
        <w:t>patient</w:t>
      </w:r>
      <w:r w:rsidRPr="009B1505">
        <w:t>s</w:t>
      </w:r>
      <w:r w:rsidRPr="0041000F">
        <w:t>’</w:t>
      </w:r>
      <w:r w:rsidRPr="009B1505">
        <w:t xml:space="preserve"> social, economic, clinical, and demographic characteristics and </w:t>
      </w:r>
      <w:r>
        <w:t>treatment facility’s</w:t>
      </w:r>
      <w:r w:rsidRPr="009B1505">
        <w:t xml:space="preserve"> operational structure, service focus, and approach to care. </w:t>
      </w:r>
    </w:p>
    <w:p w:rsidRPr="00CF72D5" w:rsidR="002D20C1" w:rsidP="00665CF8" w:rsidRDefault="000137AA" w14:paraId="086174DF" w14:textId="2953E745">
      <w:pPr>
        <w:pStyle w:val="Heading4"/>
        <w:spacing w:after="120"/>
        <w:ind w:left="-86"/>
        <w:rPr>
          <w:rFonts w:ascii="Times New Roman" w:hAnsi="Times New Roman" w:cs="Times New Roman"/>
          <w:b w:val="0"/>
          <w:i/>
        </w:rPr>
      </w:pPr>
      <w:r>
        <w:rPr>
          <w:rFonts w:ascii="Times New Roman" w:hAnsi="Times New Roman" w:cs="Times New Roman"/>
          <w:b w:val="0"/>
          <w:i/>
        </w:rPr>
        <w:t xml:space="preserve">Multilevel </w:t>
      </w:r>
      <w:r w:rsidRPr="00CF72D5" w:rsidR="002D20C1">
        <w:rPr>
          <w:rFonts w:ascii="Times New Roman" w:hAnsi="Times New Roman" w:cs="Times New Roman"/>
          <w:b w:val="0"/>
          <w:i/>
        </w:rPr>
        <w:t>Analysis</w:t>
      </w:r>
    </w:p>
    <w:p w:rsidR="008C5BD6" w:rsidP="008C5BD6" w:rsidRDefault="002D20C1" w14:paraId="56CE7636" w14:textId="2149E367">
      <w:pPr>
        <w:pStyle w:val="BodyText1"/>
      </w:pPr>
      <w:r w:rsidRPr="009B1505">
        <w:t xml:space="preserve">We propose to estimate a variety of advanced statistical models for the population at large and for relevant subpopulations that consider key health, quality of life, and socioeconomic outcomes and that control for a rich set of </w:t>
      </w:r>
      <w:r w:rsidR="007367F8">
        <w:t>patient</w:t>
      </w:r>
      <w:r>
        <w:t>-</w:t>
      </w:r>
      <w:r w:rsidRPr="009B1505">
        <w:t xml:space="preserve"> and </w:t>
      </w:r>
      <w:r>
        <w:t>treatment facility</w:t>
      </w:r>
      <w:r w:rsidRPr="009B1505">
        <w:t xml:space="preserve">-level covariates. This </w:t>
      </w:r>
      <w:r>
        <w:t>study</w:t>
      </w:r>
      <w:r w:rsidRPr="009B1505">
        <w:t xml:space="preserve"> will be conducted in real-world settings and will rely on longitudinal primary data sources. Therefore, our approach can result in a </w:t>
      </w:r>
      <w:r w:rsidRPr="00665CF8">
        <w:rPr>
          <w:i/>
        </w:rPr>
        <w:t>more</w:t>
      </w:r>
      <w:r w:rsidRPr="009B1505">
        <w:t xml:space="preserve"> comprehensive, </w:t>
      </w:r>
      <w:r w:rsidRPr="00BB32AE">
        <w:t>generalizable, and representative</w:t>
      </w:r>
      <w:r w:rsidRPr="009B1505">
        <w:t xml:space="preserve"> analysis and can </w:t>
      </w:r>
      <w:r>
        <w:t xml:space="preserve">therefore </w:t>
      </w:r>
      <w:r w:rsidRPr="009B1505">
        <w:t xml:space="preserve">be more relevant to the health care decisions of policymakers, </w:t>
      </w:r>
      <w:r>
        <w:t>treatment facilities</w:t>
      </w:r>
      <w:r w:rsidRPr="009B1505">
        <w:t xml:space="preserve">, and </w:t>
      </w:r>
      <w:r w:rsidR="007367F8">
        <w:t>patient</w:t>
      </w:r>
      <w:r w:rsidRPr="009B1505">
        <w:t>s. The observational nature of our research design and the multilevel structure of our longitudinal data sources also presents challenges that will require statistical tools to ensure appropriate estimation and inference.</w:t>
      </w:r>
    </w:p>
    <w:p w:rsidR="002D20C1" w:rsidP="002D20C1" w:rsidRDefault="002D20C1" w14:paraId="6490FD32" w14:textId="731E312F">
      <w:pPr>
        <w:pStyle w:val="BodyText1"/>
      </w:pPr>
      <w:r w:rsidRPr="009B1505">
        <w:t xml:space="preserve">The primary quantitative analysis methods will focus </w:t>
      </w:r>
      <w:r>
        <w:t xml:space="preserve">on </w:t>
      </w:r>
      <w:r w:rsidRPr="009B1505">
        <w:t>multilevel latent growth models</w:t>
      </w:r>
      <w:r>
        <w:t>,</w:t>
      </w:r>
      <w:r w:rsidRPr="009B1505">
        <w:t xml:space="preserve"> which will incorporate the longitudinal data collected by the </w:t>
      </w:r>
      <w:r w:rsidR="007367F8">
        <w:t>Patient</w:t>
      </w:r>
      <w:r w:rsidR="00CF72D5">
        <w:t xml:space="preserve"> Check-In and </w:t>
      </w:r>
      <w:r w:rsidR="007367F8">
        <w:t>Patient</w:t>
      </w:r>
      <w:r w:rsidRPr="009B1505">
        <w:t xml:space="preserve"> </w:t>
      </w:r>
      <w:r>
        <w:t>Q</w:t>
      </w:r>
      <w:r w:rsidRPr="009B1505">
        <w:t xml:space="preserve">uestionnaires. This approach will allow for repeated </w:t>
      </w:r>
      <w:r w:rsidR="007367F8">
        <w:t>patient</w:t>
      </w:r>
      <w:r w:rsidRPr="009B1505">
        <w:t xml:space="preserve"> measures to be linked from baseline, </w:t>
      </w:r>
      <w:r w:rsidR="00CF72D5">
        <w:t xml:space="preserve">3, 6, </w:t>
      </w:r>
      <w:r w:rsidRPr="009B1505">
        <w:t>12 months</w:t>
      </w:r>
      <w:r>
        <w:t>,</w:t>
      </w:r>
      <w:r w:rsidRPr="009B1505">
        <w:t xml:space="preserve"> and </w:t>
      </w:r>
      <w:r w:rsidR="00CA2CC5">
        <w:t>18-</w:t>
      </w:r>
      <w:r w:rsidRPr="009B1505" w:rsidR="00CA2CC5">
        <w:t xml:space="preserve"> </w:t>
      </w:r>
      <w:r w:rsidRPr="009B1505">
        <w:t xml:space="preserve">months in a model that also accounts for hierarchal data structure (e.g., </w:t>
      </w:r>
      <w:r w:rsidR="007367F8">
        <w:t>patient</w:t>
      </w:r>
      <w:r w:rsidRPr="009B1505">
        <w:t xml:space="preserve">, treatment, site, </w:t>
      </w:r>
      <w:r w:rsidRPr="00DA6C70" w:rsidR="00CA3E4A">
        <w:t>study area</w:t>
      </w:r>
      <w:r w:rsidRPr="009B1505">
        <w:t xml:space="preserve">). </w:t>
      </w:r>
      <w:r w:rsidR="00CF72D5">
        <w:t xml:space="preserve">This </w:t>
      </w:r>
      <w:r w:rsidRPr="009B1505">
        <w:t xml:space="preserve">longitudinal data will be used in the model by adding a regression parameter for each </w:t>
      </w:r>
      <w:r w:rsidR="007367F8">
        <w:t>patient</w:t>
      </w:r>
      <w:r w:rsidRPr="009B1505">
        <w:t xml:space="preserve"> </w:t>
      </w:r>
      <w:r>
        <w:t>that</w:t>
      </w:r>
      <w:r w:rsidRPr="009B1505">
        <w:t xml:space="preserve"> captures the relation</w:t>
      </w:r>
      <w:r>
        <w:t>ship</w:t>
      </w:r>
      <w:r w:rsidRPr="009B1505">
        <w:t xml:space="preserve"> between the risk factor (e.g., depression) and the outcome for that </w:t>
      </w:r>
      <w:r w:rsidR="007367F8">
        <w:t>patient</w:t>
      </w:r>
      <w:r w:rsidRPr="009B1505">
        <w:t>.</w:t>
      </w:r>
    </w:p>
    <w:p w:rsidR="002D20C1" w:rsidP="002D20C1" w:rsidRDefault="002D20C1" w14:paraId="294E4EB7" w14:textId="4989BBE6">
      <w:pPr>
        <w:pStyle w:val="BodyText1"/>
      </w:pPr>
      <w:r w:rsidRPr="009244E8">
        <w:t xml:space="preserve">Our aim is understanding which type of </w:t>
      </w:r>
      <w:r w:rsidR="007367F8">
        <w:t>patient</w:t>
      </w:r>
      <w:r w:rsidRPr="009244E8">
        <w:t xml:space="preserve">s do better in which type of treatment, and which treatment program characteristics matter for </w:t>
      </w:r>
      <w:r w:rsidR="007367F8">
        <w:t>patient</w:t>
      </w:r>
      <w:r w:rsidRPr="009244E8">
        <w:t xml:space="preserve"> success. </w:t>
      </w:r>
      <w:r w:rsidR="00B775F7">
        <w:t>To that end, we will estimate regression models that account for the different treatment types</w:t>
      </w:r>
      <w:r w:rsidRPr="009244E8" w:rsidDel="00B775F7" w:rsidR="00B775F7">
        <w:t xml:space="preserve"> </w:t>
      </w:r>
      <w:r w:rsidRPr="009244E8">
        <w:t xml:space="preserve">(MMT </w:t>
      </w:r>
      <w:r w:rsidR="00FA6E62">
        <w:t xml:space="preserve">and </w:t>
      </w:r>
      <w:r w:rsidRPr="009244E8">
        <w:t xml:space="preserve">BUP). The dependent variables of interest will include relevant outcomes such as opioid </w:t>
      </w:r>
      <w:r w:rsidR="00411AB2">
        <w:t xml:space="preserve">misuse and </w:t>
      </w:r>
      <w:r w:rsidRPr="009244E8">
        <w:t xml:space="preserve">abuse, overdose, and mortality, among others. The independent variables will include relevant </w:t>
      </w:r>
      <w:r w:rsidR="007367F8">
        <w:t>patient</w:t>
      </w:r>
      <w:r w:rsidRPr="009244E8">
        <w:t xml:space="preserve"> and program characteristics that could matter for </w:t>
      </w:r>
      <w:r w:rsidR="007367F8">
        <w:t>patient</w:t>
      </w:r>
      <w:r w:rsidRPr="009244E8">
        <w:t xml:space="preserve"> success.</w:t>
      </w:r>
    </w:p>
    <w:p w:rsidRPr="009244E8" w:rsidR="002D20C1" w:rsidP="002D20C1" w:rsidRDefault="002D20C1" w14:paraId="3C2E9D5E" w14:textId="3212C991">
      <w:pPr>
        <w:pStyle w:val="BodyText1"/>
      </w:pPr>
      <w:r w:rsidRPr="009244E8">
        <w:t xml:space="preserve">Several quantitative methods will be implemented to help address the challenges raised by conducting an observational study, including </w:t>
      </w:r>
      <w:r w:rsidRPr="009244E8" w:rsidR="003E2E19">
        <w:t>propensity</w:t>
      </w:r>
      <w:r w:rsidR="003E2E19">
        <w:t>-</w:t>
      </w:r>
      <w:r w:rsidRPr="009244E8">
        <w:t xml:space="preserve">score matching, and advanced mediation analysis. Propensity scoring approaches may be used to estimate the probability of being captured in our study and to align our sample with the population seeking OUD treatment </w:t>
      </w:r>
      <w:r w:rsidRPr="009244E8">
        <w:lastRenderedPageBreak/>
        <w:t xml:space="preserve">using known characteristics. These scores can then be used to weight outcome analyses to produce estimates with the intended goal of improving their statistical properties (e.g., lower bias), given the study design (Harder, Stuart, &amp; Anthony, 2010; McCaffrey, Ridgeway, &amp; </w:t>
      </w:r>
      <w:proofErr w:type="spellStart"/>
      <w:r w:rsidRPr="009244E8">
        <w:t>Morral</w:t>
      </w:r>
      <w:proofErr w:type="spellEnd"/>
      <w:r w:rsidRPr="009244E8">
        <w:t xml:space="preserve">, 2004; Rosenbaum &amp; Rubin, 1983; </w:t>
      </w:r>
      <w:proofErr w:type="spellStart"/>
      <w:r w:rsidRPr="009244E8">
        <w:t>Shadish</w:t>
      </w:r>
      <w:proofErr w:type="spellEnd"/>
      <w:r w:rsidRPr="009244E8">
        <w:t>, 2010). Where appropriate, we will compare the study estimates with external data sources to assess the effectiveness of this procedure.</w:t>
      </w:r>
    </w:p>
    <w:p w:rsidRPr="009B1505" w:rsidR="002D20C1" w:rsidP="002D20C1" w:rsidRDefault="002D20C1" w14:paraId="635805A6" w14:textId="77777777">
      <w:pPr>
        <w:pStyle w:val="BodyText1"/>
      </w:pPr>
      <w:r w:rsidRPr="0039785A">
        <w:rPr>
          <w:snapToGrid w:val="0"/>
          <w:szCs w:val="24"/>
        </w:rPr>
        <w:t>Advanced mediation analysis will support the assessment of indirect linkages between treatment and the outcome variables. OUD outcomes will be modeled as growth processes, with random intercepts and slopes over time for both the mediator and outcomes under the longitudinal mediation framework of Cheong, MacKinnon, and Khoo (2003).</w:t>
      </w:r>
    </w:p>
    <w:p w:rsidR="005A4B29" w:rsidP="005A4B29" w:rsidRDefault="005A4B29" w14:paraId="6BD1F467" w14:textId="27467739">
      <w:pPr>
        <w:pStyle w:val="Heading2"/>
      </w:pPr>
      <w:bookmarkStart w:name="_Toc46304237" w:id="29"/>
      <w:bookmarkStart w:name="_Toc8007728" w:id="30"/>
      <w:bookmarkStart w:name="_Toc88033505" w:id="31"/>
      <w:bookmarkStart w:name="_Toc457852721" w:id="32"/>
      <w:bookmarkEnd w:id="28"/>
      <w:r>
        <w:t>B.4</w:t>
      </w:r>
      <w:r>
        <w:tab/>
        <w:t>Justification for Target Sample Sizes</w:t>
      </w:r>
      <w:bookmarkEnd w:id="29"/>
    </w:p>
    <w:p w:rsidR="009A7920" w:rsidP="009A7920" w:rsidRDefault="005A4B29" w14:paraId="24012B69" w14:textId="77777777">
      <w:pPr>
        <w:pStyle w:val="BodyText1"/>
      </w:pPr>
      <w:r>
        <w:t xml:space="preserve">   </w:t>
      </w:r>
      <w:r w:rsidR="009A7920">
        <w:t xml:space="preserve">The goal of the study is to conduct an epidemiologic, mixed-methods evaluation of MAT in real-world outpatient settings, incorporating characteristics for the area and site along with patient-level covariates. The study is not designed to conduct site-level comparisons nor comparisons across areas. </w:t>
      </w:r>
    </w:p>
    <w:p w:rsidR="009A7920" w:rsidP="009A7920" w:rsidRDefault="009A7920" w14:paraId="5BEB276C" w14:textId="7C2062A2">
      <w:pPr>
        <w:pStyle w:val="BodyText1"/>
      </w:pPr>
      <w:r>
        <w:t xml:space="preserve">A conservative approach was </w:t>
      </w:r>
      <w:r w:rsidR="00426189">
        <w:t xml:space="preserve">initially </w:t>
      </w:r>
      <w:r>
        <w:t xml:space="preserve">used for the power calculation to determine the number of patients needed to remain in the study at the end of the </w:t>
      </w:r>
      <w:r w:rsidR="00C9326D">
        <w:t>18-month</w:t>
      </w:r>
      <w:r>
        <w:t xml:space="preserve"> observation period. </w:t>
      </w:r>
      <w:r w:rsidR="00B14A65">
        <w:t xml:space="preserve">However, later in the study, the power calculations were revised to reflect </w:t>
      </w:r>
      <w:r w:rsidR="00277404">
        <w:t xml:space="preserve">the addition of more sites and to take a less conservative approach, </w:t>
      </w:r>
      <w:r w:rsidR="0093442F">
        <w:t>in response to lower than anticipated patient recruitment levels</w:t>
      </w:r>
      <w:r w:rsidR="00946DAE">
        <w:t xml:space="preserve"> (</w:t>
      </w:r>
      <w:proofErr w:type="spellStart"/>
      <w:r w:rsidR="00946DAE">
        <w:t>Att</w:t>
      </w:r>
      <w:proofErr w:type="spellEnd"/>
      <w:r w:rsidR="00946DAE">
        <w:t xml:space="preserve"> 9)</w:t>
      </w:r>
      <w:r w:rsidR="0093442F">
        <w:t xml:space="preserve">. </w:t>
      </w:r>
      <w:r w:rsidR="003D499B">
        <w:t>The</w:t>
      </w:r>
      <w:r w:rsidR="00B93B9C">
        <w:t>se</w:t>
      </w:r>
      <w:r w:rsidR="003D499B">
        <w:t xml:space="preserve"> </w:t>
      </w:r>
      <w:r w:rsidR="004B45F3">
        <w:t xml:space="preserve">changes to the </w:t>
      </w:r>
      <w:r w:rsidR="00B93B9C">
        <w:t xml:space="preserve">power calculation were based on </w:t>
      </w:r>
      <w:r w:rsidR="008A7757">
        <w:t xml:space="preserve">review of recent literature, and included the following changes: (1) </w:t>
      </w:r>
      <w:r w:rsidR="004B1B24">
        <w:t xml:space="preserve">Decrease of the client-level </w:t>
      </w:r>
      <w:proofErr w:type="spellStart"/>
      <w:r w:rsidR="00A6653A">
        <w:t>intracluster</w:t>
      </w:r>
      <w:proofErr w:type="spellEnd"/>
      <w:r w:rsidR="00A6653A">
        <w:t xml:space="preserve"> correlation</w:t>
      </w:r>
      <w:r w:rsidR="0075184D">
        <w:t xml:space="preserve"> coefficient</w:t>
      </w:r>
      <w:r w:rsidR="00A6653A">
        <w:t xml:space="preserve"> (ICC)</w:t>
      </w:r>
      <w:r w:rsidR="0075184D">
        <w:t xml:space="preserve"> from </w:t>
      </w:r>
      <w:r w:rsidR="00816276">
        <w:t>0.40 to 0.10</w:t>
      </w:r>
      <w:r w:rsidR="00F71E44">
        <w:t>;</w:t>
      </w:r>
      <w:r w:rsidR="00816276">
        <w:t xml:space="preserve"> (2) </w:t>
      </w:r>
      <w:r w:rsidR="00F71E44">
        <w:t>Added a model-based</w:t>
      </w:r>
      <w:r w:rsidR="00A6653A">
        <w:t xml:space="preserve"> </w:t>
      </w:r>
      <w:r w:rsidR="00F71E44">
        <w:t xml:space="preserve">component to </w:t>
      </w:r>
      <w:r w:rsidR="00237BBB">
        <w:t xml:space="preserve">the descriptive statistics approach used in the initial power calculation; and (3) </w:t>
      </w:r>
      <w:r w:rsidR="00172444">
        <w:t xml:space="preserve">Decrease of 0.10 </w:t>
      </w:r>
      <w:r w:rsidR="002B356F">
        <w:t xml:space="preserve">in the covariance </w:t>
      </w:r>
      <w:r w:rsidR="00A64BB4">
        <w:t xml:space="preserve">between to opioid abstinence rates to account for </w:t>
      </w:r>
      <w:r w:rsidR="005310D5">
        <w:t xml:space="preserve">sites that have multiple treatment </w:t>
      </w:r>
      <w:r w:rsidR="006B2C4D">
        <w:t xml:space="preserve">options available.  </w:t>
      </w:r>
      <w:r>
        <w:t xml:space="preserve">The study was established to detect a 10-percentage point difference in two-sided statistical tests to evaluate pairwise comparisons across the treatments; the tests were set at 0.05 significance and 90-percent power. The sensitivity of site-level </w:t>
      </w:r>
      <w:proofErr w:type="spellStart"/>
      <w:r>
        <w:t>intracluster</w:t>
      </w:r>
      <w:proofErr w:type="spellEnd"/>
      <w:r>
        <w:t xml:space="preserve"> correlations (ICC) was evaluated; ICC=0.01 was consistent with prior studies of a similar nature (see discussion in Section B.1.2). Though the treatments will not be directly compared</w:t>
      </w:r>
      <w:r w:rsidR="004404CF">
        <w:t xml:space="preserve"> to identify the “best” regimen</w:t>
      </w:r>
      <w:r>
        <w:t>, the sample size targets will ensure efficient estimates for each regimen.</w:t>
      </w:r>
      <w:r w:rsidR="00D43171">
        <w:t xml:space="preserve">  </w:t>
      </w:r>
      <w:r w:rsidR="00D43171">
        <w:lastRenderedPageBreak/>
        <w:t>After data collection is complete, we will examine patient characteristics and attempt to determine if the assumptions included in our power calculation assumptions were justified.</w:t>
      </w:r>
    </w:p>
    <w:p w:rsidR="005A4B29" w:rsidP="009A7920" w:rsidRDefault="009A7920" w14:paraId="709A11BF" w14:textId="43FA3B73">
      <w:pPr>
        <w:pStyle w:val="BodyText1"/>
      </w:pPr>
      <w:r>
        <w:t xml:space="preserve">We will examine descriptive statistics by subgroups such as gender, age, race/ethnicity, urban/rural, and insurance coverage; those subgroups with at least </w:t>
      </w:r>
      <w:r w:rsidR="009C0523">
        <w:t xml:space="preserve">300 </w:t>
      </w:r>
      <w:r>
        <w:t>participants are projected to have sufficient size to produce reliable estimates. Estimates with a percent coefficient of variation (CV, calculated as the square root of the estimated variance / estimated statistic) exceeding 30 percent will be labeled as unstable and interpreted with caution. In keeping with CDC guidelines, estimates with a CV at or above 50 percent are unreliable and will be suppressed from publication.</w:t>
      </w:r>
    </w:p>
    <w:p w:rsidR="009D33E3" w:rsidP="001A7DA7" w:rsidRDefault="009D33E3" w14:paraId="37F0C8F2" w14:textId="7E7F43C0">
      <w:pPr>
        <w:pStyle w:val="Heading2"/>
      </w:pPr>
      <w:bookmarkStart w:name="_Toc46304238" w:id="33"/>
      <w:r w:rsidRPr="005C43A1">
        <w:t>B.</w:t>
      </w:r>
      <w:r w:rsidR="005A4B29">
        <w:t>5</w:t>
      </w:r>
      <w:r w:rsidRPr="005C43A1">
        <w:tab/>
      </w:r>
      <w:bookmarkEnd w:id="30"/>
      <w:bookmarkEnd w:id="31"/>
      <w:r w:rsidRPr="005C43A1">
        <w:t xml:space="preserve">Test of Procedures or Methods to </w:t>
      </w:r>
      <w:r w:rsidRPr="005C43A1" w:rsidR="002D6249">
        <w:t xml:space="preserve">Be </w:t>
      </w:r>
      <w:r w:rsidRPr="005C43A1">
        <w:t>Undertaken</w:t>
      </w:r>
      <w:bookmarkEnd w:id="32"/>
      <w:bookmarkEnd w:id="33"/>
    </w:p>
    <w:p w:rsidRPr="00DA30DE" w:rsidR="009D33E3" w:rsidP="001A7DA7" w:rsidRDefault="00C95609" w14:paraId="2B59AAEE" w14:textId="26B796E0">
      <w:pPr>
        <w:pStyle w:val="BodyText1"/>
      </w:pPr>
      <w:r>
        <w:t>D</w:t>
      </w:r>
      <w:r w:rsidR="009D33E3">
        <w:t>ata collection tools used in this study have been adapted from previously administered tools</w:t>
      </w:r>
      <w:r w:rsidR="00BD520D">
        <w:t xml:space="preserve"> and instruments available from the literature</w:t>
      </w:r>
      <w:r w:rsidR="009D33E3">
        <w:t xml:space="preserve"> (see </w:t>
      </w:r>
      <w:r w:rsidRPr="008864F1" w:rsidR="009D33E3">
        <w:rPr>
          <w:b/>
          <w:i/>
        </w:rPr>
        <w:t>Section A</w:t>
      </w:r>
      <w:r w:rsidRPr="008864F1">
        <w:rPr>
          <w:b/>
          <w:i/>
        </w:rPr>
        <w:t>.</w:t>
      </w:r>
      <w:r w:rsidR="008E4CA1">
        <w:rPr>
          <w:b/>
          <w:i/>
        </w:rPr>
        <w:t>2</w:t>
      </w:r>
      <w:r w:rsidR="00797394">
        <w:t>).</w:t>
      </w:r>
      <w:r w:rsidR="009D33E3">
        <w:t xml:space="preserve"> </w:t>
      </w:r>
    </w:p>
    <w:p w:rsidR="009D33E3" w:rsidP="009D33E3" w:rsidRDefault="009D33E3" w14:paraId="29FF3D16" w14:textId="5D2B3D89">
      <w:pPr>
        <w:pStyle w:val="Heading2"/>
        <w:rPr>
          <w:rFonts w:cs="Times New Roman"/>
        </w:rPr>
      </w:pPr>
      <w:bookmarkStart w:name="_Toc8007732" w:id="34"/>
      <w:bookmarkStart w:name="_Toc88033508" w:id="35"/>
      <w:bookmarkStart w:name="_Toc457852722" w:id="36"/>
      <w:bookmarkStart w:name="_Toc46304239" w:id="37"/>
      <w:r w:rsidRPr="005C43A1">
        <w:t>B.</w:t>
      </w:r>
      <w:r w:rsidR="005A4B29">
        <w:t>6</w:t>
      </w:r>
      <w:r w:rsidRPr="005C43A1">
        <w:tab/>
      </w:r>
      <w:bookmarkStart w:name="_Toc144286851" w:id="38"/>
      <w:bookmarkStart w:name="_Toc178651716" w:id="39"/>
      <w:bookmarkStart w:name="_Toc273451077" w:id="40"/>
      <w:bookmarkStart w:name="_Toc275433789" w:id="41"/>
      <w:bookmarkEnd w:id="34"/>
      <w:bookmarkEnd w:id="35"/>
      <w:r w:rsidRPr="0019504A">
        <w:rPr>
          <w:rFonts w:cs="Times New Roman"/>
        </w:rPr>
        <w:t>Individuals Consulted on Statistical Aspects and/or Analyzing Data</w:t>
      </w:r>
      <w:bookmarkEnd w:id="36"/>
      <w:bookmarkEnd w:id="37"/>
      <w:bookmarkEnd w:id="38"/>
      <w:bookmarkEnd w:id="39"/>
      <w:bookmarkEnd w:id="40"/>
      <w:bookmarkEnd w:id="41"/>
    </w:p>
    <w:p w:rsidR="00797394" w:rsidP="00954B14" w:rsidRDefault="009D33E3" w14:paraId="487AC8F7" w14:textId="16A96074">
      <w:pPr>
        <w:pStyle w:val="BodyText1"/>
      </w:pPr>
      <w:r w:rsidRPr="008C607D">
        <w:t xml:space="preserve">As noted in </w:t>
      </w:r>
      <w:r w:rsidRPr="00CF72D5">
        <w:t>Section A.8</w:t>
      </w:r>
      <w:r w:rsidRPr="008C607D">
        <w:t xml:space="preserve">, </w:t>
      </w:r>
      <w:r w:rsidRPr="00DC4D29">
        <w:t xml:space="preserve">CDC has consulted extensively with a federal expert panel who will continue to provide expert advice throughout the course of the evaluation. In addition, the contractor team is </w:t>
      </w:r>
      <w:r w:rsidR="00402EF0">
        <w:t>composed</w:t>
      </w:r>
      <w:r w:rsidRPr="00DC4D29" w:rsidR="00402EF0">
        <w:t xml:space="preserve"> </w:t>
      </w:r>
      <w:r w:rsidRPr="00DC4D29">
        <w:t>of several experts who will be directly involved in the data collection and statistical analysis. In addition, contract</w:t>
      </w:r>
      <w:r w:rsidR="008D70F9">
        <w:t>ing</w:t>
      </w:r>
      <w:r w:rsidRPr="00DC4D29">
        <w:t xml:space="preserve"> in-house experts will be consulted throughout the program on various statistical aspects of the design, methodological issues, economic analysis, database management, and data analysis. </w:t>
      </w:r>
      <w:r w:rsidR="009F6D65">
        <w:t xml:space="preserve">Exhibit </w:t>
      </w:r>
      <w:r w:rsidR="00DC782E">
        <w:t>3</w:t>
      </w:r>
      <w:r w:rsidRPr="00DC4D29">
        <w:t xml:space="preserve"> provides details of these team members and advisors.</w:t>
      </w:r>
      <w:r w:rsidRPr="008C607D">
        <w:t xml:space="preserve"> </w:t>
      </w:r>
      <w:bookmarkStart w:name="_Toc93987698" w:id="42"/>
      <w:bookmarkStart w:name="_Toc131566262" w:id="43"/>
      <w:bookmarkStart w:name="_Toc473633485" w:id="44"/>
      <w:bookmarkStart w:name="_Toc474853883" w:id="45"/>
      <w:bookmarkStart w:name="_Toc475451159" w:id="46"/>
    </w:p>
    <w:p w:rsidR="009F1D66" w:rsidP="00954B14" w:rsidRDefault="009F1D66" w14:paraId="7AE5F311" w14:textId="77777777">
      <w:pPr>
        <w:pStyle w:val="BodyText1"/>
      </w:pPr>
    </w:p>
    <w:p w:rsidRPr="00DC4D29" w:rsidR="009D33E3" w:rsidP="001A7DA7" w:rsidRDefault="009F6D65" w14:paraId="0EE23A2B" w14:textId="75E3404F">
      <w:pPr>
        <w:pStyle w:val="FigureTitle"/>
        <w:rPr>
          <w:i/>
        </w:rPr>
      </w:pPr>
      <w:bookmarkStart w:name="_Toc52326699" w:id="47"/>
      <w:r>
        <w:t xml:space="preserve">Exhibit </w:t>
      </w:r>
      <w:r w:rsidR="00DC782E">
        <w:t>3</w:t>
      </w:r>
      <w:r w:rsidRPr="00DC4D29" w:rsidR="009D33E3">
        <w:t xml:space="preserve">. </w:t>
      </w:r>
      <w:bookmarkEnd w:id="42"/>
      <w:bookmarkEnd w:id="43"/>
      <w:r w:rsidR="004A07AB">
        <w:tab/>
      </w:r>
      <w:r w:rsidRPr="00DC4D29" w:rsidR="009D33E3">
        <w:t>Data Collection and Analysis Team Members and Advisors</w:t>
      </w:r>
      <w:bookmarkEnd w:id="44"/>
      <w:bookmarkEnd w:id="45"/>
      <w:bookmarkEnd w:id="46"/>
      <w:bookmarkEnd w:id="47"/>
    </w:p>
    <w:tbl>
      <w:tblPr>
        <w:tblW w:w="9098" w:type="dxa"/>
        <w:tblInd w:w="172" w:type="dxa"/>
        <w:tblBorders>
          <w:top w:val="double" w:color="auto" w:sz="6" w:space="0"/>
          <w:bottom w:val="double" w:color="auto" w:sz="6" w:space="0"/>
          <w:insideH w:val="single" w:color="auto" w:sz="6" w:space="0"/>
          <w:insideV w:val="single" w:color="auto" w:sz="6" w:space="0"/>
        </w:tblBorders>
        <w:tblLayout w:type="fixed"/>
        <w:tblCellMar>
          <w:left w:w="86" w:type="dxa"/>
          <w:right w:w="86" w:type="dxa"/>
        </w:tblCellMar>
        <w:tblLook w:val="0000" w:firstRow="0" w:lastRow="0" w:firstColumn="0" w:lastColumn="0" w:noHBand="0" w:noVBand="0"/>
      </w:tblPr>
      <w:tblGrid>
        <w:gridCol w:w="4511"/>
        <w:gridCol w:w="4587"/>
      </w:tblGrid>
      <w:tr w:rsidRPr="00880F78" w:rsidR="00C95609" w:rsidDel="00CC7210" w:rsidTr="00C95609" w14:paraId="45566A21" w14:textId="77777777">
        <w:trPr>
          <w:cantSplit/>
        </w:trPr>
        <w:tc>
          <w:tcPr>
            <w:tcW w:w="4511" w:type="dxa"/>
            <w:tcBorders>
              <w:top w:val="single" w:color="auto" w:sz="12" w:space="0"/>
              <w:bottom w:val="single" w:color="auto" w:sz="6" w:space="0"/>
              <w:right w:val="nil"/>
            </w:tcBorders>
          </w:tcPr>
          <w:p w:rsidRPr="00880F78" w:rsidR="00C95609" w:rsidP="004A07AB" w:rsidRDefault="00C95609" w14:paraId="62AB4C39" w14:textId="25B6511B">
            <w:pPr>
              <w:pStyle w:val="TableHeaders"/>
              <w:jc w:val="left"/>
            </w:pPr>
            <w:r w:rsidRPr="00880F78">
              <w:t>MAT Staff</w:t>
            </w:r>
          </w:p>
        </w:tc>
        <w:tc>
          <w:tcPr>
            <w:tcW w:w="4587" w:type="dxa"/>
            <w:tcBorders>
              <w:top w:val="single" w:color="auto" w:sz="12" w:space="0"/>
              <w:left w:val="nil"/>
              <w:bottom w:val="single" w:color="auto" w:sz="6" w:space="0"/>
              <w:right w:val="nil"/>
            </w:tcBorders>
          </w:tcPr>
          <w:p w:rsidRPr="00880F78" w:rsidR="00C95609" w:rsidP="004A07AB" w:rsidRDefault="00C95609" w14:paraId="6098147A" w14:textId="77777777">
            <w:pPr>
              <w:pStyle w:val="TableHeaders"/>
            </w:pPr>
          </w:p>
        </w:tc>
      </w:tr>
      <w:tr w:rsidRPr="00880F78" w:rsidR="00C95609" w:rsidDel="00CC7210" w:rsidTr="00C95609" w14:paraId="1A119927" w14:textId="77777777">
        <w:trPr>
          <w:cantSplit/>
        </w:trPr>
        <w:tc>
          <w:tcPr>
            <w:tcW w:w="4511" w:type="dxa"/>
            <w:tcBorders>
              <w:top w:val="single" w:color="auto" w:sz="6" w:space="0"/>
              <w:bottom w:val="nil"/>
              <w:right w:val="nil"/>
            </w:tcBorders>
          </w:tcPr>
          <w:p w:rsidRPr="00880F78" w:rsidR="00C95609" w:rsidP="0047218F" w:rsidRDefault="004A07AB" w14:paraId="634C02B1" w14:textId="39A9A179">
            <w:pPr>
              <w:pStyle w:val="TableParagraph"/>
              <w:spacing w:before="80"/>
              <w:ind w:left="202" w:right="1253"/>
            </w:pPr>
            <w:r>
              <w:rPr>
                <w:rFonts w:ascii="Times New Roman" w:hAnsi="Times New Roman" w:cs="Times New Roman"/>
                <w:b/>
              </w:rPr>
              <w:t>Laura Dunlap, PhD</w:t>
            </w:r>
            <w:r>
              <w:rPr>
                <w:rFonts w:ascii="Times New Roman" w:hAnsi="Times New Roman" w:cs="Times New Roman"/>
                <w:b/>
              </w:rPr>
              <w:br/>
            </w:r>
            <w:r w:rsidRPr="00880F78" w:rsidR="00C95609">
              <w:rPr>
                <w:rFonts w:ascii="Times New Roman" w:hAnsi="Times New Roman" w:cs="Times New Roman"/>
              </w:rPr>
              <w:t xml:space="preserve">Project Director </w:t>
            </w:r>
            <w:r>
              <w:rPr>
                <w:rFonts w:ascii="Times New Roman" w:hAnsi="Times New Roman" w:cs="Times New Roman"/>
              </w:rPr>
              <w:br/>
            </w:r>
            <w:r w:rsidRPr="00880F78" w:rsidR="00C95609">
              <w:rPr>
                <w:rFonts w:ascii="Times New Roman" w:hAnsi="Times New Roman" w:cs="Times New Roman"/>
              </w:rPr>
              <w:t xml:space="preserve">Behavioral Economics </w:t>
            </w:r>
            <w:r>
              <w:rPr>
                <w:rFonts w:ascii="Times New Roman" w:hAnsi="Times New Roman" w:cs="Times New Roman"/>
              </w:rPr>
              <w:br/>
            </w:r>
            <w:r w:rsidRPr="00880F78" w:rsidR="00C95609">
              <w:rPr>
                <w:rFonts w:ascii="Times New Roman" w:hAnsi="Times New Roman" w:cs="Times New Roman"/>
              </w:rPr>
              <w:t xml:space="preserve">RTI International </w:t>
            </w:r>
            <w:r>
              <w:rPr>
                <w:rFonts w:ascii="Times New Roman" w:hAnsi="Times New Roman" w:cs="Times New Roman"/>
              </w:rPr>
              <w:br/>
            </w:r>
            <w:r w:rsidRPr="00880F78" w:rsidR="00C95609">
              <w:rPr>
                <w:rFonts w:ascii="Times New Roman" w:hAnsi="Times New Roman" w:cs="Times New Roman"/>
              </w:rPr>
              <w:t>Research Triangle Park, N</w:t>
            </w:r>
            <w:r>
              <w:rPr>
                <w:rFonts w:ascii="Times New Roman" w:hAnsi="Times New Roman" w:cs="Times New Roman"/>
              </w:rPr>
              <w:t>C</w:t>
            </w:r>
            <w:r>
              <w:rPr>
                <w:rFonts w:ascii="Times New Roman" w:hAnsi="Times New Roman" w:cs="Times New Roman"/>
              </w:rPr>
              <w:br/>
            </w:r>
            <w:r w:rsidR="00C95609">
              <w:rPr>
                <w:rFonts w:ascii="Times New Roman" w:hAnsi="Times New Roman" w:cs="Times New Roman"/>
              </w:rPr>
              <w:t>Phone:</w:t>
            </w:r>
            <w:r w:rsidR="00C95609">
              <w:t xml:space="preserve"> </w:t>
            </w:r>
            <w:r w:rsidRPr="00386CC5" w:rsidR="00C95609">
              <w:rPr>
                <w:rFonts w:ascii="Times New Roman" w:hAnsi="Times New Roman" w:cs="Times New Roman"/>
              </w:rPr>
              <w:t>919-541-7310</w:t>
            </w:r>
            <w:r w:rsidR="00C95609">
              <w:rPr>
                <w:rFonts w:ascii="Times New Roman" w:hAnsi="Times New Roman" w:cs="Times New Roman"/>
              </w:rPr>
              <w:t xml:space="preserve"> </w:t>
            </w:r>
          </w:p>
        </w:tc>
        <w:tc>
          <w:tcPr>
            <w:tcW w:w="4587" w:type="dxa"/>
            <w:tcBorders>
              <w:top w:val="single" w:color="auto" w:sz="6" w:space="0"/>
              <w:left w:val="nil"/>
              <w:bottom w:val="nil"/>
              <w:right w:val="nil"/>
            </w:tcBorders>
          </w:tcPr>
          <w:p w:rsidR="007B0011" w:rsidP="004A07AB" w:rsidRDefault="00814EEC" w14:paraId="58ED600D" w14:textId="6D350D21">
            <w:pPr>
              <w:pStyle w:val="TableParagraph"/>
              <w:ind w:left="202"/>
              <w:rPr>
                <w:rFonts w:ascii="Times New Roman" w:hAnsi="Times New Roman" w:cs="Times New Roman"/>
                <w:b/>
              </w:rPr>
            </w:pPr>
            <w:r>
              <w:rPr>
                <w:rFonts w:ascii="Times New Roman" w:hAnsi="Times New Roman" w:cs="Times New Roman"/>
                <w:b/>
              </w:rPr>
              <w:t>Jill Dever, PhD</w:t>
            </w:r>
          </w:p>
          <w:p w:rsidR="007B0011" w:rsidP="004A07AB" w:rsidRDefault="000A362D" w14:paraId="76D70C08" w14:textId="274596BD">
            <w:pPr>
              <w:pStyle w:val="TableParagraph"/>
              <w:ind w:left="202"/>
              <w:rPr>
                <w:rFonts w:ascii="Times New Roman" w:hAnsi="Times New Roman" w:cs="Times New Roman"/>
              </w:rPr>
            </w:pPr>
            <w:r>
              <w:rPr>
                <w:rFonts w:ascii="Times New Roman" w:hAnsi="Times New Roman" w:cs="Times New Roman"/>
              </w:rPr>
              <w:t>Director, Social Statistics Program</w:t>
            </w:r>
          </w:p>
          <w:p w:rsidR="00827F59" w:rsidP="002E5EE1" w:rsidRDefault="00C95609" w14:paraId="1722BDD7" w14:textId="77777777">
            <w:pPr>
              <w:pStyle w:val="TableParagraph"/>
              <w:ind w:left="202"/>
              <w:rPr>
                <w:rFonts w:ascii="Times New Roman" w:hAnsi="Times New Roman" w:cs="Times New Roman"/>
              </w:rPr>
            </w:pPr>
            <w:r w:rsidRPr="00880F78">
              <w:rPr>
                <w:rFonts w:ascii="Times New Roman" w:hAnsi="Times New Roman" w:cs="Times New Roman"/>
              </w:rPr>
              <w:t>RTI International</w:t>
            </w:r>
          </w:p>
          <w:p w:rsidRPr="00880F78" w:rsidR="00C95609" w:rsidP="002E5EE1" w:rsidRDefault="00E72F55" w14:paraId="031364E0" w14:textId="59C935D3">
            <w:pPr>
              <w:pStyle w:val="TableParagraph"/>
              <w:ind w:left="202"/>
              <w:rPr>
                <w:rFonts w:ascii="Times New Roman" w:hAnsi="Times New Roman" w:cs="Times New Roman"/>
              </w:rPr>
            </w:pPr>
            <w:r>
              <w:rPr>
                <w:rFonts w:ascii="Times New Roman" w:hAnsi="Times New Roman" w:cs="Times New Roman"/>
              </w:rPr>
              <w:t>Washington, DC</w:t>
            </w:r>
            <w:r>
              <w:rPr>
                <w:rFonts w:ascii="Times New Roman" w:hAnsi="Times New Roman" w:cs="Times New Roman"/>
              </w:rPr>
              <w:br/>
            </w:r>
            <w:r w:rsidR="00C95609">
              <w:rPr>
                <w:rFonts w:ascii="Times New Roman" w:hAnsi="Times New Roman" w:cs="Times New Roman"/>
              </w:rPr>
              <w:t xml:space="preserve">Phone: </w:t>
            </w:r>
            <w:r w:rsidR="0045596D">
              <w:rPr>
                <w:rFonts w:ascii="Times New Roman" w:hAnsi="Times New Roman" w:cs="Times New Roman"/>
              </w:rPr>
              <w:t>202-974-7846</w:t>
            </w:r>
          </w:p>
        </w:tc>
      </w:tr>
      <w:tr w:rsidRPr="00880F78" w:rsidR="00C95609" w:rsidDel="00CC7210" w:rsidTr="00C95609" w14:paraId="1070F415" w14:textId="77777777">
        <w:trPr>
          <w:cantSplit/>
        </w:trPr>
        <w:tc>
          <w:tcPr>
            <w:tcW w:w="4511" w:type="dxa"/>
            <w:tcBorders>
              <w:top w:val="nil"/>
              <w:bottom w:val="single" w:color="auto" w:sz="6" w:space="0"/>
              <w:right w:val="nil"/>
            </w:tcBorders>
          </w:tcPr>
          <w:p w:rsidR="00A128E8" w:rsidP="004A07AB" w:rsidRDefault="00C95609" w14:paraId="2814CEDF" w14:textId="77777777">
            <w:pPr>
              <w:pStyle w:val="TableParagraph"/>
              <w:spacing w:before="80"/>
              <w:ind w:left="173" w:right="259"/>
              <w:rPr>
                <w:rFonts w:ascii="Times New Roman" w:hAnsi="Times New Roman" w:cs="Times New Roman"/>
              </w:rPr>
            </w:pPr>
            <w:r w:rsidRPr="00880F78">
              <w:rPr>
                <w:rFonts w:ascii="Times New Roman" w:hAnsi="Times New Roman" w:cs="Times New Roman"/>
                <w:b/>
              </w:rPr>
              <w:lastRenderedPageBreak/>
              <w:t>Mark Edlund, MD, PhD</w:t>
            </w:r>
            <w:r w:rsidR="004A07AB">
              <w:rPr>
                <w:rFonts w:ascii="Times New Roman" w:hAnsi="Times New Roman" w:cs="Times New Roman"/>
                <w:b/>
              </w:rPr>
              <w:br/>
            </w:r>
            <w:r>
              <w:rPr>
                <w:rFonts w:ascii="Times New Roman" w:hAnsi="Times New Roman" w:cs="Times New Roman"/>
              </w:rPr>
              <w:t>Associate Project Director</w:t>
            </w:r>
            <w:r w:rsidRPr="00880F78">
              <w:rPr>
                <w:rFonts w:ascii="Times New Roman" w:hAnsi="Times New Roman" w:cs="Times New Roman"/>
              </w:rPr>
              <w:t xml:space="preserve"> </w:t>
            </w:r>
          </w:p>
          <w:p w:rsidRPr="00880F78" w:rsidR="00C95609" w:rsidP="009A7920" w:rsidRDefault="00C95609" w14:paraId="402FC8B3" w14:textId="25361D75">
            <w:pPr>
              <w:pStyle w:val="TableParagraph"/>
              <w:ind w:left="173" w:right="259"/>
            </w:pPr>
            <w:r w:rsidRPr="00880F78">
              <w:rPr>
                <w:rFonts w:ascii="Times New Roman" w:hAnsi="Times New Roman" w:cs="Times New Roman"/>
              </w:rPr>
              <w:t xml:space="preserve">Epidemiologist </w:t>
            </w:r>
            <w:r w:rsidR="004A07AB">
              <w:rPr>
                <w:rFonts w:ascii="Times New Roman" w:hAnsi="Times New Roman" w:cs="Times New Roman"/>
              </w:rPr>
              <w:br/>
            </w:r>
            <w:r w:rsidRPr="00880F78">
              <w:rPr>
                <w:rFonts w:ascii="Times New Roman" w:hAnsi="Times New Roman" w:cs="Times New Roman"/>
              </w:rPr>
              <w:t>RTI International</w:t>
            </w:r>
            <w:r w:rsidR="004A07AB">
              <w:rPr>
                <w:rFonts w:ascii="Times New Roman" w:hAnsi="Times New Roman" w:cs="Times New Roman"/>
              </w:rPr>
              <w:br/>
            </w:r>
            <w:r w:rsidRPr="00880F78">
              <w:rPr>
                <w:rFonts w:ascii="Times New Roman" w:hAnsi="Times New Roman" w:cs="Times New Roman"/>
              </w:rPr>
              <w:t>Research Triangle Park, N</w:t>
            </w:r>
            <w:r w:rsidR="004A07AB">
              <w:rPr>
                <w:rFonts w:ascii="Times New Roman" w:hAnsi="Times New Roman" w:cs="Times New Roman"/>
              </w:rPr>
              <w:t>C</w:t>
            </w:r>
            <w:r w:rsidR="004A07AB">
              <w:rPr>
                <w:rFonts w:ascii="Times New Roman" w:hAnsi="Times New Roman" w:cs="Times New Roman"/>
              </w:rPr>
              <w:br/>
            </w:r>
            <w:r>
              <w:rPr>
                <w:rFonts w:ascii="Times New Roman" w:hAnsi="Times New Roman" w:cs="Times New Roman"/>
              </w:rPr>
              <w:t xml:space="preserve">Phone: </w:t>
            </w:r>
            <w:r w:rsidRPr="00386CC5">
              <w:rPr>
                <w:rFonts w:ascii="Times New Roman" w:hAnsi="Times New Roman" w:cs="Times New Roman"/>
              </w:rPr>
              <w:t>919-597-5132</w:t>
            </w:r>
          </w:p>
        </w:tc>
        <w:tc>
          <w:tcPr>
            <w:tcW w:w="4587" w:type="dxa"/>
            <w:tcBorders>
              <w:top w:val="nil"/>
              <w:left w:val="nil"/>
              <w:bottom w:val="single" w:color="auto" w:sz="6" w:space="0"/>
              <w:right w:val="nil"/>
            </w:tcBorders>
          </w:tcPr>
          <w:p w:rsidRPr="00880F78" w:rsidR="00C95609" w:rsidP="004A07AB" w:rsidRDefault="00C95609" w14:paraId="2D96E236" w14:textId="15A834DB">
            <w:pPr>
              <w:pStyle w:val="TableParagraph"/>
              <w:spacing w:before="80"/>
              <w:ind w:left="202" w:right="979"/>
            </w:pPr>
            <w:r w:rsidRPr="00880F78">
              <w:rPr>
                <w:rFonts w:ascii="Times New Roman" w:hAnsi="Times New Roman" w:cs="Times New Roman"/>
                <w:b/>
              </w:rPr>
              <w:t>Hannah Knudsen, PhD</w:t>
            </w:r>
            <w:r w:rsidR="004A07AB">
              <w:rPr>
                <w:rFonts w:ascii="Times New Roman" w:hAnsi="Times New Roman" w:cs="Times New Roman"/>
                <w:b/>
              </w:rPr>
              <w:br/>
            </w:r>
            <w:r w:rsidRPr="00880F78">
              <w:rPr>
                <w:rFonts w:ascii="Times New Roman" w:hAnsi="Times New Roman" w:cs="Times New Roman"/>
              </w:rPr>
              <w:t>Associate Professor</w:t>
            </w:r>
            <w:r w:rsidR="004A07AB">
              <w:rPr>
                <w:rFonts w:ascii="Times New Roman" w:hAnsi="Times New Roman" w:cs="Times New Roman"/>
              </w:rPr>
              <w:br/>
            </w:r>
            <w:r w:rsidRPr="00880F78">
              <w:rPr>
                <w:rFonts w:ascii="Times New Roman" w:hAnsi="Times New Roman" w:cs="Times New Roman"/>
              </w:rPr>
              <w:t>University of Kentucky</w:t>
            </w:r>
            <w:r w:rsidR="004A07AB">
              <w:rPr>
                <w:rFonts w:ascii="Times New Roman" w:hAnsi="Times New Roman" w:cs="Times New Roman"/>
              </w:rPr>
              <w:br/>
            </w:r>
            <w:r w:rsidRPr="00880F78">
              <w:rPr>
                <w:rFonts w:ascii="Times New Roman" w:hAnsi="Times New Roman" w:cs="Times New Roman"/>
              </w:rPr>
              <w:t>Lexington, K</w:t>
            </w:r>
            <w:r w:rsidR="004A07AB">
              <w:rPr>
                <w:rFonts w:ascii="Times New Roman" w:hAnsi="Times New Roman" w:cs="Times New Roman"/>
              </w:rPr>
              <w:t>Y</w:t>
            </w:r>
            <w:r w:rsidR="004A07AB">
              <w:rPr>
                <w:rFonts w:ascii="Times New Roman" w:hAnsi="Times New Roman" w:cs="Times New Roman"/>
              </w:rPr>
              <w:br/>
            </w:r>
            <w:r w:rsidRPr="00411AB2">
              <w:rPr>
                <w:rFonts w:ascii="Times New Roman" w:hAnsi="Times New Roman" w:cs="Times New Roman"/>
              </w:rPr>
              <w:t>Phone:</w:t>
            </w:r>
            <w:r w:rsidR="00411AB2">
              <w:rPr>
                <w:rFonts w:ascii="Times New Roman" w:hAnsi="Times New Roman" w:cs="Times New Roman"/>
              </w:rPr>
              <w:t xml:space="preserve"> 859-323-3947</w:t>
            </w:r>
          </w:p>
        </w:tc>
      </w:tr>
      <w:tr w:rsidRPr="00880F78" w:rsidR="00C95609" w:rsidDel="002554AE" w:rsidTr="00C95609" w14:paraId="61C31D9F" w14:textId="77777777">
        <w:trPr>
          <w:cantSplit/>
        </w:trPr>
        <w:tc>
          <w:tcPr>
            <w:tcW w:w="4511" w:type="dxa"/>
            <w:tcBorders>
              <w:top w:val="single" w:color="auto" w:sz="6" w:space="0"/>
              <w:bottom w:val="single" w:color="auto" w:sz="4" w:space="0"/>
              <w:right w:val="nil"/>
            </w:tcBorders>
          </w:tcPr>
          <w:p w:rsidRPr="00880F78" w:rsidR="00C95609" w:rsidDel="002554AE" w:rsidP="004A07AB" w:rsidRDefault="00C95609" w14:paraId="58508186" w14:textId="770F211C">
            <w:pPr>
              <w:pStyle w:val="TableHeaders"/>
              <w:jc w:val="left"/>
            </w:pPr>
            <w:r w:rsidRPr="00880F78">
              <w:t xml:space="preserve">CDC </w:t>
            </w:r>
            <w:r w:rsidR="00A128E8">
              <w:t>Project Leadership</w:t>
            </w:r>
            <w:r w:rsidRPr="00880F78" w:rsidR="00A128E8">
              <w:t xml:space="preserve"> </w:t>
            </w:r>
          </w:p>
        </w:tc>
        <w:tc>
          <w:tcPr>
            <w:tcW w:w="4587" w:type="dxa"/>
            <w:tcBorders>
              <w:top w:val="single" w:color="auto" w:sz="6" w:space="0"/>
              <w:left w:val="nil"/>
              <w:bottom w:val="single" w:color="auto" w:sz="4" w:space="0"/>
              <w:right w:val="nil"/>
            </w:tcBorders>
          </w:tcPr>
          <w:p w:rsidRPr="00880F78" w:rsidR="00C95609" w:rsidDel="002554AE" w:rsidP="004A07AB" w:rsidRDefault="00C95609" w14:paraId="2385DEDA" w14:textId="77777777">
            <w:pPr>
              <w:pStyle w:val="TableHeaders"/>
              <w:jc w:val="left"/>
            </w:pPr>
          </w:p>
        </w:tc>
      </w:tr>
      <w:tr w:rsidRPr="00880F78" w:rsidR="00C95609" w:rsidDel="002554AE" w:rsidTr="00C95609" w14:paraId="21E31FCC" w14:textId="77777777">
        <w:trPr>
          <w:cantSplit/>
        </w:trPr>
        <w:tc>
          <w:tcPr>
            <w:tcW w:w="4511" w:type="dxa"/>
            <w:tcBorders>
              <w:top w:val="single" w:color="auto" w:sz="4" w:space="0"/>
              <w:bottom w:val="single" w:color="auto" w:sz="12" w:space="0"/>
              <w:right w:val="nil"/>
            </w:tcBorders>
          </w:tcPr>
          <w:p w:rsidR="00AE67E7" w:rsidP="004A07AB" w:rsidRDefault="00024D57" w14:paraId="6F6A2CC8" w14:textId="68D92BAD">
            <w:pPr>
              <w:pStyle w:val="TableParagraph"/>
              <w:spacing w:before="80"/>
              <w:ind w:left="173" w:right="259"/>
              <w:rPr>
                <w:rFonts w:ascii="Times New Roman" w:hAnsi="Times New Roman" w:cs="Times New Roman"/>
                <w:b/>
              </w:rPr>
            </w:pPr>
            <w:r>
              <w:rPr>
                <w:rFonts w:ascii="Times New Roman" w:hAnsi="Times New Roman" w:cs="Times New Roman"/>
                <w:b/>
              </w:rPr>
              <w:t>Bradley Biggers</w:t>
            </w:r>
            <w:r w:rsidRPr="00880F78" w:rsidR="00C95609">
              <w:rPr>
                <w:rFonts w:ascii="Times New Roman" w:hAnsi="Times New Roman" w:cs="Times New Roman"/>
                <w:b/>
              </w:rPr>
              <w:t xml:space="preserve">, </w:t>
            </w:r>
            <w:r>
              <w:rPr>
                <w:rFonts w:ascii="Times New Roman" w:hAnsi="Times New Roman" w:cs="Times New Roman"/>
                <w:b/>
              </w:rPr>
              <w:t>MPH</w:t>
            </w:r>
          </w:p>
          <w:p w:rsidRPr="00880F78" w:rsidR="00C95609" w:rsidDel="002554AE" w:rsidP="004A07AB" w:rsidRDefault="00AE67E7" w14:paraId="4304307A" w14:textId="3BA46936">
            <w:pPr>
              <w:pStyle w:val="TableParagraph"/>
              <w:spacing w:before="80"/>
              <w:ind w:left="173" w:right="259"/>
            </w:pPr>
            <w:r>
              <w:rPr>
                <w:rFonts w:ascii="Times New Roman" w:hAnsi="Times New Roman" w:cs="Times New Roman"/>
                <w:b/>
              </w:rPr>
              <w:t xml:space="preserve">Technical </w:t>
            </w:r>
            <w:r w:rsidR="00544A83">
              <w:rPr>
                <w:rFonts w:ascii="Times New Roman" w:hAnsi="Times New Roman" w:cs="Times New Roman"/>
                <w:b/>
              </w:rPr>
              <w:t>Monitor</w:t>
            </w:r>
            <w:r>
              <w:rPr>
                <w:rFonts w:ascii="Times New Roman" w:hAnsi="Times New Roman" w:cs="Times New Roman"/>
                <w:b/>
              </w:rPr>
              <w:t>/</w:t>
            </w:r>
            <w:r w:rsidR="00024D57">
              <w:rPr>
                <w:rFonts w:ascii="Times New Roman" w:hAnsi="Times New Roman" w:cs="Times New Roman"/>
              </w:rPr>
              <w:t>Behavioral</w:t>
            </w:r>
            <w:r w:rsidRPr="00880F78" w:rsidR="00C95609">
              <w:rPr>
                <w:rFonts w:ascii="Times New Roman" w:hAnsi="Times New Roman" w:cs="Times New Roman"/>
              </w:rPr>
              <w:t xml:space="preserve"> Scientist </w:t>
            </w:r>
            <w:r w:rsidR="004A07AB">
              <w:rPr>
                <w:rFonts w:ascii="Times New Roman" w:hAnsi="Times New Roman" w:cs="Times New Roman"/>
              </w:rPr>
              <w:br/>
            </w:r>
            <w:r w:rsidRPr="00880F78" w:rsidR="00C95609">
              <w:rPr>
                <w:rFonts w:ascii="Times New Roman" w:hAnsi="Times New Roman" w:cs="Times New Roman"/>
              </w:rPr>
              <w:t xml:space="preserve">Division of </w:t>
            </w:r>
            <w:r w:rsidR="00024D57">
              <w:rPr>
                <w:rFonts w:ascii="Times New Roman" w:hAnsi="Times New Roman" w:cs="Times New Roman"/>
              </w:rPr>
              <w:t>Overdose Prevention</w:t>
            </w:r>
            <w:r w:rsidR="004A07AB">
              <w:rPr>
                <w:rFonts w:ascii="Times New Roman" w:hAnsi="Times New Roman" w:cs="Times New Roman"/>
              </w:rPr>
              <w:br/>
            </w:r>
            <w:r w:rsidRPr="00880F78" w:rsidR="00C95609">
              <w:rPr>
                <w:rFonts w:ascii="Times New Roman" w:hAnsi="Times New Roman" w:cs="Times New Roman"/>
              </w:rPr>
              <w:t xml:space="preserve">Centers for Disease Control and Prevention </w:t>
            </w:r>
            <w:r w:rsidR="004A07AB">
              <w:rPr>
                <w:rFonts w:ascii="Times New Roman" w:hAnsi="Times New Roman" w:cs="Times New Roman"/>
              </w:rPr>
              <w:br/>
            </w:r>
            <w:r w:rsidRPr="0006679F" w:rsidR="00C95609">
              <w:rPr>
                <w:rFonts w:ascii="Times New Roman" w:hAnsi="Times New Roman" w:cs="Times New Roman"/>
              </w:rPr>
              <w:t>Atlanta, G</w:t>
            </w:r>
            <w:r w:rsidR="004A07AB">
              <w:rPr>
                <w:rFonts w:ascii="Times New Roman" w:hAnsi="Times New Roman" w:cs="Times New Roman"/>
              </w:rPr>
              <w:t>A</w:t>
            </w:r>
            <w:r w:rsidR="004A07AB">
              <w:rPr>
                <w:rFonts w:ascii="Times New Roman" w:hAnsi="Times New Roman" w:cs="Times New Roman"/>
              </w:rPr>
              <w:br/>
            </w:r>
            <w:r w:rsidR="00C95609">
              <w:rPr>
                <w:rFonts w:ascii="Times New Roman" w:hAnsi="Times New Roman" w:cs="Times New Roman"/>
              </w:rPr>
              <w:t xml:space="preserve">Phone: </w:t>
            </w:r>
            <w:r w:rsidRPr="00386CC5" w:rsidR="00C95609">
              <w:rPr>
                <w:rFonts w:ascii="Times New Roman" w:hAnsi="Times New Roman" w:cs="Times New Roman"/>
              </w:rPr>
              <w:t>770</w:t>
            </w:r>
            <w:r w:rsidR="00C95609">
              <w:rPr>
                <w:rFonts w:ascii="Times New Roman" w:hAnsi="Times New Roman" w:cs="Times New Roman"/>
              </w:rPr>
              <w:t>-</w:t>
            </w:r>
            <w:r w:rsidRPr="00386CC5" w:rsidR="00C95609">
              <w:rPr>
                <w:rFonts w:ascii="Times New Roman" w:hAnsi="Times New Roman" w:cs="Times New Roman"/>
              </w:rPr>
              <w:t>488</w:t>
            </w:r>
            <w:r w:rsidR="00C95609">
              <w:rPr>
                <w:rFonts w:ascii="Times New Roman" w:hAnsi="Times New Roman" w:cs="Times New Roman"/>
              </w:rPr>
              <w:t>-</w:t>
            </w:r>
            <w:r w:rsidR="00E700AB">
              <w:rPr>
                <w:rFonts w:ascii="Times New Roman" w:hAnsi="Times New Roman" w:cs="Times New Roman"/>
              </w:rPr>
              <w:t>0562</w:t>
            </w:r>
          </w:p>
        </w:tc>
        <w:tc>
          <w:tcPr>
            <w:tcW w:w="4587" w:type="dxa"/>
            <w:tcBorders>
              <w:top w:val="single" w:color="auto" w:sz="4" w:space="0"/>
              <w:left w:val="nil"/>
              <w:bottom w:val="single" w:color="auto" w:sz="12" w:space="0"/>
              <w:right w:val="nil"/>
            </w:tcBorders>
          </w:tcPr>
          <w:p w:rsidR="00AE67E7" w:rsidP="004A07AB" w:rsidRDefault="00E700AB" w14:paraId="5B75F000" w14:textId="61DAC3ED">
            <w:pPr>
              <w:pStyle w:val="TableParagraph"/>
              <w:spacing w:before="80"/>
              <w:ind w:left="173" w:right="259"/>
              <w:rPr>
                <w:rFonts w:ascii="Times New Roman" w:hAnsi="Times New Roman" w:cs="Times New Roman"/>
                <w:b/>
              </w:rPr>
            </w:pPr>
            <w:r>
              <w:rPr>
                <w:rFonts w:ascii="Times New Roman" w:hAnsi="Times New Roman" w:cs="Times New Roman"/>
                <w:b/>
              </w:rPr>
              <w:t>Terry Davis</w:t>
            </w:r>
            <w:r w:rsidR="004A07AB">
              <w:rPr>
                <w:rFonts w:ascii="Times New Roman" w:hAnsi="Times New Roman" w:cs="Times New Roman"/>
                <w:b/>
              </w:rPr>
              <w:t xml:space="preserve">, </w:t>
            </w:r>
            <w:r w:rsidR="000D050E">
              <w:rPr>
                <w:rFonts w:ascii="Times New Roman" w:hAnsi="Times New Roman" w:cs="Times New Roman"/>
                <w:b/>
              </w:rPr>
              <w:t>EdD</w:t>
            </w:r>
          </w:p>
          <w:p w:rsidRPr="00880F78" w:rsidR="00C95609" w:rsidP="004A07AB" w:rsidRDefault="00AE67E7" w14:paraId="5A6AB6F8" w14:textId="7F7853C4">
            <w:pPr>
              <w:pStyle w:val="TableParagraph"/>
              <w:spacing w:before="80"/>
              <w:ind w:left="173" w:right="259"/>
              <w:rPr>
                <w:rFonts w:ascii="Times New Roman" w:hAnsi="Times New Roman" w:cs="Times New Roman"/>
              </w:rPr>
            </w:pPr>
            <w:r>
              <w:rPr>
                <w:rFonts w:ascii="Times New Roman" w:hAnsi="Times New Roman" w:cs="Times New Roman"/>
                <w:b/>
              </w:rPr>
              <w:t>Contracting Officer’s Representative</w:t>
            </w:r>
            <w:r w:rsidR="000B69A2">
              <w:rPr>
                <w:rFonts w:ascii="Times New Roman" w:hAnsi="Times New Roman" w:cs="Times New Roman"/>
                <w:b/>
              </w:rPr>
              <w:t xml:space="preserve"> II</w:t>
            </w:r>
            <w:r w:rsidR="004A07AB">
              <w:rPr>
                <w:rFonts w:ascii="Times New Roman" w:hAnsi="Times New Roman" w:cs="Times New Roman"/>
                <w:b/>
              </w:rPr>
              <w:br/>
            </w:r>
            <w:r w:rsidRPr="00880F78" w:rsidR="00C95609">
              <w:rPr>
                <w:rFonts w:ascii="Times New Roman" w:hAnsi="Times New Roman" w:cs="Times New Roman"/>
              </w:rPr>
              <w:t xml:space="preserve">Division of </w:t>
            </w:r>
            <w:r w:rsidR="001476BA">
              <w:rPr>
                <w:rFonts w:ascii="Times New Roman" w:hAnsi="Times New Roman" w:cs="Times New Roman"/>
              </w:rPr>
              <w:t xml:space="preserve">Overdose </w:t>
            </w:r>
            <w:r w:rsidR="0033079F">
              <w:rPr>
                <w:rFonts w:ascii="Times New Roman" w:hAnsi="Times New Roman" w:cs="Times New Roman"/>
              </w:rPr>
              <w:t>Prevention</w:t>
            </w:r>
            <w:r w:rsidR="004A07AB">
              <w:rPr>
                <w:rFonts w:ascii="Times New Roman" w:hAnsi="Times New Roman" w:cs="Times New Roman"/>
              </w:rPr>
              <w:br/>
            </w:r>
            <w:r w:rsidRPr="00880F78" w:rsidR="00C95609">
              <w:rPr>
                <w:rFonts w:ascii="Times New Roman" w:hAnsi="Times New Roman" w:cs="Times New Roman"/>
              </w:rPr>
              <w:t xml:space="preserve">Centers for Disease Control and Prevention </w:t>
            </w:r>
          </w:p>
          <w:p w:rsidRPr="00880F78" w:rsidR="00C95609" w:rsidDel="002554AE" w:rsidP="0047218F" w:rsidRDefault="00C95609" w14:paraId="2D89FE07" w14:textId="70E5CD68">
            <w:pPr>
              <w:pStyle w:val="TableParagraph"/>
              <w:ind w:left="178" w:right="256"/>
            </w:pPr>
            <w:r w:rsidRPr="00880F78">
              <w:rPr>
                <w:rFonts w:ascii="Times New Roman" w:hAnsi="Times New Roman" w:cs="Times New Roman"/>
              </w:rPr>
              <w:t>Atlanta, G</w:t>
            </w:r>
            <w:r w:rsidR="004A07AB">
              <w:rPr>
                <w:rFonts w:ascii="Times New Roman" w:hAnsi="Times New Roman" w:cs="Times New Roman"/>
              </w:rPr>
              <w:t>A</w:t>
            </w:r>
            <w:r w:rsidR="004A07AB">
              <w:rPr>
                <w:rFonts w:ascii="Times New Roman" w:hAnsi="Times New Roman" w:cs="Times New Roman"/>
              </w:rPr>
              <w:br/>
            </w:r>
            <w:r>
              <w:rPr>
                <w:rFonts w:ascii="Times New Roman" w:hAnsi="Times New Roman" w:cs="Times New Roman"/>
              </w:rPr>
              <w:t xml:space="preserve">Phone: </w:t>
            </w:r>
            <w:r w:rsidRPr="00386CC5">
              <w:rPr>
                <w:rFonts w:ascii="Times New Roman" w:hAnsi="Times New Roman" w:cs="Times New Roman"/>
              </w:rPr>
              <w:t>770</w:t>
            </w:r>
            <w:r>
              <w:rPr>
                <w:rFonts w:ascii="Times New Roman" w:hAnsi="Times New Roman" w:cs="Times New Roman"/>
              </w:rPr>
              <w:t>-</w:t>
            </w:r>
            <w:r w:rsidRPr="00386CC5">
              <w:rPr>
                <w:rFonts w:ascii="Times New Roman" w:hAnsi="Times New Roman" w:cs="Times New Roman"/>
              </w:rPr>
              <w:t>488</w:t>
            </w:r>
            <w:r>
              <w:rPr>
                <w:rFonts w:ascii="Times New Roman" w:hAnsi="Times New Roman" w:cs="Times New Roman"/>
              </w:rPr>
              <w:t>-</w:t>
            </w:r>
            <w:r w:rsidRPr="00386CC5">
              <w:rPr>
                <w:rFonts w:ascii="Times New Roman" w:hAnsi="Times New Roman" w:cs="Times New Roman"/>
              </w:rPr>
              <w:t>39</w:t>
            </w:r>
            <w:r w:rsidR="00316345">
              <w:rPr>
                <w:rFonts w:ascii="Times New Roman" w:hAnsi="Times New Roman" w:cs="Times New Roman"/>
              </w:rPr>
              <w:t>40</w:t>
            </w:r>
          </w:p>
        </w:tc>
      </w:tr>
    </w:tbl>
    <w:p w:rsidR="0038401B" w:rsidP="004A07AB" w:rsidRDefault="0038401B" w14:paraId="56B35BA5" w14:textId="677BCE6F">
      <w:pPr>
        <w:pStyle w:val="exhibitsource"/>
        <w:spacing w:after="360"/>
      </w:pPr>
      <w:bookmarkStart w:name="_Toc88033509" w:id="48"/>
    </w:p>
    <w:p w:rsidR="0038401B" w:rsidRDefault="0038401B" w14:paraId="13AB6BF1" w14:textId="77777777">
      <w:pPr>
        <w:rPr>
          <w:sz w:val="20"/>
          <w:szCs w:val="22"/>
        </w:rPr>
      </w:pPr>
      <w:r>
        <w:br w:type="page"/>
      </w:r>
    </w:p>
    <w:p w:rsidR="004920B6" w:rsidP="00F20A34" w:rsidRDefault="004920B6" w14:paraId="4593F53A" w14:textId="39CFAED8">
      <w:pPr>
        <w:pStyle w:val="Heading1"/>
      </w:pPr>
      <w:bookmarkStart w:name="_Toc46304240" w:id="49"/>
      <w:r>
        <w:lastRenderedPageBreak/>
        <w:t>References</w:t>
      </w:r>
      <w:bookmarkEnd w:id="48"/>
      <w:bookmarkEnd w:id="49"/>
    </w:p>
    <w:p w:rsidR="00A97E97" w:rsidP="00A97E97" w:rsidRDefault="00A97E97" w14:paraId="7A6C52FB" w14:textId="3A11035B">
      <w:pPr>
        <w:spacing w:after="120" w:line="276" w:lineRule="auto"/>
        <w:ind w:left="360" w:hanging="360"/>
      </w:pPr>
      <w:r>
        <w:t xml:space="preserve">The American Association for Public Opinion Research (2016). Standard Definitions: Final Dispositions of Case Codes and Outcome Rates for Surveys. 9th edition. AAPOR. </w:t>
      </w:r>
      <w:hyperlink w:history="1" r:id="rId11">
        <w:r w:rsidRPr="00EE2A31">
          <w:rPr>
            <w:rStyle w:val="Hyperlink"/>
          </w:rPr>
          <w:t>http://www.aapor.org/AAPOR_Main/media/publications/Standard-Definitions20169theditionfinal.pdf</w:t>
        </w:r>
      </w:hyperlink>
      <w:r>
        <w:t>, accessed 02 February 2018.</w:t>
      </w:r>
    </w:p>
    <w:p w:rsidR="0082657F" w:rsidP="008B450B" w:rsidRDefault="0082657F" w14:paraId="60216A04" w14:textId="6B34811C">
      <w:pPr>
        <w:spacing w:after="120" w:line="276" w:lineRule="auto"/>
        <w:ind w:left="360" w:hanging="360"/>
      </w:pPr>
      <w:r w:rsidRPr="0082657F">
        <w:t xml:space="preserve">Baker, R., Brick, J. M., Bates, N. A., Battaglia, M., Couper, M. P., Dever, J. A., et al. (2013). </w:t>
      </w:r>
      <w:r w:rsidRPr="0082405E">
        <w:rPr>
          <w:i/>
        </w:rPr>
        <w:t>Report of the AAPOR task force on non-probability sampling (June 2013)</w:t>
      </w:r>
      <w:r w:rsidRPr="0082657F">
        <w:t xml:space="preserve">. </w:t>
      </w:r>
      <w:r>
        <w:t>Available at</w:t>
      </w:r>
      <w:r w:rsidRPr="0082657F">
        <w:t xml:space="preserve"> </w:t>
      </w:r>
      <w:hyperlink w:history="1" r:id="rId12">
        <w:r w:rsidRPr="00EE2A31">
          <w:rPr>
            <w:rStyle w:val="Hyperlink"/>
          </w:rPr>
          <w:t>http://www.aapor.org/AM/Template.cfm?Section=Reports1&amp;Template=/CM/ContentDisplay.cfm&amp;ContentID=6055</w:t>
        </w:r>
      </w:hyperlink>
      <w:r>
        <w:t xml:space="preserve">. </w:t>
      </w:r>
    </w:p>
    <w:p w:rsidR="0014262B" w:rsidP="008B450B" w:rsidRDefault="0014262B" w14:paraId="1ED04847" w14:textId="34DFEC2A">
      <w:pPr>
        <w:spacing w:after="120" w:line="276" w:lineRule="auto"/>
        <w:ind w:left="360" w:hanging="360"/>
        <w:rPr>
          <w:rFonts w:cs="Arial"/>
          <w:szCs w:val="20"/>
        </w:rPr>
      </w:pPr>
      <w:r w:rsidRPr="0014262B">
        <w:rPr>
          <w:rFonts w:cs="Arial"/>
          <w:szCs w:val="20"/>
        </w:rPr>
        <w:t xml:space="preserve">Brewer, K.R. (1999). Design-based or Prediction-based Inference? Stratified Random vs Stratified Balanced Sampling. </w:t>
      </w:r>
      <w:r w:rsidRPr="0082405E">
        <w:rPr>
          <w:rFonts w:cs="Arial"/>
          <w:i/>
          <w:szCs w:val="20"/>
        </w:rPr>
        <w:t>International Statistical Review</w:t>
      </w:r>
      <w:r w:rsidR="0082405E">
        <w:rPr>
          <w:rFonts w:cs="Arial"/>
          <w:szCs w:val="20"/>
        </w:rPr>
        <w:t xml:space="preserve">, </w:t>
      </w:r>
      <w:r w:rsidRPr="0082405E" w:rsidR="0082405E">
        <w:rPr>
          <w:rFonts w:cs="Arial"/>
          <w:i/>
          <w:szCs w:val="20"/>
        </w:rPr>
        <w:t>67</w:t>
      </w:r>
      <w:r w:rsidR="0082405E">
        <w:rPr>
          <w:rFonts w:cs="Arial"/>
          <w:szCs w:val="20"/>
        </w:rPr>
        <w:t>(1): 35-47.</w:t>
      </w:r>
    </w:p>
    <w:p w:rsidR="000A2624" w:rsidP="008B450B" w:rsidRDefault="000A2624" w14:paraId="67B38AD5" w14:textId="701633DB">
      <w:pPr>
        <w:spacing w:after="120" w:line="276" w:lineRule="auto"/>
        <w:ind w:left="360" w:hanging="360"/>
      </w:pPr>
      <w:r w:rsidRPr="002C4B44">
        <w:rPr>
          <w:rFonts w:cs="Arial"/>
          <w:szCs w:val="20"/>
        </w:rPr>
        <w:t xml:space="preserve">Cheong, J., MacKinnon, D. P., &amp; Khoo, S. T. (2003). Investigation of mediational processes using parallel process latent growth curve modeling. </w:t>
      </w:r>
      <w:r w:rsidRPr="002C4B44">
        <w:rPr>
          <w:rFonts w:cs="Arial"/>
          <w:i/>
          <w:iCs/>
          <w:szCs w:val="20"/>
        </w:rPr>
        <w:t>Structural Equation Modeling</w:t>
      </w:r>
      <w:r w:rsidRPr="002C4B44">
        <w:rPr>
          <w:rFonts w:cs="Arial"/>
          <w:szCs w:val="20"/>
        </w:rPr>
        <w:t xml:space="preserve">, </w:t>
      </w:r>
      <w:r w:rsidRPr="002C4B44">
        <w:rPr>
          <w:rFonts w:cs="Arial"/>
          <w:i/>
          <w:iCs/>
          <w:szCs w:val="20"/>
        </w:rPr>
        <w:t>10</w:t>
      </w:r>
      <w:r w:rsidRPr="002C4B44">
        <w:rPr>
          <w:rFonts w:cs="Arial"/>
          <w:szCs w:val="20"/>
        </w:rPr>
        <w:t>(2), 238-262.</w:t>
      </w:r>
    </w:p>
    <w:p w:rsidRPr="002C4B44" w:rsidR="000A2624" w:rsidP="0082405E" w:rsidRDefault="009C0724" w14:paraId="43A04642" w14:textId="1A762D5B">
      <w:pPr>
        <w:spacing w:after="120" w:line="276" w:lineRule="auto"/>
        <w:ind w:left="360" w:hanging="360"/>
        <w:rPr>
          <w:rFonts w:cs="Arial"/>
        </w:rPr>
      </w:pPr>
      <w:r w:rsidRPr="00BF40D0">
        <w:t xml:space="preserve">Desmond, D.P., Maddux, J.F., Johnson, T.H., and Confer, B.A. (1995). Obtaining Follow-Up Interviews for Treatment Evaluation. </w:t>
      </w:r>
      <w:r w:rsidRPr="00BF40D0">
        <w:rPr>
          <w:i/>
        </w:rPr>
        <w:t>Journal of Substance Abuse Treatment</w:t>
      </w:r>
      <w:r w:rsidRPr="00BF40D0">
        <w:t xml:space="preserve">, </w:t>
      </w:r>
      <w:r w:rsidRPr="009C0724">
        <w:rPr>
          <w:i/>
        </w:rPr>
        <w:t>12</w:t>
      </w:r>
      <w:r w:rsidRPr="00BF40D0">
        <w:t>(2): 95-102.</w:t>
      </w:r>
      <w:r w:rsidRPr="002C4B44" w:rsidR="000A2624">
        <w:t>H</w:t>
      </w:r>
      <w:r w:rsidRPr="002C4B44" w:rsidR="000A2624">
        <w:rPr>
          <w:rFonts w:cs="Arial"/>
        </w:rPr>
        <w:t xml:space="preserve">arder, V. S., Stuart, E. A., &amp; Anthony, J. C. (2010). Propensity score techniques and the assessment of measured covariate balance to test causal associations in psychological research. </w:t>
      </w:r>
      <w:r w:rsidRPr="002C4B44" w:rsidR="000A2624">
        <w:rPr>
          <w:rFonts w:cs="Arial"/>
          <w:i/>
          <w:iCs/>
        </w:rPr>
        <w:t>Psychological methods</w:t>
      </w:r>
      <w:r w:rsidRPr="002C4B44" w:rsidR="000A2624">
        <w:rPr>
          <w:rFonts w:cs="Arial"/>
        </w:rPr>
        <w:t xml:space="preserve">, </w:t>
      </w:r>
      <w:r w:rsidRPr="002C4B44" w:rsidR="000A2624">
        <w:rPr>
          <w:rFonts w:cs="Arial"/>
          <w:i/>
          <w:iCs/>
        </w:rPr>
        <w:t>15</w:t>
      </w:r>
      <w:r w:rsidRPr="002C4B44" w:rsidR="000A2624">
        <w:rPr>
          <w:rFonts w:cs="Arial"/>
        </w:rPr>
        <w:t>(3)</w:t>
      </w:r>
      <w:r w:rsidR="000A2624">
        <w:rPr>
          <w:rFonts w:cs="Arial"/>
        </w:rPr>
        <w:t>:</w:t>
      </w:r>
      <w:r w:rsidRPr="002C4B44" w:rsidR="000A2624">
        <w:rPr>
          <w:rFonts w:cs="Arial"/>
        </w:rPr>
        <w:t xml:space="preserve"> 234.</w:t>
      </w:r>
    </w:p>
    <w:p w:rsidRPr="00C81D0B" w:rsidR="006F5CF8" w:rsidP="008B450B" w:rsidRDefault="009D33E3" w14:paraId="0553F690" w14:textId="74CC7433">
      <w:pPr>
        <w:pStyle w:val="biblio"/>
      </w:pPr>
      <w:r>
        <w:t>Heckman, J.J. 197</w:t>
      </w:r>
      <w:r w:rsidR="00C81D0B">
        <w:t>9</w:t>
      </w:r>
      <w:r>
        <w:t xml:space="preserve">. Sample </w:t>
      </w:r>
      <w:r w:rsidR="00067317">
        <w:t xml:space="preserve">Selection Bias </w:t>
      </w:r>
      <w:r>
        <w:t xml:space="preserve">as a </w:t>
      </w:r>
      <w:r w:rsidR="00067317">
        <w:t>Specification Error</w:t>
      </w:r>
      <w:r>
        <w:t>.</w:t>
      </w:r>
      <w:r w:rsidR="00C81D0B">
        <w:t xml:space="preserve"> </w:t>
      </w:r>
      <w:proofErr w:type="spellStart"/>
      <w:r w:rsidR="00C81D0B">
        <w:rPr>
          <w:i/>
        </w:rPr>
        <w:t>Econometrica</w:t>
      </w:r>
      <w:proofErr w:type="spellEnd"/>
      <w:r w:rsidR="00C81D0B">
        <w:t xml:space="preserve"> 47(1):</w:t>
      </w:r>
      <w:r w:rsidR="000A2624">
        <w:t xml:space="preserve"> </w:t>
      </w:r>
      <w:r w:rsidR="00C81D0B">
        <w:t>153-162</w:t>
      </w:r>
      <w:r w:rsidR="006F5CF8">
        <w:t>.</w:t>
      </w:r>
    </w:p>
    <w:p w:rsidR="006F5CF8" w:rsidP="008B450B" w:rsidRDefault="009D33E3" w14:paraId="7FC2F901" w14:textId="62A9A7A2">
      <w:pPr>
        <w:pStyle w:val="biblio"/>
      </w:pPr>
      <w:proofErr w:type="spellStart"/>
      <w:r>
        <w:t>Hedeker</w:t>
      </w:r>
      <w:proofErr w:type="spellEnd"/>
      <w:r>
        <w:t xml:space="preserve">, D., </w:t>
      </w:r>
      <w:r w:rsidR="00067317">
        <w:t xml:space="preserve">and R.D. </w:t>
      </w:r>
      <w:r>
        <w:t>Gibbons</w:t>
      </w:r>
      <w:r w:rsidR="00067317">
        <w:t>.</w:t>
      </w:r>
      <w:r>
        <w:t xml:space="preserve"> 1997. </w:t>
      </w:r>
      <w:r w:rsidR="00067317">
        <w:t>“</w:t>
      </w:r>
      <w:r>
        <w:t xml:space="preserve">Application of </w:t>
      </w:r>
      <w:r w:rsidR="00067317">
        <w:t>Random</w:t>
      </w:r>
      <w:r>
        <w:t xml:space="preserve">-effects </w:t>
      </w:r>
      <w:r w:rsidR="00067317">
        <w:t>Pattern</w:t>
      </w:r>
      <w:r>
        <w:t xml:space="preserve">-mixture </w:t>
      </w:r>
      <w:r w:rsidR="00067317">
        <w:t xml:space="preserve">Models </w:t>
      </w:r>
      <w:r>
        <w:t xml:space="preserve">for </w:t>
      </w:r>
      <w:r w:rsidR="00067317">
        <w:t xml:space="preserve">Missing Data </w:t>
      </w:r>
      <w:r>
        <w:t xml:space="preserve">in </w:t>
      </w:r>
      <w:r w:rsidR="00067317">
        <w:t>Longitudinal Studies</w:t>
      </w:r>
      <w:r>
        <w:t>.</w:t>
      </w:r>
      <w:r w:rsidR="00067317">
        <w:t>”</w:t>
      </w:r>
      <w:r>
        <w:t xml:space="preserve"> </w:t>
      </w:r>
      <w:r>
        <w:rPr>
          <w:i/>
          <w:iCs/>
        </w:rPr>
        <w:t xml:space="preserve">Psychological </w:t>
      </w:r>
      <w:r w:rsidR="00067317">
        <w:rPr>
          <w:i/>
          <w:iCs/>
        </w:rPr>
        <w:t>Methods</w:t>
      </w:r>
      <w:r>
        <w:t xml:space="preserve"> </w:t>
      </w:r>
      <w:r>
        <w:rPr>
          <w:i/>
          <w:iCs/>
        </w:rPr>
        <w:t>2</w:t>
      </w:r>
      <w:r>
        <w:t>(1)</w:t>
      </w:r>
      <w:r w:rsidR="00067317">
        <w:t>:</w:t>
      </w:r>
      <w:r w:rsidR="000A2624">
        <w:t xml:space="preserve"> </w:t>
      </w:r>
      <w:r>
        <w:t>64.</w:t>
      </w:r>
    </w:p>
    <w:p w:rsidR="000A2624" w:rsidP="008B450B" w:rsidRDefault="000A2624" w14:paraId="75E5F402" w14:textId="6E94E808">
      <w:pPr>
        <w:pStyle w:val="biblio"/>
      </w:pPr>
      <w:r w:rsidRPr="000A2624">
        <w:t xml:space="preserve">McCaffrey, D. F., Ridgeway, G., &amp; </w:t>
      </w:r>
      <w:proofErr w:type="spellStart"/>
      <w:r w:rsidRPr="000A2624">
        <w:t>Morral</w:t>
      </w:r>
      <w:proofErr w:type="spellEnd"/>
      <w:r w:rsidRPr="000A2624">
        <w:t>, A. R. (2004). Propensity score estimation with boosted regression for evaluating causal effects in observational studies. Psychological methods, 9(4)</w:t>
      </w:r>
      <w:r>
        <w:t>:</w:t>
      </w:r>
      <w:r w:rsidRPr="000A2624">
        <w:t xml:space="preserve"> 403.</w:t>
      </w:r>
    </w:p>
    <w:p w:rsidR="000A2624" w:rsidP="008B450B" w:rsidRDefault="000A2624" w14:paraId="61966407" w14:textId="64F2B499">
      <w:pPr>
        <w:pStyle w:val="biblio"/>
      </w:pPr>
      <w:r w:rsidRPr="000A2624">
        <w:t xml:space="preserve">Miles, M. B., Huberman, A. M. &amp; Saldana, J. (2003). </w:t>
      </w:r>
      <w:r w:rsidRPr="0082405E">
        <w:rPr>
          <w:i/>
        </w:rPr>
        <w:t>Qualitative data analysis</w:t>
      </w:r>
      <w:r w:rsidRPr="000A2624">
        <w:t>. Sage: Los Angeles, CA.</w:t>
      </w:r>
    </w:p>
    <w:p w:rsidRPr="00BF40D0" w:rsidR="006F5CF8" w:rsidP="008B450B" w:rsidRDefault="009C0724" w14:paraId="29FFDB0B" w14:textId="6292B300">
      <w:pPr>
        <w:spacing w:after="120" w:line="276" w:lineRule="auto"/>
        <w:ind w:left="450" w:hanging="450"/>
      </w:pPr>
      <w:r w:rsidRPr="00BF40D0">
        <w:t xml:space="preserve">Novak, S. P., Herman-Stahl, M., Flannery, B., &amp; Zimmerman, M. (2009). Physical pain, common psychiatric and substance use disorders, and the non-medical use of prescription analgesics in the United States. </w:t>
      </w:r>
      <w:r w:rsidRPr="00BF40D0">
        <w:rPr>
          <w:i/>
        </w:rPr>
        <w:t>Drug and alcohol dependence</w:t>
      </w:r>
      <w:r w:rsidRPr="00BF40D0">
        <w:t xml:space="preserve">, </w:t>
      </w:r>
      <w:r w:rsidRPr="009C0724">
        <w:rPr>
          <w:i/>
        </w:rPr>
        <w:t>100</w:t>
      </w:r>
      <w:r w:rsidRPr="00BF40D0">
        <w:t>(1)</w:t>
      </w:r>
      <w:r w:rsidR="000A2624">
        <w:t>:</w:t>
      </w:r>
      <w:r w:rsidRPr="00BF40D0">
        <w:t xml:space="preserve"> 63-70.</w:t>
      </w:r>
    </w:p>
    <w:p w:rsidR="009C0724" w:rsidP="009C0724" w:rsidRDefault="009C0724" w14:paraId="092FCD04" w14:textId="0B40E886">
      <w:pPr>
        <w:spacing w:after="120" w:line="276" w:lineRule="auto"/>
        <w:ind w:left="450" w:hanging="450"/>
      </w:pPr>
      <w:r w:rsidRPr="00BF40D0">
        <w:t xml:space="preserve">Novak, S. P., Wenger, L., </w:t>
      </w:r>
      <w:proofErr w:type="spellStart"/>
      <w:r w:rsidRPr="00BF40D0">
        <w:t>Lorvick</w:t>
      </w:r>
      <w:proofErr w:type="spellEnd"/>
      <w:r w:rsidRPr="00BF40D0">
        <w:t xml:space="preserve">, J., &amp; </w:t>
      </w:r>
      <w:proofErr w:type="spellStart"/>
      <w:r w:rsidRPr="00BF40D0">
        <w:t>Kral</w:t>
      </w:r>
      <w:proofErr w:type="spellEnd"/>
      <w:r w:rsidRPr="00BF40D0">
        <w:t xml:space="preserve">, A. (2015). The misuse, abuse and diversion of opioid replacement therapies among street abusers. </w:t>
      </w:r>
      <w:r w:rsidRPr="00BF40D0">
        <w:rPr>
          <w:i/>
        </w:rPr>
        <w:t>Drug &amp; Alcohol Dependence</w:t>
      </w:r>
      <w:r w:rsidRPr="00BF40D0">
        <w:t xml:space="preserve">, </w:t>
      </w:r>
      <w:r w:rsidRPr="009C0724">
        <w:rPr>
          <w:i/>
        </w:rPr>
        <w:t>146</w:t>
      </w:r>
      <w:r w:rsidRPr="00BF40D0">
        <w:t>, e54.</w:t>
      </w:r>
    </w:p>
    <w:p w:rsidR="000A2624" w:rsidP="003E2E19" w:rsidRDefault="000A2624" w14:paraId="565E54B1" w14:textId="1AC422A5">
      <w:pPr>
        <w:spacing w:after="120" w:line="276" w:lineRule="auto"/>
        <w:ind w:left="450" w:hanging="450"/>
      </w:pPr>
      <w:r w:rsidRPr="000A2624">
        <w:t xml:space="preserve">Rosenbaum, P. R., &amp; Rubin, D. B. (1983). The central role of the propensity score in observational studies for causal effects. </w:t>
      </w:r>
      <w:proofErr w:type="spellStart"/>
      <w:r w:rsidRPr="001F38CC">
        <w:rPr>
          <w:i/>
        </w:rPr>
        <w:t>Biometrika</w:t>
      </w:r>
      <w:proofErr w:type="spellEnd"/>
      <w:r w:rsidRPr="000A2624">
        <w:t>, 41-55.</w:t>
      </w:r>
    </w:p>
    <w:p w:rsidR="009C0724" w:rsidP="003B786B" w:rsidRDefault="00AA6A82" w14:paraId="2954E473" w14:textId="30E9E530">
      <w:pPr>
        <w:spacing w:after="120" w:line="276" w:lineRule="auto"/>
        <w:ind w:left="450" w:hanging="450"/>
      </w:pPr>
      <w:proofErr w:type="spellStart"/>
      <w:r w:rsidRPr="00AA6A82">
        <w:lastRenderedPageBreak/>
        <w:t>Shadish</w:t>
      </w:r>
      <w:proofErr w:type="spellEnd"/>
      <w:r w:rsidRPr="00AA6A82">
        <w:t xml:space="preserve">, W. R., &amp; Steiner, P. M. (2010). A primer on propensity score analysis. </w:t>
      </w:r>
      <w:r w:rsidRPr="003B786B">
        <w:rPr>
          <w:i/>
        </w:rPr>
        <w:t>Newborn and Infant Nursing Reviews</w:t>
      </w:r>
      <w:r w:rsidRPr="00AA6A82">
        <w:t xml:space="preserve">, </w:t>
      </w:r>
      <w:r w:rsidRPr="003B786B">
        <w:rPr>
          <w:i/>
        </w:rPr>
        <w:t>10</w:t>
      </w:r>
      <w:r w:rsidRPr="00AA6A82">
        <w:t>(1)</w:t>
      </w:r>
      <w:r w:rsidR="000A2624">
        <w:t>:</w:t>
      </w:r>
      <w:r w:rsidRPr="00AA6A82">
        <w:t xml:space="preserve"> 19-26.</w:t>
      </w:r>
    </w:p>
    <w:sectPr w:rsidR="009C0724" w:rsidSect="00E67EB8">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CBCDF" w14:textId="77777777" w:rsidR="00697F76" w:rsidRDefault="00697F76">
      <w:r>
        <w:separator/>
      </w:r>
    </w:p>
  </w:endnote>
  <w:endnote w:type="continuationSeparator" w:id="0">
    <w:p w14:paraId="37C44128" w14:textId="77777777" w:rsidR="00697F76" w:rsidRDefault="0069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3B8F" w14:textId="77777777" w:rsidR="000613D2" w:rsidRDefault="00061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4AFD" w14:textId="5C948AC8" w:rsidR="00697F76" w:rsidRPr="00906F6F" w:rsidRDefault="00697F76"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DB3F" w14:textId="5D01DC9C" w:rsidR="00697F76" w:rsidRDefault="00697F76"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FF3B9" w14:textId="77777777" w:rsidR="00697F76" w:rsidRDefault="00697F76">
      <w:r>
        <w:separator/>
      </w:r>
    </w:p>
  </w:footnote>
  <w:footnote w:type="continuationSeparator" w:id="0">
    <w:p w14:paraId="042C3AC5" w14:textId="77777777" w:rsidR="00697F76" w:rsidRDefault="00697F76">
      <w:r>
        <w:continuationSeparator/>
      </w:r>
    </w:p>
  </w:footnote>
  <w:footnote w:id="1">
    <w:p w14:paraId="6BD39089" w14:textId="180A2247" w:rsidR="00697F76" w:rsidRPr="00192C30" w:rsidRDefault="00697F76" w:rsidP="00CC2390">
      <w:pPr>
        <w:pStyle w:val="FootnoteText"/>
        <w:rPr>
          <w:rFonts w:ascii="Times New Roman" w:hAnsi="Times New Roman" w:cs="Times New Roman"/>
          <w:sz w:val="16"/>
          <w:szCs w:val="20"/>
        </w:rPr>
      </w:pPr>
      <w:r w:rsidRPr="0043394F">
        <w:rPr>
          <w:rStyle w:val="FootnoteReference"/>
          <w:rFonts w:cs="Times New Roman"/>
          <w:sz w:val="20"/>
          <w:szCs w:val="20"/>
          <w:vertAlign w:val="superscript"/>
        </w:rPr>
        <w:footnoteRef/>
      </w:r>
      <w:r w:rsidRPr="00692036">
        <w:rPr>
          <w:rFonts w:ascii="Times New Roman" w:hAnsi="Times New Roman" w:cs="Times New Roman"/>
          <w:sz w:val="20"/>
          <w:szCs w:val="20"/>
        </w:rPr>
        <w:t xml:space="preserve"> Initiating OUD treatment, for the purposes of this study</w:t>
      </w:r>
      <w:r>
        <w:rPr>
          <w:rFonts w:ascii="Times New Roman" w:hAnsi="Times New Roman" w:cs="Times New Roman"/>
          <w:sz w:val="20"/>
          <w:szCs w:val="20"/>
        </w:rPr>
        <w:t>,</w:t>
      </w:r>
      <w:r w:rsidRPr="00692036">
        <w:rPr>
          <w:rFonts w:ascii="Times New Roman" w:hAnsi="Times New Roman" w:cs="Times New Roman"/>
          <w:sz w:val="20"/>
          <w:szCs w:val="20"/>
        </w:rPr>
        <w:t xml:space="preserve"> will be defined as start</w:t>
      </w:r>
      <w:r>
        <w:rPr>
          <w:rFonts w:ascii="Times New Roman" w:hAnsi="Times New Roman" w:cs="Times New Roman"/>
          <w:sz w:val="20"/>
          <w:szCs w:val="20"/>
        </w:rPr>
        <w:t>ing</w:t>
      </w:r>
      <w:r w:rsidRPr="00692036">
        <w:rPr>
          <w:rFonts w:ascii="Times New Roman" w:hAnsi="Times New Roman" w:cs="Times New Roman"/>
          <w:sz w:val="20"/>
          <w:szCs w:val="20"/>
        </w:rPr>
        <w:t xml:space="preserve"> an OUD treatment not </w:t>
      </w:r>
      <w:r>
        <w:rPr>
          <w:rFonts w:ascii="Times New Roman" w:hAnsi="Times New Roman" w:cs="Times New Roman"/>
          <w:sz w:val="20"/>
          <w:szCs w:val="20"/>
        </w:rPr>
        <w:t>received</w:t>
      </w:r>
      <w:r w:rsidRPr="00692036">
        <w:rPr>
          <w:rFonts w:ascii="Times New Roman" w:hAnsi="Times New Roman" w:cs="Times New Roman"/>
          <w:sz w:val="20"/>
          <w:szCs w:val="20"/>
        </w:rPr>
        <w:t xml:space="preserve"> by the </w:t>
      </w:r>
      <w:r>
        <w:rPr>
          <w:rFonts w:ascii="Times New Roman" w:hAnsi="Times New Roman" w:cs="Times New Roman"/>
          <w:sz w:val="20"/>
          <w:szCs w:val="20"/>
        </w:rPr>
        <w:t>patient</w:t>
      </w:r>
      <w:r w:rsidRPr="00692036">
        <w:rPr>
          <w:rFonts w:ascii="Times New Roman" w:hAnsi="Times New Roman" w:cs="Times New Roman"/>
          <w:sz w:val="20"/>
          <w:szCs w:val="20"/>
        </w:rPr>
        <w:t xml:space="preserve"> in the </w:t>
      </w:r>
      <w:r>
        <w:rPr>
          <w:rFonts w:ascii="Times New Roman" w:hAnsi="Times New Roman" w:cs="Times New Roman"/>
          <w:sz w:val="20"/>
          <w:szCs w:val="20"/>
        </w:rPr>
        <w:t>prior</w:t>
      </w:r>
      <w:r w:rsidRPr="00692036">
        <w:rPr>
          <w:rFonts w:ascii="Times New Roman" w:hAnsi="Times New Roman" w:cs="Times New Roman"/>
          <w:sz w:val="20"/>
          <w:szCs w:val="20"/>
        </w:rPr>
        <w:t xml:space="preserve"> three months.</w:t>
      </w:r>
      <w:r w:rsidRPr="00192C3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F975" w14:textId="77777777" w:rsidR="000613D2" w:rsidRDefault="00061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D92B3" w14:textId="77777777" w:rsidR="000613D2" w:rsidRDefault="00061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17267" w14:textId="77777777" w:rsidR="000613D2" w:rsidRDefault="00061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3D2"/>
    <w:multiLevelType w:val="hybridMultilevel"/>
    <w:tmpl w:val="5C685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3D73C8"/>
    <w:multiLevelType w:val="hybridMultilevel"/>
    <w:tmpl w:val="62F6CE20"/>
    <w:lvl w:ilvl="0" w:tplc="3D6E3466">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20852"/>
    <w:multiLevelType w:val="hybridMultilevel"/>
    <w:tmpl w:val="8C1A43A8"/>
    <w:lvl w:ilvl="0" w:tplc="0BEEE616">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83E99"/>
    <w:multiLevelType w:val="hybridMultilevel"/>
    <w:tmpl w:val="B6345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677CE7"/>
    <w:multiLevelType w:val="hybridMultilevel"/>
    <w:tmpl w:val="6F045C36"/>
    <w:lvl w:ilvl="0" w:tplc="AD507A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76E93"/>
    <w:multiLevelType w:val="hybridMultilevel"/>
    <w:tmpl w:val="B0C6169A"/>
    <w:lvl w:ilvl="0" w:tplc="0BEEE616">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4F6320"/>
    <w:multiLevelType w:val="hybridMultilevel"/>
    <w:tmpl w:val="0CD4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1"/>
  </w:num>
  <w:num w:numId="5">
    <w:abstractNumId w:val="0"/>
  </w:num>
  <w:num w:numId="6">
    <w:abstractNumId w:val="2"/>
  </w:num>
  <w:num w:numId="7">
    <w:abstractNumId w:val="6"/>
  </w:num>
  <w:num w:numId="8">
    <w:abstractNumId w:val="4"/>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0" w:nlCheck="1" w:checkStyle="1"/>
  <w:activeWritingStyle w:appName="MSWord" w:lang="en-CA" w:vendorID="64" w:dllVersion="0" w:nlCheck="1" w:checkStyle="1"/>
  <w:activeWritingStyle w:appName="MSWord" w:lang="en-US" w:vendorID="64" w:dllVersion="6" w:nlCheck="1" w:checkStyle="1"/>
  <w:activeWritingStyle w:appName="MSWord" w:lang="en-CA" w:vendorID="64" w:dllVersion="6" w:nlCheck="1" w:checkStyle="1"/>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D2"/>
    <w:rsid w:val="00001ECD"/>
    <w:rsid w:val="000028FA"/>
    <w:rsid w:val="00010285"/>
    <w:rsid w:val="00010A0D"/>
    <w:rsid w:val="00011447"/>
    <w:rsid w:val="00011975"/>
    <w:rsid w:val="000137AA"/>
    <w:rsid w:val="00014439"/>
    <w:rsid w:val="00016E5D"/>
    <w:rsid w:val="0001715E"/>
    <w:rsid w:val="00021B81"/>
    <w:rsid w:val="0002286A"/>
    <w:rsid w:val="00024D57"/>
    <w:rsid w:val="00034A27"/>
    <w:rsid w:val="0004047E"/>
    <w:rsid w:val="00045386"/>
    <w:rsid w:val="00053D33"/>
    <w:rsid w:val="00055BD4"/>
    <w:rsid w:val="00056850"/>
    <w:rsid w:val="00060099"/>
    <w:rsid w:val="0006128E"/>
    <w:rsid w:val="000613D2"/>
    <w:rsid w:val="0006167C"/>
    <w:rsid w:val="000627FB"/>
    <w:rsid w:val="00065AC0"/>
    <w:rsid w:val="0006679F"/>
    <w:rsid w:val="00067317"/>
    <w:rsid w:val="00071C81"/>
    <w:rsid w:val="00071E0F"/>
    <w:rsid w:val="00072C63"/>
    <w:rsid w:val="000746C2"/>
    <w:rsid w:val="000752EE"/>
    <w:rsid w:val="00076442"/>
    <w:rsid w:val="000767E3"/>
    <w:rsid w:val="000801A8"/>
    <w:rsid w:val="00083AF0"/>
    <w:rsid w:val="00084476"/>
    <w:rsid w:val="000862B7"/>
    <w:rsid w:val="0008686A"/>
    <w:rsid w:val="00090BBD"/>
    <w:rsid w:val="00095B10"/>
    <w:rsid w:val="000965F4"/>
    <w:rsid w:val="000A1467"/>
    <w:rsid w:val="000A1BC4"/>
    <w:rsid w:val="000A2624"/>
    <w:rsid w:val="000A362D"/>
    <w:rsid w:val="000A3D71"/>
    <w:rsid w:val="000A609C"/>
    <w:rsid w:val="000A7035"/>
    <w:rsid w:val="000B3988"/>
    <w:rsid w:val="000B3FD5"/>
    <w:rsid w:val="000B5B19"/>
    <w:rsid w:val="000B69A2"/>
    <w:rsid w:val="000C0BF4"/>
    <w:rsid w:val="000C29D8"/>
    <w:rsid w:val="000C35B9"/>
    <w:rsid w:val="000C4EA7"/>
    <w:rsid w:val="000C7D25"/>
    <w:rsid w:val="000C7DE8"/>
    <w:rsid w:val="000D050E"/>
    <w:rsid w:val="000D1656"/>
    <w:rsid w:val="000D43E3"/>
    <w:rsid w:val="000D7F7A"/>
    <w:rsid w:val="000E1A11"/>
    <w:rsid w:val="000E395A"/>
    <w:rsid w:val="000E3A76"/>
    <w:rsid w:val="000E479A"/>
    <w:rsid w:val="000E6546"/>
    <w:rsid w:val="000F3D28"/>
    <w:rsid w:val="000F5A9D"/>
    <w:rsid w:val="000F692D"/>
    <w:rsid w:val="000F6B76"/>
    <w:rsid w:val="000F7F2C"/>
    <w:rsid w:val="001034FC"/>
    <w:rsid w:val="0010522F"/>
    <w:rsid w:val="00105644"/>
    <w:rsid w:val="00106297"/>
    <w:rsid w:val="00106F9B"/>
    <w:rsid w:val="001109B7"/>
    <w:rsid w:val="001110FB"/>
    <w:rsid w:val="001124CB"/>
    <w:rsid w:val="00112C2B"/>
    <w:rsid w:val="0011387B"/>
    <w:rsid w:val="0011425E"/>
    <w:rsid w:val="0011486A"/>
    <w:rsid w:val="001149F7"/>
    <w:rsid w:val="00117177"/>
    <w:rsid w:val="00124032"/>
    <w:rsid w:val="001251DB"/>
    <w:rsid w:val="00126D49"/>
    <w:rsid w:val="001302E1"/>
    <w:rsid w:val="00136C59"/>
    <w:rsid w:val="0014262B"/>
    <w:rsid w:val="00143EC8"/>
    <w:rsid w:val="00146CE2"/>
    <w:rsid w:val="001476BA"/>
    <w:rsid w:val="00151395"/>
    <w:rsid w:val="00152DFC"/>
    <w:rsid w:val="00155573"/>
    <w:rsid w:val="001568BD"/>
    <w:rsid w:val="00160F14"/>
    <w:rsid w:val="00162E9D"/>
    <w:rsid w:val="00164EDB"/>
    <w:rsid w:val="0016538F"/>
    <w:rsid w:val="001669CD"/>
    <w:rsid w:val="0017124A"/>
    <w:rsid w:val="00171303"/>
    <w:rsid w:val="00172444"/>
    <w:rsid w:val="00174D1D"/>
    <w:rsid w:val="00175652"/>
    <w:rsid w:val="00175EE3"/>
    <w:rsid w:val="00176584"/>
    <w:rsid w:val="00177F7A"/>
    <w:rsid w:val="00180162"/>
    <w:rsid w:val="00182ED7"/>
    <w:rsid w:val="001832DE"/>
    <w:rsid w:val="00184572"/>
    <w:rsid w:val="0018563E"/>
    <w:rsid w:val="001909BB"/>
    <w:rsid w:val="00192C30"/>
    <w:rsid w:val="00194A21"/>
    <w:rsid w:val="00194FDF"/>
    <w:rsid w:val="00196926"/>
    <w:rsid w:val="00197507"/>
    <w:rsid w:val="001A0FBB"/>
    <w:rsid w:val="001A140A"/>
    <w:rsid w:val="001A190A"/>
    <w:rsid w:val="001A1A89"/>
    <w:rsid w:val="001A2240"/>
    <w:rsid w:val="001A2B65"/>
    <w:rsid w:val="001A3B81"/>
    <w:rsid w:val="001A7793"/>
    <w:rsid w:val="001A7D8B"/>
    <w:rsid w:val="001A7DA7"/>
    <w:rsid w:val="001B2BC8"/>
    <w:rsid w:val="001B2F93"/>
    <w:rsid w:val="001B2FCE"/>
    <w:rsid w:val="001B4ADE"/>
    <w:rsid w:val="001B4C8E"/>
    <w:rsid w:val="001B6122"/>
    <w:rsid w:val="001B73F2"/>
    <w:rsid w:val="001B78C1"/>
    <w:rsid w:val="001C4BD6"/>
    <w:rsid w:val="001C4E6E"/>
    <w:rsid w:val="001C522B"/>
    <w:rsid w:val="001D0BBA"/>
    <w:rsid w:val="001D1D91"/>
    <w:rsid w:val="001D1E33"/>
    <w:rsid w:val="001D2029"/>
    <w:rsid w:val="001D2CB1"/>
    <w:rsid w:val="001D33C9"/>
    <w:rsid w:val="001D3F98"/>
    <w:rsid w:val="001D5EC8"/>
    <w:rsid w:val="001D7C68"/>
    <w:rsid w:val="001E2C0E"/>
    <w:rsid w:val="001E63EF"/>
    <w:rsid w:val="001E736B"/>
    <w:rsid w:val="001F38CC"/>
    <w:rsid w:val="001F4255"/>
    <w:rsid w:val="001F4F05"/>
    <w:rsid w:val="002019DD"/>
    <w:rsid w:val="002022A4"/>
    <w:rsid w:val="0020303E"/>
    <w:rsid w:val="00203444"/>
    <w:rsid w:val="002037BC"/>
    <w:rsid w:val="00207E8F"/>
    <w:rsid w:val="002107AE"/>
    <w:rsid w:val="00211421"/>
    <w:rsid w:val="00212946"/>
    <w:rsid w:val="00213567"/>
    <w:rsid w:val="00214E37"/>
    <w:rsid w:val="0021669A"/>
    <w:rsid w:val="002179E0"/>
    <w:rsid w:val="00221D72"/>
    <w:rsid w:val="00223327"/>
    <w:rsid w:val="00223CDD"/>
    <w:rsid w:val="00225272"/>
    <w:rsid w:val="00226A65"/>
    <w:rsid w:val="00226D19"/>
    <w:rsid w:val="00233788"/>
    <w:rsid w:val="0023479E"/>
    <w:rsid w:val="00236BC0"/>
    <w:rsid w:val="00237321"/>
    <w:rsid w:val="00237BBB"/>
    <w:rsid w:val="00242C8F"/>
    <w:rsid w:val="00242D2C"/>
    <w:rsid w:val="002451B1"/>
    <w:rsid w:val="00246CCD"/>
    <w:rsid w:val="00250653"/>
    <w:rsid w:val="002519AA"/>
    <w:rsid w:val="0025209F"/>
    <w:rsid w:val="002576CA"/>
    <w:rsid w:val="00260BAF"/>
    <w:rsid w:val="00260EAB"/>
    <w:rsid w:val="00264825"/>
    <w:rsid w:val="00266FB9"/>
    <w:rsid w:val="002677ED"/>
    <w:rsid w:val="00271222"/>
    <w:rsid w:val="0027322B"/>
    <w:rsid w:val="00274C42"/>
    <w:rsid w:val="002750B6"/>
    <w:rsid w:val="002772A2"/>
    <w:rsid w:val="00277404"/>
    <w:rsid w:val="0028617F"/>
    <w:rsid w:val="0029307A"/>
    <w:rsid w:val="0029362A"/>
    <w:rsid w:val="002974B3"/>
    <w:rsid w:val="00297CB1"/>
    <w:rsid w:val="002A0872"/>
    <w:rsid w:val="002A10B9"/>
    <w:rsid w:val="002A1235"/>
    <w:rsid w:val="002A2F8B"/>
    <w:rsid w:val="002A38E7"/>
    <w:rsid w:val="002B12D1"/>
    <w:rsid w:val="002B356F"/>
    <w:rsid w:val="002B3C55"/>
    <w:rsid w:val="002B7361"/>
    <w:rsid w:val="002C1CBF"/>
    <w:rsid w:val="002C3412"/>
    <w:rsid w:val="002C3D5D"/>
    <w:rsid w:val="002C5B5A"/>
    <w:rsid w:val="002C60A4"/>
    <w:rsid w:val="002C661F"/>
    <w:rsid w:val="002C78C3"/>
    <w:rsid w:val="002D1461"/>
    <w:rsid w:val="002D20C1"/>
    <w:rsid w:val="002D30CA"/>
    <w:rsid w:val="002D51BF"/>
    <w:rsid w:val="002D611F"/>
    <w:rsid w:val="002D6249"/>
    <w:rsid w:val="002E12C1"/>
    <w:rsid w:val="002E139E"/>
    <w:rsid w:val="002E343A"/>
    <w:rsid w:val="002E39B8"/>
    <w:rsid w:val="002E45E0"/>
    <w:rsid w:val="002E5AF4"/>
    <w:rsid w:val="002E5EE1"/>
    <w:rsid w:val="002F13DB"/>
    <w:rsid w:val="002F2D71"/>
    <w:rsid w:val="002F3B3B"/>
    <w:rsid w:val="002F3FC7"/>
    <w:rsid w:val="002F48EC"/>
    <w:rsid w:val="002F6523"/>
    <w:rsid w:val="00302FC2"/>
    <w:rsid w:val="00305805"/>
    <w:rsid w:val="00306F6E"/>
    <w:rsid w:val="0031049F"/>
    <w:rsid w:val="00310DE4"/>
    <w:rsid w:val="0031221B"/>
    <w:rsid w:val="0031398F"/>
    <w:rsid w:val="00314407"/>
    <w:rsid w:val="003150E0"/>
    <w:rsid w:val="00316345"/>
    <w:rsid w:val="00321AC9"/>
    <w:rsid w:val="003270D3"/>
    <w:rsid w:val="003278F4"/>
    <w:rsid w:val="00327FF0"/>
    <w:rsid w:val="0033079F"/>
    <w:rsid w:val="003311F0"/>
    <w:rsid w:val="00331E3B"/>
    <w:rsid w:val="00332079"/>
    <w:rsid w:val="00333C7F"/>
    <w:rsid w:val="00334B7A"/>
    <w:rsid w:val="003378A5"/>
    <w:rsid w:val="00343192"/>
    <w:rsid w:val="003457D1"/>
    <w:rsid w:val="00347889"/>
    <w:rsid w:val="00347EBC"/>
    <w:rsid w:val="003506F4"/>
    <w:rsid w:val="0035337E"/>
    <w:rsid w:val="00353D07"/>
    <w:rsid w:val="003540A9"/>
    <w:rsid w:val="00354255"/>
    <w:rsid w:val="00354793"/>
    <w:rsid w:val="00354E4F"/>
    <w:rsid w:val="00357746"/>
    <w:rsid w:val="00357AF0"/>
    <w:rsid w:val="00362409"/>
    <w:rsid w:val="003657D9"/>
    <w:rsid w:val="0037194A"/>
    <w:rsid w:val="00371F8E"/>
    <w:rsid w:val="0037320E"/>
    <w:rsid w:val="00381086"/>
    <w:rsid w:val="0038401B"/>
    <w:rsid w:val="00384F5E"/>
    <w:rsid w:val="0038519E"/>
    <w:rsid w:val="00391914"/>
    <w:rsid w:val="00391E0F"/>
    <w:rsid w:val="00392FA5"/>
    <w:rsid w:val="0039497C"/>
    <w:rsid w:val="00397C09"/>
    <w:rsid w:val="003A2CB4"/>
    <w:rsid w:val="003A68ED"/>
    <w:rsid w:val="003B1621"/>
    <w:rsid w:val="003B1F61"/>
    <w:rsid w:val="003B1FA0"/>
    <w:rsid w:val="003B4450"/>
    <w:rsid w:val="003B4C9B"/>
    <w:rsid w:val="003B786B"/>
    <w:rsid w:val="003C0D79"/>
    <w:rsid w:val="003C1B04"/>
    <w:rsid w:val="003C6D8D"/>
    <w:rsid w:val="003D1423"/>
    <w:rsid w:val="003D1E39"/>
    <w:rsid w:val="003D243F"/>
    <w:rsid w:val="003D499B"/>
    <w:rsid w:val="003D506D"/>
    <w:rsid w:val="003D536B"/>
    <w:rsid w:val="003D5746"/>
    <w:rsid w:val="003D5F0F"/>
    <w:rsid w:val="003D640D"/>
    <w:rsid w:val="003D65CD"/>
    <w:rsid w:val="003D6EC3"/>
    <w:rsid w:val="003E0A59"/>
    <w:rsid w:val="003E2E19"/>
    <w:rsid w:val="003E5463"/>
    <w:rsid w:val="003E5576"/>
    <w:rsid w:val="003E6EEF"/>
    <w:rsid w:val="003E72B9"/>
    <w:rsid w:val="003F02AD"/>
    <w:rsid w:val="003F1E5B"/>
    <w:rsid w:val="003F7917"/>
    <w:rsid w:val="00400488"/>
    <w:rsid w:val="004023F1"/>
    <w:rsid w:val="00402B53"/>
    <w:rsid w:val="00402BAD"/>
    <w:rsid w:val="00402EF0"/>
    <w:rsid w:val="00403B80"/>
    <w:rsid w:val="004044F2"/>
    <w:rsid w:val="004059D1"/>
    <w:rsid w:val="00405A47"/>
    <w:rsid w:val="00411AB2"/>
    <w:rsid w:val="00415607"/>
    <w:rsid w:val="0041691A"/>
    <w:rsid w:val="0042198D"/>
    <w:rsid w:val="00423334"/>
    <w:rsid w:val="00426189"/>
    <w:rsid w:val="00427554"/>
    <w:rsid w:val="004316FE"/>
    <w:rsid w:val="00432338"/>
    <w:rsid w:val="00432E63"/>
    <w:rsid w:val="0043394F"/>
    <w:rsid w:val="00434BC5"/>
    <w:rsid w:val="00434DFE"/>
    <w:rsid w:val="004404CF"/>
    <w:rsid w:val="00444481"/>
    <w:rsid w:val="00451757"/>
    <w:rsid w:val="00453377"/>
    <w:rsid w:val="0045406A"/>
    <w:rsid w:val="0045596D"/>
    <w:rsid w:val="00461A89"/>
    <w:rsid w:val="0046319B"/>
    <w:rsid w:val="00463AEE"/>
    <w:rsid w:val="00463DD1"/>
    <w:rsid w:val="00466CA9"/>
    <w:rsid w:val="004672FD"/>
    <w:rsid w:val="004704E2"/>
    <w:rsid w:val="0047098F"/>
    <w:rsid w:val="0047218F"/>
    <w:rsid w:val="0047358D"/>
    <w:rsid w:val="00473ADC"/>
    <w:rsid w:val="00473DAD"/>
    <w:rsid w:val="00475CDB"/>
    <w:rsid w:val="00475E78"/>
    <w:rsid w:val="0047674A"/>
    <w:rsid w:val="00481C79"/>
    <w:rsid w:val="00486E36"/>
    <w:rsid w:val="004920B6"/>
    <w:rsid w:val="0049243C"/>
    <w:rsid w:val="00492BB1"/>
    <w:rsid w:val="00492EA5"/>
    <w:rsid w:val="00492F67"/>
    <w:rsid w:val="0049338C"/>
    <w:rsid w:val="00495ADF"/>
    <w:rsid w:val="00497034"/>
    <w:rsid w:val="004A07AB"/>
    <w:rsid w:val="004A2778"/>
    <w:rsid w:val="004B1B24"/>
    <w:rsid w:val="004B3583"/>
    <w:rsid w:val="004B3E35"/>
    <w:rsid w:val="004B45F3"/>
    <w:rsid w:val="004B6967"/>
    <w:rsid w:val="004C0743"/>
    <w:rsid w:val="004C0E0E"/>
    <w:rsid w:val="004C114F"/>
    <w:rsid w:val="004C2450"/>
    <w:rsid w:val="004C4001"/>
    <w:rsid w:val="004C439D"/>
    <w:rsid w:val="004C56A3"/>
    <w:rsid w:val="004D0161"/>
    <w:rsid w:val="004D06B2"/>
    <w:rsid w:val="004D197C"/>
    <w:rsid w:val="004D280A"/>
    <w:rsid w:val="004D3C37"/>
    <w:rsid w:val="004D4C19"/>
    <w:rsid w:val="004D652E"/>
    <w:rsid w:val="004E0E8D"/>
    <w:rsid w:val="004E330F"/>
    <w:rsid w:val="004E573F"/>
    <w:rsid w:val="004E589A"/>
    <w:rsid w:val="004F167F"/>
    <w:rsid w:val="004F413E"/>
    <w:rsid w:val="004F4DEA"/>
    <w:rsid w:val="004F7231"/>
    <w:rsid w:val="0050115D"/>
    <w:rsid w:val="00501CCB"/>
    <w:rsid w:val="00504DCF"/>
    <w:rsid w:val="00505A91"/>
    <w:rsid w:val="00505E55"/>
    <w:rsid w:val="00505F53"/>
    <w:rsid w:val="00506A2E"/>
    <w:rsid w:val="00511375"/>
    <w:rsid w:val="005123F4"/>
    <w:rsid w:val="005127DA"/>
    <w:rsid w:val="00512F04"/>
    <w:rsid w:val="00513836"/>
    <w:rsid w:val="00513E02"/>
    <w:rsid w:val="0051577F"/>
    <w:rsid w:val="00516D68"/>
    <w:rsid w:val="00517264"/>
    <w:rsid w:val="00520DE7"/>
    <w:rsid w:val="005217EF"/>
    <w:rsid w:val="0052273D"/>
    <w:rsid w:val="005262FC"/>
    <w:rsid w:val="00530659"/>
    <w:rsid w:val="005310D5"/>
    <w:rsid w:val="00531587"/>
    <w:rsid w:val="00534DAB"/>
    <w:rsid w:val="005360F6"/>
    <w:rsid w:val="005375D0"/>
    <w:rsid w:val="00541CA2"/>
    <w:rsid w:val="00544752"/>
    <w:rsid w:val="00544A83"/>
    <w:rsid w:val="005453DD"/>
    <w:rsid w:val="00546209"/>
    <w:rsid w:val="00550EA3"/>
    <w:rsid w:val="00551F4D"/>
    <w:rsid w:val="00552CE7"/>
    <w:rsid w:val="00554570"/>
    <w:rsid w:val="00557329"/>
    <w:rsid w:val="0055752E"/>
    <w:rsid w:val="00563B57"/>
    <w:rsid w:val="00570282"/>
    <w:rsid w:val="0057189D"/>
    <w:rsid w:val="005749DD"/>
    <w:rsid w:val="0057707D"/>
    <w:rsid w:val="00582F64"/>
    <w:rsid w:val="0058360B"/>
    <w:rsid w:val="005838C1"/>
    <w:rsid w:val="0058517E"/>
    <w:rsid w:val="0058763F"/>
    <w:rsid w:val="005909A3"/>
    <w:rsid w:val="00590C43"/>
    <w:rsid w:val="005928C4"/>
    <w:rsid w:val="0059317F"/>
    <w:rsid w:val="005A1566"/>
    <w:rsid w:val="005A4B29"/>
    <w:rsid w:val="005A4FA4"/>
    <w:rsid w:val="005A7F97"/>
    <w:rsid w:val="005B21C5"/>
    <w:rsid w:val="005B2FDB"/>
    <w:rsid w:val="005B4154"/>
    <w:rsid w:val="005B58D8"/>
    <w:rsid w:val="005C1AEB"/>
    <w:rsid w:val="005C255F"/>
    <w:rsid w:val="005C5322"/>
    <w:rsid w:val="005C54A8"/>
    <w:rsid w:val="005D0E83"/>
    <w:rsid w:val="005E0B1F"/>
    <w:rsid w:val="005E1462"/>
    <w:rsid w:val="005E153C"/>
    <w:rsid w:val="005E217C"/>
    <w:rsid w:val="005E62F2"/>
    <w:rsid w:val="005F0EAD"/>
    <w:rsid w:val="005F11AA"/>
    <w:rsid w:val="005F348F"/>
    <w:rsid w:val="005F3E92"/>
    <w:rsid w:val="005F4F17"/>
    <w:rsid w:val="00601E51"/>
    <w:rsid w:val="006040A6"/>
    <w:rsid w:val="006048A8"/>
    <w:rsid w:val="00605B8B"/>
    <w:rsid w:val="00606C95"/>
    <w:rsid w:val="00606CAC"/>
    <w:rsid w:val="00613A18"/>
    <w:rsid w:val="00613DEF"/>
    <w:rsid w:val="00622A6F"/>
    <w:rsid w:val="006269EB"/>
    <w:rsid w:val="00626DBA"/>
    <w:rsid w:val="00626FBE"/>
    <w:rsid w:val="00632AAE"/>
    <w:rsid w:val="00633569"/>
    <w:rsid w:val="00635CB0"/>
    <w:rsid w:val="0063681F"/>
    <w:rsid w:val="00641F2B"/>
    <w:rsid w:val="00651D86"/>
    <w:rsid w:val="006576F9"/>
    <w:rsid w:val="006577DB"/>
    <w:rsid w:val="00657935"/>
    <w:rsid w:val="0065799B"/>
    <w:rsid w:val="006616A3"/>
    <w:rsid w:val="00661A68"/>
    <w:rsid w:val="00662BD9"/>
    <w:rsid w:val="00663D09"/>
    <w:rsid w:val="00665CF8"/>
    <w:rsid w:val="0067088C"/>
    <w:rsid w:val="006713F3"/>
    <w:rsid w:val="00671F3A"/>
    <w:rsid w:val="00672146"/>
    <w:rsid w:val="006757F3"/>
    <w:rsid w:val="006763FF"/>
    <w:rsid w:val="00682082"/>
    <w:rsid w:val="006823B5"/>
    <w:rsid w:val="006905FD"/>
    <w:rsid w:val="006919E2"/>
    <w:rsid w:val="00692036"/>
    <w:rsid w:val="00693801"/>
    <w:rsid w:val="00695829"/>
    <w:rsid w:val="00697F76"/>
    <w:rsid w:val="006A10BF"/>
    <w:rsid w:val="006A1869"/>
    <w:rsid w:val="006A2387"/>
    <w:rsid w:val="006A4B0E"/>
    <w:rsid w:val="006A604F"/>
    <w:rsid w:val="006A70D3"/>
    <w:rsid w:val="006B14CF"/>
    <w:rsid w:val="006B2C4D"/>
    <w:rsid w:val="006B2EBD"/>
    <w:rsid w:val="006B2FAC"/>
    <w:rsid w:val="006B390F"/>
    <w:rsid w:val="006B3CB0"/>
    <w:rsid w:val="006B4264"/>
    <w:rsid w:val="006B4955"/>
    <w:rsid w:val="006C5CA0"/>
    <w:rsid w:val="006C7732"/>
    <w:rsid w:val="006D3678"/>
    <w:rsid w:val="006D4600"/>
    <w:rsid w:val="006D50FA"/>
    <w:rsid w:val="006D69AB"/>
    <w:rsid w:val="006D7667"/>
    <w:rsid w:val="006E2440"/>
    <w:rsid w:val="006E490F"/>
    <w:rsid w:val="006E49A2"/>
    <w:rsid w:val="006E5049"/>
    <w:rsid w:val="006E6CB6"/>
    <w:rsid w:val="006E78C6"/>
    <w:rsid w:val="006F2341"/>
    <w:rsid w:val="006F2566"/>
    <w:rsid w:val="006F5CF8"/>
    <w:rsid w:val="006F5F5D"/>
    <w:rsid w:val="006F64C8"/>
    <w:rsid w:val="00700371"/>
    <w:rsid w:val="00705318"/>
    <w:rsid w:val="00706653"/>
    <w:rsid w:val="00706A2E"/>
    <w:rsid w:val="007073AA"/>
    <w:rsid w:val="00707527"/>
    <w:rsid w:val="0070791E"/>
    <w:rsid w:val="00707F96"/>
    <w:rsid w:val="00710C1E"/>
    <w:rsid w:val="00711B0E"/>
    <w:rsid w:val="00712259"/>
    <w:rsid w:val="007123CF"/>
    <w:rsid w:val="00713F77"/>
    <w:rsid w:val="0071443E"/>
    <w:rsid w:val="00717571"/>
    <w:rsid w:val="00720E5F"/>
    <w:rsid w:val="00722078"/>
    <w:rsid w:val="00723730"/>
    <w:rsid w:val="00726255"/>
    <w:rsid w:val="00736568"/>
    <w:rsid w:val="00736695"/>
    <w:rsid w:val="007367F8"/>
    <w:rsid w:val="00737857"/>
    <w:rsid w:val="00737E36"/>
    <w:rsid w:val="0074013E"/>
    <w:rsid w:val="007404C6"/>
    <w:rsid w:val="00743CDF"/>
    <w:rsid w:val="00744480"/>
    <w:rsid w:val="00746729"/>
    <w:rsid w:val="00746CEF"/>
    <w:rsid w:val="00747F72"/>
    <w:rsid w:val="0075184D"/>
    <w:rsid w:val="00752DD1"/>
    <w:rsid w:val="0075331E"/>
    <w:rsid w:val="00755297"/>
    <w:rsid w:val="0075787E"/>
    <w:rsid w:val="00762204"/>
    <w:rsid w:val="00764138"/>
    <w:rsid w:val="0076448A"/>
    <w:rsid w:val="00764529"/>
    <w:rsid w:val="0076759A"/>
    <w:rsid w:val="00767FC8"/>
    <w:rsid w:val="00773689"/>
    <w:rsid w:val="0077368F"/>
    <w:rsid w:val="00775802"/>
    <w:rsid w:val="00777ECE"/>
    <w:rsid w:val="00781CD7"/>
    <w:rsid w:val="00782650"/>
    <w:rsid w:val="007838EC"/>
    <w:rsid w:val="00783F6C"/>
    <w:rsid w:val="00785001"/>
    <w:rsid w:val="00785152"/>
    <w:rsid w:val="007863A5"/>
    <w:rsid w:val="00786946"/>
    <w:rsid w:val="00786C85"/>
    <w:rsid w:val="00787D03"/>
    <w:rsid w:val="00794D05"/>
    <w:rsid w:val="00797394"/>
    <w:rsid w:val="007A01DA"/>
    <w:rsid w:val="007A0E71"/>
    <w:rsid w:val="007A2855"/>
    <w:rsid w:val="007A5C67"/>
    <w:rsid w:val="007B0011"/>
    <w:rsid w:val="007B18BA"/>
    <w:rsid w:val="007B276C"/>
    <w:rsid w:val="007B431E"/>
    <w:rsid w:val="007B5258"/>
    <w:rsid w:val="007B7CA5"/>
    <w:rsid w:val="007C3C05"/>
    <w:rsid w:val="007C41F8"/>
    <w:rsid w:val="007C47F1"/>
    <w:rsid w:val="007C4997"/>
    <w:rsid w:val="007C4A4E"/>
    <w:rsid w:val="007C5283"/>
    <w:rsid w:val="007C5774"/>
    <w:rsid w:val="007C5C17"/>
    <w:rsid w:val="007C5DCF"/>
    <w:rsid w:val="007C61A3"/>
    <w:rsid w:val="007C7074"/>
    <w:rsid w:val="007C780C"/>
    <w:rsid w:val="007C7F35"/>
    <w:rsid w:val="007D3125"/>
    <w:rsid w:val="007D41D0"/>
    <w:rsid w:val="007D505B"/>
    <w:rsid w:val="007E095A"/>
    <w:rsid w:val="007E15BB"/>
    <w:rsid w:val="007E16F1"/>
    <w:rsid w:val="007E2BE0"/>
    <w:rsid w:val="007E3A16"/>
    <w:rsid w:val="007E4A5C"/>
    <w:rsid w:val="007E6753"/>
    <w:rsid w:val="007F114B"/>
    <w:rsid w:val="007F2646"/>
    <w:rsid w:val="007F293F"/>
    <w:rsid w:val="007F2F9B"/>
    <w:rsid w:val="007F3D8A"/>
    <w:rsid w:val="007F50C9"/>
    <w:rsid w:val="007F5101"/>
    <w:rsid w:val="007F576C"/>
    <w:rsid w:val="007F7D99"/>
    <w:rsid w:val="00800266"/>
    <w:rsid w:val="00802300"/>
    <w:rsid w:val="00802723"/>
    <w:rsid w:val="00802D38"/>
    <w:rsid w:val="0080470E"/>
    <w:rsid w:val="00804E98"/>
    <w:rsid w:val="00805371"/>
    <w:rsid w:val="00806F38"/>
    <w:rsid w:val="00807D01"/>
    <w:rsid w:val="00807E0E"/>
    <w:rsid w:val="00810192"/>
    <w:rsid w:val="00811C2D"/>
    <w:rsid w:val="008146EC"/>
    <w:rsid w:val="00814EEC"/>
    <w:rsid w:val="00816157"/>
    <w:rsid w:val="00816276"/>
    <w:rsid w:val="0081656F"/>
    <w:rsid w:val="00817741"/>
    <w:rsid w:val="00820992"/>
    <w:rsid w:val="00821BF9"/>
    <w:rsid w:val="0082405E"/>
    <w:rsid w:val="008241F7"/>
    <w:rsid w:val="0082657F"/>
    <w:rsid w:val="00827F59"/>
    <w:rsid w:val="00831451"/>
    <w:rsid w:val="00832BA3"/>
    <w:rsid w:val="00832F11"/>
    <w:rsid w:val="00833A37"/>
    <w:rsid w:val="008357CC"/>
    <w:rsid w:val="00836092"/>
    <w:rsid w:val="0084166B"/>
    <w:rsid w:val="008423C2"/>
    <w:rsid w:val="00844FC2"/>
    <w:rsid w:val="00847929"/>
    <w:rsid w:val="00855447"/>
    <w:rsid w:val="00856CF5"/>
    <w:rsid w:val="00857732"/>
    <w:rsid w:val="0086043F"/>
    <w:rsid w:val="00861844"/>
    <w:rsid w:val="00870307"/>
    <w:rsid w:val="00872F62"/>
    <w:rsid w:val="0087417D"/>
    <w:rsid w:val="00874B4A"/>
    <w:rsid w:val="008807B7"/>
    <w:rsid w:val="008808FA"/>
    <w:rsid w:val="00880F78"/>
    <w:rsid w:val="008815DF"/>
    <w:rsid w:val="00881B1D"/>
    <w:rsid w:val="00882B97"/>
    <w:rsid w:val="008864F1"/>
    <w:rsid w:val="008973BD"/>
    <w:rsid w:val="008A0231"/>
    <w:rsid w:val="008A05C3"/>
    <w:rsid w:val="008A0A0F"/>
    <w:rsid w:val="008A38DB"/>
    <w:rsid w:val="008A3CF6"/>
    <w:rsid w:val="008A4C91"/>
    <w:rsid w:val="008A7757"/>
    <w:rsid w:val="008B0025"/>
    <w:rsid w:val="008B3BC8"/>
    <w:rsid w:val="008B450B"/>
    <w:rsid w:val="008B4FA1"/>
    <w:rsid w:val="008B60F3"/>
    <w:rsid w:val="008B61A1"/>
    <w:rsid w:val="008B6835"/>
    <w:rsid w:val="008B79CD"/>
    <w:rsid w:val="008B7E3C"/>
    <w:rsid w:val="008C3FC1"/>
    <w:rsid w:val="008C5009"/>
    <w:rsid w:val="008C5BD6"/>
    <w:rsid w:val="008C62A1"/>
    <w:rsid w:val="008D04AF"/>
    <w:rsid w:val="008D0635"/>
    <w:rsid w:val="008D1165"/>
    <w:rsid w:val="008D43BE"/>
    <w:rsid w:val="008D460B"/>
    <w:rsid w:val="008D4E9B"/>
    <w:rsid w:val="008D70F9"/>
    <w:rsid w:val="008E0EF2"/>
    <w:rsid w:val="008E30F5"/>
    <w:rsid w:val="008E4CA1"/>
    <w:rsid w:val="008E6EB0"/>
    <w:rsid w:val="008E7D6E"/>
    <w:rsid w:val="008F17D9"/>
    <w:rsid w:val="008F5037"/>
    <w:rsid w:val="008F55FE"/>
    <w:rsid w:val="00900586"/>
    <w:rsid w:val="00901605"/>
    <w:rsid w:val="009051AA"/>
    <w:rsid w:val="009062D0"/>
    <w:rsid w:val="00906F6F"/>
    <w:rsid w:val="009164CC"/>
    <w:rsid w:val="009201B0"/>
    <w:rsid w:val="0092164B"/>
    <w:rsid w:val="00924407"/>
    <w:rsid w:val="009259F9"/>
    <w:rsid w:val="00926D45"/>
    <w:rsid w:val="00927953"/>
    <w:rsid w:val="00927E17"/>
    <w:rsid w:val="00930261"/>
    <w:rsid w:val="00932612"/>
    <w:rsid w:val="00932B36"/>
    <w:rsid w:val="009337FD"/>
    <w:rsid w:val="0093442F"/>
    <w:rsid w:val="00937302"/>
    <w:rsid w:val="009375C5"/>
    <w:rsid w:val="0094121A"/>
    <w:rsid w:val="009437BC"/>
    <w:rsid w:val="00944BB4"/>
    <w:rsid w:val="00946D72"/>
    <w:rsid w:val="00946DAE"/>
    <w:rsid w:val="00946DFE"/>
    <w:rsid w:val="00947647"/>
    <w:rsid w:val="00947A84"/>
    <w:rsid w:val="0095131C"/>
    <w:rsid w:val="009526E6"/>
    <w:rsid w:val="00954B14"/>
    <w:rsid w:val="00955329"/>
    <w:rsid w:val="009617DF"/>
    <w:rsid w:val="00963BD5"/>
    <w:rsid w:val="00970F6E"/>
    <w:rsid w:val="009716D5"/>
    <w:rsid w:val="009752B7"/>
    <w:rsid w:val="00975B68"/>
    <w:rsid w:val="00977A46"/>
    <w:rsid w:val="00981374"/>
    <w:rsid w:val="00982182"/>
    <w:rsid w:val="009875AE"/>
    <w:rsid w:val="009916B9"/>
    <w:rsid w:val="009934B2"/>
    <w:rsid w:val="00993BE0"/>
    <w:rsid w:val="009960C6"/>
    <w:rsid w:val="009979B6"/>
    <w:rsid w:val="00997B58"/>
    <w:rsid w:val="00997F2B"/>
    <w:rsid w:val="009A0D93"/>
    <w:rsid w:val="009A230F"/>
    <w:rsid w:val="009A34B3"/>
    <w:rsid w:val="009A41A4"/>
    <w:rsid w:val="009A5D09"/>
    <w:rsid w:val="009A703B"/>
    <w:rsid w:val="009A7920"/>
    <w:rsid w:val="009A7DB5"/>
    <w:rsid w:val="009B0B1F"/>
    <w:rsid w:val="009B11F9"/>
    <w:rsid w:val="009B66BB"/>
    <w:rsid w:val="009C0523"/>
    <w:rsid w:val="009C0724"/>
    <w:rsid w:val="009C1BE3"/>
    <w:rsid w:val="009C6EA2"/>
    <w:rsid w:val="009D0E6A"/>
    <w:rsid w:val="009D33E3"/>
    <w:rsid w:val="009E0FB3"/>
    <w:rsid w:val="009E2854"/>
    <w:rsid w:val="009E335E"/>
    <w:rsid w:val="009E3F99"/>
    <w:rsid w:val="009E4DC5"/>
    <w:rsid w:val="009E609A"/>
    <w:rsid w:val="009F174C"/>
    <w:rsid w:val="009F1792"/>
    <w:rsid w:val="009F1D66"/>
    <w:rsid w:val="009F2C02"/>
    <w:rsid w:val="009F2CDB"/>
    <w:rsid w:val="009F3BBD"/>
    <w:rsid w:val="009F43E9"/>
    <w:rsid w:val="009F448A"/>
    <w:rsid w:val="009F4661"/>
    <w:rsid w:val="009F6C56"/>
    <w:rsid w:val="009F6D65"/>
    <w:rsid w:val="00A00226"/>
    <w:rsid w:val="00A00AC1"/>
    <w:rsid w:val="00A00CAE"/>
    <w:rsid w:val="00A064E7"/>
    <w:rsid w:val="00A113C1"/>
    <w:rsid w:val="00A128E8"/>
    <w:rsid w:val="00A138C0"/>
    <w:rsid w:val="00A14087"/>
    <w:rsid w:val="00A15F7A"/>
    <w:rsid w:val="00A177C0"/>
    <w:rsid w:val="00A234D4"/>
    <w:rsid w:val="00A23F2B"/>
    <w:rsid w:val="00A24170"/>
    <w:rsid w:val="00A3064C"/>
    <w:rsid w:val="00A31E66"/>
    <w:rsid w:val="00A32B08"/>
    <w:rsid w:val="00A330BE"/>
    <w:rsid w:val="00A34899"/>
    <w:rsid w:val="00A35FD5"/>
    <w:rsid w:val="00A365D7"/>
    <w:rsid w:val="00A40208"/>
    <w:rsid w:val="00A4117E"/>
    <w:rsid w:val="00A43ED4"/>
    <w:rsid w:val="00A45B43"/>
    <w:rsid w:val="00A523D9"/>
    <w:rsid w:val="00A531F7"/>
    <w:rsid w:val="00A53954"/>
    <w:rsid w:val="00A61241"/>
    <w:rsid w:val="00A63B06"/>
    <w:rsid w:val="00A64BB4"/>
    <w:rsid w:val="00A65419"/>
    <w:rsid w:val="00A6653A"/>
    <w:rsid w:val="00A718D2"/>
    <w:rsid w:val="00A71DDD"/>
    <w:rsid w:val="00A75B3C"/>
    <w:rsid w:val="00A76E2E"/>
    <w:rsid w:val="00A861AA"/>
    <w:rsid w:val="00A86AB6"/>
    <w:rsid w:val="00A87D81"/>
    <w:rsid w:val="00A90888"/>
    <w:rsid w:val="00A92395"/>
    <w:rsid w:val="00A9344A"/>
    <w:rsid w:val="00A935D1"/>
    <w:rsid w:val="00A95E62"/>
    <w:rsid w:val="00A97E97"/>
    <w:rsid w:val="00AA295A"/>
    <w:rsid w:val="00AA4B30"/>
    <w:rsid w:val="00AA573E"/>
    <w:rsid w:val="00AA601E"/>
    <w:rsid w:val="00AA6A82"/>
    <w:rsid w:val="00AA6EB9"/>
    <w:rsid w:val="00AB01B4"/>
    <w:rsid w:val="00AB18D6"/>
    <w:rsid w:val="00AB26EE"/>
    <w:rsid w:val="00AB3928"/>
    <w:rsid w:val="00AB6D73"/>
    <w:rsid w:val="00AC6ACE"/>
    <w:rsid w:val="00AC6F14"/>
    <w:rsid w:val="00AD4A59"/>
    <w:rsid w:val="00AD5167"/>
    <w:rsid w:val="00AD5D12"/>
    <w:rsid w:val="00AD6036"/>
    <w:rsid w:val="00AD755E"/>
    <w:rsid w:val="00AE0C84"/>
    <w:rsid w:val="00AE15A5"/>
    <w:rsid w:val="00AE5483"/>
    <w:rsid w:val="00AE6202"/>
    <w:rsid w:val="00AE67E7"/>
    <w:rsid w:val="00AF2B1E"/>
    <w:rsid w:val="00AF367A"/>
    <w:rsid w:val="00AF376C"/>
    <w:rsid w:val="00B030C7"/>
    <w:rsid w:val="00B03C9C"/>
    <w:rsid w:val="00B046CE"/>
    <w:rsid w:val="00B05D91"/>
    <w:rsid w:val="00B104F7"/>
    <w:rsid w:val="00B11661"/>
    <w:rsid w:val="00B13BDD"/>
    <w:rsid w:val="00B14A65"/>
    <w:rsid w:val="00B14DA8"/>
    <w:rsid w:val="00B20569"/>
    <w:rsid w:val="00B209D4"/>
    <w:rsid w:val="00B231F5"/>
    <w:rsid w:val="00B2345E"/>
    <w:rsid w:val="00B234E3"/>
    <w:rsid w:val="00B2468F"/>
    <w:rsid w:val="00B26B7B"/>
    <w:rsid w:val="00B26EC9"/>
    <w:rsid w:val="00B27BCB"/>
    <w:rsid w:val="00B30426"/>
    <w:rsid w:val="00B331FA"/>
    <w:rsid w:val="00B3350A"/>
    <w:rsid w:val="00B35B2E"/>
    <w:rsid w:val="00B36FC5"/>
    <w:rsid w:val="00B37499"/>
    <w:rsid w:val="00B37A70"/>
    <w:rsid w:val="00B4037E"/>
    <w:rsid w:val="00B41E5F"/>
    <w:rsid w:val="00B432D0"/>
    <w:rsid w:val="00B4410E"/>
    <w:rsid w:val="00B458F3"/>
    <w:rsid w:val="00B50CA6"/>
    <w:rsid w:val="00B53E72"/>
    <w:rsid w:val="00B547BE"/>
    <w:rsid w:val="00B56C2A"/>
    <w:rsid w:val="00B56C77"/>
    <w:rsid w:val="00B57FE7"/>
    <w:rsid w:val="00B639C3"/>
    <w:rsid w:val="00B657CD"/>
    <w:rsid w:val="00B70FBC"/>
    <w:rsid w:val="00B7271C"/>
    <w:rsid w:val="00B76002"/>
    <w:rsid w:val="00B775F7"/>
    <w:rsid w:val="00B77A91"/>
    <w:rsid w:val="00B802BC"/>
    <w:rsid w:val="00B80442"/>
    <w:rsid w:val="00B81407"/>
    <w:rsid w:val="00B81ADC"/>
    <w:rsid w:val="00B854D4"/>
    <w:rsid w:val="00B864FD"/>
    <w:rsid w:val="00B93B9C"/>
    <w:rsid w:val="00BA1428"/>
    <w:rsid w:val="00BA146A"/>
    <w:rsid w:val="00BA52EC"/>
    <w:rsid w:val="00BA5BD1"/>
    <w:rsid w:val="00BA5E5B"/>
    <w:rsid w:val="00BB1492"/>
    <w:rsid w:val="00BB32AE"/>
    <w:rsid w:val="00BB5EAA"/>
    <w:rsid w:val="00BB69B8"/>
    <w:rsid w:val="00BB7CFA"/>
    <w:rsid w:val="00BC1F78"/>
    <w:rsid w:val="00BC27F0"/>
    <w:rsid w:val="00BC3470"/>
    <w:rsid w:val="00BC36AB"/>
    <w:rsid w:val="00BC378F"/>
    <w:rsid w:val="00BD1420"/>
    <w:rsid w:val="00BD1D9A"/>
    <w:rsid w:val="00BD4AC7"/>
    <w:rsid w:val="00BD520D"/>
    <w:rsid w:val="00BD60B3"/>
    <w:rsid w:val="00BE206D"/>
    <w:rsid w:val="00BE2D02"/>
    <w:rsid w:val="00BE3378"/>
    <w:rsid w:val="00BE4187"/>
    <w:rsid w:val="00BE4639"/>
    <w:rsid w:val="00BE50F7"/>
    <w:rsid w:val="00BF3388"/>
    <w:rsid w:val="00BF4800"/>
    <w:rsid w:val="00BF72E1"/>
    <w:rsid w:val="00C0461D"/>
    <w:rsid w:val="00C056FE"/>
    <w:rsid w:val="00C11A7B"/>
    <w:rsid w:val="00C149ED"/>
    <w:rsid w:val="00C14F09"/>
    <w:rsid w:val="00C156AA"/>
    <w:rsid w:val="00C162E9"/>
    <w:rsid w:val="00C207AD"/>
    <w:rsid w:val="00C2105B"/>
    <w:rsid w:val="00C273B7"/>
    <w:rsid w:val="00C30EA5"/>
    <w:rsid w:val="00C325DA"/>
    <w:rsid w:val="00C32C39"/>
    <w:rsid w:val="00C37E97"/>
    <w:rsid w:val="00C40D2F"/>
    <w:rsid w:val="00C5015B"/>
    <w:rsid w:val="00C52EC6"/>
    <w:rsid w:val="00C5327F"/>
    <w:rsid w:val="00C533F4"/>
    <w:rsid w:val="00C54030"/>
    <w:rsid w:val="00C549E2"/>
    <w:rsid w:val="00C54F27"/>
    <w:rsid w:val="00C56316"/>
    <w:rsid w:val="00C57DB3"/>
    <w:rsid w:val="00C57DF3"/>
    <w:rsid w:val="00C606F0"/>
    <w:rsid w:val="00C62587"/>
    <w:rsid w:val="00C62900"/>
    <w:rsid w:val="00C630A3"/>
    <w:rsid w:val="00C634F2"/>
    <w:rsid w:val="00C65FD6"/>
    <w:rsid w:val="00C66B15"/>
    <w:rsid w:val="00C715C1"/>
    <w:rsid w:val="00C74528"/>
    <w:rsid w:val="00C74643"/>
    <w:rsid w:val="00C764DD"/>
    <w:rsid w:val="00C81A36"/>
    <w:rsid w:val="00C81D0B"/>
    <w:rsid w:val="00C844D6"/>
    <w:rsid w:val="00C86C05"/>
    <w:rsid w:val="00C908E8"/>
    <w:rsid w:val="00C91568"/>
    <w:rsid w:val="00C9326D"/>
    <w:rsid w:val="00C93F07"/>
    <w:rsid w:val="00C95609"/>
    <w:rsid w:val="00CA0C55"/>
    <w:rsid w:val="00CA1153"/>
    <w:rsid w:val="00CA2CC5"/>
    <w:rsid w:val="00CA3E4A"/>
    <w:rsid w:val="00CA4F62"/>
    <w:rsid w:val="00CA5CCF"/>
    <w:rsid w:val="00CA6A7F"/>
    <w:rsid w:val="00CA6F19"/>
    <w:rsid w:val="00CB0350"/>
    <w:rsid w:val="00CB0B7A"/>
    <w:rsid w:val="00CB6FA9"/>
    <w:rsid w:val="00CC2139"/>
    <w:rsid w:val="00CC2390"/>
    <w:rsid w:val="00CC52E5"/>
    <w:rsid w:val="00CD058F"/>
    <w:rsid w:val="00CD0CA0"/>
    <w:rsid w:val="00CD3522"/>
    <w:rsid w:val="00CD3575"/>
    <w:rsid w:val="00CD5B39"/>
    <w:rsid w:val="00CD6A6D"/>
    <w:rsid w:val="00CE1379"/>
    <w:rsid w:val="00CE2E23"/>
    <w:rsid w:val="00CE5CD9"/>
    <w:rsid w:val="00CF00AC"/>
    <w:rsid w:val="00CF0596"/>
    <w:rsid w:val="00CF2233"/>
    <w:rsid w:val="00CF22F5"/>
    <w:rsid w:val="00CF260B"/>
    <w:rsid w:val="00CF48D3"/>
    <w:rsid w:val="00CF6959"/>
    <w:rsid w:val="00CF6FFE"/>
    <w:rsid w:val="00CF72D5"/>
    <w:rsid w:val="00D03C09"/>
    <w:rsid w:val="00D045B8"/>
    <w:rsid w:val="00D073ED"/>
    <w:rsid w:val="00D11CC1"/>
    <w:rsid w:val="00D2145A"/>
    <w:rsid w:val="00D25293"/>
    <w:rsid w:val="00D27169"/>
    <w:rsid w:val="00D3160C"/>
    <w:rsid w:val="00D34D18"/>
    <w:rsid w:val="00D358C3"/>
    <w:rsid w:val="00D37AC9"/>
    <w:rsid w:val="00D428B5"/>
    <w:rsid w:val="00D42CD4"/>
    <w:rsid w:val="00D43171"/>
    <w:rsid w:val="00D43F13"/>
    <w:rsid w:val="00D447A5"/>
    <w:rsid w:val="00D44F01"/>
    <w:rsid w:val="00D4534A"/>
    <w:rsid w:val="00D46A91"/>
    <w:rsid w:val="00D46D1A"/>
    <w:rsid w:val="00D47208"/>
    <w:rsid w:val="00D5163B"/>
    <w:rsid w:val="00D51B43"/>
    <w:rsid w:val="00D52AD0"/>
    <w:rsid w:val="00D54038"/>
    <w:rsid w:val="00D557BC"/>
    <w:rsid w:val="00D55B17"/>
    <w:rsid w:val="00D565F0"/>
    <w:rsid w:val="00D61E64"/>
    <w:rsid w:val="00D6238E"/>
    <w:rsid w:val="00D6798C"/>
    <w:rsid w:val="00D70C31"/>
    <w:rsid w:val="00D70D55"/>
    <w:rsid w:val="00D766BA"/>
    <w:rsid w:val="00D7688C"/>
    <w:rsid w:val="00D80728"/>
    <w:rsid w:val="00D820DC"/>
    <w:rsid w:val="00D83866"/>
    <w:rsid w:val="00D8693B"/>
    <w:rsid w:val="00D8708B"/>
    <w:rsid w:val="00D901E3"/>
    <w:rsid w:val="00D92133"/>
    <w:rsid w:val="00D924E3"/>
    <w:rsid w:val="00D92D78"/>
    <w:rsid w:val="00D946CC"/>
    <w:rsid w:val="00D95ECA"/>
    <w:rsid w:val="00D96218"/>
    <w:rsid w:val="00D9669A"/>
    <w:rsid w:val="00DA0C0D"/>
    <w:rsid w:val="00DA6C70"/>
    <w:rsid w:val="00DA7CA8"/>
    <w:rsid w:val="00DB278E"/>
    <w:rsid w:val="00DB4B60"/>
    <w:rsid w:val="00DB5E1A"/>
    <w:rsid w:val="00DC1339"/>
    <w:rsid w:val="00DC20D7"/>
    <w:rsid w:val="00DC304E"/>
    <w:rsid w:val="00DC5F73"/>
    <w:rsid w:val="00DC69D5"/>
    <w:rsid w:val="00DC782E"/>
    <w:rsid w:val="00DD248A"/>
    <w:rsid w:val="00DD297C"/>
    <w:rsid w:val="00DD3188"/>
    <w:rsid w:val="00DD36B8"/>
    <w:rsid w:val="00DD39B1"/>
    <w:rsid w:val="00DD549C"/>
    <w:rsid w:val="00DE2328"/>
    <w:rsid w:val="00DE3FBE"/>
    <w:rsid w:val="00DE445B"/>
    <w:rsid w:val="00DE5245"/>
    <w:rsid w:val="00DE5269"/>
    <w:rsid w:val="00DF0DEF"/>
    <w:rsid w:val="00DF3432"/>
    <w:rsid w:val="00DF34A7"/>
    <w:rsid w:val="00DF3B46"/>
    <w:rsid w:val="00DF4417"/>
    <w:rsid w:val="00DF5887"/>
    <w:rsid w:val="00DF683D"/>
    <w:rsid w:val="00DF693C"/>
    <w:rsid w:val="00DF6E59"/>
    <w:rsid w:val="00E021DF"/>
    <w:rsid w:val="00E03AE4"/>
    <w:rsid w:val="00E04C62"/>
    <w:rsid w:val="00E0651E"/>
    <w:rsid w:val="00E07659"/>
    <w:rsid w:val="00E1300D"/>
    <w:rsid w:val="00E13487"/>
    <w:rsid w:val="00E23456"/>
    <w:rsid w:val="00E24A6A"/>
    <w:rsid w:val="00E2547A"/>
    <w:rsid w:val="00E26A30"/>
    <w:rsid w:val="00E37467"/>
    <w:rsid w:val="00E377A1"/>
    <w:rsid w:val="00E40C6A"/>
    <w:rsid w:val="00E429AE"/>
    <w:rsid w:val="00E42D53"/>
    <w:rsid w:val="00E46D97"/>
    <w:rsid w:val="00E5341B"/>
    <w:rsid w:val="00E55082"/>
    <w:rsid w:val="00E61FAB"/>
    <w:rsid w:val="00E62A23"/>
    <w:rsid w:val="00E65C2F"/>
    <w:rsid w:val="00E65D46"/>
    <w:rsid w:val="00E666E3"/>
    <w:rsid w:val="00E66F29"/>
    <w:rsid w:val="00E67599"/>
    <w:rsid w:val="00E67EB8"/>
    <w:rsid w:val="00E700AB"/>
    <w:rsid w:val="00E717B2"/>
    <w:rsid w:val="00E719CF"/>
    <w:rsid w:val="00E72F19"/>
    <w:rsid w:val="00E72F55"/>
    <w:rsid w:val="00E81C80"/>
    <w:rsid w:val="00E8217C"/>
    <w:rsid w:val="00E82257"/>
    <w:rsid w:val="00E829BB"/>
    <w:rsid w:val="00E853E8"/>
    <w:rsid w:val="00E85474"/>
    <w:rsid w:val="00E85F80"/>
    <w:rsid w:val="00E87A1C"/>
    <w:rsid w:val="00E90293"/>
    <w:rsid w:val="00E918E1"/>
    <w:rsid w:val="00E933EC"/>
    <w:rsid w:val="00E93544"/>
    <w:rsid w:val="00E94BB2"/>
    <w:rsid w:val="00E96025"/>
    <w:rsid w:val="00E97BAB"/>
    <w:rsid w:val="00EA413C"/>
    <w:rsid w:val="00EA62C7"/>
    <w:rsid w:val="00EA6BB6"/>
    <w:rsid w:val="00EB2236"/>
    <w:rsid w:val="00EB4CBA"/>
    <w:rsid w:val="00EB7EA4"/>
    <w:rsid w:val="00EC13CD"/>
    <w:rsid w:val="00EC2E8F"/>
    <w:rsid w:val="00EC4C91"/>
    <w:rsid w:val="00ED16CD"/>
    <w:rsid w:val="00ED190B"/>
    <w:rsid w:val="00ED4D70"/>
    <w:rsid w:val="00ED6693"/>
    <w:rsid w:val="00ED69DB"/>
    <w:rsid w:val="00EE0148"/>
    <w:rsid w:val="00EE09FE"/>
    <w:rsid w:val="00EE184A"/>
    <w:rsid w:val="00EE2BB1"/>
    <w:rsid w:val="00EE3E63"/>
    <w:rsid w:val="00EE42E3"/>
    <w:rsid w:val="00EE48B4"/>
    <w:rsid w:val="00EE7763"/>
    <w:rsid w:val="00EF268E"/>
    <w:rsid w:val="00EF2984"/>
    <w:rsid w:val="00EF2C79"/>
    <w:rsid w:val="00EF3F85"/>
    <w:rsid w:val="00EF44B0"/>
    <w:rsid w:val="00EF6F59"/>
    <w:rsid w:val="00EF7CB9"/>
    <w:rsid w:val="00EF7FCA"/>
    <w:rsid w:val="00F042E2"/>
    <w:rsid w:val="00F044A8"/>
    <w:rsid w:val="00F104E7"/>
    <w:rsid w:val="00F11E6B"/>
    <w:rsid w:val="00F13BC1"/>
    <w:rsid w:val="00F177AE"/>
    <w:rsid w:val="00F17889"/>
    <w:rsid w:val="00F17979"/>
    <w:rsid w:val="00F17E1D"/>
    <w:rsid w:val="00F203EF"/>
    <w:rsid w:val="00F2057C"/>
    <w:rsid w:val="00F20A34"/>
    <w:rsid w:val="00F21EB7"/>
    <w:rsid w:val="00F22932"/>
    <w:rsid w:val="00F26C05"/>
    <w:rsid w:val="00F30967"/>
    <w:rsid w:val="00F34137"/>
    <w:rsid w:val="00F35E39"/>
    <w:rsid w:val="00F409B0"/>
    <w:rsid w:val="00F41479"/>
    <w:rsid w:val="00F4278B"/>
    <w:rsid w:val="00F430D3"/>
    <w:rsid w:val="00F44E72"/>
    <w:rsid w:val="00F455AE"/>
    <w:rsid w:val="00F47939"/>
    <w:rsid w:val="00F47E4D"/>
    <w:rsid w:val="00F512D4"/>
    <w:rsid w:val="00F521A7"/>
    <w:rsid w:val="00F53EA6"/>
    <w:rsid w:val="00F5457C"/>
    <w:rsid w:val="00F54855"/>
    <w:rsid w:val="00F553C3"/>
    <w:rsid w:val="00F563BE"/>
    <w:rsid w:val="00F577EE"/>
    <w:rsid w:val="00F6050E"/>
    <w:rsid w:val="00F612E9"/>
    <w:rsid w:val="00F61B2A"/>
    <w:rsid w:val="00F631C6"/>
    <w:rsid w:val="00F66166"/>
    <w:rsid w:val="00F6655A"/>
    <w:rsid w:val="00F71A1A"/>
    <w:rsid w:val="00F71E44"/>
    <w:rsid w:val="00F72F56"/>
    <w:rsid w:val="00F7660F"/>
    <w:rsid w:val="00F768BA"/>
    <w:rsid w:val="00F82706"/>
    <w:rsid w:val="00F82D5A"/>
    <w:rsid w:val="00F83AFF"/>
    <w:rsid w:val="00F848D9"/>
    <w:rsid w:val="00F84D13"/>
    <w:rsid w:val="00F86544"/>
    <w:rsid w:val="00F87497"/>
    <w:rsid w:val="00F90C83"/>
    <w:rsid w:val="00F91FB1"/>
    <w:rsid w:val="00F93470"/>
    <w:rsid w:val="00F94574"/>
    <w:rsid w:val="00F97687"/>
    <w:rsid w:val="00F97D00"/>
    <w:rsid w:val="00FA5019"/>
    <w:rsid w:val="00FA51A1"/>
    <w:rsid w:val="00FA525B"/>
    <w:rsid w:val="00FA5BD2"/>
    <w:rsid w:val="00FA6E62"/>
    <w:rsid w:val="00FA7085"/>
    <w:rsid w:val="00FA7BE8"/>
    <w:rsid w:val="00FB2D30"/>
    <w:rsid w:val="00FB2E0C"/>
    <w:rsid w:val="00FB7267"/>
    <w:rsid w:val="00FB7318"/>
    <w:rsid w:val="00FC2724"/>
    <w:rsid w:val="00FC28BA"/>
    <w:rsid w:val="00FC2CAE"/>
    <w:rsid w:val="00FC4934"/>
    <w:rsid w:val="00FC704F"/>
    <w:rsid w:val="00FD3564"/>
    <w:rsid w:val="00FD3AB4"/>
    <w:rsid w:val="00FD4747"/>
    <w:rsid w:val="00FD7883"/>
    <w:rsid w:val="00FD7F4C"/>
    <w:rsid w:val="00FE2D1A"/>
    <w:rsid w:val="00FE3C52"/>
    <w:rsid w:val="00FE4857"/>
    <w:rsid w:val="00FE75FE"/>
    <w:rsid w:val="00FF1902"/>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8D9CB9"/>
  <w15:docId w15:val="{26796193-E315-4251-A3A3-1BC6976C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204"/>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A07AB"/>
    <w:pPr>
      <w:numPr>
        <w:numId w:val="4"/>
      </w:numPr>
      <w:spacing w:after="120" w:line="360" w:lineRule="auto"/>
      <w:ind w:left="1080"/>
    </w:pPr>
    <w:rPr>
      <w:color w:val="000000"/>
    </w:rPr>
  </w:style>
  <w:style w:type="paragraph" w:customStyle="1" w:styleId="exhibitsource">
    <w:name w:val="exhibit source"/>
    <w:basedOn w:val="Normal"/>
    <w:rsid w:val="004A07AB"/>
    <w:pPr>
      <w:spacing w:before="120"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75802"/>
  </w:style>
  <w:style w:type="character" w:styleId="FollowedHyperlink">
    <w:name w:val="FollowedHyperlink"/>
    <w:rsid w:val="00682082"/>
    <w:rPr>
      <w:color w:val="6F57B5"/>
      <w:u w:val="none"/>
    </w:rPr>
  </w:style>
  <w:style w:type="paragraph" w:customStyle="1" w:styleId="Author">
    <w:name w:val="Author"/>
    <w:basedOn w:val="Normal"/>
    <w:rsid w:val="009D33E3"/>
    <w:pPr>
      <w:jc w:val="right"/>
    </w:pPr>
    <w:rPr>
      <w:rFonts w:ascii="Verdana" w:eastAsia="MS Mincho" w:hAnsi="Verdana"/>
      <w:b/>
      <w:sz w:val="22"/>
      <w:szCs w:val="20"/>
    </w:rPr>
  </w:style>
  <w:style w:type="paragraph" w:customStyle="1" w:styleId="Address2">
    <w:name w:val="Address2"/>
    <w:basedOn w:val="Normal"/>
    <w:rsid w:val="009D33E3"/>
    <w:pPr>
      <w:jc w:val="right"/>
    </w:pPr>
    <w:rPr>
      <w:rFonts w:ascii="Verdana" w:eastAsia="MS Mincho" w:hAnsi="Verdana"/>
      <w:sz w:val="22"/>
      <w:szCs w:val="20"/>
    </w:rPr>
  </w:style>
  <w:style w:type="paragraph" w:customStyle="1" w:styleId="paragraph">
    <w:name w:val="paragraph"/>
    <w:basedOn w:val="Normal"/>
    <w:rsid w:val="00BC378F"/>
    <w:pPr>
      <w:spacing w:before="200" w:line="320" w:lineRule="exact"/>
      <w:ind w:left="1440"/>
    </w:pPr>
  </w:style>
  <w:style w:type="character" w:customStyle="1" w:styleId="Heading2Char">
    <w:name w:val="Heading 2 Char"/>
    <w:aliases w:val="l2 Char"/>
    <w:link w:val="Heading2"/>
    <w:rsid w:val="009D33E3"/>
    <w:rPr>
      <w:rFonts w:cs="Arial"/>
      <w:b/>
      <w:bCs/>
      <w:iCs/>
      <w:sz w:val="24"/>
      <w:szCs w:val="28"/>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rsid w:val="00176584"/>
    <w:rPr>
      <w:rFonts w:ascii="Times New Roman" w:hAnsi="Times New Roman" w:cs="Courier New"/>
      <w:color w:val="auto"/>
      <w:sz w:val="24"/>
      <w:szCs w:val="24"/>
    </w:rPr>
  </w:style>
  <w:style w:type="paragraph" w:styleId="ListParagraph">
    <w:name w:val="List Paragraph"/>
    <w:basedOn w:val="Normal"/>
    <w:uiPriority w:val="34"/>
    <w:qFormat/>
    <w:rsid w:val="009D33E3"/>
    <w:pPr>
      <w:spacing w:after="240"/>
      <w:ind w:left="1080" w:hanging="360"/>
    </w:pPr>
    <w:rPr>
      <w:szCs w:val="20"/>
    </w:rPr>
  </w:style>
  <w:style w:type="paragraph" w:styleId="CommentText">
    <w:name w:val="annotation text"/>
    <w:basedOn w:val="Normal"/>
    <w:link w:val="CommentTextChar"/>
    <w:rsid w:val="009D33E3"/>
    <w:rPr>
      <w:sz w:val="20"/>
      <w:szCs w:val="20"/>
    </w:rPr>
  </w:style>
  <w:style w:type="character" w:customStyle="1" w:styleId="CommentTextChar">
    <w:name w:val="Comment Text Char"/>
    <w:basedOn w:val="DefaultParagraphFont"/>
    <w:link w:val="CommentText"/>
    <w:rsid w:val="009D33E3"/>
  </w:style>
  <w:style w:type="paragraph" w:customStyle="1" w:styleId="heading10">
    <w:name w:val="heading1"/>
    <w:basedOn w:val="Normal"/>
    <w:next w:val="Normal"/>
    <w:semiHidden/>
    <w:rsid w:val="00BC378F"/>
    <w:pPr>
      <w:spacing w:before="120" w:after="120"/>
    </w:pPr>
    <w:rPr>
      <w:b/>
      <w:bCs/>
      <w:sz w:val="22"/>
      <w:szCs w:val="22"/>
    </w:rPr>
  </w:style>
  <w:style w:type="character" w:styleId="CommentReference">
    <w:name w:val="annotation reference"/>
    <w:unhideWhenUsed/>
    <w:rsid w:val="009D33E3"/>
    <w:rPr>
      <w:sz w:val="16"/>
      <w:szCs w:val="16"/>
    </w:rPr>
  </w:style>
  <w:style w:type="paragraph" w:customStyle="1" w:styleId="heading20">
    <w:name w:val="heading2"/>
    <w:basedOn w:val="Heading3"/>
    <w:next w:val="Normal"/>
    <w:semiHidden/>
    <w:rsid w:val="00BC378F"/>
    <w:pPr>
      <w:spacing w:before="120"/>
    </w:pPr>
    <w:rPr>
      <w:rFonts w:cs="Times New Roman"/>
    </w:rPr>
  </w:style>
  <w:style w:type="character" w:customStyle="1" w:styleId="Heading3Char">
    <w:name w:val="Heading 3 Char"/>
    <w:link w:val="Heading3"/>
    <w:uiPriority w:val="9"/>
    <w:rsid w:val="009D33E3"/>
    <w:rPr>
      <w:rFonts w:cs="Arial"/>
      <w:b/>
      <w:bCs/>
      <w:i/>
      <w:iCs/>
      <w:sz w:val="24"/>
      <w:szCs w:val="22"/>
      <w:lang w:val="en-CA"/>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link w:val="Heading1"/>
    <w:rsid w:val="009D33E3"/>
    <w:rPr>
      <w:rFonts w:ascii="Times New Roman Bold" w:hAnsi="Times New Roman Bold"/>
      <w:b/>
      <w:bCs/>
      <w:caps/>
      <w:sz w:val="24"/>
      <w:szCs w:val="24"/>
    </w:rPr>
  </w:style>
  <w:style w:type="paragraph" w:styleId="BodyText">
    <w:name w:val="Body Text"/>
    <w:basedOn w:val="Normal"/>
    <w:link w:val="BodyTextChar1"/>
    <w:rsid w:val="009D33E3"/>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rsid w:val="009D33E3"/>
    <w:rPr>
      <w:sz w:val="24"/>
      <w:szCs w:val="24"/>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BodyTextChar1">
    <w:name w:val="Body Text Char1"/>
    <w:link w:val="BodyText"/>
    <w:rsid w:val="009D33E3"/>
    <w:rPr>
      <w:rFonts w:ascii="Verdana" w:eastAsia="MS Mincho" w:hAnsi="Verdana"/>
      <w:snapToGrid w:val="0"/>
    </w:rPr>
  </w:style>
  <w:style w:type="paragraph" w:customStyle="1" w:styleId="TableParagraph">
    <w:name w:val="Table Paragraph"/>
    <w:basedOn w:val="Normal"/>
    <w:uiPriority w:val="1"/>
    <w:qFormat/>
    <w:rsid w:val="009D33E3"/>
    <w:pPr>
      <w:widowControl w:val="0"/>
      <w:ind w:left="200"/>
    </w:pPr>
    <w:rPr>
      <w:rFonts w:ascii="Arial" w:eastAsia="Arial" w:hAnsi="Arial" w:cs="Arial"/>
      <w:sz w:val="22"/>
      <w:szCs w:val="22"/>
    </w:rPr>
  </w:style>
  <w:style w:type="paragraph" w:styleId="CommentSubject">
    <w:name w:val="annotation subject"/>
    <w:basedOn w:val="CommentText"/>
    <w:next w:val="CommentText"/>
    <w:link w:val="CommentSubjectChar"/>
    <w:rsid w:val="00B4037E"/>
    <w:rPr>
      <w:b/>
      <w:bCs/>
    </w:rPr>
  </w:style>
  <w:style w:type="character" w:customStyle="1" w:styleId="CommentSubjectChar">
    <w:name w:val="Comment Subject Char"/>
    <w:basedOn w:val="CommentTextChar"/>
    <w:link w:val="CommentSubject"/>
    <w:rsid w:val="00B4037E"/>
    <w:rPr>
      <w:b/>
      <w:bCs/>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071E0F"/>
    <w:rPr>
      <w:color w:val="3333FF"/>
      <w:u w:val="non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0"/>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Revision">
    <w:name w:val="Revision"/>
    <w:hidden/>
    <w:uiPriority w:val="99"/>
    <w:semiHidden/>
    <w:rsid w:val="00B41E5F"/>
    <w:rPr>
      <w:sz w:val="24"/>
      <w:szCs w:val="24"/>
    </w:rPr>
  </w:style>
  <w:style w:type="paragraph" w:customStyle="1" w:styleId="TableHeaders">
    <w:name w:val="Table Headers"/>
    <w:qFormat/>
    <w:rsid w:val="00802D38"/>
    <w:pPr>
      <w:spacing w:before="80" w:after="80"/>
      <w:jc w:val="center"/>
    </w:pPr>
    <w:rPr>
      <w:b/>
      <w:sz w:val="24"/>
    </w:rPr>
  </w:style>
  <w:style w:type="paragraph" w:customStyle="1" w:styleId="TableDecTab">
    <w:name w:val="Table Dec Tab"/>
    <w:basedOn w:val="Normal"/>
    <w:qFormat/>
    <w:rsid w:val="00802D38"/>
    <w:pPr>
      <w:keepNext/>
      <w:keepLines/>
      <w:framePr w:hSpace="180" w:wrap="around" w:vAnchor="text" w:hAnchor="margin" w:y="390"/>
      <w:tabs>
        <w:tab w:val="left" w:pos="720"/>
        <w:tab w:val="decimal" w:pos="1776"/>
        <w:tab w:val="left" w:pos="4007"/>
      </w:tabs>
      <w:spacing w:line="276" w:lineRule="auto"/>
      <w:contextualSpacing/>
      <w:suppressOverlap/>
    </w:pPr>
  </w:style>
  <w:style w:type="paragraph" w:customStyle="1" w:styleId="TableText">
    <w:name w:val="Table Text"/>
    <w:basedOn w:val="Normal"/>
    <w:qFormat/>
    <w:rsid w:val="00802D38"/>
    <w:pPr>
      <w:keepNext/>
      <w:keepLines/>
      <w:spacing w:line="276" w:lineRule="auto"/>
      <w:ind w:left="522"/>
      <w:contextualSpacing/>
    </w:pPr>
  </w:style>
  <w:style w:type="paragraph" w:styleId="TableofFigures">
    <w:name w:val="table of figures"/>
    <w:basedOn w:val="Normal"/>
    <w:next w:val="Normal"/>
    <w:uiPriority w:val="99"/>
    <w:rsid w:val="004A07AB"/>
  </w:style>
  <w:style w:type="character" w:customStyle="1" w:styleId="E-mailSignatureChar">
    <w:name w:val="E-mail Signature Char"/>
    <w:basedOn w:val="DefaultParagraphFont"/>
    <w:link w:val="E-mailSignature"/>
    <w:rsid w:val="00BF72E1"/>
    <w:rPr>
      <w:sz w:val="24"/>
      <w:szCs w:val="24"/>
    </w:rPr>
  </w:style>
  <w:style w:type="character" w:customStyle="1" w:styleId="bodytextChar0">
    <w:name w:val="body text Char"/>
    <w:basedOn w:val="DefaultParagraphFont"/>
    <w:link w:val="BodyText1"/>
    <w:rsid w:val="00FA7BE8"/>
    <w:rPr>
      <w:sz w:val="24"/>
    </w:rPr>
  </w:style>
  <w:style w:type="character" w:customStyle="1" w:styleId="UnresolvedMention1">
    <w:name w:val="Unresolved Mention1"/>
    <w:basedOn w:val="DefaultParagraphFont"/>
    <w:uiPriority w:val="99"/>
    <w:semiHidden/>
    <w:unhideWhenUsed/>
    <w:rsid w:val="0082657F"/>
    <w:rPr>
      <w:color w:val="808080"/>
      <w:shd w:val="clear" w:color="auto" w:fill="E6E6E6"/>
    </w:rPr>
  </w:style>
  <w:style w:type="paragraph" w:styleId="Bibliography">
    <w:name w:val="Bibliography"/>
    <w:basedOn w:val="Normal"/>
    <w:next w:val="Normal"/>
    <w:uiPriority w:val="37"/>
    <w:semiHidden/>
    <w:unhideWhenUsed/>
    <w:rsid w:val="000A2624"/>
  </w:style>
  <w:style w:type="paragraph" w:styleId="NoSpacing">
    <w:name w:val="No Spacing"/>
    <w:uiPriority w:val="1"/>
    <w:qFormat/>
    <w:rsid w:val="00697F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88872169">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91154377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18567">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84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apor.org/AM/Template.cfm?Section=Reports1&amp;Template=/CM/ContentDisplay.cfm&amp;ContentID=605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apor.org/AAPOR_Main/media/publications/Standard-Definitions20169theditionfinal.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4" ma:contentTypeDescription="Create a new document." ma:contentTypeScope="" ma:versionID="f4eaa2d834624b406d2bc721786f53d2">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8703a421ef0c76d4950c7c086d97655a"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980F5-9F83-4A31-8E98-0089D8868140}">
  <ds:schemaRefs>
    <ds:schemaRef ds:uri="http://schemas.microsoft.com/sharepoint/v3/contenttype/forms"/>
  </ds:schemaRefs>
</ds:datastoreItem>
</file>

<file path=customXml/itemProps2.xml><?xml version="1.0" encoding="utf-8"?>
<ds:datastoreItem xmlns:ds="http://schemas.openxmlformats.org/officeDocument/2006/customXml" ds:itemID="{2041B53F-4087-4F95-AC8A-07D24FEFB43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9D93530-1A0B-4EDA-91D6-65BC9B1F1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71975-0FA2-4542-9169-7CDA8056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3502</Words>
  <Characters>21994</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25446</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Angel, Karen C. (CDC/DDNID/NCIPC/OD)</cp:lastModifiedBy>
  <cp:revision>17</cp:revision>
  <cp:lastPrinted>2018-01-30T23:48:00Z</cp:lastPrinted>
  <dcterms:created xsi:type="dcterms:W3CDTF">2020-09-30T06:47:00Z</dcterms:created>
  <dcterms:modified xsi:type="dcterms:W3CDTF">2020-12-08T13:44:00Z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Enabled">
    <vt:lpwstr>true</vt:lpwstr>
  </property>
  <property fmtid="{D5CDD505-2E9C-101B-9397-08002B2CF9AE}" pid="4" name="MSIP_Label_7b94a7b8-f06c-4dfe-bdcc-9b548fd58c31_SetDate">
    <vt:lpwstr>2020-11-18T20:05:24Z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8d30ff4a-ee61-4243-996f-bb4069139e35</vt:lpwstr>
  </property>
  <property fmtid="{D5CDD505-2E9C-101B-9397-08002B2CF9AE}" pid="9" name="MSIP_Label_7b94a7b8-f06c-4dfe-bdcc-9b548fd58c31_ContentBits">
    <vt:lpwstr>0</vt:lpwstr>
  </property>
</Properties>
</file>